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CFC" w:rsidRDefault="00427CFC">
      <w:pPr>
        <w:ind w:firstLineChars="0" w:firstLine="0"/>
        <w:jc w:val="center"/>
        <w:rPr>
          <w:rFonts w:ascii="黑体" w:eastAsia="黑体" w:hAnsi="黑体"/>
          <w:sz w:val="48"/>
          <w:szCs w:val="48"/>
        </w:rPr>
      </w:pPr>
    </w:p>
    <w:p w:rsidR="00427CFC" w:rsidRDefault="00427CFC">
      <w:pPr>
        <w:ind w:firstLineChars="0" w:firstLine="0"/>
        <w:jc w:val="center"/>
        <w:rPr>
          <w:rFonts w:ascii="黑体" w:eastAsia="黑体" w:hAnsi="黑体"/>
          <w:sz w:val="48"/>
          <w:szCs w:val="48"/>
        </w:rPr>
      </w:pPr>
    </w:p>
    <w:p w:rsidR="00427CFC" w:rsidRDefault="004220DA">
      <w:pPr>
        <w:ind w:firstLineChars="0" w:firstLine="0"/>
        <w:jc w:val="center"/>
        <w:rPr>
          <w:rFonts w:ascii="黑体" w:eastAsia="黑体" w:hAnsi="黑体"/>
          <w:sz w:val="52"/>
          <w:szCs w:val="52"/>
        </w:rPr>
      </w:pPr>
      <w:r>
        <w:rPr>
          <w:rFonts w:ascii="黑体" w:eastAsia="黑体" w:hAnsi="黑体" w:hint="eastAsia"/>
          <w:sz w:val="52"/>
          <w:szCs w:val="52"/>
        </w:rPr>
        <w:t>一网统管大系统（升级改造）</w:t>
      </w:r>
    </w:p>
    <w:p w:rsidR="00427CFC" w:rsidRDefault="004220DA">
      <w:pPr>
        <w:ind w:firstLineChars="0" w:firstLine="0"/>
        <w:jc w:val="center"/>
        <w:rPr>
          <w:rFonts w:ascii="黑体" w:eastAsia="黑体" w:hAnsi="黑体"/>
          <w:sz w:val="52"/>
          <w:szCs w:val="52"/>
        </w:rPr>
      </w:pPr>
      <w:r>
        <w:rPr>
          <w:rFonts w:ascii="黑体" w:eastAsia="黑体" w:hAnsi="黑体" w:hint="eastAsia"/>
          <w:sz w:val="52"/>
          <w:szCs w:val="52"/>
        </w:rPr>
        <w:t>采购需求</w:t>
      </w:r>
    </w:p>
    <w:p w:rsidR="00427CFC" w:rsidRDefault="00427CFC">
      <w:pPr>
        <w:ind w:firstLineChars="0" w:firstLine="0"/>
        <w:jc w:val="center"/>
        <w:rPr>
          <w:rFonts w:ascii="黑体" w:eastAsia="黑体" w:hAnsi="黑体"/>
          <w:sz w:val="72"/>
          <w:szCs w:val="72"/>
        </w:rPr>
      </w:pPr>
    </w:p>
    <w:p w:rsidR="00427CFC" w:rsidRDefault="00427CFC">
      <w:pPr>
        <w:ind w:firstLineChars="0" w:firstLine="0"/>
        <w:jc w:val="center"/>
        <w:rPr>
          <w:rFonts w:ascii="黑体" w:eastAsia="黑体" w:hAnsi="黑体"/>
          <w:sz w:val="48"/>
          <w:szCs w:val="48"/>
        </w:rPr>
      </w:pPr>
    </w:p>
    <w:p w:rsidR="00427CFC" w:rsidRDefault="00427CFC">
      <w:pPr>
        <w:ind w:firstLineChars="0" w:firstLine="0"/>
        <w:jc w:val="center"/>
        <w:rPr>
          <w:rFonts w:ascii="黑体" w:eastAsia="黑体" w:hAnsi="黑体"/>
          <w:sz w:val="52"/>
          <w:szCs w:val="52"/>
        </w:rPr>
      </w:pPr>
    </w:p>
    <w:p w:rsidR="00427CFC" w:rsidRDefault="00427CFC">
      <w:pPr>
        <w:ind w:firstLine="1040"/>
        <w:rPr>
          <w:rFonts w:ascii="黑体" w:eastAsia="黑体" w:hAnsi="黑体"/>
          <w:sz w:val="52"/>
          <w:szCs w:val="52"/>
        </w:rPr>
      </w:pPr>
    </w:p>
    <w:p w:rsidR="00427CFC" w:rsidRDefault="00427CFC"/>
    <w:p w:rsidR="00427CFC" w:rsidRDefault="00427CFC"/>
    <w:p w:rsidR="00427CFC" w:rsidRDefault="00427CFC"/>
    <w:p w:rsidR="00427CFC" w:rsidRDefault="00427CFC"/>
    <w:p w:rsidR="00427CFC" w:rsidRDefault="00427CFC"/>
    <w:p w:rsidR="00427CFC" w:rsidRDefault="00427CFC">
      <w:pPr>
        <w:ind w:firstLine="1040"/>
        <w:rPr>
          <w:rFonts w:ascii="黑体" w:eastAsia="黑体" w:hAnsi="黑体"/>
          <w:sz w:val="52"/>
          <w:szCs w:val="52"/>
        </w:rPr>
      </w:pPr>
    </w:p>
    <w:p w:rsidR="00427CFC" w:rsidRDefault="00427CFC">
      <w:pPr>
        <w:jc w:val="center"/>
        <w:sectPr w:rsidR="00427CFC" w:rsidSect="00431479">
          <w:headerReference w:type="even" r:id="rId9"/>
          <w:headerReference w:type="default" r:id="rId10"/>
          <w:footerReference w:type="even" r:id="rId11"/>
          <w:footerReference w:type="default" r:id="rId12"/>
          <w:headerReference w:type="first" r:id="rId13"/>
          <w:footerReference w:type="first" r:id="rId14"/>
          <w:pgSz w:w="11906" w:h="16838"/>
          <w:pgMar w:top="1134" w:right="1797" w:bottom="1135" w:left="1797" w:header="340" w:footer="7" w:gutter="0"/>
          <w:pgNumType w:start="1"/>
          <w:cols w:space="720"/>
          <w:titlePg/>
          <w:docGrid w:type="linesAndChars" w:linePitch="326"/>
        </w:sectPr>
      </w:pPr>
    </w:p>
    <w:p w:rsidR="00427CFC" w:rsidRDefault="004220DA">
      <w:pPr>
        <w:pStyle w:val="1"/>
      </w:pPr>
      <w:bookmarkStart w:id="0" w:name="_Toc63785461"/>
      <w:r>
        <w:rPr>
          <w:rFonts w:hint="eastAsia"/>
        </w:rPr>
        <w:lastRenderedPageBreak/>
        <w:t>项目概况</w:t>
      </w:r>
      <w:bookmarkEnd w:id="0"/>
    </w:p>
    <w:p w:rsidR="00427CFC" w:rsidRDefault="004220DA">
      <w:pPr>
        <w:pStyle w:val="2"/>
      </w:pPr>
      <w:r>
        <w:rPr>
          <w:rFonts w:hint="eastAsia"/>
        </w:rPr>
        <w:t>项目背景和现状</w:t>
      </w:r>
    </w:p>
    <w:p w:rsidR="00427CFC" w:rsidRDefault="004220DA">
      <w:pPr>
        <w:pStyle w:val="3"/>
      </w:pPr>
      <w:r>
        <w:rPr>
          <w:rFonts w:hint="eastAsia"/>
        </w:rPr>
        <w:t>项目背景</w:t>
      </w:r>
    </w:p>
    <w:p w:rsidR="00427CFC" w:rsidRDefault="004220DA">
      <w:pPr>
        <w:pStyle w:val="4"/>
        <w:ind w:left="1134" w:hanging="1134"/>
      </w:pPr>
      <w:bookmarkStart w:id="1" w:name="_Toc137738495"/>
      <w:r>
        <w:rPr>
          <w:rFonts w:hint="eastAsia"/>
        </w:rPr>
        <w:t>律师业务建设背景</w:t>
      </w:r>
      <w:bookmarkEnd w:id="1"/>
    </w:p>
    <w:p w:rsidR="00427CFC" w:rsidRDefault="004220DA">
      <w:pPr>
        <w:pStyle w:val="5"/>
      </w:pPr>
      <w:r>
        <w:rPr>
          <w:rFonts w:hint="eastAsia"/>
        </w:rPr>
        <w:t>行业发展背景</w:t>
      </w:r>
    </w:p>
    <w:p w:rsidR="00427CFC" w:rsidRDefault="004220DA">
      <w:r>
        <w:rPr>
          <w:rFonts w:hint="eastAsia"/>
        </w:rPr>
        <w:t>以习近平新时代中国特色社会主义思想为指导，依据《法治中国建设规划（2020-2025年）》、《中办、国办&lt;关于深化律师制度改革的意见&gt;》、《全国公共法律服务体系建设规划（2021-2025年）》、《全国律师工作信息化建设指导意见》、《关于推行电子律师执业证的工作方案（草稿）》的工作指导，需深入推进上海市律师工作信息化“</w:t>
      </w:r>
      <w:proofErr w:type="gramStart"/>
      <w:r>
        <w:rPr>
          <w:rFonts w:hint="eastAsia"/>
        </w:rPr>
        <w:t>一</w:t>
      </w:r>
      <w:proofErr w:type="gramEnd"/>
      <w:r>
        <w:rPr>
          <w:rFonts w:hint="eastAsia"/>
        </w:rPr>
        <w:t>库、两管、五平台”建设，为加速发展律师队伍、发挥律师职能作用、提升律师管理与服务水平、深化律师制度改革、全面支撑律师服务行业快速发展提供制度保障。</w:t>
      </w:r>
    </w:p>
    <w:p w:rsidR="00427CFC" w:rsidRDefault="004220DA">
      <w:r>
        <w:rPr>
          <w:rFonts w:hint="eastAsia"/>
        </w:rPr>
        <w:t>同时，根据上海市委印发《法治上海建设规划（2021-2025年）》工作要求，需加快推进“互联网＋政务服务”，建立健全运用互联网、大数据、云计算、人工智能、区块链等技术手段推进行政管理的制度规则，推动线上线下深度融合，加大业务流程优化再造。加强法律服务领域专门人才培养和队伍建设，健全职业道德准则、执业行为规范。健全律师执业权利保障制度机制。完善律师惩戒机制</w:t>
      </w:r>
      <w:r>
        <w:rPr>
          <w:rFonts w:hint="eastAsia"/>
          <w:color w:val="0000FF"/>
        </w:rPr>
        <w:t>，</w:t>
      </w:r>
      <w:r>
        <w:rPr>
          <w:rFonts w:hint="eastAsia"/>
        </w:rPr>
        <w:t>建立律师不良执业信息记录披露和查询制度。依据上海市委市政府印发《上海法治政府建设规划（2021-2025年）》建设方针，需强化法治政府建设科技保障，加快推进数字法治政府建设；提高政务数据采集质量，实现政务数据集中汇聚，加强数据治理；加快推进身份认证、电子印章、电子证照等统一认定使用，优化政务服务流程</w:t>
      </w:r>
      <w:r>
        <w:rPr>
          <w:rFonts w:hint="eastAsia"/>
          <w:color w:val="0000FF"/>
        </w:rPr>
        <w:t>。</w:t>
      </w:r>
    </w:p>
    <w:p w:rsidR="00427CFC" w:rsidRDefault="004220DA">
      <w:r>
        <w:rPr>
          <w:rFonts w:hint="eastAsia"/>
        </w:rPr>
        <w:t>目前截至2023年4月底上海市律师总人数达39366人，其中专职律师34020人、兼职律师841人、公职律师2517人、公司律师1988人，律师事务所达1864家，实习人员总数达4142人，律师队伍不断壮大，律师队伍也成为上海市打造法治强市的中坚力量，在服务经济社会发展、促进社会和谐稳定，推进法治上海、平安上海建设中发挥了重要作用，然而依然存在：律师执业保障不足，数</w:t>
      </w:r>
      <w:r>
        <w:rPr>
          <w:rFonts w:hint="eastAsia"/>
        </w:rPr>
        <w:lastRenderedPageBreak/>
        <w:t>字化建设落后；执业监管数据欠缺，行业监管缺乏抓手；“僵尸律师”依旧存在，影响诚信平台信息公信度；律师维权流程体系不规范，在线维权认可度不足；异地调档信息衔接断链，调档律师诚信信息不完整，亟需进一步改进提升。</w:t>
      </w:r>
    </w:p>
    <w:p w:rsidR="00427CFC" w:rsidRDefault="004220DA">
      <w:pPr>
        <w:pStyle w:val="5"/>
      </w:pPr>
      <w:r>
        <w:rPr>
          <w:rFonts w:hint="eastAsia"/>
        </w:rPr>
        <w:t>业务现状及业务痛点</w:t>
      </w:r>
    </w:p>
    <w:p w:rsidR="00427CFC" w:rsidRDefault="004220DA">
      <w:r>
        <w:rPr>
          <w:rFonts w:hint="eastAsia"/>
        </w:rPr>
        <w:t>行业执业监管缺乏基础数据支撑，律师行业投诉数据主要在行业协会内部流转，未与司法行政机关进行良性互通，律师违法违规数据也主要存在于纪委监委、法院、检察院、公安机关和行政复议、仲裁有关信息系统中，未建立实时交互，司法行政机关获得律师违法违规数据存在一定滞后性，导致对被投诉律师、违法违规律师的行政处罚存在“信息时差”，可能会存在情节严重的律师仍然依据现有执业状态开展执业活动，破坏执业合</w:t>
      </w:r>
      <w:proofErr w:type="gramStart"/>
      <w:r>
        <w:rPr>
          <w:rFonts w:hint="eastAsia"/>
        </w:rPr>
        <w:t>规</w:t>
      </w:r>
      <w:proofErr w:type="gramEnd"/>
      <w:r>
        <w:rPr>
          <w:rFonts w:hint="eastAsia"/>
        </w:rPr>
        <w:t>性，给当事人造成不必要损害；对于律师执业过程监管缺少信息基础与应用抓手，长期处于空白状态，异常执业行为难以及时察觉、妥善处理；异地调档业务每年转入转出业务达1500余起，但缺乏健全的信息化服务支撑，一方面业务办理缺少在线便捷服务，另一方面转入律师背景信息不全，导致对异地调入律师的执业监管缺乏抓手。</w:t>
      </w:r>
    </w:p>
    <w:p w:rsidR="00427CFC" w:rsidRDefault="004220DA">
      <w:r>
        <w:rPr>
          <w:rFonts w:hint="eastAsia"/>
        </w:rPr>
        <w:t>行业执业环境仍待进一步优化，律师辩护“三难”（会见难、阅卷难、调查取证难）局部区域仍旧存在，律师执业过程中限制多、排队久、多跑路等难点给律师执业造成困扰，严重影响律师执业效率与法律服务质量；缺少律师线上反映案件问题及执业权利受侵害渠道，目前律师维权主要以电话方式联系相关部门进行反馈，维</w:t>
      </w:r>
      <w:proofErr w:type="gramStart"/>
      <w:r>
        <w:rPr>
          <w:rFonts w:hint="eastAsia"/>
        </w:rPr>
        <w:t>权事件</w:t>
      </w:r>
      <w:proofErr w:type="gramEnd"/>
      <w:r>
        <w:rPr>
          <w:rFonts w:hint="eastAsia"/>
        </w:rPr>
        <w:t>反馈后无法及时跟踪其具体办理进度与处理情况，</w:t>
      </w:r>
      <w:proofErr w:type="gramStart"/>
      <w:r>
        <w:rPr>
          <w:rFonts w:hint="eastAsia"/>
        </w:rPr>
        <w:t>实际维</w:t>
      </w:r>
      <w:proofErr w:type="gramEnd"/>
      <w:r>
        <w:rPr>
          <w:rFonts w:hint="eastAsia"/>
        </w:rPr>
        <w:t>权服务质量得不到有效管控。</w:t>
      </w:r>
    </w:p>
    <w:p w:rsidR="00427CFC" w:rsidRDefault="004220DA">
      <w:r>
        <w:rPr>
          <w:rFonts w:hint="eastAsia"/>
        </w:rPr>
        <w:t>律师行业数据质量亟待持续优化，“僵尸律师”（指的那些长期不开展执业活动、不参与律师年度考核，可能换行业或是已故的律师，在系统里面没有进行执业注销，导致数据一直留存）问题未得到有效处理，导致在司法部“全国律师执业诚信信息公示平台”仍然</w:t>
      </w:r>
      <w:proofErr w:type="gramStart"/>
      <w:r>
        <w:rPr>
          <w:rFonts w:hint="eastAsia"/>
        </w:rPr>
        <w:t>公示着</w:t>
      </w:r>
      <w:proofErr w:type="gramEnd"/>
      <w:r>
        <w:rPr>
          <w:rFonts w:hint="eastAsia"/>
        </w:rPr>
        <w:t>这些“僵尸律师”信息，给群众查找上海律师造成困扰，严重影响平台的公信度。</w:t>
      </w:r>
    </w:p>
    <w:p w:rsidR="00427CFC" w:rsidRDefault="004220DA">
      <w:pPr>
        <w:pStyle w:val="4"/>
        <w:ind w:left="1134" w:hanging="1134"/>
      </w:pPr>
      <w:bookmarkStart w:id="2" w:name="_Toc137738405"/>
      <w:r>
        <w:rPr>
          <w:rFonts w:hint="eastAsia"/>
        </w:rPr>
        <w:t>公证业务建设背景</w:t>
      </w:r>
      <w:bookmarkEnd w:id="2"/>
    </w:p>
    <w:p w:rsidR="00427CFC" w:rsidRDefault="004220DA">
      <w:r>
        <w:rPr>
          <w:rFonts w:hint="eastAsia"/>
        </w:rPr>
        <w:t>为深入贯彻落</w:t>
      </w:r>
      <w:proofErr w:type="gramStart"/>
      <w:r>
        <w:rPr>
          <w:rFonts w:hint="eastAsia"/>
        </w:rPr>
        <w:t>实习近</w:t>
      </w:r>
      <w:proofErr w:type="gramEnd"/>
      <w:r>
        <w:rPr>
          <w:rFonts w:hint="eastAsia"/>
        </w:rPr>
        <w:t>平总书记关于公共法律服务工作的重要指示批示精神，深化我市公证体制机制改革，促进公证事业健康发展，根据经中央全面深化改</w:t>
      </w:r>
      <w:r>
        <w:rPr>
          <w:rFonts w:hint="eastAsia"/>
        </w:rPr>
        <w:lastRenderedPageBreak/>
        <w:t>革委员会审议通过、司法部印发的《关于深化公证体制机制改革促进公证事业健康发展的意见》（</w:t>
      </w:r>
      <w:proofErr w:type="gramStart"/>
      <w:r>
        <w:rPr>
          <w:rFonts w:hint="eastAsia"/>
        </w:rPr>
        <w:t>司发〔2021〕</w:t>
      </w:r>
      <w:proofErr w:type="gramEnd"/>
      <w:r>
        <w:rPr>
          <w:rFonts w:hint="eastAsia"/>
        </w:rPr>
        <w:t>3号）的通知要求“第七条提升行业管理水平当中强调司法行政机关依法加强对公证机构、公证员和公证协会的监督、指导；第八条加强信息化建设，明确要求建立公证机构发展情况线上综合测评机制，建设融预警、监督、处置为一体的信息化公证执业监管体系。加强公证行业标准建设，完善公证行业标准体系框架。”结合2021年建设的“上海市司法局智慧公证平台”系统上线以来市公管处、公证机构、各区司法局等各方意见反馈，以及系统整体功能迭代的业务需求。</w:t>
      </w:r>
    </w:p>
    <w:p w:rsidR="00427CFC" w:rsidRDefault="004220DA">
      <w:r>
        <w:rPr>
          <w:rFonts w:hint="eastAsia"/>
        </w:rPr>
        <w:t>同时，随着上海城市数字化转型发展，结合上级对公证监管最新政策要求，当前的监管手段难以适应新形势新发展要求。公证行业缺乏数字化监管，缺乏有效抓手。社会对公证需求很高，各级和广大群众对公证工作高度关注。因此，迫切需要实现对公证全流程监管，对机构人员进行管理，对办证数据进行分析，对业务风险进行</w:t>
      </w:r>
      <w:proofErr w:type="gramStart"/>
      <w:r>
        <w:rPr>
          <w:rFonts w:hint="eastAsia"/>
        </w:rPr>
        <w:t>研判分析</w:t>
      </w:r>
      <w:proofErr w:type="gramEnd"/>
      <w:r>
        <w:rPr>
          <w:rFonts w:hint="eastAsia"/>
        </w:rPr>
        <w:t>决策支撑，故需要对现有系统进行功能扩展及功能优化。</w:t>
      </w:r>
    </w:p>
    <w:p w:rsidR="00427CFC" w:rsidRDefault="004220DA">
      <w:pPr>
        <w:pStyle w:val="4"/>
        <w:ind w:left="1134" w:hanging="1134"/>
      </w:pPr>
      <w:r>
        <w:rPr>
          <w:rFonts w:hint="eastAsia"/>
        </w:rPr>
        <w:t>司鉴业务建设背景</w:t>
      </w:r>
    </w:p>
    <w:p w:rsidR="00427CFC" w:rsidRDefault="004220DA">
      <w:r>
        <w:rPr>
          <w:rFonts w:hint="eastAsia"/>
        </w:rPr>
        <w:t>根据《全国人民代表大会常务委员会关于司法鉴定管理问题的决定》（以下简称《决定》），为贯彻落实中办、国办《关于健全统一司法鉴定管理体制的实施意见》，司法部在2019年5月与生态环境部联合印发《环境损害司法鉴定执业分类规定》的基础上，于2020年5月颁布实施了《法医类司法鉴定执业分类规定》、《物证类司法鉴定执业分类规定》、《声像资料司法鉴定执业分类规定》对司法部此前的分类规定作了进一步的细化。</w:t>
      </w:r>
    </w:p>
    <w:p w:rsidR="00427CFC" w:rsidRDefault="004220DA">
      <w:r>
        <w:rPr>
          <w:rFonts w:hint="eastAsia"/>
        </w:rPr>
        <w:t>在上述四个大类执业分类规定颁布实施后，司法部于2021年6月印发《</w:t>
      </w:r>
      <w:r>
        <w:t>&lt;</w:t>
      </w:r>
      <w:r>
        <w:rPr>
          <w:rFonts w:hint="eastAsia"/>
        </w:rPr>
        <w:t>法医类 物证类 声像资料类司法鉴定机构登记评审细则</w:t>
      </w:r>
      <w:r>
        <w:t>&gt;</w:t>
      </w:r>
      <w:r>
        <w:rPr>
          <w:rFonts w:hint="eastAsia"/>
        </w:rPr>
        <w:t>的通知》、2021年7月印发《关于开展司法鉴定机构和鉴定人全面评查工作的通知》，要求按照新的分类规定对司法鉴定机构和鉴定人进行全面评查，对司法鉴定机构和鉴定人的执业类别作进一步明确。</w:t>
      </w:r>
    </w:p>
    <w:p w:rsidR="00427CFC" w:rsidRDefault="004220DA">
      <w:r>
        <w:rPr>
          <w:rFonts w:hint="eastAsia"/>
        </w:rPr>
        <w:t>上海市司法局按照三个《执业分类规定》及《细则》的要求，于2022年6月完成了对本市司法鉴定机构和鉴定人的全面评查工作，重新明确各司法鉴定机构、鉴定人的执业类别。</w:t>
      </w:r>
    </w:p>
    <w:p w:rsidR="00427CFC" w:rsidRDefault="004220DA">
      <w:r>
        <w:rPr>
          <w:rFonts w:hint="eastAsia"/>
        </w:rPr>
        <w:lastRenderedPageBreak/>
        <w:t>当前的智慧司鉴系统开发建设于2018年，其对司法鉴定机构、鉴定人的执业类别是按照司法部之前的相关规定，鉴于新的执业分类的实施及全面评查工作的完成，当前系统的底层逻辑已不能适用、匹配于各司法鉴定机构、鉴定人现行的执业类别，给工作带来极大的不便，按照新的分类进行系统升级改造显得极其迫切。</w:t>
      </w:r>
    </w:p>
    <w:p w:rsidR="00427CFC" w:rsidRDefault="004220DA">
      <w:pPr>
        <w:pStyle w:val="4"/>
        <w:ind w:left="1134" w:hanging="1134"/>
      </w:pPr>
      <w:r>
        <w:rPr>
          <w:rFonts w:hint="eastAsia"/>
        </w:rPr>
        <w:t>信访业务建设背景</w:t>
      </w:r>
    </w:p>
    <w:p w:rsidR="00427CFC" w:rsidRDefault="004220DA">
      <w:r>
        <w:t>2022</w:t>
      </w:r>
      <w:r>
        <w:rPr>
          <w:rFonts w:hint="eastAsia"/>
        </w:rPr>
        <w:t>年</w:t>
      </w:r>
      <w:r>
        <w:t>5</w:t>
      </w:r>
      <w:r>
        <w:rPr>
          <w:rFonts w:hint="eastAsia"/>
        </w:rPr>
        <w:t>月中共中央、国务院印发了《信访工作条例》，要求各地区各部门要把握新时代信访工作原则和要求，</w:t>
      </w:r>
      <w:proofErr w:type="gramStart"/>
      <w:r>
        <w:rPr>
          <w:rFonts w:hint="eastAsia"/>
        </w:rPr>
        <w:t>践行</w:t>
      </w:r>
      <w:proofErr w:type="gramEnd"/>
      <w:r>
        <w:rPr>
          <w:rFonts w:hint="eastAsia"/>
        </w:rPr>
        <w:t>以人民为中心的发展思想，完善信访工作责任体系，把党中央关于信访工作的方针政策和决策部署落到实处。加强信访工作信息化、智能化建设，依规依法有序推进信访信息系统互联互通、信息共享。</w:t>
      </w:r>
    </w:p>
    <w:p w:rsidR="00427CFC" w:rsidRDefault="004220DA">
      <w:r>
        <w:rPr>
          <w:rFonts w:hint="eastAsia"/>
        </w:rPr>
        <w:t>信访工作是党的群众工作的重要组成部分，加强党对信访工作的全面领导，有利于提升信访工作的规范化、法治化和制度化水平，更好担负起为民解难、为党分忧的职责使命。</w:t>
      </w:r>
    </w:p>
    <w:p w:rsidR="00427CFC" w:rsidRDefault="004220DA">
      <w:r>
        <w:t>加强了党对信访工作的全面领导。一是加强了领导机构。明确“党中央统一领导全国信访工作，地方党委领导本地区信访工作”，信访工作的领导也由行政机关升级到党组织。二是明确了工作责任。强调要坚持落实信访工作责任，各级党委主抓主责，明确“党政同责、一岗双责，属地管理、分级负责，谁主管、谁负责”。三是扩大了适用范围。新条例对全国的党组织、行政机关都有约束力，覆盖范围更加广泛，各单位、各部门在党的统一领导下形成整体合力，打破了以往行政机关单打独斗的局面，有利于更加高效便捷地推进化解信访事项。</w:t>
      </w:r>
    </w:p>
    <w:p w:rsidR="00427CFC" w:rsidRDefault="004220DA">
      <w:r>
        <w:rPr>
          <w:rFonts w:hint="eastAsia"/>
        </w:rPr>
        <w:t>有效的监督是确保责任落实的必要条件。新《信访工作条例》构建了包括监督责任、监督机制、责任追究在内的完善监督体系，倒逼公职人员改进工作作风、增强宗旨意识、把心贴近人民，形成层层落实、全面覆盖、科学严密的责任体系。</w:t>
      </w:r>
    </w:p>
    <w:p w:rsidR="00427CFC" w:rsidRDefault="004220DA">
      <w:r>
        <w:rPr>
          <w:rFonts w:hint="eastAsia"/>
        </w:rPr>
        <w:t>新《信访工作条例》将“坚持以人民为中心。</w:t>
      </w:r>
      <w:proofErr w:type="gramStart"/>
      <w:r>
        <w:rPr>
          <w:rFonts w:hint="eastAsia"/>
        </w:rPr>
        <w:t>践行</w:t>
      </w:r>
      <w:proofErr w:type="gramEnd"/>
      <w:r>
        <w:rPr>
          <w:rFonts w:hint="eastAsia"/>
        </w:rPr>
        <w:t>党的群众路线，倾听群众呼声，关心群众疾苦，千方百计为群众排忧解难”作为信访工作应当遵循的原则之一，并新增了许多便民利民的具体举措。一是信访提出更加便捷。在信</w:t>
      </w:r>
      <w:r>
        <w:rPr>
          <w:rFonts w:hint="eastAsia"/>
        </w:rPr>
        <w:lastRenderedPageBreak/>
        <w:t>访事项的提出环节，新增“信息网络”这一项，减少了信访人“跑腿”次数，方便了其快速准确提出相关诉求。二是信访化解更加高效。新条例要求“各级党委和政府应当加强信访工作信息化、智能化建设，依规依法有序推进信访信息系统互联互通、信息共享”，对信访事项异地化解难的问题提出了有效解决方案，有利于增强各级党委和政府协调配合、高效推进问题化解，及时就地解决信访问题。三是信访处理更加透明。信访事项受理环节，新增信访人评价机制，规定“各级机关、单位应当及时将信访事项录入信访信息系统，使网上信访、来信、来访、来电在网上流转，方便信访人查询、评价信访事项办理情况”。评价反馈机制能够更加真实准确地反映信访案件化解成效，让信访工作“了解民情、集中民智、维护民利、凝聚民心”的目的落到实处。“信访是送上门来的群众工作”，信访工作说到底就是为人民群众排忧解难，是保持党和政府同人民群众血肉联系的重要举措。通过畅通信访渠道，让老百姓话有地方说、苦有地方诉、理有地方讲，从而维护群众合法权益，促进社会和谐稳定。</w:t>
      </w:r>
    </w:p>
    <w:p w:rsidR="00427CFC" w:rsidRDefault="004220DA">
      <w:r>
        <w:rPr>
          <w:rFonts w:hint="eastAsia"/>
        </w:rPr>
        <w:t>新《信访工作条例》的出台为加强和改进新时代信访工作提供了有力的制度保障，进一步规范和理顺了信访工作机制，有助于在全社会营造办事依法、遇事找法、解决问题用法、化解矛盾靠法的良好环境。</w:t>
      </w:r>
    </w:p>
    <w:p w:rsidR="00427CFC" w:rsidRDefault="004220DA">
      <w:r>
        <w:t>2018</w:t>
      </w:r>
      <w:r>
        <w:rPr>
          <w:rFonts w:hint="eastAsia"/>
        </w:rPr>
        <w:t>年</w:t>
      </w:r>
      <w:r>
        <w:t>4</w:t>
      </w:r>
      <w:r>
        <w:rPr>
          <w:rFonts w:hint="eastAsia"/>
        </w:rPr>
        <w:t>月司法部关于《司法行政机关信访工作办法》，规范了最新的信访渠道、信访事项的提出和受理，信访事项的办理和督办。</w:t>
      </w:r>
    </w:p>
    <w:p w:rsidR="00427CFC" w:rsidRDefault="004220DA">
      <w:r>
        <w:t>2017</w:t>
      </w:r>
      <w:r>
        <w:rPr>
          <w:rFonts w:hint="eastAsia"/>
        </w:rPr>
        <w:t>年</w:t>
      </w:r>
      <w:r>
        <w:t>10</w:t>
      </w:r>
      <w:r>
        <w:rPr>
          <w:rFonts w:hint="eastAsia"/>
        </w:rPr>
        <w:t>月，中央政法委印发了《关于切实解决涉法涉诉信访工作突出问题的若干意见》（中政委</w:t>
      </w:r>
      <w:r>
        <w:t>[2017]20</w:t>
      </w:r>
      <w:r>
        <w:rPr>
          <w:rFonts w:hint="eastAsia"/>
        </w:rPr>
        <w:t>号）；</w:t>
      </w:r>
    </w:p>
    <w:p w:rsidR="00427CFC" w:rsidRDefault="004220DA">
      <w:r>
        <w:rPr>
          <w:rFonts w:hint="eastAsia"/>
        </w:rPr>
        <w:t>中共上海市政法委发布了《关于贯彻中央政法委</w:t>
      </w:r>
      <w:r>
        <w:t>&lt;</w:t>
      </w:r>
      <w:r>
        <w:rPr>
          <w:rFonts w:hint="eastAsia"/>
        </w:rPr>
        <w:t>关于切实解决涉法涉诉信访工作突出问题的若干意见</w:t>
      </w:r>
      <w:r>
        <w:t>&gt;</w:t>
      </w:r>
      <w:r>
        <w:rPr>
          <w:rFonts w:hint="eastAsia"/>
        </w:rPr>
        <w:t>的实施意见》，明确提出要全面登记并认证受理，做到“件件有记录、事事可查询、时时受监督”，切实做好衔接配合工作，主动跨前沟通协商，规范有效进行办理，严格遵守办理期限，依法纠正错误补正瑕疵。</w:t>
      </w:r>
    </w:p>
    <w:p w:rsidR="00427CFC" w:rsidRDefault="004220DA">
      <w:r>
        <w:rPr>
          <w:rFonts w:hint="eastAsia"/>
        </w:rPr>
        <w:t>对上海市司法局涉法涉诉信访案件管理系统升级改造，依规依法有序推进信访信息系统互联互通、信息共享，统一信访案件来源，规范化内部办理流程，实时监管办理质量，利用智能化信息化手段提高内部办事质量和效率为目标。以建设内部质量管理功能为目标，为大数据平台提供内部工作人员及管理相对</w:t>
      </w:r>
      <w:r>
        <w:rPr>
          <w:rFonts w:hint="eastAsia"/>
        </w:rPr>
        <w:lastRenderedPageBreak/>
        <w:t>人的信访案件相关信息。</w:t>
      </w:r>
    </w:p>
    <w:p w:rsidR="00427CFC" w:rsidRDefault="004220DA">
      <w:pPr>
        <w:pStyle w:val="4"/>
        <w:ind w:left="1134" w:hanging="1134"/>
      </w:pPr>
      <w:bookmarkStart w:id="3" w:name="_Toc139355942"/>
      <w:r>
        <w:rPr>
          <w:rFonts w:hint="eastAsia"/>
        </w:rPr>
        <w:t>破产业务建设背景</w:t>
      </w:r>
      <w:bookmarkEnd w:id="3"/>
    </w:p>
    <w:p w:rsidR="00427CFC" w:rsidRDefault="004220DA">
      <w:pPr>
        <w:pStyle w:val="5"/>
      </w:pPr>
      <w:r>
        <w:rPr>
          <w:rFonts w:hint="eastAsia"/>
        </w:rPr>
        <w:t>行业发展背景</w:t>
      </w:r>
    </w:p>
    <w:p w:rsidR="00427CFC" w:rsidRDefault="004220DA">
      <w:r>
        <w:rPr>
          <w:rFonts w:hint="eastAsia"/>
        </w:rPr>
        <w:t>2020年4月上海市第十五届人民代表大会常务委员会第二十次会议通过《上海市优化营商环境条例》强调本市需推进完善市场化、法治化的破产制度，同时加大对破产管理人的培训力度，提高破产管理人的履职能力和水平。2021年5月上海市司法局、上海市高级人民法院印发了《上海市破产管理人分级管理办法(试行)》的通知，指出</w:t>
      </w:r>
      <w:proofErr w:type="gramStart"/>
      <w:r>
        <w:rPr>
          <w:rFonts w:hint="eastAsia"/>
        </w:rPr>
        <w:t>需健全</w:t>
      </w:r>
      <w:proofErr w:type="gramEnd"/>
      <w:r>
        <w:rPr>
          <w:rFonts w:hint="eastAsia"/>
        </w:rPr>
        <w:t>上海市破产管理人分级管理制度体系，定义了破产管理人分级管理规范要求。2023年1月份上海市政府印发的《上海市加强集成创新持续优化营商环境行动方案》要求完善办理破产联动机制，提升破产领域公共服务和公共事务办理质效，同年3月份上海高法印发了《上海市加强改革系统集成提升办理破产便利度的若干措施》的通知，指出“需要司法行政部门协助加强对市管理人协会的监督管理和业务指导，支持推动市管理人协会推行管理人执业规范和考核标准，建立健全履职评价、投诉处理、行业信用等行业监管制度”。</w:t>
      </w:r>
    </w:p>
    <w:p w:rsidR="00427CFC" w:rsidRDefault="004220DA">
      <w:pPr>
        <w:pStyle w:val="5"/>
      </w:pPr>
      <w:r>
        <w:rPr>
          <w:rFonts w:hint="eastAsia"/>
        </w:rPr>
        <w:t>业务现状及业务痛点</w:t>
      </w:r>
    </w:p>
    <w:p w:rsidR="00427CFC" w:rsidRDefault="004220DA">
      <w:r>
        <w:rPr>
          <w:rFonts w:hint="eastAsia"/>
        </w:rPr>
        <w:t>（一）破产管理人员机构情况“家底不清”</w:t>
      </w:r>
    </w:p>
    <w:p w:rsidR="00427CFC" w:rsidRDefault="004220DA">
      <w:r>
        <w:rPr>
          <w:rFonts w:hint="eastAsia"/>
        </w:rPr>
        <w:t>一方由于破产管理人组织成立时间较晚，组织缺乏档案管理体系，另一面由于破产案件业务主要在法院进行办理，司法行政机关对于破产管理人队伍档案信息掌握完整度较低，缺乏健全的、及时的基础信息支撑，导致司法行政机关对于破产管理人的行政管理工作难以开展。</w:t>
      </w:r>
    </w:p>
    <w:p w:rsidR="00427CFC" w:rsidRDefault="004220DA">
      <w:r>
        <w:rPr>
          <w:rFonts w:hint="eastAsia"/>
        </w:rPr>
        <w:t>（二）破产管理人机构、个人管理体系不健全</w:t>
      </w:r>
    </w:p>
    <w:p w:rsidR="00427CFC" w:rsidRDefault="004220DA">
      <w:r>
        <w:rPr>
          <w:rFonts w:hint="eastAsia"/>
        </w:rPr>
        <w:t>按照相关政策工作要求，需要加强破产管理人年度考核、投诉管理以及奖惩管理工作，但目前相关管理工作主要以线下开展为主，实际开展效果不佳，亟需结合信息化完善相关业务在线管理流程，优化管理模式，健全对于我市全体破产管理人的管理体系。</w:t>
      </w:r>
    </w:p>
    <w:p w:rsidR="00427CFC" w:rsidRDefault="004220DA">
      <w:r>
        <w:rPr>
          <w:rFonts w:hint="eastAsia"/>
        </w:rPr>
        <w:t>（三）缺少管理人服务线上渠道</w:t>
      </w:r>
    </w:p>
    <w:p w:rsidR="00427CFC" w:rsidRDefault="004220DA">
      <w:r>
        <w:rPr>
          <w:rFonts w:hint="eastAsia"/>
        </w:rPr>
        <w:t>破产管理人日常事项通知发布、调研数据统计、经费审批管理以报酬专项</w:t>
      </w:r>
      <w:r>
        <w:rPr>
          <w:rFonts w:hint="eastAsia"/>
        </w:rPr>
        <w:lastRenderedPageBreak/>
        <w:t>基金管理目前需要在线下进行业务办理，随之产生的消耗大量时间精力、流程管理复杂、信息传达不及时等问题，导致严重降低服务质量和效率。因此，亟需建立更为便捷的线上办理渠道来解决问题，通过互联网技术，可以</w:t>
      </w:r>
      <w:proofErr w:type="gramStart"/>
      <w:r>
        <w:rPr>
          <w:rFonts w:hint="eastAsia"/>
        </w:rPr>
        <w:t>实现线</w:t>
      </w:r>
      <w:proofErr w:type="gramEnd"/>
      <w:r>
        <w:rPr>
          <w:rFonts w:hint="eastAsia"/>
        </w:rPr>
        <w:t>上向破产管理人发布通知、进行调研数据统计和经费审批管理等业务，大大提高工作效率和信息准确性，优化服务流程。</w:t>
      </w:r>
    </w:p>
    <w:p w:rsidR="00427CFC" w:rsidRDefault="004220DA">
      <w:r>
        <w:rPr>
          <w:rFonts w:hint="eastAsia"/>
        </w:rPr>
        <w:t>（四）管理人队伍素质水平参差不齐</w:t>
      </w:r>
    </w:p>
    <w:p w:rsidR="00427CFC" w:rsidRDefault="004220DA">
      <w:r>
        <w:rPr>
          <w:rFonts w:hint="eastAsia"/>
        </w:rPr>
        <w:t>破产管理人需要具有各种法律、财务和管理知识，但目前许多破产管理人只具有某些单一专业知识而缺乏其他知识的综合应用能力,因职业背景的不同，破产管理人的知识储备、专业技能以及沟通能力、谈判技巧等方面能力参差不齐。为了进一步提升破产管理人整体素质水平，亟需建立完善的业务培训与水平测试服务，通过不断学习和提高，提升破产管理人服务水平，推动行业规范化、高质量发展。</w:t>
      </w:r>
    </w:p>
    <w:p w:rsidR="00427CFC" w:rsidRDefault="004220DA">
      <w:r>
        <w:rPr>
          <w:rFonts w:hint="eastAsia"/>
        </w:rPr>
        <w:t>（五）党建工作缺少信息化管理平台</w:t>
      </w:r>
    </w:p>
    <w:p w:rsidR="00427CFC" w:rsidRDefault="004220DA">
      <w:r>
        <w:rPr>
          <w:rFonts w:hint="eastAsia"/>
        </w:rPr>
        <w:t>党建工作不仅关系到破产管理</w:t>
      </w:r>
      <w:proofErr w:type="gramStart"/>
      <w:r>
        <w:rPr>
          <w:rFonts w:hint="eastAsia"/>
        </w:rPr>
        <w:t>人行业</w:t>
      </w:r>
      <w:proofErr w:type="gramEnd"/>
      <w:r>
        <w:rPr>
          <w:rFonts w:hint="eastAsia"/>
        </w:rPr>
        <w:t>自身发展，也会影响到全市社会组织和行业系统党建工作整体水平，面对党员分布散、党的声音传递慢、信息衰减等问题，线下管理的方式，不利于党组织及市行业党委及时掌握准确信息，亟需建立破产管理</w:t>
      </w:r>
      <w:proofErr w:type="gramStart"/>
      <w:r>
        <w:rPr>
          <w:rFonts w:hint="eastAsia"/>
        </w:rPr>
        <w:t>人行业党建</w:t>
      </w:r>
      <w:proofErr w:type="gramEnd"/>
      <w:r>
        <w:rPr>
          <w:rFonts w:hint="eastAsia"/>
        </w:rPr>
        <w:t>信息化管理平台，实现破产管理人党员、党组织及党组织活动等信息的高效管理。</w:t>
      </w:r>
    </w:p>
    <w:p w:rsidR="00427CFC" w:rsidRDefault="004220DA">
      <w:r>
        <w:rPr>
          <w:rFonts w:hint="eastAsia"/>
        </w:rPr>
        <w:t>（六）信息宣传缺少门户窗口</w:t>
      </w:r>
    </w:p>
    <w:p w:rsidR="00427CFC" w:rsidRDefault="004220DA">
      <w:r>
        <w:rPr>
          <w:rFonts w:hint="eastAsia"/>
        </w:rPr>
        <w:t>破产管理人缺少行业宣窗口，导致组织缺乏宣传窗口和交流平台，无法有效地传达组织规章要求，同时破产管理人也难以及时获得行业动态和最新资讯信息，易造成管理上的信息差，亟需建设服务门户，加强组织宣传，提高行业影响力，更好的连接破产管理人组织与需求方。</w:t>
      </w:r>
    </w:p>
    <w:p w:rsidR="00427CFC" w:rsidRDefault="004220DA">
      <w:r>
        <w:rPr>
          <w:rFonts w:hint="eastAsia"/>
        </w:rPr>
        <w:t>（七）管理人信息存在数据孤岛</w:t>
      </w:r>
    </w:p>
    <w:p w:rsidR="00427CFC" w:rsidRDefault="004220DA">
      <w:r>
        <w:rPr>
          <w:rFonts w:hint="eastAsia"/>
        </w:rPr>
        <w:t>目前上海市司法局与上海高院对破产管理人名册不互通，</w:t>
      </w:r>
      <w:proofErr w:type="gramStart"/>
      <w:r>
        <w:rPr>
          <w:rFonts w:hint="eastAsia"/>
        </w:rPr>
        <w:t>且司法</w:t>
      </w:r>
      <w:proofErr w:type="gramEnd"/>
      <w:r>
        <w:rPr>
          <w:rFonts w:hint="eastAsia"/>
        </w:rPr>
        <w:t>局无法获取破产管理人的案件信息与履职信息，对于破产管理人的服务水平、服务质量管理缺乏可靠的数据参考，亟需加强与上海高院相关数据对接，建立互联互通机制，促进数据服务共享。</w:t>
      </w:r>
    </w:p>
    <w:p w:rsidR="00427CFC" w:rsidRDefault="004220DA">
      <w:r>
        <w:rPr>
          <w:rFonts w:hint="eastAsia"/>
        </w:rPr>
        <w:t>针对以上七项问题，结合相关政策法规要求，亟需加强司法局对破产管理</w:t>
      </w:r>
      <w:r>
        <w:rPr>
          <w:rFonts w:hint="eastAsia"/>
        </w:rPr>
        <w:lastRenderedPageBreak/>
        <w:t>人的行政管理、行业指导交付，督促破产管理人妥善办理破产案件，健全破产管理人的管理和监督考核，加大对破产管理人的培训力度，提高破产管理人的履职能力与服务水平，推动上海办理破产进一步降成本、提质效，为市场主体加快出清与重整和解提供更加有力的制度供给，持续推进上海国际一流法治化营商环境建设，有力提升本市办理破产工作的便利度和市场满意度。</w:t>
      </w:r>
    </w:p>
    <w:p w:rsidR="00427CFC" w:rsidRDefault="004220DA">
      <w:pPr>
        <w:pStyle w:val="3"/>
      </w:pPr>
      <w:r>
        <w:rPr>
          <w:rFonts w:hint="eastAsia"/>
        </w:rPr>
        <w:t>数字化现状</w:t>
      </w:r>
    </w:p>
    <w:p w:rsidR="00427CFC" w:rsidRDefault="004220DA">
      <w:r>
        <w:rPr>
          <w:rFonts w:hint="eastAsia"/>
        </w:rPr>
        <w:t>上海市司法局业务应用系统建设涵盖了市司法局局机关、区县司法局和直属单位之间及涉及司法局和协会间的各类业务，包括律师行业管理、公证行业管理、法律援助业务、安置帮教业务、社区矫正业务、司法考试、司法鉴定、人民调解、基层司法所建设、法制宣传等。</w:t>
      </w:r>
    </w:p>
    <w:p w:rsidR="00427CFC" w:rsidRDefault="004220DA">
      <w:r>
        <w:rPr>
          <w:rFonts w:hint="eastAsia"/>
        </w:rPr>
        <w:t>目前上海市司法局共有非涉密业务信息系统五大业务系统，具体如下：</w:t>
      </w:r>
    </w:p>
    <w:p w:rsidR="00427CFC" w:rsidRDefault="004220DA">
      <w:r>
        <w:t>1、 依法治市大系统：上海市司法局法治宣传云平台、上海市政府法制信息平台（外网一期）、上海市政府法制信息平台（法律顾问信息子平台）、上海市全面依法治市课题管理系统、上海市行政应诉管理系统、上海市行政立法信息系统、上海市行政复议管理系统、行政执法管理信息系统等。</w:t>
      </w:r>
    </w:p>
    <w:p w:rsidR="00427CFC" w:rsidRDefault="004220DA">
      <w:r>
        <w:t>2、 一网统管大系统：上海市人民监督员信息管理系统、人民陪审员综合信息管理系统、基层司法行政工作管理系统、智慧调解平台、上海市司法局“互联网+监管”配套管理平台、上海市司法鉴定执法执业平台、涉法涉诉信访案件管理系统、认罪认罚系统、司法行政公证信息管理系统、上海市司法局律师业务管理系统、上海市司法局仲裁信息管理系统、上海市司法局智慧公证平台等。</w:t>
      </w:r>
    </w:p>
    <w:p w:rsidR="00427CFC" w:rsidRDefault="004220DA">
      <w:r>
        <w:t>3、</w:t>
      </w:r>
      <w:proofErr w:type="gramStart"/>
      <w:r>
        <w:t>一网通办大系统</w:t>
      </w:r>
      <w:proofErr w:type="gramEnd"/>
      <w:r>
        <w:t>：上海市司法</w:t>
      </w:r>
      <w:proofErr w:type="gramStart"/>
      <w:r>
        <w:t>局司法</w:t>
      </w:r>
      <w:proofErr w:type="gramEnd"/>
      <w:r>
        <w:t>考试服务平台管理系统、法律援助服务监管一体化系统、行政许可审批系统、上海12348公共法律服务平台等。</w:t>
      </w:r>
    </w:p>
    <w:p w:rsidR="00427CFC" w:rsidRDefault="004220DA">
      <w:r>
        <w:t>4、协同办公大系统：上海市大政工集群平台、音视频信息综合指挥调度平台、上海市司法局协同办公系统</w:t>
      </w:r>
    </w:p>
    <w:p w:rsidR="00427CFC" w:rsidRDefault="004220DA">
      <w:r>
        <w:t>5、刑事执行大系统：刑事执行系统、上海社区矫正和安置帮教一体化大平台、上海市司法局上海刑事案件智能化辅助办案系统司法局子平台和上海市司法局智能语音平台、戒毒执法管理和指挥系统（戒毒人员康复回归系统、戒毒执法管理和指挥系统、民警量化积分考核系统、</w:t>
      </w:r>
      <w:proofErr w:type="gramStart"/>
      <w:r>
        <w:t>青东农场</w:t>
      </w:r>
      <w:proofErr w:type="gramEnd"/>
      <w:r>
        <w:t>医院医疗信息化系统、上海戒毒公众号、掌上戒毒应用系统、智慧戒毒大数据平台）等。</w:t>
      </w:r>
    </w:p>
    <w:p w:rsidR="00427CFC" w:rsidRDefault="004220DA">
      <w:r>
        <w:rPr>
          <w:rFonts w:hint="eastAsia"/>
        </w:rPr>
        <w:lastRenderedPageBreak/>
        <w:t>统一门户：司法行政门户网站、上海市司法局数据管理体系、数据汇聚平台</w:t>
      </w:r>
      <w:r>
        <w:t>(DM ETL 5.0)、上海城市法规全书应用系统</w:t>
      </w:r>
      <w:r>
        <w:rPr>
          <w:rFonts w:hint="eastAsia"/>
        </w:rPr>
        <w:t>。</w:t>
      </w:r>
    </w:p>
    <w:p w:rsidR="00427CFC" w:rsidRDefault="00427CFC" w:rsidP="00BE3658"/>
    <w:p w:rsidR="00427CFC" w:rsidRDefault="004220DA">
      <w:pPr>
        <w:pStyle w:val="2"/>
      </w:pPr>
      <w:r>
        <w:t>是否</w:t>
      </w:r>
      <w:proofErr w:type="gramStart"/>
      <w:r>
        <w:t>按信创要求</w:t>
      </w:r>
      <w:proofErr w:type="gramEnd"/>
      <w:r>
        <w:t>建设</w:t>
      </w:r>
    </w:p>
    <w:p w:rsidR="00427CFC" w:rsidRDefault="00317356">
      <w:r>
        <w:rPr>
          <w:rFonts w:hint="eastAsia"/>
          <w:szCs w:val="32"/>
        </w:rPr>
        <w:t>本项目需要按照</w:t>
      </w:r>
      <w:proofErr w:type="gramStart"/>
      <w:r>
        <w:rPr>
          <w:rFonts w:hint="eastAsia"/>
          <w:szCs w:val="32"/>
        </w:rPr>
        <w:t>信创要求</w:t>
      </w:r>
      <w:proofErr w:type="gramEnd"/>
      <w:r>
        <w:rPr>
          <w:rFonts w:hint="eastAsia"/>
          <w:szCs w:val="32"/>
        </w:rPr>
        <w:t>建设。</w:t>
      </w:r>
    </w:p>
    <w:p w:rsidR="00427CFC" w:rsidRDefault="004220DA">
      <w:pPr>
        <w:pStyle w:val="2"/>
      </w:pPr>
      <w:proofErr w:type="gramStart"/>
      <w:r>
        <w:rPr>
          <w:rFonts w:hint="eastAsia"/>
        </w:rPr>
        <w:t>运维后所属</w:t>
      </w:r>
      <w:proofErr w:type="gramEnd"/>
      <w:r>
        <w:rPr>
          <w:rFonts w:hint="eastAsia"/>
        </w:rPr>
        <w:t>大系统</w:t>
      </w:r>
    </w:p>
    <w:p w:rsidR="00427CFC" w:rsidRDefault="004220DA">
      <w:r>
        <w:rPr>
          <w:rFonts w:hint="eastAsia"/>
        </w:rPr>
        <w:t>本期项目建设涉及以下系统：“一网统管”大系统。</w:t>
      </w:r>
    </w:p>
    <w:p w:rsidR="00427CFC" w:rsidRDefault="004220DA">
      <w:pPr>
        <w:pStyle w:val="1"/>
      </w:pPr>
      <w:bookmarkStart w:id="4" w:name="_Toc47537134"/>
      <w:bookmarkStart w:id="5" w:name="_Toc47533256"/>
      <w:bookmarkStart w:id="6" w:name="_Toc47532891"/>
      <w:bookmarkStart w:id="7" w:name="_Toc47536272"/>
      <w:bookmarkStart w:id="8" w:name="_Toc47531634"/>
      <w:bookmarkStart w:id="9" w:name="_Toc47539070"/>
      <w:bookmarkStart w:id="10" w:name="_Toc47536644"/>
      <w:bookmarkStart w:id="11" w:name="_Toc47532255"/>
      <w:bookmarkStart w:id="12" w:name="_Toc48223882"/>
      <w:bookmarkStart w:id="13" w:name="_Toc63785463"/>
      <w:bookmarkEnd w:id="4"/>
      <w:bookmarkEnd w:id="5"/>
      <w:bookmarkEnd w:id="6"/>
      <w:bookmarkEnd w:id="7"/>
      <w:bookmarkEnd w:id="8"/>
      <w:bookmarkEnd w:id="9"/>
      <w:bookmarkEnd w:id="10"/>
      <w:bookmarkEnd w:id="11"/>
      <w:r>
        <w:rPr>
          <w:rFonts w:hint="eastAsia"/>
        </w:rPr>
        <w:t>建设目标</w:t>
      </w:r>
      <w:bookmarkEnd w:id="12"/>
      <w:bookmarkEnd w:id="13"/>
    </w:p>
    <w:p w:rsidR="00427CFC" w:rsidRDefault="004220DA">
      <w:pPr>
        <w:pStyle w:val="2"/>
        <w:rPr>
          <w:color w:val="1F497D" w:themeColor="text2"/>
        </w:rPr>
      </w:pPr>
      <w:r>
        <w:rPr>
          <w:rFonts w:hint="eastAsia"/>
          <w:color w:val="1F497D" w:themeColor="text2"/>
        </w:rPr>
        <w:t>项目建设目标</w:t>
      </w:r>
    </w:p>
    <w:p w:rsidR="00427CFC" w:rsidRDefault="004220DA">
      <w:r>
        <w:rPr>
          <w:rFonts w:hint="eastAsia"/>
        </w:rPr>
        <w:t>积极主动融入上海城市全面数字化转型，坚持“融合、赋能、创新”，全面夯实司法行政数字化基础，加快推动数据要素聚集，着力打通数据融通瓶颈，构建数据和系统“两个大基座”，全面推动信息系统整合，激活数据开发应用场景。到2025年，信息技术与司法行政业务融合更加密切，数据赋能司法行政业务更加凸显，信息化创新发展驱动力作用进一步发挥，全面实现“基础全面夯实、数据全面融通、系统全面整合、应用全面激活”的“四全”信息化建设目标，上海司法行政信息化位居全国司法行政系统前列，满足“一网统管”大系统下律师、公证、司法鉴定、涉法涉诉信访、破产管理人业务的建设目标。具体如下：</w:t>
      </w:r>
    </w:p>
    <w:p w:rsidR="00427CFC" w:rsidRDefault="004220DA">
      <w:pPr>
        <w:pStyle w:val="3"/>
      </w:pPr>
      <w:bookmarkStart w:id="14" w:name="_Toc137738498"/>
      <w:r>
        <w:rPr>
          <w:rFonts w:hint="eastAsia"/>
        </w:rPr>
        <w:t>律师业务建设目标</w:t>
      </w:r>
      <w:bookmarkEnd w:id="14"/>
    </w:p>
    <w:p w:rsidR="00427CFC" w:rsidRDefault="004220DA">
      <w:r>
        <w:rPr>
          <w:rFonts w:hint="eastAsia"/>
        </w:rPr>
        <w:t>一、完善律师行业执业监管机制。加强律师行业执业监管数据管理，及时获取律师投诉案件、投诉处理进度以及处理结果信息；建立律师执业过程中违法违规行为信息线上实时转递通道，及时获取律师违法违规信息，加强行业惩戒管理；基于律师电子执业证应用，结合律师执业行为轨迹数据，对异常执业行为及时发现、及时预警、及时监管，健全律师执业过程监管体系；推动律师申请执业异地调档服务体系建设，创新实现律师申请执业异地调档一体化协同模式，提升异地调档服务质量，优化律师档案衔接、留存管理。</w:t>
      </w:r>
    </w:p>
    <w:p w:rsidR="00427CFC" w:rsidRDefault="004220DA">
      <w:r>
        <w:rPr>
          <w:rFonts w:hint="eastAsia"/>
        </w:rPr>
        <w:lastRenderedPageBreak/>
        <w:t>二、健全律师执业保障体系。推动电子律师执业证在本行政区域内公检法等部门互通互认，不断扩展应用场景，与法院、检察院、公安、司法、民政等业务系统对接，实现上海市统一的在线办理立案、阅卷、尽职调查、电子送达、</w:t>
      </w:r>
      <w:proofErr w:type="gramStart"/>
      <w:r>
        <w:rPr>
          <w:rFonts w:hint="eastAsia"/>
        </w:rPr>
        <w:t>联系主办</w:t>
      </w:r>
      <w:proofErr w:type="gramEnd"/>
      <w:r>
        <w:rPr>
          <w:rFonts w:hint="eastAsia"/>
        </w:rPr>
        <w:t>法检人员、案件进度实时查询等功能应用，健全律师执业过程保障体系；完善律师维权在线办理流程、信息反馈应用，提升律师在线维权模式认可度，保障律师依法执业权利，优化律师执业环境。</w:t>
      </w:r>
    </w:p>
    <w:p w:rsidR="00427CFC" w:rsidRDefault="004220DA">
      <w:r>
        <w:rPr>
          <w:rFonts w:hint="eastAsia"/>
        </w:rPr>
        <w:t>三、建立僵尸律师数据处理体制。全面治理辖区内“僵尸律师”问题，基于律师执业活动等记录信息，建立智能辅助筛查、核查数据公示处置机制，对辖区内“僵尸律师”进行常态化核查清理，根除“僵尸律师”数据问题，确保司法部全国律师执业诚信信息公示平台上海律师公示信息的准确性、及时性。</w:t>
      </w:r>
    </w:p>
    <w:p w:rsidR="00427CFC" w:rsidRDefault="004220DA">
      <w:pPr>
        <w:pStyle w:val="3"/>
      </w:pPr>
      <w:bookmarkStart w:id="15" w:name="_Toc137738409"/>
      <w:bookmarkStart w:id="16" w:name="_Toc108008389"/>
      <w:r>
        <w:rPr>
          <w:rFonts w:hint="eastAsia"/>
        </w:rPr>
        <w:t>公证业务建设目标</w:t>
      </w:r>
      <w:bookmarkEnd w:id="15"/>
      <w:bookmarkEnd w:id="16"/>
    </w:p>
    <w:p w:rsidR="00427CFC" w:rsidRDefault="004220DA">
      <w:r>
        <w:rPr>
          <w:rFonts w:hint="eastAsia"/>
          <w:szCs w:val="32"/>
        </w:rPr>
        <w:t xml:space="preserve"> </w:t>
      </w:r>
      <w:r>
        <w:rPr>
          <w:rFonts w:hint="eastAsia"/>
        </w:rPr>
        <w:t>以加强行政监管、服务公证行业、便利人民群众为目标和宗旨，坚持“整体布局、统一规划、统一标准、统一实施”的工作原则，推进本市“智慧公证”建设，充分运用大数据等信息技术手段，解决当前面临的</w:t>
      </w:r>
      <w:r>
        <w:t>3</w:t>
      </w:r>
      <w:r>
        <w:rPr>
          <w:rFonts w:hint="eastAsia"/>
        </w:rPr>
        <w:t>项问题</w:t>
      </w:r>
      <w:r>
        <w:t>：</w:t>
      </w:r>
    </w:p>
    <w:p w:rsidR="00427CFC" w:rsidRDefault="004220DA">
      <w:r>
        <w:t>1、公证监管</w:t>
      </w:r>
      <w:r>
        <w:rPr>
          <w:rFonts w:hint="eastAsia"/>
        </w:rPr>
        <w:t>停留在信息采集</w:t>
      </w:r>
      <w:r>
        <w:t>、</w:t>
      </w:r>
      <w:r>
        <w:rPr>
          <w:rFonts w:hint="eastAsia"/>
        </w:rPr>
        <w:t>归集阶段</w:t>
      </w:r>
      <w:r>
        <w:t>，</w:t>
      </w:r>
      <w:r>
        <w:rPr>
          <w:rFonts w:hint="eastAsia"/>
        </w:rPr>
        <w:t>无法针对数据进行全面数字化监督管理</w:t>
      </w:r>
      <w:r>
        <w:t>。</w:t>
      </w:r>
    </w:p>
    <w:p w:rsidR="00427CFC" w:rsidRDefault="004220DA">
      <w:r>
        <w:t>2、</w:t>
      </w:r>
      <w:r>
        <w:rPr>
          <w:rFonts w:hint="eastAsia"/>
        </w:rPr>
        <w:t>智能化程度不高</w:t>
      </w:r>
      <w:r>
        <w:t>，</w:t>
      </w:r>
      <w:r>
        <w:rPr>
          <w:rFonts w:hint="eastAsia"/>
        </w:rPr>
        <w:t>难以全面支撑公证监管需要</w:t>
      </w:r>
      <w:r>
        <w:t>，</w:t>
      </w:r>
      <w:r>
        <w:rPr>
          <w:rFonts w:hint="eastAsia"/>
        </w:rPr>
        <w:t>依赖大量人工统计分析数据</w:t>
      </w:r>
      <w:r>
        <w:t>，</w:t>
      </w:r>
      <w:r>
        <w:rPr>
          <w:rFonts w:hint="eastAsia"/>
        </w:rPr>
        <w:t>可视化功能不直观</w:t>
      </w:r>
      <w:r>
        <w:t>，</w:t>
      </w:r>
      <w:r>
        <w:rPr>
          <w:rFonts w:hint="eastAsia"/>
        </w:rPr>
        <w:t>分析模型单一</w:t>
      </w:r>
      <w:r>
        <w:t>。</w:t>
      </w:r>
    </w:p>
    <w:p w:rsidR="00427CFC" w:rsidRDefault="004220DA">
      <w:r>
        <w:t>3、</w:t>
      </w:r>
      <w:r>
        <w:rPr>
          <w:rFonts w:hint="eastAsia"/>
        </w:rPr>
        <w:t>根据上级事前</w:t>
      </w:r>
      <w:r>
        <w:t>、</w:t>
      </w:r>
      <w:r>
        <w:rPr>
          <w:rFonts w:hint="eastAsia"/>
        </w:rPr>
        <w:t>事中最新的监管要求</w:t>
      </w:r>
      <w:r>
        <w:t>，</w:t>
      </w:r>
      <w:r>
        <w:rPr>
          <w:rFonts w:hint="eastAsia"/>
        </w:rPr>
        <w:t>还需对系统功能进一步优化升级</w:t>
      </w:r>
      <w:r>
        <w:t>，</w:t>
      </w:r>
      <w:r>
        <w:rPr>
          <w:rFonts w:hint="eastAsia"/>
        </w:rPr>
        <w:t>需要新增开发一些监管功能</w:t>
      </w:r>
      <w:r>
        <w:t>。</w:t>
      </w:r>
    </w:p>
    <w:p w:rsidR="00427CFC" w:rsidRDefault="004220DA">
      <w:r>
        <w:rPr>
          <w:rFonts w:hint="eastAsia"/>
        </w:rPr>
        <w:t>为建设一个高效、集约的公证监管平台，有效提升行政监管效能和行业风险防控能力，促进规范执业，更好地满足广大人民群众的需求</w:t>
      </w:r>
      <w:r>
        <w:t>，</w:t>
      </w:r>
      <w:r>
        <w:rPr>
          <w:rFonts w:hint="eastAsia"/>
        </w:rPr>
        <w:t>本次升级改造</w:t>
      </w:r>
      <w:r>
        <w:t>，</w:t>
      </w:r>
      <w:r>
        <w:rPr>
          <w:rFonts w:hint="eastAsia"/>
        </w:rPr>
        <w:t>项目建设预期达到以下</w:t>
      </w:r>
      <w:r>
        <w:t>3</w:t>
      </w:r>
      <w:r>
        <w:rPr>
          <w:rFonts w:hint="eastAsia"/>
        </w:rPr>
        <w:t>个目标：</w:t>
      </w:r>
    </w:p>
    <w:p w:rsidR="00427CFC" w:rsidRDefault="004220DA">
      <w:r>
        <w:t>（1）智能化创新应用</w:t>
      </w:r>
    </w:p>
    <w:p w:rsidR="00427CFC" w:rsidRDefault="004220DA">
      <w:r>
        <w:t>通过大数据分析、机器学习等技术，对公证</w:t>
      </w:r>
      <w:r>
        <w:rPr>
          <w:rFonts w:hint="eastAsia"/>
        </w:rPr>
        <w:t>监管和</w:t>
      </w:r>
      <w:r>
        <w:t>业务进行</w:t>
      </w:r>
      <w:r>
        <w:rPr>
          <w:rFonts w:hint="eastAsia"/>
        </w:rPr>
        <w:t>赋能</w:t>
      </w:r>
      <w:r>
        <w:t>，</w:t>
      </w:r>
      <w:r>
        <w:rPr>
          <w:rFonts w:hint="eastAsia"/>
        </w:rPr>
        <w:t>提升公证监管数字化</w:t>
      </w:r>
      <w:r>
        <w:t>、</w:t>
      </w:r>
      <w:r>
        <w:rPr>
          <w:rFonts w:hint="eastAsia"/>
        </w:rPr>
        <w:t>智能化水平</w:t>
      </w:r>
      <w:r>
        <w:t>。</w:t>
      </w:r>
    </w:p>
    <w:p w:rsidR="00427CFC" w:rsidRDefault="004220DA">
      <w:r>
        <w:t>（2）全流程数字</w:t>
      </w:r>
      <w:r>
        <w:rPr>
          <w:rFonts w:hint="eastAsia"/>
        </w:rPr>
        <w:t>监管</w:t>
      </w:r>
      <w:r>
        <w:t>可视化</w:t>
      </w:r>
    </w:p>
    <w:p w:rsidR="00427CFC" w:rsidRDefault="004220DA">
      <w:r>
        <w:t xml:space="preserve"> 构建公证行业监管数字可视化平台，从数据采集、数据处理、风险监控、风险预警、风险处理、信息共享联动等方面，利用数字化技术对公证行业的各</w:t>
      </w:r>
      <w:r>
        <w:lastRenderedPageBreak/>
        <w:t>个环节进行监控和管理，实现全程可追溯、可控制和</w:t>
      </w:r>
      <w:proofErr w:type="gramStart"/>
      <w:r>
        <w:t>可</w:t>
      </w:r>
      <w:proofErr w:type="gramEnd"/>
      <w:r>
        <w:t>评估，为行业发展及监管提供决策支撑。</w:t>
      </w:r>
    </w:p>
    <w:p w:rsidR="00427CFC" w:rsidRDefault="004220DA">
      <w:r>
        <w:t>（3）强化</w:t>
      </w:r>
      <w:r>
        <w:rPr>
          <w:rFonts w:hint="eastAsia"/>
        </w:rPr>
        <w:t>事前</w:t>
      </w:r>
      <w:r>
        <w:t>、</w:t>
      </w:r>
      <w:r>
        <w:rPr>
          <w:rFonts w:hint="eastAsia"/>
        </w:rPr>
        <w:t>事中监管</w:t>
      </w:r>
    </w:p>
    <w:p w:rsidR="00427CFC" w:rsidRDefault="004220DA">
      <w:r>
        <w:rPr>
          <w:rFonts w:hint="eastAsia"/>
        </w:rPr>
        <w:t>根据上级事前</w:t>
      </w:r>
      <w:r>
        <w:t>、</w:t>
      </w:r>
      <w:r>
        <w:rPr>
          <w:rFonts w:hint="eastAsia"/>
        </w:rPr>
        <w:t>事中监管的最新指示要求</w:t>
      </w:r>
      <w:r>
        <w:t>，</w:t>
      </w:r>
      <w:r>
        <w:rPr>
          <w:rFonts w:hint="eastAsia"/>
        </w:rPr>
        <w:t>结合业务需要</w:t>
      </w:r>
      <w:r>
        <w:t>，构建</w:t>
      </w:r>
      <w:r>
        <w:rPr>
          <w:rFonts w:hint="eastAsia"/>
        </w:rPr>
        <w:t>事前预警管理</w:t>
      </w:r>
      <w:r>
        <w:t>、</w:t>
      </w:r>
      <w:r>
        <w:rPr>
          <w:rFonts w:hint="eastAsia"/>
        </w:rPr>
        <w:t>事中专案核查</w:t>
      </w:r>
      <w:r>
        <w:t>、</w:t>
      </w:r>
      <w:r>
        <w:rPr>
          <w:rFonts w:hint="eastAsia"/>
        </w:rPr>
        <w:t>事后惩处管理</w:t>
      </w:r>
      <w:r>
        <w:t>、</w:t>
      </w:r>
      <w:r>
        <w:rPr>
          <w:rFonts w:hint="eastAsia"/>
        </w:rPr>
        <w:t>事后信访及行政复议管理</w:t>
      </w:r>
      <w:r>
        <w:t>、</w:t>
      </w:r>
      <w:r>
        <w:rPr>
          <w:rFonts w:hint="eastAsia"/>
        </w:rPr>
        <w:t>收发文管理</w:t>
      </w:r>
      <w:r>
        <w:t>、</w:t>
      </w:r>
      <w:r>
        <w:rPr>
          <w:rFonts w:hint="eastAsia"/>
        </w:rPr>
        <w:t>行政督办</w:t>
      </w:r>
      <w:r>
        <w:t>、</w:t>
      </w:r>
      <w:r>
        <w:rPr>
          <w:rFonts w:hint="eastAsia"/>
        </w:rPr>
        <w:t>文档管理等功能模块</w:t>
      </w:r>
      <w:r>
        <w:t>，</w:t>
      </w:r>
      <w:r>
        <w:rPr>
          <w:rFonts w:hint="eastAsia"/>
        </w:rPr>
        <w:t>为监管决策提供支撑</w:t>
      </w:r>
      <w:r>
        <w:t>。</w:t>
      </w:r>
    </w:p>
    <w:p w:rsidR="00427CFC" w:rsidRDefault="004220DA">
      <w:pPr>
        <w:pStyle w:val="3"/>
      </w:pPr>
      <w:bookmarkStart w:id="17" w:name="_Toc138065256"/>
      <w:r>
        <w:rPr>
          <w:rFonts w:hint="eastAsia"/>
        </w:rPr>
        <w:t>司鉴业务建设目标</w:t>
      </w:r>
      <w:bookmarkEnd w:id="17"/>
    </w:p>
    <w:p w:rsidR="00427CFC" w:rsidRDefault="004220DA">
      <w:r>
        <w:rPr>
          <w:rFonts w:hint="eastAsia"/>
        </w:rPr>
        <w:t>根据司法部2020年5月颁布实施的《法医类司法鉴定执业分类规定》《物证类司法鉴定执业分类规定》《声像资料司法鉴定执业分类规定》对系统的底层逻辑进行重新设置，对本市四大类鉴定类别的机构、人员、案件等相关数据进行改造，并在此基础上对各个鉴定机构及鉴定人员的执业类别进行细分业务流程进行细化。</w:t>
      </w:r>
    </w:p>
    <w:p w:rsidR="00427CFC" w:rsidRDefault="004220DA">
      <w:r>
        <w:rPr>
          <w:rFonts w:hint="eastAsia"/>
        </w:rPr>
        <w:t>根据司法鉴定日常监管需要，在当前系统基础上，进一步细化、明确预警项目；对各类别流程中增加诸如伤残等级、损伤程度、重新鉴定意见</w:t>
      </w:r>
      <w:proofErr w:type="gramStart"/>
      <w:r>
        <w:rPr>
          <w:rFonts w:hint="eastAsia"/>
        </w:rPr>
        <w:t>变动等必选项</w:t>
      </w:r>
      <w:proofErr w:type="gramEnd"/>
      <w:r>
        <w:rPr>
          <w:rFonts w:hint="eastAsia"/>
        </w:rPr>
        <w:t>，并对此进行统计分析；进一步增强系统抓取、统计、分析数据的能力。</w:t>
      </w:r>
    </w:p>
    <w:p w:rsidR="00427CFC" w:rsidRDefault="004220DA">
      <w:r>
        <w:rPr>
          <w:rFonts w:hint="eastAsia"/>
        </w:rPr>
        <w:t>增加行业监管部门的模块，将司法鉴定专业能力等级评定、质量检查、处罚与惩戒相衔接等相关工作纳入到系统。</w:t>
      </w:r>
    </w:p>
    <w:p w:rsidR="00427CFC" w:rsidRDefault="004220DA">
      <w:pPr>
        <w:pStyle w:val="3"/>
        <w:ind w:left="0"/>
      </w:pPr>
      <w:bookmarkStart w:id="18" w:name="_Toc140079122"/>
      <w:bookmarkStart w:id="19" w:name="_Toc139355945"/>
      <w:r>
        <w:rPr>
          <w:rFonts w:hint="eastAsia"/>
        </w:rPr>
        <w:t>信访业务建设目标</w:t>
      </w:r>
      <w:bookmarkEnd w:id="18"/>
    </w:p>
    <w:p w:rsidR="00427CFC" w:rsidRDefault="004220DA">
      <w:r>
        <w:rPr>
          <w:rFonts w:hint="eastAsia"/>
        </w:rPr>
        <w:t>20</w:t>
      </w:r>
      <w:r>
        <w:t>22</w:t>
      </w:r>
      <w:r>
        <w:rPr>
          <w:rFonts w:hint="eastAsia"/>
        </w:rPr>
        <w:t>年</w:t>
      </w:r>
      <w:r>
        <w:t>5</w:t>
      </w:r>
      <w:r>
        <w:rPr>
          <w:rFonts w:hint="eastAsia"/>
        </w:rPr>
        <w:t>月中共中央、国务院印发了《信访工作条例》，要求各地区各部门要把握新时代信访工作原则和要求，</w:t>
      </w:r>
      <w:proofErr w:type="gramStart"/>
      <w:r>
        <w:rPr>
          <w:rFonts w:hint="eastAsia"/>
        </w:rPr>
        <w:t>践行</w:t>
      </w:r>
      <w:proofErr w:type="gramEnd"/>
      <w:r>
        <w:rPr>
          <w:rFonts w:hint="eastAsia"/>
        </w:rPr>
        <w:t>以人民为中心的发展思想，完善信访工作责任体系，</w:t>
      </w:r>
      <w:r>
        <w:t>扩大了适用范围</w:t>
      </w:r>
      <w:r>
        <w:rPr>
          <w:rFonts w:hint="eastAsia"/>
        </w:rPr>
        <w:t>，把党中央关于信访工作的方针政策和决策部署落到实处。新条例的出台为加强和改进新时代信访工作提供了有力的制度保障，进一步规范和理顺了信访工作机制，有助于在全社会营造办事依法、遇事找法、解决问题用法、化解矛盾靠法的良好环境。</w:t>
      </w:r>
    </w:p>
    <w:p w:rsidR="00427CFC" w:rsidRDefault="004220DA">
      <w:pPr>
        <w:pStyle w:val="4"/>
        <w:ind w:left="1134" w:hanging="1134"/>
      </w:pPr>
      <w:r>
        <w:t>制定业务标准规范，业务办理标准化</w:t>
      </w:r>
    </w:p>
    <w:p w:rsidR="00427CFC" w:rsidRDefault="004220DA">
      <w:r>
        <w:t>根据实际业务办理现状，参考相关法律法规规定，以“放管服”和便利群众为目标，制定各项业务办理规范，统一案件登记、分流标准，统一信访案件</w:t>
      </w:r>
      <w:r>
        <w:lastRenderedPageBreak/>
        <w:t>办理标准</w:t>
      </w:r>
      <w:r>
        <w:rPr>
          <w:rFonts w:hint="eastAsia"/>
        </w:rPr>
        <w:t>，</w:t>
      </w:r>
      <w:r>
        <w:t>落实信访工作责任</w:t>
      </w:r>
      <w:r>
        <w:rPr>
          <w:rFonts w:hint="eastAsia"/>
        </w:rPr>
        <w:t>，</w:t>
      </w:r>
      <w:r>
        <w:t>扩大适用范围。以标准化先行，信息化辅助，全面规范业务流程和方式，提升案件办理效能和案件办理质量。</w:t>
      </w:r>
    </w:p>
    <w:p w:rsidR="00427CFC" w:rsidRDefault="004220DA">
      <w:r>
        <w:t>根据案件办理需求和相关规范化文件，进行核心业务系统的开发，逐步实现案件办理的标准化、信息化、便捷化，开发统一案件登记</w:t>
      </w:r>
      <w:r>
        <w:rPr>
          <w:rFonts w:hint="eastAsia"/>
        </w:rPr>
        <w:t>、案件</w:t>
      </w:r>
      <w:r>
        <w:t>分</w:t>
      </w:r>
      <w:r>
        <w:rPr>
          <w:rFonts w:hint="eastAsia"/>
        </w:rPr>
        <w:t>案</w:t>
      </w:r>
      <w:r>
        <w:t>功能、案件标准化办理功能、案件重复智能判定功能、案件辅助支撑平台，为案件办理智能化提供数据基础。</w:t>
      </w:r>
    </w:p>
    <w:p w:rsidR="00427CFC" w:rsidRDefault="004220DA">
      <w:pPr>
        <w:pStyle w:val="4"/>
        <w:ind w:left="1134" w:hanging="1134"/>
      </w:pPr>
      <w:r>
        <w:t>紧密衔接大数据应用，</w:t>
      </w:r>
      <w:r>
        <w:rPr>
          <w:rFonts w:hint="eastAsia"/>
        </w:rPr>
        <w:t>完善监督体系</w:t>
      </w:r>
    </w:p>
    <w:p w:rsidR="00427CFC" w:rsidRDefault="004220DA">
      <w:r>
        <w:t>紧密衔接大数据应用，逐步集成智能化应用，全面提升工作智能化水平</w:t>
      </w:r>
      <w:r>
        <w:rPr>
          <w:rFonts w:hint="eastAsia"/>
        </w:rPr>
        <w:t>。</w:t>
      </w:r>
      <w:r>
        <w:t>数据自动归集，实现“一人一档、一案一档、一事一档”</w:t>
      </w:r>
      <w:r>
        <w:rPr>
          <w:rFonts w:hint="eastAsia"/>
        </w:rPr>
        <w:t>，</w:t>
      </w:r>
      <w:r>
        <w:t>建设案件</w:t>
      </w:r>
      <w:r>
        <w:rPr>
          <w:rFonts w:hint="eastAsia"/>
        </w:rPr>
        <w:t>督查督办</w:t>
      </w:r>
      <w:r>
        <w:t>平台，</w:t>
      </w:r>
      <w:r>
        <w:rPr>
          <w:rFonts w:hint="eastAsia"/>
        </w:rPr>
        <w:t>构建包括监督责任、监督机制、责任追究在内的完善监督体系</w:t>
      </w:r>
      <w:r>
        <w:t>。</w:t>
      </w:r>
    </w:p>
    <w:p w:rsidR="00427CFC" w:rsidRDefault="004220DA">
      <w:pPr>
        <w:pStyle w:val="4"/>
        <w:ind w:left="1134" w:hanging="1134"/>
      </w:pPr>
      <w:r>
        <w:rPr>
          <w:rFonts w:hint="eastAsia"/>
        </w:rPr>
        <w:t>案件处理高效化、透明化、便民</w:t>
      </w:r>
      <w:r>
        <w:t>化</w:t>
      </w:r>
    </w:p>
    <w:p w:rsidR="00427CFC" w:rsidRDefault="004220DA">
      <w:r>
        <w:rPr>
          <w:rFonts w:hint="eastAsia"/>
        </w:rPr>
        <w:t>信访事项受理环节，新增信访人评价机制，规定“各级机关、单位应当及时将信访事项录入信访信息系统，使网上信访、来信、来访、来电在网上流转，方便信访人查询、评价信访事项办理情况”。评价反馈机制能够更加真实准确地反映信访案件化解成效，让信访工作“了解民情、集中民智、维护民利、凝聚民心”的目的落到实处。</w:t>
      </w:r>
    </w:p>
    <w:p w:rsidR="00427CFC" w:rsidRDefault="004220DA">
      <w:pPr>
        <w:pStyle w:val="3"/>
      </w:pPr>
      <w:r>
        <w:rPr>
          <w:rFonts w:hint="eastAsia"/>
        </w:rPr>
        <w:t>破产业务建设目标</w:t>
      </w:r>
      <w:bookmarkEnd w:id="19"/>
    </w:p>
    <w:p w:rsidR="00427CFC" w:rsidRDefault="004220DA">
      <w:r>
        <w:rPr>
          <w:rFonts w:hint="eastAsia"/>
        </w:rPr>
        <w:t>为贯彻党的二十大精神，以习近平新时代中国特色社会主义思想为指导，推进完善市场化、法治化的破产制度，优化上海市营商环境，提高破产管理效率和质量，实现破产管理的科学化、规范化、专业化。实现数字化管理、信息化共享和规范化监管，打造一个破产管理新体系。</w:t>
      </w:r>
    </w:p>
    <w:p w:rsidR="00427CFC" w:rsidRDefault="004220DA">
      <w:r>
        <w:rPr>
          <w:rFonts w:hint="eastAsia"/>
        </w:rPr>
        <w:t>（一）健全“一人一档”管理机制</w:t>
      </w:r>
    </w:p>
    <w:p w:rsidR="00427CFC" w:rsidRDefault="004220DA">
      <w:r>
        <w:rPr>
          <w:rFonts w:hint="eastAsia"/>
        </w:rPr>
        <w:t>基于信息化技术实现人员机构信息管理、组织架构调整、履职/办案信息及信息变更在线业务管理，摸清“家底”的同时提升档案管理与业务管理的效率和精确性。</w:t>
      </w:r>
    </w:p>
    <w:p w:rsidR="00427CFC" w:rsidRDefault="004220DA">
      <w:r>
        <w:rPr>
          <w:rFonts w:hint="eastAsia"/>
        </w:rPr>
        <w:t>（二）规范破产管理人行政管理体系</w:t>
      </w:r>
    </w:p>
    <w:p w:rsidR="00427CFC" w:rsidRDefault="004220DA">
      <w:r>
        <w:rPr>
          <w:rFonts w:hint="eastAsia"/>
        </w:rPr>
        <w:t>加强破产管理人年度考核、投诉管理以及奖惩管理，优化年度考核管理、</w:t>
      </w:r>
      <w:r>
        <w:rPr>
          <w:rFonts w:hint="eastAsia"/>
        </w:rPr>
        <w:lastRenderedPageBreak/>
        <w:t>处分处理、投诉及奖励等业务搭建规范的管理信息化平台。通过线上业务流转，实现破产管理人评级、奖惩等信息数据共享、及时同步、科学监管。</w:t>
      </w:r>
    </w:p>
    <w:p w:rsidR="00427CFC" w:rsidRDefault="004220DA">
      <w:r>
        <w:rPr>
          <w:rFonts w:hint="eastAsia"/>
        </w:rPr>
        <w:t>（三）健全破产管理人服务体系</w:t>
      </w:r>
    </w:p>
    <w:p w:rsidR="00427CFC" w:rsidRDefault="004220DA">
      <w:r>
        <w:rPr>
          <w:rFonts w:hint="eastAsia"/>
        </w:rPr>
        <w:t>将破产管理人组织通知发布、调研数据统计、经费审批管理以及报酬专项基金管理由线下转为线上办理，节约线下办理所产生的材料消耗及时间成本，并健全破产管理人服务门户，优化管理流程，提高服务质量和效率，进一步健全破产管理人服务体系。</w:t>
      </w:r>
    </w:p>
    <w:p w:rsidR="00427CFC" w:rsidRDefault="004220DA">
      <w:r>
        <w:rPr>
          <w:rFonts w:hint="eastAsia"/>
        </w:rPr>
        <w:t>（四）进一步提升破产管理人队伍素质</w:t>
      </w:r>
    </w:p>
    <w:p w:rsidR="00427CFC" w:rsidRDefault="004220DA">
      <w:r>
        <w:rPr>
          <w:rFonts w:hint="eastAsia"/>
        </w:rPr>
        <w:t>以多元化理论知识为基础，结合破产管理人实际工作需要，建立完善的业务培训与水平测试服务。通过规范化培训，打造一支高素质高水平的破产管理人队伍,提高破产管理人的专业素质和应对能力，使其具备应对不同破产案件的能力,提升上海破产管理整体服务水平。</w:t>
      </w:r>
    </w:p>
    <w:p w:rsidR="00427CFC" w:rsidRDefault="004220DA">
      <w:r>
        <w:rPr>
          <w:rFonts w:hint="eastAsia"/>
        </w:rPr>
        <w:t>（五）优化破产管理人党建工作模式</w:t>
      </w:r>
    </w:p>
    <w:p w:rsidR="00427CFC" w:rsidRDefault="004220DA">
      <w:r>
        <w:rPr>
          <w:rFonts w:hint="eastAsia"/>
        </w:rPr>
        <w:t>建立破产管理人党建工作线上管理平台,更好地加强党的建设，在破产管理工作中发挥党组织的领导作用，实现党组织领导下的业务工作和思想教育一体化,增强党性意识和组织纪律性，提高工作效率和服务水平。</w:t>
      </w:r>
    </w:p>
    <w:p w:rsidR="00427CFC" w:rsidRDefault="004220DA">
      <w:r>
        <w:rPr>
          <w:rFonts w:hint="eastAsia"/>
        </w:rPr>
        <w:t>（六）搭建破产管理人“对外窗口”</w:t>
      </w:r>
    </w:p>
    <w:p w:rsidR="00427CFC" w:rsidRDefault="004220DA">
      <w:r>
        <w:rPr>
          <w:rFonts w:hint="eastAsia"/>
        </w:rPr>
        <w:t>建设破产管理</w:t>
      </w:r>
      <w:proofErr w:type="gramStart"/>
      <w:r>
        <w:rPr>
          <w:rFonts w:hint="eastAsia"/>
        </w:rPr>
        <w:t>人行业</w:t>
      </w:r>
      <w:proofErr w:type="gramEnd"/>
      <w:r>
        <w:rPr>
          <w:rFonts w:hint="eastAsia"/>
        </w:rPr>
        <w:t>管理服务门户，搭建破产管理</w:t>
      </w:r>
      <w:proofErr w:type="gramStart"/>
      <w:r>
        <w:rPr>
          <w:rFonts w:hint="eastAsia"/>
        </w:rPr>
        <w:t>人行业</w:t>
      </w:r>
      <w:proofErr w:type="gramEnd"/>
      <w:r>
        <w:rPr>
          <w:rFonts w:hint="eastAsia"/>
        </w:rPr>
        <w:t>内部的信息交流平台，为同行和从业者提供信息、经验和资源分享，提升破产管理人群体的自身专业素养和行业形象，提高公众对破产管理人职业的了解和认识，推广破产管理</w:t>
      </w:r>
      <w:proofErr w:type="gramStart"/>
      <w:r>
        <w:rPr>
          <w:rFonts w:hint="eastAsia"/>
        </w:rPr>
        <w:t>人行业</w:t>
      </w:r>
      <w:proofErr w:type="gramEnd"/>
      <w:r>
        <w:rPr>
          <w:rFonts w:hint="eastAsia"/>
        </w:rPr>
        <w:t>的优势和服务范围，增强社会对破产人组织的认可度与公信力。</w:t>
      </w:r>
    </w:p>
    <w:p w:rsidR="00427CFC" w:rsidRDefault="004220DA">
      <w:r>
        <w:rPr>
          <w:rFonts w:hint="eastAsia"/>
        </w:rPr>
        <w:t>（七）构建管理</w:t>
      </w:r>
      <w:proofErr w:type="gramStart"/>
      <w:r>
        <w:rPr>
          <w:rFonts w:hint="eastAsia"/>
        </w:rPr>
        <w:t>人行业</w:t>
      </w:r>
      <w:proofErr w:type="gramEnd"/>
      <w:r>
        <w:rPr>
          <w:rFonts w:hint="eastAsia"/>
        </w:rPr>
        <w:t>信息共享网络</w:t>
      </w:r>
    </w:p>
    <w:p w:rsidR="00427CFC" w:rsidRDefault="004220DA">
      <w:r>
        <w:rPr>
          <w:rFonts w:hint="eastAsia"/>
        </w:rPr>
        <w:t>通过对接上海高院相关系统，实现管理人信息及破产管理人代理案件信息以及履职信息的及时同步，打通数据连接渠道，为破产管理人业务提供数据支撑，促进各方权益的保障、提高破产程序效率和管理效能。</w:t>
      </w:r>
    </w:p>
    <w:p w:rsidR="00427CFC" w:rsidRDefault="004220DA">
      <w:pPr>
        <w:pStyle w:val="2"/>
      </w:pPr>
      <w:proofErr w:type="gramStart"/>
      <w:r>
        <w:rPr>
          <w:rFonts w:hint="eastAsia"/>
        </w:rPr>
        <w:lastRenderedPageBreak/>
        <w:t>拟实现</w:t>
      </w:r>
      <w:proofErr w:type="gramEnd"/>
      <w:r>
        <w:rPr>
          <w:rFonts w:hint="eastAsia"/>
        </w:rPr>
        <w:t>的绩效目标</w:t>
      </w:r>
    </w:p>
    <w:p w:rsidR="00427CFC" w:rsidRDefault="004220DA">
      <w:pPr>
        <w:pStyle w:val="3"/>
      </w:pPr>
      <w:r>
        <w:t>业务绩效考核目标</w:t>
      </w:r>
    </w:p>
    <w:p w:rsidR="00427CFC" w:rsidRDefault="004220DA">
      <w:pPr>
        <w:pStyle w:val="4"/>
        <w:ind w:left="1134" w:hanging="1134"/>
      </w:pPr>
      <w:bookmarkStart w:id="20" w:name="_Toc137738504"/>
      <w:bookmarkStart w:id="21" w:name="_Toc140830742"/>
      <w:r>
        <w:rPr>
          <w:rFonts w:hint="eastAsia"/>
        </w:rPr>
        <w:t>律师业务绩效考核目标</w:t>
      </w:r>
      <w:bookmarkEnd w:id="20"/>
      <w:bookmarkEnd w:id="21"/>
    </w:p>
    <w:tbl>
      <w:tblPr>
        <w:tblStyle w:val="af3"/>
        <w:tblW w:w="5000" w:type="pct"/>
        <w:tblLook w:val="04A0"/>
      </w:tblPr>
      <w:tblGrid>
        <w:gridCol w:w="940"/>
        <w:gridCol w:w="1680"/>
        <w:gridCol w:w="2436"/>
        <w:gridCol w:w="2444"/>
        <w:gridCol w:w="1028"/>
      </w:tblGrid>
      <w:tr w:rsidR="00427CFC">
        <w:tc>
          <w:tcPr>
            <w:tcW w:w="551" w:type="pct"/>
          </w:tcPr>
          <w:p w:rsidR="00427CFC" w:rsidRDefault="004220DA">
            <w:pPr>
              <w:pStyle w:val="affe"/>
              <w:ind w:firstLineChars="0" w:firstLine="0"/>
              <w:jc w:val="center"/>
              <w:rPr>
                <w:b/>
                <w:bCs/>
                <w:sz w:val="24"/>
                <w:szCs w:val="24"/>
              </w:rPr>
            </w:pPr>
            <w:r>
              <w:rPr>
                <w:rFonts w:hint="eastAsia"/>
                <w:b/>
                <w:bCs/>
                <w:sz w:val="24"/>
                <w:szCs w:val="24"/>
              </w:rPr>
              <w:t>编号</w:t>
            </w:r>
          </w:p>
        </w:tc>
        <w:tc>
          <w:tcPr>
            <w:tcW w:w="985" w:type="pct"/>
          </w:tcPr>
          <w:p w:rsidR="00427CFC" w:rsidRDefault="004220DA">
            <w:pPr>
              <w:pStyle w:val="affe"/>
              <w:ind w:firstLineChars="0" w:firstLine="0"/>
              <w:jc w:val="center"/>
              <w:rPr>
                <w:b/>
                <w:bCs/>
                <w:sz w:val="24"/>
                <w:szCs w:val="24"/>
              </w:rPr>
            </w:pPr>
            <w:r>
              <w:rPr>
                <w:rFonts w:hint="eastAsia"/>
                <w:b/>
                <w:bCs/>
                <w:sz w:val="24"/>
                <w:szCs w:val="24"/>
              </w:rPr>
              <w:t>业务项</w:t>
            </w:r>
          </w:p>
        </w:tc>
        <w:tc>
          <w:tcPr>
            <w:tcW w:w="1428" w:type="pct"/>
          </w:tcPr>
          <w:p w:rsidR="00427CFC" w:rsidRDefault="004220DA">
            <w:pPr>
              <w:pStyle w:val="affe"/>
              <w:ind w:firstLineChars="0" w:firstLine="0"/>
              <w:jc w:val="center"/>
              <w:rPr>
                <w:b/>
                <w:bCs/>
                <w:sz w:val="24"/>
                <w:szCs w:val="24"/>
              </w:rPr>
            </w:pPr>
            <w:r>
              <w:rPr>
                <w:rFonts w:hint="eastAsia"/>
                <w:b/>
                <w:bCs/>
                <w:sz w:val="24"/>
                <w:szCs w:val="24"/>
              </w:rPr>
              <w:t>具体业务</w:t>
            </w:r>
          </w:p>
        </w:tc>
        <w:tc>
          <w:tcPr>
            <w:tcW w:w="1433" w:type="pct"/>
          </w:tcPr>
          <w:p w:rsidR="00427CFC" w:rsidRDefault="004220DA">
            <w:pPr>
              <w:pStyle w:val="affe"/>
              <w:ind w:firstLineChars="0" w:firstLine="0"/>
              <w:jc w:val="center"/>
              <w:rPr>
                <w:b/>
                <w:bCs/>
                <w:sz w:val="24"/>
                <w:szCs w:val="24"/>
              </w:rPr>
            </w:pPr>
            <w:r>
              <w:rPr>
                <w:rFonts w:hint="eastAsia"/>
                <w:b/>
                <w:bCs/>
                <w:sz w:val="24"/>
                <w:szCs w:val="24"/>
              </w:rPr>
              <w:t>业务绩效目标</w:t>
            </w:r>
          </w:p>
        </w:tc>
        <w:tc>
          <w:tcPr>
            <w:tcW w:w="603" w:type="pct"/>
          </w:tcPr>
          <w:p w:rsidR="00427CFC" w:rsidRDefault="004220DA">
            <w:pPr>
              <w:pStyle w:val="affe"/>
              <w:ind w:firstLineChars="0" w:firstLine="0"/>
              <w:jc w:val="center"/>
              <w:rPr>
                <w:b/>
                <w:bCs/>
                <w:sz w:val="24"/>
                <w:szCs w:val="24"/>
              </w:rPr>
            </w:pPr>
            <w:r>
              <w:rPr>
                <w:rFonts w:hint="eastAsia"/>
                <w:b/>
                <w:bCs/>
                <w:sz w:val="24"/>
                <w:szCs w:val="24"/>
              </w:rPr>
              <w:t>备注</w:t>
            </w:r>
          </w:p>
        </w:tc>
      </w:tr>
      <w:tr w:rsidR="00427CFC">
        <w:tc>
          <w:tcPr>
            <w:tcW w:w="551" w:type="pct"/>
            <w:vAlign w:val="center"/>
          </w:tcPr>
          <w:p w:rsidR="00427CFC" w:rsidRDefault="004220DA">
            <w:pPr>
              <w:pStyle w:val="affe"/>
              <w:ind w:firstLineChars="0" w:firstLine="0"/>
              <w:jc w:val="center"/>
              <w:rPr>
                <w:sz w:val="24"/>
                <w:szCs w:val="24"/>
              </w:rPr>
            </w:pPr>
            <w:r>
              <w:rPr>
                <w:rFonts w:hint="eastAsia"/>
                <w:sz w:val="24"/>
                <w:szCs w:val="24"/>
              </w:rPr>
              <w:t>1</w:t>
            </w:r>
          </w:p>
        </w:tc>
        <w:tc>
          <w:tcPr>
            <w:tcW w:w="985" w:type="pct"/>
            <w:vMerge w:val="restart"/>
            <w:vAlign w:val="center"/>
          </w:tcPr>
          <w:p w:rsidR="00427CFC" w:rsidRDefault="004220DA">
            <w:pPr>
              <w:pStyle w:val="affe"/>
              <w:ind w:firstLineChars="0" w:firstLine="0"/>
              <w:jc w:val="center"/>
              <w:rPr>
                <w:sz w:val="24"/>
                <w:szCs w:val="24"/>
              </w:rPr>
            </w:pPr>
            <w:r>
              <w:rPr>
                <w:rFonts w:ascii="仿宋_GB2312" w:eastAsia="仿宋_GB2312" w:hAnsi="宋体" w:cs="仿宋_GB2312" w:hint="eastAsia"/>
                <w:b/>
                <w:bCs/>
                <w:sz w:val="24"/>
                <w:szCs w:val="24"/>
              </w:rPr>
              <w:t>律师执业监管</w:t>
            </w:r>
          </w:p>
        </w:tc>
        <w:tc>
          <w:tcPr>
            <w:tcW w:w="1428" w:type="pct"/>
            <w:vAlign w:val="center"/>
          </w:tcPr>
          <w:p w:rsidR="00427CFC" w:rsidRDefault="004220DA">
            <w:pPr>
              <w:pStyle w:val="affe"/>
              <w:ind w:firstLineChars="0" w:firstLine="0"/>
              <w:jc w:val="center"/>
              <w:rPr>
                <w:sz w:val="24"/>
                <w:szCs w:val="24"/>
              </w:rPr>
            </w:pPr>
            <w:r>
              <w:rPr>
                <w:rFonts w:hint="eastAsia"/>
                <w:sz w:val="24"/>
                <w:szCs w:val="24"/>
              </w:rPr>
              <w:t>投诉案件管理</w:t>
            </w:r>
          </w:p>
        </w:tc>
        <w:tc>
          <w:tcPr>
            <w:tcW w:w="1433" w:type="pct"/>
          </w:tcPr>
          <w:p w:rsidR="00427CFC" w:rsidRDefault="004220DA" w:rsidP="001E272C">
            <w:pPr>
              <w:pStyle w:val="affe"/>
              <w:ind w:firstLineChars="0" w:firstLine="0"/>
              <w:jc w:val="center"/>
              <w:rPr>
                <w:sz w:val="24"/>
                <w:szCs w:val="24"/>
              </w:rPr>
            </w:pPr>
            <w:r>
              <w:rPr>
                <w:rFonts w:hint="eastAsia"/>
                <w:sz w:val="24"/>
                <w:szCs w:val="24"/>
              </w:rPr>
              <w:t>解决律师投诉案件获取滞后问题，</w:t>
            </w:r>
            <w:proofErr w:type="gramStart"/>
            <w:r>
              <w:rPr>
                <w:rFonts w:hint="eastAsia"/>
                <w:sz w:val="24"/>
                <w:szCs w:val="24"/>
              </w:rPr>
              <w:t>健全黄</w:t>
            </w:r>
            <w:proofErr w:type="gramEnd"/>
            <w:r>
              <w:rPr>
                <w:rFonts w:hint="eastAsia"/>
                <w:sz w:val="24"/>
                <w:szCs w:val="24"/>
              </w:rPr>
              <w:t>名单、黑名单管理制度</w:t>
            </w:r>
          </w:p>
        </w:tc>
        <w:tc>
          <w:tcPr>
            <w:tcW w:w="603" w:type="pct"/>
          </w:tcPr>
          <w:p w:rsidR="00427CFC" w:rsidRDefault="00427CFC">
            <w:pPr>
              <w:pStyle w:val="affe"/>
              <w:ind w:firstLineChars="0" w:firstLine="0"/>
              <w:rPr>
                <w:sz w:val="24"/>
                <w:szCs w:val="24"/>
              </w:rPr>
            </w:pPr>
          </w:p>
        </w:tc>
      </w:tr>
      <w:tr w:rsidR="00427CFC">
        <w:tc>
          <w:tcPr>
            <w:tcW w:w="551" w:type="pct"/>
            <w:vAlign w:val="center"/>
          </w:tcPr>
          <w:p w:rsidR="00427CFC" w:rsidRDefault="004220DA">
            <w:pPr>
              <w:pStyle w:val="affe"/>
              <w:ind w:firstLineChars="0" w:firstLine="0"/>
              <w:jc w:val="center"/>
              <w:rPr>
                <w:sz w:val="24"/>
                <w:szCs w:val="24"/>
              </w:rPr>
            </w:pPr>
            <w:r>
              <w:rPr>
                <w:rFonts w:hint="eastAsia"/>
                <w:sz w:val="24"/>
                <w:szCs w:val="24"/>
              </w:rPr>
              <w:t>2</w:t>
            </w:r>
          </w:p>
        </w:tc>
        <w:tc>
          <w:tcPr>
            <w:tcW w:w="985" w:type="pct"/>
            <w:vMerge/>
            <w:vAlign w:val="center"/>
          </w:tcPr>
          <w:p w:rsidR="00427CFC" w:rsidRDefault="00427CFC">
            <w:pPr>
              <w:pStyle w:val="affe"/>
              <w:ind w:firstLineChars="0" w:firstLine="0"/>
              <w:jc w:val="center"/>
              <w:rPr>
                <w:sz w:val="24"/>
                <w:szCs w:val="24"/>
              </w:rPr>
            </w:pPr>
          </w:p>
        </w:tc>
        <w:tc>
          <w:tcPr>
            <w:tcW w:w="1428" w:type="pct"/>
            <w:vAlign w:val="center"/>
          </w:tcPr>
          <w:p w:rsidR="00427CFC" w:rsidRDefault="004220DA">
            <w:pPr>
              <w:pStyle w:val="affe"/>
              <w:ind w:firstLineChars="0" w:firstLine="0"/>
              <w:jc w:val="center"/>
              <w:rPr>
                <w:sz w:val="24"/>
                <w:szCs w:val="24"/>
              </w:rPr>
            </w:pPr>
            <w:r>
              <w:rPr>
                <w:rFonts w:hint="eastAsia"/>
                <w:sz w:val="24"/>
                <w:szCs w:val="24"/>
              </w:rPr>
              <w:t>律师违法违规记录管理</w:t>
            </w:r>
          </w:p>
        </w:tc>
        <w:tc>
          <w:tcPr>
            <w:tcW w:w="1433" w:type="pct"/>
          </w:tcPr>
          <w:p w:rsidR="00427CFC" w:rsidRDefault="004220DA">
            <w:pPr>
              <w:pStyle w:val="affe"/>
              <w:ind w:firstLineChars="0" w:firstLine="0"/>
              <w:jc w:val="center"/>
              <w:rPr>
                <w:sz w:val="24"/>
                <w:szCs w:val="24"/>
              </w:rPr>
            </w:pPr>
            <w:r>
              <w:rPr>
                <w:rFonts w:hint="eastAsia"/>
                <w:sz w:val="24"/>
                <w:szCs w:val="24"/>
              </w:rPr>
              <w:t>根据数据对接情况，及时获取律师违法违规信息，解决律师违法违规信息获取滞后问题，</w:t>
            </w:r>
            <w:proofErr w:type="gramStart"/>
            <w:r>
              <w:rPr>
                <w:rFonts w:hint="eastAsia"/>
                <w:sz w:val="24"/>
                <w:szCs w:val="24"/>
              </w:rPr>
              <w:t>健全黄</w:t>
            </w:r>
            <w:proofErr w:type="gramEnd"/>
            <w:r>
              <w:rPr>
                <w:rFonts w:hint="eastAsia"/>
                <w:sz w:val="24"/>
                <w:szCs w:val="24"/>
              </w:rPr>
              <w:t>名单、黑名单管理制度</w:t>
            </w:r>
          </w:p>
        </w:tc>
        <w:tc>
          <w:tcPr>
            <w:tcW w:w="603" w:type="pct"/>
          </w:tcPr>
          <w:p w:rsidR="00427CFC" w:rsidRDefault="00427CFC">
            <w:pPr>
              <w:pStyle w:val="affe"/>
              <w:ind w:firstLineChars="0" w:firstLine="0"/>
              <w:rPr>
                <w:sz w:val="24"/>
                <w:szCs w:val="24"/>
              </w:rPr>
            </w:pPr>
          </w:p>
        </w:tc>
      </w:tr>
      <w:tr w:rsidR="00427CFC">
        <w:tc>
          <w:tcPr>
            <w:tcW w:w="551" w:type="pct"/>
            <w:vAlign w:val="center"/>
          </w:tcPr>
          <w:p w:rsidR="00427CFC" w:rsidRDefault="004220DA">
            <w:pPr>
              <w:pStyle w:val="affe"/>
              <w:ind w:firstLineChars="0" w:firstLine="0"/>
              <w:jc w:val="center"/>
              <w:rPr>
                <w:sz w:val="24"/>
                <w:szCs w:val="24"/>
              </w:rPr>
            </w:pPr>
            <w:r>
              <w:rPr>
                <w:rFonts w:hint="eastAsia"/>
                <w:sz w:val="24"/>
                <w:szCs w:val="24"/>
              </w:rPr>
              <w:t>3</w:t>
            </w:r>
          </w:p>
        </w:tc>
        <w:tc>
          <w:tcPr>
            <w:tcW w:w="985" w:type="pct"/>
            <w:vMerge/>
            <w:vAlign w:val="center"/>
          </w:tcPr>
          <w:p w:rsidR="00427CFC" w:rsidRDefault="00427CFC">
            <w:pPr>
              <w:pStyle w:val="affe"/>
              <w:ind w:firstLineChars="0" w:firstLine="0"/>
              <w:jc w:val="center"/>
              <w:rPr>
                <w:sz w:val="24"/>
                <w:szCs w:val="24"/>
              </w:rPr>
            </w:pPr>
          </w:p>
        </w:tc>
        <w:tc>
          <w:tcPr>
            <w:tcW w:w="1428" w:type="pct"/>
            <w:vAlign w:val="center"/>
          </w:tcPr>
          <w:p w:rsidR="00427CFC" w:rsidRDefault="004220DA">
            <w:pPr>
              <w:pStyle w:val="affe"/>
              <w:ind w:firstLineChars="0" w:firstLine="0"/>
              <w:jc w:val="center"/>
              <w:rPr>
                <w:sz w:val="24"/>
                <w:szCs w:val="24"/>
              </w:rPr>
            </w:pPr>
            <w:r>
              <w:rPr>
                <w:rFonts w:hint="eastAsia"/>
                <w:sz w:val="24"/>
                <w:szCs w:val="24"/>
              </w:rPr>
              <w:t>律师执业行为监管</w:t>
            </w:r>
          </w:p>
        </w:tc>
        <w:tc>
          <w:tcPr>
            <w:tcW w:w="1433" w:type="pct"/>
          </w:tcPr>
          <w:p w:rsidR="00427CFC" w:rsidRDefault="004220DA">
            <w:pPr>
              <w:pStyle w:val="affe"/>
              <w:ind w:firstLineChars="0" w:firstLine="0"/>
              <w:jc w:val="center"/>
              <w:rPr>
                <w:sz w:val="24"/>
                <w:szCs w:val="24"/>
              </w:rPr>
            </w:pPr>
            <w:r>
              <w:rPr>
                <w:rFonts w:hint="eastAsia"/>
                <w:sz w:val="24"/>
                <w:szCs w:val="24"/>
              </w:rPr>
              <w:t>实现对律师代理案件、阅卷记录、会见记录以及尽职调查记录的全面监管</w:t>
            </w:r>
          </w:p>
        </w:tc>
        <w:tc>
          <w:tcPr>
            <w:tcW w:w="603" w:type="pct"/>
          </w:tcPr>
          <w:p w:rsidR="00427CFC" w:rsidRDefault="00427CFC">
            <w:pPr>
              <w:pStyle w:val="affe"/>
              <w:ind w:firstLineChars="0" w:firstLine="0"/>
              <w:rPr>
                <w:sz w:val="24"/>
                <w:szCs w:val="24"/>
              </w:rPr>
            </w:pPr>
          </w:p>
        </w:tc>
      </w:tr>
      <w:tr w:rsidR="00427CFC">
        <w:tc>
          <w:tcPr>
            <w:tcW w:w="551" w:type="pct"/>
            <w:vAlign w:val="center"/>
          </w:tcPr>
          <w:p w:rsidR="00427CFC" w:rsidRDefault="004220DA">
            <w:pPr>
              <w:pStyle w:val="affe"/>
              <w:ind w:firstLineChars="0" w:firstLine="0"/>
              <w:jc w:val="center"/>
              <w:rPr>
                <w:sz w:val="24"/>
                <w:szCs w:val="24"/>
              </w:rPr>
            </w:pPr>
            <w:r>
              <w:rPr>
                <w:rFonts w:hint="eastAsia"/>
                <w:sz w:val="24"/>
                <w:szCs w:val="24"/>
              </w:rPr>
              <w:t>4</w:t>
            </w:r>
          </w:p>
        </w:tc>
        <w:tc>
          <w:tcPr>
            <w:tcW w:w="985" w:type="pct"/>
            <w:vMerge/>
            <w:vAlign w:val="center"/>
          </w:tcPr>
          <w:p w:rsidR="00427CFC" w:rsidRDefault="00427CFC">
            <w:pPr>
              <w:pStyle w:val="affe"/>
              <w:ind w:firstLineChars="0" w:firstLine="0"/>
              <w:jc w:val="center"/>
              <w:rPr>
                <w:sz w:val="24"/>
                <w:szCs w:val="24"/>
              </w:rPr>
            </w:pPr>
          </w:p>
        </w:tc>
        <w:tc>
          <w:tcPr>
            <w:tcW w:w="1428" w:type="pct"/>
            <w:vAlign w:val="center"/>
          </w:tcPr>
          <w:p w:rsidR="00427CFC" w:rsidRDefault="004220DA">
            <w:pPr>
              <w:pStyle w:val="affe"/>
              <w:ind w:firstLineChars="0" w:firstLine="0"/>
              <w:jc w:val="center"/>
              <w:rPr>
                <w:sz w:val="24"/>
                <w:szCs w:val="24"/>
              </w:rPr>
            </w:pPr>
            <w:r>
              <w:rPr>
                <w:rFonts w:hint="eastAsia"/>
                <w:sz w:val="24"/>
                <w:szCs w:val="24"/>
              </w:rPr>
              <w:t>律师异常调档管理</w:t>
            </w:r>
          </w:p>
        </w:tc>
        <w:tc>
          <w:tcPr>
            <w:tcW w:w="1433" w:type="pct"/>
          </w:tcPr>
          <w:p w:rsidR="00427CFC" w:rsidRDefault="004220DA">
            <w:pPr>
              <w:pStyle w:val="affe"/>
              <w:ind w:firstLineChars="0" w:firstLine="0"/>
              <w:jc w:val="center"/>
              <w:rPr>
                <w:sz w:val="24"/>
                <w:szCs w:val="24"/>
              </w:rPr>
            </w:pPr>
            <w:r>
              <w:rPr>
                <w:rFonts w:hint="eastAsia"/>
                <w:sz w:val="24"/>
                <w:szCs w:val="24"/>
              </w:rPr>
              <w:t>完善律师异地调档在线服务与档案衔接流程，确保功能适用、好用，提升异地调档办事效益与服务质量，同时加强调入律师背景监管</w:t>
            </w:r>
          </w:p>
        </w:tc>
        <w:tc>
          <w:tcPr>
            <w:tcW w:w="603" w:type="pct"/>
          </w:tcPr>
          <w:p w:rsidR="00427CFC" w:rsidRDefault="00427CFC">
            <w:pPr>
              <w:pStyle w:val="affe"/>
              <w:ind w:firstLineChars="0" w:firstLine="0"/>
              <w:rPr>
                <w:sz w:val="24"/>
                <w:szCs w:val="24"/>
              </w:rPr>
            </w:pPr>
          </w:p>
        </w:tc>
      </w:tr>
      <w:tr w:rsidR="00427CFC">
        <w:tc>
          <w:tcPr>
            <w:tcW w:w="551" w:type="pct"/>
            <w:vAlign w:val="center"/>
          </w:tcPr>
          <w:p w:rsidR="00427CFC" w:rsidRDefault="004220DA">
            <w:pPr>
              <w:pStyle w:val="affe"/>
              <w:ind w:firstLineChars="0" w:firstLine="0"/>
              <w:jc w:val="center"/>
              <w:rPr>
                <w:sz w:val="24"/>
                <w:szCs w:val="24"/>
              </w:rPr>
            </w:pPr>
            <w:r>
              <w:rPr>
                <w:rFonts w:hint="eastAsia"/>
                <w:sz w:val="24"/>
                <w:szCs w:val="24"/>
              </w:rPr>
              <w:t>5</w:t>
            </w:r>
          </w:p>
        </w:tc>
        <w:tc>
          <w:tcPr>
            <w:tcW w:w="985" w:type="pct"/>
            <w:vMerge w:val="restart"/>
            <w:vAlign w:val="center"/>
          </w:tcPr>
          <w:p w:rsidR="00427CFC" w:rsidRDefault="004220DA">
            <w:pPr>
              <w:pStyle w:val="affe"/>
              <w:ind w:firstLineChars="0" w:firstLine="0"/>
              <w:jc w:val="center"/>
              <w:rPr>
                <w:sz w:val="24"/>
                <w:szCs w:val="24"/>
              </w:rPr>
            </w:pPr>
            <w:r>
              <w:rPr>
                <w:rFonts w:ascii="仿宋_GB2312" w:eastAsia="仿宋_GB2312" w:hAnsi="宋体" w:cs="仿宋_GB2312" w:hint="eastAsia"/>
                <w:b/>
                <w:bCs/>
                <w:sz w:val="24"/>
                <w:szCs w:val="24"/>
              </w:rPr>
              <w:t>律师执业保障</w:t>
            </w:r>
          </w:p>
        </w:tc>
        <w:tc>
          <w:tcPr>
            <w:tcW w:w="1428" w:type="pct"/>
            <w:vAlign w:val="center"/>
          </w:tcPr>
          <w:p w:rsidR="00427CFC" w:rsidRDefault="004220DA">
            <w:pPr>
              <w:pStyle w:val="affe"/>
              <w:ind w:firstLineChars="0" w:firstLine="0"/>
              <w:jc w:val="center"/>
              <w:rPr>
                <w:sz w:val="24"/>
                <w:szCs w:val="24"/>
              </w:rPr>
            </w:pPr>
            <w:r>
              <w:rPr>
                <w:rFonts w:hint="eastAsia"/>
                <w:sz w:val="24"/>
                <w:szCs w:val="24"/>
              </w:rPr>
              <w:t>律师执业过程保障</w:t>
            </w:r>
          </w:p>
        </w:tc>
        <w:tc>
          <w:tcPr>
            <w:tcW w:w="1433" w:type="pct"/>
          </w:tcPr>
          <w:p w:rsidR="00427CFC" w:rsidRDefault="004220DA">
            <w:pPr>
              <w:pStyle w:val="affe"/>
              <w:ind w:firstLineChars="0" w:firstLine="0"/>
              <w:jc w:val="center"/>
              <w:rPr>
                <w:sz w:val="24"/>
                <w:szCs w:val="24"/>
              </w:rPr>
            </w:pPr>
            <w:r>
              <w:rPr>
                <w:rFonts w:hint="eastAsia"/>
                <w:sz w:val="24"/>
                <w:szCs w:val="24"/>
              </w:rPr>
              <w:t>加强律师执业过程保障功能推广，合理解</w:t>
            </w:r>
            <w:r>
              <w:rPr>
                <w:rFonts w:hint="eastAsia"/>
                <w:sz w:val="24"/>
                <w:szCs w:val="24"/>
              </w:rPr>
              <w:lastRenderedPageBreak/>
              <w:t>决律师会见难、阅卷难以</w:t>
            </w:r>
            <w:proofErr w:type="gramStart"/>
            <w:r>
              <w:rPr>
                <w:rFonts w:hint="eastAsia"/>
                <w:sz w:val="24"/>
                <w:szCs w:val="24"/>
              </w:rPr>
              <w:t>及尽调难</w:t>
            </w:r>
            <w:proofErr w:type="gramEnd"/>
            <w:r>
              <w:rPr>
                <w:rFonts w:hint="eastAsia"/>
                <w:sz w:val="24"/>
                <w:szCs w:val="24"/>
              </w:rPr>
              <w:t>等问题</w:t>
            </w:r>
          </w:p>
        </w:tc>
        <w:tc>
          <w:tcPr>
            <w:tcW w:w="603" w:type="pct"/>
          </w:tcPr>
          <w:p w:rsidR="00427CFC" w:rsidRDefault="00427CFC">
            <w:pPr>
              <w:pStyle w:val="affe"/>
              <w:ind w:firstLineChars="0" w:firstLine="0"/>
              <w:rPr>
                <w:sz w:val="24"/>
                <w:szCs w:val="24"/>
              </w:rPr>
            </w:pPr>
          </w:p>
        </w:tc>
      </w:tr>
      <w:tr w:rsidR="00427CFC">
        <w:tc>
          <w:tcPr>
            <w:tcW w:w="551" w:type="pct"/>
            <w:vAlign w:val="center"/>
          </w:tcPr>
          <w:p w:rsidR="00427CFC" w:rsidRDefault="004220DA">
            <w:pPr>
              <w:pStyle w:val="affe"/>
              <w:ind w:firstLineChars="0" w:firstLine="0"/>
              <w:jc w:val="center"/>
              <w:rPr>
                <w:sz w:val="24"/>
                <w:szCs w:val="24"/>
              </w:rPr>
            </w:pPr>
            <w:r>
              <w:rPr>
                <w:rFonts w:hint="eastAsia"/>
                <w:sz w:val="24"/>
                <w:szCs w:val="24"/>
              </w:rPr>
              <w:lastRenderedPageBreak/>
              <w:t>6</w:t>
            </w:r>
          </w:p>
        </w:tc>
        <w:tc>
          <w:tcPr>
            <w:tcW w:w="985" w:type="pct"/>
            <w:vMerge/>
            <w:vAlign w:val="center"/>
          </w:tcPr>
          <w:p w:rsidR="00427CFC" w:rsidRDefault="00427CFC">
            <w:pPr>
              <w:pStyle w:val="affe"/>
              <w:ind w:firstLineChars="0" w:firstLine="0"/>
              <w:jc w:val="center"/>
              <w:rPr>
                <w:sz w:val="24"/>
                <w:szCs w:val="24"/>
              </w:rPr>
            </w:pPr>
          </w:p>
        </w:tc>
        <w:tc>
          <w:tcPr>
            <w:tcW w:w="1428" w:type="pct"/>
            <w:vAlign w:val="center"/>
          </w:tcPr>
          <w:p w:rsidR="00427CFC" w:rsidRDefault="004220DA">
            <w:pPr>
              <w:pStyle w:val="affe"/>
              <w:ind w:firstLineChars="0" w:firstLine="0"/>
              <w:jc w:val="center"/>
              <w:rPr>
                <w:sz w:val="24"/>
                <w:szCs w:val="24"/>
              </w:rPr>
            </w:pPr>
            <w:r>
              <w:rPr>
                <w:rFonts w:hint="eastAsia"/>
                <w:sz w:val="24"/>
                <w:szCs w:val="24"/>
              </w:rPr>
              <w:t>律师行业维权管理</w:t>
            </w:r>
          </w:p>
        </w:tc>
        <w:tc>
          <w:tcPr>
            <w:tcW w:w="1433" w:type="pct"/>
          </w:tcPr>
          <w:p w:rsidR="00427CFC" w:rsidRDefault="004220DA">
            <w:pPr>
              <w:pStyle w:val="affe"/>
              <w:ind w:firstLineChars="0" w:firstLine="0"/>
              <w:jc w:val="center"/>
              <w:rPr>
                <w:sz w:val="24"/>
                <w:szCs w:val="24"/>
              </w:rPr>
            </w:pPr>
            <w:r>
              <w:rPr>
                <w:rFonts w:hint="eastAsia"/>
                <w:sz w:val="24"/>
                <w:szCs w:val="24"/>
              </w:rPr>
              <w:t>畅通律师线上反映案件问题及执业权利受侵害的渠道</w:t>
            </w:r>
          </w:p>
        </w:tc>
        <w:tc>
          <w:tcPr>
            <w:tcW w:w="603" w:type="pct"/>
          </w:tcPr>
          <w:p w:rsidR="00427CFC" w:rsidRDefault="00427CFC">
            <w:pPr>
              <w:pStyle w:val="affe"/>
              <w:ind w:firstLineChars="0" w:firstLine="0"/>
              <w:rPr>
                <w:sz w:val="24"/>
                <w:szCs w:val="24"/>
              </w:rPr>
            </w:pPr>
          </w:p>
        </w:tc>
      </w:tr>
      <w:tr w:rsidR="00427CFC">
        <w:tc>
          <w:tcPr>
            <w:tcW w:w="551" w:type="pct"/>
            <w:vAlign w:val="center"/>
          </w:tcPr>
          <w:p w:rsidR="00427CFC" w:rsidRDefault="004220DA">
            <w:pPr>
              <w:pStyle w:val="affe"/>
              <w:ind w:firstLineChars="0" w:firstLine="0"/>
              <w:jc w:val="center"/>
              <w:rPr>
                <w:sz w:val="24"/>
                <w:szCs w:val="24"/>
              </w:rPr>
            </w:pPr>
            <w:r>
              <w:rPr>
                <w:rFonts w:hint="eastAsia"/>
                <w:sz w:val="24"/>
                <w:szCs w:val="24"/>
              </w:rPr>
              <w:t>7</w:t>
            </w:r>
          </w:p>
        </w:tc>
        <w:tc>
          <w:tcPr>
            <w:tcW w:w="985" w:type="pct"/>
            <w:vAlign w:val="center"/>
          </w:tcPr>
          <w:p w:rsidR="00427CFC" w:rsidRDefault="004220DA">
            <w:pPr>
              <w:pStyle w:val="affe"/>
              <w:ind w:firstLineChars="0" w:firstLine="0"/>
              <w:jc w:val="center"/>
              <w:rPr>
                <w:sz w:val="24"/>
                <w:szCs w:val="24"/>
              </w:rPr>
            </w:pPr>
            <w:r>
              <w:rPr>
                <w:rFonts w:ascii="仿宋_GB2312" w:eastAsia="仿宋_GB2312" w:hAnsi="宋体" w:cs="仿宋_GB2312" w:hint="eastAsia"/>
                <w:b/>
                <w:bCs/>
                <w:sz w:val="24"/>
                <w:szCs w:val="24"/>
              </w:rPr>
              <w:t>僵尸律师数据管理</w:t>
            </w:r>
          </w:p>
        </w:tc>
        <w:tc>
          <w:tcPr>
            <w:tcW w:w="1428" w:type="pct"/>
            <w:vAlign w:val="center"/>
          </w:tcPr>
          <w:p w:rsidR="00427CFC" w:rsidRDefault="004220DA">
            <w:pPr>
              <w:pStyle w:val="affe"/>
              <w:ind w:firstLineChars="0" w:firstLine="0"/>
              <w:jc w:val="center"/>
              <w:rPr>
                <w:sz w:val="24"/>
                <w:szCs w:val="24"/>
              </w:rPr>
            </w:pPr>
            <w:r>
              <w:rPr>
                <w:rFonts w:hint="eastAsia"/>
                <w:sz w:val="24"/>
                <w:szCs w:val="24"/>
              </w:rPr>
              <w:t>僵尸律师数据治理</w:t>
            </w:r>
          </w:p>
        </w:tc>
        <w:tc>
          <w:tcPr>
            <w:tcW w:w="1433" w:type="pct"/>
          </w:tcPr>
          <w:p w:rsidR="00427CFC" w:rsidRDefault="004220DA">
            <w:pPr>
              <w:pStyle w:val="affe"/>
              <w:ind w:firstLineChars="0" w:firstLine="0"/>
              <w:jc w:val="center"/>
              <w:rPr>
                <w:sz w:val="24"/>
                <w:szCs w:val="24"/>
              </w:rPr>
            </w:pPr>
            <w:r>
              <w:rPr>
                <w:rFonts w:hint="eastAsia"/>
                <w:sz w:val="24"/>
                <w:szCs w:val="24"/>
              </w:rPr>
              <w:t>实现僵尸律师数据常态化治理，根除僵尸律师数据顽疾</w:t>
            </w:r>
          </w:p>
        </w:tc>
        <w:tc>
          <w:tcPr>
            <w:tcW w:w="603" w:type="pct"/>
          </w:tcPr>
          <w:p w:rsidR="00427CFC" w:rsidRDefault="00427CFC">
            <w:pPr>
              <w:pStyle w:val="affe"/>
              <w:ind w:firstLineChars="0" w:firstLine="0"/>
              <w:rPr>
                <w:sz w:val="24"/>
                <w:szCs w:val="24"/>
              </w:rPr>
            </w:pPr>
          </w:p>
        </w:tc>
      </w:tr>
    </w:tbl>
    <w:p w:rsidR="00427CFC" w:rsidRDefault="004220DA">
      <w:pPr>
        <w:pStyle w:val="4"/>
        <w:ind w:left="1134" w:hanging="1134"/>
      </w:pPr>
      <w:bookmarkStart w:id="22" w:name="_Toc140830743"/>
      <w:bookmarkStart w:id="23" w:name="_Toc137738415"/>
      <w:r>
        <w:rPr>
          <w:rFonts w:hint="eastAsia"/>
        </w:rPr>
        <w:t>公证业务绩效考核目标</w:t>
      </w:r>
      <w:bookmarkEnd w:id="22"/>
      <w:bookmarkEnd w:id="23"/>
    </w:p>
    <w:tbl>
      <w:tblPr>
        <w:tblW w:w="5000" w:type="pct"/>
        <w:jc w:val="center"/>
        <w:tblCellMar>
          <w:left w:w="28" w:type="dxa"/>
          <w:right w:w="28" w:type="dxa"/>
        </w:tblCellMar>
        <w:tblLook w:val="04A0"/>
      </w:tblPr>
      <w:tblGrid>
        <w:gridCol w:w="722"/>
        <w:gridCol w:w="1121"/>
        <w:gridCol w:w="1625"/>
        <w:gridCol w:w="2438"/>
        <w:gridCol w:w="2462"/>
      </w:tblGrid>
      <w:tr w:rsidR="00427CFC">
        <w:trPr>
          <w:cantSplit/>
          <w:trHeight w:val="340"/>
          <w:jc w:val="center"/>
        </w:trPr>
        <w:tc>
          <w:tcPr>
            <w:tcW w:w="431" w:type="pct"/>
            <w:vMerge w:val="restart"/>
            <w:tcBorders>
              <w:top w:val="single" w:sz="4" w:space="0" w:color="auto"/>
              <w:left w:val="single" w:sz="4" w:space="0" w:color="auto"/>
              <w:bottom w:val="single" w:sz="4" w:space="0" w:color="auto"/>
              <w:right w:val="single" w:sz="4" w:space="0" w:color="auto"/>
            </w:tcBorders>
            <w:vAlign w:val="center"/>
          </w:tcPr>
          <w:p w:rsidR="00427CFC" w:rsidRDefault="004220DA">
            <w:pPr>
              <w:adjustRightInd w:val="0"/>
              <w:snapToGrid w:val="0"/>
              <w:ind w:firstLineChars="0" w:firstLine="0"/>
              <w:jc w:val="center"/>
              <w:rPr>
                <w:rFonts w:ascii="仿宋" w:eastAsia="仿宋" w:hAnsi="仿宋"/>
              </w:rPr>
            </w:pPr>
            <w:r>
              <w:rPr>
                <w:rFonts w:ascii="仿宋" w:eastAsia="仿宋" w:hAnsi="仿宋"/>
              </w:rPr>
              <w:t>绩效</w:t>
            </w:r>
          </w:p>
          <w:p w:rsidR="00427CFC" w:rsidRDefault="004220DA">
            <w:pPr>
              <w:adjustRightInd w:val="0"/>
              <w:snapToGrid w:val="0"/>
              <w:ind w:firstLineChars="0" w:firstLine="0"/>
              <w:jc w:val="center"/>
              <w:rPr>
                <w:rFonts w:ascii="仿宋" w:eastAsia="仿宋" w:hAnsi="仿宋"/>
              </w:rPr>
            </w:pPr>
            <w:r>
              <w:rPr>
                <w:rFonts w:ascii="仿宋" w:eastAsia="仿宋" w:hAnsi="仿宋"/>
              </w:rPr>
              <w:t>指标</w:t>
            </w:r>
          </w:p>
        </w:tc>
        <w:tc>
          <w:tcPr>
            <w:tcW w:w="669" w:type="pct"/>
            <w:tcBorders>
              <w:top w:val="single" w:sz="4" w:space="0" w:color="auto"/>
              <w:left w:val="nil"/>
              <w:bottom w:val="single" w:sz="4" w:space="0" w:color="auto"/>
              <w:right w:val="single" w:sz="4" w:space="0" w:color="auto"/>
            </w:tcBorders>
            <w:vAlign w:val="center"/>
          </w:tcPr>
          <w:p w:rsidR="00427CFC" w:rsidRDefault="004220DA">
            <w:pPr>
              <w:adjustRightInd w:val="0"/>
              <w:snapToGrid w:val="0"/>
              <w:ind w:firstLineChars="0" w:firstLine="0"/>
              <w:rPr>
                <w:rFonts w:ascii="仿宋" w:eastAsia="仿宋" w:hAnsi="仿宋"/>
              </w:rPr>
            </w:pPr>
            <w:r>
              <w:rPr>
                <w:rFonts w:ascii="仿宋" w:eastAsia="仿宋" w:hAnsi="仿宋"/>
              </w:rPr>
              <w:t>一级指标</w:t>
            </w:r>
          </w:p>
        </w:tc>
        <w:tc>
          <w:tcPr>
            <w:tcW w:w="971" w:type="pct"/>
            <w:tcBorders>
              <w:top w:val="single" w:sz="4" w:space="0" w:color="auto"/>
              <w:left w:val="nil"/>
              <w:bottom w:val="single" w:sz="4" w:space="0" w:color="auto"/>
              <w:right w:val="single" w:sz="4" w:space="0" w:color="auto"/>
            </w:tcBorders>
            <w:vAlign w:val="center"/>
          </w:tcPr>
          <w:p w:rsidR="00427CFC" w:rsidRDefault="004220DA">
            <w:pPr>
              <w:adjustRightInd w:val="0"/>
              <w:snapToGrid w:val="0"/>
              <w:jc w:val="center"/>
              <w:rPr>
                <w:rFonts w:ascii="仿宋" w:eastAsia="仿宋" w:hAnsi="仿宋"/>
              </w:rPr>
            </w:pPr>
            <w:r>
              <w:rPr>
                <w:rFonts w:ascii="仿宋" w:eastAsia="仿宋" w:hAnsi="仿宋"/>
              </w:rPr>
              <w:t>二级指标</w:t>
            </w:r>
          </w:p>
        </w:tc>
        <w:tc>
          <w:tcPr>
            <w:tcW w:w="1457" w:type="pct"/>
            <w:tcBorders>
              <w:top w:val="single" w:sz="4" w:space="0" w:color="auto"/>
              <w:left w:val="nil"/>
              <w:bottom w:val="single" w:sz="4" w:space="0" w:color="auto"/>
              <w:right w:val="single" w:sz="4" w:space="0" w:color="auto"/>
            </w:tcBorders>
            <w:vAlign w:val="center"/>
          </w:tcPr>
          <w:p w:rsidR="00427CFC" w:rsidRDefault="004220DA">
            <w:pPr>
              <w:adjustRightInd w:val="0"/>
              <w:snapToGrid w:val="0"/>
              <w:jc w:val="center"/>
              <w:rPr>
                <w:rFonts w:ascii="仿宋" w:eastAsia="仿宋" w:hAnsi="仿宋"/>
              </w:rPr>
            </w:pPr>
            <w:r>
              <w:rPr>
                <w:rFonts w:ascii="仿宋" w:eastAsia="仿宋" w:hAnsi="仿宋"/>
              </w:rPr>
              <w:t>三级指标</w:t>
            </w:r>
          </w:p>
        </w:tc>
        <w:tc>
          <w:tcPr>
            <w:tcW w:w="1471" w:type="pct"/>
            <w:tcBorders>
              <w:top w:val="single" w:sz="4" w:space="0" w:color="auto"/>
              <w:left w:val="nil"/>
              <w:bottom w:val="single" w:sz="4" w:space="0" w:color="auto"/>
              <w:right w:val="single" w:sz="4" w:space="0" w:color="auto"/>
            </w:tcBorders>
            <w:vAlign w:val="center"/>
          </w:tcPr>
          <w:p w:rsidR="00427CFC" w:rsidRDefault="004220DA">
            <w:pPr>
              <w:adjustRightInd w:val="0"/>
              <w:snapToGrid w:val="0"/>
              <w:jc w:val="center"/>
              <w:rPr>
                <w:rFonts w:ascii="仿宋" w:eastAsia="仿宋" w:hAnsi="仿宋"/>
              </w:rPr>
            </w:pPr>
            <w:r>
              <w:rPr>
                <w:rFonts w:ascii="仿宋" w:eastAsia="仿宋" w:hAnsi="仿宋"/>
              </w:rPr>
              <w:t>指标值</w:t>
            </w:r>
          </w:p>
        </w:tc>
      </w:tr>
      <w:tr w:rsidR="00427CFC">
        <w:trPr>
          <w:cantSplit/>
          <w:trHeight w:val="340"/>
          <w:jc w:val="center"/>
        </w:trPr>
        <w:tc>
          <w:tcPr>
            <w:tcW w:w="431" w:type="pct"/>
            <w:vMerge/>
            <w:tcBorders>
              <w:top w:val="nil"/>
              <w:left w:val="single" w:sz="4" w:space="0" w:color="auto"/>
              <w:bottom w:val="single" w:sz="4" w:space="0" w:color="auto"/>
              <w:right w:val="single" w:sz="4" w:space="0" w:color="auto"/>
            </w:tcBorders>
            <w:vAlign w:val="center"/>
          </w:tcPr>
          <w:p w:rsidR="00427CFC" w:rsidRDefault="00427CFC">
            <w:pPr>
              <w:rPr>
                <w:rFonts w:ascii="仿宋" w:eastAsia="仿宋" w:hAnsi="仿宋"/>
              </w:rPr>
            </w:pPr>
          </w:p>
        </w:tc>
        <w:tc>
          <w:tcPr>
            <w:tcW w:w="669" w:type="pct"/>
            <w:vMerge w:val="restart"/>
            <w:tcBorders>
              <w:top w:val="nil"/>
              <w:left w:val="nil"/>
              <w:right w:val="single" w:sz="4" w:space="0" w:color="auto"/>
            </w:tcBorders>
            <w:vAlign w:val="center"/>
          </w:tcPr>
          <w:p w:rsidR="00427CFC" w:rsidRDefault="004220DA">
            <w:pPr>
              <w:adjustRightInd w:val="0"/>
              <w:snapToGrid w:val="0"/>
              <w:ind w:firstLineChars="0" w:firstLine="0"/>
              <w:jc w:val="center"/>
              <w:rPr>
                <w:rFonts w:ascii="仿宋" w:eastAsia="仿宋" w:hAnsi="仿宋"/>
              </w:rPr>
            </w:pPr>
            <w:r>
              <w:rPr>
                <w:rFonts w:ascii="仿宋" w:eastAsia="仿宋" w:hAnsi="仿宋"/>
              </w:rPr>
              <w:t>产出指标</w:t>
            </w:r>
          </w:p>
        </w:tc>
        <w:tc>
          <w:tcPr>
            <w:tcW w:w="971" w:type="pct"/>
            <w:vMerge w:val="restart"/>
            <w:tcBorders>
              <w:top w:val="nil"/>
              <w:left w:val="nil"/>
              <w:bottom w:val="single" w:sz="4" w:space="0" w:color="auto"/>
              <w:right w:val="single" w:sz="4" w:space="0" w:color="auto"/>
            </w:tcBorders>
            <w:vAlign w:val="center"/>
          </w:tcPr>
          <w:p w:rsidR="00427CFC" w:rsidRDefault="004220DA">
            <w:pPr>
              <w:adjustRightInd w:val="0"/>
              <w:snapToGrid w:val="0"/>
              <w:jc w:val="center"/>
              <w:rPr>
                <w:rFonts w:ascii="仿宋" w:eastAsia="仿宋" w:hAnsi="仿宋"/>
              </w:rPr>
            </w:pPr>
            <w:r>
              <w:rPr>
                <w:rFonts w:ascii="仿宋" w:eastAsia="仿宋" w:hAnsi="仿宋"/>
              </w:rPr>
              <w:t>数量指标</w:t>
            </w:r>
          </w:p>
        </w:tc>
        <w:tc>
          <w:tcPr>
            <w:tcW w:w="1457" w:type="pct"/>
            <w:tcBorders>
              <w:top w:val="single" w:sz="4" w:space="0" w:color="auto"/>
              <w:left w:val="nil"/>
              <w:bottom w:val="single" w:sz="4" w:space="0" w:color="auto"/>
              <w:right w:val="single" w:sz="4" w:space="0" w:color="auto"/>
            </w:tcBorders>
            <w:vAlign w:val="center"/>
          </w:tcPr>
          <w:p w:rsidR="00427CFC" w:rsidRDefault="004220DA">
            <w:pPr>
              <w:adjustRightInd w:val="0"/>
              <w:snapToGrid w:val="0"/>
              <w:jc w:val="center"/>
              <w:rPr>
                <w:rFonts w:ascii="仿宋" w:eastAsia="仿宋" w:hAnsi="仿宋"/>
              </w:rPr>
            </w:pPr>
            <w:r>
              <w:rPr>
                <w:rFonts w:ascii="仿宋" w:eastAsia="仿宋" w:hAnsi="仿宋" w:hint="eastAsia"/>
              </w:rPr>
              <w:t>系统应用覆盖</w:t>
            </w:r>
            <w:r>
              <w:rPr>
                <w:rFonts w:ascii="仿宋" w:eastAsia="仿宋" w:hAnsi="仿宋"/>
              </w:rPr>
              <w:t>业务科室</w:t>
            </w:r>
          </w:p>
        </w:tc>
        <w:tc>
          <w:tcPr>
            <w:tcW w:w="1471" w:type="pct"/>
            <w:tcBorders>
              <w:top w:val="nil"/>
              <w:left w:val="nil"/>
              <w:bottom w:val="single" w:sz="4" w:space="0" w:color="auto"/>
              <w:right w:val="single" w:sz="4" w:space="0" w:color="auto"/>
            </w:tcBorders>
            <w:vAlign w:val="center"/>
          </w:tcPr>
          <w:p w:rsidR="00427CFC" w:rsidRDefault="004220DA">
            <w:pPr>
              <w:adjustRightInd w:val="0"/>
              <w:snapToGrid w:val="0"/>
              <w:jc w:val="center"/>
              <w:rPr>
                <w:rFonts w:ascii="仿宋" w:eastAsia="仿宋" w:hAnsi="仿宋"/>
              </w:rPr>
            </w:pPr>
            <w:r>
              <w:rPr>
                <w:rFonts w:ascii="仿宋" w:eastAsia="仿宋" w:hAnsi="仿宋"/>
              </w:rPr>
              <w:t>4</w:t>
            </w:r>
            <w:r>
              <w:rPr>
                <w:rFonts w:ascii="仿宋" w:eastAsia="仿宋" w:hAnsi="仿宋" w:hint="eastAsia"/>
              </w:rPr>
              <w:t>个</w:t>
            </w:r>
          </w:p>
        </w:tc>
      </w:tr>
      <w:tr w:rsidR="00427CFC">
        <w:trPr>
          <w:cantSplit/>
          <w:trHeight w:val="690"/>
          <w:jc w:val="center"/>
        </w:trPr>
        <w:tc>
          <w:tcPr>
            <w:tcW w:w="431" w:type="pct"/>
            <w:vMerge/>
            <w:tcBorders>
              <w:top w:val="nil"/>
              <w:left w:val="single" w:sz="4" w:space="0" w:color="auto"/>
              <w:bottom w:val="single" w:sz="4" w:space="0" w:color="auto"/>
              <w:right w:val="single" w:sz="4" w:space="0" w:color="auto"/>
            </w:tcBorders>
            <w:vAlign w:val="center"/>
          </w:tcPr>
          <w:p w:rsidR="00427CFC" w:rsidRDefault="00427CFC">
            <w:pPr>
              <w:rPr>
                <w:rFonts w:ascii="仿宋" w:eastAsia="仿宋" w:hAnsi="仿宋"/>
              </w:rPr>
            </w:pPr>
          </w:p>
        </w:tc>
        <w:tc>
          <w:tcPr>
            <w:tcW w:w="669" w:type="pct"/>
            <w:vMerge/>
            <w:tcBorders>
              <w:left w:val="nil"/>
              <w:right w:val="single" w:sz="4" w:space="0" w:color="auto"/>
            </w:tcBorders>
            <w:vAlign w:val="center"/>
          </w:tcPr>
          <w:p w:rsidR="00427CFC" w:rsidRDefault="00427CFC">
            <w:pPr>
              <w:rPr>
                <w:rFonts w:ascii="仿宋" w:eastAsia="仿宋" w:hAnsi="仿宋"/>
              </w:rPr>
            </w:pPr>
          </w:p>
        </w:tc>
        <w:tc>
          <w:tcPr>
            <w:tcW w:w="971" w:type="pct"/>
            <w:vMerge/>
            <w:tcBorders>
              <w:top w:val="nil"/>
              <w:left w:val="nil"/>
              <w:bottom w:val="single" w:sz="4" w:space="0" w:color="auto"/>
              <w:right w:val="single" w:sz="4" w:space="0" w:color="auto"/>
            </w:tcBorders>
            <w:vAlign w:val="center"/>
          </w:tcPr>
          <w:p w:rsidR="00427CFC" w:rsidRDefault="00427CFC">
            <w:pPr>
              <w:rPr>
                <w:rFonts w:ascii="仿宋" w:eastAsia="仿宋" w:hAnsi="仿宋"/>
              </w:rPr>
            </w:pPr>
          </w:p>
        </w:tc>
        <w:tc>
          <w:tcPr>
            <w:tcW w:w="1457" w:type="pct"/>
            <w:tcBorders>
              <w:top w:val="single" w:sz="4" w:space="0" w:color="auto"/>
              <w:left w:val="nil"/>
              <w:right w:val="single" w:sz="4" w:space="0" w:color="auto"/>
            </w:tcBorders>
            <w:vAlign w:val="center"/>
          </w:tcPr>
          <w:p w:rsidR="00427CFC" w:rsidRDefault="004220DA">
            <w:pPr>
              <w:adjustRightInd w:val="0"/>
              <w:snapToGrid w:val="0"/>
              <w:jc w:val="center"/>
              <w:rPr>
                <w:rFonts w:ascii="仿宋" w:eastAsia="仿宋" w:hAnsi="仿宋"/>
              </w:rPr>
            </w:pPr>
            <w:r>
              <w:rPr>
                <w:rFonts w:ascii="仿宋" w:eastAsia="仿宋" w:hAnsi="仿宋" w:hint="eastAsia"/>
              </w:rPr>
              <w:t>覆盖用户数（人）</w:t>
            </w:r>
          </w:p>
        </w:tc>
        <w:tc>
          <w:tcPr>
            <w:tcW w:w="1471" w:type="pct"/>
            <w:tcBorders>
              <w:top w:val="nil"/>
              <w:left w:val="nil"/>
              <w:right w:val="single" w:sz="4" w:space="0" w:color="auto"/>
            </w:tcBorders>
            <w:vAlign w:val="center"/>
          </w:tcPr>
          <w:p w:rsidR="00427CFC" w:rsidRDefault="004220DA">
            <w:pPr>
              <w:adjustRightInd w:val="0"/>
              <w:snapToGrid w:val="0"/>
              <w:jc w:val="center"/>
              <w:rPr>
                <w:rFonts w:ascii="仿宋" w:eastAsia="仿宋" w:hAnsi="仿宋"/>
              </w:rPr>
            </w:pPr>
            <w:r>
              <w:rPr>
                <w:rFonts w:ascii="仿宋" w:eastAsia="仿宋" w:hAnsi="仿宋"/>
              </w:rPr>
              <w:t>200</w:t>
            </w:r>
          </w:p>
        </w:tc>
      </w:tr>
      <w:tr w:rsidR="00427CFC">
        <w:trPr>
          <w:cantSplit/>
          <w:trHeight w:val="340"/>
          <w:jc w:val="center"/>
        </w:trPr>
        <w:tc>
          <w:tcPr>
            <w:tcW w:w="431" w:type="pct"/>
            <w:vMerge/>
            <w:tcBorders>
              <w:top w:val="nil"/>
              <w:left w:val="single" w:sz="4" w:space="0" w:color="auto"/>
              <w:bottom w:val="single" w:sz="4" w:space="0" w:color="auto"/>
              <w:right w:val="single" w:sz="4" w:space="0" w:color="auto"/>
            </w:tcBorders>
            <w:vAlign w:val="center"/>
          </w:tcPr>
          <w:p w:rsidR="00427CFC" w:rsidRDefault="00427CFC">
            <w:pPr>
              <w:rPr>
                <w:rFonts w:ascii="仿宋" w:eastAsia="仿宋" w:hAnsi="仿宋"/>
              </w:rPr>
            </w:pPr>
          </w:p>
        </w:tc>
        <w:tc>
          <w:tcPr>
            <w:tcW w:w="669" w:type="pct"/>
            <w:vMerge/>
            <w:tcBorders>
              <w:left w:val="nil"/>
              <w:right w:val="single" w:sz="4" w:space="0" w:color="auto"/>
            </w:tcBorders>
            <w:vAlign w:val="center"/>
          </w:tcPr>
          <w:p w:rsidR="00427CFC" w:rsidRDefault="00427CFC">
            <w:pPr>
              <w:rPr>
                <w:rFonts w:ascii="仿宋" w:eastAsia="仿宋" w:hAnsi="仿宋"/>
              </w:rPr>
            </w:pPr>
          </w:p>
        </w:tc>
        <w:tc>
          <w:tcPr>
            <w:tcW w:w="971" w:type="pct"/>
            <w:vMerge w:val="restart"/>
            <w:tcBorders>
              <w:top w:val="nil"/>
              <w:left w:val="nil"/>
              <w:right w:val="single" w:sz="4" w:space="0" w:color="auto"/>
            </w:tcBorders>
            <w:vAlign w:val="center"/>
          </w:tcPr>
          <w:p w:rsidR="00427CFC" w:rsidRDefault="004220DA">
            <w:pPr>
              <w:adjustRightInd w:val="0"/>
              <w:snapToGrid w:val="0"/>
              <w:jc w:val="center"/>
              <w:rPr>
                <w:rFonts w:ascii="仿宋" w:eastAsia="仿宋" w:hAnsi="仿宋"/>
              </w:rPr>
            </w:pPr>
            <w:r>
              <w:rPr>
                <w:rFonts w:ascii="仿宋" w:eastAsia="仿宋" w:hAnsi="仿宋"/>
              </w:rPr>
              <w:t>质量指标</w:t>
            </w:r>
          </w:p>
        </w:tc>
        <w:tc>
          <w:tcPr>
            <w:tcW w:w="1457" w:type="pct"/>
            <w:tcBorders>
              <w:top w:val="single" w:sz="4" w:space="0" w:color="auto"/>
              <w:left w:val="nil"/>
              <w:bottom w:val="single" w:sz="4" w:space="0" w:color="auto"/>
              <w:right w:val="single" w:sz="4" w:space="0" w:color="auto"/>
            </w:tcBorders>
            <w:vAlign w:val="center"/>
          </w:tcPr>
          <w:p w:rsidR="00427CFC" w:rsidRDefault="004220DA">
            <w:pPr>
              <w:adjustRightInd w:val="0"/>
              <w:snapToGrid w:val="0"/>
              <w:jc w:val="center"/>
              <w:rPr>
                <w:rFonts w:ascii="仿宋" w:eastAsia="仿宋" w:hAnsi="仿宋"/>
              </w:rPr>
            </w:pPr>
            <w:r>
              <w:rPr>
                <w:rFonts w:ascii="仿宋" w:eastAsia="仿宋" w:hAnsi="仿宋" w:hint="eastAsia"/>
              </w:rPr>
              <w:t>数据迁移完整度</w:t>
            </w:r>
          </w:p>
        </w:tc>
        <w:tc>
          <w:tcPr>
            <w:tcW w:w="1471" w:type="pct"/>
            <w:tcBorders>
              <w:top w:val="single" w:sz="4" w:space="0" w:color="auto"/>
              <w:left w:val="nil"/>
              <w:bottom w:val="single" w:sz="4" w:space="0" w:color="auto"/>
              <w:right w:val="single" w:sz="4" w:space="0" w:color="auto"/>
            </w:tcBorders>
            <w:vAlign w:val="center"/>
          </w:tcPr>
          <w:p w:rsidR="00427CFC" w:rsidRDefault="004220DA">
            <w:pPr>
              <w:adjustRightInd w:val="0"/>
              <w:snapToGrid w:val="0"/>
              <w:jc w:val="center"/>
              <w:rPr>
                <w:rFonts w:ascii="仿宋" w:eastAsia="仿宋" w:hAnsi="仿宋"/>
              </w:rPr>
            </w:pPr>
            <w:r>
              <w:rPr>
                <w:rFonts w:ascii="仿宋" w:eastAsia="仿宋" w:hAnsi="仿宋" w:hint="eastAsia"/>
              </w:rPr>
              <w:t>100%</w:t>
            </w:r>
          </w:p>
        </w:tc>
      </w:tr>
      <w:tr w:rsidR="00427CFC">
        <w:trPr>
          <w:cantSplit/>
          <w:trHeight w:val="340"/>
          <w:jc w:val="center"/>
        </w:trPr>
        <w:tc>
          <w:tcPr>
            <w:tcW w:w="431" w:type="pct"/>
            <w:vMerge/>
            <w:tcBorders>
              <w:top w:val="nil"/>
              <w:left w:val="single" w:sz="4" w:space="0" w:color="auto"/>
              <w:bottom w:val="single" w:sz="4" w:space="0" w:color="auto"/>
              <w:right w:val="single" w:sz="4" w:space="0" w:color="auto"/>
            </w:tcBorders>
            <w:vAlign w:val="center"/>
          </w:tcPr>
          <w:p w:rsidR="00427CFC" w:rsidRDefault="00427CFC">
            <w:pPr>
              <w:rPr>
                <w:rFonts w:ascii="仿宋" w:eastAsia="仿宋" w:hAnsi="仿宋"/>
              </w:rPr>
            </w:pPr>
          </w:p>
        </w:tc>
        <w:tc>
          <w:tcPr>
            <w:tcW w:w="669" w:type="pct"/>
            <w:vMerge/>
            <w:tcBorders>
              <w:left w:val="nil"/>
              <w:right w:val="single" w:sz="4" w:space="0" w:color="auto"/>
            </w:tcBorders>
            <w:vAlign w:val="center"/>
          </w:tcPr>
          <w:p w:rsidR="00427CFC" w:rsidRDefault="00427CFC">
            <w:pPr>
              <w:rPr>
                <w:rFonts w:ascii="仿宋" w:eastAsia="仿宋" w:hAnsi="仿宋"/>
              </w:rPr>
            </w:pPr>
          </w:p>
        </w:tc>
        <w:tc>
          <w:tcPr>
            <w:tcW w:w="971" w:type="pct"/>
            <w:vMerge/>
            <w:tcBorders>
              <w:left w:val="nil"/>
              <w:bottom w:val="single" w:sz="4" w:space="0" w:color="auto"/>
              <w:right w:val="single" w:sz="4" w:space="0" w:color="auto"/>
            </w:tcBorders>
            <w:vAlign w:val="center"/>
          </w:tcPr>
          <w:p w:rsidR="00427CFC" w:rsidRDefault="00427CFC">
            <w:pPr>
              <w:rPr>
                <w:rFonts w:ascii="仿宋" w:eastAsia="仿宋" w:hAnsi="仿宋"/>
              </w:rPr>
            </w:pPr>
          </w:p>
        </w:tc>
        <w:tc>
          <w:tcPr>
            <w:tcW w:w="1457" w:type="pct"/>
            <w:tcBorders>
              <w:top w:val="single" w:sz="4" w:space="0" w:color="auto"/>
              <w:left w:val="nil"/>
              <w:right w:val="single" w:sz="4" w:space="0" w:color="auto"/>
            </w:tcBorders>
            <w:vAlign w:val="center"/>
          </w:tcPr>
          <w:p w:rsidR="00427CFC" w:rsidRDefault="004220DA">
            <w:pPr>
              <w:adjustRightInd w:val="0"/>
              <w:snapToGrid w:val="0"/>
              <w:jc w:val="center"/>
              <w:rPr>
                <w:rFonts w:ascii="仿宋" w:eastAsia="仿宋" w:hAnsi="仿宋"/>
              </w:rPr>
            </w:pPr>
            <w:r>
              <w:rPr>
                <w:rFonts w:ascii="仿宋" w:eastAsia="仿宋" w:hAnsi="仿宋" w:hint="eastAsia"/>
              </w:rPr>
              <w:t>整合后应用系统访问响应时间</w:t>
            </w:r>
          </w:p>
        </w:tc>
        <w:tc>
          <w:tcPr>
            <w:tcW w:w="1471" w:type="pct"/>
            <w:tcBorders>
              <w:top w:val="nil"/>
              <w:left w:val="nil"/>
              <w:bottom w:val="single" w:sz="4" w:space="0" w:color="auto"/>
              <w:right w:val="single" w:sz="4" w:space="0" w:color="auto"/>
            </w:tcBorders>
            <w:vAlign w:val="center"/>
          </w:tcPr>
          <w:p w:rsidR="00427CFC" w:rsidRDefault="004220DA">
            <w:pPr>
              <w:adjustRightInd w:val="0"/>
              <w:snapToGrid w:val="0"/>
              <w:jc w:val="center"/>
              <w:rPr>
                <w:rFonts w:ascii="仿宋" w:eastAsia="仿宋" w:hAnsi="仿宋"/>
              </w:rPr>
            </w:pPr>
            <w:r>
              <w:rPr>
                <w:rFonts w:ascii="仿宋" w:eastAsia="仿宋" w:hAnsi="仿宋"/>
              </w:rPr>
              <w:t>≤</w:t>
            </w:r>
            <w:r>
              <w:rPr>
                <w:rFonts w:ascii="仿宋" w:eastAsia="仿宋" w:hAnsi="仿宋" w:hint="eastAsia"/>
              </w:rPr>
              <w:t>5秒</w:t>
            </w:r>
          </w:p>
        </w:tc>
      </w:tr>
      <w:tr w:rsidR="00427CFC">
        <w:trPr>
          <w:cantSplit/>
          <w:trHeight w:val="340"/>
          <w:jc w:val="center"/>
        </w:trPr>
        <w:tc>
          <w:tcPr>
            <w:tcW w:w="431" w:type="pct"/>
            <w:vMerge/>
            <w:tcBorders>
              <w:top w:val="nil"/>
              <w:left w:val="single" w:sz="4" w:space="0" w:color="auto"/>
              <w:bottom w:val="single" w:sz="4" w:space="0" w:color="auto"/>
              <w:right w:val="single" w:sz="4" w:space="0" w:color="auto"/>
            </w:tcBorders>
            <w:vAlign w:val="center"/>
          </w:tcPr>
          <w:p w:rsidR="00427CFC" w:rsidRDefault="00427CFC">
            <w:pPr>
              <w:rPr>
                <w:rFonts w:ascii="仿宋" w:eastAsia="仿宋" w:hAnsi="仿宋"/>
              </w:rPr>
            </w:pPr>
          </w:p>
        </w:tc>
        <w:tc>
          <w:tcPr>
            <w:tcW w:w="669" w:type="pct"/>
            <w:vMerge/>
            <w:tcBorders>
              <w:left w:val="nil"/>
              <w:right w:val="single" w:sz="4" w:space="0" w:color="auto"/>
            </w:tcBorders>
            <w:vAlign w:val="center"/>
          </w:tcPr>
          <w:p w:rsidR="00427CFC" w:rsidRDefault="00427CFC">
            <w:pPr>
              <w:rPr>
                <w:rFonts w:ascii="仿宋" w:eastAsia="仿宋" w:hAnsi="仿宋"/>
              </w:rPr>
            </w:pPr>
          </w:p>
        </w:tc>
        <w:tc>
          <w:tcPr>
            <w:tcW w:w="971" w:type="pct"/>
            <w:tcBorders>
              <w:top w:val="single" w:sz="4" w:space="0" w:color="auto"/>
              <w:left w:val="nil"/>
              <w:bottom w:val="single" w:sz="4" w:space="0" w:color="auto"/>
              <w:right w:val="single" w:sz="4" w:space="0" w:color="auto"/>
            </w:tcBorders>
            <w:vAlign w:val="center"/>
          </w:tcPr>
          <w:p w:rsidR="00427CFC" w:rsidRDefault="004220DA">
            <w:pPr>
              <w:adjustRightInd w:val="0"/>
              <w:snapToGrid w:val="0"/>
              <w:jc w:val="center"/>
              <w:rPr>
                <w:rFonts w:ascii="仿宋" w:eastAsia="仿宋" w:hAnsi="仿宋"/>
              </w:rPr>
            </w:pPr>
            <w:r>
              <w:rPr>
                <w:rFonts w:ascii="仿宋" w:eastAsia="仿宋" w:hAnsi="仿宋"/>
              </w:rPr>
              <w:t>时效指标</w:t>
            </w:r>
          </w:p>
        </w:tc>
        <w:tc>
          <w:tcPr>
            <w:tcW w:w="1457" w:type="pct"/>
            <w:tcBorders>
              <w:top w:val="single" w:sz="4" w:space="0" w:color="auto"/>
              <w:left w:val="nil"/>
              <w:bottom w:val="single" w:sz="4" w:space="0" w:color="auto"/>
              <w:right w:val="single" w:sz="4" w:space="0" w:color="auto"/>
            </w:tcBorders>
            <w:vAlign w:val="center"/>
          </w:tcPr>
          <w:p w:rsidR="00427CFC" w:rsidRDefault="004220DA">
            <w:pPr>
              <w:adjustRightInd w:val="0"/>
              <w:snapToGrid w:val="0"/>
              <w:jc w:val="center"/>
              <w:rPr>
                <w:rFonts w:ascii="仿宋" w:eastAsia="仿宋" w:hAnsi="仿宋"/>
              </w:rPr>
            </w:pPr>
            <w:r>
              <w:rPr>
                <w:rFonts w:ascii="仿宋" w:eastAsia="仿宋" w:hAnsi="仿宋" w:hint="eastAsia"/>
              </w:rPr>
              <w:t>项目实施进度</w:t>
            </w:r>
          </w:p>
        </w:tc>
        <w:tc>
          <w:tcPr>
            <w:tcW w:w="1471" w:type="pct"/>
            <w:tcBorders>
              <w:top w:val="single" w:sz="4" w:space="0" w:color="auto"/>
              <w:left w:val="nil"/>
              <w:bottom w:val="single" w:sz="4" w:space="0" w:color="auto"/>
              <w:right w:val="single" w:sz="4" w:space="0" w:color="auto"/>
            </w:tcBorders>
            <w:vAlign w:val="center"/>
          </w:tcPr>
          <w:p w:rsidR="00427CFC" w:rsidRDefault="004220DA">
            <w:pPr>
              <w:adjustRightInd w:val="0"/>
              <w:snapToGrid w:val="0"/>
              <w:jc w:val="center"/>
              <w:rPr>
                <w:rFonts w:ascii="仿宋" w:eastAsia="仿宋" w:hAnsi="仿宋"/>
              </w:rPr>
            </w:pPr>
            <w:r>
              <w:rPr>
                <w:rFonts w:ascii="仿宋" w:eastAsia="仿宋" w:hAnsi="仿宋"/>
              </w:rPr>
              <w:t>2024</w:t>
            </w:r>
            <w:r>
              <w:rPr>
                <w:rFonts w:ascii="仿宋" w:eastAsia="仿宋" w:hAnsi="仿宋" w:hint="eastAsia"/>
              </w:rPr>
              <w:t>年</w:t>
            </w:r>
            <w:r>
              <w:rPr>
                <w:rFonts w:ascii="仿宋" w:eastAsia="仿宋" w:hAnsi="仿宋"/>
              </w:rPr>
              <w:t>12</w:t>
            </w:r>
            <w:r>
              <w:rPr>
                <w:rFonts w:ascii="仿宋" w:eastAsia="仿宋" w:hAnsi="仿宋" w:hint="eastAsia"/>
              </w:rPr>
              <w:t>月前完成</w:t>
            </w:r>
          </w:p>
        </w:tc>
      </w:tr>
      <w:tr w:rsidR="00427CFC">
        <w:trPr>
          <w:cantSplit/>
          <w:trHeight w:val="326"/>
          <w:jc w:val="center"/>
        </w:trPr>
        <w:tc>
          <w:tcPr>
            <w:tcW w:w="431" w:type="pct"/>
            <w:vMerge/>
            <w:tcBorders>
              <w:top w:val="nil"/>
              <w:left w:val="single" w:sz="4" w:space="0" w:color="auto"/>
              <w:bottom w:val="single" w:sz="4" w:space="0" w:color="auto"/>
              <w:right w:val="single" w:sz="4" w:space="0" w:color="auto"/>
            </w:tcBorders>
            <w:vAlign w:val="center"/>
          </w:tcPr>
          <w:p w:rsidR="00427CFC" w:rsidRDefault="00427CFC">
            <w:pPr>
              <w:rPr>
                <w:rFonts w:ascii="仿宋" w:eastAsia="仿宋" w:hAnsi="仿宋"/>
              </w:rPr>
            </w:pPr>
          </w:p>
        </w:tc>
        <w:tc>
          <w:tcPr>
            <w:tcW w:w="669" w:type="pct"/>
            <w:vMerge/>
            <w:tcBorders>
              <w:left w:val="nil"/>
              <w:right w:val="single" w:sz="4" w:space="0" w:color="auto"/>
            </w:tcBorders>
            <w:vAlign w:val="center"/>
          </w:tcPr>
          <w:p w:rsidR="00427CFC" w:rsidRDefault="00427CFC">
            <w:pPr>
              <w:rPr>
                <w:rFonts w:ascii="仿宋" w:eastAsia="仿宋" w:hAnsi="仿宋"/>
              </w:rPr>
            </w:pPr>
          </w:p>
        </w:tc>
        <w:tc>
          <w:tcPr>
            <w:tcW w:w="971" w:type="pct"/>
            <w:vMerge w:val="restart"/>
            <w:tcBorders>
              <w:top w:val="single" w:sz="4" w:space="0" w:color="auto"/>
              <w:left w:val="nil"/>
              <w:right w:val="single" w:sz="4" w:space="0" w:color="auto"/>
            </w:tcBorders>
            <w:vAlign w:val="center"/>
          </w:tcPr>
          <w:p w:rsidR="00427CFC" w:rsidRDefault="004220DA">
            <w:pPr>
              <w:adjustRightInd w:val="0"/>
              <w:snapToGrid w:val="0"/>
              <w:jc w:val="center"/>
              <w:rPr>
                <w:rFonts w:ascii="仿宋" w:eastAsia="仿宋" w:hAnsi="仿宋"/>
              </w:rPr>
            </w:pPr>
            <w:r>
              <w:rPr>
                <w:rFonts w:ascii="仿宋" w:eastAsia="仿宋" w:hAnsi="仿宋"/>
              </w:rPr>
              <w:t>成本指标</w:t>
            </w:r>
          </w:p>
        </w:tc>
        <w:tc>
          <w:tcPr>
            <w:tcW w:w="1457" w:type="pct"/>
            <w:tcBorders>
              <w:top w:val="single" w:sz="4" w:space="0" w:color="auto"/>
              <w:left w:val="nil"/>
              <w:right w:val="single" w:sz="4" w:space="0" w:color="auto"/>
            </w:tcBorders>
            <w:vAlign w:val="center"/>
          </w:tcPr>
          <w:p w:rsidR="00427CFC" w:rsidRDefault="004220DA">
            <w:pPr>
              <w:adjustRightInd w:val="0"/>
              <w:snapToGrid w:val="0"/>
              <w:jc w:val="center"/>
              <w:rPr>
                <w:rFonts w:ascii="仿宋" w:eastAsia="仿宋" w:hAnsi="仿宋"/>
              </w:rPr>
            </w:pPr>
            <w:r>
              <w:rPr>
                <w:rFonts w:ascii="仿宋" w:eastAsia="仿宋" w:hAnsi="仿宋" w:hint="eastAsia"/>
              </w:rPr>
              <w:t>预算刚性约束</w:t>
            </w:r>
          </w:p>
        </w:tc>
        <w:tc>
          <w:tcPr>
            <w:tcW w:w="1471" w:type="pct"/>
            <w:tcBorders>
              <w:top w:val="single" w:sz="4" w:space="0" w:color="auto"/>
              <w:left w:val="nil"/>
              <w:bottom w:val="single" w:sz="4" w:space="0" w:color="auto"/>
              <w:right w:val="single" w:sz="4" w:space="0" w:color="auto"/>
            </w:tcBorders>
            <w:vAlign w:val="center"/>
          </w:tcPr>
          <w:p w:rsidR="00427CFC" w:rsidRDefault="004220DA">
            <w:pPr>
              <w:adjustRightInd w:val="0"/>
              <w:snapToGrid w:val="0"/>
              <w:jc w:val="center"/>
              <w:rPr>
                <w:rFonts w:ascii="仿宋" w:eastAsia="仿宋" w:hAnsi="仿宋"/>
              </w:rPr>
            </w:pPr>
            <w:r>
              <w:rPr>
                <w:rFonts w:ascii="仿宋" w:eastAsia="仿宋" w:hAnsi="仿宋" w:hint="eastAsia"/>
              </w:rPr>
              <w:t>不超预算</w:t>
            </w:r>
          </w:p>
        </w:tc>
      </w:tr>
      <w:tr w:rsidR="00427CFC">
        <w:trPr>
          <w:cantSplit/>
          <w:trHeight w:val="340"/>
          <w:jc w:val="center"/>
        </w:trPr>
        <w:tc>
          <w:tcPr>
            <w:tcW w:w="431" w:type="pct"/>
            <w:vMerge/>
            <w:tcBorders>
              <w:top w:val="nil"/>
              <w:left w:val="single" w:sz="4" w:space="0" w:color="auto"/>
              <w:bottom w:val="single" w:sz="4" w:space="0" w:color="auto"/>
              <w:right w:val="single" w:sz="4" w:space="0" w:color="auto"/>
            </w:tcBorders>
            <w:vAlign w:val="center"/>
          </w:tcPr>
          <w:p w:rsidR="00427CFC" w:rsidRDefault="00427CFC">
            <w:pPr>
              <w:rPr>
                <w:rFonts w:ascii="仿宋" w:eastAsia="仿宋" w:hAnsi="仿宋"/>
              </w:rPr>
            </w:pPr>
          </w:p>
        </w:tc>
        <w:tc>
          <w:tcPr>
            <w:tcW w:w="669" w:type="pct"/>
            <w:vMerge/>
            <w:tcBorders>
              <w:left w:val="nil"/>
              <w:bottom w:val="single" w:sz="4" w:space="0" w:color="auto"/>
              <w:right w:val="single" w:sz="4" w:space="0" w:color="auto"/>
            </w:tcBorders>
            <w:vAlign w:val="center"/>
          </w:tcPr>
          <w:p w:rsidR="00427CFC" w:rsidRDefault="00427CFC">
            <w:pPr>
              <w:rPr>
                <w:rFonts w:ascii="仿宋" w:eastAsia="仿宋" w:hAnsi="仿宋"/>
              </w:rPr>
            </w:pPr>
          </w:p>
        </w:tc>
        <w:tc>
          <w:tcPr>
            <w:tcW w:w="971" w:type="pct"/>
            <w:vMerge/>
            <w:tcBorders>
              <w:left w:val="nil"/>
              <w:bottom w:val="single" w:sz="4" w:space="0" w:color="auto"/>
              <w:right w:val="single" w:sz="4" w:space="0" w:color="auto"/>
            </w:tcBorders>
            <w:vAlign w:val="center"/>
          </w:tcPr>
          <w:p w:rsidR="00427CFC" w:rsidRDefault="00427CFC">
            <w:pPr>
              <w:rPr>
                <w:rFonts w:ascii="仿宋" w:eastAsia="仿宋" w:hAnsi="仿宋"/>
              </w:rPr>
            </w:pPr>
          </w:p>
        </w:tc>
        <w:tc>
          <w:tcPr>
            <w:tcW w:w="1457" w:type="pct"/>
            <w:tcBorders>
              <w:top w:val="single" w:sz="4" w:space="0" w:color="auto"/>
              <w:left w:val="nil"/>
              <w:right w:val="single" w:sz="4" w:space="0" w:color="auto"/>
            </w:tcBorders>
            <w:vAlign w:val="center"/>
          </w:tcPr>
          <w:p w:rsidR="00427CFC" w:rsidRDefault="004220DA">
            <w:pPr>
              <w:adjustRightInd w:val="0"/>
              <w:snapToGrid w:val="0"/>
              <w:jc w:val="center"/>
              <w:rPr>
                <w:rFonts w:ascii="仿宋" w:eastAsia="仿宋" w:hAnsi="仿宋"/>
              </w:rPr>
            </w:pPr>
            <w:r>
              <w:rPr>
                <w:rFonts w:ascii="仿宋" w:eastAsia="仿宋" w:hAnsi="仿宋"/>
              </w:rPr>
              <w:t>控制</w:t>
            </w:r>
            <w:r>
              <w:rPr>
                <w:rFonts w:ascii="仿宋" w:eastAsia="仿宋" w:hAnsi="仿宋" w:hint="eastAsia"/>
              </w:rPr>
              <w:t>成本管理规范性</w:t>
            </w:r>
          </w:p>
        </w:tc>
        <w:tc>
          <w:tcPr>
            <w:tcW w:w="1471" w:type="pct"/>
            <w:tcBorders>
              <w:top w:val="single" w:sz="4" w:space="0" w:color="auto"/>
              <w:left w:val="nil"/>
              <w:bottom w:val="single" w:sz="4" w:space="0" w:color="auto"/>
              <w:right w:val="single" w:sz="4" w:space="0" w:color="auto"/>
            </w:tcBorders>
            <w:vAlign w:val="center"/>
          </w:tcPr>
          <w:p w:rsidR="00427CFC" w:rsidRDefault="004220DA">
            <w:pPr>
              <w:adjustRightInd w:val="0"/>
              <w:snapToGrid w:val="0"/>
              <w:jc w:val="center"/>
              <w:rPr>
                <w:rFonts w:ascii="仿宋" w:eastAsia="仿宋" w:hAnsi="仿宋"/>
              </w:rPr>
            </w:pPr>
            <w:r>
              <w:rPr>
                <w:rFonts w:ascii="仿宋" w:eastAsia="仿宋" w:hAnsi="仿宋" w:hint="eastAsia"/>
              </w:rPr>
              <w:t>规范</w:t>
            </w:r>
          </w:p>
        </w:tc>
      </w:tr>
      <w:tr w:rsidR="00427CFC">
        <w:trPr>
          <w:cantSplit/>
          <w:trHeight w:val="340"/>
          <w:jc w:val="center"/>
        </w:trPr>
        <w:tc>
          <w:tcPr>
            <w:tcW w:w="431" w:type="pct"/>
            <w:vMerge/>
            <w:tcBorders>
              <w:top w:val="nil"/>
              <w:left w:val="single" w:sz="4" w:space="0" w:color="auto"/>
              <w:bottom w:val="single" w:sz="4" w:space="0" w:color="auto"/>
              <w:right w:val="single" w:sz="4" w:space="0" w:color="auto"/>
            </w:tcBorders>
            <w:vAlign w:val="center"/>
          </w:tcPr>
          <w:p w:rsidR="00427CFC" w:rsidRDefault="00427CFC">
            <w:pPr>
              <w:rPr>
                <w:rFonts w:ascii="仿宋" w:eastAsia="仿宋" w:hAnsi="仿宋"/>
              </w:rPr>
            </w:pPr>
          </w:p>
        </w:tc>
        <w:tc>
          <w:tcPr>
            <w:tcW w:w="669" w:type="pct"/>
            <w:vMerge w:val="restart"/>
            <w:tcBorders>
              <w:top w:val="nil"/>
              <w:left w:val="nil"/>
              <w:right w:val="single" w:sz="4" w:space="0" w:color="auto"/>
            </w:tcBorders>
            <w:vAlign w:val="center"/>
          </w:tcPr>
          <w:p w:rsidR="00427CFC" w:rsidRDefault="004220DA">
            <w:pPr>
              <w:ind w:firstLineChars="0" w:firstLine="0"/>
              <w:jc w:val="center"/>
              <w:rPr>
                <w:rFonts w:ascii="仿宋" w:eastAsia="仿宋" w:hAnsi="仿宋"/>
              </w:rPr>
            </w:pPr>
            <w:r>
              <w:rPr>
                <w:rFonts w:ascii="仿宋" w:eastAsia="仿宋" w:hAnsi="仿宋" w:hint="eastAsia"/>
              </w:rPr>
              <w:t>效益指标</w:t>
            </w:r>
          </w:p>
        </w:tc>
        <w:tc>
          <w:tcPr>
            <w:tcW w:w="971" w:type="pct"/>
            <w:tcBorders>
              <w:top w:val="nil"/>
              <w:left w:val="nil"/>
              <w:bottom w:val="single" w:sz="4" w:space="0" w:color="auto"/>
              <w:right w:val="single" w:sz="4" w:space="0" w:color="auto"/>
            </w:tcBorders>
            <w:vAlign w:val="center"/>
          </w:tcPr>
          <w:p w:rsidR="00427CFC" w:rsidRDefault="004220DA">
            <w:pPr>
              <w:adjustRightInd w:val="0"/>
              <w:snapToGrid w:val="0"/>
              <w:jc w:val="center"/>
              <w:rPr>
                <w:rFonts w:ascii="仿宋" w:eastAsia="仿宋" w:hAnsi="仿宋"/>
              </w:rPr>
            </w:pPr>
            <w:r>
              <w:rPr>
                <w:rFonts w:ascii="仿宋" w:eastAsia="仿宋" w:hAnsi="仿宋"/>
              </w:rPr>
              <w:t>社会效益</w:t>
            </w:r>
          </w:p>
          <w:p w:rsidR="00427CFC" w:rsidRDefault="004220DA">
            <w:pPr>
              <w:adjustRightInd w:val="0"/>
              <w:snapToGrid w:val="0"/>
              <w:jc w:val="center"/>
              <w:rPr>
                <w:rFonts w:ascii="仿宋" w:eastAsia="仿宋" w:hAnsi="仿宋"/>
              </w:rPr>
            </w:pPr>
            <w:r>
              <w:rPr>
                <w:rFonts w:ascii="仿宋" w:eastAsia="仿宋" w:hAnsi="仿宋"/>
              </w:rPr>
              <w:t>指标</w:t>
            </w:r>
          </w:p>
        </w:tc>
        <w:tc>
          <w:tcPr>
            <w:tcW w:w="1457" w:type="pct"/>
            <w:tcBorders>
              <w:top w:val="single" w:sz="4" w:space="0" w:color="auto"/>
              <w:left w:val="nil"/>
              <w:bottom w:val="single" w:sz="4" w:space="0" w:color="auto"/>
              <w:right w:val="single" w:sz="4" w:space="0" w:color="auto"/>
            </w:tcBorders>
            <w:vAlign w:val="center"/>
          </w:tcPr>
          <w:p w:rsidR="00427CFC" w:rsidRDefault="004220DA">
            <w:pPr>
              <w:adjustRightInd w:val="0"/>
              <w:snapToGrid w:val="0"/>
              <w:jc w:val="center"/>
              <w:rPr>
                <w:rFonts w:ascii="仿宋" w:eastAsia="仿宋" w:hAnsi="仿宋"/>
              </w:rPr>
            </w:pPr>
            <w:r>
              <w:rPr>
                <w:rFonts w:ascii="仿宋" w:eastAsia="仿宋" w:hAnsi="仿宋" w:hint="eastAsia"/>
              </w:rPr>
              <w:t>构建自主可控信息技术体系和产业生态</w:t>
            </w:r>
          </w:p>
        </w:tc>
        <w:tc>
          <w:tcPr>
            <w:tcW w:w="1471" w:type="pct"/>
            <w:tcBorders>
              <w:top w:val="single" w:sz="4" w:space="0" w:color="auto"/>
              <w:left w:val="nil"/>
              <w:bottom w:val="single" w:sz="4" w:space="0" w:color="auto"/>
              <w:right w:val="single" w:sz="4" w:space="0" w:color="auto"/>
            </w:tcBorders>
            <w:vAlign w:val="center"/>
          </w:tcPr>
          <w:p w:rsidR="00427CFC" w:rsidRDefault="004220DA">
            <w:pPr>
              <w:adjustRightInd w:val="0"/>
              <w:snapToGrid w:val="0"/>
              <w:jc w:val="center"/>
              <w:rPr>
                <w:rFonts w:ascii="仿宋" w:eastAsia="仿宋" w:hAnsi="仿宋"/>
              </w:rPr>
            </w:pPr>
            <w:r>
              <w:rPr>
                <w:rFonts w:ascii="仿宋" w:eastAsia="仿宋" w:hAnsi="仿宋" w:hint="eastAsia"/>
              </w:rPr>
              <w:t>完全适配自主可控信息技术体系和产业生态</w:t>
            </w:r>
          </w:p>
        </w:tc>
      </w:tr>
      <w:tr w:rsidR="00427CFC">
        <w:trPr>
          <w:cantSplit/>
          <w:trHeight w:val="340"/>
          <w:jc w:val="center"/>
        </w:trPr>
        <w:tc>
          <w:tcPr>
            <w:tcW w:w="431" w:type="pct"/>
            <w:vMerge/>
            <w:tcBorders>
              <w:top w:val="nil"/>
              <w:left w:val="single" w:sz="4" w:space="0" w:color="auto"/>
              <w:bottom w:val="single" w:sz="4" w:space="0" w:color="auto"/>
              <w:right w:val="single" w:sz="4" w:space="0" w:color="auto"/>
            </w:tcBorders>
            <w:vAlign w:val="center"/>
          </w:tcPr>
          <w:p w:rsidR="00427CFC" w:rsidRDefault="00427CFC">
            <w:pPr>
              <w:rPr>
                <w:rFonts w:ascii="仿宋" w:eastAsia="仿宋" w:hAnsi="仿宋"/>
              </w:rPr>
            </w:pPr>
          </w:p>
        </w:tc>
        <w:tc>
          <w:tcPr>
            <w:tcW w:w="669" w:type="pct"/>
            <w:vMerge/>
            <w:tcBorders>
              <w:left w:val="nil"/>
              <w:bottom w:val="single" w:sz="4" w:space="0" w:color="auto"/>
              <w:right w:val="single" w:sz="4" w:space="0" w:color="auto"/>
            </w:tcBorders>
            <w:vAlign w:val="center"/>
          </w:tcPr>
          <w:p w:rsidR="00427CFC" w:rsidRDefault="00427CFC">
            <w:pPr>
              <w:rPr>
                <w:rFonts w:ascii="仿宋" w:eastAsia="仿宋" w:hAnsi="仿宋"/>
              </w:rPr>
            </w:pPr>
          </w:p>
        </w:tc>
        <w:tc>
          <w:tcPr>
            <w:tcW w:w="971" w:type="pct"/>
            <w:tcBorders>
              <w:top w:val="nil"/>
              <w:left w:val="nil"/>
              <w:bottom w:val="single" w:sz="4" w:space="0" w:color="auto"/>
              <w:right w:val="single" w:sz="4" w:space="0" w:color="auto"/>
            </w:tcBorders>
            <w:vAlign w:val="center"/>
          </w:tcPr>
          <w:p w:rsidR="00427CFC" w:rsidRDefault="004220DA">
            <w:pPr>
              <w:adjustRightInd w:val="0"/>
              <w:snapToGrid w:val="0"/>
              <w:jc w:val="center"/>
              <w:rPr>
                <w:rFonts w:ascii="仿宋" w:eastAsia="仿宋" w:hAnsi="仿宋"/>
              </w:rPr>
            </w:pPr>
            <w:r>
              <w:rPr>
                <w:rFonts w:ascii="仿宋" w:eastAsia="仿宋" w:hAnsi="仿宋"/>
              </w:rPr>
              <w:t>生态效益</w:t>
            </w:r>
          </w:p>
          <w:p w:rsidR="00427CFC" w:rsidRDefault="004220DA">
            <w:pPr>
              <w:adjustRightInd w:val="0"/>
              <w:snapToGrid w:val="0"/>
              <w:jc w:val="center"/>
              <w:rPr>
                <w:rFonts w:ascii="仿宋" w:eastAsia="仿宋" w:hAnsi="仿宋"/>
              </w:rPr>
            </w:pPr>
            <w:r>
              <w:rPr>
                <w:rFonts w:ascii="仿宋" w:eastAsia="仿宋" w:hAnsi="仿宋"/>
              </w:rPr>
              <w:t>指标</w:t>
            </w:r>
          </w:p>
        </w:tc>
        <w:tc>
          <w:tcPr>
            <w:tcW w:w="1457" w:type="pct"/>
            <w:tcBorders>
              <w:top w:val="single" w:sz="4" w:space="0" w:color="auto"/>
              <w:left w:val="nil"/>
              <w:bottom w:val="single" w:sz="4" w:space="0" w:color="auto"/>
              <w:right w:val="single" w:sz="4" w:space="0" w:color="auto"/>
            </w:tcBorders>
            <w:vAlign w:val="center"/>
          </w:tcPr>
          <w:p w:rsidR="00427CFC" w:rsidRDefault="004220DA">
            <w:pPr>
              <w:adjustRightInd w:val="0"/>
              <w:snapToGrid w:val="0"/>
              <w:jc w:val="center"/>
              <w:rPr>
                <w:rFonts w:ascii="仿宋" w:eastAsia="仿宋" w:hAnsi="仿宋"/>
              </w:rPr>
            </w:pPr>
            <w:r>
              <w:rPr>
                <w:rFonts w:ascii="仿宋" w:eastAsia="仿宋" w:hAnsi="仿宋" w:hint="eastAsia"/>
              </w:rPr>
              <w:t>环保达标率</w:t>
            </w:r>
          </w:p>
        </w:tc>
        <w:tc>
          <w:tcPr>
            <w:tcW w:w="1471" w:type="pct"/>
            <w:tcBorders>
              <w:top w:val="single" w:sz="4" w:space="0" w:color="auto"/>
              <w:left w:val="nil"/>
              <w:bottom w:val="single" w:sz="4" w:space="0" w:color="auto"/>
              <w:right w:val="single" w:sz="4" w:space="0" w:color="auto"/>
            </w:tcBorders>
            <w:vAlign w:val="center"/>
          </w:tcPr>
          <w:p w:rsidR="00427CFC" w:rsidRDefault="004220DA">
            <w:pPr>
              <w:adjustRightInd w:val="0"/>
              <w:snapToGrid w:val="0"/>
              <w:jc w:val="center"/>
              <w:rPr>
                <w:rFonts w:ascii="仿宋" w:eastAsia="仿宋" w:hAnsi="仿宋"/>
              </w:rPr>
            </w:pPr>
            <w:r>
              <w:rPr>
                <w:rFonts w:ascii="仿宋" w:eastAsia="仿宋" w:hAnsi="仿宋" w:hint="eastAsia"/>
              </w:rPr>
              <w:t>100%</w:t>
            </w:r>
          </w:p>
        </w:tc>
      </w:tr>
      <w:tr w:rsidR="00427CFC">
        <w:trPr>
          <w:cantSplit/>
          <w:trHeight w:val="340"/>
          <w:jc w:val="center"/>
        </w:trPr>
        <w:tc>
          <w:tcPr>
            <w:tcW w:w="431" w:type="pct"/>
            <w:vMerge/>
            <w:tcBorders>
              <w:top w:val="nil"/>
              <w:left w:val="single" w:sz="4" w:space="0" w:color="auto"/>
              <w:bottom w:val="single" w:sz="4" w:space="0" w:color="auto"/>
              <w:right w:val="single" w:sz="4" w:space="0" w:color="auto"/>
            </w:tcBorders>
            <w:vAlign w:val="center"/>
          </w:tcPr>
          <w:p w:rsidR="00427CFC" w:rsidRDefault="00427CFC">
            <w:pPr>
              <w:rPr>
                <w:rFonts w:ascii="仿宋" w:eastAsia="仿宋" w:hAnsi="仿宋"/>
              </w:rPr>
            </w:pPr>
          </w:p>
        </w:tc>
        <w:tc>
          <w:tcPr>
            <w:tcW w:w="669" w:type="pct"/>
            <w:tcBorders>
              <w:top w:val="nil"/>
              <w:left w:val="nil"/>
              <w:bottom w:val="single" w:sz="4" w:space="0" w:color="auto"/>
              <w:right w:val="single" w:sz="4" w:space="0" w:color="auto"/>
            </w:tcBorders>
            <w:vAlign w:val="center"/>
          </w:tcPr>
          <w:p w:rsidR="00427CFC" w:rsidRDefault="004220DA">
            <w:pPr>
              <w:adjustRightInd w:val="0"/>
              <w:snapToGrid w:val="0"/>
              <w:ind w:firstLineChars="0" w:firstLine="0"/>
              <w:jc w:val="center"/>
              <w:rPr>
                <w:rFonts w:ascii="仿宋" w:eastAsia="仿宋" w:hAnsi="仿宋"/>
              </w:rPr>
            </w:pPr>
            <w:r>
              <w:rPr>
                <w:rFonts w:ascii="仿宋" w:eastAsia="仿宋" w:hAnsi="仿宋"/>
              </w:rPr>
              <w:t>满意度</w:t>
            </w:r>
          </w:p>
          <w:p w:rsidR="00427CFC" w:rsidRDefault="004220DA">
            <w:pPr>
              <w:adjustRightInd w:val="0"/>
              <w:snapToGrid w:val="0"/>
              <w:ind w:firstLineChars="0" w:firstLine="0"/>
              <w:jc w:val="center"/>
              <w:rPr>
                <w:rFonts w:ascii="仿宋" w:eastAsia="仿宋" w:hAnsi="仿宋"/>
              </w:rPr>
            </w:pPr>
            <w:r>
              <w:rPr>
                <w:rFonts w:ascii="仿宋" w:eastAsia="仿宋" w:hAnsi="仿宋"/>
              </w:rPr>
              <w:t>指标</w:t>
            </w:r>
          </w:p>
        </w:tc>
        <w:tc>
          <w:tcPr>
            <w:tcW w:w="971" w:type="pct"/>
            <w:tcBorders>
              <w:top w:val="nil"/>
              <w:left w:val="nil"/>
              <w:bottom w:val="single" w:sz="4" w:space="0" w:color="auto"/>
              <w:right w:val="single" w:sz="4" w:space="0" w:color="auto"/>
            </w:tcBorders>
            <w:vAlign w:val="center"/>
          </w:tcPr>
          <w:p w:rsidR="00427CFC" w:rsidRDefault="004220DA">
            <w:pPr>
              <w:adjustRightInd w:val="0"/>
              <w:snapToGrid w:val="0"/>
              <w:jc w:val="center"/>
              <w:rPr>
                <w:rFonts w:ascii="仿宋" w:eastAsia="仿宋" w:hAnsi="仿宋"/>
              </w:rPr>
            </w:pPr>
            <w:r>
              <w:rPr>
                <w:rFonts w:ascii="仿宋" w:eastAsia="仿宋" w:hAnsi="仿宋"/>
              </w:rPr>
              <w:t>服务对象</w:t>
            </w:r>
          </w:p>
          <w:p w:rsidR="00427CFC" w:rsidRDefault="004220DA">
            <w:pPr>
              <w:adjustRightInd w:val="0"/>
              <w:snapToGrid w:val="0"/>
              <w:jc w:val="center"/>
              <w:rPr>
                <w:rFonts w:ascii="仿宋" w:eastAsia="仿宋" w:hAnsi="仿宋"/>
              </w:rPr>
            </w:pPr>
            <w:r>
              <w:rPr>
                <w:rFonts w:ascii="仿宋" w:eastAsia="仿宋" w:hAnsi="仿宋"/>
              </w:rPr>
              <w:t>满意度指标</w:t>
            </w:r>
          </w:p>
        </w:tc>
        <w:tc>
          <w:tcPr>
            <w:tcW w:w="1457" w:type="pct"/>
            <w:tcBorders>
              <w:top w:val="single" w:sz="4" w:space="0" w:color="auto"/>
              <w:left w:val="nil"/>
              <w:bottom w:val="single" w:sz="4" w:space="0" w:color="auto"/>
              <w:right w:val="single" w:sz="4" w:space="0" w:color="auto"/>
            </w:tcBorders>
            <w:vAlign w:val="center"/>
          </w:tcPr>
          <w:p w:rsidR="00427CFC" w:rsidRDefault="004220DA">
            <w:pPr>
              <w:adjustRightInd w:val="0"/>
              <w:snapToGrid w:val="0"/>
              <w:jc w:val="center"/>
              <w:rPr>
                <w:rFonts w:ascii="仿宋" w:eastAsia="仿宋" w:hAnsi="仿宋"/>
              </w:rPr>
            </w:pPr>
            <w:r>
              <w:rPr>
                <w:rFonts w:ascii="仿宋" w:eastAsia="仿宋" w:hAnsi="仿宋" w:hint="eastAsia"/>
              </w:rPr>
              <w:t>信息系统用户满意度</w:t>
            </w:r>
          </w:p>
        </w:tc>
        <w:tc>
          <w:tcPr>
            <w:tcW w:w="1471" w:type="pct"/>
            <w:tcBorders>
              <w:top w:val="nil"/>
              <w:left w:val="nil"/>
              <w:bottom w:val="single" w:sz="4" w:space="0" w:color="auto"/>
              <w:right w:val="single" w:sz="4" w:space="0" w:color="auto"/>
            </w:tcBorders>
            <w:vAlign w:val="center"/>
          </w:tcPr>
          <w:p w:rsidR="00427CFC" w:rsidRDefault="004220DA">
            <w:pPr>
              <w:adjustRightInd w:val="0"/>
              <w:snapToGrid w:val="0"/>
              <w:jc w:val="center"/>
              <w:rPr>
                <w:rFonts w:ascii="仿宋" w:eastAsia="仿宋" w:hAnsi="仿宋"/>
              </w:rPr>
            </w:pPr>
            <w:r>
              <w:rPr>
                <w:rFonts w:ascii="仿宋" w:eastAsia="仿宋" w:hAnsi="仿宋" w:hint="eastAsia"/>
              </w:rPr>
              <w:t>≥90%</w:t>
            </w:r>
          </w:p>
        </w:tc>
      </w:tr>
    </w:tbl>
    <w:p w:rsidR="00427CFC" w:rsidRDefault="00427CFC">
      <w:pPr>
        <w:pStyle w:val="affe"/>
        <w:ind w:firstLineChars="0" w:firstLine="0"/>
      </w:pPr>
    </w:p>
    <w:p w:rsidR="00427CFC" w:rsidRDefault="00427CFC">
      <w:pPr>
        <w:pStyle w:val="affe"/>
        <w:ind w:firstLineChars="0" w:firstLine="0"/>
      </w:pPr>
    </w:p>
    <w:p w:rsidR="00427CFC" w:rsidRDefault="00427CFC">
      <w:pPr>
        <w:pStyle w:val="affe"/>
        <w:ind w:firstLine="560"/>
      </w:pPr>
    </w:p>
    <w:p w:rsidR="00427CFC" w:rsidRDefault="004220DA">
      <w:pPr>
        <w:pStyle w:val="4"/>
        <w:ind w:left="1134" w:hanging="1134"/>
      </w:pPr>
      <w:bookmarkStart w:id="24" w:name="_Toc139968922"/>
      <w:bookmarkStart w:id="25" w:name="_Toc140830744"/>
      <w:r>
        <w:rPr>
          <w:rFonts w:hint="eastAsia"/>
        </w:rPr>
        <w:t>司鉴业务绩效考核目标</w:t>
      </w:r>
      <w:bookmarkEnd w:id="24"/>
      <w:bookmarkEnd w:id="25"/>
    </w:p>
    <w:tbl>
      <w:tblPr>
        <w:tblW w:w="8080" w:type="dxa"/>
        <w:tblInd w:w="-5" w:type="dxa"/>
        <w:tblLook w:val="04A0"/>
      </w:tblPr>
      <w:tblGrid>
        <w:gridCol w:w="880"/>
        <w:gridCol w:w="1340"/>
        <w:gridCol w:w="1860"/>
        <w:gridCol w:w="3040"/>
        <w:gridCol w:w="960"/>
      </w:tblGrid>
      <w:tr w:rsidR="00427CFC">
        <w:trPr>
          <w:trHeight w:val="58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CFC" w:rsidRDefault="004220DA">
            <w:pPr>
              <w:widowControl/>
              <w:jc w:val="center"/>
              <w:rPr>
                <w:rFonts w:cs="宋体"/>
                <w:kern w:val="0"/>
              </w:rPr>
            </w:pPr>
            <w:r>
              <w:rPr>
                <w:rFonts w:cs="宋体" w:hint="eastAsia"/>
                <w:kern w:val="0"/>
              </w:rPr>
              <w:t>编号</w:t>
            </w:r>
          </w:p>
        </w:tc>
        <w:tc>
          <w:tcPr>
            <w:tcW w:w="1340" w:type="dxa"/>
            <w:tcBorders>
              <w:top w:val="single" w:sz="4" w:space="0" w:color="auto"/>
              <w:left w:val="nil"/>
              <w:bottom w:val="single" w:sz="4" w:space="0" w:color="auto"/>
              <w:right w:val="single" w:sz="4" w:space="0" w:color="auto"/>
            </w:tcBorders>
            <w:shd w:val="clear" w:color="auto" w:fill="auto"/>
            <w:noWrap/>
            <w:vAlign w:val="center"/>
          </w:tcPr>
          <w:p w:rsidR="00427CFC" w:rsidRDefault="004220DA">
            <w:pPr>
              <w:widowControl/>
              <w:jc w:val="center"/>
              <w:rPr>
                <w:rFonts w:cs="宋体"/>
                <w:kern w:val="0"/>
              </w:rPr>
            </w:pPr>
            <w:r>
              <w:rPr>
                <w:rFonts w:cs="宋体" w:hint="eastAsia"/>
                <w:kern w:val="0"/>
              </w:rPr>
              <w:t>业务项</w:t>
            </w:r>
          </w:p>
        </w:tc>
        <w:tc>
          <w:tcPr>
            <w:tcW w:w="1860" w:type="dxa"/>
            <w:tcBorders>
              <w:top w:val="single" w:sz="4" w:space="0" w:color="auto"/>
              <w:left w:val="nil"/>
              <w:bottom w:val="single" w:sz="4" w:space="0" w:color="auto"/>
              <w:right w:val="single" w:sz="4" w:space="0" w:color="auto"/>
            </w:tcBorders>
            <w:shd w:val="clear" w:color="auto" w:fill="auto"/>
            <w:noWrap/>
            <w:vAlign w:val="center"/>
          </w:tcPr>
          <w:p w:rsidR="00427CFC" w:rsidRDefault="004220DA">
            <w:pPr>
              <w:widowControl/>
              <w:jc w:val="center"/>
              <w:rPr>
                <w:rFonts w:cs="宋体"/>
                <w:kern w:val="0"/>
              </w:rPr>
            </w:pPr>
            <w:r>
              <w:rPr>
                <w:rFonts w:cs="宋体" w:hint="eastAsia"/>
                <w:kern w:val="0"/>
              </w:rPr>
              <w:t>具体业务</w:t>
            </w:r>
          </w:p>
        </w:tc>
        <w:tc>
          <w:tcPr>
            <w:tcW w:w="3040" w:type="dxa"/>
            <w:tcBorders>
              <w:top w:val="single" w:sz="4" w:space="0" w:color="auto"/>
              <w:left w:val="nil"/>
              <w:bottom w:val="single" w:sz="4" w:space="0" w:color="auto"/>
              <w:right w:val="single" w:sz="4" w:space="0" w:color="auto"/>
            </w:tcBorders>
            <w:shd w:val="clear" w:color="auto" w:fill="auto"/>
            <w:noWrap/>
            <w:vAlign w:val="center"/>
          </w:tcPr>
          <w:p w:rsidR="00427CFC" w:rsidRDefault="004220DA">
            <w:pPr>
              <w:widowControl/>
              <w:jc w:val="center"/>
              <w:rPr>
                <w:rFonts w:cs="宋体"/>
                <w:kern w:val="0"/>
              </w:rPr>
            </w:pPr>
            <w:r>
              <w:rPr>
                <w:rFonts w:cs="宋体" w:hint="eastAsia"/>
                <w:kern w:val="0"/>
              </w:rPr>
              <w:t>业务绩效目标</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427CFC" w:rsidRDefault="004220DA">
            <w:pPr>
              <w:widowControl/>
              <w:jc w:val="center"/>
              <w:rPr>
                <w:rFonts w:cs="宋体"/>
                <w:kern w:val="0"/>
              </w:rPr>
            </w:pPr>
            <w:r>
              <w:rPr>
                <w:rFonts w:cs="宋体" w:hint="eastAsia"/>
                <w:kern w:val="0"/>
              </w:rPr>
              <w:t>备注</w:t>
            </w:r>
          </w:p>
        </w:tc>
      </w:tr>
      <w:tr w:rsidR="00427CFC">
        <w:trPr>
          <w:trHeight w:val="3036"/>
        </w:trPr>
        <w:tc>
          <w:tcPr>
            <w:tcW w:w="880" w:type="dxa"/>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jc w:val="center"/>
              <w:rPr>
                <w:rFonts w:cs="宋体"/>
                <w:kern w:val="0"/>
              </w:rPr>
            </w:pPr>
            <w:r>
              <w:rPr>
                <w:rFonts w:cs="宋体" w:hint="eastAsia"/>
                <w:kern w:val="0"/>
              </w:rPr>
              <w:t>1</w:t>
            </w:r>
          </w:p>
        </w:tc>
        <w:tc>
          <w:tcPr>
            <w:tcW w:w="1340" w:type="dxa"/>
            <w:vMerge w:val="restart"/>
            <w:tcBorders>
              <w:top w:val="nil"/>
              <w:left w:val="single" w:sz="4" w:space="0" w:color="auto"/>
              <w:bottom w:val="single" w:sz="4" w:space="0" w:color="auto"/>
              <w:right w:val="single" w:sz="4" w:space="0" w:color="auto"/>
            </w:tcBorders>
            <w:shd w:val="clear" w:color="auto" w:fill="auto"/>
            <w:vAlign w:val="center"/>
          </w:tcPr>
          <w:p w:rsidR="00427CFC" w:rsidRDefault="004220DA">
            <w:pPr>
              <w:widowControl/>
              <w:ind w:firstLineChars="0" w:firstLine="0"/>
              <w:rPr>
                <w:rFonts w:cs="宋体"/>
                <w:kern w:val="0"/>
              </w:rPr>
            </w:pPr>
            <w:r>
              <w:rPr>
                <w:rFonts w:cs="宋体" w:hint="eastAsia"/>
                <w:kern w:val="0"/>
              </w:rPr>
              <w:t>司法鉴定统一管理平台</w:t>
            </w:r>
          </w:p>
        </w:tc>
        <w:tc>
          <w:tcPr>
            <w:tcW w:w="1860" w:type="dxa"/>
            <w:tcBorders>
              <w:top w:val="nil"/>
              <w:left w:val="nil"/>
              <w:bottom w:val="single" w:sz="4" w:space="0" w:color="auto"/>
              <w:right w:val="single" w:sz="4" w:space="0" w:color="auto"/>
            </w:tcBorders>
            <w:shd w:val="clear" w:color="auto" w:fill="auto"/>
            <w:noWrap/>
            <w:vAlign w:val="center"/>
          </w:tcPr>
          <w:p w:rsidR="00427CFC" w:rsidRDefault="004220DA">
            <w:pPr>
              <w:widowControl/>
              <w:jc w:val="center"/>
              <w:rPr>
                <w:rFonts w:cs="宋体"/>
                <w:kern w:val="0"/>
              </w:rPr>
            </w:pPr>
            <w:r>
              <w:rPr>
                <w:rFonts w:cs="宋体" w:hint="eastAsia"/>
                <w:kern w:val="0"/>
              </w:rPr>
              <w:t>业务条线新增</w:t>
            </w:r>
          </w:p>
        </w:tc>
        <w:tc>
          <w:tcPr>
            <w:tcW w:w="3040" w:type="dxa"/>
            <w:tcBorders>
              <w:top w:val="nil"/>
              <w:left w:val="nil"/>
              <w:bottom w:val="single" w:sz="4" w:space="0" w:color="auto"/>
              <w:right w:val="single" w:sz="4" w:space="0" w:color="auto"/>
            </w:tcBorders>
            <w:shd w:val="clear" w:color="auto" w:fill="auto"/>
            <w:vAlign w:val="center"/>
          </w:tcPr>
          <w:p w:rsidR="00427CFC" w:rsidRDefault="004220DA">
            <w:pPr>
              <w:widowControl/>
              <w:jc w:val="left"/>
              <w:rPr>
                <w:rFonts w:cs="宋体"/>
                <w:kern w:val="0"/>
              </w:rPr>
            </w:pPr>
            <w:r>
              <w:rPr>
                <w:rFonts w:cs="宋体" w:hint="eastAsia"/>
                <w:kern w:val="0"/>
              </w:rPr>
              <w:t>解决系统中司法鉴定类别不全的问题新增法医毒物、痕迹鉴定、微量物证鉴定、录音鉴定、图像鉴定、电子数据鉴定、污染物性质鉴定、地表水与沉积物环境损害鉴定、空气污染环境损害鉴定、土壤与地下水环境损害鉴定、近海海洋与海岸带环境损害鉴定、生态系统环境损害鉴定、其他环境损害鉴定类别</w:t>
            </w:r>
          </w:p>
        </w:tc>
        <w:tc>
          <w:tcPr>
            <w:tcW w:w="960" w:type="dxa"/>
            <w:tcBorders>
              <w:top w:val="nil"/>
              <w:left w:val="nil"/>
              <w:bottom w:val="single" w:sz="4" w:space="0" w:color="auto"/>
              <w:right w:val="single" w:sz="4" w:space="0" w:color="auto"/>
            </w:tcBorders>
            <w:shd w:val="clear" w:color="auto" w:fill="auto"/>
            <w:noWrap/>
            <w:vAlign w:val="center"/>
          </w:tcPr>
          <w:p w:rsidR="00427CFC" w:rsidRDefault="004220DA">
            <w:pPr>
              <w:widowControl/>
              <w:jc w:val="left"/>
              <w:rPr>
                <w:rFonts w:cs="宋体"/>
                <w:kern w:val="0"/>
              </w:rPr>
            </w:pPr>
            <w:r>
              <w:rPr>
                <w:rFonts w:cs="宋体" w:hint="eastAsia"/>
                <w:kern w:val="0"/>
              </w:rPr>
              <w:t xml:space="preserve">　</w:t>
            </w:r>
          </w:p>
        </w:tc>
      </w:tr>
      <w:tr w:rsidR="00427CFC">
        <w:trPr>
          <w:trHeight w:val="1380"/>
        </w:trPr>
        <w:tc>
          <w:tcPr>
            <w:tcW w:w="880" w:type="dxa"/>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jc w:val="center"/>
              <w:rPr>
                <w:rFonts w:cs="宋体"/>
                <w:kern w:val="0"/>
              </w:rPr>
            </w:pPr>
            <w:r>
              <w:rPr>
                <w:rFonts w:cs="宋体" w:hint="eastAsia"/>
                <w:kern w:val="0"/>
              </w:rPr>
              <w:t>2</w:t>
            </w:r>
          </w:p>
        </w:tc>
        <w:tc>
          <w:tcPr>
            <w:tcW w:w="1340" w:type="dxa"/>
            <w:vMerge/>
            <w:tcBorders>
              <w:top w:val="nil"/>
              <w:left w:val="single" w:sz="4" w:space="0" w:color="auto"/>
              <w:bottom w:val="single" w:sz="4" w:space="0" w:color="auto"/>
              <w:right w:val="single" w:sz="4" w:space="0" w:color="auto"/>
            </w:tcBorders>
            <w:vAlign w:val="center"/>
          </w:tcPr>
          <w:p w:rsidR="00427CFC" w:rsidRDefault="00427CFC">
            <w:pPr>
              <w:widowControl/>
              <w:jc w:val="left"/>
              <w:rPr>
                <w:rFonts w:cs="宋体"/>
                <w:kern w:val="0"/>
              </w:rPr>
            </w:pPr>
          </w:p>
        </w:tc>
        <w:tc>
          <w:tcPr>
            <w:tcW w:w="1860" w:type="dxa"/>
            <w:tcBorders>
              <w:top w:val="nil"/>
              <w:left w:val="nil"/>
              <w:bottom w:val="single" w:sz="4" w:space="0" w:color="auto"/>
              <w:right w:val="single" w:sz="4" w:space="0" w:color="auto"/>
            </w:tcBorders>
            <w:shd w:val="clear" w:color="auto" w:fill="auto"/>
            <w:noWrap/>
            <w:vAlign w:val="center"/>
          </w:tcPr>
          <w:p w:rsidR="00427CFC" w:rsidRDefault="004220DA">
            <w:pPr>
              <w:widowControl/>
              <w:jc w:val="center"/>
              <w:rPr>
                <w:rFonts w:cs="宋体"/>
                <w:kern w:val="0"/>
              </w:rPr>
            </w:pPr>
            <w:r>
              <w:rPr>
                <w:rFonts w:cs="宋体" w:hint="eastAsia"/>
                <w:kern w:val="0"/>
              </w:rPr>
              <w:t>业务条线改造</w:t>
            </w:r>
          </w:p>
        </w:tc>
        <w:tc>
          <w:tcPr>
            <w:tcW w:w="3040" w:type="dxa"/>
            <w:tcBorders>
              <w:top w:val="nil"/>
              <w:left w:val="nil"/>
              <w:bottom w:val="single" w:sz="4" w:space="0" w:color="auto"/>
              <w:right w:val="single" w:sz="4" w:space="0" w:color="auto"/>
            </w:tcBorders>
            <w:shd w:val="clear" w:color="auto" w:fill="auto"/>
            <w:vAlign w:val="center"/>
          </w:tcPr>
          <w:p w:rsidR="00427CFC" w:rsidRDefault="004220DA">
            <w:pPr>
              <w:widowControl/>
              <w:jc w:val="left"/>
              <w:rPr>
                <w:rFonts w:cs="宋体"/>
                <w:kern w:val="0"/>
              </w:rPr>
            </w:pPr>
            <w:r>
              <w:rPr>
                <w:rFonts w:cs="宋体" w:hint="eastAsia"/>
                <w:kern w:val="0"/>
              </w:rPr>
              <w:t>遵循司法部最新的《执业分类规定》对系统老旧的业务条线种类（法医病理、法医临床、法医精神病、法医物证、文书鉴定）进行改造</w:t>
            </w:r>
          </w:p>
        </w:tc>
        <w:tc>
          <w:tcPr>
            <w:tcW w:w="960" w:type="dxa"/>
            <w:tcBorders>
              <w:top w:val="nil"/>
              <w:left w:val="nil"/>
              <w:bottom w:val="single" w:sz="4" w:space="0" w:color="auto"/>
              <w:right w:val="single" w:sz="4" w:space="0" w:color="auto"/>
            </w:tcBorders>
            <w:shd w:val="clear" w:color="auto" w:fill="auto"/>
            <w:noWrap/>
            <w:vAlign w:val="center"/>
          </w:tcPr>
          <w:p w:rsidR="00427CFC" w:rsidRDefault="004220DA">
            <w:pPr>
              <w:widowControl/>
              <w:jc w:val="left"/>
              <w:rPr>
                <w:rFonts w:cs="宋体"/>
                <w:kern w:val="0"/>
              </w:rPr>
            </w:pPr>
            <w:r>
              <w:rPr>
                <w:rFonts w:cs="宋体" w:hint="eastAsia"/>
                <w:kern w:val="0"/>
              </w:rPr>
              <w:t xml:space="preserve">　</w:t>
            </w:r>
          </w:p>
        </w:tc>
      </w:tr>
      <w:tr w:rsidR="00427CFC">
        <w:trPr>
          <w:trHeight w:val="1104"/>
        </w:trPr>
        <w:tc>
          <w:tcPr>
            <w:tcW w:w="880" w:type="dxa"/>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jc w:val="center"/>
              <w:rPr>
                <w:rFonts w:cs="宋体"/>
                <w:kern w:val="0"/>
              </w:rPr>
            </w:pPr>
            <w:r>
              <w:rPr>
                <w:rFonts w:cs="宋体" w:hint="eastAsia"/>
                <w:kern w:val="0"/>
              </w:rPr>
              <w:t>3</w:t>
            </w:r>
          </w:p>
        </w:tc>
        <w:tc>
          <w:tcPr>
            <w:tcW w:w="1340" w:type="dxa"/>
            <w:vMerge/>
            <w:tcBorders>
              <w:top w:val="nil"/>
              <w:left w:val="single" w:sz="4" w:space="0" w:color="auto"/>
              <w:bottom w:val="single" w:sz="4" w:space="0" w:color="auto"/>
              <w:right w:val="single" w:sz="4" w:space="0" w:color="auto"/>
            </w:tcBorders>
            <w:vAlign w:val="center"/>
          </w:tcPr>
          <w:p w:rsidR="00427CFC" w:rsidRDefault="00427CFC">
            <w:pPr>
              <w:widowControl/>
              <w:jc w:val="left"/>
              <w:rPr>
                <w:rFonts w:cs="宋体"/>
                <w:kern w:val="0"/>
              </w:rPr>
            </w:pPr>
          </w:p>
        </w:tc>
        <w:tc>
          <w:tcPr>
            <w:tcW w:w="1860" w:type="dxa"/>
            <w:tcBorders>
              <w:top w:val="nil"/>
              <w:left w:val="nil"/>
              <w:bottom w:val="single" w:sz="4" w:space="0" w:color="auto"/>
              <w:right w:val="single" w:sz="4" w:space="0" w:color="auto"/>
            </w:tcBorders>
            <w:shd w:val="clear" w:color="auto" w:fill="auto"/>
            <w:noWrap/>
            <w:vAlign w:val="center"/>
          </w:tcPr>
          <w:p w:rsidR="00427CFC" w:rsidRDefault="004220DA">
            <w:pPr>
              <w:widowControl/>
              <w:jc w:val="center"/>
              <w:rPr>
                <w:rFonts w:cs="宋体"/>
                <w:kern w:val="0"/>
              </w:rPr>
            </w:pPr>
            <w:r>
              <w:rPr>
                <w:rFonts w:cs="宋体" w:hint="eastAsia"/>
                <w:kern w:val="0"/>
              </w:rPr>
              <w:t>业务系统改造</w:t>
            </w:r>
          </w:p>
        </w:tc>
        <w:tc>
          <w:tcPr>
            <w:tcW w:w="3040" w:type="dxa"/>
            <w:tcBorders>
              <w:top w:val="nil"/>
              <w:left w:val="nil"/>
              <w:bottom w:val="single" w:sz="4" w:space="0" w:color="auto"/>
              <w:right w:val="single" w:sz="4" w:space="0" w:color="auto"/>
            </w:tcBorders>
            <w:shd w:val="clear" w:color="auto" w:fill="auto"/>
            <w:vAlign w:val="center"/>
          </w:tcPr>
          <w:p w:rsidR="00427CFC" w:rsidRDefault="004220DA">
            <w:pPr>
              <w:widowControl/>
              <w:jc w:val="left"/>
              <w:rPr>
                <w:rFonts w:cs="宋体"/>
                <w:kern w:val="0"/>
              </w:rPr>
            </w:pPr>
            <w:r>
              <w:rPr>
                <w:rFonts w:cs="宋体" w:hint="eastAsia"/>
                <w:kern w:val="0"/>
              </w:rPr>
              <w:t>对损伤鉴定及毒品类型的鉴定进行细化，完善鉴定过程中的相关信息并对</w:t>
            </w:r>
            <w:r>
              <w:rPr>
                <w:rFonts w:cs="宋体" w:hint="eastAsia"/>
                <w:kern w:val="0"/>
              </w:rPr>
              <w:lastRenderedPageBreak/>
              <w:t>机构管理进行补充</w:t>
            </w:r>
          </w:p>
        </w:tc>
        <w:tc>
          <w:tcPr>
            <w:tcW w:w="960" w:type="dxa"/>
            <w:tcBorders>
              <w:top w:val="nil"/>
              <w:left w:val="nil"/>
              <w:bottom w:val="single" w:sz="4" w:space="0" w:color="auto"/>
              <w:right w:val="single" w:sz="4" w:space="0" w:color="auto"/>
            </w:tcBorders>
            <w:shd w:val="clear" w:color="auto" w:fill="auto"/>
            <w:noWrap/>
            <w:vAlign w:val="center"/>
          </w:tcPr>
          <w:p w:rsidR="00427CFC" w:rsidRDefault="004220DA">
            <w:pPr>
              <w:widowControl/>
              <w:jc w:val="left"/>
              <w:rPr>
                <w:rFonts w:cs="宋体"/>
                <w:kern w:val="0"/>
              </w:rPr>
            </w:pPr>
            <w:r>
              <w:rPr>
                <w:rFonts w:cs="宋体" w:hint="eastAsia"/>
                <w:kern w:val="0"/>
              </w:rPr>
              <w:lastRenderedPageBreak/>
              <w:t xml:space="preserve">　</w:t>
            </w:r>
          </w:p>
        </w:tc>
      </w:tr>
      <w:tr w:rsidR="00427CFC">
        <w:trPr>
          <w:trHeight w:val="1380"/>
        </w:trPr>
        <w:tc>
          <w:tcPr>
            <w:tcW w:w="880" w:type="dxa"/>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jc w:val="center"/>
              <w:rPr>
                <w:rFonts w:cs="宋体"/>
                <w:kern w:val="0"/>
              </w:rPr>
            </w:pPr>
            <w:r>
              <w:rPr>
                <w:rFonts w:cs="宋体" w:hint="eastAsia"/>
                <w:kern w:val="0"/>
              </w:rPr>
              <w:lastRenderedPageBreak/>
              <w:t>4</w:t>
            </w:r>
          </w:p>
        </w:tc>
        <w:tc>
          <w:tcPr>
            <w:tcW w:w="1340" w:type="dxa"/>
            <w:vMerge/>
            <w:tcBorders>
              <w:top w:val="nil"/>
              <w:left w:val="single" w:sz="4" w:space="0" w:color="auto"/>
              <w:bottom w:val="single" w:sz="4" w:space="0" w:color="auto"/>
              <w:right w:val="single" w:sz="4" w:space="0" w:color="auto"/>
            </w:tcBorders>
            <w:vAlign w:val="center"/>
          </w:tcPr>
          <w:p w:rsidR="00427CFC" w:rsidRDefault="00427CFC">
            <w:pPr>
              <w:widowControl/>
              <w:jc w:val="left"/>
              <w:rPr>
                <w:rFonts w:cs="宋体"/>
                <w:kern w:val="0"/>
              </w:rPr>
            </w:pPr>
          </w:p>
        </w:tc>
        <w:tc>
          <w:tcPr>
            <w:tcW w:w="1860" w:type="dxa"/>
            <w:tcBorders>
              <w:top w:val="nil"/>
              <w:left w:val="nil"/>
              <w:bottom w:val="single" w:sz="4" w:space="0" w:color="auto"/>
              <w:right w:val="single" w:sz="4" w:space="0" w:color="auto"/>
            </w:tcBorders>
            <w:shd w:val="clear" w:color="auto" w:fill="auto"/>
            <w:noWrap/>
            <w:vAlign w:val="center"/>
          </w:tcPr>
          <w:p w:rsidR="00427CFC" w:rsidRDefault="004220DA">
            <w:pPr>
              <w:widowControl/>
              <w:jc w:val="center"/>
              <w:rPr>
                <w:rFonts w:cs="宋体"/>
                <w:kern w:val="0"/>
              </w:rPr>
            </w:pPr>
            <w:r>
              <w:rPr>
                <w:rFonts w:cs="宋体" w:hint="eastAsia"/>
                <w:kern w:val="0"/>
              </w:rPr>
              <w:t>监管系统改造</w:t>
            </w:r>
          </w:p>
        </w:tc>
        <w:tc>
          <w:tcPr>
            <w:tcW w:w="3040" w:type="dxa"/>
            <w:tcBorders>
              <w:top w:val="nil"/>
              <w:left w:val="nil"/>
              <w:bottom w:val="single" w:sz="4" w:space="0" w:color="auto"/>
              <w:right w:val="single" w:sz="4" w:space="0" w:color="auto"/>
            </w:tcBorders>
            <w:shd w:val="clear" w:color="auto" w:fill="auto"/>
            <w:vAlign w:val="center"/>
          </w:tcPr>
          <w:p w:rsidR="00427CFC" w:rsidRDefault="004220DA">
            <w:pPr>
              <w:widowControl/>
              <w:jc w:val="left"/>
              <w:rPr>
                <w:rFonts w:cs="宋体"/>
                <w:kern w:val="0"/>
              </w:rPr>
            </w:pPr>
            <w:r>
              <w:rPr>
                <w:rFonts w:cs="宋体" w:hint="eastAsia"/>
                <w:kern w:val="0"/>
              </w:rPr>
              <w:t>为完善对上海鉴定机构的监管完善对机构的审批，补充模型并调优，对鉴定案件进行更深层次的分析，纳入行业鉴定协会对机构进行协助管理</w:t>
            </w:r>
          </w:p>
        </w:tc>
        <w:tc>
          <w:tcPr>
            <w:tcW w:w="960" w:type="dxa"/>
            <w:tcBorders>
              <w:top w:val="nil"/>
              <w:left w:val="nil"/>
              <w:bottom w:val="single" w:sz="4" w:space="0" w:color="auto"/>
              <w:right w:val="single" w:sz="4" w:space="0" w:color="auto"/>
            </w:tcBorders>
            <w:shd w:val="clear" w:color="auto" w:fill="auto"/>
            <w:noWrap/>
            <w:vAlign w:val="center"/>
          </w:tcPr>
          <w:p w:rsidR="00427CFC" w:rsidRDefault="004220DA">
            <w:pPr>
              <w:widowControl/>
              <w:jc w:val="left"/>
              <w:rPr>
                <w:rFonts w:cs="宋体"/>
                <w:kern w:val="0"/>
              </w:rPr>
            </w:pPr>
            <w:r>
              <w:rPr>
                <w:rFonts w:cs="宋体" w:hint="eastAsia"/>
                <w:kern w:val="0"/>
              </w:rPr>
              <w:t xml:space="preserve">　</w:t>
            </w:r>
          </w:p>
        </w:tc>
      </w:tr>
    </w:tbl>
    <w:p w:rsidR="00427CFC" w:rsidRDefault="004220DA">
      <w:pPr>
        <w:pStyle w:val="4"/>
        <w:ind w:left="1134" w:hanging="1134"/>
      </w:pPr>
      <w:bookmarkStart w:id="26" w:name="_Toc140830745"/>
      <w:r>
        <w:rPr>
          <w:rFonts w:hint="eastAsia"/>
        </w:rPr>
        <w:t>信访业务绩效考核目标</w:t>
      </w:r>
      <w:bookmarkEnd w:id="26"/>
    </w:p>
    <w:p w:rsidR="00427CFC" w:rsidRDefault="004220DA">
      <w:pPr>
        <w:pStyle w:val="affe"/>
        <w:ind w:firstLine="560"/>
        <w:rPr>
          <w:rFonts w:cs="Times New Roman"/>
        </w:rPr>
      </w:pPr>
      <w:r>
        <w:rPr>
          <w:rFonts w:hint="eastAsia"/>
        </w:rPr>
        <w:t>随着信息技术的飞速发展和司法改革的不断深入，信访管理面临业务复杂化、案件日益增多等新局面，也对信访案件管理系统提出了更高的要求，只有利用新兴技术不断完善更新信访案件管理系统，使其能够更加科学、高效地服务于信访业务工作，才能适应新时期信访管理工作需要。</w:t>
      </w:r>
    </w:p>
    <w:p w:rsidR="00427CFC" w:rsidRDefault="004220DA">
      <w:pPr>
        <w:pStyle w:val="affe"/>
        <w:ind w:firstLine="560"/>
        <w:rPr>
          <w:rFonts w:cs="Times New Roman"/>
        </w:rPr>
      </w:pPr>
      <w:r>
        <w:rPr>
          <w:rFonts w:hint="eastAsia"/>
        </w:rPr>
        <w:t>一、以案件业务需求为导向，重塑信访案件管理业务流程。改变现有软件</w:t>
      </w:r>
      <w:proofErr w:type="gramStart"/>
      <w:r>
        <w:rPr>
          <w:rFonts w:hint="eastAsia"/>
        </w:rPr>
        <w:t>重部门</w:t>
      </w:r>
      <w:proofErr w:type="gramEnd"/>
      <w:r>
        <w:rPr>
          <w:rFonts w:hint="eastAsia"/>
        </w:rPr>
        <w:t>管理忽视案件整体流程管理的现状，以信访工作为对象，运用信息化手段，实现对信访工作系统化、信息化管理；</w:t>
      </w:r>
    </w:p>
    <w:p w:rsidR="00427CFC" w:rsidRDefault="004220DA">
      <w:pPr>
        <w:pStyle w:val="affe"/>
        <w:ind w:firstLine="560"/>
        <w:rPr>
          <w:rFonts w:cs="Times New Roman"/>
        </w:rPr>
      </w:pPr>
      <w:r>
        <w:rPr>
          <w:rFonts w:hint="eastAsia"/>
        </w:rPr>
        <w:t>二、改变传统办案模式，推进无纸化办案。案件从收案时进入系统即以电子文档、电子笔录、电子卷宗等形式呈现，流转时通过网络传送，一旦案件结案，即可形成完整的电子档案；</w:t>
      </w:r>
    </w:p>
    <w:p w:rsidR="00427CFC" w:rsidRDefault="004220DA">
      <w:pPr>
        <w:pStyle w:val="affe"/>
        <w:ind w:firstLine="560"/>
      </w:pPr>
      <w:r>
        <w:rPr>
          <w:rFonts w:hint="eastAsia"/>
        </w:rPr>
        <w:t>三、引入业务流程管理。案件进入系统后，收案、分案、移送、抄告、办理、回复、送达、归档等各个环节，不再由人工推动流转，改由系统流程推动，上一项工作完成后自动触发激活下一流程节点，</w:t>
      </w:r>
      <w:r>
        <w:rPr>
          <w:rFonts w:hint="eastAsia"/>
        </w:rPr>
        <w:lastRenderedPageBreak/>
        <w:t>直至结案归档；</w:t>
      </w:r>
      <w:r>
        <w:t xml:space="preserve"> </w:t>
      </w:r>
    </w:p>
    <w:p w:rsidR="00427CFC" w:rsidRDefault="004220DA">
      <w:pPr>
        <w:pStyle w:val="affe"/>
        <w:ind w:firstLine="560"/>
      </w:pPr>
      <w:r>
        <w:rPr>
          <w:rFonts w:hint="eastAsia"/>
        </w:rPr>
        <w:t>四、整合现有资源，集成部分原有应用系统。现有部分软件侧重于应用，对案件流程影响不大，推到重建并无必要。可以采用数据通讯标准，制定规范的数据交换接口，集成至信访案件管理系统中来，以充分利用现有资源，节约成本。</w:t>
      </w:r>
    </w:p>
    <w:p w:rsidR="00427CFC" w:rsidRDefault="004220DA">
      <w:pPr>
        <w:pStyle w:val="4"/>
        <w:ind w:left="1134" w:hanging="1134"/>
      </w:pPr>
      <w:bookmarkStart w:id="27" w:name="_Toc139355951"/>
      <w:bookmarkStart w:id="28" w:name="_Toc140830746"/>
      <w:r>
        <w:rPr>
          <w:rFonts w:hint="eastAsia"/>
        </w:rPr>
        <w:t>破产业务绩效考核目标</w:t>
      </w:r>
      <w:bookmarkEnd w:id="27"/>
      <w:bookmarkEnd w:id="28"/>
    </w:p>
    <w:tbl>
      <w:tblPr>
        <w:tblStyle w:val="af3"/>
        <w:tblW w:w="0" w:type="auto"/>
        <w:tblLook w:val="04A0"/>
      </w:tblPr>
      <w:tblGrid>
        <w:gridCol w:w="915"/>
        <w:gridCol w:w="1634"/>
        <w:gridCol w:w="2369"/>
        <w:gridCol w:w="2378"/>
        <w:gridCol w:w="1000"/>
      </w:tblGrid>
      <w:tr w:rsidR="00427CFC">
        <w:tc>
          <w:tcPr>
            <w:tcW w:w="915" w:type="dxa"/>
          </w:tcPr>
          <w:p w:rsidR="00427CFC" w:rsidRDefault="004220DA">
            <w:pPr>
              <w:pStyle w:val="affe"/>
              <w:ind w:firstLineChars="0" w:firstLine="0"/>
              <w:jc w:val="center"/>
              <w:rPr>
                <w:b/>
                <w:bCs/>
                <w:sz w:val="24"/>
                <w:szCs w:val="24"/>
              </w:rPr>
            </w:pPr>
            <w:r>
              <w:rPr>
                <w:rFonts w:hint="eastAsia"/>
                <w:b/>
                <w:bCs/>
                <w:sz w:val="24"/>
                <w:szCs w:val="24"/>
              </w:rPr>
              <w:t>编号</w:t>
            </w:r>
          </w:p>
        </w:tc>
        <w:tc>
          <w:tcPr>
            <w:tcW w:w="1634" w:type="dxa"/>
          </w:tcPr>
          <w:p w:rsidR="00427CFC" w:rsidRDefault="004220DA">
            <w:pPr>
              <w:pStyle w:val="affe"/>
              <w:ind w:firstLineChars="0" w:firstLine="0"/>
              <w:jc w:val="center"/>
              <w:rPr>
                <w:b/>
                <w:bCs/>
                <w:sz w:val="24"/>
                <w:szCs w:val="24"/>
              </w:rPr>
            </w:pPr>
            <w:r>
              <w:rPr>
                <w:rFonts w:hint="eastAsia"/>
                <w:b/>
                <w:bCs/>
                <w:sz w:val="24"/>
                <w:szCs w:val="24"/>
              </w:rPr>
              <w:t>业务项</w:t>
            </w:r>
          </w:p>
        </w:tc>
        <w:tc>
          <w:tcPr>
            <w:tcW w:w="2369" w:type="dxa"/>
          </w:tcPr>
          <w:p w:rsidR="00427CFC" w:rsidRDefault="004220DA">
            <w:pPr>
              <w:pStyle w:val="affe"/>
              <w:ind w:firstLineChars="0" w:firstLine="0"/>
              <w:jc w:val="center"/>
              <w:rPr>
                <w:b/>
                <w:bCs/>
                <w:sz w:val="24"/>
                <w:szCs w:val="24"/>
              </w:rPr>
            </w:pPr>
            <w:r>
              <w:rPr>
                <w:rFonts w:hint="eastAsia"/>
                <w:b/>
                <w:bCs/>
                <w:sz w:val="24"/>
                <w:szCs w:val="24"/>
              </w:rPr>
              <w:t>具体业务</w:t>
            </w:r>
          </w:p>
        </w:tc>
        <w:tc>
          <w:tcPr>
            <w:tcW w:w="2378" w:type="dxa"/>
          </w:tcPr>
          <w:p w:rsidR="00427CFC" w:rsidRDefault="004220DA">
            <w:pPr>
              <w:pStyle w:val="affe"/>
              <w:ind w:firstLineChars="0" w:firstLine="0"/>
              <w:jc w:val="center"/>
              <w:rPr>
                <w:b/>
                <w:bCs/>
                <w:sz w:val="24"/>
                <w:szCs w:val="24"/>
              </w:rPr>
            </w:pPr>
            <w:r>
              <w:rPr>
                <w:rFonts w:hint="eastAsia"/>
                <w:b/>
                <w:bCs/>
                <w:sz w:val="24"/>
                <w:szCs w:val="24"/>
              </w:rPr>
              <w:t>业务绩效目标</w:t>
            </w:r>
          </w:p>
        </w:tc>
        <w:tc>
          <w:tcPr>
            <w:tcW w:w="1000" w:type="dxa"/>
          </w:tcPr>
          <w:p w:rsidR="00427CFC" w:rsidRDefault="004220DA">
            <w:pPr>
              <w:pStyle w:val="affe"/>
              <w:ind w:firstLineChars="0" w:firstLine="0"/>
              <w:jc w:val="center"/>
              <w:rPr>
                <w:b/>
                <w:bCs/>
                <w:sz w:val="24"/>
                <w:szCs w:val="24"/>
              </w:rPr>
            </w:pPr>
            <w:r>
              <w:rPr>
                <w:rFonts w:hint="eastAsia"/>
                <w:b/>
                <w:bCs/>
                <w:sz w:val="24"/>
                <w:szCs w:val="24"/>
              </w:rPr>
              <w:t>备注</w:t>
            </w:r>
          </w:p>
        </w:tc>
      </w:tr>
      <w:tr w:rsidR="00427CFC">
        <w:tc>
          <w:tcPr>
            <w:tcW w:w="915" w:type="dxa"/>
            <w:vAlign w:val="center"/>
          </w:tcPr>
          <w:p w:rsidR="00427CFC" w:rsidRDefault="004220DA">
            <w:pPr>
              <w:pStyle w:val="affe"/>
              <w:ind w:firstLineChars="0" w:firstLine="0"/>
              <w:jc w:val="center"/>
              <w:rPr>
                <w:sz w:val="24"/>
                <w:szCs w:val="24"/>
              </w:rPr>
            </w:pPr>
            <w:r>
              <w:rPr>
                <w:rFonts w:hint="eastAsia"/>
                <w:sz w:val="24"/>
                <w:szCs w:val="24"/>
              </w:rPr>
              <w:t>1</w:t>
            </w:r>
          </w:p>
        </w:tc>
        <w:tc>
          <w:tcPr>
            <w:tcW w:w="1634" w:type="dxa"/>
            <w:vMerge w:val="restart"/>
            <w:vAlign w:val="center"/>
          </w:tcPr>
          <w:p w:rsidR="00427CFC" w:rsidRDefault="004220DA">
            <w:pPr>
              <w:pStyle w:val="affe"/>
              <w:ind w:firstLineChars="0" w:firstLine="0"/>
              <w:jc w:val="center"/>
              <w:rPr>
                <w:sz w:val="24"/>
                <w:szCs w:val="24"/>
              </w:rPr>
            </w:pPr>
            <w:r>
              <w:rPr>
                <w:rFonts w:ascii="仿宋_GB2312" w:eastAsia="仿宋_GB2312" w:hAnsi="宋体" w:cs="仿宋_GB2312" w:hint="eastAsia"/>
                <w:b/>
                <w:bCs/>
                <w:sz w:val="24"/>
                <w:szCs w:val="24"/>
              </w:rPr>
              <w:t>破产管理人员机构信息管理</w:t>
            </w:r>
          </w:p>
        </w:tc>
        <w:tc>
          <w:tcPr>
            <w:tcW w:w="2369" w:type="dxa"/>
            <w:vAlign w:val="center"/>
          </w:tcPr>
          <w:p w:rsidR="00427CFC" w:rsidRDefault="004220DA">
            <w:pPr>
              <w:pStyle w:val="affe"/>
              <w:ind w:firstLineChars="0" w:firstLine="0"/>
              <w:jc w:val="center"/>
              <w:rPr>
                <w:sz w:val="24"/>
                <w:szCs w:val="24"/>
              </w:rPr>
            </w:pPr>
            <w:r>
              <w:rPr>
                <w:rFonts w:hint="eastAsia"/>
                <w:sz w:val="24"/>
                <w:szCs w:val="24"/>
              </w:rPr>
              <w:t>机构信息管理</w:t>
            </w:r>
          </w:p>
        </w:tc>
        <w:tc>
          <w:tcPr>
            <w:tcW w:w="2378" w:type="dxa"/>
          </w:tcPr>
          <w:p w:rsidR="00427CFC" w:rsidRDefault="004220DA">
            <w:pPr>
              <w:pStyle w:val="affe"/>
              <w:ind w:firstLineChars="0" w:firstLine="0"/>
              <w:jc w:val="center"/>
              <w:rPr>
                <w:sz w:val="24"/>
                <w:szCs w:val="24"/>
              </w:rPr>
            </w:pPr>
            <w:r>
              <w:rPr>
                <w:rFonts w:hint="eastAsia"/>
                <w:sz w:val="24"/>
                <w:szCs w:val="24"/>
              </w:rPr>
              <w:t>实现对律师事务所、会计师事务所、破产清算师事务所管理人信息的登记备案、信息修改、快速查询与详情查看。</w:t>
            </w:r>
          </w:p>
        </w:tc>
        <w:tc>
          <w:tcPr>
            <w:tcW w:w="1000" w:type="dxa"/>
          </w:tcPr>
          <w:p w:rsidR="00427CFC" w:rsidRDefault="00427CFC">
            <w:pPr>
              <w:pStyle w:val="affe"/>
              <w:ind w:firstLineChars="0" w:firstLine="0"/>
              <w:rPr>
                <w:sz w:val="24"/>
                <w:szCs w:val="24"/>
              </w:rPr>
            </w:pPr>
          </w:p>
        </w:tc>
      </w:tr>
      <w:tr w:rsidR="00427CFC">
        <w:tc>
          <w:tcPr>
            <w:tcW w:w="915" w:type="dxa"/>
            <w:vAlign w:val="center"/>
          </w:tcPr>
          <w:p w:rsidR="00427CFC" w:rsidRDefault="004220DA">
            <w:pPr>
              <w:pStyle w:val="affe"/>
              <w:ind w:firstLineChars="0" w:firstLine="0"/>
              <w:jc w:val="center"/>
              <w:rPr>
                <w:sz w:val="24"/>
                <w:szCs w:val="24"/>
              </w:rPr>
            </w:pPr>
            <w:r>
              <w:rPr>
                <w:rFonts w:hint="eastAsia"/>
                <w:sz w:val="24"/>
                <w:szCs w:val="24"/>
              </w:rPr>
              <w:t>2</w:t>
            </w:r>
          </w:p>
        </w:tc>
        <w:tc>
          <w:tcPr>
            <w:tcW w:w="1634" w:type="dxa"/>
            <w:vMerge/>
            <w:vAlign w:val="center"/>
          </w:tcPr>
          <w:p w:rsidR="00427CFC" w:rsidRDefault="00427CFC">
            <w:pPr>
              <w:pStyle w:val="affe"/>
              <w:ind w:firstLineChars="0" w:firstLine="0"/>
              <w:jc w:val="center"/>
              <w:rPr>
                <w:sz w:val="24"/>
                <w:szCs w:val="24"/>
              </w:rPr>
            </w:pPr>
          </w:p>
        </w:tc>
        <w:tc>
          <w:tcPr>
            <w:tcW w:w="2369" w:type="dxa"/>
            <w:vAlign w:val="center"/>
          </w:tcPr>
          <w:p w:rsidR="00427CFC" w:rsidRDefault="004220DA">
            <w:pPr>
              <w:pStyle w:val="affe"/>
              <w:ind w:firstLineChars="0" w:firstLine="0"/>
              <w:jc w:val="center"/>
              <w:rPr>
                <w:sz w:val="24"/>
                <w:szCs w:val="24"/>
              </w:rPr>
            </w:pPr>
            <w:r>
              <w:rPr>
                <w:rFonts w:hint="eastAsia"/>
                <w:sz w:val="24"/>
                <w:szCs w:val="24"/>
              </w:rPr>
              <w:t>人员信息管理</w:t>
            </w:r>
          </w:p>
        </w:tc>
        <w:tc>
          <w:tcPr>
            <w:tcW w:w="2378" w:type="dxa"/>
          </w:tcPr>
          <w:p w:rsidR="00427CFC" w:rsidRDefault="004220DA">
            <w:pPr>
              <w:pStyle w:val="affe"/>
              <w:ind w:firstLineChars="0" w:firstLine="0"/>
              <w:jc w:val="center"/>
              <w:rPr>
                <w:sz w:val="24"/>
                <w:szCs w:val="24"/>
              </w:rPr>
            </w:pPr>
            <w:r>
              <w:rPr>
                <w:rFonts w:hint="eastAsia"/>
                <w:sz w:val="24"/>
                <w:szCs w:val="24"/>
              </w:rPr>
              <w:t>实现对破产管理人自然人的信息管理，包括信息登记、信息修改、快速查询、详情查看。</w:t>
            </w:r>
          </w:p>
        </w:tc>
        <w:tc>
          <w:tcPr>
            <w:tcW w:w="1000" w:type="dxa"/>
          </w:tcPr>
          <w:p w:rsidR="00427CFC" w:rsidRDefault="00427CFC">
            <w:pPr>
              <w:pStyle w:val="affe"/>
              <w:ind w:firstLineChars="0" w:firstLine="0"/>
              <w:rPr>
                <w:sz w:val="24"/>
                <w:szCs w:val="24"/>
              </w:rPr>
            </w:pPr>
          </w:p>
        </w:tc>
      </w:tr>
      <w:tr w:rsidR="00427CFC">
        <w:tc>
          <w:tcPr>
            <w:tcW w:w="915" w:type="dxa"/>
            <w:vAlign w:val="center"/>
          </w:tcPr>
          <w:p w:rsidR="00427CFC" w:rsidRDefault="004220DA">
            <w:pPr>
              <w:pStyle w:val="affe"/>
              <w:ind w:firstLineChars="0" w:firstLine="0"/>
              <w:jc w:val="center"/>
              <w:rPr>
                <w:sz w:val="24"/>
                <w:szCs w:val="24"/>
              </w:rPr>
            </w:pPr>
            <w:r>
              <w:rPr>
                <w:rFonts w:hint="eastAsia"/>
                <w:sz w:val="24"/>
                <w:szCs w:val="24"/>
              </w:rPr>
              <w:t>3</w:t>
            </w:r>
          </w:p>
        </w:tc>
        <w:tc>
          <w:tcPr>
            <w:tcW w:w="1634" w:type="dxa"/>
            <w:vMerge/>
            <w:vAlign w:val="center"/>
          </w:tcPr>
          <w:p w:rsidR="00427CFC" w:rsidRDefault="00427CFC">
            <w:pPr>
              <w:pStyle w:val="affe"/>
              <w:ind w:firstLineChars="0" w:firstLine="0"/>
              <w:jc w:val="center"/>
              <w:rPr>
                <w:sz w:val="24"/>
                <w:szCs w:val="24"/>
              </w:rPr>
            </w:pPr>
          </w:p>
        </w:tc>
        <w:tc>
          <w:tcPr>
            <w:tcW w:w="2369" w:type="dxa"/>
            <w:vAlign w:val="center"/>
          </w:tcPr>
          <w:p w:rsidR="00427CFC" w:rsidRDefault="004220DA">
            <w:pPr>
              <w:pStyle w:val="affe"/>
              <w:ind w:firstLineChars="0" w:firstLine="0"/>
              <w:jc w:val="center"/>
              <w:rPr>
                <w:sz w:val="24"/>
                <w:szCs w:val="24"/>
              </w:rPr>
            </w:pPr>
            <w:r>
              <w:rPr>
                <w:rFonts w:hint="eastAsia"/>
                <w:sz w:val="24"/>
                <w:szCs w:val="24"/>
              </w:rPr>
              <w:t>人员机构统计分析</w:t>
            </w:r>
          </w:p>
        </w:tc>
        <w:tc>
          <w:tcPr>
            <w:tcW w:w="2378" w:type="dxa"/>
          </w:tcPr>
          <w:p w:rsidR="00427CFC" w:rsidRDefault="004220DA">
            <w:pPr>
              <w:pStyle w:val="affe"/>
              <w:ind w:firstLineChars="0" w:firstLine="0"/>
              <w:jc w:val="center"/>
              <w:rPr>
                <w:sz w:val="24"/>
                <w:szCs w:val="24"/>
              </w:rPr>
            </w:pPr>
            <w:r>
              <w:rPr>
                <w:rFonts w:hint="eastAsia"/>
                <w:sz w:val="24"/>
                <w:szCs w:val="24"/>
              </w:rPr>
              <w:t>实现对破产管理人的机构与人员数据进行统计分析，包括总体概览、破产管理人增长统计、分级统计、机构设立时间统计、人员年龄分布统计。</w:t>
            </w:r>
          </w:p>
        </w:tc>
        <w:tc>
          <w:tcPr>
            <w:tcW w:w="1000" w:type="dxa"/>
          </w:tcPr>
          <w:p w:rsidR="00427CFC" w:rsidRDefault="00427CFC">
            <w:pPr>
              <w:pStyle w:val="affe"/>
              <w:ind w:firstLineChars="0" w:firstLine="0"/>
              <w:rPr>
                <w:sz w:val="24"/>
                <w:szCs w:val="24"/>
              </w:rPr>
            </w:pPr>
          </w:p>
        </w:tc>
      </w:tr>
      <w:tr w:rsidR="00427CFC">
        <w:tc>
          <w:tcPr>
            <w:tcW w:w="915" w:type="dxa"/>
            <w:vAlign w:val="center"/>
          </w:tcPr>
          <w:p w:rsidR="00427CFC" w:rsidRDefault="004220DA">
            <w:pPr>
              <w:pStyle w:val="affe"/>
              <w:ind w:firstLineChars="0" w:firstLine="0"/>
              <w:jc w:val="center"/>
              <w:rPr>
                <w:sz w:val="24"/>
                <w:szCs w:val="24"/>
              </w:rPr>
            </w:pPr>
            <w:r>
              <w:rPr>
                <w:rFonts w:hint="eastAsia"/>
                <w:sz w:val="24"/>
                <w:szCs w:val="24"/>
              </w:rPr>
              <w:t>4</w:t>
            </w:r>
          </w:p>
        </w:tc>
        <w:tc>
          <w:tcPr>
            <w:tcW w:w="1634" w:type="dxa"/>
            <w:vMerge w:val="restart"/>
            <w:vAlign w:val="center"/>
          </w:tcPr>
          <w:p w:rsidR="00427CFC" w:rsidRDefault="004220DA">
            <w:pPr>
              <w:pStyle w:val="affe"/>
              <w:ind w:firstLineChars="0" w:firstLine="0"/>
              <w:jc w:val="center"/>
              <w:rPr>
                <w:rFonts w:ascii="仿宋_GB2312" w:eastAsia="仿宋_GB2312" w:hAnsi="宋体" w:cs="仿宋_GB2312"/>
                <w:b/>
                <w:bCs/>
                <w:sz w:val="24"/>
                <w:szCs w:val="24"/>
              </w:rPr>
            </w:pPr>
            <w:r>
              <w:rPr>
                <w:rFonts w:ascii="仿宋_GB2312" w:eastAsia="仿宋_GB2312" w:hAnsi="宋体" w:cs="仿宋_GB2312" w:hint="eastAsia"/>
                <w:b/>
                <w:bCs/>
                <w:sz w:val="24"/>
                <w:szCs w:val="24"/>
              </w:rPr>
              <w:t>破产管理人年度考核</w:t>
            </w:r>
          </w:p>
        </w:tc>
        <w:tc>
          <w:tcPr>
            <w:tcW w:w="2369" w:type="dxa"/>
            <w:vAlign w:val="center"/>
          </w:tcPr>
          <w:p w:rsidR="00427CFC" w:rsidRDefault="004220DA">
            <w:pPr>
              <w:pStyle w:val="affe"/>
              <w:ind w:firstLineChars="0" w:firstLine="0"/>
              <w:jc w:val="center"/>
              <w:rPr>
                <w:sz w:val="24"/>
                <w:szCs w:val="24"/>
              </w:rPr>
            </w:pPr>
            <w:r>
              <w:rPr>
                <w:rFonts w:hint="eastAsia"/>
                <w:sz w:val="24"/>
                <w:szCs w:val="24"/>
              </w:rPr>
              <w:t>破产管理人填报</w:t>
            </w:r>
          </w:p>
        </w:tc>
        <w:tc>
          <w:tcPr>
            <w:tcW w:w="2378" w:type="dxa"/>
          </w:tcPr>
          <w:p w:rsidR="00427CFC" w:rsidRDefault="004220DA">
            <w:pPr>
              <w:pStyle w:val="affe"/>
              <w:ind w:firstLineChars="0" w:firstLine="0"/>
              <w:jc w:val="center"/>
              <w:rPr>
                <w:sz w:val="24"/>
                <w:szCs w:val="24"/>
              </w:rPr>
            </w:pPr>
            <w:r>
              <w:rPr>
                <w:rFonts w:hint="eastAsia"/>
                <w:sz w:val="24"/>
                <w:szCs w:val="24"/>
              </w:rPr>
              <w:t>实现破产管理人年度考核信息的填报，包</w:t>
            </w:r>
            <w:r>
              <w:rPr>
                <w:rFonts w:hint="eastAsia"/>
                <w:sz w:val="24"/>
                <w:szCs w:val="24"/>
              </w:rPr>
              <w:lastRenderedPageBreak/>
              <w:t>括填报年度考核登记表、信息补全、信息变更、撤回年度考核登记表的功能。</w:t>
            </w:r>
          </w:p>
        </w:tc>
        <w:tc>
          <w:tcPr>
            <w:tcW w:w="1000" w:type="dxa"/>
          </w:tcPr>
          <w:p w:rsidR="00427CFC" w:rsidRDefault="00427CFC">
            <w:pPr>
              <w:pStyle w:val="affe"/>
              <w:ind w:firstLineChars="0" w:firstLine="0"/>
              <w:rPr>
                <w:sz w:val="24"/>
                <w:szCs w:val="24"/>
              </w:rPr>
            </w:pPr>
          </w:p>
        </w:tc>
      </w:tr>
      <w:tr w:rsidR="00427CFC">
        <w:tc>
          <w:tcPr>
            <w:tcW w:w="915" w:type="dxa"/>
            <w:vAlign w:val="center"/>
          </w:tcPr>
          <w:p w:rsidR="00427CFC" w:rsidRDefault="004220DA">
            <w:pPr>
              <w:pStyle w:val="affe"/>
              <w:ind w:firstLineChars="0" w:firstLine="0"/>
              <w:jc w:val="center"/>
              <w:rPr>
                <w:sz w:val="24"/>
                <w:szCs w:val="24"/>
              </w:rPr>
            </w:pPr>
            <w:r>
              <w:rPr>
                <w:rFonts w:hint="eastAsia"/>
                <w:sz w:val="24"/>
                <w:szCs w:val="24"/>
              </w:rPr>
              <w:lastRenderedPageBreak/>
              <w:t>5</w:t>
            </w:r>
          </w:p>
        </w:tc>
        <w:tc>
          <w:tcPr>
            <w:tcW w:w="1634" w:type="dxa"/>
            <w:vMerge/>
            <w:vAlign w:val="center"/>
          </w:tcPr>
          <w:p w:rsidR="00427CFC" w:rsidRDefault="00427CFC">
            <w:pPr>
              <w:pStyle w:val="affe"/>
              <w:ind w:firstLineChars="0" w:firstLine="0"/>
              <w:jc w:val="center"/>
              <w:rPr>
                <w:rFonts w:ascii="仿宋_GB2312" w:eastAsia="仿宋_GB2312" w:hAnsi="宋体" w:cs="仿宋_GB2312"/>
                <w:b/>
                <w:bCs/>
                <w:sz w:val="24"/>
                <w:szCs w:val="24"/>
              </w:rPr>
            </w:pPr>
          </w:p>
        </w:tc>
        <w:tc>
          <w:tcPr>
            <w:tcW w:w="2369" w:type="dxa"/>
            <w:vAlign w:val="center"/>
          </w:tcPr>
          <w:p w:rsidR="00427CFC" w:rsidRDefault="004220DA">
            <w:pPr>
              <w:pStyle w:val="affe"/>
              <w:ind w:firstLineChars="0" w:firstLine="0"/>
              <w:jc w:val="center"/>
              <w:rPr>
                <w:sz w:val="24"/>
                <w:szCs w:val="24"/>
              </w:rPr>
            </w:pPr>
            <w:r>
              <w:rPr>
                <w:rFonts w:hint="eastAsia"/>
                <w:sz w:val="24"/>
                <w:szCs w:val="24"/>
              </w:rPr>
              <w:t>破产管理机构填报</w:t>
            </w:r>
          </w:p>
        </w:tc>
        <w:tc>
          <w:tcPr>
            <w:tcW w:w="2378" w:type="dxa"/>
          </w:tcPr>
          <w:p w:rsidR="00427CFC" w:rsidRDefault="004220DA">
            <w:pPr>
              <w:pStyle w:val="affe"/>
              <w:ind w:firstLineChars="0" w:firstLine="0"/>
              <w:jc w:val="center"/>
              <w:rPr>
                <w:sz w:val="24"/>
                <w:szCs w:val="24"/>
              </w:rPr>
            </w:pPr>
            <w:r>
              <w:rPr>
                <w:rFonts w:hint="eastAsia"/>
                <w:sz w:val="24"/>
                <w:szCs w:val="24"/>
              </w:rPr>
              <w:t>实现破产管理机构年度考核信息的填报，包括信息补全、信息变更、填报信息确认表、查询打印的功能。</w:t>
            </w:r>
          </w:p>
        </w:tc>
        <w:tc>
          <w:tcPr>
            <w:tcW w:w="1000" w:type="dxa"/>
          </w:tcPr>
          <w:p w:rsidR="00427CFC" w:rsidRDefault="00427CFC">
            <w:pPr>
              <w:pStyle w:val="affe"/>
              <w:ind w:firstLineChars="0" w:firstLine="0"/>
              <w:rPr>
                <w:sz w:val="24"/>
                <w:szCs w:val="24"/>
              </w:rPr>
            </w:pPr>
          </w:p>
        </w:tc>
      </w:tr>
      <w:tr w:rsidR="00427CFC">
        <w:tc>
          <w:tcPr>
            <w:tcW w:w="915" w:type="dxa"/>
            <w:vAlign w:val="center"/>
          </w:tcPr>
          <w:p w:rsidR="00427CFC" w:rsidRDefault="004220DA">
            <w:pPr>
              <w:pStyle w:val="affe"/>
              <w:ind w:firstLineChars="0" w:firstLine="0"/>
              <w:jc w:val="center"/>
              <w:rPr>
                <w:sz w:val="24"/>
                <w:szCs w:val="24"/>
              </w:rPr>
            </w:pPr>
            <w:r>
              <w:rPr>
                <w:rFonts w:hint="eastAsia"/>
                <w:sz w:val="24"/>
                <w:szCs w:val="24"/>
              </w:rPr>
              <w:t>6</w:t>
            </w:r>
          </w:p>
        </w:tc>
        <w:tc>
          <w:tcPr>
            <w:tcW w:w="1634" w:type="dxa"/>
            <w:vMerge/>
            <w:vAlign w:val="center"/>
          </w:tcPr>
          <w:p w:rsidR="00427CFC" w:rsidRDefault="00427CFC">
            <w:pPr>
              <w:pStyle w:val="affe"/>
              <w:ind w:firstLineChars="0" w:firstLine="0"/>
              <w:jc w:val="center"/>
              <w:rPr>
                <w:rFonts w:ascii="仿宋_GB2312" w:eastAsia="仿宋_GB2312" w:hAnsi="宋体" w:cs="仿宋_GB2312"/>
                <w:b/>
                <w:bCs/>
                <w:sz w:val="24"/>
                <w:szCs w:val="24"/>
              </w:rPr>
            </w:pPr>
          </w:p>
        </w:tc>
        <w:tc>
          <w:tcPr>
            <w:tcW w:w="2369" w:type="dxa"/>
            <w:vAlign w:val="center"/>
          </w:tcPr>
          <w:p w:rsidR="00427CFC" w:rsidRDefault="004220DA">
            <w:pPr>
              <w:pStyle w:val="affe"/>
              <w:ind w:firstLineChars="0" w:firstLine="0"/>
              <w:jc w:val="center"/>
              <w:rPr>
                <w:sz w:val="24"/>
                <w:szCs w:val="24"/>
              </w:rPr>
            </w:pPr>
            <w:r>
              <w:rPr>
                <w:rFonts w:hint="eastAsia"/>
                <w:sz w:val="24"/>
                <w:szCs w:val="24"/>
              </w:rPr>
              <w:t>年度考核管理</w:t>
            </w:r>
          </w:p>
        </w:tc>
        <w:tc>
          <w:tcPr>
            <w:tcW w:w="2378" w:type="dxa"/>
          </w:tcPr>
          <w:p w:rsidR="00427CFC" w:rsidRDefault="004220DA">
            <w:pPr>
              <w:pStyle w:val="affe"/>
              <w:ind w:firstLineChars="0" w:firstLine="0"/>
              <w:jc w:val="center"/>
              <w:rPr>
                <w:sz w:val="24"/>
                <w:szCs w:val="24"/>
              </w:rPr>
            </w:pPr>
            <w:r>
              <w:rPr>
                <w:rFonts w:hint="eastAsia"/>
                <w:sz w:val="24"/>
                <w:szCs w:val="24"/>
              </w:rPr>
              <w:t>实现对破产管理人及破产管理机构的考核管理</w:t>
            </w:r>
          </w:p>
        </w:tc>
        <w:tc>
          <w:tcPr>
            <w:tcW w:w="1000" w:type="dxa"/>
          </w:tcPr>
          <w:p w:rsidR="00427CFC" w:rsidRDefault="00427CFC">
            <w:pPr>
              <w:pStyle w:val="affe"/>
              <w:ind w:firstLineChars="0" w:firstLine="0"/>
              <w:rPr>
                <w:sz w:val="24"/>
                <w:szCs w:val="24"/>
              </w:rPr>
            </w:pPr>
          </w:p>
        </w:tc>
      </w:tr>
      <w:tr w:rsidR="00427CFC">
        <w:tc>
          <w:tcPr>
            <w:tcW w:w="915" w:type="dxa"/>
            <w:vAlign w:val="center"/>
          </w:tcPr>
          <w:p w:rsidR="00427CFC" w:rsidRDefault="004220DA">
            <w:pPr>
              <w:pStyle w:val="affe"/>
              <w:ind w:firstLineChars="0" w:firstLine="0"/>
              <w:jc w:val="center"/>
              <w:rPr>
                <w:sz w:val="24"/>
                <w:szCs w:val="24"/>
              </w:rPr>
            </w:pPr>
            <w:r>
              <w:rPr>
                <w:rFonts w:hint="eastAsia"/>
                <w:sz w:val="24"/>
                <w:szCs w:val="24"/>
              </w:rPr>
              <w:t>7</w:t>
            </w:r>
          </w:p>
        </w:tc>
        <w:tc>
          <w:tcPr>
            <w:tcW w:w="1634" w:type="dxa"/>
            <w:vMerge/>
            <w:vAlign w:val="center"/>
          </w:tcPr>
          <w:p w:rsidR="00427CFC" w:rsidRDefault="00427CFC">
            <w:pPr>
              <w:pStyle w:val="affe"/>
              <w:ind w:firstLineChars="0" w:firstLine="0"/>
              <w:jc w:val="center"/>
              <w:rPr>
                <w:rFonts w:ascii="仿宋_GB2312" w:eastAsia="仿宋_GB2312" w:hAnsi="宋体" w:cs="仿宋_GB2312"/>
                <w:b/>
                <w:bCs/>
                <w:sz w:val="24"/>
                <w:szCs w:val="24"/>
              </w:rPr>
            </w:pPr>
          </w:p>
        </w:tc>
        <w:tc>
          <w:tcPr>
            <w:tcW w:w="2369" w:type="dxa"/>
            <w:vAlign w:val="center"/>
          </w:tcPr>
          <w:p w:rsidR="00427CFC" w:rsidRDefault="004220DA">
            <w:pPr>
              <w:pStyle w:val="affe"/>
              <w:ind w:firstLineChars="0" w:firstLine="0"/>
              <w:jc w:val="center"/>
              <w:rPr>
                <w:sz w:val="24"/>
                <w:szCs w:val="24"/>
              </w:rPr>
            </w:pPr>
            <w:r>
              <w:rPr>
                <w:rFonts w:hint="eastAsia"/>
                <w:sz w:val="24"/>
                <w:szCs w:val="24"/>
              </w:rPr>
              <w:t>考核信息公示</w:t>
            </w:r>
          </w:p>
        </w:tc>
        <w:tc>
          <w:tcPr>
            <w:tcW w:w="2378" w:type="dxa"/>
          </w:tcPr>
          <w:p w:rsidR="00427CFC" w:rsidRDefault="004220DA">
            <w:pPr>
              <w:pStyle w:val="affe"/>
              <w:ind w:firstLineChars="0" w:firstLine="0"/>
              <w:jc w:val="center"/>
              <w:rPr>
                <w:sz w:val="24"/>
                <w:szCs w:val="24"/>
              </w:rPr>
            </w:pPr>
            <w:r>
              <w:rPr>
                <w:rFonts w:hint="eastAsia"/>
                <w:sz w:val="24"/>
                <w:szCs w:val="24"/>
              </w:rPr>
              <w:t>实现对破产管理人年度考核结果的公示。</w:t>
            </w:r>
          </w:p>
        </w:tc>
        <w:tc>
          <w:tcPr>
            <w:tcW w:w="1000" w:type="dxa"/>
          </w:tcPr>
          <w:p w:rsidR="00427CFC" w:rsidRDefault="00427CFC">
            <w:pPr>
              <w:pStyle w:val="affe"/>
              <w:ind w:firstLineChars="0" w:firstLine="0"/>
              <w:rPr>
                <w:sz w:val="24"/>
                <w:szCs w:val="24"/>
              </w:rPr>
            </w:pPr>
          </w:p>
        </w:tc>
      </w:tr>
      <w:tr w:rsidR="00427CFC">
        <w:tc>
          <w:tcPr>
            <w:tcW w:w="915" w:type="dxa"/>
            <w:vAlign w:val="center"/>
          </w:tcPr>
          <w:p w:rsidR="00427CFC" w:rsidRDefault="004220DA">
            <w:pPr>
              <w:pStyle w:val="affe"/>
              <w:ind w:firstLineChars="0" w:firstLine="0"/>
              <w:jc w:val="center"/>
              <w:rPr>
                <w:sz w:val="24"/>
                <w:szCs w:val="24"/>
              </w:rPr>
            </w:pPr>
            <w:r>
              <w:rPr>
                <w:rFonts w:hint="eastAsia"/>
                <w:sz w:val="24"/>
                <w:szCs w:val="24"/>
              </w:rPr>
              <w:t>8</w:t>
            </w:r>
          </w:p>
        </w:tc>
        <w:tc>
          <w:tcPr>
            <w:tcW w:w="1634" w:type="dxa"/>
            <w:vMerge w:val="restart"/>
            <w:vAlign w:val="center"/>
          </w:tcPr>
          <w:p w:rsidR="00427CFC" w:rsidRDefault="004220DA">
            <w:pPr>
              <w:pStyle w:val="affe"/>
              <w:ind w:firstLineChars="0" w:firstLine="0"/>
              <w:jc w:val="center"/>
              <w:rPr>
                <w:rFonts w:ascii="仿宋_GB2312" w:eastAsia="仿宋_GB2312" w:hAnsi="宋体" w:cs="仿宋_GB2312"/>
                <w:b/>
                <w:bCs/>
                <w:sz w:val="24"/>
                <w:szCs w:val="24"/>
              </w:rPr>
            </w:pPr>
            <w:r>
              <w:rPr>
                <w:rFonts w:ascii="仿宋_GB2312" w:eastAsia="仿宋_GB2312" w:hAnsi="宋体" w:cs="仿宋_GB2312" w:hint="eastAsia"/>
                <w:b/>
                <w:bCs/>
                <w:sz w:val="24"/>
                <w:szCs w:val="24"/>
              </w:rPr>
              <w:t>破产管理人服务</w:t>
            </w:r>
          </w:p>
        </w:tc>
        <w:tc>
          <w:tcPr>
            <w:tcW w:w="2369" w:type="dxa"/>
            <w:vAlign w:val="center"/>
          </w:tcPr>
          <w:p w:rsidR="00427CFC" w:rsidRDefault="004220DA">
            <w:pPr>
              <w:pStyle w:val="affe"/>
              <w:ind w:firstLineChars="0" w:firstLine="0"/>
              <w:jc w:val="center"/>
              <w:rPr>
                <w:sz w:val="24"/>
                <w:szCs w:val="24"/>
              </w:rPr>
            </w:pPr>
            <w:r>
              <w:rPr>
                <w:rFonts w:hint="eastAsia"/>
                <w:sz w:val="24"/>
                <w:szCs w:val="24"/>
              </w:rPr>
              <w:t>通知发布</w:t>
            </w:r>
          </w:p>
        </w:tc>
        <w:tc>
          <w:tcPr>
            <w:tcW w:w="2378" w:type="dxa"/>
          </w:tcPr>
          <w:p w:rsidR="00427CFC" w:rsidRDefault="004220DA">
            <w:pPr>
              <w:pStyle w:val="affe"/>
              <w:ind w:firstLineChars="0" w:firstLine="0"/>
              <w:jc w:val="center"/>
              <w:rPr>
                <w:sz w:val="24"/>
                <w:szCs w:val="24"/>
              </w:rPr>
            </w:pPr>
            <w:r>
              <w:rPr>
                <w:rFonts w:hint="eastAsia"/>
                <w:sz w:val="24"/>
                <w:szCs w:val="24"/>
              </w:rPr>
              <w:t>实现向破产管理机构与人员用户发布通知的功能，包括通知创建、编辑、删除和通知发布。</w:t>
            </w:r>
          </w:p>
        </w:tc>
        <w:tc>
          <w:tcPr>
            <w:tcW w:w="1000" w:type="dxa"/>
          </w:tcPr>
          <w:p w:rsidR="00427CFC" w:rsidRDefault="00427CFC">
            <w:pPr>
              <w:pStyle w:val="affe"/>
              <w:ind w:firstLineChars="0" w:firstLine="0"/>
              <w:rPr>
                <w:sz w:val="24"/>
                <w:szCs w:val="24"/>
              </w:rPr>
            </w:pPr>
          </w:p>
        </w:tc>
      </w:tr>
      <w:tr w:rsidR="00427CFC">
        <w:tc>
          <w:tcPr>
            <w:tcW w:w="915" w:type="dxa"/>
            <w:vAlign w:val="center"/>
          </w:tcPr>
          <w:p w:rsidR="00427CFC" w:rsidRDefault="004220DA">
            <w:pPr>
              <w:pStyle w:val="affe"/>
              <w:ind w:firstLineChars="0" w:firstLine="0"/>
              <w:jc w:val="center"/>
              <w:rPr>
                <w:sz w:val="24"/>
                <w:szCs w:val="24"/>
              </w:rPr>
            </w:pPr>
            <w:r>
              <w:rPr>
                <w:rFonts w:hint="eastAsia"/>
                <w:sz w:val="24"/>
                <w:szCs w:val="24"/>
              </w:rPr>
              <w:t>9</w:t>
            </w:r>
          </w:p>
        </w:tc>
        <w:tc>
          <w:tcPr>
            <w:tcW w:w="1634" w:type="dxa"/>
            <w:vMerge/>
            <w:vAlign w:val="center"/>
          </w:tcPr>
          <w:p w:rsidR="00427CFC" w:rsidRDefault="00427CFC">
            <w:pPr>
              <w:pStyle w:val="affe"/>
              <w:ind w:firstLineChars="0" w:firstLine="0"/>
              <w:jc w:val="center"/>
              <w:rPr>
                <w:rFonts w:ascii="仿宋_GB2312" w:eastAsia="仿宋_GB2312" w:hAnsi="宋体" w:cs="仿宋_GB2312"/>
                <w:b/>
                <w:bCs/>
                <w:sz w:val="24"/>
                <w:szCs w:val="24"/>
              </w:rPr>
            </w:pPr>
          </w:p>
        </w:tc>
        <w:tc>
          <w:tcPr>
            <w:tcW w:w="2369" w:type="dxa"/>
            <w:vAlign w:val="center"/>
          </w:tcPr>
          <w:p w:rsidR="00427CFC" w:rsidRDefault="004220DA">
            <w:pPr>
              <w:pStyle w:val="affe"/>
              <w:ind w:firstLineChars="0" w:firstLine="0"/>
              <w:jc w:val="center"/>
              <w:rPr>
                <w:sz w:val="24"/>
                <w:szCs w:val="24"/>
              </w:rPr>
            </w:pPr>
            <w:r>
              <w:rPr>
                <w:rFonts w:hint="eastAsia"/>
                <w:sz w:val="24"/>
                <w:szCs w:val="24"/>
              </w:rPr>
              <w:t>在线调研</w:t>
            </w:r>
          </w:p>
        </w:tc>
        <w:tc>
          <w:tcPr>
            <w:tcW w:w="2378" w:type="dxa"/>
          </w:tcPr>
          <w:p w:rsidR="00427CFC" w:rsidRDefault="004220DA">
            <w:pPr>
              <w:pStyle w:val="affe"/>
              <w:ind w:firstLineChars="0" w:firstLine="0"/>
              <w:jc w:val="center"/>
              <w:rPr>
                <w:sz w:val="24"/>
                <w:szCs w:val="24"/>
              </w:rPr>
            </w:pPr>
            <w:r>
              <w:rPr>
                <w:rFonts w:hint="eastAsia"/>
                <w:sz w:val="24"/>
                <w:szCs w:val="24"/>
              </w:rPr>
              <w:t>实现开展破产管理相关业务在线调研功能，包括调研粪污创建、调研表在线生成、调研任务发布、调研数据填写、调研数据统计。</w:t>
            </w:r>
          </w:p>
        </w:tc>
        <w:tc>
          <w:tcPr>
            <w:tcW w:w="1000" w:type="dxa"/>
          </w:tcPr>
          <w:p w:rsidR="00427CFC" w:rsidRDefault="00427CFC">
            <w:pPr>
              <w:pStyle w:val="affe"/>
              <w:ind w:firstLineChars="0" w:firstLine="0"/>
              <w:rPr>
                <w:sz w:val="24"/>
                <w:szCs w:val="24"/>
              </w:rPr>
            </w:pPr>
          </w:p>
        </w:tc>
      </w:tr>
      <w:tr w:rsidR="00427CFC">
        <w:tc>
          <w:tcPr>
            <w:tcW w:w="915" w:type="dxa"/>
            <w:vAlign w:val="center"/>
          </w:tcPr>
          <w:p w:rsidR="00427CFC" w:rsidRDefault="004220DA">
            <w:pPr>
              <w:pStyle w:val="affe"/>
              <w:ind w:firstLineChars="0" w:firstLine="0"/>
              <w:jc w:val="center"/>
              <w:rPr>
                <w:sz w:val="24"/>
                <w:szCs w:val="24"/>
              </w:rPr>
            </w:pPr>
            <w:r>
              <w:rPr>
                <w:rFonts w:hint="eastAsia"/>
                <w:sz w:val="24"/>
                <w:szCs w:val="24"/>
              </w:rPr>
              <w:t>1</w:t>
            </w:r>
            <w:r>
              <w:rPr>
                <w:sz w:val="24"/>
                <w:szCs w:val="24"/>
              </w:rPr>
              <w:t>0</w:t>
            </w:r>
          </w:p>
        </w:tc>
        <w:tc>
          <w:tcPr>
            <w:tcW w:w="1634" w:type="dxa"/>
            <w:vMerge/>
            <w:vAlign w:val="center"/>
          </w:tcPr>
          <w:p w:rsidR="00427CFC" w:rsidRDefault="00427CFC">
            <w:pPr>
              <w:pStyle w:val="affe"/>
              <w:ind w:firstLineChars="0" w:firstLine="0"/>
              <w:jc w:val="center"/>
              <w:rPr>
                <w:rFonts w:ascii="仿宋_GB2312" w:eastAsia="仿宋_GB2312" w:hAnsi="宋体" w:cs="仿宋_GB2312"/>
                <w:b/>
                <w:bCs/>
                <w:sz w:val="24"/>
                <w:szCs w:val="24"/>
              </w:rPr>
            </w:pPr>
          </w:p>
        </w:tc>
        <w:tc>
          <w:tcPr>
            <w:tcW w:w="2369" w:type="dxa"/>
            <w:vAlign w:val="center"/>
          </w:tcPr>
          <w:p w:rsidR="00427CFC" w:rsidRDefault="004220DA">
            <w:pPr>
              <w:pStyle w:val="affe"/>
              <w:ind w:firstLineChars="0" w:firstLine="0"/>
              <w:jc w:val="center"/>
              <w:rPr>
                <w:sz w:val="24"/>
                <w:szCs w:val="24"/>
              </w:rPr>
            </w:pPr>
            <w:r>
              <w:rPr>
                <w:rFonts w:hint="eastAsia"/>
                <w:sz w:val="24"/>
                <w:szCs w:val="24"/>
              </w:rPr>
              <w:t>经费审批管理</w:t>
            </w:r>
          </w:p>
        </w:tc>
        <w:tc>
          <w:tcPr>
            <w:tcW w:w="2378" w:type="dxa"/>
          </w:tcPr>
          <w:p w:rsidR="00427CFC" w:rsidRDefault="004220DA">
            <w:pPr>
              <w:pStyle w:val="affe"/>
              <w:ind w:firstLineChars="0" w:firstLine="0"/>
              <w:jc w:val="center"/>
              <w:rPr>
                <w:sz w:val="24"/>
                <w:szCs w:val="24"/>
              </w:rPr>
            </w:pPr>
            <w:r>
              <w:rPr>
                <w:rFonts w:hint="eastAsia"/>
                <w:sz w:val="24"/>
                <w:szCs w:val="24"/>
              </w:rPr>
              <w:t>实现破产管理</w:t>
            </w:r>
            <w:proofErr w:type="gramStart"/>
            <w:r>
              <w:rPr>
                <w:rFonts w:hint="eastAsia"/>
                <w:sz w:val="24"/>
                <w:szCs w:val="24"/>
              </w:rPr>
              <w:t>人经费</w:t>
            </w:r>
            <w:proofErr w:type="gramEnd"/>
            <w:r>
              <w:rPr>
                <w:rFonts w:hint="eastAsia"/>
                <w:sz w:val="24"/>
                <w:szCs w:val="24"/>
              </w:rPr>
              <w:t>审批的功能，包括提取经费申请、经费审</w:t>
            </w:r>
            <w:r>
              <w:rPr>
                <w:rFonts w:hint="eastAsia"/>
                <w:sz w:val="24"/>
                <w:szCs w:val="24"/>
              </w:rPr>
              <w:lastRenderedPageBreak/>
              <w:t>批、经费审批结果反馈。</w:t>
            </w:r>
          </w:p>
        </w:tc>
        <w:tc>
          <w:tcPr>
            <w:tcW w:w="1000" w:type="dxa"/>
          </w:tcPr>
          <w:p w:rsidR="00427CFC" w:rsidRDefault="00427CFC">
            <w:pPr>
              <w:pStyle w:val="affe"/>
              <w:ind w:firstLineChars="0" w:firstLine="0"/>
              <w:rPr>
                <w:sz w:val="24"/>
                <w:szCs w:val="24"/>
              </w:rPr>
            </w:pPr>
          </w:p>
        </w:tc>
      </w:tr>
      <w:tr w:rsidR="00427CFC">
        <w:tc>
          <w:tcPr>
            <w:tcW w:w="915" w:type="dxa"/>
            <w:vAlign w:val="center"/>
          </w:tcPr>
          <w:p w:rsidR="00427CFC" w:rsidRDefault="004220DA">
            <w:pPr>
              <w:pStyle w:val="affe"/>
              <w:ind w:firstLineChars="0" w:firstLine="0"/>
              <w:jc w:val="center"/>
              <w:rPr>
                <w:sz w:val="24"/>
                <w:szCs w:val="24"/>
              </w:rPr>
            </w:pPr>
            <w:r>
              <w:rPr>
                <w:rFonts w:hint="eastAsia"/>
                <w:sz w:val="24"/>
                <w:szCs w:val="24"/>
              </w:rPr>
              <w:lastRenderedPageBreak/>
              <w:t>1</w:t>
            </w:r>
            <w:r>
              <w:rPr>
                <w:sz w:val="24"/>
                <w:szCs w:val="24"/>
              </w:rPr>
              <w:t>1</w:t>
            </w:r>
          </w:p>
        </w:tc>
        <w:tc>
          <w:tcPr>
            <w:tcW w:w="1634" w:type="dxa"/>
            <w:vMerge/>
            <w:vAlign w:val="center"/>
          </w:tcPr>
          <w:p w:rsidR="00427CFC" w:rsidRDefault="00427CFC">
            <w:pPr>
              <w:pStyle w:val="affe"/>
              <w:ind w:firstLineChars="0" w:firstLine="0"/>
              <w:jc w:val="center"/>
              <w:rPr>
                <w:rFonts w:ascii="仿宋_GB2312" w:eastAsia="仿宋_GB2312" w:hAnsi="宋体" w:cs="仿宋_GB2312"/>
                <w:b/>
                <w:bCs/>
                <w:sz w:val="24"/>
                <w:szCs w:val="24"/>
              </w:rPr>
            </w:pPr>
          </w:p>
        </w:tc>
        <w:tc>
          <w:tcPr>
            <w:tcW w:w="2369" w:type="dxa"/>
            <w:vAlign w:val="center"/>
          </w:tcPr>
          <w:p w:rsidR="00427CFC" w:rsidRDefault="004220DA">
            <w:pPr>
              <w:pStyle w:val="affe"/>
              <w:ind w:firstLineChars="0" w:firstLine="0"/>
              <w:jc w:val="center"/>
              <w:rPr>
                <w:sz w:val="24"/>
                <w:szCs w:val="24"/>
              </w:rPr>
            </w:pPr>
            <w:r>
              <w:rPr>
                <w:rFonts w:hint="eastAsia"/>
                <w:sz w:val="24"/>
                <w:szCs w:val="24"/>
              </w:rPr>
              <w:t>破产管理人报酬专项基金管理</w:t>
            </w:r>
          </w:p>
        </w:tc>
        <w:tc>
          <w:tcPr>
            <w:tcW w:w="2378" w:type="dxa"/>
          </w:tcPr>
          <w:p w:rsidR="00427CFC" w:rsidRDefault="004220DA">
            <w:pPr>
              <w:pStyle w:val="affe"/>
              <w:ind w:firstLineChars="0" w:firstLine="0"/>
              <w:jc w:val="center"/>
              <w:rPr>
                <w:sz w:val="24"/>
                <w:szCs w:val="24"/>
              </w:rPr>
            </w:pPr>
            <w:r>
              <w:rPr>
                <w:rFonts w:hint="eastAsia"/>
                <w:sz w:val="24"/>
                <w:szCs w:val="24"/>
              </w:rPr>
              <w:t>实现破产管理人在线提交申报管理人报酬，上传申报材料，管理机构对申报信息进行审批、核准报酬专项基金及补贴。</w:t>
            </w:r>
          </w:p>
        </w:tc>
        <w:tc>
          <w:tcPr>
            <w:tcW w:w="1000" w:type="dxa"/>
          </w:tcPr>
          <w:p w:rsidR="00427CFC" w:rsidRDefault="00427CFC">
            <w:pPr>
              <w:pStyle w:val="affe"/>
              <w:ind w:firstLineChars="0" w:firstLine="0"/>
              <w:rPr>
                <w:sz w:val="24"/>
                <w:szCs w:val="24"/>
              </w:rPr>
            </w:pPr>
          </w:p>
        </w:tc>
      </w:tr>
      <w:tr w:rsidR="00427CFC">
        <w:tc>
          <w:tcPr>
            <w:tcW w:w="915" w:type="dxa"/>
            <w:vAlign w:val="center"/>
          </w:tcPr>
          <w:p w:rsidR="00427CFC" w:rsidRDefault="004220DA">
            <w:pPr>
              <w:pStyle w:val="affe"/>
              <w:ind w:firstLineChars="0" w:firstLine="0"/>
              <w:jc w:val="center"/>
              <w:rPr>
                <w:sz w:val="24"/>
                <w:szCs w:val="24"/>
              </w:rPr>
            </w:pPr>
            <w:r>
              <w:rPr>
                <w:rFonts w:hint="eastAsia"/>
                <w:sz w:val="24"/>
                <w:szCs w:val="24"/>
              </w:rPr>
              <w:t>12</w:t>
            </w:r>
          </w:p>
        </w:tc>
        <w:tc>
          <w:tcPr>
            <w:tcW w:w="1634" w:type="dxa"/>
            <w:vMerge/>
            <w:vAlign w:val="center"/>
          </w:tcPr>
          <w:p w:rsidR="00427CFC" w:rsidRDefault="00427CFC">
            <w:pPr>
              <w:pStyle w:val="affe"/>
              <w:ind w:firstLineChars="0" w:firstLine="0"/>
              <w:jc w:val="center"/>
              <w:rPr>
                <w:rFonts w:ascii="仿宋_GB2312" w:eastAsia="仿宋_GB2312" w:hAnsi="宋体" w:cs="仿宋_GB2312"/>
                <w:b/>
                <w:bCs/>
                <w:sz w:val="24"/>
                <w:szCs w:val="24"/>
              </w:rPr>
            </w:pPr>
          </w:p>
        </w:tc>
        <w:tc>
          <w:tcPr>
            <w:tcW w:w="2369" w:type="dxa"/>
            <w:vAlign w:val="center"/>
          </w:tcPr>
          <w:p w:rsidR="00427CFC" w:rsidRDefault="004220DA">
            <w:pPr>
              <w:pStyle w:val="affe"/>
              <w:ind w:firstLineChars="0" w:firstLine="0"/>
              <w:jc w:val="center"/>
              <w:rPr>
                <w:sz w:val="24"/>
                <w:szCs w:val="24"/>
              </w:rPr>
            </w:pPr>
            <w:r>
              <w:rPr>
                <w:rFonts w:hint="eastAsia"/>
                <w:sz w:val="24"/>
                <w:szCs w:val="24"/>
              </w:rPr>
              <w:t>破产管理人服务门户</w:t>
            </w:r>
          </w:p>
        </w:tc>
        <w:tc>
          <w:tcPr>
            <w:tcW w:w="2378" w:type="dxa"/>
          </w:tcPr>
          <w:p w:rsidR="00427CFC" w:rsidRDefault="004220DA">
            <w:pPr>
              <w:pStyle w:val="affe"/>
              <w:ind w:firstLineChars="0" w:firstLine="0"/>
              <w:jc w:val="center"/>
              <w:rPr>
                <w:sz w:val="24"/>
                <w:szCs w:val="24"/>
              </w:rPr>
            </w:pPr>
            <w:r>
              <w:rPr>
                <w:rFonts w:hint="eastAsia"/>
                <w:sz w:val="24"/>
                <w:szCs w:val="24"/>
              </w:rPr>
              <w:t>为破产管理人提供便捷、健全的服务门户，满足破产管理人业务服务访问需求。</w:t>
            </w:r>
          </w:p>
        </w:tc>
        <w:tc>
          <w:tcPr>
            <w:tcW w:w="1000" w:type="dxa"/>
          </w:tcPr>
          <w:p w:rsidR="00427CFC" w:rsidRDefault="00427CFC">
            <w:pPr>
              <w:pStyle w:val="affe"/>
              <w:ind w:firstLineChars="0" w:firstLine="0"/>
              <w:rPr>
                <w:sz w:val="24"/>
                <w:szCs w:val="24"/>
              </w:rPr>
            </w:pPr>
          </w:p>
        </w:tc>
      </w:tr>
      <w:tr w:rsidR="00427CFC">
        <w:tc>
          <w:tcPr>
            <w:tcW w:w="915" w:type="dxa"/>
            <w:vAlign w:val="center"/>
          </w:tcPr>
          <w:p w:rsidR="00427CFC" w:rsidRDefault="004220DA">
            <w:pPr>
              <w:pStyle w:val="affe"/>
              <w:ind w:firstLineChars="0" w:firstLine="0"/>
              <w:jc w:val="center"/>
              <w:rPr>
                <w:sz w:val="24"/>
                <w:szCs w:val="24"/>
              </w:rPr>
            </w:pPr>
            <w:r>
              <w:rPr>
                <w:rFonts w:hint="eastAsia"/>
                <w:sz w:val="24"/>
                <w:szCs w:val="24"/>
              </w:rPr>
              <w:t>1</w:t>
            </w:r>
            <w:r>
              <w:rPr>
                <w:sz w:val="24"/>
                <w:szCs w:val="24"/>
              </w:rPr>
              <w:t>3</w:t>
            </w:r>
          </w:p>
        </w:tc>
        <w:tc>
          <w:tcPr>
            <w:tcW w:w="1634" w:type="dxa"/>
            <w:vMerge w:val="restart"/>
            <w:vAlign w:val="center"/>
          </w:tcPr>
          <w:p w:rsidR="00427CFC" w:rsidRDefault="004220DA">
            <w:pPr>
              <w:pStyle w:val="affe"/>
              <w:ind w:firstLineChars="0" w:firstLine="0"/>
              <w:jc w:val="center"/>
              <w:rPr>
                <w:rFonts w:ascii="仿宋_GB2312" w:eastAsia="仿宋_GB2312" w:hAnsi="宋体" w:cs="仿宋_GB2312"/>
                <w:b/>
                <w:bCs/>
                <w:sz w:val="24"/>
                <w:szCs w:val="24"/>
              </w:rPr>
            </w:pPr>
            <w:r>
              <w:rPr>
                <w:rFonts w:ascii="仿宋_GB2312" w:eastAsia="仿宋_GB2312" w:hAnsi="宋体" w:cs="仿宋_GB2312" w:hint="eastAsia"/>
                <w:b/>
                <w:bCs/>
                <w:sz w:val="24"/>
                <w:szCs w:val="24"/>
              </w:rPr>
              <w:t>破产管理人奖惩管理</w:t>
            </w:r>
          </w:p>
        </w:tc>
        <w:tc>
          <w:tcPr>
            <w:tcW w:w="2369" w:type="dxa"/>
            <w:vAlign w:val="center"/>
          </w:tcPr>
          <w:p w:rsidR="00427CFC" w:rsidRDefault="004220DA">
            <w:pPr>
              <w:pStyle w:val="affe"/>
              <w:ind w:firstLineChars="0" w:firstLine="0"/>
              <w:jc w:val="center"/>
              <w:rPr>
                <w:sz w:val="24"/>
                <w:szCs w:val="24"/>
              </w:rPr>
            </w:pPr>
            <w:r>
              <w:rPr>
                <w:rFonts w:hint="eastAsia"/>
                <w:sz w:val="24"/>
                <w:szCs w:val="24"/>
              </w:rPr>
              <w:t>投诉管理</w:t>
            </w:r>
          </w:p>
        </w:tc>
        <w:tc>
          <w:tcPr>
            <w:tcW w:w="2378" w:type="dxa"/>
          </w:tcPr>
          <w:p w:rsidR="00427CFC" w:rsidRDefault="004220DA">
            <w:pPr>
              <w:pStyle w:val="affe"/>
              <w:ind w:firstLineChars="0" w:firstLine="0"/>
              <w:jc w:val="center"/>
              <w:rPr>
                <w:sz w:val="24"/>
                <w:szCs w:val="24"/>
              </w:rPr>
            </w:pPr>
            <w:r>
              <w:rPr>
                <w:rFonts w:hint="eastAsia"/>
                <w:sz w:val="24"/>
                <w:szCs w:val="24"/>
              </w:rPr>
              <w:t>实现对破产管理人投诉的在线管理，包括投诉受理查处中心、投诉转移、投诉处理、投诉复查。</w:t>
            </w:r>
          </w:p>
        </w:tc>
        <w:tc>
          <w:tcPr>
            <w:tcW w:w="1000" w:type="dxa"/>
          </w:tcPr>
          <w:p w:rsidR="00427CFC" w:rsidRDefault="00427CFC">
            <w:pPr>
              <w:pStyle w:val="affe"/>
              <w:ind w:firstLineChars="0" w:firstLine="0"/>
              <w:rPr>
                <w:sz w:val="24"/>
                <w:szCs w:val="24"/>
              </w:rPr>
            </w:pPr>
          </w:p>
        </w:tc>
      </w:tr>
      <w:tr w:rsidR="00427CFC">
        <w:tc>
          <w:tcPr>
            <w:tcW w:w="915" w:type="dxa"/>
            <w:vAlign w:val="center"/>
          </w:tcPr>
          <w:p w:rsidR="00427CFC" w:rsidRDefault="004220DA">
            <w:pPr>
              <w:pStyle w:val="affe"/>
              <w:ind w:firstLineChars="0" w:firstLine="0"/>
              <w:jc w:val="center"/>
              <w:rPr>
                <w:sz w:val="24"/>
                <w:szCs w:val="24"/>
              </w:rPr>
            </w:pPr>
            <w:r>
              <w:rPr>
                <w:rFonts w:hint="eastAsia"/>
                <w:sz w:val="24"/>
                <w:szCs w:val="24"/>
              </w:rPr>
              <w:t>1</w:t>
            </w:r>
            <w:r>
              <w:rPr>
                <w:sz w:val="24"/>
                <w:szCs w:val="24"/>
              </w:rPr>
              <w:t>4</w:t>
            </w:r>
          </w:p>
        </w:tc>
        <w:tc>
          <w:tcPr>
            <w:tcW w:w="1634" w:type="dxa"/>
            <w:vMerge/>
            <w:vAlign w:val="center"/>
          </w:tcPr>
          <w:p w:rsidR="00427CFC" w:rsidRDefault="00427CFC">
            <w:pPr>
              <w:pStyle w:val="affe"/>
              <w:ind w:firstLineChars="0" w:firstLine="0"/>
              <w:jc w:val="center"/>
              <w:rPr>
                <w:rFonts w:ascii="仿宋_GB2312" w:eastAsia="仿宋_GB2312" w:hAnsi="宋体" w:cs="仿宋_GB2312"/>
                <w:b/>
                <w:bCs/>
                <w:sz w:val="24"/>
                <w:szCs w:val="24"/>
              </w:rPr>
            </w:pPr>
          </w:p>
        </w:tc>
        <w:tc>
          <w:tcPr>
            <w:tcW w:w="2369" w:type="dxa"/>
            <w:vAlign w:val="center"/>
          </w:tcPr>
          <w:p w:rsidR="00427CFC" w:rsidRDefault="004220DA">
            <w:pPr>
              <w:pStyle w:val="affe"/>
              <w:ind w:firstLineChars="0" w:firstLine="0"/>
              <w:jc w:val="center"/>
              <w:rPr>
                <w:sz w:val="24"/>
                <w:szCs w:val="24"/>
              </w:rPr>
            </w:pPr>
            <w:r>
              <w:rPr>
                <w:rFonts w:hint="eastAsia"/>
                <w:sz w:val="24"/>
                <w:szCs w:val="24"/>
              </w:rPr>
              <w:t>处分管理</w:t>
            </w:r>
          </w:p>
        </w:tc>
        <w:tc>
          <w:tcPr>
            <w:tcW w:w="2378" w:type="dxa"/>
          </w:tcPr>
          <w:p w:rsidR="00427CFC" w:rsidRDefault="004220DA">
            <w:pPr>
              <w:pStyle w:val="affe"/>
              <w:ind w:firstLineChars="0" w:firstLine="0"/>
              <w:jc w:val="center"/>
              <w:rPr>
                <w:sz w:val="24"/>
                <w:szCs w:val="24"/>
              </w:rPr>
            </w:pPr>
            <w:r>
              <w:rPr>
                <w:rFonts w:hint="eastAsia"/>
                <w:sz w:val="24"/>
                <w:szCs w:val="24"/>
              </w:rPr>
              <w:t>实现对破产管理人处分信息的管理，包括处分信息创建、处分信息修改、处分信息删除。</w:t>
            </w:r>
          </w:p>
        </w:tc>
        <w:tc>
          <w:tcPr>
            <w:tcW w:w="1000" w:type="dxa"/>
          </w:tcPr>
          <w:p w:rsidR="00427CFC" w:rsidRDefault="00427CFC">
            <w:pPr>
              <w:pStyle w:val="affe"/>
              <w:ind w:firstLineChars="0" w:firstLine="0"/>
              <w:rPr>
                <w:sz w:val="24"/>
                <w:szCs w:val="24"/>
              </w:rPr>
            </w:pPr>
          </w:p>
        </w:tc>
      </w:tr>
      <w:tr w:rsidR="00427CFC">
        <w:tc>
          <w:tcPr>
            <w:tcW w:w="915" w:type="dxa"/>
            <w:vAlign w:val="center"/>
          </w:tcPr>
          <w:p w:rsidR="00427CFC" w:rsidRDefault="004220DA">
            <w:pPr>
              <w:pStyle w:val="affe"/>
              <w:ind w:firstLineChars="0" w:firstLine="0"/>
              <w:jc w:val="center"/>
              <w:rPr>
                <w:sz w:val="24"/>
                <w:szCs w:val="24"/>
              </w:rPr>
            </w:pPr>
            <w:r>
              <w:rPr>
                <w:rFonts w:hint="eastAsia"/>
                <w:sz w:val="24"/>
                <w:szCs w:val="24"/>
              </w:rPr>
              <w:t>1</w:t>
            </w:r>
            <w:r>
              <w:rPr>
                <w:sz w:val="24"/>
                <w:szCs w:val="24"/>
              </w:rPr>
              <w:t>5</w:t>
            </w:r>
          </w:p>
        </w:tc>
        <w:tc>
          <w:tcPr>
            <w:tcW w:w="1634" w:type="dxa"/>
            <w:vMerge/>
            <w:vAlign w:val="center"/>
          </w:tcPr>
          <w:p w:rsidR="00427CFC" w:rsidRDefault="00427CFC">
            <w:pPr>
              <w:pStyle w:val="affe"/>
              <w:ind w:firstLineChars="0" w:firstLine="0"/>
              <w:jc w:val="center"/>
              <w:rPr>
                <w:rFonts w:ascii="仿宋_GB2312" w:eastAsia="仿宋_GB2312" w:hAnsi="宋体" w:cs="仿宋_GB2312"/>
                <w:b/>
                <w:bCs/>
                <w:sz w:val="24"/>
                <w:szCs w:val="24"/>
              </w:rPr>
            </w:pPr>
          </w:p>
        </w:tc>
        <w:tc>
          <w:tcPr>
            <w:tcW w:w="2369" w:type="dxa"/>
            <w:vAlign w:val="center"/>
          </w:tcPr>
          <w:p w:rsidR="00427CFC" w:rsidRDefault="004220DA">
            <w:pPr>
              <w:pStyle w:val="affe"/>
              <w:ind w:firstLineChars="0" w:firstLine="0"/>
              <w:jc w:val="center"/>
              <w:rPr>
                <w:sz w:val="24"/>
                <w:szCs w:val="24"/>
              </w:rPr>
            </w:pPr>
            <w:r>
              <w:rPr>
                <w:rFonts w:hint="eastAsia"/>
                <w:sz w:val="24"/>
                <w:szCs w:val="24"/>
              </w:rPr>
              <w:t>奖励管理</w:t>
            </w:r>
          </w:p>
        </w:tc>
        <w:tc>
          <w:tcPr>
            <w:tcW w:w="2378" w:type="dxa"/>
          </w:tcPr>
          <w:p w:rsidR="00427CFC" w:rsidRDefault="004220DA">
            <w:pPr>
              <w:pStyle w:val="affe"/>
              <w:ind w:firstLineChars="0" w:firstLine="0"/>
              <w:jc w:val="center"/>
              <w:rPr>
                <w:sz w:val="24"/>
                <w:szCs w:val="24"/>
              </w:rPr>
            </w:pPr>
            <w:r>
              <w:rPr>
                <w:rFonts w:hint="eastAsia"/>
                <w:sz w:val="24"/>
                <w:szCs w:val="24"/>
              </w:rPr>
              <w:t>实现对破产管理人奖励信息的管理，包括奖励信息创建、奖励信息修改、奖励信息删除。</w:t>
            </w:r>
          </w:p>
        </w:tc>
        <w:tc>
          <w:tcPr>
            <w:tcW w:w="1000" w:type="dxa"/>
          </w:tcPr>
          <w:p w:rsidR="00427CFC" w:rsidRDefault="00427CFC">
            <w:pPr>
              <w:pStyle w:val="affe"/>
              <w:ind w:firstLineChars="0" w:firstLine="0"/>
              <w:rPr>
                <w:sz w:val="24"/>
                <w:szCs w:val="24"/>
              </w:rPr>
            </w:pPr>
          </w:p>
        </w:tc>
      </w:tr>
      <w:tr w:rsidR="00427CFC">
        <w:tc>
          <w:tcPr>
            <w:tcW w:w="915" w:type="dxa"/>
            <w:vAlign w:val="center"/>
          </w:tcPr>
          <w:p w:rsidR="00427CFC" w:rsidRDefault="004220DA">
            <w:pPr>
              <w:pStyle w:val="affe"/>
              <w:ind w:firstLineChars="0" w:firstLine="0"/>
              <w:jc w:val="center"/>
              <w:rPr>
                <w:sz w:val="24"/>
                <w:szCs w:val="24"/>
              </w:rPr>
            </w:pPr>
            <w:r>
              <w:rPr>
                <w:rFonts w:hint="eastAsia"/>
                <w:sz w:val="24"/>
                <w:szCs w:val="24"/>
              </w:rPr>
              <w:t>1</w:t>
            </w:r>
            <w:r>
              <w:rPr>
                <w:sz w:val="24"/>
                <w:szCs w:val="24"/>
              </w:rPr>
              <w:t>6</w:t>
            </w:r>
          </w:p>
        </w:tc>
        <w:tc>
          <w:tcPr>
            <w:tcW w:w="1634" w:type="dxa"/>
            <w:vMerge w:val="restart"/>
            <w:vAlign w:val="center"/>
          </w:tcPr>
          <w:p w:rsidR="00427CFC" w:rsidRDefault="004220DA">
            <w:pPr>
              <w:pStyle w:val="affe"/>
              <w:ind w:firstLineChars="0" w:firstLine="0"/>
              <w:jc w:val="center"/>
              <w:rPr>
                <w:rFonts w:ascii="仿宋_GB2312" w:eastAsia="仿宋_GB2312" w:hAnsi="宋体" w:cs="仿宋_GB2312"/>
                <w:b/>
                <w:bCs/>
                <w:sz w:val="24"/>
                <w:szCs w:val="24"/>
              </w:rPr>
            </w:pPr>
            <w:r>
              <w:rPr>
                <w:rFonts w:ascii="仿宋_GB2312" w:eastAsia="仿宋_GB2312" w:hAnsi="宋体" w:cs="仿宋_GB2312" w:hint="eastAsia"/>
                <w:b/>
                <w:bCs/>
                <w:sz w:val="24"/>
                <w:szCs w:val="24"/>
              </w:rPr>
              <w:t>机构变更管理</w:t>
            </w:r>
          </w:p>
        </w:tc>
        <w:tc>
          <w:tcPr>
            <w:tcW w:w="2369" w:type="dxa"/>
            <w:vAlign w:val="center"/>
          </w:tcPr>
          <w:p w:rsidR="00427CFC" w:rsidRDefault="004220DA">
            <w:pPr>
              <w:pStyle w:val="affe"/>
              <w:ind w:firstLineChars="0" w:firstLine="0"/>
              <w:jc w:val="center"/>
              <w:rPr>
                <w:sz w:val="24"/>
                <w:szCs w:val="24"/>
              </w:rPr>
            </w:pPr>
            <w:r>
              <w:rPr>
                <w:rFonts w:hint="eastAsia"/>
                <w:sz w:val="24"/>
                <w:szCs w:val="24"/>
              </w:rPr>
              <w:t>变更信息报备</w:t>
            </w:r>
          </w:p>
        </w:tc>
        <w:tc>
          <w:tcPr>
            <w:tcW w:w="2378" w:type="dxa"/>
          </w:tcPr>
          <w:p w:rsidR="00427CFC" w:rsidRDefault="004220DA">
            <w:pPr>
              <w:pStyle w:val="affe"/>
              <w:ind w:firstLineChars="0" w:firstLine="0"/>
              <w:jc w:val="center"/>
              <w:rPr>
                <w:sz w:val="24"/>
                <w:szCs w:val="24"/>
              </w:rPr>
            </w:pPr>
            <w:r>
              <w:rPr>
                <w:rFonts w:hint="eastAsia"/>
                <w:sz w:val="24"/>
                <w:szCs w:val="24"/>
              </w:rPr>
              <w:t>实现破产管理人机构信息发生变更时，进</w:t>
            </w:r>
            <w:r>
              <w:rPr>
                <w:rFonts w:hint="eastAsia"/>
                <w:sz w:val="24"/>
                <w:szCs w:val="24"/>
              </w:rPr>
              <w:lastRenderedPageBreak/>
              <w:t>行信息变更报备的操作。</w:t>
            </w:r>
          </w:p>
        </w:tc>
        <w:tc>
          <w:tcPr>
            <w:tcW w:w="1000" w:type="dxa"/>
          </w:tcPr>
          <w:p w:rsidR="00427CFC" w:rsidRDefault="00427CFC">
            <w:pPr>
              <w:pStyle w:val="affe"/>
              <w:ind w:firstLineChars="0" w:firstLine="0"/>
              <w:rPr>
                <w:sz w:val="24"/>
                <w:szCs w:val="24"/>
              </w:rPr>
            </w:pPr>
          </w:p>
        </w:tc>
      </w:tr>
      <w:tr w:rsidR="00427CFC">
        <w:tc>
          <w:tcPr>
            <w:tcW w:w="915" w:type="dxa"/>
            <w:vAlign w:val="center"/>
          </w:tcPr>
          <w:p w:rsidR="00427CFC" w:rsidRDefault="004220DA">
            <w:pPr>
              <w:pStyle w:val="affe"/>
              <w:ind w:firstLineChars="0" w:firstLine="0"/>
              <w:jc w:val="center"/>
              <w:rPr>
                <w:sz w:val="24"/>
                <w:szCs w:val="24"/>
              </w:rPr>
            </w:pPr>
            <w:r>
              <w:rPr>
                <w:rFonts w:hint="eastAsia"/>
                <w:sz w:val="24"/>
                <w:szCs w:val="24"/>
              </w:rPr>
              <w:lastRenderedPageBreak/>
              <w:t>1</w:t>
            </w:r>
            <w:r>
              <w:rPr>
                <w:sz w:val="24"/>
                <w:szCs w:val="24"/>
              </w:rPr>
              <w:t>7</w:t>
            </w:r>
          </w:p>
        </w:tc>
        <w:tc>
          <w:tcPr>
            <w:tcW w:w="1634" w:type="dxa"/>
            <w:vMerge/>
            <w:vAlign w:val="center"/>
          </w:tcPr>
          <w:p w:rsidR="00427CFC" w:rsidRDefault="00427CFC">
            <w:pPr>
              <w:pStyle w:val="affe"/>
              <w:ind w:firstLineChars="0" w:firstLine="0"/>
              <w:jc w:val="center"/>
              <w:rPr>
                <w:rFonts w:ascii="仿宋_GB2312" w:eastAsia="仿宋_GB2312" w:hAnsi="宋体" w:cs="仿宋_GB2312"/>
                <w:b/>
                <w:bCs/>
                <w:sz w:val="24"/>
                <w:szCs w:val="24"/>
              </w:rPr>
            </w:pPr>
          </w:p>
        </w:tc>
        <w:tc>
          <w:tcPr>
            <w:tcW w:w="2369" w:type="dxa"/>
            <w:vAlign w:val="center"/>
          </w:tcPr>
          <w:p w:rsidR="00427CFC" w:rsidRDefault="004220DA">
            <w:pPr>
              <w:pStyle w:val="affe"/>
              <w:ind w:firstLineChars="0" w:firstLine="0"/>
              <w:jc w:val="center"/>
              <w:rPr>
                <w:sz w:val="24"/>
                <w:szCs w:val="24"/>
              </w:rPr>
            </w:pPr>
            <w:r>
              <w:rPr>
                <w:rFonts w:hint="eastAsia"/>
                <w:sz w:val="24"/>
                <w:szCs w:val="24"/>
              </w:rPr>
              <w:t>变更信息审核</w:t>
            </w:r>
          </w:p>
        </w:tc>
        <w:tc>
          <w:tcPr>
            <w:tcW w:w="2378" w:type="dxa"/>
          </w:tcPr>
          <w:p w:rsidR="00427CFC" w:rsidRDefault="004220DA">
            <w:pPr>
              <w:pStyle w:val="affe"/>
              <w:ind w:firstLineChars="0" w:firstLine="0"/>
              <w:jc w:val="center"/>
              <w:rPr>
                <w:sz w:val="24"/>
                <w:szCs w:val="24"/>
              </w:rPr>
            </w:pPr>
            <w:r>
              <w:rPr>
                <w:rFonts w:hint="eastAsia"/>
                <w:sz w:val="24"/>
                <w:szCs w:val="24"/>
              </w:rPr>
              <w:t>支持系统接收到破产管理人的变更信息报备后，由相关人员将进行审核。</w:t>
            </w:r>
          </w:p>
        </w:tc>
        <w:tc>
          <w:tcPr>
            <w:tcW w:w="1000" w:type="dxa"/>
          </w:tcPr>
          <w:p w:rsidR="00427CFC" w:rsidRDefault="00427CFC">
            <w:pPr>
              <w:pStyle w:val="affe"/>
              <w:ind w:firstLineChars="0" w:firstLine="0"/>
              <w:rPr>
                <w:sz w:val="24"/>
                <w:szCs w:val="24"/>
              </w:rPr>
            </w:pPr>
          </w:p>
        </w:tc>
      </w:tr>
      <w:tr w:rsidR="00427CFC">
        <w:tc>
          <w:tcPr>
            <w:tcW w:w="915" w:type="dxa"/>
            <w:vAlign w:val="center"/>
          </w:tcPr>
          <w:p w:rsidR="00427CFC" w:rsidRDefault="004220DA">
            <w:pPr>
              <w:pStyle w:val="affe"/>
              <w:ind w:firstLineChars="0" w:firstLine="0"/>
              <w:jc w:val="center"/>
              <w:rPr>
                <w:sz w:val="24"/>
                <w:szCs w:val="24"/>
              </w:rPr>
            </w:pPr>
            <w:r>
              <w:rPr>
                <w:rFonts w:hint="eastAsia"/>
                <w:sz w:val="24"/>
                <w:szCs w:val="24"/>
              </w:rPr>
              <w:t>1</w:t>
            </w:r>
            <w:r>
              <w:rPr>
                <w:sz w:val="24"/>
                <w:szCs w:val="24"/>
              </w:rPr>
              <w:t>8</w:t>
            </w:r>
          </w:p>
        </w:tc>
        <w:tc>
          <w:tcPr>
            <w:tcW w:w="1634" w:type="dxa"/>
            <w:vMerge/>
            <w:vAlign w:val="center"/>
          </w:tcPr>
          <w:p w:rsidR="00427CFC" w:rsidRDefault="00427CFC">
            <w:pPr>
              <w:pStyle w:val="affe"/>
              <w:ind w:firstLineChars="0" w:firstLine="0"/>
              <w:jc w:val="center"/>
              <w:rPr>
                <w:rFonts w:ascii="仿宋_GB2312" w:eastAsia="仿宋_GB2312" w:hAnsi="宋体" w:cs="仿宋_GB2312"/>
                <w:b/>
                <w:bCs/>
                <w:sz w:val="24"/>
                <w:szCs w:val="24"/>
              </w:rPr>
            </w:pPr>
          </w:p>
        </w:tc>
        <w:tc>
          <w:tcPr>
            <w:tcW w:w="2369" w:type="dxa"/>
            <w:vAlign w:val="center"/>
          </w:tcPr>
          <w:p w:rsidR="00427CFC" w:rsidRDefault="004220DA">
            <w:pPr>
              <w:pStyle w:val="affe"/>
              <w:ind w:firstLineChars="0" w:firstLine="0"/>
              <w:jc w:val="center"/>
              <w:rPr>
                <w:sz w:val="24"/>
                <w:szCs w:val="24"/>
              </w:rPr>
            </w:pPr>
            <w:r>
              <w:rPr>
                <w:rFonts w:hint="eastAsia"/>
                <w:sz w:val="24"/>
                <w:szCs w:val="24"/>
              </w:rPr>
              <w:t>管理人名册变更</w:t>
            </w:r>
          </w:p>
        </w:tc>
        <w:tc>
          <w:tcPr>
            <w:tcW w:w="2378" w:type="dxa"/>
          </w:tcPr>
          <w:p w:rsidR="00427CFC" w:rsidRDefault="004220DA">
            <w:pPr>
              <w:pStyle w:val="affe"/>
              <w:ind w:firstLineChars="0" w:firstLine="0"/>
              <w:jc w:val="center"/>
              <w:rPr>
                <w:sz w:val="24"/>
                <w:szCs w:val="24"/>
              </w:rPr>
            </w:pPr>
            <w:r>
              <w:rPr>
                <w:rFonts w:hint="eastAsia"/>
                <w:sz w:val="24"/>
                <w:szCs w:val="24"/>
              </w:rPr>
              <w:t>实现破产管理机构对管理人名册进行调整的功能，支持添加新的管理人及移除管理人的操作。</w:t>
            </w:r>
          </w:p>
        </w:tc>
        <w:tc>
          <w:tcPr>
            <w:tcW w:w="1000" w:type="dxa"/>
          </w:tcPr>
          <w:p w:rsidR="00427CFC" w:rsidRDefault="00427CFC">
            <w:pPr>
              <w:pStyle w:val="affe"/>
              <w:ind w:firstLineChars="0" w:firstLine="0"/>
              <w:rPr>
                <w:sz w:val="24"/>
                <w:szCs w:val="24"/>
              </w:rPr>
            </w:pPr>
          </w:p>
        </w:tc>
      </w:tr>
      <w:tr w:rsidR="00427CFC">
        <w:tc>
          <w:tcPr>
            <w:tcW w:w="915" w:type="dxa"/>
            <w:vAlign w:val="center"/>
          </w:tcPr>
          <w:p w:rsidR="00427CFC" w:rsidRDefault="004220DA">
            <w:pPr>
              <w:pStyle w:val="affe"/>
              <w:ind w:firstLineChars="0" w:firstLine="0"/>
              <w:jc w:val="center"/>
              <w:rPr>
                <w:sz w:val="24"/>
                <w:szCs w:val="24"/>
              </w:rPr>
            </w:pPr>
            <w:r>
              <w:rPr>
                <w:rFonts w:hint="eastAsia"/>
                <w:sz w:val="24"/>
                <w:szCs w:val="24"/>
              </w:rPr>
              <w:t>1</w:t>
            </w:r>
            <w:r>
              <w:rPr>
                <w:sz w:val="24"/>
                <w:szCs w:val="24"/>
              </w:rPr>
              <w:t>9</w:t>
            </w:r>
          </w:p>
        </w:tc>
        <w:tc>
          <w:tcPr>
            <w:tcW w:w="1634" w:type="dxa"/>
            <w:vMerge/>
            <w:vAlign w:val="center"/>
          </w:tcPr>
          <w:p w:rsidR="00427CFC" w:rsidRDefault="00427CFC">
            <w:pPr>
              <w:pStyle w:val="affe"/>
              <w:ind w:firstLineChars="0" w:firstLine="0"/>
              <w:jc w:val="center"/>
              <w:rPr>
                <w:rFonts w:ascii="仿宋_GB2312" w:eastAsia="仿宋_GB2312" w:hAnsi="宋体" w:cs="仿宋_GB2312"/>
                <w:b/>
                <w:bCs/>
                <w:sz w:val="24"/>
                <w:szCs w:val="24"/>
              </w:rPr>
            </w:pPr>
          </w:p>
        </w:tc>
        <w:tc>
          <w:tcPr>
            <w:tcW w:w="2369" w:type="dxa"/>
            <w:vAlign w:val="center"/>
          </w:tcPr>
          <w:p w:rsidR="00427CFC" w:rsidRDefault="004220DA">
            <w:pPr>
              <w:pStyle w:val="affe"/>
              <w:ind w:firstLineChars="0" w:firstLine="0"/>
              <w:jc w:val="center"/>
              <w:rPr>
                <w:sz w:val="24"/>
                <w:szCs w:val="24"/>
              </w:rPr>
            </w:pPr>
            <w:r>
              <w:rPr>
                <w:rFonts w:hint="eastAsia"/>
                <w:sz w:val="24"/>
                <w:szCs w:val="24"/>
              </w:rPr>
              <w:t>机构变更预警</w:t>
            </w:r>
          </w:p>
        </w:tc>
        <w:tc>
          <w:tcPr>
            <w:tcW w:w="2378" w:type="dxa"/>
          </w:tcPr>
          <w:p w:rsidR="00427CFC" w:rsidRDefault="004220DA">
            <w:pPr>
              <w:pStyle w:val="affe"/>
              <w:ind w:firstLineChars="0" w:firstLine="0"/>
              <w:jc w:val="center"/>
              <w:rPr>
                <w:sz w:val="24"/>
                <w:szCs w:val="24"/>
              </w:rPr>
            </w:pPr>
            <w:r>
              <w:rPr>
                <w:rFonts w:hint="eastAsia"/>
                <w:sz w:val="24"/>
                <w:szCs w:val="24"/>
              </w:rPr>
              <w:t>与上海市律师综合管理信息系统、注册会计师管理系统以及清算师协会管理系统进行对接。当破产管理机构发生信息变更时，系统会智能提示管理人员进行变更信息报备。</w:t>
            </w:r>
          </w:p>
        </w:tc>
        <w:tc>
          <w:tcPr>
            <w:tcW w:w="1000" w:type="dxa"/>
          </w:tcPr>
          <w:p w:rsidR="00427CFC" w:rsidRDefault="00427CFC">
            <w:pPr>
              <w:pStyle w:val="affe"/>
              <w:ind w:firstLineChars="0" w:firstLine="0"/>
              <w:rPr>
                <w:sz w:val="24"/>
                <w:szCs w:val="24"/>
              </w:rPr>
            </w:pPr>
          </w:p>
        </w:tc>
      </w:tr>
      <w:tr w:rsidR="00427CFC">
        <w:tc>
          <w:tcPr>
            <w:tcW w:w="915" w:type="dxa"/>
            <w:vAlign w:val="center"/>
          </w:tcPr>
          <w:p w:rsidR="00427CFC" w:rsidRDefault="004220DA">
            <w:pPr>
              <w:pStyle w:val="affe"/>
              <w:ind w:firstLineChars="0" w:firstLine="0"/>
              <w:jc w:val="center"/>
              <w:rPr>
                <w:sz w:val="24"/>
                <w:szCs w:val="24"/>
              </w:rPr>
            </w:pPr>
            <w:r>
              <w:rPr>
                <w:rFonts w:hint="eastAsia"/>
                <w:sz w:val="24"/>
                <w:szCs w:val="24"/>
              </w:rPr>
              <w:t>2</w:t>
            </w:r>
            <w:r>
              <w:rPr>
                <w:sz w:val="24"/>
                <w:szCs w:val="24"/>
              </w:rPr>
              <w:t>0</w:t>
            </w:r>
          </w:p>
        </w:tc>
        <w:tc>
          <w:tcPr>
            <w:tcW w:w="1634" w:type="dxa"/>
            <w:vMerge w:val="restart"/>
            <w:vAlign w:val="center"/>
          </w:tcPr>
          <w:p w:rsidR="00427CFC" w:rsidRDefault="004220DA">
            <w:pPr>
              <w:pStyle w:val="affe"/>
              <w:ind w:firstLineChars="0" w:firstLine="0"/>
              <w:jc w:val="center"/>
              <w:rPr>
                <w:rFonts w:ascii="仿宋_GB2312" w:eastAsia="仿宋_GB2312" w:hAnsi="宋体" w:cs="仿宋_GB2312"/>
                <w:b/>
                <w:bCs/>
                <w:sz w:val="24"/>
                <w:szCs w:val="24"/>
              </w:rPr>
            </w:pPr>
            <w:r>
              <w:rPr>
                <w:rFonts w:ascii="仿宋_GB2312" w:eastAsia="仿宋_GB2312" w:hAnsi="宋体" w:cs="仿宋_GB2312" w:hint="eastAsia"/>
                <w:b/>
                <w:bCs/>
                <w:sz w:val="24"/>
                <w:szCs w:val="24"/>
              </w:rPr>
              <w:t>破产管理人业务培训及水平测试管理</w:t>
            </w:r>
          </w:p>
        </w:tc>
        <w:tc>
          <w:tcPr>
            <w:tcW w:w="2369" w:type="dxa"/>
            <w:vAlign w:val="center"/>
          </w:tcPr>
          <w:p w:rsidR="00427CFC" w:rsidRDefault="004220DA">
            <w:pPr>
              <w:pStyle w:val="affe"/>
              <w:ind w:firstLineChars="0" w:firstLine="0"/>
              <w:jc w:val="center"/>
              <w:rPr>
                <w:sz w:val="24"/>
                <w:szCs w:val="24"/>
              </w:rPr>
            </w:pPr>
            <w:r>
              <w:rPr>
                <w:rFonts w:hint="eastAsia"/>
                <w:sz w:val="24"/>
                <w:szCs w:val="24"/>
              </w:rPr>
              <w:t>在线培训业务</w:t>
            </w:r>
          </w:p>
        </w:tc>
        <w:tc>
          <w:tcPr>
            <w:tcW w:w="2378" w:type="dxa"/>
          </w:tcPr>
          <w:p w:rsidR="00427CFC" w:rsidRDefault="004220DA">
            <w:pPr>
              <w:pStyle w:val="affe"/>
              <w:ind w:firstLineChars="0" w:firstLine="0"/>
              <w:jc w:val="center"/>
              <w:rPr>
                <w:sz w:val="24"/>
                <w:szCs w:val="24"/>
              </w:rPr>
            </w:pPr>
            <w:r>
              <w:rPr>
                <w:rFonts w:hint="eastAsia"/>
                <w:sz w:val="24"/>
                <w:szCs w:val="24"/>
              </w:rPr>
              <w:t>在线培训服务向破产管理人及破产管理机构，提供培训通知、课程培训、专题培训相关培训服务。</w:t>
            </w:r>
          </w:p>
        </w:tc>
        <w:tc>
          <w:tcPr>
            <w:tcW w:w="1000" w:type="dxa"/>
          </w:tcPr>
          <w:p w:rsidR="00427CFC" w:rsidRDefault="00427CFC">
            <w:pPr>
              <w:pStyle w:val="affe"/>
              <w:ind w:firstLineChars="0" w:firstLine="0"/>
              <w:rPr>
                <w:sz w:val="24"/>
                <w:szCs w:val="24"/>
              </w:rPr>
            </w:pPr>
          </w:p>
        </w:tc>
      </w:tr>
      <w:tr w:rsidR="00427CFC">
        <w:tc>
          <w:tcPr>
            <w:tcW w:w="915" w:type="dxa"/>
            <w:vAlign w:val="center"/>
          </w:tcPr>
          <w:p w:rsidR="00427CFC" w:rsidRDefault="004220DA">
            <w:pPr>
              <w:pStyle w:val="affe"/>
              <w:ind w:firstLineChars="0" w:firstLine="0"/>
              <w:jc w:val="center"/>
              <w:rPr>
                <w:sz w:val="24"/>
                <w:szCs w:val="24"/>
              </w:rPr>
            </w:pPr>
            <w:r>
              <w:rPr>
                <w:rFonts w:hint="eastAsia"/>
                <w:sz w:val="24"/>
                <w:szCs w:val="24"/>
              </w:rPr>
              <w:t>2</w:t>
            </w:r>
            <w:r>
              <w:rPr>
                <w:sz w:val="24"/>
                <w:szCs w:val="24"/>
              </w:rPr>
              <w:t>1</w:t>
            </w:r>
          </w:p>
        </w:tc>
        <w:tc>
          <w:tcPr>
            <w:tcW w:w="1634" w:type="dxa"/>
            <w:vMerge/>
            <w:vAlign w:val="center"/>
          </w:tcPr>
          <w:p w:rsidR="00427CFC" w:rsidRDefault="00427CFC">
            <w:pPr>
              <w:pStyle w:val="affe"/>
              <w:ind w:firstLineChars="0" w:firstLine="0"/>
              <w:jc w:val="center"/>
              <w:rPr>
                <w:rFonts w:ascii="仿宋_GB2312" w:eastAsia="仿宋_GB2312" w:hAnsi="宋体" w:cs="仿宋_GB2312"/>
                <w:b/>
                <w:bCs/>
                <w:sz w:val="24"/>
                <w:szCs w:val="24"/>
              </w:rPr>
            </w:pPr>
          </w:p>
        </w:tc>
        <w:tc>
          <w:tcPr>
            <w:tcW w:w="2369" w:type="dxa"/>
            <w:vAlign w:val="center"/>
          </w:tcPr>
          <w:p w:rsidR="00427CFC" w:rsidRDefault="004220DA">
            <w:pPr>
              <w:pStyle w:val="affe"/>
              <w:ind w:firstLineChars="0" w:firstLine="0"/>
              <w:jc w:val="center"/>
              <w:rPr>
                <w:sz w:val="24"/>
                <w:szCs w:val="24"/>
              </w:rPr>
            </w:pPr>
            <w:r>
              <w:rPr>
                <w:rFonts w:hint="eastAsia"/>
                <w:sz w:val="24"/>
                <w:szCs w:val="24"/>
              </w:rPr>
              <w:t>在线培训管理</w:t>
            </w:r>
          </w:p>
        </w:tc>
        <w:tc>
          <w:tcPr>
            <w:tcW w:w="2378" w:type="dxa"/>
          </w:tcPr>
          <w:p w:rsidR="00427CFC" w:rsidRDefault="004220DA">
            <w:pPr>
              <w:pStyle w:val="affe"/>
              <w:ind w:firstLineChars="0" w:firstLine="0"/>
              <w:jc w:val="center"/>
              <w:rPr>
                <w:sz w:val="24"/>
                <w:szCs w:val="24"/>
              </w:rPr>
            </w:pPr>
            <w:r>
              <w:rPr>
                <w:rFonts w:hint="eastAsia"/>
                <w:sz w:val="24"/>
                <w:szCs w:val="24"/>
              </w:rPr>
              <w:t>实现对破产管理人的课程管理、师资库管理、教师管理、学员管理、培训管理</w:t>
            </w:r>
          </w:p>
        </w:tc>
        <w:tc>
          <w:tcPr>
            <w:tcW w:w="1000" w:type="dxa"/>
          </w:tcPr>
          <w:p w:rsidR="00427CFC" w:rsidRDefault="00427CFC">
            <w:pPr>
              <w:pStyle w:val="affe"/>
              <w:ind w:firstLineChars="0" w:firstLine="0"/>
              <w:rPr>
                <w:sz w:val="24"/>
                <w:szCs w:val="24"/>
              </w:rPr>
            </w:pPr>
          </w:p>
        </w:tc>
      </w:tr>
      <w:tr w:rsidR="00427CFC">
        <w:tc>
          <w:tcPr>
            <w:tcW w:w="915" w:type="dxa"/>
            <w:vAlign w:val="center"/>
          </w:tcPr>
          <w:p w:rsidR="00427CFC" w:rsidRDefault="004220DA">
            <w:pPr>
              <w:pStyle w:val="affe"/>
              <w:ind w:firstLineChars="0" w:firstLine="0"/>
              <w:jc w:val="center"/>
              <w:rPr>
                <w:sz w:val="24"/>
                <w:szCs w:val="24"/>
              </w:rPr>
            </w:pPr>
            <w:r>
              <w:rPr>
                <w:rFonts w:hint="eastAsia"/>
                <w:sz w:val="24"/>
                <w:szCs w:val="24"/>
              </w:rPr>
              <w:lastRenderedPageBreak/>
              <w:t>2</w:t>
            </w:r>
            <w:r>
              <w:rPr>
                <w:sz w:val="24"/>
                <w:szCs w:val="24"/>
              </w:rPr>
              <w:t>2</w:t>
            </w:r>
          </w:p>
        </w:tc>
        <w:tc>
          <w:tcPr>
            <w:tcW w:w="1634" w:type="dxa"/>
            <w:vMerge/>
            <w:vAlign w:val="center"/>
          </w:tcPr>
          <w:p w:rsidR="00427CFC" w:rsidRDefault="00427CFC">
            <w:pPr>
              <w:pStyle w:val="affe"/>
              <w:ind w:firstLineChars="0" w:firstLine="0"/>
              <w:jc w:val="center"/>
              <w:rPr>
                <w:rFonts w:ascii="仿宋_GB2312" w:eastAsia="仿宋_GB2312" w:hAnsi="宋体" w:cs="仿宋_GB2312"/>
                <w:b/>
                <w:bCs/>
                <w:sz w:val="24"/>
                <w:szCs w:val="24"/>
              </w:rPr>
            </w:pPr>
          </w:p>
        </w:tc>
        <w:tc>
          <w:tcPr>
            <w:tcW w:w="2369" w:type="dxa"/>
            <w:vAlign w:val="center"/>
          </w:tcPr>
          <w:p w:rsidR="00427CFC" w:rsidRDefault="004220DA">
            <w:pPr>
              <w:pStyle w:val="affe"/>
              <w:ind w:firstLineChars="0" w:firstLine="0"/>
              <w:jc w:val="center"/>
              <w:rPr>
                <w:sz w:val="24"/>
                <w:szCs w:val="24"/>
              </w:rPr>
            </w:pPr>
            <w:r>
              <w:rPr>
                <w:rFonts w:hint="eastAsia"/>
                <w:sz w:val="24"/>
                <w:szCs w:val="24"/>
              </w:rPr>
              <w:t>水平测试管理</w:t>
            </w:r>
          </w:p>
        </w:tc>
        <w:tc>
          <w:tcPr>
            <w:tcW w:w="2378" w:type="dxa"/>
          </w:tcPr>
          <w:p w:rsidR="00427CFC" w:rsidRDefault="004220DA">
            <w:pPr>
              <w:pStyle w:val="affe"/>
              <w:ind w:firstLineChars="0" w:firstLine="0"/>
              <w:jc w:val="center"/>
              <w:rPr>
                <w:sz w:val="24"/>
                <w:szCs w:val="24"/>
              </w:rPr>
            </w:pPr>
            <w:r>
              <w:rPr>
                <w:rFonts w:hint="eastAsia"/>
                <w:sz w:val="24"/>
                <w:szCs w:val="24"/>
              </w:rPr>
              <w:t>实现对破产管理人的水平测试管理，包括试题管理，测试管理、测试发布。</w:t>
            </w:r>
          </w:p>
        </w:tc>
        <w:tc>
          <w:tcPr>
            <w:tcW w:w="1000" w:type="dxa"/>
          </w:tcPr>
          <w:p w:rsidR="00427CFC" w:rsidRDefault="00427CFC">
            <w:pPr>
              <w:pStyle w:val="affe"/>
              <w:ind w:firstLineChars="0" w:firstLine="0"/>
              <w:rPr>
                <w:sz w:val="24"/>
                <w:szCs w:val="24"/>
              </w:rPr>
            </w:pPr>
          </w:p>
        </w:tc>
      </w:tr>
      <w:tr w:rsidR="00427CFC">
        <w:tc>
          <w:tcPr>
            <w:tcW w:w="915" w:type="dxa"/>
            <w:vAlign w:val="center"/>
          </w:tcPr>
          <w:p w:rsidR="00427CFC" w:rsidRDefault="004220DA">
            <w:pPr>
              <w:pStyle w:val="affe"/>
              <w:ind w:firstLineChars="0" w:firstLine="0"/>
              <w:jc w:val="center"/>
              <w:rPr>
                <w:sz w:val="24"/>
                <w:szCs w:val="24"/>
              </w:rPr>
            </w:pPr>
            <w:r>
              <w:rPr>
                <w:rFonts w:hint="eastAsia"/>
                <w:sz w:val="24"/>
                <w:szCs w:val="24"/>
              </w:rPr>
              <w:t>2</w:t>
            </w:r>
            <w:r>
              <w:rPr>
                <w:sz w:val="24"/>
                <w:szCs w:val="24"/>
              </w:rPr>
              <w:t>3</w:t>
            </w:r>
          </w:p>
        </w:tc>
        <w:tc>
          <w:tcPr>
            <w:tcW w:w="1634" w:type="dxa"/>
            <w:vMerge w:val="restart"/>
            <w:vAlign w:val="center"/>
          </w:tcPr>
          <w:p w:rsidR="00427CFC" w:rsidRDefault="004220DA">
            <w:pPr>
              <w:pStyle w:val="affe"/>
              <w:ind w:firstLineChars="0" w:firstLine="0"/>
              <w:jc w:val="center"/>
              <w:rPr>
                <w:rFonts w:ascii="仿宋_GB2312" w:eastAsia="仿宋_GB2312" w:hAnsi="宋体" w:cs="仿宋_GB2312"/>
                <w:b/>
                <w:bCs/>
                <w:sz w:val="24"/>
                <w:szCs w:val="24"/>
              </w:rPr>
            </w:pPr>
            <w:r>
              <w:rPr>
                <w:rFonts w:ascii="仿宋_GB2312" w:eastAsia="仿宋_GB2312" w:hAnsi="宋体" w:cs="仿宋_GB2312" w:hint="eastAsia"/>
                <w:b/>
                <w:bCs/>
                <w:sz w:val="24"/>
                <w:szCs w:val="24"/>
              </w:rPr>
              <w:t>破产管理人履职/办案信息管理</w:t>
            </w:r>
          </w:p>
        </w:tc>
        <w:tc>
          <w:tcPr>
            <w:tcW w:w="2369" w:type="dxa"/>
            <w:vAlign w:val="center"/>
          </w:tcPr>
          <w:p w:rsidR="00427CFC" w:rsidRDefault="004220DA">
            <w:pPr>
              <w:pStyle w:val="affe"/>
              <w:ind w:firstLineChars="0" w:firstLine="0"/>
              <w:jc w:val="center"/>
              <w:rPr>
                <w:sz w:val="24"/>
                <w:szCs w:val="24"/>
              </w:rPr>
            </w:pPr>
            <w:r>
              <w:rPr>
                <w:rFonts w:hint="eastAsia"/>
                <w:sz w:val="24"/>
                <w:szCs w:val="24"/>
              </w:rPr>
              <w:t>案件登记</w:t>
            </w:r>
          </w:p>
        </w:tc>
        <w:tc>
          <w:tcPr>
            <w:tcW w:w="2378" w:type="dxa"/>
          </w:tcPr>
          <w:p w:rsidR="00427CFC" w:rsidRDefault="004220DA">
            <w:pPr>
              <w:pStyle w:val="affe"/>
              <w:ind w:firstLineChars="0" w:firstLine="0"/>
              <w:jc w:val="center"/>
              <w:rPr>
                <w:sz w:val="24"/>
                <w:szCs w:val="24"/>
              </w:rPr>
            </w:pPr>
            <w:r>
              <w:rPr>
                <w:rFonts w:hint="eastAsia"/>
                <w:sz w:val="24"/>
                <w:szCs w:val="24"/>
              </w:rPr>
              <w:t>实现案件信息登记、信息查询、修改补录、删除等功能。</w:t>
            </w:r>
          </w:p>
        </w:tc>
        <w:tc>
          <w:tcPr>
            <w:tcW w:w="1000" w:type="dxa"/>
          </w:tcPr>
          <w:p w:rsidR="00427CFC" w:rsidRDefault="00427CFC">
            <w:pPr>
              <w:pStyle w:val="affe"/>
              <w:ind w:firstLineChars="0" w:firstLine="0"/>
              <w:rPr>
                <w:sz w:val="24"/>
                <w:szCs w:val="24"/>
              </w:rPr>
            </w:pPr>
          </w:p>
        </w:tc>
      </w:tr>
      <w:tr w:rsidR="00427CFC">
        <w:tc>
          <w:tcPr>
            <w:tcW w:w="915" w:type="dxa"/>
            <w:vAlign w:val="center"/>
          </w:tcPr>
          <w:p w:rsidR="00427CFC" w:rsidRDefault="004220DA">
            <w:pPr>
              <w:pStyle w:val="affe"/>
              <w:ind w:firstLineChars="0" w:firstLine="0"/>
              <w:jc w:val="center"/>
              <w:rPr>
                <w:sz w:val="24"/>
                <w:szCs w:val="24"/>
              </w:rPr>
            </w:pPr>
            <w:r>
              <w:rPr>
                <w:rFonts w:hint="eastAsia"/>
                <w:sz w:val="24"/>
                <w:szCs w:val="24"/>
              </w:rPr>
              <w:t>2</w:t>
            </w:r>
            <w:r>
              <w:rPr>
                <w:sz w:val="24"/>
                <w:szCs w:val="24"/>
              </w:rPr>
              <w:t>4</w:t>
            </w:r>
          </w:p>
        </w:tc>
        <w:tc>
          <w:tcPr>
            <w:tcW w:w="1634" w:type="dxa"/>
            <w:vMerge/>
            <w:vAlign w:val="center"/>
          </w:tcPr>
          <w:p w:rsidR="00427CFC" w:rsidRDefault="00427CFC">
            <w:pPr>
              <w:pStyle w:val="affe"/>
              <w:ind w:firstLineChars="0" w:firstLine="0"/>
              <w:jc w:val="center"/>
              <w:rPr>
                <w:rFonts w:ascii="仿宋_GB2312" w:eastAsia="仿宋_GB2312" w:hAnsi="宋体" w:cs="仿宋_GB2312"/>
                <w:b/>
                <w:bCs/>
                <w:sz w:val="24"/>
                <w:szCs w:val="24"/>
              </w:rPr>
            </w:pPr>
          </w:p>
        </w:tc>
        <w:tc>
          <w:tcPr>
            <w:tcW w:w="2369" w:type="dxa"/>
            <w:vAlign w:val="center"/>
          </w:tcPr>
          <w:p w:rsidR="00427CFC" w:rsidRDefault="004220DA">
            <w:pPr>
              <w:pStyle w:val="affe"/>
              <w:ind w:firstLineChars="0" w:firstLine="0"/>
              <w:jc w:val="center"/>
              <w:rPr>
                <w:sz w:val="24"/>
                <w:szCs w:val="24"/>
              </w:rPr>
            </w:pPr>
            <w:r>
              <w:rPr>
                <w:rFonts w:hint="eastAsia"/>
                <w:sz w:val="24"/>
                <w:szCs w:val="24"/>
              </w:rPr>
              <w:t>履职信息采集</w:t>
            </w:r>
          </w:p>
        </w:tc>
        <w:tc>
          <w:tcPr>
            <w:tcW w:w="2378" w:type="dxa"/>
          </w:tcPr>
          <w:p w:rsidR="00427CFC" w:rsidRDefault="004220DA">
            <w:pPr>
              <w:pStyle w:val="affe"/>
              <w:ind w:firstLineChars="0" w:firstLine="0"/>
              <w:jc w:val="center"/>
              <w:rPr>
                <w:sz w:val="24"/>
                <w:szCs w:val="24"/>
              </w:rPr>
            </w:pPr>
            <w:r>
              <w:rPr>
                <w:rFonts w:hint="eastAsia"/>
                <w:sz w:val="24"/>
                <w:szCs w:val="24"/>
              </w:rPr>
              <w:t>提供管理人履职信息的采集功能，通过对接法院获取破产管理人履职信息，包含履职案件、履</w:t>
            </w:r>
            <w:proofErr w:type="gramStart"/>
            <w:r>
              <w:rPr>
                <w:rFonts w:hint="eastAsia"/>
                <w:sz w:val="24"/>
                <w:szCs w:val="24"/>
              </w:rPr>
              <w:t>责情况</w:t>
            </w:r>
            <w:proofErr w:type="gramEnd"/>
            <w:r>
              <w:rPr>
                <w:rFonts w:hint="eastAsia"/>
                <w:sz w:val="24"/>
                <w:szCs w:val="24"/>
              </w:rPr>
              <w:t>以及履职评价等信息。</w:t>
            </w:r>
          </w:p>
        </w:tc>
        <w:tc>
          <w:tcPr>
            <w:tcW w:w="1000" w:type="dxa"/>
          </w:tcPr>
          <w:p w:rsidR="00427CFC" w:rsidRDefault="00427CFC">
            <w:pPr>
              <w:pStyle w:val="affe"/>
              <w:ind w:firstLineChars="0" w:firstLine="0"/>
              <w:rPr>
                <w:sz w:val="24"/>
                <w:szCs w:val="24"/>
              </w:rPr>
            </w:pPr>
          </w:p>
        </w:tc>
      </w:tr>
      <w:tr w:rsidR="00427CFC">
        <w:tc>
          <w:tcPr>
            <w:tcW w:w="915" w:type="dxa"/>
            <w:vAlign w:val="center"/>
          </w:tcPr>
          <w:p w:rsidR="00427CFC" w:rsidRDefault="004220DA">
            <w:pPr>
              <w:pStyle w:val="affe"/>
              <w:ind w:firstLineChars="0" w:firstLine="0"/>
              <w:jc w:val="center"/>
              <w:rPr>
                <w:sz w:val="24"/>
                <w:szCs w:val="24"/>
              </w:rPr>
            </w:pPr>
            <w:r>
              <w:rPr>
                <w:rFonts w:hint="eastAsia"/>
                <w:sz w:val="24"/>
                <w:szCs w:val="24"/>
              </w:rPr>
              <w:t>2</w:t>
            </w:r>
            <w:r>
              <w:rPr>
                <w:sz w:val="24"/>
                <w:szCs w:val="24"/>
              </w:rPr>
              <w:t>5</w:t>
            </w:r>
          </w:p>
        </w:tc>
        <w:tc>
          <w:tcPr>
            <w:tcW w:w="1634" w:type="dxa"/>
            <w:vMerge/>
            <w:vAlign w:val="center"/>
          </w:tcPr>
          <w:p w:rsidR="00427CFC" w:rsidRDefault="00427CFC">
            <w:pPr>
              <w:pStyle w:val="affe"/>
              <w:ind w:firstLineChars="0" w:firstLine="0"/>
              <w:jc w:val="center"/>
              <w:rPr>
                <w:rFonts w:ascii="仿宋_GB2312" w:eastAsia="仿宋_GB2312" w:hAnsi="宋体" w:cs="仿宋_GB2312"/>
                <w:b/>
                <w:bCs/>
                <w:sz w:val="24"/>
                <w:szCs w:val="24"/>
              </w:rPr>
            </w:pPr>
          </w:p>
        </w:tc>
        <w:tc>
          <w:tcPr>
            <w:tcW w:w="2369" w:type="dxa"/>
            <w:vAlign w:val="center"/>
          </w:tcPr>
          <w:p w:rsidR="00427CFC" w:rsidRDefault="004220DA">
            <w:pPr>
              <w:pStyle w:val="affe"/>
              <w:ind w:firstLineChars="0" w:firstLine="0"/>
              <w:jc w:val="center"/>
              <w:rPr>
                <w:sz w:val="24"/>
                <w:szCs w:val="24"/>
              </w:rPr>
            </w:pPr>
            <w:r>
              <w:rPr>
                <w:rFonts w:hint="eastAsia"/>
                <w:sz w:val="24"/>
                <w:szCs w:val="24"/>
              </w:rPr>
              <w:t>履职办案信息管理</w:t>
            </w:r>
          </w:p>
        </w:tc>
        <w:tc>
          <w:tcPr>
            <w:tcW w:w="2378" w:type="dxa"/>
          </w:tcPr>
          <w:p w:rsidR="00427CFC" w:rsidRDefault="004220DA">
            <w:pPr>
              <w:pStyle w:val="affe"/>
              <w:ind w:firstLineChars="0" w:firstLine="0"/>
              <w:jc w:val="center"/>
              <w:rPr>
                <w:sz w:val="24"/>
                <w:szCs w:val="24"/>
              </w:rPr>
            </w:pPr>
            <w:r>
              <w:rPr>
                <w:rFonts w:hint="eastAsia"/>
                <w:sz w:val="24"/>
                <w:szCs w:val="24"/>
              </w:rPr>
              <w:t>实现破产管理人案件信息管理和履职信息管理，并实现对信息数据的统计分析功能。</w:t>
            </w:r>
          </w:p>
        </w:tc>
        <w:tc>
          <w:tcPr>
            <w:tcW w:w="1000" w:type="dxa"/>
          </w:tcPr>
          <w:p w:rsidR="00427CFC" w:rsidRDefault="00427CFC">
            <w:pPr>
              <w:pStyle w:val="affe"/>
              <w:ind w:firstLineChars="0" w:firstLine="0"/>
              <w:rPr>
                <w:sz w:val="24"/>
                <w:szCs w:val="24"/>
              </w:rPr>
            </w:pPr>
          </w:p>
        </w:tc>
      </w:tr>
      <w:tr w:rsidR="00427CFC">
        <w:tc>
          <w:tcPr>
            <w:tcW w:w="915" w:type="dxa"/>
            <w:vAlign w:val="center"/>
          </w:tcPr>
          <w:p w:rsidR="00427CFC" w:rsidRDefault="004220DA">
            <w:pPr>
              <w:pStyle w:val="affe"/>
              <w:ind w:firstLineChars="0" w:firstLine="0"/>
              <w:jc w:val="center"/>
              <w:rPr>
                <w:sz w:val="24"/>
                <w:szCs w:val="24"/>
              </w:rPr>
            </w:pPr>
            <w:r>
              <w:rPr>
                <w:rFonts w:hint="eastAsia"/>
                <w:sz w:val="24"/>
                <w:szCs w:val="24"/>
              </w:rPr>
              <w:t>2</w:t>
            </w:r>
            <w:r>
              <w:rPr>
                <w:sz w:val="24"/>
                <w:szCs w:val="24"/>
              </w:rPr>
              <w:t>6</w:t>
            </w:r>
          </w:p>
        </w:tc>
        <w:tc>
          <w:tcPr>
            <w:tcW w:w="1634" w:type="dxa"/>
            <w:vMerge w:val="restart"/>
            <w:vAlign w:val="center"/>
          </w:tcPr>
          <w:p w:rsidR="00427CFC" w:rsidRDefault="004220DA">
            <w:pPr>
              <w:pStyle w:val="affe"/>
              <w:ind w:firstLineChars="0" w:firstLine="0"/>
              <w:jc w:val="center"/>
              <w:rPr>
                <w:rFonts w:ascii="仿宋_GB2312" w:eastAsia="仿宋_GB2312" w:hAnsi="宋体" w:cs="仿宋_GB2312"/>
                <w:b/>
                <w:bCs/>
                <w:sz w:val="24"/>
                <w:szCs w:val="24"/>
              </w:rPr>
            </w:pPr>
            <w:r>
              <w:rPr>
                <w:rFonts w:ascii="仿宋_GB2312" w:eastAsia="仿宋_GB2312" w:hAnsi="宋体" w:cs="仿宋_GB2312" w:hint="eastAsia"/>
                <w:b/>
                <w:bCs/>
                <w:sz w:val="24"/>
                <w:szCs w:val="24"/>
              </w:rPr>
              <w:t>党建管理</w:t>
            </w:r>
          </w:p>
        </w:tc>
        <w:tc>
          <w:tcPr>
            <w:tcW w:w="2369" w:type="dxa"/>
            <w:vAlign w:val="center"/>
          </w:tcPr>
          <w:p w:rsidR="00427CFC" w:rsidRDefault="004220DA">
            <w:pPr>
              <w:pStyle w:val="affe"/>
              <w:ind w:firstLineChars="0" w:firstLine="0"/>
              <w:jc w:val="center"/>
              <w:rPr>
                <w:sz w:val="24"/>
                <w:szCs w:val="24"/>
              </w:rPr>
            </w:pPr>
            <w:r>
              <w:rPr>
                <w:rFonts w:hint="eastAsia"/>
                <w:sz w:val="24"/>
                <w:szCs w:val="24"/>
              </w:rPr>
              <w:t>党组织管理</w:t>
            </w:r>
          </w:p>
        </w:tc>
        <w:tc>
          <w:tcPr>
            <w:tcW w:w="2378" w:type="dxa"/>
          </w:tcPr>
          <w:p w:rsidR="00427CFC" w:rsidRDefault="004220DA">
            <w:pPr>
              <w:pStyle w:val="affe"/>
              <w:ind w:firstLineChars="0" w:firstLine="0"/>
              <w:jc w:val="center"/>
              <w:rPr>
                <w:sz w:val="24"/>
                <w:szCs w:val="24"/>
              </w:rPr>
            </w:pPr>
            <w:r>
              <w:rPr>
                <w:rFonts w:hint="eastAsia"/>
                <w:sz w:val="24"/>
                <w:szCs w:val="24"/>
              </w:rPr>
              <w:t>实现对破产管理人党组织信息的维护管理。</w:t>
            </w:r>
          </w:p>
        </w:tc>
        <w:tc>
          <w:tcPr>
            <w:tcW w:w="1000" w:type="dxa"/>
          </w:tcPr>
          <w:p w:rsidR="00427CFC" w:rsidRDefault="00427CFC">
            <w:pPr>
              <w:pStyle w:val="affe"/>
              <w:ind w:firstLineChars="0" w:firstLine="0"/>
              <w:rPr>
                <w:sz w:val="24"/>
                <w:szCs w:val="24"/>
              </w:rPr>
            </w:pPr>
          </w:p>
        </w:tc>
      </w:tr>
      <w:tr w:rsidR="00427CFC">
        <w:tc>
          <w:tcPr>
            <w:tcW w:w="915" w:type="dxa"/>
            <w:vAlign w:val="center"/>
          </w:tcPr>
          <w:p w:rsidR="00427CFC" w:rsidRDefault="004220DA">
            <w:pPr>
              <w:pStyle w:val="affe"/>
              <w:ind w:firstLineChars="0" w:firstLine="0"/>
              <w:jc w:val="center"/>
              <w:rPr>
                <w:sz w:val="24"/>
                <w:szCs w:val="24"/>
              </w:rPr>
            </w:pPr>
            <w:r>
              <w:rPr>
                <w:rFonts w:hint="eastAsia"/>
                <w:sz w:val="24"/>
                <w:szCs w:val="24"/>
              </w:rPr>
              <w:t>2</w:t>
            </w:r>
            <w:r>
              <w:rPr>
                <w:sz w:val="24"/>
                <w:szCs w:val="24"/>
              </w:rPr>
              <w:t>7</w:t>
            </w:r>
          </w:p>
        </w:tc>
        <w:tc>
          <w:tcPr>
            <w:tcW w:w="1634" w:type="dxa"/>
            <w:vMerge/>
            <w:vAlign w:val="center"/>
          </w:tcPr>
          <w:p w:rsidR="00427CFC" w:rsidRDefault="00427CFC">
            <w:pPr>
              <w:pStyle w:val="affe"/>
              <w:ind w:firstLineChars="0" w:firstLine="0"/>
              <w:jc w:val="center"/>
              <w:rPr>
                <w:rFonts w:ascii="仿宋_GB2312" w:eastAsia="仿宋_GB2312" w:hAnsi="宋体" w:cs="仿宋_GB2312"/>
                <w:b/>
                <w:bCs/>
                <w:sz w:val="24"/>
                <w:szCs w:val="24"/>
              </w:rPr>
            </w:pPr>
          </w:p>
        </w:tc>
        <w:tc>
          <w:tcPr>
            <w:tcW w:w="2369" w:type="dxa"/>
            <w:vAlign w:val="center"/>
          </w:tcPr>
          <w:p w:rsidR="00427CFC" w:rsidRDefault="004220DA">
            <w:pPr>
              <w:pStyle w:val="affe"/>
              <w:ind w:firstLineChars="0" w:firstLine="0"/>
              <w:jc w:val="center"/>
              <w:rPr>
                <w:sz w:val="24"/>
                <w:szCs w:val="24"/>
              </w:rPr>
            </w:pPr>
            <w:r>
              <w:rPr>
                <w:rFonts w:hint="eastAsia"/>
                <w:sz w:val="24"/>
                <w:szCs w:val="24"/>
              </w:rPr>
              <w:t>党员管理</w:t>
            </w:r>
          </w:p>
        </w:tc>
        <w:tc>
          <w:tcPr>
            <w:tcW w:w="2378" w:type="dxa"/>
          </w:tcPr>
          <w:p w:rsidR="00427CFC" w:rsidRDefault="004220DA">
            <w:pPr>
              <w:pStyle w:val="affe"/>
              <w:ind w:firstLineChars="0" w:firstLine="0"/>
              <w:jc w:val="center"/>
              <w:rPr>
                <w:sz w:val="24"/>
                <w:szCs w:val="24"/>
              </w:rPr>
            </w:pPr>
            <w:r>
              <w:rPr>
                <w:rFonts w:hint="eastAsia"/>
                <w:sz w:val="24"/>
                <w:szCs w:val="24"/>
              </w:rPr>
              <w:t>实现对破产管理人党员信息的维护管理。</w:t>
            </w:r>
          </w:p>
        </w:tc>
        <w:tc>
          <w:tcPr>
            <w:tcW w:w="1000" w:type="dxa"/>
          </w:tcPr>
          <w:p w:rsidR="00427CFC" w:rsidRDefault="00427CFC">
            <w:pPr>
              <w:pStyle w:val="affe"/>
              <w:ind w:firstLineChars="0" w:firstLine="0"/>
              <w:rPr>
                <w:sz w:val="24"/>
                <w:szCs w:val="24"/>
              </w:rPr>
            </w:pPr>
          </w:p>
        </w:tc>
      </w:tr>
      <w:tr w:rsidR="00427CFC">
        <w:tc>
          <w:tcPr>
            <w:tcW w:w="915" w:type="dxa"/>
            <w:vAlign w:val="center"/>
          </w:tcPr>
          <w:p w:rsidR="00427CFC" w:rsidRDefault="004220DA">
            <w:pPr>
              <w:pStyle w:val="affe"/>
              <w:ind w:firstLineChars="0" w:firstLine="0"/>
              <w:jc w:val="center"/>
              <w:rPr>
                <w:sz w:val="24"/>
                <w:szCs w:val="24"/>
              </w:rPr>
            </w:pPr>
            <w:r>
              <w:rPr>
                <w:rFonts w:hint="eastAsia"/>
                <w:sz w:val="24"/>
                <w:szCs w:val="24"/>
              </w:rPr>
              <w:t>2</w:t>
            </w:r>
            <w:r>
              <w:rPr>
                <w:sz w:val="24"/>
                <w:szCs w:val="24"/>
              </w:rPr>
              <w:t>8</w:t>
            </w:r>
          </w:p>
        </w:tc>
        <w:tc>
          <w:tcPr>
            <w:tcW w:w="1634" w:type="dxa"/>
            <w:vMerge/>
            <w:vAlign w:val="center"/>
          </w:tcPr>
          <w:p w:rsidR="00427CFC" w:rsidRDefault="00427CFC">
            <w:pPr>
              <w:pStyle w:val="affe"/>
              <w:ind w:firstLineChars="0" w:firstLine="0"/>
              <w:jc w:val="center"/>
              <w:rPr>
                <w:rFonts w:ascii="仿宋_GB2312" w:eastAsia="仿宋_GB2312" w:hAnsi="宋体" w:cs="仿宋_GB2312"/>
                <w:b/>
                <w:bCs/>
                <w:sz w:val="24"/>
                <w:szCs w:val="24"/>
              </w:rPr>
            </w:pPr>
          </w:p>
        </w:tc>
        <w:tc>
          <w:tcPr>
            <w:tcW w:w="2369" w:type="dxa"/>
            <w:vAlign w:val="center"/>
          </w:tcPr>
          <w:p w:rsidR="00427CFC" w:rsidRDefault="004220DA">
            <w:pPr>
              <w:pStyle w:val="affe"/>
              <w:ind w:firstLineChars="0" w:firstLine="0"/>
              <w:jc w:val="center"/>
              <w:rPr>
                <w:sz w:val="24"/>
                <w:szCs w:val="24"/>
              </w:rPr>
            </w:pPr>
            <w:r>
              <w:rPr>
                <w:rFonts w:hint="eastAsia"/>
                <w:sz w:val="24"/>
                <w:szCs w:val="24"/>
              </w:rPr>
              <w:t>党员活动管理</w:t>
            </w:r>
          </w:p>
        </w:tc>
        <w:tc>
          <w:tcPr>
            <w:tcW w:w="2378" w:type="dxa"/>
          </w:tcPr>
          <w:p w:rsidR="00427CFC" w:rsidRDefault="004220DA">
            <w:pPr>
              <w:pStyle w:val="affe"/>
              <w:ind w:firstLineChars="0" w:firstLine="0"/>
              <w:jc w:val="center"/>
              <w:rPr>
                <w:sz w:val="24"/>
                <w:szCs w:val="24"/>
              </w:rPr>
            </w:pPr>
            <w:r>
              <w:rPr>
                <w:rFonts w:hint="eastAsia"/>
                <w:sz w:val="24"/>
                <w:szCs w:val="24"/>
              </w:rPr>
              <w:t>实现对破产管理人党建培训管理、党建宣传管理和通知公告功能。</w:t>
            </w:r>
          </w:p>
        </w:tc>
        <w:tc>
          <w:tcPr>
            <w:tcW w:w="1000" w:type="dxa"/>
          </w:tcPr>
          <w:p w:rsidR="00427CFC" w:rsidRDefault="00427CFC">
            <w:pPr>
              <w:pStyle w:val="affe"/>
              <w:ind w:firstLineChars="0" w:firstLine="0"/>
              <w:rPr>
                <w:sz w:val="24"/>
                <w:szCs w:val="24"/>
              </w:rPr>
            </w:pPr>
          </w:p>
        </w:tc>
      </w:tr>
      <w:tr w:rsidR="00427CFC">
        <w:tc>
          <w:tcPr>
            <w:tcW w:w="915" w:type="dxa"/>
            <w:vAlign w:val="center"/>
          </w:tcPr>
          <w:p w:rsidR="00427CFC" w:rsidRDefault="004220DA">
            <w:pPr>
              <w:pStyle w:val="affe"/>
              <w:ind w:firstLineChars="0" w:firstLine="0"/>
              <w:jc w:val="center"/>
              <w:rPr>
                <w:sz w:val="24"/>
                <w:szCs w:val="24"/>
              </w:rPr>
            </w:pPr>
            <w:r>
              <w:rPr>
                <w:rFonts w:hint="eastAsia"/>
                <w:sz w:val="24"/>
                <w:szCs w:val="24"/>
              </w:rPr>
              <w:t>29</w:t>
            </w:r>
          </w:p>
        </w:tc>
        <w:tc>
          <w:tcPr>
            <w:tcW w:w="1634" w:type="dxa"/>
            <w:vMerge/>
            <w:vAlign w:val="center"/>
          </w:tcPr>
          <w:p w:rsidR="00427CFC" w:rsidRDefault="00427CFC">
            <w:pPr>
              <w:pStyle w:val="affe"/>
              <w:ind w:firstLineChars="0" w:firstLine="0"/>
              <w:jc w:val="center"/>
              <w:rPr>
                <w:rFonts w:ascii="仿宋_GB2312" w:eastAsia="仿宋_GB2312" w:hAnsi="宋体" w:cs="仿宋_GB2312"/>
                <w:b/>
                <w:bCs/>
                <w:sz w:val="24"/>
                <w:szCs w:val="24"/>
              </w:rPr>
            </w:pPr>
          </w:p>
        </w:tc>
        <w:tc>
          <w:tcPr>
            <w:tcW w:w="2369" w:type="dxa"/>
            <w:vAlign w:val="center"/>
          </w:tcPr>
          <w:p w:rsidR="00427CFC" w:rsidRDefault="004220DA">
            <w:pPr>
              <w:pStyle w:val="affe"/>
              <w:ind w:firstLineChars="0" w:firstLine="0"/>
              <w:jc w:val="center"/>
              <w:rPr>
                <w:sz w:val="24"/>
                <w:szCs w:val="24"/>
              </w:rPr>
            </w:pPr>
            <w:r>
              <w:rPr>
                <w:rFonts w:hint="eastAsia"/>
                <w:sz w:val="24"/>
                <w:szCs w:val="24"/>
              </w:rPr>
              <w:t>党建服务</w:t>
            </w:r>
          </w:p>
        </w:tc>
        <w:tc>
          <w:tcPr>
            <w:tcW w:w="2378" w:type="dxa"/>
          </w:tcPr>
          <w:p w:rsidR="00427CFC" w:rsidRDefault="004220DA">
            <w:pPr>
              <w:pStyle w:val="affe"/>
              <w:ind w:firstLineChars="0" w:firstLine="0"/>
              <w:jc w:val="center"/>
              <w:rPr>
                <w:sz w:val="24"/>
                <w:szCs w:val="24"/>
              </w:rPr>
            </w:pPr>
            <w:r>
              <w:rPr>
                <w:rFonts w:hint="eastAsia"/>
                <w:sz w:val="24"/>
                <w:szCs w:val="24"/>
              </w:rPr>
              <w:t>为破产管理人提供党建服务</w:t>
            </w:r>
          </w:p>
        </w:tc>
        <w:tc>
          <w:tcPr>
            <w:tcW w:w="1000" w:type="dxa"/>
          </w:tcPr>
          <w:p w:rsidR="00427CFC" w:rsidRDefault="00427CFC">
            <w:pPr>
              <w:pStyle w:val="affe"/>
              <w:ind w:firstLineChars="0" w:firstLine="0"/>
              <w:rPr>
                <w:sz w:val="24"/>
                <w:szCs w:val="24"/>
              </w:rPr>
            </w:pPr>
          </w:p>
        </w:tc>
      </w:tr>
    </w:tbl>
    <w:p w:rsidR="00427CFC" w:rsidRDefault="00427CFC">
      <w:pPr>
        <w:ind w:firstLineChars="0"/>
      </w:pPr>
    </w:p>
    <w:p w:rsidR="00427CFC" w:rsidRDefault="004220DA">
      <w:pPr>
        <w:pStyle w:val="3"/>
      </w:pPr>
      <w:r>
        <w:t>技术绩效考核目标</w:t>
      </w:r>
    </w:p>
    <w:p w:rsidR="00427CFC" w:rsidRDefault="004220DA">
      <w:r>
        <w:rPr>
          <w:rFonts w:hint="eastAsia"/>
        </w:rPr>
        <w:t>总体技术要求：</w:t>
      </w:r>
    </w:p>
    <w:p w:rsidR="00427CFC" w:rsidRDefault="004220DA">
      <w:pPr>
        <w:numPr>
          <w:ilvl w:val="0"/>
          <w:numId w:val="3"/>
        </w:numPr>
        <w:ind w:firstLineChars="0"/>
      </w:pPr>
      <w:r>
        <w:t>软件测评：通过</w:t>
      </w:r>
      <w:r>
        <w:rPr>
          <w:rFonts w:hint="eastAsia"/>
        </w:rPr>
        <w:t>，第三方测评报告关键要素符合率标准：无有“严重级”以上问题，符合软件质量要</w:t>
      </w:r>
      <w:r w:rsidR="00BE3658">
        <w:rPr>
          <w:rFonts w:hint="eastAsia"/>
        </w:rPr>
        <w:t>求</w:t>
      </w:r>
    </w:p>
    <w:p w:rsidR="00427CFC" w:rsidRDefault="004220DA">
      <w:pPr>
        <w:numPr>
          <w:ilvl w:val="0"/>
          <w:numId w:val="3"/>
        </w:numPr>
        <w:ind w:firstLineChars="0"/>
      </w:pPr>
      <w:r>
        <w:t>安全测评：通过</w:t>
      </w:r>
      <w:r>
        <w:rPr>
          <w:rFonts w:hint="eastAsia"/>
        </w:rPr>
        <w:t>，第三方测评报告关键要素符合率标准不低于85%。 测评符合率，一般系统≥80%，重要系统≥85%；达到验收要求</w:t>
      </w:r>
      <w:r w:rsidR="00557191">
        <w:rPr>
          <w:rFonts w:hint="eastAsia"/>
        </w:rPr>
        <w:t>：</w:t>
      </w:r>
      <w:r>
        <w:rPr>
          <w:rFonts w:hint="eastAsia"/>
        </w:rPr>
        <w:t>高风险问题数量为零；中风险问题数量≤9个；主要问题数量≤5个</w:t>
      </w:r>
    </w:p>
    <w:p w:rsidR="00427CFC" w:rsidRDefault="004220DA">
      <w:pPr>
        <w:numPr>
          <w:ilvl w:val="0"/>
          <w:numId w:val="3"/>
        </w:numPr>
        <w:ind w:firstLineChars="0"/>
      </w:pPr>
      <w:r>
        <w:t>密码测评：通过，</w:t>
      </w:r>
      <w:r>
        <w:rPr>
          <w:rFonts w:hint="eastAsia"/>
        </w:rPr>
        <w:t>第三方测评报告关键要素符合率标准，</w:t>
      </w:r>
      <w:r>
        <w:t>分数不低于75分</w:t>
      </w:r>
    </w:p>
    <w:p w:rsidR="00427CFC" w:rsidRDefault="004220DA">
      <w:pPr>
        <w:numPr>
          <w:ilvl w:val="0"/>
          <w:numId w:val="3"/>
        </w:numPr>
        <w:ind w:firstLineChars="0"/>
      </w:pPr>
      <w:r>
        <w:t>并发用户数</w:t>
      </w:r>
      <w:r w:rsidR="008C601B">
        <w:rPr>
          <w:rFonts w:hint="eastAsia"/>
        </w:rPr>
        <w:t>≥</w:t>
      </w:r>
      <w:r>
        <w:rPr>
          <w:rFonts w:hint="eastAsia"/>
        </w:rPr>
        <w:t>3</w:t>
      </w:r>
      <w:r>
        <w:t>00时，系统登陆时间≤</w:t>
      </w:r>
      <w:r>
        <w:rPr>
          <w:rFonts w:hint="eastAsia"/>
        </w:rPr>
        <w:t>5</w:t>
      </w:r>
      <w:r>
        <w:t>秒</w:t>
      </w:r>
    </w:p>
    <w:p w:rsidR="00427CFC" w:rsidRDefault="004220DA">
      <w:pPr>
        <w:numPr>
          <w:ilvl w:val="0"/>
          <w:numId w:val="3"/>
        </w:numPr>
        <w:ind w:firstLineChars="0"/>
      </w:pPr>
      <w:r>
        <w:t>一般查询和写入操作响应时间（90%的操作页面）≤</w:t>
      </w:r>
      <w:r>
        <w:rPr>
          <w:rFonts w:hint="eastAsia"/>
        </w:rPr>
        <w:t>5</w:t>
      </w:r>
      <w:r>
        <w:t>秒</w:t>
      </w:r>
    </w:p>
    <w:p w:rsidR="00427CFC" w:rsidRDefault="004220DA">
      <w:pPr>
        <w:numPr>
          <w:ilvl w:val="0"/>
          <w:numId w:val="3"/>
        </w:numPr>
        <w:ind w:firstLineChars="0"/>
      </w:pPr>
      <w:r>
        <w:t>搜索类操作响应时间≤10秒</w:t>
      </w:r>
    </w:p>
    <w:p w:rsidR="00427CFC" w:rsidRDefault="004220DA">
      <w:pPr>
        <w:numPr>
          <w:ilvl w:val="0"/>
          <w:numId w:val="3"/>
        </w:numPr>
        <w:ind w:firstLineChars="0"/>
      </w:pPr>
      <w:r>
        <w:t>报表统计类操作响应时间≤15秒</w:t>
      </w:r>
    </w:p>
    <w:p w:rsidR="00427CFC" w:rsidRDefault="004220DA">
      <w:pPr>
        <w:numPr>
          <w:ilvl w:val="0"/>
          <w:numId w:val="3"/>
        </w:numPr>
        <w:ind w:firstLineChars="0"/>
      </w:pPr>
      <w:r>
        <w:t>响应时间较长的操作页面应显示进度条</w:t>
      </w:r>
    </w:p>
    <w:p w:rsidR="00427CFC" w:rsidRDefault="004220DA">
      <w:pPr>
        <w:pStyle w:val="4"/>
        <w:ind w:left="1134" w:hanging="1134"/>
      </w:pPr>
      <w:bookmarkStart w:id="29" w:name="_Toc140830748"/>
      <w:bookmarkStart w:id="30" w:name="_Toc137738505"/>
      <w:r>
        <w:rPr>
          <w:rFonts w:hint="eastAsia"/>
        </w:rPr>
        <w:t>律师技术绩效考核目标</w:t>
      </w:r>
      <w:bookmarkEnd w:id="29"/>
      <w:bookmarkEnd w:id="30"/>
    </w:p>
    <w:tbl>
      <w:tblPr>
        <w:tblStyle w:val="af3"/>
        <w:tblW w:w="0" w:type="auto"/>
        <w:tblLook w:val="04A0"/>
      </w:tblPr>
      <w:tblGrid>
        <w:gridCol w:w="933"/>
        <w:gridCol w:w="1680"/>
        <w:gridCol w:w="2443"/>
        <w:gridCol w:w="2631"/>
        <w:gridCol w:w="833"/>
      </w:tblGrid>
      <w:tr w:rsidR="00427CFC">
        <w:tc>
          <w:tcPr>
            <w:tcW w:w="933" w:type="dxa"/>
          </w:tcPr>
          <w:p w:rsidR="00427CFC" w:rsidRDefault="004220DA">
            <w:pPr>
              <w:pStyle w:val="affe"/>
              <w:ind w:firstLineChars="0" w:firstLine="0"/>
              <w:jc w:val="center"/>
              <w:rPr>
                <w:b/>
                <w:bCs/>
                <w:sz w:val="24"/>
                <w:szCs w:val="24"/>
              </w:rPr>
            </w:pPr>
            <w:r>
              <w:rPr>
                <w:rFonts w:hint="eastAsia"/>
                <w:b/>
                <w:bCs/>
                <w:sz w:val="24"/>
                <w:szCs w:val="24"/>
              </w:rPr>
              <w:t>编号</w:t>
            </w:r>
          </w:p>
        </w:tc>
        <w:tc>
          <w:tcPr>
            <w:tcW w:w="1680" w:type="dxa"/>
          </w:tcPr>
          <w:p w:rsidR="00427CFC" w:rsidRDefault="004220DA">
            <w:pPr>
              <w:pStyle w:val="affe"/>
              <w:ind w:firstLineChars="0" w:firstLine="0"/>
              <w:jc w:val="center"/>
              <w:rPr>
                <w:b/>
                <w:bCs/>
                <w:sz w:val="24"/>
                <w:szCs w:val="24"/>
              </w:rPr>
            </w:pPr>
            <w:r>
              <w:rPr>
                <w:rFonts w:hint="eastAsia"/>
                <w:b/>
                <w:bCs/>
                <w:sz w:val="24"/>
                <w:szCs w:val="24"/>
              </w:rPr>
              <w:t>业务项</w:t>
            </w:r>
          </w:p>
        </w:tc>
        <w:tc>
          <w:tcPr>
            <w:tcW w:w="2443" w:type="dxa"/>
          </w:tcPr>
          <w:p w:rsidR="00427CFC" w:rsidRDefault="004220DA">
            <w:pPr>
              <w:pStyle w:val="affe"/>
              <w:ind w:firstLineChars="0" w:firstLine="0"/>
              <w:jc w:val="center"/>
              <w:rPr>
                <w:b/>
                <w:bCs/>
                <w:sz w:val="24"/>
                <w:szCs w:val="24"/>
              </w:rPr>
            </w:pPr>
            <w:r>
              <w:rPr>
                <w:rFonts w:hint="eastAsia"/>
                <w:b/>
                <w:bCs/>
                <w:sz w:val="24"/>
                <w:szCs w:val="24"/>
              </w:rPr>
              <w:t>具体业务</w:t>
            </w:r>
          </w:p>
        </w:tc>
        <w:tc>
          <w:tcPr>
            <w:tcW w:w="2631" w:type="dxa"/>
          </w:tcPr>
          <w:p w:rsidR="00427CFC" w:rsidRDefault="004220DA">
            <w:pPr>
              <w:pStyle w:val="affe"/>
              <w:ind w:firstLineChars="0" w:firstLine="0"/>
              <w:jc w:val="center"/>
              <w:rPr>
                <w:b/>
                <w:bCs/>
                <w:sz w:val="24"/>
                <w:szCs w:val="24"/>
              </w:rPr>
            </w:pPr>
            <w:r>
              <w:rPr>
                <w:rFonts w:hint="eastAsia"/>
                <w:b/>
                <w:bCs/>
                <w:sz w:val="24"/>
                <w:szCs w:val="24"/>
              </w:rPr>
              <w:t>技术绩效目标</w:t>
            </w:r>
          </w:p>
        </w:tc>
        <w:tc>
          <w:tcPr>
            <w:tcW w:w="833" w:type="dxa"/>
          </w:tcPr>
          <w:p w:rsidR="00427CFC" w:rsidRDefault="004220DA">
            <w:pPr>
              <w:pStyle w:val="affe"/>
              <w:ind w:firstLineChars="0" w:firstLine="0"/>
              <w:jc w:val="center"/>
              <w:rPr>
                <w:b/>
                <w:bCs/>
                <w:sz w:val="24"/>
                <w:szCs w:val="24"/>
              </w:rPr>
            </w:pPr>
            <w:r>
              <w:rPr>
                <w:rFonts w:hint="eastAsia"/>
                <w:b/>
                <w:bCs/>
                <w:sz w:val="24"/>
                <w:szCs w:val="24"/>
              </w:rPr>
              <w:t>备注</w:t>
            </w:r>
          </w:p>
        </w:tc>
      </w:tr>
      <w:tr w:rsidR="00427CFC">
        <w:tc>
          <w:tcPr>
            <w:tcW w:w="933" w:type="dxa"/>
            <w:vAlign w:val="center"/>
          </w:tcPr>
          <w:p w:rsidR="00427CFC" w:rsidRDefault="004220DA">
            <w:pPr>
              <w:pStyle w:val="affe"/>
              <w:ind w:firstLineChars="0" w:firstLine="0"/>
              <w:jc w:val="center"/>
              <w:rPr>
                <w:sz w:val="24"/>
                <w:szCs w:val="24"/>
              </w:rPr>
            </w:pPr>
            <w:r>
              <w:rPr>
                <w:rFonts w:hint="eastAsia"/>
                <w:sz w:val="24"/>
                <w:szCs w:val="24"/>
              </w:rPr>
              <w:t>1</w:t>
            </w:r>
          </w:p>
        </w:tc>
        <w:tc>
          <w:tcPr>
            <w:tcW w:w="1680" w:type="dxa"/>
            <w:vMerge w:val="restart"/>
            <w:vAlign w:val="center"/>
          </w:tcPr>
          <w:p w:rsidR="00427CFC" w:rsidRDefault="004220DA">
            <w:pPr>
              <w:pStyle w:val="affe"/>
              <w:ind w:firstLineChars="0" w:firstLine="0"/>
              <w:jc w:val="center"/>
              <w:rPr>
                <w:b/>
                <w:bCs/>
                <w:sz w:val="24"/>
                <w:szCs w:val="24"/>
              </w:rPr>
            </w:pPr>
            <w:r>
              <w:rPr>
                <w:rFonts w:ascii="仿宋_GB2312" w:eastAsia="仿宋_GB2312" w:hAnsi="宋体" w:cs="仿宋_GB2312" w:hint="eastAsia"/>
                <w:b/>
                <w:bCs/>
                <w:sz w:val="24"/>
                <w:szCs w:val="24"/>
              </w:rPr>
              <w:t>律师执业监管</w:t>
            </w:r>
          </w:p>
        </w:tc>
        <w:tc>
          <w:tcPr>
            <w:tcW w:w="2443" w:type="dxa"/>
            <w:vAlign w:val="center"/>
          </w:tcPr>
          <w:p w:rsidR="00427CFC" w:rsidRDefault="004220DA">
            <w:pPr>
              <w:pStyle w:val="affe"/>
              <w:ind w:firstLineChars="0" w:firstLine="0"/>
              <w:jc w:val="center"/>
              <w:rPr>
                <w:sz w:val="24"/>
                <w:szCs w:val="24"/>
              </w:rPr>
            </w:pPr>
            <w:r>
              <w:rPr>
                <w:rFonts w:hint="eastAsia"/>
                <w:sz w:val="24"/>
                <w:szCs w:val="24"/>
              </w:rPr>
              <w:t>投诉案件管理</w:t>
            </w:r>
          </w:p>
        </w:tc>
        <w:tc>
          <w:tcPr>
            <w:tcW w:w="2631" w:type="dxa"/>
          </w:tcPr>
          <w:p w:rsidR="00427CFC" w:rsidRDefault="004220DA">
            <w:pPr>
              <w:pStyle w:val="affe"/>
              <w:ind w:firstLineChars="0" w:firstLine="0"/>
              <w:jc w:val="center"/>
              <w:rPr>
                <w:sz w:val="24"/>
                <w:szCs w:val="24"/>
              </w:rPr>
            </w:pPr>
            <w:r>
              <w:rPr>
                <w:rFonts w:hint="eastAsia"/>
                <w:sz w:val="24"/>
                <w:szCs w:val="24"/>
              </w:rPr>
              <w:t>相关建设功能满足实际业务场景需要，行业投诉案件管理同步率达100%，数据同步时间差控制在1小时内</w:t>
            </w:r>
          </w:p>
        </w:tc>
        <w:tc>
          <w:tcPr>
            <w:tcW w:w="833" w:type="dxa"/>
          </w:tcPr>
          <w:p w:rsidR="00427CFC" w:rsidRDefault="00427CFC">
            <w:pPr>
              <w:pStyle w:val="affe"/>
              <w:ind w:firstLineChars="0" w:firstLine="0"/>
              <w:rPr>
                <w:sz w:val="24"/>
                <w:szCs w:val="24"/>
              </w:rPr>
            </w:pPr>
          </w:p>
        </w:tc>
      </w:tr>
      <w:tr w:rsidR="00427CFC">
        <w:tc>
          <w:tcPr>
            <w:tcW w:w="933" w:type="dxa"/>
            <w:vAlign w:val="center"/>
          </w:tcPr>
          <w:p w:rsidR="00427CFC" w:rsidRDefault="004220DA">
            <w:pPr>
              <w:pStyle w:val="affe"/>
              <w:ind w:firstLineChars="0" w:firstLine="0"/>
              <w:jc w:val="center"/>
              <w:rPr>
                <w:sz w:val="24"/>
                <w:szCs w:val="24"/>
              </w:rPr>
            </w:pPr>
            <w:r>
              <w:rPr>
                <w:rFonts w:hint="eastAsia"/>
                <w:sz w:val="24"/>
                <w:szCs w:val="24"/>
              </w:rPr>
              <w:t>2</w:t>
            </w:r>
          </w:p>
        </w:tc>
        <w:tc>
          <w:tcPr>
            <w:tcW w:w="1680" w:type="dxa"/>
            <w:vMerge/>
            <w:vAlign w:val="center"/>
          </w:tcPr>
          <w:p w:rsidR="00427CFC" w:rsidRDefault="00427CFC">
            <w:pPr>
              <w:pStyle w:val="affe"/>
              <w:ind w:firstLineChars="0" w:firstLine="0"/>
              <w:jc w:val="center"/>
              <w:rPr>
                <w:b/>
                <w:bCs/>
                <w:sz w:val="24"/>
                <w:szCs w:val="24"/>
              </w:rPr>
            </w:pPr>
          </w:p>
        </w:tc>
        <w:tc>
          <w:tcPr>
            <w:tcW w:w="2443" w:type="dxa"/>
            <w:vAlign w:val="center"/>
          </w:tcPr>
          <w:p w:rsidR="00427CFC" w:rsidRDefault="004220DA">
            <w:pPr>
              <w:pStyle w:val="affe"/>
              <w:ind w:firstLineChars="0" w:firstLine="0"/>
              <w:jc w:val="center"/>
              <w:rPr>
                <w:sz w:val="24"/>
                <w:szCs w:val="24"/>
              </w:rPr>
            </w:pPr>
            <w:r>
              <w:rPr>
                <w:rFonts w:hint="eastAsia"/>
                <w:sz w:val="24"/>
                <w:szCs w:val="24"/>
              </w:rPr>
              <w:t>律师违法违规记录管理</w:t>
            </w:r>
          </w:p>
        </w:tc>
        <w:tc>
          <w:tcPr>
            <w:tcW w:w="2631" w:type="dxa"/>
          </w:tcPr>
          <w:p w:rsidR="00427CFC" w:rsidRDefault="004220DA">
            <w:pPr>
              <w:pStyle w:val="affe"/>
              <w:ind w:firstLineChars="0" w:firstLine="0"/>
              <w:jc w:val="center"/>
              <w:rPr>
                <w:sz w:val="24"/>
                <w:szCs w:val="24"/>
              </w:rPr>
            </w:pPr>
            <w:r>
              <w:rPr>
                <w:rFonts w:hint="eastAsia"/>
                <w:sz w:val="24"/>
                <w:szCs w:val="24"/>
              </w:rPr>
              <w:t>相关建设功能满足实际业务场景需要，根据数据对接情况，及时获取律师违法违规信息，数据同步时间差控制在1小时内</w:t>
            </w:r>
          </w:p>
        </w:tc>
        <w:tc>
          <w:tcPr>
            <w:tcW w:w="833" w:type="dxa"/>
          </w:tcPr>
          <w:p w:rsidR="00427CFC" w:rsidRDefault="00427CFC">
            <w:pPr>
              <w:pStyle w:val="affe"/>
              <w:ind w:firstLineChars="0" w:firstLine="0"/>
              <w:rPr>
                <w:sz w:val="24"/>
                <w:szCs w:val="24"/>
              </w:rPr>
            </w:pPr>
          </w:p>
        </w:tc>
      </w:tr>
      <w:tr w:rsidR="00427CFC">
        <w:tc>
          <w:tcPr>
            <w:tcW w:w="933" w:type="dxa"/>
            <w:vAlign w:val="center"/>
          </w:tcPr>
          <w:p w:rsidR="00427CFC" w:rsidRDefault="004220DA">
            <w:pPr>
              <w:pStyle w:val="affe"/>
              <w:ind w:firstLineChars="0" w:firstLine="0"/>
              <w:jc w:val="center"/>
              <w:rPr>
                <w:sz w:val="24"/>
                <w:szCs w:val="24"/>
              </w:rPr>
            </w:pPr>
            <w:r>
              <w:rPr>
                <w:rFonts w:hint="eastAsia"/>
                <w:sz w:val="24"/>
                <w:szCs w:val="24"/>
              </w:rPr>
              <w:t>3</w:t>
            </w:r>
          </w:p>
        </w:tc>
        <w:tc>
          <w:tcPr>
            <w:tcW w:w="1680" w:type="dxa"/>
            <w:vMerge/>
            <w:vAlign w:val="center"/>
          </w:tcPr>
          <w:p w:rsidR="00427CFC" w:rsidRDefault="00427CFC">
            <w:pPr>
              <w:pStyle w:val="affe"/>
              <w:ind w:firstLineChars="0" w:firstLine="0"/>
              <w:jc w:val="center"/>
              <w:rPr>
                <w:b/>
                <w:bCs/>
                <w:sz w:val="24"/>
                <w:szCs w:val="24"/>
              </w:rPr>
            </w:pPr>
          </w:p>
        </w:tc>
        <w:tc>
          <w:tcPr>
            <w:tcW w:w="2443" w:type="dxa"/>
            <w:vAlign w:val="center"/>
          </w:tcPr>
          <w:p w:rsidR="00427CFC" w:rsidRDefault="004220DA">
            <w:pPr>
              <w:pStyle w:val="affe"/>
              <w:ind w:firstLineChars="0" w:firstLine="0"/>
              <w:jc w:val="center"/>
              <w:rPr>
                <w:sz w:val="24"/>
                <w:szCs w:val="24"/>
              </w:rPr>
            </w:pPr>
            <w:r>
              <w:rPr>
                <w:rFonts w:hint="eastAsia"/>
                <w:sz w:val="24"/>
                <w:szCs w:val="24"/>
              </w:rPr>
              <w:t>律师行为监管</w:t>
            </w:r>
          </w:p>
        </w:tc>
        <w:tc>
          <w:tcPr>
            <w:tcW w:w="2631" w:type="dxa"/>
          </w:tcPr>
          <w:p w:rsidR="00427CFC" w:rsidRDefault="004220DA">
            <w:pPr>
              <w:pStyle w:val="affe"/>
              <w:ind w:firstLineChars="0" w:firstLine="0"/>
              <w:jc w:val="center"/>
              <w:rPr>
                <w:sz w:val="24"/>
                <w:szCs w:val="24"/>
              </w:rPr>
            </w:pPr>
            <w:r>
              <w:rPr>
                <w:rFonts w:hint="eastAsia"/>
                <w:sz w:val="24"/>
                <w:szCs w:val="24"/>
              </w:rPr>
              <w:t>相关建设功能满足实际</w:t>
            </w:r>
            <w:r>
              <w:rPr>
                <w:rFonts w:hint="eastAsia"/>
                <w:sz w:val="24"/>
                <w:szCs w:val="24"/>
              </w:rPr>
              <w:lastRenderedPageBreak/>
              <w:t>业务场景需要，异常执业行为预警信息1分钟内反馈至相关管理人员</w:t>
            </w:r>
          </w:p>
        </w:tc>
        <w:tc>
          <w:tcPr>
            <w:tcW w:w="833" w:type="dxa"/>
          </w:tcPr>
          <w:p w:rsidR="00427CFC" w:rsidRDefault="00427CFC">
            <w:pPr>
              <w:pStyle w:val="affe"/>
              <w:ind w:firstLineChars="0" w:firstLine="0"/>
              <w:rPr>
                <w:sz w:val="24"/>
                <w:szCs w:val="24"/>
              </w:rPr>
            </w:pPr>
          </w:p>
        </w:tc>
      </w:tr>
      <w:tr w:rsidR="00427CFC">
        <w:tc>
          <w:tcPr>
            <w:tcW w:w="933" w:type="dxa"/>
            <w:vAlign w:val="center"/>
          </w:tcPr>
          <w:p w:rsidR="00427CFC" w:rsidRDefault="004220DA">
            <w:pPr>
              <w:pStyle w:val="affe"/>
              <w:ind w:firstLineChars="0" w:firstLine="0"/>
              <w:jc w:val="center"/>
              <w:rPr>
                <w:sz w:val="24"/>
                <w:szCs w:val="24"/>
              </w:rPr>
            </w:pPr>
            <w:r>
              <w:rPr>
                <w:rFonts w:hint="eastAsia"/>
                <w:sz w:val="24"/>
                <w:szCs w:val="24"/>
              </w:rPr>
              <w:lastRenderedPageBreak/>
              <w:t>4</w:t>
            </w:r>
          </w:p>
        </w:tc>
        <w:tc>
          <w:tcPr>
            <w:tcW w:w="1680" w:type="dxa"/>
            <w:vMerge/>
            <w:vAlign w:val="center"/>
          </w:tcPr>
          <w:p w:rsidR="00427CFC" w:rsidRDefault="00427CFC">
            <w:pPr>
              <w:pStyle w:val="affe"/>
              <w:ind w:firstLineChars="0" w:firstLine="0"/>
              <w:jc w:val="center"/>
              <w:rPr>
                <w:b/>
                <w:bCs/>
                <w:sz w:val="24"/>
                <w:szCs w:val="24"/>
              </w:rPr>
            </w:pPr>
          </w:p>
        </w:tc>
        <w:tc>
          <w:tcPr>
            <w:tcW w:w="2443" w:type="dxa"/>
            <w:vAlign w:val="center"/>
          </w:tcPr>
          <w:p w:rsidR="00427CFC" w:rsidRDefault="004220DA">
            <w:pPr>
              <w:pStyle w:val="affe"/>
              <w:ind w:firstLineChars="0" w:firstLine="0"/>
              <w:jc w:val="center"/>
              <w:rPr>
                <w:sz w:val="24"/>
                <w:szCs w:val="24"/>
              </w:rPr>
            </w:pPr>
            <w:r>
              <w:rPr>
                <w:rFonts w:hint="eastAsia"/>
                <w:sz w:val="24"/>
                <w:szCs w:val="24"/>
              </w:rPr>
              <w:t>律师异常调档管理</w:t>
            </w:r>
          </w:p>
        </w:tc>
        <w:tc>
          <w:tcPr>
            <w:tcW w:w="2631" w:type="dxa"/>
          </w:tcPr>
          <w:p w:rsidR="00427CFC" w:rsidRDefault="004220DA">
            <w:pPr>
              <w:pStyle w:val="affe"/>
              <w:ind w:firstLineChars="0" w:firstLine="0"/>
              <w:jc w:val="center"/>
              <w:rPr>
                <w:sz w:val="24"/>
                <w:szCs w:val="24"/>
              </w:rPr>
            </w:pPr>
            <w:r>
              <w:rPr>
                <w:rFonts w:hint="eastAsia"/>
                <w:sz w:val="24"/>
                <w:szCs w:val="24"/>
              </w:rPr>
              <w:t>相关建设功能满足实际业务场景需要，用户界面交互友好，办事指南引导清楚、易懂，界面功能按钮响应时间≤5秒</w:t>
            </w:r>
          </w:p>
        </w:tc>
        <w:tc>
          <w:tcPr>
            <w:tcW w:w="833" w:type="dxa"/>
          </w:tcPr>
          <w:p w:rsidR="00427CFC" w:rsidRDefault="00427CFC">
            <w:pPr>
              <w:pStyle w:val="affe"/>
              <w:ind w:firstLineChars="0" w:firstLine="0"/>
              <w:rPr>
                <w:sz w:val="24"/>
                <w:szCs w:val="24"/>
              </w:rPr>
            </w:pPr>
          </w:p>
        </w:tc>
      </w:tr>
      <w:tr w:rsidR="00427CFC">
        <w:tc>
          <w:tcPr>
            <w:tcW w:w="933" w:type="dxa"/>
            <w:vAlign w:val="center"/>
          </w:tcPr>
          <w:p w:rsidR="00427CFC" w:rsidRDefault="004220DA">
            <w:pPr>
              <w:pStyle w:val="affe"/>
              <w:ind w:firstLineChars="0" w:firstLine="0"/>
              <w:jc w:val="center"/>
              <w:rPr>
                <w:sz w:val="24"/>
                <w:szCs w:val="24"/>
              </w:rPr>
            </w:pPr>
            <w:r>
              <w:rPr>
                <w:rFonts w:hint="eastAsia"/>
                <w:sz w:val="24"/>
                <w:szCs w:val="24"/>
              </w:rPr>
              <w:t>5</w:t>
            </w:r>
          </w:p>
        </w:tc>
        <w:tc>
          <w:tcPr>
            <w:tcW w:w="1680" w:type="dxa"/>
            <w:vMerge w:val="restart"/>
            <w:vAlign w:val="center"/>
          </w:tcPr>
          <w:p w:rsidR="00427CFC" w:rsidRDefault="004220DA">
            <w:pPr>
              <w:pStyle w:val="affe"/>
              <w:ind w:firstLineChars="0" w:firstLine="0"/>
              <w:jc w:val="center"/>
              <w:rPr>
                <w:b/>
                <w:bCs/>
                <w:sz w:val="24"/>
                <w:szCs w:val="24"/>
              </w:rPr>
            </w:pPr>
            <w:r>
              <w:rPr>
                <w:rFonts w:ascii="仿宋_GB2312" w:eastAsia="仿宋_GB2312" w:hAnsi="宋体" w:cs="仿宋_GB2312" w:hint="eastAsia"/>
                <w:b/>
                <w:bCs/>
                <w:sz w:val="24"/>
                <w:szCs w:val="24"/>
              </w:rPr>
              <w:t>律师执业保障</w:t>
            </w:r>
          </w:p>
        </w:tc>
        <w:tc>
          <w:tcPr>
            <w:tcW w:w="2443" w:type="dxa"/>
            <w:vAlign w:val="center"/>
          </w:tcPr>
          <w:p w:rsidR="00427CFC" w:rsidRDefault="004220DA">
            <w:pPr>
              <w:pStyle w:val="affe"/>
              <w:ind w:firstLineChars="0" w:firstLine="0"/>
              <w:jc w:val="center"/>
              <w:rPr>
                <w:sz w:val="24"/>
                <w:szCs w:val="24"/>
              </w:rPr>
            </w:pPr>
            <w:r>
              <w:rPr>
                <w:rFonts w:hint="eastAsia"/>
                <w:sz w:val="24"/>
                <w:szCs w:val="24"/>
              </w:rPr>
              <w:t>律师执业过程保障</w:t>
            </w:r>
          </w:p>
        </w:tc>
        <w:tc>
          <w:tcPr>
            <w:tcW w:w="2631" w:type="dxa"/>
          </w:tcPr>
          <w:p w:rsidR="00427CFC" w:rsidRDefault="004220DA">
            <w:pPr>
              <w:pStyle w:val="affe"/>
              <w:ind w:firstLineChars="0" w:firstLine="0"/>
              <w:jc w:val="center"/>
              <w:rPr>
                <w:sz w:val="24"/>
                <w:szCs w:val="24"/>
              </w:rPr>
            </w:pPr>
            <w:r>
              <w:rPr>
                <w:rFonts w:hint="eastAsia"/>
                <w:sz w:val="24"/>
                <w:szCs w:val="24"/>
              </w:rPr>
              <w:t>相关建设功能满足实际业务场景需要，系统代理资格审核误差率≤2%</w:t>
            </w:r>
          </w:p>
        </w:tc>
        <w:tc>
          <w:tcPr>
            <w:tcW w:w="833" w:type="dxa"/>
          </w:tcPr>
          <w:p w:rsidR="00427CFC" w:rsidRDefault="00427CFC">
            <w:pPr>
              <w:pStyle w:val="affe"/>
              <w:ind w:firstLineChars="0" w:firstLine="0"/>
              <w:rPr>
                <w:sz w:val="24"/>
                <w:szCs w:val="24"/>
              </w:rPr>
            </w:pPr>
          </w:p>
        </w:tc>
      </w:tr>
      <w:tr w:rsidR="00427CFC">
        <w:tc>
          <w:tcPr>
            <w:tcW w:w="933" w:type="dxa"/>
            <w:vAlign w:val="center"/>
          </w:tcPr>
          <w:p w:rsidR="00427CFC" w:rsidRDefault="004220DA">
            <w:pPr>
              <w:pStyle w:val="affe"/>
              <w:ind w:firstLineChars="0" w:firstLine="0"/>
              <w:jc w:val="center"/>
              <w:rPr>
                <w:sz w:val="24"/>
                <w:szCs w:val="24"/>
              </w:rPr>
            </w:pPr>
            <w:r>
              <w:rPr>
                <w:rFonts w:hint="eastAsia"/>
                <w:sz w:val="24"/>
                <w:szCs w:val="24"/>
              </w:rPr>
              <w:t>6</w:t>
            </w:r>
          </w:p>
        </w:tc>
        <w:tc>
          <w:tcPr>
            <w:tcW w:w="1680" w:type="dxa"/>
            <w:vMerge/>
            <w:vAlign w:val="center"/>
          </w:tcPr>
          <w:p w:rsidR="00427CFC" w:rsidRDefault="00427CFC">
            <w:pPr>
              <w:pStyle w:val="affe"/>
              <w:ind w:firstLineChars="0" w:firstLine="0"/>
              <w:jc w:val="center"/>
              <w:rPr>
                <w:b/>
                <w:bCs/>
                <w:sz w:val="24"/>
                <w:szCs w:val="24"/>
              </w:rPr>
            </w:pPr>
          </w:p>
        </w:tc>
        <w:tc>
          <w:tcPr>
            <w:tcW w:w="2443" w:type="dxa"/>
            <w:vAlign w:val="center"/>
          </w:tcPr>
          <w:p w:rsidR="00427CFC" w:rsidRDefault="004220DA">
            <w:pPr>
              <w:pStyle w:val="affe"/>
              <w:ind w:firstLineChars="0" w:firstLine="0"/>
              <w:jc w:val="center"/>
              <w:rPr>
                <w:sz w:val="24"/>
                <w:szCs w:val="24"/>
              </w:rPr>
            </w:pPr>
            <w:r>
              <w:rPr>
                <w:rFonts w:hint="eastAsia"/>
                <w:sz w:val="24"/>
                <w:szCs w:val="24"/>
              </w:rPr>
              <w:t>律师维权管理</w:t>
            </w:r>
          </w:p>
        </w:tc>
        <w:tc>
          <w:tcPr>
            <w:tcW w:w="2631" w:type="dxa"/>
          </w:tcPr>
          <w:p w:rsidR="00427CFC" w:rsidRDefault="004220DA">
            <w:pPr>
              <w:pStyle w:val="affe"/>
              <w:ind w:firstLineChars="0" w:firstLine="0"/>
              <w:jc w:val="center"/>
              <w:rPr>
                <w:sz w:val="24"/>
                <w:szCs w:val="24"/>
              </w:rPr>
            </w:pPr>
            <w:r>
              <w:rPr>
                <w:rFonts w:hint="eastAsia"/>
                <w:sz w:val="24"/>
                <w:szCs w:val="24"/>
              </w:rPr>
              <w:t>相关建设功能满足实际业务场景需要，维权业务流程规范，界面功能按钮响应时间≤5秒</w:t>
            </w:r>
          </w:p>
        </w:tc>
        <w:tc>
          <w:tcPr>
            <w:tcW w:w="833" w:type="dxa"/>
          </w:tcPr>
          <w:p w:rsidR="00427CFC" w:rsidRDefault="00427CFC">
            <w:pPr>
              <w:pStyle w:val="affe"/>
              <w:ind w:firstLineChars="0" w:firstLine="0"/>
              <w:rPr>
                <w:sz w:val="24"/>
                <w:szCs w:val="24"/>
              </w:rPr>
            </w:pPr>
          </w:p>
        </w:tc>
      </w:tr>
      <w:tr w:rsidR="00427CFC">
        <w:tc>
          <w:tcPr>
            <w:tcW w:w="933" w:type="dxa"/>
            <w:vAlign w:val="center"/>
          </w:tcPr>
          <w:p w:rsidR="00427CFC" w:rsidRDefault="004220DA">
            <w:pPr>
              <w:pStyle w:val="affe"/>
              <w:ind w:firstLineChars="0" w:firstLine="0"/>
              <w:jc w:val="center"/>
              <w:rPr>
                <w:sz w:val="24"/>
                <w:szCs w:val="24"/>
              </w:rPr>
            </w:pPr>
            <w:r>
              <w:rPr>
                <w:rFonts w:hint="eastAsia"/>
                <w:sz w:val="24"/>
                <w:szCs w:val="24"/>
              </w:rPr>
              <w:t>7</w:t>
            </w:r>
          </w:p>
        </w:tc>
        <w:tc>
          <w:tcPr>
            <w:tcW w:w="1680" w:type="dxa"/>
            <w:vAlign w:val="center"/>
          </w:tcPr>
          <w:p w:rsidR="00427CFC" w:rsidRDefault="004220DA">
            <w:pPr>
              <w:pStyle w:val="affe"/>
              <w:ind w:firstLineChars="0" w:firstLine="0"/>
              <w:jc w:val="center"/>
              <w:rPr>
                <w:b/>
                <w:bCs/>
                <w:sz w:val="24"/>
                <w:szCs w:val="24"/>
              </w:rPr>
            </w:pPr>
            <w:r>
              <w:rPr>
                <w:rFonts w:hint="eastAsia"/>
                <w:b/>
                <w:bCs/>
                <w:sz w:val="24"/>
                <w:szCs w:val="24"/>
              </w:rPr>
              <w:t>僵尸律师数据管理</w:t>
            </w:r>
          </w:p>
        </w:tc>
        <w:tc>
          <w:tcPr>
            <w:tcW w:w="2443" w:type="dxa"/>
            <w:vAlign w:val="center"/>
          </w:tcPr>
          <w:p w:rsidR="00427CFC" w:rsidRDefault="004220DA">
            <w:pPr>
              <w:pStyle w:val="affe"/>
              <w:ind w:firstLineChars="0" w:firstLine="0"/>
              <w:jc w:val="center"/>
              <w:rPr>
                <w:sz w:val="24"/>
                <w:szCs w:val="24"/>
              </w:rPr>
            </w:pPr>
            <w:r>
              <w:rPr>
                <w:rFonts w:hint="eastAsia"/>
                <w:sz w:val="24"/>
                <w:szCs w:val="24"/>
              </w:rPr>
              <w:t>僵尸律师数据治理</w:t>
            </w:r>
          </w:p>
        </w:tc>
        <w:tc>
          <w:tcPr>
            <w:tcW w:w="2631" w:type="dxa"/>
          </w:tcPr>
          <w:p w:rsidR="00427CFC" w:rsidRDefault="004220DA">
            <w:pPr>
              <w:pStyle w:val="affe"/>
              <w:ind w:firstLineChars="0" w:firstLine="0"/>
              <w:jc w:val="center"/>
              <w:rPr>
                <w:sz w:val="24"/>
                <w:szCs w:val="24"/>
              </w:rPr>
            </w:pPr>
            <w:r>
              <w:rPr>
                <w:rFonts w:hint="eastAsia"/>
                <w:sz w:val="24"/>
                <w:szCs w:val="24"/>
              </w:rPr>
              <w:t>相关建设功能满足实际业务场景需要，僵尸律师数据按照既定规则核查准确的达100%</w:t>
            </w:r>
          </w:p>
        </w:tc>
        <w:tc>
          <w:tcPr>
            <w:tcW w:w="833" w:type="dxa"/>
          </w:tcPr>
          <w:p w:rsidR="00427CFC" w:rsidRDefault="00427CFC">
            <w:pPr>
              <w:pStyle w:val="affe"/>
              <w:ind w:firstLineChars="0" w:firstLine="0"/>
              <w:rPr>
                <w:sz w:val="24"/>
                <w:szCs w:val="24"/>
              </w:rPr>
            </w:pPr>
          </w:p>
        </w:tc>
      </w:tr>
    </w:tbl>
    <w:p w:rsidR="00427CFC" w:rsidRDefault="00427CFC">
      <w:pPr>
        <w:pStyle w:val="affe"/>
        <w:ind w:firstLineChars="0" w:firstLine="0"/>
      </w:pPr>
    </w:p>
    <w:p w:rsidR="00427CFC" w:rsidRDefault="004220DA">
      <w:pPr>
        <w:pStyle w:val="4"/>
        <w:ind w:left="1134" w:hanging="1134"/>
      </w:pPr>
      <w:bookmarkStart w:id="31" w:name="_Toc140830749"/>
      <w:bookmarkStart w:id="32" w:name="_Toc137738416"/>
      <w:r>
        <w:rPr>
          <w:rFonts w:hint="eastAsia"/>
        </w:rPr>
        <w:t>公证技术绩效考核目标</w:t>
      </w:r>
      <w:bookmarkEnd w:id="31"/>
      <w:bookmarkEnd w:id="32"/>
    </w:p>
    <w:tbl>
      <w:tblPr>
        <w:tblW w:w="8755" w:type="dxa"/>
        <w:jc w:val="center"/>
        <w:tblLayout w:type="fixed"/>
        <w:tblCellMar>
          <w:left w:w="28" w:type="dxa"/>
          <w:right w:w="28" w:type="dxa"/>
        </w:tblCellMar>
        <w:tblLook w:val="04A0"/>
      </w:tblPr>
      <w:tblGrid>
        <w:gridCol w:w="755"/>
        <w:gridCol w:w="1171"/>
        <w:gridCol w:w="1701"/>
        <w:gridCol w:w="2552"/>
        <w:gridCol w:w="2576"/>
      </w:tblGrid>
      <w:tr w:rsidR="00427CFC">
        <w:trPr>
          <w:cantSplit/>
          <w:trHeight w:val="340"/>
          <w:jc w:val="center"/>
        </w:trPr>
        <w:tc>
          <w:tcPr>
            <w:tcW w:w="755" w:type="dxa"/>
            <w:vMerge w:val="restart"/>
            <w:tcBorders>
              <w:top w:val="single" w:sz="4" w:space="0" w:color="auto"/>
              <w:left w:val="single" w:sz="4" w:space="0" w:color="auto"/>
              <w:bottom w:val="single" w:sz="4" w:space="0" w:color="auto"/>
              <w:right w:val="single" w:sz="4" w:space="0" w:color="auto"/>
            </w:tcBorders>
            <w:vAlign w:val="center"/>
          </w:tcPr>
          <w:p w:rsidR="00427CFC" w:rsidRDefault="004220DA">
            <w:pPr>
              <w:adjustRightInd w:val="0"/>
              <w:snapToGrid w:val="0"/>
              <w:ind w:firstLineChars="0" w:firstLine="0"/>
              <w:rPr>
                <w:rFonts w:ascii="仿宋" w:eastAsia="仿宋" w:hAnsi="仿宋"/>
              </w:rPr>
            </w:pPr>
            <w:r>
              <w:rPr>
                <w:rFonts w:ascii="仿宋" w:eastAsia="仿宋" w:hAnsi="仿宋" w:hint="eastAsia"/>
              </w:rPr>
              <w:t>技术</w:t>
            </w:r>
            <w:r>
              <w:rPr>
                <w:rFonts w:ascii="仿宋" w:eastAsia="仿宋" w:hAnsi="仿宋"/>
              </w:rPr>
              <w:t>绩效</w:t>
            </w:r>
            <w:r>
              <w:rPr>
                <w:rFonts w:ascii="仿宋" w:eastAsia="仿宋" w:hAnsi="仿宋" w:hint="eastAsia"/>
              </w:rPr>
              <w:t>考核目 标</w:t>
            </w:r>
          </w:p>
        </w:tc>
        <w:tc>
          <w:tcPr>
            <w:tcW w:w="1171" w:type="dxa"/>
            <w:tcBorders>
              <w:top w:val="single" w:sz="4" w:space="0" w:color="auto"/>
              <w:left w:val="nil"/>
              <w:bottom w:val="single" w:sz="4" w:space="0" w:color="auto"/>
              <w:right w:val="single" w:sz="4" w:space="0" w:color="auto"/>
            </w:tcBorders>
            <w:vAlign w:val="center"/>
          </w:tcPr>
          <w:p w:rsidR="00427CFC" w:rsidRDefault="004220DA">
            <w:pPr>
              <w:adjustRightInd w:val="0"/>
              <w:snapToGrid w:val="0"/>
              <w:ind w:firstLineChars="0" w:firstLine="0"/>
              <w:jc w:val="center"/>
              <w:rPr>
                <w:rFonts w:ascii="仿宋" w:eastAsia="仿宋" w:hAnsi="仿宋"/>
              </w:rPr>
            </w:pPr>
            <w:r>
              <w:rPr>
                <w:rFonts w:ascii="仿宋" w:eastAsia="仿宋" w:hAnsi="仿宋"/>
              </w:rPr>
              <w:t>一级指标</w:t>
            </w:r>
          </w:p>
        </w:tc>
        <w:tc>
          <w:tcPr>
            <w:tcW w:w="1701" w:type="dxa"/>
            <w:tcBorders>
              <w:top w:val="single" w:sz="4" w:space="0" w:color="auto"/>
              <w:left w:val="nil"/>
              <w:bottom w:val="single" w:sz="4" w:space="0" w:color="auto"/>
              <w:right w:val="single" w:sz="4" w:space="0" w:color="auto"/>
            </w:tcBorders>
            <w:vAlign w:val="center"/>
          </w:tcPr>
          <w:p w:rsidR="00427CFC" w:rsidRDefault="004220DA">
            <w:pPr>
              <w:adjustRightInd w:val="0"/>
              <w:snapToGrid w:val="0"/>
              <w:rPr>
                <w:rFonts w:ascii="仿宋" w:eastAsia="仿宋" w:hAnsi="仿宋"/>
              </w:rPr>
            </w:pPr>
            <w:r>
              <w:rPr>
                <w:rFonts w:ascii="仿宋" w:eastAsia="仿宋" w:hAnsi="仿宋"/>
              </w:rPr>
              <w:t>二级指标</w:t>
            </w:r>
          </w:p>
        </w:tc>
        <w:tc>
          <w:tcPr>
            <w:tcW w:w="2552" w:type="dxa"/>
            <w:tcBorders>
              <w:top w:val="single" w:sz="4" w:space="0" w:color="auto"/>
              <w:left w:val="nil"/>
              <w:bottom w:val="single" w:sz="4" w:space="0" w:color="auto"/>
              <w:right w:val="single" w:sz="4" w:space="0" w:color="auto"/>
            </w:tcBorders>
            <w:vAlign w:val="center"/>
          </w:tcPr>
          <w:p w:rsidR="00427CFC" w:rsidRDefault="004220DA">
            <w:pPr>
              <w:adjustRightInd w:val="0"/>
              <w:snapToGrid w:val="0"/>
              <w:jc w:val="center"/>
              <w:rPr>
                <w:rFonts w:ascii="仿宋" w:eastAsia="仿宋" w:hAnsi="仿宋"/>
              </w:rPr>
            </w:pPr>
            <w:r>
              <w:rPr>
                <w:rFonts w:ascii="仿宋" w:eastAsia="仿宋" w:hAnsi="仿宋"/>
              </w:rPr>
              <w:t>三级指标</w:t>
            </w:r>
          </w:p>
        </w:tc>
        <w:tc>
          <w:tcPr>
            <w:tcW w:w="2576" w:type="dxa"/>
            <w:tcBorders>
              <w:top w:val="single" w:sz="4" w:space="0" w:color="auto"/>
              <w:left w:val="nil"/>
              <w:bottom w:val="single" w:sz="4" w:space="0" w:color="auto"/>
              <w:right w:val="single" w:sz="4" w:space="0" w:color="auto"/>
            </w:tcBorders>
            <w:vAlign w:val="center"/>
          </w:tcPr>
          <w:p w:rsidR="00427CFC" w:rsidRDefault="004220DA">
            <w:pPr>
              <w:adjustRightInd w:val="0"/>
              <w:snapToGrid w:val="0"/>
              <w:jc w:val="center"/>
              <w:rPr>
                <w:rFonts w:ascii="仿宋" w:eastAsia="仿宋" w:hAnsi="仿宋"/>
              </w:rPr>
            </w:pPr>
            <w:r>
              <w:rPr>
                <w:rFonts w:ascii="仿宋" w:eastAsia="仿宋" w:hAnsi="仿宋"/>
              </w:rPr>
              <w:t>指标值</w:t>
            </w:r>
          </w:p>
        </w:tc>
      </w:tr>
      <w:tr w:rsidR="00427CFC">
        <w:trPr>
          <w:cantSplit/>
          <w:trHeight w:val="340"/>
          <w:jc w:val="center"/>
        </w:trPr>
        <w:tc>
          <w:tcPr>
            <w:tcW w:w="755" w:type="dxa"/>
            <w:vMerge/>
            <w:tcBorders>
              <w:top w:val="nil"/>
              <w:left w:val="single" w:sz="4" w:space="0" w:color="auto"/>
              <w:bottom w:val="single" w:sz="4" w:space="0" w:color="auto"/>
              <w:right w:val="single" w:sz="4" w:space="0" w:color="auto"/>
            </w:tcBorders>
            <w:vAlign w:val="center"/>
          </w:tcPr>
          <w:p w:rsidR="00427CFC" w:rsidRDefault="00427CFC">
            <w:pPr>
              <w:rPr>
                <w:rFonts w:ascii="仿宋" w:eastAsia="仿宋" w:hAnsi="仿宋"/>
              </w:rPr>
            </w:pPr>
          </w:p>
        </w:tc>
        <w:tc>
          <w:tcPr>
            <w:tcW w:w="1171" w:type="dxa"/>
            <w:vMerge w:val="restart"/>
            <w:tcBorders>
              <w:top w:val="nil"/>
              <w:left w:val="nil"/>
              <w:right w:val="single" w:sz="4" w:space="0" w:color="auto"/>
            </w:tcBorders>
            <w:vAlign w:val="center"/>
          </w:tcPr>
          <w:p w:rsidR="00427CFC" w:rsidRDefault="004220DA">
            <w:pPr>
              <w:adjustRightInd w:val="0"/>
              <w:snapToGrid w:val="0"/>
              <w:ind w:firstLineChars="0" w:firstLine="0"/>
              <w:rPr>
                <w:rFonts w:ascii="仿宋" w:eastAsia="仿宋" w:hAnsi="仿宋"/>
              </w:rPr>
            </w:pPr>
            <w:r>
              <w:rPr>
                <w:rFonts w:ascii="仿宋" w:eastAsia="仿宋" w:hAnsi="仿宋"/>
              </w:rPr>
              <w:t>产出指标</w:t>
            </w:r>
          </w:p>
        </w:tc>
        <w:tc>
          <w:tcPr>
            <w:tcW w:w="1701" w:type="dxa"/>
            <w:vMerge w:val="restart"/>
            <w:tcBorders>
              <w:top w:val="nil"/>
              <w:left w:val="nil"/>
              <w:bottom w:val="single" w:sz="4" w:space="0" w:color="auto"/>
              <w:right w:val="single" w:sz="4" w:space="0" w:color="auto"/>
            </w:tcBorders>
            <w:vAlign w:val="center"/>
          </w:tcPr>
          <w:p w:rsidR="00427CFC" w:rsidRDefault="004220DA">
            <w:pPr>
              <w:adjustRightInd w:val="0"/>
              <w:snapToGrid w:val="0"/>
              <w:ind w:firstLineChars="0" w:firstLine="0"/>
              <w:jc w:val="center"/>
              <w:rPr>
                <w:rFonts w:ascii="仿宋" w:eastAsia="仿宋" w:hAnsi="仿宋"/>
              </w:rPr>
            </w:pPr>
            <w:r>
              <w:rPr>
                <w:rFonts w:ascii="仿宋" w:eastAsia="仿宋" w:hAnsi="仿宋" w:hint="eastAsia"/>
              </w:rPr>
              <w:t>稳定性</w:t>
            </w:r>
            <w:r>
              <w:rPr>
                <w:rFonts w:ascii="仿宋" w:eastAsia="仿宋" w:hAnsi="仿宋"/>
              </w:rPr>
              <w:t>指标</w:t>
            </w:r>
          </w:p>
        </w:tc>
        <w:tc>
          <w:tcPr>
            <w:tcW w:w="2552" w:type="dxa"/>
            <w:tcBorders>
              <w:top w:val="single" w:sz="4" w:space="0" w:color="auto"/>
              <w:left w:val="nil"/>
              <w:bottom w:val="single" w:sz="4" w:space="0" w:color="auto"/>
              <w:right w:val="single" w:sz="4" w:space="0" w:color="auto"/>
            </w:tcBorders>
            <w:vAlign w:val="center"/>
          </w:tcPr>
          <w:p w:rsidR="00427CFC" w:rsidRDefault="004220DA">
            <w:pPr>
              <w:adjustRightInd w:val="0"/>
              <w:snapToGrid w:val="0"/>
              <w:jc w:val="center"/>
              <w:rPr>
                <w:rFonts w:ascii="仿宋" w:eastAsia="仿宋" w:hAnsi="仿宋"/>
              </w:rPr>
            </w:pPr>
            <w:r>
              <w:rPr>
                <w:rFonts w:ascii="仿宋" w:eastAsia="仿宋" w:hAnsi="仿宋" w:hint="eastAsia"/>
              </w:rPr>
              <w:t>可用性</w:t>
            </w:r>
          </w:p>
        </w:tc>
        <w:tc>
          <w:tcPr>
            <w:tcW w:w="2576" w:type="dxa"/>
            <w:tcBorders>
              <w:top w:val="nil"/>
              <w:left w:val="nil"/>
              <w:bottom w:val="single" w:sz="4" w:space="0" w:color="auto"/>
              <w:right w:val="single" w:sz="4" w:space="0" w:color="auto"/>
            </w:tcBorders>
            <w:vAlign w:val="center"/>
          </w:tcPr>
          <w:p w:rsidR="00427CFC" w:rsidRDefault="004220DA">
            <w:pPr>
              <w:adjustRightInd w:val="0"/>
              <w:snapToGrid w:val="0"/>
              <w:jc w:val="center"/>
              <w:rPr>
                <w:rFonts w:ascii="仿宋" w:eastAsia="仿宋" w:hAnsi="仿宋"/>
              </w:rPr>
            </w:pPr>
            <w:r>
              <w:rPr>
                <w:rFonts w:ascii="仿宋" w:eastAsia="仿宋" w:hAnsi="仿宋"/>
              </w:rPr>
              <w:t>100%</w:t>
            </w:r>
          </w:p>
        </w:tc>
      </w:tr>
      <w:tr w:rsidR="00427CFC">
        <w:trPr>
          <w:cantSplit/>
          <w:trHeight w:val="690"/>
          <w:jc w:val="center"/>
        </w:trPr>
        <w:tc>
          <w:tcPr>
            <w:tcW w:w="755" w:type="dxa"/>
            <w:vMerge/>
            <w:tcBorders>
              <w:top w:val="nil"/>
              <w:left w:val="single" w:sz="4" w:space="0" w:color="auto"/>
              <w:bottom w:val="single" w:sz="4" w:space="0" w:color="auto"/>
              <w:right w:val="single" w:sz="4" w:space="0" w:color="auto"/>
            </w:tcBorders>
            <w:vAlign w:val="center"/>
          </w:tcPr>
          <w:p w:rsidR="00427CFC" w:rsidRDefault="00427CFC">
            <w:pPr>
              <w:rPr>
                <w:rFonts w:ascii="仿宋" w:eastAsia="仿宋" w:hAnsi="仿宋"/>
              </w:rPr>
            </w:pPr>
          </w:p>
        </w:tc>
        <w:tc>
          <w:tcPr>
            <w:tcW w:w="1171" w:type="dxa"/>
            <w:vMerge/>
            <w:tcBorders>
              <w:left w:val="nil"/>
              <w:right w:val="single" w:sz="4" w:space="0" w:color="auto"/>
            </w:tcBorders>
            <w:vAlign w:val="center"/>
          </w:tcPr>
          <w:p w:rsidR="00427CFC" w:rsidRDefault="00427CFC">
            <w:pPr>
              <w:rPr>
                <w:rFonts w:ascii="仿宋" w:eastAsia="仿宋" w:hAnsi="仿宋"/>
              </w:rPr>
            </w:pPr>
          </w:p>
        </w:tc>
        <w:tc>
          <w:tcPr>
            <w:tcW w:w="1701" w:type="dxa"/>
            <w:vMerge/>
            <w:tcBorders>
              <w:top w:val="nil"/>
              <w:left w:val="nil"/>
              <w:bottom w:val="single" w:sz="4" w:space="0" w:color="auto"/>
              <w:right w:val="single" w:sz="4" w:space="0" w:color="auto"/>
            </w:tcBorders>
            <w:vAlign w:val="center"/>
          </w:tcPr>
          <w:p w:rsidR="00427CFC" w:rsidRDefault="00427CFC">
            <w:pPr>
              <w:jc w:val="center"/>
              <w:rPr>
                <w:rFonts w:ascii="仿宋" w:eastAsia="仿宋" w:hAnsi="仿宋"/>
              </w:rPr>
            </w:pPr>
          </w:p>
        </w:tc>
        <w:tc>
          <w:tcPr>
            <w:tcW w:w="2552" w:type="dxa"/>
            <w:tcBorders>
              <w:top w:val="single" w:sz="4" w:space="0" w:color="auto"/>
              <w:left w:val="nil"/>
              <w:right w:val="single" w:sz="4" w:space="0" w:color="auto"/>
            </w:tcBorders>
            <w:vAlign w:val="center"/>
          </w:tcPr>
          <w:p w:rsidR="00427CFC" w:rsidRDefault="004220DA">
            <w:pPr>
              <w:adjustRightInd w:val="0"/>
              <w:snapToGrid w:val="0"/>
              <w:jc w:val="center"/>
              <w:rPr>
                <w:rFonts w:ascii="仿宋" w:eastAsia="仿宋" w:hAnsi="仿宋"/>
              </w:rPr>
            </w:pPr>
            <w:r>
              <w:rPr>
                <w:rFonts w:ascii="仿宋" w:eastAsia="仿宋" w:hAnsi="仿宋" w:hint="eastAsia"/>
              </w:rPr>
              <w:t>平均修复时间</w:t>
            </w:r>
          </w:p>
        </w:tc>
        <w:tc>
          <w:tcPr>
            <w:tcW w:w="2576" w:type="dxa"/>
            <w:tcBorders>
              <w:top w:val="nil"/>
              <w:left w:val="nil"/>
              <w:right w:val="single" w:sz="4" w:space="0" w:color="auto"/>
            </w:tcBorders>
            <w:vAlign w:val="center"/>
          </w:tcPr>
          <w:p w:rsidR="00427CFC" w:rsidRDefault="004220DA">
            <w:pPr>
              <w:adjustRightInd w:val="0"/>
              <w:snapToGrid w:val="0"/>
              <w:jc w:val="center"/>
              <w:rPr>
                <w:rFonts w:ascii="仿宋" w:eastAsia="仿宋" w:hAnsi="仿宋"/>
              </w:rPr>
            </w:pPr>
            <w:r>
              <w:rPr>
                <w:rFonts w:ascii="仿宋" w:eastAsia="仿宋" w:hAnsi="仿宋"/>
              </w:rPr>
              <w:t>≤2</w:t>
            </w:r>
            <w:r>
              <w:rPr>
                <w:rFonts w:ascii="仿宋" w:eastAsia="仿宋" w:hAnsi="仿宋" w:hint="eastAsia"/>
              </w:rPr>
              <w:t>小时</w:t>
            </w:r>
          </w:p>
        </w:tc>
      </w:tr>
      <w:tr w:rsidR="00427CFC">
        <w:trPr>
          <w:cantSplit/>
          <w:trHeight w:val="340"/>
          <w:jc w:val="center"/>
        </w:trPr>
        <w:tc>
          <w:tcPr>
            <w:tcW w:w="755" w:type="dxa"/>
            <w:vMerge/>
            <w:tcBorders>
              <w:top w:val="nil"/>
              <w:left w:val="single" w:sz="4" w:space="0" w:color="auto"/>
              <w:bottom w:val="single" w:sz="4" w:space="0" w:color="auto"/>
              <w:right w:val="single" w:sz="4" w:space="0" w:color="auto"/>
            </w:tcBorders>
            <w:vAlign w:val="center"/>
          </w:tcPr>
          <w:p w:rsidR="00427CFC" w:rsidRDefault="00427CFC">
            <w:pPr>
              <w:rPr>
                <w:rFonts w:ascii="仿宋" w:eastAsia="仿宋" w:hAnsi="仿宋"/>
              </w:rPr>
            </w:pPr>
          </w:p>
        </w:tc>
        <w:tc>
          <w:tcPr>
            <w:tcW w:w="1171" w:type="dxa"/>
            <w:vMerge/>
            <w:tcBorders>
              <w:left w:val="nil"/>
              <w:right w:val="single" w:sz="4" w:space="0" w:color="auto"/>
            </w:tcBorders>
            <w:vAlign w:val="center"/>
          </w:tcPr>
          <w:p w:rsidR="00427CFC" w:rsidRDefault="00427CFC">
            <w:pPr>
              <w:rPr>
                <w:rFonts w:ascii="仿宋" w:eastAsia="仿宋" w:hAnsi="仿宋"/>
              </w:rPr>
            </w:pPr>
          </w:p>
        </w:tc>
        <w:tc>
          <w:tcPr>
            <w:tcW w:w="1701" w:type="dxa"/>
            <w:vMerge w:val="restart"/>
            <w:tcBorders>
              <w:top w:val="nil"/>
              <w:left w:val="nil"/>
              <w:right w:val="single" w:sz="4" w:space="0" w:color="auto"/>
            </w:tcBorders>
            <w:vAlign w:val="center"/>
          </w:tcPr>
          <w:p w:rsidR="00427CFC" w:rsidRDefault="004220DA">
            <w:pPr>
              <w:adjustRightInd w:val="0"/>
              <w:snapToGrid w:val="0"/>
              <w:ind w:firstLineChars="0" w:firstLine="0"/>
              <w:jc w:val="center"/>
              <w:rPr>
                <w:rFonts w:ascii="仿宋" w:eastAsia="仿宋" w:hAnsi="仿宋"/>
              </w:rPr>
            </w:pPr>
            <w:r>
              <w:rPr>
                <w:rFonts w:ascii="仿宋" w:eastAsia="仿宋" w:hAnsi="仿宋" w:hint="eastAsia"/>
              </w:rPr>
              <w:t>性能</w:t>
            </w:r>
            <w:r>
              <w:rPr>
                <w:rFonts w:ascii="仿宋" w:eastAsia="仿宋" w:hAnsi="仿宋"/>
              </w:rPr>
              <w:t>指标</w:t>
            </w:r>
          </w:p>
        </w:tc>
        <w:tc>
          <w:tcPr>
            <w:tcW w:w="2552" w:type="dxa"/>
            <w:tcBorders>
              <w:top w:val="single" w:sz="4" w:space="0" w:color="auto"/>
              <w:left w:val="nil"/>
              <w:bottom w:val="single" w:sz="4" w:space="0" w:color="auto"/>
              <w:right w:val="single" w:sz="4" w:space="0" w:color="auto"/>
            </w:tcBorders>
            <w:vAlign w:val="center"/>
          </w:tcPr>
          <w:p w:rsidR="00427CFC" w:rsidRDefault="004220DA">
            <w:pPr>
              <w:adjustRightInd w:val="0"/>
              <w:snapToGrid w:val="0"/>
              <w:jc w:val="center"/>
              <w:rPr>
                <w:rFonts w:ascii="仿宋" w:eastAsia="仿宋" w:hAnsi="仿宋"/>
              </w:rPr>
            </w:pPr>
            <w:r>
              <w:rPr>
                <w:rFonts w:ascii="仿宋" w:eastAsia="仿宋" w:hAnsi="仿宋" w:hint="eastAsia"/>
              </w:rPr>
              <w:t>响应速度</w:t>
            </w:r>
          </w:p>
        </w:tc>
        <w:tc>
          <w:tcPr>
            <w:tcW w:w="2576" w:type="dxa"/>
            <w:tcBorders>
              <w:top w:val="single" w:sz="4" w:space="0" w:color="auto"/>
              <w:left w:val="nil"/>
              <w:bottom w:val="single" w:sz="4" w:space="0" w:color="auto"/>
              <w:right w:val="single" w:sz="4" w:space="0" w:color="auto"/>
            </w:tcBorders>
            <w:vAlign w:val="center"/>
          </w:tcPr>
          <w:p w:rsidR="00427CFC" w:rsidRDefault="004220DA">
            <w:pPr>
              <w:adjustRightInd w:val="0"/>
              <w:snapToGrid w:val="0"/>
              <w:jc w:val="center"/>
              <w:rPr>
                <w:rFonts w:ascii="仿宋" w:eastAsia="仿宋" w:hAnsi="仿宋"/>
              </w:rPr>
            </w:pPr>
            <w:r>
              <w:rPr>
                <w:rFonts w:ascii="仿宋" w:eastAsia="仿宋" w:hAnsi="仿宋"/>
              </w:rPr>
              <w:t>≤</w:t>
            </w:r>
            <w:r>
              <w:rPr>
                <w:rFonts w:ascii="仿宋" w:eastAsia="仿宋" w:hAnsi="仿宋" w:hint="eastAsia"/>
              </w:rPr>
              <w:t>5秒</w:t>
            </w:r>
          </w:p>
        </w:tc>
      </w:tr>
      <w:tr w:rsidR="00427CFC">
        <w:trPr>
          <w:cantSplit/>
          <w:trHeight w:val="340"/>
          <w:jc w:val="center"/>
        </w:trPr>
        <w:tc>
          <w:tcPr>
            <w:tcW w:w="755" w:type="dxa"/>
            <w:vMerge/>
            <w:tcBorders>
              <w:top w:val="nil"/>
              <w:left w:val="single" w:sz="4" w:space="0" w:color="auto"/>
              <w:bottom w:val="single" w:sz="4" w:space="0" w:color="auto"/>
              <w:right w:val="single" w:sz="4" w:space="0" w:color="auto"/>
            </w:tcBorders>
            <w:vAlign w:val="center"/>
          </w:tcPr>
          <w:p w:rsidR="00427CFC" w:rsidRDefault="00427CFC">
            <w:pPr>
              <w:rPr>
                <w:rFonts w:ascii="仿宋" w:eastAsia="仿宋" w:hAnsi="仿宋"/>
              </w:rPr>
            </w:pPr>
          </w:p>
        </w:tc>
        <w:tc>
          <w:tcPr>
            <w:tcW w:w="1171" w:type="dxa"/>
            <w:vMerge/>
            <w:tcBorders>
              <w:left w:val="nil"/>
              <w:right w:val="single" w:sz="4" w:space="0" w:color="auto"/>
            </w:tcBorders>
            <w:vAlign w:val="center"/>
          </w:tcPr>
          <w:p w:rsidR="00427CFC" w:rsidRDefault="00427CFC">
            <w:pPr>
              <w:rPr>
                <w:rFonts w:ascii="仿宋" w:eastAsia="仿宋" w:hAnsi="仿宋"/>
              </w:rPr>
            </w:pPr>
          </w:p>
        </w:tc>
        <w:tc>
          <w:tcPr>
            <w:tcW w:w="1701" w:type="dxa"/>
            <w:vMerge/>
            <w:tcBorders>
              <w:left w:val="nil"/>
              <w:bottom w:val="single" w:sz="4" w:space="0" w:color="auto"/>
              <w:right w:val="single" w:sz="4" w:space="0" w:color="auto"/>
            </w:tcBorders>
            <w:vAlign w:val="center"/>
          </w:tcPr>
          <w:p w:rsidR="00427CFC" w:rsidRDefault="00427CFC">
            <w:pPr>
              <w:jc w:val="center"/>
              <w:rPr>
                <w:rFonts w:ascii="仿宋" w:eastAsia="仿宋" w:hAnsi="仿宋"/>
              </w:rPr>
            </w:pPr>
          </w:p>
        </w:tc>
        <w:tc>
          <w:tcPr>
            <w:tcW w:w="2552" w:type="dxa"/>
            <w:tcBorders>
              <w:top w:val="single" w:sz="4" w:space="0" w:color="auto"/>
              <w:left w:val="nil"/>
              <w:right w:val="single" w:sz="4" w:space="0" w:color="auto"/>
            </w:tcBorders>
            <w:vAlign w:val="center"/>
          </w:tcPr>
          <w:p w:rsidR="00427CFC" w:rsidRDefault="004220DA">
            <w:pPr>
              <w:adjustRightInd w:val="0"/>
              <w:snapToGrid w:val="0"/>
              <w:jc w:val="center"/>
              <w:rPr>
                <w:rFonts w:ascii="仿宋" w:eastAsia="仿宋" w:hAnsi="仿宋"/>
              </w:rPr>
            </w:pPr>
            <w:r>
              <w:rPr>
                <w:rFonts w:ascii="仿宋" w:eastAsia="仿宋" w:hAnsi="仿宋" w:hint="eastAsia"/>
              </w:rPr>
              <w:t>用户并发数量</w:t>
            </w:r>
          </w:p>
        </w:tc>
        <w:tc>
          <w:tcPr>
            <w:tcW w:w="2576" w:type="dxa"/>
            <w:tcBorders>
              <w:top w:val="nil"/>
              <w:left w:val="nil"/>
              <w:bottom w:val="single" w:sz="4" w:space="0" w:color="auto"/>
              <w:right w:val="single" w:sz="4" w:space="0" w:color="auto"/>
            </w:tcBorders>
            <w:vAlign w:val="center"/>
          </w:tcPr>
          <w:p w:rsidR="00427CFC" w:rsidRDefault="004220DA">
            <w:pPr>
              <w:adjustRightInd w:val="0"/>
              <w:snapToGrid w:val="0"/>
              <w:jc w:val="center"/>
              <w:rPr>
                <w:rFonts w:ascii="仿宋" w:eastAsia="仿宋" w:hAnsi="仿宋"/>
              </w:rPr>
            </w:pPr>
            <w:r>
              <w:rPr>
                <w:rFonts w:ascii="仿宋" w:eastAsia="仿宋" w:hAnsi="仿宋" w:hint="eastAsia"/>
              </w:rPr>
              <w:t>≥30</w:t>
            </w:r>
            <w:r>
              <w:rPr>
                <w:rFonts w:ascii="仿宋" w:eastAsia="仿宋" w:hAnsi="仿宋"/>
              </w:rPr>
              <w:t>0</w:t>
            </w:r>
          </w:p>
        </w:tc>
      </w:tr>
      <w:tr w:rsidR="00427CFC">
        <w:trPr>
          <w:cantSplit/>
          <w:trHeight w:val="340"/>
          <w:jc w:val="center"/>
        </w:trPr>
        <w:tc>
          <w:tcPr>
            <w:tcW w:w="755" w:type="dxa"/>
            <w:vMerge/>
            <w:tcBorders>
              <w:top w:val="nil"/>
              <w:left w:val="single" w:sz="4" w:space="0" w:color="auto"/>
              <w:bottom w:val="single" w:sz="4" w:space="0" w:color="auto"/>
              <w:right w:val="single" w:sz="4" w:space="0" w:color="auto"/>
            </w:tcBorders>
            <w:vAlign w:val="center"/>
          </w:tcPr>
          <w:p w:rsidR="00427CFC" w:rsidRDefault="00427CFC">
            <w:pPr>
              <w:rPr>
                <w:rFonts w:ascii="仿宋" w:eastAsia="仿宋" w:hAnsi="仿宋"/>
              </w:rPr>
            </w:pPr>
          </w:p>
        </w:tc>
        <w:tc>
          <w:tcPr>
            <w:tcW w:w="1171" w:type="dxa"/>
            <w:vMerge/>
            <w:tcBorders>
              <w:left w:val="nil"/>
              <w:right w:val="single" w:sz="4" w:space="0" w:color="auto"/>
            </w:tcBorders>
            <w:vAlign w:val="center"/>
          </w:tcPr>
          <w:p w:rsidR="00427CFC" w:rsidRDefault="00427CFC">
            <w:pPr>
              <w:rPr>
                <w:rFonts w:ascii="仿宋" w:eastAsia="仿宋" w:hAnsi="仿宋"/>
              </w:rPr>
            </w:pPr>
          </w:p>
        </w:tc>
        <w:tc>
          <w:tcPr>
            <w:tcW w:w="1701" w:type="dxa"/>
            <w:tcBorders>
              <w:top w:val="single" w:sz="4" w:space="0" w:color="auto"/>
              <w:left w:val="nil"/>
              <w:bottom w:val="single" w:sz="4" w:space="0" w:color="auto"/>
              <w:right w:val="single" w:sz="4" w:space="0" w:color="auto"/>
            </w:tcBorders>
            <w:vAlign w:val="center"/>
          </w:tcPr>
          <w:p w:rsidR="00427CFC" w:rsidRDefault="004220DA">
            <w:pPr>
              <w:adjustRightInd w:val="0"/>
              <w:snapToGrid w:val="0"/>
              <w:ind w:firstLineChars="0" w:firstLine="0"/>
              <w:jc w:val="center"/>
              <w:rPr>
                <w:rFonts w:ascii="仿宋" w:eastAsia="仿宋" w:hAnsi="仿宋"/>
              </w:rPr>
            </w:pPr>
            <w:r>
              <w:rPr>
                <w:rFonts w:ascii="仿宋" w:eastAsia="仿宋" w:hAnsi="仿宋"/>
              </w:rPr>
              <w:t>时效指标</w:t>
            </w:r>
          </w:p>
        </w:tc>
        <w:tc>
          <w:tcPr>
            <w:tcW w:w="2552" w:type="dxa"/>
            <w:tcBorders>
              <w:top w:val="single" w:sz="4" w:space="0" w:color="auto"/>
              <w:left w:val="nil"/>
              <w:bottom w:val="single" w:sz="4" w:space="0" w:color="auto"/>
              <w:right w:val="single" w:sz="4" w:space="0" w:color="auto"/>
            </w:tcBorders>
            <w:vAlign w:val="center"/>
          </w:tcPr>
          <w:p w:rsidR="00427CFC" w:rsidRDefault="004220DA">
            <w:pPr>
              <w:adjustRightInd w:val="0"/>
              <w:snapToGrid w:val="0"/>
              <w:jc w:val="center"/>
              <w:rPr>
                <w:rFonts w:ascii="仿宋" w:eastAsia="仿宋" w:hAnsi="仿宋"/>
              </w:rPr>
            </w:pPr>
            <w:r>
              <w:rPr>
                <w:rFonts w:ascii="仿宋" w:eastAsia="仿宋" w:hAnsi="仿宋" w:hint="eastAsia"/>
              </w:rPr>
              <w:t>项目实施进度</w:t>
            </w:r>
          </w:p>
        </w:tc>
        <w:tc>
          <w:tcPr>
            <w:tcW w:w="2576" w:type="dxa"/>
            <w:tcBorders>
              <w:top w:val="single" w:sz="4" w:space="0" w:color="auto"/>
              <w:left w:val="nil"/>
              <w:bottom w:val="single" w:sz="4" w:space="0" w:color="auto"/>
              <w:right w:val="single" w:sz="4" w:space="0" w:color="auto"/>
            </w:tcBorders>
            <w:vAlign w:val="center"/>
          </w:tcPr>
          <w:p w:rsidR="00427CFC" w:rsidRDefault="004220DA">
            <w:pPr>
              <w:adjustRightInd w:val="0"/>
              <w:snapToGrid w:val="0"/>
              <w:jc w:val="center"/>
              <w:rPr>
                <w:rFonts w:ascii="仿宋" w:eastAsia="仿宋" w:hAnsi="仿宋"/>
              </w:rPr>
            </w:pPr>
            <w:r>
              <w:rPr>
                <w:rFonts w:ascii="仿宋" w:eastAsia="仿宋" w:hAnsi="仿宋"/>
              </w:rPr>
              <w:t>2024</w:t>
            </w:r>
            <w:r>
              <w:rPr>
                <w:rFonts w:ascii="仿宋" w:eastAsia="仿宋" w:hAnsi="仿宋" w:hint="eastAsia"/>
              </w:rPr>
              <w:t>年</w:t>
            </w:r>
            <w:r>
              <w:rPr>
                <w:rFonts w:ascii="仿宋" w:eastAsia="仿宋" w:hAnsi="仿宋"/>
              </w:rPr>
              <w:t>12</w:t>
            </w:r>
            <w:r>
              <w:rPr>
                <w:rFonts w:ascii="仿宋" w:eastAsia="仿宋" w:hAnsi="仿宋" w:hint="eastAsia"/>
              </w:rPr>
              <w:t>月前完成验收</w:t>
            </w:r>
          </w:p>
        </w:tc>
      </w:tr>
      <w:tr w:rsidR="00427CFC">
        <w:trPr>
          <w:cantSplit/>
          <w:trHeight w:val="326"/>
          <w:jc w:val="center"/>
        </w:trPr>
        <w:tc>
          <w:tcPr>
            <w:tcW w:w="755" w:type="dxa"/>
            <w:vMerge/>
            <w:tcBorders>
              <w:top w:val="nil"/>
              <w:left w:val="single" w:sz="4" w:space="0" w:color="auto"/>
              <w:bottom w:val="single" w:sz="4" w:space="0" w:color="auto"/>
              <w:right w:val="single" w:sz="4" w:space="0" w:color="auto"/>
            </w:tcBorders>
            <w:vAlign w:val="center"/>
          </w:tcPr>
          <w:p w:rsidR="00427CFC" w:rsidRDefault="00427CFC">
            <w:pPr>
              <w:rPr>
                <w:rFonts w:ascii="仿宋" w:eastAsia="仿宋" w:hAnsi="仿宋"/>
              </w:rPr>
            </w:pPr>
          </w:p>
        </w:tc>
        <w:tc>
          <w:tcPr>
            <w:tcW w:w="1171" w:type="dxa"/>
            <w:vMerge/>
            <w:tcBorders>
              <w:left w:val="nil"/>
              <w:right w:val="single" w:sz="4" w:space="0" w:color="auto"/>
            </w:tcBorders>
            <w:vAlign w:val="center"/>
          </w:tcPr>
          <w:p w:rsidR="00427CFC" w:rsidRDefault="00427CFC">
            <w:pPr>
              <w:rPr>
                <w:rFonts w:ascii="仿宋" w:eastAsia="仿宋" w:hAnsi="仿宋"/>
              </w:rPr>
            </w:pPr>
          </w:p>
        </w:tc>
        <w:tc>
          <w:tcPr>
            <w:tcW w:w="1701" w:type="dxa"/>
            <w:vMerge w:val="restart"/>
            <w:tcBorders>
              <w:top w:val="single" w:sz="4" w:space="0" w:color="auto"/>
              <w:left w:val="nil"/>
              <w:right w:val="single" w:sz="4" w:space="0" w:color="auto"/>
            </w:tcBorders>
            <w:vAlign w:val="center"/>
          </w:tcPr>
          <w:p w:rsidR="00427CFC" w:rsidRDefault="004220DA">
            <w:pPr>
              <w:adjustRightInd w:val="0"/>
              <w:snapToGrid w:val="0"/>
              <w:rPr>
                <w:rFonts w:ascii="仿宋" w:eastAsia="仿宋" w:hAnsi="仿宋"/>
              </w:rPr>
            </w:pPr>
            <w:r>
              <w:rPr>
                <w:rFonts w:ascii="仿宋" w:eastAsia="仿宋" w:hAnsi="仿宋" w:hint="eastAsia"/>
              </w:rPr>
              <w:t>兼容性</w:t>
            </w:r>
          </w:p>
        </w:tc>
        <w:tc>
          <w:tcPr>
            <w:tcW w:w="2552" w:type="dxa"/>
            <w:tcBorders>
              <w:top w:val="single" w:sz="4" w:space="0" w:color="auto"/>
              <w:left w:val="nil"/>
              <w:right w:val="single" w:sz="4" w:space="0" w:color="auto"/>
            </w:tcBorders>
            <w:vAlign w:val="center"/>
          </w:tcPr>
          <w:p w:rsidR="00427CFC" w:rsidRDefault="004220DA">
            <w:pPr>
              <w:adjustRightInd w:val="0"/>
              <w:snapToGrid w:val="0"/>
              <w:jc w:val="center"/>
              <w:rPr>
                <w:rFonts w:ascii="仿宋" w:eastAsia="仿宋" w:hAnsi="仿宋"/>
              </w:rPr>
            </w:pPr>
            <w:r>
              <w:rPr>
                <w:rFonts w:ascii="仿宋" w:eastAsia="仿宋" w:hAnsi="仿宋" w:hint="eastAsia"/>
              </w:rPr>
              <w:t>接口测试通过率</w:t>
            </w:r>
          </w:p>
        </w:tc>
        <w:tc>
          <w:tcPr>
            <w:tcW w:w="2576" w:type="dxa"/>
            <w:tcBorders>
              <w:top w:val="single" w:sz="4" w:space="0" w:color="auto"/>
              <w:left w:val="nil"/>
              <w:bottom w:val="single" w:sz="4" w:space="0" w:color="auto"/>
              <w:right w:val="single" w:sz="4" w:space="0" w:color="auto"/>
            </w:tcBorders>
            <w:vAlign w:val="center"/>
          </w:tcPr>
          <w:p w:rsidR="00427CFC" w:rsidRDefault="004220DA">
            <w:pPr>
              <w:adjustRightInd w:val="0"/>
              <w:snapToGrid w:val="0"/>
              <w:jc w:val="center"/>
              <w:rPr>
                <w:rFonts w:ascii="仿宋" w:eastAsia="仿宋" w:hAnsi="仿宋"/>
              </w:rPr>
            </w:pPr>
            <w:r>
              <w:rPr>
                <w:rFonts w:ascii="仿宋" w:eastAsia="仿宋" w:hAnsi="仿宋"/>
              </w:rPr>
              <w:t>100%</w:t>
            </w:r>
          </w:p>
        </w:tc>
      </w:tr>
      <w:tr w:rsidR="00427CFC">
        <w:trPr>
          <w:cantSplit/>
          <w:trHeight w:val="340"/>
          <w:jc w:val="center"/>
        </w:trPr>
        <w:tc>
          <w:tcPr>
            <w:tcW w:w="755" w:type="dxa"/>
            <w:vMerge/>
            <w:tcBorders>
              <w:top w:val="nil"/>
              <w:left w:val="single" w:sz="4" w:space="0" w:color="auto"/>
              <w:bottom w:val="single" w:sz="4" w:space="0" w:color="auto"/>
              <w:right w:val="single" w:sz="4" w:space="0" w:color="auto"/>
            </w:tcBorders>
            <w:vAlign w:val="center"/>
          </w:tcPr>
          <w:p w:rsidR="00427CFC" w:rsidRDefault="00427CFC">
            <w:pPr>
              <w:rPr>
                <w:rFonts w:ascii="仿宋" w:eastAsia="仿宋" w:hAnsi="仿宋"/>
              </w:rPr>
            </w:pPr>
          </w:p>
        </w:tc>
        <w:tc>
          <w:tcPr>
            <w:tcW w:w="1171" w:type="dxa"/>
            <w:vMerge/>
            <w:tcBorders>
              <w:left w:val="nil"/>
              <w:bottom w:val="single" w:sz="4" w:space="0" w:color="auto"/>
              <w:right w:val="single" w:sz="4" w:space="0" w:color="auto"/>
            </w:tcBorders>
            <w:vAlign w:val="center"/>
          </w:tcPr>
          <w:p w:rsidR="00427CFC" w:rsidRDefault="00427CFC">
            <w:pPr>
              <w:rPr>
                <w:rFonts w:ascii="仿宋" w:eastAsia="仿宋" w:hAnsi="仿宋"/>
              </w:rPr>
            </w:pPr>
          </w:p>
        </w:tc>
        <w:tc>
          <w:tcPr>
            <w:tcW w:w="1701" w:type="dxa"/>
            <w:vMerge/>
            <w:tcBorders>
              <w:left w:val="nil"/>
              <w:bottom w:val="single" w:sz="4" w:space="0" w:color="auto"/>
              <w:right w:val="single" w:sz="4" w:space="0" w:color="auto"/>
            </w:tcBorders>
            <w:vAlign w:val="center"/>
          </w:tcPr>
          <w:p w:rsidR="00427CFC" w:rsidRDefault="00427CFC">
            <w:pPr>
              <w:jc w:val="center"/>
              <w:rPr>
                <w:rFonts w:ascii="仿宋" w:eastAsia="仿宋" w:hAnsi="仿宋"/>
              </w:rPr>
            </w:pPr>
          </w:p>
        </w:tc>
        <w:tc>
          <w:tcPr>
            <w:tcW w:w="2552" w:type="dxa"/>
            <w:tcBorders>
              <w:top w:val="single" w:sz="4" w:space="0" w:color="auto"/>
              <w:left w:val="nil"/>
              <w:right w:val="single" w:sz="4" w:space="0" w:color="auto"/>
            </w:tcBorders>
            <w:vAlign w:val="center"/>
          </w:tcPr>
          <w:p w:rsidR="00427CFC" w:rsidRDefault="004220DA">
            <w:pPr>
              <w:adjustRightInd w:val="0"/>
              <w:snapToGrid w:val="0"/>
              <w:jc w:val="center"/>
              <w:rPr>
                <w:rFonts w:ascii="仿宋" w:eastAsia="仿宋" w:hAnsi="仿宋"/>
              </w:rPr>
            </w:pPr>
            <w:r>
              <w:rPr>
                <w:rFonts w:ascii="仿宋" w:eastAsia="仿宋" w:hAnsi="仿宋" w:hint="eastAsia"/>
              </w:rPr>
              <w:t>数据交换成功率</w:t>
            </w:r>
          </w:p>
        </w:tc>
        <w:tc>
          <w:tcPr>
            <w:tcW w:w="2576" w:type="dxa"/>
            <w:tcBorders>
              <w:top w:val="single" w:sz="4" w:space="0" w:color="auto"/>
              <w:left w:val="nil"/>
              <w:bottom w:val="single" w:sz="4" w:space="0" w:color="auto"/>
              <w:right w:val="single" w:sz="4" w:space="0" w:color="auto"/>
            </w:tcBorders>
            <w:vAlign w:val="center"/>
          </w:tcPr>
          <w:p w:rsidR="00427CFC" w:rsidRDefault="004220DA">
            <w:pPr>
              <w:adjustRightInd w:val="0"/>
              <w:snapToGrid w:val="0"/>
              <w:jc w:val="center"/>
              <w:rPr>
                <w:rFonts w:ascii="仿宋" w:eastAsia="仿宋" w:hAnsi="仿宋"/>
              </w:rPr>
            </w:pPr>
            <w:r>
              <w:rPr>
                <w:rFonts w:ascii="仿宋" w:eastAsia="仿宋" w:hAnsi="仿宋"/>
              </w:rPr>
              <w:t>100%</w:t>
            </w:r>
          </w:p>
        </w:tc>
      </w:tr>
      <w:tr w:rsidR="00427CFC">
        <w:trPr>
          <w:cantSplit/>
          <w:trHeight w:val="340"/>
          <w:jc w:val="center"/>
        </w:trPr>
        <w:tc>
          <w:tcPr>
            <w:tcW w:w="755" w:type="dxa"/>
            <w:vMerge/>
            <w:tcBorders>
              <w:top w:val="nil"/>
              <w:left w:val="single" w:sz="4" w:space="0" w:color="auto"/>
              <w:bottom w:val="single" w:sz="4" w:space="0" w:color="auto"/>
              <w:right w:val="single" w:sz="4" w:space="0" w:color="auto"/>
            </w:tcBorders>
            <w:vAlign w:val="center"/>
          </w:tcPr>
          <w:p w:rsidR="00427CFC" w:rsidRDefault="00427CFC">
            <w:pPr>
              <w:rPr>
                <w:rFonts w:ascii="仿宋" w:eastAsia="仿宋" w:hAnsi="仿宋"/>
              </w:rPr>
            </w:pPr>
          </w:p>
        </w:tc>
        <w:tc>
          <w:tcPr>
            <w:tcW w:w="1171" w:type="dxa"/>
            <w:vMerge w:val="restart"/>
            <w:tcBorders>
              <w:top w:val="nil"/>
              <w:left w:val="nil"/>
              <w:right w:val="single" w:sz="4" w:space="0" w:color="auto"/>
            </w:tcBorders>
            <w:vAlign w:val="center"/>
          </w:tcPr>
          <w:p w:rsidR="00427CFC" w:rsidRDefault="004220DA">
            <w:pPr>
              <w:ind w:firstLineChars="0" w:firstLine="0"/>
              <w:rPr>
                <w:rFonts w:ascii="仿宋" w:eastAsia="仿宋" w:hAnsi="仿宋"/>
              </w:rPr>
            </w:pPr>
            <w:r>
              <w:rPr>
                <w:rFonts w:ascii="仿宋" w:eastAsia="仿宋" w:hAnsi="仿宋" w:hint="eastAsia"/>
              </w:rPr>
              <w:t>效益指标</w:t>
            </w:r>
          </w:p>
        </w:tc>
        <w:tc>
          <w:tcPr>
            <w:tcW w:w="1701" w:type="dxa"/>
            <w:tcBorders>
              <w:top w:val="nil"/>
              <w:left w:val="nil"/>
              <w:bottom w:val="single" w:sz="4" w:space="0" w:color="auto"/>
              <w:right w:val="single" w:sz="4" w:space="0" w:color="auto"/>
            </w:tcBorders>
            <w:vAlign w:val="center"/>
          </w:tcPr>
          <w:p w:rsidR="00427CFC" w:rsidRDefault="004220DA">
            <w:pPr>
              <w:adjustRightInd w:val="0"/>
              <w:snapToGrid w:val="0"/>
              <w:rPr>
                <w:rFonts w:ascii="仿宋" w:eastAsia="仿宋" w:hAnsi="仿宋"/>
              </w:rPr>
            </w:pPr>
            <w:r>
              <w:rPr>
                <w:rFonts w:ascii="仿宋" w:eastAsia="仿宋" w:hAnsi="仿宋" w:hint="eastAsia"/>
              </w:rPr>
              <w:t>安全性</w:t>
            </w:r>
          </w:p>
        </w:tc>
        <w:tc>
          <w:tcPr>
            <w:tcW w:w="2552" w:type="dxa"/>
            <w:tcBorders>
              <w:top w:val="single" w:sz="4" w:space="0" w:color="auto"/>
              <w:left w:val="nil"/>
              <w:bottom w:val="single" w:sz="4" w:space="0" w:color="auto"/>
              <w:right w:val="single" w:sz="4" w:space="0" w:color="auto"/>
            </w:tcBorders>
            <w:vAlign w:val="center"/>
          </w:tcPr>
          <w:p w:rsidR="00427CFC" w:rsidRDefault="004220DA">
            <w:pPr>
              <w:adjustRightInd w:val="0"/>
              <w:snapToGrid w:val="0"/>
              <w:jc w:val="center"/>
              <w:rPr>
                <w:rFonts w:ascii="仿宋" w:eastAsia="仿宋" w:hAnsi="仿宋"/>
              </w:rPr>
            </w:pPr>
            <w:r>
              <w:rPr>
                <w:rFonts w:ascii="仿宋" w:eastAsia="仿宋" w:hAnsi="仿宋" w:hint="eastAsia"/>
              </w:rPr>
              <w:t>构建自主可控信息技术体系和产业生态</w:t>
            </w:r>
          </w:p>
        </w:tc>
        <w:tc>
          <w:tcPr>
            <w:tcW w:w="2576" w:type="dxa"/>
            <w:tcBorders>
              <w:top w:val="single" w:sz="4" w:space="0" w:color="auto"/>
              <w:left w:val="nil"/>
              <w:bottom w:val="single" w:sz="4" w:space="0" w:color="auto"/>
              <w:right w:val="single" w:sz="4" w:space="0" w:color="auto"/>
            </w:tcBorders>
            <w:vAlign w:val="center"/>
          </w:tcPr>
          <w:p w:rsidR="00427CFC" w:rsidRDefault="004220DA">
            <w:pPr>
              <w:adjustRightInd w:val="0"/>
              <w:snapToGrid w:val="0"/>
              <w:jc w:val="center"/>
              <w:rPr>
                <w:rFonts w:ascii="仿宋" w:eastAsia="仿宋" w:hAnsi="仿宋"/>
              </w:rPr>
            </w:pPr>
            <w:r>
              <w:rPr>
                <w:rFonts w:ascii="仿宋" w:eastAsia="仿宋" w:hAnsi="仿宋" w:hint="eastAsia"/>
              </w:rPr>
              <w:t>完全适配自主可控信息技术体系和产业生态</w:t>
            </w:r>
          </w:p>
        </w:tc>
      </w:tr>
      <w:tr w:rsidR="00427CFC">
        <w:trPr>
          <w:cantSplit/>
          <w:trHeight w:val="340"/>
          <w:jc w:val="center"/>
        </w:trPr>
        <w:tc>
          <w:tcPr>
            <w:tcW w:w="755" w:type="dxa"/>
            <w:vMerge/>
            <w:tcBorders>
              <w:top w:val="nil"/>
              <w:left w:val="single" w:sz="4" w:space="0" w:color="auto"/>
              <w:bottom w:val="single" w:sz="4" w:space="0" w:color="auto"/>
              <w:right w:val="single" w:sz="4" w:space="0" w:color="auto"/>
            </w:tcBorders>
            <w:vAlign w:val="center"/>
          </w:tcPr>
          <w:p w:rsidR="00427CFC" w:rsidRDefault="00427CFC">
            <w:pPr>
              <w:rPr>
                <w:rFonts w:ascii="仿宋" w:eastAsia="仿宋" w:hAnsi="仿宋"/>
              </w:rPr>
            </w:pPr>
          </w:p>
        </w:tc>
        <w:tc>
          <w:tcPr>
            <w:tcW w:w="1171" w:type="dxa"/>
            <w:vMerge/>
            <w:tcBorders>
              <w:left w:val="nil"/>
              <w:bottom w:val="single" w:sz="4" w:space="0" w:color="auto"/>
              <w:right w:val="single" w:sz="4" w:space="0" w:color="auto"/>
            </w:tcBorders>
            <w:vAlign w:val="center"/>
          </w:tcPr>
          <w:p w:rsidR="00427CFC" w:rsidRDefault="00427CFC">
            <w:pPr>
              <w:rPr>
                <w:rFonts w:ascii="仿宋" w:eastAsia="仿宋" w:hAnsi="仿宋"/>
              </w:rPr>
            </w:pPr>
          </w:p>
        </w:tc>
        <w:tc>
          <w:tcPr>
            <w:tcW w:w="1701" w:type="dxa"/>
            <w:tcBorders>
              <w:top w:val="nil"/>
              <w:left w:val="nil"/>
              <w:bottom w:val="single" w:sz="4" w:space="0" w:color="auto"/>
              <w:right w:val="single" w:sz="4" w:space="0" w:color="auto"/>
            </w:tcBorders>
            <w:vAlign w:val="center"/>
          </w:tcPr>
          <w:p w:rsidR="00427CFC" w:rsidRDefault="004220DA">
            <w:pPr>
              <w:adjustRightInd w:val="0"/>
              <w:snapToGrid w:val="0"/>
              <w:ind w:firstLineChars="0" w:firstLine="0"/>
              <w:jc w:val="center"/>
              <w:rPr>
                <w:rFonts w:ascii="仿宋" w:eastAsia="仿宋" w:hAnsi="仿宋"/>
              </w:rPr>
            </w:pPr>
            <w:r>
              <w:rPr>
                <w:rFonts w:ascii="仿宋" w:eastAsia="仿宋" w:hAnsi="仿宋"/>
              </w:rPr>
              <w:t>生态效益</w:t>
            </w:r>
          </w:p>
          <w:p w:rsidR="00427CFC" w:rsidRDefault="004220DA">
            <w:pPr>
              <w:adjustRightInd w:val="0"/>
              <w:snapToGrid w:val="0"/>
              <w:rPr>
                <w:rFonts w:ascii="仿宋" w:eastAsia="仿宋" w:hAnsi="仿宋"/>
              </w:rPr>
            </w:pPr>
            <w:r>
              <w:rPr>
                <w:rFonts w:ascii="仿宋" w:eastAsia="仿宋" w:hAnsi="仿宋"/>
              </w:rPr>
              <w:t>指标</w:t>
            </w:r>
          </w:p>
        </w:tc>
        <w:tc>
          <w:tcPr>
            <w:tcW w:w="2552" w:type="dxa"/>
            <w:tcBorders>
              <w:top w:val="single" w:sz="4" w:space="0" w:color="auto"/>
              <w:left w:val="nil"/>
              <w:bottom w:val="single" w:sz="4" w:space="0" w:color="auto"/>
              <w:right w:val="single" w:sz="4" w:space="0" w:color="auto"/>
            </w:tcBorders>
            <w:vAlign w:val="center"/>
          </w:tcPr>
          <w:p w:rsidR="00427CFC" w:rsidRDefault="004220DA">
            <w:pPr>
              <w:adjustRightInd w:val="0"/>
              <w:snapToGrid w:val="0"/>
              <w:jc w:val="center"/>
              <w:rPr>
                <w:rFonts w:ascii="仿宋" w:eastAsia="仿宋" w:hAnsi="仿宋"/>
              </w:rPr>
            </w:pPr>
            <w:r>
              <w:rPr>
                <w:rFonts w:ascii="仿宋" w:eastAsia="仿宋" w:hAnsi="仿宋" w:hint="eastAsia"/>
              </w:rPr>
              <w:t>环保达标率</w:t>
            </w:r>
          </w:p>
        </w:tc>
        <w:tc>
          <w:tcPr>
            <w:tcW w:w="2576" w:type="dxa"/>
            <w:tcBorders>
              <w:top w:val="single" w:sz="4" w:space="0" w:color="auto"/>
              <w:left w:val="nil"/>
              <w:bottom w:val="single" w:sz="4" w:space="0" w:color="auto"/>
              <w:right w:val="single" w:sz="4" w:space="0" w:color="auto"/>
            </w:tcBorders>
            <w:vAlign w:val="center"/>
          </w:tcPr>
          <w:p w:rsidR="00427CFC" w:rsidRDefault="004220DA">
            <w:pPr>
              <w:adjustRightInd w:val="0"/>
              <w:snapToGrid w:val="0"/>
              <w:jc w:val="center"/>
              <w:rPr>
                <w:rFonts w:ascii="仿宋" w:eastAsia="仿宋" w:hAnsi="仿宋"/>
              </w:rPr>
            </w:pPr>
            <w:r>
              <w:rPr>
                <w:rFonts w:ascii="仿宋" w:eastAsia="仿宋" w:hAnsi="仿宋" w:hint="eastAsia"/>
              </w:rPr>
              <w:t>100%</w:t>
            </w:r>
          </w:p>
        </w:tc>
      </w:tr>
      <w:tr w:rsidR="00427CFC">
        <w:trPr>
          <w:cantSplit/>
          <w:trHeight w:val="340"/>
          <w:jc w:val="center"/>
        </w:trPr>
        <w:tc>
          <w:tcPr>
            <w:tcW w:w="755" w:type="dxa"/>
            <w:vMerge/>
            <w:tcBorders>
              <w:top w:val="nil"/>
              <w:left w:val="single" w:sz="4" w:space="0" w:color="auto"/>
              <w:bottom w:val="single" w:sz="4" w:space="0" w:color="auto"/>
              <w:right w:val="single" w:sz="4" w:space="0" w:color="auto"/>
            </w:tcBorders>
            <w:vAlign w:val="center"/>
          </w:tcPr>
          <w:p w:rsidR="00427CFC" w:rsidRDefault="00427CFC">
            <w:pPr>
              <w:rPr>
                <w:rFonts w:ascii="仿宋" w:eastAsia="仿宋" w:hAnsi="仿宋"/>
              </w:rPr>
            </w:pPr>
          </w:p>
        </w:tc>
        <w:tc>
          <w:tcPr>
            <w:tcW w:w="1171" w:type="dxa"/>
            <w:tcBorders>
              <w:top w:val="nil"/>
              <w:left w:val="nil"/>
              <w:bottom w:val="single" w:sz="4" w:space="0" w:color="auto"/>
              <w:right w:val="single" w:sz="4" w:space="0" w:color="auto"/>
            </w:tcBorders>
            <w:vAlign w:val="center"/>
          </w:tcPr>
          <w:p w:rsidR="00427CFC" w:rsidRDefault="004220DA">
            <w:pPr>
              <w:adjustRightInd w:val="0"/>
              <w:snapToGrid w:val="0"/>
              <w:ind w:firstLineChars="0" w:firstLine="0"/>
              <w:jc w:val="center"/>
              <w:rPr>
                <w:rFonts w:ascii="仿宋" w:eastAsia="仿宋" w:hAnsi="仿宋"/>
              </w:rPr>
            </w:pPr>
            <w:r>
              <w:rPr>
                <w:rFonts w:ascii="仿宋" w:eastAsia="仿宋" w:hAnsi="仿宋"/>
              </w:rPr>
              <w:t>满意度</w:t>
            </w:r>
          </w:p>
          <w:p w:rsidR="00427CFC" w:rsidRDefault="004220DA">
            <w:pPr>
              <w:adjustRightInd w:val="0"/>
              <w:snapToGrid w:val="0"/>
              <w:ind w:firstLineChars="0" w:firstLine="0"/>
              <w:jc w:val="center"/>
              <w:rPr>
                <w:rFonts w:ascii="仿宋" w:eastAsia="仿宋" w:hAnsi="仿宋"/>
              </w:rPr>
            </w:pPr>
            <w:r>
              <w:rPr>
                <w:rFonts w:ascii="仿宋" w:eastAsia="仿宋" w:hAnsi="仿宋"/>
              </w:rPr>
              <w:t>指标</w:t>
            </w:r>
          </w:p>
        </w:tc>
        <w:tc>
          <w:tcPr>
            <w:tcW w:w="1701" w:type="dxa"/>
            <w:tcBorders>
              <w:top w:val="nil"/>
              <w:left w:val="nil"/>
              <w:bottom w:val="single" w:sz="4" w:space="0" w:color="auto"/>
              <w:right w:val="single" w:sz="4" w:space="0" w:color="auto"/>
            </w:tcBorders>
            <w:vAlign w:val="center"/>
          </w:tcPr>
          <w:p w:rsidR="00427CFC" w:rsidRDefault="004220DA">
            <w:pPr>
              <w:adjustRightInd w:val="0"/>
              <w:snapToGrid w:val="0"/>
              <w:rPr>
                <w:rFonts w:ascii="仿宋" w:eastAsia="仿宋" w:hAnsi="仿宋"/>
              </w:rPr>
            </w:pPr>
            <w:r>
              <w:rPr>
                <w:rFonts w:ascii="仿宋" w:eastAsia="仿宋" w:hAnsi="仿宋"/>
              </w:rPr>
              <w:t>服务对象</w:t>
            </w:r>
          </w:p>
          <w:p w:rsidR="00427CFC" w:rsidRDefault="004220DA">
            <w:pPr>
              <w:adjustRightInd w:val="0"/>
              <w:snapToGrid w:val="0"/>
              <w:ind w:firstLineChars="0" w:firstLine="0"/>
              <w:jc w:val="center"/>
              <w:rPr>
                <w:rFonts w:ascii="仿宋" w:eastAsia="仿宋" w:hAnsi="仿宋"/>
              </w:rPr>
            </w:pPr>
            <w:r>
              <w:rPr>
                <w:rFonts w:ascii="仿宋" w:eastAsia="仿宋" w:hAnsi="仿宋"/>
              </w:rPr>
              <w:t>满意度指标</w:t>
            </w:r>
          </w:p>
        </w:tc>
        <w:tc>
          <w:tcPr>
            <w:tcW w:w="2552" w:type="dxa"/>
            <w:tcBorders>
              <w:top w:val="single" w:sz="4" w:space="0" w:color="auto"/>
              <w:left w:val="nil"/>
              <w:bottom w:val="single" w:sz="4" w:space="0" w:color="auto"/>
              <w:right w:val="single" w:sz="4" w:space="0" w:color="auto"/>
            </w:tcBorders>
            <w:vAlign w:val="center"/>
          </w:tcPr>
          <w:p w:rsidR="00427CFC" w:rsidRDefault="004220DA">
            <w:pPr>
              <w:adjustRightInd w:val="0"/>
              <w:snapToGrid w:val="0"/>
              <w:jc w:val="center"/>
              <w:rPr>
                <w:rFonts w:ascii="仿宋" w:eastAsia="仿宋" w:hAnsi="仿宋"/>
              </w:rPr>
            </w:pPr>
            <w:r>
              <w:rPr>
                <w:rFonts w:ascii="仿宋" w:eastAsia="仿宋" w:hAnsi="仿宋" w:hint="eastAsia"/>
              </w:rPr>
              <w:t>信息系统用户满意度</w:t>
            </w:r>
          </w:p>
        </w:tc>
        <w:tc>
          <w:tcPr>
            <w:tcW w:w="2576" w:type="dxa"/>
            <w:tcBorders>
              <w:top w:val="nil"/>
              <w:left w:val="nil"/>
              <w:bottom w:val="single" w:sz="4" w:space="0" w:color="auto"/>
              <w:right w:val="single" w:sz="4" w:space="0" w:color="auto"/>
            </w:tcBorders>
            <w:vAlign w:val="center"/>
          </w:tcPr>
          <w:p w:rsidR="00427CFC" w:rsidRDefault="004220DA">
            <w:pPr>
              <w:adjustRightInd w:val="0"/>
              <w:snapToGrid w:val="0"/>
              <w:jc w:val="center"/>
              <w:rPr>
                <w:rFonts w:ascii="仿宋" w:eastAsia="仿宋" w:hAnsi="仿宋"/>
              </w:rPr>
            </w:pPr>
            <w:r>
              <w:rPr>
                <w:rFonts w:ascii="仿宋" w:eastAsia="仿宋" w:hAnsi="仿宋" w:hint="eastAsia"/>
              </w:rPr>
              <w:t>≥9</w:t>
            </w:r>
            <w:r>
              <w:rPr>
                <w:rFonts w:ascii="仿宋" w:eastAsia="仿宋" w:hAnsi="仿宋"/>
              </w:rPr>
              <w:t>0</w:t>
            </w:r>
            <w:r>
              <w:rPr>
                <w:rFonts w:ascii="仿宋" w:eastAsia="仿宋" w:hAnsi="仿宋" w:hint="eastAsia"/>
              </w:rPr>
              <w:t>%</w:t>
            </w:r>
          </w:p>
        </w:tc>
      </w:tr>
    </w:tbl>
    <w:p w:rsidR="00427CFC" w:rsidRDefault="00427CFC">
      <w:pPr>
        <w:pStyle w:val="affe"/>
        <w:ind w:firstLineChars="0" w:firstLine="0"/>
      </w:pPr>
    </w:p>
    <w:p w:rsidR="00427CFC" w:rsidRDefault="004220DA">
      <w:pPr>
        <w:pStyle w:val="4"/>
        <w:ind w:left="1134" w:hanging="1134"/>
      </w:pPr>
      <w:bookmarkStart w:id="33" w:name="_Toc139968923"/>
      <w:bookmarkStart w:id="34" w:name="_Toc140830750"/>
      <w:r>
        <w:rPr>
          <w:rFonts w:hint="eastAsia"/>
        </w:rPr>
        <w:t>司鉴技术绩效考核目标</w:t>
      </w:r>
      <w:bookmarkEnd w:id="33"/>
      <w:bookmarkEnd w:id="3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092"/>
        <w:gridCol w:w="1269"/>
        <w:gridCol w:w="4415"/>
        <w:gridCol w:w="1592"/>
      </w:tblGrid>
      <w:tr w:rsidR="00427CFC">
        <w:trPr>
          <w:cantSplit/>
          <w:trHeight w:val="334"/>
          <w:jc w:val="center"/>
        </w:trPr>
        <w:tc>
          <w:tcPr>
            <w:tcW w:w="1092" w:type="dxa"/>
            <w:vAlign w:val="center"/>
          </w:tcPr>
          <w:p w:rsidR="00427CFC" w:rsidRDefault="004220DA">
            <w:pPr>
              <w:widowControl/>
              <w:adjustRightInd w:val="0"/>
              <w:snapToGrid w:val="0"/>
              <w:ind w:firstLineChars="0" w:firstLine="0"/>
            </w:pPr>
            <w:r>
              <w:rPr>
                <w:rFonts w:hint="eastAsia"/>
              </w:rPr>
              <w:t>一级指标</w:t>
            </w:r>
          </w:p>
        </w:tc>
        <w:tc>
          <w:tcPr>
            <w:tcW w:w="1269" w:type="dxa"/>
            <w:vAlign w:val="center"/>
          </w:tcPr>
          <w:p w:rsidR="00427CFC" w:rsidRDefault="004220DA">
            <w:pPr>
              <w:widowControl/>
              <w:adjustRightInd w:val="0"/>
              <w:snapToGrid w:val="0"/>
              <w:ind w:firstLineChars="0" w:firstLine="0"/>
            </w:pPr>
            <w:r>
              <w:rPr>
                <w:rFonts w:hint="eastAsia"/>
              </w:rPr>
              <w:t>二级指标</w:t>
            </w:r>
          </w:p>
        </w:tc>
        <w:tc>
          <w:tcPr>
            <w:tcW w:w="4415" w:type="dxa"/>
            <w:vAlign w:val="center"/>
          </w:tcPr>
          <w:p w:rsidR="00427CFC" w:rsidRDefault="004220DA">
            <w:pPr>
              <w:widowControl/>
              <w:adjustRightInd w:val="0"/>
              <w:snapToGrid w:val="0"/>
              <w:jc w:val="center"/>
            </w:pPr>
            <w:r>
              <w:rPr>
                <w:rFonts w:hint="eastAsia"/>
              </w:rPr>
              <w:t>三级指标</w:t>
            </w:r>
          </w:p>
        </w:tc>
        <w:tc>
          <w:tcPr>
            <w:tcW w:w="1592" w:type="dxa"/>
            <w:vAlign w:val="center"/>
          </w:tcPr>
          <w:p w:rsidR="00427CFC" w:rsidRDefault="004220DA">
            <w:pPr>
              <w:widowControl/>
              <w:adjustRightInd w:val="0"/>
              <w:snapToGrid w:val="0"/>
              <w:jc w:val="center"/>
            </w:pPr>
            <w:r>
              <w:rPr>
                <w:rFonts w:hint="eastAsia"/>
              </w:rPr>
              <w:t>指标值</w:t>
            </w:r>
          </w:p>
        </w:tc>
      </w:tr>
      <w:tr w:rsidR="00427CFC">
        <w:trPr>
          <w:cantSplit/>
          <w:trHeight w:val="334"/>
          <w:jc w:val="center"/>
        </w:trPr>
        <w:tc>
          <w:tcPr>
            <w:tcW w:w="1092" w:type="dxa"/>
            <w:vMerge w:val="restart"/>
            <w:vAlign w:val="center"/>
          </w:tcPr>
          <w:p w:rsidR="00427CFC" w:rsidRDefault="004220DA">
            <w:pPr>
              <w:widowControl/>
              <w:ind w:firstLineChars="0" w:firstLine="0"/>
            </w:pPr>
            <w:r>
              <w:rPr>
                <w:rFonts w:hint="eastAsia"/>
              </w:rPr>
              <w:t>产出指标</w:t>
            </w:r>
          </w:p>
        </w:tc>
        <w:tc>
          <w:tcPr>
            <w:tcW w:w="1269" w:type="dxa"/>
            <w:vMerge w:val="restart"/>
            <w:vAlign w:val="center"/>
          </w:tcPr>
          <w:p w:rsidR="00427CFC" w:rsidRDefault="004220DA">
            <w:pPr>
              <w:widowControl/>
              <w:ind w:firstLineChars="0" w:firstLine="0"/>
            </w:pPr>
            <w:r>
              <w:rPr>
                <w:rFonts w:hint="eastAsia"/>
              </w:rPr>
              <w:t>数量指标</w:t>
            </w:r>
          </w:p>
        </w:tc>
        <w:tc>
          <w:tcPr>
            <w:tcW w:w="4415" w:type="dxa"/>
            <w:vAlign w:val="center"/>
          </w:tcPr>
          <w:p w:rsidR="00427CFC" w:rsidRDefault="004220DA">
            <w:pPr>
              <w:adjustRightInd w:val="0"/>
              <w:snapToGrid w:val="0"/>
              <w:jc w:val="center"/>
            </w:pPr>
            <w:r>
              <w:rPr>
                <w:rFonts w:hint="eastAsia"/>
              </w:rPr>
              <w:t>建设完成度</w:t>
            </w:r>
          </w:p>
        </w:tc>
        <w:tc>
          <w:tcPr>
            <w:tcW w:w="1592" w:type="dxa"/>
            <w:vAlign w:val="center"/>
          </w:tcPr>
          <w:p w:rsidR="00427CFC" w:rsidRDefault="004220DA">
            <w:pPr>
              <w:widowControl/>
              <w:adjustRightInd w:val="0"/>
              <w:snapToGrid w:val="0"/>
              <w:jc w:val="center"/>
            </w:pPr>
            <w:r>
              <w:rPr>
                <w:rFonts w:hint="eastAsia"/>
              </w:rPr>
              <w:t>完成100%</w:t>
            </w:r>
          </w:p>
        </w:tc>
      </w:tr>
      <w:tr w:rsidR="00427CFC">
        <w:trPr>
          <w:cantSplit/>
          <w:trHeight w:val="334"/>
          <w:jc w:val="center"/>
        </w:trPr>
        <w:tc>
          <w:tcPr>
            <w:tcW w:w="1092" w:type="dxa"/>
            <w:vMerge/>
            <w:vAlign w:val="center"/>
          </w:tcPr>
          <w:p w:rsidR="00427CFC" w:rsidRDefault="00427CFC">
            <w:pPr>
              <w:widowControl/>
              <w:jc w:val="center"/>
            </w:pPr>
          </w:p>
        </w:tc>
        <w:tc>
          <w:tcPr>
            <w:tcW w:w="1269" w:type="dxa"/>
            <w:vMerge/>
            <w:vAlign w:val="center"/>
          </w:tcPr>
          <w:p w:rsidR="00427CFC" w:rsidRDefault="00427CFC">
            <w:pPr>
              <w:widowControl/>
              <w:jc w:val="center"/>
            </w:pPr>
          </w:p>
        </w:tc>
        <w:tc>
          <w:tcPr>
            <w:tcW w:w="4415" w:type="dxa"/>
            <w:vAlign w:val="center"/>
          </w:tcPr>
          <w:p w:rsidR="00427CFC" w:rsidRDefault="004220DA">
            <w:pPr>
              <w:adjustRightInd w:val="0"/>
              <w:snapToGrid w:val="0"/>
              <w:jc w:val="center"/>
            </w:pPr>
            <w:r>
              <w:rPr>
                <w:rFonts w:cs="宋体"/>
                <w:kern w:val="0"/>
              </w:rPr>
              <w:t>系统</w:t>
            </w:r>
            <w:r>
              <w:rPr>
                <w:rFonts w:cs="宋体" w:hint="eastAsia"/>
                <w:kern w:val="0"/>
              </w:rPr>
              <w:t>覆盖鉴定机构</w:t>
            </w:r>
          </w:p>
        </w:tc>
        <w:tc>
          <w:tcPr>
            <w:tcW w:w="1592" w:type="dxa"/>
            <w:vAlign w:val="center"/>
          </w:tcPr>
          <w:p w:rsidR="00427CFC" w:rsidRDefault="004220DA">
            <w:pPr>
              <w:widowControl/>
              <w:adjustRightInd w:val="0"/>
              <w:snapToGrid w:val="0"/>
              <w:jc w:val="center"/>
            </w:pPr>
            <w:r>
              <w:rPr>
                <w:rFonts w:cs="宋体" w:hint="eastAsia"/>
                <w:kern w:val="0"/>
              </w:rPr>
              <w:t>≥45个</w:t>
            </w:r>
          </w:p>
        </w:tc>
      </w:tr>
      <w:tr w:rsidR="00427CFC">
        <w:trPr>
          <w:cantSplit/>
          <w:trHeight w:val="334"/>
          <w:jc w:val="center"/>
        </w:trPr>
        <w:tc>
          <w:tcPr>
            <w:tcW w:w="1092" w:type="dxa"/>
            <w:vMerge/>
            <w:vAlign w:val="center"/>
          </w:tcPr>
          <w:p w:rsidR="00427CFC" w:rsidRDefault="00427CFC">
            <w:pPr>
              <w:widowControl/>
              <w:jc w:val="center"/>
            </w:pPr>
          </w:p>
        </w:tc>
        <w:tc>
          <w:tcPr>
            <w:tcW w:w="1269" w:type="dxa"/>
            <w:vMerge/>
            <w:vAlign w:val="center"/>
          </w:tcPr>
          <w:p w:rsidR="00427CFC" w:rsidRDefault="00427CFC">
            <w:pPr>
              <w:widowControl/>
              <w:jc w:val="center"/>
            </w:pPr>
          </w:p>
        </w:tc>
        <w:tc>
          <w:tcPr>
            <w:tcW w:w="4415" w:type="dxa"/>
            <w:vAlign w:val="center"/>
          </w:tcPr>
          <w:p w:rsidR="00427CFC" w:rsidRDefault="004220DA">
            <w:pPr>
              <w:adjustRightInd w:val="0"/>
              <w:snapToGrid w:val="0"/>
              <w:jc w:val="center"/>
            </w:pPr>
            <w:r>
              <w:rPr>
                <w:rFonts w:cs="宋体"/>
                <w:kern w:val="0"/>
              </w:rPr>
              <w:t>系统</w:t>
            </w:r>
            <w:r>
              <w:rPr>
                <w:rFonts w:cs="宋体" w:hint="eastAsia"/>
                <w:kern w:val="0"/>
              </w:rPr>
              <w:t>用户人员数量</w:t>
            </w:r>
          </w:p>
        </w:tc>
        <w:tc>
          <w:tcPr>
            <w:tcW w:w="1592" w:type="dxa"/>
            <w:vAlign w:val="center"/>
          </w:tcPr>
          <w:p w:rsidR="00427CFC" w:rsidRDefault="004220DA">
            <w:pPr>
              <w:widowControl/>
              <w:adjustRightInd w:val="0"/>
              <w:snapToGrid w:val="0"/>
              <w:jc w:val="center"/>
            </w:pPr>
            <w:r>
              <w:rPr>
                <w:rFonts w:cs="宋体" w:hint="eastAsia"/>
                <w:kern w:val="0"/>
              </w:rPr>
              <w:t>≥1000人</w:t>
            </w:r>
          </w:p>
        </w:tc>
      </w:tr>
      <w:tr w:rsidR="00427CFC">
        <w:trPr>
          <w:cantSplit/>
          <w:trHeight w:val="334"/>
          <w:jc w:val="center"/>
        </w:trPr>
        <w:tc>
          <w:tcPr>
            <w:tcW w:w="1092" w:type="dxa"/>
            <w:vMerge/>
            <w:vAlign w:val="center"/>
          </w:tcPr>
          <w:p w:rsidR="00427CFC" w:rsidRDefault="00427CFC">
            <w:pPr>
              <w:widowControl/>
              <w:jc w:val="center"/>
            </w:pPr>
          </w:p>
        </w:tc>
        <w:tc>
          <w:tcPr>
            <w:tcW w:w="1269" w:type="dxa"/>
            <w:vMerge/>
            <w:vAlign w:val="center"/>
          </w:tcPr>
          <w:p w:rsidR="00427CFC" w:rsidRDefault="00427CFC">
            <w:pPr>
              <w:widowControl/>
              <w:jc w:val="center"/>
            </w:pPr>
          </w:p>
        </w:tc>
        <w:tc>
          <w:tcPr>
            <w:tcW w:w="4415" w:type="dxa"/>
            <w:vAlign w:val="center"/>
          </w:tcPr>
          <w:p w:rsidR="00427CFC" w:rsidRDefault="004220DA">
            <w:pPr>
              <w:adjustRightInd w:val="0"/>
              <w:snapToGrid w:val="0"/>
              <w:jc w:val="center"/>
            </w:pPr>
            <w:r>
              <w:rPr>
                <w:rFonts w:cs="宋体"/>
                <w:kern w:val="0"/>
              </w:rPr>
              <w:t>系统</w:t>
            </w:r>
            <w:r>
              <w:rPr>
                <w:rFonts w:cs="宋体" w:hint="eastAsia"/>
                <w:kern w:val="0"/>
              </w:rPr>
              <w:t>办理案件数量</w:t>
            </w:r>
          </w:p>
        </w:tc>
        <w:tc>
          <w:tcPr>
            <w:tcW w:w="1592" w:type="dxa"/>
            <w:vAlign w:val="center"/>
          </w:tcPr>
          <w:p w:rsidR="00427CFC" w:rsidRDefault="004220DA">
            <w:pPr>
              <w:widowControl/>
              <w:adjustRightInd w:val="0"/>
              <w:snapToGrid w:val="0"/>
              <w:jc w:val="center"/>
            </w:pPr>
            <w:r>
              <w:rPr>
                <w:rFonts w:cs="宋体" w:hint="eastAsia"/>
                <w:kern w:val="0"/>
              </w:rPr>
              <w:t>≥1000</w:t>
            </w:r>
            <w:r>
              <w:rPr>
                <w:rFonts w:cs="宋体"/>
                <w:kern w:val="0"/>
              </w:rPr>
              <w:t>00</w:t>
            </w:r>
            <w:r>
              <w:rPr>
                <w:rFonts w:cs="宋体" w:hint="eastAsia"/>
                <w:kern w:val="0"/>
              </w:rPr>
              <w:t>件</w:t>
            </w:r>
          </w:p>
        </w:tc>
      </w:tr>
      <w:tr w:rsidR="00427CFC">
        <w:trPr>
          <w:cantSplit/>
          <w:trHeight w:val="334"/>
          <w:jc w:val="center"/>
        </w:trPr>
        <w:tc>
          <w:tcPr>
            <w:tcW w:w="1092" w:type="dxa"/>
            <w:vMerge/>
            <w:vAlign w:val="center"/>
          </w:tcPr>
          <w:p w:rsidR="00427CFC" w:rsidRDefault="00427CFC">
            <w:pPr>
              <w:widowControl/>
              <w:jc w:val="center"/>
            </w:pPr>
          </w:p>
        </w:tc>
        <w:tc>
          <w:tcPr>
            <w:tcW w:w="1269" w:type="dxa"/>
            <w:vAlign w:val="center"/>
          </w:tcPr>
          <w:p w:rsidR="00427CFC" w:rsidRDefault="004220DA">
            <w:pPr>
              <w:widowControl/>
              <w:ind w:firstLineChars="0" w:firstLine="0"/>
            </w:pPr>
            <w:r>
              <w:rPr>
                <w:rFonts w:hint="eastAsia"/>
              </w:rPr>
              <w:t>质量指标</w:t>
            </w:r>
          </w:p>
        </w:tc>
        <w:tc>
          <w:tcPr>
            <w:tcW w:w="4415" w:type="dxa"/>
            <w:vAlign w:val="center"/>
          </w:tcPr>
          <w:p w:rsidR="00427CFC" w:rsidRDefault="004220DA">
            <w:pPr>
              <w:adjustRightInd w:val="0"/>
              <w:snapToGrid w:val="0"/>
              <w:jc w:val="center"/>
            </w:pPr>
            <w:r>
              <w:rPr>
                <w:rFonts w:hint="eastAsia"/>
              </w:rPr>
              <w:t>验收合格率</w:t>
            </w:r>
          </w:p>
        </w:tc>
        <w:tc>
          <w:tcPr>
            <w:tcW w:w="1592" w:type="dxa"/>
            <w:vAlign w:val="center"/>
          </w:tcPr>
          <w:p w:rsidR="00427CFC" w:rsidRDefault="004220DA">
            <w:pPr>
              <w:adjustRightInd w:val="0"/>
              <w:snapToGrid w:val="0"/>
              <w:jc w:val="center"/>
            </w:pPr>
            <w:r>
              <w:rPr>
                <w:rFonts w:hint="eastAsia"/>
              </w:rPr>
              <w:t>100%</w:t>
            </w:r>
          </w:p>
        </w:tc>
      </w:tr>
      <w:tr w:rsidR="00427CFC">
        <w:trPr>
          <w:cantSplit/>
          <w:trHeight w:val="334"/>
          <w:jc w:val="center"/>
        </w:trPr>
        <w:tc>
          <w:tcPr>
            <w:tcW w:w="1092" w:type="dxa"/>
            <w:vMerge/>
            <w:vAlign w:val="center"/>
          </w:tcPr>
          <w:p w:rsidR="00427CFC" w:rsidRDefault="00427CFC">
            <w:pPr>
              <w:widowControl/>
              <w:jc w:val="center"/>
            </w:pPr>
          </w:p>
        </w:tc>
        <w:tc>
          <w:tcPr>
            <w:tcW w:w="1269" w:type="dxa"/>
            <w:vAlign w:val="center"/>
          </w:tcPr>
          <w:p w:rsidR="00427CFC" w:rsidRDefault="004220DA">
            <w:pPr>
              <w:widowControl/>
              <w:adjustRightInd w:val="0"/>
              <w:snapToGrid w:val="0"/>
              <w:ind w:firstLineChars="0" w:firstLine="0"/>
            </w:pPr>
            <w:r>
              <w:rPr>
                <w:rFonts w:hint="eastAsia"/>
              </w:rPr>
              <w:t>时效指标</w:t>
            </w:r>
          </w:p>
        </w:tc>
        <w:tc>
          <w:tcPr>
            <w:tcW w:w="4415" w:type="dxa"/>
            <w:vAlign w:val="center"/>
          </w:tcPr>
          <w:p w:rsidR="00427CFC" w:rsidRDefault="004220DA">
            <w:pPr>
              <w:widowControl/>
              <w:adjustRightInd w:val="0"/>
              <w:snapToGrid w:val="0"/>
              <w:jc w:val="center"/>
            </w:pPr>
            <w:r>
              <w:rPr>
                <w:rFonts w:hint="eastAsia"/>
              </w:rPr>
              <w:t>项目实施进度</w:t>
            </w:r>
          </w:p>
        </w:tc>
        <w:tc>
          <w:tcPr>
            <w:tcW w:w="1592" w:type="dxa"/>
            <w:vAlign w:val="center"/>
          </w:tcPr>
          <w:p w:rsidR="00427CFC" w:rsidRDefault="004220DA">
            <w:pPr>
              <w:widowControl/>
              <w:adjustRightInd w:val="0"/>
              <w:snapToGrid w:val="0"/>
              <w:jc w:val="center"/>
            </w:pPr>
            <w:r>
              <w:rPr>
                <w:rFonts w:hint="eastAsia"/>
              </w:rPr>
              <w:t>批复后</w:t>
            </w:r>
            <w:r>
              <w:t>6</w:t>
            </w:r>
            <w:r>
              <w:rPr>
                <w:rFonts w:hint="eastAsia"/>
              </w:rPr>
              <w:t>个月内完成建设任务</w:t>
            </w:r>
          </w:p>
        </w:tc>
      </w:tr>
      <w:tr w:rsidR="00427CFC">
        <w:trPr>
          <w:cantSplit/>
          <w:trHeight w:val="334"/>
          <w:jc w:val="center"/>
        </w:trPr>
        <w:tc>
          <w:tcPr>
            <w:tcW w:w="1092" w:type="dxa"/>
            <w:vMerge/>
            <w:vAlign w:val="center"/>
          </w:tcPr>
          <w:p w:rsidR="00427CFC" w:rsidRDefault="00427CFC">
            <w:pPr>
              <w:widowControl/>
              <w:jc w:val="center"/>
            </w:pPr>
          </w:p>
        </w:tc>
        <w:tc>
          <w:tcPr>
            <w:tcW w:w="1269" w:type="dxa"/>
            <w:vMerge w:val="restart"/>
            <w:vAlign w:val="center"/>
          </w:tcPr>
          <w:p w:rsidR="00427CFC" w:rsidRDefault="004220DA">
            <w:pPr>
              <w:widowControl/>
              <w:adjustRightInd w:val="0"/>
              <w:snapToGrid w:val="0"/>
              <w:ind w:firstLineChars="0" w:firstLine="0"/>
            </w:pPr>
            <w:r>
              <w:rPr>
                <w:rFonts w:hint="eastAsia"/>
              </w:rPr>
              <w:t>成本指标</w:t>
            </w:r>
          </w:p>
        </w:tc>
        <w:tc>
          <w:tcPr>
            <w:tcW w:w="4415" w:type="dxa"/>
            <w:vAlign w:val="center"/>
          </w:tcPr>
          <w:p w:rsidR="00427CFC" w:rsidRDefault="004220DA">
            <w:pPr>
              <w:widowControl/>
              <w:adjustRightInd w:val="0"/>
              <w:snapToGrid w:val="0"/>
              <w:jc w:val="center"/>
            </w:pPr>
            <w:r>
              <w:rPr>
                <w:rFonts w:hint="eastAsia"/>
              </w:rPr>
              <w:t>预算刚性约束</w:t>
            </w:r>
          </w:p>
        </w:tc>
        <w:tc>
          <w:tcPr>
            <w:tcW w:w="1592" w:type="dxa"/>
            <w:vAlign w:val="center"/>
          </w:tcPr>
          <w:p w:rsidR="00427CFC" w:rsidRDefault="004220DA">
            <w:pPr>
              <w:widowControl/>
              <w:adjustRightInd w:val="0"/>
              <w:snapToGrid w:val="0"/>
              <w:jc w:val="center"/>
            </w:pPr>
            <w:r>
              <w:rPr>
                <w:rFonts w:hint="eastAsia"/>
              </w:rPr>
              <w:t>不超项目预算</w:t>
            </w:r>
          </w:p>
        </w:tc>
      </w:tr>
      <w:tr w:rsidR="00427CFC">
        <w:trPr>
          <w:cantSplit/>
          <w:trHeight w:val="334"/>
          <w:jc w:val="center"/>
        </w:trPr>
        <w:tc>
          <w:tcPr>
            <w:tcW w:w="1092" w:type="dxa"/>
            <w:vMerge/>
            <w:vAlign w:val="center"/>
          </w:tcPr>
          <w:p w:rsidR="00427CFC" w:rsidRDefault="00427CFC">
            <w:pPr>
              <w:widowControl/>
              <w:jc w:val="center"/>
            </w:pPr>
          </w:p>
        </w:tc>
        <w:tc>
          <w:tcPr>
            <w:tcW w:w="1269" w:type="dxa"/>
            <w:vMerge/>
            <w:vAlign w:val="center"/>
          </w:tcPr>
          <w:p w:rsidR="00427CFC" w:rsidRDefault="00427CFC">
            <w:pPr>
              <w:widowControl/>
              <w:jc w:val="center"/>
            </w:pPr>
          </w:p>
        </w:tc>
        <w:tc>
          <w:tcPr>
            <w:tcW w:w="4415" w:type="dxa"/>
            <w:vAlign w:val="center"/>
          </w:tcPr>
          <w:p w:rsidR="00427CFC" w:rsidRDefault="004220DA">
            <w:pPr>
              <w:widowControl/>
              <w:adjustRightInd w:val="0"/>
              <w:snapToGrid w:val="0"/>
              <w:jc w:val="center"/>
            </w:pPr>
            <w:r>
              <w:rPr>
                <w:rFonts w:hint="eastAsia"/>
              </w:rPr>
              <w:t>控制成本管理规范性</w:t>
            </w:r>
          </w:p>
        </w:tc>
        <w:tc>
          <w:tcPr>
            <w:tcW w:w="1592" w:type="dxa"/>
            <w:vAlign w:val="center"/>
          </w:tcPr>
          <w:p w:rsidR="00427CFC" w:rsidRDefault="004220DA">
            <w:pPr>
              <w:widowControl/>
              <w:adjustRightInd w:val="0"/>
              <w:snapToGrid w:val="0"/>
              <w:jc w:val="center"/>
            </w:pPr>
            <w:r>
              <w:rPr>
                <w:rFonts w:hint="eastAsia"/>
              </w:rPr>
              <w:t>成本管理规范</w:t>
            </w:r>
          </w:p>
          <w:p w:rsidR="00427CFC" w:rsidRDefault="004220DA">
            <w:pPr>
              <w:widowControl/>
              <w:adjustRightInd w:val="0"/>
              <w:snapToGrid w:val="0"/>
              <w:jc w:val="center"/>
            </w:pPr>
            <w:r>
              <w:rPr>
                <w:rFonts w:hint="eastAsia"/>
              </w:rPr>
              <w:t>项目变更内容控制在10%以内</w:t>
            </w:r>
          </w:p>
        </w:tc>
      </w:tr>
      <w:tr w:rsidR="00427CFC">
        <w:trPr>
          <w:cantSplit/>
          <w:trHeight w:val="761"/>
          <w:jc w:val="center"/>
        </w:trPr>
        <w:tc>
          <w:tcPr>
            <w:tcW w:w="1092" w:type="dxa"/>
            <w:vMerge w:val="restart"/>
            <w:vAlign w:val="center"/>
          </w:tcPr>
          <w:p w:rsidR="00427CFC" w:rsidRDefault="004220DA">
            <w:pPr>
              <w:ind w:firstLineChars="0" w:firstLine="0"/>
            </w:pPr>
            <w:r>
              <w:rPr>
                <w:rFonts w:hint="eastAsia"/>
              </w:rPr>
              <w:t>效益指标</w:t>
            </w:r>
          </w:p>
        </w:tc>
        <w:tc>
          <w:tcPr>
            <w:tcW w:w="1269" w:type="dxa"/>
            <w:vMerge w:val="restart"/>
            <w:vAlign w:val="center"/>
          </w:tcPr>
          <w:p w:rsidR="00427CFC" w:rsidRDefault="004220DA">
            <w:pPr>
              <w:widowControl/>
              <w:adjustRightInd w:val="0"/>
              <w:snapToGrid w:val="0"/>
              <w:ind w:firstLineChars="0" w:firstLine="0"/>
            </w:pPr>
            <w:r>
              <w:rPr>
                <w:rFonts w:cs="宋体" w:hint="eastAsia"/>
                <w:kern w:val="0"/>
              </w:rPr>
              <w:t>经济效益指标</w:t>
            </w:r>
          </w:p>
        </w:tc>
        <w:tc>
          <w:tcPr>
            <w:tcW w:w="4415" w:type="dxa"/>
            <w:vAlign w:val="center"/>
          </w:tcPr>
          <w:p w:rsidR="00427CFC" w:rsidRDefault="004220DA">
            <w:pPr>
              <w:widowControl/>
              <w:adjustRightInd w:val="0"/>
              <w:snapToGrid w:val="0"/>
              <w:jc w:val="center"/>
            </w:pPr>
            <w:r>
              <w:rPr>
                <w:rFonts w:hint="eastAsia"/>
              </w:rPr>
              <w:t>基础数据赋能</w:t>
            </w:r>
          </w:p>
        </w:tc>
        <w:tc>
          <w:tcPr>
            <w:tcW w:w="1592" w:type="dxa"/>
            <w:vAlign w:val="center"/>
          </w:tcPr>
          <w:p w:rsidR="00427CFC" w:rsidRDefault="004220DA">
            <w:pPr>
              <w:jc w:val="center"/>
            </w:pPr>
            <w:r>
              <w:rPr>
                <w:rFonts w:hint="eastAsia"/>
              </w:rPr>
              <w:t>提升</w:t>
            </w:r>
          </w:p>
        </w:tc>
      </w:tr>
      <w:tr w:rsidR="00427CFC">
        <w:trPr>
          <w:cantSplit/>
          <w:trHeight w:val="761"/>
          <w:jc w:val="center"/>
        </w:trPr>
        <w:tc>
          <w:tcPr>
            <w:tcW w:w="1092" w:type="dxa"/>
            <w:vMerge/>
            <w:vAlign w:val="center"/>
          </w:tcPr>
          <w:p w:rsidR="00427CFC" w:rsidRDefault="00427CFC"/>
        </w:tc>
        <w:tc>
          <w:tcPr>
            <w:tcW w:w="1269" w:type="dxa"/>
            <w:vMerge/>
            <w:vAlign w:val="center"/>
          </w:tcPr>
          <w:p w:rsidR="00427CFC" w:rsidRDefault="00427CFC">
            <w:pPr>
              <w:widowControl/>
              <w:adjustRightInd w:val="0"/>
              <w:snapToGrid w:val="0"/>
              <w:jc w:val="center"/>
              <w:rPr>
                <w:rFonts w:cs="宋体"/>
                <w:kern w:val="0"/>
              </w:rPr>
            </w:pPr>
          </w:p>
        </w:tc>
        <w:tc>
          <w:tcPr>
            <w:tcW w:w="4415" w:type="dxa"/>
            <w:vAlign w:val="center"/>
          </w:tcPr>
          <w:p w:rsidR="00427CFC" w:rsidRDefault="004220DA">
            <w:pPr>
              <w:widowControl/>
              <w:adjustRightInd w:val="0"/>
              <w:snapToGrid w:val="0"/>
              <w:jc w:val="center"/>
            </w:pPr>
            <w:r>
              <w:rPr>
                <w:rFonts w:hint="eastAsia"/>
              </w:rPr>
              <w:t>业务办理效率和节约成本支出</w:t>
            </w:r>
          </w:p>
        </w:tc>
        <w:tc>
          <w:tcPr>
            <w:tcW w:w="1592" w:type="dxa"/>
            <w:vAlign w:val="center"/>
          </w:tcPr>
          <w:p w:rsidR="00427CFC" w:rsidRDefault="004220DA">
            <w:pPr>
              <w:jc w:val="center"/>
            </w:pPr>
            <w:r>
              <w:rPr>
                <w:rFonts w:hint="eastAsia"/>
              </w:rPr>
              <w:t>提升</w:t>
            </w:r>
          </w:p>
        </w:tc>
      </w:tr>
      <w:tr w:rsidR="00427CFC">
        <w:trPr>
          <w:cantSplit/>
          <w:trHeight w:val="334"/>
          <w:jc w:val="center"/>
        </w:trPr>
        <w:tc>
          <w:tcPr>
            <w:tcW w:w="1092" w:type="dxa"/>
            <w:vMerge/>
            <w:vAlign w:val="center"/>
          </w:tcPr>
          <w:p w:rsidR="00427CFC" w:rsidRDefault="00427CFC">
            <w:pPr>
              <w:widowControl/>
              <w:jc w:val="center"/>
            </w:pPr>
          </w:p>
        </w:tc>
        <w:tc>
          <w:tcPr>
            <w:tcW w:w="1269" w:type="dxa"/>
            <w:vMerge w:val="restart"/>
            <w:vAlign w:val="center"/>
          </w:tcPr>
          <w:p w:rsidR="00427CFC" w:rsidRDefault="004220DA">
            <w:pPr>
              <w:widowControl/>
              <w:adjustRightInd w:val="0"/>
              <w:snapToGrid w:val="0"/>
              <w:ind w:firstLineChars="0" w:firstLine="0"/>
            </w:pPr>
            <w:r>
              <w:rPr>
                <w:rFonts w:hint="eastAsia"/>
              </w:rPr>
              <w:t>社会效益</w:t>
            </w:r>
          </w:p>
          <w:p w:rsidR="00427CFC" w:rsidRDefault="004220DA">
            <w:pPr>
              <w:widowControl/>
              <w:adjustRightInd w:val="0"/>
              <w:snapToGrid w:val="0"/>
              <w:jc w:val="center"/>
            </w:pPr>
            <w:r>
              <w:rPr>
                <w:rFonts w:hint="eastAsia"/>
              </w:rPr>
              <w:t>指标</w:t>
            </w:r>
          </w:p>
        </w:tc>
        <w:tc>
          <w:tcPr>
            <w:tcW w:w="4415" w:type="dxa"/>
            <w:vAlign w:val="center"/>
          </w:tcPr>
          <w:p w:rsidR="00427CFC" w:rsidRDefault="004220DA">
            <w:pPr>
              <w:widowControl/>
              <w:adjustRightInd w:val="0"/>
              <w:snapToGrid w:val="0"/>
              <w:jc w:val="center"/>
            </w:pPr>
            <w:r>
              <w:rPr>
                <w:rFonts w:hint="eastAsia"/>
              </w:rPr>
              <w:t>机构鉴定案件办理水平</w:t>
            </w:r>
          </w:p>
        </w:tc>
        <w:tc>
          <w:tcPr>
            <w:tcW w:w="1592" w:type="dxa"/>
            <w:vAlign w:val="center"/>
          </w:tcPr>
          <w:p w:rsidR="00427CFC" w:rsidRDefault="004220DA">
            <w:pPr>
              <w:jc w:val="center"/>
            </w:pPr>
            <w:r>
              <w:rPr>
                <w:rFonts w:hint="eastAsia"/>
              </w:rPr>
              <w:t>提升</w:t>
            </w:r>
          </w:p>
        </w:tc>
      </w:tr>
      <w:tr w:rsidR="00427CFC">
        <w:trPr>
          <w:cantSplit/>
          <w:trHeight w:val="334"/>
          <w:jc w:val="center"/>
        </w:trPr>
        <w:tc>
          <w:tcPr>
            <w:tcW w:w="1092" w:type="dxa"/>
            <w:vMerge/>
            <w:vAlign w:val="center"/>
          </w:tcPr>
          <w:p w:rsidR="00427CFC" w:rsidRDefault="00427CFC">
            <w:pPr>
              <w:widowControl/>
              <w:jc w:val="center"/>
            </w:pPr>
          </w:p>
        </w:tc>
        <w:tc>
          <w:tcPr>
            <w:tcW w:w="1269" w:type="dxa"/>
            <w:vMerge/>
            <w:vAlign w:val="center"/>
          </w:tcPr>
          <w:p w:rsidR="00427CFC" w:rsidRDefault="00427CFC">
            <w:pPr>
              <w:widowControl/>
              <w:adjustRightInd w:val="0"/>
              <w:snapToGrid w:val="0"/>
              <w:jc w:val="center"/>
            </w:pPr>
          </w:p>
        </w:tc>
        <w:tc>
          <w:tcPr>
            <w:tcW w:w="4415" w:type="dxa"/>
            <w:vAlign w:val="center"/>
          </w:tcPr>
          <w:p w:rsidR="00427CFC" w:rsidRDefault="004220DA">
            <w:pPr>
              <w:widowControl/>
              <w:adjustRightInd w:val="0"/>
              <w:snapToGrid w:val="0"/>
              <w:jc w:val="center"/>
            </w:pPr>
            <w:r>
              <w:rPr>
                <w:rFonts w:cs="宋体" w:hint="eastAsia"/>
                <w:kern w:val="0"/>
              </w:rPr>
              <w:t>行政执法工作效率</w:t>
            </w:r>
          </w:p>
        </w:tc>
        <w:tc>
          <w:tcPr>
            <w:tcW w:w="1592" w:type="dxa"/>
            <w:vAlign w:val="center"/>
          </w:tcPr>
          <w:p w:rsidR="00427CFC" w:rsidRDefault="004220DA">
            <w:pPr>
              <w:jc w:val="center"/>
            </w:pPr>
            <w:r>
              <w:rPr>
                <w:rFonts w:cs="宋体" w:hint="eastAsia"/>
                <w:kern w:val="0"/>
              </w:rPr>
              <w:t>提升</w:t>
            </w:r>
          </w:p>
        </w:tc>
      </w:tr>
      <w:tr w:rsidR="00427CFC">
        <w:trPr>
          <w:cantSplit/>
          <w:trHeight w:val="334"/>
          <w:jc w:val="center"/>
        </w:trPr>
        <w:tc>
          <w:tcPr>
            <w:tcW w:w="1092" w:type="dxa"/>
            <w:vMerge/>
            <w:vAlign w:val="center"/>
          </w:tcPr>
          <w:p w:rsidR="00427CFC" w:rsidRDefault="00427CFC">
            <w:pPr>
              <w:widowControl/>
              <w:jc w:val="center"/>
            </w:pPr>
          </w:p>
        </w:tc>
        <w:tc>
          <w:tcPr>
            <w:tcW w:w="1269" w:type="dxa"/>
            <w:vMerge/>
            <w:vAlign w:val="center"/>
          </w:tcPr>
          <w:p w:rsidR="00427CFC" w:rsidRDefault="00427CFC">
            <w:pPr>
              <w:widowControl/>
              <w:adjustRightInd w:val="0"/>
              <w:snapToGrid w:val="0"/>
              <w:jc w:val="center"/>
            </w:pPr>
          </w:p>
        </w:tc>
        <w:tc>
          <w:tcPr>
            <w:tcW w:w="4415" w:type="dxa"/>
            <w:vAlign w:val="center"/>
          </w:tcPr>
          <w:p w:rsidR="00427CFC" w:rsidRDefault="004220DA">
            <w:pPr>
              <w:widowControl/>
              <w:adjustRightInd w:val="0"/>
              <w:snapToGrid w:val="0"/>
              <w:jc w:val="center"/>
            </w:pPr>
            <w:r>
              <w:rPr>
                <w:rFonts w:cs="宋体" w:hint="eastAsia"/>
                <w:kern w:val="0"/>
              </w:rPr>
              <w:t>行政执法水平</w:t>
            </w:r>
          </w:p>
        </w:tc>
        <w:tc>
          <w:tcPr>
            <w:tcW w:w="1592" w:type="dxa"/>
            <w:vAlign w:val="center"/>
          </w:tcPr>
          <w:p w:rsidR="00427CFC" w:rsidRDefault="004220DA">
            <w:pPr>
              <w:jc w:val="center"/>
            </w:pPr>
            <w:r>
              <w:rPr>
                <w:rFonts w:hint="eastAsia"/>
              </w:rPr>
              <w:t>提升</w:t>
            </w:r>
          </w:p>
        </w:tc>
      </w:tr>
      <w:tr w:rsidR="00427CFC">
        <w:trPr>
          <w:cantSplit/>
          <w:trHeight w:val="334"/>
          <w:jc w:val="center"/>
        </w:trPr>
        <w:tc>
          <w:tcPr>
            <w:tcW w:w="1092" w:type="dxa"/>
            <w:vMerge/>
            <w:vAlign w:val="center"/>
          </w:tcPr>
          <w:p w:rsidR="00427CFC" w:rsidRDefault="00427CFC">
            <w:pPr>
              <w:widowControl/>
              <w:jc w:val="center"/>
            </w:pPr>
          </w:p>
        </w:tc>
        <w:tc>
          <w:tcPr>
            <w:tcW w:w="1269" w:type="dxa"/>
            <w:vMerge/>
            <w:vAlign w:val="center"/>
          </w:tcPr>
          <w:p w:rsidR="00427CFC" w:rsidRDefault="00427CFC">
            <w:pPr>
              <w:widowControl/>
              <w:adjustRightInd w:val="0"/>
              <w:snapToGrid w:val="0"/>
              <w:jc w:val="center"/>
            </w:pPr>
          </w:p>
        </w:tc>
        <w:tc>
          <w:tcPr>
            <w:tcW w:w="4415" w:type="dxa"/>
            <w:vAlign w:val="center"/>
          </w:tcPr>
          <w:p w:rsidR="00427CFC" w:rsidRDefault="004220DA">
            <w:pPr>
              <w:widowControl/>
              <w:adjustRightInd w:val="0"/>
              <w:snapToGrid w:val="0"/>
              <w:jc w:val="center"/>
            </w:pPr>
            <w:r>
              <w:rPr>
                <w:rFonts w:hint="eastAsia"/>
              </w:rPr>
              <w:t>信息核查决策时效</w:t>
            </w:r>
          </w:p>
        </w:tc>
        <w:tc>
          <w:tcPr>
            <w:tcW w:w="1592" w:type="dxa"/>
            <w:vAlign w:val="center"/>
          </w:tcPr>
          <w:p w:rsidR="00427CFC" w:rsidRDefault="004220DA">
            <w:pPr>
              <w:jc w:val="center"/>
            </w:pPr>
            <w:r>
              <w:rPr>
                <w:rFonts w:hint="eastAsia"/>
              </w:rPr>
              <w:t>提升</w:t>
            </w:r>
          </w:p>
        </w:tc>
      </w:tr>
      <w:tr w:rsidR="00427CFC">
        <w:trPr>
          <w:cantSplit/>
          <w:trHeight w:val="334"/>
          <w:jc w:val="center"/>
        </w:trPr>
        <w:tc>
          <w:tcPr>
            <w:tcW w:w="1092" w:type="dxa"/>
            <w:vMerge/>
            <w:vAlign w:val="center"/>
          </w:tcPr>
          <w:p w:rsidR="00427CFC" w:rsidRDefault="00427CFC">
            <w:pPr>
              <w:widowControl/>
              <w:jc w:val="center"/>
            </w:pPr>
          </w:p>
        </w:tc>
        <w:tc>
          <w:tcPr>
            <w:tcW w:w="1269" w:type="dxa"/>
            <w:vAlign w:val="center"/>
          </w:tcPr>
          <w:p w:rsidR="00427CFC" w:rsidRDefault="004220DA">
            <w:pPr>
              <w:widowControl/>
              <w:adjustRightInd w:val="0"/>
              <w:snapToGrid w:val="0"/>
              <w:ind w:firstLineChars="0" w:firstLine="0"/>
            </w:pPr>
            <w:r>
              <w:rPr>
                <w:rFonts w:hint="eastAsia"/>
              </w:rPr>
              <w:t>生态效益</w:t>
            </w:r>
          </w:p>
          <w:p w:rsidR="00427CFC" w:rsidRDefault="004220DA">
            <w:pPr>
              <w:widowControl/>
              <w:adjustRightInd w:val="0"/>
              <w:snapToGrid w:val="0"/>
              <w:jc w:val="center"/>
            </w:pPr>
            <w:r>
              <w:rPr>
                <w:rFonts w:hint="eastAsia"/>
              </w:rPr>
              <w:t>指标</w:t>
            </w:r>
          </w:p>
        </w:tc>
        <w:tc>
          <w:tcPr>
            <w:tcW w:w="4415" w:type="dxa"/>
            <w:vAlign w:val="center"/>
          </w:tcPr>
          <w:p w:rsidR="00427CFC" w:rsidRDefault="004220DA">
            <w:pPr>
              <w:widowControl/>
              <w:adjustRightInd w:val="0"/>
              <w:snapToGrid w:val="0"/>
              <w:jc w:val="center"/>
            </w:pPr>
            <w:r>
              <w:rPr>
                <w:rFonts w:hint="eastAsia"/>
              </w:rPr>
              <w:t>环保达标率</w:t>
            </w:r>
          </w:p>
        </w:tc>
        <w:tc>
          <w:tcPr>
            <w:tcW w:w="1592" w:type="dxa"/>
            <w:vAlign w:val="center"/>
          </w:tcPr>
          <w:p w:rsidR="00427CFC" w:rsidRDefault="004220DA">
            <w:pPr>
              <w:widowControl/>
              <w:adjustRightInd w:val="0"/>
              <w:snapToGrid w:val="0"/>
              <w:jc w:val="center"/>
            </w:pPr>
            <w:r>
              <w:rPr>
                <w:rFonts w:hint="eastAsia"/>
              </w:rPr>
              <w:t>100%</w:t>
            </w:r>
          </w:p>
        </w:tc>
      </w:tr>
      <w:tr w:rsidR="00427CFC">
        <w:trPr>
          <w:cantSplit/>
          <w:trHeight w:val="334"/>
          <w:jc w:val="center"/>
        </w:trPr>
        <w:tc>
          <w:tcPr>
            <w:tcW w:w="1092" w:type="dxa"/>
            <w:vAlign w:val="center"/>
          </w:tcPr>
          <w:p w:rsidR="00427CFC" w:rsidRDefault="004220DA">
            <w:pPr>
              <w:widowControl/>
              <w:adjustRightInd w:val="0"/>
              <w:snapToGrid w:val="0"/>
              <w:ind w:firstLineChars="0" w:firstLine="0"/>
              <w:jc w:val="center"/>
            </w:pPr>
            <w:r>
              <w:rPr>
                <w:rFonts w:hint="eastAsia"/>
              </w:rPr>
              <w:t>满意度</w:t>
            </w:r>
          </w:p>
          <w:p w:rsidR="00427CFC" w:rsidRDefault="004220DA">
            <w:pPr>
              <w:widowControl/>
              <w:adjustRightInd w:val="0"/>
              <w:snapToGrid w:val="0"/>
              <w:ind w:firstLineChars="0" w:firstLine="0"/>
              <w:jc w:val="center"/>
            </w:pPr>
            <w:r>
              <w:rPr>
                <w:rFonts w:hint="eastAsia"/>
              </w:rPr>
              <w:t>指标</w:t>
            </w:r>
          </w:p>
        </w:tc>
        <w:tc>
          <w:tcPr>
            <w:tcW w:w="1269" w:type="dxa"/>
            <w:vAlign w:val="center"/>
          </w:tcPr>
          <w:p w:rsidR="00427CFC" w:rsidRDefault="004220DA">
            <w:pPr>
              <w:widowControl/>
              <w:adjustRightInd w:val="0"/>
              <w:snapToGrid w:val="0"/>
              <w:ind w:firstLineChars="0" w:firstLine="0"/>
            </w:pPr>
            <w:r>
              <w:rPr>
                <w:rFonts w:hint="eastAsia"/>
              </w:rPr>
              <w:t>服务对象</w:t>
            </w:r>
          </w:p>
          <w:p w:rsidR="00427CFC" w:rsidRDefault="004220DA">
            <w:pPr>
              <w:widowControl/>
              <w:adjustRightInd w:val="0"/>
              <w:snapToGrid w:val="0"/>
              <w:jc w:val="center"/>
            </w:pPr>
            <w:r>
              <w:rPr>
                <w:rFonts w:hint="eastAsia"/>
              </w:rPr>
              <w:t>满意度指标</w:t>
            </w:r>
          </w:p>
        </w:tc>
        <w:tc>
          <w:tcPr>
            <w:tcW w:w="4415" w:type="dxa"/>
            <w:vAlign w:val="center"/>
          </w:tcPr>
          <w:p w:rsidR="00427CFC" w:rsidRDefault="004220DA">
            <w:pPr>
              <w:widowControl/>
              <w:adjustRightInd w:val="0"/>
              <w:snapToGrid w:val="0"/>
              <w:jc w:val="center"/>
            </w:pPr>
            <w:r>
              <w:rPr>
                <w:rFonts w:hint="eastAsia"/>
              </w:rPr>
              <w:t>用户满意度</w:t>
            </w:r>
          </w:p>
        </w:tc>
        <w:tc>
          <w:tcPr>
            <w:tcW w:w="1592" w:type="dxa"/>
            <w:vAlign w:val="center"/>
          </w:tcPr>
          <w:p w:rsidR="00427CFC" w:rsidRDefault="004220DA">
            <w:pPr>
              <w:widowControl/>
              <w:adjustRightInd w:val="0"/>
              <w:snapToGrid w:val="0"/>
              <w:jc w:val="center"/>
            </w:pPr>
            <w:r>
              <w:rPr>
                <w:rFonts w:hint="eastAsia"/>
              </w:rPr>
              <w:t>≥9</w:t>
            </w:r>
            <w:r>
              <w:t>0</w:t>
            </w:r>
            <w:r>
              <w:rPr>
                <w:rFonts w:hint="eastAsia"/>
              </w:rPr>
              <w:t>%</w:t>
            </w:r>
          </w:p>
        </w:tc>
      </w:tr>
    </w:tbl>
    <w:p w:rsidR="00427CFC" w:rsidRDefault="00427CFC">
      <w:pPr>
        <w:pStyle w:val="affe"/>
        <w:ind w:firstLineChars="71" w:firstLine="199"/>
      </w:pPr>
    </w:p>
    <w:p w:rsidR="00427CFC" w:rsidRDefault="004220DA">
      <w:pPr>
        <w:pStyle w:val="4"/>
        <w:ind w:left="1134" w:hanging="1134"/>
      </w:pPr>
      <w:bookmarkStart w:id="35" w:name="_Toc140830751"/>
      <w:r>
        <w:rPr>
          <w:rFonts w:hint="eastAsia"/>
        </w:rPr>
        <w:t>信访技术绩效考核目标</w:t>
      </w:r>
      <w:bookmarkEnd w:id="35"/>
    </w:p>
    <w:p w:rsidR="00427CFC" w:rsidRDefault="004220DA">
      <w:pPr>
        <w:pStyle w:val="a8"/>
        <w:numPr>
          <w:ilvl w:val="0"/>
          <w:numId w:val="4"/>
        </w:numPr>
        <w:spacing w:before="61" w:after="0" w:line="388" w:lineRule="auto"/>
        <w:ind w:left="0" w:firstLine="360"/>
        <w:jc w:val="left"/>
        <w:rPr>
          <w:rFonts w:ascii="仿宋_GB2312" w:eastAsia="仿宋_GB2312" w:hAnsi="Wingdings" w:hint="eastAsia"/>
          <w:sz w:val="24"/>
        </w:rPr>
      </w:pPr>
      <w:r>
        <w:rPr>
          <w:rFonts w:ascii="仿宋_GB2312" w:eastAsia="仿宋_GB2312" w:hAnsi="Wingdings" w:cs="仿宋_GB2312" w:hint="eastAsia"/>
          <w:sz w:val="24"/>
        </w:rPr>
        <w:t>可扩展性</w:t>
      </w:r>
    </w:p>
    <w:p w:rsidR="00427CFC" w:rsidRDefault="004220DA">
      <w:pPr>
        <w:pStyle w:val="a8"/>
        <w:spacing w:before="13" w:line="408" w:lineRule="auto"/>
        <w:ind w:right="404" w:firstLine="360"/>
        <w:rPr>
          <w:rFonts w:ascii="仿宋_GB2312" w:eastAsia="仿宋_GB2312"/>
          <w:sz w:val="24"/>
        </w:rPr>
      </w:pPr>
      <w:r>
        <w:rPr>
          <w:rFonts w:ascii="仿宋_GB2312" w:eastAsia="仿宋_GB2312" w:cs="仿宋_GB2312" w:hint="eastAsia"/>
          <w:sz w:val="24"/>
        </w:rPr>
        <w:t>在设计上必须具有适应变化的能力，当系统新增业务功能或现</w:t>
      </w:r>
      <w:r>
        <w:rPr>
          <w:rFonts w:ascii="仿宋_GB2312" w:eastAsia="仿宋_GB2312" w:cs="仿宋_GB2312"/>
          <w:w w:val="99"/>
          <w:sz w:val="24"/>
        </w:rPr>
        <w:t xml:space="preserve"> </w:t>
      </w:r>
      <w:r>
        <w:rPr>
          <w:rFonts w:ascii="仿宋_GB2312" w:eastAsia="仿宋_GB2312" w:cs="仿宋_GB2312" w:hint="eastAsia"/>
          <w:sz w:val="24"/>
        </w:rPr>
        <w:t>有业务改变时，应保证业务在整体框架不变的基础上，业务变化造成的影响局部化。</w:t>
      </w:r>
    </w:p>
    <w:p w:rsidR="00427CFC" w:rsidRDefault="004220DA">
      <w:pPr>
        <w:pStyle w:val="a8"/>
        <w:numPr>
          <w:ilvl w:val="0"/>
          <w:numId w:val="4"/>
        </w:numPr>
        <w:spacing w:before="61" w:after="0" w:line="388" w:lineRule="auto"/>
        <w:ind w:left="0" w:firstLine="360"/>
        <w:jc w:val="left"/>
        <w:rPr>
          <w:rFonts w:ascii="仿宋_GB2312" w:eastAsia="仿宋_GB2312" w:hAnsi="Wingdings" w:hint="eastAsia"/>
          <w:sz w:val="24"/>
        </w:rPr>
      </w:pPr>
      <w:r>
        <w:rPr>
          <w:rFonts w:ascii="仿宋_GB2312" w:eastAsia="仿宋_GB2312" w:hAnsi="Wingdings" w:cs="仿宋_GB2312" w:hint="eastAsia"/>
          <w:sz w:val="24"/>
        </w:rPr>
        <w:t>易用性</w:t>
      </w:r>
    </w:p>
    <w:p w:rsidR="00427CFC" w:rsidRDefault="004220DA">
      <w:pPr>
        <w:pStyle w:val="a8"/>
        <w:spacing w:before="13" w:line="408" w:lineRule="auto"/>
        <w:ind w:right="404" w:firstLine="360"/>
        <w:rPr>
          <w:rFonts w:ascii="仿宋_GB2312" w:eastAsia="仿宋_GB2312"/>
          <w:sz w:val="24"/>
        </w:rPr>
      </w:pPr>
      <w:r>
        <w:rPr>
          <w:rFonts w:ascii="仿宋_GB2312" w:eastAsia="仿宋_GB2312" w:cs="仿宋_GB2312"/>
          <w:sz w:val="24"/>
        </w:rPr>
        <w:t xml:space="preserve"> </w:t>
      </w:r>
      <w:r>
        <w:rPr>
          <w:rFonts w:ascii="仿宋_GB2312" w:eastAsia="仿宋_GB2312" w:cs="仿宋_GB2312" w:hint="eastAsia"/>
          <w:sz w:val="24"/>
        </w:rPr>
        <w:t>所有的业务功能界面风格和操作流程一致，业务表单做到所见即所得，录入能够完全通过键盘完成。</w:t>
      </w:r>
    </w:p>
    <w:p w:rsidR="00427CFC" w:rsidRDefault="004220DA">
      <w:pPr>
        <w:pStyle w:val="a8"/>
        <w:numPr>
          <w:ilvl w:val="0"/>
          <w:numId w:val="4"/>
        </w:numPr>
        <w:spacing w:before="61" w:after="0" w:line="388" w:lineRule="auto"/>
        <w:ind w:left="0" w:firstLine="360"/>
        <w:jc w:val="left"/>
        <w:rPr>
          <w:rFonts w:ascii="仿宋_GB2312" w:eastAsia="仿宋_GB2312" w:hAnsi="Wingdings" w:hint="eastAsia"/>
          <w:sz w:val="24"/>
        </w:rPr>
      </w:pPr>
      <w:r>
        <w:rPr>
          <w:rFonts w:ascii="仿宋_GB2312" w:eastAsia="仿宋_GB2312" w:hAnsi="Wingdings" w:cs="仿宋_GB2312" w:hint="eastAsia"/>
          <w:sz w:val="24"/>
        </w:rPr>
        <w:t>可靠性</w:t>
      </w:r>
    </w:p>
    <w:p w:rsidR="00427CFC" w:rsidRDefault="004220DA">
      <w:pPr>
        <w:pStyle w:val="a8"/>
        <w:spacing w:before="13" w:line="408" w:lineRule="auto"/>
        <w:ind w:right="404" w:firstLine="360"/>
        <w:rPr>
          <w:rFonts w:ascii="仿宋_GB2312" w:eastAsia="仿宋_GB2312"/>
          <w:sz w:val="24"/>
        </w:rPr>
      </w:pPr>
      <w:r>
        <w:rPr>
          <w:rFonts w:ascii="仿宋_GB2312" w:eastAsia="仿宋_GB2312" w:cs="仿宋_GB2312" w:hint="eastAsia"/>
          <w:sz w:val="24"/>
        </w:rPr>
        <w:lastRenderedPageBreak/>
        <w:t>系统应保证</w:t>
      </w:r>
      <w:r>
        <w:rPr>
          <w:rFonts w:ascii="仿宋_GB2312" w:eastAsia="仿宋_GB2312" w:cs="仿宋_GB2312"/>
          <w:sz w:val="24"/>
        </w:rPr>
        <w:t xml:space="preserve"> 7*24</w:t>
      </w:r>
      <w:r>
        <w:rPr>
          <w:rFonts w:ascii="仿宋_GB2312" w:eastAsia="仿宋_GB2312" w:cs="仿宋_GB2312" w:hint="eastAsia"/>
          <w:sz w:val="24"/>
        </w:rPr>
        <w:t>小时内不</w:t>
      </w:r>
      <w:proofErr w:type="gramStart"/>
      <w:r>
        <w:rPr>
          <w:rFonts w:ascii="仿宋_GB2312" w:eastAsia="仿宋_GB2312" w:cs="仿宋_GB2312" w:hint="eastAsia"/>
          <w:sz w:val="24"/>
        </w:rPr>
        <w:t>宕</w:t>
      </w:r>
      <w:proofErr w:type="gramEnd"/>
      <w:r>
        <w:rPr>
          <w:rFonts w:ascii="仿宋_GB2312" w:eastAsia="仿宋_GB2312" w:cs="仿宋_GB2312" w:hint="eastAsia"/>
          <w:sz w:val="24"/>
        </w:rPr>
        <w:t>机，保证在正常情况下和极端情况</w:t>
      </w:r>
      <w:proofErr w:type="gramStart"/>
      <w:r>
        <w:rPr>
          <w:rFonts w:ascii="仿宋_GB2312" w:eastAsia="仿宋_GB2312" w:cs="仿宋_GB2312" w:hint="eastAsia"/>
          <w:sz w:val="24"/>
        </w:rPr>
        <w:t>下业务</w:t>
      </w:r>
      <w:proofErr w:type="gramEnd"/>
      <w:r>
        <w:rPr>
          <w:rFonts w:ascii="仿宋_GB2312" w:eastAsia="仿宋_GB2312" w:cs="仿宋_GB2312" w:hint="eastAsia"/>
          <w:sz w:val="24"/>
        </w:rPr>
        <w:t>逻辑的正确性。</w:t>
      </w:r>
    </w:p>
    <w:p w:rsidR="00427CFC" w:rsidRDefault="004220DA">
      <w:pPr>
        <w:pStyle w:val="a8"/>
        <w:numPr>
          <w:ilvl w:val="0"/>
          <w:numId w:val="4"/>
        </w:numPr>
        <w:spacing w:before="61" w:after="0" w:line="388" w:lineRule="auto"/>
        <w:ind w:left="0" w:firstLine="360"/>
        <w:jc w:val="left"/>
        <w:rPr>
          <w:rFonts w:ascii="仿宋_GB2312" w:eastAsia="仿宋_GB2312" w:hAnsi="Wingdings" w:hint="eastAsia"/>
          <w:sz w:val="24"/>
        </w:rPr>
      </w:pPr>
      <w:r>
        <w:rPr>
          <w:rFonts w:ascii="仿宋_GB2312" w:eastAsia="仿宋_GB2312" w:hAnsi="Wingdings" w:cs="仿宋_GB2312" w:hint="eastAsia"/>
          <w:sz w:val="24"/>
        </w:rPr>
        <w:t>可用性</w:t>
      </w:r>
      <w:r>
        <w:rPr>
          <w:rFonts w:ascii="仿宋_GB2312" w:eastAsia="仿宋_GB2312" w:hAnsi="Wingdings" w:cs="仿宋_GB2312" w:hint="eastAsia"/>
          <w:sz w:val="24"/>
        </w:rPr>
        <w:t></w:t>
      </w:r>
    </w:p>
    <w:p w:rsidR="00427CFC" w:rsidRDefault="004220DA">
      <w:pPr>
        <w:pStyle w:val="a8"/>
        <w:spacing w:before="13" w:line="408" w:lineRule="auto"/>
        <w:ind w:right="404" w:firstLine="360"/>
        <w:rPr>
          <w:rFonts w:ascii="仿宋_GB2312" w:eastAsia="仿宋_GB2312"/>
          <w:sz w:val="24"/>
        </w:rPr>
      </w:pPr>
      <w:r>
        <w:rPr>
          <w:rFonts w:ascii="仿宋_GB2312" w:eastAsia="仿宋_GB2312" w:cs="仿宋_GB2312" w:hint="eastAsia"/>
          <w:sz w:val="24"/>
        </w:rPr>
        <w:t>必须避免由于单点故障或系统升级而影响整个系统的正常运行。</w:t>
      </w:r>
    </w:p>
    <w:p w:rsidR="00427CFC" w:rsidRDefault="004220DA">
      <w:pPr>
        <w:pStyle w:val="a8"/>
        <w:numPr>
          <w:ilvl w:val="0"/>
          <w:numId w:val="4"/>
        </w:numPr>
        <w:spacing w:before="61" w:after="0" w:line="388" w:lineRule="auto"/>
        <w:ind w:left="0" w:firstLine="360"/>
        <w:jc w:val="left"/>
        <w:rPr>
          <w:rFonts w:ascii="仿宋_GB2312" w:eastAsia="仿宋_GB2312" w:hAnsi="Wingdings" w:hint="eastAsia"/>
          <w:sz w:val="24"/>
        </w:rPr>
      </w:pPr>
      <w:r>
        <w:rPr>
          <w:rFonts w:ascii="仿宋_GB2312" w:eastAsia="仿宋_GB2312" w:hAnsi="Wingdings" w:cs="仿宋_GB2312" w:hint="eastAsia"/>
          <w:sz w:val="24"/>
        </w:rPr>
        <w:t>可维护性</w:t>
      </w:r>
      <w:r>
        <w:rPr>
          <w:rFonts w:ascii="仿宋_GB2312" w:eastAsia="仿宋_GB2312" w:hAnsi="Wingdings" w:cs="仿宋_GB2312" w:hint="eastAsia"/>
          <w:sz w:val="24"/>
        </w:rPr>
        <w:t></w:t>
      </w:r>
    </w:p>
    <w:p w:rsidR="00427CFC" w:rsidRDefault="004220DA">
      <w:pPr>
        <w:pStyle w:val="a8"/>
        <w:spacing w:before="13" w:line="408" w:lineRule="auto"/>
        <w:ind w:right="404" w:firstLine="360"/>
        <w:rPr>
          <w:rFonts w:ascii="仿宋_GB2312" w:eastAsia="仿宋_GB2312"/>
          <w:sz w:val="24"/>
        </w:rPr>
      </w:pPr>
      <w:r>
        <w:rPr>
          <w:rFonts w:ascii="仿宋_GB2312" w:eastAsia="仿宋_GB2312" w:cs="仿宋_GB2312" w:hint="eastAsia"/>
          <w:sz w:val="24"/>
        </w:rPr>
        <w:t>系统能够简单方便的修改和升级，包含可度性、可修改性、可测试性等。</w:t>
      </w:r>
    </w:p>
    <w:p w:rsidR="00427CFC" w:rsidRDefault="004220DA">
      <w:pPr>
        <w:pStyle w:val="a8"/>
        <w:numPr>
          <w:ilvl w:val="0"/>
          <w:numId w:val="4"/>
        </w:numPr>
        <w:spacing w:before="61" w:after="0" w:line="388" w:lineRule="auto"/>
        <w:ind w:left="0" w:firstLine="360"/>
        <w:jc w:val="left"/>
        <w:rPr>
          <w:rFonts w:ascii="仿宋_GB2312" w:eastAsia="仿宋_GB2312" w:hAnsi="Wingdings" w:hint="eastAsia"/>
          <w:sz w:val="24"/>
        </w:rPr>
      </w:pPr>
      <w:r>
        <w:rPr>
          <w:rFonts w:ascii="仿宋_GB2312" w:eastAsia="仿宋_GB2312" w:hAnsi="Wingdings" w:cs="仿宋_GB2312" w:hint="eastAsia"/>
          <w:sz w:val="24"/>
        </w:rPr>
        <w:t>可管理性和服务支持能力</w:t>
      </w:r>
      <w:r>
        <w:rPr>
          <w:rFonts w:ascii="仿宋_GB2312" w:eastAsia="仿宋_GB2312" w:hAnsi="Wingdings" w:cs="仿宋_GB2312" w:hint="eastAsia"/>
          <w:sz w:val="24"/>
        </w:rPr>
        <w:t></w:t>
      </w:r>
    </w:p>
    <w:p w:rsidR="00427CFC" w:rsidRDefault="004220DA">
      <w:pPr>
        <w:pStyle w:val="a8"/>
        <w:spacing w:before="13" w:line="408" w:lineRule="auto"/>
        <w:ind w:right="404" w:firstLineChars="152" w:firstLine="365"/>
        <w:rPr>
          <w:rFonts w:ascii="仿宋_GB2312" w:eastAsia="仿宋_GB2312"/>
          <w:sz w:val="24"/>
        </w:rPr>
      </w:pPr>
      <w:r>
        <w:rPr>
          <w:rFonts w:ascii="仿宋_GB2312" w:eastAsia="仿宋_GB2312" w:cs="仿宋_GB2312" w:hint="eastAsia"/>
          <w:sz w:val="24"/>
        </w:rPr>
        <w:t>每个层次、每个构件都提供标准的管理接口。实现统一的、一致的日志功能。每个构件都提供应用架构总体设计规定的必要的标</w:t>
      </w:r>
      <w:r>
        <w:rPr>
          <w:rFonts w:ascii="仿宋_GB2312" w:eastAsia="仿宋_GB2312" w:cs="仿宋_GB2312"/>
          <w:sz w:val="24"/>
        </w:rPr>
        <w:t xml:space="preserve"> </w:t>
      </w:r>
      <w:r>
        <w:rPr>
          <w:rFonts w:ascii="仿宋_GB2312" w:eastAsia="仿宋_GB2312" w:cs="仿宋_GB2312" w:hint="eastAsia"/>
          <w:sz w:val="24"/>
        </w:rPr>
        <w:t>准外部接口。</w:t>
      </w:r>
    </w:p>
    <w:p w:rsidR="00427CFC" w:rsidRDefault="004220DA">
      <w:pPr>
        <w:pStyle w:val="a8"/>
        <w:numPr>
          <w:ilvl w:val="0"/>
          <w:numId w:val="4"/>
        </w:numPr>
        <w:spacing w:before="61" w:after="0" w:line="388" w:lineRule="auto"/>
        <w:ind w:left="0" w:firstLine="360"/>
        <w:jc w:val="left"/>
        <w:rPr>
          <w:rFonts w:ascii="仿宋_GB2312" w:eastAsia="仿宋_GB2312" w:hAnsi="Wingdings" w:hint="eastAsia"/>
          <w:sz w:val="24"/>
        </w:rPr>
      </w:pPr>
      <w:r>
        <w:rPr>
          <w:rFonts w:ascii="仿宋_GB2312" w:eastAsia="仿宋_GB2312" w:hAnsi="Wingdings" w:cs="仿宋_GB2312" w:hint="eastAsia"/>
          <w:sz w:val="24"/>
        </w:rPr>
        <w:t>性能测试指标</w:t>
      </w:r>
    </w:p>
    <w:p w:rsidR="00427CFC" w:rsidRDefault="004220DA">
      <w:pPr>
        <w:pStyle w:val="a8"/>
        <w:spacing w:before="13" w:line="408" w:lineRule="auto"/>
        <w:ind w:right="404" w:firstLine="360"/>
        <w:rPr>
          <w:rFonts w:ascii="仿宋_GB2312" w:eastAsia="仿宋_GB2312"/>
          <w:sz w:val="24"/>
        </w:rPr>
      </w:pPr>
      <w:r>
        <w:rPr>
          <w:rFonts w:ascii="仿宋_GB2312" w:eastAsia="仿宋_GB2312" w:cs="仿宋_GB2312" w:hint="eastAsia"/>
          <w:sz w:val="24"/>
        </w:rPr>
        <w:t>响应时间响应速度在用户心理所能承受的范围内。无论是客户端还是管理端，当用户登陆，进行任何操作的时候，系统应该及时进行反映，系统应能检测出各种非正常情况，并及时提示用户。</w:t>
      </w:r>
    </w:p>
    <w:p w:rsidR="00427CFC" w:rsidRDefault="004220DA">
      <w:pPr>
        <w:rPr>
          <w:rFonts w:ascii="仿宋_GB2312" w:eastAsia="仿宋_GB2312" w:hAnsi="仿宋"/>
        </w:rPr>
      </w:pPr>
      <w:r>
        <w:rPr>
          <w:rFonts w:ascii="仿宋_GB2312" w:eastAsia="仿宋_GB2312" w:hAnsi="仿宋" w:cs="仿宋_GB2312" w:hint="eastAsia"/>
        </w:rPr>
        <w:t>本项目系统性能需求如下：</w:t>
      </w:r>
    </w:p>
    <w:p w:rsidR="00427CFC" w:rsidRDefault="004220DA">
      <w:pPr>
        <w:numPr>
          <w:ilvl w:val="0"/>
          <w:numId w:val="5"/>
        </w:numPr>
        <w:ind w:firstLineChars="0" w:firstLine="560"/>
        <w:rPr>
          <w:rFonts w:ascii="仿宋_GB2312" w:eastAsia="仿宋_GB2312" w:hAnsi="仿宋"/>
        </w:rPr>
      </w:pPr>
      <w:r>
        <w:rPr>
          <w:rFonts w:ascii="仿宋_GB2312" w:eastAsia="仿宋_GB2312" w:hAnsi="仿宋" w:cs="仿宋_GB2312" w:hint="eastAsia"/>
        </w:rPr>
        <w:t>同时在线用户数≥</w:t>
      </w:r>
      <w:r w:rsidR="008D2CFE">
        <w:rPr>
          <w:rFonts w:ascii="仿宋_GB2312" w:eastAsia="仿宋_GB2312" w:hAnsi="仿宋" w:cs="仿宋_GB2312" w:hint="eastAsia"/>
        </w:rPr>
        <w:t>20</w:t>
      </w:r>
      <w:r>
        <w:rPr>
          <w:rFonts w:ascii="仿宋_GB2312" w:eastAsia="仿宋_GB2312" w:hAnsi="仿宋" w:cs="仿宋_GB2312"/>
        </w:rPr>
        <w:t>00</w:t>
      </w:r>
      <w:r>
        <w:rPr>
          <w:rFonts w:ascii="仿宋_GB2312" w:eastAsia="仿宋_GB2312" w:hAnsi="仿宋" w:cs="仿宋_GB2312" w:hint="eastAsia"/>
        </w:rPr>
        <w:t>；</w:t>
      </w:r>
    </w:p>
    <w:p w:rsidR="00427CFC" w:rsidRDefault="004220DA">
      <w:pPr>
        <w:numPr>
          <w:ilvl w:val="0"/>
          <w:numId w:val="5"/>
        </w:numPr>
        <w:ind w:firstLineChars="0" w:firstLine="560"/>
        <w:rPr>
          <w:rFonts w:ascii="仿宋_GB2312" w:eastAsia="仿宋_GB2312" w:hAnsi="仿宋"/>
        </w:rPr>
      </w:pPr>
      <w:r>
        <w:rPr>
          <w:rFonts w:ascii="仿宋_GB2312" w:eastAsia="仿宋_GB2312" w:hAnsi="仿宋" w:cs="仿宋_GB2312" w:hint="eastAsia"/>
        </w:rPr>
        <w:t>并发用户数≥</w:t>
      </w:r>
      <w:r w:rsidR="008D2CFE">
        <w:rPr>
          <w:rFonts w:ascii="仿宋_GB2312" w:eastAsia="仿宋_GB2312" w:hAnsi="仿宋" w:cs="仿宋_GB2312" w:hint="eastAsia"/>
        </w:rPr>
        <w:t>30</w:t>
      </w:r>
      <w:r>
        <w:rPr>
          <w:rFonts w:ascii="仿宋_GB2312" w:eastAsia="仿宋_GB2312" w:hAnsi="仿宋" w:cs="仿宋_GB2312"/>
        </w:rPr>
        <w:t>0</w:t>
      </w:r>
      <w:r>
        <w:rPr>
          <w:rFonts w:ascii="仿宋_GB2312" w:eastAsia="仿宋_GB2312" w:hAnsi="仿宋" w:cs="仿宋_GB2312" w:hint="eastAsia"/>
        </w:rPr>
        <w:t>；</w:t>
      </w:r>
    </w:p>
    <w:p w:rsidR="00427CFC" w:rsidRDefault="004220DA">
      <w:pPr>
        <w:numPr>
          <w:ilvl w:val="0"/>
          <w:numId w:val="5"/>
        </w:numPr>
        <w:ind w:firstLineChars="0" w:firstLine="560"/>
        <w:rPr>
          <w:rFonts w:ascii="仿宋_GB2312" w:eastAsia="仿宋_GB2312" w:hAnsi="仿宋"/>
        </w:rPr>
      </w:pPr>
      <w:r>
        <w:rPr>
          <w:rFonts w:ascii="仿宋_GB2312" w:eastAsia="仿宋_GB2312" w:hAnsi="仿宋" w:cs="仿宋_GB2312" w:hint="eastAsia"/>
        </w:rPr>
        <w:t>系统登陆时间≤</w:t>
      </w:r>
      <w:r>
        <w:rPr>
          <w:rFonts w:ascii="仿宋_GB2312" w:eastAsia="仿宋_GB2312" w:hAnsi="仿宋" w:cs="仿宋_GB2312"/>
        </w:rPr>
        <w:t>5</w:t>
      </w:r>
      <w:r>
        <w:rPr>
          <w:rFonts w:ascii="仿宋_GB2312" w:eastAsia="仿宋_GB2312" w:hAnsi="仿宋" w:cs="仿宋_GB2312" w:hint="eastAsia"/>
        </w:rPr>
        <w:t>秒；</w:t>
      </w:r>
    </w:p>
    <w:p w:rsidR="00427CFC" w:rsidRDefault="004220DA">
      <w:pPr>
        <w:numPr>
          <w:ilvl w:val="0"/>
          <w:numId w:val="5"/>
        </w:numPr>
        <w:ind w:firstLineChars="0" w:firstLine="560"/>
        <w:rPr>
          <w:rFonts w:ascii="仿宋_GB2312" w:eastAsia="仿宋_GB2312" w:hAnsi="仿宋"/>
        </w:rPr>
      </w:pPr>
      <w:r>
        <w:rPr>
          <w:rFonts w:ascii="仿宋_GB2312" w:eastAsia="仿宋_GB2312" w:hAnsi="仿宋" w:cs="仿宋_GB2312" w:hint="eastAsia"/>
        </w:rPr>
        <w:t>一般查询和写入操作响应时间（</w:t>
      </w:r>
      <w:r>
        <w:rPr>
          <w:rFonts w:ascii="仿宋_GB2312" w:eastAsia="仿宋_GB2312" w:hAnsi="仿宋" w:cs="仿宋_GB2312"/>
        </w:rPr>
        <w:t>90%</w:t>
      </w:r>
      <w:r>
        <w:rPr>
          <w:rFonts w:ascii="仿宋_GB2312" w:eastAsia="仿宋_GB2312" w:hAnsi="仿宋" w:cs="仿宋_GB2312" w:hint="eastAsia"/>
        </w:rPr>
        <w:t>的操作页面）≤</w:t>
      </w:r>
      <w:r>
        <w:rPr>
          <w:rFonts w:ascii="仿宋_GB2312" w:eastAsia="仿宋_GB2312" w:hAnsi="仿宋" w:cs="仿宋_GB2312"/>
        </w:rPr>
        <w:t>5</w:t>
      </w:r>
      <w:r>
        <w:rPr>
          <w:rFonts w:ascii="仿宋_GB2312" w:eastAsia="仿宋_GB2312" w:hAnsi="仿宋" w:cs="仿宋_GB2312" w:hint="eastAsia"/>
        </w:rPr>
        <w:t>秒；</w:t>
      </w:r>
    </w:p>
    <w:p w:rsidR="00427CFC" w:rsidRDefault="004220DA">
      <w:pPr>
        <w:numPr>
          <w:ilvl w:val="0"/>
          <w:numId w:val="5"/>
        </w:numPr>
        <w:ind w:firstLineChars="0" w:firstLine="560"/>
        <w:rPr>
          <w:rFonts w:ascii="仿宋_GB2312" w:eastAsia="仿宋_GB2312" w:hAnsi="仿宋"/>
        </w:rPr>
      </w:pPr>
      <w:r>
        <w:rPr>
          <w:rFonts w:ascii="仿宋_GB2312" w:eastAsia="仿宋_GB2312" w:hAnsi="仿宋" w:cs="仿宋_GB2312" w:hint="eastAsia"/>
        </w:rPr>
        <w:t>搜索类操作响应时间≤</w:t>
      </w:r>
      <w:r>
        <w:rPr>
          <w:rFonts w:ascii="仿宋_GB2312" w:eastAsia="仿宋_GB2312" w:hAnsi="仿宋" w:cs="仿宋_GB2312"/>
        </w:rPr>
        <w:t>10</w:t>
      </w:r>
      <w:r>
        <w:rPr>
          <w:rFonts w:ascii="仿宋_GB2312" w:eastAsia="仿宋_GB2312" w:hAnsi="仿宋" w:cs="仿宋_GB2312" w:hint="eastAsia"/>
        </w:rPr>
        <w:t>秒；</w:t>
      </w:r>
    </w:p>
    <w:p w:rsidR="00427CFC" w:rsidRDefault="004220DA">
      <w:pPr>
        <w:numPr>
          <w:ilvl w:val="0"/>
          <w:numId w:val="5"/>
        </w:numPr>
        <w:ind w:firstLineChars="0" w:firstLine="560"/>
        <w:rPr>
          <w:rFonts w:ascii="仿宋_GB2312" w:eastAsia="仿宋_GB2312" w:hAnsi="仿宋"/>
        </w:rPr>
      </w:pPr>
      <w:r>
        <w:rPr>
          <w:rFonts w:ascii="仿宋_GB2312" w:eastAsia="仿宋_GB2312" w:hAnsi="仿宋" w:cs="仿宋_GB2312" w:hint="eastAsia"/>
        </w:rPr>
        <w:t>报表统计类操作响应时间≤</w:t>
      </w:r>
      <w:r>
        <w:rPr>
          <w:rFonts w:ascii="仿宋_GB2312" w:eastAsia="仿宋_GB2312" w:hAnsi="仿宋" w:cs="仿宋_GB2312"/>
        </w:rPr>
        <w:t>15</w:t>
      </w:r>
      <w:r>
        <w:rPr>
          <w:rFonts w:ascii="仿宋_GB2312" w:eastAsia="仿宋_GB2312" w:hAnsi="仿宋" w:cs="仿宋_GB2312" w:hint="eastAsia"/>
        </w:rPr>
        <w:t>秒；</w:t>
      </w:r>
    </w:p>
    <w:p w:rsidR="00427CFC" w:rsidRDefault="004220DA">
      <w:pPr>
        <w:numPr>
          <w:ilvl w:val="0"/>
          <w:numId w:val="5"/>
        </w:numPr>
        <w:ind w:firstLineChars="0" w:firstLine="560"/>
      </w:pPr>
      <w:r>
        <w:rPr>
          <w:rFonts w:ascii="仿宋_GB2312" w:eastAsia="仿宋_GB2312" w:hAnsi="仿宋" w:cs="仿宋_GB2312" w:hint="eastAsia"/>
        </w:rPr>
        <w:t>响应时间较长的操作页面应显示进度条。</w:t>
      </w:r>
    </w:p>
    <w:p w:rsidR="00427CFC" w:rsidRDefault="004220DA">
      <w:pPr>
        <w:pStyle w:val="4"/>
        <w:ind w:left="1134" w:hanging="1134"/>
      </w:pPr>
      <w:bookmarkStart w:id="36" w:name="_Toc139355952"/>
      <w:bookmarkStart w:id="37" w:name="_Toc140830752"/>
      <w:r>
        <w:rPr>
          <w:rFonts w:hint="eastAsia"/>
        </w:rPr>
        <w:t>破产技术绩效考核目标</w:t>
      </w:r>
      <w:bookmarkEnd w:id="36"/>
      <w:bookmarkEnd w:id="37"/>
    </w:p>
    <w:tbl>
      <w:tblPr>
        <w:tblStyle w:val="af3"/>
        <w:tblW w:w="0" w:type="auto"/>
        <w:tblLook w:val="04A0"/>
      </w:tblPr>
      <w:tblGrid>
        <w:gridCol w:w="915"/>
        <w:gridCol w:w="1634"/>
        <w:gridCol w:w="2369"/>
        <w:gridCol w:w="2378"/>
        <w:gridCol w:w="1000"/>
      </w:tblGrid>
      <w:tr w:rsidR="00427CFC">
        <w:tc>
          <w:tcPr>
            <w:tcW w:w="915" w:type="dxa"/>
          </w:tcPr>
          <w:p w:rsidR="00427CFC" w:rsidRDefault="004220DA">
            <w:pPr>
              <w:pStyle w:val="affe"/>
              <w:ind w:firstLineChars="0" w:firstLine="0"/>
              <w:jc w:val="center"/>
              <w:rPr>
                <w:b/>
                <w:bCs/>
                <w:sz w:val="24"/>
                <w:szCs w:val="24"/>
              </w:rPr>
            </w:pPr>
            <w:r>
              <w:rPr>
                <w:rFonts w:hint="eastAsia"/>
                <w:b/>
                <w:bCs/>
                <w:sz w:val="24"/>
                <w:szCs w:val="24"/>
              </w:rPr>
              <w:t>编号</w:t>
            </w:r>
          </w:p>
        </w:tc>
        <w:tc>
          <w:tcPr>
            <w:tcW w:w="1634" w:type="dxa"/>
          </w:tcPr>
          <w:p w:rsidR="00427CFC" w:rsidRDefault="004220DA">
            <w:pPr>
              <w:pStyle w:val="affe"/>
              <w:ind w:firstLineChars="0" w:firstLine="0"/>
              <w:jc w:val="center"/>
              <w:rPr>
                <w:b/>
                <w:bCs/>
                <w:sz w:val="24"/>
                <w:szCs w:val="24"/>
              </w:rPr>
            </w:pPr>
            <w:r>
              <w:rPr>
                <w:rFonts w:hint="eastAsia"/>
                <w:b/>
                <w:bCs/>
                <w:sz w:val="24"/>
                <w:szCs w:val="24"/>
              </w:rPr>
              <w:t>业务项</w:t>
            </w:r>
          </w:p>
        </w:tc>
        <w:tc>
          <w:tcPr>
            <w:tcW w:w="2369" w:type="dxa"/>
          </w:tcPr>
          <w:p w:rsidR="00427CFC" w:rsidRDefault="004220DA">
            <w:pPr>
              <w:pStyle w:val="affe"/>
              <w:ind w:firstLineChars="0" w:firstLine="0"/>
              <w:jc w:val="center"/>
              <w:rPr>
                <w:b/>
                <w:bCs/>
                <w:sz w:val="24"/>
                <w:szCs w:val="24"/>
              </w:rPr>
            </w:pPr>
            <w:r>
              <w:rPr>
                <w:rFonts w:hint="eastAsia"/>
                <w:b/>
                <w:bCs/>
                <w:sz w:val="24"/>
                <w:szCs w:val="24"/>
              </w:rPr>
              <w:t>具体业务</w:t>
            </w:r>
          </w:p>
        </w:tc>
        <w:tc>
          <w:tcPr>
            <w:tcW w:w="2378" w:type="dxa"/>
          </w:tcPr>
          <w:p w:rsidR="00427CFC" w:rsidRDefault="004220DA">
            <w:pPr>
              <w:pStyle w:val="affe"/>
              <w:ind w:firstLineChars="0" w:firstLine="0"/>
              <w:jc w:val="center"/>
              <w:rPr>
                <w:b/>
                <w:bCs/>
                <w:sz w:val="24"/>
                <w:szCs w:val="24"/>
              </w:rPr>
            </w:pPr>
            <w:r>
              <w:rPr>
                <w:rFonts w:hint="eastAsia"/>
                <w:b/>
                <w:bCs/>
                <w:sz w:val="24"/>
                <w:szCs w:val="24"/>
              </w:rPr>
              <w:t>技术绩效目标</w:t>
            </w:r>
          </w:p>
        </w:tc>
        <w:tc>
          <w:tcPr>
            <w:tcW w:w="1000" w:type="dxa"/>
          </w:tcPr>
          <w:p w:rsidR="00427CFC" w:rsidRDefault="004220DA">
            <w:pPr>
              <w:pStyle w:val="affe"/>
              <w:ind w:firstLineChars="0" w:firstLine="0"/>
              <w:jc w:val="center"/>
              <w:rPr>
                <w:b/>
                <w:bCs/>
                <w:sz w:val="24"/>
                <w:szCs w:val="24"/>
              </w:rPr>
            </w:pPr>
            <w:r>
              <w:rPr>
                <w:rFonts w:hint="eastAsia"/>
                <w:b/>
                <w:bCs/>
                <w:sz w:val="24"/>
                <w:szCs w:val="24"/>
              </w:rPr>
              <w:t>备注</w:t>
            </w:r>
          </w:p>
        </w:tc>
      </w:tr>
      <w:tr w:rsidR="00427CFC">
        <w:tc>
          <w:tcPr>
            <w:tcW w:w="915" w:type="dxa"/>
            <w:vAlign w:val="center"/>
          </w:tcPr>
          <w:p w:rsidR="00427CFC" w:rsidRDefault="004220DA">
            <w:pPr>
              <w:pStyle w:val="affe"/>
              <w:ind w:firstLineChars="0" w:firstLine="0"/>
              <w:jc w:val="center"/>
              <w:rPr>
                <w:sz w:val="24"/>
                <w:szCs w:val="24"/>
              </w:rPr>
            </w:pPr>
            <w:r>
              <w:rPr>
                <w:rFonts w:hint="eastAsia"/>
                <w:sz w:val="24"/>
                <w:szCs w:val="24"/>
              </w:rPr>
              <w:t>1</w:t>
            </w:r>
          </w:p>
        </w:tc>
        <w:tc>
          <w:tcPr>
            <w:tcW w:w="1634" w:type="dxa"/>
            <w:vMerge w:val="restart"/>
            <w:vAlign w:val="center"/>
          </w:tcPr>
          <w:p w:rsidR="00427CFC" w:rsidRDefault="004220DA">
            <w:pPr>
              <w:pStyle w:val="affe"/>
              <w:ind w:firstLineChars="0" w:firstLine="0"/>
              <w:jc w:val="center"/>
              <w:rPr>
                <w:sz w:val="24"/>
                <w:szCs w:val="24"/>
              </w:rPr>
            </w:pPr>
            <w:r>
              <w:rPr>
                <w:rFonts w:ascii="仿宋_GB2312" w:eastAsia="仿宋_GB2312" w:hAnsi="宋体" w:cs="仿宋_GB2312" w:hint="eastAsia"/>
                <w:b/>
                <w:bCs/>
                <w:sz w:val="24"/>
                <w:szCs w:val="24"/>
              </w:rPr>
              <w:t>破产管理人员机构信息管理</w:t>
            </w:r>
          </w:p>
        </w:tc>
        <w:tc>
          <w:tcPr>
            <w:tcW w:w="2369" w:type="dxa"/>
            <w:vAlign w:val="center"/>
          </w:tcPr>
          <w:p w:rsidR="00427CFC" w:rsidRDefault="004220DA">
            <w:pPr>
              <w:pStyle w:val="affe"/>
              <w:ind w:firstLineChars="0" w:firstLine="0"/>
              <w:jc w:val="center"/>
              <w:rPr>
                <w:sz w:val="24"/>
                <w:szCs w:val="24"/>
              </w:rPr>
            </w:pPr>
            <w:r>
              <w:rPr>
                <w:rFonts w:hint="eastAsia"/>
                <w:sz w:val="24"/>
                <w:szCs w:val="24"/>
              </w:rPr>
              <w:t>机构信息管理</w:t>
            </w:r>
          </w:p>
        </w:tc>
        <w:tc>
          <w:tcPr>
            <w:tcW w:w="2378" w:type="dxa"/>
          </w:tcPr>
          <w:p w:rsidR="00427CFC" w:rsidRDefault="004220DA">
            <w:pPr>
              <w:pStyle w:val="affe"/>
              <w:ind w:firstLineChars="0" w:firstLine="0"/>
              <w:jc w:val="center"/>
              <w:rPr>
                <w:sz w:val="24"/>
                <w:szCs w:val="24"/>
              </w:rPr>
            </w:pPr>
            <w:r>
              <w:rPr>
                <w:rFonts w:hint="eastAsia"/>
                <w:sz w:val="24"/>
                <w:szCs w:val="24"/>
              </w:rPr>
              <w:t>相关建设功能满足实际业务场景需要，机构信息管理流程规</w:t>
            </w:r>
            <w:r>
              <w:rPr>
                <w:rFonts w:hint="eastAsia"/>
                <w:sz w:val="24"/>
                <w:szCs w:val="24"/>
              </w:rPr>
              <w:lastRenderedPageBreak/>
              <w:t>范，界面功能按钮响应时间≤5秒</w:t>
            </w:r>
          </w:p>
        </w:tc>
        <w:tc>
          <w:tcPr>
            <w:tcW w:w="1000" w:type="dxa"/>
          </w:tcPr>
          <w:p w:rsidR="00427CFC" w:rsidRDefault="00427CFC">
            <w:pPr>
              <w:pStyle w:val="affe"/>
              <w:ind w:firstLineChars="0" w:firstLine="0"/>
              <w:rPr>
                <w:sz w:val="24"/>
                <w:szCs w:val="24"/>
              </w:rPr>
            </w:pPr>
          </w:p>
        </w:tc>
      </w:tr>
      <w:tr w:rsidR="00427CFC">
        <w:tc>
          <w:tcPr>
            <w:tcW w:w="915" w:type="dxa"/>
            <w:vAlign w:val="center"/>
          </w:tcPr>
          <w:p w:rsidR="00427CFC" w:rsidRDefault="004220DA">
            <w:pPr>
              <w:pStyle w:val="affe"/>
              <w:ind w:firstLineChars="0" w:firstLine="0"/>
              <w:jc w:val="center"/>
              <w:rPr>
                <w:sz w:val="24"/>
                <w:szCs w:val="24"/>
              </w:rPr>
            </w:pPr>
            <w:r>
              <w:rPr>
                <w:rFonts w:hint="eastAsia"/>
                <w:sz w:val="24"/>
                <w:szCs w:val="24"/>
              </w:rPr>
              <w:lastRenderedPageBreak/>
              <w:t>2</w:t>
            </w:r>
          </w:p>
        </w:tc>
        <w:tc>
          <w:tcPr>
            <w:tcW w:w="1634" w:type="dxa"/>
            <w:vMerge/>
            <w:vAlign w:val="center"/>
          </w:tcPr>
          <w:p w:rsidR="00427CFC" w:rsidRDefault="00427CFC">
            <w:pPr>
              <w:pStyle w:val="affe"/>
              <w:ind w:firstLineChars="0" w:firstLine="0"/>
              <w:jc w:val="center"/>
              <w:rPr>
                <w:sz w:val="24"/>
                <w:szCs w:val="24"/>
              </w:rPr>
            </w:pPr>
          </w:p>
        </w:tc>
        <w:tc>
          <w:tcPr>
            <w:tcW w:w="2369" w:type="dxa"/>
            <w:vAlign w:val="center"/>
          </w:tcPr>
          <w:p w:rsidR="00427CFC" w:rsidRDefault="004220DA">
            <w:pPr>
              <w:pStyle w:val="affe"/>
              <w:ind w:firstLineChars="0" w:firstLine="0"/>
              <w:jc w:val="center"/>
              <w:rPr>
                <w:sz w:val="24"/>
                <w:szCs w:val="24"/>
              </w:rPr>
            </w:pPr>
            <w:r>
              <w:rPr>
                <w:rFonts w:hint="eastAsia"/>
                <w:sz w:val="24"/>
                <w:szCs w:val="24"/>
              </w:rPr>
              <w:t>人员信息管理</w:t>
            </w:r>
          </w:p>
        </w:tc>
        <w:tc>
          <w:tcPr>
            <w:tcW w:w="2378" w:type="dxa"/>
          </w:tcPr>
          <w:p w:rsidR="00427CFC" w:rsidRDefault="004220DA">
            <w:pPr>
              <w:pStyle w:val="affe"/>
              <w:ind w:firstLineChars="0" w:firstLine="0"/>
              <w:jc w:val="center"/>
              <w:rPr>
                <w:sz w:val="24"/>
                <w:szCs w:val="24"/>
              </w:rPr>
            </w:pPr>
            <w:r>
              <w:rPr>
                <w:rFonts w:hint="eastAsia"/>
                <w:sz w:val="24"/>
                <w:szCs w:val="24"/>
              </w:rPr>
              <w:t>相关建设功能满足实际业务场景需要，人员信息管理流程规范，界面功能按钮响应时间≤5秒</w:t>
            </w:r>
          </w:p>
        </w:tc>
        <w:tc>
          <w:tcPr>
            <w:tcW w:w="1000" w:type="dxa"/>
          </w:tcPr>
          <w:p w:rsidR="00427CFC" w:rsidRDefault="00427CFC">
            <w:pPr>
              <w:pStyle w:val="affe"/>
              <w:ind w:firstLineChars="0" w:firstLine="0"/>
              <w:rPr>
                <w:sz w:val="24"/>
                <w:szCs w:val="24"/>
              </w:rPr>
            </w:pPr>
          </w:p>
        </w:tc>
      </w:tr>
      <w:tr w:rsidR="00427CFC">
        <w:tc>
          <w:tcPr>
            <w:tcW w:w="915" w:type="dxa"/>
            <w:vAlign w:val="center"/>
          </w:tcPr>
          <w:p w:rsidR="00427CFC" w:rsidRDefault="004220DA">
            <w:pPr>
              <w:pStyle w:val="affe"/>
              <w:ind w:firstLineChars="0" w:firstLine="0"/>
              <w:jc w:val="center"/>
              <w:rPr>
                <w:sz w:val="24"/>
                <w:szCs w:val="24"/>
              </w:rPr>
            </w:pPr>
            <w:r>
              <w:rPr>
                <w:rFonts w:hint="eastAsia"/>
                <w:sz w:val="24"/>
                <w:szCs w:val="24"/>
              </w:rPr>
              <w:t>3</w:t>
            </w:r>
          </w:p>
        </w:tc>
        <w:tc>
          <w:tcPr>
            <w:tcW w:w="1634" w:type="dxa"/>
            <w:vMerge/>
            <w:vAlign w:val="center"/>
          </w:tcPr>
          <w:p w:rsidR="00427CFC" w:rsidRDefault="00427CFC">
            <w:pPr>
              <w:pStyle w:val="affe"/>
              <w:ind w:firstLineChars="0" w:firstLine="0"/>
              <w:jc w:val="center"/>
              <w:rPr>
                <w:sz w:val="24"/>
                <w:szCs w:val="24"/>
              </w:rPr>
            </w:pPr>
          </w:p>
        </w:tc>
        <w:tc>
          <w:tcPr>
            <w:tcW w:w="2369" w:type="dxa"/>
            <w:vAlign w:val="center"/>
          </w:tcPr>
          <w:p w:rsidR="00427CFC" w:rsidRDefault="004220DA">
            <w:pPr>
              <w:pStyle w:val="affe"/>
              <w:ind w:firstLineChars="0" w:firstLine="0"/>
              <w:jc w:val="center"/>
              <w:rPr>
                <w:sz w:val="24"/>
                <w:szCs w:val="24"/>
              </w:rPr>
            </w:pPr>
            <w:r>
              <w:rPr>
                <w:rFonts w:hint="eastAsia"/>
                <w:sz w:val="24"/>
                <w:szCs w:val="24"/>
              </w:rPr>
              <w:t>人员机构统计分析</w:t>
            </w:r>
          </w:p>
        </w:tc>
        <w:tc>
          <w:tcPr>
            <w:tcW w:w="2378" w:type="dxa"/>
          </w:tcPr>
          <w:p w:rsidR="00427CFC" w:rsidRDefault="004220DA">
            <w:pPr>
              <w:pStyle w:val="affe"/>
              <w:ind w:firstLineChars="0" w:firstLine="0"/>
              <w:jc w:val="center"/>
              <w:rPr>
                <w:sz w:val="24"/>
                <w:szCs w:val="24"/>
              </w:rPr>
            </w:pPr>
            <w:r>
              <w:rPr>
                <w:rFonts w:hint="eastAsia"/>
                <w:sz w:val="24"/>
                <w:szCs w:val="24"/>
              </w:rPr>
              <w:t>相关建设功能满足实际业务场景需要，人员机构信息统计分析流程规范，界面功能按钮响应时间≤5秒</w:t>
            </w:r>
          </w:p>
        </w:tc>
        <w:tc>
          <w:tcPr>
            <w:tcW w:w="1000" w:type="dxa"/>
          </w:tcPr>
          <w:p w:rsidR="00427CFC" w:rsidRDefault="00427CFC">
            <w:pPr>
              <w:pStyle w:val="affe"/>
              <w:ind w:firstLineChars="0" w:firstLine="0"/>
              <w:rPr>
                <w:sz w:val="24"/>
                <w:szCs w:val="24"/>
              </w:rPr>
            </w:pPr>
          </w:p>
        </w:tc>
      </w:tr>
      <w:tr w:rsidR="00427CFC">
        <w:tc>
          <w:tcPr>
            <w:tcW w:w="915" w:type="dxa"/>
            <w:vAlign w:val="center"/>
          </w:tcPr>
          <w:p w:rsidR="00427CFC" w:rsidRDefault="004220DA">
            <w:pPr>
              <w:pStyle w:val="affe"/>
              <w:ind w:firstLineChars="0" w:firstLine="0"/>
              <w:jc w:val="center"/>
              <w:rPr>
                <w:sz w:val="24"/>
                <w:szCs w:val="24"/>
              </w:rPr>
            </w:pPr>
            <w:r>
              <w:rPr>
                <w:rFonts w:hint="eastAsia"/>
                <w:sz w:val="24"/>
                <w:szCs w:val="24"/>
              </w:rPr>
              <w:t>4</w:t>
            </w:r>
          </w:p>
        </w:tc>
        <w:tc>
          <w:tcPr>
            <w:tcW w:w="1634" w:type="dxa"/>
            <w:vMerge w:val="restart"/>
            <w:vAlign w:val="center"/>
          </w:tcPr>
          <w:p w:rsidR="00427CFC" w:rsidRDefault="004220DA">
            <w:pPr>
              <w:pStyle w:val="affe"/>
              <w:ind w:firstLineChars="0" w:firstLine="0"/>
              <w:jc w:val="center"/>
              <w:rPr>
                <w:rFonts w:ascii="仿宋_GB2312" w:eastAsia="仿宋_GB2312" w:hAnsi="宋体" w:cs="仿宋_GB2312"/>
                <w:b/>
                <w:bCs/>
                <w:sz w:val="24"/>
                <w:szCs w:val="24"/>
              </w:rPr>
            </w:pPr>
            <w:r>
              <w:rPr>
                <w:rFonts w:ascii="仿宋_GB2312" w:eastAsia="仿宋_GB2312" w:hAnsi="宋体" w:cs="仿宋_GB2312" w:hint="eastAsia"/>
                <w:b/>
                <w:bCs/>
                <w:sz w:val="24"/>
                <w:szCs w:val="24"/>
              </w:rPr>
              <w:t>破产管理人年度考核</w:t>
            </w:r>
          </w:p>
        </w:tc>
        <w:tc>
          <w:tcPr>
            <w:tcW w:w="2369" w:type="dxa"/>
            <w:vAlign w:val="center"/>
          </w:tcPr>
          <w:p w:rsidR="00427CFC" w:rsidRDefault="004220DA">
            <w:pPr>
              <w:pStyle w:val="affe"/>
              <w:ind w:firstLineChars="0" w:firstLine="0"/>
              <w:jc w:val="center"/>
              <w:rPr>
                <w:sz w:val="24"/>
                <w:szCs w:val="24"/>
              </w:rPr>
            </w:pPr>
            <w:r>
              <w:rPr>
                <w:rFonts w:hint="eastAsia"/>
                <w:sz w:val="24"/>
                <w:szCs w:val="24"/>
              </w:rPr>
              <w:t>破产管理人填报</w:t>
            </w:r>
          </w:p>
        </w:tc>
        <w:tc>
          <w:tcPr>
            <w:tcW w:w="2378" w:type="dxa"/>
          </w:tcPr>
          <w:p w:rsidR="00427CFC" w:rsidRDefault="004220DA">
            <w:pPr>
              <w:pStyle w:val="affe"/>
              <w:ind w:firstLineChars="0" w:firstLine="0"/>
              <w:jc w:val="center"/>
              <w:rPr>
                <w:sz w:val="24"/>
                <w:szCs w:val="24"/>
              </w:rPr>
            </w:pPr>
            <w:r>
              <w:rPr>
                <w:rFonts w:hint="eastAsia"/>
                <w:sz w:val="24"/>
                <w:szCs w:val="24"/>
              </w:rPr>
              <w:t>相关建设功能满足实际业务场景需要，破产管理人填报流程规范，界面功能按钮响应时间≤5秒</w:t>
            </w:r>
          </w:p>
        </w:tc>
        <w:tc>
          <w:tcPr>
            <w:tcW w:w="1000" w:type="dxa"/>
          </w:tcPr>
          <w:p w:rsidR="00427CFC" w:rsidRDefault="00427CFC">
            <w:pPr>
              <w:pStyle w:val="affe"/>
              <w:ind w:firstLineChars="0" w:firstLine="0"/>
              <w:rPr>
                <w:sz w:val="24"/>
                <w:szCs w:val="24"/>
              </w:rPr>
            </w:pPr>
          </w:p>
        </w:tc>
      </w:tr>
      <w:tr w:rsidR="00427CFC">
        <w:tc>
          <w:tcPr>
            <w:tcW w:w="915" w:type="dxa"/>
            <w:vAlign w:val="center"/>
          </w:tcPr>
          <w:p w:rsidR="00427CFC" w:rsidRDefault="004220DA">
            <w:pPr>
              <w:pStyle w:val="affe"/>
              <w:ind w:firstLineChars="0" w:firstLine="0"/>
              <w:jc w:val="center"/>
              <w:rPr>
                <w:sz w:val="24"/>
                <w:szCs w:val="24"/>
              </w:rPr>
            </w:pPr>
            <w:r>
              <w:rPr>
                <w:rFonts w:hint="eastAsia"/>
                <w:sz w:val="24"/>
                <w:szCs w:val="24"/>
              </w:rPr>
              <w:t>5</w:t>
            </w:r>
          </w:p>
        </w:tc>
        <w:tc>
          <w:tcPr>
            <w:tcW w:w="1634" w:type="dxa"/>
            <w:vMerge/>
            <w:vAlign w:val="center"/>
          </w:tcPr>
          <w:p w:rsidR="00427CFC" w:rsidRDefault="00427CFC">
            <w:pPr>
              <w:pStyle w:val="affe"/>
              <w:ind w:firstLineChars="0" w:firstLine="0"/>
              <w:jc w:val="center"/>
              <w:rPr>
                <w:rFonts w:ascii="仿宋_GB2312" w:eastAsia="仿宋_GB2312" w:hAnsi="宋体" w:cs="仿宋_GB2312"/>
                <w:b/>
                <w:bCs/>
                <w:sz w:val="24"/>
                <w:szCs w:val="24"/>
              </w:rPr>
            </w:pPr>
          </w:p>
        </w:tc>
        <w:tc>
          <w:tcPr>
            <w:tcW w:w="2369" w:type="dxa"/>
            <w:vAlign w:val="center"/>
          </w:tcPr>
          <w:p w:rsidR="00427CFC" w:rsidRDefault="004220DA">
            <w:pPr>
              <w:pStyle w:val="affe"/>
              <w:ind w:firstLineChars="0" w:firstLine="0"/>
              <w:jc w:val="center"/>
              <w:rPr>
                <w:sz w:val="24"/>
                <w:szCs w:val="24"/>
              </w:rPr>
            </w:pPr>
            <w:r>
              <w:rPr>
                <w:rFonts w:hint="eastAsia"/>
                <w:sz w:val="24"/>
                <w:szCs w:val="24"/>
              </w:rPr>
              <w:t>破产管理机构填报</w:t>
            </w:r>
          </w:p>
        </w:tc>
        <w:tc>
          <w:tcPr>
            <w:tcW w:w="2378" w:type="dxa"/>
          </w:tcPr>
          <w:p w:rsidR="00427CFC" w:rsidRDefault="004220DA">
            <w:pPr>
              <w:pStyle w:val="affe"/>
              <w:ind w:firstLineChars="0" w:firstLine="0"/>
              <w:jc w:val="center"/>
              <w:rPr>
                <w:sz w:val="24"/>
                <w:szCs w:val="24"/>
              </w:rPr>
            </w:pPr>
            <w:r>
              <w:rPr>
                <w:rFonts w:hint="eastAsia"/>
                <w:sz w:val="24"/>
                <w:szCs w:val="24"/>
              </w:rPr>
              <w:t>相关建设功能满足实际业务场景需要，破产管理机构填报流程规范，界面功能按钮响应时间≤5秒</w:t>
            </w:r>
          </w:p>
        </w:tc>
        <w:tc>
          <w:tcPr>
            <w:tcW w:w="1000" w:type="dxa"/>
          </w:tcPr>
          <w:p w:rsidR="00427CFC" w:rsidRDefault="00427CFC">
            <w:pPr>
              <w:pStyle w:val="affe"/>
              <w:ind w:firstLineChars="0" w:firstLine="0"/>
              <w:rPr>
                <w:sz w:val="24"/>
                <w:szCs w:val="24"/>
              </w:rPr>
            </w:pPr>
          </w:p>
        </w:tc>
      </w:tr>
      <w:tr w:rsidR="00427CFC">
        <w:tc>
          <w:tcPr>
            <w:tcW w:w="915" w:type="dxa"/>
            <w:vAlign w:val="center"/>
          </w:tcPr>
          <w:p w:rsidR="00427CFC" w:rsidRDefault="004220DA">
            <w:pPr>
              <w:pStyle w:val="affe"/>
              <w:ind w:firstLineChars="0" w:firstLine="0"/>
              <w:jc w:val="center"/>
              <w:rPr>
                <w:sz w:val="24"/>
                <w:szCs w:val="24"/>
              </w:rPr>
            </w:pPr>
            <w:r>
              <w:rPr>
                <w:rFonts w:hint="eastAsia"/>
                <w:sz w:val="24"/>
                <w:szCs w:val="24"/>
              </w:rPr>
              <w:t>6</w:t>
            </w:r>
          </w:p>
        </w:tc>
        <w:tc>
          <w:tcPr>
            <w:tcW w:w="1634" w:type="dxa"/>
            <w:vMerge/>
            <w:vAlign w:val="center"/>
          </w:tcPr>
          <w:p w:rsidR="00427CFC" w:rsidRDefault="00427CFC">
            <w:pPr>
              <w:pStyle w:val="affe"/>
              <w:ind w:firstLineChars="0" w:firstLine="0"/>
              <w:jc w:val="center"/>
              <w:rPr>
                <w:rFonts w:ascii="仿宋_GB2312" w:eastAsia="仿宋_GB2312" w:hAnsi="宋体" w:cs="仿宋_GB2312"/>
                <w:b/>
                <w:bCs/>
                <w:sz w:val="24"/>
                <w:szCs w:val="24"/>
              </w:rPr>
            </w:pPr>
          </w:p>
        </w:tc>
        <w:tc>
          <w:tcPr>
            <w:tcW w:w="2369" w:type="dxa"/>
            <w:vAlign w:val="center"/>
          </w:tcPr>
          <w:p w:rsidR="00427CFC" w:rsidRDefault="004220DA">
            <w:pPr>
              <w:pStyle w:val="affe"/>
              <w:ind w:firstLineChars="0" w:firstLine="0"/>
              <w:jc w:val="center"/>
              <w:rPr>
                <w:sz w:val="24"/>
                <w:szCs w:val="24"/>
              </w:rPr>
            </w:pPr>
            <w:r>
              <w:rPr>
                <w:rFonts w:hint="eastAsia"/>
                <w:sz w:val="24"/>
                <w:szCs w:val="24"/>
              </w:rPr>
              <w:t>年度考核管理</w:t>
            </w:r>
          </w:p>
        </w:tc>
        <w:tc>
          <w:tcPr>
            <w:tcW w:w="2378" w:type="dxa"/>
          </w:tcPr>
          <w:p w:rsidR="00427CFC" w:rsidRDefault="004220DA">
            <w:pPr>
              <w:pStyle w:val="affe"/>
              <w:ind w:firstLineChars="0" w:firstLine="0"/>
              <w:jc w:val="center"/>
              <w:rPr>
                <w:sz w:val="24"/>
                <w:szCs w:val="24"/>
              </w:rPr>
            </w:pPr>
            <w:r>
              <w:rPr>
                <w:rFonts w:hint="eastAsia"/>
                <w:sz w:val="24"/>
                <w:szCs w:val="24"/>
              </w:rPr>
              <w:t>相关建设功能满足实际业务场景需要，年度考核流程规范，界面功能按钮响应时间≤5秒</w:t>
            </w:r>
          </w:p>
        </w:tc>
        <w:tc>
          <w:tcPr>
            <w:tcW w:w="1000" w:type="dxa"/>
          </w:tcPr>
          <w:p w:rsidR="00427CFC" w:rsidRDefault="00427CFC">
            <w:pPr>
              <w:pStyle w:val="affe"/>
              <w:ind w:firstLineChars="0" w:firstLine="0"/>
              <w:rPr>
                <w:sz w:val="24"/>
                <w:szCs w:val="24"/>
              </w:rPr>
            </w:pPr>
          </w:p>
        </w:tc>
      </w:tr>
      <w:tr w:rsidR="00427CFC">
        <w:tc>
          <w:tcPr>
            <w:tcW w:w="915" w:type="dxa"/>
            <w:vAlign w:val="center"/>
          </w:tcPr>
          <w:p w:rsidR="00427CFC" w:rsidRDefault="004220DA">
            <w:pPr>
              <w:pStyle w:val="affe"/>
              <w:ind w:firstLineChars="0" w:firstLine="0"/>
              <w:jc w:val="center"/>
              <w:rPr>
                <w:sz w:val="24"/>
                <w:szCs w:val="24"/>
              </w:rPr>
            </w:pPr>
            <w:r>
              <w:rPr>
                <w:rFonts w:hint="eastAsia"/>
                <w:sz w:val="24"/>
                <w:szCs w:val="24"/>
              </w:rPr>
              <w:t>7</w:t>
            </w:r>
          </w:p>
        </w:tc>
        <w:tc>
          <w:tcPr>
            <w:tcW w:w="1634" w:type="dxa"/>
            <w:vMerge/>
            <w:vAlign w:val="center"/>
          </w:tcPr>
          <w:p w:rsidR="00427CFC" w:rsidRDefault="00427CFC">
            <w:pPr>
              <w:pStyle w:val="affe"/>
              <w:ind w:firstLineChars="0" w:firstLine="0"/>
              <w:jc w:val="center"/>
              <w:rPr>
                <w:rFonts w:ascii="仿宋_GB2312" w:eastAsia="仿宋_GB2312" w:hAnsi="宋体" w:cs="仿宋_GB2312"/>
                <w:b/>
                <w:bCs/>
                <w:sz w:val="24"/>
                <w:szCs w:val="24"/>
              </w:rPr>
            </w:pPr>
          </w:p>
        </w:tc>
        <w:tc>
          <w:tcPr>
            <w:tcW w:w="2369" w:type="dxa"/>
            <w:vAlign w:val="center"/>
          </w:tcPr>
          <w:p w:rsidR="00427CFC" w:rsidRDefault="004220DA">
            <w:pPr>
              <w:pStyle w:val="affe"/>
              <w:ind w:firstLineChars="0" w:firstLine="0"/>
              <w:jc w:val="center"/>
              <w:rPr>
                <w:sz w:val="24"/>
                <w:szCs w:val="24"/>
              </w:rPr>
            </w:pPr>
            <w:r>
              <w:rPr>
                <w:rFonts w:hint="eastAsia"/>
                <w:sz w:val="24"/>
                <w:szCs w:val="24"/>
              </w:rPr>
              <w:t>考核信息公示</w:t>
            </w:r>
          </w:p>
        </w:tc>
        <w:tc>
          <w:tcPr>
            <w:tcW w:w="2378" w:type="dxa"/>
          </w:tcPr>
          <w:p w:rsidR="00427CFC" w:rsidRDefault="004220DA">
            <w:pPr>
              <w:pStyle w:val="affe"/>
              <w:ind w:firstLineChars="0" w:firstLine="0"/>
              <w:jc w:val="center"/>
              <w:rPr>
                <w:sz w:val="24"/>
                <w:szCs w:val="24"/>
              </w:rPr>
            </w:pPr>
            <w:r>
              <w:rPr>
                <w:rFonts w:hint="eastAsia"/>
                <w:sz w:val="24"/>
                <w:szCs w:val="24"/>
              </w:rPr>
              <w:t>相关建设功能满足实际业务场景需要，考</w:t>
            </w:r>
            <w:r>
              <w:rPr>
                <w:rFonts w:hint="eastAsia"/>
                <w:sz w:val="24"/>
                <w:szCs w:val="24"/>
              </w:rPr>
              <w:lastRenderedPageBreak/>
              <w:t>核信息公示页面响应时间≤5秒</w:t>
            </w:r>
          </w:p>
        </w:tc>
        <w:tc>
          <w:tcPr>
            <w:tcW w:w="1000" w:type="dxa"/>
          </w:tcPr>
          <w:p w:rsidR="00427CFC" w:rsidRDefault="00427CFC">
            <w:pPr>
              <w:pStyle w:val="affe"/>
              <w:ind w:firstLineChars="0" w:firstLine="0"/>
              <w:rPr>
                <w:sz w:val="24"/>
                <w:szCs w:val="24"/>
              </w:rPr>
            </w:pPr>
          </w:p>
        </w:tc>
      </w:tr>
      <w:tr w:rsidR="00427CFC">
        <w:tc>
          <w:tcPr>
            <w:tcW w:w="915" w:type="dxa"/>
            <w:vAlign w:val="center"/>
          </w:tcPr>
          <w:p w:rsidR="00427CFC" w:rsidRDefault="004220DA">
            <w:pPr>
              <w:pStyle w:val="affe"/>
              <w:ind w:firstLineChars="0" w:firstLine="0"/>
              <w:jc w:val="center"/>
              <w:rPr>
                <w:sz w:val="24"/>
                <w:szCs w:val="24"/>
              </w:rPr>
            </w:pPr>
            <w:r>
              <w:rPr>
                <w:rFonts w:hint="eastAsia"/>
                <w:sz w:val="24"/>
                <w:szCs w:val="24"/>
              </w:rPr>
              <w:lastRenderedPageBreak/>
              <w:t>8</w:t>
            </w:r>
          </w:p>
        </w:tc>
        <w:tc>
          <w:tcPr>
            <w:tcW w:w="1634" w:type="dxa"/>
            <w:vMerge w:val="restart"/>
            <w:vAlign w:val="center"/>
          </w:tcPr>
          <w:p w:rsidR="00427CFC" w:rsidRDefault="004220DA">
            <w:pPr>
              <w:pStyle w:val="affe"/>
              <w:ind w:firstLineChars="0" w:firstLine="0"/>
              <w:jc w:val="center"/>
              <w:rPr>
                <w:rFonts w:ascii="仿宋_GB2312" w:eastAsia="仿宋_GB2312" w:hAnsi="宋体" w:cs="仿宋_GB2312"/>
                <w:b/>
                <w:bCs/>
                <w:sz w:val="24"/>
                <w:szCs w:val="24"/>
              </w:rPr>
            </w:pPr>
            <w:r>
              <w:rPr>
                <w:rFonts w:ascii="仿宋_GB2312" w:eastAsia="仿宋_GB2312" w:hAnsi="宋体" w:cs="仿宋_GB2312" w:hint="eastAsia"/>
                <w:b/>
                <w:bCs/>
                <w:sz w:val="24"/>
                <w:szCs w:val="24"/>
              </w:rPr>
              <w:t>破产管理人服务</w:t>
            </w:r>
          </w:p>
        </w:tc>
        <w:tc>
          <w:tcPr>
            <w:tcW w:w="2369" w:type="dxa"/>
            <w:vAlign w:val="center"/>
          </w:tcPr>
          <w:p w:rsidR="00427CFC" w:rsidRDefault="004220DA">
            <w:pPr>
              <w:pStyle w:val="affe"/>
              <w:ind w:firstLineChars="0" w:firstLine="0"/>
              <w:jc w:val="center"/>
              <w:rPr>
                <w:sz w:val="24"/>
                <w:szCs w:val="24"/>
              </w:rPr>
            </w:pPr>
            <w:r>
              <w:rPr>
                <w:rFonts w:hint="eastAsia"/>
                <w:sz w:val="24"/>
                <w:szCs w:val="24"/>
              </w:rPr>
              <w:t>通知发布</w:t>
            </w:r>
          </w:p>
        </w:tc>
        <w:tc>
          <w:tcPr>
            <w:tcW w:w="2378" w:type="dxa"/>
          </w:tcPr>
          <w:p w:rsidR="00427CFC" w:rsidRDefault="004220DA">
            <w:pPr>
              <w:pStyle w:val="affe"/>
              <w:ind w:firstLineChars="0" w:firstLine="0"/>
              <w:jc w:val="center"/>
              <w:rPr>
                <w:sz w:val="24"/>
                <w:szCs w:val="24"/>
              </w:rPr>
            </w:pPr>
            <w:r>
              <w:rPr>
                <w:rFonts w:hint="eastAsia"/>
                <w:sz w:val="24"/>
                <w:szCs w:val="24"/>
              </w:rPr>
              <w:t>相关建设功能满足实际业务场景需要，通知发布流程规范，界面功能按钮响应时间≤5秒</w:t>
            </w:r>
          </w:p>
        </w:tc>
        <w:tc>
          <w:tcPr>
            <w:tcW w:w="1000" w:type="dxa"/>
          </w:tcPr>
          <w:p w:rsidR="00427CFC" w:rsidRDefault="00427CFC">
            <w:pPr>
              <w:pStyle w:val="affe"/>
              <w:ind w:firstLineChars="0" w:firstLine="0"/>
              <w:rPr>
                <w:sz w:val="24"/>
                <w:szCs w:val="24"/>
              </w:rPr>
            </w:pPr>
          </w:p>
        </w:tc>
      </w:tr>
      <w:tr w:rsidR="00427CFC">
        <w:tc>
          <w:tcPr>
            <w:tcW w:w="915" w:type="dxa"/>
            <w:vAlign w:val="center"/>
          </w:tcPr>
          <w:p w:rsidR="00427CFC" w:rsidRDefault="004220DA">
            <w:pPr>
              <w:pStyle w:val="affe"/>
              <w:ind w:firstLineChars="0" w:firstLine="0"/>
              <w:jc w:val="center"/>
              <w:rPr>
                <w:sz w:val="24"/>
                <w:szCs w:val="24"/>
              </w:rPr>
            </w:pPr>
            <w:r>
              <w:rPr>
                <w:rFonts w:hint="eastAsia"/>
                <w:sz w:val="24"/>
                <w:szCs w:val="24"/>
              </w:rPr>
              <w:t>9</w:t>
            </w:r>
          </w:p>
        </w:tc>
        <w:tc>
          <w:tcPr>
            <w:tcW w:w="1634" w:type="dxa"/>
            <w:vMerge/>
            <w:vAlign w:val="center"/>
          </w:tcPr>
          <w:p w:rsidR="00427CFC" w:rsidRDefault="00427CFC">
            <w:pPr>
              <w:pStyle w:val="affe"/>
              <w:ind w:firstLineChars="0" w:firstLine="0"/>
              <w:rPr>
                <w:rFonts w:ascii="仿宋_GB2312" w:eastAsia="仿宋_GB2312" w:hAnsi="宋体" w:cs="仿宋_GB2312"/>
                <w:b/>
                <w:bCs/>
                <w:sz w:val="24"/>
                <w:szCs w:val="24"/>
              </w:rPr>
            </w:pPr>
          </w:p>
        </w:tc>
        <w:tc>
          <w:tcPr>
            <w:tcW w:w="2369" w:type="dxa"/>
            <w:vAlign w:val="center"/>
          </w:tcPr>
          <w:p w:rsidR="00427CFC" w:rsidRDefault="004220DA">
            <w:pPr>
              <w:pStyle w:val="affe"/>
              <w:ind w:firstLineChars="0" w:firstLine="0"/>
              <w:jc w:val="center"/>
              <w:rPr>
                <w:sz w:val="24"/>
                <w:szCs w:val="24"/>
              </w:rPr>
            </w:pPr>
            <w:r>
              <w:rPr>
                <w:rFonts w:hint="eastAsia"/>
                <w:sz w:val="24"/>
                <w:szCs w:val="24"/>
              </w:rPr>
              <w:t>在线调研</w:t>
            </w:r>
          </w:p>
        </w:tc>
        <w:tc>
          <w:tcPr>
            <w:tcW w:w="2378" w:type="dxa"/>
          </w:tcPr>
          <w:p w:rsidR="00427CFC" w:rsidRDefault="004220DA">
            <w:pPr>
              <w:pStyle w:val="affe"/>
              <w:ind w:firstLineChars="0" w:firstLine="0"/>
              <w:jc w:val="center"/>
              <w:rPr>
                <w:sz w:val="24"/>
                <w:szCs w:val="24"/>
              </w:rPr>
            </w:pPr>
            <w:r>
              <w:rPr>
                <w:rFonts w:hint="eastAsia"/>
                <w:sz w:val="24"/>
                <w:szCs w:val="24"/>
              </w:rPr>
              <w:t>相关建设功能满足实际业务场景需要，在线调研流程规范，界面功能按钮响应时间≤5秒</w:t>
            </w:r>
          </w:p>
        </w:tc>
        <w:tc>
          <w:tcPr>
            <w:tcW w:w="1000" w:type="dxa"/>
          </w:tcPr>
          <w:p w:rsidR="00427CFC" w:rsidRDefault="00427CFC">
            <w:pPr>
              <w:pStyle w:val="affe"/>
              <w:ind w:firstLineChars="0" w:firstLine="0"/>
              <w:rPr>
                <w:sz w:val="24"/>
                <w:szCs w:val="24"/>
              </w:rPr>
            </w:pPr>
          </w:p>
        </w:tc>
      </w:tr>
      <w:tr w:rsidR="00427CFC">
        <w:tc>
          <w:tcPr>
            <w:tcW w:w="915" w:type="dxa"/>
            <w:vAlign w:val="center"/>
          </w:tcPr>
          <w:p w:rsidR="00427CFC" w:rsidRDefault="004220DA">
            <w:pPr>
              <w:pStyle w:val="affe"/>
              <w:ind w:firstLineChars="0" w:firstLine="0"/>
              <w:jc w:val="center"/>
              <w:rPr>
                <w:sz w:val="24"/>
                <w:szCs w:val="24"/>
              </w:rPr>
            </w:pPr>
            <w:r>
              <w:rPr>
                <w:rFonts w:hint="eastAsia"/>
                <w:sz w:val="24"/>
                <w:szCs w:val="24"/>
              </w:rPr>
              <w:t>1</w:t>
            </w:r>
            <w:r>
              <w:rPr>
                <w:sz w:val="24"/>
                <w:szCs w:val="24"/>
              </w:rPr>
              <w:t>0</w:t>
            </w:r>
          </w:p>
        </w:tc>
        <w:tc>
          <w:tcPr>
            <w:tcW w:w="1634" w:type="dxa"/>
            <w:vMerge/>
            <w:vAlign w:val="center"/>
          </w:tcPr>
          <w:p w:rsidR="00427CFC" w:rsidRDefault="00427CFC">
            <w:pPr>
              <w:pStyle w:val="affe"/>
              <w:ind w:firstLineChars="0" w:firstLine="0"/>
              <w:rPr>
                <w:rFonts w:ascii="仿宋_GB2312" w:eastAsia="仿宋_GB2312" w:hAnsi="宋体" w:cs="仿宋_GB2312"/>
                <w:b/>
                <w:bCs/>
                <w:sz w:val="24"/>
                <w:szCs w:val="24"/>
              </w:rPr>
            </w:pPr>
          </w:p>
        </w:tc>
        <w:tc>
          <w:tcPr>
            <w:tcW w:w="2369" w:type="dxa"/>
            <w:vAlign w:val="center"/>
          </w:tcPr>
          <w:p w:rsidR="00427CFC" w:rsidRDefault="004220DA">
            <w:pPr>
              <w:pStyle w:val="affe"/>
              <w:ind w:firstLineChars="0" w:firstLine="0"/>
              <w:jc w:val="center"/>
              <w:rPr>
                <w:sz w:val="24"/>
                <w:szCs w:val="24"/>
              </w:rPr>
            </w:pPr>
            <w:r>
              <w:rPr>
                <w:rFonts w:hint="eastAsia"/>
                <w:sz w:val="24"/>
                <w:szCs w:val="24"/>
              </w:rPr>
              <w:t>经费审批管理</w:t>
            </w:r>
          </w:p>
        </w:tc>
        <w:tc>
          <w:tcPr>
            <w:tcW w:w="2378" w:type="dxa"/>
          </w:tcPr>
          <w:p w:rsidR="00427CFC" w:rsidRDefault="004220DA">
            <w:pPr>
              <w:pStyle w:val="affe"/>
              <w:ind w:firstLineChars="0" w:firstLine="0"/>
              <w:jc w:val="center"/>
              <w:rPr>
                <w:sz w:val="24"/>
                <w:szCs w:val="24"/>
              </w:rPr>
            </w:pPr>
            <w:r>
              <w:rPr>
                <w:rFonts w:hint="eastAsia"/>
                <w:sz w:val="24"/>
                <w:szCs w:val="24"/>
              </w:rPr>
              <w:t>相关建设功能满足实际业务场景需要，经费审批流程规范，界面功能按钮响应时间≤5秒</w:t>
            </w:r>
          </w:p>
        </w:tc>
        <w:tc>
          <w:tcPr>
            <w:tcW w:w="1000" w:type="dxa"/>
          </w:tcPr>
          <w:p w:rsidR="00427CFC" w:rsidRDefault="00427CFC">
            <w:pPr>
              <w:pStyle w:val="affe"/>
              <w:ind w:firstLineChars="0" w:firstLine="0"/>
              <w:rPr>
                <w:sz w:val="24"/>
                <w:szCs w:val="24"/>
              </w:rPr>
            </w:pPr>
          </w:p>
        </w:tc>
      </w:tr>
      <w:tr w:rsidR="00427CFC">
        <w:tc>
          <w:tcPr>
            <w:tcW w:w="915" w:type="dxa"/>
            <w:vAlign w:val="center"/>
          </w:tcPr>
          <w:p w:rsidR="00427CFC" w:rsidRDefault="004220DA">
            <w:pPr>
              <w:pStyle w:val="affe"/>
              <w:ind w:firstLineChars="0" w:firstLine="0"/>
              <w:jc w:val="center"/>
              <w:rPr>
                <w:sz w:val="24"/>
                <w:szCs w:val="24"/>
              </w:rPr>
            </w:pPr>
            <w:r>
              <w:rPr>
                <w:rFonts w:hint="eastAsia"/>
                <w:sz w:val="24"/>
                <w:szCs w:val="24"/>
              </w:rPr>
              <w:t>1</w:t>
            </w:r>
            <w:r>
              <w:rPr>
                <w:sz w:val="24"/>
                <w:szCs w:val="24"/>
              </w:rPr>
              <w:t>1</w:t>
            </w:r>
          </w:p>
        </w:tc>
        <w:tc>
          <w:tcPr>
            <w:tcW w:w="1634" w:type="dxa"/>
            <w:vMerge/>
            <w:vAlign w:val="center"/>
          </w:tcPr>
          <w:p w:rsidR="00427CFC" w:rsidRDefault="00427CFC">
            <w:pPr>
              <w:pStyle w:val="affe"/>
              <w:ind w:firstLineChars="0" w:firstLine="0"/>
              <w:rPr>
                <w:rFonts w:ascii="仿宋_GB2312" w:eastAsia="仿宋_GB2312" w:hAnsi="宋体" w:cs="仿宋_GB2312"/>
                <w:b/>
                <w:bCs/>
                <w:sz w:val="24"/>
                <w:szCs w:val="24"/>
              </w:rPr>
            </w:pPr>
          </w:p>
        </w:tc>
        <w:tc>
          <w:tcPr>
            <w:tcW w:w="2369" w:type="dxa"/>
            <w:vAlign w:val="center"/>
          </w:tcPr>
          <w:p w:rsidR="00427CFC" w:rsidRDefault="004220DA">
            <w:pPr>
              <w:pStyle w:val="affe"/>
              <w:ind w:firstLineChars="0" w:firstLine="0"/>
              <w:jc w:val="center"/>
              <w:rPr>
                <w:sz w:val="24"/>
                <w:szCs w:val="24"/>
              </w:rPr>
            </w:pPr>
            <w:r>
              <w:rPr>
                <w:rFonts w:hint="eastAsia"/>
                <w:sz w:val="24"/>
                <w:szCs w:val="24"/>
              </w:rPr>
              <w:t>破产管理人报酬专项基金管理</w:t>
            </w:r>
          </w:p>
        </w:tc>
        <w:tc>
          <w:tcPr>
            <w:tcW w:w="2378" w:type="dxa"/>
          </w:tcPr>
          <w:p w:rsidR="00427CFC" w:rsidRDefault="004220DA">
            <w:pPr>
              <w:pStyle w:val="affe"/>
              <w:ind w:firstLineChars="0" w:firstLine="0"/>
              <w:jc w:val="center"/>
              <w:rPr>
                <w:sz w:val="24"/>
                <w:szCs w:val="24"/>
              </w:rPr>
            </w:pPr>
            <w:r>
              <w:rPr>
                <w:rFonts w:hint="eastAsia"/>
                <w:sz w:val="24"/>
                <w:szCs w:val="24"/>
              </w:rPr>
              <w:t>相关建设功能满足实际业务场景需要，报酬专项基金管理流程规范，界面功能按钮响应时间≤5秒</w:t>
            </w:r>
          </w:p>
        </w:tc>
        <w:tc>
          <w:tcPr>
            <w:tcW w:w="1000" w:type="dxa"/>
          </w:tcPr>
          <w:p w:rsidR="00427CFC" w:rsidRDefault="00427CFC">
            <w:pPr>
              <w:pStyle w:val="affe"/>
              <w:ind w:firstLineChars="0" w:firstLine="0"/>
              <w:rPr>
                <w:sz w:val="24"/>
                <w:szCs w:val="24"/>
              </w:rPr>
            </w:pPr>
          </w:p>
        </w:tc>
      </w:tr>
      <w:tr w:rsidR="00427CFC">
        <w:tc>
          <w:tcPr>
            <w:tcW w:w="915" w:type="dxa"/>
            <w:vAlign w:val="center"/>
          </w:tcPr>
          <w:p w:rsidR="00427CFC" w:rsidRDefault="004220DA">
            <w:pPr>
              <w:pStyle w:val="affe"/>
              <w:ind w:firstLineChars="0" w:firstLine="0"/>
              <w:jc w:val="center"/>
              <w:rPr>
                <w:sz w:val="24"/>
                <w:szCs w:val="24"/>
              </w:rPr>
            </w:pPr>
            <w:r>
              <w:rPr>
                <w:rFonts w:hint="eastAsia"/>
                <w:sz w:val="24"/>
                <w:szCs w:val="24"/>
              </w:rPr>
              <w:t>12</w:t>
            </w:r>
          </w:p>
        </w:tc>
        <w:tc>
          <w:tcPr>
            <w:tcW w:w="1634" w:type="dxa"/>
            <w:vMerge/>
            <w:vAlign w:val="center"/>
          </w:tcPr>
          <w:p w:rsidR="00427CFC" w:rsidRDefault="00427CFC">
            <w:pPr>
              <w:pStyle w:val="affe"/>
              <w:ind w:firstLineChars="0" w:firstLine="0"/>
              <w:rPr>
                <w:rFonts w:ascii="仿宋_GB2312" w:eastAsia="仿宋_GB2312" w:hAnsi="宋体" w:cs="仿宋_GB2312"/>
                <w:b/>
                <w:bCs/>
                <w:sz w:val="24"/>
                <w:szCs w:val="24"/>
              </w:rPr>
            </w:pPr>
          </w:p>
        </w:tc>
        <w:tc>
          <w:tcPr>
            <w:tcW w:w="2369" w:type="dxa"/>
            <w:vAlign w:val="center"/>
          </w:tcPr>
          <w:p w:rsidR="00427CFC" w:rsidRDefault="004220DA">
            <w:pPr>
              <w:pStyle w:val="affe"/>
              <w:ind w:firstLineChars="0" w:firstLine="0"/>
              <w:jc w:val="center"/>
              <w:rPr>
                <w:sz w:val="24"/>
                <w:szCs w:val="24"/>
              </w:rPr>
            </w:pPr>
            <w:r>
              <w:rPr>
                <w:rFonts w:hint="eastAsia"/>
                <w:sz w:val="24"/>
                <w:szCs w:val="24"/>
              </w:rPr>
              <w:t>破产管理人服务门户</w:t>
            </w:r>
          </w:p>
        </w:tc>
        <w:tc>
          <w:tcPr>
            <w:tcW w:w="2378" w:type="dxa"/>
          </w:tcPr>
          <w:p w:rsidR="00427CFC" w:rsidRDefault="004220DA">
            <w:pPr>
              <w:pStyle w:val="affe"/>
              <w:ind w:firstLineChars="0" w:firstLine="0"/>
              <w:jc w:val="center"/>
              <w:rPr>
                <w:sz w:val="24"/>
                <w:szCs w:val="24"/>
              </w:rPr>
            </w:pPr>
            <w:r>
              <w:rPr>
                <w:rFonts w:hint="eastAsia"/>
                <w:sz w:val="24"/>
                <w:szCs w:val="24"/>
              </w:rPr>
              <w:t>相关建设功能满足实际业务场景需要，界面功能按钮响应时间≤5秒</w:t>
            </w:r>
          </w:p>
        </w:tc>
        <w:tc>
          <w:tcPr>
            <w:tcW w:w="1000" w:type="dxa"/>
          </w:tcPr>
          <w:p w:rsidR="00427CFC" w:rsidRDefault="00427CFC">
            <w:pPr>
              <w:pStyle w:val="affe"/>
              <w:ind w:firstLineChars="0" w:firstLine="0"/>
              <w:rPr>
                <w:sz w:val="24"/>
                <w:szCs w:val="24"/>
              </w:rPr>
            </w:pPr>
          </w:p>
        </w:tc>
      </w:tr>
      <w:tr w:rsidR="00427CFC">
        <w:tc>
          <w:tcPr>
            <w:tcW w:w="915" w:type="dxa"/>
            <w:vAlign w:val="center"/>
          </w:tcPr>
          <w:p w:rsidR="00427CFC" w:rsidRDefault="004220DA">
            <w:pPr>
              <w:pStyle w:val="affe"/>
              <w:ind w:firstLineChars="0" w:firstLine="0"/>
              <w:jc w:val="center"/>
              <w:rPr>
                <w:sz w:val="24"/>
                <w:szCs w:val="24"/>
              </w:rPr>
            </w:pPr>
            <w:r>
              <w:rPr>
                <w:rFonts w:hint="eastAsia"/>
                <w:sz w:val="24"/>
                <w:szCs w:val="24"/>
              </w:rPr>
              <w:t>13</w:t>
            </w:r>
          </w:p>
        </w:tc>
        <w:tc>
          <w:tcPr>
            <w:tcW w:w="1634" w:type="dxa"/>
            <w:vMerge w:val="restart"/>
            <w:vAlign w:val="center"/>
          </w:tcPr>
          <w:p w:rsidR="00427CFC" w:rsidRDefault="004220DA">
            <w:pPr>
              <w:pStyle w:val="affe"/>
              <w:ind w:firstLineChars="0" w:firstLine="0"/>
              <w:jc w:val="center"/>
              <w:rPr>
                <w:rFonts w:ascii="仿宋_GB2312" w:eastAsia="仿宋_GB2312" w:hAnsi="宋体" w:cs="仿宋_GB2312"/>
                <w:b/>
                <w:bCs/>
                <w:sz w:val="24"/>
                <w:szCs w:val="24"/>
              </w:rPr>
            </w:pPr>
            <w:r>
              <w:rPr>
                <w:rFonts w:ascii="仿宋_GB2312" w:eastAsia="仿宋_GB2312" w:hAnsi="宋体" w:cs="仿宋_GB2312" w:hint="eastAsia"/>
                <w:b/>
                <w:bCs/>
                <w:sz w:val="24"/>
                <w:szCs w:val="24"/>
              </w:rPr>
              <w:t>破产管理人奖惩管理</w:t>
            </w:r>
          </w:p>
        </w:tc>
        <w:tc>
          <w:tcPr>
            <w:tcW w:w="2369" w:type="dxa"/>
            <w:vAlign w:val="center"/>
          </w:tcPr>
          <w:p w:rsidR="00427CFC" w:rsidRDefault="004220DA">
            <w:pPr>
              <w:pStyle w:val="affe"/>
              <w:ind w:firstLineChars="0" w:firstLine="0"/>
              <w:jc w:val="center"/>
              <w:rPr>
                <w:sz w:val="24"/>
                <w:szCs w:val="24"/>
              </w:rPr>
            </w:pPr>
            <w:r>
              <w:rPr>
                <w:rFonts w:hint="eastAsia"/>
                <w:sz w:val="24"/>
                <w:szCs w:val="24"/>
              </w:rPr>
              <w:t>投诉管理</w:t>
            </w:r>
          </w:p>
        </w:tc>
        <w:tc>
          <w:tcPr>
            <w:tcW w:w="2378" w:type="dxa"/>
          </w:tcPr>
          <w:p w:rsidR="00427CFC" w:rsidRDefault="004220DA">
            <w:pPr>
              <w:pStyle w:val="affe"/>
              <w:ind w:firstLineChars="0" w:firstLine="0"/>
              <w:jc w:val="center"/>
              <w:rPr>
                <w:sz w:val="24"/>
                <w:szCs w:val="24"/>
              </w:rPr>
            </w:pPr>
            <w:r>
              <w:rPr>
                <w:rFonts w:hint="eastAsia"/>
                <w:sz w:val="24"/>
                <w:szCs w:val="24"/>
              </w:rPr>
              <w:t>相关建设功能满足实际业务场景需要，投诉管理流程规范，界</w:t>
            </w:r>
            <w:r>
              <w:rPr>
                <w:rFonts w:hint="eastAsia"/>
                <w:sz w:val="24"/>
                <w:szCs w:val="24"/>
              </w:rPr>
              <w:lastRenderedPageBreak/>
              <w:t>面功能按钮响应时间≤5秒</w:t>
            </w:r>
          </w:p>
        </w:tc>
        <w:tc>
          <w:tcPr>
            <w:tcW w:w="1000" w:type="dxa"/>
          </w:tcPr>
          <w:p w:rsidR="00427CFC" w:rsidRDefault="00427CFC">
            <w:pPr>
              <w:pStyle w:val="affe"/>
              <w:ind w:firstLineChars="0" w:firstLine="0"/>
              <w:rPr>
                <w:sz w:val="24"/>
                <w:szCs w:val="24"/>
              </w:rPr>
            </w:pPr>
          </w:p>
        </w:tc>
      </w:tr>
      <w:tr w:rsidR="00427CFC">
        <w:tc>
          <w:tcPr>
            <w:tcW w:w="915" w:type="dxa"/>
            <w:vAlign w:val="center"/>
          </w:tcPr>
          <w:p w:rsidR="00427CFC" w:rsidRDefault="004220DA">
            <w:pPr>
              <w:pStyle w:val="affe"/>
              <w:ind w:firstLineChars="0" w:firstLine="0"/>
              <w:jc w:val="center"/>
              <w:rPr>
                <w:sz w:val="24"/>
                <w:szCs w:val="24"/>
              </w:rPr>
            </w:pPr>
            <w:r>
              <w:rPr>
                <w:rFonts w:hint="eastAsia"/>
                <w:sz w:val="24"/>
                <w:szCs w:val="24"/>
              </w:rPr>
              <w:lastRenderedPageBreak/>
              <w:t>1</w:t>
            </w:r>
            <w:r>
              <w:rPr>
                <w:sz w:val="24"/>
                <w:szCs w:val="24"/>
              </w:rPr>
              <w:t>4</w:t>
            </w:r>
          </w:p>
        </w:tc>
        <w:tc>
          <w:tcPr>
            <w:tcW w:w="1634" w:type="dxa"/>
            <w:vMerge/>
            <w:vAlign w:val="center"/>
          </w:tcPr>
          <w:p w:rsidR="00427CFC" w:rsidRDefault="00427CFC">
            <w:pPr>
              <w:pStyle w:val="affe"/>
              <w:ind w:firstLineChars="0" w:firstLine="0"/>
              <w:jc w:val="center"/>
              <w:rPr>
                <w:rFonts w:ascii="仿宋_GB2312" w:eastAsia="仿宋_GB2312" w:hAnsi="宋体" w:cs="仿宋_GB2312"/>
                <w:b/>
                <w:bCs/>
                <w:sz w:val="24"/>
                <w:szCs w:val="24"/>
              </w:rPr>
            </w:pPr>
          </w:p>
        </w:tc>
        <w:tc>
          <w:tcPr>
            <w:tcW w:w="2369" w:type="dxa"/>
            <w:vAlign w:val="center"/>
          </w:tcPr>
          <w:p w:rsidR="00427CFC" w:rsidRDefault="004220DA">
            <w:pPr>
              <w:pStyle w:val="affe"/>
              <w:ind w:firstLineChars="0" w:firstLine="0"/>
              <w:jc w:val="center"/>
              <w:rPr>
                <w:sz w:val="24"/>
                <w:szCs w:val="24"/>
              </w:rPr>
            </w:pPr>
            <w:r>
              <w:rPr>
                <w:rFonts w:hint="eastAsia"/>
                <w:sz w:val="24"/>
                <w:szCs w:val="24"/>
              </w:rPr>
              <w:t>处分管理</w:t>
            </w:r>
          </w:p>
        </w:tc>
        <w:tc>
          <w:tcPr>
            <w:tcW w:w="2378" w:type="dxa"/>
          </w:tcPr>
          <w:p w:rsidR="00427CFC" w:rsidRDefault="004220DA">
            <w:pPr>
              <w:pStyle w:val="affe"/>
              <w:ind w:firstLineChars="0" w:firstLine="0"/>
              <w:jc w:val="center"/>
              <w:rPr>
                <w:sz w:val="24"/>
                <w:szCs w:val="24"/>
              </w:rPr>
            </w:pPr>
            <w:r>
              <w:rPr>
                <w:rFonts w:hint="eastAsia"/>
                <w:sz w:val="24"/>
                <w:szCs w:val="24"/>
              </w:rPr>
              <w:t>相关建设功能满足实际业务场景需要，处分管理流程规范，界面功能按钮响应时间≤5秒</w:t>
            </w:r>
          </w:p>
        </w:tc>
        <w:tc>
          <w:tcPr>
            <w:tcW w:w="1000" w:type="dxa"/>
          </w:tcPr>
          <w:p w:rsidR="00427CFC" w:rsidRDefault="00427CFC">
            <w:pPr>
              <w:pStyle w:val="affe"/>
              <w:ind w:firstLineChars="0" w:firstLine="0"/>
              <w:rPr>
                <w:sz w:val="24"/>
                <w:szCs w:val="24"/>
              </w:rPr>
            </w:pPr>
          </w:p>
        </w:tc>
      </w:tr>
      <w:tr w:rsidR="00427CFC">
        <w:tc>
          <w:tcPr>
            <w:tcW w:w="915" w:type="dxa"/>
            <w:vAlign w:val="center"/>
          </w:tcPr>
          <w:p w:rsidR="00427CFC" w:rsidRDefault="004220DA">
            <w:pPr>
              <w:pStyle w:val="affe"/>
              <w:ind w:firstLineChars="0" w:firstLine="0"/>
              <w:jc w:val="center"/>
              <w:rPr>
                <w:sz w:val="24"/>
                <w:szCs w:val="24"/>
              </w:rPr>
            </w:pPr>
            <w:r>
              <w:rPr>
                <w:rFonts w:hint="eastAsia"/>
                <w:sz w:val="24"/>
                <w:szCs w:val="24"/>
              </w:rPr>
              <w:t>1</w:t>
            </w:r>
            <w:r>
              <w:rPr>
                <w:sz w:val="24"/>
                <w:szCs w:val="24"/>
              </w:rPr>
              <w:t>5</w:t>
            </w:r>
          </w:p>
        </w:tc>
        <w:tc>
          <w:tcPr>
            <w:tcW w:w="1634" w:type="dxa"/>
            <w:vMerge/>
            <w:vAlign w:val="center"/>
          </w:tcPr>
          <w:p w:rsidR="00427CFC" w:rsidRDefault="00427CFC">
            <w:pPr>
              <w:pStyle w:val="affe"/>
              <w:ind w:firstLineChars="0" w:firstLine="0"/>
              <w:jc w:val="center"/>
              <w:rPr>
                <w:rFonts w:ascii="仿宋_GB2312" w:eastAsia="仿宋_GB2312" w:hAnsi="宋体" w:cs="仿宋_GB2312"/>
                <w:b/>
                <w:bCs/>
                <w:sz w:val="24"/>
                <w:szCs w:val="24"/>
              </w:rPr>
            </w:pPr>
          </w:p>
        </w:tc>
        <w:tc>
          <w:tcPr>
            <w:tcW w:w="2369" w:type="dxa"/>
            <w:vAlign w:val="center"/>
          </w:tcPr>
          <w:p w:rsidR="00427CFC" w:rsidRDefault="004220DA">
            <w:pPr>
              <w:pStyle w:val="affe"/>
              <w:ind w:firstLineChars="0" w:firstLine="0"/>
              <w:jc w:val="center"/>
              <w:rPr>
                <w:sz w:val="24"/>
                <w:szCs w:val="24"/>
              </w:rPr>
            </w:pPr>
            <w:r>
              <w:rPr>
                <w:rFonts w:hint="eastAsia"/>
                <w:sz w:val="24"/>
                <w:szCs w:val="24"/>
              </w:rPr>
              <w:t>奖励管理</w:t>
            </w:r>
          </w:p>
        </w:tc>
        <w:tc>
          <w:tcPr>
            <w:tcW w:w="2378" w:type="dxa"/>
          </w:tcPr>
          <w:p w:rsidR="00427CFC" w:rsidRDefault="004220DA">
            <w:pPr>
              <w:pStyle w:val="affe"/>
              <w:ind w:firstLineChars="0" w:firstLine="0"/>
              <w:jc w:val="center"/>
              <w:rPr>
                <w:sz w:val="24"/>
                <w:szCs w:val="24"/>
              </w:rPr>
            </w:pPr>
            <w:r>
              <w:rPr>
                <w:rFonts w:hint="eastAsia"/>
                <w:sz w:val="24"/>
                <w:szCs w:val="24"/>
              </w:rPr>
              <w:t>相关建设功能满足实际业务场景需要，奖励管理流程规范，界面功能按钮响应时间≤5秒</w:t>
            </w:r>
          </w:p>
        </w:tc>
        <w:tc>
          <w:tcPr>
            <w:tcW w:w="1000" w:type="dxa"/>
          </w:tcPr>
          <w:p w:rsidR="00427CFC" w:rsidRDefault="00427CFC">
            <w:pPr>
              <w:pStyle w:val="affe"/>
              <w:ind w:firstLineChars="0" w:firstLine="0"/>
              <w:rPr>
                <w:sz w:val="24"/>
                <w:szCs w:val="24"/>
              </w:rPr>
            </w:pPr>
          </w:p>
        </w:tc>
      </w:tr>
      <w:tr w:rsidR="00427CFC">
        <w:tc>
          <w:tcPr>
            <w:tcW w:w="915" w:type="dxa"/>
            <w:vAlign w:val="center"/>
          </w:tcPr>
          <w:p w:rsidR="00427CFC" w:rsidRDefault="004220DA">
            <w:pPr>
              <w:pStyle w:val="affe"/>
              <w:ind w:firstLineChars="0" w:firstLine="0"/>
              <w:jc w:val="center"/>
              <w:rPr>
                <w:sz w:val="24"/>
                <w:szCs w:val="24"/>
              </w:rPr>
            </w:pPr>
            <w:r>
              <w:rPr>
                <w:rFonts w:hint="eastAsia"/>
                <w:sz w:val="24"/>
                <w:szCs w:val="24"/>
              </w:rPr>
              <w:t>1</w:t>
            </w:r>
            <w:r>
              <w:rPr>
                <w:sz w:val="24"/>
                <w:szCs w:val="24"/>
              </w:rPr>
              <w:t>6</w:t>
            </w:r>
          </w:p>
        </w:tc>
        <w:tc>
          <w:tcPr>
            <w:tcW w:w="1634" w:type="dxa"/>
            <w:vMerge w:val="restart"/>
            <w:vAlign w:val="center"/>
          </w:tcPr>
          <w:p w:rsidR="00427CFC" w:rsidRDefault="004220DA">
            <w:pPr>
              <w:pStyle w:val="affe"/>
              <w:ind w:firstLineChars="0" w:firstLine="0"/>
              <w:jc w:val="center"/>
              <w:rPr>
                <w:rFonts w:ascii="仿宋_GB2312" w:eastAsia="仿宋_GB2312" w:hAnsi="宋体" w:cs="仿宋_GB2312"/>
                <w:b/>
                <w:bCs/>
                <w:sz w:val="24"/>
                <w:szCs w:val="24"/>
              </w:rPr>
            </w:pPr>
            <w:r>
              <w:rPr>
                <w:rFonts w:ascii="仿宋_GB2312" w:eastAsia="仿宋_GB2312" w:hAnsi="宋体" w:cs="仿宋_GB2312" w:hint="eastAsia"/>
                <w:b/>
                <w:bCs/>
                <w:sz w:val="24"/>
                <w:szCs w:val="24"/>
              </w:rPr>
              <w:t>机构变更管理</w:t>
            </w:r>
          </w:p>
        </w:tc>
        <w:tc>
          <w:tcPr>
            <w:tcW w:w="2369" w:type="dxa"/>
            <w:vAlign w:val="center"/>
          </w:tcPr>
          <w:p w:rsidR="00427CFC" w:rsidRDefault="004220DA">
            <w:pPr>
              <w:pStyle w:val="affe"/>
              <w:ind w:firstLineChars="0" w:firstLine="0"/>
              <w:jc w:val="center"/>
              <w:rPr>
                <w:sz w:val="24"/>
                <w:szCs w:val="24"/>
              </w:rPr>
            </w:pPr>
            <w:r>
              <w:rPr>
                <w:rFonts w:hint="eastAsia"/>
                <w:sz w:val="24"/>
                <w:szCs w:val="24"/>
              </w:rPr>
              <w:t>变更信息报备</w:t>
            </w:r>
          </w:p>
        </w:tc>
        <w:tc>
          <w:tcPr>
            <w:tcW w:w="2378" w:type="dxa"/>
          </w:tcPr>
          <w:p w:rsidR="00427CFC" w:rsidRDefault="004220DA">
            <w:pPr>
              <w:pStyle w:val="affe"/>
              <w:ind w:firstLineChars="0" w:firstLine="0"/>
              <w:jc w:val="center"/>
              <w:rPr>
                <w:sz w:val="24"/>
                <w:szCs w:val="24"/>
              </w:rPr>
            </w:pPr>
            <w:r>
              <w:rPr>
                <w:rFonts w:hint="eastAsia"/>
                <w:sz w:val="24"/>
                <w:szCs w:val="24"/>
              </w:rPr>
              <w:t>相关建设功能满足实际业务场景需要，变更信息报备流程规范，界面功能按钮响应时间≤5秒</w:t>
            </w:r>
          </w:p>
        </w:tc>
        <w:tc>
          <w:tcPr>
            <w:tcW w:w="1000" w:type="dxa"/>
          </w:tcPr>
          <w:p w:rsidR="00427CFC" w:rsidRDefault="00427CFC">
            <w:pPr>
              <w:pStyle w:val="affe"/>
              <w:ind w:firstLineChars="0" w:firstLine="0"/>
              <w:rPr>
                <w:sz w:val="24"/>
                <w:szCs w:val="24"/>
              </w:rPr>
            </w:pPr>
          </w:p>
        </w:tc>
      </w:tr>
      <w:tr w:rsidR="00427CFC">
        <w:tc>
          <w:tcPr>
            <w:tcW w:w="915" w:type="dxa"/>
            <w:vAlign w:val="center"/>
          </w:tcPr>
          <w:p w:rsidR="00427CFC" w:rsidRDefault="004220DA">
            <w:pPr>
              <w:pStyle w:val="affe"/>
              <w:ind w:firstLineChars="0" w:firstLine="0"/>
              <w:jc w:val="center"/>
              <w:rPr>
                <w:sz w:val="24"/>
                <w:szCs w:val="24"/>
              </w:rPr>
            </w:pPr>
            <w:r>
              <w:rPr>
                <w:rFonts w:hint="eastAsia"/>
                <w:sz w:val="24"/>
                <w:szCs w:val="24"/>
              </w:rPr>
              <w:t>1</w:t>
            </w:r>
            <w:r>
              <w:rPr>
                <w:sz w:val="24"/>
                <w:szCs w:val="24"/>
              </w:rPr>
              <w:t>7</w:t>
            </w:r>
          </w:p>
        </w:tc>
        <w:tc>
          <w:tcPr>
            <w:tcW w:w="1634" w:type="dxa"/>
            <w:vMerge/>
            <w:vAlign w:val="center"/>
          </w:tcPr>
          <w:p w:rsidR="00427CFC" w:rsidRDefault="00427CFC">
            <w:pPr>
              <w:pStyle w:val="affe"/>
              <w:ind w:firstLineChars="0" w:firstLine="0"/>
              <w:jc w:val="center"/>
              <w:rPr>
                <w:rFonts w:ascii="仿宋_GB2312" w:eastAsia="仿宋_GB2312" w:hAnsi="宋体" w:cs="仿宋_GB2312"/>
                <w:b/>
                <w:bCs/>
                <w:sz w:val="24"/>
                <w:szCs w:val="24"/>
              </w:rPr>
            </w:pPr>
          </w:p>
        </w:tc>
        <w:tc>
          <w:tcPr>
            <w:tcW w:w="2369" w:type="dxa"/>
            <w:vAlign w:val="center"/>
          </w:tcPr>
          <w:p w:rsidR="00427CFC" w:rsidRDefault="004220DA">
            <w:pPr>
              <w:pStyle w:val="affe"/>
              <w:ind w:firstLineChars="0" w:firstLine="0"/>
              <w:jc w:val="center"/>
              <w:rPr>
                <w:sz w:val="24"/>
                <w:szCs w:val="24"/>
              </w:rPr>
            </w:pPr>
            <w:r>
              <w:rPr>
                <w:rFonts w:hint="eastAsia"/>
                <w:sz w:val="24"/>
                <w:szCs w:val="24"/>
              </w:rPr>
              <w:t>变更信息审核</w:t>
            </w:r>
          </w:p>
        </w:tc>
        <w:tc>
          <w:tcPr>
            <w:tcW w:w="2378" w:type="dxa"/>
          </w:tcPr>
          <w:p w:rsidR="00427CFC" w:rsidRDefault="004220DA">
            <w:pPr>
              <w:pStyle w:val="affe"/>
              <w:ind w:firstLineChars="0" w:firstLine="0"/>
              <w:jc w:val="center"/>
              <w:rPr>
                <w:sz w:val="24"/>
                <w:szCs w:val="24"/>
              </w:rPr>
            </w:pPr>
            <w:r>
              <w:rPr>
                <w:rFonts w:hint="eastAsia"/>
                <w:sz w:val="24"/>
                <w:szCs w:val="24"/>
              </w:rPr>
              <w:t>相关建设功能满足实际业务场景需要，变更信息审核流程规范，界面功能按钮响应时间≤5秒</w:t>
            </w:r>
          </w:p>
        </w:tc>
        <w:tc>
          <w:tcPr>
            <w:tcW w:w="1000" w:type="dxa"/>
          </w:tcPr>
          <w:p w:rsidR="00427CFC" w:rsidRDefault="00427CFC">
            <w:pPr>
              <w:pStyle w:val="affe"/>
              <w:ind w:firstLineChars="0" w:firstLine="0"/>
              <w:rPr>
                <w:sz w:val="24"/>
                <w:szCs w:val="24"/>
              </w:rPr>
            </w:pPr>
          </w:p>
        </w:tc>
      </w:tr>
      <w:tr w:rsidR="00427CFC">
        <w:tc>
          <w:tcPr>
            <w:tcW w:w="915" w:type="dxa"/>
            <w:vAlign w:val="center"/>
          </w:tcPr>
          <w:p w:rsidR="00427CFC" w:rsidRDefault="004220DA">
            <w:pPr>
              <w:pStyle w:val="affe"/>
              <w:ind w:firstLineChars="0" w:firstLine="0"/>
              <w:jc w:val="center"/>
              <w:rPr>
                <w:sz w:val="24"/>
                <w:szCs w:val="24"/>
              </w:rPr>
            </w:pPr>
            <w:r>
              <w:rPr>
                <w:rFonts w:hint="eastAsia"/>
                <w:sz w:val="24"/>
                <w:szCs w:val="24"/>
              </w:rPr>
              <w:t>1</w:t>
            </w:r>
            <w:r>
              <w:rPr>
                <w:sz w:val="24"/>
                <w:szCs w:val="24"/>
              </w:rPr>
              <w:t>8</w:t>
            </w:r>
          </w:p>
        </w:tc>
        <w:tc>
          <w:tcPr>
            <w:tcW w:w="1634" w:type="dxa"/>
            <w:vMerge/>
            <w:vAlign w:val="center"/>
          </w:tcPr>
          <w:p w:rsidR="00427CFC" w:rsidRDefault="00427CFC">
            <w:pPr>
              <w:pStyle w:val="affe"/>
              <w:ind w:firstLineChars="0" w:firstLine="0"/>
              <w:jc w:val="center"/>
              <w:rPr>
                <w:rFonts w:ascii="仿宋_GB2312" w:eastAsia="仿宋_GB2312" w:hAnsi="宋体" w:cs="仿宋_GB2312"/>
                <w:b/>
                <w:bCs/>
                <w:sz w:val="24"/>
                <w:szCs w:val="24"/>
              </w:rPr>
            </w:pPr>
          </w:p>
        </w:tc>
        <w:tc>
          <w:tcPr>
            <w:tcW w:w="2369" w:type="dxa"/>
            <w:vAlign w:val="center"/>
          </w:tcPr>
          <w:p w:rsidR="00427CFC" w:rsidRDefault="004220DA">
            <w:pPr>
              <w:pStyle w:val="affe"/>
              <w:ind w:firstLineChars="0" w:firstLine="0"/>
              <w:jc w:val="center"/>
              <w:rPr>
                <w:sz w:val="24"/>
                <w:szCs w:val="24"/>
              </w:rPr>
            </w:pPr>
            <w:r>
              <w:rPr>
                <w:rFonts w:hint="eastAsia"/>
                <w:sz w:val="24"/>
                <w:szCs w:val="24"/>
              </w:rPr>
              <w:t>管理人名册变更</w:t>
            </w:r>
          </w:p>
        </w:tc>
        <w:tc>
          <w:tcPr>
            <w:tcW w:w="2378" w:type="dxa"/>
          </w:tcPr>
          <w:p w:rsidR="00427CFC" w:rsidRDefault="004220DA">
            <w:pPr>
              <w:pStyle w:val="affe"/>
              <w:ind w:firstLineChars="0" w:firstLine="0"/>
              <w:jc w:val="center"/>
              <w:rPr>
                <w:sz w:val="24"/>
                <w:szCs w:val="24"/>
              </w:rPr>
            </w:pPr>
            <w:r>
              <w:rPr>
                <w:rFonts w:hint="eastAsia"/>
                <w:sz w:val="24"/>
                <w:szCs w:val="24"/>
              </w:rPr>
              <w:t>相关建设功能满足实际业务场景需要，管理人名册变更流程规范，界面功能按钮响应时间≤5秒</w:t>
            </w:r>
          </w:p>
        </w:tc>
        <w:tc>
          <w:tcPr>
            <w:tcW w:w="1000" w:type="dxa"/>
          </w:tcPr>
          <w:p w:rsidR="00427CFC" w:rsidRDefault="00427CFC">
            <w:pPr>
              <w:pStyle w:val="affe"/>
              <w:ind w:firstLineChars="0" w:firstLine="0"/>
              <w:rPr>
                <w:sz w:val="24"/>
                <w:szCs w:val="24"/>
              </w:rPr>
            </w:pPr>
          </w:p>
        </w:tc>
      </w:tr>
      <w:tr w:rsidR="00427CFC">
        <w:tc>
          <w:tcPr>
            <w:tcW w:w="915" w:type="dxa"/>
            <w:vAlign w:val="center"/>
          </w:tcPr>
          <w:p w:rsidR="00427CFC" w:rsidRDefault="004220DA">
            <w:pPr>
              <w:pStyle w:val="affe"/>
              <w:ind w:firstLineChars="0" w:firstLine="0"/>
              <w:jc w:val="center"/>
              <w:rPr>
                <w:sz w:val="24"/>
                <w:szCs w:val="24"/>
              </w:rPr>
            </w:pPr>
            <w:r>
              <w:rPr>
                <w:rFonts w:hint="eastAsia"/>
                <w:sz w:val="24"/>
                <w:szCs w:val="24"/>
              </w:rPr>
              <w:t>1</w:t>
            </w:r>
            <w:r>
              <w:rPr>
                <w:sz w:val="24"/>
                <w:szCs w:val="24"/>
              </w:rPr>
              <w:t>9</w:t>
            </w:r>
          </w:p>
        </w:tc>
        <w:tc>
          <w:tcPr>
            <w:tcW w:w="1634" w:type="dxa"/>
            <w:vMerge/>
            <w:vAlign w:val="center"/>
          </w:tcPr>
          <w:p w:rsidR="00427CFC" w:rsidRDefault="00427CFC">
            <w:pPr>
              <w:pStyle w:val="affe"/>
              <w:ind w:firstLineChars="0" w:firstLine="0"/>
              <w:jc w:val="center"/>
              <w:rPr>
                <w:rFonts w:ascii="仿宋_GB2312" w:eastAsia="仿宋_GB2312" w:hAnsi="宋体" w:cs="仿宋_GB2312"/>
                <w:b/>
                <w:bCs/>
                <w:sz w:val="24"/>
                <w:szCs w:val="24"/>
              </w:rPr>
            </w:pPr>
          </w:p>
        </w:tc>
        <w:tc>
          <w:tcPr>
            <w:tcW w:w="2369" w:type="dxa"/>
            <w:vAlign w:val="center"/>
          </w:tcPr>
          <w:p w:rsidR="00427CFC" w:rsidRDefault="004220DA">
            <w:pPr>
              <w:pStyle w:val="affe"/>
              <w:ind w:firstLineChars="0" w:firstLine="0"/>
              <w:jc w:val="center"/>
              <w:rPr>
                <w:sz w:val="24"/>
                <w:szCs w:val="24"/>
              </w:rPr>
            </w:pPr>
            <w:r>
              <w:rPr>
                <w:rFonts w:hint="eastAsia"/>
                <w:sz w:val="24"/>
                <w:szCs w:val="24"/>
              </w:rPr>
              <w:t>机构变更预警</w:t>
            </w:r>
          </w:p>
        </w:tc>
        <w:tc>
          <w:tcPr>
            <w:tcW w:w="2378" w:type="dxa"/>
          </w:tcPr>
          <w:p w:rsidR="00427CFC" w:rsidRDefault="004220DA">
            <w:pPr>
              <w:pStyle w:val="affe"/>
              <w:ind w:firstLineChars="0" w:firstLine="0"/>
              <w:jc w:val="center"/>
              <w:rPr>
                <w:sz w:val="24"/>
                <w:szCs w:val="24"/>
              </w:rPr>
            </w:pPr>
            <w:r>
              <w:rPr>
                <w:rFonts w:hint="eastAsia"/>
                <w:sz w:val="24"/>
                <w:szCs w:val="24"/>
              </w:rPr>
              <w:t>需对接相关信息系统，机构信息误差率</w:t>
            </w:r>
            <w:r>
              <w:rPr>
                <w:rFonts w:hint="eastAsia"/>
                <w:sz w:val="24"/>
                <w:szCs w:val="24"/>
              </w:rPr>
              <w:lastRenderedPageBreak/>
              <w:t>率≤2%</w:t>
            </w:r>
          </w:p>
          <w:p w:rsidR="00427CFC" w:rsidRDefault="004220DA">
            <w:pPr>
              <w:pStyle w:val="affe"/>
              <w:ind w:firstLineChars="0" w:firstLine="0"/>
              <w:jc w:val="center"/>
              <w:rPr>
                <w:sz w:val="24"/>
                <w:szCs w:val="24"/>
              </w:rPr>
            </w:pPr>
            <w:r>
              <w:rPr>
                <w:rFonts w:hint="eastAsia"/>
                <w:sz w:val="24"/>
                <w:szCs w:val="24"/>
              </w:rPr>
              <w:t>相关建设功能满足实际业务场景需要，界面功能按钮响应时间≤5秒</w:t>
            </w:r>
          </w:p>
        </w:tc>
        <w:tc>
          <w:tcPr>
            <w:tcW w:w="1000" w:type="dxa"/>
          </w:tcPr>
          <w:p w:rsidR="00427CFC" w:rsidRDefault="00427CFC">
            <w:pPr>
              <w:pStyle w:val="affe"/>
              <w:ind w:firstLineChars="0" w:firstLine="0"/>
              <w:rPr>
                <w:sz w:val="24"/>
                <w:szCs w:val="24"/>
              </w:rPr>
            </w:pPr>
          </w:p>
        </w:tc>
      </w:tr>
      <w:tr w:rsidR="00427CFC">
        <w:tc>
          <w:tcPr>
            <w:tcW w:w="915" w:type="dxa"/>
            <w:vAlign w:val="center"/>
          </w:tcPr>
          <w:p w:rsidR="00427CFC" w:rsidRDefault="004220DA">
            <w:pPr>
              <w:pStyle w:val="affe"/>
              <w:ind w:firstLineChars="0" w:firstLine="0"/>
              <w:jc w:val="center"/>
              <w:rPr>
                <w:sz w:val="24"/>
                <w:szCs w:val="24"/>
              </w:rPr>
            </w:pPr>
            <w:r>
              <w:rPr>
                <w:rFonts w:hint="eastAsia"/>
                <w:sz w:val="24"/>
                <w:szCs w:val="24"/>
              </w:rPr>
              <w:lastRenderedPageBreak/>
              <w:t>2</w:t>
            </w:r>
            <w:r>
              <w:rPr>
                <w:sz w:val="24"/>
                <w:szCs w:val="24"/>
              </w:rPr>
              <w:t>0</w:t>
            </w:r>
          </w:p>
        </w:tc>
        <w:tc>
          <w:tcPr>
            <w:tcW w:w="1634" w:type="dxa"/>
            <w:vMerge w:val="restart"/>
            <w:vAlign w:val="center"/>
          </w:tcPr>
          <w:p w:rsidR="00427CFC" w:rsidRDefault="004220DA">
            <w:pPr>
              <w:pStyle w:val="affe"/>
              <w:ind w:firstLineChars="0" w:firstLine="0"/>
              <w:jc w:val="center"/>
              <w:rPr>
                <w:rFonts w:ascii="仿宋_GB2312" w:eastAsia="仿宋_GB2312" w:hAnsi="宋体" w:cs="仿宋_GB2312"/>
                <w:b/>
                <w:bCs/>
                <w:sz w:val="24"/>
                <w:szCs w:val="24"/>
              </w:rPr>
            </w:pPr>
            <w:r>
              <w:rPr>
                <w:rFonts w:ascii="仿宋_GB2312" w:eastAsia="仿宋_GB2312" w:hAnsi="宋体" w:cs="仿宋_GB2312" w:hint="eastAsia"/>
                <w:b/>
                <w:bCs/>
                <w:sz w:val="24"/>
                <w:szCs w:val="24"/>
              </w:rPr>
              <w:t>破产管理人业务培训及水平测试管理</w:t>
            </w:r>
          </w:p>
        </w:tc>
        <w:tc>
          <w:tcPr>
            <w:tcW w:w="2369" w:type="dxa"/>
            <w:vAlign w:val="center"/>
          </w:tcPr>
          <w:p w:rsidR="00427CFC" w:rsidRDefault="004220DA">
            <w:pPr>
              <w:pStyle w:val="affe"/>
              <w:ind w:firstLineChars="0" w:firstLine="0"/>
              <w:jc w:val="center"/>
              <w:rPr>
                <w:sz w:val="24"/>
                <w:szCs w:val="24"/>
              </w:rPr>
            </w:pPr>
            <w:r>
              <w:rPr>
                <w:rFonts w:hint="eastAsia"/>
                <w:sz w:val="24"/>
                <w:szCs w:val="24"/>
              </w:rPr>
              <w:t>在线培训业务</w:t>
            </w:r>
          </w:p>
        </w:tc>
        <w:tc>
          <w:tcPr>
            <w:tcW w:w="2378" w:type="dxa"/>
          </w:tcPr>
          <w:p w:rsidR="00427CFC" w:rsidRDefault="004220DA">
            <w:pPr>
              <w:pStyle w:val="affe"/>
              <w:ind w:firstLineChars="0" w:firstLine="0"/>
              <w:jc w:val="center"/>
              <w:rPr>
                <w:sz w:val="24"/>
                <w:szCs w:val="24"/>
              </w:rPr>
            </w:pPr>
            <w:r>
              <w:rPr>
                <w:rFonts w:hint="eastAsia"/>
                <w:sz w:val="24"/>
                <w:szCs w:val="24"/>
              </w:rPr>
              <w:t>相关建设功能满足实际业务场景需要，在线培训业务流程规范，界面功能按钮响应时间≤5秒</w:t>
            </w:r>
          </w:p>
        </w:tc>
        <w:tc>
          <w:tcPr>
            <w:tcW w:w="1000" w:type="dxa"/>
          </w:tcPr>
          <w:p w:rsidR="00427CFC" w:rsidRDefault="00427CFC">
            <w:pPr>
              <w:pStyle w:val="affe"/>
              <w:ind w:firstLineChars="0" w:firstLine="0"/>
              <w:rPr>
                <w:sz w:val="24"/>
                <w:szCs w:val="24"/>
              </w:rPr>
            </w:pPr>
          </w:p>
        </w:tc>
      </w:tr>
      <w:tr w:rsidR="00427CFC">
        <w:tc>
          <w:tcPr>
            <w:tcW w:w="915" w:type="dxa"/>
            <w:vAlign w:val="center"/>
          </w:tcPr>
          <w:p w:rsidR="00427CFC" w:rsidRDefault="004220DA">
            <w:pPr>
              <w:pStyle w:val="affe"/>
              <w:ind w:firstLineChars="0" w:firstLine="0"/>
              <w:jc w:val="center"/>
              <w:rPr>
                <w:sz w:val="24"/>
                <w:szCs w:val="24"/>
              </w:rPr>
            </w:pPr>
            <w:r>
              <w:rPr>
                <w:rFonts w:hint="eastAsia"/>
                <w:sz w:val="24"/>
                <w:szCs w:val="24"/>
              </w:rPr>
              <w:t>2</w:t>
            </w:r>
            <w:r>
              <w:rPr>
                <w:sz w:val="24"/>
                <w:szCs w:val="24"/>
              </w:rPr>
              <w:t>1</w:t>
            </w:r>
          </w:p>
        </w:tc>
        <w:tc>
          <w:tcPr>
            <w:tcW w:w="1634" w:type="dxa"/>
            <w:vMerge/>
            <w:vAlign w:val="center"/>
          </w:tcPr>
          <w:p w:rsidR="00427CFC" w:rsidRDefault="00427CFC">
            <w:pPr>
              <w:pStyle w:val="affe"/>
              <w:ind w:firstLineChars="0" w:firstLine="0"/>
              <w:jc w:val="center"/>
              <w:rPr>
                <w:rFonts w:ascii="仿宋_GB2312" w:eastAsia="仿宋_GB2312" w:hAnsi="宋体" w:cs="仿宋_GB2312"/>
                <w:b/>
                <w:bCs/>
                <w:sz w:val="24"/>
                <w:szCs w:val="24"/>
              </w:rPr>
            </w:pPr>
          </w:p>
        </w:tc>
        <w:tc>
          <w:tcPr>
            <w:tcW w:w="2369" w:type="dxa"/>
            <w:vAlign w:val="center"/>
          </w:tcPr>
          <w:p w:rsidR="00427CFC" w:rsidRDefault="004220DA">
            <w:pPr>
              <w:pStyle w:val="affe"/>
              <w:ind w:firstLineChars="0" w:firstLine="0"/>
              <w:jc w:val="center"/>
              <w:rPr>
                <w:sz w:val="24"/>
                <w:szCs w:val="24"/>
              </w:rPr>
            </w:pPr>
            <w:r>
              <w:rPr>
                <w:rFonts w:hint="eastAsia"/>
                <w:sz w:val="24"/>
                <w:szCs w:val="24"/>
              </w:rPr>
              <w:t>在线培训管理</w:t>
            </w:r>
          </w:p>
        </w:tc>
        <w:tc>
          <w:tcPr>
            <w:tcW w:w="2378" w:type="dxa"/>
          </w:tcPr>
          <w:p w:rsidR="00427CFC" w:rsidRDefault="004220DA">
            <w:pPr>
              <w:pStyle w:val="affe"/>
              <w:ind w:firstLineChars="0" w:firstLine="0"/>
              <w:jc w:val="center"/>
              <w:rPr>
                <w:sz w:val="24"/>
                <w:szCs w:val="24"/>
              </w:rPr>
            </w:pPr>
            <w:r>
              <w:rPr>
                <w:rFonts w:hint="eastAsia"/>
                <w:sz w:val="24"/>
                <w:szCs w:val="24"/>
              </w:rPr>
              <w:t>相关建设功能满足实际业务场景需要，在线培训管理流程规范，界面功能按钮响应时间≤5秒</w:t>
            </w:r>
          </w:p>
        </w:tc>
        <w:tc>
          <w:tcPr>
            <w:tcW w:w="1000" w:type="dxa"/>
          </w:tcPr>
          <w:p w:rsidR="00427CFC" w:rsidRDefault="00427CFC">
            <w:pPr>
              <w:pStyle w:val="affe"/>
              <w:ind w:firstLineChars="0" w:firstLine="0"/>
              <w:rPr>
                <w:sz w:val="24"/>
                <w:szCs w:val="24"/>
              </w:rPr>
            </w:pPr>
          </w:p>
        </w:tc>
      </w:tr>
      <w:tr w:rsidR="00427CFC">
        <w:tc>
          <w:tcPr>
            <w:tcW w:w="915" w:type="dxa"/>
            <w:vAlign w:val="center"/>
          </w:tcPr>
          <w:p w:rsidR="00427CFC" w:rsidRDefault="004220DA">
            <w:pPr>
              <w:pStyle w:val="affe"/>
              <w:ind w:firstLineChars="0" w:firstLine="0"/>
              <w:jc w:val="center"/>
              <w:rPr>
                <w:sz w:val="24"/>
                <w:szCs w:val="24"/>
              </w:rPr>
            </w:pPr>
            <w:r>
              <w:rPr>
                <w:rFonts w:hint="eastAsia"/>
                <w:sz w:val="24"/>
                <w:szCs w:val="24"/>
              </w:rPr>
              <w:t>2</w:t>
            </w:r>
            <w:r>
              <w:rPr>
                <w:sz w:val="24"/>
                <w:szCs w:val="24"/>
              </w:rPr>
              <w:t>2</w:t>
            </w:r>
          </w:p>
        </w:tc>
        <w:tc>
          <w:tcPr>
            <w:tcW w:w="1634" w:type="dxa"/>
            <w:vMerge/>
            <w:vAlign w:val="center"/>
          </w:tcPr>
          <w:p w:rsidR="00427CFC" w:rsidRDefault="00427CFC">
            <w:pPr>
              <w:pStyle w:val="affe"/>
              <w:ind w:firstLineChars="0" w:firstLine="0"/>
              <w:jc w:val="center"/>
              <w:rPr>
                <w:rFonts w:ascii="仿宋_GB2312" w:eastAsia="仿宋_GB2312" w:hAnsi="宋体" w:cs="仿宋_GB2312"/>
                <w:b/>
                <w:bCs/>
                <w:sz w:val="24"/>
                <w:szCs w:val="24"/>
              </w:rPr>
            </w:pPr>
          </w:p>
        </w:tc>
        <w:tc>
          <w:tcPr>
            <w:tcW w:w="2369" w:type="dxa"/>
            <w:vAlign w:val="center"/>
          </w:tcPr>
          <w:p w:rsidR="00427CFC" w:rsidRDefault="004220DA">
            <w:pPr>
              <w:pStyle w:val="affe"/>
              <w:ind w:firstLineChars="0" w:firstLine="0"/>
              <w:jc w:val="center"/>
              <w:rPr>
                <w:sz w:val="24"/>
                <w:szCs w:val="24"/>
              </w:rPr>
            </w:pPr>
            <w:r>
              <w:rPr>
                <w:rFonts w:hint="eastAsia"/>
                <w:sz w:val="24"/>
                <w:szCs w:val="24"/>
              </w:rPr>
              <w:t>水平测试管理</w:t>
            </w:r>
          </w:p>
        </w:tc>
        <w:tc>
          <w:tcPr>
            <w:tcW w:w="2378" w:type="dxa"/>
          </w:tcPr>
          <w:p w:rsidR="00427CFC" w:rsidRDefault="004220DA">
            <w:pPr>
              <w:pStyle w:val="affe"/>
              <w:ind w:firstLineChars="0" w:firstLine="0"/>
              <w:jc w:val="center"/>
              <w:rPr>
                <w:sz w:val="24"/>
                <w:szCs w:val="24"/>
              </w:rPr>
            </w:pPr>
            <w:r>
              <w:rPr>
                <w:rFonts w:hint="eastAsia"/>
                <w:sz w:val="24"/>
                <w:szCs w:val="24"/>
              </w:rPr>
              <w:t>相关建设功能满足实际业务场景需要，水平测试管理流程规范，界面功能按钮响应时间≤5秒</w:t>
            </w:r>
          </w:p>
        </w:tc>
        <w:tc>
          <w:tcPr>
            <w:tcW w:w="1000" w:type="dxa"/>
          </w:tcPr>
          <w:p w:rsidR="00427CFC" w:rsidRDefault="00427CFC">
            <w:pPr>
              <w:pStyle w:val="affe"/>
              <w:ind w:firstLineChars="0" w:firstLine="0"/>
              <w:rPr>
                <w:sz w:val="24"/>
                <w:szCs w:val="24"/>
              </w:rPr>
            </w:pPr>
          </w:p>
        </w:tc>
      </w:tr>
      <w:tr w:rsidR="00427CFC">
        <w:tc>
          <w:tcPr>
            <w:tcW w:w="915" w:type="dxa"/>
            <w:vAlign w:val="center"/>
          </w:tcPr>
          <w:p w:rsidR="00427CFC" w:rsidRDefault="004220DA">
            <w:pPr>
              <w:pStyle w:val="affe"/>
              <w:ind w:firstLineChars="0" w:firstLine="0"/>
              <w:jc w:val="center"/>
              <w:rPr>
                <w:sz w:val="24"/>
                <w:szCs w:val="24"/>
              </w:rPr>
            </w:pPr>
            <w:r>
              <w:rPr>
                <w:rFonts w:hint="eastAsia"/>
                <w:sz w:val="24"/>
                <w:szCs w:val="24"/>
              </w:rPr>
              <w:t>2</w:t>
            </w:r>
            <w:r>
              <w:rPr>
                <w:sz w:val="24"/>
                <w:szCs w:val="24"/>
              </w:rPr>
              <w:t>3</w:t>
            </w:r>
          </w:p>
        </w:tc>
        <w:tc>
          <w:tcPr>
            <w:tcW w:w="1634" w:type="dxa"/>
            <w:vMerge w:val="restart"/>
            <w:vAlign w:val="center"/>
          </w:tcPr>
          <w:p w:rsidR="00427CFC" w:rsidRDefault="004220DA">
            <w:pPr>
              <w:pStyle w:val="affe"/>
              <w:ind w:firstLineChars="0" w:firstLine="0"/>
              <w:jc w:val="center"/>
              <w:rPr>
                <w:rFonts w:ascii="仿宋_GB2312" w:eastAsia="仿宋_GB2312" w:hAnsi="宋体" w:cs="仿宋_GB2312"/>
                <w:b/>
                <w:bCs/>
                <w:sz w:val="24"/>
                <w:szCs w:val="24"/>
              </w:rPr>
            </w:pPr>
            <w:r>
              <w:rPr>
                <w:rFonts w:ascii="仿宋_GB2312" w:eastAsia="仿宋_GB2312" w:hAnsi="宋体" w:cs="仿宋_GB2312" w:hint="eastAsia"/>
                <w:b/>
                <w:bCs/>
                <w:sz w:val="24"/>
                <w:szCs w:val="24"/>
              </w:rPr>
              <w:t>破产管理人履职/办案信息管理</w:t>
            </w:r>
          </w:p>
        </w:tc>
        <w:tc>
          <w:tcPr>
            <w:tcW w:w="2369" w:type="dxa"/>
            <w:vAlign w:val="center"/>
          </w:tcPr>
          <w:p w:rsidR="00427CFC" w:rsidRDefault="004220DA">
            <w:pPr>
              <w:pStyle w:val="affe"/>
              <w:ind w:firstLineChars="0" w:firstLine="0"/>
              <w:jc w:val="center"/>
              <w:rPr>
                <w:sz w:val="24"/>
                <w:szCs w:val="24"/>
              </w:rPr>
            </w:pPr>
            <w:r>
              <w:rPr>
                <w:rFonts w:hint="eastAsia"/>
                <w:sz w:val="24"/>
                <w:szCs w:val="24"/>
              </w:rPr>
              <w:t>案件登记</w:t>
            </w:r>
          </w:p>
        </w:tc>
        <w:tc>
          <w:tcPr>
            <w:tcW w:w="2378" w:type="dxa"/>
          </w:tcPr>
          <w:p w:rsidR="00427CFC" w:rsidRDefault="004220DA">
            <w:pPr>
              <w:pStyle w:val="affe"/>
              <w:ind w:firstLineChars="0" w:firstLine="0"/>
              <w:jc w:val="center"/>
              <w:rPr>
                <w:sz w:val="24"/>
                <w:szCs w:val="24"/>
              </w:rPr>
            </w:pPr>
            <w:r>
              <w:rPr>
                <w:rFonts w:hint="eastAsia"/>
                <w:sz w:val="24"/>
                <w:szCs w:val="24"/>
              </w:rPr>
              <w:t>相关建设功能满足实际业务场景需要，案件登记流程规范，界面功能按钮响应时间≤5秒</w:t>
            </w:r>
          </w:p>
        </w:tc>
        <w:tc>
          <w:tcPr>
            <w:tcW w:w="1000" w:type="dxa"/>
          </w:tcPr>
          <w:p w:rsidR="00427CFC" w:rsidRDefault="00427CFC">
            <w:pPr>
              <w:pStyle w:val="affe"/>
              <w:ind w:firstLineChars="0" w:firstLine="0"/>
              <w:rPr>
                <w:sz w:val="24"/>
                <w:szCs w:val="24"/>
              </w:rPr>
            </w:pPr>
          </w:p>
        </w:tc>
      </w:tr>
      <w:tr w:rsidR="00427CFC">
        <w:tc>
          <w:tcPr>
            <w:tcW w:w="915" w:type="dxa"/>
            <w:vAlign w:val="center"/>
          </w:tcPr>
          <w:p w:rsidR="00427CFC" w:rsidRDefault="004220DA">
            <w:pPr>
              <w:pStyle w:val="affe"/>
              <w:ind w:firstLineChars="0" w:firstLine="0"/>
              <w:jc w:val="center"/>
              <w:rPr>
                <w:sz w:val="24"/>
                <w:szCs w:val="24"/>
              </w:rPr>
            </w:pPr>
            <w:r>
              <w:rPr>
                <w:rFonts w:hint="eastAsia"/>
                <w:sz w:val="24"/>
                <w:szCs w:val="24"/>
              </w:rPr>
              <w:t>2</w:t>
            </w:r>
            <w:r>
              <w:rPr>
                <w:sz w:val="24"/>
                <w:szCs w:val="24"/>
              </w:rPr>
              <w:t>4</w:t>
            </w:r>
          </w:p>
        </w:tc>
        <w:tc>
          <w:tcPr>
            <w:tcW w:w="1634" w:type="dxa"/>
            <w:vMerge/>
            <w:vAlign w:val="center"/>
          </w:tcPr>
          <w:p w:rsidR="00427CFC" w:rsidRDefault="00427CFC">
            <w:pPr>
              <w:pStyle w:val="affe"/>
              <w:ind w:firstLineChars="0" w:firstLine="0"/>
              <w:jc w:val="center"/>
              <w:rPr>
                <w:rFonts w:ascii="仿宋_GB2312" w:eastAsia="仿宋_GB2312" w:hAnsi="宋体" w:cs="仿宋_GB2312"/>
                <w:b/>
                <w:bCs/>
                <w:sz w:val="24"/>
                <w:szCs w:val="24"/>
              </w:rPr>
            </w:pPr>
          </w:p>
        </w:tc>
        <w:tc>
          <w:tcPr>
            <w:tcW w:w="2369" w:type="dxa"/>
            <w:vAlign w:val="center"/>
          </w:tcPr>
          <w:p w:rsidR="00427CFC" w:rsidRDefault="004220DA">
            <w:pPr>
              <w:pStyle w:val="affe"/>
              <w:ind w:firstLineChars="0" w:firstLine="0"/>
              <w:jc w:val="center"/>
              <w:rPr>
                <w:sz w:val="24"/>
                <w:szCs w:val="24"/>
              </w:rPr>
            </w:pPr>
            <w:r>
              <w:rPr>
                <w:rFonts w:hint="eastAsia"/>
                <w:sz w:val="24"/>
                <w:szCs w:val="24"/>
              </w:rPr>
              <w:t>履职信息采集</w:t>
            </w:r>
          </w:p>
        </w:tc>
        <w:tc>
          <w:tcPr>
            <w:tcW w:w="2378" w:type="dxa"/>
          </w:tcPr>
          <w:p w:rsidR="00427CFC" w:rsidRDefault="004220DA">
            <w:pPr>
              <w:pStyle w:val="affe"/>
              <w:ind w:firstLineChars="0" w:firstLine="0"/>
              <w:jc w:val="center"/>
              <w:rPr>
                <w:sz w:val="24"/>
                <w:szCs w:val="24"/>
              </w:rPr>
            </w:pPr>
            <w:r>
              <w:rPr>
                <w:rFonts w:hint="eastAsia"/>
                <w:sz w:val="24"/>
                <w:szCs w:val="24"/>
              </w:rPr>
              <w:t>需对接上海高院相关信息系统，履职信息误差率≤2%</w:t>
            </w:r>
          </w:p>
          <w:p w:rsidR="00427CFC" w:rsidRDefault="004220DA">
            <w:pPr>
              <w:pStyle w:val="affe"/>
              <w:ind w:firstLineChars="0" w:firstLine="0"/>
              <w:jc w:val="center"/>
              <w:rPr>
                <w:sz w:val="24"/>
                <w:szCs w:val="24"/>
              </w:rPr>
            </w:pPr>
            <w:r>
              <w:rPr>
                <w:rFonts w:hint="eastAsia"/>
                <w:sz w:val="24"/>
                <w:szCs w:val="24"/>
              </w:rPr>
              <w:t>相关建设功能满足实</w:t>
            </w:r>
            <w:r>
              <w:rPr>
                <w:rFonts w:hint="eastAsia"/>
                <w:sz w:val="24"/>
                <w:szCs w:val="24"/>
              </w:rPr>
              <w:lastRenderedPageBreak/>
              <w:t>际业务场景需要，界面功能按钮响应时间≤5秒</w:t>
            </w:r>
          </w:p>
        </w:tc>
        <w:tc>
          <w:tcPr>
            <w:tcW w:w="1000" w:type="dxa"/>
          </w:tcPr>
          <w:p w:rsidR="00427CFC" w:rsidRDefault="00427CFC">
            <w:pPr>
              <w:pStyle w:val="affe"/>
              <w:ind w:firstLineChars="0" w:firstLine="0"/>
              <w:rPr>
                <w:sz w:val="24"/>
                <w:szCs w:val="24"/>
              </w:rPr>
            </w:pPr>
          </w:p>
        </w:tc>
      </w:tr>
      <w:tr w:rsidR="00427CFC">
        <w:tc>
          <w:tcPr>
            <w:tcW w:w="915" w:type="dxa"/>
            <w:vAlign w:val="center"/>
          </w:tcPr>
          <w:p w:rsidR="00427CFC" w:rsidRDefault="004220DA">
            <w:pPr>
              <w:pStyle w:val="affe"/>
              <w:ind w:firstLineChars="0" w:firstLine="0"/>
              <w:jc w:val="center"/>
              <w:rPr>
                <w:sz w:val="24"/>
                <w:szCs w:val="24"/>
              </w:rPr>
            </w:pPr>
            <w:r>
              <w:rPr>
                <w:rFonts w:hint="eastAsia"/>
                <w:sz w:val="24"/>
                <w:szCs w:val="24"/>
              </w:rPr>
              <w:lastRenderedPageBreak/>
              <w:t>2</w:t>
            </w:r>
            <w:r>
              <w:rPr>
                <w:sz w:val="24"/>
                <w:szCs w:val="24"/>
              </w:rPr>
              <w:t>5</w:t>
            </w:r>
          </w:p>
        </w:tc>
        <w:tc>
          <w:tcPr>
            <w:tcW w:w="1634" w:type="dxa"/>
            <w:vMerge/>
            <w:vAlign w:val="center"/>
          </w:tcPr>
          <w:p w:rsidR="00427CFC" w:rsidRDefault="00427CFC">
            <w:pPr>
              <w:pStyle w:val="affe"/>
              <w:ind w:firstLineChars="0" w:firstLine="0"/>
              <w:jc w:val="center"/>
              <w:rPr>
                <w:rFonts w:ascii="仿宋_GB2312" w:eastAsia="仿宋_GB2312" w:hAnsi="宋体" w:cs="仿宋_GB2312"/>
                <w:b/>
                <w:bCs/>
                <w:sz w:val="24"/>
                <w:szCs w:val="24"/>
              </w:rPr>
            </w:pPr>
          </w:p>
        </w:tc>
        <w:tc>
          <w:tcPr>
            <w:tcW w:w="2369" w:type="dxa"/>
            <w:vAlign w:val="center"/>
          </w:tcPr>
          <w:p w:rsidR="00427CFC" w:rsidRDefault="004220DA">
            <w:pPr>
              <w:pStyle w:val="affe"/>
              <w:ind w:firstLineChars="0" w:firstLine="0"/>
              <w:jc w:val="center"/>
              <w:rPr>
                <w:sz w:val="24"/>
                <w:szCs w:val="24"/>
              </w:rPr>
            </w:pPr>
            <w:r>
              <w:rPr>
                <w:rFonts w:hint="eastAsia"/>
                <w:sz w:val="24"/>
                <w:szCs w:val="24"/>
              </w:rPr>
              <w:t>履职办案信息管理</w:t>
            </w:r>
          </w:p>
        </w:tc>
        <w:tc>
          <w:tcPr>
            <w:tcW w:w="2378" w:type="dxa"/>
          </w:tcPr>
          <w:p w:rsidR="00427CFC" w:rsidRDefault="004220DA">
            <w:pPr>
              <w:pStyle w:val="affe"/>
              <w:ind w:firstLineChars="0" w:firstLine="0"/>
              <w:jc w:val="center"/>
              <w:rPr>
                <w:sz w:val="24"/>
                <w:szCs w:val="24"/>
              </w:rPr>
            </w:pPr>
            <w:r>
              <w:rPr>
                <w:rFonts w:hint="eastAsia"/>
                <w:sz w:val="24"/>
                <w:szCs w:val="24"/>
              </w:rPr>
              <w:t>相关建设功能满足实际业务场景需要，履职办案信息管理流程规范，界面功能按钮响应时间≤5秒</w:t>
            </w:r>
          </w:p>
        </w:tc>
        <w:tc>
          <w:tcPr>
            <w:tcW w:w="1000" w:type="dxa"/>
          </w:tcPr>
          <w:p w:rsidR="00427CFC" w:rsidRDefault="00427CFC">
            <w:pPr>
              <w:pStyle w:val="affe"/>
              <w:ind w:firstLineChars="0" w:firstLine="0"/>
              <w:rPr>
                <w:sz w:val="24"/>
                <w:szCs w:val="24"/>
              </w:rPr>
            </w:pPr>
          </w:p>
        </w:tc>
      </w:tr>
      <w:tr w:rsidR="00427CFC">
        <w:tc>
          <w:tcPr>
            <w:tcW w:w="915" w:type="dxa"/>
            <w:vAlign w:val="center"/>
          </w:tcPr>
          <w:p w:rsidR="00427CFC" w:rsidRDefault="004220DA">
            <w:pPr>
              <w:pStyle w:val="affe"/>
              <w:ind w:firstLineChars="0" w:firstLine="0"/>
              <w:jc w:val="center"/>
              <w:rPr>
                <w:sz w:val="24"/>
                <w:szCs w:val="24"/>
              </w:rPr>
            </w:pPr>
            <w:r>
              <w:rPr>
                <w:rFonts w:hint="eastAsia"/>
                <w:sz w:val="24"/>
                <w:szCs w:val="24"/>
              </w:rPr>
              <w:t>2</w:t>
            </w:r>
            <w:r>
              <w:rPr>
                <w:sz w:val="24"/>
                <w:szCs w:val="24"/>
              </w:rPr>
              <w:t>6</w:t>
            </w:r>
          </w:p>
        </w:tc>
        <w:tc>
          <w:tcPr>
            <w:tcW w:w="1634" w:type="dxa"/>
            <w:vMerge w:val="restart"/>
            <w:vAlign w:val="center"/>
          </w:tcPr>
          <w:p w:rsidR="00427CFC" w:rsidRDefault="004220DA">
            <w:pPr>
              <w:pStyle w:val="affe"/>
              <w:ind w:firstLineChars="0" w:firstLine="0"/>
              <w:jc w:val="center"/>
              <w:rPr>
                <w:rFonts w:ascii="仿宋_GB2312" w:eastAsia="仿宋_GB2312" w:hAnsi="宋体" w:cs="仿宋_GB2312"/>
                <w:b/>
                <w:bCs/>
                <w:sz w:val="24"/>
                <w:szCs w:val="24"/>
              </w:rPr>
            </w:pPr>
            <w:r>
              <w:rPr>
                <w:rFonts w:ascii="仿宋_GB2312" w:eastAsia="仿宋_GB2312" w:hAnsi="宋体" w:cs="仿宋_GB2312" w:hint="eastAsia"/>
                <w:b/>
                <w:bCs/>
                <w:sz w:val="24"/>
                <w:szCs w:val="24"/>
              </w:rPr>
              <w:t>党建管理</w:t>
            </w:r>
          </w:p>
        </w:tc>
        <w:tc>
          <w:tcPr>
            <w:tcW w:w="2369" w:type="dxa"/>
            <w:vAlign w:val="center"/>
          </w:tcPr>
          <w:p w:rsidR="00427CFC" w:rsidRDefault="004220DA">
            <w:pPr>
              <w:pStyle w:val="affe"/>
              <w:ind w:firstLineChars="0" w:firstLine="0"/>
              <w:jc w:val="center"/>
              <w:rPr>
                <w:sz w:val="24"/>
                <w:szCs w:val="24"/>
              </w:rPr>
            </w:pPr>
            <w:r>
              <w:rPr>
                <w:rFonts w:hint="eastAsia"/>
                <w:sz w:val="24"/>
                <w:szCs w:val="24"/>
              </w:rPr>
              <w:t>党组织管理</w:t>
            </w:r>
          </w:p>
        </w:tc>
        <w:tc>
          <w:tcPr>
            <w:tcW w:w="2378" w:type="dxa"/>
          </w:tcPr>
          <w:p w:rsidR="00427CFC" w:rsidRDefault="004220DA">
            <w:pPr>
              <w:pStyle w:val="affe"/>
              <w:ind w:firstLineChars="0" w:firstLine="0"/>
              <w:jc w:val="center"/>
              <w:rPr>
                <w:sz w:val="24"/>
                <w:szCs w:val="24"/>
              </w:rPr>
            </w:pPr>
            <w:r>
              <w:rPr>
                <w:rFonts w:hint="eastAsia"/>
                <w:sz w:val="24"/>
                <w:szCs w:val="24"/>
              </w:rPr>
              <w:t>相关建设功能满足实际业务场景需要，党组织管理流程规范，界面功能按钮响应时间≤5秒</w:t>
            </w:r>
          </w:p>
        </w:tc>
        <w:tc>
          <w:tcPr>
            <w:tcW w:w="1000" w:type="dxa"/>
          </w:tcPr>
          <w:p w:rsidR="00427CFC" w:rsidRDefault="00427CFC">
            <w:pPr>
              <w:pStyle w:val="affe"/>
              <w:ind w:firstLineChars="0" w:firstLine="0"/>
              <w:rPr>
                <w:sz w:val="24"/>
                <w:szCs w:val="24"/>
              </w:rPr>
            </w:pPr>
          </w:p>
        </w:tc>
      </w:tr>
      <w:tr w:rsidR="00427CFC">
        <w:tc>
          <w:tcPr>
            <w:tcW w:w="915" w:type="dxa"/>
            <w:vAlign w:val="center"/>
          </w:tcPr>
          <w:p w:rsidR="00427CFC" w:rsidRDefault="004220DA">
            <w:pPr>
              <w:pStyle w:val="affe"/>
              <w:ind w:firstLineChars="0" w:firstLine="0"/>
              <w:jc w:val="center"/>
              <w:rPr>
                <w:sz w:val="24"/>
                <w:szCs w:val="24"/>
              </w:rPr>
            </w:pPr>
            <w:r>
              <w:rPr>
                <w:rFonts w:hint="eastAsia"/>
                <w:sz w:val="24"/>
                <w:szCs w:val="24"/>
              </w:rPr>
              <w:t>2</w:t>
            </w:r>
            <w:r>
              <w:rPr>
                <w:sz w:val="24"/>
                <w:szCs w:val="24"/>
              </w:rPr>
              <w:t>7</w:t>
            </w:r>
          </w:p>
        </w:tc>
        <w:tc>
          <w:tcPr>
            <w:tcW w:w="1634" w:type="dxa"/>
            <w:vMerge/>
            <w:vAlign w:val="center"/>
          </w:tcPr>
          <w:p w:rsidR="00427CFC" w:rsidRDefault="00427CFC">
            <w:pPr>
              <w:pStyle w:val="affe"/>
              <w:ind w:firstLineChars="0" w:firstLine="0"/>
              <w:jc w:val="center"/>
              <w:rPr>
                <w:rFonts w:ascii="仿宋_GB2312" w:eastAsia="仿宋_GB2312" w:hAnsi="宋体" w:cs="仿宋_GB2312"/>
                <w:b/>
                <w:bCs/>
                <w:sz w:val="24"/>
                <w:szCs w:val="24"/>
              </w:rPr>
            </w:pPr>
          </w:p>
        </w:tc>
        <w:tc>
          <w:tcPr>
            <w:tcW w:w="2369" w:type="dxa"/>
            <w:vAlign w:val="center"/>
          </w:tcPr>
          <w:p w:rsidR="00427CFC" w:rsidRDefault="004220DA">
            <w:pPr>
              <w:pStyle w:val="affe"/>
              <w:ind w:firstLineChars="0" w:firstLine="0"/>
              <w:jc w:val="center"/>
              <w:rPr>
                <w:sz w:val="24"/>
                <w:szCs w:val="24"/>
              </w:rPr>
            </w:pPr>
            <w:r>
              <w:rPr>
                <w:rFonts w:hint="eastAsia"/>
                <w:sz w:val="24"/>
                <w:szCs w:val="24"/>
              </w:rPr>
              <w:t>党员管理</w:t>
            </w:r>
          </w:p>
        </w:tc>
        <w:tc>
          <w:tcPr>
            <w:tcW w:w="2378" w:type="dxa"/>
          </w:tcPr>
          <w:p w:rsidR="00427CFC" w:rsidRDefault="004220DA">
            <w:pPr>
              <w:pStyle w:val="affe"/>
              <w:ind w:firstLineChars="0" w:firstLine="0"/>
              <w:jc w:val="center"/>
              <w:rPr>
                <w:sz w:val="24"/>
                <w:szCs w:val="24"/>
              </w:rPr>
            </w:pPr>
            <w:r>
              <w:rPr>
                <w:rFonts w:hint="eastAsia"/>
                <w:sz w:val="24"/>
                <w:szCs w:val="24"/>
              </w:rPr>
              <w:t>相关建设功能满足实际业务场景需要，党员管理流程规范，界面功能按钮响应时间≤5秒</w:t>
            </w:r>
          </w:p>
        </w:tc>
        <w:tc>
          <w:tcPr>
            <w:tcW w:w="1000" w:type="dxa"/>
          </w:tcPr>
          <w:p w:rsidR="00427CFC" w:rsidRDefault="00427CFC">
            <w:pPr>
              <w:pStyle w:val="affe"/>
              <w:ind w:firstLineChars="0" w:firstLine="0"/>
              <w:rPr>
                <w:sz w:val="24"/>
                <w:szCs w:val="24"/>
              </w:rPr>
            </w:pPr>
          </w:p>
        </w:tc>
      </w:tr>
      <w:tr w:rsidR="00427CFC">
        <w:tc>
          <w:tcPr>
            <w:tcW w:w="915" w:type="dxa"/>
            <w:vAlign w:val="center"/>
          </w:tcPr>
          <w:p w:rsidR="00427CFC" w:rsidRDefault="004220DA">
            <w:pPr>
              <w:pStyle w:val="affe"/>
              <w:ind w:firstLineChars="0" w:firstLine="0"/>
              <w:jc w:val="center"/>
              <w:rPr>
                <w:sz w:val="24"/>
                <w:szCs w:val="24"/>
              </w:rPr>
            </w:pPr>
            <w:r>
              <w:rPr>
                <w:rFonts w:hint="eastAsia"/>
                <w:sz w:val="24"/>
                <w:szCs w:val="24"/>
              </w:rPr>
              <w:t>2</w:t>
            </w:r>
            <w:r>
              <w:rPr>
                <w:sz w:val="24"/>
                <w:szCs w:val="24"/>
              </w:rPr>
              <w:t>8</w:t>
            </w:r>
          </w:p>
        </w:tc>
        <w:tc>
          <w:tcPr>
            <w:tcW w:w="1634" w:type="dxa"/>
            <w:vMerge/>
            <w:vAlign w:val="center"/>
          </w:tcPr>
          <w:p w:rsidR="00427CFC" w:rsidRDefault="00427CFC">
            <w:pPr>
              <w:pStyle w:val="affe"/>
              <w:ind w:firstLineChars="0" w:firstLine="0"/>
              <w:jc w:val="center"/>
              <w:rPr>
                <w:rFonts w:ascii="仿宋_GB2312" w:eastAsia="仿宋_GB2312" w:hAnsi="宋体" w:cs="仿宋_GB2312"/>
                <w:b/>
                <w:bCs/>
                <w:sz w:val="24"/>
                <w:szCs w:val="24"/>
              </w:rPr>
            </w:pPr>
          </w:p>
        </w:tc>
        <w:tc>
          <w:tcPr>
            <w:tcW w:w="2369" w:type="dxa"/>
            <w:vAlign w:val="center"/>
          </w:tcPr>
          <w:p w:rsidR="00427CFC" w:rsidRDefault="004220DA">
            <w:pPr>
              <w:pStyle w:val="affe"/>
              <w:ind w:firstLineChars="0" w:firstLine="0"/>
              <w:jc w:val="center"/>
              <w:rPr>
                <w:sz w:val="24"/>
                <w:szCs w:val="24"/>
              </w:rPr>
            </w:pPr>
            <w:r>
              <w:rPr>
                <w:rFonts w:hint="eastAsia"/>
                <w:sz w:val="24"/>
                <w:szCs w:val="24"/>
              </w:rPr>
              <w:t>党员活动管理</w:t>
            </w:r>
          </w:p>
        </w:tc>
        <w:tc>
          <w:tcPr>
            <w:tcW w:w="2378" w:type="dxa"/>
          </w:tcPr>
          <w:p w:rsidR="00427CFC" w:rsidRDefault="004220DA">
            <w:pPr>
              <w:pStyle w:val="affe"/>
              <w:ind w:firstLineChars="0" w:firstLine="0"/>
              <w:jc w:val="center"/>
              <w:rPr>
                <w:sz w:val="24"/>
                <w:szCs w:val="24"/>
              </w:rPr>
            </w:pPr>
            <w:r>
              <w:rPr>
                <w:rFonts w:hint="eastAsia"/>
                <w:sz w:val="24"/>
                <w:szCs w:val="24"/>
              </w:rPr>
              <w:t>相关建设功能满足实际业务场景需要，党员活动管理流程规范，界面功能按钮响应时间≤5秒</w:t>
            </w:r>
          </w:p>
        </w:tc>
        <w:tc>
          <w:tcPr>
            <w:tcW w:w="1000" w:type="dxa"/>
          </w:tcPr>
          <w:p w:rsidR="00427CFC" w:rsidRDefault="00427CFC">
            <w:pPr>
              <w:pStyle w:val="affe"/>
              <w:ind w:firstLineChars="0" w:firstLine="0"/>
              <w:rPr>
                <w:sz w:val="24"/>
                <w:szCs w:val="24"/>
              </w:rPr>
            </w:pPr>
          </w:p>
        </w:tc>
      </w:tr>
      <w:tr w:rsidR="00427CFC">
        <w:tc>
          <w:tcPr>
            <w:tcW w:w="915" w:type="dxa"/>
            <w:vAlign w:val="center"/>
          </w:tcPr>
          <w:p w:rsidR="00427CFC" w:rsidRDefault="004220DA">
            <w:pPr>
              <w:pStyle w:val="affe"/>
              <w:ind w:firstLineChars="0" w:firstLine="0"/>
              <w:jc w:val="center"/>
              <w:rPr>
                <w:sz w:val="24"/>
                <w:szCs w:val="24"/>
              </w:rPr>
            </w:pPr>
            <w:r>
              <w:rPr>
                <w:rFonts w:hint="eastAsia"/>
                <w:sz w:val="24"/>
                <w:szCs w:val="24"/>
              </w:rPr>
              <w:t>29</w:t>
            </w:r>
          </w:p>
        </w:tc>
        <w:tc>
          <w:tcPr>
            <w:tcW w:w="1634" w:type="dxa"/>
            <w:vMerge/>
            <w:vAlign w:val="center"/>
          </w:tcPr>
          <w:p w:rsidR="00427CFC" w:rsidRDefault="00427CFC">
            <w:pPr>
              <w:pStyle w:val="affe"/>
              <w:ind w:firstLineChars="0" w:firstLine="0"/>
              <w:jc w:val="center"/>
              <w:rPr>
                <w:rFonts w:ascii="仿宋_GB2312" w:eastAsia="仿宋_GB2312" w:hAnsi="宋体" w:cs="仿宋_GB2312"/>
                <w:b/>
                <w:bCs/>
                <w:sz w:val="24"/>
                <w:szCs w:val="24"/>
              </w:rPr>
            </w:pPr>
          </w:p>
        </w:tc>
        <w:tc>
          <w:tcPr>
            <w:tcW w:w="2369" w:type="dxa"/>
            <w:vAlign w:val="center"/>
          </w:tcPr>
          <w:p w:rsidR="00427CFC" w:rsidRDefault="004220DA">
            <w:pPr>
              <w:pStyle w:val="affe"/>
              <w:ind w:firstLineChars="0" w:firstLine="0"/>
              <w:jc w:val="center"/>
              <w:rPr>
                <w:sz w:val="24"/>
                <w:szCs w:val="24"/>
              </w:rPr>
            </w:pPr>
            <w:r>
              <w:rPr>
                <w:rFonts w:hint="eastAsia"/>
                <w:sz w:val="24"/>
                <w:szCs w:val="24"/>
              </w:rPr>
              <w:t>党建服务</w:t>
            </w:r>
          </w:p>
        </w:tc>
        <w:tc>
          <w:tcPr>
            <w:tcW w:w="2378" w:type="dxa"/>
          </w:tcPr>
          <w:p w:rsidR="00427CFC" w:rsidRDefault="004220DA">
            <w:pPr>
              <w:pStyle w:val="affe"/>
              <w:ind w:firstLineChars="0" w:firstLine="0"/>
              <w:jc w:val="center"/>
              <w:rPr>
                <w:sz w:val="24"/>
                <w:szCs w:val="24"/>
              </w:rPr>
            </w:pPr>
            <w:r>
              <w:rPr>
                <w:rFonts w:hint="eastAsia"/>
                <w:sz w:val="24"/>
                <w:szCs w:val="24"/>
              </w:rPr>
              <w:t>相关建设功能满足实际业务场景需要，党建服务流程规范，界面功能按钮响应时间≤5秒</w:t>
            </w:r>
          </w:p>
        </w:tc>
        <w:tc>
          <w:tcPr>
            <w:tcW w:w="1000" w:type="dxa"/>
          </w:tcPr>
          <w:p w:rsidR="00427CFC" w:rsidRDefault="00427CFC">
            <w:pPr>
              <w:pStyle w:val="affe"/>
              <w:ind w:firstLineChars="0" w:firstLine="0"/>
              <w:rPr>
                <w:sz w:val="24"/>
                <w:szCs w:val="24"/>
              </w:rPr>
            </w:pPr>
          </w:p>
        </w:tc>
      </w:tr>
    </w:tbl>
    <w:p w:rsidR="00427CFC" w:rsidRDefault="00427CFC">
      <w:pPr>
        <w:pStyle w:val="affe"/>
        <w:ind w:firstLineChars="0" w:firstLine="0"/>
      </w:pPr>
    </w:p>
    <w:p w:rsidR="00427CFC" w:rsidRDefault="00427CFC">
      <w:pPr>
        <w:ind w:firstLine="400"/>
        <w:rPr>
          <w:rFonts w:ascii="仿宋" w:eastAsia="仿宋" w:hAnsi="仿宋"/>
          <w:sz w:val="20"/>
          <w:szCs w:val="20"/>
        </w:rPr>
      </w:pPr>
    </w:p>
    <w:p w:rsidR="00427CFC" w:rsidRDefault="00427CFC">
      <w:pPr>
        <w:ind w:firstLineChars="0"/>
      </w:pPr>
    </w:p>
    <w:p w:rsidR="00427CFC" w:rsidRDefault="004220DA">
      <w:pPr>
        <w:pStyle w:val="1"/>
      </w:pPr>
      <w:bookmarkStart w:id="38" w:name="_Toc47537166"/>
      <w:bookmarkStart w:id="39" w:name="_Toc47539102"/>
      <w:bookmarkStart w:id="40" w:name="_Toc47532923"/>
      <w:bookmarkStart w:id="41" w:name="_Toc47533288"/>
      <w:bookmarkStart w:id="42" w:name="_Toc47536676"/>
      <w:bookmarkStart w:id="43" w:name="_Toc47536304"/>
      <w:bookmarkEnd w:id="38"/>
      <w:bookmarkEnd w:id="39"/>
      <w:bookmarkEnd w:id="40"/>
      <w:bookmarkEnd w:id="41"/>
      <w:bookmarkEnd w:id="42"/>
      <w:bookmarkEnd w:id="43"/>
      <w:r>
        <w:rPr>
          <w:rFonts w:hint="eastAsia"/>
        </w:rPr>
        <w:t>项目建设内容</w:t>
      </w:r>
    </w:p>
    <w:p w:rsidR="00427CFC" w:rsidRDefault="004220DA">
      <w:pPr>
        <w:pStyle w:val="2"/>
      </w:pPr>
      <w:r>
        <w:rPr>
          <w:rFonts w:hint="eastAsia"/>
        </w:rPr>
        <w:t>项目建设清单</w:t>
      </w:r>
    </w:p>
    <w:p w:rsidR="00427CFC" w:rsidRDefault="004220DA">
      <w:pPr>
        <w:pStyle w:val="3"/>
      </w:pPr>
      <w:r>
        <w:rPr>
          <w:rFonts w:hint="eastAsia"/>
        </w:rPr>
        <w:t>应用软件开发内容</w:t>
      </w:r>
    </w:p>
    <w:p w:rsidR="00427CFC" w:rsidRDefault="004220DA">
      <w:r>
        <w:rPr>
          <w:rFonts w:hint="eastAsia"/>
        </w:rPr>
        <w:t>应用软件开发包括：</w:t>
      </w:r>
      <w:r>
        <w:t xml:space="preserve"> </w:t>
      </w:r>
    </w:p>
    <w:p w:rsidR="00427CFC" w:rsidRDefault="004220DA">
      <w:pPr>
        <w:pStyle w:val="4"/>
        <w:ind w:left="1134" w:hanging="1134"/>
      </w:pPr>
      <w:bookmarkStart w:id="44" w:name="_Toc137738499"/>
      <w:r>
        <w:rPr>
          <w:rFonts w:hint="eastAsia"/>
        </w:rPr>
        <w:t>律师业务建设内容</w:t>
      </w:r>
      <w:bookmarkEnd w:id="44"/>
    </w:p>
    <w:p w:rsidR="00427CFC" w:rsidRDefault="004220DA">
      <w:pPr>
        <w:widowControl/>
        <w:rPr>
          <w:rFonts w:asciiTheme="minorEastAsia" w:eastAsiaTheme="minorEastAsia" w:hAnsiTheme="minorEastAsia" w:cs="仿宋_GB2312"/>
          <w:kern w:val="0"/>
        </w:rPr>
      </w:pPr>
      <w:r>
        <w:rPr>
          <w:rFonts w:asciiTheme="minorEastAsia" w:eastAsiaTheme="minorEastAsia" w:hAnsiTheme="minorEastAsia" w:cs="仿宋_GB2312" w:hint="eastAsia"/>
          <w:kern w:val="0"/>
        </w:rPr>
        <w:t>在原有上海市司法局律师业务管理系统的基础上优化升级相关功能应用，具体建设内容包含：</w:t>
      </w:r>
    </w:p>
    <w:p w:rsidR="00427CFC" w:rsidRDefault="004220DA">
      <w:pPr>
        <w:widowControl/>
        <w:ind w:firstLine="482"/>
        <w:rPr>
          <w:rFonts w:asciiTheme="minorEastAsia" w:eastAsiaTheme="minorEastAsia" w:hAnsiTheme="minorEastAsia" w:cs="仿宋_GB2312"/>
          <w:kern w:val="0"/>
        </w:rPr>
      </w:pPr>
      <w:r>
        <w:rPr>
          <w:rFonts w:asciiTheme="minorEastAsia" w:eastAsiaTheme="minorEastAsia" w:hAnsiTheme="minorEastAsia" w:cs="仿宋_GB2312" w:hint="eastAsia"/>
          <w:b/>
          <w:bCs/>
          <w:kern w:val="0"/>
        </w:rPr>
        <w:t>一、建设律师行业执业监管模块。</w:t>
      </w:r>
      <w:r>
        <w:rPr>
          <w:rFonts w:asciiTheme="minorEastAsia" w:eastAsiaTheme="minorEastAsia" w:hAnsiTheme="minorEastAsia" w:cs="仿宋_GB2312" w:hint="eastAsia"/>
          <w:kern w:val="0"/>
        </w:rPr>
        <w:t>新建投诉案件信息管理功能，实现对律师投诉信息、投诉立案信息以及投诉处理结果信息的综合管理，强化行业投诉监管；新建律师违法违规记录管理功能，并预留与纪委监委、法院、检察院、公安机关和行政复议、仲裁有关信息系统的对接接口，解决律师违法违规信息获取不及时问题；新建律师执业行为监管功能，基于律师电子执业证应用，结合律师执业行为轨迹数据，对异常执业行为及时发现、及时预警、及时监管，清除监管“视野盲区”；新建律师异地调档管理功能，推动律师申请执业异地调档服务体系建设，规范调档</w:t>
      </w:r>
      <w:proofErr w:type="gramStart"/>
      <w:r>
        <w:rPr>
          <w:rFonts w:asciiTheme="minorEastAsia" w:eastAsiaTheme="minorEastAsia" w:hAnsiTheme="minorEastAsia" w:cs="仿宋_GB2312" w:hint="eastAsia"/>
          <w:kern w:val="0"/>
        </w:rPr>
        <w:t>在线化</w:t>
      </w:r>
      <w:proofErr w:type="gramEnd"/>
      <w:r>
        <w:rPr>
          <w:rFonts w:asciiTheme="minorEastAsia" w:eastAsiaTheme="minorEastAsia" w:hAnsiTheme="minorEastAsia" w:cs="仿宋_GB2312" w:hint="eastAsia"/>
          <w:kern w:val="0"/>
        </w:rPr>
        <w:t>管理流程，提升异地调档服务质量，优化律师档案衔接、留存管理。</w:t>
      </w:r>
    </w:p>
    <w:p w:rsidR="00427CFC" w:rsidRDefault="004220DA">
      <w:pPr>
        <w:pStyle w:val="affe"/>
        <w:ind w:firstLine="482"/>
        <w:rPr>
          <w:rFonts w:asciiTheme="minorEastAsia" w:eastAsiaTheme="minorEastAsia" w:hAnsiTheme="minorEastAsia" w:cs="仿宋_GB2312"/>
          <w:sz w:val="24"/>
          <w:szCs w:val="24"/>
        </w:rPr>
      </w:pPr>
      <w:r>
        <w:rPr>
          <w:rFonts w:asciiTheme="minorEastAsia" w:eastAsiaTheme="minorEastAsia" w:hAnsiTheme="minorEastAsia" w:cs="仿宋_GB2312" w:hint="eastAsia"/>
          <w:b/>
          <w:bCs/>
          <w:sz w:val="24"/>
          <w:szCs w:val="24"/>
        </w:rPr>
        <w:t>二、建设律师执业保障模块。</w:t>
      </w:r>
      <w:r>
        <w:rPr>
          <w:rFonts w:asciiTheme="minorEastAsia" w:eastAsiaTheme="minorEastAsia" w:hAnsiTheme="minorEastAsia" w:cs="仿宋_GB2312" w:hint="eastAsia"/>
          <w:sz w:val="24"/>
          <w:szCs w:val="24"/>
        </w:rPr>
        <w:t>新建律师执业过程保障功能，建立律师“一站式”服务中心，实现上海市统一的在线办理立案、阅卷、尽职调查、电子送达、</w:t>
      </w:r>
      <w:proofErr w:type="gramStart"/>
      <w:r>
        <w:rPr>
          <w:rFonts w:asciiTheme="minorEastAsia" w:eastAsiaTheme="minorEastAsia" w:hAnsiTheme="minorEastAsia" w:cs="仿宋_GB2312" w:hint="eastAsia"/>
          <w:sz w:val="24"/>
          <w:szCs w:val="24"/>
        </w:rPr>
        <w:t>联系主办</w:t>
      </w:r>
      <w:proofErr w:type="gramEnd"/>
      <w:r>
        <w:rPr>
          <w:rFonts w:asciiTheme="minorEastAsia" w:eastAsiaTheme="minorEastAsia" w:hAnsiTheme="minorEastAsia" w:cs="仿宋_GB2312" w:hint="eastAsia"/>
          <w:sz w:val="24"/>
          <w:szCs w:val="24"/>
        </w:rPr>
        <w:t>法检人员、案件进度实时查询等功能应用，进一步健全律师执业过程保障体系；新建律师行业维权管理，畅通律师线上反映案件问题及执业权利受侵害的渠道，保障律师依法执业权利，优化律师执业环境。</w:t>
      </w:r>
    </w:p>
    <w:p w:rsidR="00427CFC" w:rsidRDefault="004220DA">
      <w:pPr>
        <w:widowControl/>
        <w:ind w:firstLine="482"/>
        <w:rPr>
          <w:rFonts w:asciiTheme="minorEastAsia" w:eastAsiaTheme="minorEastAsia" w:hAnsiTheme="minorEastAsia" w:cs="仿宋_GB2312"/>
          <w:kern w:val="0"/>
        </w:rPr>
      </w:pPr>
      <w:r>
        <w:rPr>
          <w:rFonts w:asciiTheme="minorEastAsia" w:eastAsiaTheme="minorEastAsia" w:hAnsiTheme="minorEastAsia" w:cs="仿宋_GB2312" w:hint="eastAsia"/>
          <w:b/>
          <w:bCs/>
          <w:kern w:val="0"/>
        </w:rPr>
        <w:t>三、建设僵尸律师数据管理模块。</w:t>
      </w:r>
      <w:r>
        <w:rPr>
          <w:rFonts w:asciiTheme="minorEastAsia" w:eastAsiaTheme="minorEastAsia" w:hAnsiTheme="minorEastAsia" w:cs="仿宋_GB2312" w:hint="eastAsia"/>
          <w:kern w:val="0"/>
        </w:rPr>
        <w:t>建立律所离职律师上报、数据智能筛查、核查结果公示全流程处置机制，实现辖区内“僵尸律师”的常态化核查清理，彻底根除辖区内“僵尸律师”问题，确保司法部全国律师执业诚信信息公示平台上海律师公示信息的准确性、及时性。</w:t>
      </w:r>
    </w:p>
    <w:p w:rsidR="00427CFC" w:rsidRDefault="004220DA">
      <w:pPr>
        <w:pStyle w:val="4"/>
        <w:ind w:left="1134" w:hanging="1134"/>
      </w:pPr>
      <w:bookmarkStart w:id="45" w:name="_Toc108008390"/>
      <w:bookmarkStart w:id="46" w:name="_Toc137738410"/>
      <w:r>
        <w:rPr>
          <w:rFonts w:hint="eastAsia"/>
        </w:rPr>
        <w:lastRenderedPageBreak/>
        <w:t>公证业务建设内容</w:t>
      </w:r>
      <w:bookmarkEnd w:id="45"/>
      <w:bookmarkEnd w:id="46"/>
    </w:p>
    <w:p w:rsidR="00427CFC" w:rsidRDefault="004220DA">
      <w:pPr>
        <w:pStyle w:val="5"/>
      </w:pPr>
      <w:r>
        <w:rPr>
          <w:rFonts w:hint="eastAsia"/>
        </w:rPr>
        <w:t>事前预警管理</w:t>
      </w:r>
    </w:p>
    <w:p w:rsidR="00427CFC" w:rsidRDefault="004220DA">
      <w:pPr>
        <w:widowControl/>
        <w:rPr>
          <w:rFonts w:asciiTheme="minorEastAsia" w:eastAsiaTheme="minorEastAsia" w:hAnsiTheme="minorEastAsia" w:cs="仿宋_GB2312"/>
          <w:kern w:val="0"/>
        </w:rPr>
      </w:pPr>
      <w:r>
        <w:rPr>
          <w:rFonts w:asciiTheme="minorEastAsia" w:eastAsiaTheme="minorEastAsia" w:hAnsiTheme="minorEastAsia" w:cs="仿宋_GB2312" w:hint="eastAsia"/>
          <w:kern w:val="0"/>
        </w:rPr>
        <w:t>在一期系统的基础上，新增批量涉老办证、同一当事人多次办证、较大额收费、收费金额同比增减、公证机构受理量同比增减、视频记录情况预警等模型，同时增加预警统计功能，用于市、区、机构能够分级查看不同模型的预警信息。</w:t>
      </w:r>
    </w:p>
    <w:p w:rsidR="00427CFC" w:rsidRDefault="004220DA">
      <w:pPr>
        <w:pStyle w:val="5"/>
      </w:pPr>
      <w:r>
        <w:rPr>
          <w:rFonts w:hint="eastAsia"/>
        </w:rPr>
        <w:t>事中专案核查管理</w:t>
      </w:r>
    </w:p>
    <w:p w:rsidR="00427CFC" w:rsidRDefault="004220DA">
      <w:pPr>
        <w:widowControl/>
        <w:rPr>
          <w:rFonts w:asciiTheme="minorEastAsia" w:eastAsiaTheme="minorEastAsia" w:hAnsiTheme="minorEastAsia" w:cs="仿宋_GB2312"/>
          <w:kern w:val="0"/>
        </w:rPr>
      </w:pPr>
      <w:r>
        <w:rPr>
          <w:rFonts w:asciiTheme="minorEastAsia" w:eastAsiaTheme="minorEastAsia" w:hAnsiTheme="minorEastAsia" w:cs="仿宋_GB2312" w:hint="eastAsia"/>
          <w:kern w:val="0"/>
        </w:rPr>
        <w:t>用于市局对特定案件部署核查工作，完整的记录特定的案件信息，案件的核查情况、案件的核查过程，做到全过程留痕。</w:t>
      </w:r>
    </w:p>
    <w:p w:rsidR="00427CFC" w:rsidRDefault="004220DA">
      <w:pPr>
        <w:pStyle w:val="5"/>
      </w:pPr>
      <w:r>
        <w:rPr>
          <w:rFonts w:hint="eastAsia"/>
        </w:rPr>
        <w:t>事后惩处管理</w:t>
      </w:r>
    </w:p>
    <w:p w:rsidR="00427CFC" w:rsidRDefault="004220DA">
      <w:pPr>
        <w:widowControl/>
        <w:rPr>
          <w:rFonts w:asciiTheme="minorEastAsia" w:eastAsiaTheme="minorEastAsia" w:hAnsiTheme="minorEastAsia" w:cs="仿宋_GB2312"/>
          <w:kern w:val="0"/>
        </w:rPr>
      </w:pPr>
      <w:r>
        <w:rPr>
          <w:rFonts w:asciiTheme="minorEastAsia" w:eastAsiaTheme="minorEastAsia" w:hAnsiTheme="minorEastAsia" w:cs="仿宋_GB2312" w:hint="eastAsia"/>
          <w:kern w:val="0"/>
        </w:rPr>
        <w:t>在一期行政检查等惩处信息的基础上，增加：党纪处分、行业惩戒、政务处分、批评教育、处规处理等类型的惩处信息的记录、审核功能，全过程留痕，并将相关数据同步到惩处统计中。</w:t>
      </w:r>
    </w:p>
    <w:p w:rsidR="00427CFC" w:rsidRDefault="004220DA">
      <w:pPr>
        <w:pStyle w:val="5"/>
      </w:pPr>
      <w:r>
        <w:rPr>
          <w:rFonts w:hint="eastAsia"/>
        </w:rPr>
        <w:t>收发文管理</w:t>
      </w:r>
    </w:p>
    <w:p w:rsidR="00427CFC" w:rsidRDefault="004220DA">
      <w:pPr>
        <w:widowControl/>
        <w:rPr>
          <w:rFonts w:asciiTheme="minorEastAsia" w:eastAsiaTheme="minorEastAsia" w:hAnsiTheme="minorEastAsia" w:cs="仿宋_GB2312"/>
          <w:kern w:val="0"/>
        </w:rPr>
      </w:pPr>
      <w:r>
        <w:rPr>
          <w:rFonts w:asciiTheme="minorEastAsia" w:eastAsiaTheme="minorEastAsia" w:hAnsiTheme="minorEastAsia" w:cs="仿宋_GB2312" w:hint="eastAsia"/>
          <w:kern w:val="0"/>
        </w:rPr>
        <w:t>在一期的基础上增加收发文功能，市局和行业协会，可以进行监管、行业文件的发送、抄送、审核等。</w:t>
      </w:r>
    </w:p>
    <w:p w:rsidR="00427CFC" w:rsidRDefault="004220DA">
      <w:pPr>
        <w:pStyle w:val="5"/>
      </w:pPr>
      <w:r>
        <w:rPr>
          <w:rFonts w:hint="eastAsia"/>
        </w:rPr>
        <w:t>行政督办及文档管理</w:t>
      </w:r>
    </w:p>
    <w:p w:rsidR="00427CFC" w:rsidRDefault="004220DA">
      <w:pPr>
        <w:widowControl/>
        <w:rPr>
          <w:rFonts w:asciiTheme="minorEastAsia" w:eastAsiaTheme="minorEastAsia" w:hAnsiTheme="minorEastAsia" w:cs="仿宋_GB2312"/>
          <w:kern w:val="0"/>
        </w:rPr>
      </w:pPr>
      <w:r>
        <w:rPr>
          <w:rFonts w:asciiTheme="minorEastAsia" w:eastAsiaTheme="minorEastAsia" w:hAnsiTheme="minorEastAsia" w:cs="仿宋_GB2312" w:hint="eastAsia"/>
          <w:kern w:val="0"/>
        </w:rPr>
        <w:t>市局可以发起对应的督办，督办对应的区局和机构完成相应的行政任务。区局和机构在系统中进行督办信息的反馈</w:t>
      </w:r>
      <w:r>
        <w:rPr>
          <w:rFonts w:asciiTheme="minorEastAsia" w:eastAsiaTheme="minorEastAsia" w:hAnsiTheme="minorEastAsia" w:cs="仿宋_GB2312"/>
          <w:kern w:val="0"/>
        </w:rPr>
        <w:t>，</w:t>
      </w:r>
      <w:r>
        <w:rPr>
          <w:rFonts w:asciiTheme="minorEastAsia" w:eastAsiaTheme="minorEastAsia" w:hAnsiTheme="minorEastAsia" w:cs="仿宋_GB2312" w:hint="eastAsia"/>
          <w:kern w:val="0"/>
        </w:rPr>
        <w:t>对市局的规章制度、文档等数据信息进行管理，被授权人员可以进行查看、全文检索等。</w:t>
      </w:r>
    </w:p>
    <w:p w:rsidR="00427CFC" w:rsidRDefault="004220DA">
      <w:pPr>
        <w:pStyle w:val="5"/>
      </w:pPr>
      <w:r>
        <w:rPr>
          <w:rFonts w:hint="eastAsia"/>
        </w:rPr>
        <w:t>公证行业数据可视化平台</w:t>
      </w:r>
    </w:p>
    <w:p w:rsidR="00427CFC" w:rsidRDefault="004220DA">
      <w:pPr>
        <w:widowControl/>
        <w:rPr>
          <w:rFonts w:asciiTheme="minorEastAsia" w:eastAsiaTheme="minorEastAsia" w:hAnsiTheme="minorEastAsia" w:cs="仿宋_GB2312"/>
          <w:kern w:val="0"/>
        </w:rPr>
      </w:pPr>
      <w:r>
        <w:rPr>
          <w:rFonts w:asciiTheme="minorEastAsia" w:eastAsiaTheme="minorEastAsia" w:hAnsiTheme="minorEastAsia" w:cs="仿宋_GB2312" w:hint="eastAsia"/>
          <w:kern w:val="0"/>
        </w:rPr>
        <w:t>一期系统已经将相关信息进行了整合和收集，但是缺乏有效的数据可视化平台，按照公证行业特点，将针对市级、区级、机构三级不同的需求，开发相应的看板，用以给市、区、机构三级单位提供数据支持。同时为了更加清晰的反应局内公证行业的特点，将关键要素提炼出来，通过一张屏的数据完整的呈现整个上海公证行业的特点。</w:t>
      </w:r>
    </w:p>
    <w:p w:rsidR="00427CFC" w:rsidRDefault="004220DA">
      <w:pPr>
        <w:pStyle w:val="5"/>
      </w:pPr>
      <w:r>
        <w:rPr>
          <w:rFonts w:hint="eastAsia"/>
        </w:rPr>
        <w:lastRenderedPageBreak/>
        <w:t>原有功能升级</w:t>
      </w:r>
    </w:p>
    <w:p w:rsidR="00427CFC" w:rsidRDefault="004220DA">
      <w:pPr>
        <w:widowControl/>
        <w:rPr>
          <w:rFonts w:asciiTheme="minorEastAsia" w:eastAsiaTheme="minorEastAsia" w:hAnsiTheme="minorEastAsia" w:cs="仿宋_GB2312"/>
          <w:kern w:val="0"/>
        </w:rPr>
      </w:pPr>
      <w:r>
        <w:rPr>
          <w:rFonts w:asciiTheme="minorEastAsia" w:eastAsiaTheme="minorEastAsia" w:hAnsiTheme="minorEastAsia" w:cs="仿宋_GB2312" w:hint="eastAsia"/>
          <w:kern w:val="0"/>
        </w:rPr>
        <w:t>根据上级监管及业务部门的需要</w:t>
      </w:r>
      <w:r>
        <w:rPr>
          <w:rFonts w:asciiTheme="minorEastAsia" w:eastAsiaTheme="minorEastAsia" w:hAnsiTheme="minorEastAsia" w:cs="仿宋_GB2312"/>
          <w:kern w:val="0"/>
        </w:rPr>
        <w:t>，</w:t>
      </w:r>
      <w:r>
        <w:rPr>
          <w:rFonts w:asciiTheme="minorEastAsia" w:eastAsiaTheme="minorEastAsia" w:hAnsiTheme="minorEastAsia" w:cs="仿宋_GB2312" w:hint="eastAsia"/>
          <w:kern w:val="0"/>
        </w:rPr>
        <w:t>针对一期项目建设内容里面涉及到的数据报表、涉台文书管理、监管分析子系统等进一步进行功能升级优化</w:t>
      </w:r>
      <w:r>
        <w:rPr>
          <w:rFonts w:asciiTheme="minorEastAsia" w:eastAsiaTheme="minorEastAsia" w:hAnsiTheme="minorEastAsia" w:cs="仿宋_GB2312"/>
          <w:kern w:val="0"/>
        </w:rPr>
        <w:t>。</w:t>
      </w:r>
    </w:p>
    <w:p w:rsidR="00427CFC" w:rsidRDefault="004220DA">
      <w:pPr>
        <w:pStyle w:val="4"/>
        <w:ind w:left="1134" w:hanging="1134"/>
      </w:pPr>
      <w:bookmarkStart w:id="47" w:name="_Toc138065257"/>
      <w:r>
        <w:rPr>
          <w:rFonts w:hint="eastAsia"/>
        </w:rPr>
        <w:t>司鉴业务建设内容</w:t>
      </w:r>
      <w:bookmarkEnd w:id="47"/>
    </w:p>
    <w:p w:rsidR="00427CFC" w:rsidRDefault="004220DA">
      <w:pPr>
        <w:pStyle w:val="affe"/>
        <w:ind w:firstLine="480"/>
        <w:rPr>
          <w:rFonts w:asciiTheme="minorEastAsia" w:eastAsiaTheme="minorEastAsia" w:hAnsiTheme="minorEastAsia"/>
          <w:sz w:val="24"/>
          <w:szCs w:val="24"/>
        </w:rPr>
      </w:pPr>
      <w:bookmarkStart w:id="48" w:name="_Hlk139452372"/>
      <w:r>
        <w:rPr>
          <w:rFonts w:asciiTheme="minorEastAsia" w:eastAsiaTheme="minorEastAsia" w:hAnsiTheme="minorEastAsia" w:hint="eastAsia"/>
          <w:sz w:val="24"/>
          <w:szCs w:val="24"/>
        </w:rPr>
        <w:t>根据《司法部办公厅关于开展司法鉴定机构和鉴定人全面评查工作的通知》和《法医类</w:t>
      </w:r>
      <w:r>
        <w:rPr>
          <w:rFonts w:asciiTheme="minorEastAsia" w:eastAsiaTheme="minorEastAsia" w:hAnsiTheme="minorEastAsia" w:cs="Calibri"/>
          <w:sz w:val="24"/>
          <w:szCs w:val="24"/>
        </w:rPr>
        <w:t> </w:t>
      </w:r>
      <w:r>
        <w:rPr>
          <w:rFonts w:asciiTheme="minorEastAsia" w:eastAsiaTheme="minorEastAsia" w:hAnsiTheme="minorEastAsia" w:hint="eastAsia"/>
          <w:sz w:val="24"/>
          <w:szCs w:val="24"/>
        </w:rPr>
        <w:t>物证类</w:t>
      </w:r>
      <w:r>
        <w:rPr>
          <w:rFonts w:asciiTheme="minorEastAsia" w:eastAsiaTheme="minorEastAsia" w:hAnsiTheme="minorEastAsia" w:cs="Calibri"/>
          <w:sz w:val="24"/>
          <w:szCs w:val="24"/>
        </w:rPr>
        <w:t> </w:t>
      </w:r>
      <w:r>
        <w:rPr>
          <w:rFonts w:asciiTheme="minorEastAsia" w:eastAsiaTheme="minorEastAsia" w:hAnsiTheme="minorEastAsia" w:hint="eastAsia"/>
          <w:sz w:val="24"/>
          <w:szCs w:val="24"/>
        </w:rPr>
        <w:t>声像资料司法鉴定机构登记评审细则》，在原有5个鉴定专业（法医病理、法医临床、法医精神病、法医物证、文书鉴定）的基础上进行13个鉴定业务类别的新增，并对业务条线、业务系统和监管系统进行升级改造，具体建设内容如下；</w:t>
      </w:r>
    </w:p>
    <w:p w:rsidR="00427CFC" w:rsidRDefault="004220DA">
      <w:pPr>
        <w:pStyle w:val="affe"/>
        <w:numPr>
          <w:ilvl w:val="0"/>
          <w:numId w:val="6"/>
        </w:numPr>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业务条线新增</w:t>
      </w:r>
    </w:p>
    <w:p w:rsidR="00427CFC" w:rsidRDefault="004220DA">
      <w:pPr>
        <w:pStyle w:val="affe"/>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新增补</w:t>
      </w:r>
      <w:proofErr w:type="gramStart"/>
      <w:r>
        <w:rPr>
          <w:rFonts w:asciiTheme="minorEastAsia" w:eastAsiaTheme="minorEastAsia" w:hAnsiTheme="minorEastAsia" w:hint="eastAsia"/>
          <w:sz w:val="24"/>
          <w:szCs w:val="24"/>
        </w:rPr>
        <w:t>全其他</w:t>
      </w:r>
      <w:proofErr w:type="gramEnd"/>
      <w:r>
        <w:rPr>
          <w:rFonts w:asciiTheme="minorEastAsia" w:eastAsiaTheme="minorEastAsia" w:hAnsiTheme="minorEastAsia" w:hint="eastAsia"/>
          <w:sz w:val="24"/>
          <w:szCs w:val="24"/>
        </w:rPr>
        <w:t>业务种类（法医毒物、痕迹鉴定、微量物证鉴定、录音鉴定、图像鉴定、电子数据鉴定、污染物性质鉴定、地表水与沉积物环境损害鉴定、空气污染环境损害鉴定、土壤与地下水环境损害鉴定、生态系统环境损害鉴定、其他环境损害鉴定）。</w:t>
      </w:r>
    </w:p>
    <w:p w:rsidR="00427CFC" w:rsidRDefault="004220DA">
      <w:pPr>
        <w:pStyle w:val="affe"/>
        <w:numPr>
          <w:ilvl w:val="0"/>
          <w:numId w:val="6"/>
        </w:numPr>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业务条线改造</w:t>
      </w:r>
    </w:p>
    <w:p w:rsidR="00427CFC" w:rsidRDefault="004220DA">
      <w:pPr>
        <w:pStyle w:val="affe"/>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改造旧有的业务条线（法医病理、法医临床、法医精神病、法医物证、文书鉴定）。</w:t>
      </w:r>
    </w:p>
    <w:p w:rsidR="00427CFC" w:rsidRDefault="004220DA">
      <w:pPr>
        <w:pStyle w:val="affe"/>
        <w:numPr>
          <w:ilvl w:val="0"/>
          <w:numId w:val="6"/>
        </w:numPr>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业务系统改造</w:t>
      </w:r>
    </w:p>
    <w:p w:rsidR="00427CFC" w:rsidRDefault="004220DA">
      <w:pPr>
        <w:pStyle w:val="affe"/>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补全相关鉴定专业的要素内容和鉴定过程中涉及的流程，从而实现更便捷、全面的业务办理和对机构更全面的监管。</w:t>
      </w:r>
    </w:p>
    <w:p w:rsidR="00427CFC" w:rsidRDefault="004220DA">
      <w:pPr>
        <w:pStyle w:val="affe"/>
        <w:numPr>
          <w:ilvl w:val="0"/>
          <w:numId w:val="6"/>
        </w:numPr>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监管系统改造</w:t>
      </w:r>
    </w:p>
    <w:p w:rsidR="00427CFC" w:rsidRDefault="004220DA">
      <w:pPr>
        <w:pStyle w:val="affe"/>
        <w:ind w:firstLineChars="0" w:firstLine="0"/>
        <w:rPr>
          <w:rFonts w:cs="Times New Roman"/>
        </w:rPr>
      </w:pPr>
      <w:r>
        <w:rPr>
          <w:rFonts w:asciiTheme="minorEastAsia" w:eastAsiaTheme="minorEastAsia" w:hAnsiTheme="minorEastAsia" w:hint="eastAsia"/>
          <w:sz w:val="24"/>
          <w:szCs w:val="24"/>
        </w:rPr>
        <w:t>补全对机构的审批内容，完善预警模型和案件分析，并引入行业协会对机构、鉴定人、助理鉴定人进行管理。</w:t>
      </w:r>
      <w:bookmarkEnd w:id="48"/>
    </w:p>
    <w:p w:rsidR="00427CFC" w:rsidRDefault="004220DA">
      <w:pPr>
        <w:pStyle w:val="4"/>
        <w:ind w:left="1134" w:hanging="1134"/>
      </w:pPr>
      <w:bookmarkStart w:id="49" w:name="_Toc140079123"/>
      <w:bookmarkStart w:id="50" w:name="_Toc139355946"/>
      <w:r>
        <w:rPr>
          <w:rFonts w:hint="eastAsia"/>
        </w:rPr>
        <w:t>信访业务建设内容</w:t>
      </w:r>
      <w:bookmarkEnd w:id="49"/>
    </w:p>
    <w:p w:rsidR="00427CFC" w:rsidRDefault="004220DA">
      <w:pPr>
        <w:widowControl/>
        <w:rPr>
          <w:rFonts w:asciiTheme="minorEastAsia" w:eastAsiaTheme="minorEastAsia" w:hAnsiTheme="minorEastAsia" w:cs="仿宋_GB2312"/>
          <w:kern w:val="0"/>
        </w:rPr>
      </w:pPr>
      <w:r>
        <w:rPr>
          <w:rFonts w:asciiTheme="minorEastAsia" w:eastAsiaTheme="minorEastAsia" w:hAnsiTheme="minorEastAsia" w:cs="仿宋_GB2312" w:hint="eastAsia"/>
          <w:kern w:val="0"/>
        </w:rPr>
        <w:t>根据2022年5月中共中央、国务院《信访工作条例》要求，对上海市司法局涉法涉诉信访案件管理系统升级改造，</w:t>
      </w:r>
      <w:r>
        <w:rPr>
          <w:rFonts w:asciiTheme="minorEastAsia" w:eastAsiaTheme="minorEastAsia" w:hAnsiTheme="minorEastAsia" w:cs="仿宋_GB2312"/>
          <w:kern w:val="0"/>
        </w:rPr>
        <w:t>依规依法有序推进信访信息系统互联互通、信息共享</w:t>
      </w:r>
      <w:r>
        <w:rPr>
          <w:rFonts w:asciiTheme="minorEastAsia" w:eastAsiaTheme="minorEastAsia" w:hAnsiTheme="minorEastAsia" w:cs="仿宋_GB2312" w:hint="eastAsia"/>
          <w:kern w:val="0"/>
        </w:rPr>
        <w:t>，统一信访案件来源，规范化内部办理流程，实时监管办理质量，案件处理透明化、便民</w:t>
      </w:r>
      <w:r>
        <w:rPr>
          <w:rFonts w:asciiTheme="minorEastAsia" w:eastAsiaTheme="minorEastAsia" w:hAnsiTheme="minorEastAsia" w:cs="仿宋_GB2312"/>
          <w:kern w:val="0"/>
        </w:rPr>
        <w:t>化</w:t>
      </w:r>
      <w:r>
        <w:rPr>
          <w:rFonts w:asciiTheme="minorEastAsia" w:eastAsiaTheme="minorEastAsia" w:hAnsiTheme="minorEastAsia" w:cs="仿宋_GB2312" w:hint="eastAsia"/>
          <w:kern w:val="0"/>
        </w:rPr>
        <w:t>，利用智能化信息化手段提高内部办事质量和效</w:t>
      </w:r>
      <w:r>
        <w:rPr>
          <w:rFonts w:asciiTheme="minorEastAsia" w:eastAsiaTheme="minorEastAsia" w:hAnsiTheme="minorEastAsia" w:cs="仿宋_GB2312" w:hint="eastAsia"/>
          <w:kern w:val="0"/>
        </w:rPr>
        <w:lastRenderedPageBreak/>
        <w:t>率为目标。以建设内部质量管理功能为目标，为大数据平台提供内部工作人员及管理相对人的信访案件相关信息。</w:t>
      </w:r>
    </w:p>
    <w:p w:rsidR="00427CFC" w:rsidRDefault="004220DA">
      <w:pPr>
        <w:widowControl/>
        <w:rPr>
          <w:rFonts w:asciiTheme="minorEastAsia" w:eastAsiaTheme="minorEastAsia" w:hAnsiTheme="minorEastAsia" w:cs="仿宋_GB2312"/>
          <w:kern w:val="0"/>
        </w:rPr>
      </w:pPr>
      <w:r>
        <w:rPr>
          <w:rFonts w:asciiTheme="minorEastAsia" w:eastAsiaTheme="minorEastAsia" w:hAnsiTheme="minorEastAsia" w:cs="仿宋_GB2312" w:hint="eastAsia"/>
          <w:kern w:val="0"/>
        </w:rPr>
        <w:t>1</w:t>
      </w:r>
      <w:proofErr w:type="gramStart"/>
      <w:r>
        <w:rPr>
          <w:rFonts w:asciiTheme="minorEastAsia" w:eastAsiaTheme="minorEastAsia" w:hAnsiTheme="minorEastAsia" w:cs="仿宋_GB2312" w:hint="eastAsia"/>
          <w:kern w:val="0"/>
        </w:rPr>
        <w:t>案管信访</w:t>
      </w:r>
      <w:proofErr w:type="gramEnd"/>
      <w:r>
        <w:rPr>
          <w:rFonts w:asciiTheme="minorEastAsia" w:eastAsiaTheme="minorEastAsia" w:hAnsiTheme="minorEastAsia" w:cs="仿宋_GB2312" w:hint="eastAsia"/>
          <w:kern w:val="0"/>
        </w:rPr>
        <w:t>标准化改造</w:t>
      </w:r>
    </w:p>
    <w:p w:rsidR="00427CFC" w:rsidRDefault="004220DA">
      <w:pPr>
        <w:pStyle w:val="afd"/>
        <w:widowControl/>
        <w:numPr>
          <w:ilvl w:val="0"/>
          <w:numId w:val="7"/>
        </w:numPr>
        <w:ind w:firstLineChars="0"/>
        <w:rPr>
          <w:rFonts w:asciiTheme="minorEastAsia" w:eastAsiaTheme="minorEastAsia" w:hAnsiTheme="minorEastAsia" w:cs="仿宋_GB2312"/>
          <w:kern w:val="0"/>
        </w:rPr>
      </w:pPr>
      <w:r>
        <w:rPr>
          <w:rFonts w:asciiTheme="minorEastAsia" w:eastAsiaTheme="minorEastAsia" w:hAnsiTheme="minorEastAsia" w:cs="仿宋_GB2312" w:hint="eastAsia"/>
          <w:kern w:val="0"/>
        </w:rPr>
        <w:t>新增信访案件分案功能</w:t>
      </w:r>
    </w:p>
    <w:p w:rsidR="00427CFC" w:rsidRDefault="004220DA">
      <w:pPr>
        <w:pStyle w:val="afd"/>
        <w:widowControl/>
        <w:numPr>
          <w:ilvl w:val="0"/>
          <w:numId w:val="7"/>
        </w:numPr>
        <w:ind w:firstLineChars="0"/>
        <w:rPr>
          <w:rFonts w:asciiTheme="minorEastAsia" w:eastAsiaTheme="minorEastAsia" w:hAnsiTheme="minorEastAsia" w:cs="仿宋_GB2312"/>
          <w:kern w:val="0"/>
        </w:rPr>
      </w:pPr>
      <w:r>
        <w:rPr>
          <w:rFonts w:asciiTheme="minorEastAsia" w:eastAsiaTheme="minorEastAsia" w:hAnsiTheme="minorEastAsia" w:cs="仿宋_GB2312" w:hint="eastAsia"/>
          <w:kern w:val="0"/>
        </w:rPr>
        <w:t>新增信访案件部门分案移送及转办功能</w:t>
      </w:r>
    </w:p>
    <w:p w:rsidR="00427CFC" w:rsidRDefault="004220DA">
      <w:pPr>
        <w:pStyle w:val="afd"/>
        <w:widowControl/>
        <w:numPr>
          <w:ilvl w:val="0"/>
          <w:numId w:val="7"/>
        </w:numPr>
        <w:ind w:firstLineChars="0"/>
        <w:rPr>
          <w:rFonts w:asciiTheme="minorEastAsia" w:eastAsiaTheme="minorEastAsia" w:hAnsiTheme="minorEastAsia" w:cs="仿宋_GB2312"/>
          <w:kern w:val="0"/>
        </w:rPr>
      </w:pPr>
      <w:r>
        <w:rPr>
          <w:rFonts w:asciiTheme="minorEastAsia" w:eastAsiaTheme="minorEastAsia" w:hAnsiTheme="minorEastAsia" w:cs="仿宋_GB2312" w:hint="eastAsia"/>
          <w:kern w:val="0"/>
        </w:rPr>
        <w:t>信访案件抄送及告知功能改造</w:t>
      </w:r>
    </w:p>
    <w:p w:rsidR="00427CFC" w:rsidRDefault="004220DA">
      <w:pPr>
        <w:pStyle w:val="afd"/>
        <w:widowControl/>
        <w:numPr>
          <w:ilvl w:val="0"/>
          <w:numId w:val="7"/>
        </w:numPr>
        <w:ind w:firstLineChars="0"/>
        <w:rPr>
          <w:rFonts w:asciiTheme="minorEastAsia" w:eastAsiaTheme="minorEastAsia" w:hAnsiTheme="minorEastAsia" w:cs="仿宋_GB2312"/>
          <w:kern w:val="0"/>
        </w:rPr>
      </w:pPr>
      <w:r>
        <w:rPr>
          <w:rFonts w:asciiTheme="minorEastAsia" w:eastAsiaTheme="minorEastAsia" w:hAnsiTheme="minorEastAsia" w:cs="仿宋_GB2312" w:hint="eastAsia"/>
          <w:kern w:val="0"/>
        </w:rPr>
        <w:t>新增信访案件登记受理延期功能</w:t>
      </w:r>
    </w:p>
    <w:p w:rsidR="00427CFC" w:rsidRDefault="004220DA">
      <w:pPr>
        <w:pStyle w:val="afd"/>
        <w:widowControl/>
        <w:numPr>
          <w:ilvl w:val="0"/>
          <w:numId w:val="7"/>
        </w:numPr>
        <w:ind w:firstLineChars="0"/>
        <w:rPr>
          <w:rFonts w:asciiTheme="minorEastAsia" w:eastAsiaTheme="minorEastAsia" w:hAnsiTheme="minorEastAsia" w:cs="仿宋_GB2312"/>
          <w:kern w:val="0"/>
        </w:rPr>
      </w:pPr>
      <w:r>
        <w:rPr>
          <w:rFonts w:asciiTheme="minorEastAsia" w:eastAsiaTheme="minorEastAsia" w:hAnsiTheme="minorEastAsia" w:cs="仿宋_GB2312" w:hint="eastAsia"/>
          <w:kern w:val="0"/>
        </w:rPr>
        <w:t>信访案件办理功能改造</w:t>
      </w:r>
    </w:p>
    <w:p w:rsidR="00427CFC" w:rsidRDefault="004220DA">
      <w:pPr>
        <w:pStyle w:val="afd"/>
        <w:widowControl/>
        <w:numPr>
          <w:ilvl w:val="0"/>
          <w:numId w:val="7"/>
        </w:numPr>
        <w:ind w:firstLineChars="0"/>
        <w:rPr>
          <w:rFonts w:asciiTheme="minorEastAsia" w:eastAsiaTheme="minorEastAsia" w:hAnsiTheme="minorEastAsia" w:cs="仿宋_GB2312"/>
          <w:kern w:val="0"/>
        </w:rPr>
      </w:pPr>
      <w:r>
        <w:rPr>
          <w:rFonts w:asciiTheme="minorEastAsia" w:eastAsiaTheme="minorEastAsia" w:hAnsiTheme="minorEastAsia" w:cs="仿宋_GB2312" w:hint="eastAsia"/>
          <w:kern w:val="0"/>
        </w:rPr>
        <w:t>信访案件接收、退回功能改造</w:t>
      </w:r>
    </w:p>
    <w:p w:rsidR="00427CFC" w:rsidRDefault="004220DA">
      <w:pPr>
        <w:pStyle w:val="afd"/>
        <w:widowControl/>
        <w:numPr>
          <w:ilvl w:val="0"/>
          <w:numId w:val="7"/>
        </w:numPr>
        <w:ind w:firstLineChars="0"/>
        <w:rPr>
          <w:rFonts w:asciiTheme="minorEastAsia" w:eastAsiaTheme="minorEastAsia" w:hAnsiTheme="minorEastAsia" w:cs="仿宋_GB2312"/>
          <w:kern w:val="0"/>
        </w:rPr>
      </w:pPr>
      <w:r>
        <w:rPr>
          <w:rFonts w:asciiTheme="minorEastAsia" w:eastAsiaTheme="minorEastAsia" w:hAnsiTheme="minorEastAsia" w:cs="仿宋_GB2312" w:hint="eastAsia"/>
          <w:kern w:val="0"/>
        </w:rPr>
        <w:t>信访案件回复功能改造</w:t>
      </w:r>
    </w:p>
    <w:p w:rsidR="00427CFC" w:rsidRDefault="004220DA">
      <w:pPr>
        <w:pStyle w:val="afd"/>
        <w:widowControl/>
        <w:numPr>
          <w:ilvl w:val="0"/>
          <w:numId w:val="7"/>
        </w:numPr>
        <w:ind w:firstLineChars="0"/>
        <w:rPr>
          <w:rFonts w:asciiTheme="minorEastAsia" w:eastAsiaTheme="minorEastAsia" w:hAnsiTheme="minorEastAsia" w:cs="仿宋_GB2312"/>
          <w:kern w:val="0"/>
        </w:rPr>
      </w:pPr>
      <w:r>
        <w:rPr>
          <w:rFonts w:asciiTheme="minorEastAsia" w:eastAsiaTheme="minorEastAsia" w:hAnsiTheme="minorEastAsia" w:cs="仿宋_GB2312" w:hint="eastAsia"/>
          <w:kern w:val="0"/>
        </w:rPr>
        <w:t>实现信访案件明细统计功能</w:t>
      </w:r>
    </w:p>
    <w:p w:rsidR="00427CFC" w:rsidRDefault="004220DA">
      <w:pPr>
        <w:pStyle w:val="afd"/>
        <w:widowControl/>
        <w:numPr>
          <w:ilvl w:val="0"/>
          <w:numId w:val="7"/>
        </w:numPr>
        <w:ind w:firstLineChars="0"/>
        <w:rPr>
          <w:rFonts w:asciiTheme="minorEastAsia" w:eastAsiaTheme="minorEastAsia" w:hAnsiTheme="minorEastAsia" w:cs="仿宋_GB2312"/>
          <w:kern w:val="0"/>
        </w:rPr>
      </w:pPr>
      <w:r>
        <w:rPr>
          <w:rFonts w:asciiTheme="minorEastAsia" w:eastAsiaTheme="minorEastAsia" w:hAnsiTheme="minorEastAsia" w:cs="仿宋_GB2312" w:hint="eastAsia"/>
          <w:kern w:val="0"/>
        </w:rPr>
        <w:t>实现信访案件统计汇总功能</w:t>
      </w:r>
    </w:p>
    <w:p w:rsidR="00427CFC" w:rsidRDefault="004220DA">
      <w:pPr>
        <w:pStyle w:val="afd"/>
        <w:widowControl/>
        <w:numPr>
          <w:ilvl w:val="0"/>
          <w:numId w:val="7"/>
        </w:numPr>
        <w:ind w:firstLineChars="0"/>
        <w:rPr>
          <w:rFonts w:asciiTheme="minorEastAsia" w:eastAsiaTheme="minorEastAsia" w:hAnsiTheme="minorEastAsia" w:cs="仿宋_GB2312"/>
          <w:kern w:val="0"/>
        </w:rPr>
      </w:pPr>
      <w:r>
        <w:rPr>
          <w:rFonts w:asciiTheme="minorEastAsia" w:eastAsiaTheme="minorEastAsia" w:hAnsiTheme="minorEastAsia" w:cs="仿宋_GB2312" w:hint="eastAsia"/>
          <w:kern w:val="0"/>
        </w:rPr>
        <w:t>实现信访高级查询的功能</w:t>
      </w:r>
    </w:p>
    <w:p w:rsidR="00427CFC" w:rsidRDefault="004220DA">
      <w:pPr>
        <w:pStyle w:val="afd"/>
        <w:widowControl/>
        <w:numPr>
          <w:ilvl w:val="0"/>
          <w:numId w:val="7"/>
        </w:numPr>
        <w:ind w:firstLineChars="0"/>
        <w:rPr>
          <w:rFonts w:asciiTheme="minorEastAsia" w:eastAsiaTheme="minorEastAsia" w:hAnsiTheme="minorEastAsia" w:cs="仿宋_GB2312"/>
          <w:kern w:val="0"/>
        </w:rPr>
      </w:pPr>
      <w:r>
        <w:rPr>
          <w:rFonts w:asciiTheme="minorEastAsia" w:eastAsiaTheme="minorEastAsia" w:hAnsiTheme="minorEastAsia" w:cs="仿宋_GB2312" w:hint="eastAsia"/>
          <w:kern w:val="0"/>
        </w:rPr>
        <w:t>实现信访目标考核-按期办结率的功能</w:t>
      </w:r>
    </w:p>
    <w:p w:rsidR="00427CFC" w:rsidRDefault="004220DA">
      <w:pPr>
        <w:pStyle w:val="afd"/>
        <w:widowControl/>
        <w:numPr>
          <w:ilvl w:val="0"/>
          <w:numId w:val="7"/>
        </w:numPr>
        <w:ind w:firstLineChars="0"/>
        <w:rPr>
          <w:rFonts w:asciiTheme="minorEastAsia" w:eastAsiaTheme="minorEastAsia" w:hAnsiTheme="minorEastAsia" w:cs="仿宋_GB2312"/>
          <w:kern w:val="0"/>
        </w:rPr>
      </w:pPr>
      <w:r>
        <w:rPr>
          <w:rFonts w:asciiTheme="minorEastAsia" w:eastAsiaTheme="minorEastAsia" w:hAnsiTheme="minorEastAsia" w:cs="仿宋_GB2312" w:hint="eastAsia"/>
          <w:kern w:val="0"/>
        </w:rPr>
        <w:t>实现上报司法部全国信访管理系统信访案件查询核准</w:t>
      </w:r>
    </w:p>
    <w:p w:rsidR="00427CFC" w:rsidRDefault="004220DA">
      <w:pPr>
        <w:widowControl/>
        <w:rPr>
          <w:rFonts w:asciiTheme="minorEastAsia" w:eastAsiaTheme="minorEastAsia" w:hAnsiTheme="minorEastAsia" w:cs="仿宋_GB2312"/>
          <w:kern w:val="0"/>
        </w:rPr>
      </w:pPr>
      <w:r>
        <w:rPr>
          <w:rFonts w:asciiTheme="minorEastAsia" w:eastAsiaTheme="minorEastAsia" w:hAnsiTheme="minorEastAsia" w:cs="仿宋_GB2312" w:hint="eastAsia"/>
          <w:kern w:val="0"/>
        </w:rPr>
        <w:t>2案件督查督办升级改造</w:t>
      </w:r>
    </w:p>
    <w:p w:rsidR="00427CFC" w:rsidRDefault="004220DA">
      <w:pPr>
        <w:pStyle w:val="afd"/>
        <w:widowControl/>
        <w:numPr>
          <w:ilvl w:val="0"/>
          <w:numId w:val="7"/>
        </w:numPr>
        <w:ind w:firstLineChars="0"/>
        <w:rPr>
          <w:rFonts w:asciiTheme="minorEastAsia" w:eastAsiaTheme="minorEastAsia" w:hAnsiTheme="minorEastAsia" w:cs="仿宋_GB2312"/>
          <w:kern w:val="0"/>
        </w:rPr>
      </w:pPr>
      <w:r>
        <w:rPr>
          <w:rFonts w:asciiTheme="minorEastAsia" w:eastAsiaTheme="minorEastAsia" w:hAnsiTheme="minorEastAsia" w:cs="仿宋_GB2312" w:hint="eastAsia"/>
          <w:kern w:val="0"/>
        </w:rPr>
        <w:t>督察督办预警规则配置功能</w:t>
      </w:r>
    </w:p>
    <w:p w:rsidR="00427CFC" w:rsidRDefault="004220DA">
      <w:pPr>
        <w:pStyle w:val="afd"/>
        <w:widowControl/>
        <w:numPr>
          <w:ilvl w:val="0"/>
          <w:numId w:val="7"/>
        </w:numPr>
        <w:ind w:firstLineChars="0"/>
        <w:rPr>
          <w:rFonts w:asciiTheme="minorEastAsia" w:eastAsiaTheme="minorEastAsia" w:hAnsiTheme="minorEastAsia" w:cs="仿宋_GB2312"/>
          <w:kern w:val="0"/>
        </w:rPr>
      </w:pPr>
      <w:r>
        <w:rPr>
          <w:rFonts w:asciiTheme="minorEastAsia" w:eastAsiaTheme="minorEastAsia" w:hAnsiTheme="minorEastAsia" w:cs="仿宋_GB2312" w:hint="eastAsia"/>
          <w:kern w:val="0"/>
        </w:rPr>
        <w:t>督查督办预警提醒功能</w:t>
      </w:r>
    </w:p>
    <w:p w:rsidR="00427CFC" w:rsidRDefault="004220DA">
      <w:pPr>
        <w:pStyle w:val="afd"/>
        <w:widowControl/>
        <w:numPr>
          <w:ilvl w:val="0"/>
          <w:numId w:val="7"/>
        </w:numPr>
        <w:ind w:firstLineChars="0"/>
        <w:rPr>
          <w:rFonts w:asciiTheme="minorEastAsia" w:eastAsiaTheme="minorEastAsia" w:hAnsiTheme="minorEastAsia" w:cs="仿宋_GB2312"/>
          <w:kern w:val="0"/>
        </w:rPr>
      </w:pPr>
      <w:r>
        <w:rPr>
          <w:rFonts w:asciiTheme="minorEastAsia" w:eastAsiaTheme="minorEastAsia" w:hAnsiTheme="minorEastAsia" w:cs="仿宋_GB2312" w:hint="eastAsia"/>
          <w:kern w:val="0"/>
        </w:rPr>
        <w:t>到期提醒功能</w:t>
      </w:r>
    </w:p>
    <w:p w:rsidR="00427CFC" w:rsidRDefault="004220DA">
      <w:pPr>
        <w:pStyle w:val="afd"/>
        <w:widowControl/>
        <w:numPr>
          <w:ilvl w:val="0"/>
          <w:numId w:val="7"/>
        </w:numPr>
        <w:ind w:firstLineChars="0"/>
        <w:rPr>
          <w:rFonts w:asciiTheme="minorEastAsia" w:eastAsiaTheme="minorEastAsia" w:hAnsiTheme="minorEastAsia" w:cs="仿宋_GB2312"/>
          <w:kern w:val="0"/>
        </w:rPr>
      </w:pPr>
      <w:r>
        <w:rPr>
          <w:rFonts w:asciiTheme="minorEastAsia" w:eastAsiaTheme="minorEastAsia" w:hAnsiTheme="minorEastAsia" w:cs="仿宋_GB2312" w:hint="eastAsia"/>
          <w:kern w:val="0"/>
        </w:rPr>
        <w:t>督督查督办预警管理</w:t>
      </w:r>
    </w:p>
    <w:p w:rsidR="00427CFC" w:rsidRDefault="004220DA">
      <w:pPr>
        <w:pStyle w:val="afd"/>
        <w:widowControl/>
        <w:numPr>
          <w:ilvl w:val="0"/>
          <w:numId w:val="7"/>
        </w:numPr>
        <w:ind w:firstLineChars="0"/>
        <w:rPr>
          <w:rFonts w:asciiTheme="minorEastAsia" w:eastAsiaTheme="minorEastAsia" w:hAnsiTheme="minorEastAsia" w:cs="仿宋_GB2312"/>
          <w:kern w:val="0"/>
        </w:rPr>
      </w:pPr>
      <w:r>
        <w:rPr>
          <w:rFonts w:asciiTheme="minorEastAsia" w:eastAsiaTheme="minorEastAsia" w:hAnsiTheme="minorEastAsia" w:cs="仿宋_GB2312" w:hint="eastAsia"/>
          <w:kern w:val="0"/>
        </w:rPr>
        <w:t>督查督办预警统计</w:t>
      </w:r>
    </w:p>
    <w:p w:rsidR="00427CFC" w:rsidRDefault="004220DA">
      <w:pPr>
        <w:widowControl/>
        <w:rPr>
          <w:rFonts w:asciiTheme="minorEastAsia" w:eastAsiaTheme="minorEastAsia" w:hAnsiTheme="minorEastAsia" w:cs="仿宋_GB2312"/>
          <w:kern w:val="0"/>
        </w:rPr>
      </w:pPr>
      <w:r>
        <w:rPr>
          <w:rFonts w:asciiTheme="minorEastAsia" w:eastAsiaTheme="minorEastAsia" w:hAnsiTheme="minorEastAsia" w:cs="仿宋_GB2312" w:hint="eastAsia"/>
          <w:kern w:val="0"/>
        </w:rPr>
        <w:t>3信访案件满意度评价功能</w:t>
      </w:r>
    </w:p>
    <w:p w:rsidR="00427CFC" w:rsidRDefault="004220DA">
      <w:pPr>
        <w:pStyle w:val="afd"/>
        <w:widowControl/>
        <w:numPr>
          <w:ilvl w:val="0"/>
          <w:numId w:val="7"/>
        </w:numPr>
        <w:ind w:firstLineChars="0"/>
        <w:rPr>
          <w:rFonts w:asciiTheme="minorEastAsia" w:eastAsiaTheme="minorEastAsia" w:hAnsiTheme="minorEastAsia" w:cs="仿宋_GB2312"/>
          <w:kern w:val="0"/>
        </w:rPr>
      </w:pPr>
      <w:r>
        <w:rPr>
          <w:rFonts w:asciiTheme="minorEastAsia" w:eastAsiaTheme="minorEastAsia" w:hAnsiTheme="minorEastAsia" w:cs="仿宋_GB2312" w:hint="eastAsia"/>
          <w:kern w:val="0"/>
        </w:rPr>
        <w:t>信访案件线上查询功能</w:t>
      </w:r>
    </w:p>
    <w:p w:rsidR="00427CFC" w:rsidRDefault="004220DA">
      <w:pPr>
        <w:pStyle w:val="afd"/>
        <w:widowControl/>
        <w:numPr>
          <w:ilvl w:val="0"/>
          <w:numId w:val="7"/>
        </w:numPr>
        <w:ind w:firstLineChars="0"/>
        <w:rPr>
          <w:rFonts w:asciiTheme="minorEastAsia" w:eastAsiaTheme="minorEastAsia" w:hAnsiTheme="minorEastAsia" w:cs="仿宋_GB2312"/>
          <w:kern w:val="0"/>
        </w:rPr>
      </w:pPr>
      <w:r>
        <w:rPr>
          <w:rFonts w:asciiTheme="minorEastAsia" w:eastAsiaTheme="minorEastAsia" w:hAnsiTheme="minorEastAsia" w:cs="仿宋_GB2312" w:hint="eastAsia"/>
          <w:kern w:val="0"/>
        </w:rPr>
        <w:t>信访案件满意度评价功能</w:t>
      </w:r>
    </w:p>
    <w:p w:rsidR="00427CFC" w:rsidRDefault="004220DA">
      <w:pPr>
        <w:pStyle w:val="afd"/>
        <w:widowControl/>
        <w:numPr>
          <w:ilvl w:val="0"/>
          <w:numId w:val="7"/>
        </w:numPr>
        <w:ind w:firstLineChars="0"/>
        <w:rPr>
          <w:rFonts w:asciiTheme="minorEastAsia" w:eastAsiaTheme="minorEastAsia" w:hAnsiTheme="minorEastAsia" w:cs="仿宋_GB2312"/>
          <w:kern w:val="0"/>
        </w:rPr>
      </w:pPr>
      <w:r>
        <w:rPr>
          <w:rFonts w:asciiTheme="minorEastAsia" w:eastAsiaTheme="minorEastAsia" w:hAnsiTheme="minorEastAsia" w:cs="仿宋_GB2312" w:hint="eastAsia"/>
          <w:kern w:val="0"/>
        </w:rPr>
        <w:t>信访案件评价满意度汇总功能</w:t>
      </w:r>
    </w:p>
    <w:p w:rsidR="00427CFC" w:rsidRDefault="004220DA">
      <w:pPr>
        <w:widowControl/>
        <w:rPr>
          <w:rFonts w:asciiTheme="minorEastAsia" w:eastAsiaTheme="minorEastAsia" w:hAnsiTheme="minorEastAsia" w:cs="仿宋_GB2312"/>
          <w:kern w:val="0"/>
        </w:rPr>
      </w:pPr>
      <w:r>
        <w:rPr>
          <w:rFonts w:asciiTheme="minorEastAsia" w:eastAsiaTheme="minorEastAsia" w:hAnsiTheme="minorEastAsia" w:cs="仿宋_GB2312"/>
          <w:kern w:val="0"/>
        </w:rPr>
        <w:t>4</w:t>
      </w:r>
      <w:proofErr w:type="gramStart"/>
      <w:r>
        <w:rPr>
          <w:rFonts w:asciiTheme="minorEastAsia" w:eastAsiaTheme="minorEastAsia" w:hAnsiTheme="minorEastAsia" w:cs="仿宋_GB2312" w:hint="eastAsia"/>
          <w:kern w:val="0"/>
        </w:rPr>
        <w:t>案管系统</w:t>
      </w:r>
      <w:proofErr w:type="gramEnd"/>
      <w:r>
        <w:rPr>
          <w:rFonts w:asciiTheme="minorEastAsia" w:eastAsiaTheme="minorEastAsia" w:hAnsiTheme="minorEastAsia" w:cs="仿宋_GB2312" w:hint="eastAsia"/>
          <w:kern w:val="0"/>
        </w:rPr>
        <w:t>基础功能升级改造</w:t>
      </w:r>
    </w:p>
    <w:p w:rsidR="00427CFC" w:rsidRDefault="004220DA">
      <w:pPr>
        <w:pStyle w:val="afd"/>
        <w:widowControl/>
        <w:numPr>
          <w:ilvl w:val="0"/>
          <w:numId w:val="7"/>
        </w:numPr>
        <w:ind w:firstLineChars="0"/>
        <w:rPr>
          <w:rFonts w:asciiTheme="minorEastAsia" w:eastAsiaTheme="minorEastAsia" w:hAnsiTheme="minorEastAsia" w:cs="仿宋_GB2312"/>
          <w:kern w:val="0"/>
        </w:rPr>
      </w:pPr>
      <w:proofErr w:type="gramStart"/>
      <w:r>
        <w:rPr>
          <w:rFonts w:asciiTheme="minorEastAsia" w:eastAsiaTheme="minorEastAsia" w:hAnsiTheme="minorEastAsia" w:cs="仿宋_GB2312" w:hint="eastAsia"/>
          <w:kern w:val="0"/>
        </w:rPr>
        <w:t>案管系统</w:t>
      </w:r>
      <w:proofErr w:type="gramEnd"/>
      <w:r>
        <w:rPr>
          <w:rFonts w:asciiTheme="minorEastAsia" w:eastAsiaTheme="minorEastAsia" w:hAnsiTheme="minorEastAsia" w:cs="仿宋_GB2312" w:hint="eastAsia"/>
          <w:kern w:val="0"/>
        </w:rPr>
        <w:t>首页改造</w:t>
      </w:r>
    </w:p>
    <w:p w:rsidR="00427CFC" w:rsidRDefault="004220DA">
      <w:pPr>
        <w:pStyle w:val="afd"/>
        <w:widowControl/>
        <w:numPr>
          <w:ilvl w:val="0"/>
          <w:numId w:val="7"/>
        </w:numPr>
        <w:ind w:firstLineChars="0"/>
        <w:rPr>
          <w:rFonts w:asciiTheme="minorEastAsia" w:eastAsiaTheme="minorEastAsia" w:hAnsiTheme="minorEastAsia" w:cs="仿宋_GB2312"/>
          <w:kern w:val="0"/>
        </w:rPr>
      </w:pPr>
      <w:proofErr w:type="gramStart"/>
      <w:r>
        <w:rPr>
          <w:rFonts w:asciiTheme="minorEastAsia" w:eastAsiaTheme="minorEastAsia" w:hAnsiTheme="minorEastAsia" w:cs="仿宋_GB2312" w:hint="eastAsia"/>
          <w:kern w:val="0"/>
        </w:rPr>
        <w:t>案管信访</w:t>
      </w:r>
      <w:proofErr w:type="gramEnd"/>
      <w:r>
        <w:rPr>
          <w:rFonts w:asciiTheme="minorEastAsia" w:eastAsiaTheme="minorEastAsia" w:hAnsiTheme="minorEastAsia" w:cs="仿宋_GB2312" w:hint="eastAsia"/>
          <w:kern w:val="0"/>
        </w:rPr>
        <w:t>工作台改造</w:t>
      </w:r>
    </w:p>
    <w:p w:rsidR="00427CFC" w:rsidRDefault="004220DA">
      <w:pPr>
        <w:pStyle w:val="afd"/>
        <w:widowControl/>
        <w:numPr>
          <w:ilvl w:val="0"/>
          <w:numId w:val="7"/>
        </w:numPr>
        <w:ind w:firstLineChars="0"/>
        <w:rPr>
          <w:rFonts w:asciiTheme="minorEastAsia" w:eastAsiaTheme="minorEastAsia" w:hAnsiTheme="minorEastAsia" w:cs="仿宋_GB2312"/>
          <w:kern w:val="0"/>
        </w:rPr>
      </w:pPr>
      <w:proofErr w:type="gramStart"/>
      <w:r>
        <w:rPr>
          <w:rFonts w:asciiTheme="minorEastAsia" w:eastAsiaTheme="minorEastAsia" w:hAnsiTheme="minorEastAsia" w:cs="仿宋_GB2312" w:hint="eastAsia"/>
          <w:kern w:val="0"/>
        </w:rPr>
        <w:t>案管信访</w:t>
      </w:r>
      <w:proofErr w:type="gramEnd"/>
      <w:r>
        <w:rPr>
          <w:rFonts w:asciiTheme="minorEastAsia" w:eastAsiaTheme="minorEastAsia" w:hAnsiTheme="minorEastAsia" w:cs="仿宋_GB2312" w:hint="eastAsia"/>
          <w:kern w:val="0"/>
        </w:rPr>
        <w:t>案件流程节点改造</w:t>
      </w:r>
    </w:p>
    <w:p w:rsidR="00427CFC" w:rsidRDefault="004220DA">
      <w:pPr>
        <w:pStyle w:val="afd"/>
        <w:widowControl/>
        <w:numPr>
          <w:ilvl w:val="0"/>
          <w:numId w:val="7"/>
        </w:numPr>
        <w:ind w:firstLineChars="0"/>
        <w:rPr>
          <w:rFonts w:asciiTheme="minorEastAsia" w:eastAsiaTheme="minorEastAsia" w:hAnsiTheme="minorEastAsia" w:cs="仿宋_GB2312"/>
          <w:kern w:val="0"/>
        </w:rPr>
      </w:pPr>
      <w:r>
        <w:rPr>
          <w:rFonts w:asciiTheme="minorEastAsia" w:eastAsiaTheme="minorEastAsia" w:hAnsiTheme="minorEastAsia" w:cs="仿宋_GB2312" w:hint="eastAsia"/>
          <w:kern w:val="0"/>
        </w:rPr>
        <w:t>电子文书功能</w:t>
      </w:r>
    </w:p>
    <w:p w:rsidR="00427CFC" w:rsidRDefault="004220DA">
      <w:pPr>
        <w:pStyle w:val="afd"/>
        <w:widowControl/>
        <w:numPr>
          <w:ilvl w:val="0"/>
          <w:numId w:val="7"/>
        </w:numPr>
        <w:ind w:firstLineChars="0"/>
        <w:rPr>
          <w:rFonts w:asciiTheme="minorEastAsia" w:eastAsiaTheme="minorEastAsia" w:hAnsiTheme="minorEastAsia" w:cs="仿宋_GB2312"/>
          <w:kern w:val="0"/>
        </w:rPr>
      </w:pPr>
      <w:r>
        <w:rPr>
          <w:rFonts w:asciiTheme="minorEastAsia" w:eastAsiaTheme="minorEastAsia" w:hAnsiTheme="minorEastAsia" w:cs="仿宋_GB2312" w:hint="eastAsia"/>
          <w:kern w:val="0"/>
        </w:rPr>
        <w:lastRenderedPageBreak/>
        <w:t>信访案件登记文档在线编辑功能</w:t>
      </w:r>
    </w:p>
    <w:p w:rsidR="00427CFC" w:rsidRDefault="004220DA">
      <w:pPr>
        <w:pStyle w:val="afd"/>
        <w:widowControl/>
        <w:numPr>
          <w:ilvl w:val="0"/>
          <w:numId w:val="7"/>
        </w:numPr>
        <w:ind w:firstLineChars="0"/>
        <w:rPr>
          <w:rFonts w:asciiTheme="minorEastAsia" w:eastAsiaTheme="minorEastAsia" w:hAnsiTheme="minorEastAsia" w:cs="仿宋_GB2312"/>
          <w:kern w:val="0"/>
        </w:rPr>
      </w:pPr>
      <w:r>
        <w:rPr>
          <w:rFonts w:asciiTheme="minorEastAsia" w:eastAsiaTheme="minorEastAsia" w:hAnsiTheme="minorEastAsia" w:cs="仿宋_GB2312"/>
          <w:kern w:val="0"/>
        </w:rPr>
        <w:t>5</w:t>
      </w:r>
      <w:proofErr w:type="gramStart"/>
      <w:r>
        <w:rPr>
          <w:rFonts w:asciiTheme="minorEastAsia" w:eastAsiaTheme="minorEastAsia" w:hAnsiTheme="minorEastAsia" w:cs="仿宋_GB2312" w:hint="eastAsia"/>
          <w:kern w:val="0"/>
        </w:rPr>
        <w:t>案管系统</w:t>
      </w:r>
      <w:proofErr w:type="gramEnd"/>
      <w:r>
        <w:rPr>
          <w:rFonts w:asciiTheme="minorEastAsia" w:eastAsiaTheme="minorEastAsia" w:hAnsiTheme="minorEastAsia" w:cs="仿宋_GB2312" w:hint="eastAsia"/>
          <w:kern w:val="0"/>
        </w:rPr>
        <w:t>数据上报与外部系统对接</w:t>
      </w:r>
    </w:p>
    <w:p w:rsidR="00427CFC" w:rsidRDefault="004220DA">
      <w:pPr>
        <w:pStyle w:val="afd"/>
        <w:widowControl/>
        <w:numPr>
          <w:ilvl w:val="0"/>
          <w:numId w:val="7"/>
        </w:numPr>
        <w:ind w:firstLineChars="0"/>
        <w:rPr>
          <w:rFonts w:asciiTheme="minorEastAsia" w:eastAsiaTheme="minorEastAsia" w:hAnsiTheme="minorEastAsia" w:cs="仿宋_GB2312"/>
          <w:kern w:val="0"/>
        </w:rPr>
      </w:pPr>
      <w:r>
        <w:rPr>
          <w:rFonts w:asciiTheme="minorEastAsia" w:eastAsiaTheme="minorEastAsia" w:hAnsiTheme="minorEastAsia" w:cs="仿宋_GB2312" w:hint="eastAsia"/>
          <w:kern w:val="0"/>
        </w:rPr>
        <w:t>信访数据上报司法部全国信访管理系统改造</w:t>
      </w:r>
    </w:p>
    <w:p w:rsidR="00427CFC" w:rsidRDefault="004220DA">
      <w:pPr>
        <w:pStyle w:val="4"/>
        <w:ind w:left="1134" w:hanging="1134"/>
      </w:pPr>
      <w:r>
        <w:rPr>
          <w:rFonts w:hint="eastAsia"/>
        </w:rPr>
        <w:t>破产业务建设内容</w:t>
      </w:r>
      <w:bookmarkEnd w:id="50"/>
    </w:p>
    <w:p w:rsidR="00427CFC" w:rsidRDefault="004220DA">
      <w:pPr>
        <w:widowControl/>
        <w:rPr>
          <w:rFonts w:asciiTheme="minorEastAsia" w:eastAsiaTheme="minorEastAsia" w:hAnsiTheme="minorEastAsia" w:cs="仿宋_GB2312"/>
          <w:kern w:val="0"/>
        </w:rPr>
      </w:pPr>
      <w:r>
        <w:rPr>
          <w:rFonts w:asciiTheme="minorEastAsia" w:eastAsiaTheme="minorEastAsia" w:hAnsiTheme="minorEastAsia" w:cs="仿宋_GB2312" w:hint="eastAsia"/>
          <w:kern w:val="0"/>
        </w:rPr>
        <w:t>新建上海市破产管理人综合信息管理系统，</w:t>
      </w:r>
      <w:bookmarkStart w:id="51" w:name="_Hlk139355228"/>
      <w:r>
        <w:rPr>
          <w:rFonts w:asciiTheme="minorEastAsia" w:eastAsiaTheme="minorEastAsia" w:hAnsiTheme="minorEastAsia" w:cs="仿宋_GB2312" w:hint="eastAsia"/>
          <w:kern w:val="0"/>
        </w:rPr>
        <w:t>实现破产管理人员机构信息管理、年度考核管理、破产管理人服务、奖惩管理、机构变更管理、业务培训及水平测试、办案信息管理与履职信息管理、党建管理、服务门户建设，并与高院对接实现相关数据交互。</w:t>
      </w:r>
      <w:bookmarkEnd w:id="51"/>
      <w:r>
        <w:rPr>
          <w:rFonts w:asciiTheme="minorEastAsia" w:eastAsiaTheme="minorEastAsia" w:hAnsiTheme="minorEastAsia" w:cs="仿宋_GB2312" w:hint="eastAsia"/>
          <w:kern w:val="0"/>
        </w:rPr>
        <w:t>具体内容如下：</w:t>
      </w:r>
    </w:p>
    <w:p w:rsidR="00427CFC" w:rsidRDefault="004220DA">
      <w:pPr>
        <w:widowControl/>
        <w:rPr>
          <w:rFonts w:asciiTheme="minorEastAsia" w:eastAsiaTheme="minorEastAsia" w:hAnsiTheme="minorEastAsia" w:cs="仿宋_GB2312"/>
          <w:kern w:val="0"/>
        </w:rPr>
      </w:pPr>
      <w:r>
        <w:rPr>
          <w:rFonts w:asciiTheme="minorEastAsia" w:eastAsiaTheme="minorEastAsia" w:hAnsiTheme="minorEastAsia" w:cs="仿宋_GB2312" w:hint="eastAsia"/>
          <w:kern w:val="0"/>
        </w:rPr>
        <w:t>（1）新建破产管理人员机构信息管理模块，实现对破产管理人（上海市内注册设立的律师事务所、会计师事务所、破产清算事务所等社会中介机构或个人及其他有志</w:t>
      </w:r>
      <w:proofErr w:type="gramStart"/>
      <w:r>
        <w:rPr>
          <w:rFonts w:asciiTheme="minorEastAsia" w:eastAsiaTheme="minorEastAsia" w:hAnsiTheme="minorEastAsia" w:cs="仿宋_GB2312" w:hint="eastAsia"/>
          <w:kern w:val="0"/>
        </w:rPr>
        <w:t>于开展</w:t>
      </w:r>
      <w:proofErr w:type="gramEnd"/>
      <w:r>
        <w:rPr>
          <w:rFonts w:asciiTheme="minorEastAsia" w:eastAsiaTheme="minorEastAsia" w:hAnsiTheme="minorEastAsia" w:cs="仿宋_GB2312" w:hint="eastAsia"/>
          <w:kern w:val="0"/>
        </w:rPr>
        <w:t>破产管理人业务的机构或个人）的信息综合管理，包含：破产管理人的信息登记备案、修改、快速查询、高级检索、统计分析等管理功能，构建破产管理人“一人一档”管理机制。</w:t>
      </w:r>
    </w:p>
    <w:p w:rsidR="00427CFC" w:rsidRDefault="004220DA">
      <w:pPr>
        <w:widowControl/>
        <w:rPr>
          <w:rFonts w:asciiTheme="minorEastAsia" w:eastAsiaTheme="minorEastAsia" w:hAnsiTheme="minorEastAsia" w:cs="仿宋_GB2312"/>
          <w:kern w:val="0"/>
        </w:rPr>
      </w:pPr>
      <w:r>
        <w:rPr>
          <w:rFonts w:asciiTheme="minorEastAsia" w:eastAsiaTheme="minorEastAsia" w:hAnsiTheme="minorEastAsia" w:cs="仿宋_GB2312" w:hint="eastAsia"/>
          <w:kern w:val="0"/>
        </w:rPr>
        <w:t>（2）新建破产管理人年度考核模块，定期对管理人的资质进行年度考核，将破产管理人履职情况作为评定标准纳入管理人的年度考评，将破产管理人的评级功能与高院对接，实现管理人年度考核流程便捷化、规范化、高效化。</w:t>
      </w:r>
    </w:p>
    <w:p w:rsidR="00427CFC" w:rsidRDefault="004220DA">
      <w:pPr>
        <w:widowControl/>
        <w:rPr>
          <w:rFonts w:asciiTheme="minorEastAsia" w:eastAsiaTheme="minorEastAsia" w:hAnsiTheme="minorEastAsia" w:cs="仿宋_GB2312"/>
          <w:kern w:val="0"/>
        </w:rPr>
      </w:pPr>
      <w:r>
        <w:rPr>
          <w:rFonts w:asciiTheme="minorEastAsia" w:eastAsiaTheme="minorEastAsia" w:hAnsiTheme="minorEastAsia" w:cs="仿宋_GB2312" w:hint="eastAsia"/>
          <w:kern w:val="0"/>
        </w:rPr>
        <w:t>（3）新建破产管理人服务模块，为破产管理人组织通知发布、调研数据统计、经费审批管理以及报酬专项基金管理提供应用支撑，并建立破产管理人服务门户，健全破产管理人服务体系，优化破产管理人服务模式，为破产管理人内部组织交流、工作调研以及经费管理提供便捷。</w:t>
      </w:r>
    </w:p>
    <w:p w:rsidR="00427CFC" w:rsidRDefault="004220DA">
      <w:pPr>
        <w:widowControl/>
        <w:rPr>
          <w:rFonts w:asciiTheme="minorEastAsia" w:eastAsiaTheme="minorEastAsia" w:hAnsiTheme="minorEastAsia" w:cs="仿宋_GB2312"/>
          <w:kern w:val="0"/>
        </w:rPr>
      </w:pPr>
      <w:r>
        <w:rPr>
          <w:rFonts w:asciiTheme="minorEastAsia" w:eastAsiaTheme="minorEastAsia" w:hAnsiTheme="minorEastAsia" w:cs="仿宋_GB2312" w:hint="eastAsia"/>
          <w:kern w:val="0"/>
        </w:rPr>
        <w:t>（4）新建破产管理人奖惩管理模块，依照相关法律、法规、规章对破产管理人进行奖励和惩戒，实现处分管理（预处分决定、预处分通知、申请听证、组织听证、处分结果上报）、投诉（在线投诉、投诉受理、投诉处理）以及奖励（奖励信息登记、奖励通知）业务流程线上化，基于信息化手段规范破产管理人奖惩体系。</w:t>
      </w:r>
    </w:p>
    <w:p w:rsidR="00427CFC" w:rsidRDefault="004220DA">
      <w:pPr>
        <w:widowControl/>
        <w:rPr>
          <w:rFonts w:asciiTheme="minorEastAsia" w:eastAsiaTheme="minorEastAsia" w:hAnsiTheme="minorEastAsia" w:cs="仿宋_GB2312"/>
          <w:kern w:val="0"/>
        </w:rPr>
      </w:pPr>
      <w:r>
        <w:rPr>
          <w:rFonts w:asciiTheme="minorEastAsia" w:eastAsiaTheme="minorEastAsia" w:hAnsiTheme="minorEastAsia" w:cs="仿宋_GB2312" w:hint="eastAsia"/>
          <w:kern w:val="0"/>
        </w:rPr>
        <w:t>（5）新建机构变更管理模块，实现变更信息报备、变更信息审核以及管理人名册变更，同时对接上海市律师综合管理信息系统以及注册会计师管理系统、清算师协会管理系统进行信息确认，当破产管理机构发生信息变更时，智能提</w:t>
      </w:r>
      <w:r>
        <w:rPr>
          <w:rFonts w:asciiTheme="minorEastAsia" w:eastAsiaTheme="minorEastAsia" w:hAnsiTheme="minorEastAsia" w:cs="仿宋_GB2312" w:hint="eastAsia"/>
          <w:kern w:val="0"/>
        </w:rPr>
        <w:lastRenderedPageBreak/>
        <w:t>示管理人进行变更信息报备，确保机构变更后备案信息的一致性以及机构等级的严谨性。</w:t>
      </w:r>
    </w:p>
    <w:p w:rsidR="00427CFC" w:rsidRDefault="004220DA">
      <w:pPr>
        <w:widowControl/>
        <w:rPr>
          <w:rFonts w:asciiTheme="minorEastAsia" w:eastAsiaTheme="minorEastAsia" w:hAnsiTheme="minorEastAsia" w:cs="仿宋_GB2312"/>
          <w:kern w:val="0"/>
        </w:rPr>
      </w:pPr>
      <w:r>
        <w:rPr>
          <w:rFonts w:asciiTheme="minorEastAsia" w:eastAsiaTheme="minorEastAsia" w:hAnsiTheme="minorEastAsia" w:cs="仿宋_GB2312" w:hint="eastAsia"/>
          <w:kern w:val="0"/>
        </w:rPr>
        <w:t>（6）新建破产管理人业务培训及水平测试管理模块，为破产管理人提供在线业务培训与水平测试服务，加强破产管理人队伍建设，综合提升破产管理人服务水平与服务质量。</w:t>
      </w:r>
    </w:p>
    <w:p w:rsidR="00427CFC" w:rsidRDefault="004220DA">
      <w:pPr>
        <w:widowControl/>
        <w:rPr>
          <w:rFonts w:asciiTheme="minorEastAsia" w:eastAsiaTheme="minorEastAsia" w:hAnsiTheme="minorEastAsia" w:cs="仿宋_GB2312"/>
          <w:kern w:val="0"/>
        </w:rPr>
      </w:pPr>
      <w:r>
        <w:rPr>
          <w:rFonts w:asciiTheme="minorEastAsia" w:eastAsiaTheme="minorEastAsia" w:hAnsiTheme="minorEastAsia" w:cs="仿宋_GB2312" w:hint="eastAsia"/>
          <w:kern w:val="0"/>
        </w:rPr>
        <w:t>（7）新建破产管理人履职/办案信息管理模块，实现案件信息登记、查询、统计分析、修改补录，及管理人履职信息登记、查询、统计分析等业务管理功能，同时，对接上海高院获取破产管理人履职/办案信息，健全破产管理人履职/办案信息管理模式,强化破产人执业监管。</w:t>
      </w:r>
    </w:p>
    <w:p w:rsidR="00427CFC" w:rsidRDefault="004220DA">
      <w:pPr>
        <w:widowControl/>
      </w:pPr>
      <w:r>
        <w:rPr>
          <w:rFonts w:asciiTheme="minorEastAsia" w:eastAsiaTheme="minorEastAsia" w:hAnsiTheme="minorEastAsia" w:cs="仿宋_GB2312" w:hint="eastAsia"/>
          <w:kern w:val="0"/>
        </w:rPr>
        <w:t>（9）与高院对接，对接上海高院相关应用系统，实现管理人信息库同步，为破产管理人指定提供基础数据支撑，同时，获取破产管理人代理案件信息以及履职信息，完善破产管理人履职/办案信息库建设，为行业监督与管理提供“数据动能”。</w:t>
      </w:r>
    </w:p>
    <w:p w:rsidR="00427CFC" w:rsidRDefault="004220DA">
      <w:pPr>
        <w:pStyle w:val="3"/>
      </w:pPr>
      <w:r>
        <w:rPr>
          <w:rFonts w:hint="eastAsia"/>
        </w:rPr>
        <w:t>软件开发清单</w:t>
      </w:r>
    </w:p>
    <w:p w:rsidR="00427CFC" w:rsidRDefault="004220DA">
      <w:pPr>
        <w:pStyle w:val="4"/>
        <w:ind w:left="1134" w:hanging="1134"/>
      </w:pPr>
      <w:r>
        <w:rPr>
          <w:rFonts w:hint="eastAsia"/>
        </w:rPr>
        <w:t>律师管理模块</w:t>
      </w:r>
    </w:p>
    <w:tbl>
      <w:tblPr>
        <w:tblW w:w="8320" w:type="dxa"/>
        <w:tblLook w:val="04A0"/>
      </w:tblPr>
      <w:tblGrid>
        <w:gridCol w:w="427"/>
        <w:gridCol w:w="1735"/>
        <w:gridCol w:w="6158"/>
      </w:tblGrid>
      <w:tr w:rsidR="00427CFC">
        <w:trPr>
          <w:trHeight w:val="288"/>
        </w:trPr>
        <w:tc>
          <w:tcPr>
            <w:tcW w:w="427" w:type="dxa"/>
            <w:tcBorders>
              <w:top w:val="single" w:sz="4" w:space="0" w:color="auto"/>
              <w:left w:val="single" w:sz="4" w:space="0" w:color="auto"/>
              <w:bottom w:val="single" w:sz="4" w:space="0" w:color="auto"/>
              <w:right w:val="single" w:sz="4" w:space="0" w:color="auto"/>
            </w:tcBorders>
            <w:shd w:val="clear" w:color="000000" w:fill="F3F8FC"/>
            <w:noWrap/>
            <w:vAlign w:val="center"/>
          </w:tcPr>
          <w:p w:rsidR="00427CFC" w:rsidRDefault="004220DA">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序号</w:t>
            </w:r>
          </w:p>
        </w:tc>
        <w:tc>
          <w:tcPr>
            <w:tcW w:w="1735" w:type="dxa"/>
            <w:tcBorders>
              <w:top w:val="single" w:sz="4" w:space="0" w:color="auto"/>
              <w:left w:val="nil"/>
              <w:bottom w:val="single" w:sz="4" w:space="0" w:color="auto"/>
              <w:right w:val="single" w:sz="4" w:space="0" w:color="auto"/>
            </w:tcBorders>
            <w:shd w:val="clear" w:color="000000" w:fill="F3F8FC"/>
            <w:vAlign w:val="center"/>
          </w:tcPr>
          <w:p w:rsidR="00427CFC" w:rsidRDefault="004220DA">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功能名称</w:t>
            </w:r>
          </w:p>
        </w:tc>
        <w:tc>
          <w:tcPr>
            <w:tcW w:w="6158" w:type="dxa"/>
            <w:tcBorders>
              <w:top w:val="single" w:sz="4" w:space="0" w:color="auto"/>
              <w:left w:val="nil"/>
              <w:bottom w:val="single" w:sz="4" w:space="0" w:color="auto"/>
              <w:right w:val="single" w:sz="4" w:space="0" w:color="auto"/>
            </w:tcBorders>
            <w:shd w:val="clear" w:color="000000" w:fill="F3F8FC"/>
            <w:vAlign w:val="center"/>
          </w:tcPr>
          <w:p w:rsidR="00427CFC" w:rsidRDefault="004220DA">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功能描述</w:t>
            </w:r>
          </w:p>
        </w:tc>
      </w:tr>
      <w:tr w:rsidR="00427CFC">
        <w:trPr>
          <w:trHeight w:val="1380"/>
        </w:trPr>
        <w:tc>
          <w:tcPr>
            <w:tcW w:w="427" w:type="dxa"/>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1</w:t>
            </w:r>
          </w:p>
        </w:tc>
        <w:tc>
          <w:tcPr>
            <w:tcW w:w="1735" w:type="dxa"/>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律师</w:t>
            </w:r>
            <w:r w:rsidR="001E272C">
              <w:rPr>
                <w:rFonts w:ascii="PMingLiU" w:eastAsiaTheme="minorEastAsia" w:hAnsi="PMingLiU" w:cs="宋体" w:hint="eastAsia"/>
                <w:color w:val="000000"/>
                <w:kern w:val="0"/>
                <w:sz w:val="22"/>
                <w:szCs w:val="22"/>
              </w:rPr>
              <w:t>执</w:t>
            </w:r>
            <w:r>
              <w:rPr>
                <w:rFonts w:ascii="PMingLiU" w:eastAsia="PMingLiU" w:hAnsi="PMingLiU" w:cs="宋体" w:hint="eastAsia"/>
                <w:color w:val="000000"/>
                <w:kern w:val="0"/>
                <w:sz w:val="22"/>
                <w:szCs w:val="22"/>
              </w:rPr>
              <w:t>业监管-投诉案件概览</w:t>
            </w:r>
          </w:p>
        </w:tc>
        <w:tc>
          <w:tcPr>
            <w:tcW w:w="6158" w:type="dxa"/>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包含待受理投诉数量、待初审投诉数量、待调查投诉数量、待审议投诉数量、已审议投诉数量、待听证案件数量、已结案案件数量以及待复查案件数量，并支持点击投诉量进行信息下</w:t>
            </w:r>
            <w:r w:rsidR="001E272C">
              <w:rPr>
                <w:rFonts w:ascii="PMingLiU" w:eastAsiaTheme="minorEastAsia" w:hAnsi="PMingLiU" w:cs="宋体" w:hint="eastAsia"/>
                <w:color w:val="000000"/>
                <w:kern w:val="0"/>
                <w:sz w:val="22"/>
                <w:szCs w:val="22"/>
              </w:rPr>
              <w:t>载</w:t>
            </w:r>
            <w:r>
              <w:rPr>
                <w:rFonts w:ascii="PMingLiU" w:eastAsia="PMingLiU" w:hAnsi="PMingLiU" w:cs="宋体" w:hint="eastAsia"/>
                <w:color w:val="000000"/>
                <w:kern w:val="0"/>
                <w:sz w:val="22"/>
                <w:szCs w:val="22"/>
              </w:rPr>
              <w:t>查看具体投诉案件信息，并按照时间域统计各时间域</w:t>
            </w:r>
            <w:proofErr w:type="gramStart"/>
            <w:r>
              <w:rPr>
                <w:rFonts w:ascii="PMingLiU" w:eastAsia="PMingLiU" w:hAnsi="PMingLiU" w:cs="宋体" w:hint="eastAsia"/>
                <w:color w:val="000000"/>
                <w:kern w:val="0"/>
                <w:sz w:val="22"/>
                <w:szCs w:val="22"/>
              </w:rPr>
              <w:t>内投诉</w:t>
            </w:r>
            <w:proofErr w:type="gramEnd"/>
            <w:r>
              <w:rPr>
                <w:rFonts w:ascii="PMingLiU" w:eastAsia="PMingLiU" w:hAnsi="PMingLiU" w:cs="宋体" w:hint="eastAsia"/>
                <w:color w:val="000000"/>
                <w:kern w:val="0"/>
                <w:sz w:val="22"/>
                <w:szCs w:val="22"/>
              </w:rPr>
              <w:t>案件趋势变化。</w:t>
            </w:r>
          </w:p>
        </w:tc>
      </w:tr>
      <w:tr w:rsidR="00427CFC">
        <w:trPr>
          <w:trHeight w:val="552"/>
        </w:trPr>
        <w:tc>
          <w:tcPr>
            <w:tcW w:w="427" w:type="dxa"/>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2</w:t>
            </w:r>
          </w:p>
        </w:tc>
        <w:tc>
          <w:tcPr>
            <w:tcW w:w="1735" w:type="dxa"/>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律师</w:t>
            </w:r>
            <w:r w:rsidR="001E272C">
              <w:rPr>
                <w:rFonts w:ascii="PMingLiU" w:eastAsiaTheme="minorEastAsia" w:hAnsi="PMingLiU" w:cs="宋体" w:hint="eastAsia"/>
                <w:color w:val="000000"/>
                <w:kern w:val="0"/>
                <w:sz w:val="22"/>
                <w:szCs w:val="22"/>
              </w:rPr>
              <w:t>执</w:t>
            </w:r>
            <w:r>
              <w:rPr>
                <w:rFonts w:ascii="PMingLiU" w:eastAsia="PMingLiU" w:hAnsi="PMingLiU" w:cs="宋体" w:hint="eastAsia"/>
                <w:color w:val="000000"/>
                <w:kern w:val="0"/>
                <w:sz w:val="22"/>
                <w:szCs w:val="22"/>
              </w:rPr>
              <w:t>业监管-投诉信息管理</w:t>
            </w:r>
          </w:p>
        </w:tc>
        <w:tc>
          <w:tcPr>
            <w:tcW w:w="6158" w:type="dxa"/>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实现司法行政机关及时获取律师行业最新投诉信息，实时掌握律师</w:t>
            </w:r>
            <w:r w:rsidR="001E272C">
              <w:rPr>
                <w:rFonts w:ascii="PMingLiU" w:eastAsiaTheme="minorEastAsia" w:hAnsi="PMingLiU" w:cs="宋体" w:hint="eastAsia"/>
                <w:color w:val="000000"/>
                <w:kern w:val="0"/>
                <w:sz w:val="22"/>
                <w:szCs w:val="22"/>
              </w:rPr>
              <w:t>执</w:t>
            </w:r>
            <w:r>
              <w:rPr>
                <w:rFonts w:ascii="PMingLiU" w:eastAsia="PMingLiU" w:hAnsi="PMingLiU" w:cs="宋体" w:hint="eastAsia"/>
                <w:color w:val="000000"/>
                <w:kern w:val="0"/>
                <w:sz w:val="22"/>
                <w:szCs w:val="22"/>
              </w:rPr>
              <w:t>业投诉事件情况，提升</w:t>
            </w:r>
            <w:r w:rsidR="001E272C">
              <w:rPr>
                <w:rFonts w:ascii="PMingLiU" w:eastAsiaTheme="minorEastAsia" w:hAnsi="PMingLiU" w:cs="宋体" w:hint="eastAsia"/>
                <w:color w:val="000000"/>
                <w:kern w:val="0"/>
                <w:sz w:val="22"/>
                <w:szCs w:val="22"/>
              </w:rPr>
              <w:t>执</w:t>
            </w:r>
            <w:r>
              <w:rPr>
                <w:rFonts w:ascii="PMingLiU" w:eastAsia="PMingLiU" w:hAnsi="PMingLiU" w:cs="宋体" w:hint="eastAsia"/>
                <w:color w:val="000000"/>
                <w:kern w:val="0"/>
                <w:sz w:val="22"/>
                <w:szCs w:val="22"/>
              </w:rPr>
              <w:t>业监管水平。</w:t>
            </w:r>
          </w:p>
        </w:tc>
      </w:tr>
      <w:tr w:rsidR="00427CFC">
        <w:trPr>
          <w:trHeight w:val="552"/>
        </w:trPr>
        <w:tc>
          <w:tcPr>
            <w:tcW w:w="427" w:type="dxa"/>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3</w:t>
            </w:r>
          </w:p>
        </w:tc>
        <w:tc>
          <w:tcPr>
            <w:tcW w:w="1735" w:type="dxa"/>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律师</w:t>
            </w:r>
            <w:r w:rsidR="001E272C">
              <w:rPr>
                <w:rFonts w:ascii="PMingLiU" w:eastAsiaTheme="minorEastAsia" w:hAnsi="PMingLiU" w:cs="宋体" w:hint="eastAsia"/>
                <w:color w:val="000000"/>
                <w:kern w:val="0"/>
                <w:sz w:val="22"/>
                <w:szCs w:val="22"/>
              </w:rPr>
              <w:t>执</w:t>
            </w:r>
            <w:r>
              <w:rPr>
                <w:rFonts w:ascii="PMingLiU" w:eastAsia="PMingLiU" w:hAnsi="PMingLiU" w:cs="宋体" w:hint="eastAsia"/>
                <w:color w:val="000000"/>
                <w:kern w:val="0"/>
                <w:sz w:val="22"/>
                <w:szCs w:val="22"/>
              </w:rPr>
              <w:t>业监管-立案信息管理</w:t>
            </w:r>
          </w:p>
        </w:tc>
        <w:tc>
          <w:tcPr>
            <w:tcW w:w="6158" w:type="dxa"/>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实现司法行政机关及时获取当事人对律师投诉后立案信息，实时掌握律师</w:t>
            </w:r>
            <w:r w:rsidR="001E272C">
              <w:rPr>
                <w:rFonts w:ascii="PMingLiU" w:eastAsiaTheme="minorEastAsia" w:hAnsi="PMingLiU" w:cs="宋体" w:hint="eastAsia"/>
                <w:color w:val="000000"/>
                <w:kern w:val="0"/>
                <w:sz w:val="22"/>
                <w:szCs w:val="22"/>
              </w:rPr>
              <w:t>执</w:t>
            </w:r>
            <w:r>
              <w:rPr>
                <w:rFonts w:ascii="PMingLiU" w:eastAsia="PMingLiU" w:hAnsi="PMingLiU" w:cs="宋体" w:hint="eastAsia"/>
                <w:color w:val="000000"/>
                <w:kern w:val="0"/>
                <w:sz w:val="22"/>
                <w:szCs w:val="22"/>
              </w:rPr>
              <w:t>业投诉案件处理进度情况。</w:t>
            </w:r>
          </w:p>
        </w:tc>
      </w:tr>
      <w:tr w:rsidR="00427CFC">
        <w:trPr>
          <w:trHeight w:val="828"/>
        </w:trPr>
        <w:tc>
          <w:tcPr>
            <w:tcW w:w="427" w:type="dxa"/>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4</w:t>
            </w:r>
          </w:p>
        </w:tc>
        <w:tc>
          <w:tcPr>
            <w:tcW w:w="1735" w:type="dxa"/>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律师</w:t>
            </w:r>
            <w:r w:rsidR="001E272C">
              <w:rPr>
                <w:rFonts w:ascii="PMingLiU" w:eastAsiaTheme="minorEastAsia" w:hAnsi="PMingLiU" w:cs="宋体" w:hint="eastAsia"/>
                <w:color w:val="000000"/>
                <w:kern w:val="0"/>
                <w:sz w:val="22"/>
                <w:szCs w:val="22"/>
              </w:rPr>
              <w:t>执</w:t>
            </w:r>
            <w:r>
              <w:rPr>
                <w:rFonts w:ascii="PMingLiU" w:eastAsia="PMingLiU" w:hAnsi="PMingLiU" w:cs="宋体" w:hint="eastAsia"/>
                <w:color w:val="000000"/>
                <w:kern w:val="0"/>
                <w:sz w:val="22"/>
                <w:szCs w:val="22"/>
              </w:rPr>
              <w:t>业监管-处理结果信息管理</w:t>
            </w:r>
          </w:p>
        </w:tc>
        <w:tc>
          <w:tcPr>
            <w:tcW w:w="6158" w:type="dxa"/>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实现司法行政机关及时获取当事人对律师投诉案件处理结果情况，并根据情节具体情况进行相应处置，支持在系统中对情节严重者进行黄名单、黑名单标记管理。</w:t>
            </w:r>
          </w:p>
        </w:tc>
      </w:tr>
      <w:tr w:rsidR="00427CFC">
        <w:trPr>
          <w:trHeight w:val="828"/>
        </w:trPr>
        <w:tc>
          <w:tcPr>
            <w:tcW w:w="427" w:type="dxa"/>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5</w:t>
            </w:r>
          </w:p>
        </w:tc>
        <w:tc>
          <w:tcPr>
            <w:tcW w:w="1735" w:type="dxa"/>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律师违法违规记录-违法记录管理</w:t>
            </w:r>
          </w:p>
        </w:tc>
        <w:tc>
          <w:tcPr>
            <w:tcW w:w="6158" w:type="dxa"/>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实现司法行政机关及时获取律师违法记录信息，并据此做出相应处罚措施，消除信息传递时差，避免出现违法律师违规执业情况，更好的保障当事人权益。</w:t>
            </w:r>
          </w:p>
        </w:tc>
      </w:tr>
      <w:tr w:rsidR="00427CFC">
        <w:trPr>
          <w:trHeight w:val="828"/>
        </w:trPr>
        <w:tc>
          <w:tcPr>
            <w:tcW w:w="427" w:type="dxa"/>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6</w:t>
            </w:r>
          </w:p>
        </w:tc>
        <w:tc>
          <w:tcPr>
            <w:tcW w:w="1735" w:type="dxa"/>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律师违法违规记录-违规记录</w:t>
            </w:r>
            <w:r>
              <w:rPr>
                <w:rFonts w:ascii="PMingLiU" w:eastAsia="PMingLiU" w:hAnsi="PMingLiU" w:cs="宋体" w:hint="eastAsia"/>
                <w:color w:val="000000"/>
                <w:kern w:val="0"/>
                <w:sz w:val="22"/>
                <w:szCs w:val="22"/>
              </w:rPr>
              <w:lastRenderedPageBreak/>
              <w:t>管理</w:t>
            </w:r>
          </w:p>
        </w:tc>
        <w:tc>
          <w:tcPr>
            <w:tcW w:w="6158" w:type="dxa"/>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lastRenderedPageBreak/>
              <w:t>实现司法行政机关及时获取律师违规记录信息，可根据违规情节进行相应处理，确保惩戒处分得到正确实施，并形成违规记</w:t>
            </w:r>
            <w:r>
              <w:rPr>
                <w:rFonts w:ascii="PMingLiU" w:eastAsia="PMingLiU" w:hAnsi="PMingLiU" w:cs="宋体" w:hint="eastAsia"/>
                <w:color w:val="000000"/>
                <w:kern w:val="0"/>
                <w:sz w:val="22"/>
                <w:szCs w:val="22"/>
              </w:rPr>
              <w:lastRenderedPageBreak/>
              <w:t>录信息库，为后期律师“诚信画像”打分提供数据支撑。</w:t>
            </w:r>
          </w:p>
        </w:tc>
      </w:tr>
      <w:tr w:rsidR="00427CFC">
        <w:trPr>
          <w:trHeight w:val="828"/>
        </w:trPr>
        <w:tc>
          <w:tcPr>
            <w:tcW w:w="427" w:type="dxa"/>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lastRenderedPageBreak/>
              <w:t>7</w:t>
            </w:r>
          </w:p>
        </w:tc>
        <w:tc>
          <w:tcPr>
            <w:tcW w:w="1735" w:type="dxa"/>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律师执业行为监管-律师代理案件记录信息管理</w:t>
            </w:r>
          </w:p>
        </w:tc>
        <w:tc>
          <w:tcPr>
            <w:tcW w:w="6158" w:type="dxa"/>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实现司法行政机关对律师代理案件记录信息综合管理应用。</w:t>
            </w:r>
          </w:p>
        </w:tc>
      </w:tr>
      <w:tr w:rsidR="00427CFC">
        <w:trPr>
          <w:trHeight w:val="828"/>
        </w:trPr>
        <w:tc>
          <w:tcPr>
            <w:tcW w:w="427" w:type="dxa"/>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8</w:t>
            </w:r>
          </w:p>
        </w:tc>
        <w:tc>
          <w:tcPr>
            <w:tcW w:w="1735" w:type="dxa"/>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律师执业行为监管-律师阅卷记录信息管理</w:t>
            </w:r>
          </w:p>
        </w:tc>
        <w:tc>
          <w:tcPr>
            <w:tcW w:w="6158" w:type="dxa"/>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实现司法行政机关对律师阅卷记录信息综合管理应用。</w:t>
            </w:r>
          </w:p>
        </w:tc>
      </w:tr>
      <w:tr w:rsidR="00427CFC">
        <w:trPr>
          <w:trHeight w:val="828"/>
        </w:trPr>
        <w:tc>
          <w:tcPr>
            <w:tcW w:w="427" w:type="dxa"/>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9</w:t>
            </w:r>
          </w:p>
        </w:tc>
        <w:tc>
          <w:tcPr>
            <w:tcW w:w="1735" w:type="dxa"/>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律师执业行为监管-律师会见预约记录信息管理</w:t>
            </w:r>
          </w:p>
        </w:tc>
        <w:tc>
          <w:tcPr>
            <w:tcW w:w="6158" w:type="dxa"/>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实现司法行政机关对律师会见预约记录信息综合管理应用。</w:t>
            </w:r>
          </w:p>
        </w:tc>
      </w:tr>
      <w:tr w:rsidR="00427CFC">
        <w:trPr>
          <w:trHeight w:val="828"/>
        </w:trPr>
        <w:tc>
          <w:tcPr>
            <w:tcW w:w="427" w:type="dxa"/>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10</w:t>
            </w:r>
          </w:p>
        </w:tc>
        <w:tc>
          <w:tcPr>
            <w:tcW w:w="1735" w:type="dxa"/>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律师执业行为监管-律师尽职调查记录信息管理</w:t>
            </w:r>
          </w:p>
        </w:tc>
        <w:tc>
          <w:tcPr>
            <w:tcW w:w="6158" w:type="dxa"/>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实现司法行政机关对律师尽职调查记录信息综合管理应用。</w:t>
            </w:r>
          </w:p>
        </w:tc>
      </w:tr>
      <w:tr w:rsidR="00427CFC">
        <w:trPr>
          <w:trHeight w:val="552"/>
        </w:trPr>
        <w:tc>
          <w:tcPr>
            <w:tcW w:w="427" w:type="dxa"/>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11</w:t>
            </w:r>
          </w:p>
        </w:tc>
        <w:tc>
          <w:tcPr>
            <w:tcW w:w="1735" w:type="dxa"/>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律师执业行为监管-异常执业预警</w:t>
            </w:r>
          </w:p>
        </w:tc>
        <w:tc>
          <w:tcPr>
            <w:tcW w:w="6158" w:type="dxa"/>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实现司法行政机关对律师在律师“一站式”服务平台递交虚假材料情况进行预警管控。</w:t>
            </w:r>
          </w:p>
        </w:tc>
      </w:tr>
      <w:tr w:rsidR="00427CFC">
        <w:trPr>
          <w:trHeight w:val="552"/>
        </w:trPr>
        <w:tc>
          <w:tcPr>
            <w:tcW w:w="427" w:type="dxa"/>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12</w:t>
            </w:r>
          </w:p>
        </w:tc>
        <w:tc>
          <w:tcPr>
            <w:tcW w:w="1735" w:type="dxa"/>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律师异地调档管理-档案调出管理</w:t>
            </w:r>
          </w:p>
        </w:tc>
        <w:tc>
          <w:tcPr>
            <w:tcW w:w="6158" w:type="dxa"/>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实现档案调出全流程在线管理，包含档案调出申请、审批、材料补全、申请信息管理等功能。</w:t>
            </w:r>
          </w:p>
        </w:tc>
      </w:tr>
      <w:tr w:rsidR="00427CFC">
        <w:trPr>
          <w:trHeight w:val="552"/>
        </w:trPr>
        <w:tc>
          <w:tcPr>
            <w:tcW w:w="427" w:type="dxa"/>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13</w:t>
            </w:r>
          </w:p>
        </w:tc>
        <w:tc>
          <w:tcPr>
            <w:tcW w:w="1735" w:type="dxa"/>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律师异地调档管理-档案调入管理</w:t>
            </w:r>
          </w:p>
        </w:tc>
        <w:tc>
          <w:tcPr>
            <w:tcW w:w="6158" w:type="dxa"/>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实现对律师调入档案流程的在线管理，包含档案调入申请，审查审核、申请材料补全、调入申请管理等功能。</w:t>
            </w:r>
          </w:p>
        </w:tc>
      </w:tr>
      <w:tr w:rsidR="00427CFC">
        <w:trPr>
          <w:trHeight w:val="552"/>
        </w:trPr>
        <w:tc>
          <w:tcPr>
            <w:tcW w:w="427" w:type="dxa"/>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14</w:t>
            </w:r>
          </w:p>
        </w:tc>
        <w:tc>
          <w:tcPr>
            <w:tcW w:w="1735" w:type="dxa"/>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律师异地调档管理-档案调转管理</w:t>
            </w:r>
          </w:p>
        </w:tc>
        <w:tc>
          <w:tcPr>
            <w:tcW w:w="6158" w:type="dxa"/>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实现司法行政机关对异地调入律师诚信信息、惩戒信息以及法检从业核查信息的综合管理，加强对来沪律师的背景审查。</w:t>
            </w:r>
          </w:p>
        </w:tc>
      </w:tr>
      <w:tr w:rsidR="00427CFC">
        <w:trPr>
          <w:trHeight w:val="552"/>
        </w:trPr>
        <w:tc>
          <w:tcPr>
            <w:tcW w:w="427" w:type="dxa"/>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15</w:t>
            </w:r>
          </w:p>
        </w:tc>
        <w:tc>
          <w:tcPr>
            <w:tcW w:w="1735" w:type="dxa"/>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律师异地调档管理-调档记录管理</w:t>
            </w:r>
          </w:p>
        </w:tc>
        <w:tc>
          <w:tcPr>
            <w:tcW w:w="6158" w:type="dxa"/>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实现司法行政机关对异地律师调出、调入记录的综合管理。</w:t>
            </w:r>
          </w:p>
        </w:tc>
      </w:tr>
      <w:tr w:rsidR="00427CFC">
        <w:trPr>
          <w:trHeight w:val="552"/>
        </w:trPr>
        <w:tc>
          <w:tcPr>
            <w:tcW w:w="427" w:type="dxa"/>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16</w:t>
            </w:r>
          </w:p>
        </w:tc>
        <w:tc>
          <w:tcPr>
            <w:tcW w:w="1735" w:type="dxa"/>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律师执业保障-身份核验登录</w:t>
            </w:r>
          </w:p>
        </w:tc>
        <w:tc>
          <w:tcPr>
            <w:tcW w:w="6158" w:type="dxa"/>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接入中国律师身份核验平台律师身份在线核验功能，实现律师身份核验登录，人脸识别。</w:t>
            </w:r>
          </w:p>
        </w:tc>
      </w:tr>
      <w:tr w:rsidR="00427CFC">
        <w:trPr>
          <w:trHeight w:val="1104"/>
        </w:trPr>
        <w:tc>
          <w:tcPr>
            <w:tcW w:w="427" w:type="dxa"/>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17</w:t>
            </w:r>
          </w:p>
        </w:tc>
        <w:tc>
          <w:tcPr>
            <w:tcW w:w="1735" w:type="dxa"/>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律师执业保障-个人案件</w:t>
            </w:r>
          </w:p>
        </w:tc>
        <w:tc>
          <w:tcPr>
            <w:tcW w:w="6158" w:type="dxa"/>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实现律师在线进行案件基础信息填报、上</w:t>
            </w:r>
            <w:proofErr w:type="gramStart"/>
            <w:r>
              <w:rPr>
                <w:rFonts w:ascii="PMingLiU" w:eastAsia="PMingLiU" w:hAnsi="PMingLiU" w:cs="宋体" w:hint="eastAsia"/>
                <w:color w:val="000000"/>
                <w:kern w:val="0"/>
                <w:sz w:val="22"/>
                <w:szCs w:val="22"/>
              </w:rPr>
              <w:t>传法律</w:t>
            </w:r>
            <w:proofErr w:type="gramEnd"/>
            <w:r>
              <w:rPr>
                <w:rFonts w:ascii="PMingLiU" w:eastAsia="PMingLiU" w:hAnsi="PMingLiU" w:cs="宋体" w:hint="eastAsia"/>
                <w:color w:val="000000"/>
                <w:kern w:val="0"/>
                <w:sz w:val="22"/>
                <w:szCs w:val="22"/>
              </w:rPr>
              <w:t>服务合同、案件委托书以及律所介绍信进行案件代理委托关系绑定申请，支持撤销、材料补充、查询案件绑定进度以及历史案件信息，同时系统支持对到期失效材料进行更新提醒。</w:t>
            </w:r>
          </w:p>
        </w:tc>
      </w:tr>
      <w:tr w:rsidR="00427CFC">
        <w:trPr>
          <w:trHeight w:val="828"/>
        </w:trPr>
        <w:tc>
          <w:tcPr>
            <w:tcW w:w="427" w:type="dxa"/>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18</w:t>
            </w:r>
          </w:p>
        </w:tc>
        <w:tc>
          <w:tcPr>
            <w:tcW w:w="1735" w:type="dxa"/>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律师执业保障-事项办理</w:t>
            </w:r>
          </w:p>
        </w:tc>
        <w:tc>
          <w:tcPr>
            <w:tcW w:w="6158" w:type="dxa"/>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接入相关服务通道，为律师提供在线立案、预约会见、法院/检察院阅卷、在线</w:t>
            </w:r>
            <w:proofErr w:type="gramStart"/>
            <w:r>
              <w:rPr>
                <w:rFonts w:ascii="PMingLiU" w:eastAsia="PMingLiU" w:hAnsi="PMingLiU" w:cs="宋体" w:hint="eastAsia"/>
                <w:color w:val="000000"/>
                <w:kern w:val="0"/>
                <w:sz w:val="22"/>
                <w:szCs w:val="22"/>
              </w:rPr>
              <w:t>联系主办</w:t>
            </w:r>
            <w:proofErr w:type="gramEnd"/>
            <w:r>
              <w:rPr>
                <w:rFonts w:ascii="PMingLiU" w:eastAsia="PMingLiU" w:hAnsi="PMingLiU" w:cs="宋体" w:hint="eastAsia"/>
                <w:color w:val="000000"/>
                <w:kern w:val="0"/>
                <w:sz w:val="22"/>
                <w:szCs w:val="22"/>
              </w:rPr>
              <w:t>法检人员、案件进度查询、电子送达、尽职调查（工商调档、调查婚姻关系）等服务应用。</w:t>
            </w:r>
          </w:p>
        </w:tc>
      </w:tr>
      <w:tr w:rsidR="00427CFC">
        <w:trPr>
          <w:trHeight w:val="828"/>
        </w:trPr>
        <w:tc>
          <w:tcPr>
            <w:tcW w:w="427" w:type="dxa"/>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19</w:t>
            </w:r>
          </w:p>
        </w:tc>
        <w:tc>
          <w:tcPr>
            <w:tcW w:w="1735" w:type="dxa"/>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律师执业保障-案件代理资格</w:t>
            </w:r>
            <w:r>
              <w:rPr>
                <w:rFonts w:ascii="PMingLiU" w:eastAsia="PMingLiU" w:hAnsi="PMingLiU" w:cs="宋体" w:hint="eastAsia"/>
                <w:color w:val="000000"/>
                <w:kern w:val="0"/>
                <w:sz w:val="22"/>
                <w:szCs w:val="22"/>
              </w:rPr>
              <w:lastRenderedPageBreak/>
              <w:t>审核</w:t>
            </w:r>
          </w:p>
        </w:tc>
        <w:tc>
          <w:tcPr>
            <w:tcW w:w="6158" w:type="dxa"/>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lastRenderedPageBreak/>
              <w:t>建立代理资格审核流程体系，实现自动根据律师的主管机关不同，进行不同的材料审核流程，并支持对特殊申请进行人工代</w:t>
            </w:r>
            <w:r>
              <w:rPr>
                <w:rFonts w:ascii="PMingLiU" w:eastAsia="PMingLiU" w:hAnsi="PMingLiU" w:cs="宋体" w:hint="eastAsia"/>
                <w:color w:val="000000"/>
                <w:kern w:val="0"/>
                <w:sz w:val="22"/>
                <w:szCs w:val="22"/>
              </w:rPr>
              <w:lastRenderedPageBreak/>
              <w:t>理资格审核功能</w:t>
            </w:r>
          </w:p>
        </w:tc>
      </w:tr>
      <w:tr w:rsidR="00427CFC">
        <w:trPr>
          <w:trHeight w:val="1932"/>
        </w:trPr>
        <w:tc>
          <w:tcPr>
            <w:tcW w:w="427" w:type="dxa"/>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lastRenderedPageBreak/>
              <w:t>20</w:t>
            </w:r>
          </w:p>
        </w:tc>
        <w:tc>
          <w:tcPr>
            <w:tcW w:w="1735" w:type="dxa"/>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律师维权管理-律师维权管理</w:t>
            </w:r>
          </w:p>
        </w:tc>
        <w:tc>
          <w:tcPr>
            <w:tcW w:w="6158" w:type="dxa"/>
            <w:tcBorders>
              <w:top w:val="nil"/>
              <w:left w:val="nil"/>
              <w:bottom w:val="single" w:sz="4" w:space="0" w:color="auto"/>
              <w:right w:val="single" w:sz="4" w:space="0" w:color="auto"/>
            </w:tcBorders>
            <w:shd w:val="clear" w:color="auto" w:fill="auto"/>
            <w:vAlign w:val="center"/>
          </w:tcPr>
          <w:p w:rsidR="00427CFC" w:rsidRDefault="004220DA" w:rsidP="001E272C">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支持系统用户进行维权登记与提交操作,发送受理通知书、指派维权负责人，重新指派维权负责人，对申请人发送不予受理通知书实现律师</w:t>
            </w:r>
            <w:proofErr w:type="gramStart"/>
            <w:r>
              <w:rPr>
                <w:rFonts w:ascii="PMingLiU" w:eastAsia="PMingLiU" w:hAnsi="PMingLiU" w:cs="宋体" w:hint="eastAsia"/>
                <w:color w:val="000000"/>
                <w:kern w:val="0"/>
                <w:sz w:val="22"/>
                <w:szCs w:val="22"/>
              </w:rPr>
              <w:t>维权全流程</w:t>
            </w:r>
            <w:proofErr w:type="gramEnd"/>
            <w:r>
              <w:rPr>
                <w:rFonts w:ascii="PMingLiU" w:eastAsia="PMingLiU" w:hAnsi="PMingLiU" w:cs="宋体" w:hint="eastAsia"/>
                <w:color w:val="000000"/>
                <w:kern w:val="0"/>
                <w:sz w:val="22"/>
                <w:szCs w:val="22"/>
              </w:rPr>
              <w:t>在线应用。</w:t>
            </w:r>
          </w:p>
        </w:tc>
      </w:tr>
      <w:tr w:rsidR="00427CFC">
        <w:trPr>
          <w:trHeight w:val="828"/>
        </w:trPr>
        <w:tc>
          <w:tcPr>
            <w:tcW w:w="427" w:type="dxa"/>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21</w:t>
            </w:r>
          </w:p>
        </w:tc>
        <w:tc>
          <w:tcPr>
            <w:tcW w:w="1735" w:type="dxa"/>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律师维权管理-维权申请转办</w:t>
            </w:r>
          </w:p>
        </w:tc>
        <w:tc>
          <w:tcPr>
            <w:tcW w:w="6158" w:type="dxa"/>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实现对发起的转办申请、撤销的转办申请、接收的转办申请、被接收的转办申请、拒收的转办申请以及被拒收的转办申请的综合管理，建立维权申请转办流程体系。</w:t>
            </w:r>
          </w:p>
        </w:tc>
      </w:tr>
      <w:tr w:rsidR="00427CFC">
        <w:trPr>
          <w:trHeight w:val="1104"/>
        </w:trPr>
        <w:tc>
          <w:tcPr>
            <w:tcW w:w="427" w:type="dxa"/>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22</w:t>
            </w:r>
          </w:p>
        </w:tc>
        <w:tc>
          <w:tcPr>
            <w:tcW w:w="1735" w:type="dxa"/>
            <w:tcBorders>
              <w:top w:val="nil"/>
              <w:left w:val="nil"/>
              <w:bottom w:val="single" w:sz="4" w:space="0" w:color="auto"/>
              <w:right w:val="single" w:sz="4" w:space="0" w:color="auto"/>
            </w:tcBorders>
            <w:shd w:val="clear" w:color="auto" w:fill="auto"/>
            <w:vAlign w:val="center"/>
          </w:tcPr>
          <w:p w:rsidR="00427CFC" w:rsidRDefault="004220DA" w:rsidP="001E272C">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律师维权管理-维权信息管理</w:t>
            </w:r>
          </w:p>
        </w:tc>
        <w:tc>
          <w:tcPr>
            <w:tcW w:w="6158" w:type="dxa"/>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实现对不同状态（待办结、已办结）维权申请信息的综合管理，包含维</w:t>
            </w:r>
            <w:proofErr w:type="gramStart"/>
            <w:r>
              <w:rPr>
                <w:rFonts w:ascii="PMingLiU" w:eastAsia="PMingLiU" w:hAnsi="PMingLiU" w:cs="宋体" w:hint="eastAsia"/>
                <w:color w:val="000000"/>
                <w:kern w:val="0"/>
                <w:sz w:val="22"/>
                <w:szCs w:val="22"/>
              </w:rPr>
              <w:t>权信息</w:t>
            </w:r>
            <w:proofErr w:type="gramEnd"/>
            <w:r>
              <w:rPr>
                <w:rFonts w:ascii="PMingLiU" w:eastAsia="PMingLiU" w:hAnsi="PMingLiU" w:cs="宋体" w:hint="eastAsia"/>
                <w:color w:val="000000"/>
                <w:kern w:val="0"/>
                <w:sz w:val="22"/>
                <w:szCs w:val="22"/>
              </w:rPr>
              <w:t>维护、信息导出、维权申请人信息维护、侵权人信息维护以及数据报表功能，通是支持选择已办结的维权申请发生维权处理结果通知书、查看审批意见表以及结案登记表。</w:t>
            </w:r>
          </w:p>
        </w:tc>
      </w:tr>
      <w:tr w:rsidR="00427CFC">
        <w:trPr>
          <w:trHeight w:val="552"/>
        </w:trPr>
        <w:tc>
          <w:tcPr>
            <w:tcW w:w="427" w:type="dxa"/>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23</w:t>
            </w:r>
          </w:p>
        </w:tc>
        <w:tc>
          <w:tcPr>
            <w:tcW w:w="1735" w:type="dxa"/>
            <w:tcBorders>
              <w:top w:val="nil"/>
              <w:left w:val="nil"/>
              <w:bottom w:val="single" w:sz="4" w:space="0" w:color="auto"/>
              <w:right w:val="single" w:sz="4" w:space="0" w:color="auto"/>
            </w:tcBorders>
            <w:shd w:val="clear" w:color="auto" w:fill="auto"/>
            <w:vAlign w:val="center"/>
          </w:tcPr>
          <w:p w:rsidR="00427CFC" w:rsidRDefault="004220DA" w:rsidP="001E272C">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律师维权管理-律师维权服务</w:t>
            </w:r>
          </w:p>
        </w:tc>
        <w:tc>
          <w:tcPr>
            <w:tcW w:w="6158" w:type="dxa"/>
            <w:tcBorders>
              <w:top w:val="nil"/>
              <w:left w:val="nil"/>
              <w:bottom w:val="single" w:sz="4" w:space="0" w:color="auto"/>
              <w:right w:val="single" w:sz="4" w:space="0" w:color="auto"/>
            </w:tcBorders>
            <w:shd w:val="clear" w:color="auto" w:fill="auto"/>
            <w:vAlign w:val="center"/>
          </w:tcPr>
          <w:p w:rsidR="00427CFC" w:rsidRDefault="004220DA" w:rsidP="001E272C">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支持维权申请表的填写、查看维</w:t>
            </w:r>
            <w:proofErr w:type="gramStart"/>
            <w:r>
              <w:rPr>
                <w:rFonts w:ascii="PMingLiU" w:eastAsia="PMingLiU" w:hAnsi="PMingLiU" w:cs="宋体" w:hint="eastAsia"/>
                <w:color w:val="000000"/>
                <w:kern w:val="0"/>
                <w:sz w:val="22"/>
                <w:szCs w:val="22"/>
              </w:rPr>
              <w:t>权信息</w:t>
            </w:r>
            <w:proofErr w:type="gramEnd"/>
            <w:r>
              <w:rPr>
                <w:rFonts w:ascii="PMingLiU" w:eastAsia="PMingLiU" w:hAnsi="PMingLiU" w:cs="宋体" w:hint="eastAsia"/>
                <w:color w:val="000000"/>
                <w:kern w:val="0"/>
                <w:sz w:val="22"/>
                <w:szCs w:val="22"/>
              </w:rPr>
              <w:t>表、维权申请相关文书、查询维权受理进度、受理结果等信息。</w:t>
            </w:r>
          </w:p>
        </w:tc>
      </w:tr>
      <w:tr w:rsidR="00427CFC">
        <w:trPr>
          <w:trHeight w:val="828"/>
        </w:trPr>
        <w:tc>
          <w:tcPr>
            <w:tcW w:w="427" w:type="dxa"/>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24</w:t>
            </w:r>
          </w:p>
        </w:tc>
        <w:tc>
          <w:tcPr>
            <w:tcW w:w="1735" w:type="dxa"/>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僵尸律师数据管理模块-律所离职律师管理</w:t>
            </w:r>
          </w:p>
        </w:tc>
        <w:tc>
          <w:tcPr>
            <w:tcW w:w="6158" w:type="dxa"/>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实现律师事务所对所内离职律师状态信息的变更、上报，对所内历史律师离职记录的查询、查看。</w:t>
            </w:r>
          </w:p>
        </w:tc>
      </w:tr>
      <w:tr w:rsidR="00427CFC">
        <w:trPr>
          <w:trHeight w:val="828"/>
        </w:trPr>
        <w:tc>
          <w:tcPr>
            <w:tcW w:w="427" w:type="dxa"/>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25</w:t>
            </w:r>
          </w:p>
        </w:tc>
        <w:tc>
          <w:tcPr>
            <w:tcW w:w="1735" w:type="dxa"/>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僵尸律师数据管理模块-僵尸律师数据核查管理</w:t>
            </w:r>
          </w:p>
        </w:tc>
        <w:tc>
          <w:tcPr>
            <w:tcW w:w="6158" w:type="dxa"/>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实现对于律师上报数据的核查，并支持设定核查规则进行系统自动核查，同时可对核查结果数据进行查询、详情查看、导出，对僵尸律师数据进行处理。</w:t>
            </w:r>
          </w:p>
        </w:tc>
      </w:tr>
      <w:tr w:rsidR="00427CFC">
        <w:trPr>
          <w:trHeight w:val="1104"/>
        </w:trPr>
        <w:tc>
          <w:tcPr>
            <w:tcW w:w="427" w:type="dxa"/>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26</w:t>
            </w:r>
          </w:p>
        </w:tc>
        <w:tc>
          <w:tcPr>
            <w:tcW w:w="1735" w:type="dxa"/>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司法部相关系统对接-司法部相关系统对接</w:t>
            </w:r>
          </w:p>
        </w:tc>
        <w:tc>
          <w:tcPr>
            <w:tcW w:w="6158" w:type="dxa"/>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对接中国律师身份核验平台，获取律师身份在线核验服务能力支撑；预留与全国律师执业监管平台对接接口，上报律师违法信息、违规信息；预留与司法部全国律师法检从业核查系统，获取来沪执业律师法检从业核查结果信息。</w:t>
            </w:r>
          </w:p>
        </w:tc>
      </w:tr>
      <w:tr w:rsidR="00427CFC">
        <w:trPr>
          <w:trHeight w:val="1104"/>
        </w:trPr>
        <w:tc>
          <w:tcPr>
            <w:tcW w:w="427" w:type="dxa"/>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27</w:t>
            </w:r>
          </w:p>
        </w:tc>
        <w:tc>
          <w:tcPr>
            <w:tcW w:w="1735" w:type="dxa"/>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上海市高级人民法院相关系统对接-法院案件管理相关系统对接</w:t>
            </w:r>
          </w:p>
        </w:tc>
        <w:tc>
          <w:tcPr>
            <w:tcW w:w="6158" w:type="dxa"/>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预留与法院案件管理相关系统对接接口，对接法院案件管理相关系统获取涉</w:t>
            </w:r>
            <w:proofErr w:type="gramStart"/>
            <w:r>
              <w:rPr>
                <w:rFonts w:ascii="PMingLiU" w:eastAsia="PMingLiU" w:hAnsi="PMingLiU" w:cs="宋体" w:hint="eastAsia"/>
                <w:color w:val="000000"/>
                <w:kern w:val="0"/>
                <w:sz w:val="22"/>
                <w:szCs w:val="22"/>
              </w:rPr>
              <w:t>诉律师</w:t>
            </w:r>
            <w:proofErr w:type="gramEnd"/>
            <w:r>
              <w:rPr>
                <w:rFonts w:ascii="PMingLiU" w:eastAsia="PMingLiU" w:hAnsi="PMingLiU" w:cs="宋体" w:hint="eastAsia"/>
                <w:color w:val="000000"/>
                <w:kern w:val="0"/>
                <w:sz w:val="22"/>
                <w:szCs w:val="22"/>
              </w:rPr>
              <w:t>相关信息；预留与法院诉讼服务相关系统对接接口，接入立案申请、阅卷申请、案件进度查询、</w:t>
            </w:r>
            <w:proofErr w:type="gramStart"/>
            <w:r>
              <w:rPr>
                <w:rFonts w:ascii="PMingLiU" w:eastAsia="PMingLiU" w:hAnsi="PMingLiU" w:cs="宋体" w:hint="eastAsia"/>
                <w:color w:val="000000"/>
                <w:kern w:val="0"/>
                <w:sz w:val="22"/>
                <w:szCs w:val="22"/>
              </w:rPr>
              <w:t>联系主办</w:t>
            </w:r>
            <w:proofErr w:type="gramEnd"/>
            <w:r>
              <w:rPr>
                <w:rFonts w:ascii="PMingLiU" w:eastAsia="PMingLiU" w:hAnsi="PMingLiU" w:cs="宋体" w:hint="eastAsia"/>
                <w:color w:val="000000"/>
                <w:kern w:val="0"/>
                <w:sz w:val="22"/>
                <w:szCs w:val="22"/>
              </w:rPr>
              <w:t>法官、电子送达等相关服务通道。</w:t>
            </w:r>
          </w:p>
        </w:tc>
      </w:tr>
      <w:tr w:rsidR="00427CFC">
        <w:trPr>
          <w:trHeight w:val="1104"/>
        </w:trPr>
        <w:tc>
          <w:tcPr>
            <w:tcW w:w="427" w:type="dxa"/>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28</w:t>
            </w:r>
          </w:p>
        </w:tc>
        <w:tc>
          <w:tcPr>
            <w:tcW w:w="1735" w:type="dxa"/>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上海市人民检察院相关系统对接-检察院律师服务相关系统对接</w:t>
            </w:r>
          </w:p>
        </w:tc>
        <w:tc>
          <w:tcPr>
            <w:tcW w:w="6158" w:type="dxa"/>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预留与检察院律师服务相关系统对接接口，对接检察院律师服务相关系统接入案件信息查看、在线阅卷、</w:t>
            </w:r>
            <w:proofErr w:type="gramStart"/>
            <w:r>
              <w:rPr>
                <w:rFonts w:ascii="PMingLiU" w:eastAsia="PMingLiU" w:hAnsi="PMingLiU" w:cs="宋体" w:hint="eastAsia"/>
                <w:color w:val="000000"/>
                <w:kern w:val="0"/>
                <w:sz w:val="22"/>
                <w:szCs w:val="22"/>
              </w:rPr>
              <w:t>联系主办</w:t>
            </w:r>
            <w:proofErr w:type="gramEnd"/>
            <w:r>
              <w:rPr>
                <w:rFonts w:ascii="PMingLiU" w:eastAsia="PMingLiU" w:hAnsi="PMingLiU" w:cs="宋体" w:hint="eastAsia"/>
                <w:color w:val="000000"/>
                <w:kern w:val="0"/>
                <w:sz w:val="22"/>
                <w:szCs w:val="22"/>
              </w:rPr>
              <w:t>检察官服务通道；预留与检察院案件管理相关系统对接接口，对接检察院案件管理相关系统获取律师被刑事立案的信息。</w:t>
            </w:r>
          </w:p>
        </w:tc>
      </w:tr>
      <w:tr w:rsidR="00427CFC">
        <w:trPr>
          <w:trHeight w:val="1104"/>
        </w:trPr>
        <w:tc>
          <w:tcPr>
            <w:tcW w:w="427" w:type="dxa"/>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29</w:t>
            </w:r>
          </w:p>
        </w:tc>
        <w:tc>
          <w:tcPr>
            <w:tcW w:w="1735" w:type="dxa"/>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上海市纪委监委相关系统对接-上海市纪委监委相关系统对接</w:t>
            </w:r>
          </w:p>
        </w:tc>
        <w:tc>
          <w:tcPr>
            <w:tcW w:w="6158" w:type="dxa"/>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预留与上海市纪委监委相关系统对接接口，对接上海市纪委监委相关系统获取行贿人为律师、律所的案件信息。</w:t>
            </w:r>
          </w:p>
        </w:tc>
      </w:tr>
    </w:tbl>
    <w:p w:rsidR="00427CFC" w:rsidRDefault="004220DA">
      <w:pPr>
        <w:pStyle w:val="4"/>
        <w:ind w:left="1134" w:hanging="1134"/>
      </w:pPr>
      <w:r>
        <w:rPr>
          <w:rFonts w:hint="eastAsia"/>
        </w:rPr>
        <w:lastRenderedPageBreak/>
        <w:t>公证管理模块</w:t>
      </w:r>
    </w:p>
    <w:tbl>
      <w:tblPr>
        <w:tblW w:w="5000" w:type="pct"/>
        <w:tblLayout w:type="fixed"/>
        <w:tblLook w:val="04A0"/>
      </w:tblPr>
      <w:tblGrid>
        <w:gridCol w:w="444"/>
        <w:gridCol w:w="1708"/>
        <w:gridCol w:w="6376"/>
      </w:tblGrid>
      <w:tr w:rsidR="00427CFC">
        <w:trPr>
          <w:trHeight w:val="576"/>
        </w:trPr>
        <w:tc>
          <w:tcPr>
            <w:tcW w:w="260" w:type="pct"/>
            <w:tcBorders>
              <w:top w:val="single" w:sz="4" w:space="0" w:color="auto"/>
              <w:left w:val="single" w:sz="4" w:space="0" w:color="auto"/>
              <w:bottom w:val="single" w:sz="4" w:space="0" w:color="auto"/>
              <w:right w:val="single" w:sz="4" w:space="0" w:color="auto"/>
            </w:tcBorders>
            <w:shd w:val="clear" w:color="000000" w:fill="F3F8FC"/>
            <w:noWrap/>
            <w:vAlign w:val="center"/>
          </w:tcPr>
          <w:p w:rsidR="00427CFC" w:rsidRDefault="004220DA">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序号</w:t>
            </w:r>
          </w:p>
        </w:tc>
        <w:tc>
          <w:tcPr>
            <w:tcW w:w="1001" w:type="pct"/>
            <w:tcBorders>
              <w:top w:val="single" w:sz="4" w:space="0" w:color="auto"/>
              <w:left w:val="nil"/>
              <w:bottom w:val="single" w:sz="4" w:space="0" w:color="auto"/>
              <w:right w:val="single" w:sz="4" w:space="0" w:color="auto"/>
            </w:tcBorders>
            <w:shd w:val="clear" w:color="000000" w:fill="F3F8FC"/>
            <w:vAlign w:val="center"/>
          </w:tcPr>
          <w:p w:rsidR="00427CFC" w:rsidRDefault="004220DA">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功能名称</w:t>
            </w:r>
          </w:p>
        </w:tc>
        <w:tc>
          <w:tcPr>
            <w:tcW w:w="3737" w:type="pct"/>
            <w:tcBorders>
              <w:top w:val="single" w:sz="4" w:space="0" w:color="auto"/>
              <w:left w:val="nil"/>
              <w:bottom w:val="single" w:sz="4" w:space="0" w:color="auto"/>
              <w:right w:val="single" w:sz="4" w:space="0" w:color="auto"/>
            </w:tcBorders>
            <w:shd w:val="clear" w:color="000000" w:fill="F3F8FC"/>
            <w:vAlign w:val="center"/>
          </w:tcPr>
          <w:p w:rsidR="00427CFC" w:rsidRDefault="004220DA">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功能描述</w:t>
            </w:r>
          </w:p>
        </w:tc>
      </w:tr>
      <w:tr w:rsidR="00427CFC">
        <w:trPr>
          <w:trHeight w:val="1104"/>
        </w:trPr>
        <w:tc>
          <w:tcPr>
            <w:tcW w:w="260"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1</w:t>
            </w:r>
          </w:p>
        </w:tc>
        <w:tc>
          <w:tcPr>
            <w:tcW w:w="1001"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事前预警管理-批量涉老办证</w:t>
            </w:r>
          </w:p>
        </w:tc>
        <w:tc>
          <w:tcPr>
            <w:tcW w:w="3737"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提供对批量涉老案件量的阀值设置。批量涉老案件超标时会主动触发预警机制并记录在案。可按年度、月度进行时间维度查询统计。支持以公证处、公证员、及全市统计及排名显示。</w:t>
            </w:r>
          </w:p>
        </w:tc>
      </w:tr>
      <w:tr w:rsidR="00427CFC">
        <w:trPr>
          <w:trHeight w:val="1104"/>
        </w:trPr>
        <w:tc>
          <w:tcPr>
            <w:tcW w:w="260"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2</w:t>
            </w:r>
          </w:p>
        </w:tc>
        <w:tc>
          <w:tcPr>
            <w:tcW w:w="1001"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事前预警管理-同一当事人多次办证</w:t>
            </w:r>
          </w:p>
        </w:tc>
        <w:tc>
          <w:tcPr>
            <w:tcW w:w="3737"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提供对同一当事人多次办证的预计阀值设置。同一当事人多次办证并且次数过多时会主动触发预警机制并记录在案。可按年度、月度进行时间维度查询统计。支持以公证处、公证员、及全市统计及排名显示。</w:t>
            </w:r>
          </w:p>
        </w:tc>
      </w:tr>
      <w:tr w:rsidR="00427CFC">
        <w:trPr>
          <w:trHeight w:val="1380"/>
        </w:trPr>
        <w:tc>
          <w:tcPr>
            <w:tcW w:w="260"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3</w:t>
            </w:r>
          </w:p>
        </w:tc>
        <w:tc>
          <w:tcPr>
            <w:tcW w:w="1001"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事前预警管理-较大额收费</w:t>
            </w:r>
          </w:p>
        </w:tc>
        <w:tc>
          <w:tcPr>
            <w:tcW w:w="3737"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针对全市公证机构公证办理数据进行分析。根据办理时间、办理机构、承办员等不同角度进行事项收费较大额度分析，以图饼、柱状等图表的形式展现收费数据，提供公证机构数据排行，为公证机构发展、公证机构人才合理分配提供数据参考依据。</w:t>
            </w:r>
          </w:p>
        </w:tc>
      </w:tr>
      <w:tr w:rsidR="00427CFC">
        <w:trPr>
          <w:trHeight w:val="1104"/>
        </w:trPr>
        <w:tc>
          <w:tcPr>
            <w:tcW w:w="260"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4</w:t>
            </w:r>
          </w:p>
        </w:tc>
        <w:tc>
          <w:tcPr>
            <w:tcW w:w="1001"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事前预警管理-收费金额同比增减</w:t>
            </w:r>
          </w:p>
        </w:tc>
        <w:tc>
          <w:tcPr>
            <w:tcW w:w="3737"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提供对公证收费金额进行比对。同比公证收费金额同比增减情况制并记录在案。可按年度、月度进行时间维度查询统计。支持以公证处、公证员、及全市统计及排名显示。</w:t>
            </w:r>
          </w:p>
        </w:tc>
      </w:tr>
      <w:tr w:rsidR="00427CFC">
        <w:trPr>
          <w:trHeight w:val="1380"/>
        </w:trPr>
        <w:tc>
          <w:tcPr>
            <w:tcW w:w="260"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5</w:t>
            </w:r>
          </w:p>
        </w:tc>
        <w:tc>
          <w:tcPr>
            <w:tcW w:w="1001"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事前预警管理-公证机构受理量同比增减</w:t>
            </w:r>
          </w:p>
        </w:tc>
        <w:tc>
          <w:tcPr>
            <w:tcW w:w="3737"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提供对公证机构受理量进行比对。同比公证机构受理量同比增减情况制并记录在案。可按年度、月度进行时间维度查询统计。支持以公证处、公证员、及全市统计及排名显示。</w:t>
            </w:r>
          </w:p>
        </w:tc>
      </w:tr>
      <w:tr w:rsidR="00427CFC">
        <w:trPr>
          <w:trHeight w:val="1380"/>
        </w:trPr>
        <w:tc>
          <w:tcPr>
            <w:tcW w:w="260"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6</w:t>
            </w:r>
          </w:p>
        </w:tc>
        <w:tc>
          <w:tcPr>
            <w:tcW w:w="1001"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事前预警管理-视频记录情况预警模型</w:t>
            </w:r>
          </w:p>
        </w:tc>
        <w:tc>
          <w:tcPr>
            <w:tcW w:w="3737"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针对办证监管制定相关指标维度，包括异常、费用高、位置异常等，构建视频记录情况预警模型，并将异常情况发送至公管处、协会等，支持以公证处、公证员、及全市统计及排名显示。</w:t>
            </w:r>
          </w:p>
        </w:tc>
      </w:tr>
      <w:tr w:rsidR="00427CFC">
        <w:trPr>
          <w:trHeight w:val="1380"/>
        </w:trPr>
        <w:tc>
          <w:tcPr>
            <w:tcW w:w="260"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7</w:t>
            </w:r>
          </w:p>
        </w:tc>
        <w:tc>
          <w:tcPr>
            <w:tcW w:w="1001"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事前预警管理-预警统计功能</w:t>
            </w:r>
          </w:p>
        </w:tc>
        <w:tc>
          <w:tcPr>
            <w:tcW w:w="3737"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针对新增批量涉老办证、同一当事人多次办证、较大额收费、收费金额同比增减、公证机构受理量同比增减、视频记录情况预警构建预警统计功能，用于市、区、机构能够分级查看不同模型的预警信息用于市、区、机构能够分级查看不同模型的预警信息。</w:t>
            </w:r>
          </w:p>
        </w:tc>
      </w:tr>
      <w:tr w:rsidR="00427CFC">
        <w:trPr>
          <w:trHeight w:val="1104"/>
        </w:trPr>
        <w:tc>
          <w:tcPr>
            <w:tcW w:w="260"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8</w:t>
            </w:r>
          </w:p>
        </w:tc>
        <w:tc>
          <w:tcPr>
            <w:tcW w:w="1001"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事中专案核查管理-案件核查情况</w:t>
            </w:r>
          </w:p>
        </w:tc>
        <w:tc>
          <w:tcPr>
            <w:tcW w:w="3737"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针对公证案件核查情况进行记录管理，并同步至监管平台，相关监管者可以看到整个事中专案核查情况，并对核查情况进行管理，做到全过程留痕。</w:t>
            </w:r>
          </w:p>
        </w:tc>
      </w:tr>
      <w:tr w:rsidR="00427CFC">
        <w:trPr>
          <w:trHeight w:val="1104"/>
        </w:trPr>
        <w:tc>
          <w:tcPr>
            <w:tcW w:w="260"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9</w:t>
            </w:r>
          </w:p>
        </w:tc>
        <w:tc>
          <w:tcPr>
            <w:tcW w:w="1001"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事中专案核查管理-案件核查过程</w:t>
            </w:r>
          </w:p>
        </w:tc>
        <w:tc>
          <w:tcPr>
            <w:tcW w:w="3737"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针对公证案件核查过程进行记录管理，并同步至监管平台，相关监管者可以看到整个事中专案核查过程，并对核查过程进行管理，做到全过程留痕。</w:t>
            </w:r>
          </w:p>
        </w:tc>
      </w:tr>
      <w:tr w:rsidR="00427CFC">
        <w:trPr>
          <w:trHeight w:val="1104"/>
        </w:trPr>
        <w:tc>
          <w:tcPr>
            <w:tcW w:w="260"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10</w:t>
            </w:r>
          </w:p>
        </w:tc>
        <w:tc>
          <w:tcPr>
            <w:tcW w:w="1001"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事后惩处管理-党纪处分</w:t>
            </w:r>
          </w:p>
        </w:tc>
        <w:tc>
          <w:tcPr>
            <w:tcW w:w="3737"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针对公证员或者当事人有警告、严重警告、撤销党内职务、留党察看、开除党籍等5类党纪处分的信息记录、审核，全过程留痕，并将相关数据同步到惩处统计中。</w:t>
            </w:r>
          </w:p>
        </w:tc>
      </w:tr>
      <w:tr w:rsidR="00427CFC">
        <w:trPr>
          <w:trHeight w:val="828"/>
        </w:trPr>
        <w:tc>
          <w:tcPr>
            <w:tcW w:w="260"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lastRenderedPageBreak/>
              <w:t>11</w:t>
            </w:r>
          </w:p>
        </w:tc>
        <w:tc>
          <w:tcPr>
            <w:tcW w:w="1001"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事后惩处管理-行业惩戒</w:t>
            </w:r>
          </w:p>
        </w:tc>
        <w:tc>
          <w:tcPr>
            <w:tcW w:w="3737"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针对公证员有受到行业惩戒处分的信息记录、审核，全过程留痕，并将相关数据同步到惩处统计中。</w:t>
            </w:r>
          </w:p>
        </w:tc>
      </w:tr>
      <w:tr w:rsidR="00427CFC">
        <w:trPr>
          <w:trHeight w:val="828"/>
        </w:trPr>
        <w:tc>
          <w:tcPr>
            <w:tcW w:w="260"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12</w:t>
            </w:r>
          </w:p>
        </w:tc>
        <w:tc>
          <w:tcPr>
            <w:tcW w:w="1001"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事后惩处管理-政务处分</w:t>
            </w:r>
          </w:p>
        </w:tc>
        <w:tc>
          <w:tcPr>
            <w:tcW w:w="3737"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针对公证员有受到政务处分的信息记录、审核，全过程留痕，并将相关数据同步到惩处统计中。</w:t>
            </w:r>
          </w:p>
        </w:tc>
      </w:tr>
      <w:tr w:rsidR="00427CFC">
        <w:trPr>
          <w:trHeight w:val="828"/>
        </w:trPr>
        <w:tc>
          <w:tcPr>
            <w:tcW w:w="260"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13</w:t>
            </w:r>
          </w:p>
        </w:tc>
        <w:tc>
          <w:tcPr>
            <w:tcW w:w="1001"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事后惩处管理-批评教育</w:t>
            </w:r>
          </w:p>
        </w:tc>
        <w:tc>
          <w:tcPr>
            <w:tcW w:w="3737"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针对公证员有受到批评教育的信息记录、审核，全过程留痕，并将相关数据同步到惩处统计中。</w:t>
            </w:r>
          </w:p>
        </w:tc>
      </w:tr>
      <w:tr w:rsidR="00427CFC">
        <w:trPr>
          <w:trHeight w:val="828"/>
        </w:trPr>
        <w:tc>
          <w:tcPr>
            <w:tcW w:w="260"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14</w:t>
            </w:r>
          </w:p>
        </w:tc>
        <w:tc>
          <w:tcPr>
            <w:tcW w:w="1001"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事后惩处管理-处规处理</w:t>
            </w:r>
          </w:p>
        </w:tc>
        <w:tc>
          <w:tcPr>
            <w:tcW w:w="3737"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针对公证员有受到处规处理的信息记录、审核，全过程留痕，并将相关数据同步到惩处统计中。</w:t>
            </w:r>
          </w:p>
        </w:tc>
      </w:tr>
      <w:tr w:rsidR="00427CFC">
        <w:trPr>
          <w:trHeight w:val="828"/>
        </w:trPr>
        <w:tc>
          <w:tcPr>
            <w:tcW w:w="260"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15</w:t>
            </w:r>
          </w:p>
        </w:tc>
        <w:tc>
          <w:tcPr>
            <w:tcW w:w="1001"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公证信息送达管理-发送</w:t>
            </w:r>
          </w:p>
        </w:tc>
        <w:tc>
          <w:tcPr>
            <w:tcW w:w="3737"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针对日常公证监管工作涉及到市局与行业协会的监管信息传递，针对监管、行业文件可以支持发送到对应的机构。</w:t>
            </w:r>
          </w:p>
        </w:tc>
      </w:tr>
      <w:tr w:rsidR="00427CFC">
        <w:trPr>
          <w:trHeight w:val="828"/>
        </w:trPr>
        <w:tc>
          <w:tcPr>
            <w:tcW w:w="260"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16</w:t>
            </w:r>
          </w:p>
        </w:tc>
        <w:tc>
          <w:tcPr>
            <w:tcW w:w="1001"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公证信息送达管理-抄送</w:t>
            </w:r>
          </w:p>
        </w:tc>
        <w:tc>
          <w:tcPr>
            <w:tcW w:w="3737"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针对日常公证监管工作涉及到市局与行业协会的监管信息传递，针对监管、行业文件可以支持抄送到对应的机构、协会、公管处领导。</w:t>
            </w:r>
          </w:p>
        </w:tc>
      </w:tr>
      <w:tr w:rsidR="00427CFC">
        <w:trPr>
          <w:trHeight w:val="828"/>
        </w:trPr>
        <w:tc>
          <w:tcPr>
            <w:tcW w:w="260"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17</w:t>
            </w:r>
          </w:p>
        </w:tc>
        <w:tc>
          <w:tcPr>
            <w:tcW w:w="1001"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公证信息送达管理-审核</w:t>
            </w:r>
          </w:p>
        </w:tc>
        <w:tc>
          <w:tcPr>
            <w:tcW w:w="3737"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针对日常公证监管工作涉及到市局与行业协会的监管信息传递，针对监管、行业文件可以支持给到对应的机构、协会、公管处领导进行审核。</w:t>
            </w:r>
          </w:p>
        </w:tc>
      </w:tr>
      <w:tr w:rsidR="00427CFC">
        <w:trPr>
          <w:trHeight w:val="1104"/>
        </w:trPr>
        <w:tc>
          <w:tcPr>
            <w:tcW w:w="260"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18</w:t>
            </w:r>
          </w:p>
        </w:tc>
        <w:tc>
          <w:tcPr>
            <w:tcW w:w="1001"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行政督办及文档管理-创建督办</w:t>
            </w:r>
          </w:p>
        </w:tc>
        <w:tc>
          <w:tcPr>
            <w:tcW w:w="3737"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支持用户在系统当中创建督办任务，定制督办内容、督办时间、督办计划等情况，并同步至对应的区局和机构。</w:t>
            </w:r>
          </w:p>
        </w:tc>
      </w:tr>
      <w:tr w:rsidR="00427CFC">
        <w:trPr>
          <w:trHeight w:val="1104"/>
        </w:trPr>
        <w:tc>
          <w:tcPr>
            <w:tcW w:w="260"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19</w:t>
            </w:r>
          </w:p>
        </w:tc>
        <w:tc>
          <w:tcPr>
            <w:tcW w:w="1001"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行政督办及文档管理-督办接收</w:t>
            </w:r>
          </w:p>
        </w:tc>
        <w:tc>
          <w:tcPr>
            <w:tcW w:w="3737"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支持用户在系统当中接收督办任务，查阅督办内容、督办时间、督办计划等情况，并反馈至督办意见至市局。</w:t>
            </w:r>
          </w:p>
        </w:tc>
      </w:tr>
      <w:tr w:rsidR="00427CFC">
        <w:trPr>
          <w:trHeight w:val="1104"/>
        </w:trPr>
        <w:tc>
          <w:tcPr>
            <w:tcW w:w="260"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20</w:t>
            </w:r>
          </w:p>
        </w:tc>
        <w:tc>
          <w:tcPr>
            <w:tcW w:w="1001"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行政督办及文档管理-规章制度查看</w:t>
            </w:r>
          </w:p>
        </w:tc>
        <w:tc>
          <w:tcPr>
            <w:tcW w:w="3737"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支持用户在系统内查看公证行业相关规章制度及文档的数据信息，并且可以对信息管理。</w:t>
            </w:r>
          </w:p>
        </w:tc>
      </w:tr>
      <w:tr w:rsidR="00427CFC">
        <w:trPr>
          <w:trHeight w:val="1104"/>
        </w:trPr>
        <w:tc>
          <w:tcPr>
            <w:tcW w:w="260"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21</w:t>
            </w:r>
          </w:p>
        </w:tc>
        <w:tc>
          <w:tcPr>
            <w:tcW w:w="1001"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行政督办及文档管理-全文检索</w:t>
            </w:r>
          </w:p>
        </w:tc>
        <w:tc>
          <w:tcPr>
            <w:tcW w:w="3737"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对市局的规章制度、文档等数据信息进行管理，被授权人员可以进行全文检索等。</w:t>
            </w:r>
          </w:p>
        </w:tc>
      </w:tr>
      <w:tr w:rsidR="00427CFC">
        <w:trPr>
          <w:trHeight w:val="1104"/>
        </w:trPr>
        <w:tc>
          <w:tcPr>
            <w:tcW w:w="260"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22</w:t>
            </w:r>
          </w:p>
        </w:tc>
        <w:tc>
          <w:tcPr>
            <w:tcW w:w="1001"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公证运营数据监管-实时数据总</w:t>
            </w:r>
            <w:proofErr w:type="gramStart"/>
            <w:r>
              <w:rPr>
                <w:rFonts w:ascii="PMingLiU" w:eastAsia="PMingLiU" w:hAnsi="PMingLiU" w:cs="宋体" w:hint="eastAsia"/>
                <w:color w:val="000000"/>
                <w:kern w:val="0"/>
                <w:sz w:val="22"/>
                <w:szCs w:val="22"/>
              </w:rPr>
              <w:t>览</w:t>
            </w:r>
            <w:proofErr w:type="gramEnd"/>
          </w:p>
        </w:tc>
        <w:tc>
          <w:tcPr>
            <w:tcW w:w="3737"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通过实时数据接口获取各公证机构业务运营数据，并统计计算得到汇总数据结果，包括：办证收费量、当日办证总量、当日出证量、当日公证事项、当日预警数、当日办证趋势、当日办证人数。</w:t>
            </w:r>
          </w:p>
        </w:tc>
      </w:tr>
      <w:tr w:rsidR="00427CFC">
        <w:trPr>
          <w:trHeight w:val="1380"/>
        </w:trPr>
        <w:tc>
          <w:tcPr>
            <w:tcW w:w="260"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23</w:t>
            </w:r>
          </w:p>
        </w:tc>
        <w:tc>
          <w:tcPr>
            <w:tcW w:w="1001"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公证运营数据监管-办证事项专题分析</w:t>
            </w:r>
          </w:p>
        </w:tc>
        <w:tc>
          <w:tcPr>
            <w:tcW w:w="3737"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围绕办证事项为主题，从综合公证机构、办证类型、办证</w:t>
            </w:r>
            <w:proofErr w:type="gramStart"/>
            <w:r>
              <w:rPr>
                <w:rFonts w:ascii="PMingLiU" w:eastAsia="PMingLiU" w:hAnsi="PMingLiU" w:cs="宋体" w:hint="eastAsia"/>
                <w:color w:val="000000"/>
                <w:kern w:val="0"/>
                <w:sz w:val="22"/>
                <w:szCs w:val="22"/>
              </w:rPr>
              <w:t>量中心</w:t>
            </w:r>
            <w:proofErr w:type="gramEnd"/>
            <w:r>
              <w:rPr>
                <w:rFonts w:ascii="PMingLiU" w:eastAsia="PMingLiU" w:hAnsi="PMingLiU" w:cs="宋体" w:hint="eastAsia"/>
                <w:color w:val="000000"/>
                <w:kern w:val="0"/>
                <w:sz w:val="22"/>
                <w:szCs w:val="22"/>
              </w:rPr>
              <w:t>三个维度，对业务量、同比变化进行直观展示和图表分析。</w:t>
            </w:r>
          </w:p>
        </w:tc>
      </w:tr>
      <w:tr w:rsidR="00427CFC">
        <w:trPr>
          <w:trHeight w:val="1380"/>
        </w:trPr>
        <w:tc>
          <w:tcPr>
            <w:tcW w:w="260"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24</w:t>
            </w:r>
          </w:p>
        </w:tc>
        <w:tc>
          <w:tcPr>
            <w:tcW w:w="1001"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公证运营数据监管-办证机构专题分析</w:t>
            </w:r>
          </w:p>
        </w:tc>
        <w:tc>
          <w:tcPr>
            <w:tcW w:w="3737"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围绕入办证机构为主题，从市管公证机构、区局公证机构、混合制公证机构3个维度，对业务量、同比变化进行直观展示和图表分析。</w:t>
            </w:r>
          </w:p>
        </w:tc>
      </w:tr>
      <w:tr w:rsidR="00427CFC">
        <w:trPr>
          <w:trHeight w:val="1380"/>
        </w:trPr>
        <w:tc>
          <w:tcPr>
            <w:tcW w:w="260"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lastRenderedPageBreak/>
              <w:t>25</w:t>
            </w:r>
          </w:p>
        </w:tc>
        <w:tc>
          <w:tcPr>
            <w:tcW w:w="1001"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公证运营数据监管-公证人员专题分析</w:t>
            </w:r>
          </w:p>
        </w:tc>
        <w:tc>
          <w:tcPr>
            <w:tcW w:w="3737"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围绕在公证人员办证次数为主题，从市管公证机构、区局公证机构、混合制公证机构3个维度三个维度，对3个不同机构公证人员的办证业务量、办证类型、同比变化进行直观展示和图表分析。</w:t>
            </w:r>
          </w:p>
        </w:tc>
      </w:tr>
      <w:tr w:rsidR="00427CFC">
        <w:trPr>
          <w:trHeight w:val="1380"/>
        </w:trPr>
        <w:tc>
          <w:tcPr>
            <w:tcW w:w="260"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26</w:t>
            </w:r>
          </w:p>
        </w:tc>
        <w:tc>
          <w:tcPr>
            <w:tcW w:w="1001"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公证运营数据监管-办证收费专题分析</w:t>
            </w:r>
          </w:p>
        </w:tc>
        <w:tc>
          <w:tcPr>
            <w:tcW w:w="3737"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围绕办证收费为主题，从收费量、收费类型两个维度，对业务量、同比变化进行直观展示和图表分析。</w:t>
            </w:r>
          </w:p>
        </w:tc>
      </w:tr>
      <w:tr w:rsidR="00427CFC">
        <w:trPr>
          <w:trHeight w:val="1104"/>
        </w:trPr>
        <w:tc>
          <w:tcPr>
            <w:tcW w:w="260"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27</w:t>
            </w:r>
          </w:p>
        </w:tc>
        <w:tc>
          <w:tcPr>
            <w:tcW w:w="1001"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公证运营数据监管-预警专题分析</w:t>
            </w:r>
          </w:p>
        </w:tc>
        <w:tc>
          <w:tcPr>
            <w:tcW w:w="3737"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围绕公证预警为主题，从预警类型、预警时间段两个维度，对业务量、同比变化进行直观展示和图表分析。</w:t>
            </w:r>
          </w:p>
        </w:tc>
      </w:tr>
      <w:tr w:rsidR="00427CFC">
        <w:trPr>
          <w:trHeight w:val="3036"/>
        </w:trPr>
        <w:tc>
          <w:tcPr>
            <w:tcW w:w="260"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28</w:t>
            </w:r>
          </w:p>
        </w:tc>
        <w:tc>
          <w:tcPr>
            <w:tcW w:w="1001"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动态监管-动态监管展示模块</w:t>
            </w:r>
          </w:p>
        </w:tc>
        <w:tc>
          <w:tcPr>
            <w:tcW w:w="3737"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（1）智能筛查，展示智能筛查的公证机构数量，通过点击当前模块联动中心地图展示公证机构的地理分布情况。</w:t>
            </w:r>
            <w:r>
              <w:rPr>
                <w:rFonts w:ascii="PMingLiU" w:eastAsia="PMingLiU" w:hAnsi="PMingLiU" w:cs="宋体" w:hint="eastAsia"/>
                <w:color w:val="000000"/>
                <w:kern w:val="0"/>
                <w:sz w:val="22"/>
                <w:szCs w:val="22"/>
              </w:rPr>
              <w:br/>
              <w:t>（2）日常监督，展示日常监督工作中监管的次数，通过点击当前模块展示日常监管详情数据。</w:t>
            </w:r>
            <w:r>
              <w:rPr>
                <w:rFonts w:ascii="PMingLiU" w:eastAsia="PMingLiU" w:hAnsi="PMingLiU" w:cs="宋体" w:hint="eastAsia"/>
                <w:color w:val="000000"/>
                <w:kern w:val="0"/>
                <w:sz w:val="22"/>
                <w:szCs w:val="22"/>
              </w:rPr>
              <w:br/>
              <w:t>（3）投诉举报监测，展示投诉举报的条目数，通过点击当前模块展示投诉举报监管详情数据。</w:t>
            </w:r>
            <w:r>
              <w:rPr>
                <w:rFonts w:ascii="PMingLiU" w:eastAsia="PMingLiU" w:hAnsi="PMingLiU" w:cs="宋体" w:hint="eastAsia"/>
                <w:color w:val="000000"/>
                <w:kern w:val="0"/>
                <w:sz w:val="22"/>
                <w:szCs w:val="22"/>
              </w:rPr>
              <w:br/>
              <w:t>（4）第三方，展示第三方监测发现条目数，通过点击当前模块展示第三方监管详情数据。</w:t>
            </w:r>
            <w:r>
              <w:rPr>
                <w:rFonts w:ascii="PMingLiU" w:eastAsia="PMingLiU" w:hAnsi="PMingLiU" w:cs="宋体" w:hint="eastAsia"/>
                <w:color w:val="000000"/>
                <w:kern w:val="0"/>
                <w:sz w:val="22"/>
                <w:szCs w:val="22"/>
              </w:rPr>
              <w:br/>
              <w:t>（5）动态监管模型展示，通过点击动态监管</w:t>
            </w:r>
            <w:proofErr w:type="gramStart"/>
            <w:r>
              <w:rPr>
                <w:rFonts w:ascii="PMingLiU" w:eastAsia="PMingLiU" w:hAnsi="PMingLiU" w:cs="宋体" w:hint="eastAsia"/>
                <w:color w:val="000000"/>
                <w:kern w:val="0"/>
                <w:sz w:val="22"/>
                <w:szCs w:val="22"/>
              </w:rPr>
              <w:t>弹窗展示</w:t>
            </w:r>
            <w:proofErr w:type="gramEnd"/>
            <w:r>
              <w:rPr>
                <w:rFonts w:ascii="PMingLiU" w:eastAsia="PMingLiU" w:hAnsi="PMingLiU" w:cs="宋体" w:hint="eastAsia"/>
                <w:color w:val="000000"/>
                <w:kern w:val="0"/>
                <w:sz w:val="22"/>
                <w:szCs w:val="22"/>
              </w:rPr>
              <w:t>动态监管模型，展现动态监管的运行机制。</w:t>
            </w:r>
          </w:p>
        </w:tc>
      </w:tr>
      <w:tr w:rsidR="00427CFC">
        <w:trPr>
          <w:trHeight w:val="1380"/>
        </w:trPr>
        <w:tc>
          <w:tcPr>
            <w:tcW w:w="260"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29</w:t>
            </w:r>
          </w:p>
        </w:tc>
        <w:tc>
          <w:tcPr>
            <w:tcW w:w="1001"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动态监管-动态监管模型</w:t>
            </w:r>
          </w:p>
        </w:tc>
        <w:tc>
          <w:tcPr>
            <w:tcW w:w="3737"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线上的智能筛查作为筛查雷达，通过智能模型对公证机构上传的明细数据，不断扫描筛查来发现异常，智能模型是根据业务日常工作积累的经验建立一个个监测维度组合而成。线下日常监管包括双随机检查、专项检查、常规检查。</w:t>
            </w:r>
          </w:p>
        </w:tc>
      </w:tr>
      <w:tr w:rsidR="00427CFC">
        <w:trPr>
          <w:trHeight w:val="1104"/>
        </w:trPr>
        <w:tc>
          <w:tcPr>
            <w:tcW w:w="260"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30</w:t>
            </w:r>
          </w:p>
        </w:tc>
        <w:tc>
          <w:tcPr>
            <w:tcW w:w="1001"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公证机构监管-业务拓展模型</w:t>
            </w:r>
          </w:p>
        </w:tc>
        <w:tc>
          <w:tcPr>
            <w:tcW w:w="3737"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年办证量及同比、年收费数及同比、前五事项变化、新领域、新型业务占比、</w:t>
            </w:r>
            <w:proofErr w:type="gramStart"/>
            <w:r>
              <w:rPr>
                <w:rFonts w:ascii="PMingLiU" w:eastAsia="PMingLiU" w:hAnsi="PMingLiU" w:cs="宋体" w:hint="eastAsia"/>
                <w:color w:val="000000"/>
                <w:kern w:val="0"/>
                <w:sz w:val="22"/>
                <w:szCs w:val="22"/>
              </w:rPr>
              <w:t>网办程度</w:t>
            </w:r>
            <w:proofErr w:type="gramEnd"/>
            <w:r>
              <w:rPr>
                <w:rFonts w:ascii="PMingLiU" w:eastAsia="PMingLiU" w:hAnsi="PMingLiU" w:cs="宋体" w:hint="eastAsia"/>
                <w:color w:val="000000"/>
                <w:kern w:val="0"/>
                <w:sz w:val="22"/>
                <w:szCs w:val="22"/>
              </w:rPr>
              <w:t>。</w:t>
            </w:r>
          </w:p>
        </w:tc>
      </w:tr>
      <w:tr w:rsidR="00427CFC">
        <w:trPr>
          <w:trHeight w:val="1104"/>
        </w:trPr>
        <w:tc>
          <w:tcPr>
            <w:tcW w:w="260"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31</w:t>
            </w:r>
          </w:p>
        </w:tc>
        <w:tc>
          <w:tcPr>
            <w:tcW w:w="1001"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公证机构监管-队伍活力模型</w:t>
            </w:r>
          </w:p>
        </w:tc>
        <w:tc>
          <w:tcPr>
            <w:tcW w:w="3737"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人数及增长率、公证员配比、公证员人均办证量、公证员人均收费数、专业占比、技术职称占比、人才占比、学历水平、负责人任职年限、党团。</w:t>
            </w:r>
          </w:p>
        </w:tc>
      </w:tr>
      <w:tr w:rsidR="00427CFC">
        <w:trPr>
          <w:trHeight w:val="1104"/>
        </w:trPr>
        <w:tc>
          <w:tcPr>
            <w:tcW w:w="260"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32</w:t>
            </w:r>
          </w:p>
        </w:tc>
        <w:tc>
          <w:tcPr>
            <w:tcW w:w="1001"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公证机构监管-服务质量模型</w:t>
            </w:r>
          </w:p>
        </w:tc>
        <w:tc>
          <w:tcPr>
            <w:tcW w:w="3737"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平均出证时长、公益服务量、质量督查及行政检查、信访投诉率、奖惩情况。</w:t>
            </w:r>
          </w:p>
        </w:tc>
      </w:tr>
      <w:tr w:rsidR="00427CFC">
        <w:trPr>
          <w:trHeight w:val="1104"/>
        </w:trPr>
        <w:tc>
          <w:tcPr>
            <w:tcW w:w="260"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33</w:t>
            </w:r>
          </w:p>
        </w:tc>
        <w:tc>
          <w:tcPr>
            <w:tcW w:w="1001"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公证机构监管-激励机制模型</w:t>
            </w:r>
          </w:p>
        </w:tc>
        <w:tc>
          <w:tcPr>
            <w:tcW w:w="3737"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proofErr w:type="gramStart"/>
            <w:r>
              <w:rPr>
                <w:rFonts w:ascii="PMingLiU" w:eastAsia="PMingLiU" w:hAnsi="PMingLiU" w:cs="宋体" w:hint="eastAsia"/>
                <w:color w:val="000000"/>
                <w:kern w:val="0"/>
                <w:sz w:val="22"/>
                <w:szCs w:val="22"/>
              </w:rPr>
              <w:t>在编非</w:t>
            </w:r>
            <w:proofErr w:type="gramEnd"/>
            <w:r>
              <w:rPr>
                <w:rFonts w:ascii="PMingLiU" w:eastAsia="PMingLiU" w:hAnsi="PMingLiU" w:cs="宋体" w:hint="eastAsia"/>
                <w:color w:val="000000"/>
                <w:kern w:val="0"/>
                <w:sz w:val="22"/>
                <w:szCs w:val="22"/>
              </w:rPr>
              <w:t>编情况、公证员年人均绩效（收入）及增长率、公证员</w:t>
            </w:r>
            <w:proofErr w:type="gramStart"/>
            <w:r>
              <w:rPr>
                <w:rFonts w:ascii="PMingLiU" w:eastAsia="PMingLiU" w:hAnsi="PMingLiU" w:cs="宋体" w:hint="eastAsia"/>
                <w:color w:val="000000"/>
                <w:kern w:val="0"/>
                <w:sz w:val="22"/>
                <w:szCs w:val="22"/>
              </w:rPr>
              <w:t>在编非编收入</w:t>
            </w:r>
            <w:proofErr w:type="gramEnd"/>
            <w:r>
              <w:rPr>
                <w:rFonts w:ascii="PMingLiU" w:eastAsia="PMingLiU" w:hAnsi="PMingLiU" w:cs="宋体" w:hint="eastAsia"/>
                <w:color w:val="000000"/>
                <w:kern w:val="0"/>
                <w:sz w:val="22"/>
                <w:szCs w:val="22"/>
              </w:rPr>
              <w:t>差距、绩效上限触发情况、绩效总数与收费数比值。</w:t>
            </w:r>
          </w:p>
        </w:tc>
      </w:tr>
      <w:tr w:rsidR="00427CFC">
        <w:trPr>
          <w:trHeight w:val="1104"/>
        </w:trPr>
        <w:tc>
          <w:tcPr>
            <w:tcW w:w="260"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34</w:t>
            </w:r>
          </w:p>
        </w:tc>
        <w:tc>
          <w:tcPr>
            <w:tcW w:w="1001"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公证机构监管-风险警示模型</w:t>
            </w:r>
          </w:p>
        </w:tc>
        <w:tc>
          <w:tcPr>
            <w:tcW w:w="3737"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招录数、生长率、退休率、离职率、当年收支比、累计盈余变化、人均成本、收益比、业务量峰谷月变化。</w:t>
            </w:r>
          </w:p>
        </w:tc>
      </w:tr>
      <w:tr w:rsidR="00427CFC">
        <w:trPr>
          <w:trHeight w:val="828"/>
        </w:trPr>
        <w:tc>
          <w:tcPr>
            <w:tcW w:w="260"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lastRenderedPageBreak/>
              <w:t>35</w:t>
            </w:r>
          </w:p>
        </w:tc>
        <w:tc>
          <w:tcPr>
            <w:tcW w:w="1001"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公证员监管-业务活力模型</w:t>
            </w:r>
          </w:p>
        </w:tc>
        <w:tc>
          <w:tcPr>
            <w:tcW w:w="3737"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年办证量及增长率、年收费数及增长率、前五事项变化、新领域、新型业务占比、办证量在本处排位、收费数在本处排位、单件收费、</w:t>
            </w:r>
            <w:proofErr w:type="gramStart"/>
            <w:r>
              <w:rPr>
                <w:rFonts w:ascii="PMingLiU" w:eastAsia="PMingLiU" w:hAnsi="PMingLiU" w:cs="宋体" w:hint="eastAsia"/>
                <w:color w:val="000000"/>
                <w:kern w:val="0"/>
                <w:sz w:val="22"/>
                <w:szCs w:val="22"/>
              </w:rPr>
              <w:t>网办程度</w:t>
            </w:r>
            <w:proofErr w:type="gramEnd"/>
            <w:r>
              <w:rPr>
                <w:rFonts w:ascii="PMingLiU" w:eastAsia="PMingLiU" w:hAnsi="PMingLiU" w:cs="宋体" w:hint="eastAsia"/>
                <w:color w:val="000000"/>
                <w:kern w:val="0"/>
                <w:sz w:val="22"/>
                <w:szCs w:val="22"/>
              </w:rPr>
              <w:t>。</w:t>
            </w:r>
          </w:p>
        </w:tc>
      </w:tr>
      <w:tr w:rsidR="00427CFC">
        <w:trPr>
          <w:trHeight w:val="828"/>
        </w:trPr>
        <w:tc>
          <w:tcPr>
            <w:tcW w:w="260"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36</w:t>
            </w:r>
          </w:p>
        </w:tc>
        <w:tc>
          <w:tcPr>
            <w:tcW w:w="1001"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公证员监管-专业水平模型</w:t>
            </w:r>
          </w:p>
        </w:tc>
        <w:tc>
          <w:tcPr>
            <w:tcW w:w="3737"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学历水平、专业领域、专业职称、人才等级、从业年限。</w:t>
            </w:r>
          </w:p>
        </w:tc>
      </w:tr>
      <w:tr w:rsidR="00427CFC">
        <w:trPr>
          <w:trHeight w:val="828"/>
        </w:trPr>
        <w:tc>
          <w:tcPr>
            <w:tcW w:w="260"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37</w:t>
            </w:r>
          </w:p>
        </w:tc>
        <w:tc>
          <w:tcPr>
            <w:tcW w:w="1001"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公证员监管-服务水平模型</w:t>
            </w:r>
          </w:p>
        </w:tc>
        <w:tc>
          <w:tcPr>
            <w:tcW w:w="3737"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平均出证时长、公益服务量、质量督查及行政检查、信访投诉率、奖惩情况。</w:t>
            </w:r>
          </w:p>
        </w:tc>
      </w:tr>
      <w:tr w:rsidR="00427CFC">
        <w:trPr>
          <w:trHeight w:val="1104"/>
        </w:trPr>
        <w:tc>
          <w:tcPr>
            <w:tcW w:w="260"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38</w:t>
            </w:r>
          </w:p>
        </w:tc>
        <w:tc>
          <w:tcPr>
            <w:tcW w:w="1001"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公证员监管-岗位忠诚度模型</w:t>
            </w:r>
          </w:p>
        </w:tc>
        <w:tc>
          <w:tcPr>
            <w:tcW w:w="3737"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管理层级、是否在编、公证员收入水平及增长率、公证员收入本机构排位、上限封顶触发情况（年）。</w:t>
            </w:r>
          </w:p>
        </w:tc>
      </w:tr>
      <w:tr w:rsidR="00427CFC">
        <w:trPr>
          <w:trHeight w:val="1932"/>
        </w:trPr>
        <w:tc>
          <w:tcPr>
            <w:tcW w:w="260"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39</w:t>
            </w:r>
          </w:p>
        </w:tc>
        <w:tc>
          <w:tcPr>
            <w:tcW w:w="1001"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分类监管-分类监管展示模块</w:t>
            </w:r>
          </w:p>
        </w:tc>
        <w:tc>
          <w:tcPr>
            <w:tcW w:w="3737"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（1）分类监管概况</w:t>
            </w:r>
            <w:r>
              <w:rPr>
                <w:rFonts w:ascii="PMingLiU" w:eastAsia="PMingLiU" w:hAnsi="PMingLiU" w:cs="宋体" w:hint="eastAsia"/>
                <w:color w:val="000000"/>
                <w:kern w:val="0"/>
                <w:sz w:val="22"/>
                <w:szCs w:val="22"/>
              </w:rPr>
              <w:br/>
              <w:t>展示重点监管、关注监管和一般监管的公证机构数量分布情况，通过执业监管预警事件类机构家数/运营监管预警事件类机构家数的形式展示。</w:t>
            </w:r>
            <w:r>
              <w:rPr>
                <w:rFonts w:ascii="PMingLiU" w:eastAsia="PMingLiU" w:hAnsi="PMingLiU" w:cs="宋体" w:hint="eastAsia"/>
                <w:color w:val="000000"/>
                <w:kern w:val="0"/>
                <w:sz w:val="22"/>
                <w:szCs w:val="22"/>
              </w:rPr>
              <w:br/>
              <w:t>（2）分类监管模型</w:t>
            </w:r>
            <w:r>
              <w:rPr>
                <w:rFonts w:ascii="PMingLiU" w:eastAsia="PMingLiU" w:hAnsi="PMingLiU" w:cs="宋体" w:hint="eastAsia"/>
                <w:color w:val="000000"/>
                <w:kern w:val="0"/>
                <w:sz w:val="22"/>
                <w:szCs w:val="22"/>
              </w:rPr>
              <w:br/>
              <w:t>展示分类监管的具体运行逻辑，包括重点监管、关注监管和分类监管对应的处置规则和监管方式。</w:t>
            </w:r>
          </w:p>
        </w:tc>
      </w:tr>
      <w:tr w:rsidR="00427CFC">
        <w:trPr>
          <w:trHeight w:val="2208"/>
        </w:trPr>
        <w:tc>
          <w:tcPr>
            <w:tcW w:w="260"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40</w:t>
            </w:r>
          </w:p>
        </w:tc>
        <w:tc>
          <w:tcPr>
            <w:tcW w:w="1001"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智能预警-智能预警展示模块</w:t>
            </w:r>
          </w:p>
        </w:tc>
        <w:tc>
          <w:tcPr>
            <w:tcW w:w="3737"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（1）智能预警概览</w:t>
            </w:r>
            <w:r>
              <w:rPr>
                <w:rFonts w:ascii="PMingLiU" w:eastAsia="PMingLiU" w:hAnsi="PMingLiU" w:cs="宋体" w:hint="eastAsia"/>
                <w:color w:val="000000"/>
                <w:kern w:val="0"/>
                <w:sz w:val="22"/>
                <w:szCs w:val="22"/>
              </w:rPr>
              <w:br/>
              <w:t>展示运营监管（办证量预警、质量预警、偏离预警、设备离线预警、费用预警等）和执业监管。</w:t>
            </w:r>
            <w:r>
              <w:rPr>
                <w:rFonts w:ascii="PMingLiU" w:eastAsia="PMingLiU" w:hAnsi="PMingLiU" w:cs="宋体" w:hint="eastAsia"/>
                <w:color w:val="000000"/>
                <w:kern w:val="0"/>
                <w:sz w:val="22"/>
                <w:szCs w:val="22"/>
              </w:rPr>
              <w:br/>
              <w:t>（2）智能预警列表详情</w:t>
            </w:r>
            <w:r>
              <w:rPr>
                <w:rFonts w:ascii="PMingLiU" w:eastAsia="PMingLiU" w:hAnsi="PMingLiU" w:cs="宋体" w:hint="eastAsia"/>
                <w:color w:val="000000"/>
                <w:kern w:val="0"/>
                <w:sz w:val="22"/>
                <w:szCs w:val="22"/>
              </w:rPr>
              <w:br/>
              <w:t>展示智能预警8大主题模型所预警出的各类风险事件，展现预警时间、机构名称、风险类别、检测名称、监测值、风险登记以及事件处理状态，并支持以公证机构维度的筛选查询。</w:t>
            </w:r>
          </w:p>
        </w:tc>
      </w:tr>
      <w:tr w:rsidR="00427CFC">
        <w:trPr>
          <w:trHeight w:val="2208"/>
        </w:trPr>
        <w:tc>
          <w:tcPr>
            <w:tcW w:w="260"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41</w:t>
            </w:r>
          </w:p>
        </w:tc>
        <w:tc>
          <w:tcPr>
            <w:tcW w:w="1001"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智能预警-智能预警模型</w:t>
            </w:r>
          </w:p>
        </w:tc>
        <w:tc>
          <w:tcPr>
            <w:tcW w:w="3737"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智能预警是覆盖公证机构服务的全生命周期的风险感知体系，并利用系统获取的大量数据进行跟踪和筛查，一旦系统获取的数据达到了预警提醒系统参数设定的底线，或违反了预警系统相关规定，系统将自动识别风险、评定风险和协同相关监管单位进行风险排查。根据智能预警的事件类型，将服务办证量预警、质量预警、偏离预警、设备离线预警、费用预警为运营监管主题，监管预警归为监管主题。</w:t>
            </w:r>
          </w:p>
        </w:tc>
      </w:tr>
      <w:tr w:rsidR="00427CFC">
        <w:trPr>
          <w:trHeight w:val="1104"/>
        </w:trPr>
        <w:tc>
          <w:tcPr>
            <w:tcW w:w="260"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42</w:t>
            </w:r>
          </w:p>
        </w:tc>
        <w:tc>
          <w:tcPr>
            <w:tcW w:w="1001"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事件处置监管-事件处置监管概览</w:t>
            </w:r>
          </w:p>
        </w:tc>
        <w:tc>
          <w:tcPr>
            <w:tcW w:w="3737"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对智能监管发现的异常事件的排查进度的可视化管理，也是监管平台和业务平台紧密联合的体现，展现协同。</w:t>
            </w:r>
          </w:p>
        </w:tc>
      </w:tr>
      <w:tr w:rsidR="00427CFC">
        <w:trPr>
          <w:trHeight w:val="2760"/>
        </w:trPr>
        <w:tc>
          <w:tcPr>
            <w:tcW w:w="260"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43</w:t>
            </w:r>
          </w:p>
        </w:tc>
        <w:tc>
          <w:tcPr>
            <w:tcW w:w="1001"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事件处置监管-事件处置全流程监管</w:t>
            </w:r>
          </w:p>
        </w:tc>
        <w:tc>
          <w:tcPr>
            <w:tcW w:w="3737"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对动态监管发现的异常事件的排查进度的可视化管理，是监管平台和业务平台紧密联合的体现，本模块对需要排查处置的事件进行全流程追踪。</w:t>
            </w:r>
            <w:r>
              <w:rPr>
                <w:rFonts w:ascii="PMingLiU" w:eastAsia="PMingLiU" w:hAnsi="PMingLiU" w:cs="宋体" w:hint="eastAsia"/>
                <w:color w:val="000000"/>
                <w:kern w:val="0"/>
                <w:sz w:val="22"/>
                <w:szCs w:val="22"/>
              </w:rPr>
              <w:br/>
              <w:t>监管平台智能发现的每条需排查风险的事件都在界面中展示其基本信息，包括每条事件处理协同主体单位、处置对象机构名称、风险级别和处置进度的详情（处置状态、状态启动事件节点）可视化展示，点击每条流程，触发</w:t>
            </w:r>
            <w:proofErr w:type="gramStart"/>
            <w:r>
              <w:rPr>
                <w:rFonts w:ascii="PMingLiU" w:eastAsia="PMingLiU" w:hAnsi="PMingLiU" w:cs="宋体" w:hint="eastAsia"/>
                <w:color w:val="000000"/>
                <w:kern w:val="0"/>
                <w:sz w:val="22"/>
                <w:szCs w:val="22"/>
              </w:rPr>
              <w:t>弹窗展示</w:t>
            </w:r>
            <w:proofErr w:type="gramEnd"/>
            <w:r>
              <w:rPr>
                <w:rFonts w:ascii="PMingLiU" w:eastAsia="PMingLiU" w:hAnsi="PMingLiU" w:cs="宋体" w:hint="eastAsia"/>
                <w:color w:val="000000"/>
                <w:kern w:val="0"/>
                <w:sz w:val="22"/>
                <w:szCs w:val="22"/>
              </w:rPr>
              <w:t>事件处置详情，显示的内容包括：涉事机构的信息、此次处置结果、查询整改结果和修</w:t>
            </w:r>
            <w:r>
              <w:rPr>
                <w:rFonts w:ascii="PMingLiU" w:eastAsia="PMingLiU" w:hAnsi="PMingLiU" w:cs="宋体" w:hint="eastAsia"/>
                <w:color w:val="000000"/>
                <w:kern w:val="0"/>
                <w:sz w:val="22"/>
                <w:szCs w:val="22"/>
              </w:rPr>
              <w:lastRenderedPageBreak/>
              <w:t>复等内容。</w:t>
            </w:r>
          </w:p>
        </w:tc>
      </w:tr>
      <w:tr w:rsidR="00427CFC">
        <w:trPr>
          <w:trHeight w:val="1380"/>
        </w:trPr>
        <w:tc>
          <w:tcPr>
            <w:tcW w:w="260"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lastRenderedPageBreak/>
              <w:t>44</w:t>
            </w:r>
          </w:p>
        </w:tc>
        <w:tc>
          <w:tcPr>
            <w:tcW w:w="1001"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地图模块</w:t>
            </w:r>
          </w:p>
        </w:tc>
        <w:tc>
          <w:tcPr>
            <w:tcW w:w="3737"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通过对接GS地图模块为特色实现对公证机构的可视化分布管理。地图加载了公证机构可视化监管服务平台所有已接入公证机构的位置信息和机构信息。联动各类监管指标、预警风险，在地图中进行可视化展示；针对单个公证机构可查看其概览信息和全生命周期的详细信息。</w:t>
            </w:r>
          </w:p>
        </w:tc>
      </w:tr>
      <w:tr w:rsidR="00427CFC">
        <w:trPr>
          <w:trHeight w:val="3855"/>
        </w:trPr>
        <w:tc>
          <w:tcPr>
            <w:tcW w:w="260"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45</w:t>
            </w:r>
          </w:p>
        </w:tc>
        <w:tc>
          <w:tcPr>
            <w:tcW w:w="1001"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监管数据板</w:t>
            </w:r>
          </w:p>
        </w:tc>
        <w:tc>
          <w:tcPr>
            <w:tcW w:w="3737"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依托可视化展示工具，同时借助平台的相关组件可对公证机构的全景数据进行动态展示，如公证机构基本分析信息、人员资源构成分析、运行风险、办证信息、地理信息等。</w:t>
            </w:r>
            <w:r>
              <w:rPr>
                <w:rFonts w:ascii="PMingLiU" w:eastAsia="PMingLiU" w:hAnsi="PMingLiU" w:cs="宋体" w:hint="eastAsia"/>
                <w:color w:val="000000"/>
                <w:kern w:val="0"/>
                <w:sz w:val="22"/>
                <w:szCs w:val="22"/>
              </w:rPr>
              <w:br/>
              <w:t>1、业务情况分析</w:t>
            </w:r>
            <w:r>
              <w:rPr>
                <w:rFonts w:ascii="PMingLiU" w:eastAsia="PMingLiU" w:hAnsi="PMingLiU" w:cs="宋体" w:hint="eastAsia"/>
                <w:color w:val="000000"/>
                <w:kern w:val="0"/>
                <w:sz w:val="22"/>
                <w:szCs w:val="22"/>
              </w:rPr>
              <w:br/>
              <w:t>（1）公证机构概览</w:t>
            </w:r>
            <w:r>
              <w:rPr>
                <w:rFonts w:ascii="PMingLiU" w:eastAsia="PMingLiU" w:hAnsi="PMingLiU" w:cs="宋体" w:hint="eastAsia"/>
                <w:color w:val="000000"/>
                <w:kern w:val="0"/>
                <w:sz w:val="22"/>
                <w:szCs w:val="22"/>
              </w:rPr>
              <w:br/>
              <w:t>展示当前的公证的办证总数、收费数、各类办证占比数值。</w:t>
            </w:r>
            <w:r>
              <w:rPr>
                <w:rFonts w:ascii="PMingLiU" w:eastAsia="PMingLiU" w:hAnsi="PMingLiU" w:cs="宋体" w:hint="eastAsia"/>
                <w:color w:val="000000"/>
                <w:kern w:val="0"/>
                <w:sz w:val="22"/>
                <w:szCs w:val="22"/>
              </w:rPr>
              <w:br/>
              <w:t>（2）办证数据分析</w:t>
            </w:r>
            <w:r>
              <w:rPr>
                <w:rFonts w:ascii="PMingLiU" w:eastAsia="PMingLiU" w:hAnsi="PMingLiU" w:cs="宋体" w:hint="eastAsia"/>
                <w:color w:val="000000"/>
                <w:kern w:val="0"/>
                <w:sz w:val="22"/>
                <w:szCs w:val="22"/>
              </w:rPr>
              <w:br/>
              <w:t>展示当前区内公证机构的办证总人数、出证数、收费数以及就办证增幅数据。</w:t>
            </w:r>
            <w:r>
              <w:rPr>
                <w:rFonts w:ascii="PMingLiU" w:eastAsia="PMingLiU" w:hAnsi="PMingLiU" w:cs="宋体" w:hint="eastAsia"/>
                <w:color w:val="000000"/>
                <w:kern w:val="0"/>
                <w:sz w:val="22"/>
                <w:szCs w:val="22"/>
              </w:rPr>
              <w:br/>
              <w:t>（3）公证收入分析</w:t>
            </w:r>
            <w:r>
              <w:rPr>
                <w:rFonts w:ascii="PMingLiU" w:eastAsia="PMingLiU" w:hAnsi="PMingLiU" w:cs="宋体" w:hint="eastAsia"/>
                <w:color w:val="000000"/>
                <w:kern w:val="0"/>
                <w:sz w:val="22"/>
                <w:szCs w:val="22"/>
              </w:rPr>
              <w:br/>
              <w:t>展示当前区内公证机构的总收入、办证事项收入、办证占比、外出办证数据。</w:t>
            </w:r>
            <w:r>
              <w:rPr>
                <w:rFonts w:ascii="PMingLiU" w:eastAsia="PMingLiU" w:hAnsi="PMingLiU" w:cs="宋体" w:hint="eastAsia"/>
                <w:color w:val="000000"/>
                <w:kern w:val="0"/>
                <w:sz w:val="22"/>
                <w:szCs w:val="22"/>
              </w:rPr>
              <w:br/>
              <w:t>2、机构情况分析</w:t>
            </w:r>
            <w:r>
              <w:rPr>
                <w:rFonts w:ascii="PMingLiU" w:eastAsia="PMingLiU" w:hAnsi="PMingLiU" w:cs="宋体" w:hint="eastAsia"/>
                <w:color w:val="000000"/>
                <w:kern w:val="0"/>
                <w:sz w:val="22"/>
                <w:szCs w:val="22"/>
              </w:rPr>
              <w:br/>
              <w:t>（1）机构类别分析</w:t>
            </w:r>
            <w:r>
              <w:rPr>
                <w:rFonts w:ascii="PMingLiU" w:eastAsia="PMingLiU" w:hAnsi="PMingLiU" w:cs="宋体" w:hint="eastAsia"/>
                <w:color w:val="000000"/>
                <w:kern w:val="0"/>
                <w:sz w:val="22"/>
                <w:szCs w:val="22"/>
              </w:rPr>
              <w:br/>
              <w:t>展示市管公证机构、区公证机构和混合制公证机构的数量，并根据展示模块点击联动中心地图，显示各类公证机构的地理分布信息。</w:t>
            </w:r>
            <w:r>
              <w:rPr>
                <w:rFonts w:ascii="PMingLiU" w:eastAsia="PMingLiU" w:hAnsi="PMingLiU" w:cs="宋体" w:hint="eastAsia"/>
                <w:color w:val="000000"/>
                <w:kern w:val="0"/>
                <w:sz w:val="22"/>
                <w:szCs w:val="22"/>
              </w:rPr>
              <w:br/>
              <w:t>（2）运行风险分析</w:t>
            </w:r>
            <w:r>
              <w:rPr>
                <w:rFonts w:ascii="PMingLiU" w:eastAsia="PMingLiU" w:hAnsi="PMingLiU" w:cs="宋体" w:hint="eastAsia"/>
                <w:color w:val="000000"/>
                <w:kern w:val="0"/>
                <w:sz w:val="22"/>
                <w:szCs w:val="22"/>
              </w:rPr>
              <w:br/>
              <w:t>展示各公证机构当前的预警风险数，并根据数量对机构进行排名展示。</w:t>
            </w:r>
            <w:r>
              <w:rPr>
                <w:rFonts w:ascii="PMingLiU" w:eastAsia="PMingLiU" w:hAnsi="PMingLiU" w:cs="宋体" w:hint="eastAsia"/>
                <w:color w:val="000000"/>
                <w:kern w:val="0"/>
                <w:sz w:val="22"/>
                <w:szCs w:val="22"/>
              </w:rPr>
              <w:br/>
              <w:t>3、办证类型分析</w:t>
            </w:r>
            <w:r>
              <w:rPr>
                <w:rFonts w:ascii="PMingLiU" w:eastAsia="PMingLiU" w:hAnsi="PMingLiU" w:cs="宋体" w:hint="eastAsia"/>
                <w:color w:val="000000"/>
                <w:kern w:val="0"/>
                <w:sz w:val="22"/>
                <w:szCs w:val="22"/>
              </w:rPr>
              <w:br/>
              <w:t>展示区域内办证类型情况，根据办证类型进行排序，展示区域内办证类型前十的事项。</w:t>
            </w:r>
            <w:r>
              <w:rPr>
                <w:rFonts w:ascii="PMingLiU" w:eastAsia="PMingLiU" w:hAnsi="PMingLiU" w:cs="宋体" w:hint="eastAsia"/>
                <w:color w:val="000000"/>
                <w:kern w:val="0"/>
                <w:sz w:val="22"/>
                <w:szCs w:val="22"/>
              </w:rPr>
              <w:br/>
              <w:t>4、办证资源分析</w:t>
            </w:r>
            <w:r>
              <w:rPr>
                <w:rFonts w:ascii="PMingLiU" w:eastAsia="PMingLiU" w:hAnsi="PMingLiU" w:cs="宋体" w:hint="eastAsia"/>
                <w:color w:val="000000"/>
                <w:kern w:val="0"/>
                <w:sz w:val="22"/>
                <w:szCs w:val="22"/>
              </w:rPr>
              <w:br/>
              <w:t>（1）公证人员分析</w:t>
            </w:r>
            <w:r>
              <w:rPr>
                <w:rFonts w:ascii="PMingLiU" w:eastAsia="PMingLiU" w:hAnsi="PMingLiU" w:cs="宋体" w:hint="eastAsia"/>
                <w:color w:val="000000"/>
                <w:kern w:val="0"/>
                <w:sz w:val="22"/>
                <w:szCs w:val="22"/>
              </w:rPr>
              <w:br/>
              <w:t>展示当前区域内公证人员数量，以及办证比的情况</w:t>
            </w:r>
            <w:r>
              <w:rPr>
                <w:rFonts w:ascii="PMingLiU" w:eastAsia="PMingLiU" w:hAnsi="PMingLiU" w:cs="宋体" w:hint="eastAsia"/>
                <w:color w:val="000000"/>
                <w:kern w:val="0"/>
                <w:sz w:val="22"/>
                <w:szCs w:val="22"/>
              </w:rPr>
              <w:br/>
              <w:t>（2）公证人员构成分析</w:t>
            </w:r>
            <w:r>
              <w:rPr>
                <w:rFonts w:ascii="PMingLiU" w:eastAsia="PMingLiU" w:hAnsi="PMingLiU" w:cs="宋体" w:hint="eastAsia"/>
                <w:color w:val="000000"/>
                <w:kern w:val="0"/>
                <w:sz w:val="22"/>
                <w:szCs w:val="22"/>
              </w:rPr>
              <w:br/>
              <w:t>展示公证初级/中级/高级职称的人数以及占比情况</w:t>
            </w:r>
          </w:p>
        </w:tc>
      </w:tr>
      <w:tr w:rsidR="00427CFC">
        <w:trPr>
          <w:trHeight w:val="2208"/>
        </w:trPr>
        <w:tc>
          <w:tcPr>
            <w:tcW w:w="260"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lastRenderedPageBreak/>
              <w:t>46</w:t>
            </w:r>
          </w:p>
        </w:tc>
        <w:tc>
          <w:tcPr>
            <w:tcW w:w="1001"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智能</w:t>
            </w:r>
            <w:proofErr w:type="gramStart"/>
            <w:r>
              <w:rPr>
                <w:rFonts w:ascii="PMingLiU" w:eastAsia="PMingLiU" w:hAnsi="PMingLiU" w:cs="宋体" w:hint="eastAsia"/>
                <w:color w:val="000000"/>
                <w:kern w:val="0"/>
                <w:sz w:val="22"/>
                <w:szCs w:val="22"/>
              </w:rPr>
              <w:t>研</w:t>
            </w:r>
            <w:proofErr w:type="gramEnd"/>
            <w:r>
              <w:rPr>
                <w:rFonts w:ascii="PMingLiU" w:eastAsia="PMingLiU" w:hAnsi="PMingLiU" w:cs="宋体" w:hint="eastAsia"/>
                <w:color w:val="000000"/>
                <w:kern w:val="0"/>
                <w:sz w:val="22"/>
                <w:szCs w:val="22"/>
              </w:rPr>
              <w:t>判-公证综合监管分析</w:t>
            </w:r>
            <w:proofErr w:type="gramStart"/>
            <w:r>
              <w:rPr>
                <w:rFonts w:ascii="PMingLiU" w:eastAsia="PMingLiU" w:hAnsi="PMingLiU" w:cs="宋体" w:hint="eastAsia"/>
                <w:color w:val="000000"/>
                <w:kern w:val="0"/>
                <w:sz w:val="22"/>
                <w:szCs w:val="22"/>
              </w:rPr>
              <w:t>研</w:t>
            </w:r>
            <w:proofErr w:type="gramEnd"/>
            <w:r>
              <w:rPr>
                <w:rFonts w:ascii="PMingLiU" w:eastAsia="PMingLiU" w:hAnsi="PMingLiU" w:cs="宋体" w:hint="eastAsia"/>
                <w:color w:val="000000"/>
                <w:kern w:val="0"/>
                <w:sz w:val="22"/>
                <w:szCs w:val="22"/>
              </w:rPr>
              <w:t>判</w:t>
            </w:r>
          </w:p>
        </w:tc>
        <w:tc>
          <w:tcPr>
            <w:tcW w:w="3737"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（1）主题分析</w:t>
            </w:r>
            <w:r>
              <w:rPr>
                <w:rFonts w:ascii="PMingLiU" w:eastAsia="PMingLiU" w:hAnsi="PMingLiU" w:cs="宋体" w:hint="eastAsia"/>
                <w:color w:val="000000"/>
                <w:kern w:val="0"/>
                <w:sz w:val="22"/>
                <w:szCs w:val="22"/>
              </w:rPr>
              <w:br/>
              <w:t>围绕公证机构的监管和处置事件情况的分析，包括事件类型、事件数量、处罚次数等，形成面向公证机构</w:t>
            </w:r>
            <w:proofErr w:type="gramStart"/>
            <w:r>
              <w:rPr>
                <w:rFonts w:ascii="PMingLiU" w:eastAsia="PMingLiU" w:hAnsi="PMingLiU" w:cs="宋体" w:hint="eastAsia"/>
                <w:color w:val="000000"/>
                <w:kern w:val="0"/>
                <w:sz w:val="22"/>
                <w:szCs w:val="22"/>
              </w:rPr>
              <w:t>医</w:t>
            </w:r>
            <w:proofErr w:type="gramEnd"/>
            <w:r>
              <w:rPr>
                <w:rFonts w:ascii="PMingLiU" w:eastAsia="PMingLiU" w:hAnsi="PMingLiU" w:cs="宋体" w:hint="eastAsia"/>
                <w:color w:val="000000"/>
                <w:kern w:val="0"/>
                <w:sz w:val="22"/>
                <w:szCs w:val="22"/>
              </w:rPr>
              <w:t>服务情况的分析排名表格。</w:t>
            </w:r>
            <w:r>
              <w:rPr>
                <w:rFonts w:ascii="PMingLiU" w:eastAsia="PMingLiU" w:hAnsi="PMingLiU" w:cs="宋体" w:hint="eastAsia"/>
                <w:color w:val="000000"/>
                <w:kern w:val="0"/>
                <w:sz w:val="22"/>
                <w:szCs w:val="22"/>
              </w:rPr>
              <w:br/>
              <w:t>（2）综合</w:t>
            </w:r>
            <w:proofErr w:type="gramStart"/>
            <w:r>
              <w:rPr>
                <w:rFonts w:ascii="PMingLiU" w:eastAsia="PMingLiU" w:hAnsi="PMingLiU" w:cs="宋体" w:hint="eastAsia"/>
                <w:color w:val="000000"/>
                <w:kern w:val="0"/>
                <w:sz w:val="22"/>
                <w:szCs w:val="22"/>
              </w:rPr>
              <w:t>研判分析</w:t>
            </w:r>
            <w:proofErr w:type="gramEnd"/>
            <w:r>
              <w:rPr>
                <w:rFonts w:ascii="PMingLiU" w:eastAsia="PMingLiU" w:hAnsi="PMingLiU" w:cs="宋体" w:hint="eastAsia"/>
                <w:color w:val="000000"/>
                <w:kern w:val="0"/>
                <w:sz w:val="22"/>
                <w:szCs w:val="22"/>
              </w:rPr>
              <w:br/>
              <w:t>围绕公证机构办证服务综合监管情况进行综合分析，并生成</w:t>
            </w:r>
            <w:proofErr w:type="gramStart"/>
            <w:r>
              <w:rPr>
                <w:rFonts w:ascii="PMingLiU" w:eastAsia="PMingLiU" w:hAnsi="PMingLiU" w:cs="宋体" w:hint="eastAsia"/>
                <w:color w:val="000000"/>
                <w:kern w:val="0"/>
                <w:sz w:val="22"/>
                <w:szCs w:val="22"/>
              </w:rPr>
              <w:t>研</w:t>
            </w:r>
            <w:proofErr w:type="gramEnd"/>
            <w:r>
              <w:rPr>
                <w:rFonts w:ascii="PMingLiU" w:eastAsia="PMingLiU" w:hAnsi="PMingLiU" w:cs="宋体" w:hint="eastAsia"/>
                <w:color w:val="000000"/>
                <w:kern w:val="0"/>
                <w:sz w:val="22"/>
                <w:szCs w:val="22"/>
              </w:rPr>
              <w:t>判结果，针对性的对行业监管现状和监管方向进行</w:t>
            </w:r>
            <w:proofErr w:type="gramStart"/>
            <w:r>
              <w:rPr>
                <w:rFonts w:ascii="PMingLiU" w:eastAsia="PMingLiU" w:hAnsi="PMingLiU" w:cs="宋体" w:hint="eastAsia"/>
                <w:color w:val="000000"/>
                <w:kern w:val="0"/>
                <w:sz w:val="22"/>
                <w:szCs w:val="22"/>
              </w:rPr>
              <w:t>研</w:t>
            </w:r>
            <w:proofErr w:type="gramEnd"/>
            <w:r>
              <w:rPr>
                <w:rFonts w:ascii="PMingLiU" w:eastAsia="PMingLiU" w:hAnsi="PMingLiU" w:cs="宋体" w:hint="eastAsia"/>
                <w:color w:val="000000"/>
                <w:kern w:val="0"/>
                <w:sz w:val="22"/>
                <w:szCs w:val="22"/>
              </w:rPr>
              <w:t>判和分析。</w:t>
            </w:r>
          </w:p>
        </w:tc>
      </w:tr>
      <w:tr w:rsidR="00427CFC">
        <w:trPr>
          <w:trHeight w:val="1932"/>
        </w:trPr>
        <w:tc>
          <w:tcPr>
            <w:tcW w:w="260"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47</w:t>
            </w:r>
          </w:p>
        </w:tc>
        <w:tc>
          <w:tcPr>
            <w:tcW w:w="1001"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智能</w:t>
            </w:r>
            <w:proofErr w:type="gramStart"/>
            <w:r>
              <w:rPr>
                <w:rFonts w:ascii="PMingLiU" w:eastAsia="PMingLiU" w:hAnsi="PMingLiU" w:cs="宋体" w:hint="eastAsia"/>
                <w:color w:val="000000"/>
                <w:kern w:val="0"/>
                <w:sz w:val="22"/>
                <w:szCs w:val="22"/>
              </w:rPr>
              <w:t>研</w:t>
            </w:r>
            <w:proofErr w:type="gramEnd"/>
            <w:r>
              <w:rPr>
                <w:rFonts w:ascii="PMingLiU" w:eastAsia="PMingLiU" w:hAnsi="PMingLiU" w:cs="宋体" w:hint="eastAsia"/>
                <w:color w:val="000000"/>
                <w:kern w:val="0"/>
                <w:sz w:val="22"/>
                <w:szCs w:val="22"/>
              </w:rPr>
              <w:t>判-运行监管分析</w:t>
            </w:r>
            <w:proofErr w:type="gramStart"/>
            <w:r>
              <w:rPr>
                <w:rFonts w:ascii="PMingLiU" w:eastAsia="PMingLiU" w:hAnsi="PMingLiU" w:cs="宋体" w:hint="eastAsia"/>
                <w:color w:val="000000"/>
                <w:kern w:val="0"/>
                <w:sz w:val="22"/>
                <w:szCs w:val="22"/>
              </w:rPr>
              <w:t>研</w:t>
            </w:r>
            <w:proofErr w:type="gramEnd"/>
            <w:r>
              <w:rPr>
                <w:rFonts w:ascii="PMingLiU" w:eastAsia="PMingLiU" w:hAnsi="PMingLiU" w:cs="宋体" w:hint="eastAsia"/>
                <w:color w:val="000000"/>
                <w:kern w:val="0"/>
                <w:sz w:val="22"/>
                <w:szCs w:val="22"/>
              </w:rPr>
              <w:t>判</w:t>
            </w:r>
          </w:p>
        </w:tc>
        <w:tc>
          <w:tcPr>
            <w:tcW w:w="3737"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（1）主题分析</w:t>
            </w:r>
            <w:r>
              <w:rPr>
                <w:rFonts w:ascii="PMingLiU" w:eastAsia="PMingLiU" w:hAnsi="PMingLiU" w:cs="宋体" w:hint="eastAsia"/>
                <w:color w:val="000000"/>
                <w:kern w:val="0"/>
                <w:sz w:val="22"/>
                <w:szCs w:val="22"/>
              </w:rPr>
              <w:br/>
              <w:t>围绕公证机构的运行状况情况的分析，包括按照机构类型对运营数据的综合排名。</w:t>
            </w:r>
            <w:r>
              <w:rPr>
                <w:rFonts w:ascii="PMingLiU" w:eastAsia="PMingLiU" w:hAnsi="PMingLiU" w:cs="宋体" w:hint="eastAsia"/>
                <w:color w:val="000000"/>
                <w:kern w:val="0"/>
                <w:sz w:val="22"/>
                <w:szCs w:val="22"/>
              </w:rPr>
              <w:br/>
              <w:t>（2）综合</w:t>
            </w:r>
            <w:proofErr w:type="gramStart"/>
            <w:r>
              <w:rPr>
                <w:rFonts w:ascii="PMingLiU" w:eastAsia="PMingLiU" w:hAnsi="PMingLiU" w:cs="宋体" w:hint="eastAsia"/>
                <w:color w:val="000000"/>
                <w:kern w:val="0"/>
                <w:sz w:val="22"/>
                <w:szCs w:val="22"/>
              </w:rPr>
              <w:t>研判分析</w:t>
            </w:r>
            <w:proofErr w:type="gramEnd"/>
            <w:r>
              <w:rPr>
                <w:rFonts w:ascii="PMingLiU" w:eastAsia="PMingLiU" w:hAnsi="PMingLiU" w:cs="宋体" w:hint="eastAsia"/>
                <w:color w:val="000000"/>
                <w:kern w:val="0"/>
                <w:sz w:val="22"/>
                <w:szCs w:val="22"/>
              </w:rPr>
              <w:br/>
              <w:t>通过对全市公证机构的办证数量、出证量、费用、办证事项、机构类型等维度运行指标进行综合分析，得到</w:t>
            </w:r>
            <w:proofErr w:type="gramStart"/>
            <w:r>
              <w:rPr>
                <w:rFonts w:ascii="PMingLiU" w:eastAsia="PMingLiU" w:hAnsi="PMingLiU" w:cs="宋体" w:hint="eastAsia"/>
                <w:color w:val="000000"/>
                <w:kern w:val="0"/>
                <w:sz w:val="22"/>
                <w:szCs w:val="22"/>
              </w:rPr>
              <w:t>研</w:t>
            </w:r>
            <w:proofErr w:type="gramEnd"/>
            <w:r>
              <w:rPr>
                <w:rFonts w:ascii="PMingLiU" w:eastAsia="PMingLiU" w:hAnsi="PMingLiU" w:cs="宋体" w:hint="eastAsia"/>
                <w:color w:val="000000"/>
                <w:kern w:val="0"/>
                <w:sz w:val="22"/>
                <w:szCs w:val="22"/>
              </w:rPr>
              <w:t>判结论。</w:t>
            </w:r>
          </w:p>
        </w:tc>
      </w:tr>
      <w:tr w:rsidR="00427CFC">
        <w:trPr>
          <w:trHeight w:val="591"/>
        </w:trPr>
        <w:tc>
          <w:tcPr>
            <w:tcW w:w="260"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48</w:t>
            </w:r>
          </w:p>
        </w:tc>
        <w:tc>
          <w:tcPr>
            <w:tcW w:w="1001"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指标体系管理</w:t>
            </w:r>
          </w:p>
        </w:tc>
        <w:tc>
          <w:tcPr>
            <w:tcW w:w="3737"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信息监管是通过系统所呈现的指标定时或动态的变化来实现的。通过建立监管指标体系应能对具体业务实现精细化管控与评估。在实现过程管</w:t>
            </w:r>
            <w:proofErr w:type="gramStart"/>
            <w:r>
              <w:rPr>
                <w:rFonts w:ascii="PMingLiU" w:eastAsia="PMingLiU" w:hAnsi="PMingLiU" w:cs="宋体" w:hint="eastAsia"/>
                <w:color w:val="000000"/>
                <w:kern w:val="0"/>
                <w:sz w:val="22"/>
                <w:szCs w:val="22"/>
              </w:rPr>
              <w:t>控以及</w:t>
            </w:r>
            <w:proofErr w:type="gramEnd"/>
            <w:r>
              <w:rPr>
                <w:rFonts w:ascii="PMingLiU" w:eastAsia="PMingLiU" w:hAnsi="PMingLiU" w:cs="宋体" w:hint="eastAsia"/>
                <w:color w:val="000000"/>
                <w:kern w:val="0"/>
                <w:sz w:val="22"/>
                <w:szCs w:val="22"/>
              </w:rPr>
              <w:t>结果评估中，需基于真实、准确、专业的指标作为参考。</w:t>
            </w:r>
            <w:r>
              <w:rPr>
                <w:rFonts w:ascii="PMingLiU" w:eastAsia="PMingLiU" w:hAnsi="PMingLiU" w:cs="宋体" w:hint="eastAsia"/>
                <w:color w:val="000000"/>
                <w:kern w:val="0"/>
                <w:sz w:val="22"/>
                <w:szCs w:val="22"/>
              </w:rPr>
              <w:br/>
              <w:t>1、指标体系建立</w:t>
            </w:r>
            <w:r>
              <w:rPr>
                <w:rFonts w:ascii="PMingLiU" w:eastAsia="PMingLiU" w:hAnsi="PMingLiU" w:cs="宋体" w:hint="eastAsia"/>
                <w:color w:val="000000"/>
                <w:kern w:val="0"/>
                <w:sz w:val="22"/>
                <w:szCs w:val="22"/>
              </w:rPr>
              <w:br/>
              <w:t>指标体系的</w:t>
            </w:r>
            <w:proofErr w:type="gramStart"/>
            <w:r>
              <w:rPr>
                <w:rFonts w:ascii="PMingLiU" w:eastAsia="PMingLiU" w:hAnsi="PMingLiU" w:cs="宋体" w:hint="eastAsia"/>
                <w:color w:val="000000"/>
                <w:kern w:val="0"/>
                <w:sz w:val="22"/>
                <w:szCs w:val="22"/>
              </w:rPr>
              <w:t>建立指</w:t>
            </w:r>
            <w:proofErr w:type="gramEnd"/>
            <w:r>
              <w:rPr>
                <w:rFonts w:ascii="PMingLiU" w:eastAsia="PMingLiU" w:hAnsi="PMingLiU" w:cs="宋体" w:hint="eastAsia"/>
                <w:color w:val="000000"/>
                <w:kern w:val="0"/>
                <w:sz w:val="22"/>
                <w:szCs w:val="22"/>
              </w:rPr>
              <w:t>的是围绕本次监管内容，搭建符合业务监管需求的指标集。</w:t>
            </w:r>
            <w:r>
              <w:rPr>
                <w:rFonts w:ascii="PMingLiU" w:eastAsia="PMingLiU" w:hAnsi="PMingLiU" w:cs="宋体" w:hint="eastAsia"/>
                <w:color w:val="000000"/>
                <w:kern w:val="0"/>
                <w:sz w:val="22"/>
                <w:szCs w:val="22"/>
              </w:rPr>
              <w:br/>
              <w:t>2、指标管理</w:t>
            </w:r>
            <w:r>
              <w:rPr>
                <w:rFonts w:ascii="PMingLiU" w:eastAsia="PMingLiU" w:hAnsi="PMingLiU" w:cs="宋体" w:hint="eastAsia"/>
                <w:color w:val="000000"/>
                <w:kern w:val="0"/>
                <w:sz w:val="22"/>
                <w:szCs w:val="22"/>
              </w:rPr>
              <w:br/>
              <w:t>各类指标是通过数据自动采集、汇聚、统计、计算和展示的，需要指标字典、指标创建和指标管理三块功能支持进行指标管理。</w:t>
            </w:r>
          </w:p>
        </w:tc>
      </w:tr>
      <w:tr w:rsidR="00427CFC">
        <w:trPr>
          <w:trHeight w:val="1932"/>
        </w:trPr>
        <w:tc>
          <w:tcPr>
            <w:tcW w:w="260"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49</w:t>
            </w:r>
          </w:p>
        </w:tc>
        <w:tc>
          <w:tcPr>
            <w:tcW w:w="1001"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数据报表</w:t>
            </w:r>
          </w:p>
        </w:tc>
        <w:tc>
          <w:tcPr>
            <w:tcW w:w="3737"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提供数据报表生成的功能，报表包括：公证业务发展情况统计表、公证质量管理情况统计表、公证协会与公证管理处分情况统计表、行政体制公证机构转制优化情况表、公证机构机制优化表、公证业务统计表、</w:t>
            </w:r>
            <w:proofErr w:type="gramStart"/>
            <w:r>
              <w:rPr>
                <w:rFonts w:ascii="PMingLiU" w:eastAsia="PMingLiU" w:hAnsi="PMingLiU" w:cs="宋体" w:hint="eastAsia"/>
                <w:color w:val="000000"/>
                <w:kern w:val="0"/>
                <w:sz w:val="22"/>
                <w:szCs w:val="22"/>
              </w:rPr>
              <w:t>公证公益</w:t>
            </w:r>
            <w:proofErr w:type="gramEnd"/>
            <w:r>
              <w:rPr>
                <w:rFonts w:ascii="PMingLiU" w:eastAsia="PMingLiU" w:hAnsi="PMingLiU" w:cs="宋体" w:hint="eastAsia"/>
                <w:color w:val="000000"/>
                <w:kern w:val="0"/>
                <w:sz w:val="22"/>
                <w:szCs w:val="22"/>
              </w:rPr>
              <w:t>法律服务和公证质量统计表、公证员统计表、公证工作督察情况统计表和公证机构统计表，并且生成相关报告。</w:t>
            </w:r>
          </w:p>
        </w:tc>
      </w:tr>
      <w:tr w:rsidR="00427CFC">
        <w:trPr>
          <w:trHeight w:val="552"/>
        </w:trPr>
        <w:tc>
          <w:tcPr>
            <w:tcW w:w="260"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50</w:t>
            </w:r>
          </w:p>
        </w:tc>
        <w:tc>
          <w:tcPr>
            <w:tcW w:w="1001"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涉台文书管理</w:t>
            </w:r>
          </w:p>
        </w:tc>
        <w:tc>
          <w:tcPr>
            <w:tcW w:w="3737"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针对涉台办证文书进行统一管理，包括涉台公证书部门、公证书部门等，全程留痕查看。</w:t>
            </w:r>
          </w:p>
        </w:tc>
      </w:tr>
      <w:tr w:rsidR="00427CFC">
        <w:trPr>
          <w:trHeight w:val="1104"/>
        </w:trPr>
        <w:tc>
          <w:tcPr>
            <w:tcW w:w="260"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51</w:t>
            </w:r>
          </w:p>
        </w:tc>
        <w:tc>
          <w:tcPr>
            <w:tcW w:w="1001"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监管分析</w:t>
            </w:r>
          </w:p>
        </w:tc>
        <w:tc>
          <w:tcPr>
            <w:tcW w:w="3737"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智慧公证数据分析系统通过收集所有与公证相关的数据进行应用分析、建模，以原始数据为核心，针对公证管理业务特点进行多维度数据分析，并建立公证风险预警分析体系，做到全方位对公证行业进行精细监管。</w:t>
            </w:r>
          </w:p>
        </w:tc>
      </w:tr>
    </w:tbl>
    <w:p w:rsidR="00427CFC" w:rsidRDefault="00427CFC"/>
    <w:p w:rsidR="00427CFC" w:rsidRDefault="004220DA">
      <w:pPr>
        <w:pStyle w:val="4"/>
        <w:ind w:left="1134" w:hanging="1134"/>
      </w:pPr>
      <w:r>
        <w:rPr>
          <w:rFonts w:hint="eastAsia"/>
        </w:rPr>
        <w:t>司鉴管理模块</w:t>
      </w:r>
    </w:p>
    <w:tbl>
      <w:tblPr>
        <w:tblW w:w="5000" w:type="pct"/>
        <w:tblLayout w:type="fixed"/>
        <w:tblLook w:val="04A0"/>
      </w:tblPr>
      <w:tblGrid>
        <w:gridCol w:w="444"/>
        <w:gridCol w:w="1696"/>
        <w:gridCol w:w="6388"/>
      </w:tblGrid>
      <w:tr w:rsidR="00427CFC">
        <w:trPr>
          <w:trHeight w:val="576"/>
        </w:trPr>
        <w:tc>
          <w:tcPr>
            <w:tcW w:w="260" w:type="pct"/>
            <w:tcBorders>
              <w:top w:val="single" w:sz="4" w:space="0" w:color="auto"/>
              <w:left w:val="single" w:sz="4" w:space="0" w:color="auto"/>
              <w:bottom w:val="single" w:sz="4" w:space="0" w:color="auto"/>
              <w:right w:val="single" w:sz="4" w:space="0" w:color="auto"/>
            </w:tcBorders>
            <w:shd w:val="clear" w:color="000000" w:fill="F3F8FC"/>
            <w:noWrap/>
            <w:vAlign w:val="center"/>
          </w:tcPr>
          <w:p w:rsidR="00427CFC" w:rsidRDefault="004220DA">
            <w:pPr>
              <w:widowControl/>
              <w:spacing w:line="240" w:lineRule="auto"/>
              <w:ind w:firstLineChars="0" w:firstLine="0"/>
              <w:jc w:val="left"/>
              <w:rPr>
                <w:rFonts w:cs="宋体"/>
                <w:b/>
                <w:bCs/>
                <w:color w:val="000000"/>
                <w:kern w:val="0"/>
                <w:sz w:val="21"/>
                <w:szCs w:val="21"/>
              </w:rPr>
            </w:pPr>
            <w:r>
              <w:rPr>
                <w:rFonts w:cs="宋体" w:hint="eastAsia"/>
                <w:b/>
                <w:bCs/>
                <w:color w:val="000000"/>
                <w:kern w:val="0"/>
                <w:sz w:val="21"/>
                <w:szCs w:val="21"/>
              </w:rPr>
              <w:t>序号</w:t>
            </w:r>
          </w:p>
        </w:tc>
        <w:tc>
          <w:tcPr>
            <w:tcW w:w="994" w:type="pct"/>
            <w:tcBorders>
              <w:top w:val="single" w:sz="4" w:space="0" w:color="auto"/>
              <w:left w:val="nil"/>
              <w:bottom w:val="single" w:sz="4" w:space="0" w:color="auto"/>
              <w:right w:val="single" w:sz="4" w:space="0" w:color="auto"/>
            </w:tcBorders>
            <w:shd w:val="clear" w:color="000000" w:fill="F3F8FC"/>
            <w:vAlign w:val="center"/>
          </w:tcPr>
          <w:p w:rsidR="00427CFC" w:rsidRDefault="004220DA">
            <w:pPr>
              <w:widowControl/>
              <w:spacing w:line="240" w:lineRule="auto"/>
              <w:ind w:firstLineChars="0" w:firstLine="0"/>
              <w:jc w:val="left"/>
              <w:rPr>
                <w:rFonts w:cs="宋体"/>
                <w:b/>
                <w:bCs/>
                <w:color w:val="000000"/>
                <w:kern w:val="0"/>
                <w:sz w:val="21"/>
                <w:szCs w:val="21"/>
              </w:rPr>
            </w:pPr>
            <w:r>
              <w:rPr>
                <w:rFonts w:cs="宋体" w:hint="eastAsia"/>
                <w:b/>
                <w:bCs/>
                <w:color w:val="000000"/>
                <w:kern w:val="0"/>
                <w:sz w:val="21"/>
                <w:szCs w:val="21"/>
              </w:rPr>
              <w:t>功能名称</w:t>
            </w:r>
          </w:p>
        </w:tc>
        <w:tc>
          <w:tcPr>
            <w:tcW w:w="3744" w:type="pct"/>
            <w:tcBorders>
              <w:top w:val="single" w:sz="4" w:space="0" w:color="auto"/>
              <w:left w:val="nil"/>
              <w:bottom w:val="single" w:sz="4" w:space="0" w:color="auto"/>
              <w:right w:val="single" w:sz="4" w:space="0" w:color="auto"/>
            </w:tcBorders>
            <w:shd w:val="clear" w:color="000000" w:fill="F3F8FC"/>
            <w:vAlign w:val="center"/>
          </w:tcPr>
          <w:p w:rsidR="00427CFC" w:rsidRDefault="004220DA">
            <w:pPr>
              <w:widowControl/>
              <w:spacing w:line="240" w:lineRule="auto"/>
              <w:ind w:firstLineChars="0" w:firstLine="0"/>
              <w:jc w:val="left"/>
              <w:rPr>
                <w:rFonts w:cs="宋体"/>
                <w:b/>
                <w:bCs/>
                <w:color w:val="000000"/>
                <w:kern w:val="0"/>
                <w:sz w:val="21"/>
                <w:szCs w:val="21"/>
              </w:rPr>
            </w:pPr>
            <w:r>
              <w:rPr>
                <w:rFonts w:cs="宋体" w:hint="eastAsia"/>
                <w:b/>
                <w:bCs/>
                <w:color w:val="000000"/>
                <w:kern w:val="0"/>
                <w:sz w:val="21"/>
                <w:szCs w:val="21"/>
              </w:rPr>
              <w:t>功能描述</w:t>
            </w:r>
          </w:p>
        </w:tc>
      </w:tr>
      <w:tr w:rsidR="00427CFC">
        <w:trPr>
          <w:trHeight w:val="828"/>
        </w:trPr>
        <w:tc>
          <w:tcPr>
            <w:tcW w:w="260"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1</w:t>
            </w:r>
          </w:p>
        </w:tc>
        <w:tc>
          <w:tcPr>
            <w:tcW w:w="994"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法医毒物</w:t>
            </w:r>
          </w:p>
        </w:tc>
        <w:tc>
          <w:tcPr>
            <w:tcW w:w="3744"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气体毒物鉴定、挥发性毒物鉴定、合成药毒物鉴定、天然药毒物鉴定、毒品鉴定、易制毒化学品鉴定、杀虫剂鉴定、除草剂鉴定、杀鼠剂鉴定、金属毒物鉴定、水溶性无机毒物鉴定、与毒物相关</w:t>
            </w:r>
            <w:r>
              <w:rPr>
                <w:rFonts w:ascii="PMingLiU" w:eastAsia="PMingLiU" w:hAnsi="PMingLiU" w:cs="宋体" w:hint="eastAsia"/>
                <w:color w:val="000000"/>
                <w:kern w:val="0"/>
                <w:sz w:val="22"/>
                <w:szCs w:val="22"/>
              </w:rPr>
              <w:lastRenderedPageBreak/>
              <w:t>的其他法医毒物鉴定。</w:t>
            </w:r>
          </w:p>
        </w:tc>
      </w:tr>
      <w:tr w:rsidR="00427CFC">
        <w:trPr>
          <w:trHeight w:val="1104"/>
        </w:trPr>
        <w:tc>
          <w:tcPr>
            <w:tcW w:w="260"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lastRenderedPageBreak/>
              <w:t>2</w:t>
            </w:r>
          </w:p>
        </w:tc>
        <w:tc>
          <w:tcPr>
            <w:tcW w:w="994"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痕迹鉴定</w:t>
            </w:r>
          </w:p>
        </w:tc>
        <w:tc>
          <w:tcPr>
            <w:tcW w:w="3744"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手印鉴定、潜在手印显现、足迹鉴定、工具痕迹鉴定、整体分离痕迹鉴定、枪弹痕迹鉴定、爆炸痕迹鉴定、火灾痕迹鉴定、人体特殊痕迹鉴定、日用物品损坏痕迹鉴定、交通事故痕迹物证鉴定、车辆安全技术状况鉴定、交通设施安全技术状况鉴定、交通事故痕迹鉴定、车辆速度鉴定、交通事故痕迹物证综合鉴定。</w:t>
            </w:r>
          </w:p>
        </w:tc>
      </w:tr>
      <w:tr w:rsidR="00427CFC">
        <w:trPr>
          <w:trHeight w:val="828"/>
        </w:trPr>
        <w:tc>
          <w:tcPr>
            <w:tcW w:w="260"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3</w:t>
            </w:r>
          </w:p>
        </w:tc>
        <w:tc>
          <w:tcPr>
            <w:tcW w:w="994"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微量物证鉴定</w:t>
            </w:r>
          </w:p>
        </w:tc>
        <w:tc>
          <w:tcPr>
            <w:tcW w:w="3744"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化工产品类鉴定、金属和矿物类鉴定、纺织品类鉴定、日用化学品类鉴定、文化用品类鉴定、食品类鉴定、易燃物质类鉴定、爆炸物类鉴定、射击残留物类鉴定、交通事故微量物证鉴定、火灾微量物证鉴定。</w:t>
            </w:r>
          </w:p>
        </w:tc>
      </w:tr>
      <w:tr w:rsidR="00427CFC">
        <w:trPr>
          <w:trHeight w:val="552"/>
        </w:trPr>
        <w:tc>
          <w:tcPr>
            <w:tcW w:w="260"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4</w:t>
            </w:r>
          </w:p>
        </w:tc>
        <w:tc>
          <w:tcPr>
            <w:tcW w:w="994"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录音鉴定</w:t>
            </w:r>
          </w:p>
        </w:tc>
        <w:tc>
          <w:tcPr>
            <w:tcW w:w="3744"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录音处理、录音真实性鉴定、录音同一性鉴定、录音内容分析、录音作品相似性鉴定。</w:t>
            </w:r>
          </w:p>
        </w:tc>
      </w:tr>
      <w:tr w:rsidR="00427CFC">
        <w:trPr>
          <w:trHeight w:val="552"/>
        </w:trPr>
        <w:tc>
          <w:tcPr>
            <w:tcW w:w="260"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5</w:t>
            </w:r>
          </w:p>
        </w:tc>
        <w:tc>
          <w:tcPr>
            <w:tcW w:w="994"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图像鉴定</w:t>
            </w:r>
          </w:p>
        </w:tc>
        <w:tc>
          <w:tcPr>
            <w:tcW w:w="3744"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图像处理、图像真实性鉴定、图像同一性鉴定、图像内容分析、图像作品相似性鉴定、特种照相检验。</w:t>
            </w:r>
          </w:p>
        </w:tc>
      </w:tr>
      <w:tr w:rsidR="00427CFC">
        <w:trPr>
          <w:trHeight w:val="552"/>
        </w:trPr>
        <w:tc>
          <w:tcPr>
            <w:tcW w:w="260"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6</w:t>
            </w:r>
          </w:p>
        </w:tc>
        <w:tc>
          <w:tcPr>
            <w:tcW w:w="994"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电子数据鉴定</w:t>
            </w:r>
          </w:p>
        </w:tc>
        <w:tc>
          <w:tcPr>
            <w:tcW w:w="3744"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电子数据存在性鉴定、电子数据真实性鉴定、电子数据功能性鉴定、电子数据相似性鉴定。</w:t>
            </w:r>
          </w:p>
        </w:tc>
      </w:tr>
      <w:tr w:rsidR="00427CFC">
        <w:trPr>
          <w:trHeight w:val="828"/>
        </w:trPr>
        <w:tc>
          <w:tcPr>
            <w:tcW w:w="260"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7</w:t>
            </w:r>
          </w:p>
        </w:tc>
        <w:tc>
          <w:tcPr>
            <w:tcW w:w="994"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污染物性质鉴定</w:t>
            </w:r>
          </w:p>
        </w:tc>
        <w:tc>
          <w:tcPr>
            <w:tcW w:w="3744"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固体废物鉴定、危险废物鉴定、有毒物质（不包括危险废物）鉴定、放射性废物鉴定、含传染病病原体的废物（不包括医疗废物）鉴定、污染物筛查及理化性质鉴定、有毒物质、放射性废物致植物损害鉴定、有毒物质、放射性废物</w:t>
            </w:r>
            <w:proofErr w:type="gramStart"/>
            <w:r>
              <w:rPr>
                <w:rFonts w:ascii="PMingLiU" w:eastAsia="PMingLiU" w:hAnsi="PMingLiU" w:cs="宋体" w:hint="eastAsia"/>
                <w:color w:val="000000"/>
                <w:kern w:val="0"/>
                <w:sz w:val="22"/>
                <w:szCs w:val="22"/>
              </w:rPr>
              <w:t>致动物</w:t>
            </w:r>
            <w:proofErr w:type="gramEnd"/>
            <w:r>
              <w:rPr>
                <w:rFonts w:ascii="PMingLiU" w:eastAsia="PMingLiU" w:hAnsi="PMingLiU" w:cs="宋体" w:hint="eastAsia"/>
                <w:color w:val="000000"/>
                <w:kern w:val="0"/>
                <w:sz w:val="22"/>
                <w:szCs w:val="22"/>
              </w:rPr>
              <w:t>损害鉴定。</w:t>
            </w:r>
          </w:p>
        </w:tc>
      </w:tr>
      <w:tr w:rsidR="00427CFC">
        <w:trPr>
          <w:trHeight w:val="780"/>
        </w:trPr>
        <w:tc>
          <w:tcPr>
            <w:tcW w:w="260"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8</w:t>
            </w:r>
          </w:p>
        </w:tc>
        <w:tc>
          <w:tcPr>
            <w:tcW w:w="994"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地表水与沉积物环境损害鉴定</w:t>
            </w:r>
          </w:p>
        </w:tc>
        <w:tc>
          <w:tcPr>
            <w:tcW w:w="3744"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污染环境行为致地表水与沉积物环境损害鉴定、污染环境行为致水生态系统损害鉴定、地表水和沉积物污染致植物损害鉴定、地表水和沉积物污染</w:t>
            </w:r>
            <w:proofErr w:type="gramStart"/>
            <w:r>
              <w:rPr>
                <w:rFonts w:ascii="PMingLiU" w:eastAsia="PMingLiU" w:hAnsi="PMingLiU" w:cs="宋体" w:hint="eastAsia"/>
                <w:color w:val="000000"/>
                <w:kern w:val="0"/>
                <w:sz w:val="22"/>
                <w:szCs w:val="22"/>
              </w:rPr>
              <w:t>致动物</w:t>
            </w:r>
            <w:proofErr w:type="gramEnd"/>
            <w:r>
              <w:rPr>
                <w:rFonts w:ascii="PMingLiU" w:eastAsia="PMingLiU" w:hAnsi="PMingLiU" w:cs="宋体" w:hint="eastAsia"/>
                <w:color w:val="000000"/>
                <w:kern w:val="0"/>
                <w:sz w:val="22"/>
                <w:szCs w:val="22"/>
              </w:rPr>
              <w:t>损害鉴定。</w:t>
            </w:r>
          </w:p>
        </w:tc>
      </w:tr>
      <w:tr w:rsidR="00427CFC">
        <w:trPr>
          <w:trHeight w:val="828"/>
        </w:trPr>
        <w:tc>
          <w:tcPr>
            <w:tcW w:w="260"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9</w:t>
            </w:r>
          </w:p>
        </w:tc>
        <w:tc>
          <w:tcPr>
            <w:tcW w:w="994"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空气污染环境损害鉴定</w:t>
            </w:r>
          </w:p>
        </w:tc>
        <w:tc>
          <w:tcPr>
            <w:tcW w:w="3744"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污染环境行为致环境空气损害鉴定、环境空气污染致植物损害鉴定、环境空气污染</w:t>
            </w:r>
            <w:proofErr w:type="gramStart"/>
            <w:r>
              <w:rPr>
                <w:rFonts w:ascii="PMingLiU" w:eastAsia="PMingLiU" w:hAnsi="PMingLiU" w:cs="宋体" w:hint="eastAsia"/>
                <w:color w:val="000000"/>
                <w:kern w:val="0"/>
                <w:sz w:val="22"/>
                <w:szCs w:val="22"/>
              </w:rPr>
              <w:t>致动物</w:t>
            </w:r>
            <w:proofErr w:type="gramEnd"/>
            <w:r>
              <w:rPr>
                <w:rFonts w:ascii="PMingLiU" w:eastAsia="PMingLiU" w:hAnsi="PMingLiU" w:cs="宋体" w:hint="eastAsia"/>
                <w:color w:val="000000"/>
                <w:kern w:val="0"/>
                <w:sz w:val="22"/>
                <w:szCs w:val="22"/>
              </w:rPr>
              <w:t>损害鉴定、室内空气污染损害鉴定、室内空气污染致人体健康损害鉴定。</w:t>
            </w:r>
          </w:p>
        </w:tc>
      </w:tr>
      <w:tr w:rsidR="00427CFC">
        <w:trPr>
          <w:trHeight w:val="828"/>
        </w:trPr>
        <w:tc>
          <w:tcPr>
            <w:tcW w:w="260"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10</w:t>
            </w:r>
          </w:p>
        </w:tc>
        <w:tc>
          <w:tcPr>
            <w:tcW w:w="994"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土壤与地下水环境损害鉴定</w:t>
            </w:r>
          </w:p>
        </w:tc>
        <w:tc>
          <w:tcPr>
            <w:tcW w:w="3744"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污染环境行为致土壤环境损害鉴定、污染环境行为致地下水环境损害鉴定、污染环境行为致土壤生态系统损害鉴定、土壤污染致植物损害鉴定、地下水污染致植物损害鉴定、土壤污染</w:t>
            </w:r>
            <w:proofErr w:type="gramStart"/>
            <w:r>
              <w:rPr>
                <w:rFonts w:ascii="PMingLiU" w:eastAsia="PMingLiU" w:hAnsi="PMingLiU" w:cs="宋体" w:hint="eastAsia"/>
                <w:color w:val="000000"/>
                <w:kern w:val="0"/>
                <w:sz w:val="22"/>
                <w:szCs w:val="22"/>
              </w:rPr>
              <w:t>致动物</w:t>
            </w:r>
            <w:proofErr w:type="gramEnd"/>
            <w:r>
              <w:rPr>
                <w:rFonts w:ascii="PMingLiU" w:eastAsia="PMingLiU" w:hAnsi="PMingLiU" w:cs="宋体" w:hint="eastAsia"/>
                <w:color w:val="000000"/>
                <w:kern w:val="0"/>
                <w:sz w:val="22"/>
                <w:szCs w:val="22"/>
              </w:rPr>
              <w:t>损害鉴定、地下水污染</w:t>
            </w:r>
            <w:proofErr w:type="gramStart"/>
            <w:r>
              <w:rPr>
                <w:rFonts w:ascii="PMingLiU" w:eastAsia="PMingLiU" w:hAnsi="PMingLiU" w:cs="宋体" w:hint="eastAsia"/>
                <w:color w:val="000000"/>
                <w:kern w:val="0"/>
                <w:sz w:val="22"/>
                <w:szCs w:val="22"/>
              </w:rPr>
              <w:t>致动物</w:t>
            </w:r>
            <w:proofErr w:type="gramEnd"/>
            <w:r>
              <w:rPr>
                <w:rFonts w:ascii="PMingLiU" w:eastAsia="PMingLiU" w:hAnsi="PMingLiU" w:cs="宋体" w:hint="eastAsia"/>
                <w:color w:val="000000"/>
                <w:kern w:val="0"/>
                <w:sz w:val="22"/>
                <w:szCs w:val="22"/>
              </w:rPr>
              <w:t>损害鉴定。</w:t>
            </w:r>
          </w:p>
        </w:tc>
      </w:tr>
      <w:tr w:rsidR="00427CFC">
        <w:trPr>
          <w:trHeight w:val="1104"/>
        </w:trPr>
        <w:tc>
          <w:tcPr>
            <w:tcW w:w="260"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11</w:t>
            </w:r>
          </w:p>
        </w:tc>
        <w:tc>
          <w:tcPr>
            <w:tcW w:w="994"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近海海洋与海岸带环境损害鉴定</w:t>
            </w:r>
          </w:p>
        </w:tc>
        <w:tc>
          <w:tcPr>
            <w:tcW w:w="3744"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污染环境行为致近岸海洋与海岸带生态系统损害鉴定、近岸海洋与海岸带环境污染致海洋植物损害鉴定、近岸海洋与海岸带环境污染致海洋动物损害鉴定。</w:t>
            </w:r>
          </w:p>
        </w:tc>
      </w:tr>
      <w:tr w:rsidR="00427CFC">
        <w:trPr>
          <w:trHeight w:val="1932"/>
        </w:trPr>
        <w:tc>
          <w:tcPr>
            <w:tcW w:w="260"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12</w:t>
            </w:r>
          </w:p>
        </w:tc>
        <w:tc>
          <w:tcPr>
            <w:tcW w:w="994"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生态系统环境损害鉴定</w:t>
            </w:r>
          </w:p>
        </w:tc>
        <w:tc>
          <w:tcPr>
            <w:tcW w:w="3744"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生态破坏行为致植物损害鉴定、生态破坏行为</w:t>
            </w:r>
            <w:proofErr w:type="gramStart"/>
            <w:r>
              <w:rPr>
                <w:rFonts w:ascii="PMingLiU" w:eastAsia="PMingLiU" w:hAnsi="PMingLiU" w:cs="宋体" w:hint="eastAsia"/>
                <w:color w:val="000000"/>
                <w:kern w:val="0"/>
                <w:sz w:val="22"/>
                <w:szCs w:val="22"/>
              </w:rPr>
              <w:t>致动物</w:t>
            </w:r>
            <w:proofErr w:type="gramEnd"/>
            <w:r>
              <w:rPr>
                <w:rFonts w:ascii="PMingLiU" w:eastAsia="PMingLiU" w:hAnsi="PMingLiU" w:cs="宋体" w:hint="eastAsia"/>
                <w:color w:val="000000"/>
                <w:kern w:val="0"/>
                <w:sz w:val="22"/>
                <w:szCs w:val="22"/>
              </w:rPr>
              <w:t>损害鉴定、生态破坏行为致微生物损害鉴定、生态破坏行为致森林生态系统损害鉴定、生态破坏行为致草原生态系统损害鉴定、生态破坏行为致湿地生态系统损害鉴定、生态破坏行为致荒漠生态系统损害鉴定、生态破坏行为致海洋生态系</w:t>
            </w:r>
            <w:proofErr w:type="gramStart"/>
            <w:r>
              <w:rPr>
                <w:rFonts w:ascii="PMingLiU" w:eastAsia="PMingLiU" w:hAnsi="PMingLiU" w:cs="宋体" w:hint="eastAsia"/>
                <w:color w:val="000000"/>
                <w:kern w:val="0"/>
                <w:sz w:val="22"/>
                <w:szCs w:val="22"/>
              </w:rPr>
              <w:t>统损害</w:t>
            </w:r>
            <w:proofErr w:type="gramEnd"/>
            <w:r>
              <w:rPr>
                <w:rFonts w:ascii="PMingLiU" w:eastAsia="PMingLiU" w:hAnsi="PMingLiU" w:cs="宋体" w:hint="eastAsia"/>
                <w:color w:val="000000"/>
                <w:kern w:val="0"/>
                <w:sz w:val="22"/>
                <w:szCs w:val="22"/>
              </w:rPr>
              <w:t>鉴定、生态破坏行为致河流、湖泊生态系统损害鉴定、生态破坏行为致冻原生态系统损害鉴定、生态破坏行为致农田生态系统损害鉴定、生态破坏行为致城市生态系统损害鉴定、矿产资源开采行为致矿山地质环境破坏、土地损毁及生态功能损害鉴定。</w:t>
            </w:r>
          </w:p>
        </w:tc>
      </w:tr>
      <w:tr w:rsidR="00427CFC">
        <w:trPr>
          <w:trHeight w:val="552"/>
        </w:trPr>
        <w:tc>
          <w:tcPr>
            <w:tcW w:w="260"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lastRenderedPageBreak/>
              <w:t>13</w:t>
            </w:r>
          </w:p>
        </w:tc>
        <w:tc>
          <w:tcPr>
            <w:tcW w:w="994"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其他环境损害鉴定</w:t>
            </w:r>
          </w:p>
        </w:tc>
        <w:tc>
          <w:tcPr>
            <w:tcW w:w="3744"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噪声损害鉴定、振动损害鉴定、</w:t>
            </w:r>
            <w:proofErr w:type="gramStart"/>
            <w:r>
              <w:rPr>
                <w:rFonts w:ascii="PMingLiU" w:eastAsia="PMingLiU" w:hAnsi="PMingLiU" w:cs="宋体" w:hint="eastAsia"/>
                <w:color w:val="000000"/>
                <w:kern w:val="0"/>
                <w:sz w:val="22"/>
                <w:szCs w:val="22"/>
              </w:rPr>
              <w:t>光损害</w:t>
            </w:r>
            <w:proofErr w:type="gramEnd"/>
            <w:r>
              <w:rPr>
                <w:rFonts w:ascii="PMingLiU" w:eastAsia="PMingLiU" w:hAnsi="PMingLiU" w:cs="宋体" w:hint="eastAsia"/>
                <w:color w:val="000000"/>
                <w:kern w:val="0"/>
                <w:sz w:val="22"/>
                <w:szCs w:val="22"/>
              </w:rPr>
              <w:t>鉴定、</w:t>
            </w:r>
            <w:proofErr w:type="gramStart"/>
            <w:r>
              <w:rPr>
                <w:rFonts w:ascii="PMingLiU" w:eastAsia="PMingLiU" w:hAnsi="PMingLiU" w:cs="宋体" w:hint="eastAsia"/>
                <w:color w:val="000000"/>
                <w:kern w:val="0"/>
                <w:sz w:val="22"/>
                <w:szCs w:val="22"/>
              </w:rPr>
              <w:t>热损害</w:t>
            </w:r>
            <w:proofErr w:type="gramEnd"/>
            <w:r>
              <w:rPr>
                <w:rFonts w:ascii="PMingLiU" w:eastAsia="PMingLiU" w:hAnsi="PMingLiU" w:cs="宋体" w:hint="eastAsia"/>
                <w:color w:val="000000"/>
                <w:kern w:val="0"/>
                <w:sz w:val="22"/>
                <w:szCs w:val="22"/>
              </w:rPr>
              <w:t>鉴定、电磁辐射损害鉴定、电离辐射损害鉴定。</w:t>
            </w:r>
          </w:p>
        </w:tc>
      </w:tr>
      <w:tr w:rsidR="00427CFC">
        <w:trPr>
          <w:trHeight w:val="828"/>
        </w:trPr>
        <w:tc>
          <w:tcPr>
            <w:tcW w:w="260"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14</w:t>
            </w:r>
          </w:p>
        </w:tc>
        <w:tc>
          <w:tcPr>
            <w:tcW w:w="994"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法医病理</w:t>
            </w:r>
          </w:p>
        </w:tc>
        <w:tc>
          <w:tcPr>
            <w:tcW w:w="3744"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尸体解剖、尸表检验、器官/切片检验、器官组织法医病理学检验与诊断、死亡方式判断、死亡时间推断、损伤时间推断、致伤物推断、成伤机制分析、医疗损害鉴定、与死亡原因相关的其他法医病理鉴定。</w:t>
            </w:r>
          </w:p>
        </w:tc>
      </w:tr>
      <w:tr w:rsidR="00427CFC">
        <w:trPr>
          <w:trHeight w:val="828"/>
        </w:trPr>
        <w:tc>
          <w:tcPr>
            <w:tcW w:w="260"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15</w:t>
            </w:r>
          </w:p>
        </w:tc>
        <w:tc>
          <w:tcPr>
            <w:tcW w:w="994"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法医临床</w:t>
            </w:r>
          </w:p>
        </w:tc>
        <w:tc>
          <w:tcPr>
            <w:tcW w:w="3744"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人体损伤程度鉴定、人体残疾等级鉴定、赔偿相关鉴定、视觉功能、听觉功能、男性性功能与生育功能、嗅觉功能、前庭平衡功能、性侵犯与性别鉴定、诈伤、诈病、造作伤鉴定、医疗损害鉴定、骨龄鉴定、与人体损伤相关的其他法医临床鉴定。</w:t>
            </w:r>
          </w:p>
        </w:tc>
      </w:tr>
      <w:tr w:rsidR="00427CFC">
        <w:trPr>
          <w:trHeight w:val="828"/>
        </w:trPr>
        <w:tc>
          <w:tcPr>
            <w:tcW w:w="260"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16</w:t>
            </w:r>
          </w:p>
        </w:tc>
        <w:tc>
          <w:tcPr>
            <w:tcW w:w="994"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法医精神病</w:t>
            </w:r>
          </w:p>
        </w:tc>
        <w:tc>
          <w:tcPr>
            <w:tcW w:w="3744"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精神状态鉴定、刑事类行为能力鉴定、民事类行为能力鉴定、其他类行为能力鉴定、精神损伤类鉴定、医疗损害鉴定、危险性评估、精神障碍医学鉴定、与心理、精神相关的其他法医精神病鉴定或测试。</w:t>
            </w:r>
          </w:p>
        </w:tc>
      </w:tr>
      <w:tr w:rsidR="00427CFC">
        <w:trPr>
          <w:trHeight w:val="828"/>
        </w:trPr>
        <w:tc>
          <w:tcPr>
            <w:tcW w:w="260"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17</w:t>
            </w:r>
          </w:p>
        </w:tc>
        <w:tc>
          <w:tcPr>
            <w:tcW w:w="994"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法医物证</w:t>
            </w:r>
          </w:p>
        </w:tc>
        <w:tc>
          <w:tcPr>
            <w:tcW w:w="3744"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个体识别、三联体亲子关系鉴定、二联体亲子关系鉴定、亲缘关系鉴定、生物检</w:t>
            </w:r>
            <w:proofErr w:type="gramStart"/>
            <w:r>
              <w:rPr>
                <w:rFonts w:ascii="PMingLiU" w:eastAsia="PMingLiU" w:hAnsi="PMingLiU" w:cs="宋体" w:hint="eastAsia"/>
                <w:color w:val="000000"/>
                <w:kern w:val="0"/>
                <w:sz w:val="22"/>
                <w:szCs w:val="22"/>
              </w:rPr>
              <w:t>材种属</w:t>
            </w:r>
            <w:proofErr w:type="gramEnd"/>
            <w:r>
              <w:rPr>
                <w:rFonts w:ascii="PMingLiU" w:eastAsia="PMingLiU" w:hAnsi="PMingLiU" w:cs="宋体" w:hint="eastAsia"/>
                <w:color w:val="000000"/>
                <w:kern w:val="0"/>
                <w:sz w:val="22"/>
                <w:szCs w:val="22"/>
              </w:rPr>
              <w:t>和组织来源鉴定、生物检材来源生物地理溯源、生物检材来源个体表型推断、生物检材来源个体年龄推断、与非人源生物检</w:t>
            </w:r>
            <w:proofErr w:type="gramStart"/>
            <w:r>
              <w:rPr>
                <w:rFonts w:ascii="PMingLiU" w:eastAsia="PMingLiU" w:hAnsi="PMingLiU" w:cs="宋体" w:hint="eastAsia"/>
                <w:color w:val="000000"/>
                <w:kern w:val="0"/>
                <w:sz w:val="22"/>
                <w:szCs w:val="22"/>
              </w:rPr>
              <w:t>材相关</w:t>
            </w:r>
            <w:proofErr w:type="gramEnd"/>
            <w:r>
              <w:rPr>
                <w:rFonts w:ascii="PMingLiU" w:eastAsia="PMingLiU" w:hAnsi="PMingLiU" w:cs="宋体" w:hint="eastAsia"/>
                <w:color w:val="000000"/>
                <w:kern w:val="0"/>
                <w:sz w:val="22"/>
                <w:szCs w:val="22"/>
              </w:rPr>
              <w:t>的其他法医物证鉴定。</w:t>
            </w:r>
          </w:p>
        </w:tc>
      </w:tr>
      <w:tr w:rsidR="00427CFC">
        <w:trPr>
          <w:trHeight w:val="828"/>
        </w:trPr>
        <w:tc>
          <w:tcPr>
            <w:tcW w:w="260"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18</w:t>
            </w:r>
          </w:p>
        </w:tc>
        <w:tc>
          <w:tcPr>
            <w:tcW w:w="994"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文书鉴定</w:t>
            </w:r>
          </w:p>
        </w:tc>
        <w:tc>
          <w:tcPr>
            <w:tcW w:w="3744"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笔迹鉴定、印章印文鉴定、印刷文件鉴定、篡改（污损）文件鉴定、文件形成方式鉴定、特种文件鉴定、朱墨时序鉴定、文件材料鉴定、基于痕迹特征的文件形成时间鉴定、基于材料特征的文件形成时间鉴定、文本内容鉴定。</w:t>
            </w:r>
          </w:p>
        </w:tc>
      </w:tr>
      <w:tr w:rsidR="00427CFC">
        <w:trPr>
          <w:trHeight w:val="552"/>
        </w:trPr>
        <w:tc>
          <w:tcPr>
            <w:tcW w:w="260"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19</w:t>
            </w:r>
          </w:p>
        </w:tc>
        <w:tc>
          <w:tcPr>
            <w:tcW w:w="994"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鉴定分类细化</w:t>
            </w:r>
          </w:p>
        </w:tc>
        <w:tc>
          <w:tcPr>
            <w:tcW w:w="3744"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损伤类别细化、毒品类型细化。</w:t>
            </w:r>
          </w:p>
        </w:tc>
      </w:tr>
      <w:tr w:rsidR="00427CFC">
        <w:trPr>
          <w:trHeight w:val="552"/>
        </w:trPr>
        <w:tc>
          <w:tcPr>
            <w:tcW w:w="260"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20</w:t>
            </w:r>
          </w:p>
        </w:tc>
        <w:tc>
          <w:tcPr>
            <w:tcW w:w="994"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鉴定检材补充</w:t>
            </w:r>
          </w:p>
        </w:tc>
        <w:tc>
          <w:tcPr>
            <w:tcW w:w="3744"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声像资料检材、环境损害检材。</w:t>
            </w:r>
          </w:p>
        </w:tc>
      </w:tr>
      <w:tr w:rsidR="00427CFC">
        <w:trPr>
          <w:trHeight w:val="552"/>
        </w:trPr>
        <w:tc>
          <w:tcPr>
            <w:tcW w:w="260"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21</w:t>
            </w:r>
          </w:p>
        </w:tc>
        <w:tc>
          <w:tcPr>
            <w:tcW w:w="994"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鉴定过程补充</w:t>
            </w:r>
          </w:p>
        </w:tc>
        <w:tc>
          <w:tcPr>
            <w:tcW w:w="3744"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外出鉴定、跨省鉴定、案件暂停申请、案件超期倒计时、案件批量导出。</w:t>
            </w:r>
          </w:p>
        </w:tc>
      </w:tr>
      <w:tr w:rsidR="00427CFC">
        <w:trPr>
          <w:trHeight w:val="552"/>
        </w:trPr>
        <w:tc>
          <w:tcPr>
            <w:tcW w:w="260"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22</w:t>
            </w:r>
          </w:p>
        </w:tc>
        <w:tc>
          <w:tcPr>
            <w:tcW w:w="994"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机构管理补充</w:t>
            </w:r>
          </w:p>
        </w:tc>
        <w:tc>
          <w:tcPr>
            <w:tcW w:w="3744"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案件暂停审批、黑名单上报、复核人报备、转所申请、机构鉴定业务范围。</w:t>
            </w:r>
          </w:p>
        </w:tc>
      </w:tr>
      <w:tr w:rsidR="00427CFC">
        <w:trPr>
          <w:trHeight w:val="276"/>
        </w:trPr>
        <w:tc>
          <w:tcPr>
            <w:tcW w:w="260"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23</w:t>
            </w:r>
          </w:p>
        </w:tc>
        <w:tc>
          <w:tcPr>
            <w:tcW w:w="994"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机构审批</w:t>
            </w:r>
          </w:p>
        </w:tc>
        <w:tc>
          <w:tcPr>
            <w:tcW w:w="3744"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复核人审批、转所审批、认证认可证明。</w:t>
            </w:r>
          </w:p>
        </w:tc>
      </w:tr>
      <w:tr w:rsidR="00427CFC">
        <w:trPr>
          <w:trHeight w:val="276"/>
        </w:trPr>
        <w:tc>
          <w:tcPr>
            <w:tcW w:w="260"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24</w:t>
            </w:r>
          </w:p>
        </w:tc>
        <w:tc>
          <w:tcPr>
            <w:tcW w:w="994"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新增预警</w:t>
            </w:r>
          </w:p>
        </w:tc>
        <w:tc>
          <w:tcPr>
            <w:tcW w:w="3744"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proofErr w:type="gramStart"/>
            <w:r>
              <w:rPr>
                <w:rFonts w:ascii="PMingLiU" w:eastAsia="PMingLiU" w:hAnsi="PMingLiU" w:cs="宋体" w:hint="eastAsia"/>
                <w:color w:val="000000"/>
                <w:kern w:val="0"/>
                <w:sz w:val="22"/>
                <w:szCs w:val="22"/>
              </w:rPr>
              <w:t>环损金额</w:t>
            </w:r>
            <w:proofErr w:type="gramEnd"/>
            <w:r>
              <w:rPr>
                <w:rFonts w:ascii="PMingLiU" w:eastAsia="PMingLiU" w:hAnsi="PMingLiU" w:cs="宋体" w:hint="eastAsia"/>
                <w:color w:val="000000"/>
                <w:kern w:val="0"/>
                <w:sz w:val="22"/>
                <w:szCs w:val="22"/>
              </w:rPr>
              <w:t>预警、重新鉴定预警、重新鉴定对比、跨省鉴定预警。</w:t>
            </w:r>
          </w:p>
        </w:tc>
      </w:tr>
      <w:tr w:rsidR="00427CFC">
        <w:trPr>
          <w:trHeight w:val="552"/>
        </w:trPr>
        <w:tc>
          <w:tcPr>
            <w:tcW w:w="260"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25</w:t>
            </w:r>
          </w:p>
        </w:tc>
        <w:tc>
          <w:tcPr>
            <w:tcW w:w="994"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案件分析</w:t>
            </w:r>
          </w:p>
        </w:tc>
        <w:tc>
          <w:tcPr>
            <w:tcW w:w="3744"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案件办理质量分析、损伤类别分析、毒品种类分析、酒精鉴定分析、案件时间分类、新旧业务关联。</w:t>
            </w:r>
          </w:p>
        </w:tc>
      </w:tr>
      <w:tr w:rsidR="00427CFC">
        <w:trPr>
          <w:trHeight w:val="552"/>
        </w:trPr>
        <w:tc>
          <w:tcPr>
            <w:tcW w:w="260"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26</w:t>
            </w:r>
          </w:p>
        </w:tc>
        <w:tc>
          <w:tcPr>
            <w:tcW w:w="994"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行业协会管理</w:t>
            </w:r>
          </w:p>
        </w:tc>
        <w:tc>
          <w:tcPr>
            <w:tcW w:w="3744"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行业检查管理、鉴定助理管理、行业投诉管理、行业表彰管理、行业惩戒管理、行业协会专业等级评定管理。</w:t>
            </w:r>
          </w:p>
        </w:tc>
      </w:tr>
    </w:tbl>
    <w:p w:rsidR="00427CFC" w:rsidRDefault="00427CFC"/>
    <w:p w:rsidR="00427CFC" w:rsidRDefault="004220DA">
      <w:pPr>
        <w:pStyle w:val="4"/>
        <w:ind w:left="1134" w:hanging="1134"/>
      </w:pPr>
      <w:r>
        <w:rPr>
          <w:rFonts w:hint="eastAsia"/>
        </w:rPr>
        <w:t>信访管理模块</w:t>
      </w:r>
    </w:p>
    <w:tbl>
      <w:tblPr>
        <w:tblW w:w="5000" w:type="pct"/>
        <w:tblLayout w:type="fixed"/>
        <w:tblLook w:val="04A0"/>
      </w:tblPr>
      <w:tblGrid>
        <w:gridCol w:w="456"/>
        <w:gridCol w:w="1685"/>
        <w:gridCol w:w="6387"/>
      </w:tblGrid>
      <w:tr w:rsidR="00427CFC">
        <w:trPr>
          <w:trHeight w:val="288"/>
        </w:trPr>
        <w:tc>
          <w:tcPr>
            <w:tcW w:w="267" w:type="pct"/>
            <w:tcBorders>
              <w:top w:val="single" w:sz="4" w:space="0" w:color="auto"/>
              <w:left w:val="single" w:sz="4" w:space="0" w:color="auto"/>
              <w:bottom w:val="single" w:sz="4" w:space="0" w:color="auto"/>
              <w:right w:val="single" w:sz="4" w:space="0" w:color="auto"/>
            </w:tcBorders>
            <w:shd w:val="clear" w:color="000000" w:fill="F3F8FC"/>
            <w:noWrap/>
            <w:vAlign w:val="center"/>
          </w:tcPr>
          <w:p w:rsidR="00427CFC" w:rsidRDefault="004220DA">
            <w:pPr>
              <w:widowControl/>
              <w:spacing w:line="240" w:lineRule="auto"/>
              <w:ind w:firstLineChars="0" w:firstLine="0"/>
              <w:jc w:val="left"/>
              <w:rPr>
                <w:rFonts w:cs="宋体"/>
                <w:b/>
                <w:bCs/>
                <w:color w:val="000000"/>
                <w:kern w:val="0"/>
                <w:sz w:val="21"/>
                <w:szCs w:val="21"/>
              </w:rPr>
            </w:pPr>
            <w:r>
              <w:rPr>
                <w:rFonts w:cs="宋体" w:hint="eastAsia"/>
                <w:b/>
                <w:bCs/>
                <w:color w:val="000000"/>
                <w:kern w:val="0"/>
                <w:sz w:val="21"/>
                <w:szCs w:val="21"/>
              </w:rPr>
              <w:t>序号</w:t>
            </w:r>
          </w:p>
        </w:tc>
        <w:tc>
          <w:tcPr>
            <w:tcW w:w="988" w:type="pct"/>
            <w:tcBorders>
              <w:top w:val="single" w:sz="4" w:space="0" w:color="auto"/>
              <w:left w:val="nil"/>
              <w:bottom w:val="single" w:sz="4" w:space="0" w:color="auto"/>
              <w:right w:val="single" w:sz="4" w:space="0" w:color="auto"/>
            </w:tcBorders>
            <w:shd w:val="clear" w:color="000000" w:fill="F3F8FC"/>
            <w:vAlign w:val="center"/>
          </w:tcPr>
          <w:p w:rsidR="00427CFC" w:rsidRDefault="004220DA">
            <w:pPr>
              <w:widowControl/>
              <w:spacing w:line="240" w:lineRule="auto"/>
              <w:ind w:firstLineChars="0" w:firstLine="0"/>
              <w:jc w:val="left"/>
              <w:rPr>
                <w:rFonts w:cs="宋体"/>
                <w:b/>
                <w:bCs/>
                <w:color w:val="000000"/>
                <w:kern w:val="0"/>
                <w:sz w:val="21"/>
                <w:szCs w:val="21"/>
              </w:rPr>
            </w:pPr>
            <w:r>
              <w:rPr>
                <w:rFonts w:cs="宋体" w:hint="eastAsia"/>
                <w:b/>
                <w:bCs/>
                <w:color w:val="000000"/>
                <w:kern w:val="0"/>
                <w:sz w:val="21"/>
                <w:szCs w:val="21"/>
              </w:rPr>
              <w:t>功能名称</w:t>
            </w:r>
          </w:p>
        </w:tc>
        <w:tc>
          <w:tcPr>
            <w:tcW w:w="3744" w:type="pct"/>
            <w:tcBorders>
              <w:top w:val="single" w:sz="4" w:space="0" w:color="auto"/>
              <w:left w:val="nil"/>
              <w:bottom w:val="single" w:sz="4" w:space="0" w:color="auto"/>
              <w:right w:val="single" w:sz="4" w:space="0" w:color="auto"/>
            </w:tcBorders>
            <w:shd w:val="clear" w:color="000000" w:fill="F3F8FC"/>
            <w:vAlign w:val="center"/>
          </w:tcPr>
          <w:p w:rsidR="00427CFC" w:rsidRDefault="004220DA">
            <w:pPr>
              <w:widowControl/>
              <w:spacing w:line="240" w:lineRule="auto"/>
              <w:ind w:firstLineChars="0" w:firstLine="0"/>
              <w:jc w:val="left"/>
              <w:rPr>
                <w:rFonts w:cs="宋体"/>
                <w:b/>
                <w:bCs/>
                <w:color w:val="000000"/>
                <w:kern w:val="0"/>
                <w:sz w:val="21"/>
                <w:szCs w:val="21"/>
              </w:rPr>
            </w:pPr>
            <w:r>
              <w:rPr>
                <w:rFonts w:cs="宋体" w:hint="eastAsia"/>
                <w:b/>
                <w:bCs/>
                <w:color w:val="000000"/>
                <w:kern w:val="0"/>
                <w:sz w:val="21"/>
                <w:szCs w:val="21"/>
              </w:rPr>
              <w:t>功能描述</w:t>
            </w:r>
          </w:p>
        </w:tc>
      </w:tr>
      <w:tr w:rsidR="00427CFC">
        <w:trPr>
          <w:trHeight w:val="1104"/>
        </w:trPr>
        <w:tc>
          <w:tcPr>
            <w:tcW w:w="267"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lastRenderedPageBreak/>
              <w:t>1</w:t>
            </w:r>
          </w:p>
        </w:tc>
        <w:tc>
          <w:tcPr>
            <w:tcW w:w="988"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信访案件登记功能改造</w:t>
            </w:r>
          </w:p>
        </w:tc>
        <w:tc>
          <w:tcPr>
            <w:tcW w:w="3744"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重复信访案件判</w:t>
            </w:r>
            <w:proofErr w:type="gramStart"/>
            <w:r>
              <w:rPr>
                <w:rFonts w:ascii="PMingLiU" w:eastAsia="PMingLiU" w:hAnsi="PMingLiU" w:cs="宋体" w:hint="eastAsia"/>
                <w:color w:val="000000"/>
                <w:kern w:val="0"/>
                <w:sz w:val="22"/>
                <w:szCs w:val="22"/>
              </w:rPr>
              <w:t>重功能</w:t>
            </w:r>
            <w:proofErr w:type="gramEnd"/>
            <w:r>
              <w:rPr>
                <w:rFonts w:ascii="PMingLiU" w:eastAsia="PMingLiU" w:hAnsi="PMingLiU" w:cs="宋体" w:hint="eastAsia"/>
                <w:color w:val="000000"/>
                <w:kern w:val="0"/>
                <w:sz w:val="22"/>
                <w:szCs w:val="22"/>
              </w:rPr>
              <w:t>改造：本次信访案件登记功能改造，新增工作人员对信访案件进行重复信访案件重判，实现多个办理机构工作人员对信访案件进行处理。</w:t>
            </w:r>
          </w:p>
        </w:tc>
      </w:tr>
      <w:tr w:rsidR="00427CFC">
        <w:trPr>
          <w:trHeight w:val="828"/>
        </w:trPr>
        <w:tc>
          <w:tcPr>
            <w:tcW w:w="267"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2</w:t>
            </w:r>
          </w:p>
        </w:tc>
        <w:tc>
          <w:tcPr>
            <w:tcW w:w="988"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信访案件登记功能改造</w:t>
            </w:r>
          </w:p>
        </w:tc>
        <w:tc>
          <w:tcPr>
            <w:tcW w:w="3744"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信访案件预审功能改造：本次信访案件预审功能改造，新增工作人员对信访案件进行预审环节，实现对信访案件进行处理。</w:t>
            </w:r>
          </w:p>
        </w:tc>
      </w:tr>
      <w:tr w:rsidR="00427CFC">
        <w:trPr>
          <w:trHeight w:val="1380"/>
        </w:trPr>
        <w:tc>
          <w:tcPr>
            <w:tcW w:w="267"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3</w:t>
            </w:r>
          </w:p>
        </w:tc>
        <w:tc>
          <w:tcPr>
            <w:tcW w:w="988"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信访案件登记功能改造</w:t>
            </w:r>
          </w:p>
        </w:tc>
        <w:tc>
          <w:tcPr>
            <w:tcW w:w="3744"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新增信访案件分案功能：新增工作人员对信访案件进行分案，并移送或转办至一个或多个相关办理机构，同时抄送及告知。实现来信、来访、网上信访案件分案功能，满足了案件多机构分案办理工作。</w:t>
            </w:r>
          </w:p>
        </w:tc>
      </w:tr>
      <w:tr w:rsidR="00427CFC">
        <w:trPr>
          <w:trHeight w:val="1380"/>
        </w:trPr>
        <w:tc>
          <w:tcPr>
            <w:tcW w:w="267"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4</w:t>
            </w:r>
          </w:p>
        </w:tc>
        <w:tc>
          <w:tcPr>
            <w:tcW w:w="988"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信访案件登记功能改造</w:t>
            </w:r>
          </w:p>
        </w:tc>
        <w:tc>
          <w:tcPr>
            <w:tcW w:w="3744"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新增信访案件部门分案移送及转办功能：实现信访案件分案移送及转办功能，满足了信访案件多人分案办理工作。信访案件登记移送或转办后进行核验，相关办理机构可对信访案件进行接收、退回操作。</w:t>
            </w:r>
          </w:p>
        </w:tc>
      </w:tr>
      <w:tr w:rsidR="00427CFC">
        <w:trPr>
          <w:trHeight w:val="560"/>
        </w:trPr>
        <w:tc>
          <w:tcPr>
            <w:tcW w:w="267"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5</w:t>
            </w:r>
          </w:p>
        </w:tc>
        <w:tc>
          <w:tcPr>
            <w:tcW w:w="988"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信访案件登记功能改造</w:t>
            </w:r>
          </w:p>
        </w:tc>
        <w:tc>
          <w:tcPr>
            <w:tcW w:w="3744"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信访案件抄送及告知功能改造：信访案件登记受理后将对应业务类型信访案件抄送对应业务处室。实现了对市局登记的信访案件根据业务类型抄送及告知相应处室的功能；实现了区局信访案件业务类型抄送及告知相应市局处室的功能。</w:t>
            </w:r>
          </w:p>
        </w:tc>
      </w:tr>
      <w:tr w:rsidR="00427CFC">
        <w:trPr>
          <w:trHeight w:val="1932"/>
        </w:trPr>
        <w:tc>
          <w:tcPr>
            <w:tcW w:w="267"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6</w:t>
            </w:r>
          </w:p>
        </w:tc>
        <w:tc>
          <w:tcPr>
            <w:tcW w:w="988"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信访案件登记功能改造</w:t>
            </w:r>
          </w:p>
        </w:tc>
        <w:tc>
          <w:tcPr>
            <w:tcW w:w="3744"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新增信访案件登记受理延期功能：信访案件登记受理后将对应业务类型信访案件抄送对应业务处室。实现了对市局登记的信访案件根据业务类型抄送及告知相应处室的功能；实现了区局信访案件业务类型抄送及告知相应市局处室的功能。</w:t>
            </w:r>
          </w:p>
        </w:tc>
      </w:tr>
      <w:tr w:rsidR="00427CFC">
        <w:trPr>
          <w:trHeight w:val="1656"/>
        </w:trPr>
        <w:tc>
          <w:tcPr>
            <w:tcW w:w="267"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7</w:t>
            </w:r>
          </w:p>
        </w:tc>
        <w:tc>
          <w:tcPr>
            <w:tcW w:w="988"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信访案件办理功能改造</w:t>
            </w:r>
          </w:p>
        </w:tc>
        <w:tc>
          <w:tcPr>
            <w:tcW w:w="3744"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信访案件办理功能改造：满足多个相关办理机构工作人员对信访案件进行办理，生成《信访案件答复意见书》。实现信访案件办理期间可对信访案件进行移送。实现信访案件办理答复、答复延期的功能，并报备司法部全国信访管理系统。</w:t>
            </w:r>
          </w:p>
        </w:tc>
      </w:tr>
      <w:tr w:rsidR="00427CFC">
        <w:trPr>
          <w:trHeight w:val="828"/>
        </w:trPr>
        <w:tc>
          <w:tcPr>
            <w:tcW w:w="267"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8</w:t>
            </w:r>
          </w:p>
        </w:tc>
        <w:tc>
          <w:tcPr>
            <w:tcW w:w="988"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信访案件办理功能改造</w:t>
            </w:r>
          </w:p>
        </w:tc>
        <w:tc>
          <w:tcPr>
            <w:tcW w:w="3744"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信访案件接收、退回功能改造：满足了系统内各机构部门间信访案件转办的接收或退回，实现网上信访、来信、来访信访案件的网上流转。</w:t>
            </w:r>
          </w:p>
        </w:tc>
      </w:tr>
      <w:tr w:rsidR="00427CFC">
        <w:trPr>
          <w:trHeight w:val="1932"/>
        </w:trPr>
        <w:tc>
          <w:tcPr>
            <w:tcW w:w="267"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9</w:t>
            </w:r>
          </w:p>
        </w:tc>
        <w:tc>
          <w:tcPr>
            <w:tcW w:w="988"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信访案件办理功能改造</w:t>
            </w:r>
          </w:p>
        </w:tc>
        <w:tc>
          <w:tcPr>
            <w:tcW w:w="3744"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信访案件回复功能改造：网上信访案件通过司法局门户网站将《信访案件答复意见书》推送信访人，方便信访人查询、评价信访事项办理情况。来信、来访、来电的信访案件，工作人员需将《信访案件答复意见书》送达信访人。信访案件完成，《信访案件答复意见书》上报司法部全国信访管理系统。</w:t>
            </w:r>
          </w:p>
        </w:tc>
      </w:tr>
      <w:tr w:rsidR="00427CFC">
        <w:trPr>
          <w:trHeight w:val="1104"/>
        </w:trPr>
        <w:tc>
          <w:tcPr>
            <w:tcW w:w="267"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10</w:t>
            </w:r>
          </w:p>
        </w:tc>
        <w:tc>
          <w:tcPr>
            <w:tcW w:w="988"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kern w:val="0"/>
                <w:sz w:val="22"/>
                <w:szCs w:val="22"/>
              </w:rPr>
            </w:pPr>
            <w:r>
              <w:rPr>
                <w:rFonts w:ascii="PMingLiU" w:eastAsia="PMingLiU" w:hAnsi="PMingLiU" w:cs="宋体" w:hint="eastAsia"/>
                <w:kern w:val="0"/>
                <w:sz w:val="22"/>
                <w:szCs w:val="22"/>
              </w:rPr>
              <w:t>信访数据报表功能改造</w:t>
            </w:r>
          </w:p>
        </w:tc>
        <w:tc>
          <w:tcPr>
            <w:tcW w:w="3744"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kern w:val="0"/>
                <w:sz w:val="22"/>
                <w:szCs w:val="22"/>
              </w:rPr>
            </w:pPr>
            <w:r>
              <w:rPr>
                <w:rFonts w:ascii="PMingLiU" w:eastAsia="PMingLiU" w:hAnsi="PMingLiU" w:cs="宋体" w:hint="eastAsia"/>
                <w:kern w:val="0"/>
                <w:sz w:val="22"/>
                <w:szCs w:val="22"/>
              </w:rPr>
              <w:t>实现信访案件明细统计功能：根据《信访工作条例》要求，对信访数据报表进行升级改造，方便信访案件的统计分析，以及上报司法部全国信访管理系统的数据核准工作，实现信访案件明细统计功能</w:t>
            </w:r>
          </w:p>
        </w:tc>
      </w:tr>
      <w:tr w:rsidR="00427CFC">
        <w:trPr>
          <w:trHeight w:val="1104"/>
        </w:trPr>
        <w:tc>
          <w:tcPr>
            <w:tcW w:w="267"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lastRenderedPageBreak/>
              <w:t>11</w:t>
            </w:r>
          </w:p>
        </w:tc>
        <w:tc>
          <w:tcPr>
            <w:tcW w:w="988"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信访数据报表功能改造</w:t>
            </w:r>
          </w:p>
        </w:tc>
        <w:tc>
          <w:tcPr>
            <w:tcW w:w="3744"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kern w:val="0"/>
                <w:sz w:val="22"/>
                <w:szCs w:val="22"/>
              </w:rPr>
              <w:t>实现信访案件统计汇总功能：根</w:t>
            </w:r>
            <w:r>
              <w:rPr>
                <w:rFonts w:ascii="PMingLiU" w:eastAsia="PMingLiU" w:hAnsi="PMingLiU" w:cs="宋体" w:hint="eastAsia"/>
                <w:color w:val="000000"/>
                <w:kern w:val="0"/>
                <w:sz w:val="22"/>
                <w:szCs w:val="22"/>
              </w:rPr>
              <w:t>据《信访工作条例》要求，对信访数据报表进行升级改造，方便信访案件的统计分析，以及上报司法部全国信访管理系统的数据核准工作，实现信访案件统计汇总功能</w:t>
            </w:r>
          </w:p>
        </w:tc>
      </w:tr>
      <w:tr w:rsidR="00427CFC">
        <w:trPr>
          <w:trHeight w:val="1104"/>
        </w:trPr>
        <w:tc>
          <w:tcPr>
            <w:tcW w:w="267"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12</w:t>
            </w:r>
          </w:p>
        </w:tc>
        <w:tc>
          <w:tcPr>
            <w:tcW w:w="988"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信访数据报表功能改造</w:t>
            </w:r>
          </w:p>
        </w:tc>
        <w:tc>
          <w:tcPr>
            <w:tcW w:w="3744"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kern w:val="0"/>
                <w:sz w:val="22"/>
                <w:szCs w:val="22"/>
              </w:rPr>
              <w:t>实现信访高级查询的功能：根</w:t>
            </w:r>
            <w:r>
              <w:rPr>
                <w:rFonts w:ascii="PMingLiU" w:eastAsia="PMingLiU" w:hAnsi="PMingLiU" w:cs="宋体" w:hint="eastAsia"/>
                <w:color w:val="000000"/>
                <w:kern w:val="0"/>
                <w:sz w:val="22"/>
                <w:szCs w:val="22"/>
              </w:rPr>
              <w:t>据《信访工作条例》要求，对信访数据报表进行升级改造，方便信访案件的统计分析，以及上报司法部全国信访管理系统的数据核准工作，实现信访高级查询的功能</w:t>
            </w:r>
          </w:p>
        </w:tc>
      </w:tr>
      <w:tr w:rsidR="00427CFC">
        <w:trPr>
          <w:trHeight w:val="1104"/>
        </w:trPr>
        <w:tc>
          <w:tcPr>
            <w:tcW w:w="267"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13</w:t>
            </w:r>
          </w:p>
        </w:tc>
        <w:tc>
          <w:tcPr>
            <w:tcW w:w="988"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信访数据报表功能改造</w:t>
            </w:r>
          </w:p>
        </w:tc>
        <w:tc>
          <w:tcPr>
            <w:tcW w:w="3744"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kern w:val="0"/>
                <w:sz w:val="22"/>
                <w:szCs w:val="22"/>
              </w:rPr>
              <w:t>实现信访目标考核-按期办结率的功能：</w:t>
            </w:r>
            <w:r>
              <w:rPr>
                <w:rFonts w:ascii="PMingLiU" w:eastAsia="PMingLiU" w:hAnsi="PMingLiU" w:cs="宋体" w:hint="eastAsia"/>
                <w:color w:val="000000"/>
                <w:kern w:val="0"/>
                <w:sz w:val="22"/>
                <w:szCs w:val="22"/>
              </w:rPr>
              <w:t>根据《信访工作条例》要求，对信访数据报表进行升级改造，方便信访案件的统计分析，以及上报司法部全国信访管理系统的数据核准工作，实现信访目标考核-按期办结率的功能</w:t>
            </w:r>
          </w:p>
        </w:tc>
      </w:tr>
      <w:tr w:rsidR="00427CFC">
        <w:trPr>
          <w:trHeight w:val="1380"/>
        </w:trPr>
        <w:tc>
          <w:tcPr>
            <w:tcW w:w="267"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14</w:t>
            </w:r>
          </w:p>
        </w:tc>
        <w:tc>
          <w:tcPr>
            <w:tcW w:w="988"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信访数据报表功能改造</w:t>
            </w:r>
          </w:p>
        </w:tc>
        <w:tc>
          <w:tcPr>
            <w:tcW w:w="3744"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cs"/>
                <w:color w:val="0000FF"/>
                <w:kern w:val="0"/>
                <w:sz w:val="22"/>
                <w:szCs w:val="22"/>
              </w:rPr>
              <w:t>实现</w:t>
            </w:r>
            <w:r>
              <w:rPr>
                <w:rFonts w:ascii="PMingLiU" w:eastAsia="PMingLiU" w:hAnsi="PMingLiU" w:cs="宋体" w:hint="eastAsia"/>
                <w:color w:val="0000FF"/>
                <w:kern w:val="0"/>
                <w:sz w:val="22"/>
                <w:szCs w:val="22"/>
              </w:rPr>
              <w:t>上</w:t>
            </w:r>
            <w:r>
              <w:rPr>
                <w:rFonts w:ascii="PMingLiU" w:eastAsia="PMingLiU" w:hAnsi="PMingLiU" w:cs="宋体" w:hint="cs"/>
                <w:color w:val="0000FF"/>
                <w:kern w:val="0"/>
                <w:sz w:val="22"/>
                <w:szCs w:val="22"/>
              </w:rPr>
              <w:t>报</w:t>
            </w:r>
            <w:r>
              <w:rPr>
                <w:rFonts w:ascii="PMingLiU" w:eastAsia="PMingLiU" w:hAnsi="PMingLiU" w:cs="宋体" w:hint="eastAsia"/>
                <w:color w:val="0000FF"/>
                <w:kern w:val="0"/>
                <w:sz w:val="22"/>
                <w:szCs w:val="22"/>
              </w:rPr>
              <w:t>司法部全</w:t>
            </w:r>
            <w:r>
              <w:rPr>
                <w:rFonts w:ascii="PMingLiU" w:eastAsia="PMingLiU" w:hAnsi="PMingLiU" w:cs="宋体" w:hint="cs"/>
                <w:color w:val="0000FF"/>
                <w:kern w:val="0"/>
                <w:sz w:val="22"/>
                <w:szCs w:val="22"/>
              </w:rPr>
              <w:t>国</w:t>
            </w:r>
            <w:r>
              <w:rPr>
                <w:rFonts w:ascii="PMingLiU" w:eastAsia="PMingLiU" w:hAnsi="PMingLiU" w:cs="宋体" w:hint="eastAsia"/>
                <w:color w:val="0000FF"/>
                <w:kern w:val="0"/>
                <w:sz w:val="22"/>
                <w:szCs w:val="22"/>
              </w:rPr>
              <w:t>信</w:t>
            </w:r>
            <w:r>
              <w:rPr>
                <w:rFonts w:ascii="PMingLiU" w:eastAsia="PMingLiU" w:hAnsi="PMingLiU" w:cs="宋体" w:hint="cs"/>
                <w:color w:val="0000FF"/>
                <w:kern w:val="0"/>
                <w:sz w:val="22"/>
                <w:szCs w:val="22"/>
              </w:rPr>
              <w:t>访</w:t>
            </w:r>
            <w:r>
              <w:rPr>
                <w:rFonts w:ascii="PMingLiU" w:eastAsia="PMingLiU" w:hAnsi="PMingLiU" w:cs="宋体" w:hint="eastAsia"/>
                <w:color w:val="0000FF"/>
                <w:kern w:val="0"/>
                <w:sz w:val="22"/>
                <w:szCs w:val="22"/>
              </w:rPr>
              <w:t>管理系</w:t>
            </w:r>
            <w:r>
              <w:rPr>
                <w:rFonts w:ascii="PMingLiU" w:eastAsia="PMingLiU" w:hAnsi="PMingLiU" w:cs="宋体" w:hint="cs"/>
                <w:color w:val="0000FF"/>
                <w:kern w:val="0"/>
                <w:sz w:val="22"/>
                <w:szCs w:val="22"/>
              </w:rPr>
              <w:t>统</w:t>
            </w:r>
            <w:r>
              <w:rPr>
                <w:rFonts w:ascii="PMingLiU" w:eastAsia="PMingLiU" w:hAnsi="PMingLiU" w:cs="宋体" w:hint="eastAsia"/>
                <w:color w:val="0000FF"/>
                <w:kern w:val="0"/>
                <w:sz w:val="22"/>
                <w:szCs w:val="22"/>
              </w:rPr>
              <w:t>信</w:t>
            </w:r>
            <w:r>
              <w:rPr>
                <w:rFonts w:ascii="PMingLiU" w:eastAsia="PMingLiU" w:hAnsi="PMingLiU" w:cs="宋体" w:hint="cs"/>
                <w:color w:val="0000FF"/>
                <w:kern w:val="0"/>
                <w:sz w:val="22"/>
                <w:szCs w:val="22"/>
              </w:rPr>
              <w:t>访</w:t>
            </w:r>
            <w:r>
              <w:rPr>
                <w:rFonts w:ascii="PMingLiU" w:eastAsia="PMingLiU" w:hAnsi="PMingLiU" w:cs="宋体" w:hint="eastAsia"/>
                <w:color w:val="0000FF"/>
                <w:kern w:val="0"/>
                <w:sz w:val="22"/>
                <w:szCs w:val="22"/>
              </w:rPr>
              <w:t>案件：</w:t>
            </w:r>
            <w:r>
              <w:rPr>
                <w:rFonts w:ascii="PMingLiU" w:eastAsia="PMingLiU" w:hAnsi="PMingLiU" w:cs="宋体" w:hint="eastAsia"/>
                <w:color w:val="000000"/>
                <w:kern w:val="0"/>
                <w:sz w:val="22"/>
                <w:szCs w:val="22"/>
              </w:rPr>
              <w:t>根据《信访工作条例》要求，对信访数据报表进行升级改造，方便信访案件的统计分析，以及上报司法部全国信访管理系统的数据核准工作，实现上报司法部全国信访管理系统信访案件查询核准</w:t>
            </w:r>
          </w:p>
        </w:tc>
      </w:tr>
      <w:tr w:rsidR="00427CFC">
        <w:trPr>
          <w:trHeight w:val="1380"/>
        </w:trPr>
        <w:tc>
          <w:tcPr>
            <w:tcW w:w="267"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15</w:t>
            </w:r>
          </w:p>
        </w:tc>
        <w:tc>
          <w:tcPr>
            <w:tcW w:w="988"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案件督查督办升级改造</w:t>
            </w:r>
          </w:p>
        </w:tc>
        <w:tc>
          <w:tcPr>
            <w:tcW w:w="3744"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预警条件配置功能：设定预警规则系统可配置督察督办预警规则，如案件限期办结、</w:t>
            </w:r>
            <w:proofErr w:type="gramStart"/>
            <w:r>
              <w:rPr>
                <w:rFonts w:ascii="PMingLiU" w:eastAsia="PMingLiU" w:hAnsi="PMingLiU" w:cs="宋体" w:hint="eastAsia"/>
                <w:color w:val="000000"/>
                <w:kern w:val="0"/>
                <w:sz w:val="22"/>
                <w:szCs w:val="22"/>
              </w:rPr>
              <w:t>重大关注</w:t>
            </w:r>
            <w:proofErr w:type="gramEnd"/>
            <w:r>
              <w:rPr>
                <w:rFonts w:ascii="PMingLiU" w:eastAsia="PMingLiU" w:hAnsi="PMingLiU" w:cs="宋体" w:hint="eastAsia"/>
                <w:color w:val="000000"/>
                <w:kern w:val="0"/>
                <w:sz w:val="22"/>
                <w:szCs w:val="22"/>
              </w:rPr>
              <w:t>案件、投诉、信访节点异常等，触发预警条件后，生成督查督办预警工单，自动进入督察督办流程。</w:t>
            </w:r>
          </w:p>
        </w:tc>
      </w:tr>
      <w:tr w:rsidR="00427CFC">
        <w:trPr>
          <w:trHeight w:val="470"/>
        </w:trPr>
        <w:tc>
          <w:tcPr>
            <w:tcW w:w="267"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16</w:t>
            </w:r>
          </w:p>
        </w:tc>
        <w:tc>
          <w:tcPr>
            <w:tcW w:w="988"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案件督查督办升级改造</w:t>
            </w:r>
          </w:p>
        </w:tc>
        <w:tc>
          <w:tcPr>
            <w:tcW w:w="3744"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预警提醒功能：在办理过程中，为便于案件操作信息追溯，会对案件操作日志进行记录，案件办理的过程和结果信息实时同步和反馈至督察督办部门。当触发督察督办预警条件，生成督查督办预警工单，在工作台进行预警提醒。</w:t>
            </w:r>
          </w:p>
        </w:tc>
      </w:tr>
      <w:tr w:rsidR="00427CFC">
        <w:trPr>
          <w:trHeight w:val="1104"/>
        </w:trPr>
        <w:tc>
          <w:tcPr>
            <w:tcW w:w="267"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17</w:t>
            </w:r>
          </w:p>
        </w:tc>
        <w:tc>
          <w:tcPr>
            <w:tcW w:w="988"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案件督查督办升级改造</w:t>
            </w:r>
          </w:p>
        </w:tc>
        <w:tc>
          <w:tcPr>
            <w:tcW w:w="3744"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到期提醒功能：对投诉、信访案件</w:t>
            </w:r>
            <w:proofErr w:type="gramStart"/>
            <w:r>
              <w:rPr>
                <w:rFonts w:ascii="PMingLiU" w:eastAsia="PMingLiU" w:hAnsi="PMingLiU" w:cs="宋体" w:hint="eastAsia"/>
                <w:color w:val="000000"/>
                <w:kern w:val="0"/>
                <w:sz w:val="22"/>
                <w:szCs w:val="22"/>
              </w:rPr>
              <w:t>全阶段</w:t>
            </w:r>
            <w:proofErr w:type="gramEnd"/>
            <w:r>
              <w:rPr>
                <w:rFonts w:ascii="PMingLiU" w:eastAsia="PMingLiU" w:hAnsi="PMingLiU" w:cs="宋体" w:hint="eastAsia"/>
                <w:color w:val="000000"/>
                <w:kern w:val="0"/>
                <w:sz w:val="22"/>
                <w:szCs w:val="22"/>
              </w:rPr>
              <w:t>进行期限提醒，包含正常办理期限与办理倒计时，提醒工作人员及时处理信访案件。</w:t>
            </w:r>
            <w:r>
              <w:rPr>
                <w:rFonts w:ascii="PMingLiU" w:eastAsia="PMingLiU" w:hAnsi="PMingLiU" w:cs="宋体" w:hint="eastAsia"/>
                <w:color w:val="000000"/>
                <w:kern w:val="0"/>
                <w:sz w:val="22"/>
                <w:szCs w:val="22"/>
              </w:rPr>
              <w:br/>
              <w:t>当案件即将超期，在工作台进行预警提醒。</w:t>
            </w:r>
          </w:p>
        </w:tc>
      </w:tr>
      <w:tr w:rsidR="00427CFC">
        <w:trPr>
          <w:trHeight w:val="828"/>
        </w:trPr>
        <w:tc>
          <w:tcPr>
            <w:tcW w:w="267"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18</w:t>
            </w:r>
          </w:p>
        </w:tc>
        <w:tc>
          <w:tcPr>
            <w:tcW w:w="988"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proofErr w:type="gramStart"/>
            <w:r>
              <w:rPr>
                <w:rFonts w:ascii="PMingLiU" w:eastAsia="PMingLiU" w:hAnsi="PMingLiU" w:cs="宋体" w:hint="eastAsia"/>
                <w:color w:val="000000"/>
                <w:kern w:val="0"/>
                <w:sz w:val="22"/>
                <w:szCs w:val="22"/>
              </w:rPr>
              <w:t>案管系统</w:t>
            </w:r>
            <w:proofErr w:type="gramEnd"/>
            <w:r>
              <w:rPr>
                <w:rFonts w:ascii="PMingLiU" w:eastAsia="PMingLiU" w:hAnsi="PMingLiU" w:cs="宋体" w:hint="eastAsia"/>
                <w:color w:val="000000"/>
                <w:kern w:val="0"/>
                <w:sz w:val="22"/>
                <w:szCs w:val="22"/>
              </w:rPr>
              <w:t>基础功能升级改造</w:t>
            </w:r>
          </w:p>
        </w:tc>
        <w:tc>
          <w:tcPr>
            <w:tcW w:w="3744"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proofErr w:type="gramStart"/>
            <w:r>
              <w:rPr>
                <w:rFonts w:ascii="PMingLiU" w:eastAsia="PMingLiU" w:hAnsi="PMingLiU" w:cs="宋体" w:hint="eastAsia"/>
                <w:color w:val="000000"/>
                <w:kern w:val="0"/>
                <w:sz w:val="22"/>
                <w:szCs w:val="22"/>
              </w:rPr>
              <w:t>案管系统</w:t>
            </w:r>
            <w:proofErr w:type="gramEnd"/>
            <w:r>
              <w:rPr>
                <w:rFonts w:ascii="PMingLiU" w:eastAsia="PMingLiU" w:hAnsi="PMingLiU" w:cs="宋体" w:hint="eastAsia"/>
                <w:color w:val="000000"/>
                <w:kern w:val="0"/>
                <w:sz w:val="22"/>
                <w:szCs w:val="22"/>
              </w:rPr>
              <w:t>首页改造：对案管系统首页进行改造，方便机关单位将信访事项录入信访信息系统，对预警、统计、</w:t>
            </w:r>
            <w:proofErr w:type="gramStart"/>
            <w:r>
              <w:rPr>
                <w:rFonts w:ascii="PMingLiU" w:eastAsia="PMingLiU" w:hAnsi="PMingLiU" w:cs="宋体" w:hint="eastAsia"/>
                <w:color w:val="000000"/>
                <w:kern w:val="0"/>
                <w:sz w:val="22"/>
                <w:szCs w:val="22"/>
              </w:rPr>
              <w:t>展示做</w:t>
            </w:r>
            <w:proofErr w:type="gramEnd"/>
            <w:r>
              <w:rPr>
                <w:rFonts w:ascii="PMingLiU" w:eastAsia="PMingLiU" w:hAnsi="PMingLiU" w:cs="宋体" w:hint="eastAsia"/>
                <w:color w:val="000000"/>
                <w:kern w:val="0"/>
                <w:sz w:val="22"/>
                <w:szCs w:val="22"/>
              </w:rPr>
              <w:t>优化。</w:t>
            </w:r>
          </w:p>
        </w:tc>
      </w:tr>
      <w:tr w:rsidR="00427CFC">
        <w:trPr>
          <w:trHeight w:val="828"/>
        </w:trPr>
        <w:tc>
          <w:tcPr>
            <w:tcW w:w="267"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19</w:t>
            </w:r>
          </w:p>
        </w:tc>
        <w:tc>
          <w:tcPr>
            <w:tcW w:w="988"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proofErr w:type="gramStart"/>
            <w:r>
              <w:rPr>
                <w:rFonts w:ascii="PMingLiU" w:eastAsia="PMingLiU" w:hAnsi="PMingLiU" w:cs="宋体" w:hint="eastAsia"/>
                <w:color w:val="000000"/>
                <w:kern w:val="0"/>
                <w:sz w:val="22"/>
                <w:szCs w:val="22"/>
              </w:rPr>
              <w:t>案管系统</w:t>
            </w:r>
            <w:proofErr w:type="gramEnd"/>
            <w:r>
              <w:rPr>
                <w:rFonts w:ascii="PMingLiU" w:eastAsia="PMingLiU" w:hAnsi="PMingLiU" w:cs="宋体" w:hint="eastAsia"/>
                <w:color w:val="000000"/>
                <w:kern w:val="0"/>
                <w:sz w:val="22"/>
                <w:szCs w:val="22"/>
              </w:rPr>
              <w:t>基础功能升级改造</w:t>
            </w:r>
          </w:p>
        </w:tc>
        <w:tc>
          <w:tcPr>
            <w:tcW w:w="3744"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proofErr w:type="gramStart"/>
            <w:r>
              <w:rPr>
                <w:rFonts w:ascii="PMingLiU" w:eastAsia="PMingLiU" w:hAnsi="PMingLiU" w:cs="宋体" w:hint="eastAsia"/>
                <w:color w:val="000000"/>
                <w:kern w:val="0"/>
                <w:sz w:val="22"/>
                <w:szCs w:val="22"/>
              </w:rPr>
              <w:t>案管信访</w:t>
            </w:r>
            <w:proofErr w:type="gramEnd"/>
            <w:r>
              <w:rPr>
                <w:rFonts w:ascii="PMingLiU" w:eastAsia="PMingLiU" w:hAnsi="PMingLiU" w:cs="宋体" w:hint="eastAsia"/>
                <w:color w:val="000000"/>
                <w:kern w:val="0"/>
                <w:sz w:val="22"/>
                <w:szCs w:val="22"/>
              </w:rPr>
              <w:t>工作台改造：对案管信访工作台进行改造，方便机关单位将信访事项录入信访信息系统，对预警、统计、查询、</w:t>
            </w:r>
            <w:proofErr w:type="gramStart"/>
            <w:r>
              <w:rPr>
                <w:rFonts w:ascii="PMingLiU" w:eastAsia="PMingLiU" w:hAnsi="PMingLiU" w:cs="宋体" w:hint="eastAsia"/>
                <w:color w:val="000000"/>
                <w:kern w:val="0"/>
                <w:sz w:val="22"/>
                <w:szCs w:val="22"/>
              </w:rPr>
              <w:t>检索做</w:t>
            </w:r>
            <w:proofErr w:type="gramEnd"/>
            <w:r>
              <w:rPr>
                <w:rFonts w:ascii="PMingLiU" w:eastAsia="PMingLiU" w:hAnsi="PMingLiU" w:cs="宋体" w:hint="eastAsia"/>
                <w:color w:val="000000"/>
                <w:kern w:val="0"/>
                <w:sz w:val="22"/>
                <w:szCs w:val="22"/>
              </w:rPr>
              <w:t>优化。</w:t>
            </w:r>
          </w:p>
        </w:tc>
      </w:tr>
      <w:tr w:rsidR="00427CFC">
        <w:trPr>
          <w:trHeight w:val="1104"/>
        </w:trPr>
        <w:tc>
          <w:tcPr>
            <w:tcW w:w="267"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20</w:t>
            </w:r>
          </w:p>
        </w:tc>
        <w:tc>
          <w:tcPr>
            <w:tcW w:w="988"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proofErr w:type="gramStart"/>
            <w:r>
              <w:rPr>
                <w:rFonts w:ascii="PMingLiU" w:eastAsia="PMingLiU" w:hAnsi="PMingLiU" w:cs="宋体" w:hint="eastAsia"/>
                <w:color w:val="000000"/>
                <w:kern w:val="0"/>
                <w:sz w:val="22"/>
                <w:szCs w:val="22"/>
              </w:rPr>
              <w:t>案管系统</w:t>
            </w:r>
            <w:proofErr w:type="gramEnd"/>
            <w:r>
              <w:rPr>
                <w:rFonts w:ascii="PMingLiU" w:eastAsia="PMingLiU" w:hAnsi="PMingLiU" w:cs="宋体" w:hint="eastAsia"/>
                <w:color w:val="000000"/>
                <w:kern w:val="0"/>
                <w:sz w:val="22"/>
                <w:szCs w:val="22"/>
              </w:rPr>
              <w:t>基础功能升级改造</w:t>
            </w:r>
          </w:p>
        </w:tc>
        <w:tc>
          <w:tcPr>
            <w:tcW w:w="3744"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proofErr w:type="gramStart"/>
            <w:r>
              <w:rPr>
                <w:rFonts w:ascii="PMingLiU" w:eastAsia="PMingLiU" w:hAnsi="PMingLiU" w:cs="宋体" w:hint="eastAsia"/>
                <w:color w:val="000000"/>
                <w:kern w:val="0"/>
                <w:sz w:val="22"/>
                <w:szCs w:val="22"/>
              </w:rPr>
              <w:t>案管信访</w:t>
            </w:r>
            <w:proofErr w:type="gramEnd"/>
            <w:r>
              <w:rPr>
                <w:rFonts w:ascii="PMingLiU" w:eastAsia="PMingLiU" w:hAnsi="PMingLiU" w:cs="宋体" w:hint="eastAsia"/>
                <w:color w:val="000000"/>
                <w:kern w:val="0"/>
                <w:sz w:val="22"/>
                <w:szCs w:val="22"/>
              </w:rPr>
              <w:t>案件流程节点改造：对案管信访案件流程节点进行改造，集成手机短信提醒功能，提醒工作人员及时处理信访案件。</w:t>
            </w:r>
            <w:r>
              <w:rPr>
                <w:rFonts w:ascii="PMingLiU" w:eastAsia="PMingLiU" w:hAnsi="PMingLiU" w:cs="宋体" w:hint="eastAsia"/>
                <w:color w:val="000000"/>
                <w:kern w:val="0"/>
                <w:sz w:val="22"/>
                <w:szCs w:val="22"/>
              </w:rPr>
              <w:br/>
              <w:t>集成信访案件的手机短信通知功能。</w:t>
            </w:r>
          </w:p>
        </w:tc>
      </w:tr>
      <w:tr w:rsidR="00427CFC">
        <w:trPr>
          <w:trHeight w:val="828"/>
        </w:trPr>
        <w:tc>
          <w:tcPr>
            <w:tcW w:w="267"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21</w:t>
            </w:r>
          </w:p>
        </w:tc>
        <w:tc>
          <w:tcPr>
            <w:tcW w:w="988"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proofErr w:type="gramStart"/>
            <w:r>
              <w:rPr>
                <w:rFonts w:ascii="PMingLiU" w:eastAsia="PMingLiU" w:hAnsi="PMingLiU" w:cs="宋体" w:hint="eastAsia"/>
                <w:color w:val="000000"/>
                <w:kern w:val="0"/>
                <w:sz w:val="22"/>
                <w:szCs w:val="22"/>
              </w:rPr>
              <w:t>案管系统</w:t>
            </w:r>
            <w:proofErr w:type="gramEnd"/>
            <w:r>
              <w:rPr>
                <w:rFonts w:ascii="PMingLiU" w:eastAsia="PMingLiU" w:hAnsi="PMingLiU" w:cs="宋体" w:hint="eastAsia"/>
                <w:color w:val="000000"/>
                <w:kern w:val="0"/>
                <w:sz w:val="22"/>
                <w:szCs w:val="22"/>
              </w:rPr>
              <w:t>基础功能升级改造</w:t>
            </w:r>
          </w:p>
        </w:tc>
        <w:tc>
          <w:tcPr>
            <w:tcW w:w="3744"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电子文书功能：在案件办理过程中，系统提供文书模板，信访人可自行选择下载填写后</w:t>
            </w:r>
            <w:proofErr w:type="gramStart"/>
            <w:r>
              <w:rPr>
                <w:rFonts w:ascii="PMingLiU" w:eastAsia="PMingLiU" w:hAnsi="PMingLiU" w:cs="宋体" w:hint="eastAsia"/>
                <w:color w:val="000000"/>
                <w:kern w:val="0"/>
                <w:sz w:val="22"/>
                <w:szCs w:val="22"/>
              </w:rPr>
              <w:t>手动上</w:t>
            </w:r>
            <w:proofErr w:type="gramEnd"/>
            <w:r>
              <w:rPr>
                <w:rFonts w:ascii="PMingLiU" w:eastAsia="PMingLiU" w:hAnsi="PMingLiU" w:cs="宋体" w:hint="eastAsia"/>
                <w:color w:val="000000"/>
                <w:kern w:val="0"/>
                <w:sz w:val="22"/>
                <w:szCs w:val="22"/>
              </w:rPr>
              <w:t>传。实现信访人电子文书查看下载。</w:t>
            </w:r>
          </w:p>
        </w:tc>
      </w:tr>
      <w:tr w:rsidR="00427CFC">
        <w:trPr>
          <w:trHeight w:val="828"/>
        </w:trPr>
        <w:tc>
          <w:tcPr>
            <w:tcW w:w="267"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22</w:t>
            </w:r>
          </w:p>
        </w:tc>
        <w:tc>
          <w:tcPr>
            <w:tcW w:w="988"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proofErr w:type="gramStart"/>
            <w:r>
              <w:rPr>
                <w:rFonts w:ascii="PMingLiU" w:eastAsia="PMingLiU" w:hAnsi="PMingLiU" w:cs="宋体" w:hint="eastAsia"/>
                <w:color w:val="000000"/>
                <w:kern w:val="0"/>
                <w:sz w:val="22"/>
                <w:szCs w:val="22"/>
              </w:rPr>
              <w:t>案管系统</w:t>
            </w:r>
            <w:proofErr w:type="gramEnd"/>
            <w:r>
              <w:rPr>
                <w:rFonts w:ascii="PMingLiU" w:eastAsia="PMingLiU" w:hAnsi="PMingLiU" w:cs="宋体" w:hint="eastAsia"/>
                <w:color w:val="000000"/>
                <w:kern w:val="0"/>
                <w:sz w:val="22"/>
                <w:szCs w:val="22"/>
              </w:rPr>
              <w:t>基础功能升级改造</w:t>
            </w:r>
          </w:p>
        </w:tc>
        <w:tc>
          <w:tcPr>
            <w:tcW w:w="3744"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FF"/>
                <w:kern w:val="0"/>
                <w:sz w:val="22"/>
                <w:szCs w:val="22"/>
              </w:rPr>
              <w:t>信</w:t>
            </w:r>
            <w:r>
              <w:rPr>
                <w:rFonts w:ascii="PMingLiU" w:eastAsia="PMingLiU" w:hAnsi="PMingLiU" w:cs="宋体" w:hint="cs"/>
                <w:color w:val="0000FF"/>
                <w:kern w:val="0"/>
                <w:sz w:val="22"/>
                <w:szCs w:val="22"/>
              </w:rPr>
              <w:t>访</w:t>
            </w:r>
            <w:r>
              <w:rPr>
                <w:rFonts w:ascii="PMingLiU" w:eastAsia="PMingLiU" w:hAnsi="PMingLiU" w:cs="宋体" w:hint="eastAsia"/>
                <w:color w:val="0000FF"/>
                <w:kern w:val="0"/>
                <w:sz w:val="22"/>
                <w:szCs w:val="22"/>
              </w:rPr>
              <w:t>案件登</w:t>
            </w:r>
            <w:r>
              <w:rPr>
                <w:rFonts w:ascii="PMingLiU" w:eastAsia="PMingLiU" w:hAnsi="PMingLiU" w:cs="宋体" w:hint="cs"/>
                <w:color w:val="0000FF"/>
                <w:kern w:val="0"/>
                <w:sz w:val="22"/>
                <w:szCs w:val="22"/>
              </w:rPr>
              <w:t>记</w:t>
            </w:r>
            <w:r>
              <w:rPr>
                <w:rFonts w:ascii="PMingLiU" w:eastAsia="PMingLiU" w:hAnsi="PMingLiU" w:cs="宋体" w:hint="eastAsia"/>
                <w:color w:val="0000FF"/>
                <w:kern w:val="0"/>
                <w:sz w:val="22"/>
                <w:szCs w:val="22"/>
              </w:rPr>
              <w:t>文</w:t>
            </w:r>
            <w:r>
              <w:rPr>
                <w:rFonts w:ascii="PMingLiU" w:eastAsia="PMingLiU" w:hAnsi="PMingLiU" w:cs="宋体" w:hint="cs"/>
                <w:color w:val="0000FF"/>
                <w:kern w:val="0"/>
                <w:sz w:val="22"/>
                <w:szCs w:val="22"/>
              </w:rPr>
              <w:t>档</w:t>
            </w:r>
            <w:r>
              <w:rPr>
                <w:rFonts w:ascii="PMingLiU" w:eastAsia="PMingLiU" w:hAnsi="PMingLiU" w:cs="宋体" w:hint="eastAsia"/>
                <w:color w:val="0000FF"/>
                <w:kern w:val="0"/>
                <w:sz w:val="22"/>
                <w:szCs w:val="22"/>
              </w:rPr>
              <w:t>在</w:t>
            </w:r>
            <w:r>
              <w:rPr>
                <w:rFonts w:ascii="PMingLiU" w:eastAsia="PMingLiU" w:hAnsi="PMingLiU" w:cs="宋体" w:hint="cs"/>
                <w:color w:val="0000FF"/>
                <w:kern w:val="0"/>
                <w:sz w:val="22"/>
                <w:szCs w:val="22"/>
              </w:rPr>
              <w:t>线编辑</w:t>
            </w:r>
            <w:r>
              <w:rPr>
                <w:rFonts w:ascii="PMingLiU" w:eastAsia="PMingLiU" w:hAnsi="PMingLiU" w:cs="宋体" w:hint="eastAsia"/>
                <w:color w:val="0000FF"/>
                <w:kern w:val="0"/>
                <w:sz w:val="22"/>
                <w:szCs w:val="22"/>
              </w:rPr>
              <w:t>功能：</w:t>
            </w:r>
            <w:r>
              <w:rPr>
                <w:rFonts w:ascii="PMingLiU" w:eastAsia="PMingLiU" w:hAnsi="PMingLiU" w:cs="宋体" w:hint="eastAsia"/>
                <w:color w:val="000000"/>
                <w:kern w:val="0"/>
                <w:sz w:val="22"/>
                <w:szCs w:val="22"/>
              </w:rPr>
              <w:t>根据中共中央、国务院《信访工作条例》、司法部关于《司法行政机关信访工作办法》要求 ，信访案件登记文档在线编辑功能。</w:t>
            </w:r>
          </w:p>
        </w:tc>
      </w:tr>
      <w:tr w:rsidR="00427CFC">
        <w:trPr>
          <w:trHeight w:val="828"/>
        </w:trPr>
        <w:tc>
          <w:tcPr>
            <w:tcW w:w="267"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lastRenderedPageBreak/>
              <w:t>23</w:t>
            </w:r>
          </w:p>
        </w:tc>
        <w:tc>
          <w:tcPr>
            <w:tcW w:w="988"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proofErr w:type="gramStart"/>
            <w:r>
              <w:rPr>
                <w:rFonts w:ascii="PMingLiU" w:eastAsia="PMingLiU" w:hAnsi="PMingLiU" w:cs="宋体" w:hint="eastAsia"/>
                <w:color w:val="000000"/>
                <w:kern w:val="0"/>
                <w:sz w:val="22"/>
                <w:szCs w:val="22"/>
              </w:rPr>
              <w:t>案管信访</w:t>
            </w:r>
            <w:proofErr w:type="gramEnd"/>
            <w:r>
              <w:rPr>
                <w:rFonts w:ascii="PMingLiU" w:eastAsia="PMingLiU" w:hAnsi="PMingLiU" w:cs="宋体" w:hint="eastAsia"/>
                <w:color w:val="000000"/>
                <w:kern w:val="0"/>
                <w:sz w:val="22"/>
                <w:szCs w:val="22"/>
              </w:rPr>
              <w:t>系统数据上报与外部系统对接改造</w:t>
            </w:r>
          </w:p>
        </w:tc>
        <w:tc>
          <w:tcPr>
            <w:tcW w:w="3744"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信访数据上报司法部全国信访管理系统改造</w:t>
            </w:r>
            <w:r>
              <w:rPr>
                <w:rFonts w:ascii="PMingLiU" w:eastAsia="PMingLiU" w:hAnsi="PMingLiU" w:cs="宋体" w:hint="eastAsia"/>
                <w:color w:val="0000FF"/>
                <w:kern w:val="0"/>
                <w:sz w:val="22"/>
                <w:szCs w:val="22"/>
              </w:rPr>
              <w:t>：</w:t>
            </w:r>
            <w:r>
              <w:rPr>
                <w:rFonts w:ascii="PMingLiU" w:eastAsia="PMingLiU" w:hAnsi="PMingLiU" w:cs="宋体" w:hint="eastAsia"/>
                <w:color w:val="000000"/>
                <w:kern w:val="0"/>
                <w:sz w:val="22"/>
                <w:szCs w:val="22"/>
              </w:rPr>
              <w:t>实现信访案件上报数据核准。</w:t>
            </w:r>
          </w:p>
        </w:tc>
      </w:tr>
    </w:tbl>
    <w:p w:rsidR="00427CFC" w:rsidRDefault="00427CFC">
      <w:pPr>
        <w:ind w:firstLineChars="0" w:firstLine="0"/>
      </w:pPr>
    </w:p>
    <w:p w:rsidR="00427CFC" w:rsidRDefault="004220DA">
      <w:pPr>
        <w:pStyle w:val="4"/>
        <w:ind w:left="1134" w:hanging="1134"/>
      </w:pPr>
      <w:r>
        <w:rPr>
          <w:rFonts w:hint="eastAsia"/>
        </w:rPr>
        <w:t>破产管理模块</w:t>
      </w:r>
    </w:p>
    <w:tbl>
      <w:tblPr>
        <w:tblW w:w="5000" w:type="pct"/>
        <w:tblLayout w:type="fixed"/>
        <w:tblLook w:val="04A0"/>
      </w:tblPr>
      <w:tblGrid>
        <w:gridCol w:w="467"/>
        <w:gridCol w:w="1685"/>
        <w:gridCol w:w="6376"/>
      </w:tblGrid>
      <w:tr w:rsidR="00427CFC">
        <w:trPr>
          <w:trHeight w:val="288"/>
        </w:trPr>
        <w:tc>
          <w:tcPr>
            <w:tcW w:w="273" w:type="pct"/>
            <w:tcBorders>
              <w:top w:val="single" w:sz="4" w:space="0" w:color="auto"/>
              <w:left w:val="single" w:sz="4" w:space="0" w:color="auto"/>
              <w:bottom w:val="single" w:sz="4" w:space="0" w:color="auto"/>
              <w:right w:val="single" w:sz="4" w:space="0" w:color="auto"/>
            </w:tcBorders>
            <w:shd w:val="clear" w:color="000000" w:fill="F3F8FC"/>
            <w:noWrap/>
            <w:vAlign w:val="center"/>
          </w:tcPr>
          <w:p w:rsidR="00427CFC" w:rsidRDefault="004220DA">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序号</w:t>
            </w:r>
          </w:p>
        </w:tc>
        <w:tc>
          <w:tcPr>
            <w:tcW w:w="988" w:type="pct"/>
            <w:tcBorders>
              <w:top w:val="single" w:sz="4" w:space="0" w:color="auto"/>
              <w:left w:val="nil"/>
              <w:bottom w:val="single" w:sz="4" w:space="0" w:color="auto"/>
              <w:right w:val="single" w:sz="4" w:space="0" w:color="auto"/>
            </w:tcBorders>
            <w:shd w:val="clear" w:color="000000" w:fill="F3F8FC"/>
            <w:vAlign w:val="center"/>
          </w:tcPr>
          <w:p w:rsidR="00427CFC" w:rsidRDefault="004220DA">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功能名称</w:t>
            </w:r>
          </w:p>
        </w:tc>
        <w:tc>
          <w:tcPr>
            <w:tcW w:w="3737" w:type="pct"/>
            <w:tcBorders>
              <w:top w:val="single" w:sz="4" w:space="0" w:color="auto"/>
              <w:left w:val="nil"/>
              <w:bottom w:val="single" w:sz="4" w:space="0" w:color="auto"/>
              <w:right w:val="single" w:sz="4" w:space="0" w:color="auto"/>
            </w:tcBorders>
            <w:shd w:val="clear" w:color="000000" w:fill="F3F8FC"/>
            <w:vAlign w:val="center"/>
          </w:tcPr>
          <w:p w:rsidR="00427CFC" w:rsidRDefault="004220DA">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功能描述</w:t>
            </w:r>
          </w:p>
        </w:tc>
      </w:tr>
      <w:tr w:rsidR="00427CFC">
        <w:trPr>
          <w:trHeight w:val="1104"/>
        </w:trPr>
        <w:tc>
          <w:tcPr>
            <w:tcW w:w="273"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1</w:t>
            </w:r>
          </w:p>
        </w:tc>
        <w:tc>
          <w:tcPr>
            <w:tcW w:w="988"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破产管理人员机构信息管理-机构信息管理</w:t>
            </w:r>
          </w:p>
        </w:tc>
        <w:tc>
          <w:tcPr>
            <w:tcW w:w="3737"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实现司法行政机关对律师事务所、会计事务所及破产清算事务所等破产管理机构以及机构内人员信息的综合管理。</w:t>
            </w:r>
          </w:p>
        </w:tc>
      </w:tr>
      <w:tr w:rsidR="00427CFC">
        <w:trPr>
          <w:trHeight w:val="1104"/>
        </w:trPr>
        <w:tc>
          <w:tcPr>
            <w:tcW w:w="273"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2</w:t>
            </w:r>
          </w:p>
        </w:tc>
        <w:tc>
          <w:tcPr>
            <w:tcW w:w="988"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破产管理人员机构信息管理-人员信息管理</w:t>
            </w:r>
          </w:p>
        </w:tc>
        <w:tc>
          <w:tcPr>
            <w:tcW w:w="3737"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实现司法行政机关对破产管理人员的综合管理。</w:t>
            </w:r>
          </w:p>
        </w:tc>
      </w:tr>
      <w:tr w:rsidR="00427CFC">
        <w:trPr>
          <w:trHeight w:val="1104"/>
        </w:trPr>
        <w:tc>
          <w:tcPr>
            <w:tcW w:w="273"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3</w:t>
            </w:r>
          </w:p>
        </w:tc>
        <w:tc>
          <w:tcPr>
            <w:tcW w:w="988"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破产管理人员机构信息管理-人员机构统计分析</w:t>
            </w:r>
          </w:p>
        </w:tc>
        <w:tc>
          <w:tcPr>
            <w:tcW w:w="3737"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实现总体概览、分级统计、发展趋势分析、机构</w:t>
            </w:r>
            <w:proofErr w:type="gramStart"/>
            <w:r>
              <w:rPr>
                <w:rFonts w:ascii="PMingLiU" w:eastAsia="PMingLiU" w:hAnsi="PMingLiU" w:cs="宋体" w:hint="eastAsia"/>
                <w:color w:val="000000"/>
                <w:kern w:val="0"/>
                <w:sz w:val="22"/>
                <w:szCs w:val="22"/>
              </w:rPr>
              <w:t>设立设立</w:t>
            </w:r>
            <w:proofErr w:type="gramEnd"/>
            <w:r>
              <w:rPr>
                <w:rFonts w:ascii="PMingLiU" w:eastAsia="PMingLiU" w:hAnsi="PMingLiU" w:cs="宋体" w:hint="eastAsia"/>
                <w:color w:val="000000"/>
                <w:kern w:val="0"/>
                <w:sz w:val="22"/>
                <w:szCs w:val="22"/>
              </w:rPr>
              <w:t>时间与破产管理人员年龄分布展示。</w:t>
            </w:r>
          </w:p>
        </w:tc>
      </w:tr>
      <w:tr w:rsidR="00427CFC">
        <w:trPr>
          <w:trHeight w:val="828"/>
        </w:trPr>
        <w:tc>
          <w:tcPr>
            <w:tcW w:w="273"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4</w:t>
            </w:r>
          </w:p>
        </w:tc>
        <w:tc>
          <w:tcPr>
            <w:tcW w:w="988"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破产管理人年度考核-破产管理人填报</w:t>
            </w:r>
          </w:p>
        </w:tc>
        <w:tc>
          <w:tcPr>
            <w:tcW w:w="3737"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建立破产管理人年度考核在线申报流程，为破产管理人提供年度考核在线填报申请服务。</w:t>
            </w:r>
          </w:p>
        </w:tc>
      </w:tr>
      <w:tr w:rsidR="00427CFC">
        <w:trPr>
          <w:trHeight w:val="828"/>
        </w:trPr>
        <w:tc>
          <w:tcPr>
            <w:tcW w:w="273"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5</w:t>
            </w:r>
          </w:p>
        </w:tc>
        <w:tc>
          <w:tcPr>
            <w:tcW w:w="988"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破产管理人年度考核-破产管理机构填报</w:t>
            </w:r>
          </w:p>
        </w:tc>
        <w:tc>
          <w:tcPr>
            <w:tcW w:w="3737"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实现破产管理机构年度考核在线填报，进行机构年度考核申请。</w:t>
            </w:r>
          </w:p>
        </w:tc>
      </w:tr>
      <w:tr w:rsidR="00427CFC">
        <w:trPr>
          <w:trHeight w:val="828"/>
        </w:trPr>
        <w:tc>
          <w:tcPr>
            <w:tcW w:w="273"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6</w:t>
            </w:r>
          </w:p>
        </w:tc>
        <w:tc>
          <w:tcPr>
            <w:tcW w:w="988"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破产管理人年度考核-年度考核管理</w:t>
            </w:r>
          </w:p>
        </w:tc>
        <w:tc>
          <w:tcPr>
            <w:tcW w:w="3737"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建立破产管理人及破产管理机构考核流程，</w:t>
            </w:r>
            <w:proofErr w:type="gramStart"/>
            <w:r>
              <w:rPr>
                <w:rFonts w:ascii="PMingLiU" w:eastAsia="PMingLiU" w:hAnsi="PMingLiU" w:cs="宋体" w:hint="eastAsia"/>
                <w:color w:val="000000"/>
                <w:kern w:val="0"/>
                <w:sz w:val="22"/>
                <w:szCs w:val="22"/>
              </w:rPr>
              <w:t>实现线</w:t>
            </w:r>
            <w:proofErr w:type="gramEnd"/>
            <w:r>
              <w:rPr>
                <w:rFonts w:ascii="PMingLiU" w:eastAsia="PMingLiU" w:hAnsi="PMingLiU" w:cs="宋体" w:hint="eastAsia"/>
                <w:color w:val="000000"/>
                <w:kern w:val="0"/>
                <w:sz w:val="22"/>
                <w:szCs w:val="22"/>
              </w:rPr>
              <w:t>上考核及考核结果管理。</w:t>
            </w:r>
          </w:p>
        </w:tc>
      </w:tr>
      <w:tr w:rsidR="00427CFC">
        <w:trPr>
          <w:trHeight w:val="90"/>
        </w:trPr>
        <w:tc>
          <w:tcPr>
            <w:tcW w:w="273"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7</w:t>
            </w:r>
          </w:p>
        </w:tc>
        <w:tc>
          <w:tcPr>
            <w:tcW w:w="988"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破产管理人年度考核-考核信息公示</w:t>
            </w:r>
          </w:p>
        </w:tc>
        <w:tc>
          <w:tcPr>
            <w:tcW w:w="3737"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实现对年度考核结果在相关信息在系统及破产管理人员服务门户进行公示。</w:t>
            </w:r>
          </w:p>
        </w:tc>
      </w:tr>
      <w:tr w:rsidR="00427CFC">
        <w:trPr>
          <w:trHeight w:val="552"/>
        </w:trPr>
        <w:tc>
          <w:tcPr>
            <w:tcW w:w="273"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8</w:t>
            </w:r>
          </w:p>
        </w:tc>
        <w:tc>
          <w:tcPr>
            <w:tcW w:w="988"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破产管理人服务-通知发布</w:t>
            </w:r>
          </w:p>
        </w:tc>
        <w:tc>
          <w:tcPr>
            <w:tcW w:w="3737"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建立破产管理人内部重要通知公告发下流程，满足紧急通知信息传达需求。</w:t>
            </w:r>
          </w:p>
        </w:tc>
      </w:tr>
      <w:tr w:rsidR="00427CFC">
        <w:trPr>
          <w:trHeight w:val="1380"/>
        </w:trPr>
        <w:tc>
          <w:tcPr>
            <w:tcW w:w="273"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9</w:t>
            </w:r>
          </w:p>
        </w:tc>
        <w:tc>
          <w:tcPr>
            <w:tcW w:w="988"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破产管理人服务-在线调研</w:t>
            </w:r>
          </w:p>
        </w:tc>
        <w:tc>
          <w:tcPr>
            <w:tcW w:w="3737" w:type="pct"/>
            <w:tcBorders>
              <w:top w:val="nil"/>
              <w:left w:val="nil"/>
              <w:bottom w:val="single" w:sz="4" w:space="0" w:color="auto"/>
              <w:right w:val="single" w:sz="4" w:space="0" w:color="auto"/>
            </w:tcBorders>
            <w:shd w:val="clear" w:color="auto" w:fill="auto"/>
            <w:vAlign w:val="center"/>
          </w:tcPr>
          <w:p w:rsidR="00427CFC" w:rsidRDefault="004220DA" w:rsidP="00701D9D">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支持创建调研任务，并在线生成调研表，破产管理人收到调研任务后填写相关统计数据，并对调研任务收集到的数据进行调研情况分析。</w:t>
            </w:r>
          </w:p>
        </w:tc>
      </w:tr>
      <w:tr w:rsidR="00427CFC">
        <w:trPr>
          <w:trHeight w:val="1104"/>
        </w:trPr>
        <w:tc>
          <w:tcPr>
            <w:tcW w:w="273"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10</w:t>
            </w:r>
          </w:p>
        </w:tc>
        <w:tc>
          <w:tcPr>
            <w:tcW w:w="988"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破产管理人服务-经费审批管理</w:t>
            </w:r>
          </w:p>
        </w:tc>
        <w:tc>
          <w:tcPr>
            <w:tcW w:w="3737"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建立经费审批流程，实现在线提交经费申请，审批人员可以在系统中查看申请并进行审批操作，审批结果会及时反馈给申请人。</w:t>
            </w:r>
          </w:p>
        </w:tc>
      </w:tr>
      <w:tr w:rsidR="00427CFC">
        <w:trPr>
          <w:trHeight w:val="828"/>
        </w:trPr>
        <w:tc>
          <w:tcPr>
            <w:tcW w:w="273"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lastRenderedPageBreak/>
              <w:t>11</w:t>
            </w:r>
          </w:p>
        </w:tc>
        <w:tc>
          <w:tcPr>
            <w:tcW w:w="988"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破产管理人</w:t>
            </w:r>
            <w:proofErr w:type="gramStart"/>
            <w:r>
              <w:rPr>
                <w:rFonts w:ascii="PMingLiU" w:eastAsia="PMingLiU" w:hAnsi="PMingLiU" w:cs="宋体" w:hint="eastAsia"/>
                <w:color w:val="000000"/>
                <w:kern w:val="0"/>
                <w:sz w:val="22"/>
                <w:szCs w:val="22"/>
              </w:rPr>
              <w:t>报</w:t>
            </w:r>
            <w:r>
              <w:rPr>
                <w:rFonts w:ascii="PMingLiU" w:eastAsia="PMingLiU" w:hAnsi="PMingLiU" w:cs="宋体" w:hint="eastAsia"/>
                <w:color w:val="0000FF"/>
                <w:kern w:val="0"/>
                <w:sz w:val="22"/>
                <w:szCs w:val="22"/>
              </w:rPr>
              <w:t>-</w:t>
            </w:r>
            <w:r>
              <w:rPr>
                <w:rFonts w:ascii="PMingLiU" w:eastAsia="PMingLiU" w:hAnsi="PMingLiU" w:cs="宋体" w:hint="eastAsia"/>
                <w:color w:val="000000"/>
                <w:kern w:val="0"/>
                <w:sz w:val="22"/>
                <w:szCs w:val="22"/>
              </w:rPr>
              <w:t>酬专项</w:t>
            </w:r>
            <w:proofErr w:type="gramEnd"/>
            <w:r>
              <w:rPr>
                <w:rFonts w:ascii="PMingLiU" w:eastAsia="PMingLiU" w:hAnsi="PMingLiU" w:cs="宋体" w:hint="eastAsia"/>
                <w:color w:val="000000"/>
                <w:kern w:val="0"/>
                <w:sz w:val="22"/>
                <w:szCs w:val="22"/>
              </w:rPr>
              <w:t>基金管理</w:t>
            </w:r>
          </w:p>
        </w:tc>
        <w:tc>
          <w:tcPr>
            <w:tcW w:w="3737"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实现缴纳管理、补贴申请、勤勉核查、申请审核、材料补全、补贴支付记录管理以及收支情况统计等业务功能。</w:t>
            </w:r>
          </w:p>
        </w:tc>
      </w:tr>
      <w:tr w:rsidR="00427CFC">
        <w:trPr>
          <w:trHeight w:val="1380"/>
        </w:trPr>
        <w:tc>
          <w:tcPr>
            <w:tcW w:w="273"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12</w:t>
            </w:r>
          </w:p>
        </w:tc>
        <w:tc>
          <w:tcPr>
            <w:tcW w:w="988"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破产管理人服务-破产管理人服务门户</w:t>
            </w:r>
          </w:p>
        </w:tc>
        <w:tc>
          <w:tcPr>
            <w:tcW w:w="3737"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为破产管理人队伍提供各类服务在线直达窗口，展示管理人组织简介、行业动态、公告通知、行业发展、党建工作等内容，完善破产管理人服务体系。</w:t>
            </w:r>
          </w:p>
        </w:tc>
      </w:tr>
      <w:tr w:rsidR="00427CFC">
        <w:trPr>
          <w:trHeight w:val="1656"/>
        </w:trPr>
        <w:tc>
          <w:tcPr>
            <w:tcW w:w="273"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13</w:t>
            </w:r>
          </w:p>
        </w:tc>
        <w:tc>
          <w:tcPr>
            <w:tcW w:w="988"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破产管理人奖惩管理-投诉管理</w:t>
            </w:r>
          </w:p>
        </w:tc>
        <w:tc>
          <w:tcPr>
            <w:tcW w:w="3737"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建立在线投诉管理流程，支持在线投诉和投诉受理，管理机构可以通过系统接收和受理破产管理人相关的投诉，记录投诉信息、指派处理人员、跟踪处理进度，并进行投诉处理结果的归档。</w:t>
            </w:r>
          </w:p>
        </w:tc>
      </w:tr>
      <w:tr w:rsidR="00427CFC">
        <w:trPr>
          <w:trHeight w:val="828"/>
        </w:trPr>
        <w:tc>
          <w:tcPr>
            <w:tcW w:w="273"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14</w:t>
            </w:r>
          </w:p>
        </w:tc>
        <w:tc>
          <w:tcPr>
            <w:tcW w:w="988"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破产管理人奖惩管理-处分管理</w:t>
            </w:r>
          </w:p>
        </w:tc>
        <w:tc>
          <w:tcPr>
            <w:tcW w:w="3737"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支持可以根据相关法律、法规、规章制度进行处分，通过系统记录和跟踪处分的全过程</w:t>
            </w:r>
            <w:r w:rsidR="00701D9D">
              <w:rPr>
                <w:rFonts w:ascii="PMingLiU" w:eastAsiaTheme="minorEastAsia" w:hAnsi="PMingLiU" w:cs="宋体" w:hint="eastAsia"/>
                <w:color w:val="000000"/>
                <w:kern w:val="0"/>
                <w:sz w:val="22"/>
                <w:szCs w:val="22"/>
              </w:rPr>
              <w:t>（内部管理）</w:t>
            </w:r>
            <w:r>
              <w:rPr>
                <w:rFonts w:ascii="PMingLiU" w:eastAsia="PMingLiU" w:hAnsi="PMingLiU" w:cs="宋体" w:hint="eastAsia"/>
                <w:color w:val="000000"/>
                <w:kern w:val="0"/>
                <w:sz w:val="22"/>
                <w:szCs w:val="22"/>
              </w:rPr>
              <w:t>。</w:t>
            </w:r>
          </w:p>
        </w:tc>
      </w:tr>
      <w:tr w:rsidR="00427CFC">
        <w:trPr>
          <w:trHeight w:val="1104"/>
        </w:trPr>
        <w:tc>
          <w:tcPr>
            <w:tcW w:w="273"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15</w:t>
            </w:r>
          </w:p>
        </w:tc>
        <w:tc>
          <w:tcPr>
            <w:tcW w:w="988"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破产管理人奖惩管理-奖励管理</w:t>
            </w:r>
          </w:p>
        </w:tc>
        <w:tc>
          <w:tcPr>
            <w:tcW w:w="3737"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支持管理机构对破产管理人的奖励管理，通过系统进行奖励信息登记和通知，以激励和表彰优秀的破产管理人员。</w:t>
            </w:r>
          </w:p>
        </w:tc>
      </w:tr>
      <w:tr w:rsidR="00427CFC">
        <w:trPr>
          <w:trHeight w:val="828"/>
        </w:trPr>
        <w:tc>
          <w:tcPr>
            <w:tcW w:w="273"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16</w:t>
            </w:r>
          </w:p>
        </w:tc>
        <w:tc>
          <w:tcPr>
            <w:tcW w:w="988"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机构变更管理-变更信息报备</w:t>
            </w:r>
          </w:p>
        </w:tc>
        <w:tc>
          <w:tcPr>
            <w:tcW w:w="3737"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实现破产管理人机构在发生机构变更时在线报备相关信息。</w:t>
            </w:r>
          </w:p>
        </w:tc>
      </w:tr>
      <w:tr w:rsidR="00427CFC">
        <w:trPr>
          <w:trHeight w:val="1104"/>
        </w:trPr>
        <w:tc>
          <w:tcPr>
            <w:tcW w:w="273"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17</w:t>
            </w:r>
          </w:p>
        </w:tc>
        <w:tc>
          <w:tcPr>
            <w:tcW w:w="988"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机构变更管理-变更信息审核</w:t>
            </w:r>
          </w:p>
        </w:tc>
        <w:tc>
          <w:tcPr>
            <w:tcW w:w="3737"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建立机构变更管理流程，实现司法行政机关接收到破产管理人机构的变更信息报备后，由相关负责人将进行在线审核。</w:t>
            </w:r>
          </w:p>
        </w:tc>
      </w:tr>
      <w:tr w:rsidR="00427CFC">
        <w:trPr>
          <w:trHeight w:val="828"/>
        </w:trPr>
        <w:tc>
          <w:tcPr>
            <w:tcW w:w="273"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18</w:t>
            </w:r>
          </w:p>
        </w:tc>
        <w:tc>
          <w:tcPr>
            <w:tcW w:w="988"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机构变更管理-管理机构信息变更</w:t>
            </w:r>
          </w:p>
        </w:tc>
        <w:tc>
          <w:tcPr>
            <w:tcW w:w="3737"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实现在线授权破产管理机构进行本机构信息变更，支持破产管理机构及时变更机构内人员信息。</w:t>
            </w:r>
          </w:p>
        </w:tc>
      </w:tr>
      <w:tr w:rsidR="00427CFC">
        <w:trPr>
          <w:trHeight w:val="1380"/>
        </w:trPr>
        <w:tc>
          <w:tcPr>
            <w:tcW w:w="273"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19</w:t>
            </w:r>
          </w:p>
        </w:tc>
        <w:tc>
          <w:tcPr>
            <w:tcW w:w="988"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机构变更管理-机构变更预警</w:t>
            </w:r>
          </w:p>
        </w:tc>
        <w:tc>
          <w:tcPr>
            <w:tcW w:w="3737"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与上海市律师综合管理信息系统、注册会计师管理系统以及清算师协会管理系统进行对接，当破产管理机构发生信息变更时，自动预警安排变更，确保系统数据的准确性。</w:t>
            </w:r>
          </w:p>
        </w:tc>
      </w:tr>
      <w:tr w:rsidR="00427CFC">
        <w:trPr>
          <w:trHeight w:val="1104"/>
        </w:trPr>
        <w:tc>
          <w:tcPr>
            <w:tcW w:w="273"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20</w:t>
            </w:r>
          </w:p>
        </w:tc>
        <w:tc>
          <w:tcPr>
            <w:tcW w:w="988"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破产管理人业务培训及水平测试管理-在线培训服务</w:t>
            </w:r>
          </w:p>
        </w:tc>
        <w:tc>
          <w:tcPr>
            <w:tcW w:w="3737"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为破产管理人队伍提供在线培训服务，包含提供业务培训、专题培训，加强破产管理人队伍建设。</w:t>
            </w:r>
          </w:p>
        </w:tc>
      </w:tr>
      <w:tr w:rsidR="00427CFC">
        <w:trPr>
          <w:trHeight w:val="1104"/>
        </w:trPr>
        <w:tc>
          <w:tcPr>
            <w:tcW w:w="273"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21</w:t>
            </w:r>
          </w:p>
        </w:tc>
        <w:tc>
          <w:tcPr>
            <w:tcW w:w="988"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破产管理人业务培训及水平测试管理-在线培训管理</w:t>
            </w:r>
          </w:p>
        </w:tc>
        <w:tc>
          <w:tcPr>
            <w:tcW w:w="3737"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实现课程、师资库、</w:t>
            </w:r>
            <w:proofErr w:type="gramStart"/>
            <w:r>
              <w:rPr>
                <w:rFonts w:ascii="PMingLiU" w:eastAsia="PMingLiU" w:hAnsi="PMingLiU" w:cs="宋体" w:hint="eastAsia"/>
                <w:color w:val="000000"/>
                <w:kern w:val="0"/>
                <w:sz w:val="22"/>
                <w:szCs w:val="22"/>
              </w:rPr>
              <w:t>版块</w:t>
            </w:r>
            <w:proofErr w:type="gramEnd"/>
            <w:r>
              <w:rPr>
                <w:rFonts w:ascii="PMingLiU" w:eastAsia="PMingLiU" w:hAnsi="PMingLiU" w:cs="宋体" w:hint="eastAsia"/>
                <w:color w:val="000000"/>
                <w:kern w:val="0"/>
                <w:sz w:val="22"/>
                <w:szCs w:val="22"/>
              </w:rPr>
              <w:t>、教师、学员等内容信息管理，以及班级、培训报名、课件、作业、电子签到、证书打印、学分管理等业务应用。</w:t>
            </w:r>
          </w:p>
        </w:tc>
      </w:tr>
      <w:tr w:rsidR="00427CFC">
        <w:trPr>
          <w:trHeight w:val="1380"/>
        </w:trPr>
        <w:tc>
          <w:tcPr>
            <w:tcW w:w="273"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22</w:t>
            </w:r>
          </w:p>
        </w:tc>
        <w:tc>
          <w:tcPr>
            <w:tcW w:w="988"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破产管理人业务培训及水平测试管理-水平测试管理</w:t>
            </w:r>
          </w:p>
        </w:tc>
        <w:tc>
          <w:tcPr>
            <w:tcW w:w="3737"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建立在线水平测试管理体系，覆盖破产管理人需要掌握的知识和技能，破产管理人完成测试题目后，系统会自动进行评估和打分，获得测试结果和反馈。</w:t>
            </w:r>
          </w:p>
        </w:tc>
      </w:tr>
      <w:tr w:rsidR="00427CFC">
        <w:trPr>
          <w:trHeight w:val="1104"/>
        </w:trPr>
        <w:tc>
          <w:tcPr>
            <w:tcW w:w="273"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lastRenderedPageBreak/>
              <w:t>23</w:t>
            </w:r>
          </w:p>
        </w:tc>
        <w:tc>
          <w:tcPr>
            <w:tcW w:w="988"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破产管理人履职/办案信息管理-案件登记</w:t>
            </w:r>
          </w:p>
        </w:tc>
        <w:tc>
          <w:tcPr>
            <w:tcW w:w="3737"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实现案件登记服务，破产管理人登记案件名称、案号、申请人、债务人等相关信息。</w:t>
            </w:r>
          </w:p>
        </w:tc>
      </w:tr>
      <w:tr w:rsidR="00427CFC">
        <w:trPr>
          <w:trHeight w:val="1104"/>
        </w:trPr>
        <w:tc>
          <w:tcPr>
            <w:tcW w:w="273"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24</w:t>
            </w:r>
          </w:p>
        </w:tc>
        <w:tc>
          <w:tcPr>
            <w:tcW w:w="988"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破产管理人履职/办案信息管理-履职办案信息管理</w:t>
            </w:r>
          </w:p>
        </w:tc>
        <w:tc>
          <w:tcPr>
            <w:tcW w:w="3737"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实现司法行政机关对破产管理人的案件信息、履职信息综合管理，分析本市破产管理人服务质量。</w:t>
            </w:r>
          </w:p>
        </w:tc>
      </w:tr>
      <w:tr w:rsidR="00427CFC">
        <w:trPr>
          <w:trHeight w:val="1104"/>
        </w:trPr>
        <w:tc>
          <w:tcPr>
            <w:tcW w:w="273"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25</w:t>
            </w:r>
          </w:p>
        </w:tc>
        <w:tc>
          <w:tcPr>
            <w:tcW w:w="988"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破产管理人履职/办案信息管理-党组织管理</w:t>
            </w:r>
          </w:p>
        </w:tc>
        <w:tc>
          <w:tcPr>
            <w:tcW w:w="3737"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实现司法行政机关对破产管理人党组织、党务人员统一管理。</w:t>
            </w:r>
          </w:p>
        </w:tc>
      </w:tr>
      <w:tr w:rsidR="00427CFC">
        <w:trPr>
          <w:trHeight w:val="828"/>
        </w:trPr>
        <w:tc>
          <w:tcPr>
            <w:tcW w:w="273" w:type="pct"/>
            <w:tcBorders>
              <w:top w:val="nil"/>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righ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26</w:t>
            </w:r>
          </w:p>
        </w:tc>
        <w:tc>
          <w:tcPr>
            <w:tcW w:w="988"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与法院相关系统对接接口</w:t>
            </w:r>
          </w:p>
        </w:tc>
        <w:tc>
          <w:tcPr>
            <w:tcW w:w="3737" w:type="pct"/>
            <w:tcBorders>
              <w:top w:val="nil"/>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left"/>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与法院系统对接，实现破产管理人信息、案件信息、履职信息以及履职评价信息的共享和同步更新。</w:t>
            </w:r>
          </w:p>
        </w:tc>
      </w:tr>
    </w:tbl>
    <w:p w:rsidR="00427CFC" w:rsidRDefault="00427CFC">
      <w:pPr>
        <w:ind w:firstLineChars="0" w:firstLine="0"/>
      </w:pPr>
    </w:p>
    <w:p w:rsidR="00427CFC" w:rsidRDefault="004220DA">
      <w:pPr>
        <w:pStyle w:val="2"/>
      </w:pPr>
      <w:r>
        <w:rPr>
          <w:rFonts w:hint="eastAsia"/>
        </w:rPr>
        <w:t>总体要求</w:t>
      </w:r>
    </w:p>
    <w:p w:rsidR="00427CFC" w:rsidRDefault="004220DA">
      <w:pPr>
        <w:pStyle w:val="3"/>
      </w:pPr>
      <w:r>
        <w:rPr>
          <w:rFonts w:hint="eastAsia"/>
        </w:rPr>
        <w:t>应用软件运行环境</w:t>
      </w:r>
    </w:p>
    <w:p w:rsidR="00427CFC" w:rsidRDefault="004220DA">
      <w:r>
        <w:rPr>
          <w:rFonts w:hint="eastAsia"/>
        </w:rPr>
        <w:t>本次建设的应用系统运行在市电子政务云上，涉及运行环境包括政务外</w:t>
      </w:r>
      <w:proofErr w:type="gramStart"/>
      <w:r>
        <w:rPr>
          <w:rFonts w:hint="eastAsia"/>
        </w:rPr>
        <w:t>网区域</w:t>
      </w:r>
      <w:proofErr w:type="gramEnd"/>
      <w:r>
        <w:rPr>
          <w:rFonts w:hint="eastAsia"/>
        </w:rPr>
        <w:t>和互联网区域。</w:t>
      </w:r>
    </w:p>
    <w:p w:rsidR="00427CFC" w:rsidRDefault="004220DA">
      <w:pPr>
        <w:pStyle w:val="3"/>
      </w:pPr>
      <w:r>
        <w:rPr>
          <w:rFonts w:hint="eastAsia"/>
        </w:rPr>
        <w:t>体系结构与技术路线要求</w:t>
      </w:r>
    </w:p>
    <w:p w:rsidR="00427CFC" w:rsidRDefault="004220DA">
      <w:r>
        <w:rPr>
          <w:rFonts w:hint="eastAsia"/>
        </w:rPr>
        <w:t>本项目建设按照上海市司法局信息化建设总体架构设计要求，建设相关业务应用软件。从整合与集成化的角度出发，采用JavaEE技术架构、构件化的开发模式，在统一的上海市司法</w:t>
      </w:r>
      <w:proofErr w:type="gramStart"/>
      <w:r>
        <w:rPr>
          <w:rFonts w:hint="eastAsia"/>
        </w:rPr>
        <w:t>局整体</w:t>
      </w:r>
      <w:proofErr w:type="gramEnd"/>
      <w:r>
        <w:rPr>
          <w:rFonts w:hint="eastAsia"/>
        </w:rPr>
        <w:t>框架基础上完成相关应用功能的实现。</w:t>
      </w:r>
    </w:p>
    <w:p w:rsidR="00427CFC" w:rsidRDefault="004220DA">
      <w:r>
        <w:rPr>
          <w:rFonts w:hint="eastAsia"/>
        </w:rPr>
        <w:t>上海市司法</w:t>
      </w:r>
      <w:proofErr w:type="gramStart"/>
      <w:r>
        <w:rPr>
          <w:rFonts w:hint="eastAsia"/>
        </w:rPr>
        <w:t>局整体</w:t>
      </w:r>
      <w:proofErr w:type="gramEnd"/>
      <w:r>
        <w:rPr>
          <w:rFonts w:hint="eastAsia"/>
        </w:rPr>
        <w:t>信息化整合建设已完成总体框架规划。整体框架以数据融合为核心，以资源协同为支撑，以核心业务为主线，</w:t>
      </w:r>
      <w:proofErr w:type="gramStart"/>
      <w:r>
        <w:rPr>
          <w:rFonts w:hint="eastAsia"/>
        </w:rPr>
        <w:t>践行</w:t>
      </w:r>
      <w:proofErr w:type="gramEnd"/>
      <w:r>
        <w:rPr>
          <w:rFonts w:hint="eastAsia"/>
        </w:rPr>
        <w:t>新发展理念，加快推进上海市司法局政务信息系统整合，支撑本市城市运行“一网统管”。</w:t>
      </w:r>
    </w:p>
    <w:p w:rsidR="00427CFC" w:rsidRDefault="004220DA">
      <w:pPr>
        <w:pStyle w:val="3"/>
      </w:pPr>
      <w:r>
        <w:rPr>
          <w:rFonts w:hint="eastAsia"/>
        </w:rPr>
        <w:t>系统集成要求</w:t>
      </w:r>
    </w:p>
    <w:p w:rsidR="00427CFC" w:rsidRDefault="004220DA">
      <w:r>
        <w:rPr>
          <w:rFonts w:hint="eastAsia"/>
        </w:rPr>
        <w:t>上海市司法局业务系统目前部署在市电子政务云上，全面实现“基础全面夯实、数据全面融通、系统全面整合、应用全面激活”的“四全”信息化建设目标满足上海司法行政信息化总体规划要求。</w:t>
      </w:r>
    </w:p>
    <w:p w:rsidR="00427CFC" w:rsidRDefault="004220DA">
      <w:r>
        <w:rPr>
          <w:rFonts w:hint="eastAsia"/>
        </w:rPr>
        <w:t>投标方需针对电子政务</w:t>
      </w:r>
      <w:proofErr w:type="gramStart"/>
      <w:r>
        <w:rPr>
          <w:rFonts w:hint="eastAsia"/>
        </w:rPr>
        <w:t>云资源</w:t>
      </w:r>
      <w:proofErr w:type="gramEnd"/>
      <w:r>
        <w:rPr>
          <w:rFonts w:hint="eastAsia"/>
        </w:rPr>
        <w:t>需求，制定适合本项目的集成方案，系统架</w:t>
      </w:r>
      <w:r>
        <w:rPr>
          <w:rFonts w:hint="eastAsia"/>
        </w:rPr>
        <w:lastRenderedPageBreak/>
        <w:t>构设计，能够满足系统的完备性和</w:t>
      </w:r>
      <w:proofErr w:type="gramStart"/>
      <w:r>
        <w:rPr>
          <w:rFonts w:hint="eastAsia"/>
        </w:rPr>
        <w:t>可</w:t>
      </w:r>
      <w:proofErr w:type="gramEnd"/>
      <w:r>
        <w:rPr>
          <w:rFonts w:hint="eastAsia"/>
        </w:rPr>
        <w:t>扩展性要求，完成应用软件部署、配置和联调，并负责业务应用系统的售后维护工作。</w:t>
      </w:r>
    </w:p>
    <w:p w:rsidR="00427CFC" w:rsidRDefault="004220DA">
      <w:r>
        <w:rPr>
          <w:rFonts w:hint="eastAsia"/>
        </w:rPr>
        <w:t>本项目建设应按照上海市司法局信息化建设总体架构设计要求，建设相关业务应用软件。从整合与集成化的角度出发，采用JavaEE技术架构、构件化的开发模式，在统一的应用支撑平台基础上完成相关应用功能的实现。</w:t>
      </w:r>
    </w:p>
    <w:p w:rsidR="00427CFC" w:rsidRDefault="004220DA">
      <w:r>
        <w:rPr>
          <w:rFonts w:hint="eastAsia"/>
        </w:rPr>
        <w:t>本项目应满足上海市司法局信息系统</w:t>
      </w:r>
      <w:proofErr w:type="gramStart"/>
      <w:r>
        <w:rPr>
          <w:rFonts w:hint="eastAsia"/>
        </w:rPr>
        <w:t>对于信创环境</w:t>
      </w:r>
      <w:proofErr w:type="gramEnd"/>
      <w:r>
        <w:rPr>
          <w:rFonts w:hint="eastAsia"/>
        </w:rPr>
        <w:t>支持的基本要求。</w:t>
      </w:r>
      <w:proofErr w:type="gramStart"/>
      <w:r>
        <w:rPr>
          <w:rFonts w:hint="eastAsia"/>
        </w:rPr>
        <w:t>信创环境</w:t>
      </w:r>
      <w:proofErr w:type="gramEnd"/>
      <w:r>
        <w:rPr>
          <w:rFonts w:hint="eastAsia"/>
        </w:rPr>
        <w:t>支持包括：数据库适配、操作系统适配、办公软件适配、外设适配。本系统建成后，部署在上海市电子政务</w:t>
      </w:r>
      <w:proofErr w:type="gramStart"/>
      <w:r>
        <w:rPr>
          <w:rFonts w:hint="eastAsia"/>
        </w:rPr>
        <w:t>云环境</w:t>
      </w:r>
      <w:proofErr w:type="gramEnd"/>
      <w:r>
        <w:rPr>
          <w:rFonts w:hint="eastAsia"/>
        </w:rPr>
        <w:t>上，并完全适配安全可靠终端的使用。</w:t>
      </w:r>
    </w:p>
    <w:p w:rsidR="00427CFC" w:rsidRDefault="004220DA">
      <w:pPr>
        <w:pStyle w:val="3"/>
      </w:pPr>
      <w:r>
        <w:rPr>
          <w:rFonts w:hint="eastAsia"/>
        </w:rPr>
        <w:t>系统安全要求</w:t>
      </w:r>
    </w:p>
    <w:p w:rsidR="00427CFC" w:rsidRDefault="004220DA">
      <w:pPr>
        <w:tabs>
          <w:tab w:val="left" w:pos="420"/>
        </w:tabs>
        <w:ind w:firstLineChars="236" w:firstLine="566"/>
      </w:pPr>
      <w:r>
        <w:rPr>
          <w:rFonts w:hint="eastAsia"/>
        </w:rPr>
        <w:t>上海市</w:t>
      </w:r>
      <w:proofErr w:type="gramStart"/>
      <w:r>
        <w:rPr>
          <w:rFonts w:hint="eastAsia"/>
        </w:rPr>
        <w:t>司法局云上</w:t>
      </w:r>
      <w:proofErr w:type="gramEnd"/>
      <w:r>
        <w:rPr>
          <w:rFonts w:hint="eastAsia"/>
        </w:rPr>
        <w:t>系统整体安全依托于电子政务</w:t>
      </w:r>
      <w:proofErr w:type="gramStart"/>
      <w:r>
        <w:rPr>
          <w:rFonts w:hint="eastAsia"/>
        </w:rPr>
        <w:t>云安全</w:t>
      </w:r>
      <w:proofErr w:type="gramEnd"/>
      <w:r>
        <w:rPr>
          <w:rFonts w:hint="eastAsia"/>
        </w:rPr>
        <w:t>体系，系统安全需要达到安全等级保护2</w:t>
      </w:r>
      <w:r>
        <w:t>.0</w:t>
      </w:r>
      <w:proofErr w:type="gramStart"/>
      <w:r>
        <w:rPr>
          <w:rFonts w:hint="eastAsia"/>
        </w:rPr>
        <w:t>三</w:t>
      </w:r>
      <w:proofErr w:type="gramEnd"/>
      <w:r>
        <w:rPr>
          <w:rFonts w:hint="eastAsia"/>
        </w:rPr>
        <w:t>级标准。</w:t>
      </w:r>
    </w:p>
    <w:p w:rsidR="00427CFC" w:rsidRDefault="004220DA">
      <w:pPr>
        <w:pStyle w:val="3"/>
      </w:pPr>
      <w:r>
        <w:rPr>
          <w:rFonts w:hint="eastAsia"/>
        </w:rPr>
        <w:t>其他技术要求</w:t>
      </w:r>
    </w:p>
    <w:p w:rsidR="00427CFC" w:rsidRDefault="004220DA">
      <w:pPr>
        <w:pStyle w:val="4"/>
        <w:ind w:left="1134" w:hanging="1134"/>
      </w:pPr>
      <w:r>
        <w:rPr>
          <w:rFonts w:hint="eastAsia"/>
        </w:rPr>
        <w:t>遵循的标准、规范</w:t>
      </w:r>
    </w:p>
    <w:p w:rsidR="00427CFC" w:rsidRDefault="004220DA">
      <w:r>
        <w:rPr>
          <w:rFonts w:hint="eastAsia"/>
        </w:rPr>
        <w:t>本项目建设遵循各类司法信息化建设规范性文件、各类司法信息化标准体系文件的要求，同时满足上海市司法业务的需要。</w:t>
      </w:r>
    </w:p>
    <w:p w:rsidR="00427CFC" w:rsidRDefault="004220DA">
      <w:pPr>
        <w:pStyle w:val="4"/>
        <w:ind w:left="1134" w:hanging="1134"/>
      </w:pPr>
      <w:r>
        <w:rPr>
          <w:rFonts w:hint="eastAsia"/>
        </w:rPr>
        <w:t>系统性能要求</w:t>
      </w:r>
    </w:p>
    <w:p w:rsidR="00427CFC" w:rsidRDefault="004220DA">
      <w:r>
        <w:rPr>
          <w:rFonts w:hint="eastAsia"/>
        </w:rPr>
        <w:t>本项目系统性能需求如下：</w:t>
      </w:r>
    </w:p>
    <w:p w:rsidR="00427CFC" w:rsidRDefault="004220DA">
      <w:pPr>
        <w:numPr>
          <w:ilvl w:val="0"/>
          <w:numId w:val="8"/>
        </w:numPr>
        <w:ind w:firstLineChars="0"/>
      </w:pPr>
      <w:r>
        <w:rPr>
          <w:rFonts w:hint="eastAsia"/>
        </w:rPr>
        <w:t>支持最大并发用户数≥300；</w:t>
      </w:r>
    </w:p>
    <w:p w:rsidR="00427CFC" w:rsidRDefault="004220DA">
      <w:pPr>
        <w:numPr>
          <w:ilvl w:val="0"/>
          <w:numId w:val="8"/>
        </w:numPr>
        <w:ind w:firstLineChars="0"/>
      </w:pPr>
      <w:r>
        <w:rPr>
          <w:rFonts w:hint="eastAsia"/>
        </w:rPr>
        <w:t>同时在在线用户数≥2000；</w:t>
      </w:r>
    </w:p>
    <w:p w:rsidR="00427CFC" w:rsidRDefault="004220DA">
      <w:pPr>
        <w:numPr>
          <w:ilvl w:val="0"/>
          <w:numId w:val="8"/>
        </w:numPr>
        <w:ind w:firstLineChars="0"/>
      </w:pPr>
      <w:r>
        <w:rPr>
          <w:rFonts w:hint="eastAsia"/>
        </w:rPr>
        <w:t>并发用户数≥</w:t>
      </w:r>
      <w:r w:rsidR="008D0CB6">
        <w:t>3</w:t>
      </w:r>
      <w:r w:rsidR="008D0CB6">
        <w:rPr>
          <w:rFonts w:hint="eastAsia"/>
        </w:rPr>
        <w:t>00</w:t>
      </w:r>
      <w:r>
        <w:rPr>
          <w:rFonts w:hint="eastAsia"/>
        </w:rPr>
        <w:t>时，系统登陆时间≤5秒；</w:t>
      </w:r>
    </w:p>
    <w:p w:rsidR="00427CFC" w:rsidRDefault="004220DA">
      <w:pPr>
        <w:numPr>
          <w:ilvl w:val="0"/>
          <w:numId w:val="8"/>
        </w:numPr>
        <w:ind w:firstLineChars="0"/>
      </w:pPr>
      <w:r>
        <w:rPr>
          <w:rFonts w:hint="eastAsia"/>
        </w:rPr>
        <w:t>一般查询和写入操作响应时间（90%的操作页面）≤5秒；</w:t>
      </w:r>
    </w:p>
    <w:p w:rsidR="00427CFC" w:rsidRDefault="004220DA">
      <w:pPr>
        <w:numPr>
          <w:ilvl w:val="0"/>
          <w:numId w:val="8"/>
        </w:numPr>
        <w:ind w:firstLineChars="0"/>
      </w:pPr>
      <w:r>
        <w:rPr>
          <w:rFonts w:hint="eastAsia"/>
        </w:rPr>
        <w:t>搜索类操作响应时间≤10秒；</w:t>
      </w:r>
    </w:p>
    <w:p w:rsidR="00427CFC" w:rsidRDefault="004220DA">
      <w:pPr>
        <w:numPr>
          <w:ilvl w:val="0"/>
          <w:numId w:val="8"/>
        </w:numPr>
        <w:ind w:firstLineChars="0"/>
      </w:pPr>
      <w:r>
        <w:rPr>
          <w:rFonts w:hint="eastAsia"/>
        </w:rPr>
        <w:t>报表统计类操作响应时间≤15秒；</w:t>
      </w:r>
    </w:p>
    <w:p w:rsidR="00427CFC" w:rsidRDefault="004220DA">
      <w:pPr>
        <w:numPr>
          <w:ilvl w:val="0"/>
          <w:numId w:val="8"/>
        </w:numPr>
        <w:ind w:firstLineChars="0"/>
      </w:pPr>
      <w:r>
        <w:rPr>
          <w:rFonts w:hint="eastAsia"/>
        </w:rPr>
        <w:t>响应时间较长的操作页面应显示进度条。</w:t>
      </w:r>
    </w:p>
    <w:p w:rsidR="00427CFC" w:rsidRDefault="004220DA">
      <w:pPr>
        <w:pStyle w:val="4"/>
        <w:ind w:left="1134" w:hanging="1134"/>
      </w:pPr>
      <w:r>
        <w:rPr>
          <w:rFonts w:hint="eastAsia"/>
        </w:rPr>
        <w:t>可靠性要求</w:t>
      </w:r>
    </w:p>
    <w:p w:rsidR="00427CFC" w:rsidRDefault="004220DA">
      <w:pPr>
        <w:numPr>
          <w:ilvl w:val="0"/>
          <w:numId w:val="9"/>
        </w:numPr>
        <w:ind w:firstLineChars="0"/>
      </w:pPr>
      <w:r>
        <w:rPr>
          <w:rFonts w:hint="eastAsia"/>
        </w:rPr>
        <w:t>平台支持7*24小时不间断服务。</w:t>
      </w:r>
    </w:p>
    <w:p w:rsidR="00427CFC" w:rsidRDefault="004220DA">
      <w:pPr>
        <w:numPr>
          <w:ilvl w:val="0"/>
          <w:numId w:val="9"/>
        </w:numPr>
        <w:ind w:firstLineChars="0"/>
      </w:pPr>
      <w:r>
        <w:rPr>
          <w:rFonts w:hint="eastAsia"/>
        </w:rPr>
        <w:lastRenderedPageBreak/>
        <w:t>系统本身问题在2小时内响应并且系统平均恢复时间小于8小时。</w:t>
      </w:r>
    </w:p>
    <w:p w:rsidR="00427CFC" w:rsidRDefault="004220DA">
      <w:pPr>
        <w:numPr>
          <w:ilvl w:val="0"/>
          <w:numId w:val="9"/>
        </w:numPr>
        <w:ind w:firstLineChars="0"/>
      </w:pPr>
      <w:r>
        <w:rPr>
          <w:rFonts w:hint="eastAsia"/>
        </w:rPr>
        <w:t>系统平均无故障时间大于1000小时。</w:t>
      </w:r>
    </w:p>
    <w:p w:rsidR="00427CFC" w:rsidRDefault="00427CFC"/>
    <w:p w:rsidR="00427CFC" w:rsidRDefault="004220DA">
      <w:pPr>
        <w:pStyle w:val="4"/>
        <w:ind w:left="1134" w:hanging="1134"/>
      </w:pPr>
      <w:r>
        <w:rPr>
          <w:rFonts w:hint="eastAsia"/>
        </w:rPr>
        <w:t>可扩展性要求</w:t>
      </w:r>
    </w:p>
    <w:p w:rsidR="00427CFC" w:rsidRDefault="004220DA">
      <w:r>
        <w:rPr>
          <w:rFonts w:hint="eastAsia"/>
        </w:rPr>
        <w:t>系统能适应后续应用的添加、调整的要求，系统整体框架保持稳定，无需再做大量的程序修改。</w:t>
      </w:r>
    </w:p>
    <w:p w:rsidR="00427CFC" w:rsidRDefault="004220DA">
      <w:r>
        <w:rPr>
          <w:rFonts w:hint="eastAsia"/>
        </w:rPr>
        <w:t>随着用户数的增长、业务量的增长及功能应用的增长，应用系统通过硬件性能的调整，可保持相对的稳定性。</w:t>
      </w:r>
    </w:p>
    <w:p w:rsidR="00427CFC" w:rsidRDefault="004220DA">
      <w:pPr>
        <w:pStyle w:val="1"/>
      </w:pPr>
      <w:bookmarkStart w:id="52" w:name="_Toc63785502"/>
      <w:r>
        <w:rPr>
          <w:rFonts w:hint="eastAsia"/>
        </w:rPr>
        <w:t>电子政务</w:t>
      </w:r>
      <w:proofErr w:type="gramStart"/>
      <w:r>
        <w:rPr>
          <w:rFonts w:hint="eastAsia"/>
        </w:rPr>
        <w:t>云资源</w:t>
      </w:r>
      <w:proofErr w:type="gramEnd"/>
      <w:r>
        <w:rPr>
          <w:rFonts w:hint="eastAsia"/>
        </w:rPr>
        <w:t>需求</w:t>
      </w:r>
      <w:bookmarkEnd w:id="52"/>
    </w:p>
    <w:p w:rsidR="00427CFC" w:rsidRDefault="004220DA">
      <w:pPr>
        <w:numPr>
          <w:ilvl w:val="0"/>
          <w:numId w:val="10"/>
        </w:numPr>
        <w:ind w:firstLineChars="0"/>
      </w:pPr>
      <w:r>
        <w:rPr>
          <w:rFonts w:hint="eastAsia"/>
        </w:rPr>
        <w:t>主机资源</w:t>
      </w:r>
    </w:p>
    <w:tbl>
      <w:tblPr>
        <w:tblW w:w="5000" w:type="pct"/>
        <w:tblLook w:val="04A0"/>
      </w:tblPr>
      <w:tblGrid>
        <w:gridCol w:w="1169"/>
        <w:gridCol w:w="2173"/>
        <w:gridCol w:w="1409"/>
        <w:gridCol w:w="848"/>
        <w:gridCol w:w="1005"/>
        <w:gridCol w:w="1005"/>
        <w:gridCol w:w="919"/>
      </w:tblGrid>
      <w:tr w:rsidR="00427CFC">
        <w:trPr>
          <w:trHeight w:val="276"/>
        </w:trPr>
        <w:tc>
          <w:tcPr>
            <w:tcW w:w="6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center"/>
              <w:rPr>
                <w:rFonts w:ascii="微软雅黑" w:eastAsia="微软雅黑" w:hAnsi="微软雅黑" w:cs="宋体"/>
                <w:b/>
                <w:bCs/>
                <w:color w:val="000000"/>
                <w:kern w:val="0"/>
                <w:sz w:val="18"/>
                <w:szCs w:val="18"/>
              </w:rPr>
            </w:pPr>
            <w:r>
              <w:rPr>
                <w:rFonts w:ascii="微软雅黑" w:eastAsia="微软雅黑" w:hAnsi="微软雅黑" w:cs="宋体" w:hint="eastAsia"/>
                <w:b/>
                <w:bCs/>
                <w:color w:val="000000"/>
                <w:kern w:val="0"/>
                <w:sz w:val="18"/>
                <w:szCs w:val="18"/>
              </w:rPr>
              <w:t>资源类型</w:t>
            </w:r>
          </w:p>
        </w:tc>
        <w:tc>
          <w:tcPr>
            <w:tcW w:w="1274" w:type="pct"/>
            <w:tcBorders>
              <w:top w:val="single" w:sz="4" w:space="0" w:color="auto"/>
              <w:left w:val="nil"/>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center"/>
              <w:rPr>
                <w:rFonts w:ascii="微软雅黑" w:eastAsia="微软雅黑" w:hAnsi="微软雅黑" w:cs="宋体"/>
                <w:b/>
                <w:bCs/>
                <w:color w:val="000000"/>
                <w:kern w:val="0"/>
                <w:sz w:val="18"/>
                <w:szCs w:val="18"/>
              </w:rPr>
            </w:pPr>
            <w:r>
              <w:rPr>
                <w:rFonts w:ascii="微软雅黑" w:eastAsia="微软雅黑" w:hAnsi="微软雅黑" w:cs="宋体" w:hint="eastAsia"/>
                <w:b/>
                <w:bCs/>
                <w:color w:val="000000"/>
                <w:kern w:val="0"/>
                <w:sz w:val="18"/>
                <w:szCs w:val="18"/>
              </w:rPr>
              <w:t>资源名称</w:t>
            </w:r>
          </w:p>
        </w:tc>
        <w:tc>
          <w:tcPr>
            <w:tcW w:w="826" w:type="pct"/>
            <w:tcBorders>
              <w:top w:val="single" w:sz="4" w:space="0" w:color="auto"/>
              <w:left w:val="nil"/>
              <w:bottom w:val="single" w:sz="4" w:space="0" w:color="auto"/>
              <w:right w:val="single" w:sz="4" w:space="0" w:color="000000"/>
            </w:tcBorders>
            <w:shd w:val="clear" w:color="auto" w:fill="auto"/>
            <w:noWrap/>
            <w:vAlign w:val="center"/>
          </w:tcPr>
          <w:p w:rsidR="00427CFC" w:rsidRDefault="004220DA">
            <w:pPr>
              <w:widowControl/>
              <w:spacing w:line="240" w:lineRule="auto"/>
              <w:ind w:firstLineChars="0" w:firstLine="0"/>
              <w:jc w:val="center"/>
              <w:rPr>
                <w:rFonts w:ascii="微软雅黑" w:eastAsia="微软雅黑" w:hAnsi="微软雅黑" w:cs="宋体"/>
                <w:b/>
                <w:bCs/>
                <w:color w:val="000000"/>
                <w:kern w:val="0"/>
                <w:sz w:val="18"/>
                <w:szCs w:val="18"/>
              </w:rPr>
            </w:pPr>
            <w:r>
              <w:rPr>
                <w:rFonts w:ascii="微软雅黑" w:eastAsia="微软雅黑" w:hAnsi="微软雅黑" w:cs="宋体" w:hint="eastAsia"/>
                <w:b/>
                <w:bCs/>
                <w:color w:val="000000"/>
                <w:kern w:val="0"/>
                <w:sz w:val="18"/>
                <w:szCs w:val="18"/>
              </w:rPr>
              <w:t>资源说明</w:t>
            </w:r>
          </w:p>
        </w:tc>
        <w:tc>
          <w:tcPr>
            <w:tcW w:w="497" w:type="pct"/>
            <w:tcBorders>
              <w:top w:val="single" w:sz="4" w:space="0" w:color="auto"/>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微软雅黑" w:eastAsia="微软雅黑" w:hAnsi="微软雅黑" w:cs="宋体"/>
                <w:b/>
                <w:bCs/>
                <w:color w:val="000000"/>
                <w:kern w:val="0"/>
                <w:sz w:val="18"/>
                <w:szCs w:val="18"/>
              </w:rPr>
            </w:pPr>
            <w:r>
              <w:rPr>
                <w:rFonts w:ascii="微软雅黑" w:eastAsia="微软雅黑" w:hAnsi="微软雅黑" w:cs="宋体" w:hint="eastAsia"/>
                <w:b/>
                <w:bCs/>
                <w:color w:val="000000"/>
                <w:kern w:val="0"/>
                <w:sz w:val="18"/>
                <w:szCs w:val="18"/>
              </w:rPr>
              <w:t>核心（核）</w:t>
            </w:r>
          </w:p>
        </w:tc>
        <w:tc>
          <w:tcPr>
            <w:tcW w:w="589" w:type="pct"/>
            <w:tcBorders>
              <w:top w:val="single" w:sz="4" w:space="0" w:color="auto"/>
              <w:left w:val="nil"/>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center"/>
              <w:rPr>
                <w:rFonts w:ascii="微软雅黑" w:eastAsia="微软雅黑" w:hAnsi="微软雅黑" w:cs="宋体"/>
                <w:b/>
                <w:bCs/>
                <w:color w:val="000000"/>
                <w:kern w:val="0"/>
                <w:sz w:val="18"/>
                <w:szCs w:val="18"/>
              </w:rPr>
            </w:pPr>
            <w:r>
              <w:rPr>
                <w:rFonts w:ascii="微软雅黑" w:eastAsia="微软雅黑" w:hAnsi="微软雅黑" w:cs="宋体" w:hint="eastAsia"/>
                <w:b/>
                <w:bCs/>
                <w:color w:val="000000"/>
                <w:kern w:val="0"/>
                <w:sz w:val="18"/>
                <w:szCs w:val="18"/>
              </w:rPr>
              <w:t>内存(GB)</w:t>
            </w:r>
          </w:p>
        </w:tc>
        <w:tc>
          <w:tcPr>
            <w:tcW w:w="589" w:type="pct"/>
            <w:tcBorders>
              <w:top w:val="single" w:sz="4" w:space="0" w:color="auto"/>
              <w:left w:val="nil"/>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center"/>
              <w:rPr>
                <w:rFonts w:ascii="微软雅黑" w:eastAsia="微软雅黑" w:hAnsi="微软雅黑" w:cs="宋体"/>
                <w:b/>
                <w:bCs/>
                <w:color w:val="000000"/>
                <w:kern w:val="0"/>
                <w:sz w:val="18"/>
                <w:szCs w:val="18"/>
              </w:rPr>
            </w:pPr>
            <w:r>
              <w:rPr>
                <w:rFonts w:ascii="微软雅黑" w:eastAsia="微软雅黑" w:hAnsi="微软雅黑" w:cs="宋体" w:hint="eastAsia"/>
                <w:b/>
                <w:bCs/>
                <w:color w:val="000000"/>
                <w:kern w:val="0"/>
                <w:sz w:val="18"/>
                <w:szCs w:val="18"/>
              </w:rPr>
              <w:t>存储(GB)</w:t>
            </w:r>
          </w:p>
        </w:tc>
        <w:tc>
          <w:tcPr>
            <w:tcW w:w="540" w:type="pct"/>
            <w:tcBorders>
              <w:top w:val="single" w:sz="4" w:space="0" w:color="auto"/>
              <w:left w:val="nil"/>
              <w:bottom w:val="nil"/>
              <w:right w:val="nil"/>
            </w:tcBorders>
            <w:shd w:val="clear" w:color="auto" w:fill="auto"/>
            <w:noWrap/>
            <w:vAlign w:val="center"/>
          </w:tcPr>
          <w:p w:rsidR="00427CFC" w:rsidRDefault="004220DA">
            <w:pPr>
              <w:widowControl/>
              <w:spacing w:line="240" w:lineRule="auto"/>
              <w:ind w:firstLineChars="0" w:firstLine="0"/>
              <w:jc w:val="center"/>
              <w:rPr>
                <w:rFonts w:ascii="微软雅黑" w:eastAsia="微软雅黑" w:hAnsi="微软雅黑" w:cs="宋体"/>
                <w:b/>
                <w:bCs/>
                <w:color w:val="000000"/>
                <w:kern w:val="0"/>
                <w:sz w:val="18"/>
                <w:szCs w:val="18"/>
              </w:rPr>
            </w:pPr>
            <w:r>
              <w:rPr>
                <w:rFonts w:ascii="微软雅黑" w:eastAsia="微软雅黑" w:hAnsi="微软雅黑" w:cs="宋体" w:hint="eastAsia"/>
                <w:b/>
                <w:bCs/>
                <w:color w:val="000000"/>
                <w:kern w:val="0"/>
                <w:sz w:val="18"/>
                <w:szCs w:val="18"/>
              </w:rPr>
              <w:t>数量(台)</w:t>
            </w:r>
          </w:p>
        </w:tc>
      </w:tr>
      <w:tr w:rsidR="00427CFC">
        <w:trPr>
          <w:trHeight w:val="828"/>
        </w:trPr>
        <w:tc>
          <w:tcPr>
            <w:tcW w:w="686" w:type="pct"/>
            <w:tcBorders>
              <w:top w:val="nil"/>
              <w:left w:val="single" w:sz="4" w:space="0" w:color="000000"/>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虚拟机</w:t>
            </w:r>
          </w:p>
        </w:tc>
        <w:tc>
          <w:tcPr>
            <w:tcW w:w="1274"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律师数据库服务器（示例）</w:t>
            </w:r>
          </w:p>
        </w:tc>
        <w:tc>
          <w:tcPr>
            <w:tcW w:w="826" w:type="pct"/>
            <w:tcBorders>
              <w:top w:val="single" w:sz="4" w:space="0" w:color="000000"/>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政务外网</w:t>
            </w:r>
          </w:p>
        </w:tc>
        <w:tc>
          <w:tcPr>
            <w:tcW w:w="497"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8</w:t>
            </w:r>
          </w:p>
        </w:tc>
        <w:tc>
          <w:tcPr>
            <w:tcW w:w="589"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32</w:t>
            </w:r>
          </w:p>
        </w:tc>
        <w:tc>
          <w:tcPr>
            <w:tcW w:w="589"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500</w:t>
            </w:r>
          </w:p>
        </w:tc>
        <w:tc>
          <w:tcPr>
            <w:tcW w:w="540" w:type="pct"/>
            <w:tcBorders>
              <w:top w:val="single" w:sz="4" w:space="0" w:color="000000"/>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2</w:t>
            </w:r>
          </w:p>
        </w:tc>
      </w:tr>
      <w:tr w:rsidR="00427CFC">
        <w:trPr>
          <w:trHeight w:val="828"/>
        </w:trPr>
        <w:tc>
          <w:tcPr>
            <w:tcW w:w="686" w:type="pct"/>
            <w:tcBorders>
              <w:top w:val="nil"/>
              <w:left w:val="single" w:sz="4" w:space="0" w:color="000000"/>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虚拟机</w:t>
            </w:r>
          </w:p>
        </w:tc>
        <w:tc>
          <w:tcPr>
            <w:tcW w:w="1274"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律师备份服务器（示例）</w:t>
            </w:r>
          </w:p>
        </w:tc>
        <w:tc>
          <w:tcPr>
            <w:tcW w:w="826" w:type="pct"/>
            <w:tcBorders>
              <w:top w:val="single" w:sz="4" w:space="0" w:color="000000"/>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政务外网</w:t>
            </w:r>
          </w:p>
        </w:tc>
        <w:tc>
          <w:tcPr>
            <w:tcW w:w="497"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4</w:t>
            </w:r>
          </w:p>
        </w:tc>
        <w:tc>
          <w:tcPr>
            <w:tcW w:w="589"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8</w:t>
            </w:r>
          </w:p>
        </w:tc>
        <w:tc>
          <w:tcPr>
            <w:tcW w:w="589"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1000</w:t>
            </w:r>
          </w:p>
        </w:tc>
        <w:tc>
          <w:tcPr>
            <w:tcW w:w="540"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1</w:t>
            </w:r>
          </w:p>
        </w:tc>
      </w:tr>
      <w:tr w:rsidR="00427CFC">
        <w:trPr>
          <w:trHeight w:val="552"/>
        </w:trPr>
        <w:tc>
          <w:tcPr>
            <w:tcW w:w="686" w:type="pct"/>
            <w:tcBorders>
              <w:top w:val="nil"/>
              <w:left w:val="single" w:sz="4" w:space="0" w:color="000000"/>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虚拟机</w:t>
            </w:r>
          </w:p>
        </w:tc>
        <w:tc>
          <w:tcPr>
            <w:tcW w:w="1274"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律师转发服务器</w:t>
            </w:r>
          </w:p>
        </w:tc>
        <w:tc>
          <w:tcPr>
            <w:tcW w:w="826" w:type="pct"/>
            <w:tcBorders>
              <w:top w:val="single" w:sz="4" w:space="0" w:color="000000"/>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互联网</w:t>
            </w:r>
          </w:p>
        </w:tc>
        <w:tc>
          <w:tcPr>
            <w:tcW w:w="497"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4</w:t>
            </w:r>
          </w:p>
        </w:tc>
        <w:tc>
          <w:tcPr>
            <w:tcW w:w="589"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8</w:t>
            </w:r>
          </w:p>
        </w:tc>
        <w:tc>
          <w:tcPr>
            <w:tcW w:w="589"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300</w:t>
            </w:r>
          </w:p>
        </w:tc>
        <w:tc>
          <w:tcPr>
            <w:tcW w:w="540"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1</w:t>
            </w:r>
          </w:p>
        </w:tc>
      </w:tr>
      <w:tr w:rsidR="00427CFC">
        <w:trPr>
          <w:trHeight w:val="552"/>
        </w:trPr>
        <w:tc>
          <w:tcPr>
            <w:tcW w:w="686" w:type="pct"/>
            <w:tcBorders>
              <w:top w:val="nil"/>
              <w:left w:val="single" w:sz="4" w:space="0" w:color="000000"/>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虚拟机</w:t>
            </w:r>
          </w:p>
        </w:tc>
        <w:tc>
          <w:tcPr>
            <w:tcW w:w="1274"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律师应用服务器</w:t>
            </w:r>
          </w:p>
        </w:tc>
        <w:tc>
          <w:tcPr>
            <w:tcW w:w="826" w:type="pct"/>
            <w:tcBorders>
              <w:top w:val="single" w:sz="4" w:space="0" w:color="000000"/>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互联网</w:t>
            </w:r>
          </w:p>
        </w:tc>
        <w:tc>
          <w:tcPr>
            <w:tcW w:w="497"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8</w:t>
            </w:r>
          </w:p>
        </w:tc>
        <w:tc>
          <w:tcPr>
            <w:tcW w:w="589"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32</w:t>
            </w:r>
          </w:p>
        </w:tc>
        <w:tc>
          <w:tcPr>
            <w:tcW w:w="589"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500</w:t>
            </w:r>
          </w:p>
        </w:tc>
        <w:tc>
          <w:tcPr>
            <w:tcW w:w="540"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2</w:t>
            </w:r>
          </w:p>
        </w:tc>
      </w:tr>
      <w:tr w:rsidR="00427CFC">
        <w:trPr>
          <w:trHeight w:val="552"/>
        </w:trPr>
        <w:tc>
          <w:tcPr>
            <w:tcW w:w="686" w:type="pct"/>
            <w:tcBorders>
              <w:top w:val="nil"/>
              <w:left w:val="single" w:sz="4" w:space="0" w:color="000000"/>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虚拟机</w:t>
            </w:r>
          </w:p>
        </w:tc>
        <w:tc>
          <w:tcPr>
            <w:tcW w:w="1274"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公证业务应用服务器</w:t>
            </w:r>
          </w:p>
        </w:tc>
        <w:tc>
          <w:tcPr>
            <w:tcW w:w="826" w:type="pct"/>
            <w:tcBorders>
              <w:top w:val="single" w:sz="4" w:space="0" w:color="000000"/>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政务外网</w:t>
            </w:r>
          </w:p>
        </w:tc>
        <w:tc>
          <w:tcPr>
            <w:tcW w:w="497"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16</w:t>
            </w:r>
          </w:p>
        </w:tc>
        <w:tc>
          <w:tcPr>
            <w:tcW w:w="589"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32</w:t>
            </w:r>
          </w:p>
        </w:tc>
        <w:tc>
          <w:tcPr>
            <w:tcW w:w="589"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500</w:t>
            </w:r>
          </w:p>
        </w:tc>
        <w:tc>
          <w:tcPr>
            <w:tcW w:w="540"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2</w:t>
            </w:r>
          </w:p>
        </w:tc>
      </w:tr>
      <w:tr w:rsidR="00427CFC">
        <w:trPr>
          <w:trHeight w:val="552"/>
        </w:trPr>
        <w:tc>
          <w:tcPr>
            <w:tcW w:w="686" w:type="pct"/>
            <w:tcBorders>
              <w:top w:val="nil"/>
              <w:left w:val="single" w:sz="4" w:space="0" w:color="000000"/>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虚拟机</w:t>
            </w:r>
          </w:p>
        </w:tc>
        <w:tc>
          <w:tcPr>
            <w:tcW w:w="1274"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公证数据库服务器</w:t>
            </w:r>
          </w:p>
        </w:tc>
        <w:tc>
          <w:tcPr>
            <w:tcW w:w="826" w:type="pct"/>
            <w:tcBorders>
              <w:top w:val="single" w:sz="4" w:space="0" w:color="000000"/>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政务外网</w:t>
            </w:r>
          </w:p>
        </w:tc>
        <w:tc>
          <w:tcPr>
            <w:tcW w:w="497"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8</w:t>
            </w:r>
          </w:p>
        </w:tc>
        <w:tc>
          <w:tcPr>
            <w:tcW w:w="589"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16</w:t>
            </w:r>
          </w:p>
        </w:tc>
        <w:tc>
          <w:tcPr>
            <w:tcW w:w="589"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500</w:t>
            </w:r>
          </w:p>
        </w:tc>
        <w:tc>
          <w:tcPr>
            <w:tcW w:w="540"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2</w:t>
            </w:r>
          </w:p>
        </w:tc>
      </w:tr>
      <w:tr w:rsidR="00427CFC">
        <w:trPr>
          <w:trHeight w:val="552"/>
        </w:trPr>
        <w:tc>
          <w:tcPr>
            <w:tcW w:w="686" w:type="pct"/>
            <w:tcBorders>
              <w:top w:val="nil"/>
              <w:left w:val="single" w:sz="4" w:space="0" w:color="000000"/>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虚拟机</w:t>
            </w:r>
          </w:p>
        </w:tc>
        <w:tc>
          <w:tcPr>
            <w:tcW w:w="1274"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公证存储服务器</w:t>
            </w:r>
          </w:p>
        </w:tc>
        <w:tc>
          <w:tcPr>
            <w:tcW w:w="826" w:type="pct"/>
            <w:tcBorders>
              <w:top w:val="single" w:sz="4" w:space="0" w:color="000000"/>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政务外网</w:t>
            </w:r>
          </w:p>
        </w:tc>
        <w:tc>
          <w:tcPr>
            <w:tcW w:w="497"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8</w:t>
            </w:r>
          </w:p>
        </w:tc>
        <w:tc>
          <w:tcPr>
            <w:tcW w:w="589"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32</w:t>
            </w:r>
          </w:p>
        </w:tc>
        <w:tc>
          <w:tcPr>
            <w:tcW w:w="589"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2000</w:t>
            </w:r>
          </w:p>
        </w:tc>
        <w:tc>
          <w:tcPr>
            <w:tcW w:w="540"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1</w:t>
            </w:r>
          </w:p>
        </w:tc>
      </w:tr>
      <w:tr w:rsidR="00427CFC">
        <w:trPr>
          <w:trHeight w:val="552"/>
        </w:trPr>
        <w:tc>
          <w:tcPr>
            <w:tcW w:w="686" w:type="pct"/>
            <w:tcBorders>
              <w:top w:val="nil"/>
              <w:left w:val="single" w:sz="4" w:space="0" w:color="000000"/>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虚拟机</w:t>
            </w:r>
          </w:p>
        </w:tc>
        <w:tc>
          <w:tcPr>
            <w:tcW w:w="1274"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司鉴应用服务器</w:t>
            </w:r>
          </w:p>
        </w:tc>
        <w:tc>
          <w:tcPr>
            <w:tcW w:w="826" w:type="pct"/>
            <w:tcBorders>
              <w:top w:val="single" w:sz="4" w:space="0" w:color="000000"/>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互联网</w:t>
            </w:r>
          </w:p>
        </w:tc>
        <w:tc>
          <w:tcPr>
            <w:tcW w:w="497"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8</w:t>
            </w:r>
          </w:p>
        </w:tc>
        <w:tc>
          <w:tcPr>
            <w:tcW w:w="589"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32</w:t>
            </w:r>
          </w:p>
        </w:tc>
        <w:tc>
          <w:tcPr>
            <w:tcW w:w="589"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100</w:t>
            </w:r>
          </w:p>
        </w:tc>
        <w:tc>
          <w:tcPr>
            <w:tcW w:w="540"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1</w:t>
            </w:r>
          </w:p>
        </w:tc>
      </w:tr>
      <w:tr w:rsidR="00427CFC">
        <w:trPr>
          <w:trHeight w:val="552"/>
        </w:trPr>
        <w:tc>
          <w:tcPr>
            <w:tcW w:w="686" w:type="pct"/>
            <w:tcBorders>
              <w:top w:val="nil"/>
              <w:left w:val="single" w:sz="4" w:space="0" w:color="000000"/>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虚拟机</w:t>
            </w:r>
          </w:p>
        </w:tc>
        <w:tc>
          <w:tcPr>
            <w:tcW w:w="1274"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司鉴数据库服务器</w:t>
            </w:r>
          </w:p>
        </w:tc>
        <w:tc>
          <w:tcPr>
            <w:tcW w:w="826" w:type="pct"/>
            <w:tcBorders>
              <w:top w:val="single" w:sz="4" w:space="0" w:color="000000"/>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政务外网</w:t>
            </w:r>
          </w:p>
        </w:tc>
        <w:tc>
          <w:tcPr>
            <w:tcW w:w="497"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8</w:t>
            </w:r>
          </w:p>
        </w:tc>
        <w:tc>
          <w:tcPr>
            <w:tcW w:w="589"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32</w:t>
            </w:r>
          </w:p>
        </w:tc>
        <w:tc>
          <w:tcPr>
            <w:tcW w:w="589"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200</w:t>
            </w:r>
          </w:p>
        </w:tc>
        <w:tc>
          <w:tcPr>
            <w:tcW w:w="540"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1</w:t>
            </w:r>
          </w:p>
        </w:tc>
      </w:tr>
      <w:tr w:rsidR="00427CFC">
        <w:trPr>
          <w:trHeight w:val="552"/>
        </w:trPr>
        <w:tc>
          <w:tcPr>
            <w:tcW w:w="686" w:type="pct"/>
            <w:tcBorders>
              <w:top w:val="nil"/>
              <w:left w:val="single" w:sz="4" w:space="0" w:color="000000"/>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虚拟机</w:t>
            </w:r>
          </w:p>
        </w:tc>
        <w:tc>
          <w:tcPr>
            <w:tcW w:w="1274"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司鉴数据库服务器</w:t>
            </w:r>
          </w:p>
        </w:tc>
        <w:tc>
          <w:tcPr>
            <w:tcW w:w="826" w:type="pct"/>
            <w:tcBorders>
              <w:top w:val="single" w:sz="4" w:space="0" w:color="000000"/>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政务外网</w:t>
            </w:r>
          </w:p>
        </w:tc>
        <w:tc>
          <w:tcPr>
            <w:tcW w:w="497"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8</w:t>
            </w:r>
          </w:p>
        </w:tc>
        <w:tc>
          <w:tcPr>
            <w:tcW w:w="589"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32</w:t>
            </w:r>
          </w:p>
        </w:tc>
        <w:tc>
          <w:tcPr>
            <w:tcW w:w="589"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200</w:t>
            </w:r>
          </w:p>
        </w:tc>
        <w:tc>
          <w:tcPr>
            <w:tcW w:w="540"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1</w:t>
            </w:r>
          </w:p>
        </w:tc>
      </w:tr>
      <w:tr w:rsidR="00427CFC">
        <w:trPr>
          <w:trHeight w:val="552"/>
        </w:trPr>
        <w:tc>
          <w:tcPr>
            <w:tcW w:w="686" w:type="pct"/>
            <w:tcBorders>
              <w:top w:val="nil"/>
              <w:left w:val="single" w:sz="4" w:space="0" w:color="000000"/>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虚拟机</w:t>
            </w:r>
          </w:p>
        </w:tc>
        <w:tc>
          <w:tcPr>
            <w:tcW w:w="1274"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司鉴应用服务器</w:t>
            </w:r>
          </w:p>
        </w:tc>
        <w:tc>
          <w:tcPr>
            <w:tcW w:w="826" w:type="pct"/>
            <w:tcBorders>
              <w:top w:val="single" w:sz="4" w:space="0" w:color="000000"/>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政务外网</w:t>
            </w:r>
          </w:p>
        </w:tc>
        <w:tc>
          <w:tcPr>
            <w:tcW w:w="497"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8</w:t>
            </w:r>
          </w:p>
        </w:tc>
        <w:tc>
          <w:tcPr>
            <w:tcW w:w="589"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32</w:t>
            </w:r>
          </w:p>
        </w:tc>
        <w:tc>
          <w:tcPr>
            <w:tcW w:w="589"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100</w:t>
            </w:r>
          </w:p>
        </w:tc>
        <w:tc>
          <w:tcPr>
            <w:tcW w:w="540"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1</w:t>
            </w:r>
          </w:p>
        </w:tc>
      </w:tr>
      <w:tr w:rsidR="00427CFC">
        <w:trPr>
          <w:trHeight w:val="552"/>
        </w:trPr>
        <w:tc>
          <w:tcPr>
            <w:tcW w:w="686" w:type="pct"/>
            <w:tcBorders>
              <w:top w:val="nil"/>
              <w:left w:val="single" w:sz="4" w:space="0" w:color="000000"/>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虚拟机</w:t>
            </w:r>
          </w:p>
        </w:tc>
        <w:tc>
          <w:tcPr>
            <w:tcW w:w="1274"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司鉴应用服务器</w:t>
            </w:r>
          </w:p>
        </w:tc>
        <w:tc>
          <w:tcPr>
            <w:tcW w:w="826" w:type="pct"/>
            <w:tcBorders>
              <w:top w:val="single" w:sz="4" w:space="0" w:color="000000"/>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政务外网</w:t>
            </w:r>
          </w:p>
        </w:tc>
        <w:tc>
          <w:tcPr>
            <w:tcW w:w="497"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8</w:t>
            </w:r>
          </w:p>
        </w:tc>
        <w:tc>
          <w:tcPr>
            <w:tcW w:w="589"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32</w:t>
            </w:r>
          </w:p>
        </w:tc>
        <w:tc>
          <w:tcPr>
            <w:tcW w:w="589"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200</w:t>
            </w:r>
          </w:p>
        </w:tc>
        <w:tc>
          <w:tcPr>
            <w:tcW w:w="540"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1</w:t>
            </w:r>
          </w:p>
        </w:tc>
      </w:tr>
      <w:tr w:rsidR="00427CFC">
        <w:trPr>
          <w:trHeight w:val="552"/>
        </w:trPr>
        <w:tc>
          <w:tcPr>
            <w:tcW w:w="686" w:type="pct"/>
            <w:tcBorders>
              <w:top w:val="nil"/>
              <w:left w:val="single" w:sz="4" w:space="0" w:color="000000"/>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虚拟机</w:t>
            </w:r>
          </w:p>
        </w:tc>
        <w:tc>
          <w:tcPr>
            <w:tcW w:w="1274"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司鉴存储服务</w:t>
            </w:r>
          </w:p>
        </w:tc>
        <w:tc>
          <w:tcPr>
            <w:tcW w:w="826" w:type="pct"/>
            <w:tcBorders>
              <w:top w:val="single" w:sz="4" w:space="0" w:color="000000"/>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政务外网</w:t>
            </w:r>
          </w:p>
        </w:tc>
        <w:tc>
          <w:tcPr>
            <w:tcW w:w="497"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8</w:t>
            </w:r>
          </w:p>
        </w:tc>
        <w:tc>
          <w:tcPr>
            <w:tcW w:w="589"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32</w:t>
            </w:r>
          </w:p>
        </w:tc>
        <w:tc>
          <w:tcPr>
            <w:tcW w:w="589"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2200</w:t>
            </w:r>
          </w:p>
        </w:tc>
        <w:tc>
          <w:tcPr>
            <w:tcW w:w="540"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1</w:t>
            </w:r>
          </w:p>
        </w:tc>
      </w:tr>
      <w:tr w:rsidR="00427CFC">
        <w:trPr>
          <w:trHeight w:val="552"/>
        </w:trPr>
        <w:tc>
          <w:tcPr>
            <w:tcW w:w="686" w:type="pct"/>
            <w:tcBorders>
              <w:top w:val="nil"/>
              <w:left w:val="single" w:sz="4" w:space="0" w:color="000000"/>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lastRenderedPageBreak/>
              <w:t>虚拟机</w:t>
            </w:r>
          </w:p>
        </w:tc>
        <w:tc>
          <w:tcPr>
            <w:tcW w:w="1274"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司鉴文档服务</w:t>
            </w:r>
          </w:p>
        </w:tc>
        <w:tc>
          <w:tcPr>
            <w:tcW w:w="826" w:type="pct"/>
            <w:tcBorders>
              <w:top w:val="single" w:sz="4" w:space="0" w:color="000000"/>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政务外网</w:t>
            </w:r>
          </w:p>
        </w:tc>
        <w:tc>
          <w:tcPr>
            <w:tcW w:w="497"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8</w:t>
            </w:r>
          </w:p>
        </w:tc>
        <w:tc>
          <w:tcPr>
            <w:tcW w:w="589"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32</w:t>
            </w:r>
          </w:p>
        </w:tc>
        <w:tc>
          <w:tcPr>
            <w:tcW w:w="589"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500</w:t>
            </w:r>
          </w:p>
        </w:tc>
        <w:tc>
          <w:tcPr>
            <w:tcW w:w="540"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1</w:t>
            </w:r>
          </w:p>
        </w:tc>
      </w:tr>
      <w:tr w:rsidR="00427CFC">
        <w:trPr>
          <w:trHeight w:val="552"/>
        </w:trPr>
        <w:tc>
          <w:tcPr>
            <w:tcW w:w="686" w:type="pct"/>
            <w:tcBorders>
              <w:top w:val="nil"/>
              <w:left w:val="single" w:sz="4" w:space="0" w:color="000000"/>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虚拟机</w:t>
            </w:r>
          </w:p>
        </w:tc>
        <w:tc>
          <w:tcPr>
            <w:tcW w:w="1274"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信访数据库服务器</w:t>
            </w:r>
          </w:p>
        </w:tc>
        <w:tc>
          <w:tcPr>
            <w:tcW w:w="826" w:type="pct"/>
            <w:tcBorders>
              <w:top w:val="single" w:sz="4" w:space="0" w:color="000000"/>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政务外网</w:t>
            </w:r>
          </w:p>
        </w:tc>
        <w:tc>
          <w:tcPr>
            <w:tcW w:w="497"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16</w:t>
            </w:r>
          </w:p>
        </w:tc>
        <w:tc>
          <w:tcPr>
            <w:tcW w:w="589"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64</w:t>
            </w:r>
          </w:p>
        </w:tc>
        <w:tc>
          <w:tcPr>
            <w:tcW w:w="589"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1000</w:t>
            </w:r>
          </w:p>
        </w:tc>
        <w:tc>
          <w:tcPr>
            <w:tcW w:w="540"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2</w:t>
            </w:r>
          </w:p>
        </w:tc>
      </w:tr>
      <w:tr w:rsidR="00427CFC">
        <w:trPr>
          <w:trHeight w:val="552"/>
        </w:trPr>
        <w:tc>
          <w:tcPr>
            <w:tcW w:w="686" w:type="pct"/>
            <w:tcBorders>
              <w:top w:val="nil"/>
              <w:left w:val="single" w:sz="4" w:space="0" w:color="000000"/>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虚拟机</w:t>
            </w:r>
          </w:p>
        </w:tc>
        <w:tc>
          <w:tcPr>
            <w:tcW w:w="1274"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信访应用服务器</w:t>
            </w:r>
          </w:p>
        </w:tc>
        <w:tc>
          <w:tcPr>
            <w:tcW w:w="826" w:type="pct"/>
            <w:tcBorders>
              <w:top w:val="single" w:sz="4" w:space="0" w:color="000000"/>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互联网</w:t>
            </w:r>
          </w:p>
        </w:tc>
        <w:tc>
          <w:tcPr>
            <w:tcW w:w="497"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8</w:t>
            </w:r>
          </w:p>
        </w:tc>
        <w:tc>
          <w:tcPr>
            <w:tcW w:w="589"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16</w:t>
            </w:r>
          </w:p>
        </w:tc>
        <w:tc>
          <w:tcPr>
            <w:tcW w:w="589"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1000</w:t>
            </w:r>
          </w:p>
        </w:tc>
        <w:tc>
          <w:tcPr>
            <w:tcW w:w="540"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2</w:t>
            </w:r>
          </w:p>
        </w:tc>
      </w:tr>
      <w:tr w:rsidR="00427CFC">
        <w:trPr>
          <w:trHeight w:val="552"/>
        </w:trPr>
        <w:tc>
          <w:tcPr>
            <w:tcW w:w="686" w:type="pct"/>
            <w:tcBorders>
              <w:top w:val="nil"/>
              <w:left w:val="single" w:sz="4" w:space="0" w:color="000000"/>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虚拟机</w:t>
            </w:r>
          </w:p>
        </w:tc>
        <w:tc>
          <w:tcPr>
            <w:tcW w:w="1274"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破产数据库服务器</w:t>
            </w:r>
          </w:p>
        </w:tc>
        <w:tc>
          <w:tcPr>
            <w:tcW w:w="826" w:type="pct"/>
            <w:tcBorders>
              <w:top w:val="single" w:sz="4" w:space="0" w:color="000000"/>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政务外网</w:t>
            </w:r>
          </w:p>
        </w:tc>
        <w:tc>
          <w:tcPr>
            <w:tcW w:w="497"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16</w:t>
            </w:r>
          </w:p>
        </w:tc>
        <w:tc>
          <w:tcPr>
            <w:tcW w:w="589"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64</w:t>
            </w:r>
          </w:p>
        </w:tc>
        <w:tc>
          <w:tcPr>
            <w:tcW w:w="589"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500</w:t>
            </w:r>
          </w:p>
        </w:tc>
        <w:tc>
          <w:tcPr>
            <w:tcW w:w="540"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2</w:t>
            </w:r>
          </w:p>
        </w:tc>
      </w:tr>
      <w:tr w:rsidR="00427CFC">
        <w:trPr>
          <w:trHeight w:val="552"/>
        </w:trPr>
        <w:tc>
          <w:tcPr>
            <w:tcW w:w="686" w:type="pct"/>
            <w:tcBorders>
              <w:top w:val="nil"/>
              <w:left w:val="single" w:sz="4" w:space="0" w:color="000000"/>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虚拟机</w:t>
            </w:r>
          </w:p>
        </w:tc>
        <w:tc>
          <w:tcPr>
            <w:tcW w:w="1274"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破产备份服务器</w:t>
            </w:r>
          </w:p>
        </w:tc>
        <w:tc>
          <w:tcPr>
            <w:tcW w:w="826" w:type="pct"/>
            <w:tcBorders>
              <w:top w:val="single" w:sz="4" w:space="0" w:color="000000"/>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政务外网</w:t>
            </w:r>
          </w:p>
        </w:tc>
        <w:tc>
          <w:tcPr>
            <w:tcW w:w="497"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8</w:t>
            </w:r>
          </w:p>
        </w:tc>
        <w:tc>
          <w:tcPr>
            <w:tcW w:w="589"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16</w:t>
            </w:r>
          </w:p>
        </w:tc>
        <w:tc>
          <w:tcPr>
            <w:tcW w:w="589"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1000</w:t>
            </w:r>
          </w:p>
        </w:tc>
        <w:tc>
          <w:tcPr>
            <w:tcW w:w="540"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1</w:t>
            </w:r>
          </w:p>
        </w:tc>
      </w:tr>
      <w:tr w:rsidR="00427CFC">
        <w:trPr>
          <w:trHeight w:val="552"/>
        </w:trPr>
        <w:tc>
          <w:tcPr>
            <w:tcW w:w="686" w:type="pct"/>
            <w:tcBorders>
              <w:top w:val="nil"/>
              <w:left w:val="single" w:sz="4" w:space="0" w:color="000000"/>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虚拟机</w:t>
            </w:r>
          </w:p>
        </w:tc>
        <w:tc>
          <w:tcPr>
            <w:tcW w:w="1274"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破产转发服务器</w:t>
            </w:r>
          </w:p>
        </w:tc>
        <w:tc>
          <w:tcPr>
            <w:tcW w:w="826" w:type="pct"/>
            <w:tcBorders>
              <w:top w:val="single" w:sz="4" w:space="0" w:color="000000"/>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互联网</w:t>
            </w:r>
          </w:p>
        </w:tc>
        <w:tc>
          <w:tcPr>
            <w:tcW w:w="497"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4</w:t>
            </w:r>
          </w:p>
        </w:tc>
        <w:tc>
          <w:tcPr>
            <w:tcW w:w="589"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16</w:t>
            </w:r>
          </w:p>
        </w:tc>
        <w:tc>
          <w:tcPr>
            <w:tcW w:w="589"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300</w:t>
            </w:r>
          </w:p>
        </w:tc>
        <w:tc>
          <w:tcPr>
            <w:tcW w:w="540"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1</w:t>
            </w:r>
          </w:p>
        </w:tc>
      </w:tr>
      <w:tr w:rsidR="00427CFC">
        <w:trPr>
          <w:trHeight w:val="552"/>
        </w:trPr>
        <w:tc>
          <w:tcPr>
            <w:tcW w:w="686" w:type="pct"/>
            <w:tcBorders>
              <w:top w:val="nil"/>
              <w:left w:val="single" w:sz="4" w:space="0" w:color="000000"/>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虚拟机</w:t>
            </w:r>
          </w:p>
        </w:tc>
        <w:tc>
          <w:tcPr>
            <w:tcW w:w="1274"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破产应用服务器</w:t>
            </w:r>
          </w:p>
        </w:tc>
        <w:tc>
          <w:tcPr>
            <w:tcW w:w="826" w:type="pct"/>
            <w:tcBorders>
              <w:top w:val="single" w:sz="4" w:space="0" w:color="000000"/>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互联网</w:t>
            </w:r>
          </w:p>
        </w:tc>
        <w:tc>
          <w:tcPr>
            <w:tcW w:w="497"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8</w:t>
            </w:r>
          </w:p>
        </w:tc>
        <w:tc>
          <w:tcPr>
            <w:tcW w:w="589"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32</w:t>
            </w:r>
          </w:p>
        </w:tc>
        <w:tc>
          <w:tcPr>
            <w:tcW w:w="589"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500</w:t>
            </w:r>
          </w:p>
        </w:tc>
        <w:tc>
          <w:tcPr>
            <w:tcW w:w="540"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2</w:t>
            </w:r>
          </w:p>
        </w:tc>
      </w:tr>
    </w:tbl>
    <w:p w:rsidR="00427CFC" w:rsidRDefault="00427CFC">
      <w:pPr>
        <w:ind w:firstLineChars="0" w:firstLine="0"/>
      </w:pPr>
    </w:p>
    <w:p w:rsidR="00427CFC" w:rsidRDefault="004220DA">
      <w:pPr>
        <w:numPr>
          <w:ilvl w:val="0"/>
          <w:numId w:val="10"/>
        </w:numPr>
        <w:ind w:firstLineChars="0"/>
      </w:pPr>
      <w:r>
        <w:rPr>
          <w:rFonts w:hint="eastAsia"/>
        </w:rPr>
        <w:t>PaaS服务资源</w:t>
      </w:r>
    </w:p>
    <w:tbl>
      <w:tblPr>
        <w:tblW w:w="5000" w:type="pct"/>
        <w:tblLook w:val="04A0"/>
      </w:tblPr>
      <w:tblGrid>
        <w:gridCol w:w="5014"/>
        <w:gridCol w:w="1757"/>
        <w:gridCol w:w="1757"/>
      </w:tblGrid>
      <w:tr w:rsidR="00427CFC">
        <w:trPr>
          <w:trHeight w:val="276"/>
        </w:trPr>
        <w:tc>
          <w:tcPr>
            <w:tcW w:w="2940" w:type="pct"/>
            <w:tcBorders>
              <w:top w:val="single" w:sz="4" w:space="0" w:color="auto"/>
              <w:left w:val="single" w:sz="4" w:space="0" w:color="auto"/>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center"/>
              <w:rPr>
                <w:rFonts w:ascii="微软雅黑" w:eastAsia="微软雅黑" w:hAnsi="微软雅黑" w:cs="宋体"/>
                <w:b/>
                <w:bCs/>
                <w:color w:val="000000"/>
                <w:kern w:val="0"/>
                <w:sz w:val="18"/>
                <w:szCs w:val="18"/>
              </w:rPr>
            </w:pPr>
            <w:r>
              <w:rPr>
                <w:rFonts w:ascii="微软雅黑" w:eastAsia="微软雅黑" w:hAnsi="微软雅黑" w:cs="宋体" w:hint="eastAsia"/>
                <w:b/>
                <w:bCs/>
                <w:color w:val="000000"/>
                <w:kern w:val="0"/>
                <w:sz w:val="18"/>
                <w:szCs w:val="18"/>
              </w:rPr>
              <w:t>资源名称</w:t>
            </w:r>
          </w:p>
        </w:tc>
        <w:tc>
          <w:tcPr>
            <w:tcW w:w="1030" w:type="pct"/>
            <w:tcBorders>
              <w:top w:val="single" w:sz="4" w:space="0" w:color="auto"/>
              <w:left w:val="nil"/>
              <w:bottom w:val="single" w:sz="4" w:space="0" w:color="auto"/>
              <w:right w:val="single" w:sz="4" w:space="0" w:color="auto"/>
            </w:tcBorders>
            <w:shd w:val="clear" w:color="auto" w:fill="auto"/>
            <w:noWrap/>
            <w:vAlign w:val="center"/>
          </w:tcPr>
          <w:p w:rsidR="00427CFC" w:rsidRDefault="004220DA">
            <w:pPr>
              <w:widowControl/>
              <w:spacing w:line="240" w:lineRule="auto"/>
              <w:ind w:firstLineChars="0" w:firstLine="0"/>
              <w:jc w:val="center"/>
              <w:rPr>
                <w:rFonts w:ascii="微软雅黑" w:eastAsia="微软雅黑" w:hAnsi="微软雅黑" w:cs="宋体"/>
                <w:b/>
                <w:bCs/>
                <w:color w:val="000000"/>
                <w:kern w:val="0"/>
                <w:sz w:val="18"/>
                <w:szCs w:val="18"/>
              </w:rPr>
            </w:pPr>
            <w:r>
              <w:rPr>
                <w:rFonts w:ascii="微软雅黑" w:eastAsia="微软雅黑" w:hAnsi="微软雅黑" w:cs="宋体" w:hint="eastAsia"/>
                <w:b/>
                <w:bCs/>
                <w:color w:val="000000"/>
                <w:kern w:val="0"/>
                <w:sz w:val="18"/>
                <w:szCs w:val="18"/>
              </w:rPr>
              <w:t>数量</w:t>
            </w:r>
          </w:p>
        </w:tc>
        <w:tc>
          <w:tcPr>
            <w:tcW w:w="1030" w:type="pct"/>
            <w:tcBorders>
              <w:top w:val="single" w:sz="4" w:space="0" w:color="auto"/>
              <w:left w:val="nil"/>
              <w:bottom w:val="single" w:sz="4" w:space="0" w:color="auto"/>
              <w:right w:val="single" w:sz="4" w:space="0" w:color="auto"/>
            </w:tcBorders>
            <w:shd w:val="clear" w:color="auto" w:fill="auto"/>
            <w:vAlign w:val="center"/>
          </w:tcPr>
          <w:p w:rsidR="00427CFC" w:rsidRDefault="004220DA">
            <w:pPr>
              <w:widowControl/>
              <w:spacing w:line="240" w:lineRule="auto"/>
              <w:ind w:firstLineChars="0" w:firstLine="0"/>
              <w:jc w:val="center"/>
              <w:rPr>
                <w:rFonts w:ascii="微软雅黑" w:eastAsia="微软雅黑" w:hAnsi="微软雅黑" w:cs="宋体"/>
                <w:b/>
                <w:bCs/>
                <w:color w:val="000000"/>
                <w:kern w:val="0"/>
                <w:sz w:val="18"/>
                <w:szCs w:val="18"/>
              </w:rPr>
            </w:pPr>
            <w:r>
              <w:rPr>
                <w:rFonts w:ascii="微软雅黑" w:eastAsia="微软雅黑" w:hAnsi="微软雅黑" w:cs="宋体" w:hint="eastAsia"/>
                <w:b/>
                <w:bCs/>
                <w:color w:val="000000"/>
                <w:kern w:val="0"/>
                <w:sz w:val="18"/>
                <w:szCs w:val="18"/>
              </w:rPr>
              <w:t>单位</w:t>
            </w:r>
          </w:p>
        </w:tc>
      </w:tr>
      <w:tr w:rsidR="00427CFC">
        <w:trPr>
          <w:trHeight w:val="552"/>
        </w:trPr>
        <w:tc>
          <w:tcPr>
            <w:tcW w:w="2940" w:type="pct"/>
            <w:tcBorders>
              <w:top w:val="nil"/>
              <w:left w:val="single" w:sz="4" w:space="0" w:color="000000"/>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操作系统服务-统信UOS、麒麟</w:t>
            </w:r>
          </w:p>
        </w:tc>
        <w:tc>
          <w:tcPr>
            <w:tcW w:w="1030"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26</w:t>
            </w:r>
          </w:p>
        </w:tc>
        <w:tc>
          <w:tcPr>
            <w:tcW w:w="1030"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套*年</w:t>
            </w:r>
          </w:p>
        </w:tc>
      </w:tr>
      <w:tr w:rsidR="00427CFC">
        <w:trPr>
          <w:trHeight w:val="276"/>
        </w:trPr>
        <w:tc>
          <w:tcPr>
            <w:tcW w:w="2940" w:type="pct"/>
            <w:tcBorders>
              <w:top w:val="nil"/>
              <w:left w:val="single" w:sz="4" w:space="0" w:color="000000"/>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中间件-东方通、普元、金蝶</w:t>
            </w:r>
          </w:p>
        </w:tc>
        <w:tc>
          <w:tcPr>
            <w:tcW w:w="1030"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10</w:t>
            </w:r>
          </w:p>
        </w:tc>
        <w:tc>
          <w:tcPr>
            <w:tcW w:w="1030"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套*年</w:t>
            </w:r>
          </w:p>
        </w:tc>
      </w:tr>
      <w:tr w:rsidR="00427CFC">
        <w:trPr>
          <w:trHeight w:val="276"/>
        </w:trPr>
        <w:tc>
          <w:tcPr>
            <w:tcW w:w="2940" w:type="pct"/>
            <w:tcBorders>
              <w:top w:val="nil"/>
              <w:left w:val="single" w:sz="4" w:space="0" w:color="000000"/>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关系型数据库服务</w:t>
            </w:r>
          </w:p>
        </w:tc>
        <w:tc>
          <w:tcPr>
            <w:tcW w:w="1030"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9</w:t>
            </w:r>
          </w:p>
        </w:tc>
        <w:tc>
          <w:tcPr>
            <w:tcW w:w="1030"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实例</w:t>
            </w:r>
          </w:p>
        </w:tc>
      </w:tr>
      <w:tr w:rsidR="00427CFC">
        <w:trPr>
          <w:trHeight w:val="552"/>
        </w:trPr>
        <w:tc>
          <w:tcPr>
            <w:tcW w:w="2940" w:type="pct"/>
            <w:tcBorders>
              <w:top w:val="nil"/>
              <w:left w:val="single" w:sz="4" w:space="0" w:color="000000"/>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数字证书服务 - SSL证书-单域名</w:t>
            </w:r>
          </w:p>
        </w:tc>
        <w:tc>
          <w:tcPr>
            <w:tcW w:w="1030"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10</w:t>
            </w:r>
          </w:p>
        </w:tc>
        <w:tc>
          <w:tcPr>
            <w:tcW w:w="1030"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张*年</w:t>
            </w:r>
          </w:p>
        </w:tc>
      </w:tr>
      <w:tr w:rsidR="00427CFC">
        <w:trPr>
          <w:trHeight w:val="552"/>
        </w:trPr>
        <w:tc>
          <w:tcPr>
            <w:tcW w:w="2940" w:type="pct"/>
            <w:tcBorders>
              <w:top w:val="nil"/>
              <w:left w:val="single" w:sz="4" w:space="0" w:color="000000"/>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数字证书服务 - SSL证书-通配符</w:t>
            </w:r>
          </w:p>
        </w:tc>
        <w:tc>
          <w:tcPr>
            <w:tcW w:w="1030"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10</w:t>
            </w:r>
          </w:p>
        </w:tc>
        <w:tc>
          <w:tcPr>
            <w:tcW w:w="1030"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张*年</w:t>
            </w:r>
          </w:p>
        </w:tc>
      </w:tr>
      <w:tr w:rsidR="00427CFC">
        <w:trPr>
          <w:trHeight w:val="276"/>
        </w:trPr>
        <w:tc>
          <w:tcPr>
            <w:tcW w:w="2940" w:type="pct"/>
            <w:tcBorders>
              <w:top w:val="nil"/>
              <w:left w:val="single" w:sz="4" w:space="0" w:color="000000"/>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签名验签服务</w:t>
            </w:r>
          </w:p>
        </w:tc>
        <w:tc>
          <w:tcPr>
            <w:tcW w:w="1030"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10</w:t>
            </w:r>
          </w:p>
        </w:tc>
        <w:tc>
          <w:tcPr>
            <w:tcW w:w="1030"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套*年</w:t>
            </w:r>
          </w:p>
        </w:tc>
      </w:tr>
      <w:tr w:rsidR="00427CFC">
        <w:trPr>
          <w:trHeight w:val="552"/>
        </w:trPr>
        <w:tc>
          <w:tcPr>
            <w:tcW w:w="2940" w:type="pct"/>
            <w:tcBorders>
              <w:top w:val="nil"/>
              <w:left w:val="single" w:sz="4" w:space="0" w:color="000000"/>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身份认证服务 - 个人多源认证</w:t>
            </w:r>
          </w:p>
        </w:tc>
        <w:tc>
          <w:tcPr>
            <w:tcW w:w="1030"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10</w:t>
            </w:r>
          </w:p>
        </w:tc>
        <w:tc>
          <w:tcPr>
            <w:tcW w:w="1030" w:type="pct"/>
            <w:tcBorders>
              <w:top w:val="nil"/>
              <w:left w:val="nil"/>
              <w:bottom w:val="single" w:sz="4" w:space="0" w:color="000000"/>
              <w:right w:val="single" w:sz="4" w:space="0" w:color="000000"/>
            </w:tcBorders>
            <w:shd w:val="clear" w:color="auto" w:fill="auto"/>
            <w:vAlign w:val="center"/>
          </w:tcPr>
          <w:p w:rsidR="00427CFC" w:rsidRDefault="004220DA">
            <w:pPr>
              <w:widowControl/>
              <w:spacing w:line="240" w:lineRule="auto"/>
              <w:ind w:firstLineChars="0" w:firstLine="0"/>
              <w:jc w:val="center"/>
              <w:rPr>
                <w:rFonts w:ascii="PMingLiU" w:eastAsia="PMingLiU" w:hAnsi="PMingLiU" w:cs="宋体"/>
                <w:color w:val="000000"/>
                <w:kern w:val="0"/>
                <w:sz w:val="22"/>
                <w:szCs w:val="22"/>
              </w:rPr>
            </w:pPr>
            <w:r>
              <w:rPr>
                <w:rFonts w:ascii="PMingLiU" w:eastAsia="PMingLiU" w:hAnsi="PMingLiU" w:cs="宋体" w:hint="eastAsia"/>
                <w:color w:val="000000"/>
                <w:kern w:val="0"/>
                <w:sz w:val="22"/>
                <w:szCs w:val="22"/>
              </w:rPr>
              <w:t>次</w:t>
            </w:r>
          </w:p>
        </w:tc>
      </w:tr>
    </w:tbl>
    <w:p w:rsidR="00427CFC" w:rsidRDefault="004220DA">
      <w:pPr>
        <w:pStyle w:val="1"/>
      </w:pPr>
      <w:bookmarkStart w:id="53" w:name="_Toc63785503"/>
      <w:r>
        <w:rPr>
          <w:rFonts w:hint="eastAsia"/>
        </w:rPr>
        <w:t>其他工作要求</w:t>
      </w:r>
      <w:bookmarkEnd w:id="53"/>
    </w:p>
    <w:p w:rsidR="00427CFC" w:rsidRDefault="004220DA">
      <w:pPr>
        <w:pStyle w:val="2"/>
      </w:pPr>
      <w:bookmarkStart w:id="54" w:name="_Toc63785505"/>
      <w:r>
        <w:rPr>
          <w:rFonts w:hint="eastAsia"/>
        </w:rPr>
        <w:t>售后服务要求</w:t>
      </w:r>
      <w:bookmarkEnd w:id="54"/>
    </w:p>
    <w:p w:rsidR="00427CFC" w:rsidRDefault="004220DA">
      <w:pPr>
        <w:pStyle w:val="13"/>
        <w:snapToGrid w:val="0"/>
        <w:spacing w:line="360" w:lineRule="auto"/>
        <w:ind w:firstLine="480"/>
        <w:rPr>
          <w:rFonts w:ascii="宋体" w:hAnsi="宋体"/>
          <w:sz w:val="24"/>
          <w:szCs w:val="24"/>
        </w:rPr>
      </w:pPr>
      <w:r>
        <w:rPr>
          <w:rFonts w:ascii="宋体" w:hAnsi="宋体" w:hint="eastAsia"/>
          <w:sz w:val="24"/>
          <w:szCs w:val="24"/>
        </w:rPr>
        <w:t>本项目从系统验收通过之日起1年内提供</w:t>
      </w:r>
      <w:r>
        <w:rPr>
          <w:rFonts w:ascii="宋体" w:hAnsi="宋体"/>
          <w:sz w:val="24"/>
          <w:szCs w:val="24"/>
        </w:rPr>
        <w:t>免费技术支持</w:t>
      </w:r>
      <w:r>
        <w:rPr>
          <w:rFonts w:ascii="宋体" w:hAnsi="宋体" w:hint="eastAsia"/>
          <w:sz w:val="24"/>
          <w:szCs w:val="24"/>
        </w:rPr>
        <w:t>和售后服务，</w:t>
      </w:r>
      <w:r>
        <w:rPr>
          <w:rFonts w:hint="eastAsia"/>
          <w:sz w:val="24"/>
          <w:szCs w:val="32"/>
        </w:rPr>
        <w:t>包括</w:t>
      </w:r>
      <w:r>
        <w:rPr>
          <w:sz w:val="24"/>
          <w:szCs w:val="32"/>
        </w:rPr>
        <w:t>7*24</w:t>
      </w:r>
      <w:r>
        <w:rPr>
          <w:rFonts w:hint="eastAsia"/>
          <w:sz w:val="24"/>
          <w:szCs w:val="32"/>
        </w:rPr>
        <w:t>小时远程响应、以及特殊时期内根据要求执行值班安排，</w:t>
      </w:r>
      <w:r>
        <w:rPr>
          <w:rFonts w:ascii="宋体" w:hAnsi="宋体" w:hint="eastAsia"/>
          <w:sz w:val="24"/>
          <w:szCs w:val="24"/>
        </w:rPr>
        <w:t>1年后进入有偿维护期。</w:t>
      </w:r>
    </w:p>
    <w:p w:rsidR="00427CFC" w:rsidRDefault="004220DA">
      <w:pPr>
        <w:pStyle w:val="13"/>
        <w:snapToGrid w:val="0"/>
        <w:spacing w:line="360" w:lineRule="auto"/>
        <w:ind w:firstLine="480"/>
        <w:rPr>
          <w:rFonts w:ascii="宋体" w:hAnsi="宋体"/>
          <w:sz w:val="24"/>
          <w:szCs w:val="24"/>
        </w:rPr>
      </w:pPr>
      <w:r>
        <w:rPr>
          <w:rFonts w:ascii="宋体" w:hAnsi="宋体" w:hint="eastAsia"/>
          <w:sz w:val="24"/>
          <w:szCs w:val="24"/>
        </w:rPr>
        <w:t>在质量保证期内，供应商将按照售后服务的承诺提供运行维护服务，如果厂商对信息系统中软件设备等产品中的部分</w:t>
      </w:r>
      <w:r w:rsidR="00CE2C86">
        <w:rPr>
          <w:rFonts w:ascii="宋体" w:hAnsi="宋体" w:hint="eastAsia"/>
          <w:sz w:val="24"/>
          <w:szCs w:val="24"/>
        </w:rPr>
        <w:t>运维</w:t>
      </w:r>
      <w:r>
        <w:rPr>
          <w:rFonts w:ascii="宋体" w:hAnsi="宋体" w:hint="eastAsia"/>
          <w:sz w:val="24"/>
          <w:szCs w:val="24"/>
        </w:rPr>
        <w:t>期超过上述期限的，则按照厂商的规定进行免费</w:t>
      </w:r>
      <w:r w:rsidR="00CE2C86">
        <w:rPr>
          <w:rFonts w:ascii="宋体" w:hAnsi="宋体" w:hint="eastAsia"/>
          <w:sz w:val="24"/>
          <w:szCs w:val="24"/>
        </w:rPr>
        <w:t>运维</w:t>
      </w:r>
      <w:r>
        <w:rPr>
          <w:rFonts w:ascii="宋体" w:hAnsi="宋体" w:hint="eastAsia"/>
          <w:sz w:val="24"/>
          <w:szCs w:val="24"/>
        </w:rPr>
        <w:t>。</w:t>
      </w:r>
    </w:p>
    <w:p w:rsidR="00427CFC" w:rsidRDefault="004220DA">
      <w:pPr>
        <w:pStyle w:val="13"/>
        <w:snapToGrid w:val="0"/>
        <w:spacing w:line="360" w:lineRule="auto"/>
        <w:ind w:firstLine="480"/>
        <w:rPr>
          <w:rFonts w:ascii="宋体" w:hAnsi="宋体"/>
          <w:sz w:val="24"/>
          <w:szCs w:val="24"/>
        </w:rPr>
      </w:pPr>
      <w:r>
        <w:rPr>
          <w:rFonts w:ascii="宋体" w:hAnsi="宋体" w:hint="eastAsia"/>
          <w:sz w:val="24"/>
          <w:szCs w:val="24"/>
        </w:rPr>
        <w:t>在质量保证期内，供应商负责信息系统的运行维护工作，确保信息系统安全、稳定、可靠地运行。</w:t>
      </w:r>
    </w:p>
    <w:p w:rsidR="00427CFC" w:rsidRDefault="004220DA">
      <w:r>
        <w:rPr>
          <w:rFonts w:hint="eastAsia"/>
        </w:rPr>
        <w:t>供应商提供的应用软件免费维护服务内容包括应用软件的升级与维护等工</w:t>
      </w:r>
      <w:r>
        <w:rPr>
          <w:rFonts w:hint="eastAsia"/>
        </w:rPr>
        <w:lastRenderedPageBreak/>
        <w:t>作，免费维护的范围覆盖本项目所涉及应用系统的全部子系统和功能模块。</w:t>
      </w:r>
    </w:p>
    <w:p w:rsidR="00427CFC" w:rsidRDefault="004220DA">
      <w:pPr>
        <w:pStyle w:val="2"/>
      </w:pPr>
      <w:bookmarkStart w:id="55" w:name="_Toc63785506"/>
      <w:r>
        <w:rPr>
          <w:rFonts w:hint="eastAsia"/>
        </w:rPr>
        <w:t>应急响应要求</w:t>
      </w:r>
      <w:bookmarkEnd w:id="55"/>
    </w:p>
    <w:p w:rsidR="00427CFC" w:rsidRDefault="004220DA">
      <w:pPr>
        <w:pStyle w:val="13"/>
        <w:snapToGrid w:val="0"/>
        <w:spacing w:line="360" w:lineRule="auto"/>
        <w:ind w:firstLine="480"/>
        <w:rPr>
          <w:rFonts w:ascii="宋体" w:hAnsi="宋体"/>
          <w:sz w:val="24"/>
          <w:szCs w:val="24"/>
        </w:rPr>
      </w:pPr>
      <w:r>
        <w:rPr>
          <w:rFonts w:ascii="宋体" w:hAnsi="宋体" w:hint="eastAsia"/>
          <w:sz w:val="24"/>
          <w:szCs w:val="24"/>
        </w:rPr>
        <w:t>供应商对系统故障应能够实时响应，若系统发生故障，接到通知后</w:t>
      </w:r>
      <w:r>
        <w:rPr>
          <w:rFonts w:ascii="宋体" w:hAnsi="宋体"/>
          <w:sz w:val="24"/>
          <w:szCs w:val="24"/>
        </w:rPr>
        <w:t>30分钟之内响应，专业工程师2小时内到达现场</w:t>
      </w:r>
      <w:r>
        <w:rPr>
          <w:rFonts w:ascii="宋体" w:hAnsi="宋体" w:hint="eastAsia"/>
          <w:sz w:val="24"/>
          <w:szCs w:val="24"/>
        </w:rPr>
        <w:t>。特殊故障与客户沟通协商后，按照协商的方式制定解决方案并进行处理。</w:t>
      </w:r>
    </w:p>
    <w:p w:rsidR="00427CFC" w:rsidRDefault="004220DA">
      <w:pPr>
        <w:pStyle w:val="13"/>
        <w:snapToGrid w:val="0"/>
        <w:spacing w:line="360" w:lineRule="auto"/>
        <w:ind w:firstLine="480"/>
        <w:rPr>
          <w:rFonts w:ascii="宋体" w:hAnsi="宋体"/>
          <w:sz w:val="24"/>
          <w:szCs w:val="24"/>
        </w:rPr>
      </w:pPr>
      <w:r>
        <w:rPr>
          <w:rFonts w:ascii="宋体" w:hAnsi="宋体" w:hint="eastAsia"/>
          <w:sz w:val="24"/>
          <w:szCs w:val="24"/>
        </w:rPr>
        <w:t>具体故障级别及对应的应急响应要求如下：</w:t>
      </w:r>
    </w:p>
    <w:p w:rsidR="00427CFC" w:rsidRDefault="004220DA">
      <w:pPr>
        <w:pStyle w:val="13"/>
        <w:snapToGrid w:val="0"/>
        <w:spacing w:line="360" w:lineRule="auto"/>
        <w:ind w:firstLine="480"/>
        <w:rPr>
          <w:rFonts w:ascii="宋体" w:hAnsi="宋体"/>
          <w:sz w:val="24"/>
          <w:szCs w:val="24"/>
        </w:rPr>
      </w:pPr>
      <w:r>
        <w:rPr>
          <w:rFonts w:ascii="宋体" w:hAnsi="宋体" w:hint="eastAsia"/>
          <w:sz w:val="24"/>
          <w:szCs w:val="24"/>
        </w:rPr>
        <w:t>一级故障：在</w:t>
      </w:r>
      <w:r>
        <w:rPr>
          <w:rFonts w:ascii="宋体" w:hAnsi="宋体"/>
          <w:sz w:val="24"/>
          <w:szCs w:val="24"/>
        </w:rPr>
        <w:t>1小时内确诊，总故障解决时间不超过4小时。</w:t>
      </w:r>
    </w:p>
    <w:p w:rsidR="00427CFC" w:rsidRDefault="004220DA">
      <w:pPr>
        <w:pStyle w:val="13"/>
        <w:snapToGrid w:val="0"/>
        <w:spacing w:line="360" w:lineRule="auto"/>
        <w:ind w:firstLine="480"/>
        <w:rPr>
          <w:rFonts w:ascii="宋体" w:hAnsi="宋体"/>
          <w:sz w:val="24"/>
          <w:szCs w:val="24"/>
        </w:rPr>
      </w:pPr>
      <w:r>
        <w:rPr>
          <w:rFonts w:ascii="宋体" w:hAnsi="宋体" w:hint="eastAsia"/>
          <w:sz w:val="24"/>
          <w:szCs w:val="24"/>
        </w:rPr>
        <w:t>二级故障：在</w:t>
      </w:r>
      <w:r>
        <w:rPr>
          <w:rFonts w:ascii="宋体" w:hAnsi="宋体"/>
          <w:sz w:val="24"/>
          <w:szCs w:val="24"/>
        </w:rPr>
        <w:t>2小时内确诊，并在4小时内由专家到达现场确诊并解决，总故障解决时间不超过8小时；</w:t>
      </w:r>
    </w:p>
    <w:p w:rsidR="00427CFC" w:rsidRDefault="004220DA">
      <w:pPr>
        <w:pStyle w:val="13"/>
        <w:snapToGrid w:val="0"/>
        <w:spacing w:line="360" w:lineRule="auto"/>
        <w:ind w:firstLine="480"/>
        <w:rPr>
          <w:rFonts w:ascii="宋体" w:hAnsi="宋体"/>
          <w:sz w:val="24"/>
          <w:szCs w:val="24"/>
        </w:rPr>
      </w:pPr>
      <w:r>
        <w:rPr>
          <w:rFonts w:ascii="宋体" w:hAnsi="宋体" w:hint="eastAsia"/>
          <w:sz w:val="24"/>
          <w:szCs w:val="24"/>
        </w:rPr>
        <w:t>三、四级故障：在</w:t>
      </w:r>
      <w:r>
        <w:rPr>
          <w:rFonts w:ascii="宋体" w:hAnsi="宋体"/>
          <w:sz w:val="24"/>
          <w:szCs w:val="24"/>
        </w:rPr>
        <w:t>4小时内确诊故障，总故障解决时间不超过16小时。</w:t>
      </w:r>
    </w:p>
    <w:p w:rsidR="00427CFC" w:rsidRDefault="004220DA">
      <w:pPr>
        <w:pStyle w:val="2"/>
      </w:pPr>
      <w:bookmarkStart w:id="56" w:name="_Toc63785507"/>
      <w:r>
        <w:rPr>
          <w:rFonts w:hint="eastAsia"/>
        </w:rPr>
        <w:t>培训要求</w:t>
      </w:r>
      <w:bookmarkEnd w:id="56"/>
    </w:p>
    <w:p w:rsidR="00427CFC" w:rsidRDefault="004220DA">
      <w:r>
        <w:rPr>
          <w:rFonts w:hint="eastAsia"/>
        </w:rPr>
        <w:t>供应商作为系统的设计方和开发方为客户提供多方面、多层次的培训。培训内容包括：针对业务操作人员、管理人员、技术维护人员的培训。</w:t>
      </w:r>
    </w:p>
    <w:p w:rsidR="00427CFC" w:rsidRDefault="004220DA">
      <w:r>
        <w:rPr>
          <w:rFonts w:hint="eastAsia"/>
        </w:rPr>
        <w:t>培训费用及各项支出计入总价，列入投标文件。在供应商响应文件中提供详细的培训方案，包括培训计划、培训大纲和培训人次，并符合以下要求：</w:t>
      </w:r>
    </w:p>
    <w:p w:rsidR="00427CFC" w:rsidRDefault="004220DA">
      <w:r>
        <w:rPr>
          <w:rFonts w:hint="eastAsia"/>
        </w:rPr>
        <w:t>(1)在12个月的质量保证期内，提供2次与项目相关的必要培训。</w:t>
      </w:r>
    </w:p>
    <w:p w:rsidR="00427CFC" w:rsidRDefault="004220DA">
      <w:r>
        <w:rPr>
          <w:rFonts w:hint="eastAsia"/>
        </w:rPr>
        <w:t>(2)供应商需要开展分层次的人员培训工作，每次培训后应对参加培训人员进行测试，评估培训成果。培训应具有培训教材、培训环境和高水平的培训讲师。</w:t>
      </w:r>
    </w:p>
    <w:p w:rsidR="00427CFC" w:rsidRDefault="004220DA">
      <w:r>
        <w:rPr>
          <w:rFonts w:hint="eastAsia"/>
        </w:rPr>
        <w:t>(3)供应商应提供一般用户的基础操作培训和部门信息管理员的日常应用维护的培训，确保用户对象能够掌握对应的操作技能。</w:t>
      </w:r>
    </w:p>
    <w:p w:rsidR="00427CFC" w:rsidRDefault="004220DA">
      <w:pPr>
        <w:pStyle w:val="2"/>
      </w:pPr>
      <w:bookmarkStart w:id="57" w:name="_Toc63785508"/>
      <w:r>
        <w:rPr>
          <w:rFonts w:hint="eastAsia"/>
        </w:rPr>
        <w:t>验收要求</w:t>
      </w:r>
      <w:bookmarkEnd w:id="57"/>
    </w:p>
    <w:p w:rsidR="00427CFC" w:rsidRDefault="004220DA">
      <w:pPr>
        <w:rPr>
          <w:szCs w:val="21"/>
        </w:rPr>
      </w:pPr>
      <w:r>
        <w:rPr>
          <w:rFonts w:hint="eastAsia"/>
          <w:szCs w:val="21"/>
        </w:rPr>
        <w:t>本项目按下述方式开展验收。</w:t>
      </w:r>
    </w:p>
    <w:p w:rsidR="00427CFC" w:rsidRDefault="004220DA">
      <w:pPr>
        <w:rPr>
          <w:szCs w:val="21"/>
        </w:rPr>
      </w:pPr>
      <w:r>
        <w:rPr>
          <w:rFonts w:hint="eastAsia"/>
          <w:szCs w:val="21"/>
        </w:rPr>
        <w:t>（</w:t>
      </w:r>
      <w:r>
        <w:rPr>
          <w:szCs w:val="21"/>
        </w:rPr>
        <w:t>1）</w:t>
      </w:r>
      <w:proofErr w:type="gramStart"/>
      <w:r>
        <w:rPr>
          <w:szCs w:val="21"/>
        </w:rPr>
        <w:t>验收分</w:t>
      </w:r>
      <w:proofErr w:type="gramEnd"/>
      <w:r>
        <w:rPr>
          <w:szCs w:val="21"/>
        </w:rPr>
        <w:t>初验和终验。</w:t>
      </w:r>
    </w:p>
    <w:p w:rsidR="00427CFC" w:rsidRDefault="004220DA">
      <w:pPr>
        <w:rPr>
          <w:szCs w:val="21"/>
        </w:rPr>
      </w:pPr>
      <w:r>
        <w:rPr>
          <w:rFonts w:hint="eastAsia"/>
          <w:szCs w:val="21"/>
        </w:rPr>
        <w:t>（</w:t>
      </w:r>
      <w:r>
        <w:rPr>
          <w:szCs w:val="21"/>
        </w:rPr>
        <w:t>2）初验前，供应商</w:t>
      </w:r>
      <w:r>
        <w:rPr>
          <w:rFonts w:hint="eastAsia"/>
        </w:rPr>
        <w:t>需</w:t>
      </w:r>
      <w:r>
        <w:rPr>
          <w:szCs w:val="21"/>
        </w:rPr>
        <w:t>完成软件开发、软硬件安装和信息系统的调试等，并对本项目进行功能和运行检测，确保所有信息系统功能模块能够正常运行且已达到本项目约定的各类标准要求。供应商应以书面形式向招标方递交初验通</w:t>
      </w:r>
      <w:r>
        <w:rPr>
          <w:szCs w:val="21"/>
        </w:rPr>
        <w:lastRenderedPageBreak/>
        <w:t>知书。招标方应当在接到通知后的5个工作日内确定初验的具体日期，由双方按照本项目的约定完成本项目的初验。招标方有权委托第三方检测机构进行验收，对此供应商应当配合。</w:t>
      </w:r>
    </w:p>
    <w:p w:rsidR="00427CFC" w:rsidRDefault="004220DA">
      <w:pPr>
        <w:rPr>
          <w:szCs w:val="21"/>
        </w:rPr>
      </w:pPr>
      <w:r>
        <w:rPr>
          <w:rFonts w:hint="eastAsia"/>
          <w:szCs w:val="21"/>
        </w:rPr>
        <w:t>（</w:t>
      </w:r>
      <w:r>
        <w:rPr>
          <w:szCs w:val="21"/>
        </w:rPr>
        <w:t>3）初验时，供应商</w:t>
      </w:r>
      <w:r>
        <w:rPr>
          <w:rFonts w:hint="eastAsia"/>
        </w:rPr>
        <w:t>需</w:t>
      </w:r>
      <w:r>
        <w:rPr>
          <w:szCs w:val="21"/>
        </w:rPr>
        <w:t>提供软件文档包括《用户需求说明书》、《系统概要设计说明书》、《系统详细设计说明书》、</w:t>
      </w:r>
      <w:r>
        <w:rPr>
          <w:rFonts w:hint="eastAsia"/>
          <w:szCs w:val="21"/>
        </w:rPr>
        <w:t>《三方功能需求确认单》、</w:t>
      </w:r>
      <w:r>
        <w:rPr>
          <w:szCs w:val="21"/>
        </w:rPr>
        <w:t>《测试报告》、《用户使用手册》、《系统部署文档》等）及可安装的程序运行文件。所交付的文档与文件应当是可供自然人阅读的书面和电子文档。软件文档及可安装的程序运行文件验收通过后，视为初验通过。如有缺陷，招标方应向供应商出具书面报告，陈述需要改进的缺陷。供应商应立即严格依照招标方的书面报告中的要求改进缺陷，并再次进行初验。</w:t>
      </w:r>
    </w:p>
    <w:p w:rsidR="00427CFC" w:rsidRDefault="004220DA">
      <w:pPr>
        <w:rPr>
          <w:szCs w:val="21"/>
        </w:rPr>
      </w:pPr>
      <w:r>
        <w:rPr>
          <w:rFonts w:hint="eastAsia"/>
          <w:szCs w:val="21"/>
        </w:rPr>
        <w:t>（</w:t>
      </w:r>
      <w:r>
        <w:rPr>
          <w:szCs w:val="21"/>
        </w:rPr>
        <w:t>4）自初验通过之日起，招标方享有供应商免费提供的30天的信息系统试运行服务期。该期间内，供应商应当按照招标方的要求提供现场技术支持服务，解决信息系统试运行期间可能出现的各类问题，或进一步提高与完善信息系统运行水平。</w:t>
      </w:r>
    </w:p>
    <w:p w:rsidR="00427CFC" w:rsidRDefault="004220DA">
      <w:pPr>
        <w:rPr>
          <w:szCs w:val="21"/>
        </w:rPr>
      </w:pPr>
      <w:r>
        <w:rPr>
          <w:rFonts w:hint="eastAsia"/>
          <w:szCs w:val="21"/>
        </w:rPr>
        <w:t>（</w:t>
      </w:r>
      <w:r>
        <w:rPr>
          <w:szCs w:val="21"/>
        </w:rPr>
        <w:t>5）初验通过且信息系统试运行期已经达到本项目约定的时间，</w:t>
      </w:r>
      <w:proofErr w:type="gramStart"/>
      <w:r>
        <w:rPr>
          <w:szCs w:val="21"/>
        </w:rPr>
        <w:t>经供应</w:t>
      </w:r>
      <w:proofErr w:type="gramEnd"/>
      <w:r>
        <w:rPr>
          <w:szCs w:val="21"/>
        </w:rPr>
        <w:t>商确认信息系统具备正常运行条件</w:t>
      </w:r>
      <w:r>
        <w:rPr>
          <w:rFonts w:hint="eastAsia"/>
          <w:szCs w:val="21"/>
        </w:rPr>
        <w:t>和通过运行测试</w:t>
      </w:r>
      <w:r>
        <w:rPr>
          <w:szCs w:val="21"/>
        </w:rPr>
        <w:t>，且信息系统通过</w:t>
      </w:r>
      <w:r>
        <w:rPr>
          <w:rFonts w:hint="eastAsia"/>
          <w:szCs w:val="21"/>
        </w:rPr>
        <w:t>第三方软件测评、安全测评和密码应用测评</w:t>
      </w:r>
      <w:r>
        <w:rPr>
          <w:szCs w:val="21"/>
        </w:rPr>
        <w:t>，供应商应以书面形式通知招标方信息系统已准备就绪等待终验。招标方在收到终</w:t>
      </w:r>
      <w:proofErr w:type="gramStart"/>
      <w:r>
        <w:rPr>
          <w:szCs w:val="21"/>
        </w:rPr>
        <w:t>验通知</w:t>
      </w:r>
      <w:proofErr w:type="gramEnd"/>
      <w:r>
        <w:rPr>
          <w:szCs w:val="21"/>
        </w:rPr>
        <w:t>后的15个工作日内发起组织专家验收会</w:t>
      </w:r>
      <w:r>
        <w:rPr>
          <w:rFonts w:hint="eastAsia"/>
          <w:szCs w:val="21"/>
        </w:rPr>
        <w:t>（招标方也可根据实际需要委托第三方组织终</w:t>
      </w:r>
      <w:proofErr w:type="gramStart"/>
      <w:r>
        <w:rPr>
          <w:rFonts w:hint="eastAsia"/>
          <w:szCs w:val="21"/>
        </w:rPr>
        <w:t>验或者</w:t>
      </w:r>
      <w:proofErr w:type="gramEnd"/>
      <w:r>
        <w:rPr>
          <w:rFonts w:hint="eastAsia"/>
          <w:szCs w:val="21"/>
        </w:rPr>
        <w:t>以行业主管部门的专项验收代替终验）</w:t>
      </w:r>
      <w:r>
        <w:rPr>
          <w:szCs w:val="21"/>
        </w:rPr>
        <w:t>。</w:t>
      </w:r>
    </w:p>
    <w:p w:rsidR="00427CFC" w:rsidRDefault="004220DA">
      <w:pPr>
        <w:rPr>
          <w:szCs w:val="21"/>
        </w:rPr>
      </w:pPr>
      <w:r>
        <w:rPr>
          <w:rFonts w:hint="eastAsia"/>
          <w:szCs w:val="21"/>
        </w:rPr>
        <w:t>（6</w:t>
      </w:r>
      <w:r>
        <w:rPr>
          <w:szCs w:val="21"/>
        </w:rPr>
        <w:t>）如果属于供应商原因致使本项目未能通过终验，供应商应当排除缺陷，直至本项目完全符合验收标准，由上述情形而产生的相关费用应由供应商自行承担。</w:t>
      </w:r>
    </w:p>
    <w:p w:rsidR="00427CFC" w:rsidRDefault="004220DA">
      <w:pPr>
        <w:rPr>
          <w:szCs w:val="21"/>
        </w:rPr>
      </w:pPr>
      <w:r>
        <w:rPr>
          <w:rFonts w:hint="eastAsia"/>
          <w:szCs w:val="21"/>
        </w:rPr>
        <w:t>（7</w:t>
      </w:r>
      <w:r>
        <w:rPr>
          <w:szCs w:val="21"/>
        </w:rPr>
        <w:t>）如果由于招标方原因导致本项目在终</w:t>
      </w:r>
      <w:proofErr w:type="gramStart"/>
      <w:r>
        <w:rPr>
          <w:szCs w:val="21"/>
        </w:rPr>
        <w:t>验通过</w:t>
      </w:r>
      <w:proofErr w:type="gramEnd"/>
      <w:r>
        <w:rPr>
          <w:szCs w:val="21"/>
        </w:rPr>
        <w:t>前出现故障或问题，供应商应及时配合排除该方面的故障或问题。</w:t>
      </w:r>
    </w:p>
    <w:p w:rsidR="00427CFC" w:rsidRDefault="004220DA">
      <w:pPr>
        <w:rPr>
          <w:szCs w:val="21"/>
        </w:rPr>
      </w:pPr>
      <w:r>
        <w:rPr>
          <w:rFonts w:hint="eastAsia"/>
          <w:szCs w:val="21"/>
        </w:rPr>
        <w:t>（8）如本项目连续3次验收未通过（含初验未通过或</w:t>
      </w:r>
      <w:proofErr w:type="gramStart"/>
      <w:r>
        <w:rPr>
          <w:rFonts w:hint="eastAsia"/>
          <w:szCs w:val="21"/>
        </w:rPr>
        <w:t>终验未通过</w:t>
      </w:r>
      <w:proofErr w:type="gramEnd"/>
      <w:r>
        <w:rPr>
          <w:rFonts w:hint="eastAsia"/>
          <w:szCs w:val="21"/>
        </w:rPr>
        <w:t>），招标方有权解除项目，并有权依照本项目约定的违约条款追究供应商的违约责任。</w:t>
      </w:r>
    </w:p>
    <w:p w:rsidR="00427CFC" w:rsidRDefault="004220DA">
      <w:pPr>
        <w:pStyle w:val="2"/>
      </w:pPr>
      <w:bookmarkStart w:id="58" w:name="_Toc63785509"/>
      <w:r>
        <w:rPr>
          <w:rFonts w:hint="eastAsia"/>
        </w:rPr>
        <w:t>进度要求</w:t>
      </w:r>
      <w:bookmarkEnd w:id="58"/>
    </w:p>
    <w:p w:rsidR="00427CFC" w:rsidRDefault="004220DA">
      <w:r>
        <w:rPr>
          <w:rFonts w:hint="eastAsia"/>
        </w:rPr>
        <w:t>投标人应根据建设内容，分阶段制定合理的时间进度，并且应根据招标方</w:t>
      </w:r>
      <w:r>
        <w:rPr>
          <w:rFonts w:hint="eastAsia"/>
        </w:rPr>
        <w:lastRenderedPageBreak/>
        <w:t>要求进行调整和细化。</w:t>
      </w:r>
    </w:p>
    <w:p w:rsidR="00427CFC" w:rsidRDefault="004220DA">
      <w:r>
        <w:rPr>
          <w:rFonts w:hint="eastAsia"/>
        </w:rPr>
        <w:t>总建设周期为从签订合同起至2</w:t>
      </w:r>
      <w:r>
        <w:t>024</w:t>
      </w:r>
      <w:r>
        <w:rPr>
          <w:rFonts w:hint="eastAsia"/>
        </w:rPr>
        <w:t>年1</w:t>
      </w:r>
      <w:r>
        <w:t>1</w:t>
      </w:r>
      <w:r>
        <w:rPr>
          <w:rFonts w:hint="eastAsia"/>
        </w:rPr>
        <w:t>月底结束，分为3个阶段。</w:t>
      </w:r>
    </w:p>
    <w:p w:rsidR="00427CFC" w:rsidRDefault="004220DA">
      <w:r>
        <w:rPr>
          <w:rFonts w:hint="eastAsia"/>
        </w:rPr>
        <w:t>第一阶段为合同签订起至2</w:t>
      </w:r>
      <w:r>
        <w:t>024</w:t>
      </w:r>
      <w:r>
        <w:rPr>
          <w:rFonts w:hint="eastAsia"/>
        </w:rPr>
        <w:t>年5月</w:t>
      </w:r>
      <w:r>
        <w:t>：完成业务需求整理，并进行详细需求分析；</w:t>
      </w:r>
    </w:p>
    <w:p w:rsidR="00427CFC" w:rsidRDefault="004220DA">
      <w:r>
        <w:rPr>
          <w:rFonts w:hint="eastAsia"/>
        </w:rPr>
        <w:t>第二阶段为2</w:t>
      </w:r>
      <w:r>
        <w:t>024</w:t>
      </w:r>
      <w:r>
        <w:rPr>
          <w:rFonts w:hint="eastAsia"/>
        </w:rPr>
        <w:t>年5月~</w:t>
      </w:r>
      <w:r>
        <w:t>1</w:t>
      </w:r>
      <w:r>
        <w:rPr>
          <w:rFonts w:hint="eastAsia"/>
        </w:rPr>
        <w:t>0月底</w:t>
      </w:r>
      <w:r>
        <w:t>：</w:t>
      </w:r>
      <w:r>
        <w:rPr>
          <w:rFonts w:hint="eastAsia"/>
        </w:rPr>
        <w:t>完成进行数据归集整合、资源申请和各模块的开发与测试工作，完成系统联调与部署，修正各模块联调中出现的问题，完成系统完善和功能迭代，直至发布正式运行版本。</w:t>
      </w:r>
      <w:r>
        <w:t>包括应用软件开发、系统集成</w:t>
      </w:r>
      <w:r>
        <w:rPr>
          <w:rFonts w:hint="eastAsia"/>
        </w:rPr>
        <w:t>、</w:t>
      </w:r>
      <w:r>
        <w:t>部署</w:t>
      </w:r>
      <w:r>
        <w:rPr>
          <w:rFonts w:hint="eastAsia"/>
        </w:rPr>
        <w:t>、测评</w:t>
      </w:r>
      <w:r>
        <w:t>；</w:t>
      </w:r>
    </w:p>
    <w:p w:rsidR="00427CFC" w:rsidRDefault="004220DA">
      <w:r>
        <w:rPr>
          <w:rFonts w:hint="eastAsia"/>
        </w:rPr>
        <w:t>第三阶段为</w:t>
      </w:r>
      <w:r>
        <w:t>11月</w:t>
      </w:r>
      <w:r>
        <w:rPr>
          <w:rFonts w:hint="eastAsia"/>
        </w:rPr>
        <w:t>底前</w:t>
      </w:r>
      <w:r>
        <w:t>：</w:t>
      </w:r>
      <w:r>
        <w:rPr>
          <w:rFonts w:hint="eastAsia"/>
        </w:rPr>
        <w:t>根据项目运行情况和验收要求开展功能优化和绩效评价等工作，完成实施项目验收并启动项目的正式运行。</w:t>
      </w:r>
    </w:p>
    <w:p w:rsidR="00427CFC" w:rsidRDefault="004220DA">
      <w:pPr>
        <w:pStyle w:val="2"/>
      </w:pPr>
      <w:bookmarkStart w:id="59" w:name="_Toc63785510"/>
      <w:r>
        <w:rPr>
          <w:rFonts w:hint="eastAsia"/>
        </w:rPr>
        <w:t>项目团队及驻场人员要求</w:t>
      </w:r>
      <w:bookmarkEnd w:id="59"/>
    </w:p>
    <w:p w:rsidR="00427CFC" w:rsidRPr="00A075C5" w:rsidRDefault="004220DA" w:rsidP="00CB3CEC">
      <w:r>
        <w:t>1）投标人</w:t>
      </w:r>
      <w:r>
        <w:rPr>
          <w:rFonts w:hint="eastAsia"/>
        </w:rPr>
        <w:t>应</w:t>
      </w:r>
      <w:r>
        <w:t>具有稳定的在职技术保障力量，能够提供及时的技术支援或服务，应针对本项目提供不少于</w:t>
      </w:r>
      <w:r>
        <w:rPr>
          <w:rFonts w:hint="eastAsia"/>
        </w:rPr>
        <w:t>25</w:t>
      </w:r>
      <w:r>
        <w:t>人的项目服务团队</w:t>
      </w:r>
      <w:r>
        <w:rPr>
          <w:rFonts w:hint="eastAsia"/>
        </w:rPr>
        <w:t>。其中核心服务团队</w:t>
      </w:r>
      <w:r>
        <w:t>10</w:t>
      </w:r>
      <w:r>
        <w:rPr>
          <w:rFonts w:hint="eastAsia"/>
        </w:rPr>
        <w:t>人</w:t>
      </w:r>
      <w:r>
        <w:t>（包括项目经理、技术负责人、</w:t>
      </w:r>
      <w:r>
        <w:rPr>
          <w:rFonts w:hint="eastAsia"/>
        </w:rPr>
        <w:t>核心</w:t>
      </w:r>
      <w:r>
        <w:t>研发</w:t>
      </w:r>
      <w:r>
        <w:rPr>
          <w:rFonts w:hint="eastAsia"/>
        </w:rPr>
        <w:t>人员</w:t>
      </w:r>
      <w:r>
        <w:t>）</w:t>
      </w:r>
      <w:r>
        <w:rPr>
          <w:rFonts w:hint="eastAsia"/>
        </w:rPr>
        <w:t>，</w:t>
      </w:r>
      <w:r w:rsidR="00A075C5">
        <w:rPr>
          <w:rFonts w:cs="宋体" w:hint="eastAsia"/>
        </w:rPr>
        <w:t>核心服务团队需具备本项目要求的服务能力，</w:t>
      </w:r>
      <w:r w:rsidR="00811EBD">
        <w:rPr>
          <w:rFonts w:cs="宋体" w:hint="eastAsia"/>
        </w:rPr>
        <w:t>核心</w:t>
      </w:r>
      <w:r w:rsidR="000864B0">
        <w:rPr>
          <w:rFonts w:cs="宋体" w:hint="eastAsia"/>
        </w:rPr>
        <w:t>团队成员具备</w:t>
      </w:r>
      <w:r w:rsidR="000864B0" w:rsidRPr="000864B0">
        <w:rPr>
          <w:rFonts w:cs="宋体" w:hint="eastAsia"/>
        </w:rPr>
        <w:t>软件设计师（中级）证书</w:t>
      </w:r>
      <w:r w:rsidR="000864B0">
        <w:rPr>
          <w:rFonts w:cs="宋体" w:hint="eastAsia"/>
        </w:rPr>
        <w:t>的优先考虑，</w:t>
      </w:r>
      <w:r w:rsidR="00A075C5">
        <w:rPr>
          <w:rFonts w:cs="宋体" w:hint="eastAsia"/>
        </w:rPr>
        <w:t>并提供相关证明（缴纳社保费证明、相关资质证书证明等）。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6"/>
        <w:gridCol w:w="3336"/>
        <w:gridCol w:w="1180"/>
        <w:gridCol w:w="1176"/>
        <w:gridCol w:w="1180"/>
      </w:tblGrid>
      <w:tr w:rsidR="00427CFC">
        <w:trPr>
          <w:trHeight w:val="285"/>
          <w:jc w:val="center"/>
        </w:trPr>
        <w:tc>
          <w:tcPr>
            <w:tcW w:w="0" w:type="auto"/>
            <w:shd w:val="clear" w:color="auto" w:fill="auto"/>
            <w:noWrap/>
            <w:vAlign w:val="center"/>
          </w:tcPr>
          <w:p w:rsidR="00427CFC" w:rsidRDefault="004220DA">
            <w:pPr>
              <w:widowControl/>
              <w:spacing w:line="240" w:lineRule="auto"/>
              <w:ind w:firstLineChars="0" w:firstLine="0"/>
              <w:jc w:val="center"/>
              <w:rPr>
                <w:b/>
              </w:rPr>
            </w:pPr>
            <w:r>
              <w:rPr>
                <w:rFonts w:hint="eastAsia"/>
                <w:b/>
              </w:rPr>
              <w:t>角色</w:t>
            </w:r>
          </w:p>
        </w:tc>
        <w:tc>
          <w:tcPr>
            <w:tcW w:w="0" w:type="auto"/>
            <w:shd w:val="clear" w:color="auto" w:fill="auto"/>
            <w:noWrap/>
            <w:vAlign w:val="center"/>
          </w:tcPr>
          <w:p w:rsidR="00427CFC" w:rsidRDefault="004220DA">
            <w:pPr>
              <w:widowControl/>
              <w:spacing w:line="240" w:lineRule="auto"/>
              <w:ind w:firstLineChars="0" w:firstLine="0"/>
              <w:jc w:val="center"/>
              <w:rPr>
                <w:b/>
              </w:rPr>
            </w:pPr>
            <w:r>
              <w:rPr>
                <w:rFonts w:hint="eastAsia"/>
                <w:b/>
              </w:rPr>
              <w:t>主要职责</w:t>
            </w:r>
          </w:p>
        </w:tc>
        <w:tc>
          <w:tcPr>
            <w:tcW w:w="0" w:type="auto"/>
            <w:shd w:val="clear" w:color="auto" w:fill="auto"/>
            <w:noWrap/>
            <w:vAlign w:val="center"/>
          </w:tcPr>
          <w:p w:rsidR="00427CFC" w:rsidRDefault="004220DA">
            <w:pPr>
              <w:widowControl/>
              <w:spacing w:line="240" w:lineRule="auto"/>
              <w:ind w:firstLineChars="0" w:firstLine="0"/>
              <w:jc w:val="center"/>
              <w:rPr>
                <w:b/>
              </w:rPr>
            </w:pPr>
            <w:r>
              <w:rPr>
                <w:rFonts w:hint="eastAsia"/>
                <w:b/>
              </w:rPr>
              <w:t>人员数量</w:t>
            </w:r>
          </w:p>
        </w:tc>
        <w:tc>
          <w:tcPr>
            <w:tcW w:w="0" w:type="auto"/>
            <w:vAlign w:val="center"/>
          </w:tcPr>
          <w:p w:rsidR="00427CFC" w:rsidRDefault="004220DA">
            <w:pPr>
              <w:widowControl/>
              <w:spacing w:line="240" w:lineRule="auto"/>
              <w:ind w:firstLineChars="0" w:firstLine="0"/>
              <w:jc w:val="center"/>
              <w:rPr>
                <w:b/>
              </w:rPr>
            </w:pPr>
            <w:r>
              <w:rPr>
                <w:rFonts w:hint="eastAsia"/>
                <w:b/>
              </w:rPr>
              <w:t>人员要求</w:t>
            </w:r>
          </w:p>
        </w:tc>
        <w:tc>
          <w:tcPr>
            <w:tcW w:w="0" w:type="auto"/>
            <w:shd w:val="clear" w:color="auto" w:fill="auto"/>
            <w:noWrap/>
            <w:vAlign w:val="center"/>
          </w:tcPr>
          <w:p w:rsidR="00427CFC" w:rsidRDefault="004220DA">
            <w:pPr>
              <w:widowControl/>
              <w:spacing w:line="240" w:lineRule="auto"/>
              <w:ind w:firstLineChars="0" w:firstLine="0"/>
              <w:jc w:val="center"/>
              <w:rPr>
                <w:b/>
              </w:rPr>
            </w:pPr>
            <w:r>
              <w:rPr>
                <w:rFonts w:hint="eastAsia"/>
                <w:b/>
              </w:rPr>
              <w:t>驻场要求</w:t>
            </w:r>
          </w:p>
        </w:tc>
      </w:tr>
      <w:tr w:rsidR="00427CFC">
        <w:trPr>
          <w:trHeight w:val="285"/>
          <w:jc w:val="center"/>
        </w:trPr>
        <w:tc>
          <w:tcPr>
            <w:tcW w:w="0" w:type="auto"/>
            <w:shd w:val="clear" w:color="auto" w:fill="auto"/>
            <w:noWrap/>
            <w:vAlign w:val="center"/>
          </w:tcPr>
          <w:p w:rsidR="00427CFC" w:rsidRDefault="004220DA">
            <w:pPr>
              <w:widowControl/>
              <w:spacing w:line="240" w:lineRule="auto"/>
              <w:ind w:firstLineChars="0" w:firstLine="0"/>
              <w:jc w:val="center"/>
            </w:pPr>
            <w:r>
              <w:rPr>
                <w:rFonts w:hint="eastAsia"/>
              </w:rPr>
              <w:t>项目经理</w:t>
            </w:r>
          </w:p>
        </w:tc>
        <w:tc>
          <w:tcPr>
            <w:tcW w:w="0" w:type="auto"/>
            <w:shd w:val="clear" w:color="auto" w:fill="auto"/>
            <w:vAlign w:val="center"/>
          </w:tcPr>
          <w:p w:rsidR="00427CFC" w:rsidRDefault="004220DA">
            <w:pPr>
              <w:widowControl/>
              <w:spacing w:line="240" w:lineRule="auto"/>
              <w:ind w:firstLineChars="0" w:firstLine="0"/>
              <w:jc w:val="center"/>
            </w:pPr>
            <w:r>
              <w:rPr>
                <w:rFonts w:hint="eastAsia"/>
              </w:rPr>
              <w:t>负责项目质量和进度控制</w:t>
            </w:r>
          </w:p>
        </w:tc>
        <w:tc>
          <w:tcPr>
            <w:tcW w:w="0" w:type="auto"/>
            <w:shd w:val="clear" w:color="auto" w:fill="auto"/>
            <w:noWrap/>
            <w:vAlign w:val="center"/>
          </w:tcPr>
          <w:p w:rsidR="00427CFC" w:rsidRDefault="004220DA">
            <w:pPr>
              <w:widowControl/>
              <w:spacing w:line="240" w:lineRule="auto"/>
              <w:ind w:firstLineChars="0" w:firstLine="0"/>
              <w:jc w:val="center"/>
            </w:pPr>
            <w:r>
              <w:rPr>
                <w:rFonts w:hint="eastAsia"/>
              </w:rPr>
              <w:t>1人</w:t>
            </w:r>
          </w:p>
        </w:tc>
        <w:tc>
          <w:tcPr>
            <w:tcW w:w="1430" w:type="dxa"/>
            <w:vAlign w:val="center"/>
          </w:tcPr>
          <w:p w:rsidR="00427CFC" w:rsidRDefault="004220DA">
            <w:pPr>
              <w:widowControl/>
              <w:spacing w:line="240" w:lineRule="auto"/>
              <w:ind w:firstLineChars="0" w:firstLine="0"/>
              <w:jc w:val="center"/>
            </w:pPr>
            <w:r>
              <w:rPr>
                <w:rFonts w:hint="eastAsia"/>
                <w:sz w:val="21"/>
                <w:szCs w:val="21"/>
              </w:rPr>
              <w:t>本科及以上学历，具备信息系统项目管理师（高级）证书</w:t>
            </w:r>
          </w:p>
        </w:tc>
        <w:tc>
          <w:tcPr>
            <w:tcW w:w="0" w:type="auto"/>
            <w:shd w:val="clear" w:color="auto" w:fill="auto"/>
            <w:noWrap/>
            <w:vAlign w:val="center"/>
          </w:tcPr>
          <w:p w:rsidR="00427CFC" w:rsidRDefault="004220DA">
            <w:pPr>
              <w:widowControl/>
              <w:spacing w:line="240" w:lineRule="auto"/>
              <w:ind w:firstLineChars="0" w:firstLine="0"/>
              <w:jc w:val="center"/>
            </w:pPr>
            <w:r>
              <w:rPr>
                <w:rFonts w:hint="eastAsia"/>
              </w:rPr>
              <w:t>不驻场</w:t>
            </w:r>
          </w:p>
        </w:tc>
      </w:tr>
      <w:tr w:rsidR="00427CFC">
        <w:trPr>
          <w:trHeight w:val="285"/>
          <w:jc w:val="center"/>
        </w:trPr>
        <w:tc>
          <w:tcPr>
            <w:tcW w:w="0" w:type="auto"/>
            <w:shd w:val="clear" w:color="auto" w:fill="auto"/>
            <w:noWrap/>
            <w:vAlign w:val="center"/>
          </w:tcPr>
          <w:p w:rsidR="00427CFC" w:rsidRDefault="004220DA">
            <w:pPr>
              <w:widowControl/>
              <w:spacing w:line="240" w:lineRule="auto"/>
              <w:ind w:firstLineChars="0" w:firstLine="0"/>
              <w:jc w:val="center"/>
            </w:pPr>
            <w:r>
              <w:rPr>
                <w:rFonts w:hint="eastAsia"/>
              </w:rPr>
              <w:t>技术负责人</w:t>
            </w:r>
          </w:p>
        </w:tc>
        <w:tc>
          <w:tcPr>
            <w:tcW w:w="0" w:type="auto"/>
            <w:shd w:val="clear" w:color="auto" w:fill="auto"/>
            <w:vAlign w:val="center"/>
          </w:tcPr>
          <w:p w:rsidR="00427CFC" w:rsidRDefault="004220DA">
            <w:pPr>
              <w:widowControl/>
              <w:spacing w:line="240" w:lineRule="auto"/>
              <w:ind w:firstLineChars="0" w:firstLine="0"/>
              <w:jc w:val="center"/>
            </w:pPr>
            <w:r>
              <w:rPr>
                <w:rFonts w:hint="eastAsia"/>
              </w:rPr>
              <w:t>负责项目需求评估与系统设计</w:t>
            </w:r>
          </w:p>
        </w:tc>
        <w:tc>
          <w:tcPr>
            <w:tcW w:w="0" w:type="auto"/>
            <w:shd w:val="clear" w:color="auto" w:fill="auto"/>
            <w:noWrap/>
            <w:vAlign w:val="center"/>
          </w:tcPr>
          <w:p w:rsidR="00427CFC" w:rsidRDefault="008F2627">
            <w:pPr>
              <w:widowControl/>
              <w:spacing w:line="240" w:lineRule="auto"/>
              <w:ind w:firstLineChars="0" w:firstLine="0"/>
              <w:jc w:val="center"/>
            </w:pPr>
            <w:r>
              <w:rPr>
                <w:rFonts w:hint="eastAsia"/>
              </w:rPr>
              <w:t>1</w:t>
            </w:r>
            <w:r w:rsidR="004220DA">
              <w:rPr>
                <w:rFonts w:hint="eastAsia"/>
              </w:rPr>
              <w:t>人</w:t>
            </w:r>
          </w:p>
        </w:tc>
        <w:tc>
          <w:tcPr>
            <w:tcW w:w="1430" w:type="dxa"/>
            <w:vAlign w:val="center"/>
          </w:tcPr>
          <w:p w:rsidR="00427CFC" w:rsidRDefault="004220DA" w:rsidP="006D6AA6">
            <w:pPr>
              <w:widowControl/>
              <w:spacing w:line="240" w:lineRule="auto"/>
              <w:ind w:firstLineChars="0" w:firstLine="0"/>
              <w:jc w:val="center"/>
            </w:pPr>
            <w:r>
              <w:rPr>
                <w:rFonts w:hint="eastAsia"/>
                <w:sz w:val="21"/>
                <w:szCs w:val="21"/>
              </w:rPr>
              <w:t>本科以上学历，具备</w:t>
            </w:r>
            <w:r w:rsidR="003C1506" w:rsidRPr="003C1506">
              <w:rPr>
                <w:sz w:val="21"/>
                <w:szCs w:val="21"/>
              </w:rPr>
              <w:t>系统架构设计师</w:t>
            </w:r>
            <w:r w:rsidR="000864B0">
              <w:rPr>
                <w:rFonts w:hint="eastAsia"/>
                <w:sz w:val="21"/>
                <w:szCs w:val="21"/>
              </w:rPr>
              <w:t>（</w:t>
            </w:r>
            <w:r w:rsidR="003C1506" w:rsidRPr="003C1506">
              <w:rPr>
                <w:sz w:val="21"/>
                <w:szCs w:val="21"/>
              </w:rPr>
              <w:t>高</w:t>
            </w:r>
            <w:r w:rsidR="003C1506" w:rsidRPr="003C1506">
              <w:rPr>
                <w:rFonts w:hint="eastAsia"/>
                <w:sz w:val="21"/>
                <w:szCs w:val="21"/>
              </w:rPr>
              <w:t>级</w:t>
            </w:r>
            <w:r w:rsidR="000864B0">
              <w:rPr>
                <w:rFonts w:hint="eastAsia"/>
                <w:sz w:val="21"/>
                <w:szCs w:val="21"/>
              </w:rPr>
              <w:t>）</w:t>
            </w:r>
            <w:r w:rsidR="003C1506" w:rsidRPr="003C1506">
              <w:rPr>
                <w:rFonts w:hint="eastAsia"/>
                <w:sz w:val="21"/>
                <w:szCs w:val="21"/>
              </w:rPr>
              <w:t>证书</w:t>
            </w:r>
          </w:p>
        </w:tc>
        <w:tc>
          <w:tcPr>
            <w:tcW w:w="0" w:type="auto"/>
            <w:shd w:val="clear" w:color="auto" w:fill="auto"/>
            <w:noWrap/>
            <w:vAlign w:val="center"/>
          </w:tcPr>
          <w:p w:rsidR="00427CFC" w:rsidRDefault="004220DA">
            <w:pPr>
              <w:widowControl/>
              <w:spacing w:line="240" w:lineRule="auto"/>
              <w:ind w:firstLineChars="0" w:firstLine="0"/>
              <w:jc w:val="center"/>
            </w:pPr>
            <w:r>
              <w:rPr>
                <w:rFonts w:hint="eastAsia"/>
              </w:rPr>
              <w:t>不驻场</w:t>
            </w:r>
          </w:p>
        </w:tc>
      </w:tr>
      <w:tr w:rsidR="00427CFC">
        <w:trPr>
          <w:trHeight w:val="285"/>
          <w:jc w:val="center"/>
        </w:trPr>
        <w:tc>
          <w:tcPr>
            <w:tcW w:w="0" w:type="auto"/>
            <w:shd w:val="clear" w:color="auto" w:fill="auto"/>
            <w:noWrap/>
            <w:vAlign w:val="center"/>
          </w:tcPr>
          <w:p w:rsidR="00427CFC" w:rsidRDefault="004220DA">
            <w:pPr>
              <w:widowControl/>
              <w:spacing w:line="240" w:lineRule="auto"/>
              <w:ind w:firstLineChars="0" w:firstLine="0"/>
              <w:jc w:val="center"/>
            </w:pPr>
            <w:r>
              <w:rPr>
                <w:rFonts w:hint="eastAsia"/>
              </w:rPr>
              <w:t>核心研发人员</w:t>
            </w:r>
          </w:p>
        </w:tc>
        <w:tc>
          <w:tcPr>
            <w:tcW w:w="0" w:type="auto"/>
            <w:shd w:val="clear" w:color="auto" w:fill="auto"/>
            <w:noWrap/>
            <w:vAlign w:val="center"/>
          </w:tcPr>
          <w:p w:rsidR="00427CFC" w:rsidRDefault="004220DA">
            <w:pPr>
              <w:widowControl/>
              <w:spacing w:line="240" w:lineRule="auto"/>
              <w:ind w:firstLineChars="0" w:firstLine="0"/>
              <w:jc w:val="center"/>
            </w:pPr>
            <w:r>
              <w:rPr>
                <w:rFonts w:hint="eastAsia"/>
              </w:rPr>
              <w:t>负责项目具体开发</w:t>
            </w:r>
          </w:p>
        </w:tc>
        <w:tc>
          <w:tcPr>
            <w:tcW w:w="0" w:type="auto"/>
            <w:shd w:val="clear" w:color="auto" w:fill="auto"/>
            <w:noWrap/>
            <w:vAlign w:val="center"/>
          </w:tcPr>
          <w:p w:rsidR="00427CFC" w:rsidRDefault="009641E3">
            <w:pPr>
              <w:widowControl/>
              <w:spacing w:line="240" w:lineRule="auto"/>
              <w:ind w:firstLineChars="0" w:firstLine="0"/>
              <w:jc w:val="center"/>
            </w:pPr>
            <w:r>
              <w:rPr>
                <w:rFonts w:hint="eastAsia"/>
              </w:rPr>
              <w:t>8</w:t>
            </w:r>
            <w:r w:rsidR="004220DA">
              <w:rPr>
                <w:rFonts w:hint="eastAsia"/>
              </w:rPr>
              <w:t>人</w:t>
            </w:r>
          </w:p>
        </w:tc>
        <w:tc>
          <w:tcPr>
            <w:tcW w:w="1430" w:type="dxa"/>
            <w:vAlign w:val="center"/>
          </w:tcPr>
          <w:p w:rsidR="00427CFC" w:rsidRDefault="004220DA">
            <w:pPr>
              <w:widowControl/>
              <w:spacing w:line="240" w:lineRule="auto"/>
              <w:ind w:firstLineChars="0" w:firstLine="0"/>
              <w:jc w:val="center"/>
            </w:pPr>
            <w:r>
              <w:rPr>
                <w:rFonts w:hint="eastAsia"/>
                <w:sz w:val="21"/>
                <w:szCs w:val="21"/>
              </w:rPr>
              <w:t>专科以上学历</w:t>
            </w:r>
          </w:p>
        </w:tc>
        <w:tc>
          <w:tcPr>
            <w:tcW w:w="0" w:type="auto"/>
            <w:shd w:val="clear" w:color="auto" w:fill="auto"/>
            <w:noWrap/>
            <w:vAlign w:val="center"/>
          </w:tcPr>
          <w:p w:rsidR="00427CFC" w:rsidRDefault="004220DA">
            <w:pPr>
              <w:widowControl/>
              <w:spacing w:line="240" w:lineRule="auto"/>
              <w:ind w:firstLineChars="0" w:firstLine="0"/>
              <w:jc w:val="center"/>
            </w:pPr>
            <w:r>
              <w:rPr>
                <w:rFonts w:hint="eastAsia"/>
              </w:rPr>
              <w:t>不驻场</w:t>
            </w:r>
          </w:p>
        </w:tc>
      </w:tr>
      <w:tr w:rsidR="00427CFC">
        <w:trPr>
          <w:trHeight w:val="285"/>
          <w:jc w:val="center"/>
        </w:trPr>
        <w:tc>
          <w:tcPr>
            <w:tcW w:w="0" w:type="auto"/>
            <w:shd w:val="clear" w:color="auto" w:fill="auto"/>
            <w:noWrap/>
            <w:vAlign w:val="center"/>
          </w:tcPr>
          <w:p w:rsidR="00427CFC" w:rsidRDefault="004220DA">
            <w:pPr>
              <w:widowControl/>
              <w:spacing w:line="240" w:lineRule="auto"/>
              <w:ind w:firstLineChars="0" w:firstLine="0"/>
              <w:jc w:val="center"/>
            </w:pPr>
            <w:r>
              <w:rPr>
                <w:rFonts w:hint="eastAsia"/>
              </w:rPr>
              <w:t>开发工程师</w:t>
            </w:r>
          </w:p>
        </w:tc>
        <w:tc>
          <w:tcPr>
            <w:tcW w:w="0" w:type="auto"/>
            <w:shd w:val="clear" w:color="auto" w:fill="auto"/>
            <w:noWrap/>
            <w:vAlign w:val="center"/>
          </w:tcPr>
          <w:p w:rsidR="00427CFC" w:rsidRDefault="004220DA">
            <w:pPr>
              <w:widowControl/>
              <w:spacing w:line="240" w:lineRule="auto"/>
              <w:ind w:firstLineChars="0" w:firstLine="0"/>
              <w:jc w:val="center"/>
            </w:pPr>
            <w:r>
              <w:rPr>
                <w:rFonts w:hint="eastAsia"/>
              </w:rPr>
              <w:t>负责项目具体开发与实施</w:t>
            </w:r>
          </w:p>
        </w:tc>
        <w:tc>
          <w:tcPr>
            <w:tcW w:w="0" w:type="auto"/>
            <w:shd w:val="clear" w:color="auto" w:fill="auto"/>
            <w:noWrap/>
            <w:vAlign w:val="center"/>
          </w:tcPr>
          <w:p w:rsidR="00427CFC" w:rsidRDefault="004220DA">
            <w:pPr>
              <w:widowControl/>
              <w:spacing w:line="240" w:lineRule="auto"/>
              <w:ind w:firstLineChars="0" w:firstLine="0"/>
              <w:jc w:val="center"/>
            </w:pPr>
            <w:r>
              <w:rPr>
                <w:rFonts w:hint="eastAsia"/>
              </w:rPr>
              <w:t>10人</w:t>
            </w:r>
          </w:p>
        </w:tc>
        <w:tc>
          <w:tcPr>
            <w:tcW w:w="1430" w:type="dxa"/>
            <w:vAlign w:val="center"/>
          </w:tcPr>
          <w:p w:rsidR="00427CFC" w:rsidRDefault="004220DA">
            <w:pPr>
              <w:widowControl/>
              <w:spacing w:line="240" w:lineRule="auto"/>
              <w:ind w:firstLineChars="0" w:firstLine="0"/>
              <w:jc w:val="center"/>
              <w:rPr>
                <w:sz w:val="21"/>
                <w:szCs w:val="21"/>
              </w:rPr>
            </w:pPr>
            <w:r>
              <w:rPr>
                <w:rFonts w:hint="eastAsia"/>
                <w:sz w:val="21"/>
                <w:szCs w:val="21"/>
              </w:rPr>
              <w:t>专科以上学历</w:t>
            </w:r>
          </w:p>
        </w:tc>
        <w:tc>
          <w:tcPr>
            <w:tcW w:w="0" w:type="auto"/>
            <w:shd w:val="clear" w:color="auto" w:fill="auto"/>
            <w:noWrap/>
            <w:vAlign w:val="center"/>
          </w:tcPr>
          <w:p w:rsidR="00427CFC" w:rsidRDefault="004220DA">
            <w:pPr>
              <w:widowControl/>
              <w:spacing w:line="240" w:lineRule="auto"/>
              <w:ind w:firstLineChars="0" w:firstLine="0"/>
              <w:jc w:val="center"/>
            </w:pPr>
            <w:r>
              <w:rPr>
                <w:rFonts w:hint="eastAsia"/>
              </w:rPr>
              <w:t>不驻场</w:t>
            </w:r>
          </w:p>
        </w:tc>
      </w:tr>
      <w:tr w:rsidR="00427CFC">
        <w:trPr>
          <w:trHeight w:val="285"/>
          <w:jc w:val="center"/>
        </w:trPr>
        <w:tc>
          <w:tcPr>
            <w:tcW w:w="0" w:type="auto"/>
            <w:shd w:val="clear" w:color="auto" w:fill="auto"/>
            <w:noWrap/>
            <w:vAlign w:val="center"/>
          </w:tcPr>
          <w:p w:rsidR="00427CFC" w:rsidRDefault="004220DA">
            <w:pPr>
              <w:widowControl/>
              <w:spacing w:line="240" w:lineRule="auto"/>
              <w:ind w:firstLineChars="0" w:firstLine="0"/>
              <w:jc w:val="center"/>
              <w:rPr>
                <w:sz w:val="21"/>
                <w:szCs w:val="21"/>
              </w:rPr>
            </w:pPr>
            <w:r>
              <w:rPr>
                <w:rFonts w:hint="eastAsia"/>
                <w:sz w:val="21"/>
                <w:szCs w:val="21"/>
              </w:rPr>
              <w:t>测试工程师</w:t>
            </w:r>
          </w:p>
        </w:tc>
        <w:tc>
          <w:tcPr>
            <w:tcW w:w="0" w:type="auto"/>
            <w:shd w:val="clear" w:color="auto" w:fill="auto"/>
            <w:noWrap/>
            <w:vAlign w:val="center"/>
          </w:tcPr>
          <w:p w:rsidR="00427CFC" w:rsidRDefault="004220DA">
            <w:pPr>
              <w:widowControl/>
              <w:spacing w:line="240" w:lineRule="auto"/>
              <w:ind w:firstLineChars="0" w:firstLine="0"/>
              <w:jc w:val="center"/>
              <w:rPr>
                <w:sz w:val="21"/>
                <w:szCs w:val="21"/>
              </w:rPr>
            </w:pPr>
            <w:r>
              <w:rPr>
                <w:rFonts w:hint="eastAsia"/>
                <w:sz w:val="21"/>
                <w:szCs w:val="21"/>
              </w:rPr>
              <w:t>负责系统测试工作</w:t>
            </w:r>
          </w:p>
        </w:tc>
        <w:tc>
          <w:tcPr>
            <w:tcW w:w="0" w:type="auto"/>
            <w:shd w:val="clear" w:color="auto" w:fill="auto"/>
            <w:noWrap/>
            <w:vAlign w:val="center"/>
          </w:tcPr>
          <w:p w:rsidR="00427CFC" w:rsidRDefault="004220DA">
            <w:pPr>
              <w:widowControl/>
              <w:spacing w:line="240" w:lineRule="auto"/>
              <w:ind w:firstLineChars="0" w:firstLine="0"/>
              <w:jc w:val="center"/>
            </w:pPr>
            <w:r>
              <w:rPr>
                <w:rFonts w:hint="eastAsia"/>
              </w:rPr>
              <w:t>2人</w:t>
            </w:r>
          </w:p>
        </w:tc>
        <w:tc>
          <w:tcPr>
            <w:tcW w:w="1430" w:type="dxa"/>
            <w:vAlign w:val="center"/>
          </w:tcPr>
          <w:p w:rsidR="00427CFC" w:rsidRDefault="004220DA">
            <w:pPr>
              <w:widowControl/>
              <w:spacing w:line="240" w:lineRule="auto"/>
              <w:ind w:firstLineChars="0" w:firstLine="0"/>
              <w:jc w:val="center"/>
              <w:rPr>
                <w:sz w:val="21"/>
                <w:szCs w:val="21"/>
              </w:rPr>
            </w:pPr>
            <w:r>
              <w:rPr>
                <w:rFonts w:hint="eastAsia"/>
                <w:sz w:val="21"/>
                <w:szCs w:val="21"/>
              </w:rPr>
              <w:t>专科以上学历</w:t>
            </w:r>
          </w:p>
        </w:tc>
        <w:tc>
          <w:tcPr>
            <w:tcW w:w="0" w:type="auto"/>
            <w:shd w:val="clear" w:color="auto" w:fill="auto"/>
            <w:noWrap/>
            <w:vAlign w:val="center"/>
          </w:tcPr>
          <w:p w:rsidR="00427CFC" w:rsidRDefault="004220DA">
            <w:pPr>
              <w:widowControl/>
              <w:spacing w:line="240" w:lineRule="auto"/>
              <w:ind w:firstLineChars="0" w:firstLine="0"/>
              <w:jc w:val="center"/>
            </w:pPr>
            <w:r>
              <w:rPr>
                <w:rFonts w:hint="eastAsia"/>
              </w:rPr>
              <w:t>不驻场</w:t>
            </w:r>
          </w:p>
        </w:tc>
      </w:tr>
      <w:tr w:rsidR="00427CFC">
        <w:trPr>
          <w:trHeight w:val="285"/>
          <w:jc w:val="center"/>
        </w:trPr>
        <w:tc>
          <w:tcPr>
            <w:tcW w:w="0" w:type="auto"/>
            <w:shd w:val="clear" w:color="auto" w:fill="auto"/>
            <w:noWrap/>
            <w:vAlign w:val="center"/>
          </w:tcPr>
          <w:p w:rsidR="00427CFC" w:rsidRDefault="004220DA">
            <w:pPr>
              <w:widowControl/>
              <w:spacing w:line="240" w:lineRule="auto"/>
              <w:ind w:firstLineChars="0" w:firstLine="0"/>
              <w:jc w:val="center"/>
              <w:rPr>
                <w:rFonts w:ascii="仿宋" w:hAnsi="仿宋" w:cs="仿宋"/>
                <w:kern w:val="0"/>
                <w:szCs w:val="28"/>
              </w:rPr>
            </w:pPr>
            <w:r>
              <w:rPr>
                <w:rFonts w:hint="eastAsia"/>
              </w:rPr>
              <w:lastRenderedPageBreak/>
              <w:t>产品需求人员</w:t>
            </w:r>
          </w:p>
        </w:tc>
        <w:tc>
          <w:tcPr>
            <w:tcW w:w="0" w:type="auto"/>
            <w:shd w:val="clear" w:color="auto" w:fill="auto"/>
            <w:noWrap/>
            <w:vAlign w:val="center"/>
          </w:tcPr>
          <w:p w:rsidR="00427CFC" w:rsidRDefault="004220DA">
            <w:pPr>
              <w:widowControl/>
              <w:spacing w:line="240" w:lineRule="auto"/>
              <w:ind w:firstLineChars="0" w:firstLine="0"/>
              <w:jc w:val="center"/>
              <w:rPr>
                <w:rFonts w:ascii="仿宋" w:eastAsia="仿宋" w:hAnsi="仿宋" w:cs="仿宋"/>
                <w:kern w:val="0"/>
                <w:szCs w:val="28"/>
              </w:rPr>
            </w:pPr>
            <w:r>
              <w:rPr>
                <w:rFonts w:hint="eastAsia"/>
              </w:rPr>
              <w:t>负责项目需求评估与产品设计</w:t>
            </w:r>
          </w:p>
        </w:tc>
        <w:tc>
          <w:tcPr>
            <w:tcW w:w="0" w:type="auto"/>
            <w:shd w:val="clear" w:color="auto" w:fill="auto"/>
            <w:noWrap/>
            <w:vAlign w:val="center"/>
          </w:tcPr>
          <w:p w:rsidR="00427CFC" w:rsidRDefault="004220DA">
            <w:pPr>
              <w:widowControl/>
              <w:spacing w:line="240" w:lineRule="auto"/>
              <w:ind w:firstLineChars="0" w:firstLine="0"/>
              <w:jc w:val="center"/>
            </w:pPr>
            <w:r>
              <w:rPr>
                <w:rFonts w:hint="eastAsia"/>
              </w:rPr>
              <w:t>3人</w:t>
            </w:r>
          </w:p>
        </w:tc>
        <w:tc>
          <w:tcPr>
            <w:tcW w:w="1430" w:type="dxa"/>
            <w:vAlign w:val="center"/>
          </w:tcPr>
          <w:p w:rsidR="00427CFC" w:rsidRDefault="004220DA">
            <w:pPr>
              <w:widowControl/>
              <w:spacing w:line="240" w:lineRule="auto"/>
              <w:ind w:firstLineChars="0" w:firstLine="0"/>
              <w:jc w:val="center"/>
              <w:rPr>
                <w:rFonts w:ascii="仿宋" w:eastAsia="仿宋" w:hAnsi="仿宋" w:cs="仿宋"/>
                <w:kern w:val="0"/>
                <w:szCs w:val="28"/>
              </w:rPr>
            </w:pPr>
            <w:r>
              <w:rPr>
                <w:rFonts w:hint="eastAsia"/>
                <w:sz w:val="21"/>
                <w:szCs w:val="21"/>
              </w:rPr>
              <w:t>专科以上学历</w:t>
            </w:r>
          </w:p>
        </w:tc>
        <w:tc>
          <w:tcPr>
            <w:tcW w:w="0" w:type="auto"/>
            <w:shd w:val="clear" w:color="auto" w:fill="auto"/>
            <w:noWrap/>
            <w:vAlign w:val="center"/>
          </w:tcPr>
          <w:p w:rsidR="00427CFC" w:rsidRDefault="004220DA">
            <w:pPr>
              <w:widowControl/>
              <w:spacing w:line="240" w:lineRule="auto"/>
              <w:ind w:firstLineChars="0" w:firstLine="0"/>
              <w:jc w:val="center"/>
            </w:pPr>
            <w:r>
              <w:rPr>
                <w:rFonts w:hint="eastAsia"/>
              </w:rPr>
              <w:t>不驻场</w:t>
            </w:r>
          </w:p>
        </w:tc>
      </w:tr>
    </w:tbl>
    <w:p w:rsidR="00427CFC" w:rsidRDefault="004220DA">
      <w:r>
        <w:t>2）投标人应针对本项目提供不少于</w:t>
      </w:r>
      <w:r>
        <w:rPr>
          <w:rFonts w:hint="eastAsia"/>
          <w:color w:val="FF0000"/>
        </w:rPr>
        <w:t>5</w:t>
      </w:r>
      <w:r>
        <w:t>人的质</w:t>
      </w:r>
      <w:proofErr w:type="gramStart"/>
      <w:r>
        <w:t>保期间</w:t>
      </w:r>
      <w:proofErr w:type="gramEnd"/>
      <w:r>
        <w:t>支撑团队（其中</w:t>
      </w:r>
      <w:r>
        <w:rPr>
          <w:rFonts w:hint="eastAsia"/>
        </w:rPr>
        <w:t>项目</w:t>
      </w:r>
      <w:r>
        <w:t>经理</w:t>
      </w:r>
      <w:r>
        <w:rPr>
          <w:rFonts w:hint="eastAsia"/>
        </w:rPr>
        <w:t>1</w:t>
      </w:r>
      <w:r>
        <w:t>人，</w:t>
      </w:r>
      <w:r>
        <w:rPr>
          <w:rFonts w:hint="eastAsia"/>
        </w:rPr>
        <w:t>技术负责人1</w:t>
      </w:r>
      <w:r>
        <w:t>人，技术工程师不少于</w:t>
      </w:r>
      <w:r>
        <w:rPr>
          <w:rFonts w:hint="eastAsia"/>
        </w:rPr>
        <w:t>3</w:t>
      </w:r>
      <w:r>
        <w:t>人）；</w:t>
      </w:r>
      <w:r>
        <w:rPr>
          <w:rFonts w:hint="eastAsia"/>
        </w:rPr>
        <w:t>质保期支撑团队成员应从项目建设团队中选取符合相应资格要求的人员</w:t>
      </w:r>
      <w: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6"/>
        <w:gridCol w:w="3199"/>
        <w:gridCol w:w="1180"/>
        <w:gridCol w:w="1553"/>
        <w:gridCol w:w="1180"/>
      </w:tblGrid>
      <w:tr w:rsidR="00427CFC">
        <w:trPr>
          <w:trHeight w:val="285"/>
          <w:jc w:val="center"/>
        </w:trPr>
        <w:tc>
          <w:tcPr>
            <w:tcW w:w="0" w:type="auto"/>
            <w:shd w:val="clear" w:color="auto" w:fill="auto"/>
            <w:noWrap/>
            <w:vAlign w:val="center"/>
          </w:tcPr>
          <w:p w:rsidR="00427CFC" w:rsidRDefault="004220DA">
            <w:pPr>
              <w:widowControl/>
              <w:spacing w:line="240" w:lineRule="auto"/>
              <w:ind w:firstLineChars="0" w:firstLine="0"/>
              <w:jc w:val="center"/>
              <w:rPr>
                <w:b/>
              </w:rPr>
            </w:pPr>
            <w:r>
              <w:rPr>
                <w:rFonts w:hint="eastAsia"/>
                <w:b/>
              </w:rPr>
              <w:t>角色</w:t>
            </w:r>
          </w:p>
        </w:tc>
        <w:tc>
          <w:tcPr>
            <w:tcW w:w="0" w:type="auto"/>
            <w:shd w:val="clear" w:color="auto" w:fill="auto"/>
            <w:noWrap/>
            <w:vAlign w:val="center"/>
          </w:tcPr>
          <w:p w:rsidR="00427CFC" w:rsidRDefault="004220DA">
            <w:pPr>
              <w:widowControl/>
              <w:spacing w:line="240" w:lineRule="auto"/>
              <w:ind w:firstLineChars="0" w:firstLine="0"/>
              <w:jc w:val="center"/>
              <w:rPr>
                <w:b/>
              </w:rPr>
            </w:pPr>
            <w:r>
              <w:rPr>
                <w:rFonts w:hint="eastAsia"/>
                <w:b/>
              </w:rPr>
              <w:t>主要职责</w:t>
            </w:r>
          </w:p>
        </w:tc>
        <w:tc>
          <w:tcPr>
            <w:tcW w:w="0" w:type="auto"/>
            <w:shd w:val="clear" w:color="auto" w:fill="auto"/>
            <w:noWrap/>
            <w:vAlign w:val="center"/>
          </w:tcPr>
          <w:p w:rsidR="00427CFC" w:rsidRDefault="004220DA">
            <w:pPr>
              <w:widowControl/>
              <w:spacing w:line="240" w:lineRule="auto"/>
              <w:ind w:firstLineChars="0" w:firstLine="0"/>
              <w:jc w:val="center"/>
              <w:rPr>
                <w:b/>
              </w:rPr>
            </w:pPr>
            <w:r>
              <w:rPr>
                <w:rFonts w:hint="eastAsia"/>
                <w:b/>
              </w:rPr>
              <w:t>人员数量</w:t>
            </w:r>
          </w:p>
        </w:tc>
        <w:tc>
          <w:tcPr>
            <w:tcW w:w="0" w:type="auto"/>
            <w:vAlign w:val="center"/>
          </w:tcPr>
          <w:p w:rsidR="00427CFC" w:rsidRDefault="004220DA">
            <w:pPr>
              <w:widowControl/>
              <w:spacing w:line="240" w:lineRule="auto"/>
              <w:ind w:firstLineChars="0" w:firstLine="0"/>
              <w:jc w:val="center"/>
              <w:rPr>
                <w:b/>
              </w:rPr>
            </w:pPr>
            <w:r>
              <w:rPr>
                <w:rFonts w:hint="eastAsia"/>
                <w:b/>
              </w:rPr>
              <w:t>人员要求</w:t>
            </w:r>
          </w:p>
        </w:tc>
        <w:tc>
          <w:tcPr>
            <w:tcW w:w="0" w:type="auto"/>
            <w:shd w:val="clear" w:color="auto" w:fill="auto"/>
            <w:noWrap/>
            <w:vAlign w:val="center"/>
          </w:tcPr>
          <w:p w:rsidR="00427CFC" w:rsidRDefault="004220DA">
            <w:pPr>
              <w:widowControl/>
              <w:spacing w:line="240" w:lineRule="auto"/>
              <w:ind w:firstLineChars="0" w:firstLine="0"/>
              <w:jc w:val="center"/>
              <w:rPr>
                <w:b/>
              </w:rPr>
            </w:pPr>
            <w:r>
              <w:rPr>
                <w:rFonts w:hint="eastAsia"/>
                <w:b/>
              </w:rPr>
              <w:t>驻场要求</w:t>
            </w:r>
          </w:p>
        </w:tc>
      </w:tr>
      <w:tr w:rsidR="00427CFC">
        <w:trPr>
          <w:trHeight w:val="285"/>
          <w:jc w:val="center"/>
        </w:trPr>
        <w:tc>
          <w:tcPr>
            <w:tcW w:w="0" w:type="auto"/>
            <w:shd w:val="clear" w:color="auto" w:fill="auto"/>
            <w:noWrap/>
            <w:vAlign w:val="center"/>
          </w:tcPr>
          <w:p w:rsidR="00427CFC" w:rsidRDefault="004220DA">
            <w:pPr>
              <w:widowControl/>
              <w:spacing w:line="240" w:lineRule="auto"/>
              <w:ind w:firstLineChars="0" w:firstLine="0"/>
              <w:jc w:val="center"/>
            </w:pPr>
            <w:r>
              <w:rPr>
                <w:rFonts w:hint="eastAsia"/>
              </w:rPr>
              <w:t>项目经理</w:t>
            </w:r>
          </w:p>
        </w:tc>
        <w:tc>
          <w:tcPr>
            <w:tcW w:w="0" w:type="auto"/>
            <w:shd w:val="clear" w:color="auto" w:fill="auto"/>
            <w:vAlign w:val="center"/>
          </w:tcPr>
          <w:p w:rsidR="00427CFC" w:rsidRDefault="004220DA">
            <w:pPr>
              <w:widowControl/>
              <w:spacing w:line="240" w:lineRule="auto"/>
              <w:ind w:firstLineChars="0" w:firstLine="0"/>
              <w:jc w:val="center"/>
            </w:pPr>
            <w:r>
              <w:rPr>
                <w:rFonts w:hint="eastAsia"/>
              </w:rPr>
              <w:t>负责项目质量和进度控制</w:t>
            </w:r>
          </w:p>
        </w:tc>
        <w:tc>
          <w:tcPr>
            <w:tcW w:w="0" w:type="auto"/>
            <w:shd w:val="clear" w:color="auto" w:fill="auto"/>
            <w:noWrap/>
            <w:vAlign w:val="center"/>
          </w:tcPr>
          <w:p w:rsidR="00427CFC" w:rsidRDefault="004220DA">
            <w:pPr>
              <w:widowControl/>
              <w:spacing w:line="240" w:lineRule="auto"/>
              <w:ind w:firstLineChars="0" w:firstLine="0"/>
              <w:jc w:val="center"/>
            </w:pPr>
            <w:r>
              <w:rPr>
                <w:rFonts w:hint="eastAsia"/>
              </w:rPr>
              <w:t>1人</w:t>
            </w:r>
          </w:p>
        </w:tc>
        <w:tc>
          <w:tcPr>
            <w:tcW w:w="1553" w:type="dxa"/>
            <w:vAlign w:val="center"/>
          </w:tcPr>
          <w:p w:rsidR="00427CFC" w:rsidRDefault="004220DA">
            <w:pPr>
              <w:widowControl/>
              <w:spacing w:line="240" w:lineRule="auto"/>
              <w:ind w:firstLineChars="0" w:firstLine="0"/>
              <w:jc w:val="center"/>
            </w:pPr>
            <w:r>
              <w:rPr>
                <w:rFonts w:hint="eastAsia"/>
                <w:sz w:val="21"/>
                <w:szCs w:val="21"/>
              </w:rPr>
              <w:t>本科及以上学历，具备信息系统项目管理师</w:t>
            </w:r>
            <w:r w:rsidR="00B569F6">
              <w:rPr>
                <w:rFonts w:hint="eastAsia"/>
                <w:sz w:val="21"/>
                <w:szCs w:val="21"/>
              </w:rPr>
              <w:t>（高级）</w:t>
            </w:r>
            <w:r>
              <w:rPr>
                <w:rFonts w:hint="eastAsia"/>
                <w:sz w:val="21"/>
                <w:szCs w:val="21"/>
              </w:rPr>
              <w:t>证书</w:t>
            </w:r>
          </w:p>
        </w:tc>
        <w:tc>
          <w:tcPr>
            <w:tcW w:w="0" w:type="auto"/>
            <w:shd w:val="clear" w:color="auto" w:fill="auto"/>
            <w:noWrap/>
            <w:vAlign w:val="center"/>
          </w:tcPr>
          <w:p w:rsidR="00427CFC" w:rsidRDefault="004220DA">
            <w:pPr>
              <w:widowControl/>
              <w:spacing w:line="240" w:lineRule="auto"/>
              <w:ind w:firstLineChars="0" w:firstLine="0"/>
              <w:jc w:val="center"/>
            </w:pPr>
            <w:r>
              <w:rPr>
                <w:rFonts w:hint="eastAsia"/>
              </w:rPr>
              <w:t>不驻场</w:t>
            </w:r>
          </w:p>
        </w:tc>
      </w:tr>
      <w:tr w:rsidR="00427CFC">
        <w:trPr>
          <w:trHeight w:val="285"/>
          <w:jc w:val="center"/>
        </w:trPr>
        <w:tc>
          <w:tcPr>
            <w:tcW w:w="0" w:type="auto"/>
            <w:shd w:val="clear" w:color="auto" w:fill="auto"/>
            <w:noWrap/>
            <w:vAlign w:val="center"/>
          </w:tcPr>
          <w:p w:rsidR="00427CFC" w:rsidRDefault="004220DA">
            <w:pPr>
              <w:widowControl/>
              <w:spacing w:line="240" w:lineRule="auto"/>
              <w:ind w:firstLineChars="0" w:firstLine="0"/>
              <w:jc w:val="center"/>
            </w:pPr>
            <w:r>
              <w:rPr>
                <w:rFonts w:hint="eastAsia"/>
              </w:rPr>
              <w:t>技术负责人</w:t>
            </w:r>
          </w:p>
        </w:tc>
        <w:tc>
          <w:tcPr>
            <w:tcW w:w="0" w:type="auto"/>
            <w:shd w:val="clear" w:color="auto" w:fill="auto"/>
            <w:vAlign w:val="center"/>
          </w:tcPr>
          <w:p w:rsidR="00427CFC" w:rsidRDefault="004220DA">
            <w:pPr>
              <w:widowControl/>
              <w:spacing w:line="240" w:lineRule="auto"/>
              <w:ind w:firstLineChars="0" w:firstLine="0"/>
              <w:jc w:val="center"/>
            </w:pPr>
            <w:r>
              <w:rPr>
                <w:rFonts w:hint="eastAsia"/>
              </w:rPr>
              <w:t>负责项目需求评估与系统设计</w:t>
            </w:r>
          </w:p>
        </w:tc>
        <w:tc>
          <w:tcPr>
            <w:tcW w:w="0" w:type="auto"/>
            <w:shd w:val="clear" w:color="auto" w:fill="auto"/>
            <w:noWrap/>
            <w:vAlign w:val="center"/>
          </w:tcPr>
          <w:p w:rsidR="00427CFC" w:rsidRDefault="004220DA">
            <w:pPr>
              <w:widowControl/>
              <w:spacing w:line="240" w:lineRule="auto"/>
              <w:ind w:firstLineChars="0" w:firstLine="0"/>
              <w:jc w:val="center"/>
            </w:pPr>
            <w:r>
              <w:rPr>
                <w:rFonts w:hint="eastAsia"/>
              </w:rPr>
              <w:t>1人</w:t>
            </w:r>
          </w:p>
        </w:tc>
        <w:tc>
          <w:tcPr>
            <w:tcW w:w="1553" w:type="dxa"/>
            <w:vAlign w:val="center"/>
          </w:tcPr>
          <w:p w:rsidR="00427CFC" w:rsidRDefault="004220DA" w:rsidP="006D6AA6">
            <w:pPr>
              <w:widowControl/>
              <w:spacing w:line="240" w:lineRule="auto"/>
              <w:ind w:firstLineChars="0" w:firstLine="0"/>
              <w:jc w:val="center"/>
            </w:pPr>
            <w:r>
              <w:rPr>
                <w:rFonts w:hint="eastAsia"/>
                <w:sz w:val="21"/>
                <w:szCs w:val="21"/>
              </w:rPr>
              <w:t>本科以上学历，</w:t>
            </w:r>
            <w:r w:rsidR="009641E3" w:rsidRPr="008B4A4E">
              <w:rPr>
                <w:rFonts w:hint="eastAsia"/>
                <w:sz w:val="21"/>
                <w:szCs w:val="21"/>
              </w:rPr>
              <w:t>具备</w:t>
            </w:r>
            <w:r w:rsidR="00064456" w:rsidRPr="008B4A4E">
              <w:rPr>
                <w:rFonts w:hint="eastAsia"/>
                <w:sz w:val="21"/>
                <w:szCs w:val="21"/>
              </w:rPr>
              <w:t>系统架构设计师</w:t>
            </w:r>
            <w:r w:rsidR="000864B0">
              <w:rPr>
                <w:rFonts w:hint="eastAsia"/>
                <w:sz w:val="21"/>
                <w:szCs w:val="21"/>
              </w:rPr>
              <w:t>（</w:t>
            </w:r>
            <w:r w:rsidR="00064456" w:rsidRPr="008B4A4E">
              <w:rPr>
                <w:rFonts w:hint="eastAsia"/>
                <w:sz w:val="21"/>
                <w:szCs w:val="21"/>
              </w:rPr>
              <w:t>高级</w:t>
            </w:r>
            <w:r w:rsidR="000864B0">
              <w:rPr>
                <w:rFonts w:hint="eastAsia"/>
                <w:sz w:val="21"/>
                <w:szCs w:val="21"/>
              </w:rPr>
              <w:t>）</w:t>
            </w:r>
            <w:r w:rsidR="00064456" w:rsidRPr="008B4A4E">
              <w:rPr>
                <w:rFonts w:hint="eastAsia"/>
                <w:sz w:val="21"/>
                <w:szCs w:val="21"/>
              </w:rPr>
              <w:t>证书</w:t>
            </w:r>
          </w:p>
        </w:tc>
        <w:tc>
          <w:tcPr>
            <w:tcW w:w="0" w:type="auto"/>
            <w:shd w:val="clear" w:color="auto" w:fill="auto"/>
            <w:noWrap/>
            <w:vAlign w:val="center"/>
          </w:tcPr>
          <w:p w:rsidR="00427CFC" w:rsidRDefault="004220DA">
            <w:pPr>
              <w:widowControl/>
              <w:spacing w:line="240" w:lineRule="auto"/>
              <w:ind w:firstLineChars="0" w:firstLine="0"/>
              <w:jc w:val="center"/>
            </w:pPr>
            <w:r>
              <w:rPr>
                <w:rFonts w:hint="eastAsia"/>
              </w:rPr>
              <w:t>不驻场</w:t>
            </w:r>
          </w:p>
        </w:tc>
      </w:tr>
      <w:tr w:rsidR="00427CFC">
        <w:trPr>
          <w:trHeight w:val="285"/>
          <w:jc w:val="center"/>
        </w:trPr>
        <w:tc>
          <w:tcPr>
            <w:tcW w:w="0" w:type="auto"/>
            <w:shd w:val="clear" w:color="auto" w:fill="auto"/>
            <w:noWrap/>
            <w:vAlign w:val="center"/>
          </w:tcPr>
          <w:p w:rsidR="00427CFC" w:rsidRDefault="004220DA">
            <w:pPr>
              <w:widowControl/>
              <w:spacing w:line="240" w:lineRule="auto"/>
              <w:ind w:firstLineChars="0" w:firstLine="0"/>
              <w:jc w:val="center"/>
            </w:pPr>
            <w:r>
              <w:rPr>
                <w:rFonts w:hint="eastAsia"/>
              </w:rPr>
              <w:t>技术工程师</w:t>
            </w:r>
          </w:p>
        </w:tc>
        <w:tc>
          <w:tcPr>
            <w:tcW w:w="0" w:type="auto"/>
            <w:shd w:val="clear" w:color="auto" w:fill="auto"/>
            <w:noWrap/>
            <w:vAlign w:val="center"/>
          </w:tcPr>
          <w:p w:rsidR="00427CFC" w:rsidRDefault="004220DA">
            <w:pPr>
              <w:widowControl/>
              <w:spacing w:line="240" w:lineRule="auto"/>
              <w:ind w:firstLineChars="0" w:firstLine="0"/>
              <w:jc w:val="center"/>
            </w:pPr>
            <w:r>
              <w:rPr>
                <w:rFonts w:hint="eastAsia"/>
              </w:rPr>
              <w:t>负责项目运行维护</w:t>
            </w:r>
          </w:p>
        </w:tc>
        <w:tc>
          <w:tcPr>
            <w:tcW w:w="0" w:type="auto"/>
            <w:shd w:val="clear" w:color="auto" w:fill="auto"/>
            <w:noWrap/>
            <w:vAlign w:val="center"/>
          </w:tcPr>
          <w:p w:rsidR="00427CFC" w:rsidRDefault="004220DA">
            <w:pPr>
              <w:widowControl/>
              <w:spacing w:line="240" w:lineRule="auto"/>
              <w:ind w:firstLineChars="0" w:firstLine="0"/>
              <w:jc w:val="center"/>
            </w:pPr>
            <w:r>
              <w:rPr>
                <w:rFonts w:hint="eastAsia"/>
              </w:rPr>
              <w:t>3人</w:t>
            </w:r>
          </w:p>
        </w:tc>
        <w:tc>
          <w:tcPr>
            <w:tcW w:w="1553" w:type="dxa"/>
            <w:vAlign w:val="center"/>
          </w:tcPr>
          <w:p w:rsidR="00427CFC" w:rsidRDefault="004220DA">
            <w:pPr>
              <w:widowControl/>
              <w:spacing w:line="240" w:lineRule="auto"/>
              <w:ind w:firstLineChars="0" w:firstLine="0"/>
              <w:jc w:val="center"/>
            </w:pPr>
            <w:r>
              <w:rPr>
                <w:rFonts w:hint="eastAsia"/>
                <w:sz w:val="21"/>
                <w:szCs w:val="21"/>
              </w:rPr>
              <w:t>本科学历及以上且工作经验不少于三年</w:t>
            </w:r>
          </w:p>
        </w:tc>
        <w:tc>
          <w:tcPr>
            <w:tcW w:w="0" w:type="auto"/>
            <w:shd w:val="clear" w:color="auto" w:fill="auto"/>
            <w:noWrap/>
            <w:vAlign w:val="center"/>
          </w:tcPr>
          <w:p w:rsidR="00427CFC" w:rsidRDefault="004220DA">
            <w:pPr>
              <w:widowControl/>
              <w:spacing w:line="240" w:lineRule="auto"/>
              <w:ind w:firstLineChars="0" w:firstLine="0"/>
              <w:jc w:val="center"/>
            </w:pPr>
            <w:r>
              <w:rPr>
                <w:rFonts w:hint="eastAsia"/>
              </w:rPr>
              <w:t>不驻场</w:t>
            </w:r>
          </w:p>
        </w:tc>
      </w:tr>
    </w:tbl>
    <w:p w:rsidR="00427CFC" w:rsidRDefault="004220DA">
      <w:pPr>
        <w:pStyle w:val="2"/>
      </w:pPr>
      <w:r>
        <w:rPr>
          <w:rFonts w:hint="eastAsia"/>
        </w:rPr>
        <w:t>等级保护要求</w:t>
      </w:r>
    </w:p>
    <w:p w:rsidR="00427CFC" w:rsidRDefault="004220DA">
      <w:pPr>
        <w:rPr>
          <w:rStyle w:val="af7"/>
          <w:rFonts w:ascii="Times New Roman" w:eastAsia="仿宋" w:hAnsi="Times New Roman"/>
        </w:rPr>
      </w:pPr>
      <w:r>
        <w:rPr>
          <w:rFonts w:hint="eastAsia"/>
        </w:rPr>
        <w:t>本项目等级保护要求：</w:t>
      </w:r>
      <w:proofErr w:type="gramStart"/>
      <w:r>
        <w:rPr>
          <w:rFonts w:hint="eastAsia"/>
        </w:rPr>
        <w:t>按照等保</w:t>
      </w:r>
      <w:proofErr w:type="gramEnd"/>
      <w:r>
        <w:t>2.0</w:t>
      </w:r>
      <w:proofErr w:type="gramStart"/>
      <w:r>
        <w:rPr>
          <w:rFonts w:hint="eastAsia"/>
        </w:rPr>
        <w:t>三</w:t>
      </w:r>
      <w:proofErr w:type="gramEnd"/>
      <w:r>
        <w:rPr>
          <w:rFonts w:hint="eastAsia"/>
        </w:rPr>
        <w:t>级要求建设。</w:t>
      </w:r>
    </w:p>
    <w:p w:rsidR="00427CFC" w:rsidRDefault="004220DA">
      <w:pPr>
        <w:pStyle w:val="2"/>
      </w:pPr>
      <w:r>
        <w:rPr>
          <w:rFonts w:hint="eastAsia"/>
        </w:rPr>
        <w:t>密码应用需求</w:t>
      </w:r>
    </w:p>
    <w:p w:rsidR="00427CFC" w:rsidRDefault="004220DA">
      <w:pPr>
        <w:rPr>
          <w:rStyle w:val="af7"/>
          <w:rFonts w:ascii="Times New Roman" w:eastAsia="仿宋" w:hAnsi="Times New Roman"/>
        </w:rPr>
      </w:pPr>
      <w:r>
        <w:rPr>
          <w:rFonts w:hint="eastAsia"/>
        </w:rPr>
        <w:t>根据</w:t>
      </w:r>
      <w:r>
        <w:t>GB/T 39786—2021《信息安全技术信息系统密码应用基本要求》，从物理和环境安全、网络和通信安全、设备和计算安全、应用和数据安全、安全管理等层面，</w:t>
      </w:r>
      <w:r>
        <w:rPr>
          <w:rFonts w:hint="eastAsia"/>
        </w:rPr>
        <w:t>满足</w:t>
      </w:r>
      <w:r>
        <w:t>本系统密码应用需求</w:t>
      </w:r>
      <w:r>
        <w:rPr>
          <w:rFonts w:hint="eastAsia"/>
        </w:rPr>
        <w:t>，并通过测评</w:t>
      </w:r>
      <w:r>
        <w:t>。</w:t>
      </w:r>
    </w:p>
    <w:p w:rsidR="00427CFC" w:rsidRDefault="004220DA">
      <w:pPr>
        <w:pStyle w:val="2"/>
      </w:pPr>
      <w:bookmarkStart w:id="60" w:name="_Toc63785512"/>
      <w:r>
        <w:rPr>
          <w:rFonts w:hint="eastAsia"/>
        </w:rPr>
        <w:t>技术文件要求</w:t>
      </w:r>
    </w:p>
    <w:p w:rsidR="00427CFC" w:rsidRDefault="004220DA">
      <w:r>
        <w:rPr>
          <w:rFonts w:hint="eastAsia"/>
        </w:rPr>
        <w:t>投标人提供的书面技术资料应能确保系统正常运行所需的管理、运营及维护有关的全套文件。技术文件应该全面、完整、详细。投标人提供的技术文件至少应包括：</w:t>
      </w:r>
    </w:p>
    <w:p w:rsidR="00427CFC" w:rsidRDefault="004220DA">
      <w:r>
        <w:rPr>
          <w:rFonts w:hint="eastAsia"/>
        </w:rPr>
        <w:t>－</w:t>
      </w:r>
      <w:r>
        <w:t xml:space="preserve"> 系统说明文件； </w:t>
      </w:r>
    </w:p>
    <w:p w:rsidR="00427CFC" w:rsidRDefault="004220DA">
      <w:r>
        <w:rPr>
          <w:rFonts w:hint="eastAsia"/>
        </w:rPr>
        <w:t>－</w:t>
      </w:r>
      <w:r>
        <w:t xml:space="preserve"> 技术手册(安装、测试、操作、维护、故障排除等)； </w:t>
      </w:r>
    </w:p>
    <w:p w:rsidR="00427CFC" w:rsidRDefault="004220DA">
      <w:r>
        <w:rPr>
          <w:rFonts w:hint="eastAsia"/>
        </w:rPr>
        <w:t>－</w:t>
      </w:r>
      <w:r>
        <w:t xml:space="preserve"> 项目文档，应该包括：</w:t>
      </w:r>
    </w:p>
    <w:p w:rsidR="00427CFC" w:rsidRDefault="004220DA">
      <w:pPr>
        <w:ind w:left="360"/>
      </w:pPr>
      <w:r>
        <w:t>(1)软件需求说明书</w:t>
      </w:r>
    </w:p>
    <w:p w:rsidR="00427CFC" w:rsidRDefault="004220DA">
      <w:pPr>
        <w:ind w:left="360"/>
      </w:pPr>
      <w:r>
        <w:lastRenderedPageBreak/>
        <w:t>(2)</w:t>
      </w:r>
      <w:r>
        <w:tab/>
        <w:t>系统设计说明书</w:t>
      </w:r>
    </w:p>
    <w:p w:rsidR="00427CFC" w:rsidRDefault="004220DA">
      <w:pPr>
        <w:ind w:left="360"/>
      </w:pPr>
      <w:r>
        <w:t>(3)</w:t>
      </w:r>
      <w:r>
        <w:rPr>
          <w:rFonts w:hint="eastAsia"/>
        </w:rPr>
        <w:t>数据库设计说明书</w:t>
      </w:r>
    </w:p>
    <w:p w:rsidR="00427CFC" w:rsidRDefault="004220DA">
      <w:pPr>
        <w:ind w:left="360"/>
      </w:pPr>
      <w:r>
        <w:t>(4)</w:t>
      </w:r>
      <w:r>
        <w:tab/>
        <w:t>应用软件功能清单</w:t>
      </w:r>
    </w:p>
    <w:p w:rsidR="00427CFC" w:rsidRDefault="004220DA">
      <w:r>
        <w:rPr>
          <w:rFonts w:hint="eastAsia"/>
        </w:rPr>
        <w:t>提供全套技术文件纸介质</w:t>
      </w:r>
      <w:r>
        <w:t>3套以及电子文件1套。</w:t>
      </w:r>
    </w:p>
    <w:p w:rsidR="00427CFC" w:rsidRDefault="004220DA">
      <w:pPr>
        <w:pStyle w:val="1"/>
      </w:pPr>
      <w:r>
        <w:rPr>
          <w:rFonts w:hint="eastAsia"/>
        </w:rPr>
        <w:t>供应</w:t>
      </w:r>
      <w:proofErr w:type="gramStart"/>
      <w:r>
        <w:rPr>
          <w:rFonts w:hint="eastAsia"/>
        </w:rPr>
        <w:t>商管理</w:t>
      </w:r>
      <w:proofErr w:type="gramEnd"/>
      <w:r>
        <w:rPr>
          <w:rFonts w:hint="eastAsia"/>
        </w:rPr>
        <w:t>要求</w:t>
      </w:r>
      <w:bookmarkEnd w:id="60"/>
    </w:p>
    <w:p w:rsidR="00427CFC" w:rsidRDefault="004220DA">
      <w:pPr>
        <w:pStyle w:val="24"/>
        <w:ind w:firstLine="480"/>
        <w:rPr>
          <w:sz w:val="24"/>
          <w:szCs w:val="24"/>
        </w:rPr>
      </w:pPr>
      <w:r>
        <w:rPr>
          <w:rFonts w:hint="eastAsia"/>
          <w:sz w:val="24"/>
          <w:szCs w:val="24"/>
        </w:rPr>
        <w:t>1、在项目实施期间，中标人应严格执行国家、地方、行业有关本项目业务管理和安全作业的法律、法规和制度并按规定承担相应的费用。中标人因违反规定等原因造成的一切损失和责任由中标人自行承担。</w:t>
      </w:r>
    </w:p>
    <w:p w:rsidR="00427CFC" w:rsidRDefault="004220DA">
      <w:pPr>
        <w:pStyle w:val="24"/>
        <w:ind w:firstLine="480"/>
        <w:rPr>
          <w:sz w:val="24"/>
          <w:szCs w:val="24"/>
        </w:rPr>
      </w:pPr>
      <w:r>
        <w:rPr>
          <w:rFonts w:hint="eastAsia"/>
          <w:sz w:val="24"/>
          <w:szCs w:val="24"/>
        </w:rPr>
        <w:t>2、中标人在投标书中承诺并经招标人认定的项目负责人及专业技术人员是本单位职工（在本单位缴纳社会保障金）和该项目实施现场的实际操作者，应具有类似本项目的实施经验</w:t>
      </w:r>
      <w:r>
        <w:rPr>
          <w:rFonts w:hint="eastAsia"/>
          <w:b/>
          <w:bCs/>
          <w:sz w:val="24"/>
          <w:szCs w:val="24"/>
        </w:rPr>
        <w:t>。</w:t>
      </w:r>
      <w:r>
        <w:rPr>
          <w:rFonts w:hint="eastAsia"/>
          <w:sz w:val="24"/>
          <w:szCs w:val="24"/>
        </w:rPr>
        <w:t>未经采购人同意，中标人不得调换上述人员。如采购人认为有必要，可要求中标人对上述人员中的部分人员</w:t>
      </w:r>
      <w:proofErr w:type="gramStart"/>
      <w:r>
        <w:rPr>
          <w:rFonts w:hint="eastAsia"/>
          <w:sz w:val="24"/>
          <w:szCs w:val="24"/>
        </w:rPr>
        <w:t>作出</w:t>
      </w:r>
      <w:proofErr w:type="gramEnd"/>
      <w:r>
        <w:rPr>
          <w:rFonts w:hint="eastAsia"/>
          <w:sz w:val="24"/>
          <w:szCs w:val="24"/>
        </w:rPr>
        <w:t>更好的调整。</w:t>
      </w:r>
    </w:p>
    <w:p w:rsidR="00427CFC" w:rsidRDefault="004220DA">
      <w:pPr>
        <w:pStyle w:val="24"/>
        <w:ind w:firstLine="480"/>
        <w:rPr>
          <w:sz w:val="24"/>
          <w:szCs w:val="24"/>
        </w:rPr>
      </w:pPr>
      <w:r>
        <w:rPr>
          <w:rFonts w:hint="eastAsia"/>
          <w:sz w:val="24"/>
          <w:szCs w:val="24"/>
        </w:rPr>
        <w:t>3、中标人在项目实施期间，应按项目实际进度与环节落实所对应项目整体及各环节管理工作，按照规范做好项目实施期间相关管理与实施记录。</w:t>
      </w:r>
    </w:p>
    <w:p w:rsidR="00427CFC" w:rsidRDefault="004220DA">
      <w:pPr>
        <w:pStyle w:val="24"/>
        <w:ind w:firstLine="480"/>
        <w:rPr>
          <w:sz w:val="24"/>
          <w:szCs w:val="24"/>
        </w:rPr>
      </w:pPr>
      <w:r>
        <w:rPr>
          <w:rFonts w:hint="eastAsia"/>
          <w:sz w:val="24"/>
          <w:szCs w:val="24"/>
        </w:rPr>
        <w:t>4、参与本项目的工作人员应严格遵循采购人的安全制度，保障采购人资料和设备的安全。中标方如需进入采购人机房工作，只能在采购人规定的工作区域内对项目涉及的设备进行操作，严禁触动与项目无关的任何设备（包括任何操作行为），如需跨区操作必需得到采购人项目联系人确认。</w:t>
      </w:r>
    </w:p>
    <w:p w:rsidR="00427CFC" w:rsidRDefault="004220DA">
      <w:pPr>
        <w:pStyle w:val="24"/>
        <w:ind w:firstLine="480"/>
        <w:rPr>
          <w:sz w:val="24"/>
          <w:szCs w:val="24"/>
        </w:rPr>
      </w:pPr>
      <w:r>
        <w:rPr>
          <w:rFonts w:hint="eastAsia"/>
          <w:sz w:val="24"/>
          <w:szCs w:val="24"/>
        </w:rPr>
        <w:t>5、中标人在项目实施期间必需遵守采购人的规章制度并提供实施人员名单。</w:t>
      </w:r>
    </w:p>
    <w:p w:rsidR="00427CFC" w:rsidRDefault="004220DA">
      <w:pPr>
        <w:pStyle w:val="24"/>
        <w:ind w:firstLine="480"/>
        <w:rPr>
          <w:sz w:val="24"/>
          <w:szCs w:val="24"/>
        </w:rPr>
      </w:pPr>
      <w:r>
        <w:rPr>
          <w:rFonts w:hint="eastAsia"/>
          <w:sz w:val="24"/>
          <w:szCs w:val="24"/>
        </w:rPr>
        <w:t>6、各投标人在投标文件中要结合本项目的特点和采购</w:t>
      </w:r>
      <w:proofErr w:type="gramStart"/>
      <w:r>
        <w:rPr>
          <w:rFonts w:hint="eastAsia"/>
          <w:sz w:val="24"/>
          <w:szCs w:val="24"/>
        </w:rPr>
        <w:t>人上述</w:t>
      </w:r>
      <w:proofErr w:type="gramEnd"/>
      <w:r>
        <w:rPr>
          <w:rFonts w:hint="eastAsia"/>
          <w:sz w:val="24"/>
          <w:szCs w:val="24"/>
        </w:rPr>
        <w:t>的具体要求制定相应的管理措施，并在报价中列支相应的费用清单，投标人报价中未列支上述费用清单的，上述费用视为已包含在投标人的投标总报价中。</w:t>
      </w:r>
    </w:p>
    <w:p w:rsidR="00427CFC" w:rsidRDefault="004220DA">
      <w:pPr>
        <w:pStyle w:val="24"/>
        <w:ind w:firstLine="480"/>
      </w:pPr>
      <w:r>
        <w:rPr>
          <w:rFonts w:hint="eastAsia"/>
          <w:sz w:val="24"/>
          <w:szCs w:val="24"/>
        </w:rPr>
        <w:t>7、本项目软件开发及调试将纳入采购人的管理范围，中标人在此过程中需服从上述单位的管理协调。</w:t>
      </w:r>
    </w:p>
    <w:p w:rsidR="008C2656" w:rsidRDefault="008C2656" w:rsidP="008C2656">
      <w:pPr>
        <w:pStyle w:val="1"/>
      </w:pPr>
      <w:bookmarkStart w:id="61" w:name="_Toc63785513"/>
      <w:r>
        <w:rPr>
          <w:rFonts w:hint="eastAsia"/>
        </w:rPr>
        <w:t>供应</w:t>
      </w:r>
      <w:proofErr w:type="gramStart"/>
      <w:r w:rsidR="00BD2A37">
        <w:rPr>
          <w:rFonts w:hint="eastAsia"/>
        </w:rPr>
        <w:t>商</w:t>
      </w:r>
      <w:r w:rsidR="00064456">
        <w:rPr>
          <w:rFonts w:hint="eastAsia"/>
        </w:rPr>
        <w:t>能力</w:t>
      </w:r>
      <w:proofErr w:type="gramEnd"/>
      <w:r>
        <w:rPr>
          <w:rFonts w:hint="eastAsia"/>
        </w:rPr>
        <w:t>要求</w:t>
      </w:r>
    </w:p>
    <w:p w:rsidR="008C2656" w:rsidRPr="00B300E8" w:rsidRDefault="00064456" w:rsidP="008C2656">
      <w:r>
        <w:rPr>
          <w:rFonts w:hint="eastAsia"/>
        </w:rPr>
        <w:t>供应商具有ISO27001信息安全管理体系认证证书、ISO20000信息技术服务管理体系认证证书、ISO9001质量管理体系认证证书的，取得律师/公证/司鉴/信访/破产软件相关软件著作权证书</w:t>
      </w:r>
      <w:r w:rsidR="00927775">
        <w:rPr>
          <w:rFonts w:hint="eastAsia"/>
        </w:rPr>
        <w:t>的，具备类似项目经验的</w:t>
      </w:r>
      <w:r>
        <w:rPr>
          <w:rFonts w:hint="eastAsia"/>
        </w:rPr>
        <w:t>优先考虑。</w:t>
      </w:r>
    </w:p>
    <w:p w:rsidR="00427CFC" w:rsidRDefault="004220DA">
      <w:pPr>
        <w:pStyle w:val="1"/>
      </w:pPr>
      <w:r>
        <w:rPr>
          <w:rFonts w:hint="eastAsia"/>
        </w:rPr>
        <w:lastRenderedPageBreak/>
        <w:t>知识产权及保密要求</w:t>
      </w:r>
      <w:bookmarkEnd w:id="61"/>
    </w:p>
    <w:p w:rsidR="00427CFC" w:rsidRDefault="004220DA">
      <w:pPr>
        <w:ind w:firstLine="482"/>
        <w:rPr>
          <w:b/>
        </w:rPr>
      </w:pPr>
      <w:r>
        <w:rPr>
          <w:b/>
        </w:rPr>
        <w:t>1、中标人数据、文件、资料知识产权</w:t>
      </w:r>
    </w:p>
    <w:p w:rsidR="00427CFC" w:rsidRDefault="004220DA">
      <w:r>
        <w:rPr>
          <w:rFonts w:hint="eastAsia"/>
        </w:rPr>
        <w:t>中标人保证其所提供的服务和交付的成果以及在履行本项目义务中使用到的所有数据、文件、信息不会引起任何第三方在专利权、著作权、商标权等知识产权方面向采购人或采购人的关联方及合作方（包括但不限于采购人的主管单位和采购人的合作单位等）发出侵权指控或提出索赔。若有，中标人应负责与第三方解决纠纷，若因此导致采购人损失的，采购人有权要求中标人赔偿采购人因此遭受的全部损失，包括但不限于直接损失、间接损失、诉讼费／仲裁费、律师费、公证费、鉴定费等。</w:t>
      </w:r>
    </w:p>
    <w:p w:rsidR="00427CFC" w:rsidRDefault="004220DA">
      <w:r>
        <w:rPr>
          <w:rFonts w:hint="eastAsia"/>
        </w:rPr>
        <w:t>中标人因履行本项目而产生的所有成果的知识产权等权利均归采购人所有，中标人应配合采购人进行相关权利登记或申请。未经采购人书面同意，中标人不得以任何形式使用或许可他人使用本项目成果的相关内容，不得擅自对外公开发表或向任何第三方透露。</w:t>
      </w:r>
    </w:p>
    <w:p w:rsidR="00427CFC" w:rsidRDefault="004220DA">
      <w:r>
        <w:rPr>
          <w:rFonts w:hint="eastAsia"/>
        </w:rPr>
        <w:t>在不影响上述条款规定的由采购人取得所有成果的知识产权的前提下，双方因履行本项目而被授权接触或使用对方之知识产权（包括但不限于商标、专利、著作权等），和/或任何其他相关资料、数据等涉及的任何权利，均不视为向另一方转让上述权利或在本项目范围外授权许可另一方使用上述权利，上述权利仍应属于提供方，并仅可使用于本项目，被授权接触或使用方未经提供方书面同意，不得擅自挪作他用。</w:t>
      </w:r>
    </w:p>
    <w:p w:rsidR="00427CFC" w:rsidRDefault="004220DA">
      <w:pPr>
        <w:ind w:firstLine="482"/>
        <w:rPr>
          <w:b/>
        </w:rPr>
      </w:pPr>
      <w:r>
        <w:rPr>
          <w:b/>
        </w:rPr>
        <w:t>2、项目保密要求</w:t>
      </w:r>
    </w:p>
    <w:p w:rsidR="00427CFC" w:rsidRDefault="004220DA">
      <w:r>
        <w:rPr>
          <w:rFonts w:hint="eastAsia"/>
        </w:rPr>
        <w:t>中标人因履行本项目而知悉的所有数据、信息和资料（包括但不限于账号信息、图表、文字、计算过程、任何形式的文件、访谈记录、现场实测数据、采购人相关工作程序等）以及因履行本项目而形成的数据、信息和任何形式的工作成果，均是采购人要求保密的信息。未经采购人书面同意，中标人不得对外泄露采购人要求保密的信息，不得用于其他用途，否则中标人需承担由此引起的法律责任和经济责任，包括但不限于直接损失、间接损失、律师费、诉讼费/仲裁费、调查费、公证费等。</w:t>
      </w:r>
    </w:p>
    <w:p w:rsidR="00427CFC" w:rsidRDefault="004220DA">
      <w:r>
        <w:rPr>
          <w:rFonts w:hint="eastAsia"/>
        </w:rPr>
        <w:t>中标人应采取必要的有效措施保证其参与本项目的人员（包括中标人聘用的人员、借调的人员、实习的人员）无论是在职或离职后，以及中标人的合作</w:t>
      </w:r>
      <w:r>
        <w:rPr>
          <w:rFonts w:hint="eastAsia"/>
        </w:rPr>
        <w:lastRenderedPageBreak/>
        <w:t>方无论是合作中或合作终止后，都能够履行本项目约定的保密义务。若中标</w:t>
      </w:r>
      <w:proofErr w:type="gramStart"/>
      <w:r>
        <w:rPr>
          <w:rFonts w:hint="eastAsia"/>
        </w:rPr>
        <w:t>人人员</w:t>
      </w:r>
      <w:proofErr w:type="gramEnd"/>
      <w:r>
        <w:rPr>
          <w:rFonts w:hint="eastAsia"/>
        </w:rPr>
        <w:t>或中标人合作方违反保密规定，中标人应承担连带责任。</w:t>
      </w:r>
    </w:p>
    <w:p w:rsidR="00427CFC" w:rsidRDefault="004220DA">
      <w:r>
        <w:rPr>
          <w:rFonts w:hint="eastAsia"/>
        </w:rPr>
        <w:t>中标人（含中标人参与本项目的人员以及其合作方）未经采购方书面许可，不得以任何形式自行使用或以任何方式向第三方披露、转让、授权、出售与本项目有关的技术成果、计算机软件、源代码、策划文档、技术诀窍、秘密信息、技术资料和其他文件。</w:t>
      </w:r>
    </w:p>
    <w:p w:rsidR="00427CFC" w:rsidRDefault="004220DA">
      <w:r>
        <w:rPr>
          <w:rFonts w:hint="eastAsia"/>
        </w:rPr>
        <w:t>以上内容的保密期限自中标人知悉保密信息起始至保密信息被合法公开之日止。</w:t>
      </w:r>
    </w:p>
    <w:p w:rsidR="00427CFC" w:rsidRDefault="004220DA">
      <w:pPr>
        <w:ind w:firstLine="482"/>
        <w:rPr>
          <w:b/>
        </w:rPr>
      </w:pPr>
      <w:r>
        <w:rPr>
          <w:b/>
        </w:rPr>
        <w:t>3、临时账号等使用要求</w:t>
      </w:r>
    </w:p>
    <w:p w:rsidR="00427CFC" w:rsidRDefault="004220DA">
      <w:r>
        <w:rPr>
          <w:rFonts w:hint="eastAsia"/>
        </w:rPr>
        <w:t>中标人对采购人提拱的临时使用账号要保密，不得公开，对组件开发的账号密码需进行加密，避免信息安全的泄露。未经采购人的同意不得利用采购人的网络及平台进行短信、彩信、</w:t>
      </w:r>
      <w:proofErr w:type="gramStart"/>
      <w:r>
        <w:rPr>
          <w:rFonts w:hint="eastAsia"/>
        </w:rPr>
        <w:t>微信发送</w:t>
      </w:r>
      <w:proofErr w:type="gramEnd"/>
      <w:r>
        <w:t>,造成的一切后果由中标人负责。</w:t>
      </w:r>
    </w:p>
    <w:p w:rsidR="00427CFC" w:rsidRDefault="004220DA">
      <w:pPr>
        <w:pStyle w:val="1"/>
      </w:pPr>
      <w:bookmarkStart w:id="62" w:name="_Toc65170093"/>
      <w:r>
        <w:t>项目的变更、解除和终止</w:t>
      </w:r>
    </w:p>
    <w:p w:rsidR="00427CFC" w:rsidRDefault="004220DA">
      <w:r>
        <w:rPr>
          <w:rFonts w:hint="eastAsia"/>
        </w:rPr>
        <w:t>如果中标人丧失履约能力、发生资不抵债或进入破产程序，采购人可在任何时候以书面形式通知中标人终止本项目的执行而不给予中标人补偿。该终止本项目将不损害或影响采购人已经采取或将要采取任何行动或补救措施的权利。</w:t>
      </w:r>
    </w:p>
    <w:p w:rsidR="00427CFC" w:rsidRDefault="004220DA">
      <w:r>
        <w:rPr>
          <w:rFonts w:hint="eastAsia"/>
        </w:rPr>
        <w:t>如遇国家、行业管理部门等机构的有关标准和规定调整的，导致本项目内容须做相应调整时，双方应按照公平、合理的原则共同协商修改本项目对应的合同的相关条款。</w:t>
      </w:r>
    </w:p>
    <w:bookmarkEnd w:id="62"/>
    <w:p w:rsidR="00427CFC" w:rsidRDefault="00427CFC">
      <w:pPr>
        <w:ind w:firstLineChars="0" w:firstLine="0"/>
        <w:rPr>
          <w:i/>
          <w:iCs/>
          <w:color w:val="FF0000"/>
        </w:rPr>
      </w:pPr>
    </w:p>
    <w:p w:rsidR="00427CFC" w:rsidRDefault="00427CFC"/>
    <w:sectPr w:rsidR="00427CFC" w:rsidSect="00431479">
      <w:footerReference w:type="first" r:id="rId15"/>
      <w:pgSz w:w="11906" w:h="16838"/>
      <w:pgMar w:top="1134" w:right="1797" w:bottom="1135" w:left="1797" w:header="340" w:footer="7" w:gutter="0"/>
      <w:pgNumType w:start="1"/>
      <w:cols w:space="720"/>
      <w:titlePg/>
      <w:docGrid w:type="linesAndChars"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D941BE" w15:done="0"/>
  <w15:commentEx w15:paraId="23BBF436" w15:done="0"/>
  <w15:commentEx w15:paraId="7C947B7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D941BE" w16cid:durableId="26E30990"/>
  <w16cid:commentId w16cid:paraId="23BBF436" w16cid:durableId="128F5588"/>
  <w16cid:commentId w16cid:paraId="7C947B74" w16cid:durableId="7BF0D3F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4799" w:rsidRDefault="003B4799">
      <w:pPr>
        <w:spacing w:line="240" w:lineRule="auto"/>
      </w:pPr>
      <w:r>
        <w:separator/>
      </w:r>
    </w:p>
  </w:endnote>
  <w:endnote w:type="continuationSeparator" w:id="0">
    <w:p w:rsidR="003B4799" w:rsidRDefault="003B479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等线 Light">
    <w:charset w:val="86"/>
    <w:family w:val="auto"/>
    <w:pitch w:val="variable"/>
    <w:sig w:usb0="A00002BF" w:usb1="38CF7CFA" w:usb2="00000016" w:usb3="00000000" w:csb0="0004000F" w:csb1="00000000"/>
  </w:font>
  <w:font w:name="time">
    <w:altName w:val="宋体"/>
    <w:charset w:val="00"/>
    <w:family w:val="roman"/>
    <w:pitch w:val="default"/>
    <w:sig w:usb0="00000000" w:usb1="00000000" w:usb2="00000000" w:usb3="00000000" w:csb0="00040001" w:csb1="00000000"/>
  </w:font>
  <w:font w:name="Microsoft YaHei UI">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1002AFF" w:usb1="C0000002" w:usb2="00000008" w:usb3="00000000" w:csb0="000101FF" w:csb1="00000000"/>
  </w:font>
  <w:font w:name="楷体_GB2312">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4B0" w:rsidRDefault="000864B0"/>
  <w:p w:rsidR="000864B0" w:rsidRDefault="000864B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4B0" w:rsidRDefault="00AA5E78">
    <w:pPr>
      <w:ind w:firstLineChars="0" w:firstLine="0"/>
      <w:jc w:val="center"/>
    </w:pPr>
    <w:r w:rsidRPr="00AA5E78">
      <w:fldChar w:fldCharType="begin"/>
    </w:r>
    <w:r w:rsidR="000864B0">
      <w:instrText>PAGE   \* MERGEFORMAT</w:instrText>
    </w:r>
    <w:r w:rsidRPr="00AA5E78">
      <w:fldChar w:fldCharType="separate"/>
    </w:r>
    <w:r w:rsidR="00340357" w:rsidRPr="00340357">
      <w:rPr>
        <w:noProof/>
        <w:lang w:val="zh-CN"/>
      </w:rPr>
      <w:t>54</w:t>
    </w:r>
    <w:r>
      <w:rPr>
        <w:lang w:val="zh-CN"/>
      </w:rPr>
      <w:fldChar w:fldCharType="end"/>
    </w:r>
  </w:p>
  <w:p w:rsidR="000864B0" w:rsidRDefault="000864B0"/>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4B0" w:rsidRDefault="000864B0">
    <w:pPr>
      <w:ind w:firstLineChars="0" w:firstLine="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4B0" w:rsidRDefault="00AA5E78">
    <w:pPr>
      <w:ind w:firstLineChars="0" w:firstLine="0"/>
      <w:jc w:val="center"/>
      <w:rPr>
        <w:lang w:val="zh-CN"/>
      </w:rPr>
    </w:pPr>
    <w:r>
      <w:rPr>
        <w:lang w:val="zh-CN"/>
      </w:rPr>
      <w:fldChar w:fldCharType="begin"/>
    </w:r>
    <w:r w:rsidR="000864B0">
      <w:rPr>
        <w:lang w:val="zh-CN"/>
      </w:rPr>
      <w:instrText>PAGE   \* MERGEFORMAT</w:instrText>
    </w:r>
    <w:r>
      <w:rPr>
        <w:lang w:val="zh-CN"/>
      </w:rPr>
      <w:fldChar w:fldCharType="separate"/>
    </w:r>
    <w:r w:rsidR="008D2CFE">
      <w:rPr>
        <w:noProof/>
        <w:lang w:val="zh-CN"/>
      </w:rPr>
      <w:t>1</w:t>
    </w:r>
    <w:r>
      <w:rPr>
        <w:lang w:val="zh-CN"/>
      </w:rPr>
      <w:fldChar w:fldCharType="end"/>
    </w:r>
  </w:p>
  <w:p w:rsidR="000864B0" w:rsidRDefault="000864B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4799" w:rsidRDefault="003B4799">
      <w:pPr>
        <w:spacing w:line="240" w:lineRule="auto"/>
      </w:pPr>
      <w:r>
        <w:separator/>
      </w:r>
    </w:p>
  </w:footnote>
  <w:footnote w:type="continuationSeparator" w:id="0">
    <w:p w:rsidR="003B4799" w:rsidRDefault="003B479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4B0" w:rsidRDefault="000864B0"/>
  <w:p w:rsidR="000864B0" w:rsidRDefault="000864B0"/>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4B0" w:rsidRDefault="000864B0">
    <w:pPr>
      <w:pStyle w:val="ae"/>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4B0" w:rsidRDefault="000864B0">
    <w:pPr>
      <w:pStyle w:val="ae"/>
      <w:pBdr>
        <w:bottom w:val="none" w:sz="0" w:space="0" w:color="auto"/>
      </w:pBdr>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C875E66"/>
    <w:multiLevelType w:val="singleLevel"/>
    <w:tmpl w:val="DC875E66"/>
    <w:lvl w:ilvl="0">
      <w:start w:val="1"/>
      <w:numFmt w:val="decimal"/>
      <w:lvlText w:val="%1."/>
      <w:lvlJc w:val="left"/>
      <w:pPr>
        <w:tabs>
          <w:tab w:val="left" w:pos="420"/>
        </w:tabs>
        <w:ind w:left="845" w:hanging="425"/>
      </w:pPr>
      <w:rPr>
        <w:rFonts w:hint="default"/>
      </w:rPr>
    </w:lvl>
  </w:abstractNum>
  <w:abstractNum w:abstractNumId="1">
    <w:nsid w:val="F7036134"/>
    <w:multiLevelType w:val="singleLevel"/>
    <w:tmpl w:val="F7036134"/>
    <w:lvl w:ilvl="0">
      <w:start w:val="1"/>
      <w:numFmt w:val="decimal"/>
      <w:lvlText w:val="%1."/>
      <w:lvlJc w:val="left"/>
      <w:pPr>
        <w:ind w:left="425" w:hanging="425"/>
      </w:pPr>
      <w:rPr>
        <w:rFonts w:hint="default"/>
      </w:rPr>
    </w:lvl>
  </w:abstractNum>
  <w:abstractNum w:abstractNumId="2">
    <w:nsid w:val="0CD61B6B"/>
    <w:multiLevelType w:val="multilevel"/>
    <w:tmpl w:val="0CD61B6B"/>
    <w:lvl w:ilvl="0">
      <w:start w:val="1"/>
      <w:numFmt w:val="bullet"/>
      <w:lvlText w:val=""/>
      <w:lvlJc w:val="left"/>
      <w:pPr>
        <w:ind w:left="920" w:hanging="440"/>
      </w:pPr>
      <w:rPr>
        <w:rFonts w:ascii="Wingdings" w:hAnsi="Wingdings" w:hint="default"/>
      </w:rPr>
    </w:lvl>
    <w:lvl w:ilvl="1">
      <w:start w:val="1"/>
      <w:numFmt w:val="bullet"/>
      <w:lvlText w:val=""/>
      <w:lvlJc w:val="left"/>
      <w:pPr>
        <w:ind w:left="1360" w:hanging="440"/>
      </w:pPr>
      <w:rPr>
        <w:rFonts w:ascii="Wingdings" w:hAnsi="Wingdings" w:hint="default"/>
      </w:rPr>
    </w:lvl>
    <w:lvl w:ilvl="2">
      <w:start w:val="1"/>
      <w:numFmt w:val="bullet"/>
      <w:lvlText w:val=""/>
      <w:lvlJc w:val="left"/>
      <w:pPr>
        <w:ind w:left="1800" w:hanging="440"/>
      </w:pPr>
      <w:rPr>
        <w:rFonts w:ascii="Wingdings" w:hAnsi="Wingdings" w:hint="default"/>
      </w:rPr>
    </w:lvl>
    <w:lvl w:ilvl="3">
      <w:start w:val="1"/>
      <w:numFmt w:val="bullet"/>
      <w:lvlText w:val=""/>
      <w:lvlJc w:val="left"/>
      <w:pPr>
        <w:ind w:left="2240" w:hanging="440"/>
      </w:pPr>
      <w:rPr>
        <w:rFonts w:ascii="Wingdings" w:hAnsi="Wingdings" w:hint="default"/>
      </w:rPr>
    </w:lvl>
    <w:lvl w:ilvl="4">
      <w:start w:val="1"/>
      <w:numFmt w:val="bullet"/>
      <w:lvlText w:val=""/>
      <w:lvlJc w:val="left"/>
      <w:pPr>
        <w:ind w:left="2680" w:hanging="440"/>
      </w:pPr>
      <w:rPr>
        <w:rFonts w:ascii="Wingdings" w:hAnsi="Wingdings" w:hint="default"/>
      </w:rPr>
    </w:lvl>
    <w:lvl w:ilvl="5">
      <w:start w:val="1"/>
      <w:numFmt w:val="bullet"/>
      <w:lvlText w:val=""/>
      <w:lvlJc w:val="left"/>
      <w:pPr>
        <w:ind w:left="3120" w:hanging="440"/>
      </w:pPr>
      <w:rPr>
        <w:rFonts w:ascii="Wingdings" w:hAnsi="Wingdings" w:hint="default"/>
      </w:rPr>
    </w:lvl>
    <w:lvl w:ilvl="6">
      <w:start w:val="1"/>
      <w:numFmt w:val="bullet"/>
      <w:lvlText w:val=""/>
      <w:lvlJc w:val="left"/>
      <w:pPr>
        <w:ind w:left="3560" w:hanging="440"/>
      </w:pPr>
      <w:rPr>
        <w:rFonts w:ascii="Wingdings" w:hAnsi="Wingdings" w:hint="default"/>
      </w:rPr>
    </w:lvl>
    <w:lvl w:ilvl="7">
      <w:start w:val="1"/>
      <w:numFmt w:val="bullet"/>
      <w:lvlText w:val=""/>
      <w:lvlJc w:val="left"/>
      <w:pPr>
        <w:ind w:left="4000" w:hanging="440"/>
      </w:pPr>
      <w:rPr>
        <w:rFonts w:ascii="Wingdings" w:hAnsi="Wingdings" w:hint="default"/>
      </w:rPr>
    </w:lvl>
    <w:lvl w:ilvl="8">
      <w:start w:val="1"/>
      <w:numFmt w:val="bullet"/>
      <w:lvlText w:val=""/>
      <w:lvlJc w:val="left"/>
      <w:pPr>
        <w:ind w:left="4440" w:hanging="440"/>
      </w:pPr>
      <w:rPr>
        <w:rFonts w:ascii="Wingdings" w:hAnsi="Wingdings" w:hint="default"/>
      </w:rPr>
    </w:lvl>
  </w:abstractNum>
  <w:abstractNum w:abstractNumId="3">
    <w:nsid w:val="1B7E6FCE"/>
    <w:multiLevelType w:val="multilevel"/>
    <w:tmpl w:val="1B7E6FCE"/>
    <w:lvl w:ilvl="0">
      <w:start w:val="1"/>
      <w:numFmt w:val="chineseCountingThousand"/>
      <w:lvlText w:val="(%1)"/>
      <w:lvlJc w:val="left"/>
      <w:pPr>
        <w:ind w:left="1000" w:hanging="440"/>
      </w:pPr>
    </w:lvl>
    <w:lvl w:ilvl="1">
      <w:start w:val="1"/>
      <w:numFmt w:val="lowerLetter"/>
      <w:lvlText w:val="%2)"/>
      <w:lvlJc w:val="left"/>
      <w:pPr>
        <w:ind w:left="1440" w:hanging="440"/>
      </w:pPr>
    </w:lvl>
    <w:lvl w:ilvl="2">
      <w:start w:val="1"/>
      <w:numFmt w:val="lowerRoman"/>
      <w:lvlText w:val="%3."/>
      <w:lvlJc w:val="right"/>
      <w:pPr>
        <w:ind w:left="1880" w:hanging="440"/>
      </w:pPr>
    </w:lvl>
    <w:lvl w:ilvl="3">
      <w:start w:val="1"/>
      <w:numFmt w:val="decimal"/>
      <w:lvlText w:val="%4."/>
      <w:lvlJc w:val="left"/>
      <w:pPr>
        <w:ind w:left="2320" w:hanging="440"/>
      </w:pPr>
    </w:lvl>
    <w:lvl w:ilvl="4">
      <w:start w:val="1"/>
      <w:numFmt w:val="lowerLetter"/>
      <w:lvlText w:val="%5)"/>
      <w:lvlJc w:val="left"/>
      <w:pPr>
        <w:ind w:left="2760" w:hanging="440"/>
      </w:pPr>
    </w:lvl>
    <w:lvl w:ilvl="5">
      <w:start w:val="1"/>
      <w:numFmt w:val="lowerRoman"/>
      <w:lvlText w:val="%6."/>
      <w:lvlJc w:val="right"/>
      <w:pPr>
        <w:ind w:left="3200" w:hanging="440"/>
      </w:pPr>
    </w:lvl>
    <w:lvl w:ilvl="6">
      <w:start w:val="1"/>
      <w:numFmt w:val="decimal"/>
      <w:lvlText w:val="%7."/>
      <w:lvlJc w:val="left"/>
      <w:pPr>
        <w:ind w:left="3640" w:hanging="440"/>
      </w:pPr>
    </w:lvl>
    <w:lvl w:ilvl="7">
      <w:start w:val="1"/>
      <w:numFmt w:val="lowerLetter"/>
      <w:lvlText w:val="%8)"/>
      <w:lvlJc w:val="left"/>
      <w:pPr>
        <w:ind w:left="4080" w:hanging="440"/>
      </w:pPr>
    </w:lvl>
    <w:lvl w:ilvl="8">
      <w:start w:val="1"/>
      <w:numFmt w:val="lowerRoman"/>
      <w:lvlText w:val="%9."/>
      <w:lvlJc w:val="right"/>
      <w:pPr>
        <w:ind w:left="4520" w:hanging="440"/>
      </w:pPr>
    </w:lvl>
  </w:abstractNum>
  <w:abstractNum w:abstractNumId="4">
    <w:nsid w:val="2C3FC752"/>
    <w:multiLevelType w:val="singleLevel"/>
    <w:tmpl w:val="2C3FC752"/>
    <w:lvl w:ilvl="0">
      <w:start w:val="1"/>
      <w:numFmt w:val="decimal"/>
      <w:lvlText w:val="%1."/>
      <w:lvlJc w:val="left"/>
      <w:pPr>
        <w:ind w:left="425" w:hanging="425"/>
      </w:pPr>
      <w:rPr>
        <w:rFonts w:hint="default"/>
      </w:rPr>
    </w:lvl>
  </w:abstractNum>
  <w:abstractNum w:abstractNumId="5">
    <w:nsid w:val="43D33190"/>
    <w:multiLevelType w:val="multilevel"/>
    <w:tmpl w:val="43D33190"/>
    <w:lvl w:ilvl="0">
      <w:start w:val="1"/>
      <w:numFmt w:val="bullet"/>
      <w:lvlText w:val=""/>
      <w:lvlJc w:val="left"/>
      <w:pPr>
        <w:ind w:left="980" w:hanging="420"/>
      </w:pPr>
      <w:rPr>
        <w:rFonts w:ascii="Wingdings" w:hAnsi="Wingdings" w:cs="Wingdings" w:hint="default"/>
      </w:rPr>
    </w:lvl>
    <w:lvl w:ilvl="1">
      <w:start w:val="1"/>
      <w:numFmt w:val="bullet"/>
      <w:lvlText w:val=""/>
      <w:lvlJc w:val="left"/>
      <w:pPr>
        <w:ind w:left="1400" w:hanging="420"/>
      </w:pPr>
      <w:rPr>
        <w:rFonts w:ascii="Wingdings" w:hAnsi="Wingdings" w:cs="Wingdings" w:hint="default"/>
      </w:rPr>
    </w:lvl>
    <w:lvl w:ilvl="2">
      <w:start w:val="1"/>
      <w:numFmt w:val="bullet"/>
      <w:lvlText w:val=""/>
      <w:lvlJc w:val="left"/>
      <w:pPr>
        <w:ind w:left="1820" w:hanging="420"/>
      </w:pPr>
      <w:rPr>
        <w:rFonts w:ascii="Wingdings" w:hAnsi="Wingdings" w:cs="Wingdings" w:hint="default"/>
      </w:rPr>
    </w:lvl>
    <w:lvl w:ilvl="3">
      <w:start w:val="1"/>
      <w:numFmt w:val="bullet"/>
      <w:lvlText w:val=""/>
      <w:lvlJc w:val="left"/>
      <w:pPr>
        <w:ind w:left="2240" w:hanging="420"/>
      </w:pPr>
      <w:rPr>
        <w:rFonts w:ascii="Wingdings" w:hAnsi="Wingdings" w:cs="Wingdings" w:hint="default"/>
      </w:rPr>
    </w:lvl>
    <w:lvl w:ilvl="4">
      <w:start w:val="1"/>
      <w:numFmt w:val="bullet"/>
      <w:lvlText w:val=""/>
      <w:lvlJc w:val="left"/>
      <w:pPr>
        <w:ind w:left="2660" w:hanging="420"/>
      </w:pPr>
      <w:rPr>
        <w:rFonts w:ascii="Wingdings" w:hAnsi="Wingdings" w:cs="Wingdings" w:hint="default"/>
      </w:rPr>
    </w:lvl>
    <w:lvl w:ilvl="5">
      <w:start w:val="1"/>
      <w:numFmt w:val="bullet"/>
      <w:lvlText w:val=""/>
      <w:lvlJc w:val="left"/>
      <w:pPr>
        <w:ind w:left="3080" w:hanging="420"/>
      </w:pPr>
      <w:rPr>
        <w:rFonts w:ascii="Wingdings" w:hAnsi="Wingdings" w:cs="Wingdings" w:hint="default"/>
      </w:rPr>
    </w:lvl>
    <w:lvl w:ilvl="6">
      <w:start w:val="1"/>
      <w:numFmt w:val="bullet"/>
      <w:lvlText w:val=""/>
      <w:lvlJc w:val="left"/>
      <w:pPr>
        <w:ind w:left="3500" w:hanging="420"/>
      </w:pPr>
      <w:rPr>
        <w:rFonts w:ascii="Wingdings" w:hAnsi="Wingdings" w:cs="Wingdings" w:hint="default"/>
      </w:rPr>
    </w:lvl>
    <w:lvl w:ilvl="7">
      <w:start w:val="1"/>
      <w:numFmt w:val="bullet"/>
      <w:lvlText w:val=""/>
      <w:lvlJc w:val="left"/>
      <w:pPr>
        <w:ind w:left="3920" w:hanging="420"/>
      </w:pPr>
      <w:rPr>
        <w:rFonts w:ascii="Wingdings" w:hAnsi="Wingdings" w:cs="Wingdings" w:hint="default"/>
      </w:rPr>
    </w:lvl>
    <w:lvl w:ilvl="8">
      <w:start w:val="1"/>
      <w:numFmt w:val="bullet"/>
      <w:lvlText w:val=""/>
      <w:lvlJc w:val="left"/>
      <w:pPr>
        <w:ind w:left="4340" w:hanging="420"/>
      </w:pPr>
      <w:rPr>
        <w:rFonts w:ascii="Wingdings" w:hAnsi="Wingdings" w:cs="Wingdings" w:hint="default"/>
      </w:rPr>
    </w:lvl>
  </w:abstractNum>
  <w:abstractNum w:abstractNumId="6">
    <w:nsid w:val="505628FC"/>
    <w:multiLevelType w:val="singleLevel"/>
    <w:tmpl w:val="505628FC"/>
    <w:lvl w:ilvl="0">
      <w:start w:val="1"/>
      <w:numFmt w:val="decimal"/>
      <w:lvlText w:val="%1."/>
      <w:lvlJc w:val="left"/>
      <w:pPr>
        <w:tabs>
          <w:tab w:val="left" w:pos="420"/>
        </w:tabs>
        <w:ind w:left="845" w:hanging="425"/>
      </w:pPr>
      <w:rPr>
        <w:rFonts w:hint="default"/>
      </w:rPr>
    </w:lvl>
  </w:abstractNum>
  <w:abstractNum w:abstractNumId="7">
    <w:nsid w:val="5221083B"/>
    <w:multiLevelType w:val="multilevel"/>
    <w:tmpl w:val="5221083B"/>
    <w:lvl w:ilvl="0">
      <w:start w:val="1"/>
      <w:numFmt w:val="bullet"/>
      <w:lvlText w:val=""/>
      <w:lvlJc w:val="left"/>
      <w:pPr>
        <w:ind w:left="1200" w:hanging="420"/>
      </w:pPr>
      <w:rPr>
        <w:rFonts w:ascii="Wingdings" w:hAnsi="Wingdings" w:cs="Wingdings" w:hint="default"/>
      </w:rPr>
    </w:lvl>
    <w:lvl w:ilvl="1">
      <w:start w:val="1"/>
      <w:numFmt w:val="bullet"/>
      <w:lvlText w:val=""/>
      <w:lvlJc w:val="left"/>
      <w:pPr>
        <w:ind w:left="1620" w:hanging="420"/>
      </w:pPr>
      <w:rPr>
        <w:rFonts w:ascii="Wingdings" w:hAnsi="Wingdings" w:cs="Wingdings" w:hint="default"/>
      </w:rPr>
    </w:lvl>
    <w:lvl w:ilvl="2">
      <w:start w:val="1"/>
      <w:numFmt w:val="bullet"/>
      <w:lvlText w:val=""/>
      <w:lvlJc w:val="left"/>
      <w:pPr>
        <w:ind w:left="2040" w:hanging="420"/>
      </w:pPr>
      <w:rPr>
        <w:rFonts w:ascii="Wingdings" w:hAnsi="Wingdings" w:cs="Wingdings" w:hint="default"/>
      </w:rPr>
    </w:lvl>
    <w:lvl w:ilvl="3">
      <w:start w:val="1"/>
      <w:numFmt w:val="bullet"/>
      <w:lvlText w:val=""/>
      <w:lvlJc w:val="left"/>
      <w:pPr>
        <w:ind w:left="2460" w:hanging="420"/>
      </w:pPr>
      <w:rPr>
        <w:rFonts w:ascii="Wingdings" w:hAnsi="Wingdings" w:cs="Wingdings" w:hint="default"/>
      </w:rPr>
    </w:lvl>
    <w:lvl w:ilvl="4">
      <w:start w:val="1"/>
      <w:numFmt w:val="bullet"/>
      <w:lvlText w:val=""/>
      <w:lvlJc w:val="left"/>
      <w:pPr>
        <w:ind w:left="2880" w:hanging="420"/>
      </w:pPr>
      <w:rPr>
        <w:rFonts w:ascii="Wingdings" w:hAnsi="Wingdings" w:cs="Wingdings" w:hint="default"/>
      </w:rPr>
    </w:lvl>
    <w:lvl w:ilvl="5">
      <w:start w:val="1"/>
      <w:numFmt w:val="bullet"/>
      <w:lvlText w:val=""/>
      <w:lvlJc w:val="left"/>
      <w:pPr>
        <w:ind w:left="3300" w:hanging="420"/>
      </w:pPr>
      <w:rPr>
        <w:rFonts w:ascii="Wingdings" w:hAnsi="Wingdings" w:cs="Wingdings" w:hint="default"/>
      </w:rPr>
    </w:lvl>
    <w:lvl w:ilvl="6">
      <w:start w:val="1"/>
      <w:numFmt w:val="bullet"/>
      <w:lvlText w:val=""/>
      <w:lvlJc w:val="left"/>
      <w:pPr>
        <w:ind w:left="3720" w:hanging="420"/>
      </w:pPr>
      <w:rPr>
        <w:rFonts w:ascii="Wingdings" w:hAnsi="Wingdings" w:cs="Wingdings" w:hint="default"/>
      </w:rPr>
    </w:lvl>
    <w:lvl w:ilvl="7">
      <w:start w:val="1"/>
      <w:numFmt w:val="bullet"/>
      <w:lvlText w:val=""/>
      <w:lvlJc w:val="left"/>
      <w:pPr>
        <w:ind w:left="4140" w:hanging="420"/>
      </w:pPr>
      <w:rPr>
        <w:rFonts w:ascii="Wingdings" w:hAnsi="Wingdings" w:cs="Wingdings" w:hint="default"/>
      </w:rPr>
    </w:lvl>
    <w:lvl w:ilvl="8">
      <w:start w:val="1"/>
      <w:numFmt w:val="bullet"/>
      <w:lvlText w:val=""/>
      <w:lvlJc w:val="left"/>
      <w:pPr>
        <w:ind w:left="4560" w:hanging="420"/>
      </w:pPr>
      <w:rPr>
        <w:rFonts w:ascii="Wingdings" w:hAnsi="Wingdings" w:cs="Wingdings" w:hint="default"/>
      </w:rPr>
    </w:lvl>
  </w:abstractNum>
  <w:abstractNum w:abstractNumId="8">
    <w:nsid w:val="6350366A"/>
    <w:multiLevelType w:val="multilevel"/>
    <w:tmpl w:val="6350366A"/>
    <w:lvl w:ilvl="0">
      <w:start w:val="1"/>
      <w:numFmt w:val="none"/>
      <w:pStyle w:val="a"/>
      <w:lvlText w:val="%1●　"/>
      <w:lvlJc w:val="left"/>
      <w:pPr>
        <w:tabs>
          <w:tab w:val="left" w:pos="760"/>
        </w:tabs>
        <w:ind w:left="717" w:hanging="317"/>
      </w:pPr>
      <w:rPr>
        <w:rFonts w:ascii="宋体" w:eastAsia="宋体" w:hAnsi="Times New Roman" w:hint="eastAsia"/>
        <w:b w:val="0"/>
        <w:i w:val="0"/>
        <w:position w:val="4"/>
        <w:sz w:val="13"/>
      </w:rPr>
    </w:lvl>
    <w:lvl w:ilvl="1">
      <w:start w:val="1"/>
      <w:numFmt w:val="lowerLetter"/>
      <w:lvlText w:val="%2)"/>
      <w:lvlJc w:val="left"/>
      <w:pPr>
        <w:tabs>
          <w:tab w:val="left" w:pos="780"/>
        </w:tabs>
        <w:ind w:left="780" w:hanging="360"/>
      </w:pPr>
      <w:rPr>
        <w:rFonts w:hint="eastAsia"/>
      </w:rPr>
    </w:lvl>
    <w:lvl w:ilvl="2">
      <w:start w:val="1"/>
      <w:numFmt w:val="decimal"/>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6A2F4AB3"/>
    <w:multiLevelType w:val="multilevel"/>
    <w:tmpl w:val="6A2F4AB3"/>
    <w:lvl w:ilvl="0">
      <w:start w:val="1"/>
      <w:numFmt w:val="chineseCountingThousand"/>
      <w:pStyle w:val="1"/>
      <w:suff w:val="nothing"/>
      <w:lvlText w:val="%1、"/>
      <w:lvlJc w:val="left"/>
      <w:pPr>
        <w:ind w:left="425" w:hanging="425"/>
      </w:pPr>
      <w:rPr>
        <w:rFonts w:hint="eastAsia"/>
        <w:sz w:val="32"/>
        <w:szCs w:val="32"/>
      </w:rPr>
    </w:lvl>
    <w:lvl w:ilvl="1">
      <w:start w:val="1"/>
      <w:numFmt w:val="decimal"/>
      <w:pStyle w:val="2"/>
      <w:isLgl/>
      <w:suff w:val="nothing"/>
      <w:lvlText w:val="%1.%2、"/>
      <w:lvlJc w:val="left"/>
      <w:pPr>
        <w:ind w:left="1135" w:hanging="567"/>
      </w:pPr>
    </w:lvl>
    <w:lvl w:ilvl="2">
      <w:start w:val="1"/>
      <w:numFmt w:val="decimal"/>
      <w:pStyle w:val="3"/>
      <w:isLgl/>
      <w:suff w:val="nothing"/>
      <w:lvlText w:val="%1.%2.%3、"/>
      <w:lvlJc w:val="left"/>
      <w:pPr>
        <w:ind w:left="3905" w:hanging="1069"/>
      </w:pPr>
      <w:rPr>
        <w:rFonts w:ascii="宋体" w:eastAsia="宋体" w:hAnsi="宋体" w:cs="Arial" w:hint="default"/>
      </w:rPr>
    </w:lvl>
    <w:lvl w:ilvl="3">
      <w:start w:val="1"/>
      <w:numFmt w:val="decimal"/>
      <w:pStyle w:val="4"/>
      <w:isLgl/>
      <w:suff w:val="nothing"/>
      <w:lvlText w:val="%1.%2.%3.%4、"/>
      <w:lvlJc w:val="left"/>
      <w:pPr>
        <w:ind w:left="3403" w:hanging="851"/>
      </w:pPr>
    </w:lvl>
    <w:lvl w:ilvl="4">
      <w:start w:val="1"/>
      <w:numFmt w:val="decimal"/>
      <w:pStyle w:val="5"/>
      <w:isLgl/>
      <w:suff w:val="nothing"/>
      <w:lvlText w:val="%1.%2.%3.%4.%5、"/>
      <w:lvlJc w:val="left"/>
      <w:pPr>
        <w:ind w:left="3544" w:hanging="992"/>
      </w:pPr>
      <w:rPr>
        <w:rFonts w:hint="eastAsia"/>
      </w:rPr>
    </w:lvl>
    <w:lvl w:ilvl="5">
      <w:start w:val="1"/>
      <w:numFmt w:val="decimal"/>
      <w:pStyle w:val="6"/>
      <w:isLgl/>
      <w:suff w:val="nothing"/>
      <w:lvlText w:val="%1.%2.%3.%4.%5.%6、"/>
      <w:lvlJc w:val="left"/>
      <w:pPr>
        <w:ind w:left="1134" w:hanging="1134"/>
      </w:pPr>
      <w:rPr>
        <w:rFonts w:hint="eastAsia"/>
      </w:rPr>
    </w:lvl>
    <w:lvl w:ilvl="6">
      <w:start w:val="1"/>
      <w:numFmt w:val="decimal"/>
      <w:isLgl/>
      <w:lvlText w:val="%1.%2.%3.%4.%5.%6.%7"/>
      <w:lvlJc w:val="left"/>
      <w:pPr>
        <w:tabs>
          <w:tab w:val="left" w:pos="1800"/>
        </w:tabs>
        <w:ind w:left="1276" w:hanging="1276"/>
      </w:pPr>
      <w:rPr>
        <w:rFonts w:hint="eastAsia"/>
      </w:rPr>
    </w:lvl>
    <w:lvl w:ilvl="7">
      <w:start w:val="1"/>
      <w:numFmt w:val="decimal"/>
      <w:isLgl/>
      <w:lvlText w:val="%1.%2.%3.%4.%5.%6.%7.%8"/>
      <w:lvlJc w:val="left"/>
      <w:pPr>
        <w:tabs>
          <w:tab w:val="left" w:pos="1800"/>
        </w:tabs>
        <w:ind w:left="1418" w:hanging="1418"/>
      </w:pPr>
      <w:rPr>
        <w:rFonts w:hint="eastAsia"/>
      </w:rPr>
    </w:lvl>
    <w:lvl w:ilvl="8">
      <w:start w:val="1"/>
      <w:numFmt w:val="decimal"/>
      <w:isLgl/>
      <w:lvlText w:val="%1.%2.%3.%4.%5.%6.%7.%8.%9"/>
      <w:lvlJc w:val="left"/>
      <w:pPr>
        <w:tabs>
          <w:tab w:val="left" w:pos="2160"/>
        </w:tabs>
        <w:ind w:left="1559" w:hanging="1559"/>
      </w:pPr>
      <w:rPr>
        <w:rFonts w:hint="eastAsia"/>
      </w:rPr>
    </w:lvl>
  </w:abstractNum>
  <w:num w:numId="1">
    <w:abstractNumId w:val="9"/>
  </w:num>
  <w:num w:numId="2">
    <w:abstractNumId w:val="8"/>
  </w:num>
  <w:num w:numId="3">
    <w:abstractNumId w:val="1"/>
  </w:num>
  <w:num w:numId="4">
    <w:abstractNumId w:val="7"/>
  </w:num>
  <w:num w:numId="5">
    <w:abstractNumId w:val="5"/>
  </w:num>
  <w:num w:numId="6">
    <w:abstractNumId w:val="3"/>
  </w:num>
  <w:num w:numId="7">
    <w:abstractNumId w:val="2"/>
  </w:num>
  <w:num w:numId="8">
    <w:abstractNumId w:val="0"/>
  </w:num>
  <w:num w:numId="9">
    <w:abstractNumId w:val="6"/>
  </w:num>
  <w:num w:numId="1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ndows User">
    <w15:presenceInfo w15:providerId="None" w15:userId="Windows User"/>
  </w15:person>
  <w15:person w15:author="娄新雨">
    <w15:presenceInfo w15:providerId="None" w15:userId="娄新雨"/>
  </w15:person>
  <w15:person w15:author="windows">
    <w15:presenceInfo w15:providerId="None" w15:userId="window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HorizontalSpacing w:val="120"/>
  <w:drawingGridVerticalSpacing w:val="163"/>
  <w:noPunctuationKerning/>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zEwNTM5NzYwMDRjMzkwZTVkZjY2ODkwMGIxNGU0OTUifQ=="/>
  </w:docVars>
  <w:rsids>
    <w:rsidRoot w:val="006910C0"/>
    <w:rsid w:val="8EF631E8"/>
    <w:rsid w:val="8FB70042"/>
    <w:rsid w:val="8FF7F503"/>
    <w:rsid w:val="95B72882"/>
    <w:rsid w:val="95F72AA7"/>
    <w:rsid w:val="96F625EB"/>
    <w:rsid w:val="99E7A4B2"/>
    <w:rsid w:val="9D77A523"/>
    <w:rsid w:val="9F3E246F"/>
    <w:rsid w:val="9FB71E08"/>
    <w:rsid w:val="ABFFD470"/>
    <w:rsid w:val="ACB7A873"/>
    <w:rsid w:val="AF3BF0DC"/>
    <w:rsid w:val="AF3F8FFD"/>
    <w:rsid w:val="AFAF2211"/>
    <w:rsid w:val="B5BF3C35"/>
    <w:rsid w:val="B79BC7FA"/>
    <w:rsid w:val="B7C3515F"/>
    <w:rsid w:val="B7CC4990"/>
    <w:rsid w:val="B96A10FC"/>
    <w:rsid w:val="B9D319D2"/>
    <w:rsid w:val="BA6FAC2F"/>
    <w:rsid w:val="BB77D719"/>
    <w:rsid w:val="BBDF341C"/>
    <w:rsid w:val="BBFF7A65"/>
    <w:rsid w:val="BBFFA71A"/>
    <w:rsid w:val="BBFFF33C"/>
    <w:rsid w:val="BBFFF6D2"/>
    <w:rsid w:val="BD9FBFDF"/>
    <w:rsid w:val="BDDD724B"/>
    <w:rsid w:val="BDF701B1"/>
    <w:rsid w:val="BEEDF7A6"/>
    <w:rsid w:val="BEF7B234"/>
    <w:rsid w:val="BEFF0661"/>
    <w:rsid w:val="BEFF3D6D"/>
    <w:rsid w:val="BF9EF88A"/>
    <w:rsid w:val="BFA7F556"/>
    <w:rsid w:val="BFB4EB21"/>
    <w:rsid w:val="BFBFD445"/>
    <w:rsid w:val="BFEB232A"/>
    <w:rsid w:val="BFF51911"/>
    <w:rsid w:val="BFFF8854"/>
    <w:rsid w:val="C1FECE05"/>
    <w:rsid w:val="C9EF8252"/>
    <w:rsid w:val="CADDA516"/>
    <w:rsid w:val="CD5E4B32"/>
    <w:rsid w:val="CDDF73B2"/>
    <w:rsid w:val="CEB728D2"/>
    <w:rsid w:val="CF9F80F5"/>
    <w:rsid w:val="CFBF629B"/>
    <w:rsid w:val="CFF3212C"/>
    <w:rsid w:val="CFFF18FB"/>
    <w:rsid w:val="D677B7D4"/>
    <w:rsid w:val="D6A1445D"/>
    <w:rsid w:val="D7F7DD27"/>
    <w:rsid w:val="D8CF1CAF"/>
    <w:rsid w:val="DAF9EB82"/>
    <w:rsid w:val="DBFF0999"/>
    <w:rsid w:val="DDEF880E"/>
    <w:rsid w:val="DDFF5A17"/>
    <w:rsid w:val="DEB0C0DD"/>
    <w:rsid w:val="DEF7B5D9"/>
    <w:rsid w:val="DEF9FA54"/>
    <w:rsid w:val="DF7F0F81"/>
    <w:rsid w:val="DFBB6C1C"/>
    <w:rsid w:val="DFBFF686"/>
    <w:rsid w:val="DFDE4C95"/>
    <w:rsid w:val="DFED1067"/>
    <w:rsid w:val="DFF8087D"/>
    <w:rsid w:val="DFFE8FDB"/>
    <w:rsid w:val="E2BF5B2E"/>
    <w:rsid w:val="E6FBDA66"/>
    <w:rsid w:val="E7FDB70D"/>
    <w:rsid w:val="EAFFC736"/>
    <w:rsid w:val="EB17C33A"/>
    <w:rsid w:val="EB6FE4F0"/>
    <w:rsid w:val="EBDF3937"/>
    <w:rsid w:val="EBF14813"/>
    <w:rsid w:val="EBFB2AFD"/>
    <w:rsid w:val="ECEE7177"/>
    <w:rsid w:val="ED3F3140"/>
    <w:rsid w:val="EDFE47BE"/>
    <w:rsid w:val="EE0F929D"/>
    <w:rsid w:val="EEBCB49E"/>
    <w:rsid w:val="EF7B66E6"/>
    <w:rsid w:val="EF7E2999"/>
    <w:rsid w:val="EF7F0F7A"/>
    <w:rsid w:val="EFBD6AE0"/>
    <w:rsid w:val="EFDE9512"/>
    <w:rsid w:val="EFF1A0CE"/>
    <w:rsid w:val="EFFE3D04"/>
    <w:rsid w:val="F55B51D5"/>
    <w:rsid w:val="F5BD5CFF"/>
    <w:rsid w:val="F5F5EF4D"/>
    <w:rsid w:val="F6DD1039"/>
    <w:rsid w:val="F6F14ED6"/>
    <w:rsid w:val="F6FF35A1"/>
    <w:rsid w:val="F76B7AFD"/>
    <w:rsid w:val="F7AEF2E5"/>
    <w:rsid w:val="F7BD9D81"/>
    <w:rsid w:val="F7D743DF"/>
    <w:rsid w:val="F7EF80B3"/>
    <w:rsid w:val="F7F7C655"/>
    <w:rsid w:val="F7FC97FC"/>
    <w:rsid w:val="F97BCD22"/>
    <w:rsid w:val="F9DA6C1E"/>
    <w:rsid w:val="FB9FE228"/>
    <w:rsid w:val="FBE3049E"/>
    <w:rsid w:val="FBFA6BD6"/>
    <w:rsid w:val="FC4F5F55"/>
    <w:rsid w:val="FCEE8F60"/>
    <w:rsid w:val="FCEFDC12"/>
    <w:rsid w:val="FCF9D1D0"/>
    <w:rsid w:val="FCFF2580"/>
    <w:rsid w:val="FD1C7B4B"/>
    <w:rsid w:val="FD73F763"/>
    <w:rsid w:val="FD7F32F7"/>
    <w:rsid w:val="FDD7D3C7"/>
    <w:rsid w:val="FDE7E8A3"/>
    <w:rsid w:val="FE7EE6BF"/>
    <w:rsid w:val="FE7F1518"/>
    <w:rsid w:val="FEADA4F6"/>
    <w:rsid w:val="FEBFCDD9"/>
    <w:rsid w:val="FEDB8444"/>
    <w:rsid w:val="FEF73E22"/>
    <w:rsid w:val="FEF7A8AF"/>
    <w:rsid w:val="FEFC4042"/>
    <w:rsid w:val="FEFF1191"/>
    <w:rsid w:val="FF7277EB"/>
    <w:rsid w:val="FF7EFD07"/>
    <w:rsid w:val="FFB73A5F"/>
    <w:rsid w:val="FFBF176B"/>
    <w:rsid w:val="FFBF450A"/>
    <w:rsid w:val="FFBFB786"/>
    <w:rsid w:val="FFD1B0CA"/>
    <w:rsid w:val="FFD6522F"/>
    <w:rsid w:val="FFD770EE"/>
    <w:rsid w:val="FFDD6E93"/>
    <w:rsid w:val="FFDF6453"/>
    <w:rsid w:val="FFED2A28"/>
    <w:rsid w:val="FFEE420E"/>
    <w:rsid w:val="FFEEC2C8"/>
    <w:rsid w:val="FFEF9297"/>
    <w:rsid w:val="FFEF9C51"/>
    <w:rsid w:val="FFF67D06"/>
    <w:rsid w:val="FFF6D85F"/>
    <w:rsid w:val="FFF9A09F"/>
    <w:rsid w:val="FFFAE61C"/>
    <w:rsid w:val="FFFF010B"/>
    <w:rsid w:val="FFFF1E7E"/>
    <w:rsid w:val="FFFFA9A4"/>
    <w:rsid w:val="0000005A"/>
    <w:rsid w:val="00000AED"/>
    <w:rsid w:val="0000172A"/>
    <w:rsid w:val="00003516"/>
    <w:rsid w:val="0000380E"/>
    <w:rsid w:val="00004B75"/>
    <w:rsid w:val="00005AFD"/>
    <w:rsid w:val="00006563"/>
    <w:rsid w:val="000074F1"/>
    <w:rsid w:val="00007A41"/>
    <w:rsid w:val="00007DA7"/>
    <w:rsid w:val="00010C93"/>
    <w:rsid w:val="00012EF0"/>
    <w:rsid w:val="000156DE"/>
    <w:rsid w:val="000165AD"/>
    <w:rsid w:val="000179E9"/>
    <w:rsid w:val="00020C18"/>
    <w:rsid w:val="00021EE6"/>
    <w:rsid w:val="0002280E"/>
    <w:rsid w:val="00022C74"/>
    <w:rsid w:val="00025122"/>
    <w:rsid w:val="000252D5"/>
    <w:rsid w:val="00026997"/>
    <w:rsid w:val="00026B82"/>
    <w:rsid w:val="00027A64"/>
    <w:rsid w:val="000320F5"/>
    <w:rsid w:val="00032D27"/>
    <w:rsid w:val="000348C1"/>
    <w:rsid w:val="00035325"/>
    <w:rsid w:val="00035D5B"/>
    <w:rsid w:val="000378D0"/>
    <w:rsid w:val="00037F2C"/>
    <w:rsid w:val="00042914"/>
    <w:rsid w:val="00042C2A"/>
    <w:rsid w:val="000430EC"/>
    <w:rsid w:val="00043498"/>
    <w:rsid w:val="000447CB"/>
    <w:rsid w:val="00047915"/>
    <w:rsid w:val="00047D06"/>
    <w:rsid w:val="00050FBD"/>
    <w:rsid w:val="0005107A"/>
    <w:rsid w:val="0005192C"/>
    <w:rsid w:val="00052929"/>
    <w:rsid w:val="0005299F"/>
    <w:rsid w:val="000541D7"/>
    <w:rsid w:val="000545C0"/>
    <w:rsid w:val="0005586D"/>
    <w:rsid w:val="00056C0E"/>
    <w:rsid w:val="000574A8"/>
    <w:rsid w:val="000574F8"/>
    <w:rsid w:val="00057A49"/>
    <w:rsid w:val="0006231F"/>
    <w:rsid w:val="00062A05"/>
    <w:rsid w:val="00062EE6"/>
    <w:rsid w:val="0006344E"/>
    <w:rsid w:val="00064456"/>
    <w:rsid w:val="000649E6"/>
    <w:rsid w:val="0006794B"/>
    <w:rsid w:val="00067DCA"/>
    <w:rsid w:val="00070063"/>
    <w:rsid w:val="0007087A"/>
    <w:rsid w:val="000710EC"/>
    <w:rsid w:val="00072237"/>
    <w:rsid w:val="00072ABE"/>
    <w:rsid w:val="00075EB5"/>
    <w:rsid w:val="00080B39"/>
    <w:rsid w:val="00083950"/>
    <w:rsid w:val="0008452F"/>
    <w:rsid w:val="00084E8E"/>
    <w:rsid w:val="00085A68"/>
    <w:rsid w:val="000864B0"/>
    <w:rsid w:val="00090625"/>
    <w:rsid w:val="00090948"/>
    <w:rsid w:val="00091CD1"/>
    <w:rsid w:val="0009460E"/>
    <w:rsid w:val="000951D4"/>
    <w:rsid w:val="00096A52"/>
    <w:rsid w:val="000A2146"/>
    <w:rsid w:val="000A2930"/>
    <w:rsid w:val="000A3276"/>
    <w:rsid w:val="000A3C35"/>
    <w:rsid w:val="000A3E30"/>
    <w:rsid w:val="000A5876"/>
    <w:rsid w:val="000A61D0"/>
    <w:rsid w:val="000A6C67"/>
    <w:rsid w:val="000A6DB8"/>
    <w:rsid w:val="000A7596"/>
    <w:rsid w:val="000B11A8"/>
    <w:rsid w:val="000B1959"/>
    <w:rsid w:val="000B2E1C"/>
    <w:rsid w:val="000B4459"/>
    <w:rsid w:val="000B4B46"/>
    <w:rsid w:val="000B5363"/>
    <w:rsid w:val="000B53BA"/>
    <w:rsid w:val="000B642F"/>
    <w:rsid w:val="000B6C99"/>
    <w:rsid w:val="000C3F3C"/>
    <w:rsid w:val="000C5A75"/>
    <w:rsid w:val="000C75F7"/>
    <w:rsid w:val="000D0AB2"/>
    <w:rsid w:val="000D225C"/>
    <w:rsid w:val="000D35ED"/>
    <w:rsid w:val="000D36F2"/>
    <w:rsid w:val="000D4B26"/>
    <w:rsid w:val="000D74DB"/>
    <w:rsid w:val="000E24D6"/>
    <w:rsid w:val="000E4853"/>
    <w:rsid w:val="000E4BC3"/>
    <w:rsid w:val="000E6072"/>
    <w:rsid w:val="000E6D61"/>
    <w:rsid w:val="000E7A23"/>
    <w:rsid w:val="000F1C29"/>
    <w:rsid w:val="000F1E9E"/>
    <w:rsid w:val="000F2B10"/>
    <w:rsid w:val="000F3F72"/>
    <w:rsid w:val="000F6B82"/>
    <w:rsid w:val="001055B2"/>
    <w:rsid w:val="001068F0"/>
    <w:rsid w:val="00106AB8"/>
    <w:rsid w:val="00106C9E"/>
    <w:rsid w:val="00106E16"/>
    <w:rsid w:val="0010768B"/>
    <w:rsid w:val="00111701"/>
    <w:rsid w:val="00112904"/>
    <w:rsid w:val="00112A29"/>
    <w:rsid w:val="00113791"/>
    <w:rsid w:val="001167F6"/>
    <w:rsid w:val="00116C86"/>
    <w:rsid w:val="00121ACF"/>
    <w:rsid w:val="00121D8F"/>
    <w:rsid w:val="00122037"/>
    <w:rsid w:val="0012210C"/>
    <w:rsid w:val="00122A7F"/>
    <w:rsid w:val="00123F98"/>
    <w:rsid w:val="001242A5"/>
    <w:rsid w:val="00124531"/>
    <w:rsid w:val="00126EDF"/>
    <w:rsid w:val="00127BBE"/>
    <w:rsid w:val="00131D52"/>
    <w:rsid w:val="001329C1"/>
    <w:rsid w:val="00132C16"/>
    <w:rsid w:val="00136320"/>
    <w:rsid w:val="00136FFA"/>
    <w:rsid w:val="00137AC6"/>
    <w:rsid w:val="00145512"/>
    <w:rsid w:val="00146304"/>
    <w:rsid w:val="001465BD"/>
    <w:rsid w:val="00147B45"/>
    <w:rsid w:val="00150803"/>
    <w:rsid w:val="00151D83"/>
    <w:rsid w:val="001546C9"/>
    <w:rsid w:val="00154FAE"/>
    <w:rsid w:val="00155E77"/>
    <w:rsid w:val="00156A70"/>
    <w:rsid w:val="00160A61"/>
    <w:rsid w:val="00160FC0"/>
    <w:rsid w:val="0016429B"/>
    <w:rsid w:val="00164525"/>
    <w:rsid w:val="00164C50"/>
    <w:rsid w:val="00165CB2"/>
    <w:rsid w:val="00166767"/>
    <w:rsid w:val="001707CB"/>
    <w:rsid w:val="00171477"/>
    <w:rsid w:val="00172A1A"/>
    <w:rsid w:val="00173251"/>
    <w:rsid w:val="00176BED"/>
    <w:rsid w:val="0017759D"/>
    <w:rsid w:val="001804A5"/>
    <w:rsid w:val="00181C94"/>
    <w:rsid w:val="00182C84"/>
    <w:rsid w:val="00184E69"/>
    <w:rsid w:val="00187031"/>
    <w:rsid w:val="001871DC"/>
    <w:rsid w:val="001877C3"/>
    <w:rsid w:val="00190B4A"/>
    <w:rsid w:val="00191EA4"/>
    <w:rsid w:val="00192B6C"/>
    <w:rsid w:val="00192C30"/>
    <w:rsid w:val="0019381E"/>
    <w:rsid w:val="00194CF5"/>
    <w:rsid w:val="0019503C"/>
    <w:rsid w:val="00195D94"/>
    <w:rsid w:val="00196F7B"/>
    <w:rsid w:val="001971CB"/>
    <w:rsid w:val="0019795C"/>
    <w:rsid w:val="001A053A"/>
    <w:rsid w:val="001A22A2"/>
    <w:rsid w:val="001A2971"/>
    <w:rsid w:val="001A3D52"/>
    <w:rsid w:val="001A460A"/>
    <w:rsid w:val="001A4A4C"/>
    <w:rsid w:val="001B0230"/>
    <w:rsid w:val="001B13AB"/>
    <w:rsid w:val="001B3907"/>
    <w:rsid w:val="001B3B49"/>
    <w:rsid w:val="001B4907"/>
    <w:rsid w:val="001B4DC5"/>
    <w:rsid w:val="001B5006"/>
    <w:rsid w:val="001B5505"/>
    <w:rsid w:val="001C2180"/>
    <w:rsid w:val="001C29CC"/>
    <w:rsid w:val="001C3217"/>
    <w:rsid w:val="001C3B98"/>
    <w:rsid w:val="001C6028"/>
    <w:rsid w:val="001C6365"/>
    <w:rsid w:val="001C7F57"/>
    <w:rsid w:val="001D0E79"/>
    <w:rsid w:val="001D405F"/>
    <w:rsid w:val="001D6049"/>
    <w:rsid w:val="001D7339"/>
    <w:rsid w:val="001E272C"/>
    <w:rsid w:val="001E2750"/>
    <w:rsid w:val="001E4343"/>
    <w:rsid w:val="001E52BB"/>
    <w:rsid w:val="001E660A"/>
    <w:rsid w:val="001F05D6"/>
    <w:rsid w:val="001F5B0A"/>
    <w:rsid w:val="001F640F"/>
    <w:rsid w:val="001F6794"/>
    <w:rsid w:val="001F6F65"/>
    <w:rsid w:val="001F7EF6"/>
    <w:rsid w:val="002002DF"/>
    <w:rsid w:val="002019B7"/>
    <w:rsid w:val="00203A6F"/>
    <w:rsid w:val="00205646"/>
    <w:rsid w:val="002063F7"/>
    <w:rsid w:val="002129E5"/>
    <w:rsid w:val="00212AA4"/>
    <w:rsid w:val="00212E13"/>
    <w:rsid w:val="002163C8"/>
    <w:rsid w:val="002179FE"/>
    <w:rsid w:val="00220CC0"/>
    <w:rsid w:val="00221A36"/>
    <w:rsid w:val="00223296"/>
    <w:rsid w:val="0022329B"/>
    <w:rsid w:val="002240F7"/>
    <w:rsid w:val="0022486F"/>
    <w:rsid w:val="00225314"/>
    <w:rsid w:val="00225DF4"/>
    <w:rsid w:val="00226C70"/>
    <w:rsid w:val="00227618"/>
    <w:rsid w:val="00230C8A"/>
    <w:rsid w:val="00231F98"/>
    <w:rsid w:val="002324F8"/>
    <w:rsid w:val="002348B0"/>
    <w:rsid w:val="00235CDC"/>
    <w:rsid w:val="00237E76"/>
    <w:rsid w:val="00240BBE"/>
    <w:rsid w:val="00241525"/>
    <w:rsid w:val="00241D87"/>
    <w:rsid w:val="00243C55"/>
    <w:rsid w:val="00243D5E"/>
    <w:rsid w:val="002451EC"/>
    <w:rsid w:val="00245ED4"/>
    <w:rsid w:val="00246B41"/>
    <w:rsid w:val="0025002B"/>
    <w:rsid w:val="002500DE"/>
    <w:rsid w:val="00252457"/>
    <w:rsid w:val="00252581"/>
    <w:rsid w:val="002535B5"/>
    <w:rsid w:val="002538CB"/>
    <w:rsid w:val="002542BD"/>
    <w:rsid w:val="0025774E"/>
    <w:rsid w:val="00257D64"/>
    <w:rsid w:val="0026142E"/>
    <w:rsid w:val="0026340A"/>
    <w:rsid w:val="002654EA"/>
    <w:rsid w:val="002704EA"/>
    <w:rsid w:val="0027061A"/>
    <w:rsid w:val="002719CC"/>
    <w:rsid w:val="002730C5"/>
    <w:rsid w:val="0027337C"/>
    <w:rsid w:val="00274211"/>
    <w:rsid w:val="0027602B"/>
    <w:rsid w:val="00277466"/>
    <w:rsid w:val="00277F5E"/>
    <w:rsid w:val="00280084"/>
    <w:rsid w:val="00280490"/>
    <w:rsid w:val="002860B8"/>
    <w:rsid w:val="0029206E"/>
    <w:rsid w:val="00293382"/>
    <w:rsid w:val="00294F51"/>
    <w:rsid w:val="002A2342"/>
    <w:rsid w:val="002A279E"/>
    <w:rsid w:val="002A4FA3"/>
    <w:rsid w:val="002B3606"/>
    <w:rsid w:val="002B37B6"/>
    <w:rsid w:val="002B3D80"/>
    <w:rsid w:val="002B4402"/>
    <w:rsid w:val="002B4946"/>
    <w:rsid w:val="002B4C41"/>
    <w:rsid w:val="002B588D"/>
    <w:rsid w:val="002C1839"/>
    <w:rsid w:val="002C214A"/>
    <w:rsid w:val="002C28E8"/>
    <w:rsid w:val="002C3027"/>
    <w:rsid w:val="002C62B6"/>
    <w:rsid w:val="002C674D"/>
    <w:rsid w:val="002C7648"/>
    <w:rsid w:val="002C7DC4"/>
    <w:rsid w:val="002D0821"/>
    <w:rsid w:val="002D1929"/>
    <w:rsid w:val="002D1B73"/>
    <w:rsid w:val="002D3CB0"/>
    <w:rsid w:val="002D4800"/>
    <w:rsid w:val="002D5B21"/>
    <w:rsid w:val="002D6F6D"/>
    <w:rsid w:val="002E1FE6"/>
    <w:rsid w:val="002E2EA7"/>
    <w:rsid w:val="002E36D2"/>
    <w:rsid w:val="002E42EC"/>
    <w:rsid w:val="002E748B"/>
    <w:rsid w:val="002E7713"/>
    <w:rsid w:val="002F2002"/>
    <w:rsid w:val="002F335D"/>
    <w:rsid w:val="002F4570"/>
    <w:rsid w:val="002F4E32"/>
    <w:rsid w:val="002F503F"/>
    <w:rsid w:val="002F51DD"/>
    <w:rsid w:val="002F5D08"/>
    <w:rsid w:val="002F6895"/>
    <w:rsid w:val="002F6D13"/>
    <w:rsid w:val="0030180F"/>
    <w:rsid w:val="003038D3"/>
    <w:rsid w:val="003049C7"/>
    <w:rsid w:val="00305F0E"/>
    <w:rsid w:val="0030667A"/>
    <w:rsid w:val="003106DE"/>
    <w:rsid w:val="00311530"/>
    <w:rsid w:val="00312D31"/>
    <w:rsid w:val="00315216"/>
    <w:rsid w:val="0031691C"/>
    <w:rsid w:val="00317356"/>
    <w:rsid w:val="00317AEF"/>
    <w:rsid w:val="00317F49"/>
    <w:rsid w:val="0032089B"/>
    <w:rsid w:val="00323450"/>
    <w:rsid w:val="00323D93"/>
    <w:rsid w:val="0032489B"/>
    <w:rsid w:val="0032525B"/>
    <w:rsid w:val="00326A7A"/>
    <w:rsid w:val="00326FEE"/>
    <w:rsid w:val="003315D7"/>
    <w:rsid w:val="003317FA"/>
    <w:rsid w:val="003349E2"/>
    <w:rsid w:val="00334DE6"/>
    <w:rsid w:val="0033536D"/>
    <w:rsid w:val="003353FF"/>
    <w:rsid w:val="003366D2"/>
    <w:rsid w:val="00337C79"/>
    <w:rsid w:val="00337FEF"/>
    <w:rsid w:val="00340357"/>
    <w:rsid w:val="0034084C"/>
    <w:rsid w:val="00340D5E"/>
    <w:rsid w:val="003420B5"/>
    <w:rsid w:val="00342C3C"/>
    <w:rsid w:val="00343646"/>
    <w:rsid w:val="00344CCB"/>
    <w:rsid w:val="00345897"/>
    <w:rsid w:val="00351BFC"/>
    <w:rsid w:val="0035575E"/>
    <w:rsid w:val="003565B4"/>
    <w:rsid w:val="00361EB4"/>
    <w:rsid w:val="00361F89"/>
    <w:rsid w:val="00362E75"/>
    <w:rsid w:val="003631AA"/>
    <w:rsid w:val="003632D5"/>
    <w:rsid w:val="00363575"/>
    <w:rsid w:val="00364EF9"/>
    <w:rsid w:val="00367579"/>
    <w:rsid w:val="0036795B"/>
    <w:rsid w:val="00370A29"/>
    <w:rsid w:val="003722F9"/>
    <w:rsid w:val="00372349"/>
    <w:rsid w:val="00372CBC"/>
    <w:rsid w:val="00373A61"/>
    <w:rsid w:val="00374BDE"/>
    <w:rsid w:val="00375A6B"/>
    <w:rsid w:val="00376B39"/>
    <w:rsid w:val="003772C0"/>
    <w:rsid w:val="00377BAC"/>
    <w:rsid w:val="00380142"/>
    <w:rsid w:val="00380558"/>
    <w:rsid w:val="00381D3C"/>
    <w:rsid w:val="0038223E"/>
    <w:rsid w:val="00382D92"/>
    <w:rsid w:val="0038444E"/>
    <w:rsid w:val="00385AEF"/>
    <w:rsid w:val="003860EA"/>
    <w:rsid w:val="0038781A"/>
    <w:rsid w:val="0039080B"/>
    <w:rsid w:val="0039326E"/>
    <w:rsid w:val="00394E22"/>
    <w:rsid w:val="003967A4"/>
    <w:rsid w:val="00397FA3"/>
    <w:rsid w:val="003A1596"/>
    <w:rsid w:val="003A317E"/>
    <w:rsid w:val="003A345B"/>
    <w:rsid w:val="003A49EE"/>
    <w:rsid w:val="003A674D"/>
    <w:rsid w:val="003A7123"/>
    <w:rsid w:val="003B102E"/>
    <w:rsid w:val="003B2167"/>
    <w:rsid w:val="003B4799"/>
    <w:rsid w:val="003B5F5D"/>
    <w:rsid w:val="003B62C8"/>
    <w:rsid w:val="003C0C62"/>
    <w:rsid w:val="003C12DC"/>
    <w:rsid w:val="003C1506"/>
    <w:rsid w:val="003C1BB5"/>
    <w:rsid w:val="003C2CDA"/>
    <w:rsid w:val="003C46D7"/>
    <w:rsid w:val="003D000A"/>
    <w:rsid w:val="003D31E9"/>
    <w:rsid w:val="003D541C"/>
    <w:rsid w:val="003D544E"/>
    <w:rsid w:val="003D5980"/>
    <w:rsid w:val="003D5F00"/>
    <w:rsid w:val="003E0842"/>
    <w:rsid w:val="003E13B0"/>
    <w:rsid w:val="003E2580"/>
    <w:rsid w:val="003E3DEE"/>
    <w:rsid w:val="003E3EBB"/>
    <w:rsid w:val="003E4A4C"/>
    <w:rsid w:val="003E4CBA"/>
    <w:rsid w:val="003E4D2F"/>
    <w:rsid w:val="003E4EDC"/>
    <w:rsid w:val="003E599D"/>
    <w:rsid w:val="003E5C81"/>
    <w:rsid w:val="003E6965"/>
    <w:rsid w:val="003F00E8"/>
    <w:rsid w:val="003F1936"/>
    <w:rsid w:val="003F1BDD"/>
    <w:rsid w:val="003F3BA3"/>
    <w:rsid w:val="003F3BD5"/>
    <w:rsid w:val="003F400E"/>
    <w:rsid w:val="003F6F35"/>
    <w:rsid w:val="003F7768"/>
    <w:rsid w:val="00400E8C"/>
    <w:rsid w:val="004017DC"/>
    <w:rsid w:val="00401B53"/>
    <w:rsid w:val="00402668"/>
    <w:rsid w:val="00404FEC"/>
    <w:rsid w:val="0040534D"/>
    <w:rsid w:val="00405FAD"/>
    <w:rsid w:val="004117AB"/>
    <w:rsid w:val="00412B2F"/>
    <w:rsid w:val="00415281"/>
    <w:rsid w:val="00415716"/>
    <w:rsid w:val="0041604D"/>
    <w:rsid w:val="00417842"/>
    <w:rsid w:val="00417A6E"/>
    <w:rsid w:val="004220DA"/>
    <w:rsid w:val="0042285D"/>
    <w:rsid w:val="00423C74"/>
    <w:rsid w:val="00427CFC"/>
    <w:rsid w:val="00427D2B"/>
    <w:rsid w:val="00430B13"/>
    <w:rsid w:val="00430CE5"/>
    <w:rsid w:val="00431479"/>
    <w:rsid w:val="0043153C"/>
    <w:rsid w:val="00431D0F"/>
    <w:rsid w:val="0043481C"/>
    <w:rsid w:val="00437099"/>
    <w:rsid w:val="00444307"/>
    <w:rsid w:val="0044436F"/>
    <w:rsid w:val="004443EB"/>
    <w:rsid w:val="00444432"/>
    <w:rsid w:val="00444673"/>
    <w:rsid w:val="0044621E"/>
    <w:rsid w:val="00447BF1"/>
    <w:rsid w:val="00450BA4"/>
    <w:rsid w:val="004511FC"/>
    <w:rsid w:val="00454706"/>
    <w:rsid w:val="00456784"/>
    <w:rsid w:val="00456DCA"/>
    <w:rsid w:val="00457C17"/>
    <w:rsid w:val="00457C7F"/>
    <w:rsid w:val="00461140"/>
    <w:rsid w:val="004611DB"/>
    <w:rsid w:val="00461445"/>
    <w:rsid w:val="004637E8"/>
    <w:rsid w:val="004658B0"/>
    <w:rsid w:val="0046614B"/>
    <w:rsid w:val="00467FD7"/>
    <w:rsid w:val="00470073"/>
    <w:rsid w:val="004705C3"/>
    <w:rsid w:val="004730F8"/>
    <w:rsid w:val="00474353"/>
    <w:rsid w:val="00474555"/>
    <w:rsid w:val="004750F4"/>
    <w:rsid w:val="00476CB1"/>
    <w:rsid w:val="00480A48"/>
    <w:rsid w:val="00482501"/>
    <w:rsid w:val="00482E7D"/>
    <w:rsid w:val="00484395"/>
    <w:rsid w:val="004865FB"/>
    <w:rsid w:val="00486C03"/>
    <w:rsid w:val="00491AB3"/>
    <w:rsid w:val="00497A33"/>
    <w:rsid w:val="004A1112"/>
    <w:rsid w:val="004A1DA0"/>
    <w:rsid w:val="004A1F20"/>
    <w:rsid w:val="004A2393"/>
    <w:rsid w:val="004A3569"/>
    <w:rsid w:val="004A452A"/>
    <w:rsid w:val="004A5F2C"/>
    <w:rsid w:val="004A6E4F"/>
    <w:rsid w:val="004A720D"/>
    <w:rsid w:val="004B00D0"/>
    <w:rsid w:val="004B6084"/>
    <w:rsid w:val="004B6563"/>
    <w:rsid w:val="004B7AE0"/>
    <w:rsid w:val="004C0BC4"/>
    <w:rsid w:val="004C260D"/>
    <w:rsid w:val="004C2D47"/>
    <w:rsid w:val="004C4357"/>
    <w:rsid w:val="004C4477"/>
    <w:rsid w:val="004C5730"/>
    <w:rsid w:val="004C6397"/>
    <w:rsid w:val="004C668F"/>
    <w:rsid w:val="004C682B"/>
    <w:rsid w:val="004C7803"/>
    <w:rsid w:val="004D142C"/>
    <w:rsid w:val="004D29F7"/>
    <w:rsid w:val="004D36D8"/>
    <w:rsid w:val="004D4C5C"/>
    <w:rsid w:val="004D5AB0"/>
    <w:rsid w:val="004D5EAE"/>
    <w:rsid w:val="004D7A0E"/>
    <w:rsid w:val="004E06E7"/>
    <w:rsid w:val="004E0AE3"/>
    <w:rsid w:val="004E20D3"/>
    <w:rsid w:val="004E2C82"/>
    <w:rsid w:val="004E4FAE"/>
    <w:rsid w:val="004E62C7"/>
    <w:rsid w:val="004E68FF"/>
    <w:rsid w:val="004E737C"/>
    <w:rsid w:val="004E7A1B"/>
    <w:rsid w:val="004F0B7F"/>
    <w:rsid w:val="004F1193"/>
    <w:rsid w:val="004F11DC"/>
    <w:rsid w:val="004F2124"/>
    <w:rsid w:val="004F271B"/>
    <w:rsid w:val="004F3A52"/>
    <w:rsid w:val="004F449F"/>
    <w:rsid w:val="004F4E7E"/>
    <w:rsid w:val="004F63AB"/>
    <w:rsid w:val="004F6B76"/>
    <w:rsid w:val="004F6C7C"/>
    <w:rsid w:val="004F7F1A"/>
    <w:rsid w:val="004F7FBB"/>
    <w:rsid w:val="005042B3"/>
    <w:rsid w:val="005045AB"/>
    <w:rsid w:val="00507D43"/>
    <w:rsid w:val="005103F2"/>
    <w:rsid w:val="00510E2C"/>
    <w:rsid w:val="00511FDC"/>
    <w:rsid w:val="005124C6"/>
    <w:rsid w:val="00513EBC"/>
    <w:rsid w:val="00514CE1"/>
    <w:rsid w:val="00515E1E"/>
    <w:rsid w:val="00517155"/>
    <w:rsid w:val="00517DB3"/>
    <w:rsid w:val="00517F0E"/>
    <w:rsid w:val="005200DC"/>
    <w:rsid w:val="005200F2"/>
    <w:rsid w:val="0052369D"/>
    <w:rsid w:val="00525F3C"/>
    <w:rsid w:val="005261F0"/>
    <w:rsid w:val="005271DB"/>
    <w:rsid w:val="00530D2F"/>
    <w:rsid w:val="0053167E"/>
    <w:rsid w:val="00533DF6"/>
    <w:rsid w:val="0053487C"/>
    <w:rsid w:val="005356E1"/>
    <w:rsid w:val="00536A8B"/>
    <w:rsid w:val="00540418"/>
    <w:rsid w:val="00541A96"/>
    <w:rsid w:val="00541C6A"/>
    <w:rsid w:val="00542C54"/>
    <w:rsid w:val="00546A43"/>
    <w:rsid w:val="00546C70"/>
    <w:rsid w:val="00547258"/>
    <w:rsid w:val="00550CF0"/>
    <w:rsid w:val="00551504"/>
    <w:rsid w:val="005559FE"/>
    <w:rsid w:val="005560D6"/>
    <w:rsid w:val="00556D07"/>
    <w:rsid w:val="00557191"/>
    <w:rsid w:val="005611F2"/>
    <w:rsid w:val="00561734"/>
    <w:rsid w:val="00561952"/>
    <w:rsid w:val="00561FB9"/>
    <w:rsid w:val="00564A8B"/>
    <w:rsid w:val="00564B9A"/>
    <w:rsid w:val="00565694"/>
    <w:rsid w:val="00566DD6"/>
    <w:rsid w:val="00570F86"/>
    <w:rsid w:val="005714EF"/>
    <w:rsid w:val="00571CEC"/>
    <w:rsid w:val="00572FCE"/>
    <w:rsid w:val="005750DB"/>
    <w:rsid w:val="00575625"/>
    <w:rsid w:val="005759FC"/>
    <w:rsid w:val="00575B85"/>
    <w:rsid w:val="00576DB9"/>
    <w:rsid w:val="0057738F"/>
    <w:rsid w:val="005805E4"/>
    <w:rsid w:val="0058202F"/>
    <w:rsid w:val="00584221"/>
    <w:rsid w:val="00584EB6"/>
    <w:rsid w:val="00586B68"/>
    <w:rsid w:val="0058774E"/>
    <w:rsid w:val="005878CF"/>
    <w:rsid w:val="00590CA0"/>
    <w:rsid w:val="005943EE"/>
    <w:rsid w:val="00595B01"/>
    <w:rsid w:val="00596D98"/>
    <w:rsid w:val="005979A5"/>
    <w:rsid w:val="005A0021"/>
    <w:rsid w:val="005A017B"/>
    <w:rsid w:val="005A1A58"/>
    <w:rsid w:val="005A2AEC"/>
    <w:rsid w:val="005A412D"/>
    <w:rsid w:val="005A5212"/>
    <w:rsid w:val="005B002D"/>
    <w:rsid w:val="005B0FFF"/>
    <w:rsid w:val="005B19AF"/>
    <w:rsid w:val="005B258C"/>
    <w:rsid w:val="005B61DD"/>
    <w:rsid w:val="005B6735"/>
    <w:rsid w:val="005B7831"/>
    <w:rsid w:val="005C0CD6"/>
    <w:rsid w:val="005C12D9"/>
    <w:rsid w:val="005C2146"/>
    <w:rsid w:val="005C309D"/>
    <w:rsid w:val="005C544B"/>
    <w:rsid w:val="005C5916"/>
    <w:rsid w:val="005C5AEE"/>
    <w:rsid w:val="005C774A"/>
    <w:rsid w:val="005D3734"/>
    <w:rsid w:val="005D4F16"/>
    <w:rsid w:val="005D5A53"/>
    <w:rsid w:val="005D5DA0"/>
    <w:rsid w:val="005D7FBD"/>
    <w:rsid w:val="005E19B4"/>
    <w:rsid w:val="005E1D6B"/>
    <w:rsid w:val="005E227A"/>
    <w:rsid w:val="005E2CF8"/>
    <w:rsid w:val="005E3126"/>
    <w:rsid w:val="005E7075"/>
    <w:rsid w:val="005E75A7"/>
    <w:rsid w:val="005F38E2"/>
    <w:rsid w:val="005F3EE6"/>
    <w:rsid w:val="005F6626"/>
    <w:rsid w:val="005F6736"/>
    <w:rsid w:val="00602C10"/>
    <w:rsid w:val="00602EBD"/>
    <w:rsid w:val="00604CF2"/>
    <w:rsid w:val="00606DFF"/>
    <w:rsid w:val="00606FB7"/>
    <w:rsid w:val="00610533"/>
    <w:rsid w:val="006110F6"/>
    <w:rsid w:val="00611FA1"/>
    <w:rsid w:val="00612522"/>
    <w:rsid w:val="00612DA6"/>
    <w:rsid w:val="0061365B"/>
    <w:rsid w:val="006138B6"/>
    <w:rsid w:val="00614BC6"/>
    <w:rsid w:val="00614E33"/>
    <w:rsid w:val="006158B8"/>
    <w:rsid w:val="00616B63"/>
    <w:rsid w:val="0061706D"/>
    <w:rsid w:val="006173DA"/>
    <w:rsid w:val="00617EF9"/>
    <w:rsid w:val="00620295"/>
    <w:rsid w:val="00622F8E"/>
    <w:rsid w:val="00626AC8"/>
    <w:rsid w:val="00627912"/>
    <w:rsid w:val="0063195F"/>
    <w:rsid w:val="00635707"/>
    <w:rsid w:val="006357FF"/>
    <w:rsid w:val="00636C0A"/>
    <w:rsid w:val="00637EC6"/>
    <w:rsid w:val="0064240C"/>
    <w:rsid w:val="00642FF5"/>
    <w:rsid w:val="006430FB"/>
    <w:rsid w:val="00643992"/>
    <w:rsid w:val="00644DBC"/>
    <w:rsid w:val="00646FE6"/>
    <w:rsid w:val="006474CD"/>
    <w:rsid w:val="00647744"/>
    <w:rsid w:val="006479A0"/>
    <w:rsid w:val="006500D9"/>
    <w:rsid w:val="00653B54"/>
    <w:rsid w:val="006541A3"/>
    <w:rsid w:val="00654FAD"/>
    <w:rsid w:val="00655C9F"/>
    <w:rsid w:val="006567FF"/>
    <w:rsid w:val="00656867"/>
    <w:rsid w:val="0066109F"/>
    <w:rsid w:val="00664B26"/>
    <w:rsid w:val="0066596B"/>
    <w:rsid w:val="00670295"/>
    <w:rsid w:val="006704F5"/>
    <w:rsid w:val="00672894"/>
    <w:rsid w:val="00674B47"/>
    <w:rsid w:val="0067609E"/>
    <w:rsid w:val="00677749"/>
    <w:rsid w:val="00680E07"/>
    <w:rsid w:val="00682B9D"/>
    <w:rsid w:val="00683806"/>
    <w:rsid w:val="00686AF9"/>
    <w:rsid w:val="006910C0"/>
    <w:rsid w:val="00691954"/>
    <w:rsid w:val="0069320E"/>
    <w:rsid w:val="00693D13"/>
    <w:rsid w:val="00694F58"/>
    <w:rsid w:val="006955BC"/>
    <w:rsid w:val="006959E2"/>
    <w:rsid w:val="00696920"/>
    <w:rsid w:val="00697EB9"/>
    <w:rsid w:val="006A20D4"/>
    <w:rsid w:val="006A268D"/>
    <w:rsid w:val="006A350F"/>
    <w:rsid w:val="006A3957"/>
    <w:rsid w:val="006A39A4"/>
    <w:rsid w:val="006A41D6"/>
    <w:rsid w:val="006A669D"/>
    <w:rsid w:val="006A6E41"/>
    <w:rsid w:val="006B012F"/>
    <w:rsid w:val="006B27CF"/>
    <w:rsid w:val="006B41BD"/>
    <w:rsid w:val="006B5678"/>
    <w:rsid w:val="006B62B2"/>
    <w:rsid w:val="006C1C57"/>
    <w:rsid w:val="006C5760"/>
    <w:rsid w:val="006C6D6F"/>
    <w:rsid w:val="006D0D78"/>
    <w:rsid w:val="006D1128"/>
    <w:rsid w:val="006D2848"/>
    <w:rsid w:val="006D30E0"/>
    <w:rsid w:val="006D5521"/>
    <w:rsid w:val="006D5FE9"/>
    <w:rsid w:val="006D6AA6"/>
    <w:rsid w:val="006D6CBB"/>
    <w:rsid w:val="006D76A9"/>
    <w:rsid w:val="006D77F4"/>
    <w:rsid w:val="006E0898"/>
    <w:rsid w:val="006E41CD"/>
    <w:rsid w:val="006E4872"/>
    <w:rsid w:val="006E53B2"/>
    <w:rsid w:val="006F3BEC"/>
    <w:rsid w:val="006F6767"/>
    <w:rsid w:val="006F79B7"/>
    <w:rsid w:val="00701D9D"/>
    <w:rsid w:val="00703C00"/>
    <w:rsid w:val="007057CC"/>
    <w:rsid w:val="007066F2"/>
    <w:rsid w:val="00706AE5"/>
    <w:rsid w:val="0070740A"/>
    <w:rsid w:val="00711F93"/>
    <w:rsid w:val="00712824"/>
    <w:rsid w:val="00712940"/>
    <w:rsid w:val="0071428C"/>
    <w:rsid w:val="00715A16"/>
    <w:rsid w:val="007164B0"/>
    <w:rsid w:val="007166FF"/>
    <w:rsid w:val="00717C4E"/>
    <w:rsid w:val="00720FD9"/>
    <w:rsid w:val="007260CC"/>
    <w:rsid w:val="00726543"/>
    <w:rsid w:val="0073353E"/>
    <w:rsid w:val="00736633"/>
    <w:rsid w:val="00741EE7"/>
    <w:rsid w:val="00743A79"/>
    <w:rsid w:val="007444D4"/>
    <w:rsid w:val="0074594D"/>
    <w:rsid w:val="007459F3"/>
    <w:rsid w:val="00746E35"/>
    <w:rsid w:val="007470E2"/>
    <w:rsid w:val="0075232F"/>
    <w:rsid w:val="00753132"/>
    <w:rsid w:val="007550B3"/>
    <w:rsid w:val="00760451"/>
    <w:rsid w:val="00761F24"/>
    <w:rsid w:val="007649D5"/>
    <w:rsid w:val="00767132"/>
    <w:rsid w:val="00771428"/>
    <w:rsid w:val="0077182A"/>
    <w:rsid w:val="00771913"/>
    <w:rsid w:val="00772718"/>
    <w:rsid w:val="00772D26"/>
    <w:rsid w:val="007741FC"/>
    <w:rsid w:val="00775BCF"/>
    <w:rsid w:val="007762D5"/>
    <w:rsid w:val="007818AA"/>
    <w:rsid w:val="00783140"/>
    <w:rsid w:val="007838B6"/>
    <w:rsid w:val="00783E77"/>
    <w:rsid w:val="007906F1"/>
    <w:rsid w:val="0079243D"/>
    <w:rsid w:val="00794A9B"/>
    <w:rsid w:val="0079583B"/>
    <w:rsid w:val="00796602"/>
    <w:rsid w:val="00797185"/>
    <w:rsid w:val="007976B7"/>
    <w:rsid w:val="00797A7E"/>
    <w:rsid w:val="00797D6F"/>
    <w:rsid w:val="007A7324"/>
    <w:rsid w:val="007B014B"/>
    <w:rsid w:val="007B0D88"/>
    <w:rsid w:val="007B306F"/>
    <w:rsid w:val="007B35E5"/>
    <w:rsid w:val="007B4714"/>
    <w:rsid w:val="007B4E82"/>
    <w:rsid w:val="007C1996"/>
    <w:rsid w:val="007C3773"/>
    <w:rsid w:val="007C3F1F"/>
    <w:rsid w:val="007C4096"/>
    <w:rsid w:val="007D2D0D"/>
    <w:rsid w:val="007D3325"/>
    <w:rsid w:val="007D3818"/>
    <w:rsid w:val="007D6DC5"/>
    <w:rsid w:val="007D7425"/>
    <w:rsid w:val="007E320E"/>
    <w:rsid w:val="007E3280"/>
    <w:rsid w:val="007E4A02"/>
    <w:rsid w:val="007E595C"/>
    <w:rsid w:val="007E59A5"/>
    <w:rsid w:val="007F3B8C"/>
    <w:rsid w:val="007F41D0"/>
    <w:rsid w:val="007F4B8B"/>
    <w:rsid w:val="007F5957"/>
    <w:rsid w:val="007F6BCE"/>
    <w:rsid w:val="007F70B6"/>
    <w:rsid w:val="007F74CA"/>
    <w:rsid w:val="00800F1E"/>
    <w:rsid w:val="0080195A"/>
    <w:rsid w:val="00801C7E"/>
    <w:rsid w:val="0080239C"/>
    <w:rsid w:val="00802841"/>
    <w:rsid w:val="008037D5"/>
    <w:rsid w:val="00805447"/>
    <w:rsid w:val="008054FA"/>
    <w:rsid w:val="0080717A"/>
    <w:rsid w:val="00807DFA"/>
    <w:rsid w:val="0081009F"/>
    <w:rsid w:val="00810152"/>
    <w:rsid w:val="008115AB"/>
    <w:rsid w:val="00811EBD"/>
    <w:rsid w:val="00812D2C"/>
    <w:rsid w:val="008159F4"/>
    <w:rsid w:val="008167C1"/>
    <w:rsid w:val="008167C6"/>
    <w:rsid w:val="00816B8F"/>
    <w:rsid w:val="008179BC"/>
    <w:rsid w:val="00820331"/>
    <w:rsid w:val="00820BF5"/>
    <w:rsid w:val="008212B1"/>
    <w:rsid w:val="0082155A"/>
    <w:rsid w:val="0082209F"/>
    <w:rsid w:val="008223C2"/>
    <w:rsid w:val="008250A2"/>
    <w:rsid w:val="00825D64"/>
    <w:rsid w:val="0082650B"/>
    <w:rsid w:val="00826A52"/>
    <w:rsid w:val="008301CE"/>
    <w:rsid w:val="008312E3"/>
    <w:rsid w:val="00831D5B"/>
    <w:rsid w:val="00832DD6"/>
    <w:rsid w:val="00832F0C"/>
    <w:rsid w:val="008336F2"/>
    <w:rsid w:val="008345D9"/>
    <w:rsid w:val="008347CB"/>
    <w:rsid w:val="00835647"/>
    <w:rsid w:val="00837A2E"/>
    <w:rsid w:val="00841558"/>
    <w:rsid w:val="00842A68"/>
    <w:rsid w:val="008435BA"/>
    <w:rsid w:val="0084558B"/>
    <w:rsid w:val="0084654A"/>
    <w:rsid w:val="00847654"/>
    <w:rsid w:val="00851064"/>
    <w:rsid w:val="00855543"/>
    <w:rsid w:val="008566B3"/>
    <w:rsid w:val="008576B7"/>
    <w:rsid w:val="00857F7B"/>
    <w:rsid w:val="00863DA1"/>
    <w:rsid w:val="008654A6"/>
    <w:rsid w:val="00865D86"/>
    <w:rsid w:val="00866AB7"/>
    <w:rsid w:val="00870495"/>
    <w:rsid w:val="00870EA1"/>
    <w:rsid w:val="008710C5"/>
    <w:rsid w:val="00874438"/>
    <w:rsid w:val="00874E75"/>
    <w:rsid w:val="008755FE"/>
    <w:rsid w:val="008767F3"/>
    <w:rsid w:val="00876CEF"/>
    <w:rsid w:val="00877342"/>
    <w:rsid w:val="008803C3"/>
    <w:rsid w:val="00881450"/>
    <w:rsid w:val="008817C7"/>
    <w:rsid w:val="00881875"/>
    <w:rsid w:val="008848A3"/>
    <w:rsid w:val="00884AF1"/>
    <w:rsid w:val="00885158"/>
    <w:rsid w:val="00885F7A"/>
    <w:rsid w:val="00886604"/>
    <w:rsid w:val="00890712"/>
    <w:rsid w:val="00890D81"/>
    <w:rsid w:val="00892955"/>
    <w:rsid w:val="00893628"/>
    <w:rsid w:val="008941EB"/>
    <w:rsid w:val="0089545A"/>
    <w:rsid w:val="00895A02"/>
    <w:rsid w:val="008A01EE"/>
    <w:rsid w:val="008A0DAC"/>
    <w:rsid w:val="008A3B78"/>
    <w:rsid w:val="008A4166"/>
    <w:rsid w:val="008A7DBF"/>
    <w:rsid w:val="008B136C"/>
    <w:rsid w:val="008B4A4E"/>
    <w:rsid w:val="008B513E"/>
    <w:rsid w:val="008B55EF"/>
    <w:rsid w:val="008B6910"/>
    <w:rsid w:val="008C0B5C"/>
    <w:rsid w:val="008C1343"/>
    <w:rsid w:val="008C2656"/>
    <w:rsid w:val="008C3912"/>
    <w:rsid w:val="008C5263"/>
    <w:rsid w:val="008C5598"/>
    <w:rsid w:val="008C601B"/>
    <w:rsid w:val="008C69EA"/>
    <w:rsid w:val="008C6F8B"/>
    <w:rsid w:val="008C7AB7"/>
    <w:rsid w:val="008C7FB4"/>
    <w:rsid w:val="008D0CB6"/>
    <w:rsid w:val="008D2C8C"/>
    <w:rsid w:val="008D2CFE"/>
    <w:rsid w:val="008D3040"/>
    <w:rsid w:val="008D3ECD"/>
    <w:rsid w:val="008D5C03"/>
    <w:rsid w:val="008D7580"/>
    <w:rsid w:val="008D7C35"/>
    <w:rsid w:val="008E074C"/>
    <w:rsid w:val="008E3131"/>
    <w:rsid w:val="008E5698"/>
    <w:rsid w:val="008E5733"/>
    <w:rsid w:val="008E77D2"/>
    <w:rsid w:val="008E78FD"/>
    <w:rsid w:val="008F199D"/>
    <w:rsid w:val="008F2627"/>
    <w:rsid w:val="008F38A0"/>
    <w:rsid w:val="008F39C9"/>
    <w:rsid w:val="008F5EB5"/>
    <w:rsid w:val="008F678C"/>
    <w:rsid w:val="008F75A7"/>
    <w:rsid w:val="008F7E5A"/>
    <w:rsid w:val="00900A7F"/>
    <w:rsid w:val="009021A6"/>
    <w:rsid w:val="009036EE"/>
    <w:rsid w:val="00905815"/>
    <w:rsid w:val="00905D1D"/>
    <w:rsid w:val="0091016D"/>
    <w:rsid w:val="00910C98"/>
    <w:rsid w:val="00911910"/>
    <w:rsid w:val="009126CF"/>
    <w:rsid w:val="00912A58"/>
    <w:rsid w:val="00913908"/>
    <w:rsid w:val="00913D26"/>
    <w:rsid w:val="0091438B"/>
    <w:rsid w:val="009147E3"/>
    <w:rsid w:val="00920FD2"/>
    <w:rsid w:val="00923A43"/>
    <w:rsid w:val="0092439C"/>
    <w:rsid w:val="0092498E"/>
    <w:rsid w:val="00925B91"/>
    <w:rsid w:val="00927775"/>
    <w:rsid w:val="00934461"/>
    <w:rsid w:val="00934F7E"/>
    <w:rsid w:val="00936A1C"/>
    <w:rsid w:val="00943E35"/>
    <w:rsid w:val="00945278"/>
    <w:rsid w:val="0094658D"/>
    <w:rsid w:val="00946E9E"/>
    <w:rsid w:val="00947678"/>
    <w:rsid w:val="00947878"/>
    <w:rsid w:val="009504C2"/>
    <w:rsid w:val="0095254A"/>
    <w:rsid w:val="0095273B"/>
    <w:rsid w:val="009559E1"/>
    <w:rsid w:val="009568D5"/>
    <w:rsid w:val="00957CD3"/>
    <w:rsid w:val="0096269B"/>
    <w:rsid w:val="00963183"/>
    <w:rsid w:val="00963FB0"/>
    <w:rsid w:val="009641E3"/>
    <w:rsid w:val="0096464D"/>
    <w:rsid w:val="00964C86"/>
    <w:rsid w:val="00965E82"/>
    <w:rsid w:val="009664BB"/>
    <w:rsid w:val="009669F8"/>
    <w:rsid w:val="00966F89"/>
    <w:rsid w:val="00973B5D"/>
    <w:rsid w:val="009753AD"/>
    <w:rsid w:val="0097755E"/>
    <w:rsid w:val="009806A3"/>
    <w:rsid w:val="00981467"/>
    <w:rsid w:val="00981C24"/>
    <w:rsid w:val="00984901"/>
    <w:rsid w:val="009852F6"/>
    <w:rsid w:val="00985DE5"/>
    <w:rsid w:val="00986254"/>
    <w:rsid w:val="0098729E"/>
    <w:rsid w:val="00990067"/>
    <w:rsid w:val="00992977"/>
    <w:rsid w:val="009937D4"/>
    <w:rsid w:val="00993C78"/>
    <w:rsid w:val="009948C7"/>
    <w:rsid w:val="00995850"/>
    <w:rsid w:val="0099796C"/>
    <w:rsid w:val="009A194E"/>
    <w:rsid w:val="009A1EA2"/>
    <w:rsid w:val="009A209E"/>
    <w:rsid w:val="009A3FD7"/>
    <w:rsid w:val="009A4D6D"/>
    <w:rsid w:val="009A6652"/>
    <w:rsid w:val="009A74FD"/>
    <w:rsid w:val="009B1859"/>
    <w:rsid w:val="009B25D8"/>
    <w:rsid w:val="009B2BB7"/>
    <w:rsid w:val="009B42E3"/>
    <w:rsid w:val="009B5859"/>
    <w:rsid w:val="009B798F"/>
    <w:rsid w:val="009C05CA"/>
    <w:rsid w:val="009C3D9C"/>
    <w:rsid w:val="009C6D07"/>
    <w:rsid w:val="009C7CEC"/>
    <w:rsid w:val="009D154D"/>
    <w:rsid w:val="009D18EF"/>
    <w:rsid w:val="009D3BE8"/>
    <w:rsid w:val="009D44E0"/>
    <w:rsid w:val="009D573B"/>
    <w:rsid w:val="009D59A0"/>
    <w:rsid w:val="009D716A"/>
    <w:rsid w:val="009E1AC4"/>
    <w:rsid w:val="009E20B8"/>
    <w:rsid w:val="009E29A0"/>
    <w:rsid w:val="009E41B5"/>
    <w:rsid w:val="009E45AE"/>
    <w:rsid w:val="009E55D7"/>
    <w:rsid w:val="009E627C"/>
    <w:rsid w:val="009F110B"/>
    <w:rsid w:val="009F1498"/>
    <w:rsid w:val="009F1E9F"/>
    <w:rsid w:val="009F3793"/>
    <w:rsid w:val="009F54F2"/>
    <w:rsid w:val="00A0056B"/>
    <w:rsid w:val="00A01657"/>
    <w:rsid w:val="00A01C65"/>
    <w:rsid w:val="00A0213D"/>
    <w:rsid w:val="00A04C73"/>
    <w:rsid w:val="00A0679A"/>
    <w:rsid w:val="00A075C5"/>
    <w:rsid w:val="00A07A2B"/>
    <w:rsid w:val="00A12375"/>
    <w:rsid w:val="00A125B8"/>
    <w:rsid w:val="00A13124"/>
    <w:rsid w:val="00A15370"/>
    <w:rsid w:val="00A156AB"/>
    <w:rsid w:val="00A16B8D"/>
    <w:rsid w:val="00A20271"/>
    <w:rsid w:val="00A21293"/>
    <w:rsid w:val="00A2134B"/>
    <w:rsid w:val="00A21623"/>
    <w:rsid w:val="00A220EB"/>
    <w:rsid w:val="00A22302"/>
    <w:rsid w:val="00A228DE"/>
    <w:rsid w:val="00A25F1B"/>
    <w:rsid w:val="00A31072"/>
    <w:rsid w:val="00A321B3"/>
    <w:rsid w:val="00A325F3"/>
    <w:rsid w:val="00A33103"/>
    <w:rsid w:val="00A33294"/>
    <w:rsid w:val="00A34985"/>
    <w:rsid w:val="00A35DCB"/>
    <w:rsid w:val="00A3690E"/>
    <w:rsid w:val="00A37751"/>
    <w:rsid w:val="00A406B1"/>
    <w:rsid w:val="00A4113E"/>
    <w:rsid w:val="00A42435"/>
    <w:rsid w:val="00A438BA"/>
    <w:rsid w:val="00A446FD"/>
    <w:rsid w:val="00A46F46"/>
    <w:rsid w:val="00A52CB6"/>
    <w:rsid w:val="00A52F99"/>
    <w:rsid w:val="00A538BB"/>
    <w:rsid w:val="00A54164"/>
    <w:rsid w:val="00A56737"/>
    <w:rsid w:val="00A5679F"/>
    <w:rsid w:val="00A60002"/>
    <w:rsid w:val="00A603D8"/>
    <w:rsid w:val="00A60AE2"/>
    <w:rsid w:val="00A61834"/>
    <w:rsid w:val="00A618B0"/>
    <w:rsid w:val="00A62790"/>
    <w:rsid w:val="00A6291F"/>
    <w:rsid w:val="00A63F53"/>
    <w:rsid w:val="00A7052A"/>
    <w:rsid w:val="00A7111E"/>
    <w:rsid w:val="00A73102"/>
    <w:rsid w:val="00A755B6"/>
    <w:rsid w:val="00A75B1A"/>
    <w:rsid w:val="00A80ED4"/>
    <w:rsid w:val="00A816C4"/>
    <w:rsid w:val="00A82981"/>
    <w:rsid w:val="00A82EFF"/>
    <w:rsid w:val="00A850B9"/>
    <w:rsid w:val="00A86F10"/>
    <w:rsid w:val="00A877BC"/>
    <w:rsid w:val="00A87AF2"/>
    <w:rsid w:val="00A90B23"/>
    <w:rsid w:val="00A927B7"/>
    <w:rsid w:val="00A93193"/>
    <w:rsid w:val="00A93C2B"/>
    <w:rsid w:val="00A94556"/>
    <w:rsid w:val="00A974CB"/>
    <w:rsid w:val="00AA1EAC"/>
    <w:rsid w:val="00AA45E2"/>
    <w:rsid w:val="00AA5E78"/>
    <w:rsid w:val="00AA7AC1"/>
    <w:rsid w:val="00AB419C"/>
    <w:rsid w:val="00AB6327"/>
    <w:rsid w:val="00AB6B8F"/>
    <w:rsid w:val="00AC0C65"/>
    <w:rsid w:val="00AC0FB2"/>
    <w:rsid w:val="00AC3721"/>
    <w:rsid w:val="00AC41C6"/>
    <w:rsid w:val="00AC5A87"/>
    <w:rsid w:val="00AC70C7"/>
    <w:rsid w:val="00AC76B7"/>
    <w:rsid w:val="00AD0223"/>
    <w:rsid w:val="00AD123A"/>
    <w:rsid w:val="00AD15FF"/>
    <w:rsid w:val="00AD1AA5"/>
    <w:rsid w:val="00AD2920"/>
    <w:rsid w:val="00AD2CD5"/>
    <w:rsid w:val="00AD2DFC"/>
    <w:rsid w:val="00AD38C4"/>
    <w:rsid w:val="00AD5A4A"/>
    <w:rsid w:val="00AD60EE"/>
    <w:rsid w:val="00AD6125"/>
    <w:rsid w:val="00AD6A2B"/>
    <w:rsid w:val="00AD73D4"/>
    <w:rsid w:val="00AE1EA2"/>
    <w:rsid w:val="00AE2874"/>
    <w:rsid w:val="00AE2F98"/>
    <w:rsid w:val="00AE3602"/>
    <w:rsid w:val="00AE5342"/>
    <w:rsid w:val="00AE5987"/>
    <w:rsid w:val="00AE6472"/>
    <w:rsid w:val="00AF1345"/>
    <w:rsid w:val="00AF38A8"/>
    <w:rsid w:val="00AF63EB"/>
    <w:rsid w:val="00B016D2"/>
    <w:rsid w:val="00B018EC"/>
    <w:rsid w:val="00B060C7"/>
    <w:rsid w:val="00B11AB7"/>
    <w:rsid w:val="00B12213"/>
    <w:rsid w:val="00B13710"/>
    <w:rsid w:val="00B17FE1"/>
    <w:rsid w:val="00B216FF"/>
    <w:rsid w:val="00B22881"/>
    <w:rsid w:val="00B23EFC"/>
    <w:rsid w:val="00B24B72"/>
    <w:rsid w:val="00B25326"/>
    <w:rsid w:val="00B25DB8"/>
    <w:rsid w:val="00B2656C"/>
    <w:rsid w:val="00B266E6"/>
    <w:rsid w:val="00B3094D"/>
    <w:rsid w:val="00B30B04"/>
    <w:rsid w:val="00B311BC"/>
    <w:rsid w:val="00B31810"/>
    <w:rsid w:val="00B31C10"/>
    <w:rsid w:val="00B3446D"/>
    <w:rsid w:val="00B34652"/>
    <w:rsid w:val="00B34F89"/>
    <w:rsid w:val="00B358C8"/>
    <w:rsid w:val="00B36185"/>
    <w:rsid w:val="00B3662F"/>
    <w:rsid w:val="00B373CD"/>
    <w:rsid w:val="00B377C8"/>
    <w:rsid w:val="00B400B8"/>
    <w:rsid w:val="00B404DE"/>
    <w:rsid w:val="00B40765"/>
    <w:rsid w:val="00B4232D"/>
    <w:rsid w:val="00B42682"/>
    <w:rsid w:val="00B43065"/>
    <w:rsid w:val="00B44784"/>
    <w:rsid w:val="00B449D0"/>
    <w:rsid w:val="00B4538B"/>
    <w:rsid w:val="00B456A6"/>
    <w:rsid w:val="00B456AB"/>
    <w:rsid w:val="00B46C2A"/>
    <w:rsid w:val="00B47E8B"/>
    <w:rsid w:val="00B51C67"/>
    <w:rsid w:val="00B53F86"/>
    <w:rsid w:val="00B53FDC"/>
    <w:rsid w:val="00B55431"/>
    <w:rsid w:val="00B55CAE"/>
    <w:rsid w:val="00B569F6"/>
    <w:rsid w:val="00B576C6"/>
    <w:rsid w:val="00B615F2"/>
    <w:rsid w:val="00B61A28"/>
    <w:rsid w:val="00B65C6D"/>
    <w:rsid w:val="00B66B06"/>
    <w:rsid w:val="00B67862"/>
    <w:rsid w:val="00B70634"/>
    <w:rsid w:val="00B70BE4"/>
    <w:rsid w:val="00B73880"/>
    <w:rsid w:val="00B73CF1"/>
    <w:rsid w:val="00B745B3"/>
    <w:rsid w:val="00B7599D"/>
    <w:rsid w:val="00B7648F"/>
    <w:rsid w:val="00B76E13"/>
    <w:rsid w:val="00B771EE"/>
    <w:rsid w:val="00B7765B"/>
    <w:rsid w:val="00B77B4B"/>
    <w:rsid w:val="00B80ABC"/>
    <w:rsid w:val="00B814C2"/>
    <w:rsid w:val="00B836D8"/>
    <w:rsid w:val="00B900FE"/>
    <w:rsid w:val="00B9064C"/>
    <w:rsid w:val="00BA0A14"/>
    <w:rsid w:val="00BA1BDE"/>
    <w:rsid w:val="00BA228D"/>
    <w:rsid w:val="00BA398D"/>
    <w:rsid w:val="00BA39D3"/>
    <w:rsid w:val="00BA5C56"/>
    <w:rsid w:val="00BA776F"/>
    <w:rsid w:val="00BB0C0D"/>
    <w:rsid w:val="00BB0D69"/>
    <w:rsid w:val="00BB366E"/>
    <w:rsid w:val="00BB3AF0"/>
    <w:rsid w:val="00BB4D25"/>
    <w:rsid w:val="00BB4F70"/>
    <w:rsid w:val="00BB67FF"/>
    <w:rsid w:val="00BC0A41"/>
    <w:rsid w:val="00BC11B9"/>
    <w:rsid w:val="00BC138C"/>
    <w:rsid w:val="00BC14CF"/>
    <w:rsid w:val="00BC1659"/>
    <w:rsid w:val="00BC2C91"/>
    <w:rsid w:val="00BC3A9C"/>
    <w:rsid w:val="00BC5288"/>
    <w:rsid w:val="00BC6A71"/>
    <w:rsid w:val="00BC6B2F"/>
    <w:rsid w:val="00BD0637"/>
    <w:rsid w:val="00BD08A8"/>
    <w:rsid w:val="00BD1BAC"/>
    <w:rsid w:val="00BD1FA8"/>
    <w:rsid w:val="00BD25A6"/>
    <w:rsid w:val="00BD2A37"/>
    <w:rsid w:val="00BD4C95"/>
    <w:rsid w:val="00BD65FC"/>
    <w:rsid w:val="00BD7660"/>
    <w:rsid w:val="00BE0666"/>
    <w:rsid w:val="00BE24B9"/>
    <w:rsid w:val="00BE2AE8"/>
    <w:rsid w:val="00BE2D55"/>
    <w:rsid w:val="00BE3658"/>
    <w:rsid w:val="00BE38DD"/>
    <w:rsid w:val="00BE4AB1"/>
    <w:rsid w:val="00BE711E"/>
    <w:rsid w:val="00BF141B"/>
    <w:rsid w:val="00BF16C3"/>
    <w:rsid w:val="00BF38E0"/>
    <w:rsid w:val="00BF44FA"/>
    <w:rsid w:val="00BF57E1"/>
    <w:rsid w:val="00C003B4"/>
    <w:rsid w:val="00C00A5F"/>
    <w:rsid w:val="00C042E0"/>
    <w:rsid w:val="00C051D9"/>
    <w:rsid w:val="00C06333"/>
    <w:rsid w:val="00C06F68"/>
    <w:rsid w:val="00C075BA"/>
    <w:rsid w:val="00C10A3A"/>
    <w:rsid w:val="00C11E20"/>
    <w:rsid w:val="00C1345F"/>
    <w:rsid w:val="00C15D16"/>
    <w:rsid w:val="00C20015"/>
    <w:rsid w:val="00C213FB"/>
    <w:rsid w:val="00C2219F"/>
    <w:rsid w:val="00C247DD"/>
    <w:rsid w:val="00C25B43"/>
    <w:rsid w:val="00C26A54"/>
    <w:rsid w:val="00C3261C"/>
    <w:rsid w:val="00C3318B"/>
    <w:rsid w:val="00C33C20"/>
    <w:rsid w:val="00C35362"/>
    <w:rsid w:val="00C357EA"/>
    <w:rsid w:val="00C379F8"/>
    <w:rsid w:val="00C37A1C"/>
    <w:rsid w:val="00C42323"/>
    <w:rsid w:val="00C4316E"/>
    <w:rsid w:val="00C43BF8"/>
    <w:rsid w:val="00C453A9"/>
    <w:rsid w:val="00C465D5"/>
    <w:rsid w:val="00C4756A"/>
    <w:rsid w:val="00C47C39"/>
    <w:rsid w:val="00C50649"/>
    <w:rsid w:val="00C50E1F"/>
    <w:rsid w:val="00C51C09"/>
    <w:rsid w:val="00C52BB6"/>
    <w:rsid w:val="00C53471"/>
    <w:rsid w:val="00C55143"/>
    <w:rsid w:val="00C5611B"/>
    <w:rsid w:val="00C5695E"/>
    <w:rsid w:val="00C61528"/>
    <w:rsid w:val="00C63457"/>
    <w:rsid w:val="00C64964"/>
    <w:rsid w:val="00C6631E"/>
    <w:rsid w:val="00C67473"/>
    <w:rsid w:val="00C67AA4"/>
    <w:rsid w:val="00C7148C"/>
    <w:rsid w:val="00C72192"/>
    <w:rsid w:val="00C732E5"/>
    <w:rsid w:val="00C73D0B"/>
    <w:rsid w:val="00C75017"/>
    <w:rsid w:val="00C765B4"/>
    <w:rsid w:val="00C813EA"/>
    <w:rsid w:val="00C81496"/>
    <w:rsid w:val="00C82CE6"/>
    <w:rsid w:val="00C82E22"/>
    <w:rsid w:val="00C83657"/>
    <w:rsid w:val="00C85144"/>
    <w:rsid w:val="00C86738"/>
    <w:rsid w:val="00C86A27"/>
    <w:rsid w:val="00C91517"/>
    <w:rsid w:val="00C929BD"/>
    <w:rsid w:val="00C931A2"/>
    <w:rsid w:val="00C94B07"/>
    <w:rsid w:val="00CA02E1"/>
    <w:rsid w:val="00CA15DA"/>
    <w:rsid w:val="00CA224E"/>
    <w:rsid w:val="00CA41C5"/>
    <w:rsid w:val="00CA42B7"/>
    <w:rsid w:val="00CA4A53"/>
    <w:rsid w:val="00CA51F5"/>
    <w:rsid w:val="00CA6FB9"/>
    <w:rsid w:val="00CB2143"/>
    <w:rsid w:val="00CB218A"/>
    <w:rsid w:val="00CB225A"/>
    <w:rsid w:val="00CB3CEC"/>
    <w:rsid w:val="00CB69E6"/>
    <w:rsid w:val="00CB761B"/>
    <w:rsid w:val="00CC13DF"/>
    <w:rsid w:val="00CC1EEE"/>
    <w:rsid w:val="00CC4265"/>
    <w:rsid w:val="00CC562B"/>
    <w:rsid w:val="00CC6C15"/>
    <w:rsid w:val="00CC7FCF"/>
    <w:rsid w:val="00CD2749"/>
    <w:rsid w:val="00CD2A60"/>
    <w:rsid w:val="00CD306F"/>
    <w:rsid w:val="00CD3971"/>
    <w:rsid w:val="00CD3DAB"/>
    <w:rsid w:val="00CD66F5"/>
    <w:rsid w:val="00CE0DF1"/>
    <w:rsid w:val="00CE274B"/>
    <w:rsid w:val="00CE2C86"/>
    <w:rsid w:val="00CE3786"/>
    <w:rsid w:val="00CE4027"/>
    <w:rsid w:val="00CE47CC"/>
    <w:rsid w:val="00CE68A5"/>
    <w:rsid w:val="00CE68F6"/>
    <w:rsid w:val="00CE7E27"/>
    <w:rsid w:val="00CF22AC"/>
    <w:rsid w:val="00CF2F0A"/>
    <w:rsid w:val="00CF4859"/>
    <w:rsid w:val="00CF79E8"/>
    <w:rsid w:val="00D015AA"/>
    <w:rsid w:val="00D021B8"/>
    <w:rsid w:val="00D03D90"/>
    <w:rsid w:val="00D04024"/>
    <w:rsid w:val="00D043EB"/>
    <w:rsid w:val="00D06705"/>
    <w:rsid w:val="00D06A9B"/>
    <w:rsid w:val="00D0750D"/>
    <w:rsid w:val="00D07DD8"/>
    <w:rsid w:val="00D1038F"/>
    <w:rsid w:val="00D10BF7"/>
    <w:rsid w:val="00D10FEB"/>
    <w:rsid w:val="00D140A0"/>
    <w:rsid w:val="00D15345"/>
    <w:rsid w:val="00D20062"/>
    <w:rsid w:val="00D203D1"/>
    <w:rsid w:val="00D2057A"/>
    <w:rsid w:val="00D20A71"/>
    <w:rsid w:val="00D21D98"/>
    <w:rsid w:val="00D2317F"/>
    <w:rsid w:val="00D231A9"/>
    <w:rsid w:val="00D23617"/>
    <w:rsid w:val="00D24391"/>
    <w:rsid w:val="00D2472B"/>
    <w:rsid w:val="00D253DD"/>
    <w:rsid w:val="00D26FFA"/>
    <w:rsid w:val="00D31396"/>
    <w:rsid w:val="00D3215D"/>
    <w:rsid w:val="00D33352"/>
    <w:rsid w:val="00D347D9"/>
    <w:rsid w:val="00D35565"/>
    <w:rsid w:val="00D36A19"/>
    <w:rsid w:val="00D40DCF"/>
    <w:rsid w:val="00D41075"/>
    <w:rsid w:val="00D41C76"/>
    <w:rsid w:val="00D41DD8"/>
    <w:rsid w:val="00D4222C"/>
    <w:rsid w:val="00D425CE"/>
    <w:rsid w:val="00D42CF8"/>
    <w:rsid w:val="00D42F40"/>
    <w:rsid w:val="00D4396C"/>
    <w:rsid w:val="00D4446F"/>
    <w:rsid w:val="00D44B55"/>
    <w:rsid w:val="00D45490"/>
    <w:rsid w:val="00D457B8"/>
    <w:rsid w:val="00D457E1"/>
    <w:rsid w:val="00D46D3E"/>
    <w:rsid w:val="00D47BEB"/>
    <w:rsid w:val="00D50487"/>
    <w:rsid w:val="00D50563"/>
    <w:rsid w:val="00D50F50"/>
    <w:rsid w:val="00D5235F"/>
    <w:rsid w:val="00D52F50"/>
    <w:rsid w:val="00D54EAA"/>
    <w:rsid w:val="00D55A98"/>
    <w:rsid w:val="00D56B49"/>
    <w:rsid w:val="00D6053F"/>
    <w:rsid w:val="00D6073D"/>
    <w:rsid w:val="00D618D6"/>
    <w:rsid w:val="00D61AC5"/>
    <w:rsid w:val="00D62426"/>
    <w:rsid w:val="00D62804"/>
    <w:rsid w:val="00D70610"/>
    <w:rsid w:val="00D70F55"/>
    <w:rsid w:val="00D70FA5"/>
    <w:rsid w:val="00D72A56"/>
    <w:rsid w:val="00D74171"/>
    <w:rsid w:val="00D7474C"/>
    <w:rsid w:val="00D8032C"/>
    <w:rsid w:val="00D80CE2"/>
    <w:rsid w:val="00D83080"/>
    <w:rsid w:val="00D84D5F"/>
    <w:rsid w:val="00D851E2"/>
    <w:rsid w:val="00D87FFA"/>
    <w:rsid w:val="00D91419"/>
    <w:rsid w:val="00D924EE"/>
    <w:rsid w:val="00D92A09"/>
    <w:rsid w:val="00D92D2A"/>
    <w:rsid w:val="00D92EEC"/>
    <w:rsid w:val="00D93470"/>
    <w:rsid w:val="00D9395F"/>
    <w:rsid w:val="00D93D55"/>
    <w:rsid w:val="00D941FA"/>
    <w:rsid w:val="00D94B59"/>
    <w:rsid w:val="00D95315"/>
    <w:rsid w:val="00D95EAB"/>
    <w:rsid w:val="00DA06C8"/>
    <w:rsid w:val="00DA0B39"/>
    <w:rsid w:val="00DA1203"/>
    <w:rsid w:val="00DA2316"/>
    <w:rsid w:val="00DA25E0"/>
    <w:rsid w:val="00DA2700"/>
    <w:rsid w:val="00DA3001"/>
    <w:rsid w:val="00DA3C5D"/>
    <w:rsid w:val="00DA3EFF"/>
    <w:rsid w:val="00DA7769"/>
    <w:rsid w:val="00DA7E3E"/>
    <w:rsid w:val="00DB08C6"/>
    <w:rsid w:val="00DB1BC2"/>
    <w:rsid w:val="00DB1CBB"/>
    <w:rsid w:val="00DB31ED"/>
    <w:rsid w:val="00DB4124"/>
    <w:rsid w:val="00DB4511"/>
    <w:rsid w:val="00DB4F0C"/>
    <w:rsid w:val="00DC0176"/>
    <w:rsid w:val="00DC043F"/>
    <w:rsid w:val="00DC093E"/>
    <w:rsid w:val="00DC0E29"/>
    <w:rsid w:val="00DC0E7A"/>
    <w:rsid w:val="00DC29F8"/>
    <w:rsid w:val="00DC2A65"/>
    <w:rsid w:val="00DC2A86"/>
    <w:rsid w:val="00DC3631"/>
    <w:rsid w:val="00DC37F7"/>
    <w:rsid w:val="00DC6F54"/>
    <w:rsid w:val="00DD0C00"/>
    <w:rsid w:val="00DD0F8C"/>
    <w:rsid w:val="00DD116C"/>
    <w:rsid w:val="00DD1D5A"/>
    <w:rsid w:val="00DD23D5"/>
    <w:rsid w:val="00DD2AF1"/>
    <w:rsid w:val="00DD46DA"/>
    <w:rsid w:val="00DD6072"/>
    <w:rsid w:val="00DD62BE"/>
    <w:rsid w:val="00DD77D9"/>
    <w:rsid w:val="00DD7CA4"/>
    <w:rsid w:val="00DE167C"/>
    <w:rsid w:val="00DE3B70"/>
    <w:rsid w:val="00DE5813"/>
    <w:rsid w:val="00DF10B1"/>
    <w:rsid w:val="00DF1FDA"/>
    <w:rsid w:val="00DF22AD"/>
    <w:rsid w:val="00DF3DD0"/>
    <w:rsid w:val="00DF4D50"/>
    <w:rsid w:val="00DF538C"/>
    <w:rsid w:val="00E021C2"/>
    <w:rsid w:val="00E024A3"/>
    <w:rsid w:val="00E0423D"/>
    <w:rsid w:val="00E057B5"/>
    <w:rsid w:val="00E0581E"/>
    <w:rsid w:val="00E079C5"/>
    <w:rsid w:val="00E07CBD"/>
    <w:rsid w:val="00E07F56"/>
    <w:rsid w:val="00E10A16"/>
    <w:rsid w:val="00E1112F"/>
    <w:rsid w:val="00E12F92"/>
    <w:rsid w:val="00E1318F"/>
    <w:rsid w:val="00E13B3B"/>
    <w:rsid w:val="00E13E29"/>
    <w:rsid w:val="00E16857"/>
    <w:rsid w:val="00E16C3A"/>
    <w:rsid w:val="00E20651"/>
    <w:rsid w:val="00E2107C"/>
    <w:rsid w:val="00E21E70"/>
    <w:rsid w:val="00E224DE"/>
    <w:rsid w:val="00E22889"/>
    <w:rsid w:val="00E23DCE"/>
    <w:rsid w:val="00E26363"/>
    <w:rsid w:val="00E26EB4"/>
    <w:rsid w:val="00E272A4"/>
    <w:rsid w:val="00E305F9"/>
    <w:rsid w:val="00E306AC"/>
    <w:rsid w:val="00E30D5A"/>
    <w:rsid w:val="00E34446"/>
    <w:rsid w:val="00E3633B"/>
    <w:rsid w:val="00E36870"/>
    <w:rsid w:val="00E374E1"/>
    <w:rsid w:val="00E417AB"/>
    <w:rsid w:val="00E43D48"/>
    <w:rsid w:val="00E4542D"/>
    <w:rsid w:val="00E45826"/>
    <w:rsid w:val="00E45BE0"/>
    <w:rsid w:val="00E46CAD"/>
    <w:rsid w:val="00E47521"/>
    <w:rsid w:val="00E4760C"/>
    <w:rsid w:val="00E507A6"/>
    <w:rsid w:val="00E50E17"/>
    <w:rsid w:val="00E5375C"/>
    <w:rsid w:val="00E561AD"/>
    <w:rsid w:val="00E57FAF"/>
    <w:rsid w:val="00E60BA9"/>
    <w:rsid w:val="00E63510"/>
    <w:rsid w:val="00E635EA"/>
    <w:rsid w:val="00E6557A"/>
    <w:rsid w:val="00E655E5"/>
    <w:rsid w:val="00E65F4E"/>
    <w:rsid w:val="00E662E0"/>
    <w:rsid w:val="00E67D5D"/>
    <w:rsid w:val="00E71C7A"/>
    <w:rsid w:val="00E73119"/>
    <w:rsid w:val="00E73CF0"/>
    <w:rsid w:val="00E73E1E"/>
    <w:rsid w:val="00E767FF"/>
    <w:rsid w:val="00E84C91"/>
    <w:rsid w:val="00E84E60"/>
    <w:rsid w:val="00E8556E"/>
    <w:rsid w:val="00E86B2D"/>
    <w:rsid w:val="00E86F4D"/>
    <w:rsid w:val="00E87D08"/>
    <w:rsid w:val="00E87E68"/>
    <w:rsid w:val="00E90D0E"/>
    <w:rsid w:val="00E91B2D"/>
    <w:rsid w:val="00E92FCA"/>
    <w:rsid w:val="00E95CAA"/>
    <w:rsid w:val="00EA0A39"/>
    <w:rsid w:val="00EA0EB2"/>
    <w:rsid w:val="00EA236F"/>
    <w:rsid w:val="00EA3023"/>
    <w:rsid w:val="00EA3E49"/>
    <w:rsid w:val="00EA3FC8"/>
    <w:rsid w:val="00EA4244"/>
    <w:rsid w:val="00EA5B8C"/>
    <w:rsid w:val="00EB09E2"/>
    <w:rsid w:val="00EB0DC9"/>
    <w:rsid w:val="00EB1383"/>
    <w:rsid w:val="00EB252D"/>
    <w:rsid w:val="00EB29FA"/>
    <w:rsid w:val="00EB2CCE"/>
    <w:rsid w:val="00EB385F"/>
    <w:rsid w:val="00EB3E49"/>
    <w:rsid w:val="00EB5FC3"/>
    <w:rsid w:val="00EB6DA9"/>
    <w:rsid w:val="00EC1561"/>
    <w:rsid w:val="00EC462E"/>
    <w:rsid w:val="00EC6CD8"/>
    <w:rsid w:val="00EC786F"/>
    <w:rsid w:val="00ED1866"/>
    <w:rsid w:val="00ED3134"/>
    <w:rsid w:val="00ED38E2"/>
    <w:rsid w:val="00ED5C44"/>
    <w:rsid w:val="00ED635B"/>
    <w:rsid w:val="00EE742D"/>
    <w:rsid w:val="00EF0A22"/>
    <w:rsid w:val="00EF1267"/>
    <w:rsid w:val="00EF180C"/>
    <w:rsid w:val="00EF3B6B"/>
    <w:rsid w:val="00EF4B43"/>
    <w:rsid w:val="00EF6750"/>
    <w:rsid w:val="00EF7621"/>
    <w:rsid w:val="00EF770B"/>
    <w:rsid w:val="00F02836"/>
    <w:rsid w:val="00F02FB5"/>
    <w:rsid w:val="00F0534E"/>
    <w:rsid w:val="00F05C30"/>
    <w:rsid w:val="00F10F1B"/>
    <w:rsid w:val="00F14179"/>
    <w:rsid w:val="00F15786"/>
    <w:rsid w:val="00F167C5"/>
    <w:rsid w:val="00F20B5A"/>
    <w:rsid w:val="00F21F0B"/>
    <w:rsid w:val="00F22CDB"/>
    <w:rsid w:val="00F236AB"/>
    <w:rsid w:val="00F24EA4"/>
    <w:rsid w:val="00F25D7C"/>
    <w:rsid w:val="00F27087"/>
    <w:rsid w:val="00F2773C"/>
    <w:rsid w:val="00F300B3"/>
    <w:rsid w:val="00F30DB9"/>
    <w:rsid w:val="00F30FB8"/>
    <w:rsid w:val="00F31D68"/>
    <w:rsid w:val="00F33152"/>
    <w:rsid w:val="00F338F2"/>
    <w:rsid w:val="00F349D3"/>
    <w:rsid w:val="00F3533E"/>
    <w:rsid w:val="00F35B84"/>
    <w:rsid w:val="00F402B5"/>
    <w:rsid w:val="00F4072F"/>
    <w:rsid w:val="00F42839"/>
    <w:rsid w:val="00F44CC0"/>
    <w:rsid w:val="00F450BA"/>
    <w:rsid w:val="00F4684B"/>
    <w:rsid w:val="00F46BE9"/>
    <w:rsid w:val="00F47401"/>
    <w:rsid w:val="00F47C3B"/>
    <w:rsid w:val="00F506CA"/>
    <w:rsid w:val="00F53A7A"/>
    <w:rsid w:val="00F54FCD"/>
    <w:rsid w:val="00F5785C"/>
    <w:rsid w:val="00F65516"/>
    <w:rsid w:val="00F65E3C"/>
    <w:rsid w:val="00F67076"/>
    <w:rsid w:val="00F677FA"/>
    <w:rsid w:val="00F7115A"/>
    <w:rsid w:val="00F717AA"/>
    <w:rsid w:val="00F72714"/>
    <w:rsid w:val="00F744C3"/>
    <w:rsid w:val="00F75EE2"/>
    <w:rsid w:val="00F75F69"/>
    <w:rsid w:val="00F76014"/>
    <w:rsid w:val="00F769E0"/>
    <w:rsid w:val="00F802D3"/>
    <w:rsid w:val="00F80F94"/>
    <w:rsid w:val="00F81BA2"/>
    <w:rsid w:val="00F823A4"/>
    <w:rsid w:val="00F8412F"/>
    <w:rsid w:val="00F84791"/>
    <w:rsid w:val="00F85995"/>
    <w:rsid w:val="00F85FC5"/>
    <w:rsid w:val="00F86C22"/>
    <w:rsid w:val="00F90CB3"/>
    <w:rsid w:val="00F912A2"/>
    <w:rsid w:val="00F913A3"/>
    <w:rsid w:val="00F925C3"/>
    <w:rsid w:val="00FA0109"/>
    <w:rsid w:val="00FA458B"/>
    <w:rsid w:val="00FA5EC5"/>
    <w:rsid w:val="00FA7016"/>
    <w:rsid w:val="00FA7174"/>
    <w:rsid w:val="00FA793D"/>
    <w:rsid w:val="00FB020E"/>
    <w:rsid w:val="00FB0F17"/>
    <w:rsid w:val="00FB4B9D"/>
    <w:rsid w:val="00FB50ED"/>
    <w:rsid w:val="00FB6E18"/>
    <w:rsid w:val="00FC144B"/>
    <w:rsid w:val="00FC2169"/>
    <w:rsid w:val="00FC28E2"/>
    <w:rsid w:val="00FC3BF6"/>
    <w:rsid w:val="00FC3D22"/>
    <w:rsid w:val="00FC6FE1"/>
    <w:rsid w:val="00FD0C3D"/>
    <w:rsid w:val="00FD2F6B"/>
    <w:rsid w:val="00FE064A"/>
    <w:rsid w:val="00FE0B55"/>
    <w:rsid w:val="00FE1E98"/>
    <w:rsid w:val="00FE2452"/>
    <w:rsid w:val="00FE44F1"/>
    <w:rsid w:val="00FE5469"/>
    <w:rsid w:val="00FE66C2"/>
    <w:rsid w:val="00FE684A"/>
    <w:rsid w:val="00FE6F23"/>
    <w:rsid w:val="00FF0F8C"/>
    <w:rsid w:val="00FF408B"/>
    <w:rsid w:val="00FF43E1"/>
    <w:rsid w:val="03430854"/>
    <w:rsid w:val="039F5FA6"/>
    <w:rsid w:val="05FBC2F0"/>
    <w:rsid w:val="09305ADA"/>
    <w:rsid w:val="0A946FE8"/>
    <w:rsid w:val="0BC04410"/>
    <w:rsid w:val="0C73D47D"/>
    <w:rsid w:val="0E8013B7"/>
    <w:rsid w:val="0EEDB218"/>
    <w:rsid w:val="0FFFDDD3"/>
    <w:rsid w:val="10D604C6"/>
    <w:rsid w:val="11B515E0"/>
    <w:rsid w:val="13A53267"/>
    <w:rsid w:val="13F970D2"/>
    <w:rsid w:val="13FF19ED"/>
    <w:rsid w:val="14AA4136"/>
    <w:rsid w:val="163A420B"/>
    <w:rsid w:val="168E030E"/>
    <w:rsid w:val="16CD5DBA"/>
    <w:rsid w:val="17FAC9B2"/>
    <w:rsid w:val="17FE7961"/>
    <w:rsid w:val="19413B26"/>
    <w:rsid w:val="19F683A8"/>
    <w:rsid w:val="1B7ED6B1"/>
    <w:rsid w:val="1BFDE022"/>
    <w:rsid w:val="1C6D3688"/>
    <w:rsid w:val="1CC63D0A"/>
    <w:rsid w:val="1D3EA102"/>
    <w:rsid w:val="1D6FCF23"/>
    <w:rsid w:val="1DC2081A"/>
    <w:rsid w:val="1DD94266"/>
    <w:rsid w:val="1EFFEFE4"/>
    <w:rsid w:val="1F7B8F2D"/>
    <w:rsid w:val="1F9D0947"/>
    <w:rsid w:val="1F9FB4AA"/>
    <w:rsid w:val="1FFB29C6"/>
    <w:rsid w:val="1FFF02AE"/>
    <w:rsid w:val="1FFFE316"/>
    <w:rsid w:val="21660BC5"/>
    <w:rsid w:val="22AF3620"/>
    <w:rsid w:val="22E70AD4"/>
    <w:rsid w:val="24F1508D"/>
    <w:rsid w:val="266F634F"/>
    <w:rsid w:val="27C35ABD"/>
    <w:rsid w:val="291059EA"/>
    <w:rsid w:val="2B6B1E56"/>
    <w:rsid w:val="2BBF12EC"/>
    <w:rsid w:val="2BC649D9"/>
    <w:rsid w:val="2BF6A2AF"/>
    <w:rsid w:val="2CD18054"/>
    <w:rsid w:val="2DDDDB24"/>
    <w:rsid w:val="2ED7C264"/>
    <w:rsid w:val="2F3F48E1"/>
    <w:rsid w:val="2FDB19C0"/>
    <w:rsid w:val="33FF6F21"/>
    <w:rsid w:val="3477D18B"/>
    <w:rsid w:val="34D658BF"/>
    <w:rsid w:val="3515160D"/>
    <w:rsid w:val="37AFE9B6"/>
    <w:rsid w:val="37FCF1FD"/>
    <w:rsid w:val="37FFCA88"/>
    <w:rsid w:val="39E7E9EF"/>
    <w:rsid w:val="3A54871F"/>
    <w:rsid w:val="3A880B5C"/>
    <w:rsid w:val="3AE97DAF"/>
    <w:rsid w:val="3C7D00D8"/>
    <w:rsid w:val="3CA06C0C"/>
    <w:rsid w:val="3CAF1833"/>
    <w:rsid w:val="3D7F5C59"/>
    <w:rsid w:val="3DFFD110"/>
    <w:rsid w:val="3E5DB62F"/>
    <w:rsid w:val="3EA07568"/>
    <w:rsid w:val="3EA25851"/>
    <w:rsid w:val="3EAD747C"/>
    <w:rsid w:val="3EDE6E4D"/>
    <w:rsid w:val="3EF31E0E"/>
    <w:rsid w:val="3F3EA65A"/>
    <w:rsid w:val="3F5EE641"/>
    <w:rsid w:val="3F6C3757"/>
    <w:rsid w:val="3F9DF5AF"/>
    <w:rsid w:val="3F9F02E0"/>
    <w:rsid w:val="3FBFAEB1"/>
    <w:rsid w:val="3FE17CB1"/>
    <w:rsid w:val="3FED664F"/>
    <w:rsid w:val="3FEED9A9"/>
    <w:rsid w:val="3FEF3D77"/>
    <w:rsid w:val="3FFE31AF"/>
    <w:rsid w:val="405D6A10"/>
    <w:rsid w:val="4071B9F4"/>
    <w:rsid w:val="41DA6594"/>
    <w:rsid w:val="42F93EC1"/>
    <w:rsid w:val="43E5DB10"/>
    <w:rsid w:val="444C1A75"/>
    <w:rsid w:val="447C9211"/>
    <w:rsid w:val="44A3526F"/>
    <w:rsid w:val="44B032F4"/>
    <w:rsid w:val="457D25F7"/>
    <w:rsid w:val="45FAFEBC"/>
    <w:rsid w:val="468341CD"/>
    <w:rsid w:val="46A53548"/>
    <w:rsid w:val="472C2589"/>
    <w:rsid w:val="47EF9C9C"/>
    <w:rsid w:val="482F2FF1"/>
    <w:rsid w:val="4A760AEB"/>
    <w:rsid w:val="4BAAA78B"/>
    <w:rsid w:val="4BF77AEA"/>
    <w:rsid w:val="4C3C07B2"/>
    <w:rsid w:val="4D9D8F6A"/>
    <w:rsid w:val="4DFFE896"/>
    <w:rsid w:val="4E5D5443"/>
    <w:rsid w:val="4F3162CA"/>
    <w:rsid w:val="4F7B67C7"/>
    <w:rsid w:val="50D95873"/>
    <w:rsid w:val="517378A0"/>
    <w:rsid w:val="526102AF"/>
    <w:rsid w:val="528444DA"/>
    <w:rsid w:val="537745D5"/>
    <w:rsid w:val="53BE96C2"/>
    <w:rsid w:val="53ED1CE8"/>
    <w:rsid w:val="552306F6"/>
    <w:rsid w:val="55FD2B6A"/>
    <w:rsid w:val="56E352D5"/>
    <w:rsid w:val="57BF4E67"/>
    <w:rsid w:val="57E435FE"/>
    <w:rsid w:val="57EF6DCB"/>
    <w:rsid w:val="57FBDE7A"/>
    <w:rsid w:val="582D0655"/>
    <w:rsid w:val="5951205C"/>
    <w:rsid w:val="597FCC4B"/>
    <w:rsid w:val="59D079E8"/>
    <w:rsid w:val="59D40847"/>
    <w:rsid w:val="5AE37F25"/>
    <w:rsid w:val="5AF5E274"/>
    <w:rsid w:val="5BFB0D06"/>
    <w:rsid w:val="5CB23D47"/>
    <w:rsid w:val="5CFB1C8F"/>
    <w:rsid w:val="5DFF5776"/>
    <w:rsid w:val="5EEADF66"/>
    <w:rsid w:val="5EFFF434"/>
    <w:rsid w:val="5F5FEC68"/>
    <w:rsid w:val="5F738F4A"/>
    <w:rsid w:val="5FAF09C4"/>
    <w:rsid w:val="5FAFDBA1"/>
    <w:rsid w:val="5FD4DCA8"/>
    <w:rsid w:val="5FDD33F7"/>
    <w:rsid w:val="5FEF60F5"/>
    <w:rsid w:val="608C4642"/>
    <w:rsid w:val="62795572"/>
    <w:rsid w:val="64DD6417"/>
    <w:rsid w:val="66004745"/>
    <w:rsid w:val="679E0588"/>
    <w:rsid w:val="67F65453"/>
    <w:rsid w:val="68D7CBFA"/>
    <w:rsid w:val="693FF9FB"/>
    <w:rsid w:val="69F7CBFC"/>
    <w:rsid w:val="6A567F20"/>
    <w:rsid w:val="6A615EE7"/>
    <w:rsid w:val="6B6707A8"/>
    <w:rsid w:val="6BDB4DD5"/>
    <w:rsid w:val="6BF7A00D"/>
    <w:rsid w:val="6C7F9869"/>
    <w:rsid w:val="6CD97953"/>
    <w:rsid w:val="6DBF8F28"/>
    <w:rsid w:val="6DE3BC56"/>
    <w:rsid w:val="6ED30FD7"/>
    <w:rsid w:val="6F6FA8AE"/>
    <w:rsid w:val="6FBA25EE"/>
    <w:rsid w:val="6FD75BB4"/>
    <w:rsid w:val="6FDCC353"/>
    <w:rsid w:val="6FDE32B6"/>
    <w:rsid w:val="6FE64F02"/>
    <w:rsid w:val="6FFD3148"/>
    <w:rsid w:val="6FFDE46E"/>
    <w:rsid w:val="70752017"/>
    <w:rsid w:val="727D78FD"/>
    <w:rsid w:val="73BEF0B3"/>
    <w:rsid w:val="73CC655F"/>
    <w:rsid w:val="74DECF6C"/>
    <w:rsid w:val="75615DB5"/>
    <w:rsid w:val="75957445"/>
    <w:rsid w:val="75AB1481"/>
    <w:rsid w:val="75D01AE1"/>
    <w:rsid w:val="77524363"/>
    <w:rsid w:val="775F2FD5"/>
    <w:rsid w:val="777F3CD8"/>
    <w:rsid w:val="777FA59A"/>
    <w:rsid w:val="77B2477D"/>
    <w:rsid w:val="77B917B5"/>
    <w:rsid w:val="77BFCBC4"/>
    <w:rsid w:val="77CFD955"/>
    <w:rsid w:val="77E755C7"/>
    <w:rsid w:val="77EC8B1C"/>
    <w:rsid w:val="77FD8161"/>
    <w:rsid w:val="77FE0FF2"/>
    <w:rsid w:val="781F6232"/>
    <w:rsid w:val="78703975"/>
    <w:rsid w:val="787F6359"/>
    <w:rsid w:val="791F515D"/>
    <w:rsid w:val="796D54EF"/>
    <w:rsid w:val="79BFF3CE"/>
    <w:rsid w:val="79FD3A51"/>
    <w:rsid w:val="79FDC171"/>
    <w:rsid w:val="7A2DC295"/>
    <w:rsid w:val="7B39B5FC"/>
    <w:rsid w:val="7B734B00"/>
    <w:rsid w:val="7B7FEB4F"/>
    <w:rsid w:val="7B9D1A52"/>
    <w:rsid w:val="7BB962D4"/>
    <w:rsid w:val="7BBF9473"/>
    <w:rsid w:val="7BD007B3"/>
    <w:rsid w:val="7BDFE6DF"/>
    <w:rsid w:val="7BE420FD"/>
    <w:rsid w:val="7BEF4522"/>
    <w:rsid w:val="7BF96F84"/>
    <w:rsid w:val="7BF9C66C"/>
    <w:rsid w:val="7BFD9AF8"/>
    <w:rsid w:val="7BFEE8DF"/>
    <w:rsid w:val="7CB31A4A"/>
    <w:rsid w:val="7CB74C11"/>
    <w:rsid w:val="7CCD3B9B"/>
    <w:rsid w:val="7CD7E475"/>
    <w:rsid w:val="7D0D296B"/>
    <w:rsid w:val="7D3FE9AB"/>
    <w:rsid w:val="7D4E0B54"/>
    <w:rsid w:val="7D503E78"/>
    <w:rsid w:val="7D7F2A8D"/>
    <w:rsid w:val="7DAF5D21"/>
    <w:rsid w:val="7DBFD62F"/>
    <w:rsid w:val="7DE655A0"/>
    <w:rsid w:val="7DEFFDAC"/>
    <w:rsid w:val="7DFB1EFA"/>
    <w:rsid w:val="7DFF01B9"/>
    <w:rsid w:val="7DFFCB23"/>
    <w:rsid w:val="7E0160D4"/>
    <w:rsid w:val="7E1FDC03"/>
    <w:rsid w:val="7E52673F"/>
    <w:rsid w:val="7E6FC3AE"/>
    <w:rsid w:val="7E7291CE"/>
    <w:rsid w:val="7EBEB819"/>
    <w:rsid w:val="7EBF13E8"/>
    <w:rsid w:val="7EE774E8"/>
    <w:rsid w:val="7EF15029"/>
    <w:rsid w:val="7EFB209C"/>
    <w:rsid w:val="7EFC887F"/>
    <w:rsid w:val="7F4F1850"/>
    <w:rsid w:val="7F794FFD"/>
    <w:rsid w:val="7F7E5EAD"/>
    <w:rsid w:val="7F7F18D0"/>
    <w:rsid w:val="7F97B38C"/>
    <w:rsid w:val="7FAF880D"/>
    <w:rsid w:val="7FBEC795"/>
    <w:rsid w:val="7FBF3DA0"/>
    <w:rsid w:val="7FD1748E"/>
    <w:rsid w:val="7FDEB700"/>
    <w:rsid w:val="7FDF94D7"/>
    <w:rsid w:val="7FE54813"/>
    <w:rsid w:val="7FF45588"/>
    <w:rsid w:val="7FFF3448"/>
    <w:rsid w:val="7FFFAD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99" w:unhideWhenUsed="1"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unhideWhenUsed="1"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042914"/>
    <w:pPr>
      <w:widowControl w:val="0"/>
      <w:spacing w:line="360" w:lineRule="auto"/>
      <w:ind w:firstLineChars="200" w:firstLine="480"/>
      <w:jc w:val="both"/>
    </w:pPr>
    <w:rPr>
      <w:rFonts w:ascii="宋体" w:hAnsi="宋体"/>
      <w:kern w:val="2"/>
      <w:sz w:val="24"/>
      <w:szCs w:val="24"/>
    </w:rPr>
  </w:style>
  <w:style w:type="paragraph" w:styleId="1">
    <w:name w:val="heading 1"/>
    <w:aliases w:val="CSS章标记,H1,Heading 0,heading 1,h1,123321,prop,app heading 1,app heading 11,app heading 12,app heading 111,app heading 13,PIM 1,Heading 11,标书1,1st level,Section Head,l1,Section Heading,卷标题,合同标题,featurehead,Title1,LN,H11,H12,H13,H14,H15,H16,H17,H111,1"/>
    <w:basedOn w:val="a0"/>
    <w:next w:val="a0"/>
    <w:link w:val="1Char1"/>
    <w:uiPriority w:val="9"/>
    <w:qFormat/>
    <w:rsid w:val="00042914"/>
    <w:pPr>
      <w:keepNext/>
      <w:keepLines/>
      <w:numPr>
        <w:numId w:val="1"/>
      </w:numPr>
      <w:spacing w:before="120" w:after="120"/>
      <w:ind w:left="0" w:firstLineChars="0" w:firstLine="0"/>
      <w:outlineLvl w:val="0"/>
    </w:pPr>
    <w:rPr>
      <w:rFonts w:eastAsia="黑体"/>
      <w:b/>
      <w:bCs/>
      <w:kern w:val="44"/>
      <w:sz w:val="32"/>
      <w:szCs w:val="28"/>
    </w:rPr>
  </w:style>
  <w:style w:type="paragraph" w:styleId="2">
    <w:name w:val="heading 2"/>
    <w:aliases w:val="标题2＋多级符号,H2,节,sect 1.2,H21,R2,h2,Level 2 Topic Heading,l2,节标题,heading 2,I2,2nd level,l2+toc 2,Section Title,12,第一层条,2,Header 2,Titre2,Head 2,Underrubrik1,prop2,Heading2,No Number,A,o,Heading 2 Hidden,H2-Heading 2,Header2,22,heading2,list2,A.B.C.,第二"/>
    <w:basedOn w:val="a0"/>
    <w:next w:val="a0"/>
    <w:link w:val="2Char"/>
    <w:uiPriority w:val="9"/>
    <w:qFormat/>
    <w:rsid w:val="00042914"/>
    <w:pPr>
      <w:keepNext/>
      <w:keepLines/>
      <w:numPr>
        <w:ilvl w:val="1"/>
        <w:numId w:val="1"/>
      </w:numPr>
      <w:spacing w:before="120" w:after="120"/>
      <w:ind w:left="0" w:firstLineChars="0" w:firstLine="0"/>
      <w:outlineLvl w:val="1"/>
    </w:pPr>
    <w:rPr>
      <w:b/>
      <w:bCs/>
      <w:sz w:val="30"/>
      <w:szCs w:val="32"/>
    </w:rPr>
  </w:style>
  <w:style w:type="paragraph" w:styleId="3">
    <w:name w:val="heading 3"/>
    <w:aliases w:val="标题3＋多级符号,h3,H3,sect1.2.3,HeadC,Heading 3 - old,Map,H31,Level 3 Topic Heading,Org Heading 1,3rd level,3,Head 3,level_3,PIM 3,Level 3 Head,l3,CT,第二层条,Bold Head,bh,章标题1,小标题,：小节,(A-3),heading 3,H32,H33,H34,H35,H36,H37,H38,H39,H310,H311,H321,H331,H341,h"/>
    <w:basedOn w:val="a0"/>
    <w:next w:val="a0"/>
    <w:link w:val="3Char"/>
    <w:uiPriority w:val="9"/>
    <w:qFormat/>
    <w:rsid w:val="00042914"/>
    <w:pPr>
      <w:keepNext/>
      <w:keepLines/>
      <w:numPr>
        <w:ilvl w:val="2"/>
        <w:numId w:val="1"/>
      </w:numPr>
      <w:spacing w:before="120" w:after="120"/>
      <w:ind w:left="1069" w:firstLineChars="0" w:firstLine="0"/>
      <w:outlineLvl w:val="2"/>
    </w:pPr>
    <w:rPr>
      <w:b/>
      <w:bCs/>
      <w:sz w:val="28"/>
      <w:szCs w:val="28"/>
    </w:rPr>
  </w:style>
  <w:style w:type="paragraph" w:styleId="4">
    <w:name w:val="heading 4"/>
    <w:aliases w:val="标题4＋多级符号,H4,Ref Heading 1,rh1,Heading sql,sect 1.2.3.4,h4,First Subheading,第三层条,bullet,bl,bb,L4,4th level,4,H41,H42,H43,H44,H45,H46,H47,H48,H49,H410,H411,H421,H431,H441,H451,H461,H471,H481,H491,H4101,H412,H422,H432,H442,H452,H462,H472,H482,H492,h41"/>
    <w:basedOn w:val="a0"/>
    <w:next w:val="a0"/>
    <w:link w:val="4Char"/>
    <w:uiPriority w:val="9"/>
    <w:qFormat/>
    <w:rsid w:val="00042914"/>
    <w:pPr>
      <w:keepNext/>
      <w:keepLines/>
      <w:numPr>
        <w:ilvl w:val="3"/>
        <w:numId w:val="1"/>
      </w:numPr>
      <w:spacing w:before="120" w:after="120"/>
      <w:ind w:firstLineChars="0" w:firstLine="0"/>
      <w:outlineLvl w:val="3"/>
    </w:pPr>
    <w:rPr>
      <w:b/>
      <w:bCs/>
      <w:sz w:val="30"/>
      <w:szCs w:val="30"/>
    </w:rPr>
  </w:style>
  <w:style w:type="paragraph" w:styleId="5">
    <w:name w:val="heading 5"/>
    <w:aliases w:val="标题5＋多级符号,H5,h5,Second Subheading,第四层条,dash,ds,dd,Level 3 - i,l4,Roman list,PIM 5,Block Label,5,第五层,Table label,l5,hm,mh2,Module heading 2,Head 5,list 5,Titre5,Body Text (R),bullet2,L5,heading 5,Appendix A  Heading 5,h51,heading 51,h52,heading ,一,sb"/>
    <w:basedOn w:val="a0"/>
    <w:next w:val="a0"/>
    <w:link w:val="5Char"/>
    <w:uiPriority w:val="9"/>
    <w:qFormat/>
    <w:rsid w:val="00042914"/>
    <w:pPr>
      <w:keepNext/>
      <w:keepLines/>
      <w:numPr>
        <w:ilvl w:val="4"/>
        <w:numId w:val="1"/>
      </w:numPr>
      <w:spacing w:before="120" w:after="120"/>
      <w:ind w:left="0" w:firstLineChars="0" w:firstLine="0"/>
      <w:outlineLvl w:val="4"/>
    </w:pPr>
    <w:rPr>
      <w:b/>
      <w:bCs/>
      <w:szCs w:val="28"/>
    </w:rPr>
  </w:style>
  <w:style w:type="paragraph" w:styleId="6">
    <w:name w:val="heading 6"/>
    <w:aliases w:val="h6,Third Subheading,Legal Level 1.,第五层条,L6,H6,PIM 6,BOD 4,Bullet list,6,Bullet (Single Lines),正文六级标题,h61,heading 61,标题 6(ALT+6),第六层条目,Heading6,sub-dash,sd,7 sub-dash,Requirement,heading 6,hd6,fcl,figurecapl,H6-2,●,Ref Heading 3,rh3,Ref Heading 31,c"/>
    <w:basedOn w:val="a0"/>
    <w:next w:val="a0"/>
    <w:link w:val="6Char"/>
    <w:uiPriority w:val="9"/>
    <w:qFormat/>
    <w:rsid w:val="00042914"/>
    <w:pPr>
      <w:keepNext/>
      <w:keepLines/>
      <w:numPr>
        <w:ilvl w:val="5"/>
        <w:numId w:val="1"/>
      </w:numPr>
      <w:spacing w:before="120" w:after="120"/>
      <w:ind w:firstLineChars="0" w:firstLine="0"/>
      <w:outlineLvl w:val="5"/>
    </w:pPr>
    <w:rPr>
      <w:rFonts w:ascii="Cambria" w:hAnsi="Cambria"/>
      <w:b/>
      <w:bCs/>
    </w:rPr>
  </w:style>
  <w:style w:type="paragraph" w:styleId="7">
    <w:name w:val="heading 7"/>
    <w:basedOn w:val="a0"/>
    <w:next w:val="a0"/>
    <w:link w:val="7Char"/>
    <w:uiPriority w:val="9"/>
    <w:qFormat/>
    <w:rsid w:val="00042914"/>
    <w:pPr>
      <w:keepNext/>
      <w:keepLines/>
      <w:spacing w:before="240" w:after="64" w:line="319" w:lineRule="auto"/>
      <w:ind w:firstLineChars="0" w:firstLine="0"/>
      <w:outlineLvl w:val="6"/>
    </w:pPr>
    <w:rPr>
      <w:rFonts w:ascii="Times New Roman" w:hAnsi="Times New Roman"/>
      <w:b/>
      <w:bCs/>
      <w:sz w:val="21"/>
    </w:rPr>
  </w:style>
  <w:style w:type="paragraph" w:styleId="8">
    <w:name w:val="heading 8"/>
    <w:basedOn w:val="a0"/>
    <w:next w:val="a0"/>
    <w:link w:val="8Char"/>
    <w:uiPriority w:val="9"/>
    <w:qFormat/>
    <w:rsid w:val="00042914"/>
    <w:pPr>
      <w:keepNext/>
      <w:keepLines/>
      <w:spacing w:before="240" w:after="64" w:line="319" w:lineRule="auto"/>
      <w:ind w:firstLineChars="0" w:firstLine="0"/>
      <w:outlineLvl w:val="7"/>
    </w:pPr>
    <w:rPr>
      <w:rFonts w:ascii="Cambria" w:hAnsi="Cambria"/>
      <w:sz w:val="21"/>
    </w:rPr>
  </w:style>
  <w:style w:type="paragraph" w:styleId="9">
    <w:name w:val="heading 9"/>
    <w:basedOn w:val="a0"/>
    <w:next w:val="a0"/>
    <w:link w:val="9Char"/>
    <w:uiPriority w:val="9"/>
    <w:qFormat/>
    <w:rsid w:val="00042914"/>
    <w:pPr>
      <w:keepNext/>
      <w:keepLines/>
      <w:spacing w:before="240" w:after="64" w:line="319" w:lineRule="auto"/>
      <w:ind w:firstLineChars="0" w:firstLine="0"/>
      <w:outlineLvl w:val="8"/>
    </w:pPr>
    <w:rPr>
      <w:rFonts w:ascii="Cambria" w:hAnsi="Cambria"/>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a0"/>
    <w:next w:val="a0"/>
    <w:uiPriority w:val="39"/>
    <w:unhideWhenUsed/>
    <w:qFormat/>
    <w:rsid w:val="00042914"/>
    <w:pPr>
      <w:ind w:leftChars="1200" w:left="2520"/>
    </w:pPr>
    <w:rPr>
      <w:rFonts w:ascii="等线" w:eastAsia="等线" w:hAnsi="等线"/>
      <w:szCs w:val="22"/>
    </w:rPr>
  </w:style>
  <w:style w:type="paragraph" w:styleId="a4">
    <w:name w:val="Normal Indent"/>
    <w:basedOn w:val="a0"/>
    <w:uiPriority w:val="99"/>
    <w:unhideWhenUsed/>
    <w:qFormat/>
    <w:rsid w:val="00042914"/>
    <w:pPr>
      <w:spacing w:line="240" w:lineRule="auto"/>
      <w:ind w:firstLine="420"/>
    </w:pPr>
    <w:rPr>
      <w:rFonts w:ascii="Calibri" w:hAnsi="Calibri"/>
      <w:sz w:val="21"/>
    </w:rPr>
  </w:style>
  <w:style w:type="paragraph" w:styleId="a5">
    <w:name w:val="caption"/>
    <w:basedOn w:val="a0"/>
    <w:next w:val="a0"/>
    <w:link w:val="Char"/>
    <w:qFormat/>
    <w:rsid w:val="00042914"/>
    <w:pPr>
      <w:spacing w:afterLines="50"/>
      <w:ind w:firstLine="200"/>
    </w:pPr>
    <w:rPr>
      <w:rFonts w:ascii="Arial" w:eastAsia="黑体" w:hAnsi="Arial"/>
      <w:sz w:val="20"/>
      <w:szCs w:val="20"/>
    </w:rPr>
  </w:style>
  <w:style w:type="paragraph" w:styleId="a6">
    <w:name w:val="Document Map"/>
    <w:basedOn w:val="a0"/>
    <w:link w:val="Char0"/>
    <w:qFormat/>
    <w:rsid w:val="00042914"/>
    <w:rPr>
      <w:rFonts w:hAnsi="Times New Roman"/>
      <w:sz w:val="18"/>
      <w:szCs w:val="18"/>
    </w:rPr>
  </w:style>
  <w:style w:type="paragraph" w:styleId="a7">
    <w:name w:val="annotation text"/>
    <w:basedOn w:val="a0"/>
    <w:link w:val="Char1"/>
    <w:uiPriority w:val="99"/>
    <w:qFormat/>
    <w:rsid w:val="00042914"/>
    <w:pPr>
      <w:jc w:val="left"/>
    </w:pPr>
    <w:rPr>
      <w:rFonts w:ascii="Times New Roman" w:eastAsia="仿宋" w:hAnsi="Times New Roman"/>
      <w:sz w:val="28"/>
    </w:rPr>
  </w:style>
  <w:style w:type="paragraph" w:styleId="a8">
    <w:name w:val="Body Text"/>
    <w:basedOn w:val="a0"/>
    <w:link w:val="Char2"/>
    <w:unhideWhenUsed/>
    <w:qFormat/>
    <w:rsid w:val="00042914"/>
    <w:pPr>
      <w:spacing w:after="120" w:line="240" w:lineRule="auto"/>
      <w:ind w:firstLineChars="0" w:firstLine="0"/>
    </w:pPr>
    <w:rPr>
      <w:rFonts w:ascii="Times New Roman" w:hAnsi="Times New Roman"/>
      <w:sz w:val="21"/>
    </w:rPr>
  </w:style>
  <w:style w:type="paragraph" w:styleId="a9">
    <w:name w:val="Body Text Indent"/>
    <w:basedOn w:val="a0"/>
    <w:link w:val="Char3"/>
    <w:qFormat/>
    <w:rsid w:val="00042914"/>
    <w:pPr>
      <w:spacing w:after="120"/>
      <w:ind w:firstLine="200"/>
    </w:pPr>
    <w:rPr>
      <w:rFonts w:ascii="Times New Roman" w:hAnsi="Times New Roman"/>
      <w:sz w:val="21"/>
      <w:szCs w:val="20"/>
    </w:rPr>
  </w:style>
  <w:style w:type="paragraph" w:styleId="50">
    <w:name w:val="toc 5"/>
    <w:basedOn w:val="a0"/>
    <w:next w:val="a0"/>
    <w:uiPriority w:val="39"/>
    <w:unhideWhenUsed/>
    <w:qFormat/>
    <w:rsid w:val="00042914"/>
    <w:pPr>
      <w:ind w:leftChars="800" w:left="1680"/>
    </w:pPr>
    <w:rPr>
      <w:rFonts w:ascii="等线" w:eastAsia="等线" w:hAnsi="等线"/>
      <w:szCs w:val="22"/>
    </w:rPr>
  </w:style>
  <w:style w:type="paragraph" w:styleId="30">
    <w:name w:val="toc 3"/>
    <w:basedOn w:val="a0"/>
    <w:next w:val="a0"/>
    <w:uiPriority w:val="39"/>
    <w:qFormat/>
    <w:rsid w:val="00042914"/>
    <w:pPr>
      <w:tabs>
        <w:tab w:val="right" w:leader="dot" w:pos="8302"/>
      </w:tabs>
      <w:ind w:leftChars="400" w:left="840"/>
    </w:pPr>
  </w:style>
  <w:style w:type="paragraph" w:styleId="aa">
    <w:name w:val="Plain Text"/>
    <w:basedOn w:val="a0"/>
    <w:link w:val="Char4"/>
    <w:qFormat/>
    <w:rsid w:val="00042914"/>
    <w:pPr>
      <w:spacing w:line="240" w:lineRule="auto"/>
      <w:ind w:firstLineChars="0" w:firstLine="0"/>
    </w:pPr>
    <w:rPr>
      <w:rFonts w:hAnsi="Courier New"/>
      <w:sz w:val="21"/>
      <w:szCs w:val="20"/>
    </w:rPr>
  </w:style>
  <w:style w:type="paragraph" w:styleId="80">
    <w:name w:val="toc 8"/>
    <w:basedOn w:val="a0"/>
    <w:next w:val="a0"/>
    <w:uiPriority w:val="39"/>
    <w:unhideWhenUsed/>
    <w:qFormat/>
    <w:rsid w:val="00042914"/>
    <w:pPr>
      <w:ind w:leftChars="1400" w:left="2940"/>
    </w:pPr>
    <w:rPr>
      <w:rFonts w:ascii="等线" w:eastAsia="等线" w:hAnsi="等线"/>
      <w:szCs w:val="22"/>
    </w:rPr>
  </w:style>
  <w:style w:type="paragraph" w:styleId="ab">
    <w:name w:val="Date"/>
    <w:basedOn w:val="a0"/>
    <w:next w:val="a0"/>
    <w:link w:val="Char5"/>
    <w:qFormat/>
    <w:rsid w:val="00042914"/>
    <w:pPr>
      <w:ind w:leftChars="2500" w:left="100"/>
    </w:pPr>
    <w:rPr>
      <w:rFonts w:ascii="Times New Roman" w:hAnsi="Times New Roman"/>
      <w:sz w:val="21"/>
    </w:rPr>
  </w:style>
  <w:style w:type="paragraph" w:styleId="ac">
    <w:name w:val="Balloon Text"/>
    <w:basedOn w:val="a0"/>
    <w:link w:val="Char6"/>
    <w:qFormat/>
    <w:rsid w:val="00042914"/>
    <w:rPr>
      <w:rFonts w:ascii="Times New Roman" w:hAnsi="Times New Roman"/>
      <w:sz w:val="18"/>
      <w:szCs w:val="18"/>
    </w:rPr>
  </w:style>
  <w:style w:type="paragraph" w:styleId="ad">
    <w:name w:val="footer"/>
    <w:basedOn w:val="a0"/>
    <w:link w:val="Char7"/>
    <w:uiPriority w:val="99"/>
    <w:qFormat/>
    <w:rsid w:val="00042914"/>
    <w:pPr>
      <w:tabs>
        <w:tab w:val="center" w:pos="4153"/>
        <w:tab w:val="right" w:pos="8306"/>
      </w:tabs>
      <w:snapToGrid w:val="0"/>
      <w:jc w:val="center"/>
    </w:pPr>
    <w:rPr>
      <w:rFonts w:ascii="Times New Roman" w:hAnsi="Times New Roman"/>
      <w:sz w:val="18"/>
      <w:szCs w:val="18"/>
    </w:rPr>
  </w:style>
  <w:style w:type="paragraph" w:styleId="ae">
    <w:name w:val="header"/>
    <w:basedOn w:val="a0"/>
    <w:link w:val="Char8"/>
    <w:uiPriority w:val="99"/>
    <w:qFormat/>
    <w:rsid w:val="00042914"/>
    <w:pPr>
      <w:pBdr>
        <w:bottom w:val="single" w:sz="4" w:space="0" w:color="auto"/>
      </w:pBdr>
      <w:tabs>
        <w:tab w:val="center" w:pos="4153"/>
        <w:tab w:val="right" w:pos="8306"/>
      </w:tabs>
      <w:snapToGrid w:val="0"/>
      <w:jc w:val="center"/>
    </w:pPr>
    <w:rPr>
      <w:rFonts w:ascii="Times New Roman" w:hAnsi="Times New Roman"/>
      <w:sz w:val="18"/>
      <w:szCs w:val="18"/>
    </w:rPr>
  </w:style>
  <w:style w:type="paragraph" w:styleId="10">
    <w:name w:val="toc 1"/>
    <w:basedOn w:val="a0"/>
    <w:next w:val="a0"/>
    <w:uiPriority w:val="39"/>
    <w:qFormat/>
    <w:rsid w:val="00042914"/>
  </w:style>
  <w:style w:type="paragraph" w:styleId="40">
    <w:name w:val="toc 4"/>
    <w:basedOn w:val="a0"/>
    <w:next w:val="a0"/>
    <w:uiPriority w:val="39"/>
    <w:unhideWhenUsed/>
    <w:qFormat/>
    <w:rsid w:val="00042914"/>
    <w:pPr>
      <w:ind w:leftChars="600" w:left="1260"/>
    </w:pPr>
    <w:rPr>
      <w:rFonts w:ascii="等线" w:eastAsia="等线" w:hAnsi="等线"/>
      <w:szCs w:val="22"/>
    </w:rPr>
  </w:style>
  <w:style w:type="paragraph" w:styleId="af">
    <w:name w:val="Subtitle"/>
    <w:basedOn w:val="a0"/>
    <w:next w:val="a0"/>
    <w:link w:val="Char9"/>
    <w:qFormat/>
    <w:rsid w:val="00042914"/>
    <w:pPr>
      <w:spacing w:before="240" w:after="60" w:line="312" w:lineRule="auto"/>
      <w:jc w:val="center"/>
      <w:outlineLvl w:val="1"/>
    </w:pPr>
    <w:rPr>
      <w:rFonts w:ascii="Calibri Light" w:hAnsi="Calibri Light"/>
      <w:b/>
      <w:bCs/>
      <w:kern w:val="28"/>
      <w:sz w:val="32"/>
      <w:szCs w:val="32"/>
    </w:rPr>
  </w:style>
  <w:style w:type="paragraph" w:styleId="60">
    <w:name w:val="toc 6"/>
    <w:basedOn w:val="a0"/>
    <w:next w:val="a0"/>
    <w:uiPriority w:val="39"/>
    <w:unhideWhenUsed/>
    <w:qFormat/>
    <w:rsid w:val="00042914"/>
    <w:pPr>
      <w:ind w:leftChars="1000" w:left="2100"/>
    </w:pPr>
    <w:rPr>
      <w:rFonts w:ascii="等线" w:eastAsia="等线" w:hAnsi="等线"/>
      <w:szCs w:val="22"/>
    </w:rPr>
  </w:style>
  <w:style w:type="paragraph" w:styleId="20">
    <w:name w:val="toc 2"/>
    <w:basedOn w:val="a0"/>
    <w:next w:val="a0"/>
    <w:uiPriority w:val="39"/>
    <w:qFormat/>
    <w:rsid w:val="00042914"/>
    <w:pPr>
      <w:tabs>
        <w:tab w:val="right" w:leader="dot" w:pos="8302"/>
      </w:tabs>
      <w:ind w:leftChars="200" w:left="420"/>
    </w:pPr>
  </w:style>
  <w:style w:type="paragraph" w:styleId="90">
    <w:name w:val="toc 9"/>
    <w:basedOn w:val="a0"/>
    <w:next w:val="a0"/>
    <w:uiPriority w:val="39"/>
    <w:unhideWhenUsed/>
    <w:qFormat/>
    <w:rsid w:val="00042914"/>
    <w:pPr>
      <w:ind w:leftChars="1600" w:left="3360"/>
    </w:pPr>
    <w:rPr>
      <w:rFonts w:ascii="等线" w:eastAsia="等线" w:hAnsi="等线"/>
      <w:szCs w:val="22"/>
    </w:rPr>
  </w:style>
  <w:style w:type="paragraph" w:styleId="af0">
    <w:name w:val="Normal (Web)"/>
    <w:basedOn w:val="a0"/>
    <w:uiPriority w:val="99"/>
    <w:qFormat/>
    <w:rsid w:val="00042914"/>
    <w:pPr>
      <w:widowControl/>
      <w:spacing w:before="100" w:after="100"/>
      <w:jc w:val="left"/>
    </w:pPr>
    <w:rPr>
      <w:rFonts w:ascii="Arial Unicode MS" w:eastAsia="Arial Unicode MS" w:hAnsi="Arial Unicode MS" w:hint="eastAsia"/>
      <w:kern w:val="0"/>
    </w:rPr>
  </w:style>
  <w:style w:type="paragraph" w:styleId="af1">
    <w:name w:val="Title"/>
    <w:basedOn w:val="a0"/>
    <w:next w:val="a0"/>
    <w:link w:val="Chara"/>
    <w:qFormat/>
    <w:rsid w:val="00042914"/>
    <w:pPr>
      <w:spacing w:before="240" w:after="60" w:line="960" w:lineRule="auto"/>
      <w:jc w:val="center"/>
    </w:pPr>
    <w:rPr>
      <w:rFonts w:ascii="Cambria" w:eastAsia="黑体" w:hAnsi="Cambria"/>
      <w:b/>
      <w:bCs/>
      <w:sz w:val="52"/>
      <w:szCs w:val="32"/>
    </w:rPr>
  </w:style>
  <w:style w:type="paragraph" w:styleId="af2">
    <w:name w:val="annotation subject"/>
    <w:basedOn w:val="a7"/>
    <w:next w:val="a7"/>
    <w:link w:val="Charb"/>
    <w:qFormat/>
    <w:rsid w:val="00042914"/>
    <w:rPr>
      <w:b/>
      <w:bCs/>
      <w:sz w:val="21"/>
    </w:rPr>
  </w:style>
  <w:style w:type="table" w:styleId="af3">
    <w:name w:val="Table Grid"/>
    <w:basedOn w:val="a2"/>
    <w:uiPriority w:val="39"/>
    <w:qFormat/>
    <w:rsid w:val="00042914"/>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page number"/>
    <w:basedOn w:val="a1"/>
    <w:qFormat/>
    <w:rsid w:val="00042914"/>
  </w:style>
  <w:style w:type="character" w:styleId="af5">
    <w:name w:val="FollowedHyperlink"/>
    <w:uiPriority w:val="99"/>
    <w:unhideWhenUsed/>
    <w:qFormat/>
    <w:rsid w:val="00042914"/>
    <w:rPr>
      <w:color w:val="954F72"/>
      <w:u w:val="single"/>
    </w:rPr>
  </w:style>
  <w:style w:type="character" w:styleId="af6">
    <w:name w:val="Hyperlink"/>
    <w:uiPriority w:val="99"/>
    <w:qFormat/>
    <w:rsid w:val="00042914"/>
    <w:rPr>
      <w:color w:val="0000FF"/>
      <w:u w:val="single"/>
    </w:rPr>
  </w:style>
  <w:style w:type="character" w:styleId="af7">
    <w:name w:val="annotation reference"/>
    <w:uiPriority w:val="99"/>
    <w:qFormat/>
    <w:rsid w:val="00042914"/>
    <w:rPr>
      <w:sz w:val="21"/>
      <w:szCs w:val="21"/>
    </w:rPr>
  </w:style>
  <w:style w:type="character" w:customStyle="1" w:styleId="31">
    <w:name w:val="标题 3 字符1"/>
    <w:qFormat/>
    <w:rsid w:val="00042914"/>
    <w:rPr>
      <w:rFonts w:ascii="宋体" w:hAnsi="宋体"/>
      <w:b/>
      <w:bCs/>
      <w:kern w:val="2"/>
      <w:sz w:val="28"/>
      <w:szCs w:val="28"/>
    </w:rPr>
  </w:style>
  <w:style w:type="character" w:customStyle="1" w:styleId="Charc">
    <w:name w:val="首行缩进正文 Char"/>
    <w:link w:val="af8"/>
    <w:qFormat/>
    <w:rsid w:val="00042914"/>
    <w:rPr>
      <w:kern w:val="2"/>
      <w:sz w:val="24"/>
    </w:rPr>
  </w:style>
  <w:style w:type="paragraph" w:customStyle="1" w:styleId="af8">
    <w:name w:val="首行缩进正文"/>
    <w:basedOn w:val="a0"/>
    <w:link w:val="Charc"/>
    <w:qFormat/>
    <w:rsid w:val="00042914"/>
    <w:pPr>
      <w:widowControl/>
      <w:adjustRightInd w:val="0"/>
      <w:snapToGrid w:val="0"/>
      <w:spacing w:afterLines="50" w:line="276" w:lineRule="auto"/>
      <w:ind w:firstLineChars="0" w:firstLine="420"/>
      <w:jc w:val="left"/>
    </w:pPr>
    <w:rPr>
      <w:rFonts w:ascii="Times New Roman" w:hAnsi="Times New Roman"/>
      <w:szCs w:val="20"/>
    </w:rPr>
  </w:style>
  <w:style w:type="character" w:customStyle="1" w:styleId="Char1">
    <w:name w:val="批注文字 Char"/>
    <w:link w:val="a7"/>
    <w:uiPriority w:val="99"/>
    <w:qFormat/>
    <w:rsid w:val="00042914"/>
    <w:rPr>
      <w:rFonts w:eastAsia="仿宋"/>
      <w:kern w:val="2"/>
      <w:sz w:val="28"/>
      <w:szCs w:val="24"/>
    </w:rPr>
  </w:style>
  <w:style w:type="character" w:customStyle="1" w:styleId="af9">
    <w:name w:val="日期 字符"/>
    <w:uiPriority w:val="99"/>
    <w:semiHidden/>
    <w:qFormat/>
    <w:rsid w:val="00042914"/>
    <w:rPr>
      <w:rFonts w:ascii="宋体" w:hAnsi="宋体"/>
      <w:kern w:val="2"/>
      <w:sz w:val="24"/>
      <w:szCs w:val="24"/>
    </w:rPr>
  </w:style>
  <w:style w:type="character" w:customStyle="1" w:styleId="Char5">
    <w:name w:val="日期 Char"/>
    <w:link w:val="ab"/>
    <w:qFormat/>
    <w:rsid w:val="00042914"/>
    <w:rPr>
      <w:kern w:val="2"/>
      <w:sz w:val="21"/>
      <w:szCs w:val="24"/>
    </w:rPr>
  </w:style>
  <w:style w:type="character" w:customStyle="1" w:styleId="9Char">
    <w:name w:val="标题 9 Char"/>
    <w:link w:val="9"/>
    <w:uiPriority w:val="9"/>
    <w:qFormat/>
    <w:rsid w:val="00042914"/>
    <w:rPr>
      <w:rFonts w:ascii="Cambria" w:hAnsi="Cambria"/>
      <w:kern w:val="2"/>
      <w:sz w:val="21"/>
      <w:szCs w:val="21"/>
    </w:rPr>
  </w:style>
  <w:style w:type="character" w:customStyle="1" w:styleId="11">
    <w:name w:val="未处理的提及1"/>
    <w:uiPriority w:val="99"/>
    <w:unhideWhenUsed/>
    <w:qFormat/>
    <w:rsid w:val="00042914"/>
    <w:rPr>
      <w:color w:val="605E5C"/>
      <w:shd w:val="clear" w:color="auto" w:fill="E1DFDD"/>
    </w:rPr>
  </w:style>
  <w:style w:type="character" w:customStyle="1" w:styleId="12">
    <w:name w:val="标题 1 字符"/>
    <w:uiPriority w:val="9"/>
    <w:qFormat/>
    <w:rsid w:val="00042914"/>
    <w:rPr>
      <w:rFonts w:ascii="宋体" w:hAnsi="宋体"/>
      <w:b/>
      <w:bCs/>
      <w:kern w:val="44"/>
      <w:sz w:val="44"/>
      <w:szCs w:val="44"/>
    </w:rPr>
  </w:style>
  <w:style w:type="character" w:customStyle="1" w:styleId="32">
    <w:name w:val="标题 3 字符"/>
    <w:uiPriority w:val="9"/>
    <w:semiHidden/>
    <w:qFormat/>
    <w:rsid w:val="00042914"/>
    <w:rPr>
      <w:rFonts w:ascii="宋体" w:hAnsi="宋体"/>
      <w:b/>
      <w:bCs/>
      <w:kern w:val="2"/>
      <w:sz w:val="32"/>
      <w:szCs w:val="32"/>
    </w:rPr>
  </w:style>
  <w:style w:type="character" w:customStyle="1" w:styleId="afa">
    <w:name w:val="页脚 字符"/>
    <w:uiPriority w:val="99"/>
    <w:qFormat/>
    <w:rsid w:val="00042914"/>
  </w:style>
  <w:style w:type="character" w:customStyle="1" w:styleId="51">
    <w:name w:val="标题 5 字符"/>
    <w:uiPriority w:val="9"/>
    <w:semiHidden/>
    <w:qFormat/>
    <w:rsid w:val="00042914"/>
    <w:rPr>
      <w:rFonts w:ascii="宋体" w:hAnsi="宋体"/>
      <w:b/>
      <w:bCs/>
      <w:kern w:val="2"/>
      <w:sz w:val="28"/>
      <w:szCs w:val="28"/>
    </w:rPr>
  </w:style>
  <w:style w:type="character" w:customStyle="1" w:styleId="Char">
    <w:name w:val="题注 Char"/>
    <w:link w:val="a5"/>
    <w:qFormat/>
    <w:locked/>
    <w:rsid w:val="00042914"/>
    <w:rPr>
      <w:rFonts w:ascii="Arial" w:eastAsia="黑体" w:hAnsi="Arial"/>
      <w:kern w:val="2"/>
    </w:rPr>
  </w:style>
  <w:style w:type="character" w:customStyle="1" w:styleId="21">
    <w:name w:val="标题 2 字符"/>
    <w:uiPriority w:val="9"/>
    <w:semiHidden/>
    <w:qFormat/>
    <w:rsid w:val="00042914"/>
    <w:rPr>
      <w:rFonts w:ascii="等线 Light" w:eastAsia="等线 Light" w:hAnsi="等线 Light" w:cs="Times New Roman"/>
      <w:b/>
      <w:bCs/>
      <w:kern w:val="2"/>
      <w:sz w:val="32"/>
      <w:szCs w:val="32"/>
    </w:rPr>
  </w:style>
  <w:style w:type="character" w:customStyle="1" w:styleId="afb">
    <w:name w:val="纯文本 字符"/>
    <w:qFormat/>
    <w:rsid w:val="00042914"/>
    <w:rPr>
      <w:rFonts w:ascii="宋体" w:hAnsi="Courier New" w:cs="Courier New"/>
      <w:kern w:val="2"/>
      <w:sz w:val="21"/>
      <w:szCs w:val="21"/>
    </w:rPr>
  </w:style>
  <w:style w:type="character" w:customStyle="1" w:styleId="afc">
    <w:name w:val="列表段落 字符"/>
    <w:uiPriority w:val="34"/>
    <w:qFormat/>
    <w:rsid w:val="00042914"/>
    <w:rPr>
      <w:kern w:val="2"/>
      <w:sz w:val="21"/>
      <w:szCs w:val="22"/>
    </w:rPr>
  </w:style>
  <w:style w:type="character" w:customStyle="1" w:styleId="4Char">
    <w:name w:val="标题 4 Char"/>
    <w:aliases w:val="标题4＋多级符号 Char,H4 Char,Ref Heading 1 Char,rh1 Char,Heading sql Char,sect 1.2.3.4 Char,h4 Char,First Subheading Char,第三层条 Char,bullet Char,bl Char,bb Char,L4 Char,4th level Char,4 Char,H41 Char,H42 Char,H43 Char,H44 Char,H45 Char,H46 Char"/>
    <w:link w:val="4"/>
    <w:qFormat/>
    <w:rsid w:val="00042914"/>
    <w:rPr>
      <w:rFonts w:ascii="宋体" w:hAnsi="宋体"/>
      <w:b/>
      <w:bCs/>
      <w:kern w:val="2"/>
      <w:sz w:val="30"/>
      <w:szCs w:val="30"/>
    </w:rPr>
  </w:style>
  <w:style w:type="character" w:customStyle="1" w:styleId="Char2">
    <w:name w:val="正文文本 Char"/>
    <w:link w:val="a8"/>
    <w:qFormat/>
    <w:rsid w:val="00042914"/>
    <w:rPr>
      <w:kern w:val="2"/>
      <w:sz w:val="21"/>
      <w:szCs w:val="24"/>
    </w:rPr>
  </w:style>
  <w:style w:type="character" w:customStyle="1" w:styleId="Chard">
    <w:name w:val="列出段落 Char"/>
    <w:link w:val="afd"/>
    <w:uiPriority w:val="34"/>
    <w:qFormat/>
    <w:rsid w:val="00042914"/>
    <w:rPr>
      <w:kern w:val="2"/>
      <w:sz w:val="21"/>
      <w:szCs w:val="24"/>
    </w:rPr>
  </w:style>
  <w:style w:type="paragraph" w:styleId="afd">
    <w:name w:val="List Paragraph"/>
    <w:basedOn w:val="a0"/>
    <w:link w:val="Chard"/>
    <w:uiPriority w:val="34"/>
    <w:qFormat/>
    <w:rsid w:val="00042914"/>
    <w:pPr>
      <w:ind w:firstLine="420"/>
    </w:pPr>
    <w:rPr>
      <w:rFonts w:ascii="Times New Roman" w:hAnsi="Times New Roman"/>
      <w:sz w:val="21"/>
    </w:rPr>
  </w:style>
  <w:style w:type="character" w:customStyle="1" w:styleId="font21">
    <w:name w:val="font21"/>
    <w:qFormat/>
    <w:rsid w:val="00042914"/>
    <w:rPr>
      <w:rFonts w:ascii="Calibri" w:hAnsi="Calibri" w:cs="Calibri"/>
      <w:color w:val="000000"/>
      <w:sz w:val="21"/>
      <w:szCs w:val="21"/>
      <w:u w:val="none"/>
    </w:rPr>
  </w:style>
  <w:style w:type="character" w:customStyle="1" w:styleId="Chare">
    <w:name w:val="*正文 Char"/>
    <w:link w:val="afe"/>
    <w:qFormat/>
    <w:rsid w:val="00042914"/>
    <w:rPr>
      <w:rFonts w:ascii="time" w:hAnsi="time"/>
      <w:sz w:val="24"/>
      <w:szCs w:val="24"/>
      <w:lang w:bidi="en-US"/>
    </w:rPr>
  </w:style>
  <w:style w:type="paragraph" w:customStyle="1" w:styleId="afe">
    <w:name w:val="*正文"/>
    <w:basedOn w:val="a0"/>
    <w:link w:val="Chare"/>
    <w:qFormat/>
    <w:rsid w:val="00042914"/>
    <w:pPr>
      <w:widowControl/>
      <w:ind w:firstLine="200"/>
      <w:contextualSpacing/>
    </w:pPr>
    <w:rPr>
      <w:rFonts w:ascii="time" w:hAnsi="time"/>
      <w:kern w:val="0"/>
      <w:lang w:bidi="en-US"/>
    </w:rPr>
  </w:style>
  <w:style w:type="character" w:customStyle="1" w:styleId="aff">
    <w:name w:val="正文文本缩进 字符"/>
    <w:uiPriority w:val="99"/>
    <w:semiHidden/>
    <w:qFormat/>
    <w:rsid w:val="00042914"/>
    <w:rPr>
      <w:rFonts w:ascii="宋体" w:hAnsi="宋体"/>
      <w:kern w:val="2"/>
      <w:sz w:val="24"/>
      <w:szCs w:val="24"/>
    </w:rPr>
  </w:style>
  <w:style w:type="character" w:customStyle="1" w:styleId="Char4">
    <w:name w:val="纯文本 Char"/>
    <w:link w:val="aa"/>
    <w:qFormat/>
    <w:locked/>
    <w:rsid w:val="00042914"/>
    <w:rPr>
      <w:rFonts w:ascii="宋体" w:hAnsi="Courier New"/>
      <w:kern w:val="2"/>
      <w:sz w:val="21"/>
    </w:rPr>
  </w:style>
  <w:style w:type="character" w:customStyle="1" w:styleId="myChar">
    <w:name w:val="my正文 Char"/>
    <w:link w:val="my"/>
    <w:qFormat/>
    <w:rsid w:val="00042914"/>
    <w:rPr>
      <w:kern w:val="2"/>
      <w:sz w:val="21"/>
      <w:szCs w:val="24"/>
    </w:rPr>
  </w:style>
  <w:style w:type="paragraph" w:customStyle="1" w:styleId="my">
    <w:name w:val="my正文"/>
    <w:basedOn w:val="a0"/>
    <w:link w:val="myChar"/>
    <w:qFormat/>
    <w:rsid w:val="00042914"/>
    <w:pPr>
      <w:spacing w:line="240" w:lineRule="auto"/>
      <w:ind w:firstLineChars="0" w:firstLine="0"/>
    </w:pPr>
    <w:rPr>
      <w:rFonts w:ascii="Times New Roman" w:hAnsi="Times New Roman"/>
      <w:sz w:val="21"/>
    </w:rPr>
  </w:style>
  <w:style w:type="character" w:customStyle="1" w:styleId="22">
    <w:name w:val="正文2 字符"/>
    <w:link w:val="23"/>
    <w:qFormat/>
    <w:rsid w:val="00042914"/>
    <w:rPr>
      <w:kern w:val="2"/>
      <w:sz w:val="21"/>
      <w:szCs w:val="24"/>
    </w:rPr>
  </w:style>
  <w:style w:type="paragraph" w:customStyle="1" w:styleId="23">
    <w:name w:val="正文2"/>
    <w:basedOn w:val="a0"/>
    <w:link w:val="22"/>
    <w:qFormat/>
    <w:rsid w:val="00042914"/>
    <w:pPr>
      <w:ind w:firstLine="420"/>
    </w:pPr>
    <w:rPr>
      <w:rFonts w:ascii="Times New Roman" w:hAnsi="Times New Roman"/>
      <w:sz w:val="21"/>
    </w:rPr>
  </w:style>
  <w:style w:type="character" w:customStyle="1" w:styleId="font41">
    <w:name w:val="font41"/>
    <w:qFormat/>
    <w:rsid w:val="00042914"/>
    <w:rPr>
      <w:rFonts w:ascii="宋体" w:eastAsia="宋体" w:hAnsi="宋体" w:cs="宋体" w:hint="eastAsia"/>
      <w:color w:val="000000"/>
      <w:sz w:val="21"/>
      <w:szCs w:val="21"/>
      <w:u w:val="none"/>
    </w:rPr>
  </w:style>
  <w:style w:type="character" w:customStyle="1" w:styleId="7Char">
    <w:name w:val="标题 7 Char"/>
    <w:link w:val="7"/>
    <w:uiPriority w:val="9"/>
    <w:qFormat/>
    <w:rsid w:val="00042914"/>
    <w:rPr>
      <w:b/>
      <w:bCs/>
      <w:kern w:val="2"/>
      <w:sz w:val="21"/>
      <w:szCs w:val="24"/>
    </w:rPr>
  </w:style>
  <w:style w:type="character" w:customStyle="1" w:styleId="aff0">
    <w:name w:val="批注框文本 字符"/>
    <w:uiPriority w:val="99"/>
    <w:semiHidden/>
    <w:qFormat/>
    <w:rsid w:val="00042914"/>
    <w:rPr>
      <w:rFonts w:ascii="宋体" w:hAnsi="宋体"/>
      <w:kern w:val="2"/>
      <w:sz w:val="18"/>
      <w:szCs w:val="18"/>
    </w:rPr>
  </w:style>
  <w:style w:type="character" w:customStyle="1" w:styleId="Char10">
    <w:name w:val="副标题 Char1"/>
    <w:qFormat/>
    <w:rsid w:val="00042914"/>
    <w:rPr>
      <w:rFonts w:ascii="Calibri Light" w:hAnsi="Calibri Light" w:cs="Times New Roman"/>
      <w:b/>
      <w:bCs/>
      <w:kern w:val="28"/>
      <w:sz w:val="32"/>
      <w:szCs w:val="32"/>
    </w:rPr>
  </w:style>
  <w:style w:type="character" w:customStyle="1" w:styleId="1Char1">
    <w:name w:val="标题 1 Char1"/>
    <w:aliases w:val="CSS章标记 Char,H1 Char,Heading 0 Char,heading 1 Char,h1 Char,123321 Char,prop Char,app heading 1 Char,app heading 11 Char,app heading 12 Char,app heading 111 Char,app heading 13 Char,PIM 1 Char,Heading 11 Char,标书1 Char,1st level Char,l1 Char"/>
    <w:link w:val="1"/>
    <w:qFormat/>
    <w:rsid w:val="00042914"/>
    <w:rPr>
      <w:rFonts w:ascii="宋体" w:eastAsia="黑体" w:hAnsi="宋体"/>
      <w:b/>
      <w:bCs/>
      <w:kern w:val="44"/>
      <w:sz w:val="32"/>
      <w:szCs w:val="28"/>
    </w:rPr>
  </w:style>
  <w:style w:type="character" w:customStyle="1" w:styleId="aff1">
    <w:name w:val="批注文字 字符"/>
    <w:uiPriority w:val="99"/>
    <w:qFormat/>
    <w:rsid w:val="00042914"/>
    <w:rPr>
      <w:rFonts w:ascii="宋体" w:hAnsi="宋体"/>
      <w:kern w:val="2"/>
      <w:sz w:val="24"/>
      <w:szCs w:val="24"/>
    </w:rPr>
  </w:style>
  <w:style w:type="character" w:customStyle="1" w:styleId="aff2">
    <w:name w:val="文档结构图 字符"/>
    <w:uiPriority w:val="99"/>
    <w:semiHidden/>
    <w:qFormat/>
    <w:rsid w:val="00042914"/>
    <w:rPr>
      <w:rFonts w:ascii="Microsoft YaHei UI" w:eastAsia="Microsoft YaHei UI" w:hAnsi="宋体"/>
      <w:kern w:val="2"/>
      <w:sz w:val="18"/>
      <w:szCs w:val="18"/>
    </w:rPr>
  </w:style>
  <w:style w:type="character" w:customStyle="1" w:styleId="61">
    <w:name w:val="标题 6 字符"/>
    <w:uiPriority w:val="9"/>
    <w:semiHidden/>
    <w:qFormat/>
    <w:rsid w:val="00042914"/>
    <w:rPr>
      <w:rFonts w:ascii="等线 Light" w:eastAsia="等线 Light" w:hAnsi="等线 Light" w:cs="Times New Roman"/>
      <w:b/>
      <w:bCs/>
      <w:kern w:val="2"/>
      <w:sz w:val="24"/>
      <w:szCs w:val="24"/>
    </w:rPr>
  </w:style>
  <w:style w:type="character" w:customStyle="1" w:styleId="2Char0">
    <w:name w:val="正文正文2 Char"/>
    <w:link w:val="24"/>
    <w:qFormat/>
    <w:rsid w:val="00042914"/>
    <w:rPr>
      <w:rFonts w:ascii="宋体" w:hAnsi="宋体"/>
      <w:kern w:val="2"/>
      <w:sz w:val="21"/>
      <w:szCs w:val="21"/>
    </w:rPr>
  </w:style>
  <w:style w:type="paragraph" w:customStyle="1" w:styleId="24">
    <w:name w:val="正文正文2"/>
    <w:basedOn w:val="a0"/>
    <w:link w:val="2Char0"/>
    <w:qFormat/>
    <w:rsid w:val="00042914"/>
    <w:pPr>
      <w:ind w:firstLine="460"/>
    </w:pPr>
    <w:rPr>
      <w:sz w:val="21"/>
      <w:szCs w:val="21"/>
    </w:rPr>
  </w:style>
  <w:style w:type="character" w:customStyle="1" w:styleId="3Char">
    <w:name w:val="标题 3 Char"/>
    <w:aliases w:val="标题3＋多级符号 Char,h3 Char,H3 Char,sect1.2.3 Char,HeadC Char,Heading 3 - old Char,Map Char,H31 Char,Level 3 Topic Heading Char,Org Heading 1 Char,3rd level Char,3 Char,Head 3 Char,level_3 Char,PIM 3 Char,Level 3 Head Char,l3 Char,CT Char,第二层条 Char"/>
    <w:link w:val="3"/>
    <w:qFormat/>
    <w:rsid w:val="00042914"/>
    <w:rPr>
      <w:rFonts w:ascii="宋体" w:hAnsi="宋体"/>
      <w:b/>
      <w:bCs/>
      <w:kern w:val="2"/>
      <w:sz w:val="28"/>
      <w:szCs w:val="28"/>
    </w:rPr>
  </w:style>
  <w:style w:type="character" w:customStyle="1" w:styleId="41">
    <w:name w:val="标题 4 字符"/>
    <w:uiPriority w:val="9"/>
    <w:semiHidden/>
    <w:qFormat/>
    <w:rsid w:val="00042914"/>
    <w:rPr>
      <w:rFonts w:ascii="等线 Light" w:eastAsia="等线 Light" w:hAnsi="等线 Light" w:cs="Times New Roman"/>
      <w:b/>
      <w:bCs/>
      <w:kern w:val="2"/>
      <w:sz w:val="28"/>
      <w:szCs w:val="28"/>
    </w:rPr>
  </w:style>
  <w:style w:type="character" w:customStyle="1" w:styleId="Charb">
    <w:name w:val="批注主题 Char"/>
    <w:link w:val="af2"/>
    <w:qFormat/>
    <w:rsid w:val="00042914"/>
    <w:rPr>
      <w:rFonts w:eastAsia="仿宋"/>
      <w:b/>
      <w:bCs/>
      <w:kern w:val="2"/>
      <w:sz w:val="21"/>
      <w:szCs w:val="24"/>
    </w:rPr>
  </w:style>
  <w:style w:type="character" w:customStyle="1" w:styleId="aff3">
    <w:name w:val="页眉 字符"/>
    <w:uiPriority w:val="99"/>
    <w:semiHidden/>
    <w:qFormat/>
    <w:rsid w:val="00042914"/>
    <w:rPr>
      <w:rFonts w:ascii="宋体" w:hAnsi="宋体"/>
      <w:kern w:val="2"/>
      <w:sz w:val="18"/>
      <w:szCs w:val="18"/>
    </w:rPr>
  </w:style>
  <w:style w:type="character" w:customStyle="1" w:styleId="Char3">
    <w:name w:val="正文文本缩进 Char"/>
    <w:link w:val="a9"/>
    <w:qFormat/>
    <w:rsid w:val="00042914"/>
    <w:rPr>
      <w:kern w:val="2"/>
      <w:sz w:val="21"/>
    </w:rPr>
  </w:style>
  <w:style w:type="character" w:customStyle="1" w:styleId="5Char">
    <w:name w:val="标题 5 Char"/>
    <w:aliases w:val="标题5＋多级符号 Char,H5 Char,h5 Char,Second Subheading Char,第四层条 Char,dash Char,ds Char,dd Char,Level 3 - i Char,l4 Char,Roman list Char,PIM 5 Char,Block Label Char,5 Char,第五层 Char,Table label Char,l5 Char,hm Char,mh2 Char,Module heading 2 Char"/>
    <w:link w:val="5"/>
    <w:qFormat/>
    <w:rsid w:val="00042914"/>
    <w:rPr>
      <w:rFonts w:ascii="宋体" w:hAnsi="宋体"/>
      <w:b/>
      <w:bCs/>
      <w:kern w:val="2"/>
      <w:sz w:val="24"/>
      <w:szCs w:val="28"/>
    </w:rPr>
  </w:style>
  <w:style w:type="character" w:customStyle="1" w:styleId="Char9">
    <w:name w:val="副标题 Char"/>
    <w:link w:val="af"/>
    <w:qFormat/>
    <w:rsid w:val="00042914"/>
    <w:rPr>
      <w:rFonts w:ascii="Calibri Light" w:hAnsi="Calibri Light"/>
      <w:b/>
      <w:bCs/>
      <w:kern w:val="28"/>
      <w:sz w:val="32"/>
      <w:szCs w:val="32"/>
    </w:rPr>
  </w:style>
  <w:style w:type="character" w:customStyle="1" w:styleId="2Char">
    <w:name w:val="标题 2 Char"/>
    <w:aliases w:val="标题2＋多级符号 Char,H2 Char,节 Char,sect 1.2 Char,H21 Char,R2 Char,h2 Char,Level 2 Topic Heading Char,l2 Char,节标题 Char,heading 2 Char,I2 Char,2nd level Char,l2+toc 2 Char,Section Title Char,12 Char,第一层条 Char,2 Char,Header 2 Char,Titre2 Char,A Char"/>
    <w:link w:val="2"/>
    <w:uiPriority w:val="9"/>
    <w:qFormat/>
    <w:rsid w:val="00042914"/>
    <w:rPr>
      <w:rFonts w:ascii="宋体" w:hAnsi="宋体"/>
      <w:b/>
      <w:bCs/>
      <w:kern w:val="2"/>
      <w:sz w:val="30"/>
      <w:szCs w:val="32"/>
    </w:rPr>
  </w:style>
  <w:style w:type="character" w:customStyle="1" w:styleId="Char7">
    <w:name w:val="页脚 Char"/>
    <w:link w:val="ad"/>
    <w:uiPriority w:val="99"/>
    <w:qFormat/>
    <w:rsid w:val="00042914"/>
    <w:rPr>
      <w:kern w:val="2"/>
      <w:sz w:val="18"/>
      <w:szCs w:val="18"/>
    </w:rPr>
  </w:style>
  <w:style w:type="character" w:customStyle="1" w:styleId="aff4">
    <w:name w:val="批注主题 字符"/>
    <w:uiPriority w:val="99"/>
    <w:semiHidden/>
    <w:qFormat/>
    <w:rsid w:val="00042914"/>
    <w:rPr>
      <w:rFonts w:ascii="宋体" w:hAnsi="宋体"/>
      <w:b/>
      <w:bCs/>
      <w:kern w:val="2"/>
      <w:sz w:val="24"/>
      <w:szCs w:val="24"/>
    </w:rPr>
  </w:style>
  <w:style w:type="character" w:customStyle="1" w:styleId="Char0">
    <w:name w:val="文档结构图 Char"/>
    <w:link w:val="a6"/>
    <w:qFormat/>
    <w:rsid w:val="00042914"/>
    <w:rPr>
      <w:rFonts w:ascii="宋体"/>
      <w:kern w:val="2"/>
      <w:sz w:val="18"/>
      <w:szCs w:val="18"/>
    </w:rPr>
  </w:style>
  <w:style w:type="character" w:customStyle="1" w:styleId="font31">
    <w:name w:val="font31"/>
    <w:qFormat/>
    <w:rsid w:val="00042914"/>
    <w:rPr>
      <w:rFonts w:ascii="宋体" w:eastAsia="宋体" w:hAnsi="宋体" w:cs="宋体" w:hint="eastAsia"/>
      <w:color w:val="000000"/>
      <w:sz w:val="21"/>
      <w:szCs w:val="21"/>
      <w:u w:val="none"/>
    </w:rPr>
  </w:style>
  <w:style w:type="character" w:customStyle="1" w:styleId="Charf">
    <w:name w:val="标准正文 Char"/>
    <w:link w:val="aff5"/>
    <w:qFormat/>
    <w:rsid w:val="00042914"/>
    <w:rPr>
      <w:rFonts w:ascii="Arial" w:hAnsi="Arial"/>
      <w:kern w:val="2"/>
      <w:sz w:val="24"/>
    </w:rPr>
  </w:style>
  <w:style w:type="paragraph" w:customStyle="1" w:styleId="aff5">
    <w:name w:val="标准正文"/>
    <w:basedOn w:val="a9"/>
    <w:link w:val="Charf"/>
    <w:qFormat/>
    <w:rsid w:val="00042914"/>
    <w:pPr>
      <w:spacing w:before="60" w:after="60"/>
      <w:ind w:firstLineChars="0" w:firstLine="482"/>
    </w:pPr>
    <w:rPr>
      <w:rFonts w:ascii="Arial" w:hAnsi="Arial"/>
      <w:sz w:val="24"/>
    </w:rPr>
  </w:style>
  <w:style w:type="character" w:customStyle="1" w:styleId="Chara">
    <w:name w:val="标题 Char"/>
    <w:link w:val="af1"/>
    <w:qFormat/>
    <w:rsid w:val="00042914"/>
    <w:rPr>
      <w:rFonts w:ascii="Cambria" w:eastAsia="黑体" w:hAnsi="Cambria"/>
      <w:b/>
      <w:bCs/>
      <w:kern w:val="2"/>
      <w:sz w:val="52"/>
      <w:szCs w:val="32"/>
    </w:rPr>
  </w:style>
  <w:style w:type="character" w:customStyle="1" w:styleId="Char6">
    <w:name w:val="批注框文本 Char"/>
    <w:link w:val="ac"/>
    <w:qFormat/>
    <w:rsid w:val="00042914"/>
    <w:rPr>
      <w:kern w:val="2"/>
      <w:sz w:val="18"/>
      <w:szCs w:val="18"/>
    </w:rPr>
  </w:style>
  <w:style w:type="character" w:customStyle="1" w:styleId="Char8">
    <w:name w:val="页眉 Char"/>
    <w:link w:val="ae"/>
    <w:uiPriority w:val="99"/>
    <w:qFormat/>
    <w:rsid w:val="00042914"/>
    <w:rPr>
      <w:kern w:val="2"/>
      <w:sz w:val="18"/>
      <w:szCs w:val="18"/>
    </w:rPr>
  </w:style>
  <w:style w:type="character" w:customStyle="1" w:styleId="8Char">
    <w:name w:val="标题 8 Char"/>
    <w:link w:val="8"/>
    <w:uiPriority w:val="9"/>
    <w:qFormat/>
    <w:rsid w:val="00042914"/>
    <w:rPr>
      <w:rFonts w:ascii="Cambria" w:hAnsi="Cambria"/>
      <w:kern w:val="2"/>
      <w:sz w:val="21"/>
      <w:szCs w:val="24"/>
    </w:rPr>
  </w:style>
  <w:style w:type="character" w:customStyle="1" w:styleId="6Char">
    <w:name w:val="标题 6 Char"/>
    <w:aliases w:val="h6 Char,Third Subheading Char,Legal Level 1. Char,第五层条 Char,L6 Char,H6 Char,PIM 6 Char,BOD 4 Char,Bullet list Char,6 Char,Bullet (Single Lines) Char,正文六级标题 Char,h61 Char,heading 61 Char,标题 6(ALT+6) Char,第六层条目 Char,Heading6 Char,sub-dash Char"/>
    <w:link w:val="6"/>
    <w:qFormat/>
    <w:rsid w:val="00042914"/>
    <w:rPr>
      <w:rFonts w:ascii="Cambria" w:hAnsi="Cambria"/>
      <w:b/>
      <w:bCs/>
      <w:kern w:val="2"/>
      <w:sz w:val="24"/>
      <w:szCs w:val="24"/>
    </w:rPr>
  </w:style>
  <w:style w:type="character" w:customStyle="1" w:styleId="aff6">
    <w:name w:val="标题 字符"/>
    <w:uiPriority w:val="10"/>
    <w:qFormat/>
    <w:rsid w:val="00042914"/>
    <w:rPr>
      <w:rFonts w:ascii="等线 Light" w:eastAsia="等线 Light" w:hAnsi="等线 Light" w:cs="Times New Roman"/>
      <w:b/>
      <w:bCs/>
      <w:kern w:val="2"/>
      <w:sz w:val="32"/>
      <w:szCs w:val="32"/>
    </w:rPr>
  </w:style>
  <w:style w:type="character" w:customStyle="1" w:styleId="aff7">
    <w:name w:val="副标题 字符"/>
    <w:uiPriority w:val="11"/>
    <w:qFormat/>
    <w:rsid w:val="00042914"/>
    <w:rPr>
      <w:rFonts w:ascii="等线" w:eastAsia="等线" w:hAnsi="等线" w:cs="Times New Roman"/>
      <w:b/>
      <w:bCs/>
      <w:kern w:val="28"/>
      <w:sz w:val="32"/>
      <w:szCs w:val="32"/>
    </w:rPr>
  </w:style>
  <w:style w:type="paragraph" w:customStyle="1" w:styleId="xl72">
    <w:name w:val="xl72"/>
    <w:basedOn w:val="a0"/>
    <w:qFormat/>
    <w:rsid w:val="00042914"/>
    <w:pPr>
      <w:widowControl/>
      <w:spacing w:before="100" w:beforeAutospacing="1" w:after="100" w:afterAutospacing="1" w:line="240" w:lineRule="auto"/>
      <w:ind w:firstLineChars="0" w:firstLine="0"/>
      <w:jc w:val="center"/>
    </w:pPr>
    <w:rPr>
      <w:rFonts w:cs="宋体"/>
      <w:kern w:val="0"/>
    </w:rPr>
  </w:style>
  <w:style w:type="paragraph" w:customStyle="1" w:styleId="aff8">
    <w:name w:val="正文（深信服）"/>
    <w:qFormat/>
    <w:rsid w:val="00042914"/>
    <w:pPr>
      <w:spacing w:line="360" w:lineRule="auto"/>
      <w:ind w:firstLine="420"/>
    </w:pPr>
    <w:rPr>
      <w:rFonts w:ascii="Arial" w:hAnsi="Arial"/>
      <w:sz w:val="24"/>
      <w:szCs w:val="21"/>
      <w:shd w:val="clear" w:color="auto" w:fill="FFFFFF"/>
    </w:rPr>
  </w:style>
  <w:style w:type="paragraph" w:customStyle="1" w:styleId="xl70">
    <w:name w:val="xl70"/>
    <w:basedOn w:val="a0"/>
    <w:qFormat/>
    <w:rsid w:val="00042914"/>
    <w:pPr>
      <w:widowControl/>
      <w:pBdr>
        <w:bottom w:val="single" w:sz="4" w:space="0" w:color="auto"/>
        <w:right w:val="single" w:sz="4" w:space="0" w:color="auto"/>
      </w:pBdr>
      <w:spacing w:before="100" w:beforeAutospacing="1" w:after="100" w:afterAutospacing="1" w:line="240" w:lineRule="auto"/>
      <w:ind w:firstLineChars="0" w:firstLine="0"/>
      <w:jc w:val="right"/>
      <w:textAlignment w:val="center"/>
    </w:pPr>
    <w:rPr>
      <w:rFonts w:ascii="Microsoft Sans Serif" w:hAnsi="Microsoft Sans Serif" w:cs="Microsoft Sans Serif"/>
      <w:kern w:val="0"/>
      <w:sz w:val="18"/>
      <w:szCs w:val="18"/>
    </w:rPr>
  </w:style>
  <w:style w:type="paragraph" w:customStyle="1" w:styleId="Style2">
    <w:name w:val="_Style 2"/>
    <w:basedOn w:val="1"/>
    <w:next w:val="a0"/>
    <w:uiPriority w:val="39"/>
    <w:qFormat/>
    <w:rsid w:val="00042914"/>
    <w:pPr>
      <w:widowControl/>
      <w:numPr>
        <w:numId w:val="0"/>
      </w:numPr>
      <w:spacing w:before="480" w:after="0" w:line="276" w:lineRule="auto"/>
      <w:jc w:val="left"/>
      <w:outlineLvl w:val="9"/>
    </w:pPr>
    <w:rPr>
      <w:rFonts w:ascii="Cambria" w:eastAsia="宋体" w:hAnsi="Cambria"/>
      <w:color w:val="365F91"/>
      <w:kern w:val="0"/>
      <w:sz w:val="28"/>
    </w:rPr>
  </w:style>
  <w:style w:type="paragraph" w:customStyle="1" w:styleId="13">
    <w:name w:val="正文缩进1"/>
    <w:basedOn w:val="a0"/>
    <w:qFormat/>
    <w:rsid w:val="00042914"/>
    <w:pPr>
      <w:spacing w:line="240" w:lineRule="auto"/>
      <w:ind w:firstLine="420"/>
    </w:pPr>
    <w:rPr>
      <w:rFonts w:ascii="Times New Roman" w:hAnsi="Times New Roman"/>
      <w:sz w:val="21"/>
      <w:szCs w:val="20"/>
    </w:rPr>
  </w:style>
  <w:style w:type="paragraph" w:customStyle="1" w:styleId="xl68">
    <w:name w:val="xl68"/>
    <w:basedOn w:val="a0"/>
    <w:qFormat/>
    <w:rsid w:val="00042914"/>
    <w:pPr>
      <w:widowControl/>
      <w:pBdr>
        <w:bottom w:val="single" w:sz="4" w:space="0" w:color="auto"/>
        <w:right w:val="single" w:sz="4" w:space="0" w:color="auto"/>
      </w:pBdr>
      <w:spacing w:before="100" w:beforeAutospacing="1" w:after="100" w:afterAutospacing="1" w:line="240" w:lineRule="auto"/>
      <w:ind w:firstLineChars="0" w:firstLine="0"/>
      <w:jc w:val="left"/>
      <w:textAlignment w:val="center"/>
    </w:pPr>
    <w:rPr>
      <w:rFonts w:ascii="Microsoft Sans Serif" w:hAnsi="Microsoft Sans Serif" w:cs="Microsoft Sans Serif"/>
      <w:kern w:val="0"/>
      <w:sz w:val="18"/>
      <w:szCs w:val="18"/>
    </w:rPr>
  </w:style>
  <w:style w:type="paragraph" w:customStyle="1" w:styleId="aff9">
    <w:name w:val="前言、引言标题"/>
    <w:next w:val="a0"/>
    <w:uiPriority w:val="99"/>
    <w:qFormat/>
    <w:rsid w:val="00042914"/>
    <w:pPr>
      <w:shd w:val="clear" w:color="FFFFFF" w:fill="FFFFFF"/>
      <w:tabs>
        <w:tab w:val="left" w:pos="425"/>
      </w:tabs>
      <w:spacing w:before="640" w:after="560"/>
      <w:jc w:val="center"/>
      <w:outlineLvl w:val="0"/>
    </w:pPr>
    <w:rPr>
      <w:rFonts w:ascii="黑体" w:eastAsia="黑体"/>
      <w:sz w:val="32"/>
    </w:rPr>
  </w:style>
  <w:style w:type="paragraph" w:customStyle="1" w:styleId="IndentNormal">
    <w:name w:val="Indent Normal"/>
    <w:basedOn w:val="a0"/>
    <w:qFormat/>
    <w:rsid w:val="00042914"/>
    <w:pPr>
      <w:ind w:firstLineChars="150" w:firstLine="150"/>
    </w:pPr>
  </w:style>
  <w:style w:type="paragraph" w:customStyle="1" w:styleId="msonormal0">
    <w:name w:val="msonormal"/>
    <w:basedOn w:val="a0"/>
    <w:qFormat/>
    <w:rsid w:val="00042914"/>
    <w:pPr>
      <w:widowControl/>
      <w:spacing w:before="100" w:beforeAutospacing="1" w:after="100" w:afterAutospacing="1" w:line="240" w:lineRule="auto"/>
      <w:ind w:firstLineChars="0" w:firstLine="0"/>
      <w:jc w:val="left"/>
    </w:pPr>
    <w:rPr>
      <w:rFonts w:cs="宋体"/>
      <w:kern w:val="0"/>
    </w:rPr>
  </w:style>
  <w:style w:type="paragraph" w:customStyle="1" w:styleId="25">
    <w:name w:val="正文 缩进2字符"/>
    <w:basedOn w:val="a0"/>
    <w:qFormat/>
    <w:rsid w:val="00042914"/>
    <w:pPr>
      <w:spacing w:afterLines="50" w:line="240" w:lineRule="auto"/>
      <w:ind w:firstLineChars="0" w:firstLine="0"/>
    </w:pPr>
    <w:rPr>
      <w:rFonts w:ascii="Times New Roman" w:hAnsi="Times New Roman" w:cs="宋体"/>
      <w:sz w:val="21"/>
      <w:szCs w:val="20"/>
    </w:rPr>
  </w:style>
  <w:style w:type="paragraph" w:customStyle="1" w:styleId="a">
    <w:name w:val="列项●（二级）"/>
    <w:qFormat/>
    <w:rsid w:val="00042914"/>
    <w:pPr>
      <w:numPr>
        <w:numId w:val="2"/>
      </w:numPr>
      <w:tabs>
        <w:tab w:val="left" w:pos="840"/>
      </w:tabs>
      <w:ind w:leftChars="400" w:left="600" w:hangingChars="200" w:hanging="200"/>
      <w:jc w:val="both"/>
    </w:pPr>
    <w:rPr>
      <w:rFonts w:ascii="宋体"/>
      <w:sz w:val="21"/>
    </w:rPr>
  </w:style>
  <w:style w:type="paragraph" w:customStyle="1" w:styleId="affa">
    <w:name w:val="助手文本"/>
    <w:basedOn w:val="a0"/>
    <w:qFormat/>
    <w:rsid w:val="00042914"/>
    <w:pPr>
      <w:autoSpaceDE w:val="0"/>
      <w:autoSpaceDN w:val="0"/>
      <w:adjustRightInd w:val="0"/>
      <w:spacing w:beforeLines="50" w:afterLines="50"/>
      <w:ind w:left="14" w:firstLine="434"/>
      <w:textAlignment w:val="baseline"/>
    </w:pPr>
    <w:rPr>
      <w:rFonts w:ascii="楷体_GB2312" w:eastAsia="楷体_GB2312"/>
      <w:kern w:val="0"/>
      <w:szCs w:val="20"/>
      <w:u w:val="single"/>
    </w:rPr>
  </w:style>
  <w:style w:type="paragraph" w:customStyle="1" w:styleId="xl67">
    <w:name w:val="xl67"/>
    <w:basedOn w:val="a0"/>
    <w:qFormat/>
    <w:rsid w:val="00042914"/>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Microsoft Sans Serif" w:hAnsi="Microsoft Sans Serif" w:cs="Microsoft Sans Serif"/>
      <w:b/>
      <w:bCs/>
      <w:kern w:val="0"/>
      <w:sz w:val="18"/>
      <w:szCs w:val="18"/>
    </w:rPr>
  </w:style>
  <w:style w:type="paragraph" w:customStyle="1" w:styleId="affb">
    <w:name w:val="段"/>
    <w:qFormat/>
    <w:rsid w:val="00042914"/>
    <w:pPr>
      <w:autoSpaceDE w:val="0"/>
      <w:autoSpaceDN w:val="0"/>
      <w:ind w:firstLineChars="200" w:firstLine="200"/>
      <w:jc w:val="both"/>
    </w:pPr>
    <w:rPr>
      <w:rFonts w:ascii="宋体" w:cs="Calibri"/>
      <w:sz w:val="21"/>
    </w:rPr>
  </w:style>
  <w:style w:type="paragraph" w:customStyle="1" w:styleId="xl73">
    <w:name w:val="xl73"/>
    <w:basedOn w:val="a0"/>
    <w:qFormat/>
    <w:rsid w:val="000429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cs="宋体"/>
      <w:kern w:val="0"/>
    </w:rPr>
  </w:style>
  <w:style w:type="paragraph" w:customStyle="1" w:styleId="CharCharCharCharCharChar1Char">
    <w:name w:val="Char Char Char Char Char Char1 Char"/>
    <w:basedOn w:val="a0"/>
    <w:qFormat/>
    <w:rsid w:val="00042914"/>
    <w:pPr>
      <w:widowControl/>
      <w:spacing w:after="160" w:line="240" w:lineRule="exact"/>
      <w:jc w:val="left"/>
    </w:pPr>
  </w:style>
  <w:style w:type="paragraph" w:customStyle="1" w:styleId="PMBody">
    <w:name w:val="PM_Body"/>
    <w:basedOn w:val="a0"/>
    <w:qFormat/>
    <w:locked/>
    <w:rsid w:val="00042914"/>
    <w:rPr>
      <w:szCs w:val="21"/>
    </w:rPr>
  </w:style>
  <w:style w:type="paragraph" w:customStyle="1" w:styleId="CharChar1">
    <w:name w:val="Char Char1"/>
    <w:basedOn w:val="a0"/>
    <w:qFormat/>
    <w:rsid w:val="00042914"/>
    <w:pPr>
      <w:widowControl/>
      <w:spacing w:before="120" w:after="120"/>
    </w:pPr>
    <w:rPr>
      <w:rFonts w:ascii="Times New Roman" w:hAnsi="Times New Roman" w:cs="宋体"/>
    </w:rPr>
  </w:style>
  <w:style w:type="paragraph" w:customStyle="1" w:styleId="xl71">
    <w:name w:val="xl71"/>
    <w:basedOn w:val="a0"/>
    <w:qFormat/>
    <w:rsid w:val="00042914"/>
    <w:pPr>
      <w:widowControl/>
      <w:spacing w:before="100" w:beforeAutospacing="1" w:after="100" w:afterAutospacing="1" w:line="240" w:lineRule="auto"/>
      <w:ind w:firstLineChars="0" w:firstLine="0"/>
      <w:jc w:val="right"/>
      <w:textAlignment w:val="center"/>
    </w:pPr>
    <w:rPr>
      <w:rFonts w:ascii="Microsoft Sans Serif" w:hAnsi="Microsoft Sans Serif" w:cs="Microsoft Sans Serif"/>
      <w:kern w:val="0"/>
      <w:sz w:val="18"/>
      <w:szCs w:val="18"/>
    </w:rPr>
  </w:style>
  <w:style w:type="paragraph" w:customStyle="1" w:styleId="14">
    <w:name w:val="修订1"/>
    <w:uiPriority w:val="99"/>
    <w:unhideWhenUsed/>
    <w:qFormat/>
    <w:rsid w:val="00042914"/>
    <w:rPr>
      <w:rFonts w:ascii="宋体" w:hAnsi="宋体"/>
      <w:kern w:val="2"/>
      <w:sz w:val="24"/>
      <w:szCs w:val="24"/>
    </w:rPr>
  </w:style>
  <w:style w:type="paragraph" w:customStyle="1" w:styleId="26">
    <w:name w:val="列出段落2"/>
    <w:basedOn w:val="a0"/>
    <w:qFormat/>
    <w:rsid w:val="00042914"/>
    <w:pPr>
      <w:spacing w:line="240" w:lineRule="auto"/>
      <w:ind w:firstLine="420"/>
    </w:pPr>
    <w:rPr>
      <w:rFonts w:ascii="等线" w:eastAsia="等线" w:hAnsi="等线" w:cs="等线"/>
      <w:sz w:val="21"/>
      <w:szCs w:val="21"/>
    </w:rPr>
  </w:style>
  <w:style w:type="paragraph" w:customStyle="1" w:styleId="xl69">
    <w:name w:val="xl69"/>
    <w:basedOn w:val="a0"/>
    <w:qFormat/>
    <w:rsid w:val="00042914"/>
    <w:pPr>
      <w:widowControl/>
      <w:pBdr>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Microsoft Sans Serif" w:hAnsi="Microsoft Sans Serif" w:cs="Microsoft Sans Serif"/>
      <w:kern w:val="0"/>
      <w:sz w:val="18"/>
      <w:szCs w:val="18"/>
    </w:rPr>
  </w:style>
  <w:style w:type="paragraph" w:customStyle="1" w:styleId="xl66">
    <w:name w:val="xl66"/>
    <w:basedOn w:val="a0"/>
    <w:qFormat/>
    <w:rsid w:val="000429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Microsoft Sans Serif" w:hAnsi="Microsoft Sans Serif" w:cs="Microsoft Sans Serif"/>
      <w:b/>
      <w:bCs/>
      <w:kern w:val="0"/>
      <w:sz w:val="18"/>
      <w:szCs w:val="18"/>
    </w:rPr>
  </w:style>
  <w:style w:type="paragraph" w:customStyle="1" w:styleId="affc">
    <w:name w:val="文档正文文本（中安网脉）"/>
    <w:basedOn w:val="a0"/>
    <w:qFormat/>
    <w:rsid w:val="00042914"/>
    <w:pPr>
      <w:ind w:firstLine="200"/>
    </w:pPr>
    <w:rPr>
      <w:rFonts w:ascii="Times New Roman" w:eastAsia="仿宋_GB2312" w:hAnsi="Times New Roman"/>
      <w:color w:val="000000"/>
      <w:szCs w:val="28"/>
    </w:rPr>
  </w:style>
  <w:style w:type="paragraph" w:customStyle="1" w:styleId="xl65">
    <w:name w:val="xl65"/>
    <w:basedOn w:val="a0"/>
    <w:qFormat/>
    <w:rsid w:val="00042914"/>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left"/>
      <w:textAlignment w:val="center"/>
    </w:pPr>
    <w:rPr>
      <w:rFonts w:ascii="Microsoft Sans Serif" w:hAnsi="Microsoft Sans Serif" w:cs="Microsoft Sans Serif"/>
      <w:kern w:val="0"/>
      <w:sz w:val="18"/>
      <w:szCs w:val="18"/>
    </w:rPr>
  </w:style>
  <w:style w:type="paragraph" w:customStyle="1" w:styleId="affd">
    <w:name w:val="正文样式"/>
    <w:unhideWhenUsed/>
    <w:qFormat/>
    <w:rsid w:val="00042914"/>
    <w:pPr>
      <w:widowControl w:val="0"/>
      <w:adjustRightInd w:val="0"/>
      <w:snapToGrid w:val="0"/>
      <w:spacing w:line="360" w:lineRule="auto"/>
      <w:ind w:firstLineChars="200" w:firstLine="200"/>
      <w:jc w:val="both"/>
    </w:pPr>
    <w:rPr>
      <w:bCs/>
      <w:snapToGrid w:val="0"/>
      <w:sz w:val="24"/>
      <w:szCs w:val="44"/>
    </w:rPr>
  </w:style>
  <w:style w:type="paragraph" w:customStyle="1" w:styleId="152">
    <w:name w:val="样式 行距: 1.5 倍行距 首行缩进:  2 字符"/>
    <w:basedOn w:val="a0"/>
    <w:qFormat/>
    <w:rsid w:val="00042914"/>
    <w:pPr>
      <w:ind w:firstLine="560"/>
      <w:jc w:val="left"/>
    </w:pPr>
    <w:rPr>
      <w:rFonts w:ascii="仿宋" w:eastAsia="仿宋" w:hAnsi="仿宋" w:cs="宋体"/>
      <w:sz w:val="28"/>
      <w:szCs w:val="20"/>
    </w:rPr>
  </w:style>
  <w:style w:type="paragraph" w:customStyle="1" w:styleId="TOC1">
    <w:name w:val="TOC 标题1"/>
    <w:basedOn w:val="1"/>
    <w:next w:val="a0"/>
    <w:uiPriority w:val="39"/>
    <w:qFormat/>
    <w:rsid w:val="00042914"/>
    <w:pPr>
      <w:widowControl/>
      <w:numPr>
        <w:numId w:val="0"/>
      </w:numPr>
      <w:spacing w:before="480" w:after="0" w:line="276" w:lineRule="auto"/>
      <w:jc w:val="left"/>
      <w:outlineLvl w:val="9"/>
    </w:pPr>
    <w:rPr>
      <w:rFonts w:ascii="Cambria" w:eastAsia="宋体" w:hAnsi="Cambria"/>
      <w:color w:val="365F91"/>
      <w:kern w:val="0"/>
      <w:sz w:val="28"/>
    </w:rPr>
  </w:style>
  <w:style w:type="table" w:customStyle="1" w:styleId="15">
    <w:name w:val="!我的表格1"/>
    <w:basedOn w:val="a2"/>
    <w:uiPriority w:val="39"/>
    <w:qFormat/>
    <w:rsid w:val="0004291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网格型1"/>
    <w:basedOn w:val="a2"/>
    <w:uiPriority w:val="59"/>
    <w:unhideWhenUsed/>
    <w:qFormat/>
    <w:rsid w:val="00042914"/>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qFormat/>
    <w:rsid w:val="00042914"/>
    <w:rPr>
      <w:rFonts w:ascii="宋体" w:eastAsia="黑体" w:hAnsi="宋体"/>
      <w:b/>
      <w:bCs/>
      <w:kern w:val="44"/>
      <w:sz w:val="32"/>
      <w:szCs w:val="28"/>
    </w:rPr>
  </w:style>
  <w:style w:type="character" w:customStyle="1" w:styleId="Char20">
    <w:name w:val="纯文本 Char2"/>
    <w:qFormat/>
    <w:rsid w:val="00042914"/>
    <w:rPr>
      <w:rFonts w:ascii="宋体" w:eastAsia="宋体" w:hAnsi="宋体" w:cs="Times New Roman"/>
      <w:color w:val="000000"/>
      <w:kern w:val="0"/>
      <w:sz w:val="24"/>
      <w:szCs w:val="24"/>
    </w:rPr>
  </w:style>
  <w:style w:type="paragraph" w:customStyle="1" w:styleId="17">
    <w:name w:val="列出段落1"/>
    <w:basedOn w:val="a0"/>
    <w:uiPriority w:val="34"/>
    <w:qFormat/>
    <w:rsid w:val="00042914"/>
    <w:pPr>
      <w:ind w:firstLine="420"/>
    </w:pPr>
    <w:rPr>
      <w:rFonts w:ascii="Times New Roman" w:hAnsi="Times New Roman"/>
      <w:sz w:val="21"/>
    </w:rPr>
  </w:style>
  <w:style w:type="character" w:customStyle="1" w:styleId="font11">
    <w:name w:val="font11"/>
    <w:basedOn w:val="a1"/>
    <w:qFormat/>
    <w:rsid w:val="00042914"/>
    <w:rPr>
      <w:rFonts w:ascii="宋体" w:eastAsia="宋体" w:hAnsi="宋体" w:cs="宋体" w:hint="eastAsia"/>
      <w:b/>
      <w:bCs/>
      <w:color w:val="000000"/>
      <w:sz w:val="22"/>
      <w:szCs w:val="22"/>
      <w:u w:val="none"/>
    </w:rPr>
  </w:style>
  <w:style w:type="character" w:customStyle="1" w:styleId="font81">
    <w:name w:val="font81"/>
    <w:basedOn w:val="a1"/>
    <w:qFormat/>
    <w:rsid w:val="00042914"/>
    <w:rPr>
      <w:rFonts w:ascii="Wingdings 2" w:eastAsia="Wingdings 2" w:hAnsi="Wingdings 2" w:cs="Wingdings 2"/>
      <w:color w:val="000000"/>
      <w:sz w:val="22"/>
      <w:szCs w:val="22"/>
      <w:u w:val="none"/>
    </w:rPr>
  </w:style>
  <w:style w:type="character" w:customStyle="1" w:styleId="font61">
    <w:name w:val="font61"/>
    <w:basedOn w:val="a1"/>
    <w:qFormat/>
    <w:rsid w:val="00042914"/>
    <w:rPr>
      <w:rFonts w:ascii="宋体" w:eastAsia="宋体" w:hAnsi="宋体" w:cs="宋体" w:hint="eastAsia"/>
      <w:color w:val="000000"/>
      <w:sz w:val="22"/>
      <w:szCs w:val="22"/>
      <w:u w:val="none"/>
    </w:rPr>
  </w:style>
  <w:style w:type="paragraph" w:customStyle="1" w:styleId="27">
    <w:name w:val="修订2"/>
    <w:hidden/>
    <w:uiPriority w:val="99"/>
    <w:unhideWhenUsed/>
    <w:qFormat/>
    <w:rsid w:val="00042914"/>
    <w:rPr>
      <w:rFonts w:ascii="宋体" w:hAnsi="宋体"/>
      <w:kern w:val="2"/>
      <w:sz w:val="24"/>
      <w:szCs w:val="24"/>
    </w:rPr>
  </w:style>
  <w:style w:type="paragraph" w:customStyle="1" w:styleId="affe">
    <w:name w:val="可研正文"/>
    <w:basedOn w:val="a0"/>
    <w:link w:val="Charf0"/>
    <w:qFormat/>
    <w:rsid w:val="00042914"/>
    <w:pPr>
      <w:ind w:firstLine="200"/>
    </w:pPr>
    <w:rPr>
      <w:rFonts w:ascii="仿宋" w:eastAsia="仿宋" w:hAnsi="仿宋" w:cs="仿宋"/>
      <w:kern w:val="0"/>
      <w:sz w:val="28"/>
      <w:szCs w:val="28"/>
    </w:rPr>
  </w:style>
  <w:style w:type="character" w:customStyle="1" w:styleId="Charf0">
    <w:name w:val="可研正文 Char"/>
    <w:link w:val="affe"/>
    <w:qFormat/>
    <w:locked/>
    <w:rsid w:val="00042914"/>
    <w:rPr>
      <w:rFonts w:ascii="仿宋" w:eastAsia="仿宋" w:hAnsi="仿宋" w:cs="仿宋"/>
      <w:sz w:val="28"/>
      <w:szCs w:val="28"/>
    </w:rPr>
  </w:style>
  <w:style w:type="paragraph" w:customStyle="1" w:styleId="WPSOffice1">
    <w:name w:val="WPSOffice手动目录 1"/>
    <w:qFormat/>
    <w:rsid w:val="00042914"/>
  </w:style>
  <w:style w:type="paragraph" w:customStyle="1" w:styleId="33">
    <w:name w:val="修订3"/>
    <w:hidden/>
    <w:uiPriority w:val="99"/>
    <w:unhideWhenUsed/>
    <w:qFormat/>
    <w:rsid w:val="00042914"/>
    <w:rPr>
      <w:rFonts w:ascii="宋体" w:hAnsi="宋体"/>
      <w:kern w:val="2"/>
      <w:sz w:val="24"/>
      <w:szCs w:val="24"/>
    </w:rPr>
  </w:style>
  <w:style w:type="paragraph" w:customStyle="1" w:styleId="42">
    <w:name w:val="修订4"/>
    <w:hidden/>
    <w:uiPriority w:val="99"/>
    <w:unhideWhenUsed/>
    <w:qFormat/>
    <w:rsid w:val="00042914"/>
    <w:rPr>
      <w:rFonts w:ascii="宋体" w:hAnsi="宋体"/>
      <w:kern w:val="2"/>
      <w:sz w:val="24"/>
      <w:szCs w:val="24"/>
    </w:rPr>
  </w:style>
  <w:style w:type="paragraph" w:styleId="afff">
    <w:name w:val="Revision"/>
    <w:hidden/>
    <w:uiPriority w:val="99"/>
    <w:unhideWhenUsed/>
    <w:rsid w:val="008C601B"/>
    <w:rPr>
      <w:rFonts w:ascii="宋体" w:hAnsi="宋体"/>
      <w:kern w:val="2"/>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D65A81-32AB-4B27-AC92-0BE678810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6257</Words>
  <Characters>35671</Characters>
  <Application>Microsoft Office Word</Application>
  <DocSecurity>0</DocSecurity>
  <Lines>297</Lines>
  <Paragraphs>83</Paragraphs>
  <ScaleCrop>false</ScaleCrop>
  <Company>Hewlett-Packard Company</Company>
  <LinksUpToDate>false</LinksUpToDate>
  <CharactersWithSpaces>41845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娄新雨</cp:lastModifiedBy>
  <cp:revision>2</cp:revision>
  <cp:lastPrinted>2020-08-11T20:08:00Z</cp:lastPrinted>
  <dcterms:created xsi:type="dcterms:W3CDTF">2024-02-22T07:59:00Z</dcterms:created>
  <dcterms:modified xsi:type="dcterms:W3CDTF">2024-02-22T07:59:00Z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7CA3E5BDCFC341B982D101CED7C9AF8B_13</vt:lpwstr>
  </property>
</Properties>
</file>