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425"/>
        <w:jc w:val="center"/>
      </w:pPr>
      <w:bookmarkStart w:id="0" w:name="_Toc63785461"/>
      <w:r>
        <w:rPr>
          <w:rFonts w:hint="eastAsia"/>
        </w:rPr>
        <w:t>上海市老年医学中心互联网医院建设项目采购需求</w:t>
      </w:r>
    </w:p>
    <w:p>
      <w:pPr>
        <w:pStyle w:val="2"/>
      </w:pPr>
      <w:r>
        <w:rPr>
          <w:rFonts w:hint="eastAsia"/>
        </w:rPr>
        <w:t>项目概况</w:t>
      </w:r>
      <w:bookmarkEnd w:id="0"/>
    </w:p>
    <w:p>
      <w:pPr>
        <w:rPr>
          <w:rFonts w:cs="宋体"/>
          <w:color w:val="000000"/>
          <w:kern w:val="0"/>
        </w:rPr>
      </w:pPr>
      <w:r>
        <w:rPr>
          <w:rFonts w:hint="eastAsia" w:cs="宋体"/>
          <w:color w:val="000000"/>
          <w:kern w:val="0"/>
        </w:rPr>
        <w:t>互联网+健康医疗项目使得人们可以通过互联网平台获取更加及时、高效的健康医疗服务。互联网医院作为互联网医疗的一种重要载体，因其便利、高效的特点，已经成为医疗行业的重要发展方向。</w:t>
      </w:r>
    </w:p>
    <w:p>
      <w:pPr>
        <w:rPr>
          <w:rFonts w:cs="宋体"/>
          <w:color w:val="000000"/>
          <w:kern w:val="0"/>
        </w:rPr>
      </w:pPr>
      <w:r>
        <w:rPr>
          <w:rFonts w:hint="eastAsia" w:cs="宋体"/>
          <w:color w:val="000000"/>
          <w:kern w:val="0"/>
        </w:rPr>
        <w:t>上海市老年医学中心已正式建成开业，为进一步提升用户就医体验、响应上海市“便捷就医服务”数字化转型等建设工作，需对院内的互联网相关应用进行建设。</w:t>
      </w:r>
    </w:p>
    <w:p>
      <w:r>
        <w:t>是否按信创要求建设：</w:t>
      </w:r>
      <w:r>
        <w:rPr>
          <w:rFonts w:hint="eastAsia"/>
        </w:rPr>
        <w:t>否</w:t>
      </w:r>
    </w:p>
    <w:p>
      <w:pPr>
        <w:ind w:firstLine="0" w:firstLineChars="0"/>
        <w:rPr>
          <w:rFonts w:cs="宋体"/>
          <w:color w:val="000000"/>
          <w:kern w:val="0"/>
        </w:rPr>
      </w:pPr>
    </w:p>
    <w:p>
      <w:pPr>
        <w:rPr>
          <w:color w:val="FF0000"/>
        </w:rPr>
      </w:pPr>
    </w:p>
    <w:p>
      <w:pPr>
        <w:pStyle w:val="2"/>
        <w:rPr>
          <w:color w:val="000000"/>
        </w:rPr>
      </w:pPr>
      <w:bookmarkStart w:id="1" w:name="_Toc47532255"/>
      <w:bookmarkEnd w:id="1"/>
      <w:bookmarkStart w:id="2" w:name="_Toc47536272"/>
      <w:bookmarkEnd w:id="2"/>
      <w:bookmarkStart w:id="3" w:name="_Toc47533256"/>
      <w:bookmarkEnd w:id="3"/>
      <w:bookmarkStart w:id="4" w:name="_Toc47537134"/>
      <w:bookmarkEnd w:id="4"/>
      <w:bookmarkStart w:id="5" w:name="_Toc47532891"/>
      <w:bookmarkEnd w:id="5"/>
      <w:bookmarkStart w:id="6" w:name="_Toc47539070"/>
      <w:bookmarkEnd w:id="6"/>
      <w:bookmarkStart w:id="7" w:name="_Toc47536644"/>
      <w:bookmarkEnd w:id="7"/>
      <w:bookmarkStart w:id="8" w:name="_Toc47531634"/>
      <w:bookmarkEnd w:id="8"/>
      <w:bookmarkStart w:id="9" w:name="_Toc48223882"/>
      <w:bookmarkStart w:id="10" w:name="_Toc63785463"/>
      <w:r>
        <w:rPr>
          <w:rFonts w:hint="eastAsia"/>
        </w:rPr>
        <w:t>建设目标</w:t>
      </w:r>
      <w:bookmarkEnd w:id="9"/>
      <w:bookmarkEnd w:id="10"/>
    </w:p>
    <w:p>
      <w:pPr>
        <w:rPr>
          <w:bCs/>
          <w:color w:val="000000"/>
        </w:rPr>
      </w:pPr>
      <w:r>
        <w:rPr>
          <w:rFonts w:hint="eastAsia"/>
          <w:bCs/>
          <w:color w:val="000000"/>
        </w:rPr>
        <w:t>（1）通过互联网技术，实现医疗服务的现代化，提高医疗服务的可及性和效率，同时确保医疗服务的质量和安全；</w:t>
      </w:r>
    </w:p>
    <w:p>
      <w:pPr>
        <w:rPr>
          <w:bCs/>
          <w:color w:val="000000"/>
        </w:rPr>
      </w:pPr>
      <w:r>
        <w:rPr>
          <w:rFonts w:hint="eastAsia"/>
          <w:bCs/>
          <w:color w:val="000000"/>
        </w:rPr>
        <w:t>（2）完成相关系统的无障碍及适老化改造；</w:t>
      </w:r>
    </w:p>
    <w:p>
      <w:pPr>
        <w:rPr>
          <w:bCs/>
          <w:color w:val="000000"/>
        </w:rPr>
      </w:pPr>
      <w:r>
        <w:rPr>
          <w:rFonts w:hint="eastAsia"/>
          <w:bCs/>
          <w:color w:val="000000"/>
        </w:rPr>
        <w:t>（3）满足2021年以来新颁布的政策性要求。</w:t>
      </w:r>
    </w:p>
    <w:p>
      <w:pPr>
        <w:rPr>
          <w:bCs/>
        </w:rPr>
      </w:pPr>
    </w:p>
    <w:p>
      <w:pPr>
        <w:pStyle w:val="2"/>
      </w:pPr>
      <w:bookmarkStart w:id="11" w:name="_Toc47537166"/>
      <w:bookmarkEnd w:id="11"/>
      <w:bookmarkStart w:id="12" w:name="_Toc47533288"/>
      <w:bookmarkEnd w:id="12"/>
      <w:bookmarkStart w:id="13" w:name="_Toc47536304"/>
      <w:bookmarkEnd w:id="13"/>
      <w:bookmarkStart w:id="14" w:name="_Toc47539102"/>
      <w:bookmarkEnd w:id="14"/>
      <w:bookmarkStart w:id="15" w:name="_Toc47532923"/>
      <w:bookmarkEnd w:id="15"/>
      <w:bookmarkStart w:id="16" w:name="_Toc47536676"/>
      <w:bookmarkEnd w:id="16"/>
      <w:r>
        <w:rPr>
          <w:rFonts w:hint="eastAsia"/>
        </w:rPr>
        <w:t>项目建设内容</w:t>
      </w:r>
    </w:p>
    <w:p>
      <w:pPr>
        <w:widowControl/>
        <w:snapToGrid w:val="0"/>
        <w:spacing w:line="440" w:lineRule="exact"/>
        <w:jc w:val="left"/>
        <w:rPr>
          <w:bCs/>
        </w:rPr>
      </w:pPr>
      <w:r>
        <w:rPr>
          <w:rFonts w:hint="eastAsia"/>
          <w:bCs/>
        </w:rPr>
        <w:t>互联网医院:线上挂号接诊、开方、支付、药品配送到家等、在线咨询、一键续方；</w:t>
      </w:r>
    </w:p>
    <w:p>
      <w:pPr>
        <w:widowControl/>
        <w:snapToGrid w:val="0"/>
        <w:spacing w:line="440" w:lineRule="exact"/>
        <w:jc w:val="left"/>
        <w:rPr>
          <w:bCs/>
        </w:rPr>
      </w:pPr>
      <w:bookmarkStart w:id="17" w:name="_Hlk179873206"/>
      <w:r>
        <w:rPr>
          <w:rFonts w:hint="eastAsia"/>
          <w:bCs/>
        </w:rPr>
        <w:t>互联网医院MDT</w:t>
      </w:r>
      <w:bookmarkEnd w:id="17"/>
      <w:r>
        <w:rPr>
          <w:rFonts w:hint="eastAsia"/>
          <w:bCs/>
        </w:rPr>
        <w:t>:在线发起多学科联合会诊(MDT)，包括患者端、医生端、管理端。</w:t>
      </w:r>
    </w:p>
    <w:p>
      <w:pPr>
        <w:widowControl/>
        <w:snapToGrid w:val="0"/>
        <w:spacing w:line="440" w:lineRule="exact"/>
        <w:jc w:val="left"/>
        <w:rPr>
          <w:b/>
        </w:rPr>
      </w:pPr>
      <w:r>
        <w:rPr>
          <w:rFonts w:hint="eastAsia"/>
          <w:bCs/>
        </w:rPr>
        <w:t>云客服：以云计算、人工智能、大数据等新一代数字化技术为基础，综合应用自然语言理解技术、知识管理技术、自动问答系统、智能推理技术等，降低客服人力成本投入、提高客服响应效率、增强用户体验。</w:t>
      </w:r>
    </w:p>
    <w:p>
      <w:pPr>
        <w:widowControl/>
        <w:snapToGrid w:val="0"/>
        <w:spacing w:line="440" w:lineRule="exact"/>
        <w:jc w:val="left"/>
        <w:rPr>
          <w:b/>
        </w:rPr>
      </w:pPr>
      <w:r>
        <w:rPr>
          <w:rFonts w:hint="eastAsia"/>
          <w:bCs/>
        </w:rPr>
        <w:t>适老化及无障碍改造：完成互联网医院适老化及无障碍改造。</w:t>
      </w:r>
    </w:p>
    <w:p>
      <w:pPr>
        <w:widowControl/>
        <w:snapToGrid w:val="0"/>
        <w:spacing w:line="440" w:lineRule="exact"/>
        <w:ind w:firstLine="482"/>
        <w:jc w:val="left"/>
        <w:rPr>
          <w:b/>
        </w:rPr>
      </w:pPr>
    </w:p>
    <w:p>
      <w:pPr>
        <w:widowControl/>
        <w:snapToGrid w:val="0"/>
        <w:spacing w:line="440" w:lineRule="exact"/>
        <w:ind w:firstLine="482"/>
        <w:jc w:val="left"/>
        <w:rPr>
          <w:b/>
        </w:rPr>
      </w:pPr>
    </w:p>
    <w:p>
      <w:pPr>
        <w:ind w:firstLine="482"/>
        <w:rPr>
          <w:b/>
        </w:rPr>
      </w:pPr>
      <w:r>
        <w:rPr>
          <w:rFonts w:hint="eastAsia"/>
          <w:b/>
        </w:rPr>
        <w:t>1、软件开发清单：</w:t>
      </w: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410"/>
        <w:gridCol w:w="1984"/>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59" w:type="dxa"/>
            <w:shd w:val="clear" w:color="auto" w:fill="auto"/>
            <w:noWrap/>
            <w:vAlign w:val="center"/>
          </w:tcPr>
          <w:p>
            <w:pPr>
              <w:spacing w:line="240" w:lineRule="auto"/>
              <w:ind w:firstLine="0" w:firstLineChars="0"/>
              <w:jc w:val="center"/>
              <w:rPr>
                <w:rFonts w:cs="宋体"/>
                <w:b/>
                <w:bCs/>
                <w:color w:val="000000"/>
                <w:sz w:val="21"/>
                <w:szCs w:val="21"/>
                <w14:ligatures w14:val="standardContextual"/>
              </w:rPr>
            </w:pPr>
            <w:r>
              <w:rPr>
                <w:rFonts w:hint="eastAsia" w:cs="宋体"/>
                <w:b/>
                <w:bCs/>
                <w:color w:val="000000"/>
                <w:sz w:val="21"/>
                <w:szCs w:val="21"/>
                <w14:ligatures w14:val="standardContextual"/>
              </w:rPr>
              <w:t>序号</w:t>
            </w:r>
          </w:p>
        </w:tc>
        <w:tc>
          <w:tcPr>
            <w:tcW w:w="2410" w:type="dxa"/>
            <w:shd w:val="clear" w:color="auto" w:fill="auto"/>
            <w:vAlign w:val="center"/>
          </w:tcPr>
          <w:p>
            <w:pPr>
              <w:spacing w:line="240" w:lineRule="auto"/>
              <w:ind w:firstLine="0" w:firstLineChars="0"/>
              <w:jc w:val="center"/>
              <w:rPr>
                <w:rFonts w:cs="宋体"/>
                <w:b/>
                <w:bCs/>
                <w:color w:val="000000"/>
                <w:sz w:val="21"/>
                <w:szCs w:val="21"/>
                <w14:ligatures w14:val="standardContextual"/>
              </w:rPr>
            </w:pPr>
            <w:r>
              <w:rPr>
                <w:rFonts w:hint="eastAsia" w:cs="宋体"/>
                <w:b/>
                <w:bCs/>
                <w:color w:val="000000"/>
                <w:sz w:val="21"/>
                <w:szCs w:val="21"/>
                <w14:ligatures w14:val="standardContextual"/>
              </w:rPr>
              <w:t>应用系统名称</w:t>
            </w:r>
          </w:p>
        </w:tc>
        <w:tc>
          <w:tcPr>
            <w:tcW w:w="1984" w:type="dxa"/>
            <w:shd w:val="clear" w:color="auto" w:fill="auto"/>
            <w:vAlign w:val="center"/>
          </w:tcPr>
          <w:p>
            <w:pPr>
              <w:spacing w:line="240" w:lineRule="auto"/>
              <w:ind w:firstLine="0" w:firstLineChars="0"/>
              <w:jc w:val="center"/>
              <w:rPr>
                <w:rFonts w:cs="宋体"/>
                <w:b/>
                <w:bCs/>
                <w:color w:val="000000"/>
                <w:sz w:val="21"/>
                <w:szCs w:val="21"/>
                <w14:ligatures w14:val="standardContextual"/>
              </w:rPr>
            </w:pPr>
            <w:r>
              <w:rPr>
                <w:rFonts w:hint="eastAsia" w:cs="宋体"/>
                <w:b/>
                <w:bCs/>
                <w:color w:val="000000"/>
                <w:sz w:val="21"/>
                <w:szCs w:val="21"/>
                <w14:ligatures w14:val="standardContextual"/>
              </w:rPr>
              <w:t>模块名称</w:t>
            </w:r>
          </w:p>
        </w:tc>
        <w:tc>
          <w:tcPr>
            <w:tcW w:w="3175" w:type="dxa"/>
            <w:vAlign w:val="center"/>
          </w:tcPr>
          <w:p>
            <w:pPr>
              <w:spacing w:line="240" w:lineRule="auto"/>
              <w:ind w:firstLine="0" w:firstLineChars="0"/>
              <w:jc w:val="center"/>
              <w:rPr>
                <w:rFonts w:cs="宋体"/>
                <w:b/>
                <w:bCs/>
                <w:color w:val="000000"/>
                <w:sz w:val="21"/>
                <w:szCs w:val="21"/>
                <w14:ligatures w14:val="standardContextual"/>
              </w:rPr>
            </w:pPr>
            <w:r>
              <w:rPr>
                <w:rFonts w:hint="eastAsia" w:cs="宋体"/>
                <w:b/>
                <w:bCs/>
                <w:color w:val="000000"/>
                <w:sz w:val="21"/>
                <w:szCs w:val="21"/>
                <w14:ligatures w14:val="standardContextual"/>
              </w:rPr>
              <w:t>模块描述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9" w:type="dxa"/>
            <w:vMerge w:val="restart"/>
            <w:shd w:val="clear" w:color="auto" w:fill="auto"/>
            <w:noWrap/>
            <w:vAlign w:val="center"/>
          </w:tcPr>
          <w:p>
            <w:pPr>
              <w:spacing w:line="240" w:lineRule="auto"/>
              <w:ind w:firstLine="0" w:firstLineChars="0"/>
              <w:jc w:val="center"/>
              <w:rPr>
                <w:rFonts w:cs="宋体"/>
                <w:color w:val="000000"/>
                <w:sz w:val="21"/>
                <w:szCs w:val="21"/>
                <w14:ligatures w14:val="standardContextual"/>
              </w:rPr>
            </w:pPr>
            <w:r>
              <w:rPr>
                <w:rFonts w:hint="eastAsia" w:cs="宋体"/>
                <w:color w:val="000000"/>
                <w:sz w:val="21"/>
                <w:szCs w:val="21"/>
                <w14:ligatures w14:val="standardContextual"/>
              </w:rPr>
              <w:t>1</w:t>
            </w:r>
          </w:p>
        </w:tc>
        <w:tc>
          <w:tcPr>
            <w:tcW w:w="2410" w:type="dxa"/>
            <w:vMerge w:val="restart"/>
            <w:shd w:val="clear" w:color="auto" w:fill="auto"/>
            <w:vAlign w:val="center"/>
          </w:tcPr>
          <w:p>
            <w:pPr>
              <w:spacing w:line="240" w:lineRule="auto"/>
              <w:ind w:firstLine="0" w:firstLineChars="0"/>
              <w:rPr>
                <w:rFonts w:cs="宋体"/>
                <w:color w:val="000000"/>
                <w:sz w:val="21"/>
                <w:szCs w:val="21"/>
                <w14:ligatures w14:val="standardContextual"/>
              </w:rPr>
            </w:pPr>
            <w:r>
              <w:rPr>
                <w:rFonts w:hint="eastAsia" w:cs="宋体"/>
                <w:color w:val="000000"/>
                <w:sz w:val="21"/>
                <w:szCs w:val="21"/>
                <w14:ligatures w14:val="standardContextual"/>
              </w:rPr>
              <w:t>互联网医院系统</w:t>
            </w:r>
          </w:p>
        </w:tc>
        <w:tc>
          <w:tcPr>
            <w:tcW w:w="1984" w:type="dxa"/>
            <w:vMerge w:val="restart"/>
            <w:shd w:val="clear" w:color="auto" w:fill="auto"/>
            <w:vAlign w:val="center"/>
          </w:tcPr>
          <w:p>
            <w:pPr>
              <w:spacing w:line="240" w:lineRule="auto"/>
              <w:ind w:firstLine="0" w:firstLineChars="0"/>
              <w:jc w:val="center"/>
              <w:rPr>
                <w:rFonts w:cs="宋体"/>
                <w:color w:val="000000"/>
                <w:sz w:val="21"/>
                <w:szCs w:val="21"/>
                <w14:ligatures w14:val="standardContextual"/>
              </w:rPr>
            </w:pPr>
            <w:r>
              <w:rPr>
                <w:rFonts w:hint="eastAsia" w:cs="宋体"/>
                <w:color w:val="000000"/>
                <w:sz w:val="21"/>
                <w:szCs w:val="21"/>
                <w14:ligatures w14:val="standardContextual"/>
              </w:rPr>
              <w:t>互联网医院患者端</w:t>
            </w:r>
          </w:p>
        </w:tc>
        <w:tc>
          <w:tcPr>
            <w:tcW w:w="3175" w:type="dxa"/>
          </w:tcPr>
          <w:p>
            <w:pPr>
              <w:spacing w:line="240" w:lineRule="auto"/>
              <w:ind w:firstLine="0" w:firstLineChars="0"/>
              <w:rPr>
                <w:rFonts w:cs="宋体"/>
                <w:color w:val="000000"/>
                <w:sz w:val="21"/>
                <w:szCs w:val="21"/>
                <w14:ligatures w14:val="standardContextual"/>
              </w:rPr>
            </w:pPr>
            <w:bookmarkStart w:id="18" w:name="_Toc169521075"/>
            <w:r>
              <w:rPr>
                <w:rFonts w:hint="eastAsia"/>
                <w:sz w:val="22"/>
                <w:szCs w:val="22"/>
                <w14:ligatures w14:val="standardContextual"/>
              </w:rPr>
              <w:t>互联网医院智能门户</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bookmarkStart w:id="19" w:name="_Toc169521076"/>
            <w:r>
              <w:rPr>
                <w:rFonts w:hint="eastAsia"/>
                <w:sz w:val="22"/>
                <w:szCs w:val="22"/>
                <w14:ligatures w14:val="standardContextual"/>
              </w:rPr>
              <w:t>消息中心</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bookmarkStart w:id="20" w:name="_Toc169521077"/>
            <w:r>
              <w:rPr>
                <w:rFonts w:hint="eastAsia"/>
                <w:sz w:val="22"/>
                <w:szCs w:val="22"/>
                <w14:ligatures w14:val="standardContextual"/>
              </w:rPr>
              <w:t>预约挂号</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bookmarkStart w:id="21" w:name="_Toc169521078"/>
            <w:r>
              <w:rPr>
                <w:rFonts w:hint="eastAsia"/>
                <w:sz w:val="22"/>
                <w:szCs w:val="22"/>
                <w14:ligatures w14:val="standardContextual"/>
              </w:rPr>
              <w:t>在线复诊续方</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bookmarkStart w:id="22" w:name="_Toc169521079"/>
            <w:r>
              <w:rPr>
                <w:rFonts w:hint="eastAsia"/>
                <w:sz w:val="22"/>
                <w:szCs w:val="22"/>
                <w14:ligatures w14:val="standardContextual"/>
              </w:rPr>
              <w:t>患者云诊室</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bookmarkStart w:id="23" w:name="_Toc169521080"/>
            <w:r>
              <w:rPr>
                <w:rFonts w:hint="eastAsia"/>
                <w:sz w:val="22"/>
                <w:szCs w:val="22"/>
                <w14:ligatures w14:val="standardContextual"/>
              </w:rPr>
              <w:t>就诊记录</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bookmarkStart w:id="24" w:name="_Toc169521081"/>
            <w:r>
              <w:rPr>
                <w:rFonts w:hint="eastAsia"/>
                <w:sz w:val="22"/>
                <w:szCs w:val="22"/>
                <w14:ligatures w14:val="standardContextual"/>
              </w:rPr>
              <w:t>就诊卡管理</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bookmarkStart w:id="25" w:name="_Toc169521082"/>
            <w:r>
              <w:rPr>
                <w:rFonts w:hint="eastAsia"/>
                <w:sz w:val="22"/>
                <w:szCs w:val="22"/>
                <w14:ligatures w14:val="standardContextual"/>
              </w:rPr>
              <w:t>订单中心</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bookmarkStart w:id="26" w:name="_Toc169521083"/>
            <w:r>
              <w:rPr>
                <w:rFonts w:hint="eastAsia"/>
                <w:sz w:val="22"/>
                <w:szCs w:val="22"/>
                <w14:ligatures w14:val="standardContextual"/>
              </w:rPr>
              <w:t>地址簿管理</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restart"/>
            <w:shd w:val="clear" w:color="auto" w:fill="auto"/>
            <w:vAlign w:val="center"/>
          </w:tcPr>
          <w:p>
            <w:pPr>
              <w:spacing w:line="240" w:lineRule="auto"/>
              <w:ind w:firstLine="0" w:firstLineChars="0"/>
              <w:jc w:val="center"/>
              <w:rPr>
                <w:rFonts w:cs="宋体"/>
                <w:color w:val="000000"/>
                <w:sz w:val="21"/>
                <w:szCs w:val="21"/>
                <w14:ligatures w14:val="standardContextual"/>
              </w:rPr>
            </w:pPr>
            <w:r>
              <w:rPr>
                <w:rFonts w:hint="eastAsia" w:cs="宋体"/>
                <w:color w:val="000000"/>
                <w:sz w:val="21"/>
                <w:szCs w:val="21"/>
                <w14:ligatures w14:val="standardContextual"/>
              </w:rPr>
              <w:t>互联网医院医生端</w:t>
            </w:r>
          </w:p>
        </w:tc>
        <w:tc>
          <w:tcPr>
            <w:tcW w:w="3175" w:type="dxa"/>
          </w:tcPr>
          <w:p>
            <w:pPr>
              <w:spacing w:line="240" w:lineRule="auto"/>
              <w:ind w:firstLine="0" w:firstLineChars="0"/>
              <w:rPr>
                <w:rFonts w:cs="宋体"/>
                <w:color w:val="000000"/>
                <w:sz w:val="21"/>
                <w:szCs w:val="21"/>
                <w14:ligatures w14:val="standardContextual"/>
              </w:rPr>
            </w:pPr>
            <w:bookmarkStart w:id="27" w:name="_Toc169521084"/>
            <w:r>
              <w:rPr>
                <w:rFonts w:hint="eastAsia"/>
                <w:sz w:val="22"/>
                <w:szCs w:val="22"/>
                <w14:ligatures w14:val="standardContextual"/>
              </w:rPr>
              <w:t>医生登录</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bookmarkStart w:id="28" w:name="_Toc169521085"/>
            <w:r>
              <w:rPr>
                <w:rFonts w:hint="eastAsia"/>
                <w:sz w:val="22"/>
                <w:szCs w:val="22"/>
                <w14:ligatures w14:val="standardContextual"/>
              </w:rPr>
              <w:t>医生门户</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bookmarkStart w:id="29" w:name="_Toc169521086"/>
            <w:r>
              <w:rPr>
                <w:rFonts w:hint="eastAsia"/>
                <w:sz w:val="22"/>
                <w:szCs w:val="22"/>
                <w14:ligatures w14:val="standardContextual"/>
              </w:rPr>
              <w:t>医生云诊室</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bookmarkStart w:id="30" w:name="_Toc169521087"/>
            <w:r>
              <w:rPr>
                <w:rFonts w:hint="eastAsia"/>
                <w:sz w:val="22"/>
                <w:szCs w:val="22"/>
                <w14:ligatures w14:val="standardContextual"/>
              </w:rPr>
              <w:t>患者档案调阅</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bookmarkStart w:id="31" w:name="_Toc169521088"/>
            <w:r>
              <w:rPr>
                <w:rFonts w:hint="eastAsia"/>
                <w:sz w:val="22"/>
                <w:szCs w:val="22"/>
                <w14:ligatures w14:val="standardContextual"/>
              </w:rPr>
              <w:t>电子病历</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bookmarkStart w:id="32" w:name="_Toc169521089"/>
            <w:r>
              <w:rPr>
                <w:rFonts w:hint="eastAsia"/>
                <w:sz w:val="22"/>
                <w:szCs w:val="22"/>
                <w14:ligatures w14:val="standardContextual"/>
              </w:rPr>
              <w:t>在线开立</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restart"/>
            <w:shd w:val="clear" w:color="auto" w:fill="auto"/>
            <w:vAlign w:val="center"/>
          </w:tcPr>
          <w:p>
            <w:pPr>
              <w:spacing w:line="240" w:lineRule="auto"/>
              <w:ind w:firstLine="0" w:firstLineChars="0"/>
              <w:jc w:val="center"/>
              <w:rPr>
                <w:rFonts w:cs="宋体"/>
                <w:color w:val="000000"/>
                <w:sz w:val="21"/>
                <w:szCs w:val="21"/>
                <w14:ligatures w14:val="standardContextual"/>
              </w:rPr>
            </w:pPr>
            <w:r>
              <w:rPr>
                <w:rFonts w:hint="eastAsia" w:cs="宋体"/>
                <w:color w:val="000000"/>
                <w:sz w:val="21"/>
                <w:szCs w:val="21"/>
                <w14:ligatures w14:val="standardContextual"/>
              </w:rPr>
              <w:t>互联网医院管理端</w:t>
            </w: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就诊记录管理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字典库维护管理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电子处方流转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处方跟踪管理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订单跟踪管理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基础信息管理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医生监督管理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sz w:val="21"/>
                <w:szCs w:val="21"/>
                <w14:ligatures w14:val="standardContextual"/>
              </w:rPr>
            </w:pPr>
            <w:r>
              <w:rPr>
                <w:rFonts w:hint="eastAsia"/>
                <w:sz w:val="22"/>
                <w14:ligatures w14:val="standardContextual"/>
              </w:rPr>
              <w:t>数据报表统计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shd w:val="clear" w:color="auto" w:fill="auto"/>
            <w:vAlign w:val="center"/>
          </w:tcPr>
          <w:p>
            <w:pPr>
              <w:spacing w:line="240" w:lineRule="auto"/>
              <w:ind w:firstLine="0" w:firstLineChars="0"/>
              <w:jc w:val="center"/>
              <w:rPr>
                <w:rFonts w:cs="宋体"/>
                <w:color w:val="000000"/>
                <w:sz w:val="21"/>
                <w:szCs w:val="21"/>
                <w14:ligatures w14:val="standardContextual"/>
              </w:rPr>
            </w:pPr>
            <w:r>
              <w:rPr>
                <w:rFonts w:hint="eastAsia" w:cs="宋体"/>
                <w:color w:val="000000"/>
                <w:sz w:val="21"/>
                <w:szCs w:val="21"/>
                <w14:ligatures w14:val="standardContextual"/>
              </w:rPr>
              <w:t>在线咨询</w:t>
            </w:r>
          </w:p>
        </w:tc>
        <w:tc>
          <w:tcPr>
            <w:tcW w:w="3175" w:type="dxa"/>
            <w:vAlign w:val="center"/>
          </w:tcPr>
          <w:p>
            <w:pPr>
              <w:spacing w:line="240" w:lineRule="auto"/>
              <w:ind w:firstLine="0" w:firstLineChars="0"/>
              <w:rPr>
                <w:rFonts w:cs="宋体"/>
                <w:color w:val="000000"/>
                <w:sz w:val="21"/>
                <w:szCs w:val="21"/>
                <w14:ligatures w14:val="standardContextual"/>
              </w:rPr>
            </w:pPr>
            <w:r>
              <w:rPr>
                <w:rFonts w:hint="eastAsia" w:cs="宋体"/>
                <w:color w:val="000000"/>
                <w:sz w:val="21"/>
                <w:szCs w:val="21"/>
                <w14:ligatures w14:val="standardContextual"/>
              </w:rPr>
              <w:t>在线咨询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shd w:val="clear" w:color="auto" w:fill="auto"/>
            <w:vAlign w:val="center"/>
          </w:tcPr>
          <w:p>
            <w:pPr>
              <w:spacing w:line="240" w:lineRule="auto"/>
              <w:ind w:firstLine="0" w:firstLineChars="0"/>
              <w:jc w:val="center"/>
              <w:rPr>
                <w:rFonts w:cs="宋体"/>
                <w:color w:val="000000"/>
                <w:sz w:val="21"/>
                <w:szCs w:val="21"/>
                <w14:ligatures w14:val="standardContextual"/>
              </w:rPr>
            </w:pPr>
            <w:r>
              <w:rPr>
                <w:rFonts w:hint="eastAsia" w:cs="宋体"/>
                <w:color w:val="000000"/>
                <w:sz w:val="21"/>
                <w:szCs w:val="21"/>
                <w14:ligatures w14:val="standardContextual"/>
              </w:rPr>
              <w:t>一键续方</w:t>
            </w:r>
          </w:p>
        </w:tc>
        <w:tc>
          <w:tcPr>
            <w:tcW w:w="3175" w:type="dxa"/>
            <w:vAlign w:val="center"/>
          </w:tcPr>
          <w:p>
            <w:pPr>
              <w:spacing w:line="240" w:lineRule="auto"/>
              <w:ind w:firstLine="0" w:firstLineChars="0"/>
              <w:rPr>
                <w:rFonts w:cs="宋体"/>
                <w:color w:val="000000"/>
                <w:sz w:val="21"/>
                <w:szCs w:val="21"/>
                <w14:ligatures w14:val="standardContextual"/>
              </w:rPr>
            </w:pPr>
            <w:r>
              <w:rPr>
                <w:rFonts w:hint="eastAsia" w:cs="宋体"/>
                <w:color w:val="000000"/>
                <w:sz w:val="21"/>
                <w:szCs w:val="21"/>
                <w14:ligatures w14:val="standardContextual"/>
              </w:rPr>
              <w:t>一键续方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9" w:type="dxa"/>
            <w:vMerge w:val="restart"/>
            <w:shd w:val="clear" w:color="auto" w:fill="auto"/>
            <w:noWrap/>
            <w:vAlign w:val="center"/>
          </w:tcPr>
          <w:p>
            <w:pPr>
              <w:spacing w:line="240" w:lineRule="auto"/>
              <w:ind w:firstLine="0" w:firstLineChars="0"/>
              <w:jc w:val="center"/>
              <w:rPr>
                <w:rFonts w:cs="宋体"/>
                <w:color w:val="000000"/>
                <w:sz w:val="21"/>
                <w:szCs w:val="21"/>
                <w14:ligatures w14:val="standardContextual"/>
              </w:rPr>
            </w:pPr>
            <w:r>
              <w:rPr>
                <w:rFonts w:hint="eastAsia" w:cs="宋体"/>
                <w:color w:val="000000"/>
                <w:sz w:val="21"/>
                <w:szCs w:val="21"/>
                <w14:ligatures w14:val="standardContextual"/>
              </w:rPr>
              <w:t>2</w:t>
            </w:r>
          </w:p>
        </w:tc>
        <w:tc>
          <w:tcPr>
            <w:tcW w:w="2410" w:type="dxa"/>
            <w:vMerge w:val="restart"/>
            <w:shd w:val="clear" w:color="auto" w:fill="auto"/>
            <w:vAlign w:val="center"/>
          </w:tcPr>
          <w:p>
            <w:pPr>
              <w:spacing w:line="240" w:lineRule="auto"/>
              <w:ind w:firstLine="0" w:firstLineChars="0"/>
              <w:jc w:val="center"/>
              <w:rPr>
                <w:rFonts w:cs="宋体"/>
                <w:color w:val="000000"/>
                <w:sz w:val="21"/>
                <w:szCs w:val="21"/>
                <w14:ligatures w14:val="standardContextual"/>
              </w:rPr>
            </w:pPr>
            <w:r>
              <w:rPr>
                <w:rFonts w:hint="eastAsia" w:cs="宋体"/>
                <w:color w:val="000000"/>
                <w:sz w:val="21"/>
                <w:szCs w:val="21"/>
                <w14:ligatures w14:val="standardContextual"/>
              </w:rPr>
              <w:t>互联网医院适老化及无障碍环境改造</w:t>
            </w:r>
          </w:p>
        </w:tc>
        <w:tc>
          <w:tcPr>
            <w:tcW w:w="1984" w:type="dxa"/>
            <w:shd w:val="clear" w:color="auto" w:fill="auto"/>
          </w:tcPr>
          <w:p>
            <w:pPr>
              <w:spacing w:line="240" w:lineRule="auto"/>
              <w:ind w:firstLine="0" w:firstLineChars="0"/>
              <w:jc w:val="center"/>
              <w:rPr>
                <w:rFonts w:cs="宋体"/>
                <w:color w:val="000000"/>
                <w:sz w:val="21"/>
                <w:szCs w:val="21"/>
                <w14:ligatures w14:val="standardContextual"/>
              </w:rPr>
            </w:pPr>
            <w:bookmarkStart w:id="33" w:name="_Toc169521096"/>
            <w:r>
              <w:rPr>
                <w:rFonts w:hint="eastAsia"/>
                <w:sz w:val="22"/>
                <w:szCs w:val="22"/>
                <w14:ligatures w14:val="standardContextual"/>
              </w:rPr>
              <w:t>可感知性</w:t>
            </w:r>
            <w:bookmarkEnd w:id="33"/>
            <w:r>
              <w:rPr>
                <w:rFonts w:hint="eastAsia"/>
                <w:sz w:val="22"/>
                <w:szCs w:val="22"/>
                <w14:ligatures w14:val="standardContextual"/>
              </w:rPr>
              <w:t>改造</w:t>
            </w:r>
          </w:p>
        </w:tc>
        <w:tc>
          <w:tcPr>
            <w:tcW w:w="3175" w:type="dxa"/>
          </w:tcPr>
          <w:p>
            <w:pPr>
              <w:spacing w:line="240" w:lineRule="auto"/>
              <w:ind w:firstLine="0" w:firstLineChars="0"/>
              <w:rPr>
                <w:rFonts w:cs="宋体"/>
                <w:color w:val="000000"/>
                <w:sz w:val="21"/>
                <w:szCs w:val="21"/>
                <w14:ligatures w14:val="standardContextual"/>
              </w:rPr>
            </w:pPr>
            <w:r>
              <w:rPr>
                <w:rFonts w:hint="eastAsia"/>
                <w:sz w:val="22"/>
                <w:szCs w:val="22"/>
                <w14:ligatures w14:val="standardContextual"/>
              </w:rPr>
              <w:t>互联网医院系统可感知性改造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shd w:val="clear" w:color="auto" w:fill="auto"/>
            <w:noWrap/>
          </w:tcPr>
          <w:p>
            <w:pPr>
              <w:spacing w:line="240" w:lineRule="auto"/>
              <w:ind w:firstLine="0" w:firstLineChars="0"/>
              <w:jc w:val="center"/>
              <w:rPr>
                <w:rFonts w:cs="宋体"/>
                <w:color w:val="000000"/>
                <w:sz w:val="21"/>
                <w:szCs w:val="21"/>
                <w14:ligatures w14:val="standardContextual"/>
              </w:rPr>
            </w:pPr>
            <w:bookmarkStart w:id="34" w:name="_Toc169521097"/>
            <w:r>
              <w:rPr>
                <w:rFonts w:hint="eastAsia"/>
                <w:sz w:val="22"/>
                <w:szCs w:val="22"/>
                <w14:ligatures w14:val="standardContextual"/>
              </w:rPr>
              <w:t>可操作性</w:t>
            </w:r>
            <w:bookmarkEnd w:id="34"/>
            <w:r>
              <w:rPr>
                <w:rFonts w:hint="eastAsia"/>
                <w:sz w:val="22"/>
                <w:szCs w:val="22"/>
                <w14:ligatures w14:val="standardContextual"/>
              </w:rPr>
              <w:t>改造</w:t>
            </w:r>
          </w:p>
        </w:tc>
        <w:tc>
          <w:tcPr>
            <w:tcW w:w="3175" w:type="dxa"/>
          </w:tcPr>
          <w:p>
            <w:pPr>
              <w:spacing w:line="240" w:lineRule="auto"/>
              <w:ind w:firstLine="0" w:firstLineChars="0"/>
              <w:rPr>
                <w:rFonts w:cs="宋体"/>
                <w:color w:val="000000"/>
                <w:sz w:val="21"/>
                <w:szCs w:val="21"/>
                <w14:ligatures w14:val="standardContextual"/>
              </w:rPr>
            </w:pPr>
            <w:r>
              <w:rPr>
                <w:rFonts w:hint="eastAsia"/>
                <w:sz w:val="22"/>
                <w:szCs w:val="22"/>
                <w14:ligatures w14:val="standardContextual"/>
              </w:rPr>
              <w:t>互联网医院系统可操作性改造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shd w:val="clear" w:color="auto" w:fill="auto"/>
            <w:noWrap/>
          </w:tcPr>
          <w:p>
            <w:pPr>
              <w:spacing w:line="240" w:lineRule="auto"/>
              <w:ind w:firstLine="0" w:firstLineChars="0"/>
              <w:jc w:val="center"/>
              <w:rPr>
                <w:rFonts w:cs="宋体"/>
                <w:color w:val="000000"/>
                <w:sz w:val="21"/>
                <w:szCs w:val="21"/>
                <w14:ligatures w14:val="standardContextual"/>
              </w:rPr>
            </w:pPr>
            <w:bookmarkStart w:id="35" w:name="_Toc169521098"/>
            <w:r>
              <w:rPr>
                <w:rFonts w:hint="eastAsia"/>
                <w:sz w:val="22"/>
                <w:szCs w:val="22"/>
                <w14:ligatures w14:val="standardContextual"/>
              </w:rPr>
              <w:t>可理解性</w:t>
            </w:r>
            <w:bookmarkEnd w:id="35"/>
            <w:r>
              <w:rPr>
                <w:rFonts w:hint="eastAsia"/>
                <w:sz w:val="22"/>
                <w:szCs w:val="22"/>
                <w14:ligatures w14:val="standardContextual"/>
              </w:rPr>
              <w:t>改造</w:t>
            </w:r>
          </w:p>
        </w:tc>
        <w:tc>
          <w:tcPr>
            <w:tcW w:w="3175" w:type="dxa"/>
          </w:tcPr>
          <w:p>
            <w:pPr>
              <w:spacing w:line="240" w:lineRule="auto"/>
              <w:ind w:firstLine="0" w:firstLineChars="0"/>
              <w:rPr>
                <w:rFonts w:cs="宋体"/>
                <w:color w:val="000000"/>
                <w:sz w:val="21"/>
                <w:szCs w:val="21"/>
                <w14:ligatures w14:val="standardContextual"/>
              </w:rPr>
            </w:pPr>
            <w:r>
              <w:rPr>
                <w:rFonts w:hint="eastAsia"/>
                <w:sz w:val="22"/>
                <w:szCs w:val="22"/>
                <w14:ligatures w14:val="standardContextual"/>
              </w:rPr>
              <w:t>互联网医院系统可理解性改造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59" w:type="dxa"/>
            <w:vMerge w:val="restart"/>
            <w:shd w:val="clear" w:color="auto" w:fill="auto"/>
            <w:noWrap/>
            <w:vAlign w:val="center"/>
          </w:tcPr>
          <w:p>
            <w:pPr>
              <w:spacing w:line="240" w:lineRule="auto"/>
              <w:ind w:firstLine="0" w:firstLineChars="0"/>
              <w:jc w:val="center"/>
              <w:rPr>
                <w:rFonts w:cs="宋体"/>
                <w:color w:val="000000"/>
                <w:sz w:val="21"/>
                <w:szCs w:val="21"/>
                <w14:ligatures w14:val="standardContextual"/>
              </w:rPr>
            </w:pPr>
            <w:r>
              <w:rPr>
                <w:rFonts w:hint="eastAsia" w:cs="宋体"/>
                <w:color w:val="000000"/>
                <w:sz w:val="21"/>
                <w:szCs w:val="21"/>
                <w14:ligatures w14:val="standardContextual"/>
              </w:rPr>
              <w:t>3</w:t>
            </w:r>
          </w:p>
        </w:tc>
        <w:tc>
          <w:tcPr>
            <w:tcW w:w="2410" w:type="dxa"/>
            <w:vMerge w:val="restart"/>
            <w:shd w:val="clear" w:color="auto" w:fill="auto"/>
            <w:noWrap/>
            <w:vAlign w:val="center"/>
          </w:tcPr>
          <w:p>
            <w:pPr>
              <w:spacing w:line="240" w:lineRule="auto"/>
              <w:ind w:firstLine="0" w:firstLineChars="0"/>
              <w:jc w:val="center"/>
              <w:rPr>
                <w:rFonts w:cs="宋体"/>
                <w:color w:val="000000"/>
                <w:sz w:val="21"/>
                <w:szCs w:val="21"/>
                <w14:ligatures w14:val="standardContextual"/>
              </w:rPr>
            </w:pPr>
            <w:r>
              <w:rPr>
                <w:rFonts w:hint="eastAsia" w:cs="宋体"/>
                <w:color w:val="000000"/>
                <w:sz w:val="21"/>
                <w:szCs w:val="21"/>
                <w14:ligatures w14:val="standardContextual"/>
              </w:rPr>
              <w:t>互联网医院MDT</w:t>
            </w:r>
          </w:p>
        </w:tc>
        <w:tc>
          <w:tcPr>
            <w:tcW w:w="1984" w:type="dxa"/>
            <w:vMerge w:val="restart"/>
            <w:shd w:val="clear" w:color="auto" w:fill="auto"/>
            <w:noWrap/>
            <w:vAlign w:val="center"/>
          </w:tcPr>
          <w:p>
            <w:pPr>
              <w:spacing w:line="240" w:lineRule="auto"/>
              <w:ind w:firstLine="0" w:firstLineChars="0"/>
              <w:jc w:val="center"/>
              <w:rPr>
                <w:rFonts w:cs="宋体"/>
                <w:color w:val="000000"/>
                <w:sz w:val="21"/>
                <w:szCs w:val="21"/>
                <w14:ligatures w14:val="standardContextual"/>
              </w:rPr>
            </w:pPr>
            <w:r>
              <w:rPr>
                <w:rFonts w:hint="eastAsia" w:cs="宋体"/>
                <w:color w:val="000000"/>
                <w:sz w:val="21"/>
                <w:szCs w:val="21"/>
                <w14:ligatures w14:val="standardContextual"/>
              </w:rPr>
              <w:t>患者端</w:t>
            </w:r>
          </w:p>
        </w:tc>
        <w:tc>
          <w:tcPr>
            <w:tcW w:w="3175" w:type="dxa"/>
          </w:tcPr>
          <w:p>
            <w:pPr>
              <w:spacing w:line="240" w:lineRule="auto"/>
              <w:ind w:firstLine="0" w:firstLineChars="0"/>
              <w:rPr>
                <w:rFonts w:cs="宋体"/>
                <w:b/>
                <w:bCs/>
                <w:color w:val="000000"/>
                <w:sz w:val="21"/>
                <w:szCs w:val="21"/>
                <w14:ligatures w14:val="standardContextual"/>
              </w:rPr>
            </w:pPr>
            <w:r>
              <w:rPr>
                <w:rFonts w:hint="eastAsia"/>
                <w:sz w:val="22"/>
                <w14:ligatures w14:val="standardContextual"/>
              </w:rPr>
              <w:t>会诊申请下载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b/>
                <w:bCs/>
                <w:color w:val="000000"/>
                <w:sz w:val="21"/>
                <w:szCs w:val="21"/>
                <w14:ligatures w14:val="standardContextual"/>
              </w:rPr>
            </w:pPr>
            <w:r>
              <w:rPr>
                <w:rFonts w:hint="eastAsia"/>
                <w:sz w:val="22"/>
                <w14:ligatures w14:val="standardContextual"/>
              </w:rPr>
              <w:t>会诊记录查询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b/>
                <w:bCs/>
                <w:color w:val="000000"/>
                <w:sz w:val="21"/>
                <w:szCs w:val="21"/>
                <w14:ligatures w14:val="standardContextual"/>
              </w:rPr>
            </w:pPr>
            <w:r>
              <w:rPr>
                <w:rFonts w:hint="eastAsia"/>
                <w:sz w:val="22"/>
                <w14:ligatures w14:val="standardContextual"/>
              </w:rPr>
              <w:t>会诊云诊室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restart"/>
            <w:shd w:val="clear" w:color="auto" w:fill="auto"/>
            <w:noWrap/>
            <w:vAlign w:val="center"/>
          </w:tcPr>
          <w:p>
            <w:pPr>
              <w:spacing w:line="240" w:lineRule="auto"/>
              <w:ind w:firstLine="0" w:firstLineChars="0"/>
              <w:jc w:val="center"/>
              <w:rPr>
                <w:rFonts w:cs="宋体"/>
                <w:color w:val="000000"/>
                <w:sz w:val="21"/>
                <w:szCs w:val="21"/>
                <w14:ligatures w14:val="standardContextual"/>
              </w:rPr>
            </w:pPr>
            <w:r>
              <w:rPr>
                <w:rFonts w:hint="eastAsia" w:cs="宋体"/>
                <w:color w:val="000000"/>
                <w:sz w:val="21"/>
                <w:szCs w:val="21"/>
                <w14:ligatures w14:val="standardContextual"/>
              </w:rPr>
              <w:t>医生端</w:t>
            </w: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医生云诊室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患者档案调阅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参与成员管理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会诊意见单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病历文书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在线医嘱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restart"/>
            <w:shd w:val="clear" w:color="auto" w:fill="auto"/>
            <w:noWrap/>
            <w:vAlign w:val="center"/>
          </w:tcPr>
          <w:p>
            <w:pPr>
              <w:spacing w:line="240" w:lineRule="auto"/>
              <w:ind w:firstLine="0" w:firstLineChars="0"/>
              <w:jc w:val="center"/>
              <w:rPr>
                <w:rFonts w:cs="宋体"/>
                <w:color w:val="000000"/>
                <w:sz w:val="21"/>
                <w:szCs w:val="21"/>
                <w14:ligatures w14:val="standardContextual"/>
              </w:rPr>
            </w:pPr>
            <w:r>
              <w:rPr>
                <w:rFonts w:hint="eastAsia" w:cs="宋体"/>
                <w:color w:val="000000"/>
                <w:sz w:val="21"/>
                <w:szCs w:val="21"/>
                <w14:ligatures w14:val="standardContextual"/>
              </w:rPr>
              <w:t>管理端</w:t>
            </w: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会诊申请管理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会诊记录管理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vMerge w:val="continue"/>
            <w:shd w:val="clear" w:color="auto" w:fill="auto"/>
            <w:noWrap/>
            <w:vAlign w:val="center"/>
          </w:tcPr>
          <w:p>
            <w:pPr>
              <w:spacing w:line="240" w:lineRule="auto"/>
              <w:ind w:firstLine="0" w:firstLineChars="0"/>
              <w:rPr>
                <w:rFonts w:cs="宋体"/>
                <w:color w:val="000000"/>
                <w:sz w:val="21"/>
                <w:szCs w:val="21"/>
                <w14:ligatures w14:val="standardContextual"/>
              </w:rPr>
            </w:pPr>
          </w:p>
        </w:tc>
        <w:tc>
          <w:tcPr>
            <w:tcW w:w="3175" w:type="dxa"/>
          </w:tcPr>
          <w:p>
            <w:pPr>
              <w:spacing w:line="240" w:lineRule="auto"/>
              <w:ind w:firstLine="0" w:firstLineChars="0"/>
              <w:rPr>
                <w:rFonts w:cs="宋体"/>
                <w:color w:val="000000"/>
                <w:sz w:val="21"/>
                <w:szCs w:val="21"/>
                <w14:ligatures w14:val="standardContextual"/>
              </w:rPr>
            </w:pPr>
            <w:r>
              <w:rPr>
                <w:rFonts w:hint="eastAsia"/>
                <w:sz w:val="22"/>
                <w14:ligatures w14:val="standardContextual"/>
              </w:rPr>
              <w:t>数据权限管理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59" w:type="dxa"/>
            <w:vMerge w:val="restart"/>
            <w:shd w:val="clear" w:color="auto" w:fill="auto"/>
            <w:noWrap/>
            <w:vAlign w:val="center"/>
          </w:tcPr>
          <w:p>
            <w:pPr>
              <w:spacing w:line="240" w:lineRule="auto"/>
              <w:ind w:firstLine="0" w:firstLineChars="0"/>
              <w:jc w:val="center"/>
              <w:rPr>
                <w:rFonts w:hint="eastAsia" w:eastAsia="宋体" w:cs="宋体"/>
                <w:color w:val="000000"/>
                <w:sz w:val="21"/>
                <w:szCs w:val="21"/>
                <w:lang w:eastAsia="zh-CN"/>
                <w14:ligatures w14:val="standardContextual"/>
              </w:rPr>
            </w:pPr>
            <w:r>
              <w:rPr>
                <w:rFonts w:hint="eastAsia" w:cs="宋体"/>
                <w:color w:val="000000"/>
                <w:sz w:val="21"/>
                <w:szCs w:val="21"/>
                <w:lang w:val="en-US" w:eastAsia="zh-CN"/>
                <w14:ligatures w14:val="standardContextual"/>
              </w:rPr>
              <w:t>4</w:t>
            </w:r>
          </w:p>
        </w:tc>
        <w:tc>
          <w:tcPr>
            <w:tcW w:w="2410" w:type="dxa"/>
            <w:vMerge w:val="restart"/>
            <w:shd w:val="clear" w:color="auto" w:fill="auto"/>
            <w:vAlign w:val="center"/>
          </w:tcPr>
          <w:p>
            <w:pPr>
              <w:spacing w:line="240" w:lineRule="auto"/>
              <w:ind w:firstLine="0" w:firstLineChars="0"/>
              <w:jc w:val="center"/>
              <w:rPr>
                <w:rFonts w:cs="宋体"/>
                <w:color w:val="000000"/>
                <w:sz w:val="21"/>
                <w:szCs w:val="21"/>
                <w14:ligatures w14:val="standardContextual"/>
              </w:rPr>
            </w:pPr>
            <w:r>
              <w:rPr>
                <w:rFonts w:hint="eastAsia" w:cs="宋体"/>
                <w:color w:val="000000"/>
                <w:sz w:val="21"/>
                <w:szCs w:val="21"/>
                <w14:ligatures w14:val="standardContextual"/>
              </w:rPr>
              <w:t>云客服</w:t>
            </w:r>
          </w:p>
        </w:tc>
        <w:tc>
          <w:tcPr>
            <w:tcW w:w="1984" w:type="dxa"/>
            <w:shd w:val="clear" w:color="auto" w:fill="auto"/>
            <w:noWrap/>
          </w:tcPr>
          <w:p>
            <w:pPr>
              <w:spacing w:line="240" w:lineRule="auto"/>
              <w:ind w:firstLine="0" w:firstLineChars="0"/>
              <w:jc w:val="center"/>
              <w:rPr>
                <w:rFonts w:cs="宋体"/>
                <w:color w:val="000000"/>
                <w:sz w:val="21"/>
                <w:szCs w:val="21"/>
                <w14:ligatures w14:val="standardContextual"/>
              </w:rPr>
            </w:pPr>
            <w:bookmarkStart w:id="36" w:name="_Toc169521102"/>
            <w:r>
              <w:rPr>
                <w:rFonts w:hint="eastAsia"/>
                <w:sz w:val="22"/>
                <w:szCs w:val="22"/>
                <w14:ligatures w14:val="standardContextual"/>
              </w:rPr>
              <w:t>多渠道接入</w:t>
            </w:r>
            <w:bookmarkEnd w:id="36"/>
          </w:p>
        </w:tc>
        <w:tc>
          <w:tcPr>
            <w:tcW w:w="3175" w:type="dxa"/>
          </w:tcPr>
          <w:p>
            <w:pPr>
              <w:spacing w:line="240" w:lineRule="auto"/>
              <w:ind w:firstLine="0" w:firstLineChars="0"/>
              <w:rPr>
                <w:rFonts w:cs="宋体"/>
                <w:color w:val="000000"/>
                <w:sz w:val="21"/>
                <w:szCs w:val="21"/>
                <w14:ligatures w14:val="standardContextual"/>
              </w:rPr>
            </w:pPr>
            <w:r>
              <w:rPr>
                <w:rFonts w:hint="eastAsia"/>
                <w:sz w:val="22"/>
                <w:szCs w:val="22"/>
                <w14:ligatures w14:val="standardContextual"/>
              </w:rPr>
              <w:t>多渠道接入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shd w:val="clear" w:color="auto" w:fill="auto"/>
            <w:noWrap/>
          </w:tcPr>
          <w:p>
            <w:pPr>
              <w:spacing w:line="240" w:lineRule="auto"/>
              <w:ind w:firstLine="0" w:firstLineChars="0"/>
              <w:jc w:val="center"/>
              <w:rPr>
                <w:rFonts w:cs="宋体"/>
                <w:sz w:val="21"/>
                <w:szCs w:val="21"/>
                <w14:ligatures w14:val="standardContextual"/>
              </w:rPr>
            </w:pPr>
            <w:bookmarkStart w:id="37" w:name="_Toc169521103"/>
            <w:r>
              <w:rPr>
                <w:rFonts w:hint="eastAsia"/>
                <w:sz w:val="22"/>
                <w:szCs w:val="22"/>
                <w14:ligatures w14:val="standardContextual"/>
              </w:rPr>
              <w:t>机器人客服</w:t>
            </w:r>
            <w:bookmarkEnd w:id="37"/>
          </w:p>
        </w:tc>
        <w:tc>
          <w:tcPr>
            <w:tcW w:w="3175" w:type="dxa"/>
          </w:tcPr>
          <w:p>
            <w:pPr>
              <w:spacing w:line="240" w:lineRule="auto"/>
              <w:ind w:firstLine="0" w:firstLineChars="0"/>
              <w:rPr>
                <w:rFonts w:cs="宋体"/>
                <w:sz w:val="21"/>
                <w:szCs w:val="21"/>
                <w14:ligatures w14:val="standardContextual"/>
              </w:rPr>
            </w:pPr>
            <w:r>
              <w:rPr>
                <w:rFonts w:hint="eastAsia"/>
                <w:sz w:val="22"/>
                <w:szCs w:val="22"/>
                <w14:ligatures w14:val="standardContextual"/>
              </w:rPr>
              <w:t>机器人客服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shd w:val="clear" w:color="auto" w:fill="auto"/>
            <w:noWrap/>
          </w:tcPr>
          <w:p>
            <w:pPr>
              <w:spacing w:line="240" w:lineRule="auto"/>
              <w:ind w:firstLine="0" w:firstLineChars="0"/>
              <w:jc w:val="center"/>
              <w:rPr>
                <w:rFonts w:cs="宋体"/>
                <w:sz w:val="21"/>
                <w:szCs w:val="21"/>
                <w14:ligatures w14:val="standardContextual"/>
              </w:rPr>
            </w:pPr>
            <w:r>
              <w:rPr>
                <w:rFonts w:hint="eastAsia"/>
                <w:sz w:val="22"/>
                <w:szCs w:val="22"/>
                <w14:ligatures w14:val="standardContextual"/>
              </w:rPr>
              <w:t>人工客服</w:t>
            </w:r>
          </w:p>
        </w:tc>
        <w:tc>
          <w:tcPr>
            <w:tcW w:w="3175" w:type="dxa"/>
          </w:tcPr>
          <w:p>
            <w:pPr>
              <w:spacing w:line="240" w:lineRule="auto"/>
              <w:ind w:firstLine="0" w:firstLineChars="0"/>
              <w:rPr>
                <w:rFonts w:cs="宋体"/>
                <w:sz w:val="21"/>
                <w:szCs w:val="21"/>
                <w14:ligatures w14:val="standardContextual"/>
              </w:rPr>
            </w:pPr>
            <w:r>
              <w:rPr>
                <w:rFonts w:hint="eastAsia"/>
                <w:sz w:val="22"/>
                <w:szCs w:val="22"/>
                <w14:ligatures w14:val="standardContextual"/>
              </w:rPr>
              <w:t>人工客服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shd w:val="clear" w:color="auto" w:fill="auto"/>
            <w:noWrap/>
          </w:tcPr>
          <w:p>
            <w:pPr>
              <w:spacing w:line="240" w:lineRule="auto"/>
              <w:ind w:firstLine="0" w:firstLineChars="0"/>
              <w:jc w:val="center"/>
              <w:rPr>
                <w:rFonts w:cs="宋体"/>
                <w:color w:val="000000"/>
                <w:sz w:val="21"/>
                <w:szCs w:val="21"/>
                <w14:ligatures w14:val="standardContextual"/>
              </w:rPr>
            </w:pPr>
            <w:r>
              <w:rPr>
                <w:rFonts w:hint="eastAsia"/>
                <w:sz w:val="22"/>
                <w:szCs w:val="22"/>
                <w14:ligatures w14:val="standardContextual"/>
              </w:rPr>
              <w:t>机构知识库</w:t>
            </w:r>
          </w:p>
        </w:tc>
        <w:tc>
          <w:tcPr>
            <w:tcW w:w="3175" w:type="dxa"/>
          </w:tcPr>
          <w:p>
            <w:pPr>
              <w:spacing w:line="240" w:lineRule="auto"/>
              <w:ind w:firstLine="0" w:firstLineChars="0"/>
              <w:rPr>
                <w:rFonts w:cs="宋体"/>
                <w:color w:val="000000"/>
                <w:sz w:val="21"/>
                <w:szCs w:val="21"/>
                <w14:ligatures w14:val="standardContextual"/>
              </w:rPr>
            </w:pPr>
            <w:r>
              <w:rPr>
                <w:rFonts w:hint="eastAsia"/>
                <w:sz w:val="22"/>
                <w:szCs w:val="22"/>
                <w14:ligatures w14:val="standardContextual"/>
              </w:rPr>
              <w:t>机构知识库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shd w:val="clear" w:color="auto" w:fill="auto"/>
            <w:noWrap/>
          </w:tcPr>
          <w:p>
            <w:pPr>
              <w:spacing w:line="240" w:lineRule="auto"/>
              <w:ind w:firstLine="0" w:firstLineChars="0"/>
              <w:jc w:val="center"/>
              <w:rPr>
                <w:rFonts w:cs="宋体"/>
                <w:color w:val="000000"/>
                <w:sz w:val="21"/>
                <w:szCs w:val="21"/>
                <w14:ligatures w14:val="standardContextual"/>
              </w:rPr>
            </w:pPr>
            <w:bookmarkStart w:id="38" w:name="_Toc169521105"/>
            <w:r>
              <w:rPr>
                <w:rFonts w:hint="eastAsia"/>
                <w:sz w:val="22"/>
                <w:szCs w:val="22"/>
                <w14:ligatures w14:val="standardContextual"/>
              </w:rPr>
              <w:t>患者服务接入</w:t>
            </w:r>
            <w:bookmarkEnd w:id="38"/>
          </w:p>
        </w:tc>
        <w:tc>
          <w:tcPr>
            <w:tcW w:w="3175" w:type="dxa"/>
          </w:tcPr>
          <w:p>
            <w:pPr>
              <w:spacing w:line="240" w:lineRule="auto"/>
              <w:ind w:firstLine="0" w:firstLineChars="0"/>
              <w:rPr>
                <w:rFonts w:cs="宋体"/>
                <w:color w:val="000000"/>
                <w:sz w:val="21"/>
                <w:szCs w:val="21"/>
                <w14:ligatures w14:val="standardContextual"/>
              </w:rPr>
            </w:pPr>
            <w:r>
              <w:rPr>
                <w:rFonts w:hint="eastAsia"/>
                <w:sz w:val="22"/>
                <w:szCs w:val="22"/>
                <w14:ligatures w14:val="standardContextual"/>
              </w:rPr>
              <w:t>患者服务接入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shd w:val="clear" w:color="auto" w:fill="auto"/>
            <w:noWrap/>
          </w:tcPr>
          <w:p>
            <w:pPr>
              <w:spacing w:line="240" w:lineRule="auto"/>
              <w:ind w:firstLine="0" w:firstLineChars="0"/>
              <w:jc w:val="center"/>
              <w:rPr>
                <w:rFonts w:cs="宋体"/>
                <w:color w:val="000000"/>
                <w:sz w:val="21"/>
                <w:szCs w:val="21"/>
                <w14:ligatures w14:val="standardContextual"/>
              </w:rPr>
            </w:pPr>
            <w:bookmarkStart w:id="39" w:name="_Toc169521108"/>
            <w:r>
              <w:rPr>
                <w:rFonts w:hint="eastAsia"/>
                <w:sz w:val="22"/>
                <w:szCs w:val="22"/>
                <w14:ligatures w14:val="standardContextual"/>
              </w:rPr>
              <w:t>初始化服务预设</w:t>
            </w:r>
            <w:bookmarkEnd w:id="39"/>
          </w:p>
        </w:tc>
        <w:tc>
          <w:tcPr>
            <w:tcW w:w="3175" w:type="dxa"/>
          </w:tcPr>
          <w:p>
            <w:pPr>
              <w:spacing w:line="240" w:lineRule="auto"/>
              <w:ind w:firstLine="0" w:firstLineChars="0"/>
              <w:rPr>
                <w:rFonts w:cs="宋体"/>
                <w:color w:val="000000"/>
                <w:sz w:val="21"/>
                <w:szCs w:val="21"/>
                <w14:ligatures w14:val="standardContextual"/>
              </w:rPr>
            </w:pPr>
            <w:r>
              <w:rPr>
                <w:rFonts w:hint="eastAsia"/>
                <w:sz w:val="22"/>
                <w:szCs w:val="22"/>
                <w14:ligatures w14:val="standardContextual"/>
              </w:rPr>
              <w:t>初始化服务预设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shd w:val="clear" w:color="auto" w:fill="auto"/>
            <w:noWrap/>
          </w:tcPr>
          <w:p>
            <w:pPr>
              <w:spacing w:line="240" w:lineRule="auto"/>
              <w:ind w:firstLine="0" w:firstLineChars="0"/>
              <w:jc w:val="center"/>
              <w:rPr>
                <w:rFonts w:cs="宋体"/>
                <w:color w:val="000000"/>
                <w:sz w:val="21"/>
                <w:szCs w:val="21"/>
                <w14:ligatures w14:val="standardContextual"/>
              </w:rPr>
            </w:pPr>
            <w:bookmarkStart w:id="40" w:name="_Toc169521109"/>
            <w:r>
              <w:rPr>
                <w:rFonts w:hint="eastAsia"/>
                <w:sz w:val="22"/>
                <w:szCs w:val="22"/>
                <w14:ligatures w14:val="standardContextual"/>
              </w:rPr>
              <w:t>语义识别</w:t>
            </w:r>
            <w:bookmarkEnd w:id="40"/>
          </w:p>
        </w:tc>
        <w:tc>
          <w:tcPr>
            <w:tcW w:w="3175" w:type="dxa"/>
          </w:tcPr>
          <w:p>
            <w:pPr>
              <w:spacing w:line="240" w:lineRule="auto"/>
              <w:ind w:firstLine="0" w:firstLineChars="0"/>
              <w:rPr>
                <w:rFonts w:cs="宋体"/>
                <w:color w:val="000000"/>
                <w:sz w:val="21"/>
                <w:szCs w:val="21"/>
                <w14:ligatures w14:val="standardContextual"/>
              </w:rPr>
            </w:pPr>
            <w:r>
              <w:rPr>
                <w:rFonts w:hint="eastAsia"/>
                <w:sz w:val="22"/>
                <w:szCs w:val="22"/>
                <w14:ligatures w14:val="standardContextual"/>
              </w:rPr>
              <w:t>语义识别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shd w:val="clear" w:color="auto" w:fill="auto"/>
            <w:noWrap/>
          </w:tcPr>
          <w:p>
            <w:pPr>
              <w:spacing w:line="240" w:lineRule="auto"/>
              <w:ind w:firstLine="0" w:firstLineChars="0"/>
              <w:jc w:val="center"/>
              <w:rPr>
                <w:rFonts w:cs="宋体"/>
                <w:color w:val="000000"/>
                <w:sz w:val="21"/>
                <w:szCs w:val="21"/>
                <w14:ligatures w14:val="standardContextual"/>
              </w:rPr>
            </w:pPr>
            <w:bookmarkStart w:id="41" w:name="_Toc169521110"/>
            <w:r>
              <w:rPr>
                <w:rFonts w:hint="eastAsia"/>
                <w:sz w:val="22"/>
                <w:szCs w:val="22"/>
                <w14:ligatures w14:val="standardContextual"/>
              </w:rPr>
              <w:t>多轮对话</w:t>
            </w:r>
            <w:bookmarkEnd w:id="41"/>
          </w:p>
        </w:tc>
        <w:tc>
          <w:tcPr>
            <w:tcW w:w="3175" w:type="dxa"/>
          </w:tcPr>
          <w:p>
            <w:pPr>
              <w:spacing w:line="240" w:lineRule="auto"/>
              <w:ind w:firstLine="0" w:firstLineChars="0"/>
              <w:rPr>
                <w:rFonts w:cs="宋体"/>
                <w:color w:val="000000"/>
                <w:sz w:val="21"/>
                <w:szCs w:val="21"/>
                <w14:ligatures w14:val="standardContextual"/>
              </w:rPr>
            </w:pPr>
            <w:r>
              <w:rPr>
                <w:rFonts w:hint="eastAsia"/>
                <w:sz w:val="22"/>
                <w:szCs w:val="22"/>
                <w14:ligatures w14:val="standardContextual"/>
              </w:rPr>
              <w:t>多轮对话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shd w:val="clear" w:color="auto" w:fill="auto"/>
            <w:noWrap/>
          </w:tcPr>
          <w:p>
            <w:pPr>
              <w:spacing w:line="240" w:lineRule="auto"/>
              <w:ind w:firstLine="0" w:firstLineChars="0"/>
              <w:jc w:val="center"/>
              <w:rPr>
                <w:rFonts w:cs="宋体"/>
                <w:color w:val="000000"/>
                <w:sz w:val="21"/>
                <w:szCs w:val="21"/>
                <w14:ligatures w14:val="standardContextual"/>
              </w:rPr>
            </w:pPr>
            <w:bookmarkStart w:id="42" w:name="_Toc169521111"/>
            <w:r>
              <w:rPr>
                <w:rFonts w:hint="eastAsia"/>
                <w:sz w:val="22"/>
                <w:szCs w:val="22"/>
                <w14:ligatures w14:val="standardContextual"/>
              </w:rPr>
              <w:t>敏感词设置</w:t>
            </w:r>
            <w:bookmarkEnd w:id="42"/>
          </w:p>
        </w:tc>
        <w:tc>
          <w:tcPr>
            <w:tcW w:w="3175" w:type="dxa"/>
          </w:tcPr>
          <w:p>
            <w:pPr>
              <w:spacing w:line="240" w:lineRule="auto"/>
              <w:ind w:firstLine="0" w:firstLineChars="0"/>
              <w:rPr>
                <w:rFonts w:cs="宋体"/>
                <w:color w:val="000000"/>
                <w:sz w:val="21"/>
                <w:szCs w:val="21"/>
                <w14:ligatures w14:val="standardContextual"/>
              </w:rPr>
            </w:pPr>
            <w:r>
              <w:rPr>
                <w:rFonts w:hint="eastAsia"/>
                <w:sz w:val="22"/>
                <w:szCs w:val="22"/>
                <w14:ligatures w14:val="standardContextual"/>
              </w:rPr>
              <w:t>敏感词设置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9" w:type="dxa"/>
            <w:vMerge w:val="continue"/>
            <w:shd w:val="clear" w:color="auto" w:fill="auto"/>
            <w:noWrap/>
            <w:vAlign w:val="center"/>
          </w:tcPr>
          <w:p>
            <w:pPr>
              <w:spacing w:line="240" w:lineRule="auto"/>
              <w:ind w:firstLine="0" w:firstLineChars="0"/>
              <w:jc w:val="center"/>
              <w:rPr>
                <w:rFonts w:cs="宋体"/>
                <w:color w:val="000000"/>
                <w:sz w:val="21"/>
                <w:szCs w:val="21"/>
                <w14:ligatures w14:val="standardContextual"/>
              </w:rPr>
            </w:pPr>
          </w:p>
        </w:tc>
        <w:tc>
          <w:tcPr>
            <w:tcW w:w="2410" w:type="dxa"/>
            <w:vMerge w:val="continue"/>
            <w:vAlign w:val="center"/>
          </w:tcPr>
          <w:p>
            <w:pPr>
              <w:spacing w:line="240" w:lineRule="auto"/>
              <w:ind w:firstLine="0" w:firstLineChars="0"/>
              <w:rPr>
                <w:rFonts w:cs="宋体"/>
                <w:color w:val="000000"/>
                <w:sz w:val="21"/>
                <w:szCs w:val="21"/>
                <w14:ligatures w14:val="standardContextual"/>
              </w:rPr>
            </w:pPr>
          </w:p>
        </w:tc>
        <w:tc>
          <w:tcPr>
            <w:tcW w:w="1984" w:type="dxa"/>
            <w:shd w:val="clear" w:color="auto" w:fill="auto"/>
            <w:noWrap/>
          </w:tcPr>
          <w:p>
            <w:pPr>
              <w:spacing w:line="240" w:lineRule="auto"/>
              <w:ind w:firstLine="0" w:firstLineChars="0"/>
              <w:jc w:val="center"/>
              <w:rPr>
                <w:rFonts w:cs="宋体"/>
                <w:color w:val="000000"/>
                <w:sz w:val="21"/>
                <w:szCs w:val="21"/>
                <w14:ligatures w14:val="standardContextual"/>
              </w:rPr>
            </w:pPr>
            <w:bookmarkStart w:id="43" w:name="_Toc169521112"/>
            <w:r>
              <w:rPr>
                <w:rFonts w:hint="eastAsia"/>
                <w:sz w:val="22"/>
                <w:szCs w:val="22"/>
                <w14:ligatures w14:val="standardContextual"/>
              </w:rPr>
              <w:t>意见反馈</w:t>
            </w:r>
            <w:bookmarkEnd w:id="43"/>
          </w:p>
        </w:tc>
        <w:tc>
          <w:tcPr>
            <w:tcW w:w="3175" w:type="dxa"/>
          </w:tcPr>
          <w:p>
            <w:pPr>
              <w:spacing w:line="240" w:lineRule="auto"/>
              <w:ind w:firstLine="0" w:firstLineChars="0"/>
              <w:rPr>
                <w:rFonts w:cs="宋体"/>
                <w:color w:val="000000"/>
                <w:sz w:val="21"/>
                <w:szCs w:val="21"/>
                <w14:ligatures w14:val="standardContextual"/>
              </w:rPr>
            </w:pPr>
            <w:r>
              <w:rPr>
                <w:rFonts w:hint="eastAsia"/>
                <w:sz w:val="22"/>
                <w:szCs w:val="22"/>
                <w14:ligatures w14:val="standardContextual"/>
              </w:rPr>
              <w:t>意见反馈</w:t>
            </w:r>
          </w:p>
        </w:tc>
      </w:tr>
    </w:tbl>
    <w:p>
      <w:pPr>
        <w:ind w:firstLine="0" w:firstLineChars="0"/>
        <w:rPr>
          <w:b/>
        </w:rPr>
      </w:pPr>
    </w:p>
    <w:p>
      <w:pPr>
        <w:pStyle w:val="18"/>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互联网医院功能参数</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互联网医院智能门户</w:t>
      </w:r>
    </w:p>
    <w:p>
      <w:pPr>
        <w:ind w:firstLine="440"/>
        <w:rPr>
          <w:rFonts w:asciiTheme="minorEastAsia" w:hAnsiTheme="minorEastAsia"/>
          <w:sz w:val="22"/>
        </w:rPr>
      </w:pPr>
      <w:r>
        <w:rPr>
          <w:rFonts w:hint="eastAsia" w:asciiTheme="minorEastAsia" w:hAnsiTheme="minorEastAsia"/>
          <w:sz w:val="22"/>
        </w:rPr>
        <w:t>支持根据医院的业务特性和业务范围定制化配置互联网医院门户，包括门户的页面框架和UI设计；</w:t>
      </w:r>
    </w:p>
    <w:p>
      <w:pPr>
        <w:ind w:firstLine="440"/>
        <w:rPr>
          <w:rFonts w:asciiTheme="minorEastAsia" w:hAnsiTheme="minorEastAsia"/>
          <w:sz w:val="22"/>
        </w:rPr>
      </w:pPr>
      <w:r>
        <w:rPr>
          <w:rFonts w:hint="eastAsia" w:asciiTheme="minorEastAsia" w:hAnsiTheme="minorEastAsia"/>
          <w:sz w:val="22"/>
        </w:rPr>
        <w:t>智能门户中搭载的业务功能可根据医院的实际需求进行动态调配；</w:t>
      </w:r>
    </w:p>
    <w:p>
      <w:pPr>
        <w:ind w:firstLine="440"/>
        <w:rPr>
          <w:rFonts w:asciiTheme="minorEastAsia" w:hAnsiTheme="minorEastAsia"/>
          <w:sz w:val="22"/>
        </w:rPr>
      </w:pPr>
      <w:r>
        <w:rPr>
          <w:rFonts w:hint="eastAsia" w:asciiTheme="minorEastAsia" w:hAnsiTheme="minorEastAsia"/>
          <w:sz w:val="22"/>
        </w:rPr>
        <w:t>支持在智能门户中定制化展示功能菜单、banner和扩展菜单；</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消息中心</w:t>
      </w:r>
    </w:p>
    <w:p>
      <w:pPr>
        <w:ind w:firstLine="440"/>
        <w:rPr>
          <w:rFonts w:asciiTheme="minorEastAsia" w:hAnsiTheme="minorEastAsia"/>
          <w:sz w:val="22"/>
        </w:rPr>
      </w:pPr>
      <w:r>
        <w:rPr>
          <w:rFonts w:hint="eastAsia" w:asciiTheme="minorEastAsia" w:hAnsiTheme="minorEastAsia"/>
          <w:sz w:val="22"/>
        </w:rPr>
        <w:t>支持患者在统一消息管理中心中查看就医服务场景的消息推送；</w:t>
      </w:r>
    </w:p>
    <w:p>
      <w:pPr>
        <w:ind w:firstLine="440"/>
        <w:rPr>
          <w:rFonts w:asciiTheme="minorEastAsia" w:hAnsiTheme="minorEastAsia"/>
          <w:sz w:val="22"/>
        </w:rPr>
      </w:pPr>
      <w:r>
        <w:rPr>
          <w:rFonts w:hint="eastAsia" w:asciiTheme="minorEastAsia" w:hAnsiTheme="minorEastAsia"/>
          <w:sz w:val="22"/>
        </w:rPr>
        <w:t>支持患者通过消息通知快速链接到对应的业务操作场景；</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预约挂号</w:t>
      </w:r>
    </w:p>
    <w:p>
      <w:pPr>
        <w:ind w:firstLine="440"/>
        <w:rPr>
          <w:rFonts w:asciiTheme="minorEastAsia" w:hAnsiTheme="minorEastAsia"/>
          <w:sz w:val="22"/>
        </w:rPr>
      </w:pPr>
      <w:r>
        <w:rPr>
          <w:rFonts w:hint="eastAsia" w:asciiTheme="minorEastAsia" w:hAnsiTheme="minorEastAsia"/>
          <w:sz w:val="22"/>
        </w:rPr>
        <w:t>支持患者在移动端进行预约挂号操作；</w:t>
      </w:r>
    </w:p>
    <w:p>
      <w:pPr>
        <w:ind w:firstLine="440"/>
        <w:rPr>
          <w:rFonts w:asciiTheme="minorEastAsia" w:hAnsiTheme="minorEastAsia"/>
          <w:sz w:val="22"/>
        </w:rPr>
      </w:pPr>
      <w:r>
        <w:rPr>
          <w:rFonts w:hint="eastAsia" w:asciiTheme="minorEastAsia" w:hAnsiTheme="minorEastAsia"/>
          <w:sz w:val="22"/>
        </w:rPr>
        <w:t>支持按科室或搜索查询可预约挂号号源，支持确认预约挂号时选择就诊人，支持预约挂号时支付挂号费；</w:t>
      </w:r>
    </w:p>
    <w:p>
      <w:pPr>
        <w:ind w:firstLine="440"/>
        <w:rPr>
          <w:rFonts w:asciiTheme="minorEastAsia" w:hAnsiTheme="minorEastAsia"/>
          <w:sz w:val="22"/>
        </w:rPr>
      </w:pPr>
      <w:r>
        <w:rPr>
          <w:rFonts w:hint="eastAsia" w:asciiTheme="minorEastAsia" w:hAnsiTheme="minorEastAsia"/>
          <w:sz w:val="22"/>
        </w:rPr>
        <w:t>支持患者在完成预约挂号操作后，为患者推送预约挂号成功的消息；</w:t>
      </w:r>
    </w:p>
    <w:p>
      <w:pPr>
        <w:ind w:firstLine="440"/>
        <w:rPr>
          <w:rFonts w:asciiTheme="minorEastAsia" w:hAnsiTheme="minorEastAsia"/>
          <w:sz w:val="22"/>
        </w:rPr>
      </w:pPr>
      <w:r>
        <w:rPr>
          <w:rFonts w:hint="eastAsia" w:asciiTheme="minorEastAsia" w:hAnsiTheme="minorEastAsia"/>
          <w:sz w:val="22"/>
        </w:rPr>
        <w:t>支持在患者预约成功的推送消息中内置患者来院到诊的前置通知信息，包含就诊日期和注意事项。</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在线复诊续方</w:t>
      </w:r>
    </w:p>
    <w:p>
      <w:pPr>
        <w:ind w:firstLine="440"/>
        <w:rPr>
          <w:rFonts w:asciiTheme="minorEastAsia" w:hAnsiTheme="minorEastAsia"/>
          <w:sz w:val="22"/>
        </w:rPr>
      </w:pPr>
      <w:r>
        <w:rPr>
          <w:rFonts w:hint="eastAsia" w:asciiTheme="minorEastAsia" w:hAnsiTheme="minorEastAsia"/>
          <w:sz w:val="22"/>
        </w:rPr>
        <w:t>支持患者在线预约相关科室或医生的复诊号源；</w:t>
      </w:r>
    </w:p>
    <w:p>
      <w:pPr>
        <w:ind w:firstLine="440"/>
        <w:rPr>
          <w:rFonts w:asciiTheme="minorEastAsia" w:hAnsiTheme="minorEastAsia"/>
          <w:sz w:val="22"/>
        </w:rPr>
      </w:pPr>
      <w:r>
        <w:rPr>
          <w:rFonts w:hint="eastAsia" w:asciiTheme="minorEastAsia" w:hAnsiTheme="minorEastAsia"/>
          <w:sz w:val="22"/>
        </w:rPr>
        <w:t>支持对患者复诊身份的自动判定并给出准入提示；</w:t>
      </w:r>
    </w:p>
    <w:p>
      <w:pPr>
        <w:ind w:firstLine="440"/>
        <w:rPr>
          <w:rFonts w:asciiTheme="minorEastAsia" w:hAnsiTheme="minorEastAsia"/>
          <w:sz w:val="22"/>
        </w:rPr>
      </w:pPr>
      <w:r>
        <w:rPr>
          <w:rFonts w:hint="eastAsia" w:asciiTheme="minorEastAsia" w:hAnsiTheme="minorEastAsia"/>
          <w:sz w:val="22"/>
        </w:rPr>
        <w:t>支持复诊病情补充描述，患者可对复诊历史诊断、就诊诉求进行选择，支持填写病情描述及上传检验检查报告；</w:t>
      </w:r>
    </w:p>
    <w:p>
      <w:pPr>
        <w:ind w:firstLine="440"/>
        <w:rPr>
          <w:rFonts w:asciiTheme="minorEastAsia" w:hAnsiTheme="minorEastAsia"/>
          <w:sz w:val="22"/>
        </w:rPr>
      </w:pPr>
      <w:r>
        <w:rPr>
          <w:rFonts w:hint="eastAsia" w:asciiTheme="minorEastAsia" w:hAnsiTheme="minorEastAsia"/>
          <w:sz w:val="22"/>
        </w:rPr>
        <w:t>就诊完成后支持患者评价信息录入。</w:t>
      </w:r>
    </w:p>
    <w:p>
      <w:pPr>
        <w:ind w:firstLine="440"/>
        <w:rPr>
          <w:rFonts w:asciiTheme="minorEastAsia" w:hAnsiTheme="minorEastAsia"/>
          <w:sz w:val="22"/>
        </w:rPr>
      </w:pPr>
      <w:r>
        <w:rPr>
          <w:rFonts w:hint="eastAsia" w:asciiTheme="minorEastAsia" w:hAnsiTheme="minorEastAsia"/>
          <w:sz w:val="22"/>
        </w:rPr>
        <w:t>支持慢病续方患者在线发起药品续方申请，根据历史处方的药品记录可自主选择续方药品；</w:t>
      </w:r>
    </w:p>
    <w:p>
      <w:pPr>
        <w:ind w:firstLine="440"/>
        <w:rPr>
          <w:rFonts w:asciiTheme="minorEastAsia" w:hAnsiTheme="minorEastAsia"/>
          <w:sz w:val="22"/>
        </w:rPr>
      </w:pPr>
      <w:r>
        <w:rPr>
          <w:rFonts w:hint="eastAsia" w:asciiTheme="minorEastAsia" w:hAnsiTheme="minorEastAsia"/>
          <w:sz w:val="22"/>
        </w:rPr>
        <w:t>支持医生在线审批续方申请，审批通过后由药师审核处方进行发药操作。</w:t>
      </w:r>
    </w:p>
    <w:p>
      <w:pPr>
        <w:ind w:firstLine="440"/>
        <w:rPr>
          <w:rFonts w:asciiTheme="minorEastAsia" w:hAnsiTheme="minorEastAsia"/>
          <w:sz w:val="22"/>
        </w:rPr>
      </w:pPr>
      <w:r>
        <w:rPr>
          <w:rFonts w:hint="eastAsia" w:asciiTheme="minorEastAsia" w:hAnsiTheme="minorEastAsia"/>
          <w:sz w:val="22"/>
        </w:rPr>
        <w:t>支持患者支付完续方费用后，可查看订单详情以及对后续进度节点进行跟踪查看，节点包括配药审核、开具处方、处方审核、配药跟踪。</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患者云诊室</w:t>
      </w:r>
    </w:p>
    <w:p>
      <w:pPr>
        <w:ind w:firstLine="440"/>
        <w:rPr>
          <w:rFonts w:asciiTheme="minorEastAsia" w:hAnsiTheme="minorEastAsia"/>
          <w:sz w:val="22"/>
        </w:rPr>
      </w:pPr>
      <w:r>
        <w:rPr>
          <w:rFonts w:hint="eastAsia" w:asciiTheme="minorEastAsia" w:hAnsiTheme="minorEastAsia"/>
          <w:sz w:val="22"/>
        </w:rPr>
        <w:t>支持患者在云诊室中可与医生进行图文、短语音、音视频交流；</w:t>
      </w:r>
    </w:p>
    <w:p>
      <w:pPr>
        <w:ind w:firstLine="440"/>
        <w:rPr>
          <w:rFonts w:asciiTheme="minorEastAsia" w:hAnsiTheme="minorEastAsia"/>
          <w:sz w:val="22"/>
        </w:rPr>
      </w:pPr>
      <w:r>
        <w:rPr>
          <w:rFonts w:hint="eastAsia" w:asciiTheme="minorEastAsia" w:hAnsiTheme="minorEastAsia"/>
          <w:sz w:val="22"/>
        </w:rPr>
        <w:t>支持患者可在云诊室中对本次服务进行评价，不同评价等级默认带入不同的对应快捷标签，评价可配置48小时内允许患者进行修改</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就诊记录</w:t>
      </w:r>
    </w:p>
    <w:p>
      <w:pPr>
        <w:ind w:firstLine="440"/>
        <w:rPr>
          <w:rFonts w:asciiTheme="minorEastAsia" w:hAnsiTheme="minorEastAsia"/>
          <w:sz w:val="22"/>
        </w:rPr>
      </w:pPr>
      <w:r>
        <w:rPr>
          <w:rFonts w:hint="eastAsia" w:asciiTheme="minorEastAsia" w:hAnsiTheme="minorEastAsia"/>
          <w:sz w:val="22"/>
        </w:rPr>
        <w:t>支持患者在线查看个人的历史就诊记录</w:t>
      </w:r>
    </w:p>
    <w:p>
      <w:pPr>
        <w:ind w:firstLine="440"/>
        <w:rPr>
          <w:rFonts w:asciiTheme="minorEastAsia" w:hAnsiTheme="minorEastAsia"/>
          <w:sz w:val="22"/>
        </w:rPr>
      </w:pPr>
      <w:r>
        <w:rPr>
          <w:rFonts w:hint="eastAsia" w:asciiTheme="minorEastAsia" w:hAnsiTheme="minorEastAsia"/>
          <w:sz w:val="22"/>
        </w:rPr>
        <w:t>支持在问诊记录中查看医生开具的电子病历，病历文书具有医生签章、水印等功能，且支持配置病历下载功能</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就诊卡管理</w:t>
      </w:r>
    </w:p>
    <w:p>
      <w:pPr>
        <w:ind w:firstLine="440"/>
        <w:rPr>
          <w:rFonts w:asciiTheme="minorEastAsia" w:hAnsiTheme="minorEastAsia"/>
          <w:sz w:val="22"/>
        </w:rPr>
      </w:pPr>
      <w:r>
        <w:rPr>
          <w:rFonts w:hint="eastAsia" w:asciiTheme="minorEastAsia" w:hAnsiTheme="minorEastAsia"/>
          <w:sz w:val="22"/>
        </w:rPr>
        <w:t>支持患者在线自助绑定、解绑就诊卡，绑卡时有患者自主输入个人信息；</w:t>
      </w:r>
    </w:p>
    <w:p>
      <w:pPr>
        <w:ind w:firstLine="440"/>
        <w:rPr>
          <w:rFonts w:asciiTheme="minorEastAsia" w:hAnsiTheme="minorEastAsia"/>
          <w:sz w:val="22"/>
        </w:rPr>
      </w:pPr>
      <w:r>
        <w:rPr>
          <w:rFonts w:hint="eastAsia" w:asciiTheme="minorEastAsia" w:hAnsiTheme="minorEastAsia"/>
          <w:sz w:val="22"/>
        </w:rPr>
        <w:t>支持在线对患者输入的注册信息进行实名验证，验证通过后完成实名注册；</w:t>
      </w:r>
    </w:p>
    <w:p>
      <w:pPr>
        <w:ind w:firstLine="440"/>
        <w:rPr>
          <w:rFonts w:asciiTheme="minorEastAsia" w:hAnsiTheme="minorEastAsia"/>
          <w:sz w:val="22"/>
        </w:rPr>
      </w:pPr>
      <w:r>
        <w:rPr>
          <w:rFonts w:hint="eastAsia" w:asciiTheme="minorEastAsia" w:hAnsiTheme="minorEastAsia"/>
          <w:sz w:val="22"/>
        </w:rPr>
        <w:t>支持患者为家庭成员绑定多张就诊卡，就诊卡在线上就医时根据实际就医对象进行切换选择。</w:t>
      </w:r>
    </w:p>
    <w:p>
      <w:pPr>
        <w:ind w:firstLine="440"/>
        <w:rPr>
          <w:rFonts w:asciiTheme="minorEastAsia" w:hAnsiTheme="minorEastAsia"/>
          <w:sz w:val="22"/>
        </w:rPr>
      </w:pPr>
      <w:r>
        <w:rPr>
          <w:rFonts w:hint="eastAsia" w:asciiTheme="minorEastAsia" w:hAnsiTheme="minorEastAsia"/>
          <w:sz w:val="22"/>
        </w:rPr>
        <w:t>支持通过患者姓名、手机号、身份证号进行实名注册绑卡；</w:t>
      </w:r>
    </w:p>
    <w:p>
      <w:pPr>
        <w:ind w:firstLine="440"/>
        <w:rPr>
          <w:rFonts w:asciiTheme="minorEastAsia" w:hAnsiTheme="minorEastAsia"/>
          <w:sz w:val="22"/>
        </w:rPr>
      </w:pPr>
      <w:r>
        <w:rPr>
          <w:rFonts w:hint="eastAsia" w:asciiTheme="minorEastAsia" w:hAnsiTheme="minorEastAsia"/>
          <w:sz w:val="22"/>
        </w:rPr>
        <w:t>支持创建电子就诊卡，生成一维码或二维码凭证；</w:t>
      </w:r>
    </w:p>
    <w:p>
      <w:pPr>
        <w:ind w:firstLine="440"/>
        <w:rPr>
          <w:rFonts w:asciiTheme="minorEastAsia" w:hAnsiTheme="minorEastAsia"/>
          <w:sz w:val="22"/>
        </w:rPr>
      </w:pPr>
      <w:r>
        <w:rPr>
          <w:rFonts w:hint="eastAsia" w:asciiTheme="minorEastAsia" w:hAnsiTheme="minorEastAsia"/>
          <w:sz w:val="22"/>
        </w:rPr>
        <w:t>支持与HIS系统对接自动获取患者院内实体就诊卡并进行绑定；</w:t>
      </w:r>
    </w:p>
    <w:p>
      <w:pPr>
        <w:ind w:firstLine="440"/>
        <w:rPr>
          <w:rFonts w:asciiTheme="minorEastAsia" w:hAnsiTheme="minorEastAsia"/>
          <w:sz w:val="22"/>
        </w:rPr>
      </w:pPr>
      <w:r>
        <w:rPr>
          <w:rFonts w:hint="eastAsia" w:asciiTheme="minorEastAsia" w:hAnsiTheme="minorEastAsia"/>
          <w:sz w:val="22"/>
        </w:rPr>
        <w:t>支持医保卡管理，包括识别、绑定等。</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订单中心</w:t>
      </w:r>
    </w:p>
    <w:p>
      <w:pPr>
        <w:ind w:firstLine="440"/>
        <w:rPr>
          <w:rFonts w:asciiTheme="minorEastAsia" w:hAnsiTheme="minorEastAsia"/>
          <w:sz w:val="22"/>
        </w:rPr>
      </w:pPr>
      <w:r>
        <w:rPr>
          <w:rFonts w:hint="eastAsia" w:asciiTheme="minorEastAsia" w:hAnsiTheme="minorEastAsia"/>
          <w:sz w:val="22"/>
        </w:rPr>
        <w:t>支持医嘱订单中心列表展示，包含药品处方、检验检查医嘱订单；</w:t>
      </w:r>
    </w:p>
    <w:p>
      <w:pPr>
        <w:ind w:firstLine="440"/>
        <w:rPr>
          <w:rFonts w:asciiTheme="minorEastAsia" w:hAnsiTheme="minorEastAsia"/>
          <w:sz w:val="22"/>
        </w:rPr>
      </w:pPr>
      <w:r>
        <w:rPr>
          <w:rFonts w:hint="eastAsia" w:asciiTheme="minorEastAsia" w:hAnsiTheme="minorEastAsia"/>
          <w:sz w:val="22"/>
        </w:rPr>
        <w:t>支持订单列表队列分为全部、待付款、待收货与已完成标签展示；</w:t>
      </w:r>
    </w:p>
    <w:p>
      <w:pPr>
        <w:ind w:firstLine="440"/>
        <w:rPr>
          <w:rFonts w:asciiTheme="minorEastAsia" w:hAnsiTheme="minorEastAsia"/>
          <w:sz w:val="22"/>
        </w:rPr>
      </w:pPr>
      <w:r>
        <w:rPr>
          <w:rFonts w:hint="eastAsia" w:asciiTheme="minorEastAsia" w:hAnsiTheme="minorEastAsia"/>
          <w:sz w:val="22"/>
        </w:rPr>
        <w:t>支持在订单详情界面查看处方药品详情，支持点击药品名查看药品说明书。</w:t>
      </w:r>
    </w:p>
    <w:p>
      <w:pPr>
        <w:ind w:firstLine="440"/>
        <w:rPr>
          <w:rFonts w:asciiTheme="minorEastAsia" w:hAnsiTheme="minorEastAsia"/>
          <w:sz w:val="22"/>
        </w:rPr>
      </w:pPr>
      <w:r>
        <w:rPr>
          <w:rFonts w:hint="eastAsia" w:asciiTheme="minorEastAsia" w:hAnsiTheme="minorEastAsia"/>
          <w:sz w:val="22"/>
        </w:rPr>
        <w:t>支持订单领取方式前置选择，领取方式包括配送到家以及到院自取。</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地址簿管理</w:t>
      </w:r>
    </w:p>
    <w:p>
      <w:pPr>
        <w:ind w:firstLine="440"/>
        <w:rPr>
          <w:rFonts w:asciiTheme="minorEastAsia" w:hAnsiTheme="minorEastAsia"/>
          <w:sz w:val="22"/>
        </w:rPr>
      </w:pPr>
      <w:r>
        <w:rPr>
          <w:rFonts w:hint="eastAsia" w:asciiTheme="minorEastAsia" w:hAnsiTheme="minorEastAsia"/>
          <w:sz w:val="22"/>
        </w:rPr>
        <w:t>支持患者自助添加个人的联系地址，地址可以在药品配送时自动带入地址信息；</w:t>
      </w:r>
    </w:p>
    <w:p>
      <w:pPr>
        <w:ind w:firstLine="440"/>
        <w:rPr>
          <w:rFonts w:asciiTheme="minorEastAsia" w:hAnsiTheme="minorEastAsia"/>
          <w:sz w:val="22"/>
        </w:rPr>
      </w:pPr>
      <w:r>
        <w:rPr>
          <w:rFonts w:hint="eastAsia" w:asciiTheme="minorEastAsia" w:hAnsiTheme="minorEastAsia"/>
          <w:sz w:val="22"/>
        </w:rPr>
        <w:t>支持患者的个人地址新增、修改、删除配送地址</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医生登录</w:t>
      </w:r>
    </w:p>
    <w:p>
      <w:pPr>
        <w:ind w:firstLine="440"/>
        <w:rPr>
          <w:rFonts w:asciiTheme="minorEastAsia" w:hAnsiTheme="minorEastAsia"/>
          <w:sz w:val="22"/>
        </w:rPr>
      </w:pPr>
      <w:r>
        <w:rPr>
          <w:rFonts w:hint="eastAsia" w:asciiTheme="minorEastAsia" w:hAnsiTheme="minorEastAsia"/>
          <w:sz w:val="22"/>
        </w:rPr>
        <w:t>支持医生通过移动端和web端多端登录，多端登录后的数据保持一致；</w:t>
      </w:r>
    </w:p>
    <w:p>
      <w:pPr>
        <w:ind w:firstLine="440"/>
        <w:rPr>
          <w:rFonts w:asciiTheme="minorEastAsia" w:hAnsiTheme="minorEastAsia"/>
          <w:sz w:val="22"/>
        </w:rPr>
      </w:pPr>
      <w:r>
        <w:rPr>
          <w:rFonts w:hint="eastAsia" w:asciiTheme="minorEastAsia" w:hAnsiTheme="minorEastAsia"/>
          <w:sz w:val="22"/>
        </w:rPr>
        <w:t>支持使用多模式用户登录，包含用户名密码登录或企业微信SSO登录</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医生门户</w:t>
      </w:r>
    </w:p>
    <w:p>
      <w:pPr>
        <w:ind w:firstLine="440"/>
        <w:rPr>
          <w:rFonts w:asciiTheme="minorEastAsia" w:hAnsiTheme="minorEastAsia"/>
          <w:sz w:val="22"/>
        </w:rPr>
      </w:pPr>
      <w:r>
        <w:rPr>
          <w:rFonts w:hint="eastAsia" w:asciiTheme="minorEastAsia" w:hAnsiTheme="minorEastAsia"/>
          <w:sz w:val="22"/>
        </w:rPr>
        <w:t>支持医生自助配置门户中的个人服务管理，能够结合出诊情况对于线上服务动态开启/关停；</w:t>
      </w:r>
    </w:p>
    <w:p>
      <w:pPr>
        <w:ind w:firstLine="440"/>
        <w:rPr>
          <w:rFonts w:asciiTheme="minorEastAsia" w:hAnsiTheme="minorEastAsia"/>
          <w:sz w:val="22"/>
        </w:rPr>
      </w:pPr>
      <w:r>
        <w:rPr>
          <w:rFonts w:hint="eastAsia" w:asciiTheme="minorEastAsia" w:hAnsiTheme="minorEastAsia"/>
          <w:sz w:val="22"/>
        </w:rPr>
        <w:t>支持在医生门户页个人中心服务管理、常用语管理、个人病历模板管理以及账户的设置；</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医生云诊室</w:t>
      </w:r>
    </w:p>
    <w:p>
      <w:pPr>
        <w:ind w:firstLine="440"/>
        <w:rPr>
          <w:rFonts w:asciiTheme="minorEastAsia" w:hAnsiTheme="minorEastAsia"/>
          <w:sz w:val="22"/>
        </w:rPr>
      </w:pPr>
      <w:r>
        <w:rPr>
          <w:rFonts w:hint="eastAsia" w:asciiTheme="minorEastAsia" w:hAnsiTheme="minorEastAsia"/>
          <w:sz w:val="22"/>
        </w:rPr>
        <w:t>支持接诊列表展示并按照接诊状态进行分类，接诊状态包括：进行中、待接诊、过号候补、已完成；</w:t>
      </w:r>
    </w:p>
    <w:p>
      <w:pPr>
        <w:ind w:firstLine="440"/>
        <w:rPr>
          <w:rFonts w:asciiTheme="minorEastAsia" w:hAnsiTheme="minorEastAsia"/>
          <w:sz w:val="22"/>
        </w:rPr>
      </w:pPr>
      <w:r>
        <w:rPr>
          <w:rFonts w:hint="eastAsia" w:asciiTheme="minorEastAsia" w:hAnsiTheme="minorEastAsia"/>
          <w:sz w:val="22"/>
        </w:rPr>
        <w:t>支持医生在线接诊患者，并对患者发送接诊提醒，通知患者按照预定时间进入云诊室在线问诊；</w:t>
      </w:r>
    </w:p>
    <w:p>
      <w:pPr>
        <w:ind w:firstLine="440"/>
        <w:rPr>
          <w:rFonts w:asciiTheme="minorEastAsia" w:hAnsiTheme="minorEastAsia"/>
          <w:sz w:val="22"/>
        </w:rPr>
      </w:pPr>
      <w:r>
        <w:rPr>
          <w:rFonts w:hint="eastAsia" w:asciiTheme="minorEastAsia" w:hAnsiTheme="minorEastAsia"/>
          <w:sz w:val="22"/>
        </w:rPr>
        <w:t>支持对患者进行过号候补操作；</w:t>
      </w:r>
    </w:p>
    <w:p>
      <w:pPr>
        <w:ind w:firstLine="440"/>
        <w:rPr>
          <w:rFonts w:asciiTheme="minorEastAsia" w:hAnsiTheme="minorEastAsia"/>
          <w:sz w:val="22"/>
        </w:rPr>
      </w:pPr>
      <w:r>
        <w:rPr>
          <w:rFonts w:hint="eastAsia" w:asciiTheme="minorEastAsia" w:hAnsiTheme="minorEastAsia"/>
          <w:sz w:val="22"/>
        </w:rPr>
        <w:t>支持向患者推送各类业务卡片，如处方、病历、音视频入口等；</w:t>
      </w:r>
    </w:p>
    <w:p>
      <w:pPr>
        <w:ind w:firstLine="440"/>
        <w:rPr>
          <w:rFonts w:asciiTheme="minorEastAsia" w:hAnsiTheme="minorEastAsia"/>
          <w:sz w:val="22"/>
        </w:rPr>
      </w:pPr>
      <w:r>
        <w:rPr>
          <w:rFonts w:hint="eastAsia" w:asciiTheme="minorEastAsia" w:hAnsiTheme="minorEastAsia"/>
          <w:sz w:val="22"/>
        </w:rPr>
        <w:t>支持将操作手册推送给患者。</w:t>
      </w:r>
    </w:p>
    <w:p>
      <w:pPr>
        <w:ind w:firstLine="440"/>
        <w:rPr>
          <w:rFonts w:asciiTheme="minorEastAsia" w:hAnsiTheme="minorEastAsia"/>
          <w:sz w:val="22"/>
        </w:rPr>
      </w:pPr>
      <w:r>
        <w:rPr>
          <w:rFonts w:hint="eastAsia" w:asciiTheme="minorEastAsia" w:hAnsiTheme="minorEastAsia"/>
          <w:sz w:val="22"/>
        </w:rPr>
        <w:t>支持医患双方通过图文、语音、视频在线问诊交流，支持接诊分配判断和诊疗时长控制；</w:t>
      </w:r>
    </w:p>
    <w:p>
      <w:pPr>
        <w:ind w:firstLine="440"/>
        <w:rPr>
          <w:rFonts w:asciiTheme="minorEastAsia" w:hAnsiTheme="minorEastAsia"/>
          <w:sz w:val="22"/>
        </w:rPr>
      </w:pPr>
      <w:r>
        <w:rPr>
          <w:rFonts w:hint="eastAsia" w:asciiTheme="minorEastAsia" w:hAnsiTheme="minorEastAsia"/>
          <w:sz w:val="22"/>
        </w:rPr>
        <w:t>支持查看问诊申请队列信息及历史申请情况；</w:t>
      </w:r>
    </w:p>
    <w:p>
      <w:pPr>
        <w:ind w:firstLine="440"/>
        <w:rPr>
          <w:rFonts w:asciiTheme="minorEastAsia" w:hAnsiTheme="minorEastAsia"/>
          <w:sz w:val="22"/>
        </w:rPr>
      </w:pPr>
      <w:r>
        <w:rPr>
          <w:rFonts w:hint="eastAsia" w:asciiTheme="minorEastAsia" w:hAnsiTheme="minorEastAsia"/>
          <w:sz w:val="22"/>
        </w:rPr>
        <w:t>支持查看患者主诉信息及问诊需求；</w:t>
      </w:r>
    </w:p>
    <w:p>
      <w:pPr>
        <w:ind w:firstLine="440"/>
        <w:rPr>
          <w:rFonts w:asciiTheme="minorEastAsia" w:hAnsiTheme="minorEastAsia"/>
          <w:sz w:val="22"/>
        </w:rPr>
      </w:pPr>
      <w:r>
        <w:rPr>
          <w:rFonts w:hint="eastAsia" w:asciiTheme="minorEastAsia" w:hAnsiTheme="minorEastAsia"/>
          <w:sz w:val="22"/>
        </w:rPr>
        <w:t>支持接诊前及接诊中的退诊功能，支持退诊原因填写及退诊消息推送；</w:t>
      </w:r>
    </w:p>
    <w:p>
      <w:pPr>
        <w:ind w:firstLine="440"/>
        <w:rPr>
          <w:rFonts w:asciiTheme="minorEastAsia" w:hAnsiTheme="minorEastAsia"/>
          <w:sz w:val="22"/>
        </w:rPr>
      </w:pPr>
      <w:r>
        <w:rPr>
          <w:rFonts w:hint="eastAsia" w:asciiTheme="minorEastAsia" w:hAnsiTheme="minorEastAsia"/>
          <w:sz w:val="22"/>
        </w:rPr>
        <w:t>支持视频通话常规设置，如关闭/开启摄像头，关闭/开启麦克风、切换摄像头、关闭/开启免提；</w:t>
      </w:r>
    </w:p>
    <w:p>
      <w:pPr>
        <w:ind w:firstLine="440"/>
        <w:rPr>
          <w:rFonts w:asciiTheme="minorEastAsia" w:hAnsiTheme="minorEastAsia"/>
          <w:sz w:val="22"/>
        </w:rPr>
      </w:pPr>
      <w:r>
        <w:rPr>
          <w:rFonts w:hint="eastAsia" w:asciiTheme="minorEastAsia" w:hAnsiTheme="minorEastAsia"/>
          <w:sz w:val="22"/>
        </w:rPr>
        <w:t>支持显示当前患者及下一位患者，显示看诊进度；</w:t>
      </w:r>
    </w:p>
    <w:p>
      <w:pPr>
        <w:ind w:firstLine="440"/>
        <w:rPr>
          <w:rFonts w:asciiTheme="minorEastAsia" w:hAnsiTheme="minorEastAsia"/>
          <w:sz w:val="22"/>
        </w:rPr>
      </w:pPr>
      <w:r>
        <w:rPr>
          <w:rFonts w:hint="eastAsia" w:asciiTheme="minorEastAsia" w:hAnsiTheme="minorEastAsia"/>
          <w:sz w:val="22"/>
        </w:rPr>
        <w:t>支持模糊、拼码查询功能，包括诊断、药品、检查、检验、组套等；</w:t>
      </w:r>
    </w:p>
    <w:p>
      <w:pPr>
        <w:ind w:firstLine="440"/>
        <w:rPr>
          <w:rFonts w:asciiTheme="minorEastAsia" w:hAnsiTheme="minorEastAsia"/>
          <w:sz w:val="22"/>
        </w:rPr>
      </w:pPr>
      <w:r>
        <w:rPr>
          <w:rFonts w:hint="eastAsia" w:asciiTheme="minorEastAsia" w:hAnsiTheme="minorEastAsia"/>
          <w:sz w:val="22"/>
        </w:rPr>
        <w:t>支持在线开立住院证，包括申请住院科室、住院诊断、住院预交金、特殊说明等；</w:t>
      </w:r>
      <w:r>
        <w:rPr>
          <w:rFonts w:asciiTheme="minorEastAsia" w:hAnsiTheme="minorEastAsia"/>
          <w:sz w:val="22"/>
        </w:rPr>
        <w:t xml:space="preserve"> </w:t>
      </w:r>
    </w:p>
    <w:p>
      <w:pPr>
        <w:ind w:firstLine="440"/>
        <w:rPr>
          <w:rFonts w:asciiTheme="minorEastAsia" w:hAnsiTheme="minorEastAsia"/>
          <w:sz w:val="22"/>
        </w:rPr>
      </w:pPr>
      <w:r>
        <w:rPr>
          <w:rFonts w:hint="eastAsia" w:asciiTheme="minorEastAsia" w:hAnsiTheme="minorEastAsia"/>
          <w:sz w:val="22"/>
        </w:rPr>
        <w:t>支持完成本次就诊，并以短消息形式提醒患者；</w:t>
      </w:r>
    </w:p>
    <w:p>
      <w:pPr>
        <w:ind w:firstLine="440"/>
        <w:rPr>
          <w:rFonts w:asciiTheme="minorEastAsia" w:hAnsiTheme="minorEastAsia"/>
          <w:sz w:val="22"/>
        </w:rPr>
      </w:pPr>
      <w:r>
        <w:rPr>
          <w:rFonts w:hint="eastAsia" w:asciiTheme="minorEastAsia" w:hAnsiTheme="minorEastAsia"/>
          <w:sz w:val="22"/>
        </w:rPr>
        <w:t>支持医生在云诊室对接诊患者在线发送预约挂号邀约或进行在线诊间预约。</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患者档案调阅</w:t>
      </w:r>
    </w:p>
    <w:p>
      <w:pPr>
        <w:ind w:firstLine="440"/>
        <w:rPr>
          <w:rFonts w:asciiTheme="minorEastAsia" w:hAnsiTheme="minorEastAsia"/>
          <w:sz w:val="22"/>
        </w:rPr>
      </w:pPr>
      <w:r>
        <w:rPr>
          <w:rFonts w:hint="eastAsia" w:asciiTheme="minorEastAsia" w:hAnsiTheme="minorEastAsia"/>
          <w:sz w:val="22"/>
        </w:rPr>
        <w:t>支持医生在云诊室内查看接诊患者的历史病历信息，包含线上和线下书写的病历记录；</w:t>
      </w:r>
    </w:p>
    <w:p>
      <w:pPr>
        <w:ind w:firstLine="440"/>
        <w:rPr>
          <w:rFonts w:asciiTheme="minorEastAsia" w:hAnsiTheme="minorEastAsia"/>
          <w:sz w:val="22"/>
        </w:rPr>
      </w:pPr>
      <w:r>
        <w:rPr>
          <w:rFonts w:hint="eastAsia" w:asciiTheme="minorEastAsia" w:hAnsiTheme="minorEastAsia"/>
          <w:sz w:val="22"/>
        </w:rPr>
        <w:t>支持医生在线查看患者的历史就诊记录，通过历史就诊记录能够查看历次就诊患者的诊断结果和医嘱信息；</w:t>
      </w:r>
    </w:p>
    <w:p>
      <w:pPr>
        <w:ind w:firstLine="440"/>
        <w:rPr>
          <w:rFonts w:asciiTheme="minorEastAsia" w:hAnsiTheme="minorEastAsia"/>
          <w:sz w:val="22"/>
        </w:rPr>
      </w:pPr>
      <w:r>
        <w:rPr>
          <w:rFonts w:hint="eastAsia" w:asciiTheme="minorEastAsia" w:hAnsiTheme="minorEastAsia"/>
          <w:sz w:val="22"/>
        </w:rPr>
        <w:t>支持医生在线查看接诊患者的检验检查报告；</w:t>
      </w:r>
    </w:p>
    <w:p>
      <w:pPr>
        <w:ind w:firstLine="440"/>
        <w:rPr>
          <w:rFonts w:asciiTheme="minorEastAsia" w:hAnsiTheme="minorEastAsia"/>
          <w:sz w:val="22"/>
        </w:rPr>
      </w:pPr>
      <w:r>
        <w:rPr>
          <w:rFonts w:hint="eastAsia" w:asciiTheme="minorEastAsia" w:hAnsiTheme="minorEastAsia"/>
          <w:sz w:val="22"/>
        </w:rPr>
        <w:t>支持查看患者历史就诊记录，包括处方、病历、检查、检验等；</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电子病历</w:t>
      </w:r>
    </w:p>
    <w:p>
      <w:pPr>
        <w:ind w:firstLine="440"/>
        <w:rPr>
          <w:rFonts w:asciiTheme="minorEastAsia" w:hAnsiTheme="minorEastAsia"/>
          <w:sz w:val="22"/>
        </w:rPr>
      </w:pPr>
      <w:r>
        <w:rPr>
          <w:rFonts w:hint="eastAsia" w:asciiTheme="minorEastAsia" w:hAnsiTheme="minorEastAsia"/>
          <w:sz w:val="22"/>
        </w:rPr>
        <w:t>支持医生在线对接诊患者书写复诊病历，病历信息支持回传到线下电子病历系统进行一体化健康档案管理；</w:t>
      </w:r>
    </w:p>
    <w:p>
      <w:pPr>
        <w:ind w:firstLine="440"/>
        <w:rPr>
          <w:rFonts w:asciiTheme="minorEastAsia" w:hAnsiTheme="minorEastAsia"/>
          <w:sz w:val="22"/>
        </w:rPr>
      </w:pPr>
      <w:r>
        <w:rPr>
          <w:rFonts w:hint="eastAsia" w:asciiTheme="minorEastAsia" w:hAnsiTheme="minorEastAsia"/>
          <w:sz w:val="22"/>
        </w:rPr>
        <w:t>支持医生通过模板化进行复诊电子病历的在线书写，病历中的诊断和主诉信息能够自动带入患者预约挂号时自主提交的信息；</w:t>
      </w:r>
    </w:p>
    <w:p>
      <w:pPr>
        <w:ind w:firstLine="440"/>
        <w:rPr>
          <w:rFonts w:asciiTheme="minorEastAsia" w:hAnsiTheme="minorEastAsia"/>
          <w:sz w:val="22"/>
        </w:rPr>
      </w:pPr>
      <w:r>
        <w:rPr>
          <w:rFonts w:hint="eastAsia" w:asciiTheme="minorEastAsia" w:hAnsiTheme="minorEastAsia"/>
          <w:sz w:val="22"/>
        </w:rPr>
        <w:t>支持电子病历书写后通过CA认证进行电子签名。</w:t>
      </w:r>
    </w:p>
    <w:p>
      <w:pPr>
        <w:ind w:firstLine="440"/>
        <w:rPr>
          <w:rFonts w:asciiTheme="minorEastAsia" w:hAnsiTheme="minorEastAsia"/>
          <w:sz w:val="22"/>
        </w:rPr>
      </w:pPr>
      <w:r>
        <w:rPr>
          <w:rFonts w:hint="eastAsia" w:asciiTheme="minorEastAsia" w:hAnsiTheme="minorEastAsia"/>
          <w:sz w:val="22"/>
        </w:rPr>
        <w:t>支持病历模板选择与引用，在引用模板前支持查看模板详情，病历模板引用功能在移动端与PC端同步支持。</w:t>
      </w:r>
    </w:p>
    <w:p>
      <w:pPr>
        <w:ind w:firstLine="440"/>
        <w:rPr>
          <w:rFonts w:asciiTheme="minorEastAsia" w:hAnsiTheme="minorEastAsia"/>
          <w:sz w:val="22"/>
        </w:rPr>
      </w:pPr>
      <w:r>
        <w:rPr>
          <w:rFonts w:hint="eastAsia" w:asciiTheme="minorEastAsia" w:hAnsiTheme="minorEastAsia"/>
          <w:sz w:val="22"/>
        </w:rPr>
        <w:t>支持历史病历引用，在历史病历引用列表页中支持通过科室、日期条件查询，在病历引用详情页中支持分类别进行内容勾选引用。病史引用功能在移动端与PC端同步支持。</w:t>
      </w:r>
    </w:p>
    <w:p>
      <w:pPr>
        <w:ind w:firstLine="440"/>
        <w:rPr>
          <w:rFonts w:asciiTheme="minorEastAsia" w:hAnsiTheme="minorEastAsia"/>
          <w:sz w:val="22"/>
        </w:rPr>
      </w:pPr>
      <w:r>
        <w:rPr>
          <w:rFonts w:hint="eastAsia" w:asciiTheme="minorEastAsia" w:hAnsiTheme="minorEastAsia"/>
          <w:sz w:val="22"/>
        </w:rPr>
        <w:t>支持对历史报告中的内容进行引用，在历史报告引用列表页中支持通过日期条件查询，在历史报告引用详情页中支持分别对检验报告、检查所见、诊断结论进行内容复制引用。历史报告引用功能在移动端与PC端同步支持。</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在线开立</w:t>
      </w:r>
    </w:p>
    <w:p>
      <w:pPr>
        <w:ind w:firstLine="440"/>
        <w:rPr>
          <w:rFonts w:asciiTheme="minorEastAsia" w:hAnsiTheme="minorEastAsia"/>
          <w:sz w:val="22"/>
        </w:rPr>
      </w:pPr>
      <w:r>
        <w:rPr>
          <w:rFonts w:hint="eastAsia" w:asciiTheme="minorEastAsia" w:hAnsiTheme="minorEastAsia"/>
          <w:sz w:val="22"/>
        </w:rPr>
        <w:t>支持医生在线为接诊患者开立药品、检查、检验处方；</w:t>
      </w:r>
    </w:p>
    <w:p>
      <w:pPr>
        <w:ind w:firstLine="440"/>
        <w:rPr>
          <w:rFonts w:asciiTheme="minorEastAsia" w:hAnsiTheme="minorEastAsia"/>
          <w:sz w:val="22"/>
        </w:rPr>
      </w:pPr>
      <w:r>
        <w:rPr>
          <w:rFonts w:hint="eastAsia" w:asciiTheme="minorEastAsia" w:hAnsiTheme="minorEastAsia"/>
          <w:sz w:val="22"/>
        </w:rPr>
        <w:t>支持医生开立处方时通过关键字快速定位医嘱列表进行选择开立；</w:t>
      </w:r>
    </w:p>
    <w:p>
      <w:pPr>
        <w:ind w:firstLine="440"/>
        <w:rPr>
          <w:rFonts w:asciiTheme="minorEastAsia" w:hAnsiTheme="minorEastAsia"/>
          <w:sz w:val="22"/>
        </w:rPr>
      </w:pPr>
      <w:r>
        <w:rPr>
          <w:rFonts w:hint="eastAsia" w:asciiTheme="minorEastAsia" w:hAnsiTheme="minorEastAsia"/>
          <w:sz w:val="22"/>
        </w:rPr>
        <w:t>支持调用患者的历史处方进行快速开方。</w:t>
      </w:r>
    </w:p>
    <w:p>
      <w:pPr>
        <w:ind w:firstLine="440"/>
        <w:rPr>
          <w:rFonts w:asciiTheme="minorEastAsia" w:hAnsiTheme="minorEastAsia"/>
          <w:sz w:val="22"/>
        </w:rPr>
      </w:pPr>
      <w:r>
        <w:rPr>
          <w:rFonts w:hint="eastAsia" w:asciiTheme="minorEastAsia" w:hAnsiTheme="minorEastAsia"/>
          <w:sz w:val="22"/>
        </w:rPr>
        <w:t>支持药品医嘱详细内容填写，包括用药天数、数量、每次用量、频次、用法、超量原因、注意事项等；</w:t>
      </w:r>
    </w:p>
    <w:p>
      <w:pPr>
        <w:ind w:firstLine="440"/>
        <w:rPr>
          <w:rFonts w:asciiTheme="minorEastAsia" w:hAnsiTheme="minorEastAsia"/>
          <w:sz w:val="22"/>
        </w:rPr>
      </w:pPr>
      <w:r>
        <w:rPr>
          <w:rFonts w:hint="eastAsia" w:asciiTheme="minorEastAsia" w:hAnsiTheme="minorEastAsia"/>
          <w:sz w:val="22"/>
        </w:rPr>
        <w:t>支持中草药医嘱开立，包括处方名称、付数、用法、频次、煎药方式、煎药说明、药引等内容；</w:t>
      </w:r>
    </w:p>
    <w:p>
      <w:pPr>
        <w:ind w:firstLine="440"/>
        <w:rPr>
          <w:rFonts w:asciiTheme="minorEastAsia" w:hAnsiTheme="minorEastAsia"/>
          <w:sz w:val="22"/>
        </w:rPr>
      </w:pPr>
      <w:r>
        <w:rPr>
          <w:rFonts w:hint="eastAsia" w:asciiTheme="minorEastAsia" w:hAnsiTheme="minorEastAsia"/>
          <w:sz w:val="22"/>
        </w:rPr>
        <w:t>支持检验医嘱详细内容填写，如执行科室、数量、样本、注意事项等；</w:t>
      </w:r>
    </w:p>
    <w:p>
      <w:pPr>
        <w:ind w:firstLine="440"/>
        <w:rPr>
          <w:rFonts w:asciiTheme="minorEastAsia" w:hAnsiTheme="minorEastAsia"/>
          <w:sz w:val="22"/>
        </w:rPr>
      </w:pPr>
      <w:r>
        <w:rPr>
          <w:rFonts w:hint="eastAsia" w:asciiTheme="minorEastAsia" w:hAnsiTheme="minorEastAsia"/>
          <w:sz w:val="22"/>
        </w:rPr>
        <w:t>支持检查医嘱详细内容填写，如执行科室、数量、部位、注意事项等；</w:t>
      </w:r>
    </w:p>
    <w:p>
      <w:pPr>
        <w:ind w:firstLine="440"/>
        <w:rPr>
          <w:rFonts w:asciiTheme="minorEastAsia" w:hAnsiTheme="minorEastAsia"/>
          <w:sz w:val="22"/>
        </w:rPr>
      </w:pPr>
      <w:r>
        <w:rPr>
          <w:rFonts w:hint="eastAsia" w:asciiTheme="minorEastAsia" w:hAnsiTheme="minorEastAsia"/>
          <w:sz w:val="22"/>
        </w:rPr>
        <w:t>支持查看医嘱详情，编辑、删除相关内容；</w:t>
      </w:r>
    </w:p>
    <w:p>
      <w:pPr>
        <w:pStyle w:val="18"/>
        <w:spacing w:before="0" w:beforeLines="0" w:after="0" w:afterLines="0" w:line="240" w:lineRule="auto"/>
        <w:ind w:firstLine="440"/>
        <w:jc w:val="both"/>
        <w:rPr>
          <w:rFonts w:asciiTheme="minorEastAsia" w:hAnsiTheme="minorEastAsia" w:eastAsiaTheme="minorEastAsia"/>
          <w:sz w:val="22"/>
          <w:szCs w:val="22"/>
        </w:rPr>
      </w:pPr>
      <w:bookmarkStart w:id="44" w:name="_Toc169521090"/>
      <w:r>
        <w:rPr>
          <w:rFonts w:hint="eastAsia" w:asciiTheme="minorEastAsia" w:hAnsiTheme="minorEastAsia" w:eastAsiaTheme="minorEastAsia"/>
          <w:sz w:val="22"/>
          <w:szCs w:val="22"/>
        </w:rPr>
        <w:t>互联网医院管理端</w:t>
      </w:r>
      <w:bookmarkEnd w:id="44"/>
    </w:p>
    <w:p>
      <w:pPr>
        <w:ind w:firstLine="440"/>
        <w:rPr>
          <w:rFonts w:asciiTheme="minorEastAsia" w:hAnsiTheme="minorEastAsia"/>
          <w:sz w:val="22"/>
        </w:rPr>
      </w:pPr>
      <w:r>
        <w:rPr>
          <w:rFonts w:hint="eastAsia" w:asciiTheme="minorEastAsia" w:hAnsiTheme="minorEastAsia"/>
          <w:sz w:val="22"/>
        </w:rPr>
        <w:t>1.就诊记录管理</w:t>
      </w:r>
    </w:p>
    <w:p>
      <w:pPr>
        <w:ind w:firstLine="440"/>
        <w:rPr>
          <w:rFonts w:asciiTheme="minorEastAsia" w:hAnsiTheme="minorEastAsia"/>
          <w:sz w:val="22"/>
        </w:rPr>
      </w:pPr>
      <w:r>
        <w:rPr>
          <w:rFonts w:hint="eastAsia" w:asciiTheme="minorEastAsia" w:hAnsiTheme="minorEastAsia"/>
          <w:sz w:val="22"/>
        </w:rPr>
        <w:t>支持对在线复诊患者的历史就诊记录进行全程追溯管理，可以根据每次就诊记录查询到患者在线复诊的医患交流记录、处方记录、病历记录和诊断记录等。</w:t>
      </w:r>
    </w:p>
    <w:p>
      <w:pPr>
        <w:ind w:firstLine="440"/>
        <w:rPr>
          <w:rFonts w:asciiTheme="minorEastAsia" w:hAnsiTheme="minorEastAsia"/>
          <w:sz w:val="22"/>
        </w:rPr>
      </w:pPr>
      <w:r>
        <w:rPr>
          <w:rFonts w:hint="eastAsia" w:asciiTheme="minorEastAsia" w:hAnsiTheme="minorEastAsia"/>
          <w:sz w:val="22"/>
        </w:rPr>
        <w:t>2.字典库维护管理</w:t>
      </w:r>
    </w:p>
    <w:p>
      <w:pPr>
        <w:ind w:firstLine="440"/>
        <w:rPr>
          <w:rFonts w:asciiTheme="minorEastAsia" w:hAnsiTheme="minorEastAsia"/>
          <w:sz w:val="22"/>
        </w:rPr>
      </w:pPr>
      <w:r>
        <w:rPr>
          <w:rFonts w:hint="eastAsia" w:asciiTheme="minorEastAsia" w:hAnsiTheme="minorEastAsia"/>
          <w:sz w:val="22"/>
        </w:rPr>
        <w:t>支持系统管理人员进行病历模板、操作手册维护、科室常用回复语、诊断字典等信息的维护管理.</w:t>
      </w:r>
    </w:p>
    <w:p>
      <w:pPr>
        <w:ind w:firstLine="440"/>
        <w:rPr>
          <w:rFonts w:asciiTheme="minorEastAsia" w:hAnsiTheme="minorEastAsia"/>
          <w:sz w:val="22"/>
        </w:rPr>
      </w:pPr>
      <w:r>
        <w:rPr>
          <w:rFonts w:hint="eastAsia" w:asciiTheme="minorEastAsia" w:hAnsiTheme="minorEastAsia"/>
          <w:sz w:val="22"/>
        </w:rPr>
        <w:t>3.电子处方流转</w:t>
      </w:r>
    </w:p>
    <w:p>
      <w:pPr>
        <w:ind w:firstLine="440"/>
        <w:rPr>
          <w:rFonts w:asciiTheme="minorEastAsia" w:hAnsiTheme="minorEastAsia"/>
          <w:sz w:val="22"/>
        </w:rPr>
      </w:pPr>
      <w:r>
        <w:rPr>
          <w:rFonts w:hint="eastAsia" w:asciiTheme="minorEastAsia" w:hAnsiTheme="minorEastAsia"/>
          <w:sz w:val="22"/>
        </w:rPr>
        <w:t>线上开立处方可通过处方流转平台 与药企供应链直接打通完成订单发货与配送</w:t>
      </w:r>
    </w:p>
    <w:p>
      <w:pPr>
        <w:ind w:firstLine="440"/>
        <w:rPr>
          <w:rFonts w:asciiTheme="minorEastAsia" w:hAnsiTheme="minorEastAsia"/>
          <w:sz w:val="22"/>
        </w:rPr>
      </w:pPr>
      <w:r>
        <w:rPr>
          <w:rFonts w:hint="eastAsia" w:asciiTheme="minorEastAsia" w:hAnsiTheme="minorEastAsia"/>
          <w:sz w:val="22"/>
        </w:rPr>
        <w:t>4.处方跟踪管理</w:t>
      </w:r>
    </w:p>
    <w:p>
      <w:pPr>
        <w:ind w:firstLine="440"/>
        <w:rPr>
          <w:rFonts w:asciiTheme="minorEastAsia" w:hAnsiTheme="minorEastAsia"/>
          <w:sz w:val="22"/>
        </w:rPr>
      </w:pPr>
      <w:r>
        <w:rPr>
          <w:rFonts w:hint="eastAsia" w:asciiTheme="minorEastAsia" w:hAnsiTheme="minorEastAsia"/>
          <w:sz w:val="22"/>
        </w:rPr>
        <w:t>支持系统管理人员对互联网医院中患者历史在线开方的处方药品开立记录进行跟踪管理</w:t>
      </w:r>
    </w:p>
    <w:p>
      <w:pPr>
        <w:ind w:firstLine="440"/>
        <w:rPr>
          <w:rFonts w:asciiTheme="minorEastAsia" w:hAnsiTheme="minorEastAsia"/>
          <w:sz w:val="22"/>
        </w:rPr>
      </w:pPr>
      <w:r>
        <w:rPr>
          <w:rFonts w:hint="eastAsia" w:asciiTheme="minorEastAsia" w:hAnsiTheme="minorEastAsia"/>
          <w:sz w:val="22"/>
        </w:rPr>
        <w:t>5.订单跟踪管理</w:t>
      </w:r>
    </w:p>
    <w:p>
      <w:pPr>
        <w:ind w:firstLine="440"/>
        <w:rPr>
          <w:rFonts w:asciiTheme="minorEastAsia" w:hAnsiTheme="minorEastAsia"/>
          <w:sz w:val="22"/>
        </w:rPr>
      </w:pPr>
      <w:r>
        <w:rPr>
          <w:rFonts w:hint="eastAsia" w:asciiTheme="minorEastAsia" w:hAnsiTheme="minorEastAsia"/>
          <w:sz w:val="22"/>
        </w:rPr>
        <w:t>支持系统管理人员对于所有互联网医院中产生的订单信息进行定位查询，实时掌握互联网医院订单推进进程，并能对特殊情况下的订单进行干预操作。</w:t>
      </w:r>
    </w:p>
    <w:p>
      <w:pPr>
        <w:ind w:firstLine="440"/>
        <w:rPr>
          <w:rFonts w:asciiTheme="minorEastAsia" w:hAnsiTheme="minorEastAsia"/>
          <w:sz w:val="22"/>
        </w:rPr>
      </w:pPr>
      <w:r>
        <w:rPr>
          <w:rFonts w:hint="eastAsia" w:asciiTheme="minorEastAsia" w:hAnsiTheme="minorEastAsia"/>
          <w:sz w:val="22"/>
        </w:rPr>
        <w:t>6.基础信息管理</w:t>
      </w:r>
    </w:p>
    <w:p>
      <w:pPr>
        <w:ind w:firstLine="440"/>
        <w:rPr>
          <w:rFonts w:asciiTheme="minorEastAsia" w:hAnsiTheme="minorEastAsia"/>
          <w:sz w:val="22"/>
        </w:rPr>
      </w:pPr>
      <w:r>
        <w:rPr>
          <w:rFonts w:hint="eastAsia" w:asciiTheme="minorEastAsia" w:hAnsiTheme="minorEastAsia"/>
          <w:sz w:val="22"/>
        </w:rPr>
        <w:t>支持系统管理人员对互联网医院系统基础信息管理如科室、医生等资源进行统一的更新维护，资源信息可以通过批量导入模式从线下HIS系统中快速导入，并能对相应资源的基础信息、出诊排班进行单独维护管理。</w:t>
      </w:r>
    </w:p>
    <w:p>
      <w:pPr>
        <w:ind w:firstLine="440"/>
        <w:rPr>
          <w:rFonts w:asciiTheme="minorEastAsia" w:hAnsiTheme="minorEastAsia"/>
          <w:sz w:val="22"/>
        </w:rPr>
      </w:pPr>
      <w:r>
        <w:rPr>
          <w:rFonts w:hint="eastAsia" w:asciiTheme="minorEastAsia" w:hAnsiTheme="minorEastAsia"/>
          <w:sz w:val="22"/>
        </w:rPr>
        <w:t>7.医生监督管理</w:t>
      </w:r>
    </w:p>
    <w:p>
      <w:pPr>
        <w:ind w:firstLine="440"/>
        <w:rPr>
          <w:rFonts w:asciiTheme="minorEastAsia" w:hAnsiTheme="minorEastAsia"/>
          <w:sz w:val="22"/>
        </w:rPr>
      </w:pPr>
      <w:r>
        <w:rPr>
          <w:rFonts w:hint="eastAsia" w:asciiTheme="minorEastAsia" w:hAnsiTheme="minorEastAsia"/>
          <w:sz w:val="22"/>
        </w:rPr>
        <w:t>支持医院运营管理者对于互联网医院系统中出诊医生的出诊情况、线上服务质量进行实时监督管理，对于存在服务问题的医生进行及时的接入提醒。</w:t>
      </w:r>
    </w:p>
    <w:p>
      <w:pPr>
        <w:ind w:firstLine="440"/>
        <w:rPr>
          <w:rFonts w:asciiTheme="minorEastAsia" w:hAnsiTheme="minorEastAsia"/>
          <w:sz w:val="22"/>
        </w:rPr>
      </w:pPr>
      <w:r>
        <w:rPr>
          <w:rFonts w:hint="eastAsia" w:asciiTheme="minorEastAsia" w:hAnsiTheme="minorEastAsia"/>
          <w:sz w:val="22"/>
        </w:rPr>
        <w:t>8.数据报表统计</w:t>
      </w:r>
    </w:p>
    <w:p>
      <w:pPr>
        <w:ind w:firstLine="440"/>
        <w:rPr>
          <w:rFonts w:asciiTheme="minorEastAsia" w:hAnsiTheme="minorEastAsia"/>
          <w:color w:val="FF0000"/>
          <w:sz w:val="22"/>
        </w:rPr>
      </w:pPr>
      <w:r>
        <w:rPr>
          <w:rFonts w:hint="eastAsia" w:asciiTheme="minorEastAsia" w:hAnsiTheme="minorEastAsia"/>
          <w:sz w:val="22"/>
        </w:rPr>
        <w:t>支持管理端查看数据统计功能，包括：互联网医院挂号次数、当前出诊医生数量统计、当前开诊科室数量统计、处方开单量统计、在线咨询次数统计。</w:t>
      </w:r>
    </w:p>
    <w:p>
      <w:pPr>
        <w:pStyle w:val="18"/>
        <w:spacing w:before="0" w:beforeLines="0" w:after="0" w:afterLines="0" w:line="240" w:lineRule="auto"/>
        <w:ind w:firstLine="440"/>
        <w:jc w:val="both"/>
        <w:rPr>
          <w:rFonts w:asciiTheme="minorEastAsia" w:hAnsiTheme="minorEastAsia" w:eastAsiaTheme="minorEastAsia"/>
          <w:sz w:val="22"/>
          <w:szCs w:val="22"/>
        </w:rPr>
      </w:pPr>
      <w:bookmarkStart w:id="45" w:name="_Toc169521091"/>
      <w:r>
        <w:rPr>
          <w:rFonts w:hint="eastAsia" w:asciiTheme="minorEastAsia" w:hAnsiTheme="minorEastAsia" w:eastAsiaTheme="minorEastAsia"/>
          <w:sz w:val="22"/>
          <w:szCs w:val="22"/>
        </w:rPr>
        <w:t>互联网医院在线咨询</w:t>
      </w:r>
      <w:bookmarkEnd w:id="45"/>
    </w:p>
    <w:p>
      <w:pPr>
        <w:pStyle w:val="20"/>
        <w:spacing w:before="0" w:beforeLines="0" w:after="0" w:afterLines="0" w:line="240" w:lineRule="auto"/>
        <w:ind w:firstLine="440"/>
        <w:jc w:val="both"/>
        <w:rPr>
          <w:rFonts w:asciiTheme="minorEastAsia" w:hAnsiTheme="minorEastAsia" w:eastAsiaTheme="minorEastAsia"/>
          <w:sz w:val="22"/>
          <w:szCs w:val="22"/>
        </w:rPr>
      </w:pPr>
      <w:bookmarkStart w:id="46" w:name="_Toc169521092"/>
      <w:r>
        <w:rPr>
          <w:rFonts w:hint="eastAsia" w:asciiTheme="minorEastAsia" w:hAnsiTheme="minorEastAsia" w:eastAsiaTheme="minorEastAsia"/>
          <w:sz w:val="22"/>
          <w:szCs w:val="22"/>
        </w:rPr>
        <w:t>在线咨询</w:t>
      </w:r>
      <w:bookmarkEnd w:id="46"/>
    </w:p>
    <w:p>
      <w:pPr>
        <w:ind w:firstLine="440"/>
        <w:rPr>
          <w:rFonts w:asciiTheme="minorEastAsia" w:hAnsiTheme="minorEastAsia"/>
          <w:sz w:val="22"/>
        </w:rPr>
      </w:pPr>
      <w:r>
        <w:rPr>
          <w:rFonts w:hint="eastAsia" w:asciiTheme="minorEastAsia" w:hAnsiTheme="minorEastAsia"/>
          <w:sz w:val="22"/>
        </w:rPr>
        <w:t>患者可在线向医生、护士、药师或医院客服人员发起图文咨询并进行图文交流；</w:t>
      </w:r>
    </w:p>
    <w:p>
      <w:pPr>
        <w:ind w:firstLine="440"/>
        <w:rPr>
          <w:rFonts w:asciiTheme="minorEastAsia" w:hAnsiTheme="minorEastAsia"/>
          <w:sz w:val="22"/>
        </w:rPr>
      </w:pPr>
      <w:r>
        <w:rPr>
          <w:rFonts w:hint="eastAsia" w:asciiTheme="minorEastAsia" w:hAnsiTheme="minorEastAsia"/>
          <w:sz w:val="22"/>
        </w:rPr>
        <w:t>支持在线咨询流程、咨询须知及注意事项的提示；</w:t>
      </w:r>
    </w:p>
    <w:p>
      <w:pPr>
        <w:ind w:firstLine="440"/>
        <w:rPr>
          <w:rFonts w:asciiTheme="minorEastAsia" w:hAnsiTheme="minorEastAsia"/>
          <w:sz w:val="22"/>
        </w:rPr>
      </w:pPr>
      <w:r>
        <w:rPr>
          <w:rFonts w:hint="eastAsia" w:asciiTheme="minorEastAsia" w:hAnsiTheme="minorEastAsia"/>
          <w:sz w:val="22"/>
        </w:rPr>
        <w:t>支持医生信息展示，包括级别、擅长领域、服务评分、咨询量、咨询价格等信息；</w:t>
      </w:r>
    </w:p>
    <w:p>
      <w:pPr>
        <w:ind w:firstLine="440"/>
        <w:rPr>
          <w:rFonts w:asciiTheme="minorEastAsia" w:hAnsiTheme="minorEastAsia"/>
          <w:sz w:val="22"/>
        </w:rPr>
      </w:pPr>
      <w:r>
        <w:rPr>
          <w:rFonts w:hint="eastAsia" w:asciiTheme="minorEastAsia" w:hAnsiTheme="minorEastAsia"/>
          <w:sz w:val="22"/>
        </w:rPr>
        <w:t>支持全部科室及特色科室的展示；</w:t>
      </w:r>
    </w:p>
    <w:p>
      <w:pPr>
        <w:ind w:firstLine="440"/>
        <w:rPr>
          <w:rFonts w:asciiTheme="minorEastAsia" w:hAnsiTheme="minorEastAsia"/>
          <w:sz w:val="22"/>
        </w:rPr>
      </w:pPr>
      <w:r>
        <w:rPr>
          <w:rFonts w:hint="eastAsia" w:asciiTheme="minorEastAsia" w:hAnsiTheme="minorEastAsia"/>
          <w:sz w:val="22"/>
        </w:rPr>
        <w:t>支持查看医生按照科室、服务评分及咨询量排序显示；</w:t>
      </w:r>
    </w:p>
    <w:p>
      <w:pPr>
        <w:ind w:firstLine="440"/>
        <w:rPr>
          <w:rFonts w:asciiTheme="minorEastAsia" w:hAnsiTheme="minorEastAsia"/>
          <w:sz w:val="22"/>
        </w:rPr>
      </w:pPr>
      <w:r>
        <w:rPr>
          <w:rFonts w:hint="eastAsia" w:asciiTheme="minorEastAsia" w:hAnsiTheme="minorEastAsia"/>
          <w:sz w:val="22"/>
        </w:rPr>
        <w:t>支持医师主页查看跳转，可查看医师提供的服务等信息；</w:t>
      </w:r>
    </w:p>
    <w:p>
      <w:pPr>
        <w:ind w:firstLine="440"/>
        <w:rPr>
          <w:rFonts w:asciiTheme="minorEastAsia" w:hAnsiTheme="minorEastAsia"/>
          <w:sz w:val="22"/>
        </w:rPr>
      </w:pPr>
      <w:r>
        <w:rPr>
          <w:rFonts w:hint="eastAsia" w:asciiTheme="minorEastAsia" w:hAnsiTheme="minorEastAsia"/>
          <w:sz w:val="22"/>
        </w:rPr>
        <w:t>支持患者评价内容的查看；</w:t>
      </w:r>
    </w:p>
    <w:p>
      <w:pPr>
        <w:ind w:firstLine="440"/>
        <w:rPr>
          <w:rFonts w:asciiTheme="minorEastAsia" w:hAnsiTheme="minorEastAsia"/>
          <w:sz w:val="22"/>
        </w:rPr>
      </w:pPr>
      <w:r>
        <w:rPr>
          <w:rFonts w:hint="eastAsia" w:asciiTheme="minorEastAsia" w:hAnsiTheme="minorEastAsia"/>
          <w:sz w:val="22"/>
        </w:rPr>
        <w:t>支持医生名片的分享功能；</w:t>
      </w:r>
    </w:p>
    <w:p>
      <w:pPr>
        <w:ind w:firstLine="440"/>
        <w:rPr>
          <w:rFonts w:asciiTheme="minorEastAsia" w:hAnsiTheme="minorEastAsia"/>
          <w:sz w:val="22"/>
        </w:rPr>
      </w:pPr>
      <w:r>
        <w:rPr>
          <w:rFonts w:hint="eastAsia" w:asciiTheme="minorEastAsia" w:hAnsiTheme="minorEastAsia"/>
          <w:sz w:val="22"/>
        </w:rPr>
        <w:t>咨询过程中支持图片发送、拍照补充病历资料；</w:t>
      </w:r>
    </w:p>
    <w:p>
      <w:pPr>
        <w:ind w:firstLine="440"/>
        <w:rPr>
          <w:rFonts w:asciiTheme="minorEastAsia" w:hAnsiTheme="minorEastAsia"/>
          <w:sz w:val="22"/>
        </w:rPr>
      </w:pPr>
      <w:r>
        <w:rPr>
          <w:rFonts w:hint="eastAsia" w:asciiTheme="minorEastAsia" w:hAnsiTheme="minorEastAsia"/>
          <w:sz w:val="22"/>
        </w:rPr>
        <w:t>咨询完成后支持患者评价信息录入；</w:t>
      </w:r>
    </w:p>
    <w:p>
      <w:pPr>
        <w:pStyle w:val="18"/>
        <w:spacing w:before="0" w:beforeLines="0" w:after="0" w:afterLines="0" w:line="240" w:lineRule="auto"/>
        <w:ind w:firstLine="440"/>
        <w:jc w:val="both"/>
        <w:rPr>
          <w:rFonts w:asciiTheme="minorEastAsia" w:hAnsiTheme="minorEastAsia" w:eastAsiaTheme="minorEastAsia"/>
          <w:sz w:val="22"/>
          <w:szCs w:val="22"/>
        </w:rPr>
      </w:pPr>
      <w:bookmarkStart w:id="47" w:name="_Toc169521093"/>
      <w:r>
        <w:rPr>
          <w:rFonts w:hint="eastAsia" w:asciiTheme="minorEastAsia" w:hAnsiTheme="minorEastAsia" w:eastAsiaTheme="minorEastAsia"/>
          <w:sz w:val="22"/>
          <w:szCs w:val="22"/>
        </w:rPr>
        <w:t>互联网医院一键续方</w:t>
      </w:r>
      <w:bookmarkEnd w:id="47"/>
    </w:p>
    <w:p>
      <w:pPr>
        <w:pStyle w:val="20"/>
        <w:spacing w:before="0" w:beforeLines="0" w:after="0" w:afterLines="0" w:line="240" w:lineRule="auto"/>
        <w:ind w:firstLine="440"/>
        <w:jc w:val="both"/>
        <w:rPr>
          <w:rFonts w:asciiTheme="minorEastAsia" w:hAnsiTheme="minorEastAsia" w:eastAsiaTheme="minorEastAsia"/>
          <w:sz w:val="22"/>
          <w:szCs w:val="22"/>
        </w:rPr>
      </w:pPr>
      <w:bookmarkStart w:id="48" w:name="_Toc169521094"/>
      <w:r>
        <w:rPr>
          <w:rFonts w:hint="eastAsia" w:asciiTheme="minorEastAsia" w:hAnsiTheme="minorEastAsia" w:eastAsiaTheme="minorEastAsia"/>
          <w:sz w:val="22"/>
          <w:szCs w:val="22"/>
        </w:rPr>
        <w:t>一键续方</w:t>
      </w:r>
      <w:bookmarkEnd w:id="48"/>
    </w:p>
    <w:p>
      <w:pPr>
        <w:ind w:firstLine="440"/>
        <w:rPr>
          <w:rFonts w:asciiTheme="minorEastAsia" w:hAnsiTheme="minorEastAsia"/>
          <w:sz w:val="22"/>
        </w:rPr>
      </w:pPr>
      <w:r>
        <w:rPr>
          <w:rFonts w:hint="eastAsia" w:asciiTheme="minorEastAsia" w:hAnsiTheme="minorEastAsia"/>
          <w:sz w:val="22"/>
        </w:rPr>
        <w:t>支持选择就诊记录关联该就诊记录下的历史处方信息展示</w:t>
      </w:r>
    </w:p>
    <w:p>
      <w:pPr>
        <w:ind w:firstLine="440"/>
        <w:rPr>
          <w:rFonts w:asciiTheme="minorEastAsia" w:hAnsiTheme="minorEastAsia"/>
          <w:sz w:val="22"/>
        </w:rPr>
      </w:pPr>
      <w:r>
        <w:rPr>
          <w:rFonts w:hint="eastAsia" w:asciiTheme="minorEastAsia" w:hAnsiTheme="minorEastAsia"/>
          <w:sz w:val="22"/>
        </w:rPr>
        <w:t>支持选择历史处方进行配药下单支付</w:t>
      </w:r>
    </w:p>
    <w:p>
      <w:pPr>
        <w:ind w:firstLine="440"/>
        <w:rPr>
          <w:rFonts w:asciiTheme="minorEastAsia" w:hAnsiTheme="minorEastAsia"/>
          <w:sz w:val="22"/>
        </w:rPr>
      </w:pPr>
      <w:r>
        <w:rPr>
          <w:rFonts w:hint="eastAsia" w:asciiTheme="minorEastAsia" w:hAnsiTheme="minorEastAsia"/>
          <w:sz w:val="22"/>
        </w:rPr>
        <w:t>支持查询配药订单的申请进度，包含配药审核、开具处方、处方审核、配药跟踪。</w:t>
      </w:r>
    </w:p>
    <w:p>
      <w:pPr>
        <w:pStyle w:val="18"/>
        <w:spacing w:before="0" w:beforeLines="0" w:after="0" w:afterLines="0" w:line="240" w:lineRule="auto"/>
        <w:ind w:firstLine="440"/>
        <w:jc w:val="both"/>
        <w:rPr>
          <w:rFonts w:asciiTheme="minorEastAsia" w:hAnsiTheme="minorEastAsia" w:eastAsiaTheme="minorEastAsia"/>
          <w:sz w:val="22"/>
          <w:szCs w:val="22"/>
        </w:rPr>
      </w:pPr>
      <w:bookmarkStart w:id="49" w:name="_Toc169521095"/>
      <w:r>
        <w:rPr>
          <w:rFonts w:hint="eastAsia" w:asciiTheme="minorEastAsia" w:hAnsiTheme="minorEastAsia" w:eastAsiaTheme="minorEastAsia"/>
          <w:sz w:val="22"/>
          <w:szCs w:val="22"/>
        </w:rPr>
        <w:t>适老化及无障碍环境改造</w:t>
      </w:r>
      <w:bookmarkEnd w:id="49"/>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可感知性</w:t>
      </w:r>
    </w:p>
    <w:p>
      <w:pPr>
        <w:ind w:firstLine="440"/>
        <w:rPr>
          <w:rFonts w:asciiTheme="minorEastAsia" w:hAnsiTheme="minorEastAsia"/>
          <w:sz w:val="22"/>
        </w:rPr>
      </w:pPr>
      <w:r>
        <w:rPr>
          <w:rFonts w:hint="eastAsia" w:asciiTheme="minorEastAsia" w:hAnsiTheme="minorEastAsia"/>
          <w:sz w:val="22"/>
        </w:rPr>
        <w:t>支持字体大小调整</w:t>
      </w:r>
    </w:p>
    <w:p>
      <w:pPr>
        <w:ind w:firstLine="440"/>
        <w:rPr>
          <w:rFonts w:asciiTheme="minorEastAsia" w:hAnsiTheme="minorEastAsia"/>
          <w:sz w:val="22"/>
        </w:rPr>
      </w:pPr>
      <w:r>
        <w:rPr>
          <w:rFonts w:hint="eastAsia" w:asciiTheme="minorEastAsia" w:hAnsiTheme="minorEastAsia"/>
          <w:sz w:val="22"/>
        </w:rPr>
        <w:t>支持行间距调整</w:t>
      </w:r>
    </w:p>
    <w:p>
      <w:pPr>
        <w:ind w:firstLine="440"/>
        <w:rPr>
          <w:rFonts w:asciiTheme="minorEastAsia" w:hAnsiTheme="minorEastAsia"/>
          <w:sz w:val="22"/>
        </w:rPr>
      </w:pPr>
      <w:r>
        <w:rPr>
          <w:rFonts w:hint="eastAsia" w:asciiTheme="minorEastAsia" w:hAnsiTheme="minorEastAsia"/>
          <w:sz w:val="22"/>
        </w:rPr>
        <w:t>支持文本/图像对比度调整</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可操作性</w:t>
      </w:r>
    </w:p>
    <w:p>
      <w:pPr>
        <w:ind w:firstLine="440"/>
        <w:rPr>
          <w:rFonts w:asciiTheme="minorEastAsia" w:hAnsiTheme="minorEastAsia"/>
          <w:sz w:val="22"/>
        </w:rPr>
      </w:pPr>
      <w:r>
        <w:rPr>
          <w:rFonts w:hint="eastAsia" w:asciiTheme="minorEastAsia" w:hAnsiTheme="minorEastAsia"/>
          <w:sz w:val="22"/>
        </w:rPr>
        <w:t>支持组件焦点大小的改造</w:t>
      </w:r>
    </w:p>
    <w:p>
      <w:pPr>
        <w:ind w:firstLine="440"/>
        <w:rPr>
          <w:rFonts w:asciiTheme="minorEastAsia" w:hAnsiTheme="minorEastAsia"/>
          <w:sz w:val="22"/>
        </w:rPr>
      </w:pPr>
      <w:r>
        <w:rPr>
          <w:rFonts w:hint="eastAsia" w:asciiTheme="minorEastAsia" w:hAnsiTheme="minorEastAsia"/>
          <w:sz w:val="22"/>
        </w:rPr>
        <w:t>支持手势操作</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可理解性</w:t>
      </w:r>
    </w:p>
    <w:p>
      <w:pPr>
        <w:ind w:firstLine="440"/>
        <w:rPr>
          <w:rFonts w:asciiTheme="minorEastAsia" w:hAnsiTheme="minorEastAsia"/>
          <w:sz w:val="22"/>
        </w:rPr>
      </w:pPr>
      <w:r>
        <w:rPr>
          <w:rFonts w:hint="eastAsia" w:asciiTheme="minorEastAsia" w:hAnsiTheme="minorEastAsia"/>
          <w:sz w:val="22"/>
        </w:rPr>
        <w:t>在用户安装移动应用时，应为适老化设置、老年人常用功能提供显著的引导提示。</w:t>
      </w:r>
    </w:p>
    <w:p>
      <w:pPr>
        <w:pStyle w:val="18"/>
        <w:spacing w:before="0" w:beforeLines="0" w:after="0" w:afterLines="0" w:line="240" w:lineRule="auto"/>
        <w:ind w:firstLine="440"/>
        <w:jc w:val="both"/>
        <w:rPr>
          <w:rFonts w:asciiTheme="minorEastAsia" w:hAnsiTheme="minorEastAsia" w:eastAsiaTheme="minorEastAsia"/>
          <w:sz w:val="22"/>
          <w:szCs w:val="22"/>
        </w:rPr>
      </w:pPr>
      <w:bookmarkStart w:id="50" w:name="_Toc169521099"/>
      <w:r>
        <w:rPr>
          <w:rFonts w:hint="eastAsia" w:asciiTheme="minorEastAsia" w:hAnsiTheme="minorEastAsia" w:eastAsiaTheme="minorEastAsia"/>
          <w:sz w:val="22"/>
          <w:szCs w:val="22"/>
        </w:rPr>
        <w:t xml:space="preserve"> </w:t>
      </w:r>
      <w:bookmarkEnd w:id="50"/>
      <w:r>
        <w:rPr>
          <w:rFonts w:hint="eastAsia" w:asciiTheme="minorEastAsia" w:hAnsiTheme="minorEastAsia" w:eastAsiaTheme="minorEastAsia"/>
          <w:sz w:val="22"/>
          <w:szCs w:val="22"/>
        </w:rPr>
        <w:t>互联网医院MDT</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患者端</w:t>
      </w:r>
    </w:p>
    <w:p>
      <w:pPr>
        <w:ind w:firstLine="440"/>
        <w:rPr>
          <w:rFonts w:asciiTheme="minorEastAsia" w:hAnsiTheme="minorEastAsia"/>
          <w:sz w:val="22"/>
        </w:rPr>
      </w:pPr>
      <w:r>
        <w:rPr>
          <w:rFonts w:hint="eastAsia" w:asciiTheme="minorEastAsia" w:hAnsiTheme="minorEastAsia"/>
          <w:sz w:val="22"/>
        </w:rPr>
        <w:t>1.会诊申请下载</w:t>
      </w:r>
    </w:p>
    <w:p>
      <w:pPr>
        <w:ind w:firstLine="440"/>
        <w:rPr>
          <w:rFonts w:asciiTheme="minorEastAsia" w:hAnsiTheme="minorEastAsia"/>
          <w:sz w:val="22"/>
        </w:rPr>
      </w:pPr>
      <w:r>
        <w:rPr>
          <w:rFonts w:hint="eastAsia" w:asciiTheme="minorEastAsia" w:hAnsiTheme="minorEastAsia"/>
          <w:sz w:val="22"/>
        </w:rPr>
        <w:t>提供患者在线获取MDT团队及特色介绍信息，并可按需提交会诊诉求的申请登记功能。</w:t>
      </w:r>
    </w:p>
    <w:p>
      <w:pPr>
        <w:ind w:firstLine="440"/>
        <w:rPr>
          <w:rFonts w:asciiTheme="minorEastAsia" w:hAnsiTheme="minorEastAsia"/>
          <w:sz w:val="22"/>
        </w:rPr>
      </w:pPr>
      <w:r>
        <w:rPr>
          <w:rFonts w:hint="eastAsia" w:asciiTheme="minorEastAsia" w:hAnsiTheme="minorEastAsia"/>
          <w:sz w:val="22"/>
        </w:rPr>
        <w:t>2. 会诊记录查询</w:t>
      </w:r>
    </w:p>
    <w:p>
      <w:pPr>
        <w:ind w:firstLine="440"/>
        <w:rPr>
          <w:rFonts w:asciiTheme="minorEastAsia" w:hAnsiTheme="minorEastAsia"/>
          <w:sz w:val="22"/>
        </w:rPr>
      </w:pPr>
      <w:r>
        <w:rPr>
          <w:rFonts w:hint="eastAsia" w:asciiTheme="minorEastAsia" w:hAnsiTheme="minorEastAsia"/>
          <w:sz w:val="22"/>
        </w:rPr>
        <w:t>提供会诊申请、付费、就诊记录查询能力，可追溯会诊相关文书结论信息。</w:t>
      </w:r>
    </w:p>
    <w:p>
      <w:pPr>
        <w:ind w:firstLine="440"/>
        <w:rPr>
          <w:rFonts w:asciiTheme="minorEastAsia" w:hAnsiTheme="minorEastAsia"/>
          <w:sz w:val="22"/>
        </w:rPr>
      </w:pPr>
      <w:r>
        <w:rPr>
          <w:rFonts w:hint="eastAsia" w:asciiTheme="minorEastAsia" w:hAnsiTheme="minorEastAsia"/>
          <w:sz w:val="22"/>
        </w:rPr>
        <w:t>3.会诊云诊室</w:t>
      </w:r>
    </w:p>
    <w:p>
      <w:pPr>
        <w:ind w:firstLine="440"/>
        <w:rPr>
          <w:rFonts w:asciiTheme="minorEastAsia" w:hAnsiTheme="minorEastAsia"/>
          <w:sz w:val="22"/>
        </w:rPr>
      </w:pPr>
      <w:r>
        <w:rPr>
          <w:rFonts w:hint="eastAsia" w:asciiTheme="minorEastAsia" w:hAnsiTheme="minorEastAsia"/>
          <w:sz w:val="22"/>
        </w:rPr>
        <w:t>提供强大的在线沟通工具，以支持图文及音视频交流。</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医生端</w:t>
      </w:r>
    </w:p>
    <w:p>
      <w:pPr>
        <w:ind w:firstLine="440"/>
        <w:rPr>
          <w:rFonts w:asciiTheme="minorEastAsia" w:hAnsiTheme="minorEastAsia"/>
          <w:sz w:val="22"/>
        </w:rPr>
      </w:pPr>
      <w:r>
        <w:rPr>
          <w:rFonts w:hint="eastAsia" w:asciiTheme="minorEastAsia" w:hAnsiTheme="minorEastAsia"/>
          <w:sz w:val="22"/>
        </w:rPr>
        <w:t>1.医生云诊室</w:t>
      </w:r>
    </w:p>
    <w:p>
      <w:pPr>
        <w:ind w:firstLine="440"/>
        <w:rPr>
          <w:rFonts w:asciiTheme="minorEastAsia" w:hAnsiTheme="minorEastAsia"/>
          <w:sz w:val="22"/>
        </w:rPr>
      </w:pPr>
      <w:r>
        <w:rPr>
          <w:rFonts w:hint="eastAsia" w:asciiTheme="minorEastAsia" w:hAnsiTheme="minorEastAsia"/>
          <w:sz w:val="22"/>
        </w:rPr>
        <w:t>提供医生MDT在线诊室，支持会诊预约登记、接诊患者、参与会诊和输出治疗方案。</w:t>
      </w:r>
    </w:p>
    <w:p>
      <w:pPr>
        <w:ind w:firstLine="440"/>
        <w:rPr>
          <w:rFonts w:asciiTheme="minorEastAsia" w:hAnsiTheme="minorEastAsia"/>
          <w:sz w:val="22"/>
        </w:rPr>
      </w:pPr>
      <w:r>
        <w:rPr>
          <w:rFonts w:hint="eastAsia" w:asciiTheme="minorEastAsia" w:hAnsiTheme="minorEastAsia"/>
          <w:sz w:val="22"/>
        </w:rPr>
        <w:t>2. 患者档案调阅</w:t>
      </w:r>
    </w:p>
    <w:p>
      <w:pPr>
        <w:ind w:firstLine="440"/>
        <w:rPr>
          <w:rFonts w:asciiTheme="minorEastAsia" w:hAnsiTheme="minorEastAsia"/>
          <w:sz w:val="22"/>
        </w:rPr>
      </w:pPr>
      <w:r>
        <w:rPr>
          <w:rFonts w:hint="eastAsia" w:asciiTheme="minorEastAsia" w:hAnsiTheme="minorEastAsia"/>
          <w:sz w:val="22"/>
        </w:rPr>
        <w:t>支持全员查看患者的历史病历、就诊记录和健康档案。</w:t>
      </w:r>
    </w:p>
    <w:p>
      <w:pPr>
        <w:ind w:firstLine="440"/>
        <w:rPr>
          <w:rFonts w:asciiTheme="minorEastAsia" w:hAnsiTheme="minorEastAsia"/>
          <w:sz w:val="22"/>
        </w:rPr>
      </w:pPr>
      <w:r>
        <w:rPr>
          <w:rFonts w:hint="eastAsia" w:asciiTheme="minorEastAsia" w:hAnsiTheme="minorEastAsia"/>
          <w:sz w:val="22"/>
        </w:rPr>
        <w:t>3. 参与成员管理</w:t>
      </w:r>
    </w:p>
    <w:p>
      <w:pPr>
        <w:ind w:firstLine="440"/>
        <w:rPr>
          <w:rFonts w:asciiTheme="minorEastAsia" w:hAnsiTheme="minorEastAsia"/>
          <w:sz w:val="22"/>
        </w:rPr>
      </w:pPr>
      <w:r>
        <w:rPr>
          <w:rFonts w:hint="eastAsia" w:asciiTheme="minorEastAsia" w:hAnsiTheme="minorEastAsia"/>
          <w:sz w:val="22"/>
        </w:rPr>
        <w:t>引入会诊主持人角色，提供在线主持会诊和成员调控能力。</w:t>
      </w:r>
    </w:p>
    <w:p>
      <w:pPr>
        <w:ind w:firstLine="440"/>
        <w:rPr>
          <w:rFonts w:asciiTheme="minorEastAsia" w:hAnsiTheme="minorEastAsia"/>
          <w:sz w:val="22"/>
        </w:rPr>
      </w:pPr>
      <w:r>
        <w:rPr>
          <w:rFonts w:hint="eastAsia" w:asciiTheme="minorEastAsia" w:hAnsiTheme="minorEastAsia"/>
          <w:sz w:val="22"/>
        </w:rPr>
        <w:t>4. 会诊意见单</w:t>
      </w:r>
    </w:p>
    <w:p>
      <w:pPr>
        <w:ind w:firstLine="440"/>
        <w:rPr>
          <w:rFonts w:asciiTheme="minorEastAsia" w:hAnsiTheme="minorEastAsia"/>
          <w:sz w:val="22"/>
        </w:rPr>
      </w:pPr>
      <w:r>
        <w:rPr>
          <w:rFonts w:hint="eastAsia" w:asciiTheme="minorEastAsia" w:hAnsiTheme="minorEastAsia"/>
          <w:sz w:val="22"/>
        </w:rPr>
        <w:t>提供参与会诊全体医生书写会诊结论意见的能力，并汇总成会诊意见单。</w:t>
      </w:r>
    </w:p>
    <w:p>
      <w:pPr>
        <w:ind w:firstLine="440"/>
        <w:rPr>
          <w:rFonts w:asciiTheme="minorEastAsia" w:hAnsiTheme="minorEastAsia"/>
          <w:sz w:val="22"/>
        </w:rPr>
      </w:pPr>
      <w:r>
        <w:rPr>
          <w:rFonts w:hint="eastAsia" w:asciiTheme="minorEastAsia" w:hAnsiTheme="minorEastAsia"/>
          <w:sz w:val="22"/>
        </w:rPr>
        <w:t>5. 病历文书</w:t>
      </w:r>
    </w:p>
    <w:p>
      <w:pPr>
        <w:ind w:firstLine="440"/>
        <w:rPr>
          <w:rFonts w:asciiTheme="minorEastAsia" w:hAnsiTheme="minorEastAsia"/>
          <w:sz w:val="22"/>
        </w:rPr>
      </w:pPr>
      <w:r>
        <w:rPr>
          <w:rFonts w:hint="eastAsia" w:asciiTheme="minorEastAsia" w:hAnsiTheme="minorEastAsia"/>
          <w:sz w:val="22"/>
        </w:rPr>
        <w:t>提供会诊场景的文书诊断输出能力，支持全员参与编辑，主持人可根据权限分配进行书写。</w:t>
      </w:r>
    </w:p>
    <w:p>
      <w:pPr>
        <w:ind w:firstLine="440"/>
        <w:rPr>
          <w:rFonts w:asciiTheme="minorEastAsia" w:hAnsiTheme="minorEastAsia"/>
          <w:sz w:val="22"/>
        </w:rPr>
      </w:pPr>
      <w:r>
        <w:rPr>
          <w:rFonts w:hint="eastAsia" w:asciiTheme="minorEastAsia" w:hAnsiTheme="minorEastAsia"/>
          <w:sz w:val="22"/>
        </w:rPr>
        <w:t>6. 在线医嘱</w:t>
      </w:r>
    </w:p>
    <w:p>
      <w:pPr>
        <w:ind w:firstLine="440"/>
        <w:rPr>
          <w:rFonts w:asciiTheme="minorEastAsia" w:hAnsiTheme="minorEastAsia"/>
          <w:sz w:val="22"/>
        </w:rPr>
      </w:pPr>
      <w:r>
        <w:rPr>
          <w:rFonts w:hint="eastAsia" w:asciiTheme="minorEastAsia" w:hAnsiTheme="minorEastAsia"/>
          <w:sz w:val="22"/>
        </w:rPr>
        <w:t>提供会诊场景的药品、检查检验开立能力，支持全员参与编辑，主持人可根据权限分配进行书写。</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管理端</w:t>
      </w:r>
    </w:p>
    <w:p>
      <w:pPr>
        <w:ind w:firstLine="440"/>
        <w:rPr>
          <w:rFonts w:asciiTheme="minorEastAsia" w:hAnsiTheme="minorEastAsia"/>
          <w:sz w:val="22"/>
        </w:rPr>
      </w:pPr>
      <w:r>
        <w:rPr>
          <w:rFonts w:hint="eastAsia" w:asciiTheme="minorEastAsia" w:hAnsiTheme="minorEastAsia"/>
          <w:sz w:val="22"/>
        </w:rPr>
        <w:t>1. 会诊申请管理</w:t>
      </w:r>
    </w:p>
    <w:p>
      <w:pPr>
        <w:ind w:firstLine="440"/>
        <w:rPr>
          <w:rFonts w:asciiTheme="minorEastAsia" w:hAnsiTheme="minorEastAsia"/>
          <w:sz w:val="22"/>
        </w:rPr>
      </w:pPr>
      <w:r>
        <w:rPr>
          <w:rFonts w:hint="eastAsia" w:asciiTheme="minorEastAsia" w:hAnsiTheme="minorEastAsia"/>
          <w:sz w:val="22"/>
        </w:rPr>
        <w:t>提供对发起的会诊申请进行审核及行程安排功能，支持基于排班或灵活时间选择进行会诊日期制定，并组建会诊团队。</w:t>
      </w:r>
    </w:p>
    <w:p>
      <w:pPr>
        <w:ind w:firstLine="440"/>
        <w:rPr>
          <w:rFonts w:asciiTheme="minorEastAsia" w:hAnsiTheme="minorEastAsia"/>
          <w:sz w:val="22"/>
        </w:rPr>
      </w:pPr>
      <w:r>
        <w:rPr>
          <w:rFonts w:hint="eastAsia" w:asciiTheme="minorEastAsia" w:hAnsiTheme="minorEastAsia"/>
          <w:sz w:val="22"/>
        </w:rPr>
        <w:t>2. 会诊记录管理</w:t>
      </w:r>
    </w:p>
    <w:p>
      <w:pPr>
        <w:ind w:firstLine="440"/>
        <w:rPr>
          <w:rFonts w:asciiTheme="minorEastAsia" w:hAnsiTheme="minorEastAsia"/>
          <w:sz w:val="22"/>
        </w:rPr>
      </w:pPr>
      <w:r>
        <w:rPr>
          <w:rFonts w:hint="eastAsia" w:asciiTheme="minorEastAsia" w:hAnsiTheme="minorEastAsia"/>
          <w:sz w:val="22"/>
        </w:rPr>
        <w:t>提供对所有生成的会诊记录进行规范化统一留痕管理功能，支持会诊状态追溯、申请概要、讨论记录、意见单修改记录及病历医嘱修改记录和最终结论的追溯。</w:t>
      </w:r>
    </w:p>
    <w:p>
      <w:pPr>
        <w:ind w:firstLine="440"/>
        <w:rPr>
          <w:rFonts w:asciiTheme="minorEastAsia" w:hAnsiTheme="minorEastAsia"/>
          <w:sz w:val="22"/>
        </w:rPr>
      </w:pPr>
      <w:r>
        <w:rPr>
          <w:rFonts w:hint="eastAsia" w:asciiTheme="minorEastAsia" w:hAnsiTheme="minorEastAsia"/>
          <w:sz w:val="22"/>
        </w:rPr>
        <w:t>3. 数据权限管理</w:t>
      </w:r>
    </w:p>
    <w:p>
      <w:pPr>
        <w:ind w:firstLine="440"/>
        <w:rPr>
          <w:rFonts w:asciiTheme="minorEastAsia" w:hAnsiTheme="minorEastAsia"/>
          <w:sz w:val="22"/>
        </w:rPr>
      </w:pPr>
      <w:r>
        <w:rPr>
          <w:rFonts w:hint="eastAsia" w:asciiTheme="minorEastAsia" w:hAnsiTheme="minorEastAsia"/>
          <w:sz w:val="22"/>
        </w:rPr>
        <w:t>提供查房超管权限管理功能，授权超级管理员（查房超管）在授权范围内查看所有已发起的会诊诊室，并浏览聊天记录、医嘱病历及会诊意见单。</w:t>
      </w:r>
    </w:p>
    <w:p>
      <w:pPr>
        <w:pStyle w:val="18"/>
        <w:spacing w:before="0" w:beforeLines="0" w:after="0" w:afterLines="0" w:line="240" w:lineRule="auto"/>
        <w:ind w:firstLine="440"/>
        <w:jc w:val="both"/>
        <w:rPr>
          <w:rFonts w:asciiTheme="minorEastAsia" w:hAnsiTheme="minorEastAsia" w:eastAsiaTheme="minorEastAsia"/>
          <w:sz w:val="22"/>
          <w:szCs w:val="22"/>
        </w:rPr>
      </w:pPr>
      <w:bookmarkStart w:id="51" w:name="_Toc169521101"/>
      <w:r>
        <w:rPr>
          <w:rFonts w:hint="eastAsia" w:asciiTheme="minorEastAsia" w:hAnsiTheme="minorEastAsia" w:eastAsiaTheme="minorEastAsia"/>
          <w:sz w:val="22"/>
          <w:szCs w:val="22"/>
        </w:rPr>
        <w:t>云客服</w:t>
      </w:r>
      <w:bookmarkEnd w:id="51"/>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多渠道接入</w:t>
      </w:r>
    </w:p>
    <w:p>
      <w:pPr>
        <w:ind w:firstLine="440"/>
        <w:rPr>
          <w:rFonts w:asciiTheme="minorEastAsia" w:hAnsiTheme="minorEastAsia"/>
          <w:sz w:val="22"/>
        </w:rPr>
      </w:pPr>
      <w:r>
        <w:rPr>
          <w:rFonts w:hint="eastAsia" w:asciiTheme="minorEastAsia" w:hAnsiTheme="minorEastAsia"/>
          <w:sz w:val="22"/>
        </w:rPr>
        <w:t>支持多种渠道对接配置，根据医院的需求进行配置，包括：小程序、公众号、生活号、移动APP等多渠道使用</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机器人客服</w:t>
      </w:r>
    </w:p>
    <w:p>
      <w:pPr>
        <w:ind w:firstLine="440"/>
        <w:rPr>
          <w:rFonts w:asciiTheme="minorEastAsia" w:hAnsiTheme="minorEastAsia"/>
          <w:sz w:val="22"/>
        </w:rPr>
      </w:pPr>
      <w:r>
        <w:rPr>
          <w:rFonts w:hint="eastAsia" w:asciiTheme="minorEastAsia" w:hAnsiTheme="minorEastAsia"/>
          <w:sz w:val="22"/>
        </w:rPr>
        <w:t>提供机器人客服体系，通过语意精准识别，与用户进行人机沟通交流，引导和解决用户的需求</w:t>
      </w:r>
    </w:p>
    <w:p>
      <w:pPr>
        <w:ind w:firstLine="440"/>
        <w:rPr>
          <w:rFonts w:asciiTheme="minorEastAsia" w:hAnsiTheme="minorEastAsia"/>
          <w:sz w:val="22"/>
        </w:rPr>
      </w:pPr>
      <w:r>
        <w:rPr>
          <w:rFonts w:hint="eastAsia" w:asciiTheme="minorEastAsia" w:hAnsiTheme="minorEastAsia"/>
          <w:sz w:val="22"/>
        </w:rPr>
        <w:t>支持7*24小时在线的秒级响应用户咨询</w:t>
      </w:r>
    </w:p>
    <w:p>
      <w:pPr>
        <w:pStyle w:val="20"/>
        <w:spacing w:before="0" w:beforeLines="0" w:after="0" w:afterLines="0" w:line="240" w:lineRule="auto"/>
        <w:ind w:firstLine="440"/>
        <w:jc w:val="both"/>
        <w:rPr>
          <w:rFonts w:asciiTheme="minorEastAsia" w:hAnsiTheme="minorEastAsia" w:eastAsiaTheme="minorEastAsia"/>
          <w:sz w:val="22"/>
          <w:szCs w:val="22"/>
        </w:rPr>
      </w:pPr>
      <w:bookmarkStart w:id="52" w:name="_Toc169521104"/>
      <w:r>
        <w:rPr>
          <w:rFonts w:hint="eastAsia" w:asciiTheme="minorEastAsia" w:hAnsiTheme="minorEastAsia" w:eastAsiaTheme="minorEastAsia"/>
          <w:sz w:val="22"/>
          <w:szCs w:val="22"/>
        </w:rPr>
        <w:t>人工客服</w:t>
      </w:r>
    </w:p>
    <w:p>
      <w:pPr>
        <w:rPr>
          <w:color w:val="FF0000"/>
        </w:rPr>
      </w:pPr>
      <w:r>
        <w:rPr>
          <w:rFonts w:hint="eastAsia"/>
        </w:rPr>
        <w:t>支持转人工客服功能，可实现与患者实时文字沟通交流。支持查看当前患者的历史就诊信息，包括互联网医院历史处方信息、历史医患文字沟通信息、检查检验报告。人工客服席位限5个以内。</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机构知识库</w:t>
      </w:r>
      <w:bookmarkEnd w:id="52"/>
    </w:p>
    <w:p>
      <w:pPr>
        <w:ind w:firstLine="440"/>
        <w:rPr>
          <w:rFonts w:asciiTheme="minorEastAsia" w:hAnsiTheme="minorEastAsia"/>
          <w:sz w:val="22"/>
        </w:rPr>
      </w:pPr>
      <w:r>
        <w:rPr>
          <w:rFonts w:hint="eastAsia" w:asciiTheme="minorEastAsia" w:hAnsiTheme="minorEastAsia"/>
          <w:sz w:val="22"/>
        </w:rPr>
        <w:t>支持按机构提供材料构建知识库体系，包括就医事项、零散问答知识点，构建医院专属知识库，支撑机器客服承接用户咨询</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患者服务接入</w:t>
      </w:r>
    </w:p>
    <w:p>
      <w:pPr>
        <w:ind w:firstLine="440"/>
        <w:rPr>
          <w:rFonts w:asciiTheme="minorEastAsia" w:hAnsiTheme="minorEastAsia"/>
          <w:sz w:val="22"/>
        </w:rPr>
      </w:pPr>
      <w:r>
        <w:rPr>
          <w:rFonts w:hint="eastAsia" w:asciiTheme="minorEastAsia" w:hAnsiTheme="minorEastAsia"/>
          <w:sz w:val="22"/>
        </w:rPr>
        <w:t>支持与患者服务对接，通过人机交互和上下文语意的识别，引导进入相应的患者服务模块，可按需触发对应患者就医服务，如挂号就诊、在线缴费、报告查询、就医导航等医疗服务模块。</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初始化服务预设</w:t>
      </w:r>
    </w:p>
    <w:p>
      <w:pPr>
        <w:ind w:firstLine="440"/>
        <w:rPr>
          <w:rFonts w:asciiTheme="minorEastAsia" w:hAnsiTheme="minorEastAsia"/>
          <w:sz w:val="22"/>
        </w:rPr>
      </w:pPr>
      <w:r>
        <w:rPr>
          <w:rFonts w:hint="eastAsia" w:asciiTheme="minorEastAsia" w:hAnsiTheme="minorEastAsia"/>
          <w:sz w:val="22"/>
        </w:rPr>
        <w:t>支持按机构需要预设初始化服务、问题触发入口，预设的内容支持跳转对应的患者服务或一键触发客服会话问答;</w:t>
      </w:r>
    </w:p>
    <w:p>
      <w:pPr>
        <w:ind w:firstLine="440"/>
        <w:rPr>
          <w:rFonts w:asciiTheme="minorEastAsia" w:hAnsiTheme="minorEastAsia"/>
          <w:sz w:val="22"/>
        </w:rPr>
      </w:pPr>
      <w:r>
        <w:rPr>
          <w:rFonts w:hint="eastAsia" w:asciiTheme="minorEastAsia" w:hAnsiTheme="minorEastAsia"/>
          <w:sz w:val="22"/>
        </w:rPr>
        <w:t>支持初始化预设内容的分组和展示；</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语义识别</w:t>
      </w:r>
    </w:p>
    <w:p>
      <w:pPr>
        <w:ind w:firstLine="440"/>
        <w:rPr>
          <w:rFonts w:asciiTheme="minorEastAsia" w:hAnsiTheme="minorEastAsia"/>
          <w:sz w:val="22"/>
        </w:rPr>
      </w:pPr>
      <w:r>
        <w:rPr>
          <w:rFonts w:hint="eastAsia" w:asciiTheme="minorEastAsia" w:hAnsiTheme="minorEastAsia"/>
          <w:sz w:val="22"/>
        </w:rPr>
        <w:t>支持多种内容输入方式，包括图文、语音会话输入;</w:t>
      </w:r>
    </w:p>
    <w:p>
      <w:pPr>
        <w:ind w:firstLine="440"/>
        <w:rPr>
          <w:rFonts w:asciiTheme="minorEastAsia" w:hAnsiTheme="minorEastAsia"/>
          <w:sz w:val="22"/>
        </w:rPr>
      </w:pPr>
      <w:r>
        <w:rPr>
          <w:rFonts w:hint="eastAsia" w:asciiTheme="minorEastAsia" w:hAnsiTheme="minorEastAsia"/>
          <w:sz w:val="22"/>
        </w:rPr>
        <w:t>支持通过文本分析、深度学习智能技术，自动化进行知识库或回答内容分流</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多轮对话</w:t>
      </w:r>
    </w:p>
    <w:p>
      <w:pPr>
        <w:ind w:firstLine="440"/>
        <w:rPr>
          <w:rFonts w:asciiTheme="minorEastAsia" w:hAnsiTheme="minorEastAsia"/>
          <w:sz w:val="22"/>
        </w:rPr>
      </w:pPr>
      <w:r>
        <w:rPr>
          <w:rFonts w:hint="eastAsia" w:asciiTheme="minorEastAsia" w:hAnsiTheme="minorEastAsia"/>
          <w:sz w:val="22"/>
        </w:rPr>
        <w:t>支持多轮对话服务模式，通过准确定位用户意图，通过上下文识别用户关键信息，通过人机交互的方式解决复杂场景的任务流程，提升机器客服问题解决率</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敏感词设置</w:t>
      </w:r>
    </w:p>
    <w:p>
      <w:pPr>
        <w:ind w:firstLine="440"/>
        <w:rPr>
          <w:rFonts w:asciiTheme="minorEastAsia" w:hAnsiTheme="minorEastAsia"/>
          <w:sz w:val="22"/>
        </w:rPr>
      </w:pPr>
      <w:r>
        <w:rPr>
          <w:rFonts w:hint="eastAsia" w:asciiTheme="minorEastAsia" w:hAnsiTheme="minorEastAsia"/>
          <w:sz w:val="22"/>
        </w:rPr>
        <w:t>提供敏感词违规内容管理功能，构建敏感词库，精准过滤敏感词汇等违规内容</w:t>
      </w:r>
    </w:p>
    <w:p>
      <w:pPr>
        <w:pStyle w:val="20"/>
        <w:spacing w:before="0" w:beforeLines="0" w:after="0" w:afterLines="0" w:line="240" w:lineRule="auto"/>
        <w:ind w:firstLine="440"/>
        <w:jc w:val="both"/>
        <w:rPr>
          <w:rFonts w:asciiTheme="minorEastAsia" w:hAnsiTheme="minorEastAsia" w:eastAsiaTheme="minorEastAsia"/>
          <w:sz w:val="22"/>
          <w:szCs w:val="22"/>
        </w:rPr>
      </w:pPr>
      <w:r>
        <w:rPr>
          <w:rFonts w:hint="eastAsia" w:asciiTheme="minorEastAsia" w:hAnsiTheme="minorEastAsia" w:eastAsiaTheme="minorEastAsia"/>
          <w:sz w:val="22"/>
          <w:szCs w:val="22"/>
        </w:rPr>
        <w:t>意见反馈</w:t>
      </w:r>
    </w:p>
    <w:p>
      <w:pPr>
        <w:ind w:firstLine="440"/>
        <w:rPr>
          <w:rFonts w:asciiTheme="minorEastAsia" w:hAnsiTheme="minorEastAsia"/>
          <w:sz w:val="22"/>
        </w:rPr>
      </w:pPr>
      <w:r>
        <w:rPr>
          <w:rFonts w:hint="eastAsia" w:asciiTheme="minorEastAsia" w:hAnsiTheme="minorEastAsia"/>
          <w:sz w:val="22"/>
        </w:rPr>
        <w:t>支持每一轮客服对话完成后进行意见反馈，预设5星级评分机制，可对系统及人工服务情况进行跟踪；</w:t>
      </w:r>
    </w:p>
    <w:p>
      <w:pPr>
        <w:ind w:firstLine="440"/>
        <w:rPr>
          <w:rFonts w:asciiTheme="minorEastAsia" w:hAnsiTheme="minorEastAsia"/>
          <w:sz w:val="22"/>
        </w:rPr>
      </w:pPr>
      <w:r>
        <w:rPr>
          <w:rFonts w:hint="eastAsia" w:asciiTheme="minorEastAsia" w:hAnsiTheme="minorEastAsia"/>
          <w:sz w:val="22"/>
        </w:rPr>
        <w:t>支持服务评价后台管理分析界面，并进行评价内容统计分析</w:t>
      </w:r>
    </w:p>
    <w:p>
      <w:pPr>
        <w:ind w:firstLine="0" w:firstLineChars="0"/>
        <w:rPr>
          <w:b/>
        </w:rPr>
      </w:pPr>
    </w:p>
    <w:p>
      <w:pPr>
        <w:ind w:firstLine="0" w:firstLineChars="0"/>
        <w:rPr>
          <w:b/>
        </w:rPr>
      </w:pPr>
      <w:r>
        <w:rPr>
          <w:rFonts w:hint="eastAsia"/>
          <w:b/>
        </w:rPr>
        <w:t>2、硬件购置清单：</w:t>
      </w:r>
    </w:p>
    <w:tbl>
      <w:tblPr>
        <w:tblStyle w:val="8"/>
        <w:tblW w:w="8700" w:type="dxa"/>
        <w:jc w:val="center"/>
        <w:tblLayout w:type="autofit"/>
        <w:tblCellMar>
          <w:top w:w="0" w:type="dxa"/>
          <w:left w:w="108" w:type="dxa"/>
          <w:bottom w:w="0" w:type="dxa"/>
          <w:right w:w="108" w:type="dxa"/>
        </w:tblCellMar>
      </w:tblPr>
      <w:tblGrid>
        <w:gridCol w:w="658"/>
        <w:gridCol w:w="2037"/>
        <w:gridCol w:w="1365"/>
        <w:gridCol w:w="2938"/>
        <w:gridCol w:w="851"/>
        <w:gridCol w:w="851"/>
      </w:tblGrid>
      <w:tr>
        <w:tblPrEx>
          <w:tblCellMar>
            <w:top w:w="0" w:type="dxa"/>
            <w:left w:w="108" w:type="dxa"/>
            <w:bottom w:w="0" w:type="dxa"/>
            <w:right w:w="108" w:type="dxa"/>
          </w:tblCellMar>
        </w:tblPrEx>
        <w:trPr>
          <w:trHeight w:val="268"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3F8FC"/>
            <w:noWrap/>
            <w:vAlign w:val="center"/>
          </w:tcPr>
          <w:p>
            <w:pPr>
              <w:widowControl/>
              <w:spacing w:line="240" w:lineRule="auto"/>
              <w:ind w:firstLine="0" w:firstLineChars="0"/>
              <w:jc w:val="center"/>
              <w:rPr>
                <w:rFonts w:cs="宋体"/>
                <w:b/>
                <w:color w:val="000000"/>
                <w:kern w:val="0"/>
                <w:sz w:val="22"/>
                <w:szCs w:val="22"/>
              </w:rPr>
            </w:pPr>
            <w:r>
              <w:rPr>
                <w:rFonts w:hint="eastAsia" w:cs="宋体"/>
                <w:b/>
                <w:color w:val="000000"/>
                <w:kern w:val="0"/>
                <w:sz w:val="22"/>
                <w:szCs w:val="22"/>
              </w:rPr>
              <w:t>序号</w:t>
            </w:r>
          </w:p>
        </w:tc>
        <w:tc>
          <w:tcPr>
            <w:tcW w:w="2037" w:type="dxa"/>
            <w:tcBorders>
              <w:top w:val="single" w:color="auto" w:sz="4" w:space="0"/>
              <w:left w:val="nil"/>
              <w:bottom w:val="single" w:color="auto" w:sz="4" w:space="0"/>
              <w:right w:val="single" w:color="auto" w:sz="4" w:space="0"/>
            </w:tcBorders>
            <w:shd w:val="clear" w:color="000000" w:fill="F3F8FC"/>
            <w:noWrap/>
            <w:vAlign w:val="center"/>
          </w:tcPr>
          <w:p>
            <w:pPr>
              <w:widowControl/>
              <w:spacing w:line="240" w:lineRule="auto"/>
              <w:ind w:firstLine="0" w:firstLineChars="0"/>
              <w:jc w:val="center"/>
              <w:rPr>
                <w:rFonts w:cs="宋体"/>
                <w:b/>
                <w:color w:val="000000"/>
                <w:kern w:val="0"/>
                <w:sz w:val="22"/>
                <w:szCs w:val="22"/>
              </w:rPr>
            </w:pPr>
            <w:r>
              <w:rPr>
                <w:rFonts w:hint="eastAsia" w:cs="宋体"/>
                <w:b/>
                <w:color w:val="000000"/>
                <w:kern w:val="0"/>
                <w:sz w:val="22"/>
                <w:szCs w:val="22"/>
              </w:rPr>
              <w:t>名称</w:t>
            </w:r>
          </w:p>
        </w:tc>
        <w:tc>
          <w:tcPr>
            <w:tcW w:w="1365" w:type="dxa"/>
            <w:tcBorders>
              <w:top w:val="single" w:color="auto" w:sz="4" w:space="0"/>
              <w:left w:val="nil"/>
              <w:bottom w:val="single" w:color="auto" w:sz="4" w:space="0"/>
              <w:right w:val="single" w:color="auto" w:sz="4" w:space="0"/>
            </w:tcBorders>
            <w:shd w:val="clear" w:color="000000" w:fill="F3F8FC"/>
            <w:noWrap/>
            <w:vAlign w:val="center"/>
          </w:tcPr>
          <w:p>
            <w:pPr>
              <w:widowControl/>
              <w:spacing w:line="240" w:lineRule="auto"/>
              <w:ind w:firstLine="0" w:firstLineChars="0"/>
              <w:jc w:val="center"/>
              <w:rPr>
                <w:rFonts w:cs="宋体"/>
                <w:b/>
                <w:color w:val="000000"/>
                <w:kern w:val="0"/>
                <w:sz w:val="22"/>
                <w:szCs w:val="22"/>
              </w:rPr>
            </w:pPr>
            <w:r>
              <w:rPr>
                <w:rFonts w:cs="宋体"/>
                <w:b/>
                <w:color w:val="000000"/>
                <w:kern w:val="0"/>
                <w:sz w:val="22"/>
                <w:szCs w:val="22"/>
              </w:rPr>
              <w:t>类别</w:t>
            </w:r>
          </w:p>
        </w:tc>
        <w:tc>
          <w:tcPr>
            <w:tcW w:w="2938" w:type="dxa"/>
            <w:tcBorders>
              <w:top w:val="single" w:color="auto" w:sz="4" w:space="0"/>
              <w:left w:val="nil"/>
              <w:bottom w:val="single" w:color="auto" w:sz="4" w:space="0"/>
              <w:right w:val="single" w:color="auto" w:sz="4" w:space="0"/>
            </w:tcBorders>
            <w:shd w:val="clear" w:color="000000" w:fill="F3F8FC"/>
            <w:vAlign w:val="center"/>
          </w:tcPr>
          <w:p>
            <w:pPr>
              <w:widowControl/>
              <w:spacing w:line="240" w:lineRule="auto"/>
              <w:ind w:firstLine="0" w:firstLineChars="0"/>
              <w:jc w:val="center"/>
              <w:rPr>
                <w:rFonts w:cs="宋体"/>
                <w:b/>
                <w:color w:val="000000"/>
                <w:kern w:val="0"/>
                <w:sz w:val="22"/>
                <w:szCs w:val="22"/>
              </w:rPr>
            </w:pPr>
            <w:r>
              <w:rPr>
                <w:rFonts w:cs="宋体"/>
                <w:b/>
                <w:color w:val="000000"/>
                <w:kern w:val="0"/>
                <w:sz w:val="22"/>
                <w:szCs w:val="22"/>
              </w:rPr>
              <w:t>配置要求</w:t>
            </w:r>
          </w:p>
        </w:tc>
        <w:tc>
          <w:tcPr>
            <w:tcW w:w="851" w:type="dxa"/>
            <w:tcBorders>
              <w:top w:val="single" w:color="auto" w:sz="4" w:space="0"/>
              <w:left w:val="nil"/>
              <w:bottom w:val="single" w:color="auto" w:sz="4" w:space="0"/>
              <w:right w:val="single" w:color="auto" w:sz="4" w:space="0"/>
            </w:tcBorders>
            <w:shd w:val="clear" w:color="000000" w:fill="F3F8FC"/>
            <w:vAlign w:val="center"/>
          </w:tcPr>
          <w:p>
            <w:pPr>
              <w:widowControl/>
              <w:spacing w:line="240" w:lineRule="auto"/>
              <w:ind w:firstLine="0" w:firstLineChars="0"/>
              <w:jc w:val="center"/>
              <w:rPr>
                <w:rFonts w:cs="宋体"/>
                <w:b/>
                <w:color w:val="000000"/>
                <w:kern w:val="0"/>
                <w:sz w:val="22"/>
                <w:szCs w:val="22"/>
              </w:rPr>
            </w:pPr>
            <w:r>
              <w:rPr>
                <w:rFonts w:cs="宋体"/>
                <w:b/>
                <w:color w:val="000000"/>
                <w:kern w:val="0"/>
                <w:sz w:val="22"/>
                <w:szCs w:val="22"/>
              </w:rPr>
              <w:t>数量</w:t>
            </w:r>
          </w:p>
        </w:tc>
        <w:tc>
          <w:tcPr>
            <w:tcW w:w="851" w:type="dxa"/>
            <w:tcBorders>
              <w:top w:val="single" w:color="auto" w:sz="4" w:space="0"/>
              <w:left w:val="nil"/>
              <w:bottom w:val="single" w:color="auto" w:sz="4" w:space="0"/>
              <w:right w:val="single" w:color="auto" w:sz="4" w:space="0"/>
            </w:tcBorders>
            <w:shd w:val="clear" w:color="000000" w:fill="F3F8FC"/>
            <w:vAlign w:val="center"/>
          </w:tcPr>
          <w:p>
            <w:pPr>
              <w:widowControl/>
              <w:spacing w:line="240" w:lineRule="auto"/>
              <w:ind w:firstLine="0" w:firstLineChars="0"/>
              <w:jc w:val="center"/>
              <w:rPr>
                <w:rFonts w:cs="宋体"/>
                <w:b/>
                <w:color w:val="000000"/>
                <w:kern w:val="0"/>
                <w:sz w:val="22"/>
                <w:szCs w:val="22"/>
              </w:rPr>
            </w:pPr>
            <w:r>
              <w:rPr>
                <w:rFonts w:cs="宋体"/>
                <w:b/>
                <w:color w:val="000000"/>
                <w:kern w:val="0"/>
                <w:sz w:val="22"/>
                <w:szCs w:val="22"/>
              </w:rPr>
              <w:t>单位</w:t>
            </w:r>
          </w:p>
        </w:tc>
      </w:tr>
      <w:tr>
        <w:tblPrEx>
          <w:tblCellMar>
            <w:top w:w="0" w:type="dxa"/>
            <w:left w:w="108" w:type="dxa"/>
            <w:bottom w:w="0" w:type="dxa"/>
            <w:right w:w="108" w:type="dxa"/>
          </w:tblCellMar>
        </w:tblPrEx>
        <w:trPr>
          <w:trHeight w:val="113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ascii="Tahoma" w:hAnsi="Tahoma" w:cs="Tahoma"/>
                <w:color w:val="000000"/>
                <w:kern w:val="0"/>
                <w:sz w:val="22"/>
                <w:szCs w:val="22"/>
              </w:rPr>
              <w:t>1</w:t>
            </w:r>
          </w:p>
        </w:tc>
        <w:tc>
          <w:tcPr>
            <w:tcW w:w="2037"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应用服务器主机（云端）</w:t>
            </w:r>
          </w:p>
        </w:tc>
        <w:tc>
          <w:tcPr>
            <w:tcW w:w="136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应用服务器</w:t>
            </w:r>
          </w:p>
        </w:tc>
        <w:tc>
          <w:tcPr>
            <w:tcW w:w="2938"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8C</w:t>
            </w:r>
            <w:r>
              <w:rPr>
                <w:rFonts w:ascii="Tahoma" w:hAnsi="Tahoma" w:cs="Tahoma"/>
                <w:color w:val="000000"/>
                <w:kern w:val="0"/>
                <w:sz w:val="22"/>
                <w:szCs w:val="22"/>
              </w:rPr>
              <w:t>16</w:t>
            </w:r>
            <w:r>
              <w:rPr>
                <w:rFonts w:hint="eastAsia" w:ascii="Tahoma" w:hAnsi="Tahoma" w:cs="Tahoma"/>
                <w:color w:val="000000"/>
                <w:kern w:val="0"/>
                <w:sz w:val="22"/>
                <w:szCs w:val="22"/>
              </w:rPr>
              <w:t>G，系统盘1</w:t>
            </w:r>
            <w:r>
              <w:rPr>
                <w:rFonts w:ascii="Tahoma" w:hAnsi="Tahoma" w:cs="Tahoma"/>
                <w:color w:val="000000"/>
                <w:kern w:val="0"/>
                <w:sz w:val="22"/>
                <w:szCs w:val="22"/>
              </w:rPr>
              <w:t>00</w:t>
            </w:r>
            <w:r>
              <w:rPr>
                <w:rFonts w:hint="eastAsia" w:ascii="Tahoma" w:hAnsi="Tahoma" w:cs="Tahoma"/>
                <w:color w:val="000000"/>
                <w:kern w:val="0"/>
                <w:sz w:val="22"/>
                <w:szCs w:val="22"/>
              </w:rPr>
              <w:t>G、数据盘2</w:t>
            </w:r>
            <w:r>
              <w:rPr>
                <w:rFonts w:ascii="Tahoma" w:hAnsi="Tahoma" w:cs="Tahoma"/>
                <w:color w:val="000000"/>
                <w:kern w:val="0"/>
                <w:sz w:val="22"/>
                <w:szCs w:val="22"/>
              </w:rPr>
              <w:t>00</w:t>
            </w:r>
            <w:r>
              <w:rPr>
                <w:rFonts w:hint="eastAsia" w:ascii="Tahoma" w:hAnsi="Tahoma" w:cs="Tahoma"/>
                <w:color w:val="000000"/>
                <w:kern w:val="0"/>
                <w:sz w:val="22"/>
                <w:szCs w:val="22"/>
              </w:rPr>
              <w:t>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1</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台</w:t>
            </w:r>
          </w:p>
        </w:tc>
      </w:tr>
      <w:tr>
        <w:tblPrEx>
          <w:tblCellMar>
            <w:top w:w="0" w:type="dxa"/>
            <w:left w:w="108" w:type="dxa"/>
            <w:bottom w:w="0" w:type="dxa"/>
            <w:right w:w="108" w:type="dxa"/>
          </w:tblCellMar>
        </w:tblPrEx>
        <w:trPr>
          <w:trHeight w:val="113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2</w:t>
            </w:r>
          </w:p>
        </w:tc>
        <w:tc>
          <w:tcPr>
            <w:tcW w:w="2037"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应用服务器主机（云端）</w:t>
            </w:r>
          </w:p>
        </w:tc>
        <w:tc>
          <w:tcPr>
            <w:tcW w:w="136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应用服务器</w:t>
            </w:r>
          </w:p>
        </w:tc>
        <w:tc>
          <w:tcPr>
            <w:tcW w:w="2938"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ascii="Tahoma" w:hAnsi="Tahoma" w:cs="Tahoma"/>
                <w:color w:val="000000"/>
                <w:kern w:val="0"/>
                <w:sz w:val="22"/>
                <w:szCs w:val="22"/>
              </w:rPr>
              <w:t>4</w:t>
            </w:r>
            <w:r>
              <w:rPr>
                <w:rFonts w:hint="eastAsia" w:ascii="Tahoma" w:hAnsi="Tahoma" w:cs="Tahoma"/>
                <w:color w:val="000000"/>
                <w:kern w:val="0"/>
                <w:sz w:val="22"/>
                <w:szCs w:val="22"/>
              </w:rPr>
              <w:t>C</w:t>
            </w:r>
            <w:r>
              <w:rPr>
                <w:rFonts w:ascii="Tahoma" w:hAnsi="Tahoma" w:cs="Tahoma"/>
                <w:color w:val="000000"/>
                <w:kern w:val="0"/>
                <w:sz w:val="22"/>
                <w:szCs w:val="22"/>
              </w:rPr>
              <w:t>16</w:t>
            </w:r>
            <w:r>
              <w:rPr>
                <w:rFonts w:hint="eastAsia" w:ascii="Tahoma" w:hAnsi="Tahoma" w:cs="Tahoma"/>
                <w:color w:val="000000"/>
                <w:kern w:val="0"/>
                <w:sz w:val="22"/>
                <w:szCs w:val="22"/>
              </w:rPr>
              <w:t>G，系统盘1</w:t>
            </w:r>
            <w:r>
              <w:rPr>
                <w:rFonts w:ascii="Tahoma" w:hAnsi="Tahoma" w:cs="Tahoma"/>
                <w:color w:val="000000"/>
                <w:kern w:val="0"/>
                <w:sz w:val="22"/>
                <w:szCs w:val="22"/>
              </w:rPr>
              <w:t>00</w:t>
            </w:r>
            <w:r>
              <w:rPr>
                <w:rFonts w:hint="eastAsia" w:ascii="Tahoma" w:hAnsi="Tahoma" w:cs="Tahoma"/>
                <w:color w:val="000000"/>
                <w:kern w:val="0"/>
                <w:sz w:val="22"/>
                <w:szCs w:val="22"/>
              </w:rPr>
              <w:t>G、数据盘2</w:t>
            </w:r>
            <w:r>
              <w:rPr>
                <w:rFonts w:ascii="Tahoma" w:hAnsi="Tahoma" w:cs="Tahoma"/>
                <w:color w:val="000000"/>
                <w:kern w:val="0"/>
                <w:sz w:val="22"/>
                <w:szCs w:val="22"/>
              </w:rPr>
              <w:t>00</w:t>
            </w:r>
            <w:r>
              <w:rPr>
                <w:rFonts w:hint="eastAsia" w:ascii="Tahoma" w:hAnsi="Tahoma" w:cs="Tahoma"/>
                <w:color w:val="000000"/>
                <w:kern w:val="0"/>
                <w:sz w:val="22"/>
                <w:szCs w:val="22"/>
              </w:rPr>
              <w:t>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2</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台</w:t>
            </w:r>
          </w:p>
        </w:tc>
      </w:tr>
      <w:tr>
        <w:tblPrEx>
          <w:tblCellMar>
            <w:top w:w="0" w:type="dxa"/>
            <w:left w:w="108" w:type="dxa"/>
            <w:bottom w:w="0" w:type="dxa"/>
            <w:right w:w="108" w:type="dxa"/>
          </w:tblCellMar>
        </w:tblPrEx>
        <w:trPr>
          <w:trHeight w:val="113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3</w:t>
            </w:r>
          </w:p>
        </w:tc>
        <w:tc>
          <w:tcPr>
            <w:tcW w:w="2037"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数据库服务器主机（云端）</w:t>
            </w:r>
          </w:p>
        </w:tc>
        <w:tc>
          <w:tcPr>
            <w:tcW w:w="136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数据库服务器</w:t>
            </w:r>
          </w:p>
        </w:tc>
        <w:tc>
          <w:tcPr>
            <w:tcW w:w="2938"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8C</w:t>
            </w:r>
            <w:r>
              <w:rPr>
                <w:rFonts w:ascii="Tahoma" w:hAnsi="Tahoma" w:cs="Tahoma"/>
                <w:color w:val="000000"/>
                <w:kern w:val="0"/>
                <w:sz w:val="22"/>
                <w:szCs w:val="22"/>
              </w:rPr>
              <w:t>32</w:t>
            </w:r>
            <w:r>
              <w:rPr>
                <w:rFonts w:hint="eastAsia" w:ascii="Tahoma" w:hAnsi="Tahoma" w:cs="Tahoma"/>
                <w:color w:val="000000"/>
                <w:kern w:val="0"/>
                <w:sz w:val="22"/>
                <w:szCs w:val="22"/>
              </w:rPr>
              <w:t>G，系统盘1</w:t>
            </w:r>
            <w:r>
              <w:rPr>
                <w:rFonts w:ascii="Tahoma" w:hAnsi="Tahoma" w:cs="Tahoma"/>
                <w:color w:val="000000"/>
                <w:kern w:val="0"/>
                <w:sz w:val="22"/>
                <w:szCs w:val="22"/>
              </w:rPr>
              <w:t>00</w:t>
            </w:r>
            <w:r>
              <w:rPr>
                <w:rFonts w:hint="eastAsia" w:ascii="Tahoma" w:hAnsi="Tahoma" w:cs="Tahoma"/>
                <w:color w:val="000000"/>
                <w:kern w:val="0"/>
                <w:sz w:val="22"/>
                <w:szCs w:val="22"/>
              </w:rPr>
              <w:t>G、数据盘</w:t>
            </w:r>
            <w:r>
              <w:rPr>
                <w:rFonts w:ascii="Tahoma" w:hAnsi="Tahoma" w:cs="Tahoma"/>
                <w:color w:val="000000"/>
                <w:kern w:val="0"/>
                <w:sz w:val="22"/>
                <w:szCs w:val="22"/>
              </w:rPr>
              <w:t>500</w:t>
            </w:r>
            <w:r>
              <w:rPr>
                <w:rFonts w:hint="eastAsia" w:ascii="Tahoma" w:hAnsi="Tahoma" w:cs="Tahoma"/>
                <w:color w:val="000000"/>
                <w:kern w:val="0"/>
                <w:sz w:val="22"/>
                <w:szCs w:val="22"/>
              </w:rPr>
              <w:t>G</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ascii="Tahoma" w:hAnsi="Tahoma" w:cs="Tahoma"/>
                <w:color w:val="000000"/>
                <w:kern w:val="0"/>
                <w:sz w:val="22"/>
                <w:szCs w:val="22"/>
              </w:rPr>
              <w:t>2</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台</w:t>
            </w:r>
          </w:p>
        </w:tc>
      </w:tr>
      <w:tr>
        <w:tblPrEx>
          <w:tblCellMar>
            <w:top w:w="0" w:type="dxa"/>
            <w:left w:w="108" w:type="dxa"/>
            <w:bottom w:w="0" w:type="dxa"/>
            <w:right w:w="108" w:type="dxa"/>
          </w:tblCellMar>
        </w:tblPrEx>
        <w:trPr>
          <w:trHeight w:val="113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4</w:t>
            </w:r>
          </w:p>
        </w:tc>
        <w:tc>
          <w:tcPr>
            <w:tcW w:w="2037"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日志服务器主机（云端）</w:t>
            </w:r>
          </w:p>
        </w:tc>
        <w:tc>
          <w:tcPr>
            <w:tcW w:w="136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日志服务器</w:t>
            </w:r>
          </w:p>
        </w:tc>
        <w:tc>
          <w:tcPr>
            <w:tcW w:w="2938"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ascii="Tahoma" w:hAnsi="Tahoma" w:cs="Tahoma"/>
                <w:color w:val="000000"/>
                <w:kern w:val="0"/>
                <w:sz w:val="22"/>
                <w:szCs w:val="22"/>
              </w:rPr>
              <w:t>4</w:t>
            </w:r>
            <w:r>
              <w:rPr>
                <w:rFonts w:hint="eastAsia" w:ascii="Tahoma" w:hAnsi="Tahoma" w:cs="Tahoma"/>
                <w:color w:val="000000"/>
                <w:kern w:val="0"/>
                <w:sz w:val="22"/>
                <w:szCs w:val="22"/>
              </w:rPr>
              <w:t>C</w:t>
            </w:r>
            <w:r>
              <w:rPr>
                <w:rFonts w:ascii="Tahoma" w:hAnsi="Tahoma" w:cs="Tahoma"/>
                <w:color w:val="000000"/>
                <w:kern w:val="0"/>
                <w:sz w:val="22"/>
                <w:szCs w:val="22"/>
              </w:rPr>
              <w:t>16</w:t>
            </w:r>
            <w:r>
              <w:rPr>
                <w:rFonts w:hint="eastAsia" w:ascii="Tahoma" w:hAnsi="Tahoma" w:cs="Tahoma"/>
                <w:color w:val="000000"/>
                <w:kern w:val="0"/>
                <w:sz w:val="22"/>
                <w:szCs w:val="22"/>
              </w:rPr>
              <w:t>G，系统盘1</w:t>
            </w:r>
            <w:r>
              <w:rPr>
                <w:rFonts w:ascii="Tahoma" w:hAnsi="Tahoma" w:cs="Tahoma"/>
                <w:color w:val="000000"/>
                <w:kern w:val="0"/>
                <w:sz w:val="22"/>
                <w:szCs w:val="22"/>
              </w:rPr>
              <w:t>00</w:t>
            </w:r>
            <w:r>
              <w:rPr>
                <w:rFonts w:hint="eastAsia" w:ascii="Tahoma" w:hAnsi="Tahoma" w:cs="Tahoma"/>
                <w:color w:val="000000"/>
                <w:kern w:val="0"/>
                <w:sz w:val="22"/>
                <w:szCs w:val="22"/>
              </w:rPr>
              <w:t>G、数据盘</w:t>
            </w:r>
            <w:r>
              <w:rPr>
                <w:rFonts w:ascii="Tahoma" w:hAnsi="Tahoma" w:cs="Tahoma"/>
                <w:color w:val="000000"/>
                <w:kern w:val="0"/>
                <w:sz w:val="22"/>
                <w:szCs w:val="22"/>
              </w:rPr>
              <w:t>1</w:t>
            </w:r>
            <w:r>
              <w:rPr>
                <w:rFonts w:hint="eastAsia" w:ascii="Tahoma" w:hAnsi="Tahoma" w:cs="Tahoma"/>
                <w:color w:val="000000"/>
                <w:kern w:val="0"/>
                <w:sz w:val="22"/>
                <w:szCs w:val="22"/>
              </w:rPr>
              <w:t>T</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1</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台</w:t>
            </w:r>
          </w:p>
        </w:tc>
      </w:tr>
      <w:tr>
        <w:tblPrEx>
          <w:tblCellMar>
            <w:top w:w="0" w:type="dxa"/>
            <w:left w:w="108" w:type="dxa"/>
            <w:bottom w:w="0" w:type="dxa"/>
            <w:right w:w="108" w:type="dxa"/>
          </w:tblCellMar>
        </w:tblPrEx>
        <w:trPr>
          <w:trHeight w:val="113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5</w:t>
            </w:r>
          </w:p>
        </w:tc>
        <w:tc>
          <w:tcPr>
            <w:tcW w:w="2037"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超融合一体机</w:t>
            </w:r>
          </w:p>
        </w:tc>
        <w:tc>
          <w:tcPr>
            <w:tcW w:w="136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一体机</w:t>
            </w:r>
          </w:p>
        </w:tc>
        <w:tc>
          <w:tcPr>
            <w:tcW w:w="2938"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单节点（</w:t>
            </w:r>
            <w:r>
              <w:rPr>
                <w:rFonts w:ascii="Tahoma" w:hAnsi="Tahoma" w:cs="Tahoma"/>
                <w:color w:val="000000"/>
                <w:kern w:val="0"/>
                <w:sz w:val="22"/>
                <w:szCs w:val="22"/>
              </w:rPr>
              <w:t>CPU：16C*2</w:t>
            </w:r>
            <w:r>
              <w:rPr>
                <w:rFonts w:hint="eastAsia" w:ascii="Tahoma" w:hAnsi="Tahoma" w:cs="Tahoma"/>
                <w:color w:val="000000"/>
                <w:kern w:val="0"/>
                <w:sz w:val="22"/>
                <w:szCs w:val="22"/>
              </w:rPr>
              <w:t>，内存：</w:t>
            </w:r>
            <w:r>
              <w:rPr>
                <w:rFonts w:ascii="Tahoma" w:hAnsi="Tahoma" w:cs="Tahoma"/>
                <w:color w:val="000000"/>
                <w:kern w:val="0"/>
                <w:sz w:val="22"/>
                <w:szCs w:val="22"/>
              </w:rPr>
              <w:t>512G</w:t>
            </w:r>
          </w:p>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缓存：</w:t>
            </w:r>
            <w:r>
              <w:rPr>
                <w:rFonts w:ascii="Tahoma" w:hAnsi="Tahoma" w:cs="Tahoma"/>
                <w:color w:val="000000"/>
                <w:kern w:val="0"/>
                <w:sz w:val="22"/>
                <w:szCs w:val="22"/>
              </w:rPr>
              <w:t>1.92T*2</w:t>
            </w:r>
            <w:r>
              <w:rPr>
                <w:rFonts w:hint="eastAsia" w:ascii="Tahoma" w:hAnsi="Tahoma" w:cs="Tahoma"/>
                <w:color w:val="000000"/>
                <w:kern w:val="0"/>
                <w:sz w:val="22"/>
                <w:szCs w:val="22"/>
              </w:rPr>
              <w:t>，数据：</w:t>
            </w:r>
            <w:r>
              <w:rPr>
                <w:rFonts w:ascii="Tahoma" w:hAnsi="Tahoma" w:cs="Tahoma"/>
                <w:color w:val="000000"/>
                <w:kern w:val="0"/>
                <w:sz w:val="22"/>
                <w:szCs w:val="22"/>
              </w:rPr>
              <w:t>8T*6</w:t>
            </w:r>
          </w:p>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含麒麟操作系统授权），不少于3节点</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1</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套</w:t>
            </w:r>
          </w:p>
        </w:tc>
      </w:tr>
      <w:tr>
        <w:tblPrEx>
          <w:tblCellMar>
            <w:top w:w="0" w:type="dxa"/>
            <w:left w:w="108" w:type="dxa"/>
            <w:bottom w:w="0" w:type="dxa"/>
            <w:right w:w="108" w:type="dxa"/>
          </w:tblCellMar>
        </w:tblPrEx>
        <w:trPr>
          <w:trHeight w:val="113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6</w:t>
            </w:r>
          </w:p>
        </w:tc>
        <w:tc>
          <w:tcPr>
            <w:tcW w:w="2037"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云专线</w:t>
            </w:r>
          </w:p>
        </w:tc>
        <w:tc>
          <w:tcPr>
            <w:tcW w:w="136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专线</w:t>
            </w:r>
          </w:p>
        </w:tc>
        <w:tc>
          <w:tcPr>
            <w:tcW w:w="2938"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2</w:t>
            </w:r>
            <w:r>
              <w:rPr>
                <w:rFonts w:ascii="Tahoma" w:hAnsi="Tahoma" w:cs="Tahoma"/>
                <w:color w:val="000000"/>
                <w:kern w:val="0"/>
                <w:sz w:val="22"/>
                <w:szCs w:val="22"/>
              </w:rPr>
              <w:t>00</w:t>
            </w:r>
            <w:r>
              <w:rPr>
                <w:rFonts w:hint="eastAsia" w:ascii="Tahoma" w:hAnsi="Tahoma" w:cs="Tahoma"/>
                <w:color w:val="000000"/>
                <w:kern w:val="0"/>
                <w:sz w:val="22"/>
                <w:szCs w:val="22"/>
              </w:rPr>
              <w:t>M</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2</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根</w:t>
            </w:r>
          </w:p>
        </w:tc>
      </w:tr>
    </w:tbl>
    <w:p>
      <w:pPr>
        <w:ind w:firstLine="482"/>
        <w:rPr>
          <w:b/>
        </w:rPr>
      </w:pPr>
      <w:r>
        <w:rPr>
          <w:rFonts w:hint="eastAsia"/>
          <w:b/>
        </w:rPr>
        <w:t>3、产品软件购置清单：</w:t>
      </w:r>
    </w:p>
    <w:tbl>
      <w:tblPr>
        <w:tblStyle w:val="8"/>
        <w:tblW w:w="8700" w:type="dxa"/>
        <w:jc w:val="center"/>
        <w:tblLayout w:type="autofit"/>
        <w:tblCellMar>
          <w:top w:w="0" w:type="dxa"/>
          <w:left w:w="108" w:type="dxa"/>
          <w:bottom w:w="0" w:type="dxa"/>
          <w:right w:w="108" w:type="dxa"/>
        </w:tblCellMar>
      </w:tblPr>
      <w:tblGrid>
        <w:gridCol w:w="658"/>
        <w:gridCol w:w="2162"/>
        <w:gridCol w:w="872"/>
        <w:gridCol w:w="3448"/>
        <w:gridCol w:w="851"/>
        <w:gridCol w:w="709"/>
      </w:tblGrid>
      <w:tr>
        <w:tblPrEx>
          <w:tblCellMar>
            <w:top w:w="0" w:type="dxa"/>
            <w:left w:w="108" w:type="dxa"/>
            <w:bottom w:w="0" w:type="dxa"/>
            <w:right w:w="108" w:type="dxa"/>
          </w:tblCellMar>
        </w:tblPrEx>
        <w:trPr>
          <w:trHeight w:val="268"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3F8FC"/>
            <w:noWrap/>
            <w:vAlign w:val="center"/>
          </w:tcPr>
          <w:p>
            <w:pPr>
              <w:widowControl/>
              <w:spacing w:line="240" w:lineRule="auto"/>
              <w:ind w:firstLine="0" w:firstLineChars="0"/>
              <w:jc w:val="center"/>
              <w:rPr>
                <w:rFonts w:cs="宋体"/>
                <w:b/>
                <w:color w:val="000000"/>
                <w:kern w:val="0"/>
                <w:sz w:val="22"/>
                <w:szCs w:val="22"/>
              </w:rPr>
            </w:pPr>
            <w:r>
              <w:rPr>
                <w:rFonts w:hint="eastAsia" w:cs="宋体"/>
                <w:b/>
                <w:color w:val="000000"/>
                <w:kern w:val="0"/>
                <w:sz w:val="22"/>
                <w:szCs w:val="22"/>
              </w:rPr>
              <w:t>序号</w:t>
            </w:r>
          </w:p>
        </w:tc>
        <w:tc>
          <w:tcPr>
            <w:tcW w:w="0" w:type="auto"/>
            <w:tcBorders>
              <w:top w:val="single" w:color="auto" w:sz="4" w:space="0"/>
              <w:left w:val="nil"/>
              <w:bottom w:val="single" w:color="auto" w:sz="4" w:space="0"/>
              <w:right w:val="single" w:color="auto" w:sz="4" w:space="0"/>
            </w:tcBorders>
            <w:shd w:val="clear" w:color="000000" w:fill="F3F8FC"/>
            <w:noWrap/>
            <w:vAlign w:val="center"/>
          </w:tcPr>
          <w:p>
            <w:pPr>
              <w:widowControl/>
              <w:spacing w:line="240" w:lineRule="auto"/>
              <w:ind w:firstLine="0" w:firstLineChars="0"/>
              <w:jc w:val="center"/>
              <w:rPr>
                <w:rFonts w:cs="宋体"/>
                <w:b/>
                <w:color w:val="000000"/>
                <w:kern w:val="0"/>
                <w:sz w:val="22"/>
                <w:szCs w:val="22"/>
              </w:rPr>
            </w:pPr>
            <w:r>
              <w:rPr>
                <w:rFonts w:hint="eastAsia" w:cs="宋体"/>
                <w:b/>
                <w:color w:val="000000"/>
                <w:kern w:val="0"/>
                <w:sz w:val="22"/>
                <w:szCs w:val="22"/>
              </w:rPr>
              <w:t>名称</w:t>
            </w:r>
          </w:p>
        </w:tc>
        <w:tc>
          <w:tcPr>
            <w:tcW w:w="0" w:type="auto"/>
            <w:tcBorders>
              <w:top w:val="single" w:color="auto" w:sz="4" w:space="0"/>
              <w:left w:val="nil"/>
              <w:bottom w:val="single" w:color="auto" w:sz="4" w:space="0"/>
              <w:right w:val="single" w:color="auto" w:sz="4" w:space="0"/>
            </w:tcBorders>
            <w:shd w:val="clear" w:color="000000" w:fill="F3F8FC"/>
            <w:noWrap/>
            <w:vAlign w:val="center"/>
          </w:tcPr>
          <w:p>
            <w:pPr>
              <w:widowControl/>
              <w:spacing w:line="240" w:lineRule="auto"/>
              <w:ind w:firstLine="0" w:firstLineChars="0"/>
              <w:jc w:val="center"/>
              <w:rPr>
                <w:rFonts w:cs="宋体"/>
                <w:b/>
                <w:color w:val="000000"/>
                <w:kern w:val="0"/>
                <w:sz w:val="22"/>
                <w:szCs w:val="22"/>
              </w:rPr>
            </w:pPr>
            <w:r>
              <w:rPr>
                <w:rFonts w:cs="宋体"/>
                <w:b/>
                <w:color w:val="000000"/>
                <w:kern w:val="0"/>
                <w:sz w:val="22"/>
                <w:szCs w:val="22"/>
              </w:rPr>
              <w:t>类别</w:t>
            </w:r>
          </w:p>
        </w:tc>
        <w:tc>
          <w:tcPr>
            <w:tcW w:w="3448" w:type="dxa"/>
            <w:tcBorders>
              <w:top w:val="single" w:color="auto" w:sz="4" w:space="0"/>
              <w:left w:val="nil"/>
              <w:bottom w:val="single" w:color="auto" w:sz="4" w:space="0"/>
              <w:right w:val="single" w:color="auto" w:sz="4" w:space="0"/>
            </w:tcBorders>
            <w:shd w:val="clear" w:color="000000" w:fill="F3F8FC"/>
            <w:vAlign w:val="center"/>
          </w:tcPr>
          <w:p>
            <w:pPr>
              <w:widowControl/>
              <w:spacing w:line="240" w:lineRule="auto"/>
              <w:ind w:firstLine="0" w:firstLineChars="0"/>
              <w:jc w:val="center"/>
              <w:rPr>
                <w:rFonts w:cs="宋体"/>
                <w:b/>
                <w:color w:val="000000"/>
                <w:kern w:val="0"/>
                <w:sz w:val="22"/>
                <w:szCs w:val="22"/>
              </w:rPr>
            </w:pPr>
            <w:r>
              <w:rPr>
                <w:rFonts w:cs="宋体"/>
                <w:b/>
                <w:color w:val="000000"/>
                <w:kern w:val="0"/>
                <w:sz w:val="22"/>
                <w:szCs w:val="22"/>
              </w:rPr>
              <w:t>配置要求</w:t>
            </w:r>
          </w:p>
        </w:tc>
        <w:tc>
          <w:tcPr>
            <w:tcW w:w="851" w:type="dxa"/>
            <w:tcBorders>
              <w:top w:val="single" w:color="auto" w:sz="4" w:space="0"/>
              <w:left w:val="nil"/>
              <w:bottom w:val="single" w:color="auto" w:sz="4" w:space="0"/>
              <w:right w:val="single" w:color="auto" w:sz="4" w:space="0"/>
            </w:tcBorders>
            <w:shd w:val="clear" w:color="000000" w:fill="F3F8FC"/>
            <w:vAlign w:val="center"/>
          </w:tcPr>
          <w:p>
            <w:pPr>
              <w:widowControl/>
              <w:spacing w:line="240" w:lineRule="auto"/>
              <w:ind w:firstLine="0" w:firstLineChars="0"/>
              <w:jc w:val="center"/>
              <w:rPr>
                <w:rFonts w:cs="宋体"/>
                <w:b/>
                <w:color w:val="000000"/>
                <w:kern w:val="0"/>
                <w:sz w:val="22"/>
                <w:szCs w:val="22"/>
              </w:rPr>
            </w:pPr>
            <w:r>
              <w:rPr>
                <w:rFonts w:cs="宋体"/>
                <w:b/>
                <w:color w:val="000000"/>
                <w:kern w:val="0"/>
                <w:sz w:val="22"/>
                <w:szCs w:val="22"/>
              </w:rPr>
              <w:t>数量</w:t>
            </w:r>
          </w:p>
        </w:tc>
        <w:tc>
          <w:tcPr>
            <w:tcW w:w="709" w:type="dxa"/>
            <w:tcBorders>
              <w:top w:val="single" w:color="auto" w:sz="4" w:space="0"/>
              <w:left w:val="nil"/>
              <w:bottom w:val="single" w:color="auto" w:sz="4" w:space="0"/>
              <w:right w:val="single" w:color="auto" w:sz="4" w:space="0"/>
            </w:tcBorders>
            <w:shd w:val="clear" w:color="000000" w:fill="F3F8FC"/>
            <w:vAlign w:val="center"/>
          </w:tcPr>
          <w:p>
            <w:pPr>
              <w:widowControl/>
              <w:spacing w:line="240" w:lineRule="auto"/>
              <w:ind w:firstLine="0" w:firstLineChars="0"/>
              <w:jc w:val="center"/>
              <w:rPr>
                <w:rFonts w:cs="宋体"/>
                <w:b/>
                <w:color w:val="000000"/>
                <w:kern w:val="0"/>
                <w:sz w:val="22"/>
                <w:szCs w:val="22"/>
              </w:rPr>
            </w:pPr>
            <w:r>
              <w:rPr>
                <w:rFonts w:cs="宋体"/>
                <w:b/>
                <w:color w:val="000000"/>
                <w:kern w:val="0"/>
                <w:sz w:val="22"/>
                <w:szCs w:val="22"/>
              </w:rPr>
              <w:t>单位</w:t>
            </w:r>
          </w:p>
        </w:tc>
      </w:tr>
      <w:tr>
        <w:tblPrEx>
          <w:tblCellMar>
            <w:top w:w="0" w:type="dxa"/>
            <w:left w:w="108" w:type="dxa"/>
            <w:bottom w:w="0" w:type="dxa"/>
            <w:right w:w="108" w:type="dxa"/>
          </w:tblCellMar>
        </w:tblPrEx>
        <w:trPr>
          <w:trHeight w:val="113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ascii="Tahoma" w:hAnsi="Tahoma" w:cs="Tahoma"/>
                <w:color w:val="000000"/>
                <w:kern w:val="0"/>
                <w:sz w:val="22"/>
                <w:szCs w:val="22"/>
              </w:rPr>
              <w:t>1</w:t>
            </w:r>
          </w:p>
        </w:tc>
        <w:tc>
          <w:tcPr>
            <w:tcW w:w="0" w:type="auto"/>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应用服务器和数据库服务器操作系统</w:t>
            </w:r>
          </w:p>
        </w:tc>
        <w:tc>
          <w:tcPr>
            <w:tcW w:w="0" w:type="auto"/>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操作系统</w:t>
            </w:r>
          </w:p>
        </w:tc>
        <w:tc>
          <w:tcPr>
            <w:tcW w:w="3448"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lang w:eastAsia="zh-CN"/>
              </w:rPr>
              <w:t>性能不低于</w:t>
            </w:r>
            <w:r>
              <w:rPr>
                <w:rFonts w:hint="eastAsia"/>
              </w:rPr>
              <w:t>Windows</w:t>
            </w:r>
            <w:r>
              <w:t xml:space="preserve"> </w:t>
            </w:r>
            <w:r>
              <w:rPr>
                <w:rFonts w:hint="eastAsia"/>
              </w:rPr>
              <w:t>Server</w:t>
            </w:r>
            <w:r>
              <w:t xml:space="preserve"> 2019 </w:t>
            </w:r>
            <w:r>
              <w:rPr>
                <w:rFonts w:hint="eastAsia"/>
              </w:rPr>
              <w:t>Standard</w:t>
            </w:r>
            <w:r>
              <w:rPr>
                <w:rFonts w:hint="eastAsia"/>
                <w:lang w:val="zh-CN"/>
              </w:rPr>
              <w:t>或以上版本</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ascii="Tahoma" w:hAnsi="Tahoma" w:cs="Tahoma"/>
                <w:color w:val="000000"/>
                <w:kern w:val="0"/>
                <w:sz w:val="22"/>
                <w:szCs w:val="22"/>
              </w:rPr>
              <w:t>6</w:t>
            </w:r>
          </w:p>
        </w:tc>
        <w:tc>
          <w:tcPr>
            <w:tcW w:w="709"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套</w:t>
            </w:r>
          </w:p>
        </w:tc>
      </w:tr>
      <w:tr>
        <w:tblPrEx>
          <w:tblCellMar>
            <w:top w:w="0" w:type="dxa"/>
            <w:left w:w="108" w:type="dxa"/>
            <w:bottom w:w="0" w:type="dxa"/>
            <w:right w:w="108" w:type="dxa"/>
          </w:tblCellMar>
        </w:tblPrEx>
        <w:trPr>
          <w:trHeight w:val="113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2</w:t>
            </w:r>
          </w:p>
        </w:tc>
        <w:tc>
          <w:tcPr>
            <w:tcW w:w="0" w:type="auto"/>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数据库</w:t>
            </w:r>
          </w:p>
        </w:tc>
        <w:tc>
          <w:tcPr>
            <w:tcW w:w="0" w:type="auto"/>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数据库</w:t>
            </w:r>
          </w:p>
        </w:tc>
        <w:tc>
          <w:tcPr>
            <w:tcW w:w="3448"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pPr>
            <w:r>
              <w:rPr>
                <w:rFonts w:hint="eastAsia"/>
                <w:lang w:eastAsia="zh-CN"/>
              </w:rPr>
              <w:t>性能不低于</w:t>
            </w:r>
            <w:bookmarkStart w:id="68" w:name="_GoBack"/>
            <w:bookmarkEnd w:id="68"/>
            <w:r>
              <w:rPr>
                <w:rFonts w:hint="eastAsia"/>
              </w:rPr>
              <w:t>SQL</w:t>
            </w:r>
            <w:r>
              <w:t xml:space="preserve"> </w:t>
            </w:r>
            <w:r>
              <w:rPr>
                <w:rFonts w:hint="eastAsia"/>
              </w:rPr>
              <w:t>Sever</w:t>
            </w:r>
            <w:r>
              <w:t xml:space="preserve"> 2019 </w:t>
            </w:r>
            <w:r>
              <w:rPr>
                <w:rFonts w:hint="eastAsia"/>
              </w:rPr>
              <w:t>Enterprise</w:t>
            </w:r>
            <w:r>
              <w:t xml:space="preserve"> </w:t>
            </w:r>
            <w:r>
              <w:rPr>
                <w:rFonts w:hint="eastAsia"/>
                <w:lang w:val="zh-CN"/>
              </w:rPr>
              <w:t>或以上版本</w:t>
            </w:r>
          </w:p>
        </w:tc>
        <w:tc>
          <w:tcPr>
            <w:tcW w:w="851"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ind w:firstLine="0" w:firstLineChars="0"/>
              <w:jc w:val="center"/>
              <w:rPr>
                <w:rFonts w:ascii="Tahoma" w:hAnsi="Tahoma" w:cs="Tahoma"/>
                <w:color w:val="000000"/>
                <w:kern w:val="0"/>
                <w:sz w:val="22"/>
                <w:szCs w:val="22"/>
              </w:rPr>
            </w:pPr>
            <w:r>
              <w:rPr>
                <w:rFonts w:hint="eastAsia" w:ascii="Tahoma" w:hAnsi="Tahoma" w:cs="Tahoma"/>
                <w:color w:val="000000"/>
                <w:kern w:val="0"/>
                <w:sz w:val="22"/>
                <w:szCs w:val="22"/>
              </w:rPr>
              <w:t>套</w:t>
            </w:r>
          </w:p>
        </w:tc>
      </w:tr>
    </w:tbl>
    <w:p>
      <w:pPr>
        <w:ind w:firstLine="0" w:firstLineChars="0"/>
        <w:rPr>
          <w:b/>
        </w:rPr>
      </w:pPr>
    </w:p>
    <w:p>
      <w:pPr>
        <w:ind w:firstLine="482"/>
        <w:rPr>
          <w:b/>
        </w:rPr>
      </w:pPr>
      <w:r>
        <w:rPr>
          <w:rFonts w:hint="eastAsia"/>
          <w:b/>
        </w:rPr>
        <w:t>4、安全产品购置清单：</w:t>
      </w:r>
    </w:p>
    <w:tbl>
      <w:tblPr>
        <w:tblStyle w:val="8"/>
        <w:tblW w:w="5000" w:type="pct"/>
        <w:tblInd w:w="0" w:type="dxa"/>
        <w:tblLayout w:type="autofit"/>
        <w:tblCellMar>
          <w:top w:w="0" w:type="dxa"/>
          <w:left w:w="0" w:type="dxa"/>
          <w:bottom w:w="0" w:type="dxa"/>
          <w:right w:w="0" w:type="dxa"/>
        </w:tblCellMar>
      </w:tblPr>
      <w:tblGrid>
        <w:gridCol w:w="538"/>
        <w:gridCol w:w="1956"/>
        <w:gridCol w:w="1490"/>
        <w:gridCol w:w="2551"/>
        <w:gridCol w:w="850"/>
        <w:gridCol w:w="947"/>
      </w:tblGrid>
      <w:tr>
        <w:tblPrEx>
          <w:tblCellMar>
            <w:top w:w="0" w:type="dxa"/>
            <w:left w:w="0" w:type="dxa"/>
            <w:bottom w:w="0" w:type="dxa"/>
            <w:right w:w="0" w:type="dxa"/>
          </w:tblCellMar>
        </w:tblPrEx>
        <w:trPr>
          <w:trHeight w:val="270" w:hRule="atLeast"/>
        </w:trPr>
        <w:tc>
          <w:tcPr>
            <w:tcW w:w="323"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b/>
                <w:bCs/>
                <w:color w:val="000000"/>
                <w:sz w:val="22"/>
                <w:szCs w:val="22"/>
              </w:rPr>
            </w:pPr>
            <w:r>
              <w:rPr>
                <w:rFonts w:hint="eastAsia" w:cs="宋体"/>
                <w:b/>
                <w:bCs/>
                <w:color w:val="000000"/>
                <w:kern w:val="0"/>
                <w:sz w:val="22"/>
                <w:szCs w:val="22"/>
              </w:rPr>
              <w:t>序号</w:t>
            </w:r>
          </w:p>
        </w:tc>
        <w:tc>
          <w:tcPr>
            <w:tcW w:w="117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b/>
                <w:bCs/>
                <w:color w:val="000000"/>
                <w:sz w:val="22"/>
                <w:szCs w:val="22"/>
              </w:rPr>
            </w:pPr>
            <w:r>
              <w:rPr>
                <w:rFonts w:hint="eastAsia" w:cs="宋体"/>
                <w:b/>
                <w:bCs/>
                <w:color w:val="000000"/>
                <w:kern w:val="0"/>
                <w:sz w:val="22"/>
                <w:szCs w:val="22"/>
              </w:rPr>
              <w:t>名称</w:t>
            </w:r>
          </w:p>
        </w:tc>
        <w:tc>
          <w:tcPr>
            <w:tcW w:w="89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b/>
                <w:bCs/>
                <w:color w:val="000000"/>
                <w:sz w:val="22"/>
                <w:szCs w:val="22"/>
              </w:rPr>
            </w:pPr>
            <w:r>
              <w:rPr>
                <w:rFonts w:hint="eastAsia" w:cs="宋体"/>
                <w:b/>
                <w:bCs/>
                <w:color w:val="000000"/>
                <w:kern w:val="0"/>
                <w:sz w:val="22"/>
                <w:szCs w:val="22"/>
              </w:rPr>
              <w:t>类别</w:t>
            </w:r>
          </w:p>
        </w:tc>
        <w:tc>
          <w:tcPr>
            <w:tcW w:w="153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b/>
                <w:bCs/>
                <w:color w:val="000000"/>
                <w:sz w:val="22"/>
                <w:szCs w:val="22"/>
              </w:rPr>
            </w:pPr>
            <w:r>
              <w:rPr>
                <w:rFonts w:hint="eastAsia" w:cs="宋体"/>
                <w:b/>
                <w:bCs/>
                <w:color w:val="000000"/>
                <w:kern w:val="0"/>
                <w:sz w:val="22"/>
                <w:szCs w:val="22"/>
              </w:rPr>
              <w:t>功能说明/配置要求</w:t>
            </w:r>
          </w:p>
        </w:tc>
        <w:tc>
          <w:tcPr>
            <w:tcW w:w="510" w:type="pc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b/>
                <w:bCs/>
                <w:color w:val="000000"/>
                <w:sz w:val="22"/>
                <w:szCs w:val="22"/>
              </w:rPr>
            </w:pPr>
            <w:r>
              <w:rPr>
                <w:rFonts w:hint="eastAsia" w:cs="宋体"/>
                <w:b/>
                <w:bCs/>
                <w:color w:val="000000"/>
                <w:kern w:val="0"/>
                <w:sz w:val="22"/>
                <w:szCs w:val="22"/>
              </w:rPr>
              <w:t>数量</w:t>
            </w:r>
          </w:p>
        </w:tc>
        <w:tc>
          <w:tcPr>
            <w:tcW w:w="568" w:type="pct"/>
            <w:tcBorders>
              <w:top w:val="single" w:color="auto" w:sz="4" w:space="0"/>
              <w:left w:val="single" w:color="000000" w:sz="4" w:space="0"/>
              <w:bottom w:val="single" w:color="000000" w:sz="4" w:space="0"/>
              <w:right w:val="single" w:color="auto" w:sz="4" w:space="0"/>
            </w:tcBorders>
            <w:vAlign w:val="center"/>
          </w:tcPr>
          <w:p>
            <w:pPr>
              <w:widowControl/>
              <w:spacing w:line="240" w:lineRule="auto"/>
              <w:ind w:firstLine="0" w:firstLineChars="0"/>
              <w:jc w:val="center"/>
              <w:textAlignment w:val="center"/>
              <w:rPr>
                <w:rFonts w:cs="宋体"/>
                <w:b/>
                <w:bCs/>
                <w:color w:val="000000"/>
                <w:kern w:val="0"/>
                <w:sz w:val="22"/>
                <w:szCs w:val="22"/>
              </w:rPr>
            </w:pPr>
            <w:r>
              <w:rPr>
                <w:rFonts w:hint="eastAsia" w:cs="宋体"/>
                <w:b/>
                <w:bCs/>
                <w:color w:val="000000"/>
                <w:kern w:val="0"/>
                <w:sz w:val="22"/>
                <w:szCs w:val="22"/>
              </w:rPr>
              <w:t>单位</w:t>
            </w:r>
          </w:p>
        </w:tc>
      </w:tr>
      <w:tr>
        <w:tblPrEx>
          <w:tblCellMar>
            <w:top w:w="0" w:type="dxa"/>
            <w:left w:w="0" w:type="dxa"/>
            <w:bottom w:w="0" w:type="dxa"/>
            <w:right w:w="0" w:type="dxa"/>
          </w:tblCellMar>
        </w:tblPrEx>
        <w:trPr>
          <w:trHeight w:val="825" w:hRule="atLeast"/>
        </w:trPr>
        <w:tc>
          <w:tcPr>
            <w:tcW w:w="32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cs="宋体"/>
                <w:color w:val="000000"/>
                <w:sz w:val="22"/>
                <w:szCs w:val="22"/>
              </w:rPr>
            </w:pPr>
            <w:r>
              <w:rPr>
                <w:rFonts w:hint="eastAsia" w:cs="宋体"/>
                <w:color w:val="000000"/>
                <w:kern w:val="0"/>
                <w:sz w:val="22"/>
                <w:szCs w:val="22"/>
              </w:rPr>
              <w:t>1</w:t>
            </w: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0" w:firstLineChars="0"/>
              <w:jc w:val="center"/>
            </w:pPr>
            <w:r>
              <w:rPr>
                <w:rFonts w:hint="eastAsia"/>
              </w:rPr>
              <w:t>防火墙</w:t>
            </w:r>
            <w:r>
              <w:rPr>
                <w:rFonts w:hint="eastAsia" w:ascii="Tahoma" w:hAnsi="Tahoma" w:cs="Tahoma"/>
                <w:color w:val="000000"/>
                <w:kern w:val="0"/>
                <w:sz w:val="22"/>
                <w:szCs w:val="22"/>
              </w:rPr>
              <w:t>（云端）</w:t>
            </w:r>
          </w:p>
        </w:tc>
        <w:tc>
          <w:tcPr>
            <w:tcW w:w="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0" w:firstLineChars="0"/>
              <w:jc w:val="center"/>
            </w:pPr>
            <w:r>
              <w:rPr>
                <w:rFonts w:hint="eastAsia"/>
              </w:rPr>
              <w:t>安全</w:t>
            </w:r>
          </w:p>
        </w:tc>
        <w:tc>
          <w:tcPr>
            <w:tcW w:w="1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cs="宋体"/>
                <w:color w:val="000000"/>
                <w:sz w:val="22"/>
                <w:szCs w:val="22"/>
              </w:rPr>
            </w:pPr>
            <w:r>
              <w:rPr>
                <w:rFonts w:hint="eastAsia" w:cs="宋体"/>
                <w:color w:val="000000"/>
                <w:sz w:val="22"/>
                <w:szCs w:val="22"/>
              </w:rPr>
              <w:t>防护带宽</w:t>
            </w:r>
            <w:r>
              <w:rPr>
                <w:rFonts w:cs="宋体"/>
                <w:color w:val="000000"/>
                <w:sz w:val="22"/>
                <w:szCs w:val="22"/>
              </w:rPr>
              <w:t>100M</w:t>
            </w:r>
          </w:p>
        </w:tc>
        <w:tc>
          <w:tcPr>
            <w:tcW w:w="5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cs="宋体"/>
                <w:color w:val="000000"/>
                <w:sz w:val="22"/>
                <w:szCs w:val="22"/>
              </w:rPr>
            </w:pPr>
            <w:r>
              <w:rPr>
                <w:rFonts w:hint="eastAsia" w:cs="宋体"/>
                <w:color w:val="000000"/>
                <w:sz w:val="22"/>
                <w:szCs w:val="22"/>
              </w:rPr>
              <w:t>1</w:t>
            </w:r>
          </w:p>
        </w:tc>
        <w:tc>
          <w:tcPr>
            <w:tcW w:w="568" w:type="pct"/>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套</w:t>
            </w:r>
          </w:p>
        </w:tc>
      </w:tr>
      <w:tr>
        <w:tblPrEx>
          <w:tblCellMar>
            <w:top w:w="0" w:type="dxa"/>
            <w:left w:w="0" w:type="dxa"/>
            <w:bottom w:w="0" w:type="dxa"/>
            <w:right w:w="0" w:type="dxa"/>
          </w:tblCellMar>
        </w:tblPrEx>
        <w:trPr>
          <w:trHeight w:val="825" w:hRule="atLeast"/>
        </w:trPr>
        <w:tc>
          <w:tcPr>
            <w:tcW w:w="32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2</w:t>
            </w: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0" w:firstLineChars="0"/>
              <w:jc w:val="center"/>
            </w:pPr>
            <w:r>
              <w:rPr>
                <w:rFonts w:hint="eastAsia"/>
              </w:rPr>
              <w:t>数据库审计</w:t>
            </w:r>
            <w:r>
              <w:rPr>
                <w:rFonts w:hint="eastAsia" w:ascii="Tahoma" w:hAnsi="Tahoma" w:cs="Tahoma"/>
                <w:color w:val="000000"/>
                <w:kern w:val="0"/>
                <w:sz w:val="22"/>
                <w:szCs w:val="22"/>
              </w:rPr>
              <w:t>（云端）</w:t>
            </w:r>
          </w:p>
        </w:tc>
        <w:tc>
          <w:tcPr>
            <w:tcW w:w="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0" w:firstLineChars="0"/>
              <w:jc w:val="center"/>
            </w:pPr>
            <w:r>
              <w:rPr>
                <w:rFonts w:hint="eastAsia"/>
              </w:rPr>
              <w:t>安全</w:t>
            </w:r>
          </w:p>
        </w:tc>
        <w:tc>
          <w:tcPr>
            <w:tcW w:w="1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cs="宋体"/>
                <w:color w:val="000000"/>
                <w:sz w:val="22"/>
                <w:szCs w:val="22"/>
              </w:rPr>
            </w:pPr>
            <w:r>
              <w:rPr>
                <w:rFonts w:hint="eastAsia" w:cs="宋体"/>
                <w:color w:val="000000"/>
                <w:sz w:val="22"/>
                <w:szCs w:val="22"/>
              </w:rPr>
              <w:t>防护带宽</w:t>
            </w:r>
            <w:r>
              <w:rPr>
                <w:rFonts w:cs="宋体"/>
                <w:color w:val="000000"/>
                <w:sz w:val="22"/>
                <w:szCs w:val="22"/>
              </w:rPr>
              <w:t>100M</w:t>
            </w:r>
          </w:p>
        </w:tc>
        <w:tc>
          <w:tcPr>
            <w:tcW w:w="5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cs="宋体"/>
                <w:color w:val="000000"/>
                <w:sz w:val="22"/>
                <w:szCs w:val="22"/>
              </w:rPr>
            </w:pPr>
            <w:r>
              <w:rPr>
                <w:rFonts w:hint="eastAsia" w:cs="宋体"/>
                <w:color w:val="000000"/>
                <w:sz w:val="22"/>
                <w:szCs w:val="22"/>
              </w:rPr>
              <w:t>1</w:t>
            </w:r>
          </w:p>
        </w:tc>
        <w:tc>
          <w:tcPr>
            <w:tcW w:w="568" w:type="pct"/>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套</w:t>
            </w:r>
          </w:p>
        </w:tc>
      </w:tr>
      <w:tr>
        <w:tblPrEx>
          <w:tblCellMar>
            <w:top w:w="0" w:type="dxa"/>
            <w:left w:w="0" w:type="dxa"/>
            <w:bottom w:w="0" w:type="dxa"/>
            <w:right w:w="0" w:type="dxa"/>
          </w:tblCellMar>
        </w:tblPrEx>
        <w:trPr>
          <w:trHeight w:val="825" w:hRule="atLeast"/>
        </w:trPr>
        <w:tc>
          <w:tcPr>
            <w:tcW w:w="32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cs="宋体"/>
                <w:color w:val="000000"/>
                <w:kern w:val="0"/>
                <w:sz w:val="22"/>
                <w:szCs w:val="22"/>
              </w:rPr>
            </w:pPr>
            <w:r>
              <w:rPr>
                <w:rFonts w:cs="宋体"/>
                <w:color w:val="000000"/>
                <w:kern w:val="0"/>
                <w:sz w:val="22"/>
                <w:szCs w:val="22"/>
              </w:rPr>
              <w:t>3</w:t>
            </w: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0" w:firstLineChars="0"/>
              <w:jc w:val="center"/>
            </w:pPr>
            <w:r>
              <w:rPr>
                <w:rFonts w:hint="eastAsia"/>
              </w:rPr>
              <w:t>堡垒机</w:t>
            </w:r>
            <w:r>
              <w:rPr>
                <w:rFonts w:hint="eastAsia" w:ascii="Tahoma" w:hAnsi="Tahoma" w:cs="Tahoma"/>
                <w:color w:val="000000"/>
                <w:kern w:val="0"/>
                <w:sz w:val="22"/>
                <w:szCs w:val="22"/>
              </w:rPr>
              <w:t>（云端）</w:t>
            </w:r>
          </w:p>
        </w:tc>
        <w:tc>
          <w:tcPr>
            <w:tcW w:w="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0" w:firstLineChars="0"/>
              <w:jc w:val="center"/>
            </w:pPr>
            <w:r>
              <w:rPr>
                <w:rFonts w:hint="eastAsia"/>
              </w:rPr>
              <w:t>安全</w:t>
            </w:r>
          </w:p>
        </w:tc>
        <w:tc>
          <w:tcPr>
            <w:tcW w:w="1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cs="宋体"/>
                <w:color w:val="000000"/>
                <w:sz w:val="22"/>
                <w:szCs w:val="22"/>
              </w:rPr>
            </w:pPr>
            <w:r>
              <w:rPr>
                <w:rFonts w:hint="eastAsia" w:cs="宋体"/>
                <w:color w:val="000000"/>
                <w:sz w:val="22"/>
                <w:szCs w:val="22"/>
              </w:rPr>
              <w:t>纳管资产</w:t>
            </w:r>
            <w:r>
              <w:rPr>
                <w:rFonts w:cs="宋体"/>
                <w:color w:val="000000"/>
                <w:sz w:val="22"/>
                <w:szCs w:val="22"/>
              </w:rPr>
              <w:t>50</w:t>
            </w:r>
          </w:p>
        </w:tc>
        <w:tc>
          <w:tcPr>
            <w:tcW w:w="5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cs="宋体"/>
                <w:color w:val="000000"/>
                <w:sz w:val="22"/>
                <w:szCs w:val="22"/>
              </w:rPr>
            </w:pPr>
            <w:r>
              <w:rPr>
                <w:rFonts w:hint="eastAsia" w:cs="宋体"/>
                <w:color w:val="000000"/>
                <w:sz w:val="22"/>
                <w:szCs w:val="22"/>
              </w:rPr>
              <w:t>1</w:t>
            </w:r>
          </w:p>
        </w:tc>
        <w:tc>
          <w:tcPr>
            <w:tcW w:w="568" w:type="pct"/>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套</w:t>
            </w:r>
          </w:p>
        </w:tc>
      </w:tr>
      <w:tr>
        <w:tblPrEx>
          <w:tblCellMar>
            <w:top w:w="0" w:type="dxa"/>
            <w:left w:w="0" w:type="dxa"/>
            <w:bottom w:w="0" w:type="dxa"/>
            <w:right w:w="0" w:type="dxa"/>
          </w:tblCellMar>
        </w:tblPrEx>
        <w:trPr>
          <w:trHeight w:val="825" w:hRule="atLeast"/>
        </w:trPr>
        <w:tc>
          <w:tcPr>
            <w:tcW w:w="32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4</w:t>
            </w: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0" w:firstLineChars="0"/>
              <w:jc w:val="center"/>
            </w:pPr>
            <w:r>
              <w:rPr>
                <w:rFonts w:hint="eastAsia"/>
              </w:rPr>
              <w:t>日志审计</w:t>
            </w:r>
            <w:r>
              <w:rPr>
                <w:rFonts w:hint="eastAsia" w:ascii="Tahoma" w:hAnsi="Tahoma" w:cs="Tahoma"/>
                <w:color w:val="000000"/>
                <w:kern w:val="0"/>
                <w:sz w:val="22"/>
                <w:szCs w:val="22"/>
              </w:rPr>
              <w:t>（云端）</w:t>
            </w:r>
          </w:p>
        </w:tc>
        <w:tc>
          <w:tcPr>
            <w:tcW w:w="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0" w:firstLineChars="0"/>
              <w:jc w:val="center"/>
            </w:pPr>
            <w:r>
              <w:rPr>
                <w:rFonts w:hint="eastAsia"/>
              </w:rPr>
              <w:t>安全</w:t>
            </w:r>
          </w:p>
        </w:tc>
        <w:tc>
          <w:tcPr>
            <w:tcW w:w="1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cs="宋体"/>
                <w:color w:val="000000"/>
                <w:sz w:val="22"/>
                <w:szCs w:val="22"/>
              </w:rPr>
            </w:pPr>
            <w:r>
              <w:rPr>
                <w:rFonts w:hint="eastAsia" w:cs="宋体"/>
                <w:color w:val="000000"/>
                <w:sz w:val="22"/>
                <w:szCs w:val="22"/>
              </w:rPr>
              <w:t>纳管资产</w:t>
            </w:r>
            <w:r>
              <w:rPr>
                <w:rFonts w:cs="宋体"/>
                <w:color w:val="000000"/>
                <w:sz w:val="22"/>
                <w:szCs w:val="22"/>
              </w:rPr>
              <w:t>50</w:t>
            </w:r>
          </w:p>
        </w:tc>
        <w:tc>
          <w:tcPr>
            <w:tcW w:w="5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cs="宋体"/>
                <w:color w:val="000000"/>
                <w:sz w:val="22"/>
                <w:szCs w:val="22"/>
              </w:rPr>
            </w:pPr>
            <w:r>
              <w:rPr>
                <w:rFonts w:hint="eastAsia" w:cs="宋体"/>
                <w:color w:val="000000"/>
                <w:sz w:val="22"/>
                <w:szCs w:val="22"/>
              </w:rPr>
              <w:t>1</w:t>
            </w:r>
          </w:p>
        </w:tc>
        <w:tc>
          <w:tcPr>
            <w:tcW w:w="568" w:type="pct"/>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套</w:t>
            </w:r>
          </w:p>
        </w:tc>
      </w:tr>
      <w:tr>
        <w:tblPrEx>
          <w:tblCellMar>
            <w:top w:w="0" w:type="dxa"/>
            <w:left w:w="0" w:type="dxa"/>
            <w:bottom w:w="0" w:type="dxa"/>
            <w:right w:w="0" w:type="dxa"/>
          </w:tblCellMar>
        </w:tblPrEx>
        <w:trPr>
          <w:trHeight w:val="825" w:hRule="atLeast"/>
        </w:trPr>
        <w:tc>
          <w:tcPr>
            <w:tcW w:w="32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5</w:t>
            </w: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0" w:firstLineChars="0"/>
              <w:jc w:val="center"/>
            </w:pPr>
            <w:r>
              <w:rPr>
                <w:rFonts w:hint="eastAsia"/>
              </w:rPr>
              <w:t>EDR</w:t>
            </w:r>
            <w:r>
              <w:rPr>
                <w:rFonts w:hint="eastAsia" w:ascii="Tahoma" w:hAnsi="Tahoma" w:cs="Tahoma"/>
                <w:color w:val="000000"/>
                <w:kern w:val="0"/>
                <w:sz w:val="22"/>
                <w:szCs w:val="22"/>
              </w:rPr>
              <w:t>（云端）</w:t>
            </w:r>
          </w:p>
        </w:tc>
        <w:tc>
          <w:tcPr>
            <w:tcW w:w="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0" w:firstLineChars="0"/>
              <w:jc w:val="center"/>
            </w:pPr>
            <w:r>
              <w:rPr>
                <w:rFonts w:hint="eastAsia"/>
              </w:rPr>
              <w:t>安全</w:t>
            </w:r>
          </w:p>
        </w:tc>
        <w:tc>
          <w:tcPr>
            <w:tcW w:w="1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cs="宋体"/>
                <w:color w:val="000000"/>
                <w:sz w:val="22"/>
                <w:szCs w:val="22"/>
              </w:rPr>
            </w:pPr>
            <w:r>
              <w:rPr>
                <w:rFonts w:hint="eastAsia" w:cs="宋体"/>
                <w:color w:val="000000"/>
                <w:sz w:val="22"/>
                <w:szCs w:val="22"/>
              </w:rPr>
              <w:t>纳管资产</w:t>
            </w:r>
            <w:r>
              <w:rPr>
                <w:rFonts w:cs="宋体"/>
                <w:color w:val="000000"/>
                <w:sz w:val="22"/>
                <w:szCs w:val="22"/>
              </w:rPr>
              <w:t>21</w:t>
            </w:r>
          </w:p>
        </w:tc>
        <w:tc>
          <w:tcPr>
            <w:tcW w:w="5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cs="宋体"/>
                <w:color w:val="000000"/>
                <w:sz w:val="22"/>
                <w:szCs w:val="22"/>
              </w:rPr>
            </w:pPr>
            <w:r>
              <w:rPr>
                <w:rFonts w:hint="eastAsia" w:cs="宋体"/>
                <w:color w:val="000000"/>
                <w:sz w:val="22"/>
                <w:szCs w:val="22"/>
              </w:rPr>
              <w:t>1</w:t>
            </w:r>
          </w:p>
        </w:tc>
        <w:tc>
          <w:tcPr>
            <w:tcW w:w="568" w:type="pct"/>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套</w:t>
            </w:r>
          </w:p>
        </w:tc>
      </w:tr>
      <w:tr>
        <w:tblPrEx>
          <w:tblCellMar>
            <w:top w:w="0" w:type="dxa"/>
            <w:left w:w="0" w:type="dxa"/>
            <w:bottom w:w="0" w:type="dxa"/>
            <w:right w:w="0" w:type="dxa"/>
          </w:tblCellMar>
        </w:tblPrEx>
        <w:trPr>
          <w:trHeight w:val="825" w:hRule="atLeast"/>
        </w:trPr>
        <w:tc>
          <w:tcPr>
            <w:tcW w:w="32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6</w:t>
            </w: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0" w:firstLineChars="0"/>
              <w:jc w:val="center"/>
            </w:pPr>
            <w:r>
              <w:rPr>
                <w:rFonts w:hint="eastAsia"/>
              </w:rPr>
              <w:t>安全管理中心</w:t>
            </w:r>
            <w:r>
              <w:rPr>
                <w:rFonts w:hint="eastAsia" w:ascii="Tahoma" w:hAnsi="Tahoma" w:cs="Tahoma"/>
                <w:color w:val="000000"/>
                <w:kern w:val="0"/>
                <w:sz w:val="22"/>
                <w:szCs w:val="22"/>
              </w:rPr>
              <w:t>（云端）</w:t>
            </w:r>
          </w:p>
        </w:tc>
        <w:tc>
          <w:tcPr>
            <w:tcW w:w="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0" w:firstLineChars="0"/>
              <w:jc w:val="center"/>
            </w:pPr>
            <w:r>
              <w:rPr>
                <w:rFonts w:hint="eastAsia"/>
              </w:rPr>
              <w:t>安全</w:t>
            </w:r>
          </w:p>
        </w:tc>
        <w:tc>
          <w:tcPr>
            <w:tcW w:w="15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firstLineChars="0"/>
              <w:jc w:val="center"/>
              <w:rPr>
                <w:rFonts w:cs="宋体"/>
                <w:color w:val="000000"/>
                <w:sz w:val="22"/>
                <w:szCs w:val="22"/>
              </w:rPr>
            </w:pPr>
            <w:r>
              <w:rPr>
                <w:rFonts w:hint="eastAsia" w:cs="宋体"/>
                <w:color w:val="000000"/>
                <w:sz w:val="22"/>
                <w:szCs w:val="22"/>
              </w:rPr>
              <w:t>纳管资产</w:t>
            </w:r>
            <w:r>
              <w:rPr>
                <w:rFonts w:cs="宋体"/>
                <w:color w:val="000000"/>
                <w:sz w:val="22"/>
                <w:szCs w:val="22"/>
              </w:rPr>
              <w:t>50</w:t>
            </w:r>
          </w:p>
        </w:tc>
        <w:tc>
          <w:tcPr>
            <w:tcW w:w="5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center"/>
              <w:rPr>
                <w:rFonts w:cs="宋体"/>
                <w:color w:val="000000"/>
                <w:sz w:val="22"/>
                <w:szCs w:val="22"/>
              </w:rPr>
            </w:pPr>
            <w:r>
              <w:rPr>
                <w:rFonts w:hint="eastAsia" w:cs="宋体"/>
                <w:color w:val="000000"/>
                <w:sz w:val="22"/>
                <w:szCs w:val="22"/>
              </w:rPr>
              <w:t>1</w:t>
            </w:r>
          </w:p>
        </w:tc>
        <w:tc>
          <w:tcPr>
            <w:tcW w:w="568" w:type="pct"/>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套</w:t>
            </w:r>
          </w:p>
        </w:tc>
      </w:tr>
    </w:tbl>
    <w:p/>
    <w:p/>
    <w:p>
      <w:pPr>
        <w:pStyle w:val="2"/>
        <w:rPr>
          <w:rFonts w:ascii="仿宋" w:hAnsi="仿宋" w:eastAsia="仿宋"/>
          <w:vanish/>
          <w:color w:val="000000"/>
          <w:sz w:val="28"/>
          <w:szCs w:val="20"/>
        </w:rPr>
      </w:pPr>
      <w:bookmarkStart w:id="53" w:name="_Toc63785503"/>
      <w:r>
        <w:rPr>
          <w:rFonts w:hint="eastAsia"/>
        </w:rPr>
        <w:t>其他工作要求</w:t>
      </w:r>
      <w:bookmarkEnd w:id="53"/>
      <w:bookmarkStart w:id="54" w:name="_Toc63785504"/>
      <w:bookmarkEnd w:id="54"/>
      <w:bookmarkStart w:id="55" w:name="_Toc62209488"/>
      <w:bookmarkEnd w:id="55"/>
      <w:bookmarkStart w:id="56" w:name="_Toc63585480"/>
      <w:bookmarkEnd w:id="56"/>
      <w:bookmarkStart w:id="57" w:name="_Toc63785439"/>
      <w:bookmarkEnd w:id="57"/>
      <w:bookmarkStart w:id="58" w:name="_Toc63151871"/>
      <w:bookmarkEnd w:id="58"/>
      <w:bookmarkStart w:id="59" w:name="_Toc62219358"/>
      <w:bookmarkEnd w:id="59"/>
      <w:bookmarkStart w:id="60" w:name="_Toc61968111"/>
      <w:bookmarkEnd w:id="60"/>
      <w:bookmarkStart w:id="61" w:name="_Toc63762370"/>
      <w:bookmarkEnd w:id="61"/>
    </w:p>
    <w:p>
      <w:pPr>
        <w:pStyle w:val="3"/>
      </w:pPr>
      <w:bookmarkStart w:id="62" w:name="_Toc63785505"/>
      <w:r>
        <w:rPr>
          <w:rFonts w:hint="eastAsia"/>
        </w:rPr>
        <w:t>售后服务要求</w:t>
      </w:r>
      <w:bookmarkEnd w:id="62"/>
    </w:p>
    <w:p>
      <w:pPr>
        <w:pStyle w:val="12"/>
        <w:snapToGrid w:val="0"/>
        <w:spacing w:line="360" w:lineRule="auto"/>
        <w:ind w:firstLine="480"/>
        <w:rPr>
          <w:rFonts w:ascii="宋体" w:hAnsi="宋体"/>
          <w:sz w:val="24"/>
          <w:szCs w:val="24"/>
        </w:rPr>
      </w:pPr>
      <w:r>
        <w:rPr>
          <w:rFonts w:hint="eastAsia" w:ascii="宋体" w:hAnsi="宋体"/>
          <w:sz w:val="24"/>
          <w:szCs w:val="24"/>
        </w:rPr>
        <w:t>本项目系统在验收合格后，供应商需提供 1 年的免费技术维护服务，其中包括系统维护、定期巡检,保证软件的正常运行。提供 1 年 7*24 小时免费服务，医院工作日白天故障响应时间为不超过 4 小时， 24 小时内修复。定时维护服务：每季度 1 次。</w:t>
      </w:r>
    </w:p>
    <w:p>
      <w:pPr>
        <w:pStyle w:val="12"/>
        <w:snapToGrid w:val="0"/>
        <w:spacing w:line="360" w:lineRule="auto"/>
        <w:ind w:firstLine="480"/>
        <w:rPr>
          <w:rFonts w:ascii="宋体" w:hAnsi="宋体"/>
          <w:sz w:val="24"/>
          <w:szCs w:val="24"/>
        </w:rPr>
      </w:pPr>
      <w:r>
        <w:rPr>
          <w:rFonts w:hint="eastAsia" w:ascii="宋体" w:hAnsi="宋体"/>
          <w:sz w:val="24"/>
          <w:szCs w:val="24"/>
        </w:rPr>
        <w:t>供应商至少应提供以下几种形式的技术服务：</w:t>
      </w:r>
    </w:p>
    <w:p>
      <w:pPr>
        <w:pStyle w:val="12"/>
        <w:snapToGrid w:val="0"/>
        <w:spacing w:line="360" w:lineRule="auto"/>
        <w:ind w:firstLine="480"/>
        <w:rPr>
          <w:rFonts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电话咨询</w:t>
      </w:r>
    </w:p>
    <w:p>
      <w:pPr>
        <w:pStyle w:val="12"/>
        <w:snapToGrid w:val="0"/>
        <w:spacing w:line="360" w:lineRule="auto"/>
        <w:ind w:firstLine="480"/>
        <w:rPr>
          <w:rFonts w:ascii="宋体" w:hAnsi="宋体"/>
          <w:sz w:val="24"/>
          <w:szCs w:val="24"/>
        </w:rPr>
      </w:pPr>
      <w:r>
        <w:rPr>
          <w:rFonts w:hint="eastAsia" w:ascii="宋体" w:hAnsi="宋体"/>
          <w:sz w:val="24"/>
          <w:szCs w:val="24"/>
        </w:rPr>
        <w:t>免费提供每周 7 天/每天24 小时不间断的电话支持服务，解答院方在系统使用、维护过程中遇到的问题，及时提出解决问题的建议和操作方法；</w:t>
      </w:r>
    </w:p>
    <w:p>
      <w:pPr>
        <w:pStyle w:val="12"/>
        <w:snapToGrid w:val="0"/>
        <w:spacing w:line="360" w:lineRule="auto"/>
        <w:ind w:firstLine="480"/>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远程在线诊断和故障排除</w:t>
      </w:r>
    </w:p>
    <w:p>
      <w:pPr>
        <w:pStyle w:val="12"/>
        <w:snapToGrid w:val="0"/>
        <w:spacing w:line="360" w:lineRule="auto"/>
        <w:ind w:firstLine="480"/>
        <w:rPr>
          <w:rFonts w:ascii="宋体" w:hAnsi="宋体"/>
          <w:sz w:val="24"/>
          <w:szCs w:val="24"/>
        </w:rPr>
      </w:pPr>
      <w:r>
        <w:rPr>
          <w:rFonts w:hint="eastAsia" w:ascii="宋体" w:hAnsi="宋体"/>
          <w:sz w:val="24"/>
          <w:szCs w:val="24"/>
        </w:rPr>
        <w:t>对于电话咨询无法解决的问题，经采购人授权远程登录到院方网络系统进行免费的故障诊断和故障排除。</w:t>
      </w:r>
    </w:p>
    <w:p>
      <w:pPr>
        <w:pStyle w:val="3"/>
      </w:pPr>
      <w:bookmarkStart w:id="63" w:name="_Toc63785506"/>
      <w:r>
        <w:rPr>
          <w:rFonts w:hint="eastAsia"/>
        </w:rPr>
        <w:t>应急响应要求</w:t>
      </w:r>
      <w:bookmarkEnd w:id="63"/>
    </w:p>
    <w:p>
      <w:pPr>
        <w:pStyle w:val="12"/>
        <w:snapToGrid w:val="0"/>
        <w:spacing w:line="360" w:lineRule="auto"/>
        <w:ind w:firstLine="480"/>
        <w:rPr>
          <w:rFonts w:ascii="宋体" w:hAnsi="宋体"/>
          <w:sz w:val="24"/>
          <w:szCs w:val="24"/>
        </w:rPr>
      </w:pPr>
      <w:r>
        <w:rPr>
          <w:rFonts w:hint="eastAsia" w:ascii="宋体" w:hAnsi="宋体"/>
          <w:sz w:val="24"/>
          <w:szCs w:val="24"/>
        </w:rPr>
        <w:t>供应商对系统故障应能够实时响应，若系统发生故障通过远程无法排除故障，接到采购人通知后</w:t>
      </w:r>
      <w:r>
        <w:rPr>
          <w:rFonts w:ascii="宋体" w:hAnsi="宋体"/>
          <w:sz w:val="24"/>
          <w:szCs w:val="24"/>
        </w:rPr>
        <w:t>30分钟之内响应，专业工程师2小时内到达现场</w:t>
      </w:r>
      <w:r>
        <w:rPr>
          <w:rFonts w:hint="eastAsia" w:ascii="宋体" w:hAnsi="宋体"/>
          <w:sz w:val="24"/>
          <w:szCs w:val="24"/>
        </w:rPr>
        <w:t>。特殊故障与客户沟通协商后，按照协商的方式制定解决方案并进行处理。</w:t>
      </w:r>
    </w:p>
    <w:p>
      <w:pPr>
        <w:pStyle w:val="12"/>
        <w:snapToGrid w:val="0"/>
        <w:spacing w:line="360" w:lineRule="auto"/>
        <w:ind w:firstLine="480"/>
        <w:rPr>
          <w:rFonts w:ascii="宋体" w:hAnsi="宋体"/>
          <w:sz w:val="24"/>
          <w:szCs w:val="24"/>
        </w:rPr>
      </w:pPr>
      <w:r>
        <w:rPr>
          <w:rFonts w:hint="eastAsia" w:ascii="宋体" w:hAnsi="宋体"/>
          <w:sz w:val="24"/>
          <w:szCs w:val="24"/>
        </w:rPr>
        <w:t>具体故障级别及对应的应急响应要求如下：</w:t>
      </w:r>
    </w:p>
    <w:p>
      <w:pPr>
        <w:pStyle w:val="12"/>
        <w:snapToGrid w:val="0"/>
        <w:spacing w:line="360" w:lineRule="auto"/>
        <w:ind w:firstLine="480"/>
        <w:rPr>
          <w:rFonts w:ascii="宋体" w:hAnsi="宋体"/>
          <w:sz w:val="24"/>
          <w:szCs w:val="24"/>
        </w:rPr>
      </w:pPr>
      <w:r>
        <w:rPr>
          <w:rFonts w:hint="eastAsia" w:ascii="宋体" w:hAnsi="宋体"/>
          <w:sz w:val="24"/>
          <w:szCs w:val="24"/>
        </w:rPr>
        <w:t>一级故障：在</w:t>
      </w:r>
      <w:r>
        <w:rPr>
          <w:rFonts w:ascii="宋体" w:hAnsi="宋体"/>
          <w:sz w:val="24"/>
          <w:szCs w:val="24"/>
        </w:rPr>
        <w:t>1小时内确诊，总故障解决时间不超过4小时。</w:t>
      </w:r>
    </w:p>
    <w:p>
      <w:pPr>
        <w:pStyle w:val="12"/>
        <w:snapToGrid w:val="0"/>
        <w:spacing w:line="360" w:lineRule="auto"/>
        <w:ind w:firstLine="480"/>
        <w:rPr>
          <w:rFonts w:ascii="宋体" w:hAnsi="宋体"/>
          <w:sz w:val="24"/>
          <w:szCs w:val="24"/>
        </w:rPr>
      </w:pPr>
      <w:r>
        <w:rPr>
          <w:rFonts w:hint="eastAsia" w:ascii="宋体" w:hAnsi="宋体"/>
          <w:sz w:val="24"/>
          <w:szCs w:val="24"/>
        </w:rPr>
        <w:t>二级故障：在</w:t>
      </w:r>
      <w:r>
        <w:rPr>
          <w:rFonts w:ascii="宋体" w:hAnsi="宋体"/>
          <w:sz w:val="24"/>
          <w:szCs w:val="24"/>
        </w:rPr>
        <w:t>2小时内确诊，并在4小时内由专家到达现场确诊并解决，总故障解决时间不超过8小时；</w:t>
      </w:r>
    </w:p>
    <w:p>
      <w:pPr>
        <w:pStyle w:val="12"/>
        <w:snapToGrid w:val="0"/>
        <w:spacing w:line="360" w:lineRule="auto"/>
        <w:ind w:firstLine="480"/>
        <w:rPr>
          <w:rFonts w:ascii="宋体" w:hAnsi="宋体"/>
          <w:sz w:val="24"/>
          <w:szCs w:val="24"/>
        </w:rPr>
      </w:pPr>
      <w:r>
        <w:rPr>
          <w:rFonts w:hint="eastAsia" w:ascii="宋体" w:hAnsi="宋体"/>
          <w:sz w:val="24"/>
          <w:szCs w:val="24"/>
        </w:rPr>
        <w:t>三、四级故障：在</w:t>
      </w:r>
      <w:r>
        <w:rPr>
          <w:rFonts w:ascii="宋体" w:hAnsi="宋体"/>
          <w:sz w:val="24"/>
          <w:szCs w:val="24"/>
        </w:rPr>
        <w:t>4小时内确诊故障，总故障解决时间不超过16小时。</w:t>
      </w:r>
    </w:p>
    <w:p>
      <w:pPr>
        <w:pStyle w:val="3"/>
      </w:pPr>
      <w:bookmarkStart w:id="64" w:name="_Toc63785507"/>
      <w:r>
        <w:rPr>
          <w:rFonts w:hint="eastAsia"/>
        </w:rPr>
        <w:t>项目管理及培训要求</w:t>
      </w:r>
      <w:bookmarkEnd w:id="64"/>
    </w:p>
    <w:p>
      <w:r>
        <w:rPr>
          <w:rFonts w:hint="eastAsia"/>
        </w:rPr>
        <w:t>（1）项目管理要求</w:t>
      </w:r>
    </w:p>
    <w:p>
      <w:r>
        <w:rPr>
          <w:rFonts w:hint="eastAsia"/>
        </w:rPr>
        <w:t>供应商应具有健全的项目管理制度和流程，以及合格的项目实施人员，对本项目进行全过程质量管理，确保项目实施的顺利。</w:t>
      </w:r>
    </w:p>
    <w:p>
      <w:r>
        <w:rPr>
          <w:rFonts w:hint="eastAsia"/>
        </w:rPr>
        <w:t>（2）培训要求</w:t>
      </w:r>
    </w:p>
    <w:p>
      <w:r>
        <w:rPr>
          <w:rFonts w:hint="eastAsia"/>
        </w:rPr>
        <w:t>供应商应负责使用人员的培训及考核。并在项目实施后继续按照采购人要求继续定期培训。</w:t>
      </w:r>
    </w:p>
    <w:p>
      <w:r>
        <w:rPr>
          <w:rFonts w:hint="eastAsia"/>
        </w:rPr>
        <w:t>培训对象包括系统管理员、系统操作员等。供应商应提供完整的培训方案。</w:t>
      </w:r>
    </w:p>
    <w:p>
      <w:pPr>
        <w:rPr>
          <w:strike/>
          <w:szCs w:val="21"/>
        </w:rPr>
      </w:pPr>
    </w:p>
    <w:p>
      <w:pPr>
        <w:pStyle w:val="3"/>
      </w:pPr>
      <w:bookmarkStart w:id="65" w:name="_Toc63785509"/>
      <w:r>
        <w:rPr>
          <w:rFonts w:hint="eastAsia"/>
        </w:rPr>
        <w:t>进度要求</w:t>
      </w:r>
      <w:bookmarkEnd w:id="65"/>
    </w:p>
    <w:p>
      <w:r>
        <w:rPr>
          <w:rFonts w:hint="eastAsia"/>
        </w:rPr>
        <w:t>自合同签订之日起</w:t>
      </w:r>
      <w:r>
        <w:rPr>
          <w:rFonts w:hint="eastAsia"/>
          <w:lang w:val="en-US" w:eastAsia="zh-CN"/>
        </w:rPr>
        <w:t>120</w:t>
      </w:r>
      <w:r>
        <w:rPr>
          <w:rFonts w:hint="eastAsia"/>
        </w:rPr>
        <w:t>日内完成项目交付及验收</w:t>
      </w:r>
    </w:p>
    <w:p>
      <w:r>
        <w:rPr>
          <w:rFonts w:hint="eastAsia"/>
        </w:rPr>
        <w:t>供应商应根据建设内容，制定合理的时间进度。</w:t>
      </w:r>
    </w:p>
    <w:p>
      <w:pPr>
        <w:pStyle w:val="3"/>
      </w:pPr>
      <w:bookmarkStart w:id="66" w:name="_Toc63785510"/>
      <w:r>
        <w:rPr>
          <w:rFonts w:hint="eastAsia"/>
        </w:rPr>
        <w:t>项目团队人员要求</w:t>
      </w:r>
      <w:bookmarkEnd w:id="66"/>
    </w:p>
    <w:p>
      <w:r>
        <w:rPr>
          <w:rFonts w:hint="eastAsia"/>
        </w:rPr>
        <w:t>供应商需具备必要的人力、物力等资源调配能力，为项目顺利推进提供保障。需配备不少于2</w:t>
      </w:r>
      <w:r>
        <w:rPr>
          <w:rFonts w:hint="eastAsia"/>
          <w:lang w:val="en-US" w:eastAsia="zh-CN"/>
        </w:rPr>
        <w:t>5</w:t>
      </w:r>
      <w:r>
        <w:rPr>
          <w:rFonts w:hint="eastAsia"/>
        </w:rPr>
        <w:t>人（包括</w:t>
      </w:r>
      <w:r>
        <w:rPr>
          <w:rFonts w:hint="eastAsia"/>
          <w:lang w:eastAsia="zh-CN"/>
        </w:rPr>
        <w:t>项目经理、</w:t>
      </w:r>
      <w:r>
        <w:rPr>
          <w:rFonts w:hint="eastAsia" w:eastAsiaTheme="minorEastAsia" w:cstheme="minorBidi"/>
          <w:sz w:val="22"/>
          <w:szCs w:val="22"/>
        </w:rPr>
        <w:t>技术负责人</w:t>
      </w:r>
      <w:r>
        <w:rPr>
          <w:rFonts w:hint="eastAsia" w:eastAsiaTheme="minorEastAsia" w:cstheme="minorBidi"/>
          <w:sz w:val="22"/>
          <w:szCs w:val="22"/>
          <w:lang w:eastAsia="zh-CN"/>
        </w:rPr>
        <w:t>、</w:t>
      </w:r>
      <w:r>
        <w:rPr>
          <w:rFonts w:hint="eastAsia" w:eastAsiaTheme="minorEastAsia" w:cstheme="minorBidi"/>
          <w:sz w:val="22"/>
          <w:szCs w:val="22"/>
        </w:rPr>
        <w:t>开发工程师</w:t>
      </w:r>
      <w:r>
        <w:rPr>
          <w:rFonts w:hint="eastAsia"/>
        </w:rPr>
        <w:t>、</w:t>
      </w:r>
      <w:r>
        <w:rPr>
          <w:rFonts w:hint="eastAsia" w:eastAsiaTheme="minorEastAsia" w:cstheme="minorBidi"/>
          <w:sz w:val="22"/>
          <w:szCs w:val="22"/>
        </w:rPr>
        <w:t>实施工程师</w:t>
      </w:r>
      <w:r>
        <w:rPr>
          <w:rFonts w:hint="eastAsia"/>
        </w:rPr>
        <w:t>、测试工程师等），负责项目管理及实施，按需提供本项目范围内的部署实施服务。具体资质和人员数量要求如下：</w:t>
      </w:r>
    </w:p>
    <w:tbl>
      <w:tblPr>
        <w:tblStyle w:val="9"/>
        <w:tblW w:w="817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33"/>
        <w:gridCol w:w="5989"/>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3" w:type="dxa"/>
            <w:tcBorders>
              <w:top w:val="single" w:color="auto" w:sz="4" w:space="0"/>
              <w:left w:val="single" w:color="auto" w:sz="4" w:space="0"/>
              <w:bottom w:val="single" w:color="auto" w:sz="4" w:space="0"/>
              <w:right w:val="single" w:color="auto" w:sz="4" w:space="0"/>
            </w:tcBorders>
          </w:tcPr>
          <w:p>
            <w:pPr>
              <w:widowControl/>
              <w:autoSpaceDE w:val="0"/>
              <w:ind w:firstLine="0" w:firstLineChars="0"/>
              <w:jc w:val="center"/>
              <w:rPr>
                <w:rFonts w:eastAsiaTheme="minorEastAsia" w:cstheme="minorBidi"/>
                <w:b/>
                <w:bCs/>
                <w:sz w:val="21"/>
                <w:szCs w:val="21"/>
              </w:rPr>
            </w:pPr>
            <w:r>
              <w:rPr>
                <w:rFonts w:hint="eastAsia" w:eastAsiaTheme="minorEastAsia" w:cstheme="minorBidi"/>
                <w:b/>
                <w:bCs/>
              </w:rPr>
              <w:t>角色</w:t>
            </w:r>
          </w:p>
        </w:tc>
        <w:tc>
          <w:tcPr>
            <w:tcW w:w="5989" w:type="dxa"/>
            <w:tcBorders>
              <w:top w:val="single" w:color="auto" w:sz="4" w:space="0"/>
              <w:left w:val="single" w:color="auto" w:sz="4" w:space="0"/>
              <w:bottom w:val="single" w:color="auto" w:sz="4" w:space="0"/>
              <w:right w:val="single" w:color="auto" w:sz="4" w:space="0"/>
            </w:tcBorders>
          </w:tcPr>
          <w:p>
            <w:pPr>
              <w:widowControl/>
              <w:autoSpaceDE w:val="0"/>
              <w:ind w:firstLine="482"/>
              <w:jc w:val="center"/>
              <w:rPr>
                <w:rFonts w:eastAsiaTheme="minorEastAsia" w:cstheme="minorBidi"/>
                <w:b/>
                <w:bCs/>
              </w:rPr>
            </w:pPr>
            <w:r>
              <w:rPr>
                <w:rFonts w:hint="eastAsia" w:eastAsiaTheme="minorEastAsia" w:cstheme="minorBidi"/>
                <w:b/>
                <w:bCs/>
              </w:rPr>
              <w:t>资质要求</w:t>
            </w:r>
          </w:p>
        </w:tc>
        <w:tc>
          <w:tcPr>
            <w:tcW w:w="851" w:type="dxa"/>
            <w:tcBorders>
              <w:top w:val="single" w:color="auto" w:sz="4" w:space="0"/>
              <w:left w:val="single" w:color="auto" w:sz="4" w:space="0"/>
              <w:bottom w:val="single" w:color="auto" w:sz="4" w:space="0"/>
              <w:right w:val="single" w:color="auto" w:sz="4" w:space="0"/>
            </w:tcBorders>
          </w:tcPr>
          <w:p>
            <w:pPr>
              <w:widowControl/>
              <w:autoSpaceDE w:val="0"/>
              <w:ind w:firstLine="0" w:firstLineChars="0"/>
              <w:rPr>
                <w:rFonts w:eastAsiaTheme="minorEastAsia" w:cstheme="minorBidi"/>
                <w:b/>
                <w:bCs/>
              </w:rPr>
            </w:pPr>
            <w:r>
              <w:rPr>
                <w:rFonts w:hint="eastAsia" w:eastAsiaTheme="minorEastAsia" w:cstheme="minorBidi"/>
                <w:b/>
                <w:bCs/>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3" w:type="dxa"/>
            <w:tcBorders>
              <w:top w:val="single" w:color="auto" w:sz="4" w:space="0"/>
              <w:left w:val="single" w:color="auto" w:sz="4" w:space="0"/>
              <w:bottom w:val="single" w:color="auto" w:sz="4" w:space="0"/>
              <w:right w:val="single" w:color="auto" w:sz="4" w:space="0"/>
            </w:tcBorders>
          </w:tcPr>
          <w:p>
            <w:pPr>
              <w:autoSpaceDE w:val="0"/>
              <w:ind w:firstLine="0" w:firstLineChars="0"/>
              <w:jc w:val="center"/>
              <w:rPr>
                <w:rFonts w:eastAsiaTheme="minorEastAsia" w:cstheme="minorBidi"/>
                <w:sz w:val="22"/>
                <w:szCs w:val="22"/>
              </w:rPr>
            </w:pPr>
            <w:r>
              <w:rPr>
                <w:rFonts w:hint="eastAsia" w:eastAsiaTheme="minorEastAsia" w:cstheme="minorBidi"/>
                <w:sz w:val="22"/>
                <w:szCs w:val="22"/>
              </w:rPr>
              <w:t>项目经理</w:t>
            </w:r>
          </w:p>
        </w:tc>
        <w:tc>
          <w:tcPr>
            <w:tcW w:w="5989" w:type="dxa"/>
            <w:tcBorders>
              <w:top w:val="single" w:color="auto" w:sz="4" w:space="0"/>
              <w:left w:val="single" w:color="auto" w:sz="4" w:space="0"/>
              <w:bottom w:val="single" w:color="auto" w:sz="4" w:space="0"/>
              <w:right w:val="single" w:color="auto" w:sz="4" w:space="0"/>
            </w:tcBorders>
          </w:tcPr>
          <w:p>
            <w:pPr>
              <w:autoSpaceDE w:val="0"/>
              <w:ind w:firstLine="0" w:firstLineChars="0"/>
              <w:rPr>
                <w:rFonts w:eastAsiaTheme="minorEastAsia" w:cstheme="minorBidi"/>
                <w:bCs/>
                <w:sz w:val="22"/>
                <w:szCs w:val="22"/>
              </w:rPr>
            </w:pPr>
            <w:r>
              <w:rPr>
                <w:rFonts w:hint="eastAsia" w:eastAsiaTheme="minorEastAsia" w:cstheme="minorBidi"/>
                <w:sz w:val="22"/>
                <w:szCs w:val="22"/>
              </w:rPr>
              <w:t>至少具有3年在同类软件项目中担任过项目经理的行业背景；精通项目管理的知识与流程；能够有效地与开发团队和用户沟通；熟悉相关业务、能够判断需求范围，挖掘潜在需求；具备高级工程师职称证书、CISP注册信息安全工程师优先考虑。</w:t>
            </w:r>
          </w:p>
        </w:tc>
        <w:tc>
          <w:tcPr>
            <w:tcW w:w="851" w:type="dxa"/>
            <w:tcBorders>
              <w:top w:val="single" w:color="auto" w:sz="4" w:space="0"/>
              <w:left w:val="single" w:color="auto" w:sz="4" w:space="0"/>
              <w:bottom w:val="single" w:color="auto" w:sz="4" w:space="0"/>
              <w:right w:val="single" w:color="auto" w:sz="4" w:space="0"/>
            </w:tcBorders>
          </w:tcPr>
          <w:p>
            <w:pPr>
              <w:autoSpaceDE w:val="0"/>
              <w:ind w:firstLine="0" w:firstLineChars="0"/>
              <w:rPr>
                <w:rFonts w:eastAsiaTheme="minorEastAsia" w:cstheme="minorBidi"/>
                <w:sz w:val="22"/>
                <w:szCs w:val="22"/>
              </w:rPr>
            </w:pPr>
            <w:r>
              <w:rPr>
                <w:rFonts w:hint="eastAsia" w:eastAsiaTheme="minorEastAsia" w:cstheme="minorBidi"/>
                <w:sz w:val="22"/>
                <w:szCs w:val="22"/>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3" w:type="dxa"/>
            <w:tcBorders>
              <w:top w:val="single" w:color="auto" w:sz="4" w:space="0"/>
              <w:left w:val="single" w:color="auto" w:sz="4" w:space="0"/>
              <w:bottom w:val="single" w:color="auto" w:sz="4" w:space="0"/>
              <w:right w:val="single" w:color="auto" w:sz="4" w:space="0"/>
            </w:tcBorders>
          </w:tcPr>
          <w:p>
            <w:pPr>
              <w:autoSpaceDE w:val="0"/>
              <w:ind w:firstLine="0" w:firstLineChars="0"/>
              <w:jc w:val="center"/>
              <w:rPr>
                <w:rFonts w:eastAsiaTheme="minorEastAsia" w:cstheme="minorBidi"/>
                <w:sz w:val="22"/>
                <w:szCs w:val="22"/>
              </w:rPr>
            </w:pPr>
            <w:r>
              <w:rPr>
                <w:rFonts w:hint="eastAsia" w:eastAsiaTheme="minorEastAsia" w:cstheme="minorBidi"/>
                <w:sz w:val="22"/>
                <w:szCs w:val="22"/>
              </w:rPr>
              <w:t>技术负责人</w:t>
            </w:r>
          </w:p>
        </w:tc>
        <w:tc>
          <w:tcPr>
            <w:tcW w:w="5989" w:type="dxa"/>
            <w:tcBorders>
              <w:top w:val="single" w:color="auto" w:sz="4" w:space="0"/>
              <w:left w:val="single" w:color="auto" w:sz="4" w:space="0"/>
              <w:bottom w:val="single" w:color="auto" w:sz="4" w:space="0"/>
              <w:right w:val="single" w:color="auto" w:sz="4" w:space="0"/>
            </w:tcBorders>
          </w:tcPr>
          <w:p>
            <w:pPr>
              <w:autoSpaceDE w:val="0"/>
              <w:ind w:firstLine="0" w:firstLineChars="0"/>
              <w:jc w:val="left"/>
              <w:rPr>
                <w:rFonts w:eastAsiaTheme="minorEastAsia" w:cstheme="minorBidi"/>
                <w:bCs/>
                <w:sz w:val="22"/>
                <w:szCs w:val="22"/>
              </w:rPr>
            </w:pPr>
            <w:r>
              <w:rPr>
                <w:rFonts w:hint="eastAsia" w:eastAsiaTheme="minorEastAsia" w:cstheme="minorBidi"/>
                <w:sz w:val="22"/>
                <w:szCs w:val="22"/>
              </w:rPr>
              <w:t>能够从技术上对项目/产品的架构、设计和开发完全负责；能解决项目过程中的各种疑难问题并指导项目成员完成开发任务；具有CISP注册信息安全工程师证书、信息系统项目管理师证书、高级工程师职称证书优先考虑</w:t>
            </w:r>
          </w:p>
        </w:tc>
        <w:tc>
          <w:tcPr>
            <w:tcW w:w="851" w:type="dxa"/>
            <w:tcBorders>
              <w:top w:val="single" w:color="auto" w:sz="4" w:space="0"/>
              <w:left w:val="single" w:color="auto" w:sz="4" w:space="0"/>
              <w:bottom w:val="single" w:color="auto" w:sz="4" w:space="0"/>
              <w:right w:val="single" w:color="auto" w:sz="4" w:space="0"/>
            </w:tcBorders>
          </w:tcPr>
          <w:p>
            <w:pPr>
              <w:autoSpaceDE w:val="0"/>
              <w:ind w:firstLine="0" w:firstLineChars="0"/>
              <w:jc w:val="left"/>
              <w:rPr>
                <w:rFonts w:eastAsiaTheme="minorEastAsia" w:cstheme="minorBidi"/>
                <w:sz w:val="22"/>
                <w:szCs w:val="22"/>
              </w:rPr>
            </w:pPr>
            <w:r>
              <w:rPr>
                <w:rFonts w:hint="eastAsia" w:eastAsiaTheme="minorEastAsia" w:cstheme="minorBidi"/>
                <w:sz w:val="22"/>
                <w:szCs w:val="22"/>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33" w:type="dxa"/>
            <w:tcBorders>
              <w:top w:val="single" w:color="auto" w:sz="4" w:space="0"/>
              <w:left w:val="single" w:color="auto" w:sz="4" w:space="0"/>
              <w:bottom w:val="single" w:color="auto" w:sz="4" w:space="0"/>
              <w:right w:val="single" w:color="auto" w:sz="4" w:space="0"/>
            </w:tcBorders>
          </w:tcPr>
          <w:p>
            <w:pPr>
              <w:autoSpaceDE w:val="0"/>
              <w:ind w:firstLine="0" w:firstLineChars="0"/>
              <w:jc w:val="center"/>
              <w:rPr>
                <w:rFonts w:eastAsiaTheme="minorEastAsia" w:cstheme="minorBidi"/>
                <w:sz w:val="22"/>
                <w:szCs w:val="22"/>
              </w:rPr>
            </w:pPr>
            <w:r>
              <w:rPr>
                <w:rFonts w:hint="eastAsia" w:eastAsiaTheme="minorEastAsia" w:cstheme="minorBidi"/>
                <w:sz w:val="22"/>
                <w:szCs w:val="22"/>
              </w:rPr>
              <w:t>开发工程师</w:t>
            </w:r>
          </w:p>
        </w:tc>
        <w:tc>
          <w:tcPr>
            <w:tcW w:w="5989" w:type="dxa"/>
            <w:tcBorders>
              <w:top w:val="single" w:color="auto" w:sz="4" w:space="0"/>
              <w:left w:val="single" w:color="auto" w:sz="4" w:space="0"/>
              <w:bottom w:val="single" w:color="auto" w:sz="4" w:space="0"/>
              <w:right w:val="single" w:color="auto" w:sz="4" w:space="0"/>
            </w:tcBorders>
          </w:tcPr>
          <w:p>
            <w:pPr>
              <w:autoSpaceDE w:val="0"/>
              <w:ind w:firstLine="0" w:firstLineChars="0"/>
              <w:jc w:val="left"/>
              <w:rPr>
                <w:rFonts w:eastAsiaTheme="minorEastAsia" w:cstheme="minorBidi"/>
                <w:bCs/>
                <w:sz w:val="22"/>
                <w:szCs w:val="22"/>
              </w:rPr>
            </w:pPr>
            <w:r>
              <w:rPr>
                <w:rFonts w:hint="eastAsia" w:eastAsiaTheme="minorEastAsia" w:cstheme="minorBidi"/>
                <w:sz w:val="22"/>
                <w:szCs w:val="22"/>
              </w:rPr>
              <w:t>至少掌握1项开发语言，并熟悉该语言的开发框架；至少熟悉1种相关数据库；至少熟练使用一种中间件产品（针对Java语言技术人员)</w:t>
            </w:r>
            <w:r>
              <w:rPr>
                <w:rFonts w:hint="eastAsia" w:eastAsiaTheme="minorEastAsia" w:cstheme="minorBidi"/>
                <w:sz w:val="22"/>
                <w:szCs w:val="22"/>
                <w:lang w:eastAsia="zh-CN"/>
              </w:rPr>
              <w:t>，具有信息安全方面资格证书优先考虑</w:t>
            </w:r>
            <w:r>
              <w:rPr>
                <w:rFonts w:hint="eastAsia" w:eastAsiaTheme="minorEastAsia" w:cstheme="minorBidi"/>
                <w:sz w:val="22"/>
                <w:szCs w:val="22"/>
              </w:rPr>
              <w:t>；</w:t>
            </w:r>
          </w:p>
        </w:tc>
        <w:tc>
          <w:tcPr>
            <w:tcW w:w="851" w:type="dxa"/>
            <w:tcBorders>
              <w:top w:val="single" w:color="auto" w:sz="4" w:space="0"/>
              <w:left w:val="single" w:color="auto" w:sz="4" w:space="0"/>
              <w:bottom w:val="single" w:color="auto" w:sz="4" w:space="0"/>
              <w:right w:val="single" w:color="auto" w:sz="4" w:space="0"/>
            </w:tcBorders>
          </w:tcPr>
          <w:p>
            <w:pPr>
              <w:autoSpaceDE w:val="0"/>
              <w:ind w:firstLine="0" w:firstLineChars="0"/>
              <w:jc w:val="left"/>
              <w:rPr>
                <w:rFonts w:eastAsiaTheme="minorEastAsia" w:cstheme="minorBidi"/>
                <w:sz w:val="22"/>
                <w:szCs w:val="22"/>
              </w:rPr>
            </w:pPr>
            <w:r>
              <w:rPr>
                <w:rFonts w:hint="eastAsia" w:eastAsiaTheme="minorEastAsia" w:cstheme="minorBidi"/>
                <w:sz w:val="22"/>
                <w:szCs w:val="22"/>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3" w:type="dxa"/>
            <w:tcBorders>
              <w:top w:val="single" w:color="auto" w:sz="4" w:space="0"/>
              <w:left w:val="single" w:color="auto" w:sz="4" w:space="0"/>
              <w:bottom w:val="single" w:color="auto" w:sz="4" w:space="0"/>
              <w:right w:val="single" w:color="auto" w:sz="4" w:space="0"/>
            </w:tcBorders>
          </w:tcPr>
          <w:p>
            <w:pPr>
              <w:autoSpaceDE w:val="0"/>
              <w:ind w:firstLine="0" w:firstLineChars="0"/>
              <w:jc w:val="center"/>
              <w:rPr>
                <w:rFonts w:eastAsiaTheme="minorEastAsia" w:cstheme="minorBidi"/>
                <w:sz w:val="22"/>
                <w:szCs w:val="22"/>
              </w:rPr>
            </w:pPr>
            <w:r>
              <w:rPr>
                <w:rFonts w:hint="eastAsia" w:eastAsiaTheme="minorEastAsia" w:cstheme="minorBidi"/>
                <w:sz w:val="22"/>
                <w:szCs w:val="22"/>
              </w:rPr>
              <w:t>实施工程师</w:t>
            </w:r>
          </w:p>
        </w:tc>
        <w:tc>
          <w:tcPr>
            <w:tcW w:w="5989" w:type="dxa"/>
            <w:tcBorders>
              <w:top w:val="single" w:color="auto" w:sz="4" w:space="0"/>
              <w:left w:val="single" w:color="auto" w:sz="4" w:space="0"/>
              <w:bottom w:val="single" w:color="auto" w:sz="4" w:space="0"/>
              <w:right w:val="single" w:color="auto" w:sz="4" w:space="0"/>
            </w:tcBorders>
          </w:tcPr>
          <w:p>
            <w:pPr>
              <w:autoSpaceDE w:val="0"/>
              <w:ind w:firstLine="0" w:firstLineChars="0"/>
              <w:jc w:val="left"/>
              <w:rPr>
                <w:rFonts w:eastAsiaTheme="minorEastAsia" w:cstheme="minorBidi"/>
                <w:sz w:val="22"/>
                <w:szCs w:val="22"/>
              </w:rPr>
            </w:pPr>
            <w:r>
              <w:rPr>
                <w:rFonts w:hint="eastAsia" w:eastAsiaTheme="minorEastAsia" w:cstheme="minorBidi"/>
                <w:sz w:val="22"/>
                <w:szCs w:val="22"/>
              </w:rPr>
              <w:t>至少掌握1种操作系统、数据库、云服务等应用安装安装、部署、升级、维护；至少具有2年同类软件项目实施经验</w:t>
            </w:r>
            <w:r>
              <w:rPr>
                <w:rFonts w:hint="eastAsia" w:eastAsiaTheme="minorEastAsia" w:cstheme="minorBidi"/>
                <w:sz w:val="22"/>
                <w:szCs w:val="22"/>
                <w:lang w:eastAsia="zh-CN"/>
              </w:rPr>
              <w:t>，具有信息安全方面资格证书优先考虑</w:t>
            </w:r>
            <w:r>
              <w:rPr>
                <w:rFonts w:hint="eastAsia" w:eastAsiaTheme="minorEastAsia" w:cstheme="minorBidi"/>
                <w:sz w:val="22"/>
                <w:szCs w:val="22"/>
              </w:rPr>
              <w:t>；</w:t>
            </w:r>
          </w:p>
        </w:tc>
        <w:tc>
          <w:tcPr>
            <w:tcW w:w="851" w:type="dxa"/>
            <w:tcBorders>
              <w:top w:val="single" w:color="auto" w:sz="4" w:space="0"/>
              <w:left w:val="single" w:color="auto" w:sz="4" w:space="0"/>
              <w:bottom w:val="single" w:color="auto" w:sz="4" w:space="0"/>
              <w:right w:val="single" w:color="auto" w:sz="4" w:space="0"/>
            </w:tcBorders>
          </w:tcPr>
          <w:p>
            <w:pPr>
              <w:autoSpaceDE w:val="0"/>
              <w:ind w:firstLine="0" w:firstLineChars="0"/>
              <w:jc w:val="left"/>
              <w:rPr>
                <w:rFonts w:eastAsiaTheme="minorEastAsia" w:cstheme="minorBidi"/>
                <w:sz w:val="22"/>
                <w:szCs w:val="22"/>
              </w:rPr>
            </w:pPr>
            <w:r>
              <w:rPr>
                <w:rFonts w:hint="eastAsia" w:eastAsiaTheme="minorEastAsia" w:cstheme="minorBidi"/>
                <w:sz w:val="22"/>
                <w:szCs w:val="22"/>
              </w:rPr>
              <w:t>1</w:t>
            </w:r>
            <w:r>
              <w:rPr>
                <w:rFonts w:eastAsiaTheme="minorEastAsia" w:cstheme="minorBidi"/>
                <w:sz w:val="22"/>
                <w:szCs w:val="22"/>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33" w:type="dxa"/>
            <w:tcBorders>
              <w:top w:val="single" w:color="auto" w:sz="4" w:space="0"/>
              <w:left w:val="single" w:color="auto" w:sz="4" w:space="0"/>
              <w:bottom w:val="single" w:color="auto" w:sz="4" w:space="0"/>
              <w:right w:val="single" w:color="auto" w:sz="4" w:space="0"/>
            </w:tcBorders>
          </w:tcPr>
          <w:p>
            <w:pPr>
              <w:autoSpaceDE w:val="0"/>
              <w:ind w:firstLine="0" w:firstLineChars="0"/>
              <w:jc w:val="center"/>
              <w:rPr>
                <w:rFonts w:eastAsiaTheme="minorEastAsia" w:cstheme="minorBidi"/>
                <w:sz w:val="22"/>
                <w:szCs w:val="22"/>
              </w:rPr>
            </w:pPr>
            <w:r>
              <w:rPr>
                <w:rFonts w:hint="eastAsia" w:eastAsiaTheme="minorEastAsia" w:cstheme="minorBidi"/>
                <w:sz w:val="22"/>
                <w:szCs w:val="22"/>
              </w:rPr>
              <w:t>测试工程师</w:t>
            </w:r>
          </w:p>
        </w:tc>
        <w:tc>
          <w:tcPr>
            <w:tcW w:w="5989" w:type="dxa"/>
            <w:tcBorders>
              <w:top w:val="single" w:color="auto" w:sz="4" w:space="0"/>
              <w:left w:val="single" w:color="auto" w:sz="4" w:space="0"/>
              <w:bottom w:val="single" w:color="auto" w:sz="4" w:space="0"/>
              <w:right w:val="single" w:color="auto" w:sz="4" w:space="0"/>
            </w:tcBorders>
          </w:tcPr>
          <w:p>
            <w:pPr>
              <w:autoSpaceDE w:val="0"/>
              <w:ind w:firstLine="0" w:firstLineChars="0"/>
              <w:jc w:val="left"/>
              <w:rPr>
                <w:rFonts w:eastAsiaTheme="minorEastAsia" w:cstheme="minorBidi"/>
                <w:sz w:val="22"/>
                <w:szCs w:val="22"/>
              </w:rPr>
            </w:pPr>
            <w:r>
              <w:rPr>
                <w:rFonts w:hint="eastAsia" w:eastAsiaTheme="minorEastAsia" w:cstheme="minorBidi"/>
                <w:sz w:val="22"/>
                <w:szCs w:val="22"/>
              </w:rPr>
              <w:t>熟悉系统测试类型和各种测试方法，能够熟练使用测试工具；并可以独立完成测试计划编写、测试用例编写、bug跟踪、测试报告等。</w:t>
            </w:r>
          </w:p>
        </w:tc>
        <w:tc>
          <w:tcPr>
            <w:tcW w:w="851" w:type="dxa"/>
            <w:tcBorders>
              <w:top w:val="single" w:color="auto" w:sz="4" w:space="0"/>
              <w:left w:val="single" w:color="auto" w:sz="4" w:space="0"/>
              <w:bottom w:val="single" w:color="auto" w:sz="4" w:space="0"/>
              <w:right w:val="single" w:color="auto" w:sz="4" w:space="0"/>
            </w:tcBorders>
          </w:tcPr>
          <w:p>
            <w:pPr>
              <w:autoSpaceDE w:val="0"/>
              <w:ind w:firstLine="0" w:firstLineChars="0"/>
              <w:jc w:val="left"/>
              <w:rPr>
                <w:rFonts w:eastAsiaTheme="minorEastAsia" w:cstheme="minorBidi"/>
                <w:sz w:val="22"/>
                <w:szCs w:val="22"/>
              </w:rPr>
            </w:pPr>
            <w:r>
              <w:rPr>
                <w:rFonts w:hint="eastAsia" w:eastAsiaTheme="minorEastAsia" w:cstheme="minorBidi"/>
                <w:sz w:val="22"/>
                <w:szCs w:val="22"/>
              </w:rPr>
              <w:t>5</w:t>
            </w:r>
          </w:p>
        </w:tc>
      </w:tr>
    </w:tbl>
    <w:p>
      <w:pPr>
        <w:pStyle w:val="3"/>
      </w:pPr>
      <w:bookmarkStart w:id="67" w:name="_Toc63785511"/>
      <w:r>
        <w:rPr>
          <w:rFonts w:hint="eastAsia"/>
        </w:rPr>
        <w:t>项目验收</w:t>
      </w:r>
    </w:p>
    <w:p>
      <w:pPr>
        <w:ind w:firstLine="0" w:firstLineChars="0"/>
      </w:pPr>
      <w:r>
        <w:rPr>
          <w:rFonts w:hint="eastAsia"/>
        </w:rPr>
        <w:t>（1）、按项目规定内容交付产品的所列功能要求是通过验收的必要条件之一。</w:t>
      </w:r>
    </w:p>
    <w:p>
      <w:pPr>
        <w:ind w:firstLine="0" w:firstLineChars="0"/>
      </w:pPr>
      <w:r>
        <w:rPr>
          <w:rFonts w:hint="eastAsia"/>
        </w:rPr>
        <w:t>（2）、本项目经供应商实施完成后，供应商有义务向采购人提出验收申请，经采购人逐一对照合同规定内容交付产品的所列功能进行验收，经双方在《项目验收单》上签字盖章确认，本项目视为验收合格。</w:t>
      </w:r>
    </w:p>
    <w:p>
      <w:pPr>
        <w:pStyle w:val="3"/>
      </w:pPr>
      <w:r>
        <w:rPr>
          <w:rFonts w:hint="eastAsia"/>
        </w:rPr>
        <w:t>供应商能力要求</w:t>
      </w:r>
    </w:p>
    <w:bookmarkEnd w:id="67"/>
    <w:p>
      <w:r>
        <w:rPr>
          <w:rFonts w:hint="eastAsia"/>
        </w:rPr>
        <w:t>投标人具备</w:t>
      </w:r>
      <w:r>
        <w:t>ISO9001质量管理体系认证证书；ISO20000信息技术服务管理体系认证证书；ISO27001信息安全管理体系认证证书</w:t>
      </w:r>
      <w:r>
        <w:rPr>
          <w:rFonts w:hint="eastAsia"/>
        </w:rPr>
        <w:t>优先考虑。</w:t>
      </w:r>
    </w:p>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40456"/>
    <w:multiLevelType w:val="multilevel"/>
    <w:tmpl w:val="14F40456"/>
    <w:lvl w:ilvl="0" w:tentative="0">
      <w:start w:val="1"/>
      <w:numFmt w:val="chineseCountingThousand"/>
      <w:pStyle w:val="16"/>
      <w:suff w:val="space"/>
      <w:lvlText w:val="第%1章"/>
      <w:lvlJc w:val="left"/>
      <w:pPr>
        <w:ind w:left="0" w:firstLine="0"/>
      </w:pPr>
      <w:rPr>
        <w:rFonts w:hint="eastAsia"/>
      </w:rPr>
    </w:lvl>
    <w:lvl w:ilvl="1" w:tentative="0">
      <w:start w:val="1"/>
      <w:numFmt w:val="decimal"/>
      <w:pStyle w:val="18"/>
      <w:isLgl/>
      <w:suff w:val="space"/>
      <w:lvlText w:val="%1.%2"/>
      <w:lvlJc w:val="left"/>
      <w:pPr>
        <w:ind w:left="0" w:firstLine="113"/>
      </w:pPr>
      <w:rPr>
        <w:rFonts w:hint="eastAsia"/>
      </w:rPr>
    </w:lvl>
    <w:lvl w:ilvl="2" w:tentative="0">
      <w:start w:val="1"/>
      <w:numFmt w:val="decimal"/>
      <w:pStyle w:val="20"/>
      <w:isLgl/>
      <w:suff w:val="space"/>
      <w:lvlText w:val="%1.%2.%3"/>
      <w:lvlJc w:val="left"/>
      <w:pPr>
        <w:ind w:left="0" w:firstLine="227"/>
      </w:pPr>
      <w:rPr>
        <w:rFonts w:hint="eastAsia"/>
      </w:rPr>
    </w:lvl>
    <w:lvl w:ilvl="3" w:tentative="0">
      <w:start w:val="1"/>
      <w:numFmt w:val="decimal"/>
      <w:pStyle w:val="22"/>
      <w:isLgl/>
      <w:suff w:val="space"/>
      <w:lvlText w:val="%1.%2.%3.%4"/>
      <w:lvlJc w:val="left"/>
      <w:pPr>
        <w:ind w:left="0" w:firstLine="340"/>
      </w:pPr>
      <w:rPr>
        <w:rFonts w:hint="eastAsia"/>
      </w:rPr>
    </w:lvl>
    <w:lvl w:ilvl="4" w:tentative="0">
      <w:start w:val="1"/>
      <w:numFmt w:val="decimal"/>
      <w:pStyle w:val="23"/>
      <w:isLgl/>
      <w:suff w:val="space"/>
      <w:lvlText w:val="%1.%2.%3.%4.%5"/>
      <w:lvlJc w:val="left"/>
      <w:pPr>
        <w:ind w:left="0" w:firstLine="454"/>
      </w:pPr>
      <w:rPr>
        <w:rFonts w:hint="eastAsia"/>
      </w:rPr>
    </w:lvl>
    <w:lvl w:ilvl="5" w:tentative="0">
      <w:start w:val="1"/>
      <w:numFmt w:val="decimal"/>
      <w:pStyle w:val="24"/>
      <w:isLgl/>
      <w:suff w:val="space"/>
      <w:lvlText w:val="%1.%2.%3.%4.%5.%6"/>
      <w:lvlJc w:val="left"/>
      <w:pPr>
        <w:ind w:left="0" w:firstLine="567"/>
      </w:pPr>
      <w:rPr>
        <w:rFonts w:hint="eastAsia"/>
      </w:rPr>
    </w:lvl>
    <w:lvl w:ilvl="6" w:tentative="0">
      <w:start w:val="1"/>
      <w:numFmt w:val="decimal"/>
      <w:pStyle w:val="25"/>
      <w:isLgl/>
      <w:suff w:val="space"/>
      <w:lvlText w:val="%1.%2.%3.%4.%5.%6.%7"/>
      <w:lvlJc w:val="left"/>
      <w:pPr>
        <w:ind w:left="0" w:firstLine="680"/>
      </w:pPr>
      <w:rPr>
        <w:rFonts w:hint="eastAsia"/>
      </w:rPr>
    </w:lvl>
    <w:lvl w:ilvl="7" w:tentative="0">
      <w:start w:val="1"/>
      <w:numFmt w:val="decimal"/>
      <w:isLgl/>
      <w:suff w:val="space"/>
      <w:lvlText w:val="%1.%2.%3.%4.%5.%6.%7.%8"/>
      <w:lvlJc w:val="left"/>
      <w:pPr>
        <w:ind w:left="0" w:firstLine="794"/>
      </w:pPr>
      <w:rPr>
        <w:rFonts w:hint="eastAsia"/>
      </w:rPr>
    </w:lvl>
    <w:lvl w:ilvl="8" w:tentative="0">
      <w:start w:val="1"/>
      <w:numFmt w:val="decimal"/>
      <w:isLgl/>
      <w:suff w:val="space"/>
      <w:lvlText w:val="%1.%2.%3.%4.%5.%6.%7.%8.%9"/>
      <w:lvlJc w:val="left"/>
      <w:pPr>
        <w:ind w:left="0" w:firstLine="907"/>
      </w:pPr>
      <w:rPr>
        <w:rFonts w:hint="eastAsia"/>
      </w:rPr>
    </w:lvl>
  </w:abstractNum>
  <w:abstractNum w:abstractNumId="1">
    <w:nsid w:val="6A2F4AB3"/>
    <w:multiLevelType w:val="multilevel"/>
    <w:tmpl w:val="6A2F4AB3"/>
    <w:lvl w:ilvl="0" w:tentative="0">
      <w:start w:val="1"/>
      <w:numFmt w:val="chineseCountingThousand"/>
      <w:pStyle w:val="2"/>
      <w:suff w:val="nothing"/>
      <w:lvlText w:val="%1、"/>
      <w:lvlJc w:val="left"/>
      <w:pPr>
        <w:ind w:left="425" w:hanging="425"/>
      </w:pPr>
      <w:rPr>
        <w:rFonts w:hint="eastAsia"/>
        <w:sz w:val="32"/>
        <w:szCs w:val="32"/>
      </w:rPr>
    </w:lvl>
    <w:lvl w:ilvl="1" w:tentative="0">
      <w:start w:val="1"/>
      <w:numFmt w:val="decimal"/>
      <w:pStyle w:val="3"/>
      <w:isLgl/>
      <w:suff w:val="nothing"/>
      <w:lvlText w:val="%1.%2、"/>
      <w:lvlJc w:val="left"/>
      <w:pPr>
        <w:ind w:left="1135" w:hanging="567"/>
      </w:pPr>
    </w:lvl>
    <w:lvl w:ilvl="2" w:tentative="0">
      <w:start w:val="1"/>
      <w:numFmt w:val="decimal"/>
      <w:isLgl/>
      <w:suff w:val="nothing"/>
      <w:lvlText w:val="%1.%2.%3、"/>
      <w:lvlJc w:val="left"/>
      <w:pPr>
        <w:ind w:left="1069" w:hanging="1069"/>
      </w:pPr>
      <w:rPr>
        <w:rFonts w:hint="default" w:ascii="宋体" w:hAnsi="宋体" w:eastAsia="宋体" w:cs="Arial"/>
      </w:rPr>
    </w:lvl>
    <w:lvl w:ilvl="3" w:tentative="0">
      <w:start w:val="1"/>
      <w:numFmt w:val="decimal"/>
      <w:isLgl/>
      <w:suff w:val="nothing"/>
      <w:lvlText w:val="%1.%2.%3.%4、"/>
      <w:lvlJc w:val="left"/>
      <w:pPr>
        <w:ind w:left="3403" w:hanging="851"/>
      </w:pPr>
    </w:lvl>
    <w:lvl w:ilvl="4" w:tentative="0">
      <w:start w:val="1"/>
      <w:numFmt w:val="decimal"/>
      <w:isLgl/>
      <w:suff w:val="nothing"/>
      <w:lvlText w:val="%1.%2.%3.%4.%5、"/>
      <w:lvlJc w:val="left"/>
      <w:pPr>
        <w:ind w:left="3544"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OTMyYmVkNDBiZGZjOTJjNzg0ZTljMGM2NGM1NWEifQ=="/>
  </w:docVars>
  <w:rsids>
    <w:rsidRoot w:val="006B0B11"/>
    <w:rsid w:val="000420BF"/>
    <w:rsid w:val="000567CA"/>
    <w:rsid w:val="00076CA2"/>
    <w:rsid w:val="000B0287"/>
    <w:rsid w:val="000B2897"/>
    <w:rsid w:val="000B3DD6"/>
    <w:rsid w:val="000D5267"/>
    <w:rsid w:val="00125A06"/>
    <w:rsid w:val="00132343"/>
    <w:rsid w:val="00151CA3"/>
    <w:rsid w:val="0016137C"/>
    <w:rsid w:val="001D1851"/>
    <w:rsid w:val="001E0507"/>
    <w:rsid w:val="002328D6"/>
    <w:rsid w:val="00273086"/>
    <w:rsid w:val="002754BA"/>
    <w:rsid w:val="002D1F12"/>
    <w:rsid w:val="002E2748"/>
    <w:rsid w:val="002F28E0"/>
    <w:rsid w:val="003076A4"/>
    <w:rsid w:val="003E4335"/>
    <w:rsid w:val="003E7145"/>
    <w:rsid w:val="00453ED4"/>
    <w:rsid w:val="004A67B8"/>
    <w:rsid w:val="004D4AB4"/>
    <w:rsid w:val="004E5630"/>
    <w:rsid w:val="0050231F"/>
    <w:rsid w:val="0050662A"/>
    <w:rsid w:val="00530DED"/>
    <w:rsid w:val="005B4ABD"/>
    <w:rsid w:val="005E03B1"/>
    <w:rsid w:val="005F13C5"/>
    <w:rsid w:val="0061627E"/>
    <w:rsid w:val="00627F36"/>
    <w:rsid w:val="006B0B11"/>
    <w:rsid w:val="006E6EBB"/>
    <w:rsid w:val="00710E39"/>
    <w:rsid w:val="007472E9"/>
    <w:rsid w:val="007566B8"/>
    <w:rsid w:val="00792C42"/>
    <w:rsid w:val="007C76DE"/>
    <w:rsid w:val="007E3009"/>
    <w:rsid w:val="007F3D58"/>
    <w:rsid w:val="00812CE1"/>
    <w:rsid w:val="00834C2D"/>
    <w:rsid w:val="00836FF3"/>
    <w:rsid w:val="00864EBA"/>
    <w:rsid w:val="008F76EE"/>
    <w:rsid w:val="00904764"/>
    <w:rsid w:val="0094244A"/>
    <w:rsid w:val="0095301C"/>
    <w:rsid w:val="00987407"/>
    <w:rsid w:val="00996230"/>
    <w:rsid w:val="009C059A"/>
    <w:rsid w:val="009D3CF7"/>
    <w:rsid w:val="009F2966"/>
    <w:rsid w:val="00A2713E"/>
    <w:rsid w:val="00A81202"/>
    <w:rsid w:val="00B14FDB"/>
    <w:rsid w:val="00B23B2A"/>
    <w:rsid w:val="00B33E82"/>
    <w:rsid w:val="00B36F07"/>
    <w:rsid w:val="00B441B2"/>
    <w:rsid w:val="00B951BA"/>
    <w:rsid w:val="00BE6310"/>
    <w:rsid w:val="00C272A6"/>
    <w:rsid w:val="00C714AA"/>
    <w:rsid w:val="00C80C5B"/>
    <w:rsid w:val="00CB1890"/>
    <w:rsid w:val="00D3572B"/>
    <w:rsid w:val="00D415A3"/>
    <w:rsid w:val="00D62D11"/>
    <w:rsid w:val="00D94368"/>
    <w:rsid w:val="00DC7F5C"/>
    <w:rsid w:val="00E70E4B"/>
    <w:rsid w:val="00EE14BF"/>
    <w:rsid w:val="00F17091"/>
    <w:rsid w:val="00F43E85"/>
    <w:rsid w:val="00F6027D"/>
    <w:rsid w:val="00F63161"/>
    <w:rsid w:val="1E7D2F3F"/>
    <w:rsid w:val="3DDDF0A4"/>
    <w:rsid w:val="645D785C"/>
    <w:rsid w:val="663C7C7C"/>
    <w:rsid w:val="6FEFEBD4"/>
    <w:rsid w:val="7BFF80F7"/>
    <w:rsid w:val="7FFF0338"/>
    <w:rsid w:val="EAEB8814"/>
    <w:rsid w:val="EFE7C5EE"/>
    <w:rsid w:val="F3BBF9ED"/>
    <w:rsid w:val="F57F6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0" w:firstLineChars="0"/>
      <w:outlineLvl w:val="0"/>
    </w:pPr>
    <w:rPr>
      <w:rFonts w:eastAsia="黑体"/>
      <w:b/>
      <w:bCs/>
      <w:kern w:val="44"/>
      <w:sz w:val="32"/>
      <w:szCs w:val="28"/>
    </w:rPr>
  </w:style>
  <w:style w:type="paragraph" w:styleId="3">
    <w:name w:val="heading 2"/>
    <w:basedOn w:val="1"/>
    <w:next w:val="1"/>
    <w:qFormat/>
    <w:uiPriority w:val="9"/>
    <w:pPr>
      <w:keepNext/>
      <w:keepLines/>
      <w:numPr>
        <w:ilvl w:val="1"/>
        <w:numId w:val="1"/>
      </w:numPr>
      <w:spacing w:before="120" w:after="120"/>
      <w:ind w:firstLine="0" w:firstLineChars="0"/>
      <w:outlineLvl w:val="1"/>
    </w:pPr>
    <w:rPr>
      <w:b/>
      <w:bCs/>
      <w:sz w:val="30"/>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4"/>
    <w:qFormat/>
    <w:uiPriority w:val="99"/>
    <w:pPr>
      <w:jc w:val="left"/>
    </w:pPr>
  </w:style>
  <w:style w:type="paragraph" w:styleId="5">
    <w:name w:val="Balloon Text"/>
    <w:basedOn w:val="1"/>
    <w:link w:val="27"/>
    <w:qFormat/>
    <w:uiPriority w:val="0"/>
    <w:pPr>
      <w:spacing w:line="240" w:lineRule="auto"/>
    </w:pPr>
    <w:rPr>
      <w:sz w:val="18"/>
      <w:szCs w:val="18"/>
    </w:rPr>
  </w:style>
  <w:style w:type="paragraph" w:styleId="6">
    <w:name w:val="header"/>
    <w:basedOn w:val="1"/>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7">
    <w:name w:val="annotation subject"/>
    <w:basedOn w:val="4"/>
    <w:next w:val="4"/>
    <w:link w:val="15"/>
    <w:qFormat/>
    <w:uiPriority w:val="0"/>
    <w:rPr>
      <w:b/>
      <w:bCs/>
    </w:rPr>
  </w:style>
  <w:style w:type="table" w:styleId="9">
    <w:name w:val="Table Grid"/>
    <w:basedOn w:val="8"/>
    <w:qFormat/>
    <w:uiPriority w:val="9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annotation reference"/>
    <w:basedOn w:val="10"/>
    <w:qFormat/>
    <w:uiPriority w:val="99"/>
    <w:rPr>
      <w:sz w:val="21"/>
      <w:szCs w:val="21"/>
    </w:rPr>
  </w:style>
  <w:style w:type="paragraph" w:customStyle="1" w:styleId="12">
    <w:name w:val="正文缩进1"/>
    <w:basedOn w:val="1"/>
    <w:autoRedefine/>
    <w:qFormat/>
    <w:uiPriority w:val="0"/>
    <w:pPr>
      <w:spacing w:line="240" w:lineRule="auto"/>
      <w:ind w:firstLine="420"/>
    </w:pPr>
    <w:rPr>
      <w:rFonts w:ascii="Times New Roman" w:hAnsi="Times New Roman"/>
      <w:sz w:val="21"/>
      <w:szCs w:val="20"/>
    </w:rPr>
  </w:style>
  <w:style w:type="paragraph" w:customStyle="1" w:styleId="13">
    <w:name w:val="正文正文2"/>
    <w:basedOn w:val="1"/>
    <w:autoRedefine/>
    <w:qFormat/>
    <w:uiPriority w:val="0"/>
    <w:pPr>
      <w:ind w:firstLine="460"/>
    </w:pPr>
    <w:rPr>
      <w:sz w:val="21"/>
      <w:szCs w:val="21"/>
    </w:rPr>
  </w:style>
  <w:style w:type="character" w:customStyle="1" w:styleId="14">
    <w:name w:val="批注文字 字符"/>
    <w:basedOn w:val="10"/>
    <w:link w:val="4"/>
    <w:qFormat/>
    <w:uiPriority w:val="99"/>
    <w:rPr>
      <w:rFonts w:ascii="宋体" w:hAnsi="宋体"/>
      <w:kern w:val="2"/>
      <w:sz w:val="24"/>
      <w:szCs w:val="24"/>
    </w:rPr>
  </w:style>
  <w:style w:type="character" w:customStyle="1" w:styleId="15">
    <w:name w:val="批注主题 字符"/>
    <w:basedOn w:val="14"/>
    <w:link w:val="7"/>
    <w:qFormat/>
    <w:uiPriority w:val="0"/>
    <w:rPr>
      <w:rFonts w:ascii="宋体" w:hAnsi="宋体"/>
      <w:b/>
      <w:bCs/>
      <w:kern w:val="2"/>
      <w:sz w:val="24"/>
      <w:szCs w:val="24"/>
    </w:rPr>
  </w:style>
  <w:style w:type="paragraph" w:customStyle="1" w:styleId="16">
    <w:name w:val="一级标题"/>
    <w:basedOn w:val="17"/>
    <w:next w:val="1"/>
    <w:autoRedefine/>
    <w:qFormat/>
    <w:uiPriority w:val="1"/>
    <w:pPr>
      <w:numPr>
        <w:ilvl w:val="0"/>
        <w:numId w:val="2"/>
      </w:numPr>
      <w:spacing w:after="312" w:afterLines="100" w:line="288" w:lineRule="auto"/>
      <w:ind w:firstLineChars="0"/>
      <w:jc w:val="center"/>
      <w:outlineLvl w:val="0"/>
    </w:pPr>
    <w:rPr>
      <w:rFonts w:ascii="黑体" w:hAnsi="黑体" w:eastAsia="黑体" w:cstheme="minorBidi"/>
      <w:b/>
      <w:sz w:val="48"/>
      <w:szCs w:val="52"/>
    </w:rPr>
  </w:style>
  <w:style w:type="paragraph" w:styleId="17">
    <w:name w:val="List Paragraph"/>
    <w:basedOn w:val="1"/>
    <w:semiHidden/>
    <w:unhideWhenUsed/>
    <w:qFormat/>
    <w:uiPriority w:val="99"/>
    <w:pPr>
      <w:ind w:firstLine="420"/>
    </w:pPr>
  </w:style>
  <w:style w:type="paragraph" w:customStyle="1" w:styleId="18">
    <w:name w:val="二级标题"/>
    <w:basedOn w:val="16"/>
    <w:next w:val="1"/>
    <w:link w:val="19"/>
    <w:qFormat/>
    <w:uiPriority w:val="2"/>
    <w:pPr>
      <w:numPr>
        <w:ilvl w:val="1"/>
      </w:numPr>
      <w:spacing w:before="120" w:beforeLines="120" w:after="60" w:afterLines="60"/>
      <w:jc w:val="left"/>
      <w:outlineLvl w:val="1"/>
    </w:pPr>
    <w:rPr>
      <w:sz w:val="44"/>
      <w:szCs w:val="48"/>
    </w:rPr>
  </w:style>
  <w:style w:type="character" w:customStyle="1" w:styleId="19">
    <w:name w:val="二级标题 字符"/>
    <w:basedOn w:val="10"/>
    <w:link w:val="18"/>
    <w:qFormat/>
    <w:uiPriority w:val="2"/>
    <w:rPr>
      <w:rFonts w:ascii="黑体" w:hAnsi="黑体" w:eastAsia="黑体" w:cstheme="minorBidi"/>
      <w:b/>
      <w:kern w:val="2"/>
      <w:sz w:val="44"/>
      <w:szCs w:val="48"/>
    </w:rPr>
  </w:style>
  <w:style w:type="paragraph" w:customStyle="1" w:styleId="20">
    <w:name w:val="三级标题"/>
    <w:basedOn w:val="18"/>
    <w:next w:val="1"/>
    <w:link w:val="21"/>
    <w:qFormat/>
    <w:uiPriority w:val="3"/>
    <w:pPr>
      <w:numPr>
        <w:ilvl w:val="2"/>
      </w:numPr>
      <w:outlineLvl w:val="2"/>
    </w:pPr>
    <w:rPr>
      <w:sz w:val="36"/>
    </w:rPr>
  </w:style>
  <w:style w:type="character" w:customStyle="1" w:styleId="21">
    <w:name w:val="三级标题 字符"/>
    <w:basedOn w:val="19"/>
    <w:link w:val="20"/>
    <w:qFormat/>
    <w:uiPriority w:val="3"/>
    <w:rPr>
      <w:rFonts w:ascii="黑体" w:hAnsi="黑体" w:eastAsia="黑体" w:cstheme="minorBidi"/>
      <w:kern w:val="2"/>
      <w:sz w:val="36"/>
      <w:szCs w:val="48"/>
    </w:rPr>
  </w:style>
  <w:style w:type="paragraph" w:customStyle="1" w:styleId="22">
    <w:name w:val="四级标题"/>
    <w:basedOn w:val="20"/>
    <w:next w:val="1"/>
    <w:qFormat/>
    <w:uiPriority w:val="4"/>
    <w:pPr>
      <w:numPr>
        <w:ilvl w:val="3"/>
      </w:numPr>
      <w:tabs>
        <w:tab w:val="left" w:pos="360"/>
      </w:tabs>
      <w:ind w:left="1680" w:hanging="420"/>
      <w:outlineLvl w:val="3"/>
    </w:pPr>
    <w:rPr>
      <w:sz w:val="32"/>
    </w:rPr>
  </w:style>
  <w:style w:type="paragraph" w:customStyle="1" w:styleId="23">
    <w:name w:val="五级标题"/>
    <w:basedOn w:val="22"/>
    <w:next w:val="1"/>
    <w:qFormat/>
    <w:uiPriority w:val="5"/>
    <w:pPr>
      <w:numPr>
        <w:ilvl w:val="4"/>
      </w:numPr>
      <w:ind w:left="2100" w:hanging="420"/>
      <w:outlineLvl w:val="4"/>
    </w:pPr>
    <w:rPr>
      <w:sz w:val="30"/>
    </w:rPr>
  </w:style>
  <w:style w:type="paragraph" w:customStyle="1" w:styleId="24">
    <w:name w:val="六级标题"/>
    <w:basedOn w:val="23"/>
    <w:next w:val="1"/>
    <w:qFormat/>
    <w:uiPriority w:val="6"/>
    <w:pPr>
      <w:numPr>
        <w:ilvl w:val="5"/>
      </w:numPr>
      <w:ind w:left="2520" w:hanging="420"/>
    </w:pPr>
    <w:rPr>
      <w:sz w:val="28"/>
    </w:rPr>
  </w:style>
  <w:style w:type="paragraph" w:customStyle="1" w:styleId="25">
    <w:name w:val="七级标题"/>
    <w:basedOn w:val="24"/>
    <w:next w:val="1"/>
    <w:qFormat/>
    <w:uiPriority w:val="7"/>
    <w:pPr>
      <w:numPr>
        <w:ilvl w:val="6"/>
      </w:numPr>
      <w:tabs>
        <w:tab w:val="left" w:pos="1800"/>
      </w:tabs>
      <w:ind w:left="2940" w:hanging="420"/>
    </w:pPr>
    <w:rPr>
      <w:sz w:val="24"/>
    </w:rPr>
  </w:style>
  <w:style w:type="paragraph" w:customStyle="1" w:styleId="26">
    <w:name w:val="修订1"/>
    <w:hidden/>
    <w:unhideWhenUsed/>
    <w:qFormat/>
    <w:uiPriority w:val="99"/>
    <w:rPr>
      <w:rFonts w:ascii="宋体" w:hAnsi="宋体" w:eastAsia="宋体" w:cs="Times New Roman"/>
      <w:kern w:val="2"/>
      <w:sz w:val="24"/>
      <w:szCs w:val="24"/>
      <w:lang w:val="en-US" w:eastAsia="zh-CN" w:bidi="ar-SA"/>
    </w:rPr>
  </w:style>
  <w:style w:type="character" w:customStyle="1" w:styleId="27">
    <w:name w:val="批注框文本 字符"/>
    <w:basedOn w:val="10"/>
    <w:link w:val="5"/>
    <w:qFormat/>
    <w:uiPriority w:val="0"/>
    <w:rPr>
      <w:rFonts w:ascii="宋体" w:hAnsi="宋体"/>
      <w:kern w:val="2"/>
      <w:sz w:val="18"/>
      <w:szCs w:val="18"/>
    </w:rPr>
  </w:style>
  <w:style w:type="character" w:customStyle="1" w:styleId="28">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15</Pages>
  <Words>1236</Words>
  <Characters>7051</Characters>
  <Lines>58</Lines>
  <Paragraphs>16</Paragraphs>
  <TotalTime>0</TotalTime>
  <ScaleCrop>false</ScaleCrop>
  <LinksUpToDate>false</LinksUpToDate>
  <CharactersWithSpaces>8271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2024-10-26T01:38:00Z</dcterms:created>
  <dc:creator>user</dc:creator>
  <cp:lastModifiedBy>user</cp:lastModifiedBy>
  <dcterms:modified xsi:type="dcterms:W3CDTF">2024-10-31T08:39:05Z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C0333D9C9EDC434881011F08177B8D11_12</vt:lpwstr>
  </property>
</Properties>
</file>