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948B4">
      <w:pPr>
        <w:widowControl/>
        <w:jc w:val="center"/>
        <w:rPr>
          <w:rFonts w:hint="eastAsia" w:asciiTheme="minorEastAsia" w:hAnsiTheme="minorEastAsia" w:eastAsiaTheme="minorEastAsia" w:cstheme="minorEastAsia"/>
          <w:b/>
          <w:bCs/>
          <w:sz w:val="32"/>
          <w:szCs w:val="32"/>
          <w:lang w:bidi="ar"/>
        </w:rPr>
      </w:pPr>
      <w:r>
        <w:rPr>
          <w:rFonts w:hint="eastAsia" w:asciiTheme="minorEastAsia" w:hAnsiTheme="minorEastAsia" w:eastAsiaTheme="minorEastAsia" w:cstheme="minorEastAsia"/>
          <w:b/>
          <w:bCs/>
          <w:sz w:val="32"/>
          <w:szCs w:val="32"/>
          <w:lang w:bidi="ar"/>
        </w:rPr>
        <w:t>2025年高地大信息化系统集成服务</w:t>
      </w:r>
    </w:p>
    <w:p w14:paraId="5BB2450A">
      <w:pPr>
        <w:widowControl/>
        <w:jc w:val="center"/>
        <w:rPr>
          <w:rFonts w:hint="eastAsia" w:asciiTheme="minorEastAsia" w:hAnsiTheme="minorEastAsia" w:eastAsiaTheme="minorEastAsia" w:cstheme="minorEastAsia"/>
          <w:b/>
          <w:bCs/>
          <w:sz w:val="32"/>
          <w:szCs w:val="32"/>
          <w:lang w:bidi="ar"/>
        </w:rPr>
      </w:pPr>
      <w:r>
        <w:rPr>
          <w:rFonts w:hint="eastAsia" w:asciiTheme="minorEastAsia" w:hAnsiTheme="minorEastAsia" w:eastAsiaTheme="minorEastAsia" w:cstheme="minorEastAsia"/>
          <w:b/>
          <w:bCs/>
          <w:sz w:val="32"/>
          <w:szCs w:val="32"/>
          <w:lang w:bidi="ar"/>
        </w:rPr>
        <w:t>技术需求</w:t>
      </w:r>
    </w:p>
    <w:p w14:paraId="401E815B">
      <w:pPr>
        <w:pStyle w:val="5"/>
        <w:rPr>
          <w:rFonts w:hint="eastAsia" w:asciiTheme="minorEastAsia" w:hAnsiTheme="minorEastAsia" w:eastAsiaTheme="minorEastAsia" w:cstheme="minorEastAsia"/>
        </w:rPr>
      </w:pPr>
      <w:r>
        <w:rPr>
          <w:rFonts w:hint="eastAsia" w:asciiTheme="minorEastAsia" w:hAnsiTheme="minorEastAsia" w:eastAsiaTheme="minorEastAsia" w:cstheme="minorEastAsia"/>
        </w:rPr>
        <w:t>一、前言</w:t>
      </w:r>
    </w:p>
    <w:p w14:paraId="49DFFD6F">
      <w:pPr>
        <w:pStyle w:val="2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本次招标项目主要针对本轮2025年上海大学高地大信息化的9个项目，</w:t>
      </w:r>
      <w:r>
        <w:rPr>
          <w:rFonts w:hint="eastAsia" w:asciiTheme="minorEastAsia" w:hAnsiTheme="minorEastAsia" w:eastAsiaTheme="minorEastAsia" w:cstheme="minorEastAsia"/>
          <w:sz w:val="24"/>
          <w:szCs w:val="24"/>
        </w:rPr>
        <w:t xml:space="preserve"> 项目涵盖 “一网统管”“智能计算升级扩容”“元宇宙应用” 等多个领域，涉及软件、硬件、网络、AI 应用等多维度技术范畴。统一招标系统集成服务商可避免多服务商各自为战导致的标准不一、沟通壁垒等问题，通过统筹规划实现各子系统建设的无缝衔接，减少交叉作业冲突，缩短整体项目周期。</w:t>
      </w:r>
    </w:p>
    <w:p w14:paraId="42C1B251">
      <w:pPr>
        <w:pStyle w:val="2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上海大学已建成公共数据平台、统一身份认证、SDN 软件定义网络及千学百科大模型本地应用等核心基础信息化架构。统一服务商能从整体架构出发，确保新增子系统在数据交互、身份验证、网络适配、AI 应用调用等方面与现有系统深度兼容，降低因多厂商技术差异引发的系统冲突、数据孤岛等风险，保障校园信息化系统的整体稳定性。</w:t>
      </w:r>
    </w:p>
    <w:p w14:paraId="3DE2F092">
      <w:pPr>
        <w:pStyle w:val="2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校园信息化系统涉及大量教学、管理、科研数据，服务商必须严格遵循学校数据安全规范，在数据采集、传输、存储等环节实现全流程管控，确保各子系统在数据共享过程中符合隐私保护要求，同时满足 “大安全智慧协同” 等项目对数据安全的特殊需求。</w:t>
      </w:r>
    </w:p>
    <w:p w14:paraId="289F3B46">
      <w:pPr>
        <w:pStyle w:val="5"/>
        <w:rPr>
          <w:rFonts w:hint="eastAsia" w:asciiTheme="minorEastAsia" w:hAnsiTheme="minorEastAsia" w:eastAsiaTheme="minorEastAsia" w:cstheme="minorEastAsia"/>
        </w:rPr>
      </w:pPr>
      <w:r>
        <w:rPr>
          <w:rFonts w:hint="eastAsia" w:asciiTheme="minorEastAsia" w:hAnsiTheme="minorEastAsia" w:eastAsiaTheme="minorEastAsia" w:cstheme="minorEastAsia"/>
        </w:rPr>
        <w:t>二、系统集成融合要求</w:t>
      </w:r>
    </w:p>
    <w:p w14:paraId="1F1078FF">
      <w:pPr>
        <w:pStyle w:val="20"/>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软件系统集成融合要求</w:t>
      </w:r>
    </w:p>
    <w:p w14:paraId="423AE6BE">
      <w:pPr>
        <w:pStyle w:val="20"/>
        <w:numPr>
          <w:ilvl w:val="0"/>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数据层面</w:t>
      </w:r>
      <w:r>
        <w:rPr>
          <w:rFonts w:hint="eastAsia" w:asciiTheme="minorEastAsia" w:hAnsiTheme="minorEastAsia" w:eastAsiaTheme="minorEastAsia" w:cstheme="minorEastAsia"/>
          <w:sz w:val="24"/>
          <w:szCs w:val="24"/>
        </w:rPr>
        <w:t>：所有新增软件子系统（如 “一网统管”“X</w:t>
      </w:r>
      <w:r>
        <w:rPr>
          <w:rFonts w:asciiTheme="minorEastAsia" w:hAnsiTheme="minorEastAsia" w:eastAsiaTheme="minorEastAsia" w:cstheme="minorEastAsia"/>
          <w:sz w:val="24"/>
          <w:szCs w:val="24"/>
        </w:rPr>
        <w:t>C</w:t>
      </w:r>
      <w:r>
        <w:rPr>
          <w:rFonts w:hint="eastAsia" w:asciiTheme="minorEastAsia" w:hAnsiTheme="minorEastAsia" w:eastAsiaTheme="minorEastAsia" w:cstheme="minorEastAsia"/>
          <w:sz w:val="24"/>
          <w:szCs w:val="24"/>
        </w:rPr>
        <w:t>适配” 等）需与学校公共数据平台实现对接，遵循统一的数据标准和接口规范。确保子系统产生的业务数据能实时同步至公共数据平台，同时可按需调用平台中的共享数据，实现跨系统数据联动。</w:t>
      </w:r>
    </w:p>
    <w:p w14:paraId="0B089277">
      <w:pPr>
        <w:pStyle w:val="20"/>
        <w:numPr>
          <w:ilvl w:val="0"/>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身份认证层面</w:t>
      </w:r>
      <w:r>
        <w:rPr>
          <w:rFonts w:hint="eastAsia" w:asciiTheme="minorEastAsia" w:hAnsiTheme="minorEastAsia" w:eastAsiaTheme="minorEastAsia" w:cstheme="minorEastAsia"/>
          <w:sz w:val="24"/>
          <w:szCs w:val="24"/>
        </w:rPr>
        <w:t>：必须接入学校统一身份认证系统，采用统一的用户身份标识体系。用户在访问各子系统时，通过统一身份认证入口完成登录，支持单点登录（SSO）功能，避免重复认证，保障用户体验与账号安全。</w:t>
      </w:r>
    </w:p>
    <w:p w14:paraId="7E237D15">
      <w:pPr>
        <w:pStyle w:val="20"/>
        <w:numPr>
          <w:ilvl w:val="0"/>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AI 大模型应用层面</w:t>
      </w:r>
      <w:r>
        <w:rPr>
          <w:rFonts w:hint="eastAsia" w:asciiTheme="minorEastAsia" w:hAnsiTheme="minorEastAsia" w:eastAsiaTheme="minorEastAsia" w:cstheme="minorEastAsia"/>
          <w:sz w:val="24"/>
          <w:szCs w:val="24"/>
        </w:rPr>
        <w:t>：涉及智能分析、服务推荐等功能的子系统（如 “线上教学网络信息化”“元宇宙应用”），需优先调用千学百科大模型校内本地应用能力。服务商需开发适配接口，实现子系统与大模型的无缝对接，确保 AI 服务的本地化部署与高效调用，同时符合学校对 AI 应用的合规性要求。</w:t>
      </w:r>
    </w:p>
    <w:p w14:paraId="3C4A6327">
      <w:pPr>
        <w:pStyle w:val="20"/>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硬件系统集成融合要求</w:t>
      </w:r>
    </w:p>
    <w:p w14:paraId="729F71C2">
      <w:pPr>
        <w:pStyle w:val="20"/>
        <w:numPr>
          <w:ilvl w:val="0"/>
          <w:numId w:val="3"/>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网络环境适配</w:t>
      </w:r>
      <w:r>
        <w:rPr>
          <w:rFonts w:hint="eastAsia" w:asciiTheme="minorEastAsia" w:hAnsiTheme="minorEastAsia" w:eastAsiaTheme="minorEastAsia" w:cstheme="minorEastAsia"/>
          <w:sz w:val="24"/>
          <w:szCs w:val="24"/>
        </w:rPr>
        <w:t>：硬件设备（如 “无线覆盖扩容”“智能计算升级扩容” 涉及的设备）需与学校 SDN 软件定义网络架构兼容，支持通过 SDN 控制器实现网络资源的动态调度与管理。设备接入需遵循网络规划的 IP 地址分配、VLAN 划分等规则，确保网络拓扑的合理性与稳定性。</w:t>
      </w:r>
    </w:p>
    <w:p w14:paraId="282CEC52">
      <w:pPr>
        <w:pStyle w:val="20"/>
        <w:numPr>
          <w:ilvl w:val="0"/>
          <w:numId w:val="3"/>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身份认证关联</w:t>
      </w:r>
      <w:r>
        <w:rPr>
          <w:rFonts w:hint="eastAsia" w:asciiTheme="minorEastAsia" w:hAnsiTheme="minorEastAsia" w:eastAsiaTheme="minorEastAsia" w:cstheme="minorEastAsia"/>
          <w:sz w:val="24"/>
          <w:szCs w:val="24"/>
        </w:rPr>
        <w:t>：对于需用户操作或权限管理的硬件设备，需通过统一身份认证系统实现权限管控。例如，智能计算节点的访问权限、网络设备的管理权限等，均需与用户在统一身份认证系统中的角色权限对应，保障硬件资源的安全使用。</w:t>
      </w:r>
    </w:p>
    <w:p w14:paraId="090E4C4F">
      <w:pPr>
        <w:pStyle w:val="20"/>
        <w:numPr>
          <w:ilvl w:val="0"/>
          <w:numId w:val="3"/>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整体架构协同</w:t>
      </w:r>
      <w:r>
        <w:rPr>
          <w:rFonts w:hint="eastAsia" w:asciiTheme="minorEastAsia" w:hAnsiTheme="minorEastAsia" w:eastAsiaTheme="minorEastAsia" w:cstheme="minorEastAsia"/>
          <w:sz w:val="24"/>
          <w:szCs w:val="24"/>
        </w:rPr>
        <w:t>：硬件系统的部署需考虑与现有网络设备、服务器集群等基础设施的兼容性，避免因硬件接口、通信协议差异导致的连接问题。同时，需配合软件系统的数据传输需求，优化硬件资源配置，确保数据处理与传输的高效性。</w:t>
      </w:r>
    </w:p>
    <w:p w14:paraId="35745182">
      <w:pPr>
        <w:pStyle w:val="5"/>
        <w:rPr>
          <w:rFonts w:hint="eastAsia" w:asciiTheme="minorEastAsia" w:hAnsiTheme="minorEastAsia" w:eastAsiaTheme="minorEastAsia" w:cstheme="minorEastAsia"/>
        </w:rPr>
      </w:pPr>
      <w:r>
        <w:rPr>
          <w:rFonts w:hint="eastAsia" w:asciiTheme="minorEastAsia" w:hAnsiTheme="minorEastAsia" w:eastAsiaTheme="minorEastAsia" w:cstheme="minorEastAsia"/>
        </w:rPr>
        <w:t>三、</w:t>
      </w:r>
      <w:bookmarkStart w:id="17" w:name="_GoBack"/>
      <w:bookmarkEnd w:id="17"/>
      <w:r>
        <w:rPr>
          <w:rFonts w:hint="eastAsia" w:asciiTheme="minorEastAsia" w:hAnsiTheme="minorEastAsia" w:eastAsiaTheme="minorEastAsia" w:cstheme="minorEastAsia"/>
          <w:lang w:val="en-US" w:eastAsia="zh-CN"/>
        </w:rPr>
        <w:t>需要集成的子系统项目</w:t>
      </w:r>
      <w:r>
        <w:rPr>
          <w:rFonts w:hint="eastAsia" w:asciiTheme="minorEastAsia" w:hAnsiTheme="minorEastAsia" w:eastAsiaTheme="minorEastAsia" w:cstheme="minorEastAsia"/>
        </w:rPr>
        <w:t>内容</w:t>
      </w:r>
    </w:p>
    <w:tbl>
      <w:tblPr>
        <w:tblStyle w:val="14"/>
        <w:tblW w:w="4927" w:type="pct"/>
        <w:tblInd w:w="0" w:type="dxa"/>
        <w:tblLayout w:type="autofit"/>
        <w:tblCellMar>
          <w:top w:w="0" w:type="dxa"/>
          <w:left w:w="108" w:type="dxa"/>
          <w:bottom w:w="0" w:type="dxa"/>
          <w:right w:w="108" w:type="dxa"/>
        </w:tblCellMar>
      </w:tblPr>
      <w:tblGrid>
        <w:gridCol w:w="883"/>
        <w:gridCol w:w="8224"/>
      </w:tblGrid>
      <w:tr w14:paraId="0DB43E4A">
        <w:tblPrEx>
          <w:tblCellMar>
            <w:top w:w="0" w:type="dxa"/>
            <w:left w:w="108" w:type="dxa"/>
            <w:bottom w:w="0" w:type="dxa"/>
            <w:right w:w="108" w:type="dxa"/>
          </w:tblCellMar>
        </w:tblPrEx>
        <w:trPr>
          <w:trHeight w:val="567" w:hRule="atLeast"/>
        </w:trPr>
        <w:tc>
          <w:tcPr>
            <w:tcW w:w="485" w:type="pct"/>
            <w:tcBorders>
              <w:top w:val="single" w:color="000000" w:sz="4" w:space="0"/>
              <w:left w:val="single" w:color="000000" w:sz="4" w:space="0"/>
              <w:bottom w:val="single" w:color="000000" w:sz="4" w:space="0"/>
              <w:right w:val="single" w:color="000000" w:sz="4" w:space="0"/>
            </w:tcBorders>
            <w:vAlign w:val="bottom"/>
          </w:tcPr>
          <w:p w14:paraId="695A5092">
            <w:pPr>
              <w:widowControl/>
              <w:spacing w:line="360" w:lineRule="auto"/>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bidi="ar"/>
              </w:rPr>
              <w:t>序号</w:t>
            </w:r>
          </w:p>
        </w:tc>
        <w:tc>
          <w:tcPr>
            <w:tcW w:w="4514" w:type="pct"/>
            <w:tcBorders>
              <w:top w:val="single" w:color="000000" w:sz="4" w:space="0"/>
              <w:left w:val="single" w:color="000000" w:sz="4" w:space="0"/>
              <w:bottom w:val="single" w:color="000000" w:sz="4" w:space="0"/>
              <w:right w:val="single" w:color="000000" w:sz="4" w:space="0"/>
            </w:tcBorders>
            <w:vAlign w:val="bottom"/>
          </w:tcPr>
          <w:p w14:paraId="50804D2F">
            <w:pPr>
              <w:widowControl/>
              <w:spacing w:line="360" w:lineRule="auto"/>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bidi="ar"/>
              </w:rPr>
              <w:t>项目名称</w:t>
            </w:r>
          </w:p>
        </w:tc>
      </w:tr>
      <w:tr w14:paraId="5235429A">
        <w:tblPrEx>
          <w:tblCellMar>
            <w:top w:w="0" w:type="dxa"/>
            <w:left w:w="108" w:type="dxa"/>
            <w:bottom w:w="0" w:type="dxa"/>
            <w:right w:w="108" w:type="dxa"/>
          </w:tblCellMar>
        </w:tblPrEx>
        <w:trPr>
          <w:trHeight w:val="567" w:hRule="atLeast"/>
        </w:trPr>
        <w:tc>
          <w:tcPr>
            <w:tcW w:w="485" w:type="pct"/>
            <w:tcBorders>
              <w:top w:val="single" w:color="000000" w:sz="4" w:space="0"/>
              <w:left w:val="single" w:color="000000" w:sz="4" w:space="0"/>
              <w:bottom w:val="single" w:color="000000" w:sz="4" w:space="0"/>
              <w:right w:val="single" w:color="000000" w:sz="4" w:space="0"/>
            </w:tcBorders>
            <w:vAlign w:val="bottom"/>
          </w:tcPr>
          <w:p w14:paraId="69E596DF">
            <w:pPr>
              <w:widowControl/>
              <w:spacing w:line="360" w:lineRule="auto"/>
              <w:jc w:val="center"/>
              <w:textAlignment w:val="bottom"/>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1</w:t>
            </w:r>
          </w:p>
        </w:tc>
        <w:tc>
          <w:tcPr>
            <w:tcW w:w="4514" w:type="pct"/>
            <w:tcBorders>
              <w:top w:val="single" w:color="000000" w:sz="4" w:space="0"/>
              <w:left w:val="single" w:color="000000" w:sz="4" w:space="0"/>
              <w:bottom w:val="single" w:color="000000" w:sz="4" w:space="0"/>
              <w:right w:val="single" w:color="000000" w:sz="4" w:space="0"/>
            </w:tcBorders>
            <w:vAlign w:val="bottom"/>
          </w:tcPr>
          <w:p w14:paraId="127CEFA2">
            <w:pPr>
              <w:widowControl/>
              <w:spacing w:line="360" w:lineRule="auto"/>
              <w:jc w:val="center"/>
              <w:textAlignment w:val="bottom"/>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上海大学“一网统管”子系统建设项目</w:t>
            </w:r>
          </w:p>
        </w:tc>
      </w:tr>
      <w:tr w14:paraId="369AD66C">
        <w:tblPrEx>
          <w:tblCellMar>
            <w:top w:w="0" w:type="dxa"/>
            <w:left w:w="108" w:type="dxa"/>
            <w:bottom w:w="0" w:type="dxa"/>
            <w:right w:w="108" w:type="dxa"/>
          </w:tblCellMar>
        </w:tblPrEx>
        <w:trPr>
          <w:trHeight w:val="567" w:hRule="atLeast"/>
        </w:trPr>
        <w:tc>
          <w:tcPr>
            <w:tcW w:w="485" w:type="pct"/>
            <w:tcBorders>
              <w:top w:val="single" w:color="000000" w:sz="4" w:space="0"/>
              <w:left w:val="single" w:color="000000" w:sz="4" w:space="0"/>
              <w:bottom w:val="single" w:color="000000" w:sz="4" w:space="0"/>
              <w:right w:val="single" w:color="000000" w:sz="4" w:space="0"/>
            </w:tcBorders>
            <w:vAlign w:val="bottom"/>
          </w:tcPr>
          <w:p w14:paraId="518DA05A">
            <w:pPr>
              <w:widowControl/>
              <w:spacing w:line="360" w:lineRule="auto"/>
              <w:jc w:val="center"/>
              <w:textAlignment w:val="bottom"/>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2</w:t>
            </w:r>
          </w:p>
        </w:tc>
        <w:tc>
          <w:tcPr>
            <w:tcW w:w="4514" w:type="pct"/>
            <w:tcBorders>
              <w:top w:val="single" w:color="000000" w:sz="4" w:space="0"/>
              <w:left w:val="single" w:color="000000" w:sz="4" w:space="0"/>
              <w:bottom w:val="single" w:color="000000" w:sz="4" w:space="0"/>
              <w:right w:val="single" w:color="000000" w:sz="4" w:space="0"/>
            </w:tcBorders>
            <w:vAlign w:val="bottom"/>
          </w:tcPr>
          <w:p w14:paraId="0F6A618B">
            <w:pPr>
              <w:widowControl/>
              <w:spacing w:line="360" w:lineRule="auto"/>
              <w:jc w:val="center"/>
              <w:textAlignment w:val="bottom"/>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IPV4&amp;IPV6双栈安全运营保障子系统建设项目</w:t>
            </w:r>
          </w:p>
        </w:tc>
      </w:tr>
      <w:tr w14:paraId="0BF5DABD">
        <w:tblPrEx>
          <w:tblCellMar>
            <w:top w:w="0" w:type="dxa"/>
            <w:left w:w="108" w:type="dxa"/>
            <w:bottom w:w="0" w:type="dxa"/>
            <w:right w:w="108" w:type="dxa"/>
          </w:tblCellMar>
        </w:tblPrEx>
        <w:trPr>
          <w:trHeight w:val="567" w:hRule="atLeast"/>
        </w:trPr>
        <w:tc>
          <w:tcPr>
            <w:tcW w:w="485" w:type="pct"/>
            <w:tcBorders>
              <w:top w:val="single" w:color="000000" w:sz="4" w:space="0"/>
              <w:left w:val="single" w:color="000000" w:sz="4" w:space="0"/>
              <w:bottom w:val="single" w:color="000000" w:sz="4" w:space="0"/>
              <w:right w:val="single" w:color="000000" w:sz="4" w:space="0"/>
            </w:tcBorders>
            <w:vAlign w:val="bottom"/>
          </w:tcPr>
          <w:p w14:paraId="367BB89A">
            <w:pPr>
              <w:widowControl/>
              <w:spacing w:line="360" w:lineRule="auto"/>
              <w:jc w:val="center"/>
              <w:textAlignment w:val="bottom"/>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3</w:t>
            </w:r>
          </w:p>
        </w:tc>
        <w:tc>
          <w:tcPr>
            <w:tcW w:w="4514" w:type="pct"/>
            <w:tcBorders>
              <w:top w:val="single" w:color="000000" w:sz="4" w:space="0"/>
              <w:left w:val="single" w:color="000000" w:sz="4" w:space="0"/>
              <w:bottom w:val="single" w:color="000000" w:sz="4" w:space="0"/>
              <w:right w:val="single" w:color="000000" w:sz="4" w:space="0"/>
            </w:tcBorders>
            <w:vAlign w:val="bottom"/>
          </w:tcPr>
          <w:p w14:paraId="0AE65563">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上海大学智能计算升级扩容子系统建设项目</w:t>
            </w:r>
          </w:p>
        </w:tc>
      </w:tr>
      <w:tr w14:paraId="3F4EDB38">
        <w:tblPrEx>
          <w:tblCellMar>
            <w:top w:w="0" w:type="dxa"/>
            <w:left w:w="108" w:type="dxa"/>
            <w:bottom w:w="0" w:type="dxa"/>
            <w:right w:w="108" w:type="dxa"/>
          </w:tblCellMar>
        </w:tblPrEx>
        <w:trPr>
          <w:trHeight w:val="567" w:hRule="atLeast"/>
        </w:trPr>
        <w:tc>
          <w:tcPr>
            <w:tcW w:w="485" w:type="pct"/>
            <w:tcBorders>
              <w:top w:val="single" w:color="000000" w:sz="4" w:space="0"/>
              <w:left w:val="single" w:color="000000" w:sz="4" w:space="0"/>
              <w:bottom w:val="single" w:color="000000" w:sz="4" w:space="0"/>
              <w:right w:val="single" w:color="000000" w:sz="4" w:space="0"/>
            </w:tcBorders>
            <w:vAlign w:val="bottom"/>
          </w:tcPr>
          <w:p w14:paraId="4385895A">
            <w:pPr>
              <w:widowControl/>
              <w:spacing w:line="360" w:lineRule="auto"/>
              <w:jc w:val="center"/>
              <w:textAlignment w:val="bottom"/>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4</w:t>
            </w:r>
          </w:p>
        </w:tc>
        <w:tc>
          <w:tcPr>
            <w:tcW w:w="4514" w:type="pct"/>
            <w:tcBorders>
              <w:top w:val="single" w:color="000000" w:sz="4" w:space="0"/>
              <w:left w:val="single" w:color="000000" w:sz="4" w:space="0"/>
              <w:bottom w:val="single" w:color="000000" w:sz="4" w:space="0"/>
              <w:right w:val="single" w:color="000000" w:sz="4" w:space="0"/>
            </w:tcBorders>
            <w:vAlign w:val="bottom"/>
          </w:tcPr>
          <w:p w14:paraId="67B92277">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上海大学大安全智慧协同子系统建设项目</w:t>
            </w:r>
          </w:p>
        </w:tc>
      </w:tr>
      <w:tr w14:paraId="53A87BC6">
        <w:tblPrEx>
          <w:tblCellMar>
            <w:top w:w="0" w:type="dxa"/>
            <w:left w:w="108" w:type="dxa"/>
            <w:bottom w:w="0" w:type="dxa"/>
            <w:right w:w="108" w:type="dxa"/>
          </w:tblCellMar>
        </w:tblPrEx>
        <w:trPr>
          <w:trHeight w:val="567" w:hRule="atLeast"/>
        </w:trPr>
        <w:tc>
          <w:tcPr>
            <w:tcW w:w="485" w:type="pct"/>
            <w:tcBorders>
              <w:top w:val="single" w:color="000000" w:sz="4" w:space="0"/>
              <w:left w:val="single" w:color="000000" w:sz="4" w:space="0"/>
              <w:bottom w:val="single" w:color="000000" w:sz="4" w:space="0"/>
              <w:right w:val="single" w:color="000000" w:sz="4" w:space="0"/>
            </w:tcBorders>
            <w:vAlign w:val="bottom"/>
          </w:tcPr>
          <w:p w14:paraId="72087C61">
            <w:pPr>
              <w:widowControl/>
              <w:spacing w:line="360" w:lineRule="auto"/>
              <w:jc w:val="center"/>
              <w:textAlignment w:val="bottom"/>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5</w:t>
            </w:r>
          </w:p>
        </w:tc>
        <w:tc>
          <w:tcPr>
            <w:tcW w:w="4514" w:type="pct"/>
            <w:tcBorders>
              <w:top w:val="single" w:color="000000" w:sz="4" w:space="0"/>
              <w:left w:val="single" w:color="000000" w:sz="4" w:space="0"/>
              <w:bottom w:val="single" w:color="000000" w:sz="4" w:space="0"/>
              <w:right w:val="single" w:color="000000" w:sz="4" w:space="0"/>
            </w:tcBorders>
            <w:vAlign w:val="bottom"/>
          </w:tcPr>
          <w:p w14:paraId="36EAF654">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上海大学X</w:t>
            </w:r>
            <w:r>
              <w:rPr>
                <w:rFonts w:asciiTheme="minorEastAsia" w:hAnsiTheme="minorEastAsia" w:eastAsiaTheme="minorEastAsia" w:cstheme="minorEastAsia"/>
                <w:color w:val="000000"/>
                <w:sz w:val="24"/>
                <w:szCs w:val="24"/>
                <w:lang w:bidi="ar"/>
              </w:rPr>
              <w:t>C</w:t>
            </w:r>
            <w:r>
              <w:rPr>
                <w:rFonts w:hint="eastAsia" w:asciiTheme="minorEastAsia" w:hAnsiTheme="minorEastAsia" w:eastAsiaTheme="minorEastAsia" w:cstheme="minorEastAsia"/>
                <w:color w:val="000000"/>
                <w:sz w:val="24"/>
                <w:szCs w:val="24"/>
                <w:lang w:bidi="ar"/>
              </w:rPr>
              <w:t>适配子系统建设项目</w:t>
            </w:r>
          </w:p>
        </w:tc>
      </w:tr>
      <w:tr w14:paraId="19420D23">
        <w:tblPrEx>
          <w:tblCellMar>
            <w:top w:w="0" w:type="dxa"/>
            <w:left w:w="108" w:type="dxa"/>
            <w:bottom w:w="0" w:type="dxa"/>
            <w:right w:w="108" w:type="dxa"/>
          </w:tblCellMar>
        </w:tblPrEx>
        <w:trPr>
          <w:trHeight w:val="567" w:hRule="atLeast"/>
        </w:trPr>
        <w:tc>
          <w:tcPr>
            <w:tcW w:w="485" w:type="pct"/>
            <w:tcBorders>
              <w:top w:val="single" w:color="000000" w:sz="4" w:space="0"/>
              <w:left w:val="single" w:color="000000" w:sz="4" w:space="0"/>
              <w:bottom w:val="single" w:color="000000" w:sz="4" w:space="0"/>
              <w:right w:val="single" w:color="000000" w:sz="4" w:space="0"/>
            </w:tcBorders>
            <w:vAlign w:val="bottom"/>
          </w:tcPr>
          <w:p w14:paraId="0AF341DD">
            <w:pPr>
              <w:widowControl/>
              <w:spacing w:line="360" w:lineRule="auto"/>
              <w:jc w:val="center"/>
              <w:textAlignment w:val="bottom"/>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6</w:t>
            </w:r>
          </w:p>
        </w:tc>
        <w:tc>
          <w:tcPr>
            <w:tcW w:w="4514" w:type="pct"/>
            <w:tcBorders>
              <w:top w:val="single" w:color="000000" w:sz="4" w:space="0"/>
              <w:left w:val="single" w:color="000000" w:sz="4" w:space="0"/>
              <w:bottom w:val="single" w:color="000000" w:sz="4" w:space="0"/>
              <w:right w:val="single" w:color="000000" w:sz="4" w:space="0"/>
            </w:tcBorders>
            <w:vAlign w:val="bottom"/>
          </w:tcPr>
          <w:p w14:paraId="43B92A85">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上海大学无线覆盖扩容子系统建设项目</w:t>
            </w:r>
          </w:p>
        </w:tc>
      </w:tr>
      <w:tr w14:paraId="0F78ACED">
        <w:tblPrEx>
          <w:tblCellMar>
            <w:top w:w="0" w:type="dxa"/>
            <w:left w:w="108" w:type="dxa"/>
            <w:bottom w:w="0" w:type="dxa"/>
            <w:right w:w="108" w:type="dxa"/>
          </w:tblCellMar>
        </w:tblPrEx>
        <w:trPr>
          <w:trHeight w:val="567" w:hRule="atLeast"/>
        </w:trPr>
        <w:tc>
          <w:tcPr>
            <w:tcW w:w="485" w:type="pct"/>
            <w:tcBorders>
              <w:top w:val="single" w:color="000000" w:sz="4" w:space="0"/>
              <w:left w:val="single" w:color="000000" w:sz="4" w:space="0"/>
              <w:bottom w:val="single" w:color="000000" w:sz="4" w:space="0"/>
              <w:right w:val="single" w:color="000000" w:sz="4" w:space="0"/>
            </w:tcBorders>
            <w:vAlign w:val="bottom"/>
          </w:tcPr>
          <w:p w14:paraId="1119B32F">
            <w:pPr>
              <w:widowControl/>
              <w:spacing w:line="360" w:lineRule="auto"/>
              <w:jc w:val="center"/>
              <w:textAlignment w:val="bottom"/>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7</w:t>
            </w:r>
          </w:p>
        </w:tc>
        <w:tc>
          <w:tcPr>
            <w:tcW w:w="4514" w:type="pct"/>
            <w:tcBorders>
              <w:top w:val="single" w:color="000000" w:sz="4" w:space="0"/>
              <w:left w:val="single" w:color="000000" w:sz="4" w:space="0"/>
              <w:bottom w:val="single" w:color="000000" w:sz="4" w:space="0"/>
              <w:right w:val="single" w:color="000000" w:sz="4" w:space="0"/>
            </w:tcBorders>
            <w:vAlign w:val="bottom"/>
          </w:tcPr>
          <w:p w14:paraId="5257474C">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上海大学线上教学网络信息化子系统建设项目</w:t>
            </w:r>
          </w:p>
        </w:tc>
      </w:tr>
      <w:tr w14:paraId="611B38C8">
        <w:tblPrEx>
          <w:tblCellMar>
            <w:top w:w="0" w:type="dxa"/>
            <w:left w:w="108" w:type="dxa"/>
            <w:bottom w:w="0" w:type="dxa"/>
            <w:right w:w="108" w:type="dxa"/>
          </w:tblCellMar>
        </w:tblPrEx>
        <w:trPr>
          <w:trHeight w:val="567" w:hRule="atLeast"/>
        </w:trPr>
        <w:tc>
          <w:tcPr>
            <w:tcW w:w="485" w:type="pct"/>
            <w:tcBorders>
              <w:top w:val="single" w:color="000000" w:sz="4" w:space="0"/>
              <w:left w:val="single" w:color="000000" w:sz="4" w:space="0"/>
              <w:bottom w:val="single" w:color="000000" w:sz="4" w:space="0"/>
              <w:right w:val="single" w:color="000000" w:sz="4" w:space="0"/>
            </w:tcBorders>
            <w:vAlign w:val="bottom"/>
          </w:tcPr>
          <w:p w14:paraId="4249F126">
            <w:pPr>
              <w:widowControl/>
              <w:spacing w:line="360" w:lineRule="auto"/>
              <w:jc w:val="center"/>
              <w:textAlignment w:val="bottom"/>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8</w:t>
            </w:r>
          </w:p>
        </w:tc>
        <w:tc>
          <w:tcPr>
            <w:tcW w:w="4514" w:type="pct"/>
            <w:tcBorders>
              <w:top w:val="single" w:color="000000" w:sz="4" w:space="0"/>
              <w:left w:val="single" w:color="000000" w:sz="4" w:space="0"/>
              <w:bottom w:val="single" w:color="000000" w:sz="4" w:space="0"/>
              <w:right w:val="single" w:color="000000" w:sz="4" w:space="0"/>
            </w:tcBorders>
            <w:vAlign w:val="bottom"/>
          </w:tcPr>
          <w:p w14:paraId="7ECE2663">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校园3D校园3D空间数字化及元宇宙应用子 系统建设项目</w:t>
            </w:r>
          </w:p>
        </w:tc>
      </w:tr>
      <w:tr w14:paraId="2EC07DC4">
        <w:tblPrEx>
          <w:tblCellMar>
            <w:top w:w="0" w:type="dxa"/>
            <w:left w:w="108" w:type="dxa"/>
            <w:bottom w:w="0" w:type="dxa"/>
            <w:right w:w="108" w:type="dxa"/>
          </w:tblCellMar>
        </w:tblPrEx>
        <w:trPr>
          <w:trHeight w:val="567" w:hRule="atLeast"/>
        </w:trPr>
        <w:tc>
          <w:tcPr>
            <w:tcW w:w="485" w:type="pct"/>
            <w:tcBorders>
              <w:top w:val="single" w:color="000000" w:sz="4" w:space="0"/>
              <w:left w:val="single" w:color="000000" w:sz="4" w:space="0"/>
              <w:bottom w:val="single" w:color="000000" w:sz="4" w:space="0"/>
              <w:right w:val="single" w:color="000000" w:sz="4" w:space="0"/>
            </w:tcBorders>
            <w:vAlign w:val="bottom"/>
          </w:tcPr>
          <w:p w14:paraId="625FDABE">
            <w:pPr>
              <w:widowControl/>
              <w:spacing w:line="360" w:lineRule="auto"/>
              <w:jc w:val="center"/>
              <w:textAlignment w:val="bottom"/>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9</w:t>
            </w:r>
          </w:p>
        </w:tc>
        <w:tc>
          <w:tcPr>
            <w:tcW w:w="4514" w:type="pct"/>
            <w:tcBorders>
              <w:top w:val="single" w:color="000000" w:sz="4" w:space="0"/>
              <w:left w:val="single" w:color="000000" w:sz="4" w:space="0"/>
              <w:bottom w:val="single" w:color="000000" w:sz="4" w:space="0"/>
              <w:right w:val="single" w:color="000000" w:sz="4" w:space="0"/>
            </w:tcBorders>
            <w:vAlign w:val="bottom"/>
          </w:tcPr>
          <w:p w14:paraId="6D26BFBD">
            <w:pPr>
              <w:widowControl/>
              <w:spacing w:line="360" w:lineRule="auto"/>
              <w:jc w:val="center"/>
              <w:textAlignment w:val="center"/>
              <w:rPr>
                <w:rFonts w:hint="eastAsia" w:asciiTheme="minorEastAsia" w:hAnsiTheme="minorEastAsia" w:eastAsiaTheme="minorEastAsia" w:cstheme="minorEastAsia"/>
                <w:color w:val="FF0000"/>
                <w:sz w:val="24"/>
                <w:szCs w:val="24"/>
                <w:lang w:bidi="ar"/>
              </w:rPr>
            </w:pPr>
            <w:r>
              <w:rPr>
                <w:rFonts w:hint="eastAsia" w:asciiTheme="minorEastAsia" w:hAnsiTheme="minorEastAsia" w:eastAsiaTheme="minorEastAsia" w:cstheme="minorEastAsia"/>
                <w:color w:val="FF0000"/>
                <w:sz w:val="24"/>
                <w:szCs w:val="24"/>
                <w:lang w:bidi="ar"/>
              </w:rPr>
              <w:t>其它日常项目不少于3项，按校方安排执行</w:t>
            </w:r>
          </w:p>
        </w:tc>
      </w:tr>
      <w:tr w14:paraId="29FA9DEA">
        <w:tblPrEx>
          <w:tblCellMar>
            <w:top w:w="0" w:type="dxa"/>
            <w:left w:w="108" w:type="dxa"/>
            <w:bottom w:w="0" w:type="dxa"/>
            <w:right w:w="108" w:type="dxa"/>
          </w:tblCellMar>
        </w:tblPrEx>
        <w:trPr>
          <w:trHeight w:val="567" w:hRule="atLeast"/>
        </w:trPr>
        <w:tc>
          <w:tcPr>
            <w:tcW w:w="485" w:type="pct"/>
            <w:tcBorders>
              <w:top w:val="single" w:color="000000" w:sz="4" w:space="0"/>
              <w:left w:val="single" w:color="000000" w:sz="4" w:space="0"/>
              <w:bottom w:val="single" w:color="000000" w:sz="4" w:space="0"/>
              <w:right w:val="single" w:color="000000" w:sz="4" w:space="0"/>
            </w:tcBorders>
            <w:vAlign w:val="bottom"/>
          </w:tcPr>
          <w:p w14:paraId="3D071F2C">
            <w:pPr>
              <w:spacing w:line="360" w:lineRule="auto"/>
              <w:jc w:val="center"/>
              <w:rPr>
                <w:rFonts w:hint="eastAsia" w:asciiTheme="minorEastAsia" w:hAnsiTheme="minorEastAsia" w:eastAsiaTheme="minorEastAsia" w:cstheme="minorEastAsia"/>
                <w:color w:val="000000"/>
                <w:sz w:val="24"/>
                <w:szCs w:val="24"/>
              </w:rPr>
            </w:pPr>
          </w:p>
        </w:tc>
        <w:tc>
          <w:tcPr>
            <w:tcW w:w="4514" w:type="pct"/>
            <w:tcBorders>
              <w:top w:val="single" w:color="000000" w:sz="4" w:space="0"/>
              <w:left w:val="single" w:color="000000" w:sz="4" w:space="0"/>
              <w:bottom w:val="single" w:color="000000" w:sz="4" w:space="0"/>
              <w:right w:val="single" w:color="000000" w:sz="4" w:space="0"/>
            </w:tcBorders>
            <w:vAlign w:val="bottom"/>
          </w:tcPr>
          <w:p w14:paraId="37AB8D8F">
            <w:pPr>
              <w:widowControl/>
              <w:spacing w:line="360" w:lineRule="auto"/>
              <w:jc w:val="center"/>
              <w:textAlignment w:val="center"/>
              <w:rPr>
                <w:rFonts w:hint="eastAsia" w:asciiTheme="minorEastAsia" w:hAnsiTheme="minorEastAsia" w:eastAsiaTheme="minorEastAsia" w:cstheme="minorEastAsia"/>
                <w:color w:val="000000"/>
                <w:sz w:val="24"/>
                <w:szCs w:val="24"/>
              </w:rPr>
            </w:pPr>
          </w:p>
        </w:tc>
      </w:tr>
    </w:tbl>
    <w:p w14:paraId="4A445005">
      <w:pPr>
        <w:pStyle w:val="5"/>
        <w:numPr>
          <w:ilvl w:val="0"/>
          <w:numId w:val="4"/>
        </w:numPr>
      </w:pPr>
      <w:r>
        <w:rPr>
          <w:rFonts w:hint="eastAsia" w:asciiTheme="minorEastAsia" w:hAnsiTheme="minorEastAsia" w:eastAsiaTheme="minorEastAsia" w:cstheme="minorEastAsia"/>
        </w:rPr>
        <w:t>其他要求</w:t>
      </w:r>
    </w:p>
    <w:p w14:paraId="43553A0C">
      <w:pPr>
        <w:pStyle w:val="3"/>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4.1实施服务及常驻服务</w:t>
      </w:r>
    </w:p>
    <w:p w14:paraId="66436A63">
      <w:p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由于本次项目涉及到的功能需求较多，后期项目交付后还有跟多的技术支持工作和二次开发工作需要提供可持续的服务，因此要求中标单位提供36个月的技术支持服务工作。要求项目期间，硬件集成项目《</w:t>
      </w:r>
      <w:r>
        <w:rPr>
          <w:rFonts w:hint="eastAsia" w:asciiTheme="minorEastAsia" w:hAnsiTheme="minorEastAsia" w:eastAsiaTheme="minorEastAsia" w:cstheme="minorEastAsia"/>
          <w:color w:val="000000"/>
          <w:sz w:val="24"/>
          <w:szCs w:val="24"/>
          <w:lang w:bidi="ar"/>
        </w:rPr>
        <w:t>上海大学无线覆盖扩容子系统建设项目》、《上海大学智能计算升级扩容子系统建设项目》、《上海大学X</w:t>
      </w:r>
      <w:r>
        <w:rPr>
          <w:rFonts w:asciiTheme="minorEastAsia" w:hAnsiTheme="minorEastAsia" w:eastAsiaTheme="minorEastAsia" w:cstheme="minorEastAsia"/>
          <w:color w:val="000000"/>
          <w:sz w:val="24"/>
          <w:szCs w:val="24"/>
          <w:lang w:bidi="ar"/>
        </w:rPr>
        <w:t>C</w:t>
      </w:r>
      <w:r>
        <w:rPr>
          <w:rFonts w:hint="eastAsia" w:asciiTheme="minorEastAsia" w:hAnsiTheme="minorEastAsia" w:eastAsiaTheme="minorEastAsia" w:cstheme="minorEastAsia"/>
          <w:color w:val="000000"/>
          <w:sz w:val="24"/>
          <w:szCs w:val="24"/>
          <w:lang w:bidi="ar"/>
        </w:rPr>
        <w:t>适配子系统建设项目》等需要中标单位承诺提供核心硬件厂商的原厂工程师现场提供部署、实施、上线、调试服务。软件相关的项目，中标单位需要承诺</w:t>
      </w:r>
      <w:r>
        <w:rPr>
          <w:rFonts w:hint="eastAsia" w:asciiTheme="minorEastAsia" w:hAnsiTheme="minorEastAsia" w:eastAsiaTheme="minorEastAsia" w:cstheme="minorEastAsia"/>
          <w:bCs/>
          <w:sz w:val="24"/>
          <w:szCs w:val="24"/>
        </w:rPr>
        <w:t>提供不少于2名熟悉java以及信</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创软件开发的软件开发工程师驻场提供软件集成以及必需的开发服务。</w:t>
      </w:r>
    </w:p>
    <w:p w14:paraId="2E11AE92">
      <w:pPr>
        <w:pStyle w:val="3"/>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4.2 其他技术要求</w:t>
      </w:r>
    </w:p>
    <w:p w14:paraId="7762F33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rPr>
        <w:t>本次招标中的定制开发的业务系统或者在招标要求中的需要用到学生、教师</w:t>
      </w:r>
      <w:r>
        <w:rPr>
          <w:rFonts w:hint="eastAsia" w:asciiTheme="minorEastAsia" w:hAnsiTheme="minorEastAsia" w:eastAsiaTheme="minorEastAsia" w:cstheme="minorEastAsia"/>
          <w:bCs/>
          <w:sz w:val="24"/>
          <w:szCs w:val="24"/>
        </w:rPr>
        <w:t>以及其他业务系统数据的平台，该系统将接入上海大学SSO统一身份认证，符合上海大学的主数据管理要求。</w:t>
      </w:r>
    </w:p>
    <w:p w14:paraId="15BF9D39">
      <w:pPr>
        <w:pStyle w:val="4"/>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4.2.1对接要求</w:t>
      </w:r>
    </w:p>
    <w:p w14:paraId="72FF4E26">
      <w:pPr>
        <w:widowControl/>
        <w:numPr>
          <w:ilvl w:val="0"/>
          <w:numId w:val="5"/>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与上海大学企业微信实现对接</w:t>
      </w:r>
    </w:p>
    <w:p w14:paraId="4765FBB8">
      <w:pPr>
        <w:widowControl/>
        <w:numPr>
          <w:ilvl w:val="0"/>
          <w:numId w:val="5"/>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与上海大学统一身份认证平台实现对接</w:t>
      </w:r>
    </w:p>
    <w:p w14:paraId="2E769BAF">
      <w:pPr>
        <w:widowControl/>
        <w:numPr>
          <w:ilvl w:val="0"/>
          <w:numId w:val="5"/>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与上海大学公共数据平台实现对接</w:t>
      </w:r>
    </w:p>
    <w:p w14:paraId="6D5BFE04">
      <w:pPr>
        <w:widowControl/>
        <w:numPr>
          <w:ilvl w:val="0"/>
          <w:numId w:val="5"/>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提供开放的接口，允许新业务系统将来与其它系统的对接</w:t>
      </w:r>
    </w:p>
    <w:p w14:paraId="385B8A10">
      <w:pPr>
        <w:widowControl/>
        <w:numPr>
          <w:ilvl w:val="0"/>
          <w:numId w:val="5"/>
        </w:numPr>
        <w:spacing w:line="360" w:lineRule="auto"/>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软件系统部分要具有全X</w:t>
      </w:r>
      <w:r>
        <w:rPr>
          <w:rFonts w:asciiTheme="minorEastAsia" w:hAnsiTheme="minorEastAsia" w:eastAsiaTheme="minorEastAsia" w:cstheme="minorEastAsia"/>
          <w:sz w:val="24"/>
          <w:szCs w:val="32"/>
        </w:rPr>
        <w:t>C</w:t>
      </w:r>
      <w:r>
        <w:rPr>
          <w:rFonts w:hint="eastAsia" w:asciiTheme="minorEastAsia" w:hAnsiTheme="minorEastAsia" w:eastAsiaTheme="minorEastAsia" w:cstheme="minorEastAsia"/>
          <w:sz w:val="24"/>
          <w:szCs w:val="32"/>
        </w:rPr>
        <w:t>适配</w:t>
      </w:r>
    </w:p>
    <w:p w14:paraId="52E5746C">
      <w:pPr>
        <w:widowControl/>
        <w:numPr>
          <w:ilvl w:val="0"/>
          <w:numId w:val="5"/>
        </w:numPr>
        <w:spacing w:line="360" w:lineRule="auto"/>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要求支持国密环境</w:t>
      </w:r>
    </w:p>
    <w:p w14:paraId="7D2CD191">
      <w:pPr>
        <w:pStyle w:val="4"/>
        <w:spacing w:line="360" w:lineRule="auto"/>
        <w:rPr>
          <w:rFonts w:hint="eastAsia" w:asciiTheme="minorEastAsia" w:hAnsiTheme="minorEastAsia" w:eastAsiaTheme="minorEastAsia" w:cstheme="minorEastAsia"/>
          <w:sz w:val="24"/>
          <w:szCs w:val="28"/>
        </w:rPr>
      </w:pPr>
      <w:bookmarkStart w:id="0" w:name="_Hlk70542410"/>
      <w:r>
        <w:rPr>
          <w:rFonts w:hint="eastAsia" w:asciiTheme="minorEastAsia" w:hAnsiTheme="minorEastAsia" w:eastAsiaTheme="minorEastAsia" w:cstheme="minorEastAsia"/>
          <w:sz w:val="24"/>
          <w:szCs w:val="28"/>
        </w:rPr>
        <w:t>4.2.2系统性能要求</w:t>
      </w:r>
    </w:p>
    <w:p w14:paraId="3B709A18">
      <w:pPr>
        <w:pStyle w:val="8"/>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系统完成后达到以下性能要求：</w:t>
      </w:r>
    </w:p>
    <w:p w14:paraId="69D44C47">
      <w:pPr>
        <w:widowControl/>
        <w:numPr>
          <w:ilvl w:val="0"/>
          <w:numId w:val="6"/>
        </w:numPr>
        <w:spacing w:line="360" w:lineRule="auto"/>
        <w:ind w:left="720" w:hanging="72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易于理解和使用</w:t>
      </w:r>
    </w:p>
    <w:p w14:paraId="107F3D8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没有任何多余的复杂选项，界面友好简单，容易上手，省时高效。</w:t>
      </w:r>
    </w:p>
    <w:p w14:paraId="7C680F93">
      <w:pPr>
        <w:widowControl/>
        <w:numPr>
          <w:ilvl w:val="0"/>
          <w:numId w:val="6"/>
        </w:numPr>
        <w:spacing w:line="360" w:lineRule="auto"/>
        <w:ind w:left="720" w:hanging="720"/>
        <w:jc w:val="left"/>
        <w:rPr>
          <w:rFonts w:hint="eastAsia" w:asciiTheme="minorEastAsia" w:hAnsiTheme="minorEastAsia" w:eastAsiaTheme="minorEastAsia" w:cstheme="minorEastAsia"/>
          <w:b/>
          <w:bCs/>
          <w:sz w:val="24"/>
          <w:szCs w:val="24"/>
        </w:rPr>
      </w:pPr>
      <w:r>
        <w:rPr>
          <w:rStyle w:val="22"/>
          <w:rFonts w:hint="eastAsia" w:asciiTheme="minorEastAsia" w:hAnsiTheme="minorEastAsia" w:eastAsiaTheme="minorEastAsia" w:cstheme="minorEastAsia"/>
          <w:b/>
          <w:bCs/>
          <w:sz w:val="24"/>
          <w:szCs w:val="24"/>
        </w:rPr>
        <w:t>系统可拓展性强</w:t>
      </w:r>
    </w:p>
    <w:p w14:paraId="3F2A68B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考虑到系统将来有功能拓展的可能，对目前功能设计时做好可拓展性预留。</w:t>
      </w:r>
    </w:p>
    <w:p w14:paraId="58FF5CE3">
      <w:pPr>
        <w:widowControl/>
        <w:numPr>
          <w:ilvl w:val="0"/>
          <w:numId w:val="6"/>
        </w:numPr>
        <w:spacing w:line="360" w:lineRule="auto"/>
        <w:ind w:left="720" w:hanging="720"/>
        <w:jc w:val="left"/>
        <w:rPr>
          <w:rFonts w:hint="eastAsia" w:asciiTheme="minorEastAsia" w:hAnsiTheme="minorEastAsia" w:eastAsiaTheme="minorEastAsia" w:cstheme="minorEastAsia"/>
          <w:b/>
          <w:bCs/>
          <w:sz w:val="24"/>
          <w:szCs w:val="24"/>
        </w:rPr>
      </w:pPr>
      <w:r>
        <w:rPr>
          <w:rStyle w:val="22"/>
          <w:rFonts w:hint="eastAsia" w:asciiTheme="minorEastAsia" w:hAnsiTheme="minorEastAsia" w:eastAsiaTheme="minorEastAsia" w:cstheme="minorEastAsia"/>
          <w:b/>
          <w:bCs/>
          <w:sz w:val="24"/>
          <w:szCs w:val="24"/>
        </w:rPr>
        <w:t>良好的</w:t>
      </w:r>
      <w:r>
        <w:rPr>
          <w:rFonts w:hint="eastAsia" w:asciiTheme="minorEastAsia" w:hAnsiTheme="minorEastAsia" w:eastAsiaTheme="minorEastAsia" w:cstheme="minorEastAsia"/>
          <w:b/>
          <w:bCs/>
          <w:sz w:val="24"/>
          <w:szCs w:val="24"/>
        </w:rPr>
        <w:t>性能和速度</w:t>
      </w:r>
    </w:p>
    <w:p w14:paraId="579B63B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做好页面加载及网络设置，保证系统访问时的良好性能和速度。 </w:t>
      </w:r>
    </w:p>
    <w:p w14:paraId="7F4CD82A">
      <w:pPr>
        <w:widowControl/>
        <w:numPr>
          <w:ilvl w:val="0"/>
          <w:numId w:val="6"/>
        </w:numPr>
        <w:spacing w:line="360" w:lineRule="auto"/>
        <w:ind w:left="720" w:hanging="72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安全性</w:t>
      </w:r>
    </w:p>
    <w:p w14:paraId="420DB30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本项目按照行政事业单位以及高校信息化的安全标准进行建设。</w:t>
      </w:r>
    </w:p>
    <w:p w14:paraId="229AD3D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本项目在验收前需要提供学校指定入围机构的信息安全监测报告，安全监测费用包含在项目费用中。</w:t>
      </w:r>
    </w:p>
    <w:p w14:paraId="28BE8C78">
      <w:pPr>
        <w:widowControl/>
        <w:numPr>
          <w:ilvl w:val="0"/>
          <w:numId w:val="6"/>
        </w:numPr>
        <w:spacing w:line="360" w:lineRule="auto"/>
        <w:ind w:left="720" w:hanging="72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注重网络标准</w:t>
      </w:r>
    </w:p>
    <w:p w14:paraId="311FA08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遵循网络标准进行开发，保证系统良好兼容性。</w:t>
      </w:r>
    </w:p>
    <w:p w14:paraId="255D1E3A">
      <w:pPr>
        <w:pStyle w:val="3"/>
        <w:spacing w:line="360" w:lineRule="auto"/>
        <w:rPr>
          <w:rFonts w:hint="eastAsia" w:asciiTheme="minorEastAsia" w:hAnsiTheme="minorEastAsia" w:eastAsiaTheme="minorEastAsia" w:cstheme="minorEastAsia"/>
          <w:sz w:val="28"/>
          <w:szCs w:val="28"/>
        </w:rPr>
      </w:pPr>
      <w:bookmarkStart w:id="1" w:name="_Toc20594"/>
      <w:bookmarkStart w:id="2" w:name="_Toc655"/>
      <w:r>
        <w:rPr>
          <w:rFonts w:hint="eastAsia" w:asciiTheme="minorEastAsia" w:hAnsiTheme="minorEastAsia" w:eastAsiaTheme="minorEastAsia" w:cstheme="minorEastAsia"/>
          <w:sz w:val="28"/>
          <w:szCs w:val="28"/>
        </w:rPr>
        <w:t>4.3 项目实施的要求</w:t>
      </w:r>
      <w:bookmarkEnd w:id="1"/>
      <w:bookmarkEnd w:id="2"/>
    </w:p>
    <w:p w14:paraId="7168DDE8">
      <w:pPr>
        <w:pStyle w:val="4"/>
        <w:spacing w:line="360" w:lineRule="auto"/>
        <w:rPr>
          <w:rFonts w:hint="eastAsia" w:asciiTheme="minorEastAsia" w:hAnsiTheme="minorEastAsia" w:eastAsiaTheme="minorEastAsia" w:cstheme="minorEastAsia"/>
          <w:sz w:val="24"/>
          <w:szCs w:val="28"/>
        </w:rPr>
      </w:pPr>
      <w:bookmarkStart w:id="3" w:name="_Toc6154"/>
      <w:bookmarkStart w:id="4" w:name="_Toc20706"/>
      <w:r>
        <w:rPr>
          <w:rFonts w:hint="eastAsia" w:asciiTheme="minorEastAsia" w:hAnsiTheme="minorEastAsia" w:eastAsiaTheme="minorEastAsia" w:cstheme="minorEastAsia"/>
          <w:sz w:val="24"/>
          <w:szCs w:val="28"/>
        </w:rPr>
        <w:t>4.3.1项目管理要求</w:t>
      </w:r>
      <w:bookmarkEnd w:id="3"/>
      <w:bookmarkEnd w:id="4"/>
    </w:p>
    <w:p w14:paraId="721EF758">
      <w:pPr>
        <w:spacing w:line="360" w:lineRule="auto"/>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项目组需由专人担任项目负责人直接对项目中的各项事务负责，需提供《项目实施方案》、《项目实施计划》、《项目跟踪记录》关键性项目节点文件。</w:t>
      </w:r>
    </w:p>
    <w:p w14:paraId="15585019">
      <w:pPr>
        <w:pStyle w:val="4"/>
        <w:spacing w:line="360" w:lineRule="auto"/>
        <w:rPr>
          <w:rFonts w:hint="eastAsia" w:asciiTheme="minorEastAsia" w:hAnsiTheme="minorEastAsia" w:eastAsiaTheme="minorEastAsia" w:cstheme="minorEastAsia"/>
          <w:sz w:val="24"/>
          <w:szCs w:val="28"/>
        </w:rPr>
      </w:pPr>
      <w:bookmarkStart w:id="5" w:name="_Toc27672"/>
      <w:bookmarkStart w:id="6" w:name="_Toc30515"/>
      <w:r>
        <w:rPr>
          <w:rFonts w:hint="eastAsia" w:asciiTheme="minorEastAsia" w:hAnsiTheme="minorEastAsia" w:eastAsiaTheme="minorEastAsia" w:cstheme="minorEastAsia"/>
          <w:sz w:val="24"/>
          <w:szCs w:val="28"/>
        </w:rPr>
        <w:t>4.3.2项目进度要求</w:t>
      </w:r>
      <w:bookmarkEnd w:id="5"/>
      <w:bookmarkEnd w:id="6"/>
    </w:p>
    <w:p w14:paraId="159F103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自合同签订之日起90天内完成本项目建设内容并通过验收（含30天试运行）。</w:t>
      </w:r>
    </w:p>
    <w:p w14:paraId="05FB7F1A">
      <w:pPr>
        <w:pStyle w:val="4"/>
        <w:spacing w:line="360" w:lineRule="auto"/>
        <w:rPr>
          <w:rFonts w:hint="eastAsia" w:asciiTheme="minorEastAsia" w:hAnsiTheme="minorEastAsia" w:eastAsiaTheme="minorEastAsia" w:cstheme="minorEastAsia"/>
          <w:sz w:val="24"/>
          <w:szCs w:val="28"/>
        </w:rPr>
      </w:pPr>
      <w:bookmarkStart w:id="7" w:name="_Toc21599"/>
      <w:bookmarkStart w:id="8" w:name="_Toc26774"/>
      <w:r>
        <w:rPr>
          <w:rFonts w:hint="eastAsia" w:asciiTheme="minorEastAsia" w:hAnsiTheme="minorEastAsia" w:eastAsiaTheme="minorEastAsia" w:cstheme="minorEastAsia"/>
          <w:sz w:val="24"/>
          <w:szCs w:val="28"/>
        </w:rPr>
        <w:t>4.3.3人员培训要求</w:t>
      </w:r>
      <w:bookmarkEnd w:id="7"/>
      <w:bookmarkEnd w:id="8"/>
    </w:p>
    <w:p w14:paraId="5D8D7CE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由供应商为系统操作相关的各部门业务人员提供培训，培训材料由供应商提供。将来校内其他应用系统接入时，需向第三方系统供应商提供对接技术支持。</w:t>
      </w:r>
    </w:p>
    <w:p w14:paraId="1E3581B2">
      <w:pPr>
        <w:pStyle w:val="4"/>
        <w:spacing w:line="360" w:lineRule="auto"/>
        <w:rPr>
          <w:rFonts w:hint="eastAsia" w:asciiTheme="minorEastAsia" w:hAnsiTheme="minorEastAsia" w:eastAsiaTheme="minorEastAsia" w:cstheme="minorEastAsia"/>
          <w:sz w:val="24"/>
          <w:szCs w:val="28"/>
        </w:rPr>
      </w:pPr>
      <w:bookmarkStart w:id="9" w:name="_Toc32611"/>
      <w:bookmarkStart w:id="10" w:name="_Toc24281"/>
      <w:r>
        <w:rPr>
          <w:rFonts w:hint="eastAsia" w:asciiTheme="minorEastAsia" w:hAnsiTheme="minorEastAsia" w:eastAsiaTheme="minorEastAsia" w:cstheme="minorEastAsia"/>
          <w:sz w:val="24"/>
          <w:szCs w:val="28"/>
        </w:rPr>
        <w:t>4.3.4项目负责人基本要求</w:t>
      </w:r>
      <w:bookmarkEnd w:id="9"/>
      <w:bookmarkEnd w:id="10"/>
    </w:p>
    <w:p w14:paraId="6630E4E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项目组负责人具备10年以上相关软件研发或实施经验。</w:t>
      </w:r>
    </w:p>
    <w:p w14:paraId="52C8F704">
      <w:pPr>
        <w:pStyle w:val="4"/>
        <w:spacing w:line="360" w:lineRule="auto"/>
        <w:rPr>
          <w:rFonts w:hint="eastAsia" w:asciiTheme="minorEastAsia" w:hAnsiTheme="minorEastAsia" w:eastAsiaTheme="minorEastAsia" w:cstheme="minorEastAsia"/>
          <w:sz w:val="24"/>
          <w:szCs w:val="28"/>
        </w:rPr>
      </w:pPr>
      <w:bookmarkStart w:id="11" w:name="_Toc24383"/>
      <w:bookmarkStart w:id="12" w:name="_Toc30335"/>
      <w:r>
        <w:rPr>
          <w:rFonts w:hint="eastAsia" w:asciiTheme="minorEastAsia" w:hAnsiTheme="minorEastAsia" w:eastAsiaTheme="minorEastAsia" w:cstheme="minorEastAsia"/>
          <w:sz w:val="24"/>
          <w:szCs w:val="28"/>
        </w:rPr>
        <w:t>4.3.5项目实施组织基本要求</w:t>
      </w:r>
      <w:bookmarkEnd w:id="11"/>
      <w:bookmarkEnd w:id="12"/>
    </w:p>
    <w:p w14:paraId="119B00A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投标人拟投入本项目的项目负责人具有10年以上相关软件研发或实施经验的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具有信息系统项目管理师（高级）证书的</w:t>
      </w:r>
      <w:r>
        <w:rPr>
          <w:rFonts w:hint="eastAsia" w:asciiTheme="minorEastAsia" w:hAnsiTheme="minorEastAsia" w:eastAsiaTheme="minorEastAsia" w:cstheme="minorEastAsia"/>
          <w:sz w:val="24"/>
          <w:szCs w:val="24"/>
          <w:lang w:val="en-US" w:eastAsia="zh-CN"/>
        </w:rPr>
        <w:t>为优</w:t>
      </w:r>
      <w:r>
        <w:rPr>
          <w:rFonts w:hint="eastAsia" w:asciiTheme="minorEastAsia" w:hAnsiTheme="minorEastAsia" w:eastAsiaTheme="minorEastAsia" w:cstheme="minorEastAsia"/>
          <w:sz w:val="24"/>
          <w:szCs w:val="24"/>
        </w:rPr>
        <w:t>；投标人投入本项目团队中，有不少于2人具有计算机或电子信息类相关专业本科以上学历且具有3年以上项目工作经验的</w:t>
      </w:r>
      <w:r>
        <w:rPr>
          <w:rFonts w:hint="eastAsia" w:asciiTheme="minorEastAsia" w:hAnsiTheme="minorEastAsia" w:eastAsiaTheme="minorEastAsia" w:cstheme="minorEastAsia"/>
          <w:sz w:val="24"/>
          <w:szCs w:val="24"/>
          <w:lang w:val="en-US" w:eastAsia="zh-CN"/>
        </w:rPr>
        <w:t>为优</w:t>
      </w:r>
      <w:r>
        <w:rPr>
          <w:rFonts w:hint="eastAsia" w:asciiTheme="minorEastAsia" w:hAnsiTheme="minorEastAsia" w:eastAsiaTheme="minorEastAsia" w:cstheme="minorEastAsia"/>
          <w:sz w:val="24"/>
          <w:szCs w:val="24"/>
        </w:rPr>
        <w:t>。</w:t>
      </w:r>
    </w:p>
    <w:p w14:paraId="096849A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项目开发与实施人员中要求有参与过高校相关业务管理软件开发与实施经验的工程师，并提供简历、社保、参与项目的合同证明。</w:t>
      </w:r>
    </w:p>
    <w:p w14:paraId="05FE90D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供应商具有ISO/IEC27001信息安全管理体系认证证书的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具有ITSS信息技术服务运行维护标准符合性证书的</w:t>
      </w:r>
      <w:r>
        <w:rPr>
          <w:rFonts w:hint="eastAsia" w:asciiTheme="minorEastAsia" w:hAnsiTheme="minorEastAsia" w:eastAsiaTheme="minorEastAsia" w:cstheme="minorEastAsia"/>
          <w:sz w:val="24"/>
          <w:szCs w:val="24"/>
          <w:lang w:val="en-US" w:eastAsia="zh-CN"/>
        </w:rPr>
        <w:t>为优</w:t>
      </w:r>
      <w:r>
        <w:rPr>
          <w:rFonts w:hint="eastAsia" w:asciiTheme="minorEastAsia" w:hAnsiTheme="minorEastAsia" w:eastAsiaTheme="minorEastAsia" w:cstheme="minorEastAsia"/>
          <w:sz w:val="24"/>
          <w:szCs w:val="24"/>
        </w:rPr>
        <w:t>。</w:t>
      </w:r>
    </w:p>
    <w:p w14:paraId="56BDB22F">
      <w:pPr>
        <w:pStyle w:val="3"/>
        <w:spacing w:line="360" w:lineRule="auto"/>
        <w:rPr>
          <w:rFonts w:hint="eastAsia" w:asciiTheme="minorEastAsia" w:hAnsiTheme="minorEastAsia" w:eastAsiaTheme="minorEastAsia" w:cstheme="minorEastAsia"/>
          <w:sz w:val="28"/>
          <w:szCs w:val="28"/>
        </w:rPr>
      </w:pPr>
      <w:bookmarkStart w:id="13" w:name="_Toc29486"/>
      <w:bookmarkStart w:id="14" w:name="_Toc14244"/>
      <w:r>
        <w:rPr>
          <w:rFonts w:hint="eastAsia" w:asciiTheme="minorEastAsia" w:hAnsiTheme="minorEastAsia" w:eastAsiaTheme="minorEastAsia" w:cstheme="minorEastAsia"/>
          <w:sz w:val="28"/>
          <w:szCs w:val="28"/>
        </w:rPr>
        <w:t>4.4 项目质量和服务保障要求</w:t>
      </w:r>
      <w:bookmarkEnd w:id="13"/>
      <w:bookmarkEnd w:id="14"/>
    </w:p>
    <w:p w14:paraId="30724EF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验收通过后提供36个月的免费质保维护服务。要求建立一套规范的技术支持服务运作系统和流程，服务期内服务响应时间为1小时，如需到达现场，则要求在4小时内到达现场，1个工作日内给出解决方案。除现场支持外，还需提供通过电话、网络、邮件等多种通讯手段向用户提供服务。</w:t>
      </w:r>
    </w:p>
    <w:p w14:paraId="3C406B1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中标人应详细说明维护期（3年）满后服务的方式、内容与相应的价格，此费用不计入总价。</w:t>
      </w:r>
    </w:p>
    <w:p w14:paraId="1A56438C">
      <w:pPr>
        <w:pStyle w:val="3"/>
        <w:spacing w:line="360" w:lineRule="auto"/>
        <w:rPr>
          <w:rFonts w:hint="eastAsia" w:asciiTheme="minorEastAsia" w:hAnsiTheme="minorEastAsia" w:eastAsiaTheme="minorEastAsia" w:cstheme="minorEastAsia"/>
          <w:sz w:val="28"/>
          <w:szCs w:val="28"/>
        </w:rPr>
      </w:pPr>
      <w:bookmarkStart w:id="15" w:name="_Toc5153"/>
      <w:bookmarkStart w:id="16" w:name="_Toc4663"/>
      <w:r>
        <w:rPr>
          <w:rFonts w:hint="eastAsia" w:asciiTheme="minorEastAsia" w:hAnsiTheme="minorEastAsia" w:eastAsiaTheme="minorEastAsia" w:cstheme="minorEastAsia"/>
          <w:sz w:val="28"/>
          <w:szCs w:val="28"/>
        </w:rPr>
        <w:t>4.5 知识产权承诺</w:t>
      </w:r>
      <w:bookmarkEnd w:id="15"/>
      <w:bookmarkEnd w:id="16"/>
    </w:p>
    <w:p w14:paraId="220F2D6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供应商应针对以下内容作出以下承诺：</w:t>
      </w:r>
    </w:p>
    <w:p w14:paraId="1659705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中所产生的系统知识产权（包括软件、源程序、数据文件、文档、记录、工作日志、或其它和该合同有关的资料的）归采购人所有，如果供应商向采购人交付使用的信息系统已享有知识产权的（需提供证明文件），采购人可在合同文件明确的范围内自主使用。</w:t>
      </w:r>
    </w:p>
    <w:p w14:paraId="57FC775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提供相关系统源代码及数据库设计文件，提供对应的承诺书，后期验收时需要提供最新相应的代码以及设计文件、第三方测试报告等。</w:t>
      </w:r>
      <w:bookmarkEnd w:id="0"/>
    </w:p>
    <w:p w14:paraId="01E241EB">
      <w:pPr>
        <w:pStyle w:val="18"/>
        <w:rPr>
          <w:rFonts w:hint="eastAsia" w:ascii="仿宋" w:hAnsi="仿宋" w:eastAsia="仿宋" w:cs="仿宋"/>
          <w:b/>
          <w:bCs/>
          <w:sz w:val="24"/>
        </w:rPr>
      </w:pPr>
    </w:p>
    <w:p w14:paraId="746D07AA">
      <w:pPr>
        <w:rPr>
          <w:rFonts w:hint="eastAsia" w:asciiTheme="minorEastAsia" w:hAnsiTheme="minorEastAsia" w:eastAsiaTheme="minorEastAsia" w:cstheme="minorEastAsia"/>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FCBBE"/>
    <w:multiLevelType w:val="multilevel"/>
    <w:tmpl w:val="BEFFCBBE"/>
    <w:lvl w:ilvl="0" w:tentative="0">
      <w:start w:val="1"/>
      <w:numFmt w:val="decimal"/>
      <w:lvlText w:val="%1)"/>
      <w:lvlJc w:val="left"/>
      <w:pPr>
        <w:ind w:left="425" w:hanging="425"/>
      </w:pPr>
      <w:rPr>
        <w:rFonts w:hint="default"/>
      </w:rPr>
    </w:lvl>
    <w:lvl w:ilvl="1" w:tentative="0">
      <w:start w:val="1"/>
      <w:numFmt w:val="lowerLetter"/>
      <w:lvlText w:val="%2."/>
      <w:lvlJc w:val="left"/>
      <w:pPr>
        <w:ind w:left="425" w:firstLine="7"/>
      </w:pPr>
      <w:rPr>
        <w:rFonts w:hint="default"/>
      </w:rPr>
    </w:lvl>
    <w:lvl w:ilvl="2" w:tentative="0">
      <w:start w:val="1"/>
      <w:numFmt w:val="lowerRoman"/>
      <w:lvlText w:val="%3."/>
      <w:lvlJc w:val="left"/>
      <w:pPr>
        <w:ind w:left="425" w:firstLine="439"/>
      </w:pPr>
      <w:rPr>
        <w:rFonts w:hint="default"/>
      </w:rPr>
    </w:lvl>
    <w:lvl w:ilvl="3" w:tentative="0">
      <w:start w:val="1"/>
      <w:numFmt w:val="decimal"/>
      <w:lvlText w:val="%4."/>
      <w:lvlJc w:val="left"/>
      <w:pPr>
        <w:ind w:left="425" w:firstLine="870"/>
      </w:pPr>
      <w:rPr>
        <w:rFonts w:hint="default"/>
      </w:rPr>
    </w:lvl>
    <w:lvl w:ilvl="4" w:tentative="0">
      <w:start w:val="1"/>
      <w:numFmt w:val="lowerLetter"/>
      <w:lvlText w:val="%5."/>
      <w:lvlJc w:val="left"/>
      <w:pPr>
        <w:ind w:left="425" w:firstLine="1302"/>
      </w:pPr>
      <w:rPr>
        <w:rFonts w:hint="default"/>
      </w:rPr>
    </w:lvl>
    <w:lvl w:ilvl="5" w:tentative="0">
      <w:start w:val="1"/>
      <w:numFmt w:val="lowerRoman"/>
      <w:lvlText w:val="%6."/>
      <w:lvlJc w:val="left"/>
      <w:pPr>
        <w:ind w:left="425" w:firstLine="1735"/>
      </w:pPr>
      <w:rPr>
        <w:rFonts w:hint="default"/>
      </w:rPr>
    </w:lvl>
    <w:lvl w:ilvl="6" w:tentative="0">
      <w:start w:val="1"/>
      <w:numFmt w:val="decimal"/>
      <w:lvlText w:val="%7."/>
      <w:lvlJc w:val="left"/>
      <w:pPr>
        <w:ind w:left="425" w:firstLine="2166"/>
      </w:pPr>
      <w:rPr>
        <w:rFonts w:hint="default"/>
      </w:rPr>
    </w:lvl>
    <w:lvl w:ilvl="7" w:tentative="0">
      <w:start w:val="1"/>
      <w:numFmt w:val="lowerLetter"/>
      <w:lvlText w:val="%8."/>
      <w:lvlJc w:val="left"/>
      <w:pPr>
        <w:ind w:left="425" w:firstLine="2599"/>
      </w:pPr>
      <w:rPr>
        <w:rFonts w:hint="default"/>
      </w:rPr>
    </w:lvl>
    <w:lvl w:ilvl="8" w:tentative="0">
      <w:start w:val="1"/>
      <w:numFmt w:val="lowerRoman"/>
      <w:lvlText w:val="%9."/>
      <w:lvlJc w:val="left"/>
      <w:pPr>
        <w:ind w:left="425" w:firstLine="3031"/>
      </w:pPr>
      <w:rPr>
        <w:rFonts w:hint="default"/>
      </w:rPr>
    </w:lvl>
  </w:abstractNum>
  <w:abstractNum w:abstractNumId="1">
    <w:nsid w:val="CD572D5C"/>
    <w:multiLevelType w:val="singleLevel"/>
    <w:tmpl w:val="CD572D5C"/>
    <w:lvl w:ilvl="0" w:tentative="0">
      <w:start w:val="4"/>
      <w:numFmt w:val="chineseCounting"/>
      <w:suff w:val="nothing"/>
      <w:lvlText w:val="%1、"/>
      <w:lvlJc w:val="left"/>
      <w:rPr>
        <w:rFonts w:hint="eastAsia"/>
      </w:rPr>
    </w:lvl>
  </w:abstractNum>
  <w:abstractNum w:abstractNumId="2">
    <w:nsid w:val="FFEEBB38"/>
    <w:multiLevelType w:val="singleLevel"/>
    <w:tmpl w:val="FFEEBB38"/>
    <w:lvl w:ilvl="0" w:tentative="0">
      <w:start w:val="1"/>
      <w:numFmt w:val="bullet"/>
      <w:lvlText w:val=""/>
      <w:lvlJc w:val="left"/>
      <w:pPr>
        <w:ind w:left="420" w:hanging="420"/>
      </w:pPr>
      <w:rPr>
        <w:rFonts w:hint="default" w:ascii="Wingdings" w:hAnsi="Wingdings"/>
      </w:rPr>
    </w:lvl>
  </w:abstractNum>
  <w:abstractNum w:abstractNumId="3">
    <w:nsid w:val="23E007C8"/>
    <w:multiLevelType w:val="multilevel"/>
    <w:tmpl w:val="23E007C8"/>
    <w:lvl w:ilvl="0" w:tentative="0">
      <w:start w:val="1"/>
      <w:numFmt w:val="decimal"/>
      <w:suff w:val="nothing"/>
      <w:lvlText w:val="%1."/>
      <w:lvlJc w:val="left"/>
    </w:lvl>
    <w:lvl w:ilvl="1" w:tentative="0">
      <w:start w:val="1"/>
      <w:numFmt w:val="decimal"/>
      <w:isLgl/>
      <w:lvlText w:val="%1.%2"/>
      <w:lvlJc w:val="left"/>
      <w:pPr>
        <w:ind w:left="645" w:hanging="64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4">
    <w:nsid w:val="689D1E4C"/>
    <w:multiLevelType w:val="multilevel"/>
    <w:tmpl w:val="689D1E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5">
    <w:nsid w:val="7E4C96E5"/>
    <w:multiLevelType w:val="singleLevel"/>
    <w:tmpl w:val="7E4C96E5"/>
    <w:lvl w:ilvl="0" w:tentative="0">
      <w:start w:val="1"/>
      <w:numFmt w:val="bullet"/>
      <w:lvlText w:val=""/>
      <w:lvlJc w:val="left"/>
      <w:pPr>
        <w:ind w:left="420" w:hanging="420"/>
      </w:pPr>
      <w:rPr>
        <w:rFonts w:hint="default" w:ascii="Wingdings" w:hAnsi="Wingdings"/>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165"/>
    <w:rsid w:val="00024901"/>
    <w:rsid w:val="0002541E"/>
    <w:rsid w:val="00044165"/>
    <w:rsid w:val="000C6360"/>
    <w:rsid w:val="004C7247"/>
    <w:rsid w:val="005B2C0B"/>
    <w:rsid w:val="00607C33"/>
    <w:rsid w:val="23BB5919"/>
    <w:rsid w:val="241F15CE"/>
    <w:rsid w:val="2EDD5F4B"/>
    <w:rsid w:val="63855AB7"/>
    <w:rsid w:val="F69DC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basedOn w:val="1"/>
    <w:next w:val="1"/>
    <w:qFormat/>
    <w:uiPriority w:val="0"/>
    <w:pPr>
      <w:spacing w:before="320" w:after="120" w:line="288" w:lineRule="auto"/>
      <w:jc w:val="left"/>
      <w:outlineLvl w:val="1"/>
    </w:pPr>
    <w:rPr>
      <w:rFonts w:ascii="Arial" w:hAnsi="Arial" w:eastAsia="等线" w:cs="Arial"/>
      <w:b/>
      <w:bCs/>
      <w:sz w:val="32"/>
      <w:szCs w:val="32"/>
    </w:rPr>
  </w:style>
  <w:style w:type="paragraph" w:styleId="4">
    <w:name w:val="heading 3"/>
    <w:basedOn w:val="1"/>
    <w:next w:val="1"/>
    <w:qFormat/>
    <w:uiPriority w:val="0"/>
    <w:pPr>
      <w:spacing w:before="300" w:after="120" w:line="288" w:lineRule="auto"/>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Normal Indent"/>
    <w:basedOn w:val="1"/>
    <w:unhideWhenUsed/>
    <w:qFormat/>
    <w:uiPriority w:val="99"/>
    <w:pPr>
      <w:widowControl/>
      <w:spacing w:line="360" w:lineRule="auto"/>
      <w:ind w:firstLine="420" w:firstLineChars="200"/>
      <w:jc w:val="left"/>
    </w:pPr>
    <w:rPr>
      <w:szCs w:val="24"/>
    </w:rPr>
  </w:style>
  <w:style w:type="paragraph" w:styleId="9">
    <w:name w:val="Body Text"/>
    <w:basedOn w:val="1"/>
    <w:next w:val="1"/>
    <w:unhideWhenUsed/>
    <w:qFormat/>
    <w:uiPriority w:val="99"/>
    <w:pPr>
      <w:spacing w:before="100" w:beforeAutospacing="1"/>
    </w:pPr>
    <w:rPr>
      <w:rFonts w:ascii="Calibri" w:hAnsi="Calibri"/>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link w:val="23"/>
    <w:uiPriority w:val="0"/>
    <w:pPr>
      <w:pBdr>
        <w:bottom w:val="single" w:color="auto" w:sz="6" w:space="1"/>
      </w:pBdr>
      <w:tabs>
        <w:tab w:val="center" w:pos="4153"/>
        <w:tab w:val="right" w:pos="8306"/>
      </w:tabs>
      <w:snapToGrid w:val="0"/>
      <w:jc w:val="center"/>
    </w:pPr>
    <w:rPr>
      <w:sz w:val="18"/>
      <w:szCs w:val="18"/>
    </w:rPr>
  </w:style>
  <w:style w:type="paragraph" w:styleId="12">
    <w:name w:val="footnote text"/>
    <w:link w:val="19"/>
    <w:semiHidden/>
    <w:unhideWhenUsed/>
    <w:qFormat/>
    <w:uiPriority w:val="99"/>
    <w:rPr>
      <w:rFonts w:ascii="Times New Roman" w:hAnsi="Times New Roman" w:eastAsia="宋体" w:cs="Times New Roman"/>
      <w:lang w:val="en-US" w:eastAsia="zh-CN" w:bidi="ar-SA"/>
    </w:rPr>
  </w:style>
  <w:style w:type="paragraph" w:styleId="13">
    <w:name w:val="Title"/>
    <w:qFormat/>
    <w:uiPriority w:val="0"/>
    <w:pPr>
      <w:spacing w:before="480" w:after="480" w:line="288" w:lineRule="auto"/>
    </w:pPr>
    <w:rPr>
      <w:rFonts w:ascii="Arial" w:hAnsi="Arial" w:eastAsia="等线" w:cs="Arial"/>
      <w:b/>
      <w:bCs/>
      <w:sz w:val="52"/>
      <w:szCs w:val="52"/>
      <w:lang w:val="en-US" w:eastAsia="zh-CN" w:bidi="ar-SA"/>
    </w:rPr>
  </w:style>
  <w:style w:type="character" w:styleId="16">
    <w:name w:val="Hyperlink"/>
    <w:unhideWhenUsed/>
    <w:qFormat/>
    <w:uiPriority w:val="99"/>
    <w:rPr>
      <w:color w:val="0563C1"/>
      <w:u w:val="single"/>
    </w:rPr>
  </w:style>
  <w:style w:type="character" w:styleId="17">
    <w:name w:val="footnote reference"/>
    <w:semiHidden/>
    <w:unhideWhenUsed/>
    <w:qFormat/>
    <w:uiPriority w:val="99"/>
    <w:rPr>
      <w:vertAlign w:val="superscript"/>
    </w:rPr>
  </w:style>
  <w:style w:type="paragraph" w:styleId="18">
    <w:name w:val="List Paragraph"/>
    <w:basedOn w:val="1"/>
    <w:qFormat/>
    <w:uiPriority w:val="0"/>
  </w:style>
  <w:style w:type="character" w:customStyle="1" w:styleId="19">
    <w:name w:val="脚注文本 字符"/>
    <w:link w:val="12"/>
    <w:semiHidden/>
    <w:unhideWhenUsed/>
    <w:qFormat/>
    <w:uiPriority w:val="99"/>
    <w:rPr>
      <w:sz w:val="20"/>
      <w:szCs w:val="20"/>
    </w:rPr>
  </w:style>
  <w:style w:type="paragraph" w:customStyle="1" w:styleId="20">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1">
    <w:name w:val="_Style 14"/>
    <w:qFormat/>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22">
    <w:name w:val="apple-converted-space"/>
    <w:qFormat/>
    <w:uiPriority w:val="0"/>
  </w:style>
  <w:style w:type="character" w:customStyle="1" w:styleId="23">
    <w:name w:val="页眉 字符"/>
    <w:basedOn w:val="15"/>
    <w:link w:val="11"/>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2834</Words>
  <Characters>2934</Characters>
  <Lines>80</Lines>
  <Paragraphs>79</Paragraphs>
  <TotalTime>23</TotalTime>
  <ScaleCrop>false</ScaleCrop>
  <LinksUpToDate>false</LinksUpToDate>
  <CharactersWithSpaces>2973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2025-10-11T02:19:00Z</dcterms:created>
  <dc:creator>Un-named</dc:creator>
  <cp:lastModifiedBy>晋一民</cp:lastModifiedBy>
  <dcterms:modified xsi:type="dcterms:W3CDTF">2025-10-31T03:22:48Z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C1E4BC5F6171CEC4FF788D68A595893E_42</vt:lpwstr>
  </property>
  <property fmtid="{D5CDD505-2E9C-101B-9397-08002B2CF9AE}" pid="4" name="KSOTemplateDocerSaveRecord">
    <vt:lpwstr>eyJoZGlkIjoiNGM3MmY0OTNjM2FiYjM2YjE2NGRhZTljZmIyMTQyNWMiLCJ1c2VySWQiOiIxNjQzMTc3ODEwIn0=</vt:lpwstr>
  </property>
</Properties>
</file>