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FFA09">
      <w:pPr>
        <w:pStyle w:val="18"/>
        <w:spacing w:after="240"/>
        <w:outlineLvl w:val="9"/>
        <w:rPr>
          <w:rFonts w:ascii="仿宋" w:hAnsi="仿宋" w:eastAsia="仿宋" w:cs="仿宋"/>
          <w:b/>
          <w:bCs w:val="0"/>
          <w:sz w:val="48"/>
          <w:szCs w:val="48"/>
        </w:rPr>
      </w:pPr>
      <w:bookmarkStart w:id="0" w:name="_Toc19189"/>
      <w:bookmarkStart w:id="1" w:name="_Toc29649"/>
      <w:bookmarkStart w:id="2" w:name="_Toc18537"/>
      <w:bookmarkStart w:id="3" w:name="_Toc14321"/>
      <w:bookmarkStart w:id="4" w:name="_Toc10222"/>
      <w:bookmarkStart w:id="5" w:name="_Toc20825"/>
      <w:bookmarkStart w:id="6" w:name="_Toc24340"/>
      <w:r>
        <w:rPr>
          <w:rFonts w:hint="eastAsia" w:ascii="仿宋" w:hAnsi="仿宋" w:eastAsia="仿宋" w:cs="仿宋"/>
          <w:b/>
          <w:bCs w:val="0"/>
          <w:sz w:val="48"/>
          <w:szCs w:val="48"/>
        </w:rPr>
        <w:t>上海市化工职业病防治院综合业务内控规划平台</w:t>
      </w:r>
      <w:bookmarkEnd w:id="0"/>
      <w:bookmarkEnd w:id="1"/>
      <w:bookmarkEnd w:id="2"/>
      <w:bookmarkEnd w:id="3"/>
      <w:bookmarkEnd w:id="4"/>
      <w:bookmarkEnd w:id="5"/>
      <w:bookmarkEnd w:id="6"/>
    </w:p>
    <w:p w14:paraId="0218907C">
      <w:pPr>
        <w:pStyle w:val="18"/>
        <w:spacing w:after="240"/>
        <w:outlineLvl w:val="9"/>
        <w:rPr>
          <w:rFonts w:ascii="仿宋" w:hAnsi="仿宋" w:eastAsia="仿宋" w:cs="仿宋"/>
          <w:b/>
          <w:bCs w:val="0"/>
        </w:rPr>
      </w:pPr>
      <w:r>
        <w:rPr>
          <w:rFonts w:hint="eastAsia" w:ascii="仿宋" w:hAnsi="仿宋" w:eastAsia="仿宋" w:cs="仿宋"/>
          <w:b/>
          <w:bCs w:val="0"/>
        </w:rPr>
        <w:t>招标需求</w:t>
      </w:r>
    </w:p>
    <w:p w14:paraId="5A0B839A">
      <w:pPr>
        <w:pStyle w:val="18"/>
        <w:spacing w:after="240"/>
        <w:outlineLvl w:val="9"/>
        <w:rPr>
          <w:rFonts w:ascii="仿宋" w:hAnsi="仿宋" w:eastAsia="仿宋" w:cs="仿宋"/>
          <w:b/>
          <w:bCs w:val="0"/>
        </w:rPr>
      </w:pPr>
    </w:p>
    <w:p w14:paraId="0065F6C0">
      <w:pPr>
        <w:numPr>
          <w:ilvl w:val="0"/>
          <w:numId w:val="3"/>
        </w:numPr>
        <w:spacing w:line="360" w:lineRule="auto"/>
        <w:outlineLvl w:val="0"/>
        <w:rPr>
          <w:rFonts w:ascii="仿宋" w:hAnsi="仿宋" w:eastAsia="仿宋" w:cs="仿宋"/>
          <w:b/>
          <w:bCs/>
          <w:sz w:val="36"/>
          <w:szCs w:val="36"/>
        </w:rPr>
      </w:pPr>
      <w:r>
        <w:rPr>
          <w:rFonts w:hint="eastAsia" w:ascii="仿宋" w:hAnsi="仿宋" w:eastAsia="仿宋" w:cs="仿宋"/>
          <w:b/>
          <w:bCs/>
          <w:sz w:val="36"/>
          <w:szCs w:val="36"/>
        </w:rPr>
        <w:t>项目概述</w:t>
      </w:r>
    </w:p>
    <w:p w14:paraId="7F545AB8">
      <w:pPr>
        <w:pStyle w:val="6"/>
        <w:ind w:firstLine="560"/>
        <w:rPr>
          <w:rFonts w:cs="仿宋"/>
        </w:rPr>
      </w:pPr>
      <w:r>
        <w:rPr>
          <w:rFonts w:hint="eastAsia" w:cs="仿宋"/>
        </w:rPr>
        <w:t>为加强行政事业单位内控管理有利于规范业务发展、加强风险管理、确保合规运营。能够进一步优化内部管理，以规范内控所涉及的业务，收集业务标准数据，对单一业务存在的风险管理为目标。以建设数据标准、形成数据资产，实现多业务交叉风险管理为中期目标。以建设完整内控信息化、全风险管控为最终目标，通过分步实施的方法最终达成完整内控信息化的目标。《中华人民共和国国民经济和社会发展第十四个五年规划和2035年远景目标纲要》提出了完善权力配置和运行制约机制的要求，这为内部控制体系的完善提供了宏观政策背景。《行政事业单位国有资产管理条例》要求行政事业单位资产日常管理，以及主管部门、财政部门的监管需要，进一步加强国有资产管理，推进资产管理信息化工作，实现对资产的集中、动态监管。</w:t>
      </w:r>
    </w:p>
    <w:p w14:paraId="5DB0AF61">
      <w:pPr>
        <w:rPr>
          <w:rFonts w:ascii="仿宋" w:hAnsi="仿宋" w:eastAsia="仿宋" w:cs="仿宋"/>
          <w:sz w:val="28"/>
          <w:szCs w:val="28"/>
        </w:rPr>
      </w:pPr>
      <w:r>
        <w:rPr>
          <w:rFonts w:hint="eastAsia" w:ascii="仿宋" w:hAnsi="仿宋" w:eastAsia="仿宋" w:cs="仿宋"/>
          <w:sz w:val="28"/>
          <w:szCs w:val="28"/>
        </w:rPr>
        <w:t>《政府会计准则制度的通知(财会〔2018〕21号)》</w:t>
      </w:r>
      <w:r>
        <w:rPr>
          <w:rFonts w:hint="eastAsia" w:ascii="仿宋" w:hAnsi="仿宋" w:eastAsia="仿宋" w:cs="仿宋"/>
          <w:kern w:val="2"/>
          <w:sz w:val="28"/>
          <w:szCs w:val="28"/>
        </w:rPr>
        <w:t>指出加</w:t>
      </w:r>
      <w:r>
        <w:rPr>
          <w:rFonts w:hint="eastAsia" w:ascii="仿宋" w:hAnsi="仿宋" w:eastAsia="仿宋" w:cs="仿宋"/>
          <w:sz w:val="28"/>
          <w:szCs w:val="28"/>
        </w:rPr>
        <w:t>强政府会计信息化建设，各部门、各单位要树立“业财融合”的理念，推动经济业务与会计管理的深度融合发展，以政府会计准则制度实施为契机，加强信息化建设，推进业务信息系统与会计信息系统的有效对接，为政府会计准则制度实施提供技术支撑，确保单位会计信息系统所生成的信息能够满足政府会计改革的需要。</w:t>
      </w:r>
    </w:p>
    <w:p w14:paraId="415D68A7">
      <w:pPr>
        <w:pStyle w:val="6"/>
        <w:ind w:firstLine="560"/>
        <w:rPr>
          <w:rFonts w:cs="仿宋"/>
        </w:rPr>
      </w:pPr>
      <w:r>
        <w:rPr>
          <w:rFonts w:hint="eastAsia" w:cs="仿宋"/>
        </w:rPr>
        <w:t>数据资产，作为经济社会数字化转型进程中的新兴资产类型，正日益成为推动数字中国建设和加快数字经济发展的重要战略资源。挖掘建设单位数据资产不仅体现在提升单位内部管理效率和服务质量上，还是单位适应数字化时代的要求。通过综合业务内控规划平台的建设可以促进数据标准、数据资产的建设和形成。为后期探索数据资产的开发与利用夯实基础。综合业务内控规划平台的建设是通过分期建设将内控理念、控制流程、控制方法等要素通过信息化的手段固化到信息系统中，从而实现内控的系统化和常态化，解决目前单位内数据分散、业务分散、系统分散等现状问题，从而达到业务数据流和业务活动环节的相结合，真正实现“充分运用技术手段加强内部控制、利用信息化提高内控控制的科学性、及时性和有效性”，增强单位的监督监管、风险应对等能力。内部控制管理平台的建设是实现内控管理所要求的全面性、重要性、制衡性、适用性原则，达到内控制度可持续发展的建设目标。</w:t>
      </w:r>
    </w:p>
    <w:p w14:paraId="6F580360">
      <w:pPr>
        <w:pStyle w:val="6"/>
        <w:ind w:firstLine="0" w:firstLineChars="0"/>
        <w:rPr>
          <w:rFonts w:cs="仿宋"/>
        </w:rPr>
      </w:pPr>
    </w:p>
    <w:p w14:paraId="73E71FE0">
      <w:pPr>
        <w:numPr>
          <w:ilvl w:val="0"/>
          <w:numId w:val="3"/>
        </w:numPr>
        <w:spacing w:line="360" w:lineRule="auto"/>
        <w:outlineLvl w:val="0"/>
        <w:rPr>
          <w:rFonts w:ascii="仿宋" w:hAnsi="仿宋" w:eastAsia="仿宋" w:cs="仿宋"/>
          <w:b/>
          <w:bCs/>
          <w:sz w:val="36"/>
          <w:szCs w:val="36"/>
        </w:rPr>
      </w:pPr>
      <w:r>
        <w:rPr>
          <w:rFonts w:hint="eastAsia" w:ascii="仿宋" w:hAnsi="仿宋" w:eastAsia="仿宋" w:cs="仿宋"/>
          <w:b/>
          <w:bCs/>
          <w:sz w:val="36"/>
          <w:szCs w:val="36"/>
        </w:rPr>
        <w:t>投标人须知</w:t>
      </w:r>
    </w:p>
    <w:p w14:paraId="7D35716A">
      <w:pPr>
        <w:pStyle w:val="6"/>
        <w:ind w:firstLine="560"/>
        <w:rPr>
          <w:rFonts w:cs="仿宋"/>
        </w:rPr>
      </w:pPr>
      <w:r>
        <w:rPr>
          <w:rFonts w:hint="eastAsia" w:cs="仿宋"/>
        </w:rPr>
        <w:t>本项目为新建项目，其中设备管理系统需要与现有行政事业性国有资产管理系统做数据对接，确保数据的互联互通。</w:t>
      </w:r>
    </w:p>
    <w:p w14:paraId="4EC994A4">
      <w:pPr>
        <w:pStyle w:val="6"/>
        <w:ind w:firstLine="560"/>
        <w:rPr>
          <w:rFonts w:cs="仿宋"/>
        </w:rPr>
      </w:pPr>
      <w:r>
        <w:rPr>
          <w:rFonts w:hint="eastAsia" w:cs="仿宋"/>
        </w:rPr>
        <w:t>需符合国家有关方针政策，符合市委、市政府相关要求，以及本市数字化转型规划。</w:t>
      </w:r>
    </w:p>
    <w:p w14:paraId="5AE90C6C">
      <w:pPr>
        <w:pStyle w:val="6"/>
        <w:ind w:firstLine="560"/>
        <w:rPr>
          <w:rFonts w:cs="仿宋"/>
        </w:rPr>
      </w:pPr>
      <w:r>
        <w:rPr>
          <w:rFonts w:hint="eastAsia" w:cs="仿宋"/>
        </w:rPr>
        <w:t>需符合集约化建设要求，充分依托全市统一的基础设施能力。应充分依托电子政务网络、电子政务云及基础设施服务、市级灾备云、大数据资源平台、一体化办公平台、随申码、市政务区块链、城市智理时空一体化等能力平台开展系统建设。</w:t>
      </w:r>
    </w:p>
    <w:p w14:paraId="382FA3F1">
      <w:pPr>
        <w:pStyle w:val="6"/>
        <w:ind w:firstLine="560"/>
        <w:rPr>
          <w:rFonts w:cs="仿宋"/>
        </w:rPr>
      </w:pPr>
      <w:r>
        <w:rPr>
          <w:rFonts w:hint="eastAsia" w:cs="仿宋"/>
        </w:rPr>
        <w:t>需符合安全管理规范，严格落实网络和数据安全、密码应用、信创应用、等级保护等要求。</w:t>
      </w:r>
    </w:p>
    <w:p w14:paraId="2A211671">
      <w:pPr>
        <w:numPr>
          <w:ilvl w:val="0"/>
          <w:numId w:val="3"/>
        </w:numPr>
        <w:spacing w:line="360" w:lineRule="auto"/>
        <w:outlineLvl w:val="0"/>
        <w:rPr>
          <w:rFonts w:ascii="仿宋" w:hAnsi="仿宋" w:eastAsia="仿宋" w:cs="仿宋"/>
          <w:b/>
          <w:bCs/>
          <w:sz w:val="36"/>
          <w:szCs w:val="36"/>
        </w:rPr>
      </w:pPr>
      <w:r>
        <w:rPr>
          <w:rFonts w:hint="eastAsia" w:ascii="仿宋" w:hAnsi="仿宋" w:eastAsia="仿宋" w:cs="仿宋"/>
          <w:b/>
          <w:bCs/>
          <w:sz w:val="36"/>
          <w:szCs w:val="36"/>
        </w:rPr>
        <w:t>本项目工期</w:t>
      </w:r>
    </w:p>
    <w:p w14:paraId="0DC61495">
      <w:pPr>
        <w:pStyle w:val="6"/>
        <w:ind w:firstLine="560"/>
        <w:rPr>
          <w:rFonts w:cs="仿宋"/>
        </w:rPr>
      </w:pPr>
      <w:r>
        <w:rPr>
          <w:rFonts w:hint="eastAsia" w:cs="仿宋"/>
        </w:rPr>
        <w:t xml:space="preserve">2025年10月31日前完成项目并通过验收。由于工作管理需求，合同施工第一阶段需在合同签订后30日历日内完成项目需求调研、原型设计并需综合业务内控规划子平台中预算管理子系统、项目管理子系统、经费管理子系统建设完成，开始试运行，并获得用户认可。若中标供应商没有按时完成任务，每延迟一天中标供应商需向采购人支付合同总金额1%违约金；合同签订后60日历日后，仍没有完成第一阶段相关系统建设并确保正常运行的，采购人有权中止与中标供应商的合同，由此产生损失由中标供应商全部负责。 </w:t>
      </w:r>
    </w:p>
    <w:p w14:paraId="1BBCDD5F">
      <w:pPr>
        <w:numPr>
          <w:ilvl w:val="0"/>
          <w:numId w:val="3"/>
        </w:numPr>
        <w:spacing w:line="360" w:lineRule="auto"/>
        <w:outlineLvl w:val="0"/>
        <w:rPr>
          <w:rFonts w:ascii="仿宋" w:hAnsi="仿宋" w:eastAsia="仿宋" w:cs="仿宋"/>
          <w:b/>
          <w:bCs/>
          <w:sz w:val="36"/>
          <w:szCs w:val="36"/>
        </w:rPr>
      </w:pPr>
      <w:r>
        <w:rPr>
          <w:rFonts w:hint="eastAsia" w:ascii="仿宋" w:hAnsi="仿宋" w:eastAsia="仿宋" w:cs="仿宋"/>
          <w:b/>
          <w:bCs/>
          <w:sz w:val="36"/>
          <w:szCs w:val="36"/>
        </w:rPr>
        <w:t>建设内容</w:t>
      </w:r>
    </w:p>
    <w:p w14:paraId="45B7D71F">
      <w:pPr>
        <w:numPr>
          <w:ilvl w:val="1"/>
          <w:numId w:val="3"/>
        </w:numPr>
        <w:spacing w:line="360" w:lineRule="auto"/>
        <w:outlineLvl w:val="1"/>
        <w:rPr>
          <w:rFonts w:ascii="仿宋" w:hAnsi="仿宋" w:eastAsia="仿宋" w:cs="仿宋"/>
          <w:b/>
          <w:bCs/>
          <w:sz w:val="32"/>
          <w:szCs w:val="32"/>
        </w:rPr>
      </w:pPr>
      <w:r>
        <w:rPr>
          <w:rFonts w:hint="eastAsia" w:ascii="仿宋" w:hAnsi="仿宋" w:eastAsia="仿宋" w:cs="仿宋"/>
          <w:b/>
          <w:bCs/>
          <w:sz w:val="32"/>
          <w:szCs w:val="32"/>
        </w:rPr>
        <w:t>综合业务内控规划子平台-预算管理子系统</w:t>
      </w:r>
    </w:p>
    <w:p w14:paraId="63D4B423">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基础管理</w:t>
      </w:r>
    </w:p>
    <w:p w14:paraId="0663FB9D">
      <w:pPr>
        <w:pStyle w:val="6"/>
        <w:ind w:firstLine="560"/>
        <w:rPr>
          <w:rFonts w:cs="仿宋"/>
        </w:rPr>
      </w:pPr>
      <w:r>
        <w:rPr>
          <w:rFonts w:hint="eastAsia" w:cs="仿宋"/>
        </w:rPr>
        <w:t>业务部门可以通过编制项目设置功能将新增的项目作为准备申报的项目进行项目储备；实现通过编制阶段设置功能进行预算编制的一上开始（结束）时间、二上开始（结束）时间的基础设置；单位可以通过预算批复情况设置项目总盘，设定预算上限标准。</w:t>
      </w:r>
    </w:p>
    <w:p w14:paraId="3DBCCA0A">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预算控制</w:t>
      </w:r>
      <w:r>
        <w:rPr>
          <w:rFonts w:hint="eastAsia" w:ascii="仿宋" w:hAnsi="仿宋" w:eastAsia="仿宋" w:cs="仿宋"/>
          <w:b/>
          <w:bCs/>
          <w:sz w:val="28"/>
          <w:szCs w:val="28"/>
        </w:rPr>
        <w:tab/>
      </w:r>
    </w:p>
    <w:p w14:paraId="41161D6F">
      <w:pPr>
        <w:pStyle w:val="6"/>
        <w:ind w:firstLine="560"/>
        <w:rPr>
          <w:rFonts w:cs="仿宋"/>
        </w:rPr>
      </w:pPr>
      <w:r>
        <w:rPr>
          <w:rFonts w:hint="eastAsia" w:cs="仿宋"/>
        </w:rPr>
        <w:t>财务人员通过单位预算控制数功能进行一上、二上阶段的单位整体预算控制数的维护，实现预算控制数的逐级控制；业务部门人员通过部门明细控制数功能进行二上阶段部门预算明细控制数的维护，实现预算控制数的逐级控制。</w:t>
      </w:r>
    </w:p>
    <w:p w14:paraId="62213908">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预算编制</w:t>
      </w:r>
      <w:r>
        <w:rPr>
          <w:rFonts w:hint="eastAsia" w:ascii="仿宋" w:hAnsi="仿宋" w:eastAsia="仿宋" w:cs="仿宋"/>
          <w:b/>
          <w:bCs/>
          <w:sz w:val="28"/>
          <w:szCs w:val="28"/>
        </w:rPr>
        <w:tab/>
      </w:r>
    </w:p>
    <w:p w14:paraId="66C42A67">
      <w:pPr>
        <w:pStyle w:val="6"/>
        <w:ind w:firstLine="560"/>
        <w:rPr>
          <w:rFonts w:cs="仿宋"/>
        </w:rPr>
      </w:pPr>
      <w:r>
        <w:rPr>
          <w:rFonts w:hint="eastAsia" w:cs="仿宋"/>
        </w:rPr>
        <w:t>进行预算编制，并自动汇总实现预算逐级控制；对预算编制的查询；编制整个单位的公用预算，支持与各部门预算编报情况的汇总合成预算总盘；通过基础数据测算功能进行维护预算编制的年度预算测算表。</w:t>
      </w:r>
    </w:p>
    <w:p w14:paraId="5DD4C449">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预算预警</w:t>
      </w:r>
      <w:r>
        <w:rPr>
          <w:rFonts w:hint="eastAsia" w:ascii="仿宋" w:hAnsi="仿宋" w:eastAsia="仿宋" w:cs="仿宋"/>
          <w:b/>
          <w:bCs/>
          <w:sz w:val="28"/>
          <w:szCs w:val="28"/>
        </w:rPr>
        <w:tab/>
      </w:r>
    </w:p>
    <w:p w14:paraId="0B44A231">
      <w:pPr>
        <w:pStyle w:val="6"/>
        <w:ind w:firstLine="560"/>
        <w:rPr>
          <w:rFonts w:cs="仿宋"/>
        </w:rPr>
      </w:pPr>
      <w:r>
        <w:rPr>
          <w:rFonts w:hint="eastAsia" w:cs="仿宋"/>
        </w:rPr>
        <w:t>为预算设置相关的预警指标，包括包含预算执行进度配置、预算执行率配置、预算额度配置等。</w:t>
      </w:r>
    </w:p>
    <w:p w14:paraId="09876EC6">
      <w:pPr>
        <w:pStyle w:val="6"/>
        <w:ind w:firstLine="560"/>
        <w:rPr>
          <w:rFonts w:cs="仿宋"/>
        </w:rPr>
      </w:pPr>
      <w:r>
        <w:rPr>
          <w:rFonts w:hint="eastAsia" w:cs="仿宋"/>
        </w:rPr>
        <w:t>对年度预算执行以及时间综合预警；根据预算执行率以及时间进行预算执行率预警，提醒相关干系人；根据预算额度以及预算使用情况进行预警。</w:t>
      </w:r>
    </w:p>
    <w:p w14:paraId="1BF42530">
      <w:pPr>
        <w:numPr>
          <w:ilvl w:val="1"/>
          <w:numId w:val="3"/>
        </w:numPr>
        <w:spacing w:line="360" w:lineRule="auto"/>
        <w:outlineLvl w:val="1"/>
        <w:rPr>
          <w:rFonts w:ascii="仿宋" w:hAnsi="仿宋" w:eastAsia="仿宋" w:cs="仿宋"/>
          <w:b/>
          <w:bCs/>
          <w:sz w:val="32"/>
          <w:szCs w:val="32"/>
        </w:rPr>
      </w:pPr>
      <w:r>
        <w:rPr>
          <w:rFonts w:hint="eastAsia" w:ascii="仿宋" w:hAnsi="仿宋" w:eastAsia="仿宋" w:cs="仿宋"/>
          <w:b/>
          <w:bCs/>
          <w:sz w:val="32"/>
          <w:szCs w:val="32"/>
        </w:rPr>
        <w:t>综合业务内控规划子平台-项目管理子系统</w:t>
      </w:r>
    </w:p>
    <w:p w14:paraId="3F7E4FD8">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基础数据</w:t>
      </w:r>
    </w:p>
    <w:p w14:paraId="0453ED63">
      <w:pPr>
        <w:pStyle w:val="6"/>
        <w:ind w:firstLine="560"/>
        <w:rPr>
          <w:rFonts w:cs="仿宋"/>
        </w:rPr>
      </w:pPr>
      <w:r>
        <w:rPr>
          <w:rFonts w:hint="eastAsia" w:cs="仿宋"/>
        </w:rPr>
        <w:t>对建设性质进行搜索、增加、删除、修改、停用与更换父节点；</w:t>
      </w:r>
    </w:p>
    <w:p w14:paraId="0D64D254">
      <w:pPr>
        <w:pStyle w:val="6"/>
        <w:ind w:firstLine="560"/>
        <w:rPr>
          <w:rFonts w:cs="仿宋"/>
        </w:rPr>
      </w:pPr>
      <w:r>
        <w:rPr>
          <w:rFonts w:hint="eastAsia" w:cs="仿宋"/>
        </w:rPr>
        <w:t>对项目类别进行搜索、增加、删除、修改、停用与更换父节点，项目类别可以由系统管理员自主设定。</w:t>
      </w:r>
    </w:p>
    <w:p w14:paraId="7D182294">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项目发起</w:t>
      </w:r>
    </w:p>
    <w:p w14:paraId="75931207">
      <w:pPr>
        <w:pStyle w:val="6"/>
        <w:ind w:firstLine="560"/>
        <w:rPr>
          <w:rFonts w:cs="仿宋"/>
        </w:rPr>
      </w:pPr>
      <w:r>
        <w:rPr>
          <w:rFonts w:hint="eastAsia" w:cs="仿宋"/>
        </w:rPr>
        <w:t>可以根据项目类别，录入项目信息，包含项目重要附件、项目建设文书号、项目投资估算、可研批复文号、支出预算及明细、设备购置等信息；</w:t>
      </w:r>
    </w:p>
    <w:p w14:paraId="25176C3D">
      <w:pPr>
        <w:pStyle w:val="6"/>
        <w:ind w:firstLine="560"/>
        <w:rPr>
          <w:rFonts w:cs="仿宋"/>
        </w:rPr>
      </w:pPr>
      <w:r>
        <w:rPr>
          <w:rFonts w:hint="eastAsia" w:cs="仿宋"/>
        </w:rPr>
        <w:t>根在系统中发起项目立项流程，立项过程中需要填报项目执行情况、预算执行情况、项目预采购情况等，经审批后的项目方可成功立项；</w:t>
      </w:r>
    </w:p>
    <w:p w14:paraId="271780D4">
      <w:pPr>
        <w:pStyle w:val="6"/>
        <w:ind w:firstLine="560"/>
        <w:rPr>
          <w:rFonts w:cs="仿宋"/>
        </w:rPr>
      </w:pPr>
      <w:r>
        <w:rPr>
          <w:rFonts w:hint="eastAsia" w:cs="仿宋"/>
        </w:rPr>
        <w:t>单位系统管理员通过项目查询功能对单位的发起项目进行查询、找回和作废。</w:t>
      </w:r>
    </w:p>
    <w:p w14:paraId="5A450206">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项目执行</w:t>
      </w:r>
    </w:p>
    <w:p w14:paraId="3F9C9D85">
      <w:pPr>
        <w:pStyle w:val="6"/>
        <w:ind w:firstLine="560"/>
        <w:rPr>
          <w:rFonts w:cs="仿宋"/>
        </w:rPr>
      </w:pPr>
      <w:r>
        <w:rPr>
          <w:rFonts w:hint="eastAsia" w:cs="仿宋"/>
        </w:rPr>
        <w:t>在项目执行过程中按照项目的执行结果填报项目执行情况、上传项目文档、对签订的项目合同通过项目管理进行发起，发起后的合同将锁定项目预算、填报项目设备购买情况;</w:t>
      </w:r>
    </w:p>
    <w:p w14:paraId="4A69EDA9">
      <w:pPr>
        <w:pStyle w:val="6"/>
        <w:ind w:firstLine="560"/>
        <w:rPr>
          <w:rFonts w:cs="仿宋"/>
        </w:rPr>
      </w:pPr>
      <w:r>
        <w:rPr>
          <w:rFonts w:hint="eastAsia" w:cs="仿宋"/>
        </w:rPr>
        <w:t>项目执行人员可以在项目执行过程中填报耗材采购情况；系统根据项目设备采购、耗材采购、费用报销等核算项目的预算执行情况；项目在执行过程中如发现预算偏离，可以格局项目预算变更流程，发起预算变更。</w:t>
      </w:r>
    </w:p>
    <w:p w14:paraId="5A547D4C">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项目结项</w:t>
      </w:r>
    </w:p>
    <w:p w14:paraId="58CC0D75">
      <w:pPr>
        <w:pStyle w:val="6"/>
        <w:ind w:firstLine="560"/>
        <w:rPr>
          <w:rFonts w:cs="仿宋"/>
        </w:rPr>
      </w:pPr>
      <w:r>
        <w:rPr>
          <w:rFonts w:hint="eastAsia" w:cs="仿宋"/>
        </w:rPr>
        <w:t>项目完成后，项目执行人员可以对项目发起结项审批，审批完成后允许项目结项；结项完成后，系统自动生成项目绩效，从预算申报、执行、变更等维度生成项目绩效分析。</w:t>
      </w:r>
    </w:p>
    <w:p w14:paraId="690E5BFB">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事前评估</w:t>
      </w:r>
    </w:p>
    <w:p w14:paraId="17E44F38">
      <w:pPr>
        <w:pStyle w:val="6"/>
        <w:ind w:firstLine="560"/>
        <w:rPr>
          <w:rFonts w:cs="仿宋"/>
        </w:rPr>
      </w:pPr>
      <w:r>
        <w:rPr>
          <w:rFonts w:hint="eastAsia" w:cs="仿宋"/>
        </w:rPr>
        <w:t>根据项目类型走不同的事前评估流程，根据评估结果确定项目是否满足条件，经过评估完成后的项目才允许申报预算。根据单位内部流程设定项目评估流程，所有评估依据需要保留在系统中。</w:t>
      </w:r>
    </w:p>
    <w:p w14:paraId="1E49811B">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项目评审</w:t>
      </w:r>
    </w:p>
    <w:p w14:paraId="1A1E37BD">
      <w:pPr>
        <w:pStyle w:val="6"/>
        <w:ind w:firstLine="560"/>
        <w:rPr>
          <w:rFonts w:cs="仿宋"/>
        </w:rPr>
      </w:pPr>
      <w:r>
        <w:rPr>
          <w:rFonts w:hint="eastAsia" w:cs="仿宋"/>
        </w:rPr>
        <w:t>项目执行前进行项目评审，根据评审结果完善评审流程，保留评审依据用作备案。</w:t>
      </w:r>
    </w:p>
    <w:p w14:paraId="2E4CAD41">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项目预警</w:t>
      </w:r>
    </w:p>
    <w:p w14:paraId="531E7A1E">
      <w:pPr>
        <w:pStyle w:val="6"/>
        <w:ind w:firstLine="560"/>
        <w:rPr>
          <w:rFonts w:cs="仿宋"/>
        </w:rPr>
      </w:pPr>
      <w:r>
        <w:rPr>
          <w:rFonts w:hint="eastAsia" w:cs="仿宋"/>
        </w:rPr>
        <w:t>系统根据项目立项所填报的项目进度进行预警。提醒项目管理人员项目进度情况；系统根据项目预算的执行情况以及项目立项的资金执行情况对比预警，提醒项目人员注意预算执行情况；系统根据项目的经费执行情况为管理者出具经费占比预警；系统根据项目经费执行情况，为管理者出具项目经费执行情况预警。</w:t>
      </w:r>
    </w:p>
    <w:p w14:paraId="30E5FD9D">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项目分析</w:t>
      </w:r>
    </w:p>
    <w:p w14:paraId="1BFB9F80">
      <w:pPr>
        <w:pStyle w:val="6"/>
        <w:ind w:firstLine="560"/>
        <w:rPr>
          <w:rFonts w:cs="仿宋"/>
        </w:rPr>
      </w:pPr>
      <w:r>
        <w:rPr>
          <w:rFonts w:hint="eastAsia" w:cs="仿宋"/>
        </w:rPr>
        <w:t>根据项目执行情况，分析项目预算执行情况、采购情况、合同管理情况、报销情况等；根据部门项目执行情况，分析部门预算执行情况；根据单位项目执行情况，分析部门预算执行情况；根据单位科研项目执行情况进行分析。</w:t>
      </w:r>
    </w:p>
    <w:p w14:paraId="6BEAF211">
      <w:pPr>
        <w:numPr>
          <w:ilvl w:val="1"/>
          <w:numId w:val="3"/>
        </w:numPr>
        <w:spacing w:line="360" w:lineRule="auto"/>
        <w:outlineLvl w:val="1"/>
        <w:rPr>
          <w:rFonts w:ascii="仿宋" w:hAnsi="仿宋" w:eastAsia="仿宋" w:cs="仿宋"/>
          <w:b/>
          <w:bCs/>
          <w:sz w:val="32"/>
          <w:szCs w:val="32"/>
        </w:rPr>
      </w:pPr>
      <w:r>
        <w:rPr>
          <w:rFonts w:hint="eastAsia" w:ascii="仿宋" w:hAnsi="仿宋" w:eastAsia="仿宋" w:cs="仿宋"/>
          <w:b/>
          <w:bCs/>
          <w:sz w:val="32"/>
          <w:szCs w:val="32"/>
        </w:rPr>
        <w:t>综合业务内控规划子平台-经费管理子系统</w:t>
      </w:r>
    </w:p>
    <w:p w14:paraId="6A4B658F">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签报管理</w:t>
      </w:r>
    </w:p>
    <w:p w14:paraId="1238945C">
      <w:pPr>
        <w:pStyle w:val="6"/>
        <w:ind w:firstLine="560"/>
        <w:rPr>
          <w:rFonts w:cs="仿宋"/>
        </w:rPr>
      </w:pPr>
      <w:r>
        <w:rPr>
          <w:rFonts w:hint="eastAsia" w:cs="仿宋"/>
        </w:rPr>
        <w:t>报账人员填写经费签报单，提交审核，相关审核人员审核通过后可进行下一步经费报销业务；</w:t>
      </w:r>
    </w:p>
    <w:p w14:paraId="547FDDEB">
      <w:pPr>
        <w:pStyle w:val="6"/>
        <w:ind w:firstLine="560"/>
        <w:rPr>
          <w:rFonts w:cs="仿宋"/>
        </w:rPr>
      </w:pPr>
      <w:r>
        <w:rPr>
          <w:rFonts w:hint="eastAsia" w:cs="仿宋"/>
        </w:rPr>
        <w:t>提供单位管理人员和部门管理人员查询相应有权限的经费签报数据。</w:t>
      </w:r>
    </w:p>
    <w:p w14:paraId="6809404C">
      <w:pPr>
        <w:pStyle w:val="6"/>
        <w:ind w:firstLine="560"/>
        <w:rPr>
          <w:rFonts w:cs="仿宋"/>
        </w:rPr>
      </w:pPr>
      <w:r>
        <w:rPr>
          <w:rFonts w:hint="eastAsia" w:cs="仿宋"/>
        </w:rPr>
        <w:t>释放签报单使用的预算指标；单位管理员通过释放查询功能查询相应有权限的释放信息，并可以取消释放。</w:t>
      </w:r>
    </w:p>
    <w:p w14:paraId="06F9E423">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报销管理</w:t>
      </w:r>
    </w:p>
    <w:p w14:paraId="5D88FC88">
      <w:pPr>
        <w:pStyle w:val="6"/>
        <w:ind w:firstLine="560"/>
        <w:rPr>
          <w:rFonts w:cs="仿宋"/>
        </w:rPr>
      </w:pPr>
      <w:r>
        <w:rPr>
          <w:rFonts w:hint="eastAsia" w:cs="仿宋"/>
        </w:rPr>
        <w:t>业务人员进行花费的报销，相关岗位按权限进行审核（审批）；发生个人借款或者需要预付等业务，由相关审核人员审核通过后，进行付款；退还借款的功能；根据不同角色的权限进行查询借款功能、报销功能、退款功能、还款功能。</w:t>
      </w:r>
    </w:p>
    <w:p w14:paraId="4928A14E">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初始登记</w:t>
      </w:r>
    </w:p>
    <w:p w14:paraId="0FDA34DA">
      <w:pPr>
        <w:pStyle w:val="6"/>
        <w:ind w:firstLine="560"/>
        <w:rPr>
          <w:rFonts w:cs="仿宋"/>
        </w:rPr>
      </w:pPr>
      <w:r>
        <w:rPr>
          <w:rFonts w:hint="eastAsia" w:cs="仿宋"/>
        </w:rPr>
        <w:t>实现出纳人员在完成支付环节后，报销单形成初始登记凭证，出纳人员可以再初始登记功能中查看初始凭证。</w:t>
      </w:r>
    </w:p>
    <w:p w14:paraId="76A2BF7F">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专项查询</w:t>
      </w:r>
    </w:p>
    <w:p w14:paraId="60ED50D8">
      <w:pPr>
        <w:pStyle w:val="6"/>
        <w:ind w:firstLine="560"/>
        <w:rPr>
          <w:rFonts w:cs="仿宋"/>
        </w:rPr>
      </w:pPr>
      <w:r>
        <w:rPr>
          <w:rFonts w:hint="eastAsia" w:cs="仿宋"/>
        </w:rPr>
        <w:t>依据不同角色权限显示不同数据，查询任意时间范围内的购置资产的信息、购置资产的报销单据、政府采购支出、劳务费支出的报销单据、公务卡刷卡的报销单据、付款信息查询、政府购买服务支出的报销单据。</w:t>
      </w:r>
    </w:p>
    <w:p w14:paraId="12D07DC4">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报销标准</w:t>
      </w:r>
    </w:p>
    <w:p w14:paraId="027289CD">
      <w:pPr>
        <w:pStyle w:val="6"/>
        <w:ind w:firstLine="560"/>
        <w:rPr>
          <w:rFonts w:cs="仿宋"/>
        </w:rPr>
      </w:pPr>
      <w:r>
        <w:rPr>
          <w:rFonts w:hint="eastAsia" w:cs="仿宋"/>
        </w:rPr>
        <w:t>系统管理员通过差旅标准（伙食补助、市内交通、住宿费、城市间交通）、会议费标准、培训费标准、讲师标准、劳务费标准、咨询费标准维护各类标准信息；系统在报销单保存时自动进行超标控制。</w:t>
      </w:r>
    </w:p>
    <w:p w14:paraId="0D2BCF24">
      <w:pPr>
        <w:numPr>
          <w:ilvl w:val="1"/>
          <w:numId w:val="3"/>
        </w:numPr>
        <w:spacing w:line="360" w:lineRule="auto"/>
        <w:outlineLvl w:val="1"/>
        <w:rPr>
          <w:rFonts w:ascii="仿宋" w:hAnsi="仿宋" w:eastAsia="仿宋" w:cs="仿宋"/>
          <w:b/>
          <w:bCs/>
          <w:sz w:val="32"/>
          <w:szCs w:val="32"/>
        </w:rPr>
      </w:pPr>
      <w:r>
        <w:rPr>
          <w:rFonts w:hint="eastAsia" w:ascii="仿宋" w:hAnsi="仿宋" w:eastAsia="仿宋" w:cs="仿宋"/>
          <w:b/>
          <w:bCs/>
          <w:sz w:val="32"/>
          <w:szCs w:val="32"/>
        </w:rPr>
        <w:t>综合业务内控规划子平台-采购管理子系统</w:t>
      </w:r>
    </w:p>
    <w:p w14:paraId="019CD54C">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基础数据</w:t>
      </w:r>
    </w:p>
    <w:p w14:paraId="3CADB70F">
      <w:pPr>
        <w:pStyle w:val="6"/>
        <w:ind w:firstLine="560"/>
        <w:rPr>
          <w:rFonts w:cs="仿宋"/>
        </w:rPr>
      </w:pPr>
      <w:r>
        <w:rPr>
          <w:rFonts w:hint="eastAsia" w:cs="仿宋"/>
        </w:rPr>
        <w:t>单位采购经办人通过政府采购品目功能维护政府采购品目的基础数据信息；通过购买服务品目功能维护政府购买服务品目的基础数据信息；根据采购类型创建不同的采购模板。</w:t>
      </w:r>
    </w:p>
    <w:p w14:paraId="66711EA7">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政府采购</w:t>
      </w:r>
    </w:p>
    <w:p w14:paraId="17973ED7">
      <w:pPr>
        <w:pStyle w:val="6"/>
        <w:ind w:firstLine="560"/>
        <w:rPr>
          <w:rFonts w:cs="仿宋"/>
        </w:rPr>
      </w:pPr>
      <w:r>
        <w:rPr>
          <w:rFonts w:hint="eastAsia" w:cs="仿宋"/>
        </w:rPr>
        <w:t>进行政府采购需求数据的填写；查询当前部门/部门的政府采购需求数据；查询当前单位的政府采购需求数据，点击作废按钮可以作废已经确认的政府采购数据；进行政府采购结果的登记；查询当前部门/部门的政府采购结果登记数据；</w:t>
      </w:r>
    </w:p>
    <w:p w14:paraId="2E49145C">
      <w:pPr>
        <w:pStyle w:val="6"/>
        <w:ind w:firstLine="560"/>
        <w:rPr>
          <w:rFonts w:cs="仿宋"/>
        </w:rPr>
      </w:pPr>
      <w:r>
        <w:rPr>
          <w:rFonts w:hint="eastAsia" w:cs="仿宋"/>
        </w:rPr>
        <w:t>实现单位系统管理员通过政府采购查询功能查询当前单位的政府采购结果登记数据，点击作废按钮可以作废已经确认的政府采购数据。</w:t>
      </w:r>
    </w:p>
    <w:p w14:paraId="4BED8C1A">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政府购买服务</w:t>
      </w:r>
    </w:p>
    <w:p w14:paraId="7727C74B">
      <w:pPr>
        <w:pStyle w:val="6"/>
        <w:ind w:firstLine="560"/>
        <w:rPr>
          <w:rFonts w:cs="仿宋"/>
        </w:rPr>
      </w:pPr>
      <w:r>
        <w:rPr>
          <w:rFonts w:hint="eastAsia" w:cs="仿宋"/>
        </w:rPr>
        <w:t>进行政府购买服务需求数据的填写、查询当前部门的服务需求数据、查询当前单位的服务需求数据、查询功能查询当前单位的服务需求数据，点击作废按钮可以作废已经确认的服务数据；</w:t>
      </w:r>
    </w:p>
    <w:p w14:paraId="1E47730A">
      <w:pPr>
        <w:pStyle w:val="6"/>
        <w:ind w:firstLine="560"/>
        <w:rPr>
          <w:rFonts w:cs="仿宋"/>
          <w:b/>
          <w:bCs/>
        </w:rPr>
      </w:pPr>
      <w:r>
        <w:rPr>
          <w:rFonts w:hint="eastAsia" w:cs="仿宋"/>
        </w:rPr>
        <w:t>进行购买服务结果的登记、查询当前部门的购买服务结果登记数据、查询当前单位的购买服务结果登记数据、查询当前单位的购买服务结果登记数据，点击作废按钮可以作废已经确认的购买服务数据。</w:t>
      </w:r>
    </w:p>
    <w:p w14:paraId="5978AF3C">
      <w:pPr>
        <w:numPr>
          <w:ilvl w:val="1"/>
          <w:numId w:val="3"/>
        </w:numPr>
        <w:spacing w:line="360" w:lineRule="auto"/>
        <w:outlineLvl w:val="1"/>
        <w:rPr>
          <w:rFonts w:ascii="仿宋" w:hAnsi="仿宋" w:eastAsia="仿宋" w:cs="仿宋"/>
          <w:b/>
          <w:bCs/>
          <w:sz w:val="32"/>
          <w:szCs w:val="32"/>
        </w:rPr>
      </w:pPr>
      <w:r>
        <w:rPr>
          <w:rFonts w:hint="eastAsia" w:ascii="仿宋" w:hAnsi="仿宋" w:eastAsia="仿宋" w:cs="仿宋"/>
          <w:b/>
          <w:bCs/>
          <w:sz w:val="32"/>
          <w:szCs w:val="32"/>
        </w:rPr>
        <w:t>综合业务内控规划子平台-合同管理子系统</w:t>
      </w:r>
    </w:p>
    <w:p w14:paraId="347708AD">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收支合同</w:t>
      </w:r>
    </w:p>
    <w:p w14:paraId="6C50EDD1">
      <w:pPr>
        <w:pStyle w:val="6"/>
        <w:ind w:firstLine="560"/>
        <w:rPr>
          <w:rFonts w:cs="仿宋"/>
        </w:rPr>
      </w:pPr>
      <w:r>
        <w:rPr>
          <w:rFonts w:hint="eastAsia" w:cs="仿宋"/>
        </w:rPr>
        <w:t>业务部门合同管理人员通过合同登记功能进行合同事项登记，并提交审批，审批通过后形成往来信息库。</w:t>
      </w:r>
    </w:p>
    <w:p w14:paraId="4C7AFE26">
      <w:pPr>
        <w:pStyle w:val="6"/>
        <w:ind w:firstLine="560"/>
        <w:rPr>
          <w:rFonts w:cs="仿宋"/>
        </w:rPr>
      </w:pPr>
      <w:r>
        <w:rPr>
          <w:rFonts w:hint="eastAsia" w:cs="仿宋"/>
        </w:rPr>
        <w:t>单位合同归口或审核相关人员依据各自权限进行审核（审批）；根据角色权限在合同查询中查看合同执行情况，并可以对错误单据进行作废处理；</w:t>
      </w:r>
    </w:p>
    <w:p w14:paraId="08D0A3C7">
      <w:pPr>
        <w:pStyle w:val="6"/>
        <w:ind w:firstLine="560"/>
        <w:rPr>
          <w:rFonts w:cs="仿宋"/>
        </w:rPr>
      </w:pPr>
      <w:r>
        <w:rPr>
          <w:rFonts w:hint="eastAsia" w:cs="仿宋"/>
        </w:rPr>
        <w:t>业务部门合同管理人员通过结算登记功能对单价合同进行登记结算，审核（审批）后形成新的付款信息；</w:t>
      </w:r>
    </w:p>
    <w:p w14:paraId="519E4A22">
      <w:pPr>
        <w:pStyle w:val="6"/>
        <w:ind w:firstLine="560"/>
        <w:rPr>
          <w:rFonts w:cs="仿宋"/>
        </w:rPr>
      </w:pPr>
      <w:r>
        <w:rPr>
          <w:rFonts w:hint="eastAsia" w:cs="仿宋"/>
        </w:rPr>
        <w:t>根据角色权限在结算查询中查看合同结算登记情况，并可以对错误单据进行作废处理。</w:t>
      </w:r>
    </w:p>
    <w:p w14:paraId="67B4616A">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往来管理</w:t>
      </w:r>
    </w:p>
    <w:p w14:paraId="68303F90">
      <w:pPr>
        <w:pStyle w:val="6"/>
        <w:ind w:firstLine="560"/>
        <w:rPr>
          <w:rFonts w:cs="仿宋"/>
        </w:rPr>
      </w:pPr>
      <w:r>
        <w:rPr>
          <w:rFonts w:hint="eastAsia" w:cs="仿宋"/>
        </w:rPr>
        <w:t>通过初始登记进行往年合同初始登记并形成往来信息库；通过初始查询进行往年合同初始登记信息库查询；通过往来查询功能查询所有往来款项的收支情况。</w:t>
      </w:r>
    </w:p>
    <w:p w14:paraId="47F9F7DA">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专项查询</w:t>
      </w:r>
    </w:p>
    <w:p w14:paraId="61B9D2D5">
      <w:pPr>
        <w:pStyle w:val="6"/>
        <w:ind w:firstLine="560"/>
        <w:rPr>
          <w:rFonts w:cs="仿宋"/>
        </w:rPr>
      </w:pPr>
      <w:r>
        <w:rPr>
          <w:rFonts w:hint="eastAsia" w:cs="仿宋"/>
        </w:rPr>
        <w:t>根据不同角色权限限制通过专项查询功能按照往来单位查询执行进度、按照部门查询执行进度、按照收入合同类型查询执行进度、按照支出合同类型查询执行进度、按照项目合同类型查询执行进度。</w:t>
      </w:r>
    </w:p>
    <w:p w14:paraId="63DC14B6">
      <w:pPr>
        <w:pStyle w:val="6"/>
        <w:ind w:firstLine="560"/>
        <w:rPr>
          <w:rFonts w:cs="仿宋"/>
        </w:rPr>
      </w:pPr>
    </w:p>
    <w:p w14:paraId="74979452">
      <w:pPr>
        <w:numPr>
          <w:ilvl w:val="1"/>
          <w:numId w:val="3"/>
        </w:numPr>
        <w:spacing w:line="360" w:lineRule="auto"/>
        <w:outlineLvl w:val="1"/>
        <w:rPr>
          <w:rFonts w:ascii="仿宋" w:hAnsi="仿宋" w:eastAsia="仿宋" w:cs="仿宋"/>
          <w:b/>
          <w:bCs/>
          <w:sz w:val="32"/>
          <w:szCs w:val="32"/>
        </w:rPr>
      </w:pPr>
      <w:r>
        <w:rPr>
          <w:rFonts w:hint="eastAsia" w:ascii="仿宋" w:hAnsi="仿宋" w:eastAsia="仿宋" w:cs="仿宋"/>
          <w:b/>
          <w:bCs/>
          <w:sz w:val="32"/>
          <w:szCs w:val="32"/>
        </w:rPr>
        <w:t>综合业务内控规划子平台-大型仪器设备管理子系统</w:t>
      </w:r>
    </w:p>
    <w:p w14:paraId="64BE3E3F">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设备管理首页</w:t>
      </w:r>
    </w:p>
    <w:p w14:paraId="25614641">
      <w:pPr>
        <w:pStyle w:val="6"/>
        <w:ind w:firstLine="560"/>
        <w:rPr>
          <w:rFonts w:cs="仿宋"/>
        </w:rPr>
      </w:pPr>
      <w:r>
        <w:rPr>
          <w:rFonts w:hint="eastAsia" w:cs="仿宋"/>
        </w:rPr>
        <w:t>通过设备图表的方式为设备管理员设定管理首页，支持打印带有二维码的标签并粘贴在资产上，满足仪器设备的状态管理，根据计量结果为仪器标记停用/在用/检测中等标记。</w:t>
      </w:r>
    </w:p>
    <w:p w14:paraId="4346C2FD">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设备入库</w:t>
      </w:r>
    </w:p>
    <w:p w14:paraId="58778059">
      <w:pPr>
        <w:pStyle w:val="6"/>
        <w:ind w:firstLine="560"/>
        <w:rPr>
          <w:rFonts w:cs="仿宋"/>
        </w:rPr>
      </w:pPr>
      <w:r>
        <w:rPr>
          <w:rFonts w:hint="eastAsia" w:cs="仿宋"/>
        </w:rPr>
        <w:t>系统可以直接获取仪器设备的采购信息，由设备管理员完善设备分类、设备的使用部门、设备验收人、所属实验室等相关信息完成设备入库工作。</w:t>
      </w:r>
    </w:p>
    <w:p w14:paraId="06D53998">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设备验收</w:t>
      </w:r>
    </w:p>
    <w:p w14:paraId="13D9BDC5">
      <w:pPr>
        <w:pStyle w:val="6"/>
        <w:ind w:firstLine="560"/>
        <w:rPr>
          <w:rFonts w:cs="仿宋"/>
        </w:rPr>
      </w:pPr>
      <w:r>
        <w:rPr>
          <w:rFonts w:hint="eastAsia" w:cs="仿宋"/>
        </w:rPr>
        <w:t>设备使用部门以及设备验收人接收到时入库信息后，将根据设备实物的情况进行设备验收；验收通过后的设备将通过数据接口，传输至资产管理系统数据库。由单位资产管理员确认设备的入账情况。</w:t>
      </w:r>
    </w:p>
    <w:p w14:paraId="30F73CDC">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设备转移</w:t>
      </w:r>
    </w:p>
    <w:p w14:paraId="595B6A30">
      <w:pPr>
        <w:pStyle w:val="6"/>
        <w:ind w:firstLine="560"/>
        <w:rPr>
          <w:rFonts w:cs="仿宋"/>
        </w:rPr>
      </w:pPr>
      <w:r>
        <w:rPr>
          <w:rFonts w:hint="eastAsia" w:cs="仿宋"/>
        </w:rPr>
        <w:t>系统支持设备管理人员对设备进行使用部门、使用人、使用位置的调整。</w:t>
      </w:r>
    </w:p>
    <w:p w14:paraId="32AA9D8C">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设备计量</w:t>
      </w:r>
    </w:p>
    <w:p w14:paraId="48C20302">
      <w:pPr>
        <w:pStyle w:val="6"/>
        <w:ind w:firstLine="560"/>
        <w:rPr>
          <w:rFonts w:cs="仿宋"/>
        </w:rPr>
      </w:pPr>
      <w:r>
        <w:rPr>
          <w:rFonts w:hint="eastAsia" w:cs="仿宋"/>
        </w:rPr>
        <w:t>针对仪器测量定量化的准确性对仪器发起计量相关业务，包括计量计划、计量计划执行、计量单位等。</w:t>
      </w:r>
    </w:p>
    <w:p w14:paraId="5474A213">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设备保修</w:t>
      </w:r>
    </w:p>
    <w:p w14:paraId="53937194">
      <w:pPr>
        <w:pStyle w:val="6"/>
        <w:ind w:firstLine="560"/>
        <w:rPr>
          <w:rFonts w:cs="仿宋"/>
        </w:rPr>
      </w:pPr>
      <w:r>
        <w:rPr>
          <w:rFonts w:hint="eastAsia" w:cs="仿宋"/>
        </w:rPr>
        <w:t>仪器的报修对时效性和业务发起端要求相对较高，系统支持根据仪器的管理层级发起仪器报修业务。同时记录仪器费用纳入财务管理。</w:t>
      </w:r>
    </w:p>
    <w:p w14:paraId="31E9E4D7">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设备处置</w:t>
      </w:r>
    </w:p>
    <w:p w14:paraId="026EA21B">
      <w:pPr>
        <w:pStyle w:val="6"/>
        <w:ind w:firstLine="560"/>
        <w:rPr>
          <w:rFonts w:cs="仿宋"/>
        </w:rPr>
      </w:pPr>
      <w:r>
        <w:rPr>
          <w:rFonts w:hint="eastAsia" w:cs="仿宋"/>
        </w:rPr>
        <w:t>仪器到达使用年限后续进行处置报废，仪器设备的处置申请流程将流转至资产管理系统，遵循资产处置流程进行申报。批复后仪器设备同步销账。</w:t>
      </w:r>
    </w:p>
    <w:p w14:paraId="7FE08B3B">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设备预警</w:t>
      </w:r>
    </w:p>
    <w:p w14:paraId="769D3A45">
      <w:pPr>
        <w:pStyle w:val="6"/>
        <w:ind w:firstLine="560"/>
        <w:rPr>
          <w:rFonts w:cs="仿宋"/>
        </w:rPr>
      </w:pPr>
      <w:r>
        <w:rPr>
          <w:rFonts w:hint="eastAsia" w:cs="仿宋"/>
        </w:rPr>
        <w:t>系统提供仪器相关业务的预警，及时提醒管理员关注相关业务。包含仪器设备的计量预警、仪器设备状态预警等、仪器设备保修期、维养期等预警。</w:t>
      </w:r>
    </w:p>
    <w:p w14:paraId="265CD609">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系统管理</w:t>
      </w:r>
    </w:p>
    <w:p w14:paraId="35F43D6E">
      <w:pPr>
        <w:pStyle w:val="6"/>
        <w:ind w:firstLine="560"/>
        <w:rPr>
          <w:rFonts w:cs="仿宋"/>
        </w:rPr>
      </w:pPr>
      <w:r>
        <w:rPr>
          <w:rFonts w:hint="eastAsia" w:cs="仿宋"/>
        </w:rPr>
        <w:t>系统根据业务情况设定多个管理商库，即简便数据录入又可以为用户搭建工商库，直接对供应商进行分析与判断。</w:t>
      </w:r>
    </w:p>
    <w:p w14:paraId="2187DE68">
      <w:pPr>
        <w:pStyle w:val="6"/>
        <w:ind w:firstLine="560"/>
        <w:rPr>
          <w:rFonts w:cs="仿宋"/>
        </w:rPr>
      </w:pPr>
    </w:p>
    <w:p w14:paraId="3BD9EDEA">
      <w:pPr>
        <w:numPr>
          <w:ilvl w:val="1"/>
          <w:numId w:val="3"/>
        </w:numPr>
        <w:spacing w:line="360" w:lineRule="auto"/>
        <w:outlineLvl w:val="1"/>
        <w:rPr>
          <w:rFonts w:ascii="仿宋" w:hAnsi="仿宋" w:eastAsia="仿宋" w:cs="仿宋"/>
          <w:b/>
          <w:bCs/>
          <w:sz w:val="32"/>
          <w:szCs w:val="32"/>
        </w:rPr>
      </w:pPr>
      <w:r>
        <w:rPr>
          <w:rFonts w:hint="eastAsia" w:ascii="仿宋" w:hAnsi="仿宋" w:eastAsia="仿宋" w:cs="仿宋"/>
          <w:b/>
          <w:bCs/>
          <w:sz w:val="32"/>
          <w:szCs w:val="32"/>
        </w:rPr>
        <w:t>综合业务内控规划子平台-薪酬管理子系统</w:t>
      </w:r>
    </w:p>
    <w:p w14:paraId="279791F6">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工资项设置</w:t>
      </w:r>
    </w:p>
    <w:p w14:paraId="0A843982">
      <w:pPr>
        <w:pStyle w:val="6"/>
        <w:ind w:firstLine="560"/>
        <w:rPr>
          <w:rFonts w:cs="仿宋"/>
        </w:rPr>
      </w:pPr>
      <w:r>
        <w:rPr>
          <w:rFonts w:hint="eastAsia" w:cs="仿宋"/>
        </w:rPr>
        <w:t>进行税率的设置，实现对税率项的添加、修改、删除、停用；</w:t>
      </w:r>
    </w:p>
    <w:p w14:paraId="48DFD770">
      <w:pPr>
        <w:pStyle w:val="6"/>
        <w:ind w:firstLine="560"/>
        <w:rPr>
          <w:rFonts w:cs="仿宋"/>
        </w:rPr>
      </w:pPr>
      <w:r>
        <w:rPr>
          <w:rFonts w:hint="eastAsia" w:cs="仿宋"/>
        </w:rPr>
        <w:t>进行工资的设置，实现对工资的添加、修改、删除、停用；</w:t>
      </w:r>
    </w:p>
    <w:p w14:paraId="1061C1A7">
      <w:pPr>
        <w:pStyle w:val="6"/>
        <w:ind w:firstLine="560"/>
        <w:rPr>
          <w:rFonts w:cs="仿宋"/>
        </w:rPr>
      </w:pPr>
      <w:r>
        <w:rPr>
          <w:rFonts w:hint="eastAsia" w:cs="仿宋"/>
        </w:rPr>
        <w:t>进行申报规则的设置，导入导出EXCEL表功能。</w:t>
      </w:r>
    </w:p>
    <w:p w14:paraId="788122F3">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工资管理</w:t>
      </w:r>
    </w:p>
    <w:p w14:paraId="40D61C88">
      <w:pPr>
        <w:pStyle w:val="6"/>
        <w:ind w:firstLine="560"/>
        <w:rPr>
          <w:rFonts w:cs="仿宋"/>
        </w:rPr>
      </w:pPr>
      <w:r>
        <w:rPr>
          <w:rFonts w:hint="eastAsia" w:cs="仿宋"/>
        </w:rPr>
        <w:t>通过工资录入的功能以部门，月份、批次进行工资的录入，批量导入导出工资表、自定义工资表；</w:t>
      </w:r>
    </w:p>
    <w:p w14:paraId="2F4D5FD7">
      <w:pPr>
        <w:pStyle w:val="6"/>
        <w:ind w:firstLine="560"/>
        <w:rPr>
          <w:rFonts w:cs="仿宋"/>
        </w:rPr>
      </w:pPr>
      <w:r>
        <w:rPr>
          <w:rFonts w:hint="eastAsia" w:cs="仿宋"/>
        </w:rPr>
        <w:t>通过工资查询的功能以工资类别，所属部门，月份、批次方式进行工资的查询；</w:t>
      </w:r>
    </w:p>
    <w:p w14:paraId="526F37A9">
      <w:pPr>
        <w:pStyle w:val="6"/>
        <w:ind w:firstLine="560"/>
        <w:rPr>
          <w:rFonts w:cs="仿宋"/>
        </w:rPr>
      </w:pPr>
      <w:r>
        <w:rPr>
          <w:rFonts w:hint="eastAsia" w:cs="仿宋"/>
        </w:rPr>
        <w:t>通过个人工资查询的功能对单位中个人工资情况的详细查询。</w:t>
      </w:r>
    </w:p>
    <w:p w14:paraId="114173EA">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专项查询</w:t>
      </w:r>
    </w:p>
    <w:p w14:paraId="68C9D85B">
      <w:pPr>
        <w:pStyle w:val="6"/>
        <w:ind w:firstLine="560"/>
        <w:rPr>
          <w:rFonts w:cs="仿宋"/>
        </w:rPr>
      </w:pPr>
      <w:r>
        <w:rPr>
          <w:rFonts w:hint="eastAsia" w:cs="仿宋"/>
        </w:rPr>
        <w:t>按薪酬部门查询功能根据年度查询所有的按薪酬部门查询的薪酬；</w:t>
      </w:r>
    </w:p>
    <w:p w14:paraId="423EDF08">
      <w:pPr>
        <w:pStyle w:val="6"/>
        <w:ind w:firstLine="560"/>
        <w:rPr>
          <w:rFonts w:cs="仿宋"/>
        </w:rPr>
      </w:pPr>
      <w:r>
        <w:rPr>
          <w:rFonts w:hint="eastAsia" w:cs="仿宋"/>
        </w:rPr>
        <w:t>按经济分类查询功能根据年度查询所有的按经济分类查询的薪酬；</w:t>
      </w:r>
    </w:p>
    <w:p w14:paraId="0720B364">
      <w:pPr>
        <w:pStyle w:val="6"/>
        <w:ind w:firstLine="560"/>
        <w:rPr>
          <w:rFonts w:cs="仿宋"/>
        </w:rPr>
      </w:pPr>
      <w:r>
        <w:rPr>
          <w:rFonts w:hint="eastAsia" w:cs="仿宋"/>
        </w:rPr>
        <w:t>按薪酬大类查询功能根据年度查询所有的按薪酬大类分类查询的薪酬；</w:t>
      </w:r>
    </w:p>
    <w:p w14:paraId="274ADF9B">
      <w:pPr>
        <w:pStyle w:val="6"/>
        <w:ind w:firstLine="560"/>
        <w:rPr>
          <w:rFonts w:cs="仿宋"/>
        </w:rPr>
      </w:pPr>
      <w:r>
        <w:rPr>
          <w:rFonts w:hint="eastAsia" w:cs="仿宋"/>
        </w:rPr>
        <w:t>按职员查询功能根据年度查询所有的按职员分类查询的薪酬；</w:t>
      </w:r>
    </w:p>
    <w:p w14:paraId="2EE43B38">
      <w:pPr>
        <w:pStyle w:val="6"/>
        <w:ind w:firstLine="560"/>
        <w:rPr>
          <w:rFonts w:cs="仿宋"/>
        </w:rPr>
      </w:pPr>
      <w:r>
        <w:rPr>
          <w:rFonts w:hint="eastAsia" w:cs="仿宋"/>
        </w:rPr>
        <w:t>通过工资汇总查询功能根据年度查询所有的工资汇总薪酬。</w:t>
      </w:r>
    </w:p>
    <w:p w14:paraId="3B909745">
      <w:pPr>
        <w:pStyle w:val="6"/>
        <w:ind w:firstLine="560"/>
        <w:rPr>
          <w:rFonts w:cs="仿宋"/>
        </w:rPr>
      </w:pPr>
    </w:p>
    <w:p w14:paraId="09CD67D0">
      <w:pPr>
        <w:numPr>
          <w:ilvl w:val="1"/>
          <w:numId w:val="3"/>
        </w:numPr>
        <w:spacing w:line="360" w:lineRule="auto"/>
        <w:outlineLvl w:val="1"/>
        <w:rPr>
          <w:rFonts w:ascii="仿宋" w:hAnsi="仿宋" w:eastAsia="仿宋" w:cs="仿宋"/>
          <w:b/>
          <w:bCs/>
          <w:sz w:val="32"/>
          <w:szCs w:val="32"/>
        </w:rPr>
      </w:pPr>
      <w:r>
        <w:rPr>
          <w:rFonts w:hint="eastAsia" w:ascii="仿宋" w:hAnsi="仿宋" w:eastAsia="仿宋" w:cs="仿宋"/>
          <w:b/>
          <w:bCs/>
          <w:sz w:val="32"/>
          <w:szCs w:val="32"/>
        </w:rPr>
        <w:t>综合业务内控规划子平台-财务分析子系统</w:t>
      </w:r>
    </w:p>
    <w:p w14:paraId="511C6665">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经费使用情况分析</w:t>
      </w:r>
    </w:p>
    <w:p w14:paraId="21560F94">
      <w:pPr>
        <w:pStyle w:val="6"/>
        <w:ind w:firstLine="560"/>
        <w:rPr>
          <w:rFonts w:cs="仿宋"/>
        </w:rPr>
      </w:pPr>
      <w:r>
        <w:rPr>
          <w:rFonts w:hint="eastAsia" w:cs="仿宋"/>
        </w:rPr>
        <w:t>系统根据用户所需文档设定智库分类，便于用户查询，包括政策法规、通知公告、科研课题等。</w:t>
      </w:r>
    </w:p>
    <w:p w14:paraId="1967A5FB">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项目情况分析</w:t>
      </w:r>
    </w:p>
    <w:p w14:paraId="62563E66">
      <w:pPr>
        <w:pStyle w:val="6"/>
        <w:ind w:firstLine="560"/>
        <w:rPr>
          <w:rFonts w:cs="仿宋"/>
        </w:rPr>
      </w:pPr>
      <w:r>
        <w:rPr>
          <w:rFonts w:hint="eastAsia" w:cs="仿宋"/>
        </w:rPr>
        <w:t>系统支持上传下载文件附件、课题文件、以及相关材料，并提供查阅功能。</w:t>
      </w:r>
    </w:p>
    <w:p w14:paraId="078A9D9C">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项目经费情况分析</w:t>
      </w:r>
    </w:p>
    <w:p w14:paraId="7ADD8199">
      <w:pPr>
        <w:pStyle w:val="6"/>
        <w:ind w:firstLine="560"/>
        <w:rPr>
          <w:rFonts w:cs="仿宋"/>
        </w:rPr>
      </w:pPr>
      <w:r>
        <w:rPr>
          <w:rFonts w:hint="eastAsia" w:cs="仿宋"/>
        </w:rPr>
        <w:t>系统支持对各类型的公文进行储存、管理、删除与下发。</w:t>
      </w:r>
    </w:p>
    <w:p w14:paraId="29EAD658">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预算情况分析</w:t>
      </w:r>
    </w:p>
    <w:p w14:paraId="3D0FE105">
      <w:pPr>
        <w:pStyle w:val="6"/>
        <w:ind w:firstLine="560"/>
        <w:rPr>
          <w:rFonts w:cs="仿宋"/>
        </w:rPr>
      </w:pPr>
      <w:r>
        <w:rPr>
          <w:rFonts w:hint="eastAsia" w:cs="仿宋"/>
        </w:rPr>
        <w:t>根据经费的使用情况为财务展现单位报销分析、部门分析、以及人员报销分析。系统支持设置报销标准，提供报销预警。</w:t>
      </w:r>
    </w:p>
    <w:p w14:paraId="0929C452">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采购情况分析</w:t>
      </w:r>
    </w:p>
    <w:p w14:paraId="764F91E7">
      <w:pPr>
        <w:pStyle w:val="6"/>
        <w:ind w:firstLine="560"/>
        <w:rPr>
          <w:rFonts w:cs="仿宋"/>
        </w:rPr>
      </w:pPr>
      <w:r>
        <w:rPr>
          <w:rFonts w:hint="eastAsia" w:cs="仿宋"/>
        </w:rPr>
        <w:t>根据项目分析情况分别展示一般项目执行情况、科研项目执行情况、项目立项情况等项目维度的分析。</w:t>
      </w:r>
    </w:p>
    <w:p w14:paraId="0887061A">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仪器设备情况分析</w:t>
      </w:r>
    </w:p>
    <w:p w14:paraId="6F966B4F">
      <w:pPr>
        <w:pStyle w:val="6"/>
        <w:ind w:firstLine="560"/>
        <w:rPr>
          <w:rFonts w:cs="仿宋"/>
        </w:rPr>
      </w:pPr>
      <w:r>
        <w:rPr>
          <w:rFonts w:hint="eastAsia" w:cs="仿宋"/>
        </w:rPr>
        <w:t>根据经费的使用情况为财务展现单位报销分析、部门分析、以及人员报销分析。系统支持设置报销标准，提供报销预警。</w:t>
      </w:r>
    </w:p>
    <w:p w14:paraId="654A9827">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合同情况分析</w:t>
      </w:r>
    </w:p>
    <w:p w14:paraId="1F84575F">
      <w:pPr>
        <w:pStyle w:val="6"/>
        <w:ind w:firstLine="560"/>
        <w:rPr>
          <w:rFonts w:cs="仿宋"/>
        </w:rPr>
      </w:pPr>
      <w:r>
        <w:rPr>
          <w:rFonts w:hint="eastAsia" w:cs="仿宋"/>
        </w:rPr>
        <w:t>根据项目执行情况分别统计项目经费情况，项目经费收入情况、项目经费支出情况等。</w:t>
      </w:r>
    </w:p>
    <w:p w14:paraId="66024B33">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薪酬情况分析</w:t>
      </w:r>
    </w:p>
    <w:p w14:paraId="72A2FC87">
      <w:pPr>
        <w:pStyle w:val="6"/>
        <w:ind w:firstLine="560"/>
        <w:rPr>
          <w:rFonts w:cs="仿宋"/>
        </w:rPr>
      </w:pPr>
      <w:r>
        <w:rPr>
          <w:rFonts w:hint="eastAsia" w:cs="仿宋"/>
        </w:rPr>
        <w:t>根据预算相关维度为财务展示预算总盘情况、预算执行情况、预算执行率等预算维度的分析。</w:t>
      </w:r>
    </w:p>
    <w:p w14:paraId="5E89A2CA">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经费使用情况分析</w:t>
      </w:r>
    </w:p>
    <w:p w14:paraId="0851E8AD">
      <w:pPr>
        <w:pStyle w:val="6"/>
        <w:ind w:firstLine="560"/>
        <w:rPr>
          <w:rFonts w:cs="仿宋"/>
        </w:rPr>
      </w:pPr>
      <w:r>
        <w:rPr>
          <w:rFonts w:hint="eastAsia" w:cs="仿宋"/>
        </w:rPr>
        <w:t>根据设备管理业务提供大型设备情况分析、重点设备情况分析、设备购置情况分析、设备减少情况分析等。</w:t>
      </w:r>
    </w:p>
    <w:p w14:paraId="7AEB765D">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项目风险管控</w:t>
      </w:r>
    </w:p>
    <w:p w14:paraId="511DB848">
      <w:pPr>
        <w:pStyle w:val="6"/>
        <w:ind w:firstLine="560"/>
        <w:rPr>
          <w:rFonts w:cs="仿宋"/>
        </w:rPr>
      </w:pPr>
      <w:r>
        <w:rPr>
          <w:rFonts w:hint="eastAsia" w:cs="仿宋"/>
        </w:rPr>
        <w:t>根据合同签订情况，为单位提供合同预算执行情况、合同执行情况、年度合同新增情况等多维度的合同分析报表。</w:t>
      </w:r>
    </w:p>
    <w:p w14:paraId="3E6FF7F8">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采购风险管控</w:t>
      </w:r>
    </w:p>
    <w:p w14:paraId="1A8446A6">
      <w:pPr>
        <w:pStyle w:val="6"/>
        <w:ind w:firstLine="560"/>
        <w:rPr>
          <w:rFonts w:cs="仿宋"/>
        </w:rPr>
      </w:pPr>
      <w:r>
        <w:rPr>
          <w:rFonts w:hint="eastAsia" w:cs="仿宋"/>
        </w:rPr>
        <w:t>根据薪酬业务为财务、人事提供薪酬情况分析、人员情况分析、部门情况分析等。</w:t>
      </w:r>
    </w:p>
    <w:p w14:paraId="466A7953">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合同风险管控</w:t>
      </w:r>
    </w:p>
    <w:p w14:paraId="4CDB0901">
      <w:pPr>
        <w:pStyle w:val="6"/>
        <w:ind w:firstLine="560"/>
        <w:rPr>
          <w:rFonts w:cs="仿宋"/>
        </w:rPr>
      </w:pPr>
      <w:r>
        <w:rPr>
          <w:rFonts w:hint="eastAsia" w:cs="仿宋"/>
        </w:rPr>
        <w:t>通过设置经费风险管控指标，确定风险类型、定义经费风险标准，通过分析经费业务基础数据，实时想管理人员发布经费风险提醒。</w:t>
      </w:r>
    </w:p>
    <w:p w14:paraId="38616107">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设备风险管控</w:t>
      </w:r>
    </w:p>
    <w:p w14:paraId="617E6456">
      <w:pPr>
        <w:pStyle w:val="6"/>
        <w:ind w:firstLine="560"/>
        <w:rPr>
          <w:rFonts w:cs="仿宋"/>
        </w:rPr>
      </w:pPr>
      <w:r>
        <w:rPr>
          <w:rFonts w:hint="eastAsia" w:cs="仿宋"/>
        </w:rPr>
        <w:t>通过这是设置项目风险管控指标，确定项目所涵盖的风险类型，定义项目风险标准，通过业务基础数据进行数据分析，为管理者发布项目执行风险的预警。</w:t>
      </w:r>
    </w:p>
    <w:p w14:paraId="7E5A3F9C">
      <w:pPr>
        <w:numPr>
          <w:ilvl w:val="1"/>
          <w:numId w:val="3"/>
        </w:numPr>
        <w:spacing w:line="360" w:lineRule="auto"/>
        <w:outlineLvl w:val="1"/>
        <w:rPr>
          <w:rFonts w:ascii="仿宋" w:hAnsi="仿宋" w:eastAsia="仿宋" w:cs="仿宋"/>
          <w:b/>
          <w:bCs/>
          <w:sz w:val="32"/>
          <w:szCs w:val="32"/>
        </w:rPr>
      </w:pPr>
      <w:r>
        <w:rPr>
          <w:rFonts w:hint="eastAsia" w:ascii="仿宋" w:hAnsi="仿宋" w:eastAsia="仿宋" w:cs="仿宋"/>
          <w:b/>
          <w:bCs/>
          <w:sz w:val="32"/>
          <w:szCs w:val="32"/>
        </w:rPr>
        <w:t>综合业务内控规划子平台-政策规范库子系统</w:t>
      </w:r>
    </w:p>
    <w:p w14:paraId="3B95C8C5">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档案分类</w:t>
      </w:r>
    </w:p>
    <w:p w14:paraId="6B7FB36F">
      <w:pPr>
        <w:pStyle w:val="6"/>
        <w:ind w:firstLine="560"/>
        <w:rPr>
          <w:rFonts w:cs="仿宋"/>
        </w:rPr>
      </w:pPr>
      <w:r>
        <w:rPr>
          <w:rFonts w:hint="eastAsia" w:cs="仿宋"/>
        </w:rPr>
        <w:t>通过设置采购风险指标，对采购活动进行风险自动提醒，提醒管理者存在哪些采购风险。例如：采购流程风险、采购执行风险预警等。系统根据用户所需文档设定智库分类，便于用户查询，包括政策法规、通知公告、科研课题等。</w:t>
      </w:r>
    </w:p>
    <w:p w14:paraId="35A92222">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文件上传与下载</w:t>
      </w:r>
    </w:p>
    <w:p w14:paraId="132A3C5C">
      <w:pPr>
        <w:pStyle w:val="6"/>
        <w:ind w:firstLine="560"/>
        <w:rPr>
          <w:rFonts w:cs="仿宋"/>
        </w:rPr>
      </w:pPr>
      <w:r>
        <w:rPr>
          <w:rFonts w:hint="eastAsia" w:cs="仿宋"/>
        </w:rPr>
        <w:t>通过设置合同风险指标，对合同执行过程进行自动预警，提醒管理者合同管理中存在的风险。例如：合同流程情况异常，合同签订时间超期预警、合同执行情况超期等。</w:t>
      </w:r>
    </w:p>
    <w:p w14:paraId="5481F512">
      <w:pPr>
        <w:numPr>
          <w:ilvl w:val="2"/>
          <w:numId w:val="3"/>
        </w:num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公文管理</w:t>
      </w:r>
    </w:p>
    <w:p w14:paraId="390A9A2F">
      <w:pPr>
        <w:pStyle w:val="6"/>
        <w:ind w:firstLine="560"/>
        <w:rPr>
          <w:rFonts w:cs="仿宋"/>
        </w:rPr>
      </w:pPr>
      <w:r>
        <w:rPr>
          <w:rFonts w:hint="eastAsia" w:cs="仿宋"/>
        </w:rPr>
        <w:t>通过设置设备管理风险指标，对大型设备的管理中存在的风险进行预警，提醒管理者存在哪些设备管理风险。例如：仪器设备未计量预警、仪器设备超配预警、仪器设备维修次数过多预警、仪器设备维修费用过高预警等。</w:t>
      </w:r>
    </w:p>
    <w:p w14:paraId="74B4615E">
      <w:pPr>
        <w:numPr>
          <w:ilvl w:val="1"/>
          <w:numId w:val="3"/>
        </w:numPr>
        <w:spacing w:line="360" w:lineRule="auto"/>
        <w:outlineLvl w:val="1"/>
        <w:rPr>
          <w:rFonts w:ascii="仿宋" w:hAnsi="仿宋" w:eastAsia="仿宋" w:cs="仿宋"/>
          <w:b/>
          <w:bCs/>
          <w:sz w:val="32"/>
          <w:szCs w:val="32"/>
        </w:rPr>
      </w:pPr>
      <w:r>
        <w:rPr>
          <w:rFonts w:hint="eastAsia" w:ascii="仿宋" w:hAnsi="仿宋" w:eastAsia="仿宋" w:cs="仿宋"/>
          <w:b/>
          <w:bCs/>
          <w:sz w:val="32"/>
          <w:szCs w:val="32"/>
        </w:rPr>
        <w:t>云平台商用密码改造</w:t>
      </w:r>
    </w:p>
    <w:p w14:paraId="08760E4D">
      <w:pPr>
        <w:pStyle w:val="6"/>
        <w:ind w:firstLine="560"/>
        <w:rPr>
          <w:rFonts w:cs="仿宋"/>
        </w:rPr>
      </w:pPr>
      <w:r>
        <w:rPr>
          <w:rFonts w:hint="eastAsia" w:cs="仿宋"/>
        </w:rPr>
        <w:t>云平台商用密码改造围绕合规性、技术升级、安全管理三方面开展，业务系统适配标准化密码接口、API接口升级构建密码防护体系，集成统一密码服务平台降低改造复杂度；最后通过制定密码策略、运维管控及第三方密评认证，实现密钥全生命周期管控与风险闭环，最终达成合规、安全、高效的目标。</w:t>
      </w:r>
    </w:p>
    <w:p w14:paraId="177BEFC3">
      <w:pPr>
        <w:numPr>
          <w:ilvl w:val="0"/>
          <w:numId w:val="3"/>
        </w:numPr>
        <w:spacing w:line="360" w:lineRule="auto"/>
        <w:outlineLvl w:val="0"/>
        <w:rPr>
          <w:rFonts w:ascii="仿宋" w:hAnsi="仿宋" w:eastAsia="仿宋" w:cs="仿宋"/>
          <w:b/>
          <w:bCs/>
          <w:sz w:val="36"/>
          <w:szCs w:val="36"/>
        </w:rPr>
      </w:pPr>
      <w:bookmarkStart w:id="7" w:name="_Toc287879066"/>
      <w:bookmarkStart w:id="8" w:name="_Toc4162901"/>
      <w:bookmarkStart w:id="9" w:name="_Toc335080147"/>
      <w:r>
        <w:rPr>
          <w:rFonts w:hint="eastAsia" w:ascii="仿宋" w:hAnsi="仿宋" w:eastAsia="仿宋" w:cs="仿宋"/>
          <w:b/>
          <w:bCs/>
          <w:sz w:val="36"/>
          <w:szCs w:val="36"/>
        </w:rPr>
        <w:t>技术要求</w:t>
      </w:r>
      <w:bookmarkEnd w:id="7"/>
      <w:bookmarkEnd w:id="8"/>
      <w:bookmarkEnd w:id="9"/>
    </w:p>
    <w:p w14:paraId="11B114B1">
      <w:pPr>
        <w:numPr>
          <w:ilvl w:val="1"/>
          <w:numId w:val="3"/>
        </w:numPr>
        <w:spacing w:line="360" w:lineRule="auto"/>
        <w:outlineLvl w:val="1"/>
        <w:rPr>
          <w:rFonts w:ascii="仿宋" w:hAnsi="仿宋" w:eastAsia="仿宋" w:cs="仿宋"/>
          <w:b/>
          <w:bCs/>
          <w:sz w:val="32"/>
          <w:szCs w:val="32"/>
        </w:rPr>
      </w:pPr>
      <w:bookmarkStart w:id="10" w:name="_Toc4162902"/>
      <w:bookmarkStart w:id="11" w:name="_Toc1955773"/>
      <w:r>
        <w:rPr>
          <w:rFonts w:hint="eastAsia" w:ascii="仿宋" w:hAnsi="仿宋" w:eastAsia="仿宋" w:cs="仿宋"/>
          <w:b/>
          <w:bCs/>
          <w:sz w:val="32"/>
          <w:szCs w:val="32"/>
        </w:rPr>
        <w:t>系统功能与性能需求</w:t>
      </w:r>
      <w:bookmarkEnd w:id="10"/>
      <w:bookmarkEnd w:id="11"/>
    </w:p>
    <w:p w14:paraId="4AAFCDE7">
      <w:pPr>
        <w:numPr>
          <w:ilvl w:val="2"/>
          <w:numId w:val="3"/>
        </w:numPr>
        <w:spacing w:line="360" w:lineRule="auto"/>
        <w:outlineLvl w:val="2"/>
        <w:rPr>
          <w:rFonts w:ascii="仿宋" w:hAnsi="仿宋" w:eastAsia="仿宋" w:cs="仿宋"/>
          <w:b/>
          <w:bCs/>
          <w:sz w:val="28"/>
          <w:szCs w:val="28"/>
        </w:rPr>
      </w:pPr>
      <w:bookmarkStart w:id="12" w:name="_Toc4162903"/>
      <w:bookmarkStart w:id="13" w:name="_Toc1955774"/>
      <w:r>
        <w:rPr>
          <w:rFonts w:hint="eastAsia" w:ascii="仿宋" w:hAnsi="仿宋" w:eastAsia="仿宋" w:cs="仿宋"/>
          <w:b/>
          <w:bCs/>
          <w:sz w:val="28"/>
          <w:szCs w:val="28"/>
        </w:rPr>
        <w:t>功能性</w:t>
      </w:r>
      <w:bookmarkEnd w:id="12"/>
      <w:r>
        <w:rPr>
          <w:rFonts w:hint="eastAsia" w:ascii="仿宋" w:hAnsi="仿宋" w:eastAsia="仿宋" w:cs="仿宋"/>
          <w:b/>
          <w:bCs/>
          <w:sz w:val="28"/>
          <w:szCs w:val="28"/>
        </w:rPr>
        <w:t>及权限要求</w:t>
      </w:r>
    </w:p>
    <w:p w14:paraId="6D1480B2">
      <w:pPr>
        <w:pStyle w:val="20"/>
        <w:ind w:firstLine="560"/>
        <w:rPr>
          <w:rFonts w:ascii="仿宋" w:hAnsi="仿宋" w:eastAsia="仿宋" w:cs="仿宋"/>
          <w:color w:val="000000"/>
          <w:sz w:val="28"/>
          <w:szCs w:val="28"/>
        </w:rPr>
      </w:pPr>
      <w:r>
        <w:rPr>
          <w:rFonts w:hint="eastAsia" w:ascii="仿宋" w:hAnsi="仿宋" w:eastAsia="仿宋" w:cs="仿宋"/>
          <w:color w:val="000000"/>
          <w:sz w:val="28"/>
          <w:szCs w:val="28"/>
        </w:rPr>
        <w:t>所有功能应在保证现有系统各项功能正常运行的前提下，满足本文档第三部分规定的内容，并在此基础上开展业务流程、功能等详细测评，形成该项目的详细测评报告。</w:t>
      </w:r>
    </w:p>
    <w:p w14:paraId="61F050A6">
      <w:pPr>
        <w:pStyle w:val="20"/>
        <w:ind w:firstLine="560"/>
        <w:rPr>
          <w:rFonts w:ascii="仿宋" w:hAnsi="仿宋" w:eastAsia="仿宋" w:cs="仿宋"/>
          <w:color w:val="000000"/>
          <w:sz w:val="28"/>
          <w:szCs w:val="28"/>
        </w:rPr>
      </w:pPr>
      <w:r>
        <w:rPr>
          <w:rFonts w:hint="eastAsia" w:ascii="仿宋" w:hAnsi="仿宋" w:eastAsia="仿宋" w:cs="仿宋"/>
          <w:color w:val="000000"/>
          <w:sz w:val="28"/>
          <w:szCs w:val="28"/>
        </w:rPr>
        <w:t>系统使用用户群及权限分级分类分权。</w:t>
      </w:r>
    </w:p>
    <w:p w14:paraId="3DAAF99E">
      <w:pPr>
        <w:pStyle w:val="20"/>
        <w:ind w:firstLine="562"/>
        <w:rPr>
          <w:rFonts w:ascii="仿宋" w:hAnsi="仿宋" w:eastAsia="仿宋" w:cs="仿宋"/>
          <w:color w:val="000000"/>
          <w:sz w:val="28"/>
          <w:szCs w:val="28"/>
        </w:rPr>
      </w:pPr>
      <w:r>
        <w:rPr>
          <w:rFonts w:hint="eastAsia" w:ascii="仿宋" w:hAnsi="仿宋" w:eastAsia="仿宋" w:cs="仿宋"/>
          <w:b/>
          <w:bCs/>
          <w:color w:val="000000"/>
          <w:sz w:val="28"/>
          <w:szCs w:val="28"/>
        </w:rPr>
        <w:t>领导：</w:t>
      </w:r>
      <w:r>
        <w:rPr>
          <w:rFonts w:hint="eastAsia" w:ascii="仿宋" w:hAnsi="仿宋" w:eastAsia="仿宋" w:cs="仿宋"/>
          <w:color w:val="000000"/>
          <w:sz w:val="28"/>
          <w:szCs w:val="28"/>
        </w:rPr>
        <w:t>领导组主要根据数据权限管理单位以及部门内部总体业务的监督和审批。单位领导拥有所有的数据权限以及功能权限的审批。部门领导根据部门情况拥有部门级别的数据权限以及相关功能权限。</w:t>
      </w:r>
    </w:p>
    <w:p w14:paraId="64A3B014">
      <w:pPr>
        <w:pStyle w:val="20"/>
        <w:ind w:firstLine="562"/>
        <w:rPr>
          <w:rFonts w:ascii="仿宋" w:hAnsi="仿宋" w:eastAsia="仿宋" w:cs="仿宋"/>
          <w:color w:val="000000"/>
          <w:sz w:val="28"/>
          <w:szCs w:val="28"/>
        </w:rPr>
      </w:pPr>
      <w:r>
        <w:rPr>
          <w:rFonts w:hint="eastAsia" w:ascii="仿宋" w:hAnsi="仿宋" w:eastAsia="仿宋" w:cs="仿宋"/>
          <w:b/>
          <w:bCs/>
          <w:color w:val="000000"/>
          <w:sz w:val="28"/>
          <w:szCs w:val="28"/>
        </w:rPr>
        <w:t>业务管理员：</w:t>
      </w:r>
      <w:r>
        <w:rPr>
          <w:rFonts w:hint="eastAsia" w:ascii="仿宋" w:hAnsi="仿宋" w:eastAsia="仿宋" w:cs="仿宋"/>
          <w:color w:val="000000"/>
          <w:sz w:val="28"/>
          <w:szCs w:val="28"/>
        </w:rPr>
        <w:t>业务管理员组主要根据业务的分组设置多个不同的业务管理员，包括采购管理员、合同管理员、设备管理员、项目管理员等。</w:t>
      </w:r>
    </w:p>
    <w:p w14:paraId="79CE56D6">
      <w:pPr>
        <w:pStyle w:val="20"/>
        <w:ind w:firstLine="562"/>
        <w:rPr>
          <w:rFonts w:ascii="仿宋" w:hAnsi="仿宋" w:eastAsia="仿宋" w:cs="仿宋"/>
          <w:color w:val="000000"/>
          <w:sz w:val="28"/>
          <w:szCs w:val="28"/>
        </w:rPr>
      </w:pPr>
      <w:r>
        <w:rPr>
          <w:rFonts w:hint="eastAsia" w:ascii="仿宋" w:hAnsi="仿宋" w:eastAsia="仿宋" w:cs="仿宋"/>
          <w:b/>
          <w:bCs/>
          <w:color w:val="000000"/>
          <w:sz w:val="28"/>
          <w:szCs w:val="28"/>
        </w:rPr>
        <w:t>财务：</w:t>
      </w:r>
      <w:r>
        <w:rPr>
          <w:rFonts w:hint="eastAsia" w:ascii="仿宋" w:hAnsi="仿宋" w:eastAsia="仿宋" w:cs="仿宋"/>
          <w:color w:val="000000"/>
          <w:sz w:val="28"/>
          <w:szCs w:val="28"/>
        </w:rPr>
        <w:t>财务是单位内控的监督角色，其监管以及业务涉及面最广，应包含预算、项目、经费、采购、合同、大型仪器设备、薪酬等所有业务功能以及所有的数据权限。</w:t>
      </w:r>
    </w:p>
    <w:p w14:paraId="4EB68C14">
      <w:pPr>
        <w:pStyle w:val="20"/>
        <w:ind w:firstLine="562"/>
        <w:rPr>
          <w:rFonts w:ascii="仿宋" w:hAnsi="仿宋" w:eastAsia="仿宋" w:cs="仿宋"/>
          <w:color w:val="000000"/>
          <w:sz w:val="28"/>
          <w:szCs w:val="28"/>
        </w:rPr>
      </w:pPr>
      <w:r>
        <w:rPr>
          <w:rFonts w:hint="eastAsia" w:ascii="仿宋" w:hAnsi="仿宋" w:eastAsia="仿宋" w:cs="仿宋"/>
          <w:b/>
          <w:bCs/>
          <w:color w:val="000000"/>
          <w:sz w:val="28"/>
          <w:szCs w:val="28"/>
        </w:rPr>
        <w:t>业务发起人：</w:t>
      </w:r>
      <w:r>
        <w:rPr>
          <w:rFonts w:hint="eastAsia" w:ascii="仿宋" w:hAnsi="仿宋" w:eastAsia="仿宋" w:cs="仿宋"/>
          <w:color w:val="000000"/>
          <w:sz w:val="28"/>
          <w:szCs w:val="28"/>
        </w:rPr>
        <w:t>业务发起人是单位内部所有使用系统的业务角色，可以针对采购、项目、预算、经费、合同等相关业务进行发起。是最基础的角色。</w:t>
      </w:r>
    </w:p>
    <w:p w14:paraId="7D02903D">
      <w:pPr>
        <w:pStyle w:val="20"/>
        <w:ind w:firstLine="562"/>
        <w:rPr>
          <w:rFonts w:ascii="仿宋" w:hAnsi="仿宋" w:eastAsia="仿宋" w:cs="仿宋"/>
          <w:color w:val="000000"/>
          <w:sz w:val="28"/>
          <w:szCs w:val="28"/>
        </w:rPr>
      </w:pPr>
      <w:r>
        <w:rPr>
          <w:rFonts w:hint="eastAsia" w:ascii="仿宋" w:hAnsi="仿宋" w:eastAsia="仿宋" w:cs="仿宋"/>
          <w:b/>
          <w:bCs/>
          <w:color w:val="000000"/>
          <w:sz w:val="28"/>
          <w:szCs w:val="28"/>
        </w:rPr>
        <w:t>系统管理员：</w:t>
      </w:r>
      <w:r>
        <w:rPr>
          <w:rFonts w:hint="eastAsia" w:ascii="仿宋" w:hAnsi="仿宋" w:eastAsia="仿宋" w:cs="仿宋"/>
          <w:color w:val="000000"/>
          <w:sz w:val="28"/>
          <w:szCs w:val="28"/>
        </w:rPr>
        <w:t>系统管理员主要针对系统的各个基础数据的配置，包括预算类型、经费类型等相关业务的初始配置，并根据实际需求进行调整。</w:t>
      </w:r>
    </w:p>
    <w:p w14:paraId="5E9C7528">
      <w:pPr>
        <w:numPr>
          <w:ilvl w:val="2"/>
          <w:numId w:val="3"/>
        </w:numPr>
        <w:spacing w:line="360" w:lineRule="auto"/>
        <w:outlineLvl w:val="2"/>
        <w:rPr>
          <w:rFonts w:ascii="仿宋" w:hAnsi="仿宋" w:eastAsia="仿宋" w:cs="仿宋"/>
          <w:b/>
          <w:bCs/>
          <w:sz w:val="28"/>
          <w:szCs w:val="28"/>
        </w:rPr>
      </w:pPr>
      <w:bookmarkStart w:id="14" w:name="_Toc4162904"/>
      <w:r>
        <w:rPr>
          <w:rFonts w:hint="eastAsia" w:ascii="仿宋" w:hAnsi="仿宋" w:eastAsia="仿宋" w:cs="仿宋"/>
          <w:b/>
          <w:bCs/>
          <w:sz w:val="28"/>
          <w:szCs w:val="28"/>
        </w:rPr>
        <w:t>稳定性要求</w:t>
      </w:r>
      <w:bookmarkEnd w:id="14"/>
    </w:p>
    <w:p w14:paraId="453262AF">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系统应达到以下稳定性要求：</w:t>
      </w:r>
    </w:p>
    <w:p w14:paraId="2CA7878A">
      <w:pPr>
        <w:pStyle w:val="21"/>
        <w:numPr>
          <w:ilvl w:val="0"/>
          <w:numId w:val="4"/>
        </w:numPr>
        <w:ind w:firstLineChars="0"/>
        <w:rPr>
          <w:rFonts w:ascii="仿宋" w:hAnsi="仿宋" w:eastAsia="仿宋" w:cs="仿宋"/>
          <w:sz w:val="28"/>
          <w:szCs w:val="20"/>
        </w:rPr>
      </w:pPr>
      <w:r>
        <w:rPr>
          <w:rFonts w:hint="eastAsia" w:ascii="仿宋" w:hAnsi="仿宋" w:eastAsia="仿宋" w:cs="仿宋"/>
          <w:sz w:val="28"/>
          <w:szCs w:val="20"/>
        </w:rPr>
        <w:t>提供7×24小时正常运行且电话技术服务支持。</w:t>
      </w:r>
    </w:p>
    <w:p w14:paraId="410D66DA">
      <w:pPr>
        <w:numPr>
          <w:ilvl w:val="0"/>
          <w:numId w:val="4"/>
        </w:numPr>
        <w:adjustRightInd w:val="0"/>
        <w:spacing w:before="100" w:beforeAutospacing="1" w:after="100" w:afterAutospacing="1" w:line="360" w:lineRule="auto"/>
        <w:textAlignment w:val="baseline"/>
        <w:rPr>
          <w:rFonts w:ascii="仿宋" w:hAnsi="仿宋" w:eastAsia="仿宋" w:cs="仿宋"/>
          <w:sz w:val="28"/>
          <w:szCs w:val="20"/>
        </w:rPr>
      </w:pPr>
      <w:r>
        <w:rPr>
          <w:rFonts w:hint="eastAsia" w:ascii="仿宋" w:hAnsi="仿宋" w:eastAsia="仿宋" w:cs="仿宋"/>
          <w:sz w:val="28"/>
          <w:szCs w:val="20"/>
        </w:rPr>
        <w:t>如采用负载均衡技术，多用户申报过程中，同一用户session需在一台虚拟机服务器中保持。</w:t>
      </w:r>
    </w:p>
    <w:p w14:paraId="2DDBF0EB">
      <w:pPr>
        <w:numPr>
          <w:ilvl w:val="0"/>
          <w:numId w:val="4"/>
        </w:numPr>
        <w:adjustRightInd w:val="0"/>
        <w:spacing w:before="100" w:beforeAutospacing="1" w:after="100" w:afterAutospacing="1" w:line="360" w:lineRule="auto"/>
        <w:textAlignment w:val="baseline"/>
        <w:rPr>
          <w:rFonts w:ascii="仿宋" w:hAnsi="仿宋" w:eastAsia="仿宋" w:cs="仿宋"/>
          <w:sz w:val="28"/>
          <w:szCs w:val="20"/>
        </w:rPr>
      </w:pPr>
      <w:r>
        <w:rPr>
          <w:rFonts w:hint="eastAsia" w:ascii="仿宋" w:hAnsi="仿宋" w:eastAsia="仿宋" w:cs="仿宋"/>
          <w:sz w:val="28"/>
          <w:szCs w:val="20"/>
        </w:rPr>
        <w:t>数据库服务器、应用服务器的CPU、内存等关键参数运行平稳。</w:t>
      </w:r>
    </w:p>
    <w:p w14:paraId="55F5E83A">
      <w:pPr>
        <w:numPr>
          <w:ilvl w:val="0"/>
          <w:numId w:val="4"/>
        </w:numPr>
        <w:adjustRightInd w:val="0"/>
        <w:spacing w:before="100" w:beforeAutospacing="1" w:after="100" w:afterAutospacing="1" w:line="360" w:lineRule="auto"/>
        <w:textAlignment w:val="baseline"/>
        <w:rPr>
          <w:rFonts w:ascii="仿宋" w:hAnsi="仿宋" w:eastAsia="仿宋" w:cs="仿宋"/>
          <w:sz w:val="28"/>
          <w:szCs w:val="20"/>
        </w:rPr>
      </w:pPr>
      <w:r>
        <w:rPr>
          <w:rFonts w:hint="eastAsia" w:ascii="仿宋" w:hAnsi="仿宋" w:eastAsia="仿宋" w:cs="仿宋"/>
          <w:sz w:val="28"/>
          <w:szCs w:val="20"/>
        </w:rPr>
        <w:t>数据库连接池、线程池应保持稳定，避免死锁和长时间排队。</w:t>
      </w:r>
    </w:p>
    <w:p w14:paraId="278BAD1D">
      <w:pPr>
        <w:numPr>
          <w:ilvl w:val="2"/>
          <w:numId w:val="3"/>
        </w:numPr>
        <w:spacing w:line="360" w:lineRule="auto"/>
        <w:outlineLvl w:val="2"/>
        <w:rPr>
          <w:rFonts w:ascii="仿宋" w:hAnsi="仿宋" w:eastAsia="仿宋" w:cs="仿宋"/>
          <w:b/>
          <w:bCs/>
          <w:sz w:val="28"/>
          <w:szCs w:val="28"/>
        </w:rPr>
      </w:pPr>
      <w:bookmarkStart w:id="15" w:name="_Toc4162905"/>
      <w:r>
        <w:rPr>
          <w:rFonts w:hint="eastAsia" w:ascii="仿宋" w:hAnsi="仿宋" w:eastAsia="仿宋" w:cs="仿宋"/>
          <w:b/>
          <w:bCs/>
          <w:sz w:val="28"/>
          <w:szCs w:val="28"/>
        </w:rPr>
        <w:t>运行效率要求</w:t>
      </w:r>
      <w:bookmarkEnd w:id="15"/>
    </w:p>
    <w:p w14:paraId="30F2BD98">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系统应具有较高的系统响应性能及并发访问性能，并发用户数量不少于200个，并具有一定的容错性。</w:t>
      </w:r>
    </w:p>
    <w:p w14:paraId="509077D5">
      <w:pPr>
        <w:numPr>
          <w:ilvl w:val="2"/>
          <w:numId w:val="3"/>
        </w:numPr>
        <w:spacing w:line="360" w:lineRule="auto"/>
        <w:outlineLvl w:val="2"/>
        <w:rPr>
          <w:rFonts w:ascii="仿宋" w:hAnsi="仿宋" w:eastAsia="仿宋" w:cs="仿宋"/>
          <w:b/>
          <w:bCs/>
          <w:sz w:val="28"/>
          <w:szCs w:val="28"/>
        </w:rPr>
      </w:pPr>
      <w:bookmarkStart w:id="16" w:name="_Toc4162906"/>
      <w:r>
        <w:rPr>
          <w:rFonts w:hint="eastAsia" w:ascii="仿宋" w:hAnsi="仿宋" w:eastAsia="仿宋" w:cs="仿宋"/>
          <w:b/>
          <w:bCs/>
          <w:sz w:val="28"/>
          <w:szCs w:val="28"/>
        </w:rPr>
        <w:t>易用性要求</w:t>
      </w:r>
      <w:bookmarkEnd w:id="16"/>
    </w:p>
    <w:p w14:paraId="781D279F">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系统应采用B/S架构实现，以提高用户体验为目标，并达到以下易用性的要求：</w:t>
      </w:r>
    </w:p>
    <w:p w14:paraId="155A59AB">
      <w:pPr>
        <w:numPr>
          <w:ilvl w:val="0"/>
          <w:numId w:val="5"/>
        </w:numPr>
        <w:adjustRightInd w:val="0"/>
        <w:spacing w:before="100" w:beforeAutospacing="1" w:after="100" w:afterAutospacing="1" w:line="360" w:lineRule="auto"/>
        <w:textAlignment w:val="baseline"/>
        <w:rPr>
          <w:rFonts w:ascii="仿宋" w:hAnsi="仿宋" w:eastAsia="仿宋" w:cs="仿宋"/>
          <w:sz w:val="28"/>
          <w:szCs w:val="20"/>
        </w:rPr>
      </w:pPr>
      <w:r>
        <w:rPr>
          <w:rFonts w:hint="eastAsia" w:ascii="仿宋" w:hAnsi="仿宋" w:eastAsia="仿宋" w:cs="仿宋"/>
          <w:sz w:val="28"/>
          <w:szCs w:val="20"/>
        </w:rPr>
        <w:t>升级和新增功能的操作习惯应与原有系统操作习惯保持一致，部分功能应当嵌入现有系统原有操作界面中，如业务办理流程中的档案上传等。</w:t>
      </w:r>
    </w:p>
    <w:p w14:paraId="38ED7F9D">
      <w:pPr>
        <w:numPr>
          <w:ilvl w:val="0"/>
          <w:numId w:val="5"/>
        </w:numPr>
        <w:adjustRightInd w:val="0"/>
        <w:spacing w:before="100" w:beforeAutospacing="1" w:after="100" w:afterAutospacing="1" w:line="360" w:lineRule="auto"/>
        <w:textAlignment w:val="baseline"/>
        <w:rPr>
          <w:rFonts w:ascii="仿宋" w:hAnsi="仿宋" w:eastAsia="仿宋" w:cs="仿宋"/>
          <w:sz w:val="28"/>
          <w:szCs w:val="20"/>
        </w:rPr>
      </w:pPr>
      <w:r>
        <w:rPr>
          <w:rFonts w:hint="eastAsia" w:ascii="仿宋" w:hAnsi="仿宋" w:eastAsia="仿宋" w:cs="仿宋"/>
          <w:sz w:val="28"/>
          <w:szCs w:val="20"/>
        </w:rPr>
        <w:t>风格简约，色调柔和，合理利用浏览器空间，减少不必要的操作。</w:t>
      </w:r>
    </w:p>
    <w:p w14:paraId="22B7FD24">
      <w:pPr>
        <w:numPr>
          <w:ilvl w:val="0"/>
          <w:numId w:val="5"/>
        </w:numPr>
        <w:adjustRightInd w:val="0"/>
        <w:spacing w:before="100" w:beforeAutospacing="1" w:after="100" w:afterAutospacing="1" w:line="360" w:lineRule="auto"/>
        <w:textAlignment w:val="baseline"/>
        <w:rPr>
          <w:rFonts w:ascii="仿宋" w:hAnsi="仿宋" w:eastAsia="仿宋" w:cs="仿宋"/>
          <w:sz w:val="28"/>
          <w:szCs w:val="20"/>
        </w:rPr>
      </w:pPr>
      <w:r>
        <w:rPr>
          <w:rFonts w:hint="eastAsia" w:ascii="仿宋" w:hAnsi="仿宋" w:eastAsia="仿宋" w:cs="仿宋"/>
          <w:sz w:val="28"/>
          <w:szCs w:val="20"/>
        </w:rPr>
        <w:t>从操作者的角度出发，提升用户体验效果。</w:t>
      </w:r>
    </w:p>
    <w:p w14:paraId="4207276F">
      <w:pPr>
        <w:numPr>
          <w:ilvl w:val="0"/>
          <w:numId w:val="5"/>
        </w:numPr>
        <w:adjustRightInd w:val="0"/>
        <w:spacing w:before="100" w:beforeAutospacing="1" w:after="100" w:afterAutospacing="1" w:line="360" w:lineRule="auto"/>
        <w:textAlignment w:val="baseline"/>
        <w:rPr>
          <w:rFonts w:ascii="仿宋" w:hAnsi="仿宋" w:eastAsia="仿宋" w:cs="仿宋"/>
          <w:sz w:val="28"/>
          <w:szCs w:val="20"/>
        </w:rPr>
      </w:pPr>
      <w:r>
        <w:rPr>
          <w:rFonts w:hint="eastAsia" w:ascii="仿宋" w:hAnsi="仿宋" w:eastAsia="仿宋" w:cs="仿宋"/>
          <w:sz w:val="28"/>
          <w:szCs w:val="20"/>
        </w:rPr>
        <w:t>兼顾效率，合理减少用户操作的等待时间。</w:t>
      </w:r>
    </w:p>
    <w:p w14:paraId="66C4D446">
      <w:pPr>
        <w:numPr>
          <w:ilvl w:val="0"/>
          <w:numId w:val="5"/>
        </w:numPr>
        <w:adjustRightInd w:val="0"/>
        <w:spacing w:before="100" w:beforeAutospacing="1" w:after="100" w:afterAutospacing="1" w:line="360" w:lineRule="auto"/>
        <w:textAlignment w:val="baseline"/>
        <w:rPr>
          <w:rFonts w:ascii="仿宋" w:hAnsi="仿宋" w:eastAsia="仿宋" w:cs="仿宋"/>
          <w:sz w:val="28"/>
          <w:szCs w:val="21"/>
        </w:rPr>
      </w:pPr>
      <w:r>
        <w:rPr>
          <w:rFonts w:hint="eastAsia" w:ascii="仿宋" w:hAnsi="仿宋" w:eastAsia="仿宋" w:cs="仿宋"/>
          <w:sz w:val="28"/>
          <w:szCs w:val="20"/>
        </w:rPr>
        <w:t>友好提示，在人机交互过程中，有效甄别输入的正确性。</w:t>
      </w:r>
    </w:p>
    <w:bookmarkEnd w:id="13"/>
    <w:p w14:paraId="4F6EADE9">
      <w:pPr>
        <w:numPr>
          <w:ilvl w:val="1"/>
          <w:numId w:val="3"/>
        </w:numPr>
        <w:spacing w:line="360" w:lineRule="auto"/>
        <w:outlineLvl w:val="1"/>
        <w:rPr>
          <w:rFonts w:ascii="仿宋" w:hAnsi="仿宋" w:eastAsia="仿宋" w:cs="仿宋"/>
          <w:b/>
          <w:bCs/>
          <w:sz w:val="32"/>
          <w:szCs w:val="32"/>
        </w:rPr>
      </w:pPr>
      <w:r>
        <w:rPr>
          <w:rFonts w:hint="eastAsia" w:ascii="仿宋_GB2312" w:eastAsia="仿宋_GB2312" w:cs="仿宋_GB2312"/>
          <w:b/>
          <w:bCs/>
          <w:color w:val="000000"/>
          <w:sz w:val="32"/>
          <w:szCs w:val="32"/>
        </w:rPr>
        <w:t>信息技术应用创新要求</w:t>
      </w:r>
    </w:p>
    <w:p w14:paraId="1438A223">
      <w:pPr>
        <w:pStyle w:val="20"/>
        <w:ind w:firstLine="560"/>
        <w:rPr>
          <w:rFonts w:ascii="仿宋" w:hAnsi="仿宋" w:eastAsia="仿宋" w:cs="仿宋"/>
          <w:b/>
          <w:bCs/>
          <w:sz w:val="32"/>
          <w:szCs w:val="32"/>
        </w:rPr>
      </w:pPr>
      <w:r>
        <w:rPr>
          <w:rFonts w:hint="eastAsia" w:ascii="仿宋" w:hAnsi="仿宋" w:eastAsia="仿宋" w:cs="仿宋"/>
          <w:sz w:val="28"/>
          <w:szCs w:val="28"/>
        </w:rPr>
        <w:t>结合安全管理要求，在服务器端，可以适配国产化服务器、国产化操作系统、国产化数据库和国产化中间件，在客户终端方面，可适配国产化终端。</w:t>
      </w:r>
    </w:p>
    <w:p w14:paraId="10774A0F">
      <w:pPr>
        <w:numPr>
          <w:ilvl w:val="1"/>
          <w:numId w:val="3"/>
        </w:numPr>
        <w:spacing w:line="360" w:lineRule="auto"/>
        <w:outlineLvl w:val="1"/>
        <w:rPr>
          <w:rFonts w:ascii="仿宋_GB2312" w:eastAsia="仿宋_GB2312" w:cs="仿宋_GB2312"/>
          <w:b/>
          <w:bCs/>
          <w:color w:val="000000"/>
          <w:sz w:val="32"/>
          <w:szCs w:val="32"/>
        </w:rPr>
      </w:pPr>
      <w:r>
        <w:rPr>
          <w:rFonts w:hint="eastAsia" w:ascii="仿宋_GB2312" w:eastAsia="仿宋_GB2312" w:cs="仿宋_GB2312"/>
          <w:b/>
          <w:bCs/>
          <w:color w:val="000000"/>
          <w:sz w:val="32"/>
          <w:szCs w:val="32"/>
        </w:rPr>
        <w:t>数据安全需求</w:t>
      </w:r>
    </w:p>
    <w:p w14:paraId="3B9387AA">
      <w:pPr>
        <w:pStyle w:val="20"/>
        <w:ind w:firstLine="560"/>
        <w:rPr>
          <w:rFonts w:ascii="仿宋_GB2312" w:eastAsia="仿宋_GB2312" w:cs="仿宋_GB2312"/>
          <w:b/>
          <w:bCs/>
          <w:color w:val="000000"/>
          <w:sz w:val="32"/>
          <w:szCs w:val="32"/>
        </w:rPr>
      </w:pPr>
      <w:r>
        <w:rPr>
          <w:rFonts w:hint="eastAsia" w:ascii="仿宋" w:hAnsi="仿宋" w:eastAsia="仿宋" w:cs="仿宋"/>
          <w:sz w:val="28"/>
          <w:szCs w:val="28"/>
        </w:rPr>
        <w:t>数据安全是安全的重点，确保关键/敏感数据（静态和动态）受到保护，以降低数据泄露和受损的风险，从而影响其云上业务系统的可靠性和安全性。政务云保障数据隔离及安全共享，从数据传输加密、存储网络隔离、数据安全擦除、数据备份等技术手段加强数据安全保护，并通过数据库审计系统对访问数据库服务器的行为进行全方位审计。</w:t>
      </w:r>
    </w:p>
    <w:p w14:paraId="1266E1CA">
      <w:pPr>
        <w:numPr>
          <w:ilvl w:val="1"/>
          <w:numId w:val="3"/>
        </w:numPr>
        <w:spacing w:line="360" w:lineRule="auto"/>
        <w:outlineLvl w:val="1"/>
        <w:rPr>
          <w:rFonts w:ascii="仿宋_GB2312" w:eastAsia="仿宋_GB2312" w:cs="仿宋_GB2312"/>
          <w:b/>
          <w:bCs/>
          <w:color w:val="000000"/>
          <w:sz w:val="32"/>
          <w:szCs w:val="32"/>
        </w:rPr>
      </w:pPr>
      <w:r>
        <w:rPr>
          <w:rFonts w:hint="eastAsia" w:ascii="仿宋_GB2312" w:eastAsia="仿宋_GB2312" w:cs="仿宋_GB2312"/>
          <w:b/>
          <w:bCs/>
          <w:color w:val="000000"/>
          <w:sz w:val="32"/>
          <w:szCs w:val="32"/>
        </w:rPr>
        <w:t>密码应用需求</w:t>
      </w:r>
    </w:p>
    <w:p w14:paraId="30FCE757">
      <w:pPr>
        <w:pStyle w:val="20"/>
        <w:ind w:firstLine="560"/>
        <w:rPr>
          <w:rFonts w:ascii="仿宋" w:hAnsi="仿宋" w:eastAsia="仿宋" w:cs="仿宋"/>
          <w:sz w:val="28"/>
          <w:szCs w:val="28"/>
        </w:rPr>
      </w:pPr>
      <w:r>
        <w:rPr>
          <w:rFonts w:hint="eastAsia" w:ascii="仿宋" w:hAnsi="仿宋" w:eastAsia="仿宋" w:cs="仿宋"/>
          <w:sz w:val="28"/>
          <w:szCs w:val="28"/>
        </w:rPr>
        <w:t>加强应用中间件、数据库等口令的安全管理，提高安全意识，增加密码的复杂度。修改账户配置策略，使用强密码策略。完成商用密码改造，通过商用密码测评。</w:t>
      </w:r>
    </w:p>
    <w:p w14:paraId="1F205856">
      <w:pPr>
        <w:pStyle w:val="20"/>
        <w:ind w:firstLine="560"/>
        <w:rPr>
          <w:rFonts w:ascii="仿宋" w:hAnsi="仿宋" w:eastAsia="仿宋" w:cs="仿宋"/>
          <w:sz w:val="28"/>
          <w:szCs w:val="28"/>
        </w:rPr>
      </w:pPr>
      <w:r>
        <w:rPr>
          <w:rFonts w:hint="eastAsia" w:ascii="仿宋" w:hAnsi="仿宋" w:eastAsia="仿宋" w:cs="仿宋"/>
          <w:sz w:val="28"/>
          <w:szCs w:val="28"/>
        </w:rPr>
        <w:t>操作员密码为空，不能进行正常业务操作。操作员的密码不能跟用户名相同。操作员的密码应在8位以上。系统应定期提醒操作员更换密码。操作员忘记密码，可由系统管理员将其密码清除，操作员重新设置密码后，才能进行正常业务操作。</w:t>
      </w:r>
    </w:p>
    <w:p w14:paraId="617EAC17">
      <w:pPr>
        <w:pStyle w:val="20"/>
        <w:ind w:firstLine="560"/>
        <w:rPr>
          <w:rFonts w:ascii="仿宋" w:hAnsi="仿宋" w:eastAsia="仿宋" w:cs="仿宋"/>
          <w:sz w:val="28"/>
          <w:szCs w:val="28"/>
        </w:rPr>
      </w:pPr>
      <w:r>
        <w:rPr>
          <w:rFonts w:hint="eastAsia" w:ascii="仿宋" w:hAnsi="仿宋" w:eastAsia="仿宋" w:cs="仿宋"/>
          <w:sz w:val="28"/>
          <w:szCs w:val="28"/>
        </w:rPr>
        <w:t>弱口令没有严格和准确的定义，通常认为容易被别人猜测到或被破解工具破解的口令均为弱口令。我们建议系统设置密码遵循以下原则：</w:t>
      </w:r>
    </w:p>
    <w:p w14:paraId="0332E122">
      <w:pPr>
        <w:numPr>
          <w:ilvl w:val="0"/>
          <w:numId w:val="6"/>
        </w:numPr>
        <w:ind w:left="0" w:firstLine="560" w:firstLineChars="200"/>
      </w:pPr>
      <w:r>
        <w:rPr>
          <w:rFonts w:hint="eastAsia" w:ascii="仿宋" w:hAnsi="仿宋" w:eastAsia="仿宋" w:cs="仿宋"/>
          <w:sz w:val="28"/>
          <w:szCs w:val="28"/>
        </w:rPr>
        <w:t>不使用空口令或系统缺省的口令，这些口令众所周之，为典型的弱口令。</w:t>
      </w:r>
    </w:p>
    <w:p w14:paraId="49818498">
      <w:pPr>
        <w:numPr>
          <w:ilvl w:val="0"/>
          <w:numId w:val="6"/>
        </w:numPr>
        <w:ind w:left="0" w:firstLine="560" w:firstLineChars="200"/>
        <w:rPr>
          <w:rFonts w:ascii="仿宋" w:hAnsi="仿宋" w:eastAsia="仿宋" w:cs="仿宋"/>
          <w:sz w:val="28"/>
          <w:szCs w:val="28"/>
        </w:rPr>
      </w:pPr>
      <w:r>
        <w:rPr>
          <w:rFonts w:hint="eastAsia" w:ascii="仿宋" w:hAnsi="仿宋" w:eastAsia="仿宋" w:cs="仿宋"/>
          <w:sz w:val="28"/>
          <w:szCs w:val="28"/>
        </w:rPr>
        <w:t>口令长度不小于8个字符。</w:t>
      </w:r>
    </w:p>
    <w:p w14:paraId="7B989209">
      <w:pPr>
        <w:numPr>
          <w:ilvl w:val="0"/>
          <w:numId w:val="6"/>
        </w:numPr>
        <w:ind w:left="0" w:firstLine="560" w:firstLineChars="200"/>
        <w:rPr>
          <w:rFonts w:ascii="仿宋" w:hAnsi="仿宋" w:eastAsia="仿宋" w:cs="仿宋"/>
          <w:sz w:val="28"/>
          <w:szCs w:val="28"/>
        </w:rPr>
      </w:pPr>
      <w:r>
        <w:rPr>
          <w:rFonts w:hint="eastAsia" w:ascii="仿宋" w:hAnsi="仿宋" w:eastAsia="仿宋" w:cs="仿宋"/>
          <w:sz w:val="28"/>
          <w:szCs w:val="28"/>
        </w:rPr>
        <w:t>口令不应该为连续的某个字符或重复某些字符的组合。</w:t>
      </w:r>
    </w:p>
    <w:p w14:paraId="20742A56">
      <w:pPr>
        <w:numPr>
          <w:ilvl w:val="0"/>
          <w:numId w:val="6"/>
        </w:numPr>
        <w:ind w:left="0" w:firstLine="560" w:firstLineChars="200"/>
      </w:pPr>
      <w:r>
        <w:rPr>
          <w:rFonts w:hint="eastAsia" w:ascii="仿宋" w:hAnsi="仿宋" w:eastAsia="仿宋" w:cs="仿宋"/>
          <w:sz w:val="28"/>
          <w:szCs w:val="28"/>
        </w:rPr>
        <w:t>口令应该为以下四类字符的组合，大写字母(A-Z)、小写字母(a-z)、数字(0-9)和特殊字符。每类字符至少包含一个。</w:t>
      </w:r>
    </w:p>
    <w:p w14:paraId="2141BD37">
      <w:pPr>
        <w:numPr>
          <w:ilvl w:val="0"/>
          <w:numId w:val="6"/>
        </w:numPr>
        <w:ind w:left="0" w:firstLine="560" w:firstLineChars="200"/>
      </w:pPr>
      <w:r>
        <w:rPr>
          <w:rFonts w:hint="eastAsia" w:ascii="仿宋" w:hAnsi="仿宋" w:eastAsia="仿宋" w:cs="仿宋"/>
          <w:sz w:val="28"/>
          <w:szCs w:val="28"/>
        </w:rPr>
        <w:t>口令中不应包含本人、父母、子女和配偶的姓名和出生日期、纪念日期、登录名、E-mail地址等等与本人有关的信息，以及字典中的单词。</w:t>
      </w:r>
    </w:p>
    <w:p w14:paraId="584E60A5">
      <w:pPr>
        <w:numPr>
          <w:ilvl w:val="0"/>
          <w:numId w:val="6"/>
        </w:numPr>
        <w:ind w:left="0" w:firstLine="560" w:firstLineChars="200"/>
        <w:rPr>
          <w:rFonts w:ascii="仿宋" w:hAnsi="仿宋" w:eastAsia="仿宋" w:cs="仿宋"/>
          <w:sz w:val="28"/>
          <w:szCs w:val="28"/>
        </w:rPr>
      </w:pPr>
      <w:r>
        <w:rPr>
          <w:rFonts w:hint="eastAsia" w:ascii="仿宋" w:hAnsi="仿宋" w:eastAsia="仿宋" w:cs="仿宋"/>
          <w:sz w:val="28"/>
          <w:szCs w:val="28"/>
        </w:rPr>
        <w:t>口令不应该为用数字或符号代替某些字母的单词。</w:t>
      </w:r>
    </w:p>
    <w:p w14:paraId="73F2EDD4">
      <w:pPr>
        <w:numPr>
          <w:ilvl w:val="0"/>
          <w:numId w:val="6"/>
        </w:numPr>
        <w:ind w:left="0" w:firstLine="560" w:firstLineChars="200"/>
        <w:rPr>
          <w:rFonts w:ascii="仿宋" w:hAnsi="仿宋" w:eastAsia="仿宋" w:cs="仿宋"/>
          <w:b/>
          <w:bCs/>
          <w:sz w:val="32"/>
          <w:szCs w:val="32"/>
        </w:rPr>
      </w:pPr>
      <w:r>
        <w:rPr>
          <w:rFonts w:hint="eastAsia" w:ascii="仿宋" w:hAnsi="仿宋" w:eastAsia="仿宋" w:cs="仿宋"/>
          <w:sz w:val="28"/>
          <w:szCs w:val="28"/>
        </w:rPr>
        <w:t>至少90天内更换一次口令，防止未被发现的入侵者继续使用该口令。</w:t>
      </w:r>
    </w:p>
    <w:p w14:paraId="0B040AC5">
      <w:pPr>
        <w:numPr>
          <w:ilvl w:val="1"/>
          <w:numId w:val="3"/>
        </w:numPr>
        <w:spacing w:line="360" w:lineRule="auto"/>
        <w:outlineLvl w:val="1"/>
        <w:rPr>
          <w:rFonts w:ascii="仿宋_GB2312" w:eastAsia="仿宋_GB2312" w:cs="仿宋_GB2312"/>
          <w:b/>
          <w:bCs/>
          <w:color w:val="000000"/>
          <w:sz w:val="32"/>
          <w:szCs w:val="32"/>
        </w:rPr>
      </w:pPr>
      <w:r>
        <w:rPr>
          <w:rFonts w:hint="eastAsia" w:ascii="仿宋_GB2312" w:eastAsia="仿宋_GB2312" w:cs="仿宋_GB2312"/>
          <w:b/>
          <w:bCs/>
          <w:color w:val="000000"/>
          <w:sz w:val="32"/>
          <w:szCs w:val="32"/>
        </w:rPr>
        <w:t>灾备应用需求</w:t>
      </w:r>
    </w:p>
    <w:p w14:paraId="4CEE10E9">
      <w:pPr>
        <w:pStyle w:val="20"/>
        <w:ind w:firstLine="560"/>
        <w:rPr>
          <w:rFonts w:ascii="仿宋" w:hAnsi="仿宋" w:eastAsia="仿宋" w:cs="仿宋"/>
          <w:sz w:val="28"/>
          <w:szCs w:val="28"/>
        </w:rPr>
      </w:pPr>
      <w:r>
        <w:rPr>
          <w:rFonts w:hint="eastAsia" w:ascii="仿宋" w:hAnsi="仿宋" w:eastAsia="仿宋" w:cs="仿宋"/>
          <w:sz w:val="28"/>
          <w:szCs w:val="28"/>
        </w:rPr>
        <w:t>为提供系统抗风险的能力和系统的可靠性，结合系统本身的特点，需离线、在线两种备份方案：</w:t>
      </w:r>
    </w:p>
    <w:p w14:paraId="72171A73">
      <w:pPr>
        <w:pStyle w:val="20"/>
        <w:ind w:firstLine="560"/>
        <w:rPr>
          <w:rFonts w:ascii="仿宋" w:hAnsi="仿宋" w:eastAsia="仿宋" w:cs="仿宋"/>
          <w:sz w:val="28"/>
          <w:szCs w:val="28"/>
        </w:rPr>
      </w:pPr>
      <w:r>
        <w:rPr>
          <w:rFonts w:hint="eastAsia" w:ascii="仿宋" w:hAnsi="仿宋" w:eastAsia="仿宋" w:cs="仿宋"/>
          <w:sz w:val="28"/>
          <w:szCs w:val="28"/>
        </w:rPr>
        <w:t>按照系统目前及未来几年业务管理数据量数据量和增长增长幅度，我们采用备份服务器。作为数据存储方式，具有可移动、低成本、高效率、大容量等特点，对于单位数据的归档管理有着十分明显的优势。在进行文件恢复或回迁时，迁移或备份软件会按照数据库中记录的文件的元数据信息，将文件恢复到源路径下。</w:t>
      </w:r>
    </w:p>
    <w:p w14:paraId="5E4EA377">
      <w:pPr>
        <w:pStyle w:val="20"/>
        <w:ind w:firstLine="560"/>
        <w:rPr>
          <w:rFonts w:ascii="仿宋_GB2312" w:eastAsia="仿宋_GB2312" w:cs="仿宋_GB2312"/>
          <w:b/>
          <w:bCs/>
          <w:color w:val="000000"/>
          <w:sz w:val="32"/>
          <w:szCs w:val="32"/>
        </w:rPr>
      </w:pPr>
      <w:r>
        <w:rPr>
          <w:rFonts w:hint="eastAsia" w:ascii="仿宋" w:hAnsi="仿宋" w:eastAsia="仿宋" w:cs="仿宋"/>
          <w:sz w:val="28"/>
          <w:szCs w:val="28"/>
        </w:rPr>
        <w:t>在线备份方案是系统根据计划任务自主备份的方案，数据库服务器、业务服务器在每天的备份周期中向备份服务器转存数据文件，确保数据统一归集。</w:t>
      </w:r>
    </w:p>
    <w:p w14:paraId="3A2C2FBD">
      <w:pPr>
        <w:numPr>
          <w:ilvl w:val="1"/>
          <w:numId w:val="3"/>
        </w:numPr>
        <w:spacing w:line="360" w:lineRule="auto"/>
        <w:outlineLvl w:val="1"/>
        <w:rPr>
          <w:rFonts w:ascii="仿宋" w:hAnsi="仿宋" w:eastAsia="仿宋" w:cs="仿宋"/>
          <w:b/>
          <w:bCs/>
          <w:sz w:val="32"/>
          <w:szCs w:val="32"/>
        </w:rPr>
      </w:pPr>
      <w:r>
        <w:rPr>
          <w:rFonts w:hint="eastAsia" w:ascii="仿宋" w:hAnsi="仿宋" w:eastAsia="仿宋" w:cs="仿宋"/>
          <w:b/>
          <w:bCs/>
          <w:sz w:val="32"/>
          <w:szCs w:val="32"/>
        </w:rPr>
        <w:t>等级保护需求</w:t>
      </w:r>
    </w:p>
    <w:p w14:paraId="742F0F95">
      <w:pPr>
        <w:pStyle w:val="20"/>
        <w:ind w:firstLine="560"/>
        <w:rPr>
          <w:rFonts w:ascii="仿宋" w:hAnsi="仿宋" w:eastAsia="仿宋" w:cs="仿宋"/>
          <w:sz w:val="28"/>
          <w:szCs w:val="28"/>
        </w:rPr>
      </w:pPr>
      <w:r>
        <w:rPr>
          <w:rFonts w:hint="eastAsia" w:ascii="仿宋" w:hAnsi="仿宋" w:eastAsia="仿宋" w:cs="仿宋"/>
          <w:sz w:val="28"/>
          <w:szCs w:val="28"/>
        </w:rPr>
        <w:t>根据《信息系统安全等级保护基本要求》中华人民共和国国家标准GB/T 22239-2008中的第三级要求完成系统的设计与实现，并可以支持专业的安全等级保护测评机构进行安全等级保护三级测评。</w:t>
      </w:r>
    </w:p>
    <w:p w14:paraId="605D0DBC">
      <w:pPr>
        <w:numPr>
          <w:ilvl w:val="1"/>
          <w:numId w:val="3"/>
        </w:numPr>
        <w:spacing w:line="360" w:lineRule="auto"/>
        <w:outlineLvl w:val="1"/>
        <w:rPr>
          <w:rFonts w:ascii="仿宋" w:hAnsi="仿宋" w:eastAsia="仿宋" w:cs="仿宋"/>
          <w:b/>
          <w:bCs/>
          <w:sz w:val="32"/>
          <w:szCs w:val="32"/>
        </w:rPr>
      </w:pPr>
      <w:bookmarkStart w:id="17" w:name="_Toc4162908"/>
      <w:bookmarkStart w:id="18" w:name="_Toc1955784"/>
      <w:r>
        <w:rPr>
          <w:rFonts w:hint="eastAsia" w:ascii="仿宋" w:hAnsi="仿宋" w:eastAsia="仿宋" w:cs="仿宋"/>
          <w:b/>
          <w:bCs/>
          <w:sz w:val="32"/>
          <w:szCs w:val="32"/>
        </w:rPr>
        <w:t>基础运行环境需求</w:t>
      </w:r>
      <w:bookmarkEnd w:id="17"/>
      <w:bookmarkEnd w:id="18"/>
    </w:p>
    <w:p w14:paraId="0C18C967">
      <w:pPr>
        <w:pStyle w:val="6"/>
        <w:ind w:firstLine="560"/>
        <w:rPr>
          <w:rFonts w:cs="宋体" w:asciiTheme="minorEastAsia" w:hAnsiTheme="minorEastAsia"/>
          <w:sz w:val="22"/>
          <w:highlight w:val="yellow"/>
        </w:rPr>
      </w:pPr>
      <w:r>
        <w:rPr>
          <w:rFonts w:hint="eastAsia" w:cs="仿宋"/>
        </w:rPr>
        <w:t>由于本次项目将部署在拟部署在市大数据中心政务云，其中包括云服务器、存储、网络及安全保障措施等基础设施能力均由市大数据中心建设的市电子政务云统一提供；所需的服务器操作系统、数据库软件、中间件软件等基础软件，由市大数据中心统筹安排政务云上相关资源提供</w:t>
      </w:r>
      <w:r>
        <w:rPr>
          <w:rFonts w:hint="eastAsia"/>
        </w:rPr>
        <w:t>；涉及跨部门的数据共享交换，统一对接市大数据中心的市数据共享交换平台实现。</w:t>
      </w:r>
    </w:p>
    <w:p w14:paraId="569C47D3">
      <w:pPr>
        <w:spacing w:line="300" w:lineRule="auto"/>
        <w:ind w:left="-324" w:leftChars="-135" w:right="-648" w:rightChars="-270" w:firstLine="440" w:firstLineChars="200"/>
        <w:rPr>
          <w:rFonts w:asciiTheme="minorEastAsia" w:hAnsiTheme="minorEastAsia"/>
          <w:sz w:val="22"/>
          <w:highlight w:val="yellow"/>
        </w:rPr>
      </w:pPr>
    </w:p>
    <w:p w14:paraId="6152DF1E">
      <w:pPr>
        <w:numPr>
          <w:ilvl w:val="0"/>
          <w:numId w:val="3"/>
        </w:numPr>
        <w:spacing w:line="360" w:lineRule="auto"/>
        <w:outlineLvl w:val="0"/>
        <w:rPr>
          <w:rFonts w:ascii="仿宋" w:hAnsi="仿宋" w:eastAsia="仿宋" w:cs="仿宋"/>
          <w:b/>
          <w:bCs/>
          <w:sz w:val="36"/>
          <w:szCs w:val="36"/>
        </w:rPr>
      </w:pPr>
      <w:bookmarkStart w:id="19" w:name="_Toc335080154"/>
      <w:bookmarkStart w:id="20" w:name="_Toc4162913"/>
      <w:bookmarkStart w:id="21" w:name="_Toc287879078"/>
      <w:bookmarkStart w:id="22" w:name="_Toc335080155"/>
      <w:bookmarkStart w:id="23" w:name="_Toc287879081"/>
      <w:r>
        <w:rPr>
          <w:rFonts w:hint="eastAsia" w:ascii="仿宋" w:hAnsi="仿宋" w:eastAsia="仿宋" w:cs="仿宋"/>
          <w:b/>
          <w:bCs/>
          <w:sz w:val="36"/>
          <w:szCs w:val="36"/>
        </w:rPr>
        <w:t>建设期间要求</w:t>
      </w:r>
      <w:bookmarkEnd w:id="19"/>
      <w:bookmarkEnd w:id="20"/>
      <w:bookmarkEnd w:id="21"/>
    </w:p>
    <w:p w14:paraId="5089F573">
      <w:pPr>
        <w:numPr>
          <w:ilvl w:val="0"/>
          <w:numId w:val="7"/>
        </w:numPr>
        <w:adjustRightInd w:val="0"/>
        <w:spacing w:before="100" w:beforeAutospacing="1" w:after="100" w:afterAutospacing="1" w:line="360" w:lineRule="auto"/>
        <w:textAlignment w:val="baseline"/>
        <w:rPr>
          <w:rFonts w:ascii="仿宋" w:hAnsi="仿宋" w:eastAsia="仿宋" w:cs="仿宋"/>
          <w:sz w:val="28"/>
          <w:szCs w:val="20"/>
        </w:rPr>
      </w:pPr>
      <w:r>
        <w:rPr>
          <w:rFonts w:hint="eastAsia" w:ascii="仿宋" w:hAnsi="仿宋" w:eastAsia="仿宋" w:cs="仿宋"/>
          <w:sz w:val="28"/>
          <w:szCs w:val="20"/>
        </w:rPr>
        <w:t>提供7×24小时电话技术服务支持。</w:t>
      </w:r>
    </w:p>
    <w:p w14:paraId="5CA2C92A">
      <w:pPr>
        <w:numPr>
          <w:ilvl w:val="0"/>
          <w:numId w:val="7"/>
        </w:numPr>
        <w:adjustRightInd w:val="0"/>
        <w:spacing w:before="100" w:beforeAutospacing="1" w:after="100" w:afterAutospacing="1" w:line="360" w:lineRule="auto"/>
        <w:textAlignment w:val="baseline"/>
        <w:rPr>
          <w:rFonts w:ascii="仿宋" w:hAnsi="仿宋" w:eastAsia="仿宋" w:cs="仿宋"/>
          <w:sz w:val="28"/>
          <w:szCs w:val="20"/>
        </w:rPr>
      </w:pPr>
      <w:r>
        <w:rPr>
          <w:rFonts w:hint="eastAsia" w:ascii="仿宋" w:hAnsi="仿宋" w:eastAsia="仿宋" w:cs="仿宋"/>
          <w:sz w:val="28"/>
          <w:szCs w:val="20"/>
        </w:rPr>
        <w:t>上海驻场人员应为中标单位缴纳社保的员工，不得转包。</w:t>
      </w:r>
    </w:p>
    <w:p w14:paraId="323A4D27">
      <w:pPr>
        <w:numPr>
          <w:ilvl w:val="0"/>
          <w:numId w:val="7"/>
        </w:numPr>
        <w:adjustRightInd w:val="0"/>
        <w:spacing w:before="100" w:beforeAutospacing="1" w:after="100" w:afterAutospacing="1" w:line="360" w:lineRule="auto"/>
        <w:textAlignment w:val="baseline"/>
        <w:rPr>
          <w:rFonts w:ascii="仿宋" w:hAnsi="仿宋" w:eastAsia="仿宋" w:cs="仿宋"/>
          <w:sz w:val="28"/>
          <w:szCs w:val="20"/>
        </w:rPr>
      </w:pPr>
      <w:r>
        <w:rPr>
          <w:rFonts w:hint="eastAsia" w:ascii="仿宋" w:hAnsi="仿宋" w:eastAsia="仿宋" w:cs="仿宋"/>
          <w:sz w:val="28"/>
          <w:szCs w:val="20"/>
        </w:rPr>
        <w:t>工作时间，1小时内到现场；非工作时间3小时内响应。</w:t>
      </w:r>
    </w:p>
    <w:p w14:paraId="4519BBE5">
      <w:pPr>
        <w:numPr>
          <w:ilvl w:val="0"/>
          <w:numId w:val="7"/>
        </w:numPr>
        <w:adjustRightInd w:val="0"/>
        <w:spacing w:before="100" w:beforeAutospacing="1" w:after="100" w:afterAutospacing="1" w:line="360" w:lineRule="auto"/>
        <w:textAlignment w:val="baseline"/>
        <w:rPr>
          <w:rFonts w:ascii="仿宋" w:hAnsi="仿宋" w:eastAsia="仿宋" w:cs="仿宋"/>
          <w:sz w:val="28"/>
          <w:szCs w:val="20"/>
        </w:rPr>
      </w:pPr>
      <w:r>
        <w:rPr>
          <w:rFonts w:hint="eastAsia" w:ascii="仿宋" w:hAnsi="仿宋" w:eastAsia="仿宋" w:cs="仿宋"/>
          <w:sz w:val="28"/>
          <w:szCs w:val="20"/>
        </w:rPr>
        <w:t>故障解决之后，投标方应将故障现象及原因、处理过程和方法、完成处理及恢复正常的时间和日期等以书面形式报告最终提交至用户。</w:t>
      </w:r>
    </w:p>
    <w:p w14:paraId="2EA70483">
      <w:pPr>
        <w:numPr>
          <w:ilvl w:val="0"/>
          <w:numId w:val="7"/>
        </w:numPr>
        <w:adjustRightInd w:val="0"/>
        <w:spacing w:before="100" w:beforeAutospacing="1" w:after="100" w:afterAutospacing="1" w:line="360" w:lineRule="auto"/>
        <w:textAlignment w:val="baseline"/>
        <w:rPr>
          <w:rFonts w:ascii="仿宋" w:hAnsi="仿宋" w:eastAsia="仿宋" w:cs="仿宋"/>
          <w:sz w:val="28"/>
          <w:szCs w:val="20"/>
        </w:rPr>
      </w:pPr>
      <w:r>
        <w:rPr>
          <w:rFonts w:hint="eastAsia" w:ascii="仿宋" w:hAnsi="仿宋" w:eastAsia="仿宋" w:cs="仿宋"/>
          <w:sz w:val="28"/>
          <w:szCs w:val="20"/>
        </w:rPr>
        <w:t>投标方需每月进行一次例行的系统检查并出具系统检查报告。投标方需免费提供系统配置修改、配置升级服务、软件缺陷修补等服务。</w:t>
      </w:r>
    </w:p>
    <w:p w14:paraId="7DD2DCF2">
      <w:pPr>
        <w:numPr>
          <w:ilvl w:val="0"/>
          <w:numId w:val="3"/>
        </w:numPr>
        <w:spacing w:line="360" w:lineRule="auto"/>
        <w:outlineLvl w:val="0"/>
        <w:rPr>
          <w:rFonts w:ascii="仿宋" w:hAnsi="仿宋" w:eastAsia="仿宋" w:cs="仿宋"/>
          <w:b/>
          <w:bCs/>
          <w:sz w:val="36"/>
          <w:szCs w:val="36"/>
        </w:rPr>
      </w:pPr>
      <w:r>
        <w:rPr>
          <w:rFonts w:hint="eastAsia" w:ascii="仿宋" w:hAnsi="仿宋" w:eastAsia="仿宋" w:cs="仿宋"/>
          <w:b/>
          <w:bCs/>
          <w:sz w:val="36"/>
          <w:szCs w:val="36"/>
        </w:rPr>
        <w:t>人员配备要求</w:t>
      </w:r>
    </w:p>
    <w:p w14:paraId="37069730">
      <w:pPr>
        <w:numPr>
          <w:ilvl w:val="1"/>
          <w:numId w:val="3"/>
        </w:numPr>
        <w:spacing w:line="360" w:lineRule="auto"/>
        <w:ind w:firstLine="560"/>
        <w:outlineLvl w:val="1"/>
        <w:rPr>
          <w:rFonts w:hint="eastAsia" w:ascii="仿宋" w:hAnsi="仿宋" w:eastAsia="仿宋" w:cs="仿宋"/>
          <w:b/>
          <w:bCs/>
          <w:sz w:val="32"/>
          <w:szCs w:val="32"/>
          <w:lang w:val="en-US" w:eastAsia="zh-CN"/>
        </w:rPr>
      </w:pPr>
      <w:r>
        <w:rPr>
          <w:rFonts w:hint="eastAsia" w:ascii="仿宋" w:hAnsi="仿宋" w:eastAsia="仿宋" w:cs="仿宋"/>
          <w:b/>
          <w:bCs/>
          <w:sz w:val="32"/>
          <w:szCs w:val="32"/>
        </w:rPr>
        <w:t>建设期间</w:t>
      </w:r>
      <w:r>
        <w:rPr>
          <w:rFonts w:hint="eastAsia" w:ascii="仿宋" w:hAnsi="仿宋" w:eastAsia="仿宋" w:cs="仿宋"/>
          <w:b/>
          <w:bCs/>
          <w:sz w:val="32"/>
          <w:szCs w:val="32"/>
          <w:lang w:val="en-US" w:eastAsia="zh-CN"/>
        </w:rPr>
        <w:t>人员要求</w:t>
      </w:r>
    </w:p>
    <w:p w14:paraId="08F93463">
      <w:pPr>
        <w:pStyle w:val="6"/>
        <w:ind w:firstLine="560"/>
        <w:rPr>
          <w:rFonts w:cs="仿宋"/>
        </w:rPr>
      </w:pPr>
      <w:r>
        <w:rPr>
          <w:rFonts w:hint="eastAsia" w:cs="仿宋"/>
        </w:rPr>
        <w:t>在项目建设期间承诺提供含项目经理在内不少于 10 名人员的项目服务团队驻场不少于1.5月，进场前提供相关证书原件备查。</w:t>
      </w:r>
    </w:p>
    <w:p w14:paraId="1643A62E">
      <w:pPr>
        <w:pStyle w:val="6"/>
        <w:ind w:firstLine="560"/>
        <w:rPr>
          <w:rFonts w:cs="仿宋"/>
        </w:rPr>
      </w:pPr>
      <w:r>
        <w:rPr>
          <w:rFonts w:hint="eastAsia" w:cs="仿宋"/>
        </w:rPr>
        <w:t>其中项目经理具备计算机相关硕士学历且具有信息系统项目管理师（高级）证书，项目经理需驻场1.5月，进场前提供相关证书原件备查。项目技术经理具备计算机相关硕士学历且具有计算机与信息技术应用中级证书；技术经理需驻场1.5月，进场前提供相关证书原件备查；驻场团队成员中（除项目经理和技术经验要求相关资质外），还至少有1名具备信息系统项目管理师（高级）证书 ，1名具备软件设计师中级证书，1名具备系统集成项目管理工程师（中级） 证书，1名具备网络工程师中级证书，以上证书均为软考证书，进场前提供相关证书原件备查。</w:t>
      </w:r>
    </w:p>
    <w:p w14:paraId="1C36918D">
      <w:pPr>
        <w:pStyle w:val="6"/>
        <w:ind w:firstLine="560"/>
        <w:rPr>
          <w:rFonts w:cs="仿宋"/>
        </w:rPr>
      </w:pPr>
      <w:r>
        <w:rPr>
          <w:rFonts w:hint="eastAsia" w:cs="仿宋"/>
        </w:rPr>
        <w:t xml:space="preserve">投标供应商在项目实施期间严格按照投标文件承诺安排人员驻场，采购人有权对投标供应商提供证明文件进行调查，并可按照投标供应商投标文件对派驻现场人员进行审查，若发现与证明文件不符，投标人自行更换人员行为，采购人有权终止合同，由此造成损失由投标供应商支付；由没有特殊情况投标供应商不得自行更换人员。  </w:t>
      </w:r>
    </w:p>
    <w:p w14:paraId="47518201">
      <w:pPr>
        <w:pStyle w:val="6"/>
        <w:ind w:firstLine="560"/>
        <w:rPr>
          <w:rFonts w:hint="eastAsia" w:cs="仿宋"/>
        </w:rPr>
      </w:pPr>
      <w:r>
        <w:rPr>
          <w:rFonts w:hint="eastAsia" w:cs="仿宋"/>
        </w:rPr>
        <w:t>以上人员需提供本单位近</w:t>
      </w:r>
      <w:r>
        <w:rPr>
          <w:rFonts w:hint="eastAsia" w:cs="仿宋"/>
          <w:lang w:val="en-US" w:eastAsia="zh-CN"/>
        </w:rPr>
        <w:t>3</w:t>
      </w:r>
      <w:r>
        <w:rPr>
          <w:rFonts w:hint="eastAsia" w:cs="仿宋"/>
        </w:rPr>
        <w:t>个月内任意一个月的社保证明资料并加盖单位公章。</w:t>
      </w:r>
    </w:p>
    <w:p w14:paraId="3ED29487">
      <w:pPr>
        <w:numPr>
          <w:ilvl w:val="1"/>
          <w:numId w:val="3"/>
        </w:numPr>
        <w:spacing w:line="360" w:lineRule="auto"/>
        <w:ind w:firstLine="560"/>
        <w:outlineLvl w:val="1"/>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免费质保</w:t>
      </w:r>
      <w:r>
        <w:rPr>
          <w:rFonts w:hint="eastAsia" w:ascii="仿宋" w:hAnsi="仿宋" w:eastAsia="仿宋" w:cs="仿宋"/>
          <w:b/>
          <w:bCs/>
          <w:sz w:val="32"/>
          <w:szCs w:val="32"/>
        </w:rPr>
        <w:t>期间</w:t>
      </w:r>
      <w:r>
        <w:rPr>
          <w:rFonts w:hint="eastAsia" w:ascii="仿宋" w:hAnsi="仿宋" w:eastAsia="仿宋" w:cs="仿宋"/>
          <w:b/>
          <w:bCs/>
          <w:sz w:val="32"/>
          <w:szCs w:val="32"/>
          <w:lang w:val="en-US" w:eastAsia="zh-CN"/>
        </w:rPr>
        <w:t>人员要求</w:t>
      </w:r>
      <w:bookmarkStart w:id="39" w:name="_GoBack"/>
      <w:bookmarkEnd w:id="39"/>
    </w:p>
    <w:p w14:paraId="20F1FA12">
      <w:pPr>
        <w:pStyle w:val="6"/>
        <w:autoSpaceDE w:val="0"/>
        <w:autoSpaceDN w:val="0"/>
        <w:adjustRightInd w:val="0"/>
        <w:ind w:firstLine="560" w:firstLineChars="200"/>
        <w:jc w:val="left"/>
        <w:rPr>
          <w:rFonts w:hint="eastAsia" w:ascii="仿宋" w:hAnsi="仿宋" w:eastAsia="仿宋"/>
          <w:color w:val="auto"/>
          <w:sz w:val="28"/>
          <w:szCs w:val="24"/>
          <w:lang w:val="en-US" w:eastAsia="zh-CN"/>
        </w:rPr>
      </w:pPr>
      <w:r>
        <w:rPr>
          <w:rFonts w:hint="eastAsia" w:ascii="仿宋" w:hAnsi="仿宋" w:eastAsia="仿宋"/>
          <w:color w:val="auto"/>
          <w:sz w:val="28"/>
          <w:szCs w:val="24"/>
          <w:lang w:val="en-US" w:eastAsia="zh-CN"/>
        </w:rPr>
        <w:t>在项目</w:t>
      </w:r>
      <w:r>
        <w:rPr>
          <w:rFonts w:hint="eastAsia"/>
          <w:color w:val="auto"/>
          <w:sz w:val="28"/>
          <w:szCs w:val="24"/>
          <w:lang w:val="en-US" w:eastAsia="zh-CN"/>
        </w:rPr>
        <w:t>免费质保期间承诺提供</w:t>
      </w:r>
      <w:r>
        <w:rPr>
          <w:rFonts w:hint="eastAsia" w:ascii="仿宋" w:hAnsi="仿宋" w:eastAsia="仿宋"/>
          <w:color w:val="auto"/>
          <w:sz w:val="28"/>
          <w:szCs w:val="24"/>
          <w:lang w:val="en-US" w:eastAsia="zh-CN"/>
        </w:rPr>
        <w:t>服务方面富有经验的团队人员负责项目的运行维护，项目团队应配置对应的人员，团队应至少配备</w:t>
      </w:r>
      <w:r>
        <w:rPr>
          <w:rFonts w:hint="eastAsia"/>
          <w:color w:val="auto"/>
          <w:sz w:val="28"/>
          <w:szCs w:val="24"/>
          <w:lang w:val="en-US" w:eastAsia="zh-CN"/>
        </w:rPr>
        <w:t>2</w:t>
      </w:r>
      <w:r>
        <w:rPr>
          <w:rFonts w:hint="eastAsia" w:ascii="仿宋" w:hAnsi="仿宋" w:eastAsia="仿宋"/>
          <w:color w:val="auto"/>
          <w:sz w:val="28"/>
          <w:szCs w:val="24"/>
          <w:lang w:val="en-US" w:eastAsia="zh-CN"/>
        </w:rPr>
        <w:t>人，具体人员要求如下表所示：</w:t>
      </w:r>
    </w:p>
    <w:tbl>
      <w:tblPr>
        <w:tblStyle w:val="15"/>
        <w:tblW w:w="47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5"/>
        <w:gridCol w:w="2614"/>
        <w:gridCol w:w="982"/>
        <w:gridCol w:w="2681"/>
      </w:tblGrid>
      <w:tr w14:paraId="0816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07" w:type="pct"/>
            <w:shd w:val="clear" w:color="auto" w:fill="FEE595" w:themeFill="accent3" w:themeFillTint="66"/>
            <w:noWrap w:val="0"/>
            <w:vAlign w:val="center"/>
          </w:tcPr>
          <w:p w14:paraId="6B458D08">
            <w:pPr>
              <w:pStyle w:val="14"/>
              <w:adjustRightInd w:val="0"/>
              <w:snapToGrid w:val="0"/>
              <w:spacing w:line="240" w:lineRule="auto"/>
              <w:ind w:left="0" w:leftChars="0" w:firstLine="0" w:firstLineChars="0"/>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角色</w:t>
            </w:r>
          </w:p>
        </w:tc>
        <w:tc>
          <w:tcPr>
            <w:tcW w:w="1621" w:type="pct"/>
            <w:shd w:val="clear" w:color="auto" w:fill="FEE595" w:themeFill="accent3" w:themeFillTint="66"/>
            <w:noWrap w:val="0"/>
            <w:vAlign w:val="center"/>
          </w:tcPr>
          <w:p w14:paraId="65267D14">
            <w:pPr>
              <w:pStyle w:val="14"/>
              <w:adjustRightInd w:val="0"/>
              <w:snapToGrid w:val="0"/>
              <w:spacing w:line="240" w:lineRule="auto"/>
              <w:ind w:left="0" w:leftChars="0" w:firstLine="0" w:firstLineChars="0"/>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主要职责</w:t>
            </w:r>
          </w:p>
        </w:tc>
        <w:tc>
          <w:tcPr>
            <w:tcW w:w="609" w:type="pct"/>
            <w:shd w:val="clear" w:color="auto" w:fill="FEE595" w:themeFill="accent3" w:themeFillTint="66"/>
            <w:noWrap w:val="0"/>
            <w:vAlign w:val="center"/>
          </w:tcPr>
          <w:p w14:paraId="4ADDBDF3">
            <w:pPr>
              <w:pStyle w:val="14"/>
              <w:adjustRightInd w:val="0"/>
              <w:snapToGrid w:val="0"/>
              <w:spacing w:line="240" w:lineRule="auto"/>
              <w:ind w:left="0" w:leftChars="0" w:firstLine="0" w:firstLineChars="0"/>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人数</w:t>
            </w:r>
          </w:p>
        </w:tc>
        <w:tc>
          <w:tcPr>
            <w:tcW w:w="1662" w:type="pct"/>
            <w:shd w:val="clear" w:color="auto" w:fill="FEE595" w:themeFill="accent3" w:themeFillTint="66"/>
            <w:noWrap w:val="0"/>
            <w:vAlign w:val="center"/>
          </w:tcPr>
          <w:p w14:paraId="62F77538">
            <w:pPr>
              <w:pStyle w:val="14"/>
              <w:adjustRightInd w:val="0"/>
              <w:snapToGrid w:val="0"/>
              <w:spacing w:line="240" w:lineRule="auto"/>
              <w:ind w:left="0" w:leftChars="0" w:firstLine="0" w:firstLineChars="0"/>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人员要求</w:t>
            </w:r>
          </w:p>
        </w:tc>
      </w:tr>
      <w:tr w14:paraId="775E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07" w:type="pct"/>
            <w:noWrap w:val="0"/>
            <w:vAlign w:val="center"/>
          </w:tcPr>
          <w:p w14:paraId="1D9226CA">
            <w:pPr>
              <w:pStyle w:val="14"/>
              <w:adjustRightInd w:val="0"/>
              <w:snapToGrid w:val="0"/>
              <w:spacing w:line="360" w:lineRule="auto"/>
              <w:ind w:left="0" w:leftChars="0"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项目经理</w:t>
            </w:r>
          </w:p>
        </w:tc>
        <w:tc>
          <w:tcPr>
            <w:tcW w:w="1621" w:type="pct"/>
            <w:noWrap w:val="0"/>
            <w:vAlign w:val="center"/>
          </w:tcPr>
          <w:p w14:paraId="7F7B62B3">
            <w:pPr>
              <w:pStyle w:val="14"/>
              <w:adjustRightInd w:val="0"/>
              <w:snapToGrid w:val="0"/>
              <w:spacing w:line="360" w:lineRule="auto"/>
              <w:ind w:left="0" w:leftChars="0"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时间和质量控制</w:t>
            </w:r>
          </w:p>
        </w:tc>
        <w:tc>
          <w:tcPr>
            <w:tcW w:w="609" w:type="pct"/>
            <w:noWrap w:val="0"/>
            <w:vAlign w:val="center"/>
          </w:tcPr>
          <w:p w14:paraId="070F5ABA">
            <w:pPr>
              <w:pStyle w:val="14"/>
              <w:adjustRightInd w:val="0"/>
              <w:snapToGrid w:val="0"/>
              <w:spacing w:line="360" w:lineRule="auto"/>
              <w:ind w:left="0" w:leftChars="0"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1人</w:t>
            </w:r>
          </w:p>
        </w:tc>
        <w:tc>
          <w:tcPr>
            <w:tcW w:w="1662" w:type="pct"/>
            <w:noWrap w:val="0"/>
            <w:vAlign w:val="center"/>
          </w:tcPr>
          <w:p w14:paraId="4F6D9746">
            <w:pPr>
              <w:pStyle w:val="14"/>
              <w:adjustRightInd w:val="0"/>
              <w:snapToGrid w:val="0"/>
              <w:spacing w:line="360" w:lineRule="auto"/>
              <w:ind w:left="0" w:leftChars="0"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本科及以上学历，具备信息系统项目管理师高级资质证书</w:t>
            </w:r>
          </w:p>
        </w:tc>
      </w:tr>
      <w:tr w14:paraId="43A6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07" w:type="pct"/>
            <w:noWrap w:val="0"/>
            <w:vAlign w:val="center"/>
          </w:tcPr>
          <w:p w14:paraId="17102F27">
            <w:pPr>
              <w:pStyle w:val="14"/>
              <w:adjustRightInd w:val="0"/>
              <w:snapToGrid w:val="0"/>
              <w:spacing w:line="360" w:lineRule="auto"/>
              <w:ind w:left="0" w:leftChars="0"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软件运维工程师</w:t>
            </w:r>
          </w:p>
        </w:tc>
        <w:tc>
          <w:tcPr>
            <w:tcW w:w="1621" w:type="pct"/>
            <w:noWrap w:val="0"/>
            <w:vAlign w:val="center"/>
          </w:tcPr>
          <w:p w14:paraId="1AE7C472">
            <w:pPr>
              <w:pStyle w:val="14"/>
              <w:adjustRightInd w:val="0"/>
              <w:snapToGrid w:val="0"/>
              <w:spacing w:line="360" w:lineRule="auto"/>
              <w:ind w:left="0" w:leftChars="0"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应用系统运行维护</w:t>
            </w:r>
          </w:p>
        </w:tc>
        <w:tc>
          <w:tcPr>
            <w:tcW w:w="609" w:type="pct"/>
            <w:noWrap w:val="0"/>
            <w:vAlign w:val="center"/>
          </w:tcPr>
          <w:p w14:paraId="76344A60">
            <w:pPr>
              <w:pStyle w:val="14"/>
              <w:adjustRightInd w:val="0"/>
              <w:snapToGrid w:val="0"/>
              <w:spacing w:line="360" w:lineRule="auto"/>
              <w:ind w:left="0" w:leftChars="0"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人</w:t>
            </w:r>
          </w:p>
        </w:tc>
        <w:tc>
          <w:tcPr>
            <w:tcW w:w="1662" w:type="pct"/>
            <w:noWrap w:val="0"/>
            <w:vAlign w:val="center"/>
          </w:tcPr>
          <w:p w14:paraId="04E8CC51">
            <w:pPr>
              <w:pStyle w:val="14"/>
              <w:adjustRightInd w:val="0"/>
              <w:snapToGrid w:val="0"/>
              <w:spacing w:line="360" w:lineRule="auto"/>
              <w:ind w:left="0" w:leftChars="0"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本</w:t>
            </w:r>
            <w:r>
              <w:rPr>
                <w:rFonts w:hint="eastAsia" w:ascii="仿宋" w:hAnsi="仿宋" w:eastAsia="仿宋" w:cs="仿宋"/>
                <w:color w:val="auto"/>
                <w:kern w:val="0"/>
                <w:sz w:val="24"/>
                <w:szCs w:val="24"/>
              </w:rPr>
              <w:t>科以上学历</w:t>
            </w:r>
          </w:p>
        </w:tc>
      </w:tr>
    </w:tbl>
    <w:p w14:paraId="1DACE671">
      <w:pPr>
        <w:autoSpaceDE w:val="0"/>
        <w:autoSpaceDN w:val="0"/>
        <w:adjustRightInd w:val="0"/>
        <w:ind w:firstLine="560" w:firstLineChars="200"/>
        <w:jc w:val="left"/>
        <w:rPr>
          <w:rFonts w:hint="eastAsia" w:ascii="仿宋" w:hAnsi="仿宋" w:eastAsia="仿宋"/>
          <w:color w:val="auto"/>
          <w:sz w:val="28"/>
          <w:szCs w:val="24"/>
          <w:lang w:val="en-US" w:eastAsia="zh-CN"/>
        </w:rPr>
      </w:pPr>
      <w:r>
        <w:rPr>
          <w:rFonts w:hint="eastAsia" w:ascii="仿宋" w:hAnsi="仿宋" w:eastAsia="仿宋"/>
          <w:color w:val="auto"/>
          <w:sz w:val="28"/>
          <w:szCs w:val="24"/>
          <w:lang w:val="en-US" w:eastAsia="zh-CN"/>
        </w:rPr>
        <w:t>人员要求具体如下：</w:t>
      </w:r>
    </w:p>
    <w:p w14:paraId="6FF64CEB">
      <w:pPr>
        <w:autoSpaceDE w:val="0"/>
        <w:autoSpaceDN w:val="0"/>
        <w:adjustRightInd w:val="0"/>
        <w:ind w:firstLine="560" w:firstLineChars="200"/>
        <w:jc w:val="left"/>
        <w:rPr>
          <w:rFonts w:hint="eastAsia" w:ascii="仿宋" w:hAnsi="仿宋" w:eastAsia="仿宋"/>
          <w:color w:val="auto"/>
          <w:sz w:val="28"/>
          <w:szCs w:val="24"/>
          <w:lang w:val="en-US" w:eastAsia="zh-CN"/>
        </w:rPr>
      </w:pPr>
      <w:r>
        <w:rPr>
          <w:rFonts w:hint="eastAsia" w:ascii="仿宋" w:hAnsi="仿宋" w:eastAsia="仿宋"/>
          <w:color w:val="auto"/>
          <w:sz w:val="28"/>
          <w:szCs w:val="24"/>
          <w:lang w:val="en-US" w:eastAsia="zh-CN"/>
        </w:rPr>
        <w:t xml:space="preserve"> ▶ 项目经理要求：拥有 5 年以上类似系统维护工作经验；管理项目的总体计划、进度、质量以及人力资源调配等。</w:t>
      </w:r>
    </w:p>
    <w:p w14:paraId="4CA7FF68">
      <w:pPr>
        <w:autoSpaceDE w:val="0"/>
        <w:autoSpaceDN w:val="0"/>
        <w:adjustRightInd w:val="0"/>
        <w:ind w:firstLine="560" w:firstLineChars="200"/>
        <w:jc w:val="left"/>
        <w:rPr>
          <w:color w:val="auto"/>
        </w:rPr>
      </w:pPr>
      <w:r>
        <w:rPr>
          <w:rFonts w:hint="eastAsia" w:ascii="仿宋" w:hAnsi="仿宋" w:eastAsia="仿宋"/>
          <w:color w:val="auto"/>
          <w:sz w:val="28"/>
          <w:szCs w:val="24"/>
          <w:lang w:val="en-US" w:eastAsia="zh-CN"/>
        </w:rPr>
        <w:t xml:space="preserve"> ▶ 软件运维工程师要求：沟通较强，能有条理的表达思路，较好的接收需求。 技术能力较强，熟悉主流框架和组件，有使用经验；对 spring 源码有所了解，有技术 学习的习惯，编码习惯较好，熟悉设计模式，有封装和代码优化的习惯有达梦、人大 金仓、mysql、redis、oracle 等主流数据库的使用经验，熟悉 mysql 数据库引擎的选择、sql 性能优化相关知识。</w:t>
      </w:r>
    </w:p>
    <w:p w14:paraId="52395777">
      <w:pPr>
        <w:pStyle w:val="6"/>
        <w:ind w:firstLine="560"/>
      </w:pPr>
    </w:p>
    <w:p w14:paraId="0DF5E2D6">
      <w:pPr>
        <w:numPr>
          <w:ilvl w:val="0"/>
          <w:numId w:val="3"/>
        </w:numPr>
        <w:spacing w:line="360" w:lineRule="auto"/>
        <w:outlineLvl w:val="0"/>
        <w:rPr>
          <w:rFonts w:ascii="仿宋" w:hAnsi="仿宋" w:eastAsia="仿宋" w:cs="仿宋"/>
          <w:b/>
          <w:bCs/>
          <w:sz w:val="36"/>
          <w:szCs w:val="36"/>
        </w:rPr>
      </w:pPr>
      <w:r>
        <w:rPr>
          <w:rFonts w:hint="eastAsia" w:ascii="仿宋" w:hAnsi="仿宋" w:eastAsia="仿宋" w:cs="仿宋"/>
          <w:b/>
          <w:bCs/>
          <w:sz w:val="36"/>
          <w:szCs w:val="36"/>
          <w:lang w:val="en-US" w:eastAsia="zh-CN"/>
        </w:rPr>
        <w:t>供应商要求</w:t>
      </w:r>
    </w:p>
    <w:p w14:paraId="284D51C2">
      <w:pPr>
        <w:pStyle w:val="6"/>
        <w:ind w:firstLine="560"/>
      </w:pPr>
    </w:p>
    <w:p w14:paraId="0B89A94F">
      <w:pPr>
        <w:pStyle w:val="6"/>
        <w:ind w:firstLine="560"/>
        <w:rPr>
          <w:rFonts w:hint="eastAsia" w:cs="仿宋"/>
        </w:rPr>
      </w:pPr>
      <w:r>
        <w:rPr>
          <w:rFonts w:hint="eastAsia" w:ascii="仿宋" w:hAnsi="仿宋" w:eastAsia="仿宋" w:cs="仿宋"/>
          <w:color w:val="auto"/>
          <w:kern w:val="2"/>
          <w:sz w:val="28"/>
          <w:szCs w:val="28"/>
          <w:lang w:val="en-US" w:eastAsia="zh-CN" w:bidi="ar"/>
        </w:rPr>
        <w:t>供应商具有</w:t>
      </w:r>
      <w:r>
        <w:rPr>
          <w:rFonts w:hint="eastAsia" w:cs="仿宋"/>
          <w:color w:val="auto"/>
          <w:kern w:val="2"/>
          <w:sz w:val="28"/>
          <w:szCs w:val="28"/>
          <w:lang w:val="en-US" w:eastAsia="zh-CN" w:bidi="ar"/>
        </w:rPr>
        <w:t>类似项目建设经验，通过</w:t>
      </w:r>
      <w:r>
        <w:rPr>
          <w:rFonts w:hint="eastAsia" w:ascii="仿宋" w:hAnsi="仿宋" w:eastAsia="仿宋" w:cs="仿宋"/>
          <w:color w:val="auto"/>
          <w:kern w:val="2"/>
          <w:sz w:val="28"/>
          <w:szCs w:val="28"/>
          <w:lang w:val="en-US" w:eastAsia="zh-CN" w:bidi="ar"/>
        </w:rPr>
        <w:t>ISO27001信息安全管理体系认证、ISO45001职业健康管理体系认证、</w:t>
      </w:r>
      <w:bookmarkStart w:id="24" w:name="OLE_LINK1"/>
      <w:r>
        <w:rPr>
          <w:rFonts w:hint="eastAsia" w:ascii="仿宋" w:hAnsi="仿宋" w:eastAsia="仿宋" w:cs="仿宋"/>
          <w:color w:val="auto"/>
          <w:kern w:val="2"/>
          <w:sz w:val="28"/>
          <w:szCs w:val="28"/>
          <w:lang w:val="en-US" w:eastAsia="zh-CN" w:bidi="ar"/>
        </w:rPr>
        <w:t>ISO22301业务连续性管理体系认证</w:t>
      </w:r>
      <w:bookmarkEnd w:id="24"/>
      <w:r>
        <w:rPr>
          <w:rFonts w:hint="eastAsia" w:cs="仿宋"/>
          <w:color w:val="auto"/>
          <w:kern w:val="2"/>
          <w:sz w:val="28"/>
          <w:szCs w:val="28"/>
          <w:lang w:val="en-US" w:eastAsia="zh-CN" w:bidi="ar"/>
        </w:rPr>
        <w:t>；具有</w:t>
      </w:r>
      <w:r>
        <w:rPr>
          <w:rFonts w:hint="eastAsia" w:ascii="仿宋" w:hAnsi="仿宋" w:eastAsia="仿宋" w:cs="仿宋"/>
          <w:color w:val="auto"/>
          <w:kern w:val="2"/>
          <w:sz w:val="28"/>
          <w:szCs w:val="28"/>
          <w:lang w:val="en-US" w:eastAsia="zh-CN" w:bidi="ar"/>
        </w:rPr>
        <w:t>ITSS信息技术服务运行维护标准符合性证书（2级</w:t>
      </w:r>
      <w:r>
        <w:rPr>
          <w:rFonts w:hint="eastAsia" w:cs="仿宋"/>
          <w:color w:val="auto"/>
          <w:kern w:val="2"/>
          <w:sz w:val="28"/>
          <w:szCs w:val="28"/>
          <w:lang w:val="en-US" w:eastAsia="zh-CN" w:bidi="ar"/>
        </w:rPr>
        <w:t>及以上</w:t>
      </w:r>
      <w:r>
        <w:rPr>
          <w:rFonts w:hint="eastAsia" w:ascii="仿宋" w:hAnsi="仿宋" w:eastAsia="仿宋" w:cs="仿宋"/>
          <w:color w:val="auto"/>
          <w:kern w:val="2"/>
          <w:sz w:val="28"/>
          <w:szCs w:val="28"/>
          <w:lang w:val="en-US" w:eastAsia="zh-CN" w:bidi="ar"/>
        </w:rPr>
        <w:t>） 、CCRC信息安全服务资质认证证书-软件安全开发服务资质证书</w:t>
      </w:r>
      <w:r>
        <w:rPr>
          <w:rFonts w:hint="eastAsia" w:cs="仿宋"/>
          <w:color w:val="auto"/>
          <w:vertAlign w:val="baseline"/>
          <w:lang w:eastAsia="zh-CN"/>
        </w:rPr>
        <w:t>；具有协同办公平台、统一用户管理及认证服务平台软件产品登记证书或著作权证书</w:t>
      </w:r>
      <w:r>
        <w:rPr>
          <w:rFonts w:hint="eastAsia" w:cs="仿宋"/>
          <w:vertAlign w:val="baseline"/>
          <w:lang w:val="en-US" w:eastAsia="zh-CN"/>
        </w:rPr>
        <w:t>的优先</w:t>
      </w:r>
      <w:r>
        <w:rPr>
          <w:rFonts w:hint="eastAsia" w:ascii="仿宋" w:hAnsi="仿宋" w:eastAsia="仿宋" w:cs="仿宋"/>
          <w:color w:val="auto"/>
          <w:kern w:val="2"/>
          <w:sz w:val="28"/>
          <w:szCs w:val="28"/>
          <w:lang w:val="en-US" w:eastAsia="zh-CN" w:bidi="ar"/>
        </w:rPr>
        <w:t>。</w:t>
      </w:r>
    </w:p>
    <w:p w14:paraId="6C72EECB">
      <w:pPr>
        <w:pStyle w:val="6"/>
        <w:ind w:firstLine="0" w:firstLineChars="0"/>
        <w:rPr>
          <w:rFonts w:cs="仿宋"/>
        </w:rPr>
      </w:pPr>
    </w:p>
    <w:p w14:paraId="433EC9B2">
      <w:pPr>
        <w:numPr>
          <w:ilvl w:val="0"/>
          <w:numId w:val="3"/>
        </w:numPr>
        <w:spacing w:line="360" w:lineRule="auto"/>
        <w:outlineLvl w:val="0"/>
        <w:rPr>
          <w:rFonts w:ascii="仿宋" w:hAnsi="仿宋" w:eastAsia="仿宋" w:cs="仿宋"/>
          <w:b/>
          <w:bCs/>
          <w:sz w:val="36"/>
          <w:szCs w:val="36"/>
        </w:rPr>
      </w:pPr>
      <w:bookmarkStart w:id="25" w:name="_Toc18589387"/>
      <w:r>
        <w:rPr>
          <w:rFonts w:hint="eastAsia" w:ascii="仿宋" w:hAnsi="仿宋" w:eastAsia="仿宋" w:cs="仿宋"/>
          <w:b/>
          <w:bCs/>
          <w:sz w:val="36"/>
          <w:szCs w:val="36"/>
        </w:rPr>
        <w:t>质量标准和验收方案</w:t>
      </w:r>
      <w:bookmarkEnd w:id="25"/>
    </w:p>
    <w:p w14:paraId="63C7A7FC">
      <w:pPr>
        <w:numPr>
          <w:ilvl w:val="1"/>
          <w:numId w:val="3"/>
        </w:numPr>
        <w:spacing w:line="360" w:lineRule="auto"/>
        <w:outlineLvl w:val="1"/>
        <w:rPr>
          <w:rFonts w:ascii="仿宋" w:hAnsi="仿宋" w:eastAsia="仿宋" w:cs="仿宋"/>
          <w:b/>
          <w:bCs/>
          <w:sz w:val="32"/>
          <w:szCs w:val="32"/>
        </w:rPr>
      </w:pPr>
      <w:r>
        <w:rPr>
          <w:rFonts w:hint="eastAsia" w:ascii="仿宋" w:hAnsi="仿宋" w:eastAsia="仿宋" w:cs="仿宋"/>
          <w:b/>
          <w:bCs/>
          <w:sz w:val="32"/>
          <w:szCs w:val="32"/>
        </w:rPr>
        <w:t>质量标准</w:t>
      </w:r>
    </w:p>
    <w:p w14:paraId="58D96F80">
      <w:pPr>
        <w:pStyle w:val="6"/>
        <w:ind w:firstLine="560"/>
        <w:rPr>
          <w:rFonts w:cs="仿宋"/>
        </w:rPr>
      </w:pPr>
      <w:r>
        <w:rPr>
          <w:rFonts w:hint="eastAsia" w:cs="仿宋"/>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14:paraId="6BB8B05F">
      <w:pPr>
        <w:pStyle w:val="6"/>
        <w:ind w:firstLine="560"/>
        <w:rPr>
          <w:rFonts w:cs="仿宋"/>
        </w:rPr>
      </w:pPr>
      <w:r>
        <w:rPr>
          <w:rFonts w:hint="eastAsia" w:cs="仿宋"/>
        </w:rPr>
        <w:t>中标人所交付的信息系统还应符合国家和上海市有关系统运行安全之规定。</w:t>
      </w:r>
    </w:p>
    <w:p w14:paraId="51DBDF79">
      <w:pPr>
        <w:numPr>
          <w:ilvl w:val="1"/>
          <w:numId w:val="3"/>
        </w:numPr>
        <w:spacing w:line="360" w:lineRule="auto"/>
        <w:outlineLvl w:val="1"/>
        <w:rPr>
          <w:rFonts w:ascii="仿宋" w:hAnsi="仿宋" w:eastAsia="仿宋" w:cs="仿宋"/>
          <w:b/>
          <w:bCs/>
          <w:sz w:val="32"/>
          <w:szCs w:val="32"/>
        </w:rPr>
      </w:pPr>
      <w:r>
        <w:rPr>
          <w:rFonts w:hint="eastAsia" w:ascii="仿宋" w:hAnsi="仿宋" w:eastAsia="仿宋" w:cs="仿宋"/>
          <w:b/>
          <w:bCs/>
          <w:sz w:val="32"/>
          <w:szCs w:val="32"/>
        </w:rPr>
        <w:t>系统测试及验收方案</w:t>
      </w:r>
    </w:p>
    <w:p w14:paraId="6827CCC7">
      <w:pPr>
        <w:pStyle w:val="6"/>
        <w:ind w:firstLine="560"/>
        <w:rPr>
          <w:rFonts w:cs="仿宋"/>
        </w:rPr>
      </w:pPr>
      <w:r>
        <w:rPr>
          <w:rFonts w:hint="eastAsia" w:cs="仿宋"/>
        </w:rPr>
        <w:t>采购人应依据信息系统项目的条件和性质，按照招标文件明确的要求向中标人提供信息系统的施工、安装和集成环境。如采购人未能在该时间内提供该施工和安装环境对中标人造成经济损失，采购人还应依本合同规定承担违约责任。</w:t>
      </w:r>
    </w:p>
    <w:p w14:paraId="4DE78A11">
      <w:pPr>
        <w:pStyle w:val="6"/>
        <w:ind w:firstLine="560"/>
        <w:rPr>
          <w:rFonts w:cs="仿宋"/>
        </w:rPr>
      </w:pPr>
      <w:r>
        <w:rPr>
          <w:rFonts w:hint="eastAsia" w:cs="仿宋"/>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14:paraId="6C022640">
      <w:pPr>
        <w:pStyle w:val="6"/>
        <w:ind w:firstLine="560"/>
        <w:rPr>
          <w:rFonts w:cs="仿宋"/>
        </w:rPr>
      </w:pPr>
      <w:r>
        <w:rPr>
          <w:rFonts w:hint="eastAsia" w:cs="仿宋"/>
        </w:rPr>
        <w:t>系统具备隐蔽条件或达到中间验收部位，中标人进行自检，并在隐蔽或中间验收前48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14:paraId="2EF2CC62">
      <w:pPr>
        <w:pStyle w:val="6"/>
        <w:ind w:firstLine="560"/>
        <w:rPr>
          <w:rFonts w:cs="仿宋"/>
        </w:rPr>
      </w:pPr>
      <w:r>
        <w:rPr>
          <w:rFonts w:hint="eastAsia" w:cs="仿宋"/>
        </w:rPr>
        <w:t>中标人应在进行系统交付前5个工作日内，以书面方式通知采购人并向采购人提供完整的竣工资料、竣工验收报告及竣工图。采购人应当在接到通知与资料的5个工作日内安排交付验收。中标人在交付前应当根据合同文件中的检测标准对本项目进行功能和运行检测，以确认本项目初步达到符合本合同交付的规定。</w:t>
      </w:r>
    </w:p>
    <w:p w14:paraId="43C70967">
      <w:pPr>
        <w:pStyle w:val="6"/>
        <w:ind w:firstLine="560"/>
        <w:rPr>
          <w:rFonts w:cs="仿宋"/>
        </w:rPr>
      </w:pPr>
      <w:r>
        <w:rPr>
          <w:rFonts w:hint="eastAsia" w:cs="仿宋"/>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14:paraId="24DADCA7">
      <w:pPr>
        <w:pStyle w:val="6"/>
        <w:ind w:firstLine="560"/>
        <w:rPr>
          <w:rFonts w:cs="仿宋"/>
        </w:rPr>
      </w:pPr>
      <w:r>
        <w:rPr>
          <w:rFonts w:hint="eastAsia" w:cs="仿宋"/>
        </w:rPr>
        <w:t xml:space="preserve"> 采购人在本项目交付后，应当在5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14:paraId="116F0848">
      <w:pPr>
        <w:pStyle w:val="6"/>
        <w:ind w:firstLine="560"/>
        <w:rPr>
          <w:rFonts w:cs="仿宋"/>
        </w:rPr>
      </w:pPr>
      <w:r>
        <w:rPr>
          <w:rFonts w:hint="eastAsia" w:cs="仿宋"/>
        </w:rPr>
        <w:t>自系统功能检测通过之日起，采购人拥有（30）天的系统试运行权利。系统验收通过的日期为实际竣工日期。</w:t>
      </w:r>
    </w:p>
    <w:p w14:paraId="52F04958">
      <w:pPr>
        <w:pStyle w:val="6"/>
        <w:ind w:firstLine="560"/>
        <w:rPr>
          <w:rFonts w:cs="仿宋"/>
        </w:rPr>
      </w:pPr>
      <w:r>
        <w:rPr>
          <w:rFonts w:hint="eastAsia" w:cs="仿宋"/>
        </w:rPr>
        <w:t>如果由于中标人原因，导致系统在试运行期间出现故障或问题，中标人应及时排除该故障或问题。以上行为产生的费用均由中标人承担。</w:t>
      </w:r>
    </w:p>
    <w:p w14:paraId="114F390C">
      <w:pPr>
        <w:pStyle w:val="6"/>
        <w:ind w:firstLine="560"/>
        <w:rPr>
          <w:rFonts w:cs="仿宋"/>
        </w:rPr>
      </w:pPr>
      <w:r>
        <w:rPr>
          <w:rFonts w:hint="eastAsia" w:cs="仿宋"/>
        </w:rPr>
        <w:t>系统试运行完成后，采购人应及时进行系统验收。中标人应当以书面形式向采购人递交验收通知书，采购人在收到验收通知书后的5个工作日内，确定具体日期，由双方按照本合同的规定完成系统验收。采购人有权委托第三方检测机构进行验收，对此中标人应当配合。</w:t>
      </w:r>
    </w:p>
    <w:p w14:paraId="2A43CEC5">
      <w:pPr>
        <w:pStyle w:val="6"/>
        <w:ind w:firstLine="560"/>
        <w:rPr>
          <w:rFonts w:cs="仿宋"/>
        </w:rPr>
      </w:pPr>
      <w:r>
        <w:rPr>
          <w:rFonts w:hint="eastAsia" w:cs="仿宋"/>
        </w:rPr>
        <w:t xml:space="preserve"> 如果属于中标人原因致使系统未能通过验收，中标人应当排除故障，并自行承担相关费用，同时延长试运行期30个工作日，直至系统完全符合验收标准。</w:t>
      </w:r>
    </w:p>
    <w:p w14:paraId="68E3A02A">
      <w:pPr>
        <w:pStyle w:val="6"/>
        <w:ind w:firstLine="560"/>
        <w:rPr>
          <w:rFonts w:cs="仿宋"/>
        </w:rPr>
      </w:pPr>
      <w:r>
        <w:rPr>
          <w:rFonts w:hint="eastAsia" w:cs="仿宋"/>
        </w:rPr>
        <w:t>如果属于采购人原因致使系统未能通过验收，采购人应在合理时间内排除故障，再次进行验收。</w:t>
      </w:r>
    </w:p>
    <w:p w14:paraId="1CDE2815">
      <w:pPr>
        <w:pStyle w:val="6"/>
        <w:ind w:firstLine="560"/>
        <w:rPr>
          <w:rFonts w:cs="仿宋"/>
        </w:rPr>
      </w:pPr>
      <w:r>
        <w:rPr>
          <w:rFonts w:hint="eastAsia" w:cs="仿宋"/>
        </w:rPr>
        <w:t>采购人根据信息系统的技术规格要求和质量标准，对信息系统验收合格，签署验收意见。</w:t>
      </w:r>
    </w:p>
    <w:p w14:paraId="6FB58A1F">
      <w:pPr>
        <w:pStyle w:val="6"/>
        <w:ind w:firstLine="560"/>
        <w:rPr>
          <w:rFonts w:cs="仿宋"/>
        </w:rPr>
      </w:pPr>
    </w:p>
    <w:p w14:paraId="18769A14">
      <w:pPr>
        <w:numPr>
          <w:ilvl w:val="0"/>
          <w:numId w:val="3"/>
        </w:numPr>
        <w:spacing w:line="360" w:lineRule="auto"/>
        <w:outlineLvl w:val="0"/>
        <w:rPr>
          <w:rFonts w:ascii="仿宋" w:hAnsi="仿宋" w:eastAsia="仿宋" w:cs="仿宋"/>
          <w:b/>
          <w:bCs/>
          <w:sz w:val="36"/>
          <w:szCs w:val="36"/>
        </w:rPr>
      </w:pPr>
      <w:bookmarkStart w:id="26" w:name="_Toc4162914"/>
      <w:r>
        <w:rPr>
          <w:rFonts w:hint="eastAsia" w:ascii="仿宋" w:hAnsi="仿宋" w:eastAsia="仿宋" w:cs="仿宋"/>
          <w:b/>
          <w:bCs/>
          <w:sz w:val="36"/>
          <w:szCs w:val="36"/>
        </w:rPr>
        <w:t>系统培训和技术支持</w:t>
      </w:r>
      <w:bookmarkEnd w:id="22"/>
      <w:bookmarkEnd w:id="23"/>
      <w:bookmarkEnd w:id="26"/>
    </w:p>
    <w:p w14:paraId="215FF741">
      <w:pPr>
        <w:numPr>
          <w:ilvl w:val="1"/>
          <w:numId w:val="3"/>
        </w:numPr>
        <w:spacing w:line="360" w:lineRule="auto"/>
        <w:outlineLvl w:val="1"/>
        <w:rPr>
          <w:rFonts w:ascii="仿宋" w:hAnsi="仿宋" w:eastAsia="仿宋" w:cs="仿宋"/>
          <w:b/>
          <w:bCs/>
          <w:sz w:val="32"/>
          <w:szCs w:val="32"/>
        </w:rPr>
      </w:pPr>
      <w:bookmarkStart w:id="27" w:name="_Toc335080156"/>
      <w:bookmarkStart w:id="28" w:name="_Toc250448695"/>
      <w:bookmarkStart w:id="29" w:name="_Toc287879082"/>
      <w:bookmarkStart w:id="30" w:name="_Toc4162915"/>
      <w:r>
        <w:rPr>
          <w:rFonts w:hint="eastAsia" w:ascii="仿宋" w:hAnsi="仿宋" w:eastAsia="仿宋" w:cs="仿宋"/>
          <w:b/>
          <w:bCs/>
          <w:sz w:val="32"/>
          <w:szCs w:val="32"/>
        </w:rPr>
        <w:t>系统培训</w:t>
      </w:r>
      <w:bookmarkEnd w:id="27"/>
      <w:bookmarkEnd w:id="28"/>
      <w:bookmarkEnd w:id="29"/>
      <w:bookmarkEnd w:id="30"/>
    </w:p>
    <w:p w14:paraId="5AE282D7">
      <w:pPr>
        <w:pStyle w:val="6"/>
        <w:ind w:firstLine="560"/>
        <w:rPr>
          <w:rFonts w:cs="仿宋"/>
        </w:rPr>
      </w:pPr>
      <w:r>
        <w:rPr>
          <w:rFonts w:hint="eastAsia" w:cs="仿宋"/>
        </w:rPr>
        <w:t>在系统实施阶段，响应单位应对本系统用户以及管理人员进行操作培训，需要配备2名培训讲师，并提供详细的系统操作手册。</w:t>
      </w:r>
    </w:p>
    <w:p w14:paraId="337072B8">
      <w:pPr>
        <w:numPr>
          <w:ilvl w:val="1"/>
          <w:numId w:val="3"/>
        </w:numPr>
        <w:spacing w:line="360" w:lineRule="auto"/>
        <w:outlineLvl w:val="1"/>
        <w:rPr>
          <w:rFonts w:ascii="仿宋" w:hAnsi="仿宋" w:eastAsia="仿宋" w:cs="仿宋"/>
          <w:b/>
          <w:bCs/>
          <w:sz w:val="32"/>
          <w:szCs w:val="32"/>
        </w:rPr>
      </w:pPr>
      <w:bookmarkStart w:id="31" w:name="_Toc198959679"/>
      <w:bookmarkStart w:id="32" w:name="_Toc144889321"/>
      <w:bookmarkStart w:id="33" w:name="_Toc163019723"/>
      <w:bookmarkStart w:id="34" w:name="_Toc75063323"/>
      <w:bookmarkStart w:id="35" w:name="_Toc287879083"/>
      <w:bookmarkStart w:id="36" w:name="_Toc250448696"/>
      <w:bookmarkStart w:id="37" w:name="_Toc335080157"/>
      <w:bookmarkStart w:id="38" w:name="_Toc4162916"/>
      <w:r>
        <w:rPr>
          <w:rFonts w:hint="eastAsia" w:ascii="仿宋" w:hAnsi="仿宋" w:eastAsia="仿宋" w:cs="仿宋"/>
          <w:b/>
          <w:bCs/>
          <w:sz w:val="32"/>
          <w:szCs w:val="32"/>
        </w:rPr>
        <w:t>技术</w:t>
      </w:r>
      <w:bookmarkEnd w:id="31"/>
      <w:bookmarkEnd w:id="32"/>
      <w:bookmarkEnd w:id="33"/>
      <w:bookmarkEnd w:id="34"/>
      <w:r>
        <w:rPr>
          <w:rFonts w:hint="eastAsia" w:ascii="仿宋" w:hAnsi="仿宋" w:eastAsia="仿宋" w:cs="仿宋"/>
          <w:b/>
          <w:bCs/>
          <w:sz w:val="32"/>
          <w:szCs w:val="32"/>
        </w:rPr>
        <w:t>支持</w:t>
      </w:r>
      <w:bookmarkEnd w:id="35"/>
      <w:bookmarkEnd w:id="36"/>
      <w:bookmarkEnd w:id="37"/>
      <w:bookmarkEnd w:id="38"/>
    </w:p>
    <w:p w14:paraId="587ABFBB">
      <w:pPr>
        <w:pStyle w:val="6"/>
        <w:ind w:firstLine="560"/>
        <w:rPr>
          <w:rFonts w:hint="eastAsia" w:cs="仿宋"/>
        </w:rPr>
      </w:pPr>
      <w:r>
        <w:rPr>
          <w:rFonts w:hint="eastAsia" w:cs="仿宋"/>
        </w:rPr>
        <w:t>由于该项目所涉相关业务属于重点业务，投标人在</w:t>
      </w:r>
      <w:r>
        <w:rPr>
          <w:rFonts w:hint="eastAsia" w:cs="仿宋"/>
          <w:lang w:val="en-US" w:eastAsia="zh-CN"/>
        </w:rPr>
        <w:t>中标后需在</w:t>
      </w:r>
      <w:r>
        <w:rPr>
          <w:rFonts w:hint="eastAsia" w:cs="仿宋"/>
        </w:rPr>
        <w:t>本地</w:t>
      </w:r>
      <w:r>
        <w:rPr>
          <w:rFonts w:hint="eastAsia" w:cs="仿宋"/>
          <w:lang w:val="en-US" w:eastAsia="zh-CN"/>
        </w:rPr>
        <w:t>设置专门的</w:t>
      </w:r>
      <w:r>
        <w:rPr>
          <w:rFonts w:hint="eastAsia" w:cs="仿宋"/>
        </w:rPr>
        <w:t>服务队伍</w:t>
      </w:r>
      <w:r>
        <w:rPr>
          <w:rFonts w:hint="eastAsia" w:cs="仿宋"/>
          <w:lang w:eastAsia="zh-CN"/>
        </w:rPr>
        <w:t>，</w:t>
      </w:r>
      <w:r>
        <w:rPr>
          <w:rFonts w:hint="eastAsia" w:cs="仿宋"/>
        </w:rPr>
        <w:t>提供现场技术支持和具备7×24小时上海地区的技术支持能力，</w:t>
      </w:r>
      <w:r>
        <w:rPr>
          <w:rFonts w:hint="eastAsia" w:cs="仿宋"/>
          <w:lang w:val="en-US" w:eastAsia="zh-CN"/>
        </w:rPr>
        <w:t>自项目验收通过之日起</w:t>
      </w:r>
      <w:r>
        <w:rPr>
          <w:rFonts w:hint="eastAsia" w:cs="仿宋"/>
        </w:rPr>
        <w:t>提供1年免费</w:t>
      </w:r>
      <w:r>
        <w:rPr>
          <w:rFonts w:hint="eastAsia" w:cs="仿宋"/>
          <w:lang w:val="en-US" w:eastAsia="zh-CN"/>
        </w:rPr>
        <w:t>质保</w:t>
      </w:r>
      <w:r>
        <w:rPr>
          <w:rFonts w:hint="eastAsia" w:cs="仿宋"/>
        </w:rPr>
        <w:t>。</w:t>
      </w:r>
    </w:p>
    <w:p w14:paraId="76ADC190">
      <w:pPr>
        <w:pStyle w:val="6"/>
        <w:ind w:firstLine="560"/>
        <w:rPr>
          <w:rFonts w:cs="仿宋"/>
        </w:rPr>
      </w:pPr>
      <w:r>
        <w:rPr>
          <w:rFonts w:hint="eastAsia" w:cs="仿宋"/>
        </w:rPr>
        <w:t>服务内容包括：</w:t>
      </w:r>
    </w:p>
    <w:p w14:paraId="71FE41DE">
      <w:pPr>
        <w:numPr>
          <w:ilvl w:val="0"/>
          <w:numId w:val="7"/>
        </w:numPr>
        <w:adjustRightInd w:val="0"/>
        <w:spacing w:before="100" w:beforeAutospacing="1" w:after="100" w:afterAutospacing="1" w:line="360" w:lineRule="auto"/>
        <w:textAlignment w:val="baseline"/>
        <w:rPr>
          <w:rFonts w:ascii="仿宋" w:hAnsi="仿宋" w:eastAsia="仿宋" w:cs="仿宋"/>
          <w:sz w:val="28"/>
          <w:szCs w:val="20"/>
        </w:rPr>
      </w:pPr>
      <w:r>
        <w:rPr>
          <w:rFonts w:hint="eastAsia" w:ascii="仿宋" w:hAnsi="仿宋" w:eastAsia="仿宋" w:cs="仿宋"/>
          <w:sz w:val="28"/>
          <w:szCs w:val="20"/>
        </w:rPr>
        <w:t>非开发性质的系统BUG解决；</w:t>
      </w:r>
    </w:p>
    <w:p w14:paraId="6A3F3E74">
      <w:pPr>
        <w:numPr>
          <w:ilvl w:val="0"/>
          <w:numId w:val="7"/>
        </w:numPr>
        <w:adjustRightInd w:val="0"/>
        <w:spacing w:before="100" w:beforeAutospacing="1" w:after="100" w:afterAutospacing="1" w:line="360" w:lineRule="auto"/>
        <w:textAlignment w:val="baseline"/>
        <w:rPr>
          <w:rFonts w:ascii="仿宋" w:hAnsi="仿宋" w:eastAsia="仿宋" w:cs="仿宋"/>
          <w:sz w:val="28"/>
          <w:szCs w:val="20"/>
        </w:rPr>
      </w:pPr>
      <w:r>
        <w:rPr>
          <w:rFonts w:hint="eastAsia" w:ascii="仿宋" w:hAnsi="仿宋" w:eastAsia="仿宋" w:cs="仿宋"/>
          <w:sz w:val="28"/>
          <w:szCs w:val="20"/>
        </w:rPr>
        <w:t>用户日常操作指导及非功能性增添的系统修改；</w:t>
      </w:r>
    </w:p>
    <w:p w14:paraId="15AEE8FD">
      <w:pPr>
        <w:numPr>
          <w:ilvl w:val="0"/>
          <w:numId w:val="7"/>
        </w:numPr>
        <w:adjustRightInd w:val="0"/>
        <w:spacing w:before="100" w:beforeAutospacing="1" w:after="100" w:afterAutospacing="1" w:line="360" w:lineRule="auto"/>
        <w:textAlignment w:val="baseline"/>
        <w:rPr>
          <w:rFonts w:ascii="仿宋" w:hAnsi="仿宋" w:eastAsia="仿宋" w:cs="仿宋"/>
          <w:sz w:val="28"/>
          <w:szCs w:val="20"/>
        </w:rPr>
      </w:pPr>
      <w:r>
        <w:rPr>
          <w:rFonts w:hint="eastAsia" w:ascii="仿宋" w:hAnsi="仿宋" w:eastAsia="仿宋" w:cs="仿宋"/>
          <w:sz w:val="28"/>
          <w:szCs w:val="20"/>
        </w:rPr>
        <w:t>协助用户进行各类档案数据维护，添加、修改、删除等操作；</w:t>
      </w:r>
    </w:p>
    <w:p w14:paraId="310C1FB0">
      <w:pPr>
        <w:numPr>
          <w:ilvl w:val="0"/>
          <w:numId w:val="7"/>
        </w:numPr>
        <w:adjustRightInd w:val="0"/>
        <w:spacing w:before="100" w:beforeAutospacing="1" w:after="100" w:afterAutospacing="1" w:line="360" w:lineRule="auto"/>
        <w:textAlignment w:val="baseline"/>
        <w:rPr>
          <w:rFonts w:ascii="仿宋" w:hAnsi="仿宋" w:eastAsia="仿宋" w:cs="仿宋"/>
          <w:sz w:val="28"/>
          <w:szCs w:val="20"/>
        </w:rPr>
      </w:pPr>
      <w:r>
        <w:rPr>
          <w:rFonts w:hint="eastAsia" w:ascii="仿宋" w:hAnsi="仿宋" w:eastAsia="仿宋" w:cs="仿宋"/>
          <w:sz w:val="28"/>
          <w:szCs w:val="20"/>
        </w:rPr>
        <w:t>根据业务功能对系统功能进行非开发性质的功能调整。</w:t>
      </w:r>
    </w:p>
    <w:p w14:paraId="002F8524">
      <w:pPr>
        <w:pStyle w:val="6"/>
        <w:ind w:firstLine="0" w:firstLineChars="0"/>
        <w:rPr>
          <w:rFonts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285B42"/>
    <w:multiLevelType w:val="multilevel"/>
    <w:tmpl w:val="0A285B42"/>
    <w:lvl w:ilvl="0" w:tentative="0">
      <w:start w:val="1"/>
      <w:numFmt w:val="bullet"/>
      <w:lvlText w:val=""/>
      <w:lvlJc w:val="left"/>
      <w:pPr>
        <w:ind w:left="874" w:hanging="420"/>
      </w:pPr>
      <w:rPr>
        <w:rFonts w:hint="default" w:ascii="Wingdings" w:hAnsi="Wingdings"/>
      </w:rPr>
    </w:lvl>
    <w:lvl w:ilvl="1" w:tentative="0">
      <w:start w:val="1"/>
      <w:numFmt w:val="bullet"/>
      <w:lvlText w:val=""/>
      <w:lvlJc w:val="left"/>
      <w:pPr>
        <w:ind w:left="1294" w:hanging="420"/>
      </w:pPr>
      <w:rPr>
        <w:rFonts w:hint="default" w:ascii="Wingdings" w:hAnsi="Wingdings"/>
      </w:rPr>
    </w:lvl>
    <w:lvl w:ilvl="2" w:tentative="0">
      <w:start w:val="1"/>
      <w:numFmt w:val="bullet"/>
      <w:lvlText w:val=""/>
      <w:lvlJc w:val="left"/>
      <w:pPr>
        <w:ind w:left="1714" w:hanging="420"/>
      </w:pPr>
      <w:rPr>
        <w:rFonts w:hint="default" w:ascii="Wingdings" w:hAnsi="Wingdings"/>
      </w:rPr>
    </w:lvl>
    <w:lvl w:ilvl="3" w:tentative="0">
      <w:start w:val="1"/>
      <w:numFmt w:val="bullet"/>
      <w:lvlText w:val=""/>
      <w:lvlJc w:val="left"/>
      <w:pPr>
        <w:ind w:left="2134" w:hanging="420"/>
      </w:pPr>
      <w:rPr>
        <w:rFonts w:hint="default" w:ascii="Wingdings" w:hAnsi="Wingdings"/>
      </w:rPr>
    </w:lvl>
    <w:lvl w:ilvl="4" w:tentative="0">
      <w:start w:val="1"/>
      <w:numFmt w:val="bullet"/>
      <w:lvlText w:val=""/>
      <w:lvlJc w:val="left"/>
      <w:pPr>
        <w:ind w:left="2554" w:hanging="420"/>
      </w:pPr>
      <w:rPr>
        <w:rFonts w:hint="default" w:ascii="Wingdings" w:hAnsi="Wingdings"/>
      </w:rPr>
    </w:lvl>
    <w:lvl w:ilvl="5" w:tentative="0">
      <w:start w:val="1"/>
      <w:numFmt w:val="bullet"/>
      <w:lvlText w:val=""/>
      <w:lvlJc w:val="left"/>
      <w:pPr>
        <w:ind w:left="2974" w:hanging="420"/>
      </w:pPr>
      <w:rPr>
        <w:rFonts w:hint="default" w:ascii="Wingdings" w:hAnsi="Wingdings"/>
      </w:rPr>
    </w:lvl>
    <w:lvl w:ilvl="6" w:tentative="0">
      <w:start w:val="1"/>
      <w:numFmt w:val="bullet"/>
      <w:lvlText w:val=""/>
      <w:lvlJc w:val="left"/>
      <w:pPr>
        <w:ind w:left="3394" w:hanging="420"/>
      </w:pPr>
      <w:rPr>
        <w:rFonts w:hint="default" w:ascii="Wingdings" w:hAnsi="Wingdings"/>
      </w:rPr>
    </w:lvl>
    <w:lvl w:ilvl="7" w:tentative="0">
      <w:start w:val="1"/>
      <w:numFmt w:val="bullet"/>
      <w:lvlText w:val=""/>
      <w:lvlJc w:val="left"/>
      <w:pPr>
        <w:ind w:left="3814" w:hanging="420"/>
      </w:pPr>
      <w:rPr>
        <w:rFonts w:hint="default" w:ascii="Wingdings" w:hAnsi="Wingdings"/>
      </w:rPr>
    </w:lvl>
    <w:lvl w:ilvl="8" w:tentative="0">
      <w:start w:val="1"/>
      <w:numFmt w:val="bullet"/>
      <w:lvlText w:val=""/>
      <w:lvlJc w:val="left"/>
      <w:pPr>
        <w:ind w:left="4234" w:hanging="420"/>
      </w:pPr>
      <w:rPr>
        <w:rFonts w:hint="default" w:ascii="Wingdings" w:hAnsi="Wingdings"/>
      </w:rPr>
    </w:lvl>
  </w:abstractNum>
  <w:abstractNum w:abstractNumId="1">
    <w:nsid w:val="2CAC7826"/>
    <w:multiLevelType w:val="multilevel"/>
    <w:tmpl w:val="2CAC7826"/>
    <w:lvl w:ilvl="0" w:tentative="0">
      <w:start w:val="1"/>
      <w:numFmt w:val="bullet"/>
      <w:lvlText w:val=""/>
      <w:lvlJc w:val="left"/>
      <w:pPr>
        <w:ind w:left="874" w:hanging="420"/>
      </w:pPr>
      <w:rPr>
        <w:rFonts w:hint="default" w:ascii="Wingdings" w:hAnsi="Wingdings"/>
      </w:rPr>
    </w:lvl>
    <w:lvl w:ilvl="1" w:tentative="0">
      <w:start w:val="1"/>
      <w:numFmt w:val="bullet"/>
      <w:lvlText w:val=""/>
      <w:lvlJc w:val="left"/>
      <w:pPr>
        <w:ind w:left="1294" w:hanging="420"/>
      </w:pPr>
      <w:rPr>
        <w:rFonts w:hint="default" w:ascii="Wingdings" w:hAnsi="Wingdings"/>
      </w:rPr>
    </w:lvl>
    <w:lvl w:ilvl="2" w:tentative="0">
      <w:start w:val="1"/>
      <w:numFmt w:val="bullet"/>
      <w:lvlText w:val=""/>
      <w:lvlJc w:val="left"/>
      <w:pPr>
        <w:ind w:left="1714" w:hanging="420"/>
      </w:pPr>
      <w:rPr>
        <w:rFonts w:hint="default" w:ascii="Wingdings" w:hAnsi="Wingdings"/>
      </w:rPr>
    </w:lvl>
    <w:lvl w:ilvl="3" w:tentative="0">
      <w:start w:val="1"/>
      <w:numFmt w:val="bullet"/>
      <w:lvlText w:val=""/>
      <w:lvlJc w:val="left"/>
      <w:pPr>
        <w:ind w:left="2134" w:hanging="420"/>
      </w:pPr>
      <w:rPr>
        <w:rFonts w:hint="default" w:ascii="Wingdings" w:hAnsi="Wingdings"/>
      </w:rPr>
    </w:lvl>
    <w:lvl w:ilvl="4" w:tentative="0">
      <w:start w:val="1"/>
      <w:numFmt w:val="bullet"/>
      <w:lvlText w:val=""/>
      <w:lvlJc w:val="left"/>
      <w:pPr>
        <w:ind w:left="2554" w:hanging="420"/>
      </w:pPr>
      <w:rPr>
        <w:rFonts w:hint="default" w:ascii="Wingdings" w:hAnsi="Wingdings"/>
      </w:rPr>
    </w:lvl>
    <w:lvl w:ilvl="5" w:tentative="0">
      <w:start w:val="1"/>
      <w:numFmt w:val="bullet"/>
      <w:lvlText w:val=""/>
      <w:lvlJc w:val="left"/>
      <w:pPr>
        <w:ind w:left="2974" w:hanging="420"/>
      </w:pPr>
      <w:rPr>
        <w:rFonts w:hint="default" w:ascii="Wingdings" w:hAnsi="Wingdings"/>
      </w:rPr>
    </w:lvl>
    <w:lvl w:ilvl="6" w:tentative="0">
      <w:start w:val="1"/>
      <w:numFmt w:val="bullet"/>
      <w:lvlText w:val=""/>
      <w:lvlJc w:val="left"/>
      <w:pPr>
        <w:ind w:left="3394" w:hanging="420"/>
      </w:pPr>
      <w:rPr>
        <w:rFonts w:hint="default" w:ascii="Wingdings" w:hAnsi="Wingdings"/>
      </w:rPr>
    </w:lvl>
    <w:lvl w:ilvl="7" w:tentative="0">
      <w:start w:val="1"/>
      <w:numFmt w:val="bullet"/>
      <w:lvlText w:val=""/>
      <w:lvlJc w:val="left"/>
      <w:pPr>
        <w:ind w:left="3814" w:hanging="420"/>
      </w:pPr>
      <w:rPr>
        <w:rFonts w:hint="default" w:ascii="Wingdings" w:hAnsi="Wingdings"/>
      </w:rPr>
    </w:lvl>
    <w:lvl w:ilvl="8" w:tentative="0">
      <w:start w:val="1"/>
      <w:numFmt w:val="bullet"/>
      <w:lvlText w:val=""/>
      <w:lvlJc w:val="left"/>
      <w:pPr>
        <w:ind w:left="4234" w:hanging="420"/>
      </w:pPr>
      <w:rPr>
        <w:rFonts w:hint="default" w:ascii="Wingdings" w:hAnsi="Wingdings"/>
      </w:rPr>
    </w:lvl>
  </w:abstractNum>
  <w:abstractNum w:abstractNumId="2">
    <w:nsid w:val="2FFDCC20"/>
    <w:multiLevelType w:val="multilevel"/>
    <w:tmpl w:val="2FFDCC2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327864BF"/>
    <w:multiLevelType w:val="multilevel"/>
    <w:tmpl w:val="327864BF"/>
    <w:lvl w:ilvl="0" w:tentative="0">
      <w:start w:val="1"/>
      <w:numFmt w:val="bullet"/>
      <w:lvlText w:val=""/>
      <w:lvlJc w:val="left"/>
      <w:pPr>
        <w:ind w:left="874" w:hanging="420"/>
      </w:pPr>
      <w:rPr>
        <w:rFonts w:hint="default" w:ascii="Wingdings" w:hAnsi="Wingdings"/>
      </w:rPr>
    </w:lvl>
    <w:lvl w:ilvl="1" w:tentative="0">
      <w:start w:val="1"/>
      <w:numFmt w:val="bullet"/>
      <w:lvlText w:val=""/>
      <w:lvlJc w:val="left"/>
      <w:pPr>
        <w:ind w:left="1294" w:hanging="420"/>
      </w:pPr>
      <w:rPr>
        <w:rFonts w:hint="default" w:ascii="Wingdings" w:hAnsi="Wingdings"/>
      </w:rPr>
    </w:lvl>
    <w:lvl w:ilvl="2" w:tentative="0">
      <w:start w:val="1"/>
      <w:numFmt w:val="bullet"/>
      <w:lvlText w:val=""/>
      <w:lvlJc w:val="left"/>
      <w:pPr>
        <w:ind w:left="1714" w:hanging="420"/>
      </w:pPr>
      <w:rPr>
        <w:rFonts w:hint="default" w:ascii="Wingdings" w:hAnsi="Wingdings"/>
      </w:rPr>
    </w:lvl>
    <w:lvl w:ilvl="3" w:tentative="0">
      <w:start w:val="1"/>
      <w:numFmt w:val="bullet"/>
      <w:lvlText w:val=""/>
      <w:lvlJc w:val="left"/>
      <w:pPr>
        <w:ind w:left="2134" w:hanging="420"/>
      </w:pPr>
      <w:rPr>
        <w:rFonts w:hint="default" w:ascii="Wingdings" w:hAnsi="Wingdings"/>
      </w:rPr>
    </w:lvl>
    <w:lvl w:ilvl="4" w:tentative="0">
      <w:start w:val="1"/>
      <w:numFmt w:val="bullet"/>
      <w:lvlText w:val=""/>
      <w:lvlJc w:val="left"/>
      <w:pPr>
        <w:ind w:left="2554" w:hanging="420"/>
      </w:pPr>
      <w:rPr>
        <w:rFonts w:hint="default" w:ascii="Wingdings" w:hAnsi="Wingdings"/>
      </w:rPr>
    </w:lvl>
    <w:lvl w:ilvl="5" w:tentative="0">
      <w:start w:val="1"/>
      <w:numFmt w:val="bullet"/>
      <w:lvlText w:val=""/>
      <w:lvlJc w:val="left"/>
      <w:pPr>
        <w:ind w:left="2974" w:hanging="420"/>
      </w:pPr>
      <w:rPr>
        <w:rFonts w:hint="default" w:ascii="Wingdings" w:hAnsi="Wingdings"/>
      </w:rPr>
    </w:lvl>
    <w:lvl w:ilvl="6" w:tentative="0">
      <w:start w:val="1"/>
      <w:numFmt w:val="bullet"/>
      <w:lvlText w:val=""/>
      <w:lvlJc w:val="left"/>
      <w:pPr>
        <w:ind w:left="3394" w:hanging="420"/>
      </w:pPr>
      <w:rPr>
        <w:rFonts w:hint="default" w:ascii="Wingdings" w:hAnsi="Wingdings"/>
      </w:rPr>
    </w:lvl>
    <w:lvl w:ilvl="7" w:tentative="0">
      <w:start w:val="1"/>
      <w:numFmt w:val="bullet"/>
      <w:lvlText w:val=""/>
      <w:lvlJc w:val="left"/>
      <w:pPr>
        <w:ind w:left="3814" w:hanging="420"/>
      </w:pPr>
      <w:rPr>
        <w:rFonts w:hint="default" w:ascii="Wingdings" w:hAnsi="Wingdings"/>
      </w:rPr>
    </w:lvl>
    <w:lvl w:ilvl="8" w:tentative="0">
      <w:start w:val="1"/>
      <w:numFmt w:val="bullet"/>
      <w:lvlText w:val=""/>
      <w:lvlJc w:val="left"/>
      <w:pPr>
        <w:ind w:left="4234" w:hanging="420"/>
      </w:pPr>
      <w:rPr>
        <w:rFonts w:hint="default" w:ascii="Wingdings" w:hAnsi="Wingdings"/>
      </w:rPr>
    </w:lvl>
  </w:abstractNum>
  <w:abstractNum w:abstractNumId="4">
    <w:nsid w:val="3BA30FFB"/>
    <w:multiLevelType w:val="multilevel"/>
    <w:tmpl w:val="3BA30FFB"/>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pStyle w:val="19"/>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6A25564D"/>
    <w:multiLevelType w:val="multilevel"/>
    <w:tmpl w:val="6A25564D"/>
    <w:lvl w:ilvl="0" w:tentative="0">
      <w:start w:val="1"/>
      <w:numFmt w:val="decimal"/>
      <w:pStyle w:val="2"/>
      <w:suff w:val="space"/>
      <w:lvlText w:val="第%1章"/>
      <w:lvlJc w:val="left"/>
      <w:pPr>
        <w:ind w:left="0" w:firstLine="0"/>
      </w:pPr>
      <w:rPr>
        <w:rFonts w:hint="eastAsia" w:ascii="黑体" w:hAnsi="黑体" w:eastAsia="黑体"/>
        <w:lang w:val="en-US"/>
      </w:rPr>
    </w:lvl>
    <w:lvl w:ilvl="1" w:tentative="0">
      <w:start w:val="1"/>
      <w:numFmt w:val="decimal"/>
      <w:pStyle w:val="3"/>
      <w:suff w:val="space"/>
      <w:lvlText w:val="%1.%2"/>
      <w:lvlJc w:val="left"/>
      <w:pPr>
        <w:ind w:left="210" w:firstLine="0"/>
      </w:pPr>
      <w:rPr>
        <w:rFonts w:hint="eastAsia" w:ascii="黑体" w:hAnsi="黑体" w:eastAsia="黑体"/>
      </w:rPr>
    </w:lvl>
    <w:lvl w:ilvl="2" w:tentative="0">
      <w:start w:val="1"/>
      <w:numFmt w:val="decimal"/>
      <w:pStyle w:val="4"/>
      <w:suff w:val="space"/>
      <w:lvlText w:val="%1.%2.%3"/>
      <w:lvlJc w:val="left"/>
      <w:pPr>
        <w:ind w:left="0" w:firstLine="0"/>
      </w:pPr>
      <w:rPr>
        <w:rFonts w:hint="eastAsia"/>
      </w:rPr>
    </w:lvl>
    <w:lvl w:ilvl="3" w:tentative="0">
      <w:start w:val="1"/>
      <w:numFmt w:val="decimal"/>
      <w:pStyle w:val="5"/>
      <w:suff w:val="space"/>
      <w:lvlText w:val="%1.%2.%3.%4"/>
      <w:lvlJc w:val="left"/>
      <w:pPr>
        <w:ind w:left="720" w:firstLine="0"/>
      </w:pPr>
      <w:rPr>
        <w:rFonts w:hint="eastAsia" w:ascii="黑体" w:hAnsi="黑体" w:eastAsia="黑体"/>
        <w:b/>
        <w:bCs w:val="0"/>
        <w:sz w:val="30"/>
        <w:szCs w:val="30"/>
      </w:rPr>
    </w:lvl>
    <w:lvl w:ilvl="4" w:tentative="0">
      <w:start w:val="1"/>
      <w:numFmt w:val="decimal"/>
      <w:pStyle w:val="7"/>
      <w:suff w:val="space"/>
      <w:lvlText w:val="%1.%2.%3.%4.%5"/>
      <w:lvlJc w:val="left"/>
      <w:pPr>
        <w:ind w:left="0" w:firstLine="0"/>
      </w:pPr>
      <w:rPr>
        <w:rFonts w:hint="eastAsia" w:ascii="黑体" w:hAnsi="黑体" w:eastAsia="黑体"/>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6DC00529"/>
    <w:multiLevelType w:val="singleLevel"/>
    <w:tmpl w:val="6DC00529"/>
    <w:lvl w:ilvl="0" w:tentative="0">
      <w:start w:val="1"/>
      <w:numFmt w:val="bullet"/>
      <w:lvlText w:val=""/>
      <w:lvlJc w:val="left"/>
      <w:pPr>
        <w:ind w:left="420" w:hanging="420"/>
      </w:pPr>
      <w:rPr>
        <w:rFonts w:hint="default" w:ascii="Wingdings" w:hAnsi="Wingdings"/>
      </w:rPr>
    </w:lvl>
  </w:abstractNum>
  <w:num w:numId="1">
    <w:abstractNumId w:val="5"/>
  </w:num>
  <w:num w:numId="2">
    <w:abstractNumId w:val="4"/>
  </w:num>
  <w:num w:numId="3">
    <w:abstractNumId w:val="2"/>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mZmI4NGFlNGJkMzZhYWZkYzAxNmM5Zjg3ZDBlMTIifQ=="/>
    <w:docVar w:name="KSO_WPS_MARK_KEY" w:val="6390321d-4713-4790-aa5e-356b87959d71"/>
  </w:docVars>
  <w:rsids>
    <w:rsidRoot w:val="35FE7EE6"/>
    <w:rsid w:val="00047D12"/>
    <w:rsid w:val="0006518C"/>
    <w:rsid w:val="001B31BB"/>
    <w:rsid w:val="001F1BC1"/>
    <w:rsid w:val="00475304"/>
    <w:rsid w:val="00492A05"/>
    <w:rsid w:val="00675838"/>
    <w:rsid w:val="00690D3B"/>
    <w:rsid w:val="0076535B"/>
    <w:rsid w:val="00770051"/>
    <w:rsid w:val="008A60D5"/>
    <w:rsid w:val="008C4AA1"/>
    <w:rsid w:val="00A24AA8"/>
    <w:rsid w:val="00AB5028"/>
    <w:rsid w:val="00C55BD2"/>
    <w:rsid w:val="00C80D55"/>
    <w:rsid w:val="00D47A74"/>
    <w:rsid w:val="014D6DB0"/>
    <w:rsid w:val="016731DD"/>
    <w:rsid w:val="0185278D"/>
    <w:rsid w:val="01D3250C"/>
    <w:rsid w:val="01D55A0F"/>
    <w:rsid w:val="01F84CCA"/>
    <w:rsid w:val="02223910"/>
    <w:rsid w:val="02323BAA"/>
    <w:rsid w:val="024626B7"/>
    <w:rsid w:val="02921645"/>
    <w:rsid w:val="02C8629C"/>
    <w:rsid w:val="02E5364E"/>
    <w:rsid w:val="02EC2FD9"/>
    <w:rsid w:val="030D0F8F"/>
    <w:rsid w:val="03101F14"/>
    <w:rsid w:val="03143696"/>
    <w:rsid w:val="037E5DCB"/>
    <w:rsid w:val="039B4076"/>
    <w:rsid w:val="03E644F5"/>
    <w:rsid w:val="03E9547A"/>
    <w:rsid w:val="043210F1"/>
    <w:rsid w:val="04336B73"/>
    <w:rsid w:val="0460093C"/>
    <w:rsid w:val="04656FC2"/>
    <w:rsid w:val="047240D9"/>
    <w:rsid w:val="049F3CA4"/>
    <w:rsid w:val="04DB0285"/>
    <w:rsid w:val="04FC07BA"/>
    <w:rsid w:val="0586071E"/>
    <w:rsid w:val="05A37CCE"/>
    <w:rsid w:val="05B01562"/>
    <w:rsid w:val="05CB3411"/>
    <w:rsid w:val="05DB7E28"/>
    <w:rsid w:val="05EA4BBF"/>
    <w:rsid w:val="05ED13C7"/>
    <w:rsid w:val="05FD5DDE"/>
    <w:rsid w:val="05FF4B65"/>
    <w:rsid w:val="06927957"/>
    <w:rsid w:val="06AD3A04"/>
    <w:rsid w:val="06B70A90"/>
    <w:rsid w:val="06ED0F6A"/>
    <w:rsid w:val="071E4FBC"/>
    <w:rsid w:val="0741703D"/>
    <w:rsid w:val="076B1838"/>
    <w:rsid w:val="07A73C1C"/>
    <w:rsid w:val="07BA06BE"/>
    <w:rsid w:val="07E41A00"/>
    <w:rsid w:val="07E45C7F"/>
    <w:rsid w:val="08352586"/>
    <w:rsid w:val="08402B15"/>
    <w:rsid w:val="08404F36"/>
    <w:rsid w:val="085375B8"/>
    <w:rsid w:val="089E6732"/>
    <w:rsid w:val="08AD56C8"/>
    <w:rsid w:val="08BA49DD"/>
    <w:rsid w:val="093B1AB4"/>
    <w:rsid w:val="097E3822"/>
    <w:rsid w:val="09886330"/>
    <w:rsid w:val="09AB55EB"/>
    <w:rsid w:val="09D11FA7"/>
    <w:rsid w:val="09DD383B"/>
    <w:rsid w:val="09F337E1"/>
    <w:rsid w:val="0A3F5E5E"/>
    <w:rsid w:val="0A4B3E6F"/>
    <w:rsid w:val="0A5A448A"/>
    <w:rsid w:val="0A5E0911"/>
    <w:rsid w:val="0AA51086"/>
    <w:rsid w:val="0AF56886"/>
    <w:rsid w:val="0B2C47E2"/>
    <w:rsid w:val="0B386076"/>
    <w:rsid w:val="0B3C4A7C"/>
    <w:rsid w:val="0B6401BF"/>
    <w:rsid w:val="0BBE75D4"/>
    <w:rsid w:val="0BD726FC"/>
    <w:rsid w:val="0BE20A8D"/>
    <w:rsid w:val="0C352A96"/>
    <w:rsid w:val="0C4574AD"/>
    <w:rsid w:val="0C510D41"/>
    <w:rsid w:val="0C5B1651"/>
    <w:rsid w:val="0C815114"/>
    <w:rsid w:val="0C996F37"/>
    <w:rsid w:val="0CD4131B"/>
    <w:rsid w:val="0CD6481E"/>
    <w:rsid w:val="0CDF76AC"/>
    <w:rsid w:val="0CF44C71"/>
    <w:rsid w:val="0D2D522C"/>
    <w:rsid w:val="0D3D54C7"/>
    <w:rsid w:val="0D40644B"/>
    <w:rsid w:val="0D5450EC"/>
    <w:rsid w:val="0D552B6D"/>
    <w:rsid w:val="0D716C1A"/>
    <w:rsid w:val="0D73211D"/>
    <w:rsid w:val="0D750EA4"/>
    <w:rsid w:val="0DD124B7"/>
    <w:rsid w:val="0DE314D8"/>
    <w:rsid w:val="0E095E94"/>
    <w:rsid w:val="0E3A1EE7"/>
    <w:rsid w:val="0E5E559E"/>
    <w:rsid w:val="0E876762"/>
    <w:rsid w:val="0EB43DAF"/>
    <w:rsid w:val="0EF13C13"/>
    <w:rsid w:val="0EFA6AA1"/>
    <w:rsid w:val="0EFF5127"/>
    <w:rsid w:val="0F162B4E"/>
    <w:rsid w:val="0F2C4CF2"/>
    <w:rsid w:val="0F611949"/>
    <w:rsid w:val="0F852E02"/>
    <w:rsid w:val="0FE77623"/>
    <w:rsid w:val="104344BA"/>
    <w:rsid w:val="10774D14"/>
    <w:rsid w:val="10786F12"/>
    <w:rsid w:val="1087752D"/>
    <w:rsid w:val="10985249"/>
    <w:rsid w:val="10B35A73"/>
    <w:rsid w:val="10B81EFA"/>
    <w:rsid w:val="10CE1EA0"/>
    <w:rsid w:val="10FD29EF"/>
    <w:rsid w:val="110000F0"/>
    <w:rsid w:val="112273AB"/>
    <w:rsid w:val="11250330"/>
    <w:rsid w:val="11337646"/>
    <w:rsid w:val="11433163"/>
    <w:rsid w:val="117C54BB"/>
    <w:rsid w:val="11A30BFE"/>
    <w:rsid w:val="120E02AD"/>
    <w:rsid w:val="122968D9"/>
    <w:rsid w:val="122E65E4"/>
    <w:rsid w:val="124C2311"/>
    <w:rsid w:val="12AD33CD"/>
    <w:rsid w:val="12CA6462"/>
    <w:rsid w:val="12E4700C"/>
    <w:rsid w:val="12F450A8"/>
    <w:rsid w:val="13702473"/>
    <w:rsid w:val="13714672"/>
    <w:rsid w:val="13A670CA"/>
    <w:rsid w:val="13BF5A76"/>
    <w:rsid w:val="13CA3E07"/>
    <w:rsid w:val="13E67EB4"/>
    <w:rsid w:val="141A4E8B"/>
    <w:rsid w:val="149434CF"/>
    <w:rsid w:val="14981ED6"/>
    <w:rsid w:val="14EE28E4"/>
    <w:rsid w:val="14F9476E"/>
    <w:rsid w:val="1508348E"/>
    <w:rsid w:val="15206937"/>
    <w:rsid w:val="15437DF0"/>
    <w:rsid w:val="154E6181"/>
    <w:rsid w:val="156670AB"/>
    <w:rsid w:val="15CE57D6"/>
    <w:rsid w:val="15D70664"/>
    <w:rsid w:val="15E62E7C"/>
    <w:rsid w:val="163760FE"/>
    <w:rsid w:val="16B831D5"/>
    <w:rsid w:val="16E54F9E"/>
    <w:rsid w:val="171F3E7E"/>
    <w:rsid w:val="1763366E"/>
    <w:rsid w:val="17A41E33"/>
    <w:rsid w:val="17C85590"/>
    <w:rsid w:val="18000F6D"/>
    <w:rsid w:val="181A539A"/>
    <w:rsid w:val="18266C2F"/>
    <w:rsid w:val="184503DD"/>
    <w:rsid w:val="185254F4"/>
    <w:rsid w:val="186B609E"/>
    <w:rsid w:val="18BB389F"/>
    <w:rsid w:val="18C96438"/>
    <w:rsid w:val="19037516"/>
    <w:rsid w:val="19782D58"/>
    <w:rsid w:val="197874D5"/>
    <w:rsid w:val="19B263B5"/>
    <w:rsid w:val="19C80559"/>
    <w:rsid w:val="19D16C6A"/>
    <w:rsid w:val="19D4436C"/>
    <w:rsid w:val="19DE26FD"/>
    <w:rsid w:val="1A0C7D49"/>
    <w:rsid w:val="1A15645A"/>
    <w:rsid w:val="1A177603"/>
    <w:rsid w:val="1A841F91"/>
    <w:rsid w:val="1AB4145B"/>
    <w:rsid w:val="1AE81CB5"/>
    <w:rsid w:val="1AF112C0"/>
    <w:rsid w:val="1B3C173F"/>
    <w:rsid w:val="1B3C5EBC"/>
    <w:rsid w:val="1B50295E"/>
    <w:rsid w:val="1B6D668B"/>
    <w:rsid w:val="1BFD7EAB"/>
    <w:rsid w:val="1C27133D"/>
    <w:rsid w:val="1C3773D9"/>
    <w:rsid w:val="1CA90611"/>
    <w:rsid w:val="1CFA7117"/>
    <w:rsid w:val="1CFC5E9D"/>
    <w:rsid w:val="1D1012BA"/>
    <w:rsid w:val="1D2302DB"/>
    <w:rsid w:val="1D4F4622"/>
    <w:rsid w:val="1D561A2F"/>
    <w:rsid w:val="1D562D94"/>
    <w:rsid w:val="1D7B41ED"/>
    <w:rsid w:val="1D7E18EE"/>
    <w:rsid w:val="1D9D137F"/>
    <w:rsid w:val="1DAE3742"/>
    <w:rsid w:val="1DCE2972"/>
    <w:rsid w:val="1DE01993"/>
    <w:rsid w:val="1E4922BC"/>
    <w:rsid w:val="1E6F24FC"/>
    <w:rsid w:val="1E782E0B"/>
    <w:rsid w:val="1EB573ED"/>
    <w:rsid w:val="1EC62F0A"/>
    <w:rsid w:val="1EF736D9"/>
    <w:rsid w:val="1EFE2B8C"/>
    <w:rsid w:val="1F106802"/>
    <w:rsid w:val="1F3E5153"/>
    <w:rsid w:val="1F47475D"/>
    <w:rsid w:val="1F7D6E36"/>
    <w:rsid w:val="1F7E5B8F"/>
    <w:rsid w:val="1FAC5786"/>
    <w:rsid w:val="1FBD7C1F"/>
    <w:rsid w:val="1FBFC917"/>
    <w:rsid w:val="1FF39689"/>
    <w:rsid w:val="1FF7958C"/>
    <w:rsid w:val="202253C5"/>
    <w:rsid w:val="20232E47"/>
    <w:rsid w:val="202A6055"/>
    <w:rsid w:val="202B0253"/>
    <w:rsid w:val="203F6EF4"/>
    <w:rsid w:val="204D08EB"/>
    <w:rsid w:val="20A26F98"/>
    <w:rsid w:val="211D0AE0"/>
    <w:rsid w:val="21A53343"/>
    <w:rsid w:val="21BC76E5"/>
    <w:rsid w:val="21D81213"/>
    <w:rsid w:val="21E94D31"/>
    <w:rsid w:val="22004956"/>
    <w:rsid w:val="222D4521"/>
    <w:rsid w:val="22461847"/>
    <w:rsid w:val="2278111D"/>
    <w:rsid w:val="22A60967"/>
    <w:rsid w:val="22EF67DD"/>
    <w:rsid w:val="22F11CE0"/>
    <w:rsid w:val="230B288A"/>
    <w:rsid w:val="231F4DAE"/>
    <w:rsid w:val="237C18C4"/>
    <w:rsid w:val="239C59FC"/>
    <w:rsid w:val="23A52A88"/>
    <w:rsid w:val="23C32038"/>
    <w:rsid w:val="23FF441C"/>
    <w:rsid w:val="24001E9D"/>
    <w:rsid w:val="24236BDA"/>
    <w:rsid w:val="24474810"/>
    <w:rsid w:val="2489657E"/>
    <w:rsid w:val="24A44BA9"/>
    <w:rsid w:val="24D17FF7"/>
    <w:rsid w:val="24F35FAE"/>
    <w:rsid w:val="251D6DF2"/>
    <w:rsid w:val="255A6C57"/>
    <w:rsid w:val="25644FE8"/>
    <w:rsid w:val="25A34ACC"/>
    <w:rsid w:val="25B150E7"/>
    <w:rsid w:val="25CF7214"/>
    <w:rsid w:val="25D73CA2"/>
    <w:rsid w:val="25EC2454"/>
    <w:rsid w:val="26257624"/>
    <w:rsid w:val="269D5FE9"/>
    <w:rsid w:val="26D43F45"/>
    <w:rsid w:val="26D519C6"/>
    <w:rsid w:val="26F15A73"/>
    <w:rsid w:val="270A0B9B"/>
    <w:rsid w:val="272A364F"/>
    <w:rsid w:val="272B10D0"/>
    <w:rsid w:val="273C6DEC"/>
    <w:rsid w:val="27416AF7"/>
    <w:rsid w:val="276756B2"/>
    <w:rsid w:val="27680F35"/>
    <w:rsid w:val="27A47FDD"/>
    <w:rsid w:val="28102647"/>
    <w:rsid w:val="281A67DA"/>
    <w:rsid w:val="282028E2"/>
    <w:rsid w:val="28357004"/>
    <w:rsid w:val="28474D20"/>
    <w:rsid w:val="28487D4A"/>
    <w:rsid w:val="28780D72"/>
    <w:rsid w:val="28883404"/>
    <w:rsid w:val="28C50E71"/>
    <w:rsid w:val="28DD1D9B"/>
    <w:rsid w:val="28F61640"/>
    <w:rsid w:val="29423CBE"/>
    <w:rsid w:val="29A22DDE"/>
    <w:rsid w:val="29A34FDC"/>
    <w:rsid w:val="29D56AB0"/>
    <w:rsid w:val="29D741B2"/>
    <w:rsid w:val="29F205DF"/>
    <w:rsid w:val="2A0517FE"/>
    <w:rsid w:val="2A086006"/>
    <w:rsid w:val="2A1F23A7"/>
    <w:rsid w:val="2A2542B1"/>
    <w:rsid w:val="2A783D3B"/>
    <w:rsid w:val="2AE930F5"/>
    <w:rsid w:val="2AEB407A"/>
    <w:rsid w:val="2B097DA7"/>
    <w:rsid w:val="2B102FB5"/>
    <w:rsid w:val="2B3012EB"/>
    <w:rsid w:val="2B4A1E95"/>
    <w:rsid w:val="2B4B7916"/>
    <w:rsid w:val="2B503D9E"/>
    <w:rsid w:val="2B511820"/>
    <w:rsid w:val="2BA110AE"/>
    <w:rsid w:val="2BD177EF"/>
    <w:rsid w:val="2BEF2623"/>
    <w:rsid w:val="2BF46AAA"/>
    <w:rsid w:val="2BFC773A"/>
    <w:rsid w:val="2C0F50D6"/>
    <w:rsid w:val="2C362D97"/>
    <w:rsid w:val="2C661368"/>
    <w:rsid w:val="2C6F41F6"/>
    <w:rsid w:val="2C777084"/>
    <w:rsid w:val="2C873A9B"/>
    <w:rsid w:val="2C99503A"/>
    <w:rsid w:val="2CAE5ED9"/>
    <w:rsid w:val="2CB745EA"/>
    <w:rsid w:val="2D2B45A9"/>
    <w:rsid w:val="2D2C202A"/>
    <w:rsid w:val="2D4973DC"/>
    <w:rsid w:val="2D5B50F8"/>
    <w:rsid w:val="2DBD6096"/>
    <w:rsid w:val="2E246D3F"/>
    <w:rsid w:val="2E354A5B"/>
    <w:rsid w:val="2E8A1F67"/>
    <w:rsid w:val="2E9118F2"/>
    <w:rsid w:val="2E9402F8"/>
    <w:rsid w:val="2E9C5704"/>
    <w:rsid w:val="2EF51616"/>
    <w:rsid w:val="2F33497E"/>
    <w:rsid w:val="2F4B2025"/>
    <w:rsid w:val="2F6B28DA"/>
    <w:rsid w:val="2F8F3175"/>
    <w:rsid w:val="2F9E402D"/>
    <w:rsid w:val="2FA20835"/>
    <w:rsid w:val="2FB38D94"/>
    <w:rsid w:val="2FDA2B8D"/>
    <w:rsid w:val="30351FA2"/>
    <w:rsid w:val="303F3BB7"/>
    <w:rsid w:val="307A0518"/>
    <w:rsid w:val="309E3BD0"/>
    <w:rsid w:val="30C3638E"/>
    <w:rsid w:val="310600FC"/>
    <w:rsid w:val="31432160"/>
    <w:rsid w:val="314A536E"/>
    <w:rsid w:val="316C3324"/>
    <w:rsid w:val="316F0A25"/>
    <w:rsid w:val="317177AC"/>
    <w:rsid w:val="31B16017"/>
    <w:rsid w:val="31C0752B"/>
    <w:rsid w:val="31FF437A"/>
    <w:rsid w:val="321A6940"/>
    <w:rsid w:val="32223D4C"/>
    <w:rsid w:val="324032FC"/>
    <w:rsid w:val="324D5E95"/>
    <w:rsid w:val="325E612F"/>
    <w:rsid w:val="32A233A1"/>
    <w:rsid w:val="32A73FA5"/>
    <w:rsid w:val="32D1066D"/>
    <w:rsid w:val="32D1646E"/>
    <w:rsid w:val="32F24425"/>
    <w:rsid w:val="32FD49B4"/>
    <w:rsid w:val="330F26D0"/>
    <w:rsid w:val="33242675"/>
    <w:rsid w:val="332848FF"/>
    <w:rsid w:val="33356193"/>
    <w:rsid w:val="333F3E6F"/>
    <w:rsid w:val="33797B81"/>
    <w:rsid w:val="339E233F"/>
    <w:rsid w:val="33D56C16"/>
    <w:rsid w:val="33D64697"/>
    <w:rsid w:val="33DEA161"/>
    <w:rsid w:val="33EE55C1"/>
    <w:rsid w:val="3439693A"/>
    <w:rsid w:val="344E0E5E"/>
    <w:rsid w:val="34666505"/>
    <w:rsid w:val="34725B9A"/>
    <w:rsid w:val="34A208E8"/>
    <w:rsid w:val="34F00667"/>
    <w:rsid w:val="35301450"/>
    <w:rsid w:val="3535115B"/>
    <w:rsid w:val="3536335A"/>
    <w:rsid w:val="35592615"/>
    <w:rsid w:val="3585695C"/>
    <w:rsid w:val="3590276F"/>
    <w:rsid w:val="35A62714"/>
    <w:rsid w:val="35C74E47"/>
    <w:rsid w:val="35CD6D50"/>
    <w:rsid w:val="35E57C7A"/>
    <w:rsid w:val="35E96681"/>
    <w:rsid w:val="35FE7EE6"/>
    <w:rsid w:val="36144F46"/>
    <w:rsid w:val="362C03EF"/>
    <w:rsid w:val="3679324C"/>
    <w:rsid w:val="367A5F70"/>
    <w:rsid w:val="36940D18"/>
    <w:rsid w:val="3695459B"/>
    <w:rsid w:val="3696201C"/>
    <w:rsid w:val="36977A9E"/>
    <w:rsid w:val="36A622B7"/>
    <w:rsid w:val="36AE76C3"/>
    <w:rsid w:val="36C95CEF"/>
    <w:rsid w:val="36E630A0"/>
    <w:rsid w:val="37196D72"/>
    <w:rsid w:val="37250607"/>
    <w:rsid w:val="373A4D29"/>
    <w:rsid w:val="374B0846"/>
    <w:rsid w:val="375E61E2"/>
    <w:rsid w:val="378C12B0"/>
    <w:rsid w:val="37980946"/>
    <w:rsid w:val="37AA40E3"/>
    <w:rsid w:val="37D416A4"/>
    <w:rsid w:val="37DA6E30"/>
    <w:rsid w:val="37E5204B"/>
    <w:rsid w:val="381F62A0"/>
    <w:rsid w:val="38321A3E"/>
    <w:rsid w:val="38363CC7"/>
    <w:rsid w:val="38785A35"/>
    <w:rsid w:val="389B146D"/>
    <w:rsid w:val="38BA649F"/>
    <w:rsid w:val="38CE09C2"/>
    <w:rsid w:val="38ED59F4"/>
    <w:rsid w:val="39681ABA"/>
    <w:rsid w:val="39704948"/>
    <w:rsid w:val="3998390E"/>
    <w:rsid w:val="39A1679C"/>
    <w:rsid w:val="39B70940"/>
    <w:rsid w:val="39B863C1"/>
    <w:rsid w:val="3A014237"/>
    <w:rsid w:val="3A16675B"/>
    <w:rsid w:val="3A270BF4"/>
    <w:rsid w:val="3A374711"/>
    <w:rsid w:val="3A6EE6FE"/>
    <w:rsid w:val="3AFF4A51"/>
    <w:rsid w:val="3B233415"/>
    <w:rsid w:val="3B3720B6"/>
    <w:rsid w:val="3B3B2CBA"/>
    <w:rsid w:val="3B3C3FBF"/>
    <w:rsid w:val="3B957ED1"/>
    <w:rsid w:val="3B965952"/>
    <w:rsid w:val="3BBA6E0C"/>
    <w:rsid w:val="3BDF1179"/>
    <w:rsid w:val="3BFEC11C"/>
    <w:rsid w:val="3C8D6DE4"/>
    <w:rsid w:val="3C91106D"/>
    <w:rsid w:val="3CE27B73"/>
    <w:rsid w:val="3CFE808F"/>
    <w:rsid w:val="3D19224B"/>
    <w:rsid w:val="3D37A838"/>
    <w:rsid w:val="3D41598E"/>
    <w:rsid w:val="3D5236AA"/>
    <w:rsid w:val="3D9D02A6"/>
    <w:rsid w:val="3DA321AF"/>
    <w:rsid w:val="3DA556B2"/>
    <w:rsid w:val="3DBE07DB"/>
    <w:rsid w:val="3DC15EDC"/>
    <w:rsid w:val="3E120265"/>
    <w:rsid w:val="3E122463"/>
    <w:rsid w:val="3E1533E8"/>
    <w:rsid w:val="3E4E4846"/>
    <w:rsid w:val="3E6447EC"/>
    <w:rsid w:val="3E6F87AF"/>
    <w:rsid w:val="3ECB7693"/>
    <w:rsid w:val="3ED53826"/>
    <w:rsid w:val="3EE250BA"/>
    <w:rsid w:val="3EE63AC0"/>
    <w:rsid w:val="3EFE9ADD"/>
    <w:rsid w:val="3F0120EC"/>
    <w:rsid w:val="3F572AFA"/>
    <w:rsid w:val="3F8D7751"/>
    <w:rsid w:val="3FA937FE"/>
    <w:rsid w:val="3FC5312E"/>
    <w:rsid w:val="3FDFEDB1"/>
    <w:rsid w:val="3FEE64F1"/>
    <w:rsid w:val="3FFB98C3"/>
    <w:rsid w:val="401A4DB7"/>
    <w:rsid w:val="4026444D"/>
    <w:rsid w:val="40554F9C"/>
    <w:rsid w:val="407E4ADB"/>
    <w:rsid w:val="40D27DE8"/>
    <w:rsid w:val="40D8646E"/>
    <w:rsid w:val="40E24800"/>
    <w:rsid w:val="40E47D03"/>
    <w:rsid w:val="414E1930"/>
    <w:rsid w:val="41772AF5"/>
    <w:rsid w:val="41780576"/>
    <w:rsid w:val="41803404"/>
    <w:rsid w:val="41B90FE0"/>
    <w:rsid w:val="41C50675"/>
    <w:rsid w:val="41CE5702"/>
    <w:rsid w:val="41E740AD"/>
    <w:rsid w:val="4220550C"/>
    <w:rsid w:val="42287095"/>
    <w:rsid w:val="424C1853"/>
    <w:rsid w:val="425C78EF"/>
    <w:rsid w:val="42D53D36"/>
    <w:rsid w:val="42D77239"/>
    <w:rsid w:val="42F52F66"/>
    <w:rsid w:val="42F8776E"/>
    <w:rsid w:val="431D1F2C"/>
    <w:rsid w:val="43297F3D"/>
    <w:rsid w:val="432A1241"/>
    <w:rsid w:val="4332664E"/>
    <w:rsid w:val="43341B51"/>
    <w:rsid w:val="43441DEB"/>
    <w:rsid w:val="43530D81"/>
    <w:rsid w:val="439C027C"/>
    <w:rsid w:val="439D247A"/>
    <w:rsid w:val="43A24383"/>
    <w:rsid w:val="43D922DF"/>
    <w:rsid w:val="43DD0CE5"/>
    <w:rsid w:val="43FC159A"/>
    <w:rsid w:val="43FF69C2"/>
    <w:rsid w:val="44115CBC"/>
    <w:rsid w:val="44181DC4"/>
    <w:rsid w:val="446D72CF"/>
    <w:rsid w:val="44985B95"/>
    <w:rsid w:val="45271F81"/>
    <w:rsid w:val="45582750"/>
    <w:rsid w:val="456F5BF8"/>
    <w:rsid w:val="45A715D5"/>
    <w:rsid w:val="45AD34DF"/>
    <w:rsid w:val="45C37881"/>
    <w:rsid w:val="45D74323"/>
    <w:rsid w:val="45E35BB7"/>
    <w:rsid w:val="45F14ECD"/>
    <w:rsid w:val="460B12FA"/>
    <w:rsid w:val="46132E83"/>
    <w:rsid w:val="463B11DC"/>
    <w:rsid w:val="46610A04"/>
    <w:rsid w:val="4664520C"/>
    <w:rsid w:val="4683223D"/>
    <w:rsid w:val="472055BF"/>
    <w:rsid w:val="47415AF3"/>
    <w:rsid w:val="47721B46"/>
    <w:rsid w:val="47CE69DC"/>
    <w:rsid w:val="47DA0270"/>
    <w:rsid w:val="47DB5CF2"/>
    <w:rsid w:val="48135E4C"/>
    <w:rsid w:val="4857563B"/>
    <w:rsid w:val="485C4B54"/>
    <w:rsid w:val="48885E0A"/>
    <w:rsid w:val="48BC6665"/>
    <w:rsid w:val="49146CF3"/>
    <w:rsid w:val="4936052D"/>
    <w:rsid w:val="493E5939"/>
    <w:rsid w:val="49E33EC9"/>
    <w:rsid w:val="49FE24F4"/>
    <w:rsid w:val="4A096307"/>
    <w:rsid w:val="4A154318"/>
    <w:rsid w:val="4A17561C"/>
    <w:rsid w:val="4A693DA2"/>
    <w:rsid w:val="4A70372C"/>
    <w:rsid w:val="4A913C61"/>
    <w:rsid w:val="4AA40703"/>
    <w:rsid w:val="4AD978D9"/>
    <w:rsid w:val="4AEA55F5"/>
    <w:rsid w:val="4B120D37"/>
    <w:rsid w:val="4B3B1EFC"/>
    <w:rsid w:val="4B4A0E91"/>
    <w:rsid w:val="4B523D1F"/>
    <w:rsid w:val="4B6E364F"/>
    <w:rsid w:val="4BA460A8"/>
    <w:rsid w:val="4BC5405E"/>
    <w:rsid w:val="4BFDFE54"/>
    <w:rsid w:val="4C162B64"/>
    <w:rsid w:val="4C411429"/>
    <w:rsid w:val="4C8A729F"/>
    <w:rsid w:val="4C927F2F"/>
    <w:rsid w:val="4CCA390C"/>
    <w:rsid w:val="4CEA63BF"/>
    <w:rsid w:val="4D2A71A9"/>
    <w:rsid w:val="4D2D232C"/>
    <w:rsid w:val="4E555611"/>
    <w:rsid w:val="4E622728"/>
    <w:rsid w:val="4E6A1D33"/>
    <w:rsid w:val="4E6B77B5"/>
    <w:rsid w:val="4EA40C13"/>
    <w:rsid w:val="4EC04CC0"/>
    <w:rsid w:val="4EE321F4"/>
    <w:rsid w:val="4F447498"/>
    <w:rsid w:val="4F506B2E"/>
    <w:rsid w:val="4F59743D"/>
    <w:rsid w:val="4F8B568E"/>
    <w:rsid w:val="4FA94C3E"/>
    <w:rsid w:val="4FC3106B"/>
    <w:rsid w:val="4FCF4E7E"/>
    <w:rsid w:val="4FF4763C"/>
    <w:rsid w:val="4FFF344E"/>
    <w:rsid w:val="501E0480"/>
    <w:rsid w:val="5060696B"/>
    <w:rsid w:val="508C0AB4"/>
    <w:rsid w:val="50D024A2"/>
    <w:rsid w:val="50DD75B9"/>
    <w:rsid w:val="50EF2D57"/>
    <w:rsid w:val="51085E7F"/>
    <w:rsid w:val="514968E8"/>
    <w:rsid w:val="515D5589"/>
    <w:rsid w:val="517A4EB9"/>
    <w:rsid w:val="51AC310A"/>
    <w:rsid w:val="51C252AD"/>
    <w:rsid w:val="51D058C8"/>
    <w:rsid w:val="51D90756"/>
    <w:rsid w:val="52141834"/>
    <w:rsid w:val="5235306E"/>
    <w:rsid w:val="524C0A95"/>
    <w:rsid w:val="52584B82"/>
    <w:rsid w:val="52586AA6"/>
    <w:rsid w:val="52811E68"/>
    <w:rsid w:val="52D41C73"/>
    <w:rsid w:val="52E61B8D"/>
    <w:rsid w:val="52F047D2"/>
    <w:rsid w:val="531B7E68"/>
    <w:rsid w:val="532C5B84"/>
    <w:rsid w:val="533C259B"/>
    <w:rsid w:val="533F3520"/>
    <w:rsid w:val="53570BC7"/>
    <w:rsid w:val="53645CDE"/>
    <w:rsid w:val="536611E1"/>
    <w:rsid w:val="539564AD"/>
    <w:rsid w:val="53969866"/>
    <w:rsid w:val="53BD3DEE"/>
    <w:rsid w:val="53DD7F26"/>
    <w:rsid w:val="54190C85"/>
    <w:rsid w:val="54194508"/>
    <w:rsid w:val="54242899"/>
    <w:rsid w:val="54411E49"/>
    <w:rsid w:val="546F3C12"/>
    <w:rsid w:val="5472041A"/>
    <w:rsid w:val="54791FA3"/>
    <w:rsid w:val="547B54A6"/>
    <w:rsid w:val="547D422D"/>
    <w:rsid w:val="5480192E"/>
    <w:rsid w:val="54C36F1F"/>
    <w:rsid w:val="54CA68AA"/>
    <w:rsid w:val="54D13CB7"/>
    <w:rsid w:val="54D56E3A"/>
    <w:rsid w:val="54E00A4E"/>
    <w:rsid w:val="54ED44E0"/>
    <w:rsid w:val="551B2E31"/>
    <w:rsid w:val="554B5B7F"/>
    <w:rsid w:val="556E15B6"/>
    <w:rsid w:val="557E7653"/>
    <w:rsid w:val="559417F6"/>
    <w:rsid w:val="559C4684"/>
    <w:rsid w:val="55B13325"/>
    <w:rsid w:val="55B6522E"/>
    <w:rsid w:val="55DA1F6B"/>
    <w:rsid w:val="55DC546E"/>
    <w:rsid w:val="55EC5708"/>
    <w:rsid w:val="56141D44"/>
    <w:rsid w:val="565F6940"/>
    <w:rsid w:val="566D14D9"/>
    <w:rsid w:val="56D26C7F"/>
    <w:rsid w:val="56D34701"/>
    <w:rsid w:val="574633BB"/>
    <w:rsid w:val="5761526A"/>
    <w:rsid w:val="57CC4919"/>
    <w:rsid w:val="57EB194A"/>
    <w:rsid w:val="57F13854"/>
    <w:rsid w:val="57FB1BE5"/>
    <w:rsid w:val="580A43FE"/>
    <w:rsid w:val="582817AF"/>
    <w:rsid w:val="583019E9"/>
    <w:rsid w:val="589233DD"/>
    <w:rsid w:val="58EC6F6F"/>
    <w:rsid w:val="591D6844"/>
    <w:rsid w:val="5921524A"/>
    <w:rsid w:val="5924294C"/>
    <w:rsid w:val="59604D2F"/>
    <w:rsid w:val="597A115C"/>
    <w:rsid w:val="59805264"/>
    <w:rsid w:val="599C1311"/>
    <w:rsid w:val="59D75C73"/>
    <w:rsid w:val="59FB29AF"/>
    <w:rsid w:val="5A074243"/>
    <w:rsid w:val="5A4A272E"/>
    <w:rsid w:val="5A864B12"/>
    <w:rsid w:val="5AC210F3"/>
    <w:rsid w:val="5B301727"/>
    <w:rsid w:val="5B3823B7"/>
    <w:rsid w:val="5B424EC5"/>
    <w:rsid w:val="5B4403C8"/>
    <w:rsid w:val="5B705D94"/>
    <w:rsid w:val="5B890EBC"/>
    <w:rsid w:val="5BB82905"/>
    <w:rsid w:val="5BD77624"/>
    <w:rsid w:val="5BDF6048"/>
    <w:rsid w:val="5BE45D53"/>
    <w:rsid w:val="5BEF1DBB"/>
    <w:rsid w:val="5BF13D64"/>
    <w:rsid w:val="5C620B9F"/>
    <w:rsid w:val="5D074BB1"/>
    <w:rsid w:val="5D1F2257"/>
    <w:rsid w:val="5D2D156D"/>
    <w:rsid w:val="5D5226A6"/>
    <w:rsid w:val="5D803AE7"/>
    <w:rsid w:val="5D805774"/>
    <w:rsid w:val="5D8E4A8A"/>
    <w:rsid w:val="5DBFE78B"/>
    <w:rsid w:val="5DC44F64"/>
    <w:rsid w:val="5DFC0941"/>
    <w:rsid w:val="5E8D242E"/>
    <w:rsid w:val="5EB90E6E"/>
    <w:rsid w:val="5EC55E0B"/>
    <w:rsid w:val="5EFA4FE0"/>
    <w:rsid w:val="5F122687"/>
    <w:rsid w:val="5F2A35B1"/>
    <w:rsid w:val="5F702A21"/>
    <w:rsid w:val="5F8B48CF"/>
    <w:rsid w:val="5F9A3865"/>
    <w:rsid w:val="5FD22AC5"/>
    <w:rsid w:val="5FDA7ED2"/>
    <w:rsid w:val="5FDF4359"/>
    <w:rsid w:val="5FE11A5B"/>
    <w:rsid w:val="5FF27777"/>
    <w:rsid w:val="5FF32FFA"/>
    <w:rsid w:val="600E1625"/>
    <w:rsid w:val="604B148A"/>
    <w:rsid w:val="605F2A35"/>
    <w:rsid w:val="60AC022A"/>
    <w:rsid w:val="60D422E8"/>
    <w:rsid w:val="6111214D"/>
    <w:rsid w:val="61227E69"/>
    <w:rsid w:val="617321F1"/>
    <w:rsid w:val="617940FB"/>
    <w:rsid w:val="618D2D9B"/>
    <w:rsid w:val="61B067D3"/>
    <w:rsid w:val="61F97ECC"/>
    <w:rsid w:val="62142C74"/>
    <w:rsid w:val="621870FC"/>
    <w:rsid w:val="622B10BD"/>
    <w:rsid w:val="62736511"/>
    <w:rsid w:val="62755297"/>
    <w:rsid w:val="62AB1EEE"/>
    <w:rsid w:val="62BC7C0A"/>
    <w:rsid w:val="62BF6990"/>
    <w:rsid w:val="62C14092"/>
    <w:rsid w:val="62C17915"/>
    <w:rsid w:val="62C45016"/>
    <w:rsid w:val="62C5631B"/>
    <w:rsid w:val="62D068AA"/>
    <w:rsid w:val="62EE3C5C"/>
    <w:rsid w:val="62F66AEA"/>
    <w:rsid w:val="633330CC"/>
    <w:rsid w:val="634E16F7"/>
    <w:rsid w:val="63702F31"/>
    <w:rsid w:val="637628BB"/>
    <w:rsid w:val="638A3ADA"/>
    <w:rsid w:val="63960BF2"/>
    <w:rsid w:val="63AA1E11"/>
    <w:rsid w:val="63DB0061"/>
    <w:rsid w:val="63FC0596"/>
    <w:rsid w:val="640337A4"/>
    <w:rsid w:val="643F2304"/>
    <w:rsid w:val="647D1DE9"/>
    <w:rsid w:val="64AB7435"/>
    <w:rsid w:val="64DF6373"/>
    <w:rsid w:val="650236C7"/>
    <w:rsid w:val="65146E65"/>
    <w:rsid w:val="652A304B"/>
    <w:rsid w:val="656A1DF2"/>
    <w:rsid w:val="656E29F6"/>
    <w:rsid w:val="65C37F02"/>
    <w:rsid w:val="65D2271B"/>
    <w:rsid w:val="65E92340"/>
    <w:rsid w:val="65FD6DE2"/>
    <w:rsid w:val="66063E6E"/>
    <w:rsid w:val="66146A07"/>
    <w:rsid w:val="662227CF"/>
    <w:rsid w:val="662856A8"/>
    <w:rsid w:val="664E2064"/>
    <w:rsid w:val="665C267F"/>
    <w:rsid w:val="667E4DB2"/>
    <w:rsid w:val="669B2164"/>
    <w:rsid w:val="66B64012"/>
    <w:rsid w:val="66BD5B9B"/>
    <w:rsid w:val="66C258A6"/>
    <w:rsid w:val="66C95231"/>
    <w:rsid w:val="6709601B"/>
    <w:rsid w:val="671F493B"/>
    <w:rsid w:val="672158C0"/>
    <w:rsid w:val="6777084D"/>
    <w:rsid w:val="677F6253"/>
    <w:rsid w:val="679D0A8D"/>
    <w:rsid w:val="67D30F67"/>
    <w:rsid w:val="67DA08F2"/>
    <w:rsid w:val="67ED628D"/>
    <w:rsid w:val="683A1C10"/>
    <w:rsid w:val="685427BA"/>
    <w:rsid w:val="68646410"/>
    <w:rsid w:val="687938F3"/>
    <w:rsid w:val="68DF6B1A"/>
    <w:rsid w:val="68F67599"/>
    <w:rsid w:val="68F87A44"/>
    <w:rsid w:val="690C66E5"/>
    <w:rsid w:val="690F2EED"/>
    <w:rsid w:val="69837628"/>
    <w:rsid w:val="698450AA"/>
    <w:rsid w:val="699356C4"/>
    <w:rsid w:val="69E40947"/>
    <w:rsid w:val="69F56662"/>
    <w:rsid w:val="69FBE31C"/>
    <w:rsid w:val="69FE3CF2"/>
    <w:rsid w:val="6A02377A"/>
    <w:rsid w:val="6A4A73F1"/>
    <w:rsid w:val="6A4F3879"/>
    <w:rsid w:val="6A4F5C66"/>
    <w:rsid w:val="6A541EFF"/>
    <w:rsid w:val="6A6A40A3"/>
    <w:rsid w:val="6AA11FFE"/>
    <w:rsid w:val="6B1000B4"/>
    <w:rsid w:val="6B2370D5"/>
    <w:rsid w:val="6B3D7C7E"/>
    <w:rsid w:val="6B6E3CD1"/>
    <w:rsid w:val="6B7FB236"/>
    <w:rsid w:val="6B9F44A0"/>
    <w:rsid w:val="6BBD3A50"/>
    <w:rsid w:val="6BCF3297"/>
    <w:rsid w:val="6BD6F66C"/>
    <w:rsid w:val="6BFED26A"/>
    <w:rsid w:val="6C267BFC"/>
    <w:rsid w:val="6C5164C2"/>
    <w:rsid w:val="6C7F158F"/>
    <w:rsid w:val="6C9824B9"/>
    <w:rsid w:val="6CA901D5"/>
    <w:rsid w:val="6CB51A69"/>
    <w:rsid w:val="6CC509FF"/>
    <w:rsid w:val="6CD77A20"/>
    <w:rsid w:val="6D195F0B"/>
    <w:rsid w:val="6D1A398C"/>
    <w:rsid w:val="6D216B9A"/>
    <w:rsid w:val="6D3348B6"/>
    <w:rsid w:val="6D4312CD"/>
    <w:rsid w:val="6D5E317C"/>
    <w:rsid w:val="6D625405"/>
    <w:rsid w:val="6DBF1F2F"/>
    <w:rsid w:val="6DCE2536"/>
    <w:rsid w:val="6DCF7FB8"/>
    <w:rsid w:val="6DE1F4A0"/>
    <w:rsid w:val="6E0F771C"/>
    <w:rsid w:val="6E136122"/>
    <w:rsid w:val="6E3A7667"/>
    <w:rsid w:val="6EA25D92"/>
    <w:rsid w:val="6EF967A0"/>
    <w:rsid w:val="6F607449"/>
    <w:rsid w:val="6F772F6C"/>
    <w:rsid w:val="6F792572"/>
    <w:rsid w:val="6F9C01A8"/>
    <w:rsid w:val="6FA8783E"/>
    <w:rsid w:val="6FBE19E1"/>
    <w:rsid w:val="6FEA15AC"/>
    <w:rsid w:val="6FF63111"/>
    <w:rsid w:val="6FFF249A"/>
    <w:rsid w:val="701423F0"/>
    <w:rsid w:val="702F0A1B"/>
    <w:rsid w:val="706011EA"/>
    <w:rsid w:val="70AE6D6B"/>
    <w:rsid w:val="70B7547C"/>
    <w:rsid w:val="70CE181E"/>
    <w:rsid w:val="71165496"/>
    <w:rsid w:val="71267CAF"/>
    <w:rsid w:val="716B29A1"/>
    <w:rsid w:val="716F4C2B"/>
    <w:rsid w:val="7185354B"/>
    <w:rsid w:val="718E63D9"/>
    <w:rsid w:val="71976CE9"/>
    <w:rsid w:val="7198476A"/>
    <w:rsid w:val="719A5A6F"/>
    <w:rsid w:val="71DB64D8"/>
    <w:rsid w:val="71DC3F5A"/>
    <w:rsid w:val="71E87D6D"/>
    <w:rsid w:val="72314CE9"/>
    <w:rsid w:val="723920F5"/>
    <w:rsid w:val="726F6D4C"/>
    <w:rsid w:val="727453D2"/>
    <w:rsid w:val="7297468D"/>
    <w:rsid w:val="72985992"/>
    <w:rsid w:val="72B64F42"/>
    <w:rsid w:val="72C132D3"/>
    <w:rsid w:val="72EFB057"/>
    <w:rsid w:val="73116158"/>
    <w:rsid w:val="731474DA"/>
    <w:rsid w:val="73237AF4"/>
    <w:rsid w:val="732706F9"/>
    <w:rsid w:val="736E46F1"/>
    <w:rsid w:val="73704370"/>
    <w:rsid w:val="73AF7B71"/>
    <w:rsid w:val="73BB0F6D"/>
    <w:rsid w:val="73BF7973"/>
    <w:rsid w:val="73EE04C2"/>
    <w:rsid w:val="73EF369F"/>
    <w:rsid w:val="73FC19D6"/>
    <w:rsid w:val="73FC5254"/>
    <w:rsid w:val="740238DF"/>
    <w:rsid w:val="742873A2"/>
    <w:rsid w:val="74624BFD"/>
    <w:rsid w:val="74640101"/>
    <w:rsid w:val="74713C5C"/>
    <w:rsid w:val="74A17F65"/>
    <w:rsid w:val="74D23FB8"/>
    <w:rsid w:val="74E38299"/>
    <w:rsid w:val="75707339"/>
    <w:rsid w:val="76096233"/>
    <w:rsid w:val="76101441"/>
    <w:rsid w:val="76633449"/>
    <w:rsid w:val="767B0AF0"/>
    <w:rsid w:val="767FCB6B"/>
    <w:rsid w:val="76A673B6"/>
    <w:rsid w:val="76AE0046"/>
    <w:rsid w:val="76F913BE"/>
    <w:rsid w:val="770706D4"/>
    <w:rsid w:val="772E3E17"/>
    <w:rsid w:val="772F1899"/>
    <w:rsid w:val="77326F9A"/>
    <w:rsid w:val="7767E4FB"/>
    <w:rsid w:val="77712302"/>
    <w:rsid w:val="778A542A"/>
    <w:rsid w:val="77D47E28"/>
    <w:rsid w:val="77E4483F"/>
    <w:rsid w:val="77E71660"/>
    <w:rsid w:val="77E757C4"/>
    <w:rsid w:val="77F267D3"/>
    <w:rsid w:val="77F89F9A"/>
    <w:rsid w:val="783842C9"/>
    <w:rsid w:val="78687017"/>
    <w:rsid w:val="78B57116"/>
    <w:rsid w:val="78BA359E"/>
    <w:rsid w:val="78CF5AC2"/>
    <w:rsid w:val="78F227FE"/>
    <w:rsid w:val="78FE478C"/>
    <w:rsid w:val="7904051A"/>
    <w:rsid w:val="792451CB"/>
    <w:rsid w:val="793E15F9"/>
    <w:rsid w:val="79504D96"/>
    <w:rsid w:val="7955121E"/>
    <w:rsid w:val="79813367"/>
    <w:rsid w:val="7983686A"/>
    <w:rsid w:val="79940D02"/>
    <w:rsid w:val="79E13D7A"/>
    <w:rsid w:val="7A140357"/>
    <w:rsid w:val="7A607152"/>
    <w:rsid w:val="7A6C67E7"/>
    <w:rsid w:val="7A8D17B1"/>
    <w:rsid w:val="7A9905B0"/>
    <w:rsid w:val="7AAD2AD4"/>
    <w:rsid w:val="7AB03A59"/>
    <w:rsid w:val="7ABF07F0"/>
    <w:rsid w:val="7AC23973"/>
    <w:rsid w:val="7ADE32A3"/>
    <w:rsid w:val="7ADF0D25"/>
    <w:rsid w:val="7AE067A6"/>
    <w:rsid w:val="7B135CFC"/>
    <w:rsid w:val="7B1A1E03"/>
    <w:rsid w:val="7B29461C"/>
    <w:rsid w:val="7B2B860F"/>
    <w:rsid w:val="7B551FE8"/>
    <w:rsid w:val="7B5D06EE"/>
    <w:rsid w:val="7B843A31"/>
    <w:rsid w:val="7BA4708E"/>
    <w:rsid w:val="7BBA3F0B"/>
    <w:rsid w:val="7BDD53C4"/>
    <w:rsid w:val="7BE350CF"/>
    <w:rsid w:val="7BEE7CA0"/>
    <w:rsid w:val="7BF662EE"/>
    <w:rsid w:val="7BF6A785"/>
    <w:rsid w:val="7BF7B90C"/>
    <w:rsid w:val="7C01687E"/>
    <w:rsid w:val="7C351656"/>
    <w:rsid w:val="7C467372"/>
    <w:rsid w:val="7C7AB040"/>
    <w:rsid w:val="7CA5738C"/>
    <w:rsid w:val="7D2D5C89"/>
    <w:rsid w:val="7D6B16D3"/>
    <w:rsid w:val="7D90280C"/>
    <w:rsid w:val="7D913B11"/>
    <w:rsid w:val="7DBFDAEB"/>
    <w:rsid w:val="7DF228B1"/>
    <w:rsid w:val="7DF65A34"/>
    <w:rsid w:val="7DF969B8"/>
    <w:rsid w:val="7DFB58AB"/>
    <w:rsid w:val="7E006343"/>
    <w:rsid w:val="7E7B8A10"/>
    <w:rsid w:val="7E7D693D"/>
    <w:rsid w:val="7E9114B5"/>
    <w:rsid w:val="7EBEA54C"/>
    <w:rsid w:val="7EBECD29"/>
    <w:rsid w:val="7EC00980"/>
    <w:rsid w:val="7EDB3A2F"/>
    <w:rsid w:val="7EF79BE3"/>
    <w:rsid w:val="7EFF3F3E"/>
    <w:rsid w:val="7EFF4DDF"/>
    <w:rsid w:val="7EFF8C13"/>
    <w:rsid w:val="7EFF903C"/>
    <w:rsid w:val="7F117485"/>
    <w:rsid w:val="7F263BA7"/>
    <w:rsid w:val="7F369957"/>
    <w:rsid w:val="7F3F0380"/>
    <w:rsid w:val="7F47F6BE"/>
    <w:rsid w:val="7F4B6365"/>
    <w:rsid w:val="7F56BF8B"/>
    <w:rsid w:val="7F5711C3"/>
    <w:rsid w:val="7F724027"/>
    <w:rsid w:val="7F7FDA6E"/>
    <w:rsid w:val="7F870749"/>
    <w:rsid w:val="7F9F28AC"/>
    <w:rsid w:val="7FB308B0"/>
    <w:rsid w:val="7FB9221D"/>
    <w:rsid w:val="7FC7BA71"/>
    <w:rsid w:val="7FDD17A3"/>
    <w:rsid w:val="7FDFEB69"/>
    <w:rsid w:val="7FF12376"/>
    <w:rsid w:val="7FF74280"/>
    <w:rsid w:val="7FF97783"/>
    <w:rsid w:val="8F4B9012"/>
    <w:rsid w:val="8F8F3B04"/>
    <w:rsid w:val="96FFD02E"/>
    <w:rsid w:val="977F9BDC"/>
    <w:rsid w:val="997F1391"/>
    <w:rsid w:val="A5A74C27"/>
    <w:rsid w:val="A73B92CC"/>
    <w:rsid w:val="A7FA4DE3"/>
    <w:rsid w:val="AA7F4724"/>
    <w:rsid w:val="ABFF8956"/>
    <w:rsid w:val="AD7F3AC2"/>
    <w:rsid w:val="ADAC6222"/>
    <w:rsid w:val="B3CE5736"/>
    <w:rsid w:val="B7FFD2F8"/>
    <w:rsid w:val="BBFCC497"/>
    <w:rsid w:val="BBFD3AF8"/>
    <w:rsid w:val="BF7F62F1"/>
    <w:rsid w:val="BF97DDA6"/>
    <w:rsid w:val="BFAC3C63"/>
    <w:rsid w:val="BFB6F4C5"/>
    <w:rsid w:val="BFFFB936"/>
    <w:rsid w:val="CA8F7DF9"/>
    <w:rsid w:val="CF1948B5"/>
    <w:rsid w:val="D76DEE2D"/>
    <w:rsid w:val="D7AC474C"/>
    <w:rsid w:val="D7F7E948"/>
    <w:rsid w:val="DBBBAD96"/>
    <w:rsid w:val="DD1C6A96"/>
    <w:rsid w:val="DF7BE27D"/>
    <w:rsid w:val="DF7FE921"/>
    <w:rsid w:val="DFC2DBC1"/>
    <w:rsid w:val="E6D4754F"/>
    <w:rsid w:val="EADE3815"/>
    <w:rsid w:val="EBEF7E5B"/>
    <w:rsid w:val="EBFE6E3F"/>
    <w:rsid w:val="ECEF228E"/>
    <w:rsid w:val="EEEF322C"/>
    <w:rsid w:val="EF9DF5A0"/>
    <w:rsid w:val="EFF9B87A"/>
    <w:rsid w:val="F17DAAFD"/>
    <w:rsid w:val="F57DDDDB"/>
    <w:rsid w:val="F62F7159"/>
    <w:rsid w:val="F6FB7E50"/>
    <w:rsid w:val="F6FF1B42"/>
    <w:rsid w:val="F79DCBDA"/>
    <w:rsid w:val="F7E7635A"/>
    <w:rsid w:val="F7EE0EF3"/>
    <w:rsid w:val="F7F54447"/>
    <w:rsid w:val="F9FB4F37"/>
    <w:rsid w:val="FABF199A"/>
    <w:rsid w:val="FB7FCB54"/>
    <w:rsid w:val="FBF277D7"/>
    <w:rsid w:val="FC751FC4"/>
    <w:rsid w:val="FDDAFDC6"/>
    <w:rsid w:val="FDFF107D"/>
    <w:rsid w:val="FDFF2310"/>
    <w:rsid w:val="FE3AE24B"/>
    <w:rsid w:val="FECF1309"/>
    <w:rsid w:val="FEFC0F91"/>
    <w:rsid w:val="FF2F4C0C"/>
    <w:rsid w:val="FF75EFAD"/>
    <w:rsid w:val="FF7BE454"/>
    <w:rsid w:val="FFBEA6F3"/>
    <w:rsid w:val="FFBF33E4"/>
    <w:rsid w:val="FFDDDC4A"/>
    <w:rsid w:val="FFDED731"/>
    <w:rsid w:val="FFDF14F9"/>
    <w:rsid w:val="FFDF2D89"/>
    <w:rsid w:val="FFEF8CEB"/>
    <w:rsid w:val="FFFC438B"/>
    <w:rsid w:val="FFFD06D9"/>
    <w:rsid w:val="FFFDD2E5"/>
    <w:rsid w:val="FFFEC30E"/>
    <w:rsid w:val="FFFFC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1"/>
    <w:pPr>
      <w:keepNext/>
      <w:keepLines/>
      <w:pageBreakBefore/>
      <w:widowControl w:val="0"/>
      <w:numPr>
        <w:ilvl w:val="0"/>
        <w:numId w:val="1"/>
      </w:numPr>
      <w:spacing w:before="340" w:after="330" w:line="578" w:lineRule="auto"/>
      <w:jc w:val="center"/>
      <w:outlineLvl w:val="0"/>
    </w:pPr>
    <w:rPr>
      <w:rFonts w:asciiTheme="minorHAnsi" w:hAnsiTheme="minorHAnsi" w:eastAsiaTheme="minorEastAsia" w:cstheme="minorBidi"/>
      <w:b/>
      <w:bCs/>
      <w:kern w:val="44"/>
      <w:sz w:val="44"/>
      <w:szCs w:val="44"/>
    </w:rPr>
  </w:style>
  <w:style w:type="paragraph" w:styleId="3">
    <w:name w:val="heading 2"/>
    <w:basedOn w:val="1"/>
    <w:next w:val="1"/>
    <w:unhideWhenUsed/>
    <w:qFormat/>
    <w:uiPriority w:val="1"/>
    <w:pPr>
      <w:keepNext/>
      <w:keepLines/>
      <w:widowControl w:val="0"/>
      <w:numPr>
        <w:ilvl w:val="1"/>
        <w:numId w:val="1"/>
      </w:numPr>
      <w:spacing w:before="260" w:after="260" w:line="416" w:lineRule="auto"/>
      <w:jc w:val="both"/>
      <w:outlineLvl w:val="1"/>
    </w:pPr>
    <w:rPr>
      <w:rFonts w:ascii="黑体" w:hAnsi="黑体" w:eastAsia="黑体" w:cstheme="majorBidi"/>
      <w:b/>
      <w:bCs/>
      <w:kern w:val="2"/>
      <w:sz w:val="36"/>
      <w:szCs w:val="36"/>
    </w:rPr>
  </w:style>
  <w:style w:type="paragraph" w:styleId="4">
    <w:name w:val="heading 3"/>
    <w:basedOn w:val="1"/>
    <w:next w:val="1"/>
    <w:unhideWhenUsed/>
    <w:qFormat/>
    <w:uiPriority w:val="1"/>
    <w:pPr>
      <w:keepNext/>
      <w:keepLines/>
      <w:widowControl w:val="0"/>
      <w:numPr>
        <w:ilvl w:val="2"/>
        <w:numId w:val="1"/>
      </w:numPr>
      <w:spacing w:before="260" w:after="260" w:line="416" w:lineRule="auto"/>
      <w:jc w:val="both"/>
      <w:outlineLvl w:val="2"/>
    </w:pPr>
    <w:rPr>
      <w:rFonts w:ascii="黑体" w:hAnsi="黑体" w:eastAsia="黑体"/>
      <w:b/>
      <w:bCs/>
      <w:sz w:val="32"/>
      <w:szCs w:val="32"/>
    </w:rPr>
  </w:style>
  <w:style w:type="paragraph" w:styleId="5">
    <w:name w:val="heading 4"/>
    <w:basedOn w:val="1"/>
    <w:next w:val="6"/>
    <w:unhideWhenUsed/>
    <w:qFormat/>
    <w:uiPriority w:val="1"/>
    <w:pPr>
      <w:keepNext/>
      <w:keepLines/>
      <w:widowControl w:val="0"/>
      <w:numPr>
        <w:ilvl w:val="3"/>
        <w:numId w:val="1"/>
      </w:numPr>
      <w:spacing w:before="240" w:after="240" w:line="360" w:lineRule="auto"/>
      <w:jc w:val="both"/>
      <w:outlineLvl w:val="3"/>
    </w:pPr>
    <w:rPr>
      <w:rFonts w:ascii="黑体" w:hAnsi="黑体" w:eastAsia="黑体" w:cstheme="majorBidi"/>
      <w:bCs/>
      <w:kern w:val="2"/>
      <w:sz w:val="30"/>
      <w:szCs w:val="30"/>
    </w:rPr>
  </w:style>
  <w:style w:type="paragraph" w:styleId="7">
    <w:name w:val="heading 5"/>
    <w:basedOn w:val="1"/>
    <w:next w:val="6"/>
    <w:unhideWhenUsed/>
    <w:qFormat/>
    <w:uiPriority w:val="1"/>
    <w:pPr>
      <w:keepNext/>
      <w:keepLines/>
      <w:widowControl w:val="0"/>
      <w:numPr>
        <w:ilvl w:val="4"/>
        <w:numId w:val="1"/>
      </w:numPr>
      <w:spacing w:before="156" w:beforeLines="50" w:line="360" w:lineRule="auto"/>
      <w:jc w:val="both"/>
      <w:outlineLvl w:val="4"/>
    </w:pPr>
    <w:rPr>
      <w:rFonts w:ascii="仿宋" w:hAnsi="仿宋" w:eastAsia="仿宋" w:cstheme="minorBidi"/>
      <w:b/>
      <w:bCs/>
      <w:kern w:val="2"/>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6">
    <w:name w:val="可研正文"/>
    <w:basedOn w:val="1"/>
    <w:qFormat/>
    <w:uiPriority w:val="0"/>
    <w:pPr>
      <w:widowControl w:val="0"/>
      <w:spacing w:line="360" w:lineRule="auto"/>
      <w:ind w:firstLine="200" w:firstLineChars="200"/>
      <w:jc w:val="both"/>
    </w:pPr>
    <w:rPr>
      <w:rFonts w:ascii="仿宋" w:hAnsi="仿宋" w:eastAsia="仿宋" w:cstheme="minorBidi"/>
      <w:kern w:val="2"/>
      <w:sz w:val="28"/>
      <w:szCs w:val="28"/>
    </w:rPr>
  </w:style>
  <w:style w:type="paragraph" w:styleId="8">
    <w:name w:val="annotation text"/>
    <w:basedOn w:val="1"/>
    <w:unhideWhenUsed/>
    <w:qFormat/>
    <w:uiPriority w:val="99"/>
    <w:pPr>
      <w:spacing w:beforeLines="50" w:line="360" w:lineRule="auto"/>
      <w:ind w:firstLine="200" w:firstLineChars="200"/>
    </w:pPr>
    <w:rPr>
      <w:rFonts w:ascii="Arial" w:hAnsi="Arial" w:eastAsia="仿宋_GB2312"/>
      <w:sz w:val="28"/>
      <w:szCs w:val="20"/>
    </w:rPr>
  </w:style>
  <w:style w:type="paragraph" w:styleId="9">
    <w:name w:val="Body Text Indent"/>
    <w:basedOn w:val="1"/>
    <w:qFormat/>
    <w:uiPriority w:val="99"/>
    <w:pPr>
      <w:spacing w:line="200" w:lineRule="exact"/>
      <w:ind w:firstLine="301"/>
    </w:pPr>
    <w:rPr>
      <w:rFonts w:ascii="宋体" w:hAnsi="Courier New"/>
      <w:spacing w:val="-4"/>
      <w:sz w:val="18"/>
      <w:szCs w:val="20"/>
    </w:rPr>
  </w:style>
  <w:style w:type="paragraph" w:styleId="10">
    <w:name w:val="footer"/>
    <w:basedOn w:val="1"/>
    <w:link w:val="23"/>
    <w:qFormat/>
    <w:uiPriority w:val="0"/>
    <w:pPr>
      <w:tabs>
        <w:tab w:val="center" w:pos="4153"/>
        <w:tab w:val="right" w:pos="8306"/>
      </w:tabs>
      <w:snapToGrid w:val="0"/>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pPr>
    <w:rPr>
      <w:rFonts w:cs="Times New Roman"/>
    </w:rPr>
  </w:style>
  <w:style w:type="paragraph" w:styleId="13">
    <w:name w:val="Title"/>
    <w:basedOn w:val="1"/>
    <w:next w:val="1"/>
    <w:qFormat/>
    <w:uiPriority w:val="10"/>
    <w:pPr>
      <w:widowControl w:val="0"/>
      <w:spacing w:before="240" w:after="60"/>
      <w:jc w:val="center"/>
      <w:outlineLvl w:val="0"/>
    </w:pPr>
    <w:rPr>
      <w:rFonts w:asciiTheme="majorHAnsi" w:hAnsiTheme="majorHAnsi" w:cstheme="majorBidi"/>
      <w:b/>
      <w:bCs/>
      <w:kern w:val="2"/>
      <w:sz w:val="32"/>
      <w:szCs w:val="32"/>
    </w:rPr>
  </w:style>
  <w:style w:type="paragraph" w:styleId="14">
    <w:name w:val="Body Text First Indent 2"/>
    <w:basedOn w:val="9"/>
    <w:qFormat/>
    <w:uiPriority w:val="0"/>
    <w:pPr>
      <w:spacing w:after="120" w:line="240" w:lineRule="auto"/>
      <w:ind w:left="420" w:leftChars="200" w:firstLine="420" w:firstLineChars="200"/>
    </w:pPr>
    <w:rPr>
      <w:rFonts w:ascii="Times New Roman" w:hAnsi="Times New Roman"/>
      <w:spacing w:val="0"/>
      <w:sz w:val="21"/>
    </w:rPr>
  </w:style>
  <w:style w:type="character" w:styleId="17">
    <w:name w:val="annotation reference"/>
    <w:qFormat/>
    <w:uiPriority w:val="99"/>
    <w:rPr>
      <w:sz w:val="21"/>
      <w:szCs w:val="21"/>
    </w:rPr>
  </w:style>
  <w:style w:type="paragraph" w:customStyle="1" w:styleId="18">
    <w:name w:val="可研标题"/>
    <w:basedOn w:val="13"/>
    <w:qFormat/>
    <w:uiPriority w:val="0"/>
    <w:pPr>
      <w:spacing w:line="360" w:lineRule="auto"/>
    </w:pPr>
    <w:rPr>
      <w:rFonts w:ascii="微软雅黑" w:hAnsi="微软雅黑" w:eastAsia="微软雅黑"/>
      <w:b w:val="0"/>
      <w:sz w:val="52"/>
      <w:szCs w:val="52"/>
    </w:rPr>
  </w:style>
  <w:style w:type="paragraph" w:customStyle="1" w:styleId="19">
    <w:name w:val="大纲3"/>
    <w:next w:val="1"/>
    <w:qFormat/>
    <w:uiPriority w:val="0"/>
    <w:pPr>
      <w:numPr>
        <w:ilvl w:val="2"/>
        <w:numId w:val="2"/>
      </w:numPr>
      <w:spacing w:line="360" w:lineRule="auto"/>
      <w:outlineLvl w:val="2"/>
    </w:pPr>
    <w:rPr>
      <w:rFonts w:ascii="宋体" w:hAnsi="宋体" w:eastAsia="宋体" w:cs="Times New Roman"/>
      <w:b/>
      <w:kern w:val="2"/>
      <w:sz w:val="30"/>
      <w:szCs w:val="28"/>
      <w:lang w:val="en-US" w:eastAsia="zh-CN" w:bidi="ar-SA"/>
    </w:rPr>
  </w:style>
  <w:style w:type="paragraph" w:customStyle="1" w:styleId="20">
    <w:name w:val="正文＋小四＋缩进2字符"/>
    <w:basedOn w:val="1"/>
    <w:qFormat/>
    <w:uiPriority w:val="0"/>
    <w:pPr>
      <w:spacing w:line="360" w:lineRule="auto"/>
      <w:ind w:firstLine="200" w:firstLineChars="200"/>
    </w:pPr>
  </w:style>
  <w:style w:type="paragraph" w:styleId="21">
    <w:name w:val="List Paragraph"/>
    <w:basedOn w:val="1"/>
    <w:qFormat/>
    <w:uiPriority w:val="34"/>
    <w:pPr>
      <w:ind w:firstLine="420" w:firstLineChars="200"/>
    </w:pPr>
  </w:style>
  <w:style w:type="character" w:customStyle="1" w:styleId="22">
    <w:name w:val="页眉 字符"/>
    <w:basedOn w:val="16"/>
    <w:link w:val="11"/>
    <w:qFormat/>
    <w:uiPriority w:val="0"/>
    <w:rPr>
      <w:rFonts w:ascii="宋体" w:hAnsi="宋体" w:cs="宋体"/>
      <w:sz w:val="18"/>
      <w:szCs w:val="18"/>
    </w:rPr>
  </w:style>
  <w:style w:type="character" w:customStyle="1" w:styleId="23">
    <w:name w:val="页脚 字符"/>
    <w:basedOn w:val="16"/>
    <w:link w:val="10"/>
    <w:qFormat/>
    <w:uiPriority w:val="0"/>
    <w:rPr>
      <w:rFonts w:ascii="宋体" w:hAnsi="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10963</Words>
  <Characters>11093</Characters>
  <Lines>76</Lines>
  <Paragraphs>21</Paragraphs>
  <TotalTime>3</TotalTime>
  <ScaleCrop>false</ScaleCrop>
  <LinksUpToDate>false</LinksUpToDate>
  <CharactersWithSpaces>11122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2025-04-02T02:26:00Z</dcterms:created>
  <dc:creator>张大鹏</dc:creator>
  <cp:lastModifiedBy>李瑶</cp:lastModifiedBy>
  <dcterms:modified xsi:type="dcterms:W3CDTF">2025-05-13T02:31:15Z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AED35E634A254468880C96F8C2EE03A1_13</vt:lpwstr>
  </property>
  <property fmtid="{D5CDD505-2E9C-101B-9397-08002B2CF9AE}" pid="4" name="KSOTemplateDocerSaveRecord">
    <vt:lpwstr>eyJoZGlkIjoiOWMyYmM4ZmNhMzBmODM0ZWNlNjVjNzdiZGZmOTM2YmQiLCJ1c2VySWQiOiIxNjQ0MDgyNjc3In0=</vt:lpwstr>
  </property>
</Properties>
</file>