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04108">
      <w:pPr>
        <w:jc w:val="center"/>
        <w:rPr>
          <w:rFonts w:ascii="黑体" w:hAnsi="黑体" w:eastAsia="黑体" w:cs="黑体"/>
          <w:b/>
          <w:bCs/>
        </w:rPr>
      </w:pPr>
      <w:bookmarkStart w:id="0" w:name="_Toc88239734"/>
      <w:bookmarkStart w:id="1" w:name="_Toc88171649"/>
      <w:r>
        <w:rPr>
          <w:rFonts w:hint="eastAsia" w:ascii="黑体" w:hAnsi="黑体" w:eastAsia="黑体" w:cs="黑体"/>
          <w:b/>
          <w:bCs/>
        </w:rPr>
        <w:t>市级医院成本运营分析评价与促进子系统建设项目</w:t>
      </w:r>
    </w:p>
    <w:p w14:paraId="16458A57">
      <w:pPr>
        <w:jc w:val="center"/>
        <w:rPr>
          <w:rFonts w:ascii="黑体" w:hAnsi="黑体" w:eastAsia="黑体" w:cs="黑体"/>
          <w:b/>
          <w:bCs/>
        </w:rPr>
      </w:pPr>
      <w:r>
        <w:rPr>
          <w:rFonts w:hint="eastAsia" w:ascii="黑体" w:hAnsi="黑体" w:eastAsia="黑体" w:cs="黑体"/>
          <w:b/>
          <w:bCs/>
        </w:rPr>
        <w:t>用户需求书</w:t>
      </w:r>
      <w:bookmarkEnd w:id="0"/>
      <w:bookmarkEnd w:id="1"/>
    </w:p>
    <w:p w14:paraId="0EC8673B">
      <w:pPr>
        <w:pStyle w:val="2"/>
        <w:rPr>
          <w:sz w:val="21"/>
          <w:szCs w:val="21"/>
        </w:rPr>
      </w:pPr>
      <w:r>
        <w:rPr>
          <w:rFonts w:hint="eastAsia"/>
          <w:sz w:val="21"/>
          <w:szCs w:val="21"/>
        </w:rPr>
        <w:t>项目背景介绍</w:t>
      </w:r>
    </w:p>
    <w:p w14:paraId="37E4FA02">
      <w:pPr>
        <w:pStyle w:val="6"/>
        <w:rPr>
          <w:b w:val="0"/>
          <w:bCs w:val="0"/>
          <w:sz w:val="21"/>
          <w:szCs w:val="21"/>
        </w:rPr>
      </w:pPr>
      <w:r>
        <w:rPr>
          <w:rFonts w:hint="eastAsia"/>
          <w:sz w:val="21"/>
          <w:szCs w:val="21"/>
        </w:rPr>
        <w:t>项目名称：</w:t>
      </w:r>
      <w:bookmarkStart w:id="2" w:name="OLE_LINK1"/>
      <w:r>
        <w:rPr>
          <w:rFonts w:hint="eastAsia"/>
          <w:b w:val="0"/>
          <w:bCs w:val="0"/>
          <w:sz w:val="21"/>
          <w:szCs w:val="21"/>
        </w:rPr>
        <w:t>市级医院成本运营分析评价与促进子系统建设项目</w:t>
      </w:r>
      <w:bookmarkEnd w:id="2"/>
    </w:p>
    <w:p w14:paraId="3CD2C7D9">
      <w:pPr>
        <w:pStyle w:val="6"/>
        <w:rPr>
          <w:b w:val="0"/>
          <w:bCs w:val="0"/>
          <w:sz w:val="21"/>
          <w:szCs w:val="21"/>
        </w:rPr>
      </w:pPr>
      <w:r>
        <w:rPr>
          <w:rFonts w:hint="eastAsia"/>
          <w:sz w:val="21"/>
          <w:szCs w:val="21"/>
        </w:rPr>
        <w:t>项目地点：</w:t>
      </w:r>
      <w:r>
        <w:rPr>
          <w:rFonts w:hint="eastAsia"/>
          <w:b w:val="0"/>
          <w:bCs w:val="0"/>
          <w:sz w:val="21"/>
          <w:szCs w:val="21"/>
        </w:rPr>
        <w:t>上海申康医院发展中心（康定路2号）</w:t>
      </w:r>
    </w:p>
    <w:p w14:paraId="6B2F473A">
      <w:pPr>
        <w:pStyle w:val="6"/>
        <w:rPr>
          <w:sz w:val="21"/>
          <w:szCs w:val="21"/>
        </w:rPr>
      </w:pPr>
      <w:r>
        <w:rPr>
          <w:rFonts w:hint="eastAsia"/>
          <w:sz w:val="21"/>
          <w:szCs w:val="21"/>
        </w:rPr>
        <w:t>总体背景</w:t>
      </w:r>
    </w:p>
    <w:p w14:paraId="19C5C465">
      <w:pPr>
        <w:pStyle w:val="4"/>
        <w:ind w:firstLine="420"/>
        <w:rPr>
          <w:rFonts w:ascii="宋体" w:hAnsi="宋体"/>
          <w:sz w:val="21"/>
        </w:rPr>
      </w:pPr>
      <w:r>
        <w:rPr>
          <w:rFonts w:hint="eastAsia"/>
          <w:sz w:val="21"/>
        </w:rPr>
        <w:t>根据国家卫健委《关于加强公立医院运营管理的指导意见》《公立医院成本核算规范》等文件精神，以市级医院成本和财务运营精细化管理为目标，</w:t>
      </w:r>
      <w:r>
        <w:rPr>
          <w:rFonts w:hint="eastAsia"/>
          <w:sz w:val="21"/>
          <w:lang w:val="en-US" w:eastAsia="zh-CN"/>
        </w:rPr>
        <w:t>开展</w:t>
      </w:r>
      <w:r>
        <w:rPr>
          <w:rFonts w:hint="eastAsia"/>
          <w:sz w:val="21"/>
        </w:rPr>
        <w:t>市级医院成本运营分析评价与促进子系统建设项目建设。</w:t>
      </w:r>
    </w:p>
    <w:p w14:paraId="6FD735A6">
      <w:pPr>
        <w:pStyle w:val="6"/>
        <w:rPr>
          <w:sz w:val="21"/>
          <w:szCs w:val="21"/>
        </w:rPr>
      </w:pPr>
      <w:r>
        <w:rPr>
          <w:rFonts w:hint="eastAsia"/>
          <w:sz w:val="21"/>
          <w:szCs w:val="21"/>
        </w:rPr>
        <w:t>项目介绍</w:t>
      </w:r>
    </w:p>
    <w:p w14:paraId="75C42B60">
      <w:pPr>
        <w:pStyle w:val="4"/>
        <w:ind w:firstLine="420"/>
        <w:rPr>
          <w:rFonts w:ascii="宋体" w:hAnsi="宋体"/>
          <w:sz w:val="21"/>
        </w:rPr>
      </w:pPr>
      <w:r>
        <w:rPr>
          <w:rFonts w:hint="eastAsia"/>
          <w:sz w:val="21"/>
        </w:rPr>
        <w:t>本项目围绕成本专项管理和业务动态分析两方面，基于医联平台，开展市级医院成本管控数据主题库、成本分析与评价、成本运营数据标准化管理等系统功能模块建设，支撑对市级医院财务运营状况整体化、可视化分析，科学评价医院成本管控情况，提升运营管理水平，推动市级医院高质量可持续发展。</w:t>
      </w:r>
    </w:p>
    <w:p w14:paraId="3810790F">
      <w:pPr>
        <w:pStyle w:val="2"/>
        <w:rPr>
          <w:sz w:val="21"/>
          <w:szCs w:val="21"/>
        </w:rPr>
      </w:pPr>
      <w:r>
        <w:rPr>
          <w:rFonts w:hint="eastAsia"/>
          <w:sz w:val="21"/>
          <w:szCs w:val="21"/>
        </w:rPr>
        <w:t>本次采购内容</w:t>
      </w:r>
    </w:p>
    <w:p w14:paraId="5B50607C">
      <w:pPr>
        <w:pStyle w:val="4"/>
        <w:ind w:firstLine="420"/>
        <w:rPr>
          <w:sz w:val="21"/>
        </w:rPr>
      </w:pPr>
      <w:r>
        <w:rPr>
          <w:rFonts w:hint="eastAsia"/>
          <w:sz w:val="21"/>
        </w:rPr>
        <w:t>本项目在国内范围进行公开采购，本需求是向所有响应供应商公开的需求说明文档资料。</w:t>
      </w:r>
    </w:p>
    <w:p w14:paraId="24054DB4">
      <w:pPr>
        <w:pStyle w:val="4"/>
        <w:ind w:firstLine="420"/>
        <w:rPr>
          <w:sz w:val="21"/>
        </w:rPr>
      </w:pPr>
      <w:r>
        <w:rPr>
          <w:rFonts w:hint="eastAsia"/>
          <w:sz w:val="21"/>
        </w:rPr>
        <w:t>本项目</w:t>
      </w:r>
      <w:r>
        <w:rPr>
          <w:rFonts w:hint="eastAsia" w:ascii="宋体" w:hAnsi="宋体"/>
          <w:sz w:val="21"/>
        </w:rPr>
        <w:t>财政预算为2912500.00</w:t>
      </w:r>
      <w:r>
        <w:rPr>
          <w:rFonts w:ascii="宋体" w:hAnsi="宋体"/>
          <w:sz w:val="21"/>
        </w:rPr>
        <w:t>元人民</w:t>
      </w:r>
      <w:r>
        <w:rPr>
          <w:sz w:val="21"/>
        </w:rPr>
        <w:t>币，超预算的投标文件</w:t>
      </w:r>
      <w:r>
        <w:rPr>
          <w:rFonts w:hint="eastAsia"/>
          <w:sz w:val="21"/>
        </w:rPr>
        <w:t>不予接受</w:t>
      </w:r>
      <w:r>
        <w:rPr>
          <w:sz w:val="21"/>
        </w:rPr>
        <w:t>。</w:t>
      </w:r>
    </w:p>
    <w:p w14:paraId="2D2656AA">
      <w:pPr>
        <w:pStyle w:val="6"/>
        <w:rPr>
          <w:sz w:val="21"/>
          <w:szCs w:val="21"/>
        </w:rPr>
      </w:pPr>
      <w:r>
        <w:rPr>
          <w:rFonts w:hint="eastAsia"/>
          <w:sz w:val="21"/>
          <w:szCs w:val="21"/>
        </w:rPr>
        <w:t>采购内容</w:t>
      </w:r>
    </w:p>
    <w:p w14:paraId="5CBD339B">
      <w:pPr>
        <w:pStyle w:val="81"/>
        <w:adjustRightInd w:val="0"/>
        <w:spacing w:line="360" w:lineRule="auto"/>
        <w:rPr>
          <w:rFonts w:ascii="宋体" w:hAnsi="宋体" w:eastAsia="宋体"/>
          <w:sz w:val="21"/>
          <w:szCs w:val="21"/>
        </w:rPr>
      </w:pPr>
      <w:r>
        <w:rPr>
          <w:rFonts w:hint="eastAsia" w:ascii="宋体" w:hAnsi="宋体" w:eastAsia="宋体"/>
          <w:sz w:val="21"/>
          <w:szCs w:val="21"/>
        </w:rPr>
        <w:t>本次采购的软件系统建设内容具体如下：</w:t>
      </w:r>
    </w:p>
    <w:tbl>
      <w:tblPr>
        <w:tblStyle w:val="34"/>
        <w:tblW w:w="6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413"/>
        <w:gridCol w:w="1291"/>
      </w:tblGrid>
      <w:tr w14:paraId="5FA9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867" w:type="dxa"/>
            <w:vAlign w:val="center"/>
          </w:tcPr>
          <w:p w14:paraId="2E0C8D55">
            <w:pPr>
              <w:adjustRightInd w:val="0"/>
              <w:snapToGrid w:val="0"/>
              <w:spacing w:line="240" w:lineRule="auto"/>
              <w:jc w:val="center"/>
              <w:rPr>
                <w:rFonts w:ascii="宋体" w:hAnsi="宋体" w:eastAsia="宋体"/>
                <w:b/>
                <w:bCs/>
              </w:rPr>
            </w:pPr>
            <w:r>
              <w:rPr>
                <w:rFonts w:hint="eastAsia" w:ascii="宋体" w:hAnsi="宋体" w:eastAsia="宋体"/>
                <w:b/>
                <w:bCs/>
              </w:rPr>
              <w:t>序号</w:t>
            </w:r>
          </w:p>
        </w:tc>
        <w:tc>
          <w:tcPr>
            <w:tcW w:w="4413" w:type="dxa"/>
            <w:vAlign w:val="center"/>
          </w:tcPr>
          <w:p w14:paraId="5A70F4A4">
            <w:pPr>
              <w:adjustRightInd w:val="0"/>
              <w:snapToGrid w:val="0"/>
              <w:spacing w:line="240" w:lineRule="auto"/>
              <w:jc w:val="center"/>
              <w:rPr>
                <w:rFonts w:ascii="宋体" w:hAnsi="宋体" w:eastAsia="宋体"/>
                <w:b/>
                <w:bCs/>
              </w:rPr>
            </w:pPr>
            <w:r>
              <w:rPr>
                <w:rFonts w:hint="eastAsia" w:ascii="宋体" w:hAnsi="宋体" w:eastAsia="宋体"/>
                <w:b/>
                <w:bCs/>
              </w:rPr>
              <w:t>系统</w:t>
            </w:r>
            <w:r>
              <w:rPr>
                <w:rFonts w:ascii="宋体" w:hAnsi="宋体" w:eastAsia="宋体"/>
                <w:b/>
                <w:bCs/>
              </w:rPr>
              <w:t>/模块名称</w:t>
            </w:r>
          </w:p>
        </w:tc>
        <w:tc>
          <w:tcPr>
            <w:tcW w:w="1291" w:type="dxa"/>
            <w:vAlign w:val="center"/>
          </w:tcPr>
          <w:p w14:paraId="6D63A9CD">
            <w:pPr>
              <w:adjustRightInd w:val="0"/>
              <w:snapToGrid w:val="0"/>
              <w:spacing w:line="240" w:lineRule="auto"/>
              <w:jc w:val="center"/>
              <w:rPr>
                <w:rFonts w:ascii="宋体" w:hAnsi="宋体" w:eastAsia="宋体"/>
                <w:b/>
                <w:bCs/>
              </w:rPr>
            </w:pPr>
            <w:r>
              <w:rPr>
                <w:rFonts w:ascii="宋体" w:hAnsi="宋体" w:eastAsia="宋体"/>
                <w:b/>
                <w:bCs/>
              </w:rPr>
              <w:t>数量</w:t>
            </w:r>
          </w:p>
        </w:tc>
      </w:tr>
      <w:tr w14:paraId="3F56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67" w:type="dxa"/>
            <w:vAlign w:val="center"/>
          </w:tcPr>
          <w:p w14:paraId="37967C7C">
            <w:pPr>
              <w:pStyle w:val="80"/>
              <w:widowControl/>
              <w:numPr>
                <w:ilvl w:val="255"/>
                <w:numId w:val="0"/>
              </w:numPr>
              <w:jc w:val="center"/>
              <w:rPr>
                <w:rFonts w:ascii="宋体" w:hAnsi="宋体"/>
                <w:szCs w:val="21"/>
              </w:rPr>
            </w:pPr>
            <w:r>
              <w:rPr>
                <w:rFonts w:ascii="宋体" w:hAnsi="宋体"/>
                <w:szCs w:val="21"/>
              </w:rPr>
              <w:t>1</w:t>
            </w:r>
          </w:p>
        </w:tc>
        <w:tc>
          <w:tcPr>
            <w:tcW w:w="4413" w:type="dxa"/>
            <w:vAlign w:val="center"/>
          </w:tcPr>
          <w:p w14:paraId="0D1D1C27">
            <w:pPr>
              <w:spacing w:line="240" w:lineRule="auto"/>
              <w:rPr>
                <w:rFonts w:ascii="宋体" w:hAnsi="宋体" w:eastAsia="宋体"/>
              </w:rPr>
            </w:pPr>
            <w:r>
              <w:rPr>
                <w:rFonts w:hint="eastAsia" w:ascii="宋体" w:hAnsi="宋体" w:eastAsia="宋体"/>
              </w:rPr>
              <w:t>基于市级医院财务运营数据中心的成本管控数据主题库</w:t>
            </w:r>
          </w:p>
        </w:tc>
        <w:tc>
          <w:tcPr>
            <w:tcW w:w="1291" w:type="dxa"/>
            <w:vAlign w:val="center"/>
          </w:tcPr>
          <w:p w14:paraId="4441D15A">
            <w:pPr>
              <w:adjustRightInd w:val="0"/>
              <w:snapToGrid w:val="0"/>
              <w:jc w:val="center"/>
              <w:rPr>
                <w:rFonts w:ascii="宋体" w:hAnsi="宋体" w:eastAsia="宋体"/>
                <w:bCs/>
              </w:rPr>
            </w:pPr>
            <w:r>
              <w:rPr>
                <w:rFonts w:ascii="宋体" w:hAnsi="宋体" w:eastAsia="宋体"/>
                <w:bCs/>
              </w:rPr>
              <w:t>1</w:t>
            </w:r>
          </w:p>
        </w:tc>
      </w:tr>
      <w:tr w14:paraId="5D93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67" w:type="dxa"/>
            <w:vAlign w:val="center"/>
          </w:tcPr>
          <w:p w14:paraId="4EC5058E">
            <w:pPr>
              <w:pStyle w:val="80"/>
              <w:widowControl/>
              <w:numPr>
                <w:ilvl w:val="255"/>
                <w:numId w:val="0"/>
              </w:numPr>
              <w:jc w:val="center"/>
              <w:rPr>
                <w:rFonts w:ascii="宋体" w:hAnsi="宋体"/>
                <w:szCs w:val="21"/>
              </w:rPr>
            </w:pPr>
            <w:r>
              <w:rPr>
                <w:rFonts w:ascii="宋体" w:hAnsi="宋体"/>
                <w:szCs w:val="21"/>
              </w:rPr>
              <w:t>2</w:t>
            </w:r>
          </w:p>
        </w:tc>
        <w:tc>
          <w:tcPr>
            <w:tcW w:w="4413" w:type="dxa"/>
            <w:vAlign w:val="center"/>
          </w:tcPr>
          <w:p w14:paraId="79DC561D">
            <w:pPr>
              <w:spacing w:line="240" w:lineRule="auto"/>
              <w:rPr>
                <w:rFonts w:ascii="宋体" w:hAnsi="宋体" w:eastAsia="宋体"/>
              </w:rPr>
            </w:pPr>
            <w:r>
              <w:rPr>
                <w:rFonts w:hint="eastAsia" w:ascii="宋体" w:hAnsi="宋体" w:eastAsia="宋体"/>
              </w:rPr>
              <w:t>市级医院成本分析与评价系统</w:t>
            </w:r>
          </w:p>
        </w:tc>
        <w:tc>
          <w:tcPr>
            <w:tcW w:w="1291" w:type="dxa"/>
            <w:vAlign w:val="center"/>
          </w:tcPr>
          <w:p w14:paraId="1EE5DFD6">
            <w:pPr>
              <w:adjustRightInd w:val="0"/>
              <w:snapToGrid w:val="0"/>
              <w:jc w:val="center"/>
              <w:rPr>
                <w:rFonts w:ascii="宋体" w:hAnsi="宋体" w:eastAsia="宋体"/>
                <w:bCs/>
              </w:rPr>
            </w:pPr>
            <w:r>
              <w:rPr>
                <w:rFonts w:ascii="宋体" w:hAnsi="宋体" w:eastAsia="宋体"/>
                <w:bCs/>
              </w:rPr>
              <w:t>1</w:t>
            </w:r>
          </w:p>
        </w:tc>
      </w:tr>
      <w:tr w14:paraId="384C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67" w:type="dxa"/>
            <w:vAlign w:val="center"/>
          </w:tcPr>
          <w:p w14:paraId="3A89F07C">
            <w:pPr>
              <w:pStyle w:val="80"/>
              <w:widowControl/>
              <w:numPr>
                <w:ilvl w:val="255"/>
                <w:numId w:val="0"/>
              </w:numPr>
              <w:jc w:val="center"/>
              <w:rPr>
                <w:rFonts w:ascii="宋体" w:hAnsi="宋体"/>
                <w:szCs w:val="21"/>
              </w:rPr>
            </w:pPr>
            <w:r>
              <w:rPr>
                <w:rFonts w:ascii="宋体" w:hAnsi="宋体"/>
                <w:szCs w:val="21"/>
              </w:rPr>
              <w:t>3</w:t>
            </w:r>
          </w:p>
        </w:tc>
        <w:tc>
          <w:tcPr>
            <w:tcW w:w="4413" w:type="dxa"/>
            <w:vAlign w:val="center"/>
          </w:tcPr>
          <w:p w14:paraId="28693E76">
            <w:pPr>
              <w:spacing w:line="240" w:lineRule="auto"/>
              <w:rPr>
                <w:rFonts w:ascii="宋体" w:hAnsi="宋体" w:eastAsia="宋体"/>
              </w:rPr>
            </w:pPr>
            <w:r>
              <w:rPr>
                <w:rFonts w:hint="eastAsia" w:ascii="宋体" w:hAnsi="宋体" w:eastAsia="宋体"/>
              </w:rPr>
              <w:t>成本运营数据标准化管理系统</w:t>
            </w:r>
          </w:p>
        </w:tc>
        <w:tc>
          <w:tcPr>
            <w:tcW w:w="1291" w:type="dxa"/>
            <w:vAlign w:val="center"/>
          </w:tcPr>
          <w:p w14:paraId="30972210">
            <w:pPr>
              <w:adjustRightInd w:val="0"/>
              <w:snapToGrid w:val="0"/>
              <w:jc w:val="center"/>
              <w:rPr>
                <w:rFonts w:ascii="宋体" w:hAnsi="宋体" w:eastAsia="宋体"/>
                <w:bCs/>
              </w:rPr>
            </w:pPr>
            <w:r>
              <w:rPr>
                <w:rFonts w:ascii="宋体" w:hAnsi="宋体" w:eastAsia="宋体"/>
                <w:bCs/>
              </w:rPr>
              <w:t>1</w:t>
            </w:r>
          </w:p>
        </w:tc>
      </w:tr>
      <w:tr w14:paraId="7953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67" w:type="dxa"/>
            <w:vAlign w:val="center"/>
          </w:tcPr>
          <w:p w14:paraId="08441B3C">
            <w:pPr>
              <w:pStyle w:val="80"/>
              <w:widowControl/>
              <w:numPr>
                <w:ilvl w:val="255"/>
                <w:numId w:val="0"/>
              </w:numPr>
              <w:jc w:val="center"/>
              <w:rPr>
                <w:rFonts w:ascii="宋体" w:hAnsi="宋体"/>
                <w:szCs w:val="21"/>
              </w:rPr>
            </w:pPr>
            <w:r>
              <w:rPr>
                <w:rFonts w:hint="eastAsia" w:ascii="宋体" w:hAnsi="宋体"/>
                <w:szCs w:val="21"/>
              </w:rPr>
              <w:t>4</w:t>
            </w:r>
          </w:p>
        </w:tc>
        <w:tc>
          <w:tcPr>
            <w:tcW w:w="4413" w:type="dxa"/>
            <w:vAlign w:val="center"/>
          </w:tcPr>
          <w:p w14:paraId="746FF62D">
            <w:pPr>
              <w:spacing w:line="240" w:lineRule="auto"/>
              <w:rPr>
                <w:rFonts w:ascii="宋体" w:hAnsi="宋体" w:eastAsia="宋体"/>
              </w:rPr>
            </w:pPr>
            <w:r>
              <w:rPr>
                <w:rFonts w:hint="eastAsia" w:ascii="宋体" w:hAnsi="宋体" w:eastAsia="宋体"/>
              </w:rPr>
              <w:t>密码应用功能</w:t>
            </w:r>
          </w:p>
        </w:tc>
        <w:tc>
          <w:tcPr>
            <w:tcW w:w="1291" w:type="dxa"/>
            <w:vAlign w:val="center"/>
          </w:tcPr>
          <w:p w14:paraId="040C3767">
            <w:pPr>
              <w:adjustRightInd w:val="0"/>
              <w:snapToGrid w:val="0"/>
              <w:jc w:val="center"/>
              <w:rPr>
                <w:rFonts w:ascii="宋体" w:hAnsi="宋体" w:eastAsia="宋体"/>
                <w:bCs/>
              </w:rPr>
            </w:pPr>
            <w:r>
              <w:rPr>
                <w:rFonts w:hint="eastAsia" w:ascii="宋体" w:hAnsi="宋体" w:eastAsia="宋体"/>
                <w:bCs/>
              </w:rPr>
              <w:t>1</w:t>
            </w:r>
          </w:p>
        </w:tc>
      </w:tr>
    </w:tbl>
    <w:p w14:paraId="7C242830">
      <w:pPr>
        <w:pStyle w:val="4"/>
        <w:ind w:firstLine="420"/>
        <w:rPr>
          <w:strike/>
          <w:sz w:val="21"/>
        </w:rPr>
      </w:pPr>
    </w:p>
    <w:p w14:paraId="4B5B0BD4">
      <w:pPr>
        <w:pStyle w:val="4"/>
        <w:ind w:firstLine="420"/>
        <w:rPr>
          <w:strike/>
          <w:sz w:val="21"/>
        </w:rPr>
      </w:pPr>
    </w:p>
    <w:p w14:paraId="29E4F3B8">
      <w:pPr>
        <w:pStyle w:val="4"/>
        <w:ind w:firstLine="420"/>
        <w:rPr>
          <w:strike/>
          <w:sz w:val="21"/>
        </w:rPr>
      </w:pPr>
    </w:p>
    <w:p w14:paraId="6E47E485">
      <w:pPr>
        <w:pStyle w:val="4"/>
        <w:ind w:firstLine="420"/>
        <w:rPr>
          <w:sz w:val="21"/>
        </w:rPr>
      </w:pPr>
      <w:r>
        <w:rPr>
          <w:rFonts w:hint="eastAsia"/>
          <w:sz w:val="21"/>
        </w:rPr>
        <w:t>本次已申请的市政务云资源内容具体如下：</w:t>
      </w:r>
    </w:p>
    <w:tbl>
      <w:tblPr>
        <w:tblStyle w:val="34"/>
        <w:tblW w:w="8831"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448"/>
        <w:gridCol w:w="1912"/>
        <w:gridCol w:w="1888"/>
        <w:gridCol w:w="1648"/>
      </w:tblGrid>
      <w:tr w14:paraId="437D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35" w:type="dxa"/>
            <w:vAlign w:val="center"/>
          </w:tcPr>
          <w:p w14:paraId="659D92DC">
            <w:pPr>
              <w:spacing w:line="240" w:lineRule="auto"/>
              <w:jc w:val="center"/>
              <w:rPr>
                <w:rFonts w:ascii="宋体" w:hAnsi="宋体" w:eastAsia="宋体"/>
                <w:b/>
                <w:bCs/>
              </w:rPr>
            </w:pPr>
            <w:r>
              <w:rPr>
                <w:rFonts w:hint="eastAsia" w:ascii="宋体" w:hAnsi="宋体" w:eastAsia="宋体"/>
                <w:b/>
                <w:bCs/>
              </w:rPr>
              <w:t>机型</w:t>
            </w:r>
          </w:p>
        </w:tc>
        <w:tc>
          <w:tcPr>
            <w:tcW w:w="1448" w:type="dxa"/>
            <w:vAlign w:val="center"/>
          </w:tcPr>
          <w:p w14:paraId="2707417F">
            <w:pPr>
              <w:spacing w:line="240" w:lineRule="auto"/>
              <w:jc w:val="center"/>
              <w:rPr>
                <w:rFonts w:ascii="宋体" w:hAnsi="宋体" w:eastAsia="宋体"/>
                <w:b/>
                <w:bCs/>
              </w:rPr>
            </w:pPr>
            <w:r>
              <w:rPr>
                <w:rFonts w:hint="eastAsia" w:ascii="宋体" w:hAnsi="宋体" w:eastAsia="宋体"/>
                <w:b/>
                <w:bCs/>
              </w:rPr>
              <w:t>CPU信息</w:t>
            </w:r>
          </w:p>
        </w:tc>
        <w:tc>
          <w:tcPr>
            <w:tcW w:w="1912" w:type="dxa"/>
            <w:vAlign w:val="center"/>
          </w:tcPr>
          <w:p w14:paraId="0AC3CF70">
            <w:pPr>
              <w:spacing w:line="240" w:lineRule="auto"/>
              <w:jc w:val="center"/>
              <w:rPr>
                <w:rFonts w:ascii="宋体" w:hAnsi="宋体" w:eastAsia="宋体"/>
                <w:b/>
                <w:bCs/>
              </w:rPr>
            </w:pPr>
            <w:r>
              <w:rPr>
                <w:rFonts w:hint="eastAsia" w:ascii="宋体" w:hAnsi="宋体" w:eastAsia="宋体"/>
                <w:b/>
                <w:bCs/>
              </w:rPr>
              <w:t>内存</w:t>
            </w:r>
          </w:p>
        </w:tc>
        <w:tc>
          <w:tcPr>
            <w:tcW w:w="1888" w:type="dxa"/>
            <w:vAlign w:val="center"/>
          </w:tcPr>
          <w:p w14:paraId="7CE64906">
            <w:pPr>
              <w:spacing w:line="240" w:lineRule="auto"/>
              <w:jc w:val="center"/>
              <w:rPr>
                <w:rFonts w:ascii="宋体" w:hAnsi="宋体" w:eastAsia="宋体"/>
                <w:b/>
                <w:bCs/>
              </w:rPr>
            </w:pPr>
            <w:r>
              <w:rPr>
                <w:rFonts w:hint="eastAsia" w:ascii="宋体" w:hAnsi="宋体" w:eastAsia="宋体"/>
                <w:b/>
                <w:bCs/>
                <w:lang w:val="en-US" w:eastAsia="zh-CN"/>
              </w:rPr>
              <w:t>存储</w:t>
            </w:r>
          </w:p>
        </w:tc>
        <w:tc>
          <w:tcPr>
            <w:tcW w:w="1648" w:type="dxa"/>
            <w:vAlign w:val="center"/>
          </w:tcPr>
          <w:p w14:paraId="372960C3">
            <w:pPr>
              <w:spacing w:line="240" w:lineRule="auto"/>
              <w:jc w:val="center"/>
              <w:rPr>
                <w:rFonts w:hint="eastAsia" w:ascii="宋体" w:hAnsi="宋体" w:eastAsia="宋体"/>
                <w:b/>
                <w:bCs/>
                <w:lang w:val="en-US" w:eastAsia="zh-CN"/>
              </w:rPr>
            </w:pPr>
            <w:r>
              <w:rPr>
                <w:rFonts w:hint="eastAsia" w:ascii="宋体" w:hAnsi="宋体" w:eastAsia="宋体"/>
                <w:b/>
                <w:bCs/>
                <w:lang w:val="en-US" w:eastAsia="zh-CN"/>
              </w:rPr>
              <w:t>数量（台）</w:t>
            </w:r>
          </w:p>
        </w:tc>
      </w:tr>
      <w:tr w14:paraId="7440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35" w:type="dxa"/>
            <w:vAlign w:val="center"/>
          </w:tcPr>
          <w:p w14:paraId="361857BC">
            <w:pPr>
              <w:spacing w:line="240" w:lineRule="auto"/>
              <w:jc w:val="center"/>
              <w:rPr>
                <w:rFonts w:ascii="宋体" w:hAnsi="宋体" w:eastAsia="宋体"/>
              </w:rPr>
            </w:pPr>
            <w:r>
              <w:rPr>
                <w:rFonts w:hint="eastAsia" w:ascii="宋体" w:hAnsi="宋体" w:eastAsia="宋体"/>
              </w:rPr>
              <w:t>数据库服务器</w:t>
            </w:r>
          </w:p>
        </w:tc>
        <w:tc>
          <w:tcPr>
            <w:tcW w:w="1448" w:type="dxa"/>
            <w:vAlign w:val="center"/>
          </w:tcPr>
          <w:p w14:paraId="3EDF9E47">
            <w:pPr>
              <w:spacing w:line="240" w:lineRule="auto"/>
              <w:jc w:val="center"/>
              <w:rPr>
                <w:rFonts w:ascii="宋体" w:hAnsi="宋体" w:eastAsia="宋体"/>
              </w:rPr>
            </w:pPr>
            <w:r>
              <w:rPr>
                <w:rFonts w:hint="eastAsia" w:ascii="宋体" w:hAnsi="宋体" w:eastAsia="宋体"/>
              </w:rPr>
              <w:t>16核</w:t>
            </w:r>
          </w:p>
        </w:tc>
        <w:tc>
          <w:tcPr>
            <w:tcW w:w="1912" w:type="dxa"/>
            <w:vAlign w:val="center"/>
          </w:tcPr>
          <w:p w14:paraId="055E7C2A">
            <w:pPr>
              <w:spacing w:line="240" w:lineRule="auto"/>
              <w:jc w:val="center"/>
              <w:rPr>
                <w:rFonts w:ascii="宋体" w:hAnsi="宋体" w:eastAsia="宋体"/>
              </w:rPr>
            </w:pPr>
            <w:r>
              <w:rPr>
                <w:rFonts w:hint="eastAsia" w:ascii="宋体" w:hAnsi="宋体" w:eastAsia="宋体"/>
              </w:rPr>
              <w:t>32G</w:t>
            </w:r>
          </w:p>
        </w:tc>
        <w:tc>
          <w:tcPr>
            <w:tcW w:w="1888" w:type="dxa"/>
            <w:vAlign w:val="center"/>
          </w:tcPr>
          <w:p w14:paraId="0BED9916">
            <w:pPr>
              <w:spacing w:line="240" w:lineRule="auto"/>
              <w:jc w:val="center"/>
              <w:rPr>
                <w:rFonts w:ascii="宋体" w:hAnsi="宋体" w:eastAsia="宋体"/>
              </w:rPr>
            </w:pPr>
            <w:r>
              <w:rPr>
                <w:rFonts w:hint="eastAsia" w:ascii="宋体" w:hAnsi="宋体" w:eastAsia="宋体"/>
              </w:rPr>
              <w:t>100G+2T</w:t>
            </w:r>
          </w:p>
        </w:tc>
        <w:tc>
          <w:tcPr>
            <w:tcW w:w="1648" w:type="dxa"/>
            <w:vAlign w:val="center"/>
          </w:tcPr>
          <w:p w14:paraId="4A94647B">
            <w:pPr>
              <w:spacing w:line="240" w:lineRule="auto"/>
              <w:jc w:val="center"/>
              <w:rPr>
                <w:rFonts w:hint="eastAsia" w:ascii="宋体" w:hAnsi="宋体" w:eastAsia="宋体"/>
                <w:lang w:val="en-US" w:eastAsia="zh-CN"/>
              </w:rPr>
            </w:pPr>
            <w:r>
              <w:rPr>
                <w:rFonts w:hint="eastAsia" w:ascii="宋体" w:hAnsi="宋体" w:eastAsia="宋体"/>
                <w:lang w:val="en-US" w:eastAsia="zh-CN"/>
              </w:rPr>
              <w:t>2</w:t>
            </w:r>
          </w:p>
        </w:tc>
      </w:tr>
      <w:tr w14:paraId="2F27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35" w:type="dxa"/>
            <w:vAlign w:val="center"/>
          </w:tcPr>
          <w:p w14:paraId="00B60FC0">
            <w:pPr>
              <w:spacing w:line="240" w:lineRule="auto"/>
              <w:jc w:val="center"/>
              <w:rPr>
                <w:rFonts w:ascii="宋体" w:hAnsi="宋体" w:eastAsia="宋体"/>
              </w:rPr>
            </w:pPr>
            <w:r>
              <w:rPr>
                <w:rFonts w:hint="eastAsia" w:ascii="宋体" w:hAnsi="宋体" w:eastAsia="宋体"/>
              </w:rPr>
              <w:t>业务应用服务器</w:t>
            </w:r>
          </w:p>
        </w:tc>
        <w:tc>
          <w:tcPr>
            <w:tcW w:w="1448" w:type="dxa"/>
            <w:vAlign w:val="center"/>
          </w:tcPr>
          <w:p w14:paraId="0FB8AB17">
            <w:pPr>
              <w:spacing w:line="240" w:lineRule="auto"/>
              <w:jc w:val="center"/>
              <w:rPr>
                <w:rFonts w:ascii="宋体" w:hAnsi="宋体" w:eastAsia="宋体"/>
              </w:rPr>
            </w:pPr>
            <w:r>
              <w:rPr>
                <w:rFonts w:hint="eastAsia" w:ascii="宋体" w:hAnsi="宋体" w:eastAsia="宋体"/>
              </w:rPr>
              <w:t>16核</w:t>
            </w:r>
          </w:p>
        </w:tc>
        <w:tc>
          <w:tcPr>
            <w:tcW w:w="1912" w:type="dxa"/>
            <w:vAlign w:val="center"/>
          </w:tcPr>
          <w:p w14:paraId="4CB7B590">
            <w:pPr>
              <w:spacing w:line="240" w:lineRule="auto"/>
              <w:jc w:val="center"/>
              <w:rPr>
                <w:rFonts w:ascii="宋体" w:hAnsi="宋体" w:eastAsia="宋体"/>
              </w:rPr>
            </w:pPr>
            <w:r>
              <w:rPr>
                <w:rFonts w:hint="eastAsia" w:ascii="宋体" w:hAnsi="宋体" w:eastAsia="宋体"/>
              </w:rPr>
              <w:t>32G</w:t>
            </w:r>
          </w:p>
        </w:tc>
        <w:tc>
          <w:tcPr>
            <w:tcW w:w="1888" w:type="dxa"/>
            <w:vAlign w:val="center"/>
          </w:tcPr>
          <w:p w14:paraId="737D0B0B">
            <w:pPr>
              <w:spacing w:line="240" w:lineRule="auto"/>
              <w:jc w:val="center"/>
              <w:rPr>
                <w:rFonts w:ascii="宋体" w:hAnsi="宋体" w:eastAsia="宋体"/>
              </w:rPr>
            </w:pPr>
            <w:r>
              <w:rPr>
                <w:rFonts w:hint="eastAsia" w:ascii="宋体" w:hAnsi="宋体" w:eastAsia="宋体"/>
              </w:rPr>
              <w:t>100G+1T</w:t>
            </w:r>
          </w:p>
        </w:tc>
        <w:tc>
          <w:tcPr>
            <w:tcW w:w="1648" w:type="dxa"/>
            <w:vAlign w:val="center"/>
          </w:tcPr>
          <w:p w14:paraId="48E7F3CE">
            <w:pPr>
              <w:spacing w:line="240" w:lineRule="auto"/>
              <w:jc w:val="center"/>
              <w:rPr>
                <w:rFonts w:hint="eastAsia" w:ascii="宋体" w:hAnsi="宋体" w:eastAsia="宋体"/>
                <w:lang w:val="en-US" w:eastAsia="zh-CN"/>
              </w:rPr>
            </w:pPr>
            <w:r>
              <w:rPr>
                <w:rFonts w:hint="eastAsia" w:ascii="宋体" w:hAnsi="宋体" w:eastAsia="宋体"/>
                <w:lang w:val="en-US" w:eastAsia="zh-CN"/>
              </w:rPr>
              <w:t>2</w:t>
            </w:r>
          </w:p>
        </w:tc>
      </w:tr>
      <w:tr w14:paraId="54CD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35" w:type="dxa"/>
            <w:vAlign w:val="center"/>
          </w:tcPr>
          <w:p w14:paraId="19F26E53">
            <w:pPr>
              <w:spacing w:line="240" w:lineRule="auto"/>
              <w:jc w:val="center"/>
              <w:rPr>
                <w:rFonts w:ascii="宋体" w:hAnsi="宋体" w:eastAsia="宋体"/>
              </w:rPr>
            </w:pPr>
            <w:r>
              <w:rPr>
                <w:rFonts w:hint="eastAsia" w:ascii="宋体" w:hAnsi="宋体" w:eastAsia="宋体"/>
              </w:rPr>
              <w:t>业务应用服务器</w:t>
            </w:r>
          </w:p>
        </w:tc>
        <w:tc>
          <w:tcPr>
            <w:tcW w:w="1448" w:type="dxa"/>
            <w:vAlign w:val="center"/>
          </w:tcPr>
          <w:p w14:paraId="102D2CEE">
            <w:pPr>
              <w:spacing w:line="240" w:lineRule="auto"/>
              <w:jc w:val="center"/>
              <w:rPr>
                <w:rFonts w:ascii="宋体" w:hAnsi="宋体" w:eastAsia="宋体"/>
              </w:rPr>
            </w:pPr>
            <w:r>
              <w:rPr>
                <w:rFonts w:hint="eastAsia" w:ascii="宋体" w:hAnsi="宋体" w:eastAsia="宋体"/>
              </w:rPr>
              <w:t>8核</w:t>
            </w:r>
          </w:p>
        </w:tc>
        <w:tc>
          <w:tcPr>
            <w:tcW w:w="1912" w:type="dxa"/>
            <w:vAlign w:val="center"/>
          </w:tcPr>
          <w:p w14:paraId="0E201C6F">
            <w:pPr>
              <w:spacing w:line="240" w:lineRule="auto"/>
              <w:jc w:val="center"/>
              <w:rPr>
                <w:rFonts w:ascii="宋体" w:hAnsi="宋体" w:eastAsia="宋体"/>
              </w:rPr>
            </w:pPr>
            <w:r>
              <w:rPr>
                <w:rFonts w:hint="eastAsia" w:ascii="宋体" w:hAnsi="宋体" w:eastAsia="宋体"/>
              </w:rPr>
              <w:t>16G</w:t>
            </w:r>
          </w:p>
        </w:tc>
        <w:tc>
          <w:tcPr>
            <w:tcW w:w="1888" w:type="dxa"/>
            <w:vAlign w:val="center"/>
          </w:tcPr>
          <w:p w14:paraId="3EA32082">
            <w:pPr>
              <w:spacing w:line="240" w:lineRule="auto"/>
              <w:jc w:val="center"/>
              <w:rPr>
                <w:rFonts w:ascii="宋体" w:hAnsi="宋体" w:eastAsia="宋体"/>
              </w:rPr>
            </w:pPr>
            <w:r>
              <w:rPr>
                <w:rFonts w:hint="eastAsia" w:ascii="宋体" w:hAnsi="宋体" w:eastAsia="宋体"/>
              </w:rPr>
              <w:t>100G+1T</w:t>
            </w:r>
          </w:p>
        </w:tc>
        <w:tc>
          <w:tcPr>
            <w:tcW w:w="1648" w:type="dxa"/>
            <w:vAlign w:val="center"/>
          </w:tcPr>
          <w:p w14:paraId="5A35E2EF">
            <w:pPr>
              <w:spacing w:line="240" w:lineRule="auto"/>
              <w:jc w:val="center"/>
              <w:rPr>
                <w:rFonts w:hint="eastAsia" w:ascii="宋体" w:hAnsi="宋体" w:eastAsia="宋体"/>
                <w:lang w:val="en-US" w:eastAsia="zh-CN"/>
              </w:rPr>
            </w:pPr>
            <w:r>
              <w:rPr>
                <w:rFonts w:hint="eastAsia" w:ascii="宋体" w:hAnsi="宋体" w:eastAsia="宋体"/>
                <w:lang w:val="en-US" w:eastAsia="zh-CN"/>
              </w:rPr>
              <w:t>1</w:t>
            </w:r>
          </w:p>
        </w:tc>
      </w:tr>
      <w:tr w14:paraId="5807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35" w:type="dxa"/>
            <w:vAlign w:val="center"/>
          </w:tcPr>
          <w:p w14:paraId="50C695CF">
            <w:pPr>
              <w:spacing w:line="240" w:lineRule="auto"/>
              <w:jc w:val="center"/>
              <w:rPr>
                <w:rFonts w:ascii="宋体" w:hAnsi="宋体" w:eastAsia="宋体"/>
              </w:rPr>
            </w:pPr>
            <w:r>
              <w:rPr>
                <w:rFonts w:hint="eastAsia" w:ascii="宋体" w:hAnsi="宋体" w:eastAsia="宋体"/>
              </w:rPr>
              <w:t>测试服务器</w:t>
            </w:r>
          </w:p>
        </w:tc>
        <w:tc>
          <w:tcPr>
            <w:tcW w:w="1448" w:type="dxa"/>
            <w:vAlign w:val="center"/>
          </w:tcPr>
          <w:p w14:paraId="0B126D56">
            <w:pPr>
              <w:spacing w:line="240" w:lineRule="auto"/>
              <w:jc w:val="center"/>
              <w:rPr>
                <w:rFonts w:ascii="宋体" w:hAnsi="宋体" w:eastAsia="宋体"/>
              </w:rPr>
            </w:pPr>
            <w:r>
              <w:rPr>
                <w:rFonts w:hint="eastAsia" w:ascii="宋体" w:hAnsi="宋体" w:eastAsia="宋体"/>
              </w:rPr>
              <w:t>8核</w:t>
            </w:r>
          </w:p>
        </w:tc>
        <w:tc>
          <w:tcPr>
            <w:tcW w:w="1912" w:type="dxa"/>
            <w:vAlign w:val="center"/>
          </w:tcPr>
          <w:p w14:paraId="4FEBDDB7">
            <w:pPr>
              <w:spacing w:line="240" w:lineRule="auto"/>
              <w:jc w:val="center"/>
              <w:rPr>
                <w:rFonts w:ascii="宋体" w:hAnsi="宋体" w:eastAsia="宋体"/>
              </w:rPr>
            </w:pPr>
            <w:r>
              <w:rPr>
                <w:rFonts w:hint="eastAsia" w:ascii="宋体" w:hAnsi="宋体" w:eastAsia="宋体"/>
              </w:rPr>
              <w:t>16G</w:t>
            </w:r>
          </w:p>
        </w:tc>
        <w:tc>
          <w:tcPr>
            <w:tcW w:w="1888" w:type="dxa"/>
            <w:vAlign w:val="center"/>
          </w:tcPr>
          <w:p w14:paraId="682C6D73">
            <w:pPr>
              <w:spacing w:line="240" w:lineRule="auto"/>
              <w:jc w:val="center"/>
              <w:rPr>
                <w:rFonts w:ascii="宋体" w:hAnsi="宋体" w:eastAsia="宋体"/>
              </w:rPr>
            </w:pPr>
            <w:r>
              <w:rPr>
                <w:rFonts w:hint="eastAsia" w:ascii="宋体" w:hAnsi="宋体" w:eastAsia="宋体"/>
              </w:rPr>
              <w:t>100G+1T</w:t>
            </w:r>
          </w:p>
        </w:tc>
        <w:tc>
          <w:tcPr>
            <w:tcW w:w="1648" w:type="dxa"/>
            <w:vAlign w:val="center"/>
          </w:tcPr>
          <w:p w14:paraId="67EB9D58">
            <w:pPr>
              <w:spacing w:line="240" w:lineRule="auto"/>
              <w:jc w:val="center"/>
              <w:rPr>
                <w:rFonts w:hint="eastAsia" w:ascii="宋体" w:hAnsi="宋体" w:eastAsia="宋体"/>
                <w:lang w:val="en-US" w:eastAsia="zh-CN"/>
              </w:rPr>
            </w:pPr>
            <w:r>
              <w:rPr>
                <w:rFonts w:hint="eastAsia" w:ascii="宋体" w:hAnsi="宋体" w:eastAsia="宋体"/>
                <w:lang w:val="en-US" w:eastAsia="zh-CN"/>
              </w:rPr>
              <w:t>1</w:t>
            </w:r>
          </w:p>
        </w:tc>
      </w:tr>
    </w:tbl>
    <w:p w14:paraId="77233328">
      <w:pPr>
        <w:pStyle w:val="4"/>
        <w:ind w:firstLine="420"/>
        <w:rPr>
          <w:sz w:val="21"/>
        </w:rPr>
      </w:pPr>
    </w:p>
    <w:p w14:paraId="4DEEA8C8">
      <w:pPr>
        <w:pStyle w:val="4"/>
        <w:ind w:firstLine="420"/>
        <w:rPr>
          <w:rFonts w:ascii="宋体" w:hAnsi="宋体" w:cs="宋体"/>
          <w:sz w:val="21"/>
        </w:rPr>
      </w:pPr>
      <w:r>
        <w:rPr>
          <w:rFonts w:hint="eastAsia" w:ascii="宋体" w:hAnsi="宋体" w:cs="宋体"/>
          <w:sz w:val="21"/>
        </w:rPr>
        <w:t>PaaS服务资源：</w:t>
      </w:r>
    </w:p>
    <w:tbl>
      <w:tblPr>
        <w:tblStyle w:val="34"/>
        <w:tblW w:w="4291" w:type="pct"/>
        <w:tblInd w:w="351" w:type="dxa"/>
        <w:tblLayout w:type="autofit"/>
        <w:tblCellMar>
          <w:top w:w="0" w:type="dxa"/>
          <w:left w:w="108" w:type="dxa"/>
          <w:bottom w:w="0" w:type="dxa"/>
          <w:right w:w="108" w:type="dxa"/>
        </w:tblCellMar>
      </w:tblPr>
      <w:tblGrid>
        <w:gridCol w:w="784"/>
        <w:gridCol w:w="4228"/>
        <w:gridCol w:w="1524"/>
        <w:gridCol w:w="1433"/>
      </w:tblGrid>
      <w:tr w14:paraId="62248CAF">
        <w:tblPrEx>
          <w:tblCellMar>
            <w:top w:w="0" w:type="dxa"/>
            <w:left w:w="108" w:type="dxa"/>
            <w:bottom w:w="0" w:type="dxa"/>
            <w:right w:w="108" w:type="dxa"/>
          </w:tblCellMar>
        </w:tblPrEx>
        <w:trPr>
          <w:trHeight w:val="455" w:hRule="atLeast"/>
        </w:trPr>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1007BCFA">
            <w:pPr>
              <w:widowControl/>
              <w:spacing w:line="240" w:lineRule="auto"/>
              <w:jc w:val="center"/>
              <w:rPr>
                <w:rFonts w:ascii="宋体" w:hAnsi="宋体" w:eastAsia="宋体" w:cs="宋体"/>
                <w:b/>
                <w:bCs/>
                <w:kern w:val="0"/>
              </w:rPr>
            </w:pPr>
            <w:r>
              <w:rPr>
                <w:rFonts w:hint="eastAsia" w:ascii="宋体" w:hAnsi="宋体" w:eastAsia="宋体" w:cs="宋体"/>
                <w:b/>
                <w:bCs/>
                <w:kern w:val="0"/>
              </w:rPr>
              <w:t>序号</w:t>
            </w:r>
          </w:p>
        </w:tc>
        <w:tc>
          <w:tcPr>
            <w:tcW w:w="2652" w:type="pct"/>
            <w:tcBorders>
              <w:top w:val="single" w:color="auto" w:sz="4" w:space="0"/>
              <w:left w:val="nil"/>
              <w:bottom w:val="single" w:color="auto" w:sz="4" w:space="0"/>
              <w:right w:val="single" w:color="auto" w:sz="4" w:space="0"/>
            </w:tcBorders>
            <w:shd w:val="clear" w:color="auto" w:fill="auto"/>
            <w:noWrap/>
            <w:vAlign w:val="center"/>
          </w:tcPr>
          <w:p w14:paraId="41530BCA">
            <w:pPr>
              <w:widowControl/>
              <w:spacing w:line="240" w:lineRule="auto"/>
              <w:jc w:val="center"/>
              <w:rPr>
                <w:rFonts w:ascii="宋体" w:hAnsi="宋体" w:eastAsia="宋体" w:cs="宋体"/>
                <w:b/>
                <w:bCs/>
                <w:kern w:val="0"/>
              </w:rPr>
            </w:pPr>
            <w:r>
              <w:rPr>
                <w:rFonts w:hint="eastAsia" w:ascii="宋体" w:hAnsi="宋体" w:eastAsia="宋体" w:cs="宋体"/>
                <w:b/>
                <w:bCs/>
                <w:kern w:val="0"/>
              </w:rPr>
              <w:t>资源名称</w:t>
            </w:r>
          </w:p>
        </w:tc>
        <w:tc>
          <w:tcPr>
            <w:tcW w:w="956" w:type="pct"/>
            <w:tcBorders>
              <w:top w:val="single" w:color="auto" w:sz="4" w:space="0"/>
              <w:left w:val="nil"/>
              <w:bottom w:val="single" w:color="auto" w:sz="4" w:space="0"/>
              <w:right w:val="single" w:color="auto" w:sz="4" w:space="0"/>
            </w:tcBorders>
            <w:shd w:val="clear" w:color="auto" w:fill="auto"/>
            <w:noWrap/>
            <w:vAlign w:val="center"/>
          </w:tcPr>
          <w:p w14:paraId="42AB7A9A">
            <w:pPr>
              <w:widowControl/>
              <w:spacing w:line="240" w:lineRule="auto"/>
              <w:jc w:val="center"/>
              <w:rPr>
                <w:rFonts w:ascii="宋体" w:hAnsi="宋体" w:eastAsia="宋体" w:cs="宋体"/>
                <w:b/>
                <w:bCs/>
                <w:kern w:val="0"/>
              </w:rPr>
            </w:pPr>
            <w:r>
              <w:rPr>
                <w:rFonts w:hint="eastAsia" w:ascii="宋体" w:hAnsi="宋体" w:eastAsia="宋体" w:cs="宋体"/>
                <w:b/>
                <w:bCs/>
                <w:kern w:val="0"/>
              </w:rPr>
              <w:t>数量</w:t>
            </w:r>
          </w:p>
        </w:tc>
        <w:tc>
          <w:tcPr>
            <w:tcW w:w="898" w:type="pct"/>
            <w:tcBorders>
              <w:top w:val="single" w:color="auto" w:sz="4" w:space="0"/>
              <w:left w:val="nil"/>
              <w:bottom w:val="single" w:color="auto" w:sz="4" w:space="0"/>
              <w:right w:val="single" w:color="auto" w:sz="4" w:space="0"/>
            </w:tcBorders>
            <w:shd w:val="clear" w:color="auto" w:fill="auto"/>
            <w:vAlign w:val="center"/>
          </w:tcPr>
          <w:p w14:paraId="53AFC338">
            <w:pPr>
              <w:widowControl/>
              <w:spacing w:line="240" w:lineRule="auto"/>
              <w:jc w:val="center"/>
              <w:rPr>
                <w:rFonts w:ascii="宋体" w:hAnsi="宋体" w:eastAsia="宋体" w:cs="宋体"/>
                <w:b/>
                <w:bCs/>
                <w:kern w:val="0"/>
              </w:rPr>
            </w:pPr>
            <w:r>
              <w:rPr>
                <w:rFonts w:hint="eastAsia" w:ascii="宋体" w:hAnsi="宋体" w:eastAsia="宋体" w:cs="宋体"/>
                <w:b/>
                <w:bCs/>
                <w:kern w:val="0"/>
              </w:rPr>
              <w:t>单位</w:t>
            </w:r>
          </w:p>
        </w:tc>
      </w:tr>
      <w:tr w14:paraId="072F20C9">
        <w:tblPrEx>
          <w:tblCellMar>
            <w:top w:w="0" w:type="dxa"/>
            <w:left w:w="108" w:type="dxa"/>
            <w:bottom w:w="0" w:type="dxa"/>
            <w:right w:w="108" w:type="dxa"/>
          </w:tblCellMar>
        </w:tblPrEx>
        <w:trPr>
          <w:trHeight w:val="284" w:hRule="atLeast"/>
        </w:trPr>
        <w:tc>
          <w:tcPr>
            <w:tcW w:w="492" w:type="pct"/>
            <w:tcBorders>
              <w:top w:val="nil"/>
              <w:left w:val="single" w:color="auto" w:sz="4" w:space="0"/>
              <w:bottom w:val="single" w:color="auto" w:sz="4" w:space="0"/>
              <w:right w:val="single" w:color="auto" w:sz="4" w:space="0"/>
            </w:tcBorders>
            <w:shd w:val="clear" w:color="auto" w:fill="auto"/>
            <w:vAlign w:val="center"/>
          </w:tcPr>
          <w:p w14:paraId="6C122918">
            <w:pPr>
              <w:widowControl/>
              <w:spacing w:line="240" w:lineRule="auto"/>
              <w:jc w:val="center"/>
              <w:rPr>
                <w:rFonts w:ascii="宋体" w:hAnsi="宋体" w:eastAsia="宋体" w:cs="宋体"/>
                <w:kern w:val="0"/>
              </w:rPr>
            </w:pPr>
            <w:r>
              <w:rPr>
                <w:rFonts w:ascii="宋体" w:hAnsi="宋体" w:eastAsia="宋体" w:cs="宋体"/>
                <w:kern w:val="0"/>
              </w:rPr>
              <w:t>1</w:t>
            </w:r>
          </w:p>
        </w:tc>
        <w:tc>
          <w:tcPr>
            <w:tcW w:w="2652" w:type="pct"/>
            <w:tcBorders>
              <w:top w:val="nil"/>
              <w:left w:val="nil"/>
              <w:bottom w:val="single" w:color="auto" w:sz="4" w:space="0"/>
              <w:right w:val="single" w:color="auto" w:sz="4" w:space="0"/>
            </w:tcBorders>
            <w:shd w:val="clear" w:color="auto" w:fill="auto"/>
            <w:vAlign w:val="center"/>
          </w:tcPr>
          <w:p w14:paraId="492A1D6B">
            <w:pPr>
              <w:widowControl/>
              <w:spacing w:line="240" w:lineRule="auto"/>
              <w:jc w:val="left"/>
              <w:rPr>
                <w:rFonts w:ascii="宋体" w:hAnsi="宋体" w:eastAsia="宋体" w:cs="宋体"/>
                <w:kern w:val="0"/>
              </w:rPr>
            </w:pPr>
            <w:r>
              <w:rPr>
                <w:rFonts w:hint="eastAsia" w:ascii="宋体" w:hAnsi="宋体" w:eastAsia="宋体" w:cs="宋体"/>
                <w:kern w:val="0"/>
              </w:rPr>
              <w:t>操作系统服务</w:t>
            </w:r>
            <w:r>
              <w:rPr>
                <w:rFonts w:ascii="宋体" w:hAnsi="宋体" w:eastAsia="宋体" w:cs="宋体"/>
                <w:kern w:val="0"/>
              </w:rPr>
              <w:t>-统信UOS、麒麟</w:t>
            </w:r>
          </w:p>
        </w:tc>
        <w:tc>
          <w:tcPr>
            <w:tcW w:w="956" w:type="pct"/>
            <w:tcBorders>
              <w:top w:val="nil"/>
              <w:left w:val="nil"/>
              <w:bottom w:val="single" w:color="auto" w:sz="4" w:space="0"/>
              <w:right w:val="single" w:color="auto" w:sz="4" w:space="0"/>
            </w:tcBorders>
            <w:shd w:val="clear" w:color="auto" w:fill="auto"/>
            <w:vAlign w:val="center"/>
          </w:tcPr>
          <w:p w14:paraId="686B0AD0">
            <w:pPr>
              <w:widowControl/>
              <w:spacing w:line="240" w:lineRule="auto"/>
              <w:jc w:val="center"/>
              <w:rPr>
                <w:rFonts w:ascii="宋体" w:hAnsi="宋体" w:eastAsia="宋体" w:cs="宋体"/>
                <w:kern w:val="0"/>
              </w:rPr>
            </w:pPr>
            <w:r>
              <w:rPr>
                <w:rFonts w:hint="eastAsia" w:ascii="宋体" w:hAnsi="宋体" w:eastAsia="宋体" w:cs="宋体"/>
                <w:kern w:val="0"/>
              </w:rPr>
              <w:t>6</w:t>
            </w:r>
          </w:p>
        </w:tc>
        <w:tc>
          <w:tcPr>
            <w:tcW w:w="898" w:type="pct"/>
            <w:tcBorders>
              <w:top w:val="nil"/>
              <w:left w:val="nil"/>
              <w:bottom w:val="single" w:color="auto" w:sz="4" w:space="0"/>
              <w:right w:val="single" w:color="auto" w:sz="4" w:space="0"/>
            </w:tcBorders>
            <w:shd w:val="clear" w:color="auto" w:fill="auto"/>
            <w:vAlign w:val="center"/>
          </w:tcPr>
          <w:p w14:paraId="46882F60">
            <w:pPr>
              <w:widowControl/>
              <w:spacing w:line="240" w:lineRule="auto"/>
              <w:jc w:val="center"/>
              <w:rPr>
                <w:rFonts w:ascii="宋体" w:hAnsi="宋体" w:eastAsia="宋体" w:cs="宋体"/>
                <w:kern w:val="0"/>
              </w:rPr>
            </w:pPr>
            <w:r>
              <w:rPr>
                <w:rFonts w:hint="eastAsia" w:ascii="宋体" w:hAnsi="宋体" w:eastAsia="宋体" w:cs="宋体"/>
                <w:kern w:val="0"/>
              </w:rPr>
              <w:t>套</w:t>
            </w:r>
            <w:r>
              <w:rPr>
                <w:rFonts w:ascii="宋体" w:hAnsi="宋体" w:eastAsia="宋体" w:cs="宋体"/>
                <w:kern w:val="0"/>
              </w:rPr>
              <w:t>*年</w:t>
            </w:r>
          </w:p>
        </w:tc>
      </w:tr>
      <w:tr w14:paraId="2BD4F676">
        <w:tblPrEx>
          <w:tblCellMar>
            <w:top w:w="0" w:type="dxa"/>
            <w:left w:w="108" w:type="dxa"/>
            <w:bottom w:w="0" w:type="dxa"/>
            <w:right w:w="108" w:type="dxa"/>
          </w:tblCellMar>
        </w:tblPrEx>
        <w:trPr>
          <w:trHeight w:val="284" w:hRule="atLeast"/>
        </w:trPr>
        <w:tc>
          <w:tcPr>
            <w:tcW w:w="492" w:type="pct"/>
            <w:tcBorders>
              <w:top w:val="nil"/>
              <w:left w:val="single" w:color="auto" w:sz="4" w:space="0"/>
              <w:bottom w:val="single" w:color="auto" w:sz="4" w:space="0"/>
              <w:right w:val="single" w:color="auto" w:sz="4" w:space="0"/>
            </w:tcBorders>
            <w:shd w:val="clear" w:color="auto" w:fill="auto"/>
            <w:vAlign w:val="center"/>
          </w:tcPr>
          <w:p w14:paraId="1D41E28F">
            <w:pPr>
              <w:widowControl/>
              <w:spacing w:line="240" w:lineRule="auto"/>
              <w:jc w:val="center"/>
              <w:rPr>
                <w:rFonts w:ascii="宋体" w:hAnsi="宋体" w:eastAsia="宋体" w:cs="宋体"/>
                <w:kern w:val="0"/>
              </w:rPr>
            </w:pPr>
            <w:r>
              <w:rPr>
                <w:rFonts w:ascii="宋体" w:hAnsi="宋体" w:eastAsia="宋体" w:cs="宋体"/>
                <w:kern w:val="0"/>
              </w:rPr>
              <w:t>2</w:t>
            </w:r>
          </w:p>
        </w:tc>
        <w:tc>
          <w:tcPr>
            <w:tcW w:w="2652" w:type="pct"/>
            <w:tcBorders>
              <w:top w:val="nil"/>
              <w:left w:val="nil"/>
              <w:bottom w:val="single" w:color="auto" w:sz="4" w:space="0"/>
              <w:right w:val="single" w:color="auto" w:sz="4" w:space="0"/>
            </w:tcBorders>
            <w:shd w:val="clear" w:color="auto" w:fill="auto"/>
            <w:vAlign w:val="center"/>
          </w:tcPr>
          <w:p w14:paraId="7291DD34">
            <w:pPr>
              <w:widowControl/>
              <w:spacing w:line="240" w:lineRule="auto"/>
              <w:jc w:val="left"/>
              <w:rPr>
                <w:rFonts w:ascii="宋体" w:hAnsi="宋体" w:eastAsia="宋体" w:cs="宋体"/>
                <w:kern w:val="0"/>
              </w:rPr>
            </w:pPr>
            <w:r>
              <w:rPr>
                <w:rFonts w:hint="eastAsia" w:ascii="宋体" w:hAnsi="宋体" w:eastAsia="宋体" w:cs="宋体"/>
                <w:kern w:val="0"/>
              </w:rPr>
              <w:t>安全认证网关服务</w:t>
            </w:r>
          </w:p>
        </w:tc>
        <w:tc>
          <w:tcPr>
            <w:tcW w:w="956" w:type="pct"/>
            <w:tcBorders>
              <w:top w:val="nil"/>
              <w:left w:val="nil"/>
              <w:bottom w:val="single" w:color="auto" w:sz="4" w:space="0"/>
              <w:right w:val="single" w:color="auto" w:sz="4" w:space="0"/>
            </w:tcBorders>
            <w:shd w:val="clear" w:color="auto" w:fill="auto"/>
            <w:vAlign w:val="center"/>
          </w:tcPr>
          <w:p w14:paraId="1B3946BB">
            <w:pPr>
              <w:widowControl/>
              <w:spacing w:line="240" w:lineRule="auto"/>
              <w:jc w:val="center"/>
              <w:rPr>
                <w:rFonts w:ascii="宋体" w:hAnsi="宋体" w:eastAsia="宋体" w:cs="宋体"/>
                <w:kern w:val="0"/>
              </w:rPr>
            </w:pPr>
            <w:r>
              <w:rPr>
                <w:rFonts w:hint="eastAsia" w:ascii="宋体" w:hAnsi="宋体" w:eastAsia="宋体" w:cs="宋体"/>
                <w:kern w:val="0"/>
              </w:rPr>
              <w:t>1</w:t>
            </w:r>
          </w:p>
        </w:tc>
        <w:tc>
          <w:tcPr>
            <w:tcW w:w="898" w:type="pct"/>
            <w:tcBorders>
              <w:top w:val="nil"/>
              <w:left w:val="nil"/>
              <w:bottom w:val="single" w:color="auto" w:sz="4" w:space="0"/>
              <w:right w:val="single" w:color="auto" w:sz="4" w:space="0"/>
            </w:tcBorders>
            <w:shd w:val="clear" w:color="auto" w:fill="auto"/>
            <w:vAlign w:val="center"/>
          </w:tcPr>
          <w:p w14:paraId="5D27CB40">
            <w:pPr>
              <w:widowControl/>
              <w:spacing w:line="240" w:lineRule="auto"/>
              <w:jc w:val="center"/>
              <w:rPr>
                <w:rFonts w:ascii="宋体" w:hAnsi="宋体" w:eastAsia="宋体" w:cs="宋体"/>
                <w:kern w:val="0"/>
              </w:rPr>
            </w:pPr>
            <w:r>
              <w:rPr>
                <w:rFonts w:hint="eastAsia" w:ascii="宋体" w:hAnsi="宋体" w:eastAsia="宋体" w:cs="宋体"/>
                <w:kern w:val="0"/>
              </w:rPr>
              <w:t>套</w:t>
            </w:r>
            <w:r>
              <w:rPr>
                <w:rFonts w:ascii="宋体" w:hAnsi="宋体" w:eastAsia="宋体" w:cs="宋体"/>
                <w:kern w:val="0"/>
              </w:rPr>
              <w:t>*年</w:t>
            </w:r>
          </w:p>
        </w:tc>
      </w:tr>
      <w:tr w14:paraId="18E5779D">
        <w:tblPrEx>
          <w:tblCellMar>
            <w:top w:w="0" w:type="dxa"/>
            <w:left w:w="108" w:type="dxa"/>
            <w:bottom w:w="0" w:type="dxa"/>
            <w:right w:w="108" w:type="dxa"/>
          </w:tblCellMar>
        </w:tblPrEx>
        <w:trPr>
          <w:trHeight w:val="284" w:hRule="atLeast"/>
        </w:trPr>
        <w:tc>
          <w:tcPr>
            <w:tcW w:w="492" w:type="pct"/>
            <w:tcBorders>
              <w:top w:val="nil"/>
              <w:left w:val="single" w:color="auto" w:sz="4" w:space="0"/>
              <w:bottom w:val="single" w:color="auto" w:sz="4" w:space="0"/>
              <w:right w:val="single" w:color="auto" w:sz="4" w:space="0"/>
            </w:tcBorders>
            <w:shd w:val="clear" w:color="auto" w:fill="auto"/>
            <w:vAlign w:val="center"/>
          </w:tcPr>
          <w:p w14:paraId="6F3E4DA4">
            <w:pPr>
              <w:widowControl/>
              <w:spacing w:line="240" w:lineRule="auto"/>
              <w:jc w:val="center"/>
              <w:rPr>
                <w:rFonts w:ascii="宋体" w:hAnsi="宋体" w:eastAsia="宋体" w:cs="宋体"/>
                <w:kern w:val="0"/>
              </w:rPr>
            </w:pPr>
            <w:r>
              <w:rPr>
                <w:rFonts w:ascii="宋体" w:hAnsi="宋体" w:eastAsia="宋体" w:cs="宋体"/>
                <w:kern w:val="0"/>
              </w:rPr>
              <w:t>3</w:t>
            </w:r>
          </w:p>
        </w:tc>
        <w:tc>
          <w:tcPr>
            <w:tcW w:w="2652" w:type="pct"/>
            <w:tcBorders>
              <w:top w:val="nil"/>
              <w:left w:val="nil"/>
              <w:bottom w:val="single" w:color="auto" w:sz="4" w:space="0"/>
              <w:right w:val="single" w:color="auto" w:sz="4" w:space="0"/>
            </w:tcBorders>
            <w:shd w:val="clear" w:color="auto" w:fill="auto"/>
            <w:vAlign w:val="center"/>
          </w:tcPr>
          <w:p w14:paraId="4CB1F601">
            <w:pPr>
              <w:widowControl/>
              <w:spacing w:line="240" w:lineRule="auto"/>
              <w:jc w:val="left"/>
              <w:rPr>
                <w:rFonts w:ascii="宋体" w:hAnsi="宋体" w:eastAsia="宋体" w:cs="宋体"/>
                <w:kern w:val="0"/>
              </w:rPr>
            </w:pPr>
            <w:r>
              <w:rPr>
                <w:rFonts w:hint="eastAsia" w:ascii="宋体" w:hAnsi="宋体" w:eastAsia="宋体" w:cs="宋体"/>
                <w:kern w:val="0"/>
              </w:rPr>
              <w:t>签名验签服务</w:t>
            </w:r>
          </w:p>
        </w:tc>
        <w:tc>
          <w:tcPr>
            <w:tcW w:w="956" w:type="pct"/>
            <w:tcBorders>
              <w:top w:val="nil"/>
              <w:left w:val="nil"/>
              <w:bottom w:val="single" w:color="auto" w:sz="4" w:space="0"/>
              <w:right w:val="single" w:color="auto" w:sz="4" w:space="0"/>
            </w:tcBorders>
            <w:shd w:val="clear" w:color="auto" w:fill="auto"/>
            <w:vAlign w:val="center"/>
          </w:tcPr>
          <w:p w14:paraId="01B8E8D1">
            <w:pPr>
              <w:widowControl/>
              <w:spacing w:line="240" w:lineRule="auto"/>
              <w:jc w:val="center"/>
              <w:rPr>
                <w:rFonts w:ascii="宋体" w:hAnsi="宋体" w:eastAsia="宋体" w:cs="宋体"/>
                <w:kern w:val="0"/>
              </w:rPr>
            </w:pPr>
            <w:r>
              <w:rPr>
                <w:rFonts w:hint="eastAsia" w:ascii="宋体" w:hAnsi="宋体" w:eastAsia="宋体" w:cs="宋体"/>
                <w:kern w:val="0"/>
              </w:rPr>
              <w:t>1</w:t>
            </w:r>
          </w:p>
        </w:tc>
        <w:tc>
          <w:tcPr>
            <w:tcW w:w="898" w:type="pct"/>
            <w:tcBorders>
              <w:top w:val="nil"/>
              <w:left w:val="nil"/>
              <w:bottom w:val="single" w:color="auto" w:sz="4" w:space="0"/>
              <w:right w:val="single" w:color="auto" w:sz="4" w:space="0"/>
            </w:tcBorders>
            <w:shd w:val="clear" w:color="auto" w:fill="auto"/>
            <w:vAlign w:val="center"/>
          </w:tcPr>
          <w:p w14:paraId="25CC2D16">
            <w:pPr>
              <w:widowControl/>
              <w:spacing w:line="240" w:lineRule="auto"/>
              <w:jc w:val="center"/>
              <w:rPr>
                <w:rFonts w:ascii="宋体" w:hAnsi="宋体" w:eastAsia="宋体" w:cs="宋体"/>
                <w:kern w:val="0"/>
              </w:rPr>
            </w:pPr>
            <w:r>
              <w:rPr>
                <w:rFonts w:hint="eastAsia" w:ascii="宋体" w:hAnsi="宋体" w:eastAsia="宋体" w:cs="宋体"/>
                <w:kern w:val="0"/>
              </w:rPr>
              <w:t>套</w:t>
            </w:r>
            <w:r>
              <w:rPr>
                <w:rFonts w:ascii="宋体" w:hAnsi="宋体" w:eastAsia="宋体" w:cs="宋体"/>
                <w:kern w:val="0"/>
              </w:rPr>
              <w:t>*年</w:t>
            </w:r>
          </w:p>
        </w:tc>
      </w:tr>
      <w:tr w14:paraId="7C8CBB41">
        <w:tblPrEx>
          <w:tblCellMar>
            <w:top w:w="0" w:type="dxa"/>
            <w:left w:w="108" w:type="dxa"/>
            <w:bottom w:w="0" w:type="dxa"/>
            <w:right w:w="108" w:type="dxa"/>
          </w:tblCellMar>
        </w:tblPrEx>
        <w:trPr>
          <w:trHeight w:val="284" w:hRule="atLeast"/>
        </w:trPr>
        <w:tc>
          <w:tcPr>
            <w:tcW w:w="492" w:type="pct"/>
            <w:tcBorders>
              <w:top w:val="nil"/>
              <w:left w:val="single" w:color="auto" w:sz="4" w:space="0"/>
              <w:bottom w:val="single" w:color="auto" w:sz="4" w:space="0"/>
              <w:right w:val="single" w:color="auto" w:sz="4" w:space="0"/>
            </w:tcBorders>
            <w:shd w:val="clear" w:color="auto" w:fill="auto"/>
            <w:vAlign w:val="center"/>
          </w:tcPr>
          <w:p w14:paraId="1CE31B87">
            <w:pPr>
              <w:widowControl/>
              <w:spacing w:line="240" w:lineRule="auto"/>
              <w:jc w:val="center"/>
              <w:rPr>
                <w:rFonts w:ascii="宋体" w:hAnsi="宋体" w:eastAsia="宋体" w:cs="宋体"/>
                <w:kern w:val="0"/>
              </w:rPr>
            </w:pPr>
            <w:r>
              <w:rPr>
                <w:rFonts w:ascii="宋体" w:hAnsi="宋体" w:eastAsia="宋体" w:cs="宋体"/>
                <w:kern w:val="0"/>
              </w:rPr>
              <w:t>4</w:t>
            </w:r>
          </w:p>
        </w:tc>
        <w:tc>
          <w:tcPr>
            <w:tcW w:w="2652" w:type="pct"/>
            <w:tcBorders>
              <w:top w:val="nil"/>
              <w:left w:val="nil"/>
              <w:bottom w:val="single" w:color="auto" w:sz="4" w:space="0"/>
              <w:right w:val="single" w:color="auto" w:sz="4" w:space="0"/>
            </w:tcBorders>
            <w:shd w:val="clear" w:color="auto" w:fill="auto"/>
            <w:vAlign w:val="center"/>
          </w:tcPr>
          <w:p w14:paraId="2C37E8BB">
            <w:pPr>
              <w:widowControl/>
              <w:spacing w:line="240" w:lineRule="auto"/>
              <w:jc w:val="left"/>
              <w:rPr>
                <w:rFonts w:ascii="宋体" w:hAnsi="宋体" w:eastAsia="宋体" w:cs="宋体"/>
                <w:kern w:val="0"/>
              </w:rPr>
            </w:pPr>
            <w:r>
              <w:rPr>
                <w:rFonts w:hint="eastAsia" w:ascii="宋体" w:hAnsi="宋体" w:eastAsia="宋体" w:cs="宋体"/>
                <w:kern w:val="0"/>
              </w:rPr>
              <w:t>可信密码服务</w:t>
            </w:r>
          </w:p>
        </w:tc>
        <w:tc>
          <w:tcPr>
            <w:tcW w:w="956" w:type="pct"/>
            <w:tcBorders>
              <w:top w:val="nil"/>
              <w:left w:val="nil"/>
              <w:bottom w:val="single" w:color="auto" w:sz="4" w:space="0"/>
              <w:right w:val="single" w:color="auto" w:sz="4" w:space="0"/>
            </w:tcBorders>
            <w:shd w:val="clear" w:color="auto" w:fill="auto"/>
            <w:vAlign w:val="center"/>
          </w:tcPr>
          <w:p w14:paraId="18824853">
            <w:pPr>
              <w:widowControl/>
              <w:spacing w:line="240" w:lineRule="auto"/>
              <w:jc w:val="center"/>
              <w:rPr>
                <w:rFonts w:ascii="宋体" w:hAnsi="宋体" w:eastAsia="宋体" w:cs="宋体"/>
                <w:kern w:val="0"/>
              </w:rPr>
            </w:pPr>
            <w:r>
              <w:rPr>
                <w:rFonts w:hint="eastAsia" w:ascii="宋体" w:hAnsi="宋体" w:eastAsia="宋体" w:cs="宋体"/>
                <w:kern w:val="0"/>
              </w:rPr>
              <w:t>1</w:t>
            </w:r>
          </w:p>
        </w:tc>
        <w:tc>
          <w:tcPr>
            <w:tcW w:w="898" w:type="pct"/>
            <w:tcBorders>
              <w:top w:val="nil"/>
              <w:left w:val="nil"/>
              <w:bottom w:val="single" w:color="auto" w:sz="4" w:space="0"/>
              <w:right w:val="single" w:color="auto" w:sz="4" w:space="0"/>
            </w:tcBorders>
            <w:shd w:val="clear" w:color="auto" w:fill="auto"/>
            <w:vAlign w:val="center"/>
          </w:tcPr>
          <w:p w14:paraId="5FBE4103">
            <w:pPr>
              <w:widowControl/>
              <w:spacing w:line="240" w:lineRule="auto"/>
              <w:jc w:val="center"/>
              <w:rPr>
                <w:rFonts w:ascii="宋体" w:hAnsi="宋体" w:eastAsia="宋体" w:cs="宋体"/>
                <w:kern w:val="0"/>
              </w:rPr>
            </w:pPr>
            <w:r>
              <w:rPr>
                <w:rFonts w:hint="eastAsia" w:ascii="宋体" w:hAnsi="宋体" w:eastAsia="宋体" w:cs="宋体"/>
                <w:kern w:val="0"/>
              </w:rPr>
              <w:t>应用</w:t>
            </w:r>
            <w:r>
              <w:rPr>
                <w:rFonts w:ascii="宋体" w:hAnsi="宋体" w:eastAsia="宋体" w:cs="宋体"/>
                <w:kern w:val="0"/>
              </w:rPr>
              <w:t>*年</w:t>
            </w:r>
          </w:p>
        </w:tc>
      </w:tr>
      <w:tr w14:paraId="167C7DF4">
        <w:tblPrEx>
          <w:tblCellMar>
            <w:top w:w="0" w:type="dxa"/>
            <w:left w:w="108" w:type="dxa"/>
            <w:bottom w:w="0" w:type="dxa"/>
            <w:right w:w="108" w:type="dxa"/>
          </w:tblCellMar>
        </w:tblPrEx>
        <w:trPr>
          <w:trHeight w:val="284" w:hRule="atLeast"/>
        </w:trPr>
        <w:tc>
          <w:tcPr>
            <w:tcW w:w="492" w:type="pct"/>
            <w:tcBorders>
              <w:top w:val="nil"/>
              <w:left w:val="single" w:color="auto" w:sz="4" w:space="0"/>
              <w:bottom w:val="single" w:color="auto" w:sz="4" w:space="0"/>
              <w:right w:val="single" w:color="auto" w:sz="4" w:space="0"/>
            </w:tcBorders>
            <w:shd w:val="clear" w:color="auto" w:fill="auto"/>
            <w:vAlign w:val="center"/>
          </w:tcPr>
          <w:p w14:paraId="6813A03F">
            <w:pPr>
              <w:widowControl/>
              <w:spacing w:line="240" w:lineRule="auto"/>
              <w:jc w:val="center"/>
              <w:rPr>
                <w:rFonts w:ascii="宋体" w:hAnsi="宋体" w:eastAsia="宋体" w:cs="宋体"/>
                <w:kern w:val="0"/>
              </w:rPr>
            </w:pPr>
            <w:r>
              <w:rPr>
                <w:rFonts w:ascii="宋体" w:hAnsi="宋体" w:eastAsia="宋体" w:cs="宋体"/>
                <w:kern w:val="0"/>
              </w:rPr>
              <w:t>5</w:t>
            </w:r>
          </w:p>
        </w:tc>
        <w:tc>
          <w:tcPr>
            <w:tcW w:w="2652" w:type="pct"/>
            <w:tcBorders>
              <w:top w:val="nil"/>
              <w:left w:val="nil"/>
              <w:bottom w:val="single" w:color="auto" w:sz="4" w:space="0"/>
              <w:right w:val="single" w:color="auto" w:sz="4" w:space="0"/>
            </w:tcBorders>
            <w:shd w:val="clear" w:color="auto" w:fill="auto"/>
            <w:vAlign w:val="center"/>
          </w:tcPr>
          <w:p w14:paraId="4F49CBE2">
            <w:pPr>
              <w:widowControl/>
              <w:spacing w:line="240" w:lineRule="auto"/>
              <w:jc w:val="left"/>
              <w:rPr>
                <w:rFonts w:ascii="宋体" w:hAnsi="宋体" w:eastAsia="宋体" w:cs="宋体"/>
                <w:kern w:val="0"/>
              </w:rPr>
            </w:pPr>
            <w:r>
              <w:rPr>
                <w:rFonts w:hint="eastAsia" w:ascii="宋体" w:hAnsi="宋体" w:eastAsia="宋体" w:cs="宋体"/>
                <w:kern w:val="0"/>
              </w:rPr>
              <w:t>数字证书服务 - SSL证书-单域名</w:t>
            </w:r>
          </w:p>
        </w:tc>
        <w:tc>
          <w:tcPr>
            <w:tcW w:w="956" w:type="pct"/>
            <w:tcBorders>
              <w:top w:val="nil"/>
              <w:left w:val="nil"/>
              <w:bottom w:val="single" w:color="auto" w:sz="4" w:space="0"/>
              <w:right w:val="single" w:color="auto" w:sz="4" w:space="0"/>
            </w:tcBorders>
            <w:shd w:val="clear" w:color="auto" w:fill="auto"/>
            <w:vAlign w:val="center"/>
          </w:tcPr>
          <w:p w14:paraId="69828E51">
            <w:pPr>
              <w:widowControl/>
              <w:spacing w:line="240" w:lineRule="auto"/>
              <w:jc w:val="center"/>
              <w:rPr>
                <w:rFonts w:ascii="宋体" w:hAnsi="宋体" w:eastAsia="宋体" w:cs="宋体"/>
                <w:kern w:val="0"/>
              </w:rPr>
            </w:pPr>
            <w:r>
              <w:rPr>
                <w:rFonts w:hint="eastAsia" w:ascii="宋体" w:hAnsi="宋体" w:eastAsia="宋体" w:cs="宋体"/>
                <w:kern w:val="0"/>
              </w:rPr>
              <w:t>1</w:t>
            </w:r>
          </w:p>
        </w:tc>
        <w:tc>
          <w:tcPr>
            <w:tcW w:w="898" w:type="pct"/>
            <w:tcBorders>
              <w:top w:val="nil"/>
              <w:left w:val="nil"/>
              <w:bottom w:val="single" w:color="auto" w:sz="4" w:space="0"/>
              <w:right w:val="single" w:color="auto" w:sz="4" w:space="0"/>
            </w:tcBorders>
            <w:shd w:val="clear" w:color="auto" w:fill="auto"/>
            <w:vAlign w:val="center"/>
          </w:tcPr>
          <w:p w14:paraId="5234B06E">
            <w:pPr>
              <w:widowControl/>
              <w:spacing w:line="240" w:lineRule="auto"/>
              <w:jc w:val="center"/>
              <w:rPr>
                <w:rFonts w:ascii="宋体" w:hAnsi="宋体" w:eastAsia="宋体" w:cs="宋体"/>
                <w:kern w:val="0"/>
              </w:rPr>
            </w:pPr>
            <w:r>
              <w:rPr>
                <w:rFonts w:hint="eastAsia" w:ascii="宋体" w:hAnsi="宋体" w:eastAsia="宋体" w:cs="宋体"/>
                <w:kern w:val="0"/>
              </w:rPr>
              <w:t>张</w:t>
            </w:r>
            <w:r>
              <w:rPr>
                <w:rFonts w:ascii="宋体" w:hAnsi="宋体" w:eastAsia="宋体" w:cs="宋体"/>
                <w:kern w:val="0"/>
              </w:rPr>
              <w:t>*年</w:t>
            </w:r>
          </w:p>
        </w:tc>
      </w:tr>
      <w:tr w14:paraId="127DBED5">
        <w:tblPrEx>
          <w:tblCellMar>
            <w:top w:w="0" w:type="dxa"/>
            <w:left w:w="108" w:type="dxa"/>
            <w:bottom w:w="0" w:type="dxa"/>
            <w:right w:w="108" w:type="dxa"/>
          </w:tblCellMar>
        </w:tblPrEx>
        <w:trPr>
          <w:trHeight w:val="284" w:hRule="atLeast"/>
        </w:trPr>
        <w:tc>
          <w:tcPr>
            <w:tcW w:w="492" w:type="pct"/>
            <w:tcBorders>
              <w:top w:val="nil"/>
              <w:left w:val="single" w:color="auto" w:sz="4" w:space="0"/>
              <w:bottom w:val="single" w:color="auto" w:sz="4" w:space="0"/>
              <w:right w:val="single" w:color="auto" w:sz="4" w:space="0"/>
            </w:tcBorders>
            <w:shd w:val="clear" w:color="auto" w:fill="auto"/>
            <w:vAlign w:val="center"/>
          </w:tcPr>
          <w:p w14:paraId="05ECCA5E">
            <w:pPr>
              <w:widowControl/>
              <w:spacing w:line="240" w:lineRule="auto"/>
              <w:jc w:val="center"/>
              <w:rPr>
                <w:rFonts w:ascii="宋体" w:hAnsi="宋体" w:eastAsia="宋体" w:cs="宋体"/>
                <w:kern w:val="0"/>
              </w:rPr>
            </w:pPr>
            <w:r>
              <w:rPr>
                <w:rFonts w:ascii="宋体" w:hAnsi="宋体" w:eastAsia="宋体" w:cs="宋体"/>
                <w:kern w:val="0"/>
              </w:rPr>
              <w:t>6</w:t>
            </w:r>
          </w:p>
        </w:tc>
        <w:tc>
          <w:tcPr>
            <w:tcW w:w="2652" w:type="pct"/>
            <w:tcBorders>
              <w:top w:val="nil"/>
              <w:left w:val="nil"/>
              <w:bottom w:val="single" w:color="auto" w:sz="4" w:space="0"/>
              <w:right w:val="single" w:color="auto" w:sz="4" w:space="0"/>
            </w:tcBorders>
            <w:shd w:val="clear" w:color="auto" w:fill="auto"/>
            <w:vAlign w:val="center"/>
          </w:tcPr>
          <w:p w14:paraId="71E1C92B">
            <w:pPr>
              <w:widowControl/>
              <w:spacing w:line="240" w:lineRule="auto"/>
              <w:jc w:val="left"/>
              <w:rPr>
                <w:rFonts w:ascii="宋体" w:hAnsi="宋体" w:eastAsia="宋体" w:cs="宋体"/>
                <w:kern w:val="0"/>
              </w:rPr>
            </w:pPr>
            <w:r>
              <w:rPr>
                <w:rFonts w:hint="eastAsia" w:ascii="宋体" w:hAnsi="宋体" w:eastAsia="宋体" w:cs="宋体"/>
                <w:kern w:val="0"/>
              </w:rPr>
              <w:t>短信服务</w:t>
            </w:r>
          </w:p>
        </w:tc>
        <w:tc>
          <w:tcPr>
            <w:tcW w:w="956" w:type="pct"/>
            <w:tcBorders>
              <w:top w:val="nil"/>
              <w:left w:val="nil"/>
              <w:bottom w:val="single" w:color="auto" w:sz="4" w:space="0"/>
              <w:right w:val="single" w:color="auto" w:sz="4" w:space="0"/>
            </w:tcBorders>
            <w:shd w:val="clear" w:color="auto" w:fill="auto"/>
            <w:vAlign w:val="center"/>
          </w:tcPr>
          <w:p w14:paraId="4149A6CE">
            <w:pPr>
              <w:widowControl/>
              <w:spacing w:line="240" w:lineRule="auto"/>
              <w:jc w:val="center"/>
              <w:rPr>
                <w:rFonts w:ascii="宋体" w:hAnsi="宋体" w:eastAsia="宋体" w:cs="宋体"/>
                <w:kern w:val="0"/>
              </w:rPr>
            </w:pPr>
            <w:r>
              <w:rPr>
                <w:rFonts w:hint="eastAsia" w:ascii="宋体" w:hAnsi="宋体" w:eastAsia="宋体" w:cs="宋体"/>
                <w:kern w:val="0"/>
              </w:rPr>
              <w:t>120000</w:t>
            </w:r>
          </w:p>
        </w:tc>
        <w:tc>
          <w:tcPr>
            <w:tcW w:w="898" w:type="pct"/>
            <w:tcBorders>
              <w:top w:val="nil"/>
              <w:left w:val="nil"/>
              <w:bottom w:val="single" w:color="auto" w:sz="4" w:space="0"/>
              <w:right w:val="single" w:color="auto" w:sz="4" w:space="0"/>
            </w:tcBorders>
            <w:shd w:val="clear" w:color="auto" w:fill="auto"/>
            <w:vAlign w:val="center"/>
          </w:tcPr>
          <w:p w14:paraId="1A2A25D0">
            <w:pPr>
              <w:widowControl/>
              <w:spacing w:line="240" w:lineRule="auto"/>
              <w:jc w:val="center"/>
              <w:rPr>
                <w:rFonts w:ascii="宋体" w:hAnsi="宋体" w:eastAsia="宋体" w:cs="宋体"/>
                <w:kern w:val="0"/>
              </w:rPr>
            </w:pPr>
            <w:r>
              <w:rPr>
                <w:rFonts w:hint="eastAsia" w:ascii="宋体" w:hAnsi="宋体" w:eastAsia="宋体" w:cs="宋体"/>
                <w:kern w:val="0"/>
              </w:rPr>
              <w:t>条</w:t>
            </w:r>
          </w:p>
        </w:tc>
      </w:tr>
      <w:tr w14:paraId="54FF7F4D">
        <w:tblPrEx>
          <w:tblCellMar>
            <w:top w:w="0" w:type="dxa"/>
            <w:left w:w="108" w:type="dxa"/>
            <w:bottom w:w="0" w:type="dxa"/>
            <w:right w:w="108" w:type="dxa"/>
          </w:tblCellMar>
        </w:tblPrEx>
        <w:trPr>
          <w:trHeight w:val="284" w:hRule="atLeast"/>
        </w:trPr>
        <w:tc>
          <w:tcPr>
            <w:tcW w:w="492" w:type="pct"/>
            <w:tcBorders>
              <w:top w:val="nil"/>
              <w:left w:val="single" w:color="auto" w:sz="4" w:space="0"/>
              <w:bottom w:val="single" w:color="auto" w:sz="4" w:space="0"/>
              <w:right w:val="single" w:color="auto" w:sz="4" w:space="0"/>
            </w:tcBorders>
            <w:shd w:val="clear" w:color="auto" w:fill="auto"/>
            <w:vAlign w:val="center"/>
          </w:tcPr>
          <w:p w14:paraId="7CA49D8E">
            <w:pPr>
              <w:widowControl/>
              <w:spacing w:line="240" w:lineRule="auto"/>
              <w:jc w:val="center"/>
              <w:rPr>
                <w:rFonts w:ascii="宋体" w:hAnsi="宋体" w:eastAsia="宋体" w:cs="宋体"/>
                <w:kern w:val="0"/>
              </w:rPr>
            </w:pPr>
            <w:r>
              <w:rPr>
                <w:rFonts w:ascii="宋体" w:hAnsi="宋体" w:eastAsia="宋体" w:cs="宋体"/>
                <w:kern w:val="0"/>
              </w:rPr>
              <w:t>7</w:t>
            </w:r>
          </w:p>
        </w:tc>
        <w:tc>
          <w:tcPr>
            <w:tcW w:w="2652" w:type="pct"/>
            <w:tcBorders>
              <w:top w:val="nil"/>
              <w:left w:val="nil"/>
              <w:bottom w:val="single" w:color="auto" w:sz="4" w:space="0"/>
              <w:right w:val="single" w:color="auto" w:sz="4" w:space="0"/>
            </w:tcBorders>
            <w:shd w:val="clear" w:color="auto" w:fill="auto"/>
            <w:vAlign w:val="center"/>
          </w:tcPr>
          <w:p w14:paraId="0151251F">
            <w:pPr>
              <w:widowControl/>
              <w:spacing w:line="240" w:lineRule="auto"/>
              <w:jc w:val="left"/>
              <w:rPr>
                <w:rFonts w:ascii="宋体" w:hAnsi="宋体" w:eastAsia="宋体" w:cs="宋体"/>
                <w:kern w:val="0"/>
              </w:rPr>
            </w:pPr>
            <w:r>
              <w:rPr>
                <w:rFonts w:hint="eastAsia" w:ascii="宋体" w:hAnsi="宋体" w:eastAsia="宋体" w:cs="宋体"/>
                <w:kern w:val="0"/>
              </w:rPr>
              <w:t>内存数据库服务（主从版）</w:t>
            </w:r>
          </w:p>
        </w:tc>
        <w:tc>
          <w:tcPr>
            <w:tcW w:w="956" w:type="pct"/>
            <w:tcBorders>
              <w:top w:val="nil"/>
              <w:left w:val="nil"/>
              <w:bottom w:val="single" w:color="auto" w:sz="4" w:space="0"/>
              <w:right w:val="single" w:color="auto" w:sz="4" w:space="0"/>
            </w:tcBorders>
            <w:shd w:val="clear" w:color="auto" w:fill="auto"/>
            <w:vAlign w:val="center"/>
          </w:tcPr>
          <w:p w14:paraId="0E3B16C5">
            <w:pPr>
              <w:widowControl/>
              <w:spacing w:line="240" w:lineRule="auto"/>
              <w:jc w:val="center"/>
              <w:rPr>
                <w:rFonts w:ascii="宋体" w:hAnsi="宋体" w:eastAsia="宋体" w:cs="宋体"/>
                <w:kern w:val="0"/>
              </w:rPr>
            </w:pPr>
            <w:r>
              <w:rPr>
                <w:rFonts w:hint="eastAsia" w:ascii="宋体" w:hAnsi="宋体" w:eastAsia="宋体" w:cs="宋体"/>
                <w:kern w:val="0"/>
              </w:rPr>
              <w:t>1</w:t>
            </w:r>
          </w:p>
        </w:tc>
        <w:tc>
          <w:tcPr>
            <w:tcW w:w="898" w:type="pct"/>
            <w:tcBorders>
              <w:top w:val="nil"/>
              <w:left w:val="nil"/>
              <w:bottom w:val="single" w:color="auto" w:sz="4" w:space="0"/>
              <w:right w:val="single" w:color="auto" w:sz="4" w:space="0"/>
            </w:tcBorders>
            <w:shd w:val="clear" w:color="auto" w:fill="auto"/>
            <w:vAlign w:val="center"/>
          </w:tcPr>
          <w:p w14:paraId="6F0198F1">
            <w:pPr>
              <w:widowControl/>
              <w:spacing w:line="240" w:lineRule="auto"/>
              <w:jc w:val="center"/>
              <w:rPr>
                <w:rFonts w:ascii="宋体" w:hAnsi="宋体" w:eastAsia="宋体" w:cs="宋体"/>
                <w:kern w:val="0"/>
              </w:rPr>
            </w:pPr>
            <w:r>
              <w:rPr>
                <w:rFonts w:hint="eastAsia" w:ascii="宋体" w:hAnsi="宋体" w:eastAsia="宋体" w:cs="宋体"/>
                <w:kern w:val="0"/>
              </w:rPr>
              <w:t>实例</w:t>
            </w:r>
          </w:p>
        </w:tc>
      </w:tr>
      <w:tr w14:paraId="1964E489">
        <w:tblPrEx>
          <w:tblCellMar>
            <w:top w:w="0" w:type="dxa"/>
            <w:left w:w="108" w:type="dxa"/>
            <w:bottom w:w="0" w:type="dxa"/>
            <w:right w:w="108" w:type="dxa"/>
          </w:tblCellMar>
        </w:tblPrEx>
        <w:trPr>
          <w:trHeight w:val="284" w:hRule="atLeast"/>
        </w:trPr>
        <w:tc>
          <w:tcPr>
            <w:tcW w:w="492" w:type="pct"/>
            <w:tcBorders>
              <w:top w:val="nil"/>
              <w:left w:val="single" w:color="auto" w:sz="4" w:space="0"/>
              <w:bottom w:val="single" w:color="auto" w:sz="4" w:space="0"/>
              <w:right w:val="single" w:color="auto" w:sz="4" w:space="0"/>
            </w:tcBorders>
            <w:shd w:val="clear" w:color="auto" w:fill="auto"/>
            <w:vAlign w:val="center"/>
          </w:tcPr>
          <w:p w14:paraId="3E03EFFB">
            <w:pPr>
              <w:widowControl/>
              <w:spacing w:line="240" w:lineRule="auto"/>
              <w:jc w:val="center"/>
              <w:rPr>
                <w:rFonts w:ascii="宋体" w:hAnsi="宋体" w:eastAsia="宋体" w:cs="宋体"/>
                <w:kern w:val="0"/>
              </w:rPr>
            </w:pPr>
            <w:r>
              <w:rPr>
                <w:rFonts w:ascii="宋体" w:hAnsi="宋体" w:eastAsia="宋体" w:cs="宋体"/>
                <w:kern w:val="0"/>
              </w:rPr>
              <w:t>8</w:t>
            </w:r>
          </w:p>
        </w:tc>
        <w:tc>
          <w:tcPr>
            <w:tcW w:w="2652" w:type="pct"/>
            <w:tcBorders>
              <w:top w:val="nil"/>
              <w:left w:val="nil"/>
              <w:bottom w:val="single" w:color="auto" w:sz="4" w:space="0"/>
              <w:right w:val="single" w:color="auto" w:sz="4" w:space="0"/>
            </w:tcBorders>
            <w:shd w:val="clear" w:color="auto" w:fill="auto"/>
            <w:vAlign w:val="center"/>
          </w:tcPr>
          <w:p w14:paraId="51657145">
            <w:pPr>
              <w:widowControl/>
              <w:spacing w:line="240" w:lineRule="auto"/>
              <w:jc w:val="left"/>
              <w:rPr>
                <w:rFonts w:ascii="宋体" w:hAnsi="宋体" w:eastAsia="宋体" w:cs="宋体"/>
                <w:kern w:val="0"/>
              </w:rPr>
            </w:pPr>
            <w:r>
              <w:rPr>
                <w:rFonts w:hint="eastAsia" w:ascii="宋体" w:hAnsi="宋体" w:eastAsia="宋体" w:cs="宋体"/>
                <w:kern w:val="0"/>
              </w:rPr>
              <w:t>数据库服务-达梦、人大金仓</w:t>
            </w:r>
          </w:p>
        </w:tc>
        <w:tc>
          <w:tcPr>
            <w:tcW w:w="956" w:type="pct"/>
            <w:tcBorders>
              <w:top w:val="nil"/>
              <w:left w:val="nil"/>
              <w:bottom w:val="single" w:color="auto" w:sz="4" w:space="0"/>
              <w:right w:val="single" w:color="auto" w:sz="4" w:space="0"/>
            </w:tcBorders>
            <w:shd w:val="clear" w:color="auto" w:fill="auto"/>
            <w:vAlign w:val="center"/>
          </w:tcPr>
          <w:p w14:paraId="286B860D">
            <w:pPr>
              <w:widowControl/>
              <w:spacing w:line="240" w:lineRule="auto"/>
              <w:jc w:val="center"/>
              <w:rPr>
                <w:rFonts w:ascii="宋体" w:hAnsi="宋体" w:eastAsia="宋体" w:cs="宋体"/>
                <w:kern w:val="0"/>
              </w:rPr>
            </w:pPr>
            <w:r>
              <w:rPr>
                <w:rFonts w:hint="eastAsia" w:ascii="宋体" w:hAnsi="宋体" w:eastAsia="宋体" w:cs="宋体"/>
                <w:kern w:val="0"/>
              </w:rPr>
              <w:t>2</w:t>
            </w:r>
          </w:p>
        </w:tc>
        <w:tc>
          <w:tcPr>
            <w:tcW w:w="898" w:type="pct"/>
            <w:tcBorders>
              <w:top w:val="nil"/>
              <w:left w:val="nil"/>
              <w:bottom w:val="single" w:color="auto" w:sz="4" w:space="0"/>
              <w:right w:val="single" w:color="auto" w:sz="4" w:space="0"/>
            </w:tcBorders>
            <w:shd w:val="clear" w:color="auto" w:fill="auto"/>
            <w:vAlign w:val="center"/>
          </w:tcPr>
          <w:p w14:paraId="4408F28C">
            <w:pPr>
              <w:widowControl/>
              <w:spacing w:line="240" w:lineRule="auto"/>
              <w:jc w:val="center"/>
              <w:rPr>
                <w:rFonts w:ascii="宋体" w:hAnsi="宋体" w:eastAsia="宋体" w:cs="宋体"/>
                <w:kern w:val="0"/>
              </w:rPr>
            </w:pPr>
            <w:r>
              <w:rPr>
                <w:rFonts w:hint="eastAsia" w:ascii="宋体" w:hAnsi="宋体" w:eastAsia="宋体" w:cs="宋体"/>
                <w:kern w:val="0"/>
              </w:rPr>
              <w:t>套</w:t>
            </w:r>
            <w:r>
              <w:rPr>
                <w:rFonts w:ascii="宋体" w:hAnsi="宋体" w:eastAsia="宋体" w:cs="宋体"/>
                <w:kern w:val="0"/>
              </w:rPr>
              <w:t>*年</w:t>
            </w:r>
          </w:p>
        </w:tc>
      </w:tr>
    </w:tbl>
    <w:p w14:paraId="28765C32">
      <w:pPr>
        <w:pStyle w:val="4"/>
        <w:ind w:firstLine="420"/>
        <w:rPr>
          <w:sz w:val="21"/>
        </w:rPr>
      </w:pPr>
    </w:p>
    <w:p w14:paraId="4D3B2CD5">
      <w:pPr>
        <w:pStyle w:val="6"/>
        <w:rPr>
          <w:sz w:val="21"/>
          <w:szCs w:val="21"/>
        </w:rPr>
      </w:pPr>
      <w:r>
        <w:rPr>
          <w:rFonts w:hint="eastAsia"/>
          <w:sz w:val="21"/>
          <w:szCs w:val="21"/>
        </w:rPr>
        <w:t>实施内容</w:t>
      </w:r>
    </w:p>
    <w:p w14:paraId="02E38748">
      <w:pPr>
        <w:pStyle w:val="4"/>
        <w:ind w:firstLine="420"/>
        <w:rPr>
          <w:sz w:val="21"/>
        </w:rPr>
      </w:pPr>
      <w:r>
        <w:rPr>
          <w:rFonts w:hint="eastAsia"/>
          <w:sz w:val="21"/>
        </w:rPr>
        <w:t>本次采购实施内容包括：市级医院成本运营分析评价与促进子系统建设项目相关系统开发、部署和集成，包括软件功能的开发、接口调试、修改、系统部署、集成、维护，完成本项目建设所需的基础数据准备，人员培训，售后服务和技术支持等内容。</w:t>
      </w:r>
    </w:p>
    <w:p w14:paraId="6B94F4A2">
      <w:pPr>
        <w:pStyle w:val="2"/>
        <w:rPr>
          <w:sz w:val="21"/>
          <w:szCs w:val="21"/>
        </w:rPr>
      </w:pPr>
      <w:r>
        <w:rPr>
          <w:rFonts w:hint="eastAsia"/>
          <w:sz w:val="21"/>
          <w:szCs w:val="21"/>
        </w:rPr>
        <w:t>项目建设原则</w:t>
      </w:r>
    </w:p>
    <w:p w14:paraId="7EAA62E5">
      <w:pPr>
        <w:pStyle w:val="4"/>
        <w:ind w:firstLine="420"/>
        <w:rPr>
          <w:sz w:val="21"/>
        </w:rPr>
      </w:pPr>
      <w:r>
        <w:rPr>
          <w:rFonts w:hint="eastAsia"/>
          <w:sz w:val="21"/>
        </w:rPr>
        <w:t>本次项目建设应依据以下文件进行建设：</w:t>
      </w:r>
    </w:p>
    <w:p w14:paraId="279CE982">
      <w:pPr>
        <w:pStyle w:val="4"/>
        <w:numPr>
          <w:ilvl w:val="0"/>
          <w:numId w:val="2"/>
        </w:numPr>
        <w:ind w:firstLineChars="0"/>
        <w:rPr>
          <w:rFonts w:ascii="宋体" w:hAnsi="宋体"/>
          <w:sz w:val="21"/>
        </w:rPr>
      </w:pPr>
      <w:r>
        <w:rPr>
          <w:rFonts w:hint="eastAsia" w:ascii="宋体" w:hAnsi="宋体"/>
          <w:sz w:val="21"/>
        </w:rPr>
        <w:t>国务院办公厅《关于城市公立医院综合改革试点的指导意见》（国办发〔2015〕38号）</w:t>
      </w:r>
    </w:p>
    <w:p w14:paraId="6D2DC3E9">
      <w:pPr>
        <w:pStyle w:val="4"/>
        <w:numPr>
          <w:ilvl w:val="0"/>
          <w:numId w:val="2"/>
        </w:numPr>
        <w:ind w:firstLineChars="0"/>
        <w:rPr>
          <w:rFonts w:ascii="宋体" w:hAnsi="宋体"/>
          <w:sz w:val="21"/>
        </w:rPr>
      </w:pPr>
      <w:r>
        <w:rPr>
          <w:rFonts w:hint="eastAsia" w:ascii="宋体" w:hAnsi="宋体"/>
          <w:sz w:val="21"/>
        </w:rPr>
        <w:t>国务院办公厅《关于建立现代医院管理制度的指导意见》（国办发〔2017〕67号）</w:t>
      </w:r>
    </w:p>
    <w:p w14:paraId="1EE7D188">
      <w:pPr>
        <w:pStyle w:val="4"/>
        <w:numPr>
          <w:ilvl w:val="0"/>
          <w:numId w:val="2"/>
        </w:numPr>
        <w:ind w:firstLineChars="0"/>
        <w:rPr>
          <w:rFonts w:ascii="宋体" w:hAnsi="宋体"/>
          <w:sz w:val="21"/>
        </w:rPr>
      </w:pPr>
      <w:r>
        <w:rPr>
          <w:rFonts w:hint="eastAsia" w:ascii="宋体" w:hAnsi="宋体"/>
          <w:sz w:val="21"/>
        </w:rPr>
        <w:t>国务院办公厅《关于改革完善医疗卫生行业综合监管制度的指导意见》(国办发〔2018〕63号)</w:t>
      </w:r>
    </w:p>
    <w:p w14:paraId="5295CB93">
      <w:pPr>
        <w:pStyle w:val="4"/>
        <w:numPr>
          <w:ilvl w:val="0"/>
          <w:numId w:val="2"/>
        </w:numPr>
        <w:ind w:firstLineChars="0"/>
        <w:rPr>
          <w:rFonts w:ascii="宋体" w:hAnsi="宋体"/>
          <w:sz w:val="21"/>
        </w:rPr>
      </w:pPr>
      <w:r>
        <w:rPr>
          <w:rFonts w:hint="eastAsia" w:ascii="宋体" w:hAnsi="宋体"/>
          <w:sz w:val="21"/>
        </w:rPr>
        <w:t>上海市人民政府办公厅《关于改革完善医疗卫生行业综合监管制度的实施意见》（沪府办规〔2020〕5号）</w:t>
      </w:r>
    </w:p>
    <w:p w14:paraId="14C44A37">
      <w:pPr>
        <w:pStyle w:val="4"/>
        <w:numPr>
          <w:ilvl w:val="0"/>
          <w:numId w:val="2"/>
        </w:numPr>
        <w:ind w:firstLineChars="0"/>
        <w:rPr>
          <w:rFonts w:ascii="宋体" w:hAnsi="宋体"/>
          <w:sz w:val="21"/>
        </w:rPr>
      </w:pPr>
      <w:r>
        <w:rPr>
          <w:rFonts w:hint="eastAsia" w:ascii="宋体" w:hAnsi="宋体"/>
          <w:sz w:val="21"/>
        </w:rPr>
        <w:t>国务院办公厅《关于加强三级公立医院绩效考核工作的意见》（国办发〔2019〕4号）</w:t>
      </w:r>
    </w:p>
    <w:p w14:paraId="1D161BB6">
      <w:pPr>
        <w:pStyle w:val="4"/>
        <w:numPr>
          <w:ilvl w:val="0"/>
          <w:numId w:val="2"/>
        </w:numPr>
        <w:ind w:firstLineChars="0"/>
        <w:rPr>
          <w:rFonts w:ascii="宋体" w:hAnsi="宋体"/>
          <w:sz w:val="21"/>
        </w:rPr>
      </w:pPr>
      <w:r>
        <w:rPr>
          <w:rFonts w:hint="eastAsia" w:ascii="宋体" w:hAnsi="宋体"/>
          <w:sz w:val="21"/>
        </w:rPr>
        <w:t>国家卫生健康委、国家中医药局《关于加强公立医院运营管理的指导意见》（国卫财务发〔2020〕27号）</w:t>
      </w:r>
    </w:p>
    <w:p w14:paraId="269DAC58">
      <w:pPr>
        <w:pStyle w:val="4"/>
        <w:numPr>
          <w:ilvl w:val="0"/>
          <w:numId w:val="2"/>
        </w:numPr>
        <w:ind w:firstLineChars="0"/>
        <w:rPr>
          <w:rFonts w:ascii="宋体" w:hAnsi="宋体"/>
          <w:sz w:val="21"/>
        </w:rPr>
      </w:pPr>
      <w:r>
        <w:rPr>
          <w:rFonts w:hint="eastAsia" w:ascii="宋体" w:hAnsi="宋体"/>
          <w:sz w:val="21"/>
        </w:rPr>
        <w:t>国家卫生健康委、国家发展改革委、财政部、人力资源社会保障部、市场监管总局、国家医保局、国家中医药局、中央军委后勤保障部卫生局联合印发《关于进一步规范医疗行为促进合理医疗检查的指导意见》（国卫医发〔2020〕29号）</w:t>
      </w:r>
    </w:p>
    <w:p w14:paraId="35976AB3">
      <w:pPr>
        <w:pStyle w:val="4"/>
        <w:numPr>
          <w:ilvl w:val="0"/>
          <w:numId w:val="2"/>
        </w:numPr>
        <w:ind w:firstLineChars="0"/>
        <w:rPr>
          <w:rFonts w:ascii="宋体" w:hAnsi="宋体"/>
          <w:sz w:val="21"/>
        </w:rPr>
      </w:pPr>
      <w:r>
        <w:rPr>
          <w:rFonts w:hint="eastAsia" w:ascii="宋体" w:hAnsi="宋体"/>
          <w:sz w:val="21"/>
        </w:rPr>
        <w:t>国家卫生健康委、国家中医药局《关于印发公立医院全面预算管理制度实施办法的通知》（国卫财务发〔2020〕30号）</w:t>
      </w:r>
    </w:p>
    <w:p w14:paraId="138359A2">
      <w:pPr>
        <w:pStyle w:val="4"/>
        <w:numPr>
          <w:ilvl w:val="0"/>
          <w:numId w:val="2"/>
        </w:numPr>
        <w:ind w:firstLineChars="0"/>
        <w:rPr>
          <w:rFonts w:ascii="宋体" w:hAnsi="宋体"/>
          <w:sz w:val="21"/>
        </w:rPr>
      </w:pPr>
      <w:r>
        <w:rPr>
          <w:rFonts w:hint="eastAsia" w:ascii="宋体" w:hAnsi="宋体"/>
          <w:sz w:val="21"/>
        </w:rPr>
        <w:t>国家卫生健康委、国家中医药管理局《关于印发公立医院成本核算规范的通知》（国卫财务发〔2021〕4号）</w:t>
      </w:r>
    </w:p>
    <w:p w14:paraId="6489EFD8">
      <w:pPr>
        <w:pStyle w:val="4"/>
        <w:numPr>
          <w:ilvl w:val="0"/>
          <w:numId w:val="2"/>
        </w:numPr>
        <w:ind w:firstLineChars="0"/>
        <w:rPr>
          <w:rFonts w:ascii="宋体" w:hAnsi="宋体"/>
          <w:sz w:val="21"/>
        </w:rPr>
      </w:pPr>
      <w:r>
        <w:rPr>
          <w:rFonts w:hint="eastAsia" w:ascii="宋体" w:hAnsi="宋体"/>
          <w:sz w:val="21"/>
        </w:rPr>
        <w:t>《国务院关于进一步深化预算管理制度改革的意见》（国发〔2021〕5号）</w:t>
      </w:r>
    </w:p>
    <w:p w14:paraId="7E18A6B2">
      <w:pPr>
        <w:pStyle w:val="4"/>
        <w:numPr>
          <w:ilvl w:val="0"/>
          <w:numId w:val="2"/>
        </w:numPr>
        <w:ind w:firstLineChars="0"/>
        <w:rPr>
          <w:rFonts w:ascii="宋体" w:hAnsi="宋体"/>
          <w:sz w:val="21"/>
        </w:rPr>
      </w:pPr>
      <w:r>
        <w:rPr>
          <w:rFonts w:hint="eastAsia" w:ascii="宋体" w:hAnsi="宋体"/>
          <w:sz w:val="21"/>
        </w:rPr>
        <w:t>国务院办公厅《关于推动公立医院高质量发展的意见》（国办发〔2021〕18号）</w:t>
      </w:r>
    </w:p>
    <w:p w14:paraId="7F98766C">
      <w:pPr>
        <w:pStyle w:val="4"/>
        <w:numPr>
          <w:ilvl w:val="0"/>
          <w:numId w:val="2"/>
        </w:numPr>
        <w:ind w:firstLineChars="0"/>
        <w:rPr>
          <w:rFonts w:ascii="宋体" w:hAnsi="宋体"/>
          <w:sz w:val="21"/>
        </w:rPr>
      </w:pPr>
      <w:r>
        <w:rPr>
          <w:rFonts w:hint="eastAsia" w:ascii="宋体" w:hAnsi="宋体"/>
          <w:sz w:val="21"/>
        </w:rPr>
        <w:t>上海市人民政府《关于上海市卫生健康发展“十四五”规划》（沪府发〔2021〕10号）</w:t>
      </w:r>
    </w:p>
    <w:p w14:paraId="2723D980">
      <w:pPr>
        <w:pStyle w:val="4"/>
        <w:numPr>
          <w:ilvl w:val="0"/>
          <w:numId w:val="2"/>
        </w:numPr>
        <w:ind w:firstLineChars="0"/>
        <w:rPr>
          <w:rFonts w:ascii="宋体" w:hAnsi="宋体"/>
          <w:sz w:val="21"/>
        </w:rPr>
      </w:pPr>
      <w:r>
        <w:rPr>
          <w:rFonts w:hint="eastAsia" w:ascii="宋体" w:hAnsi="宋体"/>
          <w:sz w:val="21"/>
        </w:rPr>
        <w:t>国家卫生健康委、国家中医药管理局《关于印发公立医院高质量发展促进行动（2021-2025年）的通知》（国卫医发〔2021〕27号）</w:t>
      </w:r>
    </w:p>
    <w:p w14:paraId="4F9C1224">
      <w:pPr>
        <w:pStyle w:val="4"/>
        <w:numPr>
          <w:ilvl w:val="0"/>
          <w:numId w:val="2"/>
        </w:numPr>
        <w:ind w:firstLineChars="0"/>
        <w:rPr>
          <w:rFonts w:ascii="宋体" w:hAnsi="宋体"/>
          <w:sz w:val="21"/>
        </w:rPr>
      </w:pPr>
      <w:r>
        <w:rPr>
          <w:rFonts w:hint="eastAsia" w:ascii="宋体" w:hAnsi="宋体"/>
          <w:sz w:val="21"/>
        </w:rPr>
        <w:t>国家卫生健康委、国家中医药管理局《公立医院运营管理信息化功能指引》（国卫办财务函〔2022〕126号）</w:t>
      </w:r>
    </w:p>
    <w:p w14:paraId="5681C6A4">
      <w:pPr>
        <w:pStyle w:val="4"/>
        <w:numPr>
          <w:ilvl w:val="0"/>
          <w:numId w:val="2"/>
        </w:numPr>
        <w:ind w:firstLineChars="0"/>
        <w:rPr>
          <w:rFonts w:ascii="宋体" w:hAnsi="宋体"/>
          <w:sz w:val="21"/>
        </w:rPr>
      </w:pPr>
      <w:r>
        <w:rPr>
          <w:rFonts w:hint="eastAsia" w:ascii="宋体" w:hAnsi="宋体"/>
          <w:sz w:val="21"/>
        </w:rPr>
        <w:t>国家卫生健康委《关于印发&lt;公立医院成本核算指导手册&gt;的通知》（国卫办财务函〔2023〕377号）</w:t>
      </w:r>
    </w:p>
    <w:p w14:paraId="3921BD5E">
      <w:pPr>
        <w:pStyle w:val="4"/>
        <w:numPr>
          <w:ilvl w:val="0"/>
          <w:numId w:val="2"/>
        </w:numPr>
        <w:ind w:firstLineChars="0"/>
        <w:rPr>
          <w:rFonts w:ascii="宋体" w:hAnsi="宋体"/>
          <w:sz w:val="21"/>
        </w:rPr>
      </w:pPr>
      <w:r>
        <w:rPr>
          <w:rFonts w:hint="eastAsia" w:ascii="宋体" w:hAnsi="宋体"/>
          <w:sz w:val="21"/>
        </w:rPr>
        <w:t>上海申康医院发展中心《关于印发关于进一步加强市级医院成本管理工作的通知》（申康发〔2024〕14号）</w:t>
      </w:r>
    </w:p>
    <w:p w14:paraId="07015B24">
      <w:pPr>
        <w:pStyle w:val="2"/>
        <w:rPr>
          <w:sz w:val="21"/>
          <w:szCs w:val="21"/>
        </w:rPr>
      </w:pPr>
      <w:r>
        <w:rPr>
          <w:rFonts w:hint="eastAsia"/>
          <w:sz w:val="21"/>
          <w:szCs w:val="21"/>
        </w:rPr>
        <w:t>系统接口及统一编码标准要求</w:t>
      </w:r>
    </w:p>
    <w:p w14:paraId="0C9834D3">
      <w:pPr>
        <w:pStyle w:val="83"/>
        <w:ind w:firstLine="420"/>
        <w:jc w:val="both"/>
        <w:rPr>
          <w:rFonts w:ascii="宋体"/>
          <w:sz w:val="21"/>
          <w:szCs w:val="21"/>
        </w:rPr>
      </w:pPr>
      <w:r>
        <w:rPr>
          <w:rFonts w:hint="eastAsia" w:ascii="宋体"/>
          <w:sz w:val="21"/>
          <w:szCs w:val="21"/>
        </w:rPr>
        <w:t>本项目要求参考相关标准规范，包括但不限于下表内容。</w:t>
      </w:r>
    </w:p>
    <w:tbl>
      <w:tblPr>
        <w:tblStyle w:val="34"/>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482"/>
        <w:gridCol w:w="4706"/>
        <w:gridCol w:w="2546"/>
      </w:tblGrid>
      <w:tr w14:paraId="7F5E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blHeader/>
          <w:jc w:val="center"/>
        </w:trPr>
        <w:tc>
          <w:tcPr>
            <w:tcW w:w="793" w:type="dxa"/>
            <w:shd w:val="clear" w:color="auto" w:fill="D8D8D8" w:themeFill="background1" w:themeFillShade="D9"/>
            <w:vAlign w:val="center"/>
          </w:tcPr>
          <w:p w14:paraId="6FDC037B">
            <w:pPr>
              <w:spacing w:line="240" w:lineRule="auto"/>
              <w:jc w:val="center"/>
              <w:rPr>
                <w:rFonts w:ascii="宋体" w:hAnsi="宋体" w:eastAsia="宋体"/>
                <w:b/>
                <w:bCs/>
              </w:rPr>
            </w:pPr>
            <w:r>
              <w:rPr>
                <w:rFonts w:hint="eastAsia" w:ascii="宋体" w:hAnsi="宋体" w:eastAsia="宋体"/>
                <w:b/>
                <w:bCs/>
              </w:rPr>
              <w:t>序号</w:t>
            </w:r>
          </w:p>
        </w:tc>
        <w:tc>
          <w:tcPr>
            <w:tcW w:w="1482" w:type="dxa"/>
            <w:shd w:val="clear" w:color="auto" w:fill="D8D8D8" w:themeFill="background1" w:themeFillShade="D9"/>
            <w:vAlign w:val="center"/>
          </w:tcPr>
          <w:p w14:paraId="41153FF4">
            <w:pPr>
              <w:spacing w:line="240" w:lineRule="auto"/>
              <w:jc w:val="center"/>
              <w:rPr>
                <w:rFonts w:ascii="宋体" w:hAnsi="宋体" w:eastAsia="宋体"/>
                <w:b/>
                <w:bCs/>
              </w:rPr>
            </w:pPr>
            <w:r>
              <w:rPr>
                <w:rFonts w:hint="eastAsia" w:ascii="宋体" w:hAnsi="宋体" w:eastAsia="宋体"/>
                <w:b/>
                <w:bCs/>
              </w:rPr>
              <w:t>标准类型</w:t>
            </w:r>
          </w:p>
        </w:tc>
        <w:tc>
          <w:tcPr>
            <w:tcW w:w="4706" w:type="dxa"/>
            <w:shd w:val="clear" w:color="auto" w:fill="D8D8D8" w:themeFill="background1" w:themeFillShade="D9"/>
            <w:vAlign w:val="center"/>
          </w:tcPr>
          <w:p w14:paraId="515FF957">
            <w:pPr>
              <w:spacing w:line="240" w:lineRule="auto"/>
              <w:jc w:val="center"/>
              <w:rPr>
                <w:rFonts w:ascii="宋体" w:hAnsi="宋体" w:eastAsia="宋体"/>
                <w:b/>
                <w:bCs/>
              </w:rPr>
            </w:pPr>
            <w:r>
              <w:rPr>
                <w:rFonts w:hint="eastAsia" w:ascii="宋体" w:hAnsi="宋体" w:eastAsia="宋体"/>
                <w:b/>
                <w:bCs/>
              </w:rPr>
              <w:t>标准名称</w:t>
            </w:r>
          </w:p>
        </w:tc>
        <w:tc>
          <w:tcPr>
            <w:tcW w:w="2546" w:type="dxa"/>
            <w:shd w:val="clear" w:color="auto" w:fill="D8D8D8" w:themeFill="background1" w:themeFillShade="D9"/>
            <w:vAlign w:val="center"/>
          </w:tcPr>
          <w:p w14:paraId="34376D6B">
            <w:pPr>
              <w:spacing w:line="240" w:lineRule="auto"/>
              <w:jc w:val="center"/>
              <w:rPr>
                <w:rFonts w:ascii="宋体" w:hAnsi="宋体" w:eastAsia="宋体"/>
                <w:b/>
                <w:bCs/>
              </w:rPr>
            </w:pPr>
            <w:r>
              <w:rPr>
                <w:rFonts w:hint="eastAsia" w:ascii="宋体" w:hAnsi="宋体" w:eastAsia="宋体"/>
                <w:b/>
                <w:bCs/>
              </w:rPr>
              <w:t>标准号</w:t>
            </w:r>
          </w:p>
        </w:tc>
      </w:tr>
      <w:tr w14:paraId="2807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5F9DFF93">
            <w:pPr>
              <w:pStyle w:val="84"/>
              <w:widowControl w:val="0"/>
              <w:numPr>
                <w:ilvl w:val="0"/>
                <w:numId w:val="3"/>
              </w:numPr>
              <w:tabs>
                <w:tab w:val="left" w:pos="257"/>
              </w:tabs>
              <w:ind w:firstLineChars="0"/>
              <w:jc w:val="both"/>
              <w:rPr>
                <w:sz w:val="21"/>
                <w:szCs w:val="21"/>
              </w:rPr>
            </w:pPr>
          </w:p>
        </w:tc>
        <w:tc>
          <w:tcPr>
            <w:tcW w:w="1482" w:type="dxa"/>
            <w:vAlign w:val="center"/>
          </w:tcPr>
          <w:p w14:paraId="200C1D5E">
            <w:pPr>
              <w:adjustRightInd w:val="0"/>
              <w:snapToGrid w:val="0"/>
              <w:spacing w:line="240" w:lineRule="auto"/>
              <w:rPr>
                <w:rFonts w:ascii="宋体" w:hAnsi="宋体" w:eastAsia="宋体" w:cs="仿宋_GB2312"/>
              </w:rPr>
            </w:pPr>
            <w:r>
              <w:rPr>
                <w:rFonts w:hint="eastAsia" w:ascii="宋体" w:hAnsi="宋体" w:eastAsia="宋体" w:cs="仿宋_GB2312"/>
              </w:rPr>
              <w:t>国家标准</w:t>
            </w:r>
          </w:p>
        </w:tc>
        <w:tc>
          <w:tcPr>
            <w:tcW w:w="4706" w:type="dxa"/>
            <w:vAlign w:val="center"/>
          </w:tcPr>
          <w:p w14:paraId="0A1DD733">
            <w:pPr>
              <w:adjustRightInd w:val="0"/>
              <w:snapToGrid w:val="0"/>
              <w:spacing w:line="240" w:lineRule="auto"/>
              <w:rPr>
                <w:rFonts w:ascii="宋体" w:hAnsi="宋体" w:eastAsia="宋体" w:cs="仿宋_GB2312"/>
              </w:rPr>
            </w:pPr>
            <w:r>
              <w:rPr>
                <w:rFonts w:hint="eastAsia" w:ascii="宋体" w:hAnsi="宋体" w:eastAsia="宋体" w:cs="仿宋_GB2312"/>
              </w:rPr>
              <w:t>信息安全技术</w:t>
            </w:r>
            <w:r>
              <w:rPr>
                <w:rFonts w:ascii="宋体" w:hAnsi="宋体" w:eastAsia="宋体" w:cs="仿宋_GB2312"/>
              </w:rPr>
              <w:t xml:space="preserve"> </w:t>
            </w:r>
            <w:r>
              <w:rPr>
                <w:rFonts w:hint="eastAsia" w:ascii="宋体" w:hAnsi="宋体" w:eastAsia="宋体" w:cs="仿宋_GB2312"/>
              </w:rPr>
              <w:t>信息系统安全等级保护设计技术要求</w:t>
            </w:r>
          </w:p>
        </w:tc>
        <w:tc>
          <w:tcPr>
            <w:tcW w:w="2546" w:type="dxa"/>
            <w:vAlign w:val="center"/>
          </w:tcPr>
          <w:p w14:paraId="14EE06FA">
            <w:pPr>
              <w:adjustRightInd w:val="0"/>
              <w:snapToGrid w:val="0"/>
              <w:spacing w:line="240" w:lineRule="auto"/>
              <w:rPr>
                <w:rFonts w:ascii="宋体" w:hAnsi="宋体" w:eastAsia="宋体" w:cs="仿宋_GB2312"/>
              </w:rPr>
            </w:pPr>
            <w:r>
              <w:rPr>
                <w:rFonts w:ascii="宋体" w:hAnsi="宋体" w:eastAsia="宋体" w:cs="仿宋_GB2312"/>
              </w:rPr>
              <w:t>GB/T 25070-2010</w:t>
            </w:r>
          </w:p>
        </w:tc>
      </w:tr>
      <w:tr w14:paraId="1482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259545FC">
            <w:pPr>
              <w:pStyle w:val="84"/>
              <w:widowControl w:val="0"/>
              <w:numPr>
                <w:ilvl w:val="0"/>
                <w:numId w:val="3"/>
              </w:numPr>
              <w:tabs>
                <w:tab w:val="left" w:pos="257"/>
              </w:tabs>
              <w:ind w:firstLineChars="0"/>
              <w:jc w:val="both"/>
              <w:rPr>
                <w:sz w:val="21"/>
                <w:szCs w:val="21"/>
              </w:rPr>
            </w:pPr>
          </w:p>
        </w:tc>
        <w:tc>
          <w:tcPr>
            <w:tcW w:w="1482" w:type="dxa"/>
            <w:vAlign w:val="center"/>
          </w:tcPr>
          <w:p w14:paraId="3D309C16">
            <w:pPr>
              <w:adjustRightInd w:val="0"/>
              <w:snapToGrid w:val="0"/>
              <w:spacing w:line="240" w:lineRule="auto"/>
              <w:rPr>
                <w:rFonts w:ascii="宋体" w:hAnsi="宋体" w:eastAsia="宋体" w:cs="仿宋_GB2312"/>
              </w:rPr>
            </w:pPr>
            <w:r>
              <w:rPr>
                <w:rFonts w:hint="eastAsia" w:ascii="宋体" w:hAnsi="宋体" w:eastAsia="宋体" w:cs="仿宋_GB2312"/>
              </w:rPr>
              <w:t>国家标准</w:t>
            </w:r>
          </w:p>
        </w:tc>
        <w:tc>
          <w:tcPr>
            <w:tcW w:w="4706" w:type="dxa"/>
            <w:vAlign w:val="center"/>
          </w:tcPr>
          <w:p w14:paraId="6BC3F581">
            <w:pPr>
              <w:adjustRightInd w:val="0"/>
              <w:snapToGrid w:val="0"/>
              <w:spacing w:line="240" w:lineRule="auto"/>
              <w:rPr>
                <w:rFonts w:ascii="宋体" w:hAnsi="宋体" w:eastAsia="宋体" w:cs="仿宋_GB2312"/>
              </w:rPr>
            </w:pPr>
            <w:r>
              <w:rPr>
                <w:rFonts w:hint="eastAsia" w:ascii="宋体" w:hAnsi="宋体" w:eastAsia="宋体" w:cs="仿宋_GB2312"/>
              </w:rPr>
              <w:t>信息安全技术</w:t>
            </w:r>
            <w:r>
              <w:rPr>
                <w:rFonts w:ascii="宋体" w:hAnsi="宋体" w:eastAsia="宋体" w:cs="仿宋_GB2312"/>
              </w:rPr>
              <w:t xml:space="preserve"> </w:t>
            </w:r>
            <w:r>
              <w:rPr>
                <w:rFonts w:hint="eastAsia" w:ascii="宋体" w:hAnsi="宋体" w:eastAsia="宋体" w:cs="仿宋_GB2312"/>
              </w:rPr>
              <w:t>信息系统安全运维管理指南</w:t>
            </w:r>
          </w:p>
        </w:tc>
        <w:tc>
          <w:tcPr>
            <w:tcW w:w="2546" w:type="dxa"/>
            <w:vAlign w:val="center"/>
          </w:tcPr>
          <w:p w14:paraId="5C339E89">
            <w:pPr>
              <w:adjustRightInd w:val="0"/>
              <w:snapToGrid w:val="0"/>
              <w:spacing w:line="240" w:lineRule="auto"/>
              <w:rPr>
                <w:rFonts w:ascii="宋体" w:hAnsi="宋体" w:eastAsia="宋体" w:cs="仿宋_GB2312"/>
              </w:rPr>
            </w:pPr>
            <w:r>
              <w:rPr>
                <w:rFonts w:ascii="宋体" w:hAnsi="宋体" w:eastAsia="宋体" w:cs="仿宋_GB2312"/>
              </w:rPr>
              <w:t>GB/T 36626-2018</w:t>
            </w:r>
          </w:p>
        </w:tc>
      </w:tr>
      <w:tr w14:paraId="2789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0B0FD5EF">
            <w:pPr>
              <w:pStyle w:val="84"/>
              <w:widowControl w:val="0"/>
              <w:numPr>
                <w:ilvl w:val="0"/>
                <w:numId w:val="3"/>
              </w:numPr>
              <w:tabs>
                <w:tab w:val="left" w:pos="257"/>
              </w:tabs>
              <w:ind w:firstLineChars="0"/>
              <w:jc w:val="both"/>
              <w:rPr>
                <w:sz w:val="21"/>
                <w:szCs w:val="21"/>
              </w:rPr>
            </w:pPr>
          </w:p>
        </w:tc>
        <w:tc>
          <w:tcPr>
            <w:tcW w:w="1482" w:type="dxa"/>
            <w:vAlign w:val="center"/>
          </w:tcPr>
          <w:p w14:paraId="33CE98DF">
            <w:pPr>
              <w:adjustRightInd w:val="0"/>
              <w:snapToGrid w:val="0"/>
              <w:spacing w:line="240" w:lineRule="auto"/>
              <w:rPr>
                <w:rFonts w:ascii="宋体" w:hAnsi="宋体" w:eastAsia="宋体" w:cs="仿宋_GB2312"/>
              </w:rPr>
            </w:pPr>
            <w:r>
              <w:rPr>
                <w:rFonts w:hint="eastAsia" w:ascii="宋体" w:hAnsi="宋体" w:eastAsia="宋体" w:cs="仿宋_GB2312"/>
              </w:rPr>
              <w:t>国家标准</w:t>
            </w:r>
          </w:p>
        </w:tc>
        <w:tc>
          <w:tcPr>
            <w:tcW w:w="4706" w:type="dxa"/>
            <w:vAlign w:val="center"/>
          </w:tcPr>
          <w:p w14:paraId="15E40BC9">
            <w:pPr>
              <w:adjustRightInd w:val="0"/>
              <w:snapToGrid w:val="0"/>
              <w:spacing w:line="240" w:lineRule="auto"/>
              <w:rPr>
                <w:rFonts w:ascii="宋体" w:hAnsi="宋体" w:eastAsia="宋体" w:cs="仿宋_GB2312"/>
              </w:rPr>
            </w:pPr>
            <w:r>
              <w:rPr>
                <w:rFonts w:hint="eastAsia" w:ascii="宋体" w:hAnsi="宋体" w:eastAsia="宋体" w:cs="仿宋_GB2312"/>
              </w:rPr>
              <w:t>信息安全技术</w:t>
            </w:r>
            <w:r>
              <w:rPr>
                <w:rFonts w:ascii="宋体" w:hAnsi="宋体" w:eastAsia="宋体" w:cs="仿宋_GB2312"/>
              </w:rPr>
              <w:t xml:space="preserve"> 网络安全等级保护基本要求</w:t>
            </w:r>
          </w:p>
        </w:tc>
        <w:tc>
          <w:tcPr>
            <w:tcW w:w="2546" w:type="dxa"/>
            <w:vAlign w:val="center"/>
          </w:tcPr>
          <w:p w14:paraId="75CCFD06">
            <w:pPr>
              <w:adjustRightInd w:val="0"/>
              <w:snapToGrid w:val="0"/>
              <w:spacing w:line="240" w:lineRule="auto"/>
              <w:rPr>
                <w:rFonts w:ascii="宋体" w:hAnsi="宋体" w:eastAsia="宋体" w:cs="仿宋_GB2312"/>
              </w:rPr>
            </w:pPr>
            <w:r>
              <w:rPr>
                <w:rFonts w:ascii="宋体" w:hAnsi="宋体" w:eastAsia="宋体" w:cs="仿宋_GB2312"/>
              </w:rPr>
              <w:t>GB/T22239-2019</w:t>
            </w:r>
          </w:p>
        </w:tc>
      </w:tr>
      <w:tr w14:paraId="6E7B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155287BF">
            <w:pPr>
              <w:pStyle w:val="84"/>
              <w:widowControl w:val="0"/>
              <w:numPr>
                <w:ilvl w:val="0"/>
                <w:numId w:val="3"/>
              </w:numPr>
              <w:tabs>
                <w:tab w:val="left" w:pos="257"/>
              </w:tabs>
              <w:ind w:firstLineChars="0"/>
              <w:jc w:val="both"/>
              <w:rPr>
                <w:sz w:val="21"/>
                <w:szCs w:val="21"/>
              </w:rPr>
            </w:pPr>
          </w:p>
        </w:tc>
        <w:tc>
          <w:tcPr>
            <w:tcW w:w="1482" w:type="dxa"/>
            <w:vAlign w:val="center"/>
          </w:tcPr>
          <w:p w14:paraId="5C5C3A62">
            <w:pPr>
              <w:adjustRightInd w:val="0"/>
              <w:snapToGrid w:val="0"/>
              <w:spacing w:line="240" w:lineRule="auto"/>
              <w:rPr>
                <w:rFonts w:ascii="宋体" w:hAnsi="宋体" w:eastAsia="宋体" w:cs="仿宋_GB2312"/>
              </w:rPr>
            </w:pPr>
            <w:r>
              <w:rPr>
                <w:rFonts w:hint="eastAsia" w:ascii="宋体" w:hAnsi="宋体" w:eastAsia="宋体" w:cs="仿宋_GB2312"/>
              </w:rPr>
              <w:t>国家标准</w:t>
            </w:r>
          </w:p>
        </w:tc>
        <w:tc>
          <w:tcPr>
            <w:tcW w:w="4706" w:type="dxa"/>
            <w:vAlign w:val="center"/>
          </w:tcPr>
          <w:p w14:paraId="1EEA7F79">
            <w:pPr>
              <w:adjustRightInd w:val="0"/>
              <w:snapToGrid w:val="0"/>
              <w:spacing w:line="240" w:lineRule="auto"/>
              <w:rPr>
                <w:rFonts w:ascii="宋体" w:hAnsi="宋体" w:eastAsia="宋体" w:cs="仿宋_GB2312"/>
              </w:rPr>
            </w:pPr>
            <w:r>
              <w:rPr>
                <w:rFonts w:hint="eastAsia" w:ascii="宋体" w:hAnsi="宋体" w:eastAsia="宋体" w:cs="仿宋_GB2312"/>
              </w:rPr>
              <w:t>信息安全技术</w:t>
            </w:r>
            <w:r>
              <w:rPr>
                <w:rFonts w:ascii="宋体" w:hAnsi="宋体" w:eastAsia="宋体" w:cs="仿宋_GB2312"/>
              </w:rPr>
              <w:t xml:space="preserve"> 网络安全等级保护测评要求</w:t>
            </w:r>
          </w:p>
        </w:tc>
        <w:tc>
          <w:tcPr>
            <w:tcW w:w="2546" w:type="dxa"/>
            <w:vAlign w:val="center"/>
          </w:tcPr>
          <w:p w14:paraId="644E3207">
            <w:pPr>
              <w:adjustRightInd w:val="0"/>
              <w:snapToGrid w:val="0"/>
              <w:spacing w:line="240" w:lineRule="auto"/>
              <w:rPr>
                <w:rFonts w:ascii="宋体" w:hAnsi="宋体" w:eastAsia="宋体" w:cs="仿宋_GB2312"/>
              </w:rPr>
            </w:pPr>
            <w:r>
              <w:rPr>
                <w:rFonts w:ascii="宋体" w:hAnsi="宋体" w:eastAsia="宋体" w:cs="仿宋_GB2312"/>
              </w:rPr>
              <w:t>GB/T28448-2019</w:t>
            </w:r>
          </w:p>
        </w:tc>
      </w:tr>
      <w:tr w14:paraId="46FA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42C46476">
            <w:pPr>
              <w:pStyle w:val="84"/>
              <w:widowControl w:val="0"/>
              <w:numPr>
                <w:ilvl w:val="0"/>
                <w:numId w:val="3"/>
              </w:numPr>
              <w:tabs>
                <w:tab w:val="left" w:pos="257"/>
              </w:tabs>
              <w:ind w:firstLineChars="0"/>
              <w:jc w:val="both"/>
              <w:rPr>
                <w:sz w:val="21"/>
                <w:szCs w:val="21"/>
              </w:rPr>
            </w:pPr>
          </w:p>
        </w:tc>
        <w:tc>
          <w:tcPr>
            <w:tcW w:w="1482" w:type="dxa"/>
            <w:vAlign w:val="center"/>
          </w:tcPr>
          <w:p w14:paraId="3E76B31C">
            <w:pPr>
              <w:adjustRightInd w:val="0"/>
              <w:snapToGrid w:val="0"/>
              <w:spacing w:line="240" w:lineRule="auto"/>
              <w:rPr>
                <w:rFonts w:ascii="宋体" w:hAnsi="宋体" w:eastAsia="宋体" w:cs="仿宋_GB2312"/>
              </w:rPr>
            </w:pPr>
            <w:r>
              <w:rPr>
                <w:rFonts w:hint="eastAsia" w:ascii="宋体" w:hAnsi="宋体" w:eastAsia="宋体" w:cs="仿宋_GB2312"/>
              </w:rPr>
              <w:t>国家标准</w:t>
            </w:r>
          </w:p>
        </w:tc>
        <w:tc>
          <w:tcPr>
            <w:tcW w:w="4706" w:type="dxa"/>
            <w:vAlign w:val="center"/>
          </w:tcPr>
          <w:p w14:paraId="77DE0E60">
            <w:pPr>
              <w:adjustRightInd w:val="0"/>
              <w:snapToGrid w:val="0"/>
              <w:spacing w:line="240" w:lineRule="auto"/>
              <w:rPr>
                <w:rFonts w:ascii="宋体" w:hAnsi="宋体" w:eastAsia="宋体" w:cs="仿宋_GB2312"/>
              </w:rPr>
            </w:pPr>
            <w:r>
              <w:rPr>
                <w:rFonts w:ascii="宋体" w:hAnsi="宋体" w:eastAsia="宋体" w:cs="仿宋_GB2312"/>
              </w:rPr>
              <w:t>信息安全技术 健康医疗数据安全指南</w:t>
            </w:r>
          </w:p>
        </w:tc>
        <w:tc>
          <w:tcPr>
            <w:tcW w:w="2546" w:type="dxa"/>
            <w:vAlign w:val="center"/>
          </w:tcPr>
          <w:p w14:paraId="1C486693">
            <w:pPr>
              <w:adjustRightInd w:val="0"/>
              <w:snapToGrid w:val="0"/>
              <w:spacing w:line="240" w:lineRule="auto"/>
              <w:rPr>
                <w:rFonts w:ascii="宋体" w:hAnsi="宋体" w:eastAsia="宋体" w:cs="仿宋_GB2312"/>
              </w:rPr>
            </w:pPr>
            <w:r>
              <w:rPr>
                <w:rFonts w:ascii="宋体" w:hAnsi="宋体" w:eastAsia="宋体" w:cs="仿宋_GB2312"/>
              </w:rPr>
              <w:t>GB/T 39725-2020</w:t>
            </w:r>
          </w:p>
        </w:tc>
      </w:tr>
      <w:tr w14:paraId="7E60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341DD9CD">
            <w:pPr>
              <w:pStyle w:val="84"/>
              <w:widowControl w:val="0"/>
              <w:numPr>
                <w:ilvl w:val="0"/>
                <w:numId w:val="3"/>
              </w:numPr>
              <w:tabs>
                <w:tab w:val="left" w:pos="257"/>
              </w:tabs>
              <w:ind w:firstLineChars="0"/>
              <w:jc w:val="both"/>
              <w:rPr>
                <w:sz w:val="21"/>
                <w:szCs w:val="21"/>
              </w:rPr>
            </w:pPr>
          </w:p>
        </w:tc>
        <w:tc>
          <w:tcPr>
            <w:tcW w:w="1482" w:type="dxa"/>
            <w:vAlign w:val="center"/>
          </w:tcPr>
          <w:p w14:paraId="40EBF40D">
            <w:pPr>
              <w:adjustRightInd w:val="0"/>
              <w:snapToGrid w:val="0"/>
              <w:spacing w:line="240" w:lineRule="auto"/>
              <w:rPr>
                <w:rFonts w:ascii="宋体" w:hAnsi="宋体" w:eastAsia="宋体" w:cs="仿宋_GB2312"/>
              </w:rPr>
            </w:pPr>
            <w:r>
              <w:rPr>
                <w:rFonts w:hint="eastAsia" w:ascii="宋体" w:hAnsi="宋体" w:eastAsia="宋体" w:cs="仿宋_GB2312"/>
              </w:rPr>
              <w:t>行业规范</w:t>
            </w:r>
          </w:p>
        </w:tc>
        <w:tc>
          <w:tcPr>
            <w:tcW w:w="4706" w:type="dxa"/>
            <w:vAlign w:val="center"/>
          </w:tcPr>
          <w:p w14:paraId="1A471AB0">
            <w:pPr>
              <w:adjustRightInd w:val="0"/>
              <w:snapToGrid w:val="0"/>
              <w:spacing w:line="240" w:lineRule="auto"/>
              <w:rPr>
                <w:rFonts w:ascii="宋体" w:hAnsi="宋体" w:eastAsia="宋体" w:cs="仿宋_GB2312"/>
              </w:rPr>
            </w:pPr>
            <w:r>
              <w:rPr>
                <w:rFonts w:hint="eastAsia" w:ascii="宋体" w:hAnsi="宋体" w:eastAsia="宋体" w:cs="仿宋_GB2312"/>
              </w:rPr>
              <w:t>国家医疗健康信息医院信息互联互通标准化成熟度测评方案（</w:t>
            </w:r>
            <w:r>
              <w:rPr>
                <w:rFonts w:ascii="宋体" w:hAnsi="宋体" w:eastAsia="宋体" w:cs="仿宋_GB2312"/>
              </w:rPr>
              <w:t>2020年版）</w:t>
            </w:r>
          </w:p>
        </w:tc>
        <w:tc>
          <w:tcPr>
            <w:tcW w:w="2546" w:type="dxa"/>
            <w:vAlign w:val="center"/>
          </w:tcPr>
          <w:p w14:paraId="5EA36628">
            <w:pPr>
              <w:adjustRightInd w:val="0"/>
              <w:snapToGrid w:val="0"/>
              <w:spacing w:line="240" w:lineRule="auto"/>
              <w:rPr>
                <w:rFonts w:ascii="宋体" w:hAnsi="宋体" w:eastAsia="宋体" w:cs="仿宋_GB2312"/>
              </w:rPr>
            </w:pPr>
            <w:r>
              <w:rPr>
                <w:rFonts w:hint="eastAsia" w:ascii="宋体" w:hAnsi="宋体" w:eastAsia="宋体" w:cs="仿宋_GB2312"/>
              </w:rPr>
              <w:t>国卫统信便函〔</w:t>
            </w:r>
            <w:r>
              <w:rPr>
                <w:rFonts w:ascii="宋体" w:hAnsi="宋体" w:eastAsia="宋体" w:cs="仿宋_GB2312"/>
              </w:rPr>
              <w:t>2020〕30号</w:t>
            </w:r>
          </w:p>
        </w:tc>
      </w:tr>
      <w:tr w14:paraId="70BA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6F458DD6">
            <w:pPr>
              <w:pStyle w:val="84"/>
              <w:widowControl w:val="0"/>
              <w:numPr>
                <w:ilvl w:val="0"/>
                <w:numId w:val="3"/>
              </w:numPr>
              <w:tabs>
                <w:tab w:val="left" w:pos="257"/>
              </w:tabs>
              <w:ind w:firstLineChars="0"/>
              <w:jc w:val="both"/>
              <w:rPr>
                <w:sz w:val="21"/>
                <w:szCs w:val="21"/>
              </w:rPr>
            </w:pPr>
          </w:p>
        </w:tc>
        <w:tc>
          <w:tcPr>
            <w:tcW w:w="1482" w:type="dxa"/>
            <w:vAlign w:val="center"/>
          </w:tcPr>
          <w:p w14:paraId="79BD4D23">
            <w:pPr>
              <w:adjustRightInd w:val="0"/>
              <w:snapToGrid w:val="0"/>
              <w:spacing w:line="240" w:lineRule="auto"/>
              <w:rPr>
                <w:rFonts w:ascii="宋体" w:hAnsi="宋体" w:eastAsia="宋体" w:cs="仿宋_GB2312"/>
              </w:rPr>
            </w:pPr>
            <w:r>
              <w:rPr>
                <w:rFonts w:hint="eastAsia" w:ascii="宋体" w:hAnsi="宋体" w:eastAsia="宋体" w:cs="仿宋_GB2312"/>
              </w:rPr>
              <w:t>行业规范</w:t>
            </w:r>
          </w:p>
        </w:tc>
        <w:tc>
          <w:tcPr>
            <w:tcW w:w="4706" w:type="dxa"/>
            <w:vAlign w:val="center"/>
          </w:tcPr>
          <w:p w14:paraId="23A8D740">
            <w:pPr>
              <w:adjustRightInd w:val="0"/>
              <w:snapToGrid w:val="0"/>
              <w:spacing w:line="240" w:lineRule="auto"/>
              <w:rPr>
                <w:rFonts w:ascii="宋体" w:hAnsi="宋体" w:eastAsia="宋体" w:cs="仿宋_GB2312"/>
              </w:rPr>
            </w:pPr>
            <w:r>
              <w:rPr>
                <w:rFonts w:hint="eastAsia" w:ascii="宋体" w:hAnsi="宋体" w:eastAsia="宋体" w:cs="仿宋_GB2312"/>
              </w:rPr>
              <w:t>全国医院信息化建设标准与规范</w:t>
            </w:r>
          </w:p>
        </w:tc>
        <w:tc>
          <w:tcPr>
            <w:tcW w:w="2546" w:type="dxa"/>
            <w:vAlign w:val="center"/>
          </w:tcPr>
          <w:p w14:paraId="180ED840">
            <w:pPr>
              <w:adjustRightInd w:val="0"/>
              <w:snapToGrid w:val="0"/>
              <w:spacing w:line="240" w:lineRule="auto"/>
              <w:rPr>
                <w:rFonts w:ascii="宋体" w:hAnsi="宋体" w:eastAsia="宋体" w:cs="仿宋_GB2312"/>
              </w:rPr>
            </w:pPr>
            <w:r>
              <w:rPr>
                <w:rFonts w:hint="eastAsia" w:ascii="宋体" w:hAnsi="宋体" w:eastAsia="宋体" w:cs="仿宋_GB2312"/>
              </w:rPr>
              <w:t>国卫办规划发〔</w:t>
            </w:r>
            <w:r>
              <w:rPr>
                <w:rFonts w:ascii="宋体" w:hAnsi="宋体" w:eastAsia="宋体" w:cs="仿宋_GB2312"/>
              </w:rPr>
              <w:t>2018〕4号</w:t>
            </w:r>
          </w:p>
        </w:tc>
      </w:tr>
      <w:tr w14:paraId="6A01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708F17A4">
            <w:pPr>
              <w:pStyle w:val="84"/>
              <w:widowControl w:val="0"/>
              <w:numPr>
                <w:ilvl w:val="0"/>
                <w:numId w:val="3"/>
              </w:numPr>
              <w:tabs>
                <w:tab w:val="left" w:pos="257"/>
              </w:tabs>
              <w:ind w:firstLineChars="0"/>
              <w:jc w:val="both"/>
              <w:rPr>
                <w:sz w:val="21"/>
                <w:szCs w:val="21"/>
              </w:rPr>
            </w:pPr>
          </w:p>
        </w:tc>
        <w:tc>
          <w:tcPr>
            <w:tcW w:w="1482" w:type="dxa"/>
            <w:vAlign w:val="center"/>
          </w:tcPr>
          <w:p w14:paraId="7204D155">
            <w:pPr>
              <w:adjustRightInd w:val="0"/>
              <w:snapToGrid w:val="0"/>
              <w:spacing w:line="240" w:lineRule="auto"/>
              <w:rPr>
                <w:rFonts w:ascii="宋体" w:hAnsi="宋体" w:eastAsia="宋体" w:cs="仿宋_GB2312"/>
              </w:rPr>
            </w:pPr>
            <w:r>
              <w:rPr>
                <w:rFonts w:hint="eastAsia" w:ascii="宋体" w:hAnsi="宋体" w:eastAsia="宋体" w:cs="仿宋_GB2312"/>
              </w:rPr>
              <w:t>行业规范</w:t>
            </w:r>
          </w:p>
        </w:tc>
        <w:tc>
          <w:tcPr>
            <w:tcW w:w="4706" w:type="dxa"/>
            <w:vAlign w:val="center"/>
          </w:tcPr>
          <w:p w14:paraId="54FE0A28">
            <w:pPr>
              <w:adjustRightInd w:val="0"/>
              <w:snapToGrid w:val="0"/>
              <w:spacing w:line="240" w:lineRule="auto"/>
              <w:rPr>
                <w:rFonts w:ascii="宋体" w:hAnsi="宋体" w:eastAsia="宋体" w:cs="仿宋_GB2312"/>
              </w:rPr>
            </w:pPr>
            <w:r>
              <w:rPr>
                <w:rFonts w:hint="eastAsia" w:ascii="宋体" w:hAnsi="宋体" w:eastAsia="宋体" w:cs="仿宋_GB2312"/>
              </w:rPr>
              <w:t>全国医院数据上报管理方案</w:t>
            </w:r>
          </w:p>
        </w:tc>
        <w:tc>
          <w:tcPr>
            <w:tcW w:w="2546" w:type="dxa"/>
            <w:vAlign w:val="center"/>
          </w:tcPr>
          <w:p w14:paraId="701AA730">
            <w:pPr>
              <w:adjustRightInd w:val="0"/>
              <w:snapToGrid w:val="0"/>
              <w:spacing w:line="240" w:lineRule="auto"/>
              <w:rPr>
                <w:rFonts w:ascii="宋体" w:hAnsi="宋体" w:eastAsia="宋体" w:cs="仿宋_GB2312"/>
              </w:rPr>
            </w:pPr>
            <w:r>
              <w:rPr>
                <w:rFonts w:hint="eastAsia" w:ascii="宋体" w:hAnsi="宋体" w:eastAsia="宋体" w:cs="仿宋_GB2312"/>
              </w:rPr>
              <w:t>国卫办规划函〔</w:t>
            </w:r>
            <w:r>
              <w:rPr>
                <w:rFonts w:ascii="宋体" w:hAnsi="宋体" w:eastAsia="宋体" w:cs="仿宋_GB2312"/>
              </w:rPr>
              <w:t>2019〕380号</w:t>
            </w:r>
          </w:p>
        </w:tc>
      </w:tr>
    </w:tbl>
    <w:p w14:paraId="1A311CF2">
      <w:pPr>
        <w:pStyle w:val="81"/>
        <w:adjustRightInd w:val="0"/>
        <w:spacing w:line="360" w:lineRule="auto"/>
        <w:rPr>
          <w:rFonts w:ascii="宋体" w:hAnsi="宋体" w:eastAsia="宋体" w:cs="Calibri"/>
          <w:sz w:val="21"/>
          <w:szCs w:val="21"/>
        </w:rPr>
      </w:pPr>
      <w:r>
        <w:rPr>
          <w:rFonts w:hint="eastAsia" w:ascii="宋体" w:hAnsi="宋体" w:eastAsia="宋体" w:cs="Calibri"/>
          <w:sz w:val="21"/>
          <w:szCs w:val="21"/>
        </w:rPr>
        <w:t>同时，需参考和遵循申康中心已有相关标准规范：</w:t>
      </w:r>
    </w:p>
    <w:p w14:paraId="3474A117">
      <w:pPr>
        <w:pStyle w:val="64"/>
        <w:numPr>
          <w:ilvl w:val="0"/>
          <w:numId w:val="4"/>
        </w:numPr>
        <w:adjustRightInd w:val="0"/>
        <w:snapToGrid w:val="0"/>
        <w:spacing w:line="360" w:lineRule="auto"/>
        <w:ind w:hanging="278" w:firstLineChars="0"/>
        <w:jc w:val="left"/>
        <w:rPr>
          <w:rFonts w:ascii="宋体" w:hAnsi="宋体" w:eastAsia="宋体" w:cs="仿宋_GB2312"/>
          <w:szCs w:val="21"/>
        </w:rPr>
      </w:pPr>
      <w:r>
        <w:rPr>
          <w:rFonts w:hint="eastAsia" w:ascii="宋体" w:hAnsi="宋体" w:eastAsia="宋体" w:cs="仿宋_GB2312"/>
          <w:szCs w:val="21"/>
        </w:rPr>
        <w:t>《医联工程数据交换接口规范（版本</w:t>
      </w:r>
      <w:r>
        <w:rPr>
          <w:rFonts w:ascii="宋体" w:hAnsi="宋体" w:eastAsia="宋体" w:cs="仿宋_GB2312"/>
          <w:szCs w:val="21"/>
        </w:rPr>
        <w:t>5.1）》</w:t>
      </w:r>
    </w:p>
    <w:p w14:paraId="37334020">
      <w:pPr>
        <w:pStyle w:val="64"/>
        <w:numPr>
          <w:ilvl w:val="0"/>
          <w:numId w:val="4"/>
        </w:numPr>
        <w:adjustRightInd w:val="0"/>
        <w:snapToGrid w:val="0"/>
        <w:spacing w:line="360" w:lineRule="auto"/>
        <w:ind w:hanging="278" w:firstLineChars="0"/>
        <w:jc w:val="left"/>
        <w:rPr>
          <w:rFonts w:ascii="宋体" w:hAnsi="宋体" w:eastAsia="宋体" w:cs="仿宋_GB2312"/>
          <w:szCs w:val="21"/>
        </w:rPr>
      </w:pPr>
      <w:r>
        <w:rPr>
          <w:rFonts w:hint="eastAsia" w:ascii="宋体" w:hAnsi="宋体" w:eastAsia="宋体" w:cs="仿宋_GB2312"/>
          <w:szCs w:val="21"/>
        </w:rPr>
        <w:t>《市级医院实时业务数据与互联网业务接口规范（抗疫专用版本</w:t>
      </w:r>
      <w:r>
        <w:rPr>
          <w:rFonts w:ascii="宋体" w:hAnsi="宋体" w:eastAsia="宋体" w:cs="仿宋_GB2312"/>
          <w:szCs w:val="21"/>
        </w:rPr>
        <w:t>1.2）（最新版本2.0</w:t>
      </w:r>
      <w:r>
        <w:rPr>
          <w:rFonts w:hint="eastAsia" w:ascii="宋体" w:hAnsi="宋体" w:eastAsia="宋体" w:cs="仿宋_GB2312"/>
          <w:szCs w:val="21"/>
        </w:rPr>
        <w:t>）》</w:t>
      </w:r>
    </w:p>
    <w:p w14:paraId="02B2721F">
      <w:pPr>
        <w:pStyle w:val="64"/>
        <w:numPr>
          <w:ilvl w:val="0"/>
          <w:numId w:val="4"/>
        </w:numPr>
        <w:adjustRightInd w:val="0"/>
        <w:snapToGrid w:val="0"/>
        <w:spacing w:line="360" w:lineRule="auto"/>
        <w:ind w:hanging="278" w:firstLineChars="0"/>
        <w:jc w:val="left"/>
        <w:rPr>
          <w:rFonts w:ascii="宋体" w:hAnsi="宋体" w:eastAsia="宋体" w:cs="仿宋_GB2312"/>
          <w:szCs w:val="21"/>
        </w:rPr>
      </w:pPr>
      <w:r>
        <w:rPr>
          <w:rFonts w:hint="eastAsia" w:ascii="宋体" w:hAnsi="宋体" w:eastAsia="宋体" w:cs="仿宋_GB2312"/>
          <w:szCs w:val="21"/>
        </w:rPr>
        <w:t>《医联工程二期数据同步规范（版本</w:t>
      </w:r>
      <w:r>
        <w:rPr>
          <w:rFonts w:ascii="宋体" w:hAnsi="宋体" w:eastAsia="宋体" w:cs="仿宋_GB2312"/>
          <w:szCs w:val="21"/>
        </w:rPr>
        <w:t>5.0）》</w:t>
      </w:r>
    </w:p>
    <w:p w14:paraId="08D263C5">
      <w:pPr>
        <w:pStyle w:val="64"/>
        <w:numPr>
          <w:ilvl w:val="0"/>
          <w:numId w:val="4"/>
        </w:numPr>
        <w:adjustRightInd w:val="0"/>
        <w:snapToGrid w:val="0"/>
        <w:spacing w:line="360" w:lineRule="auto"/>
        <w:ind w:hanging="278" w:firstLineChars="0"/>
        <w:jc w:val="left"/>
        <w:rPr>
          <w:rFonts w:ascii="宋体" w:hAnsi="宋体" w:eastAsia="宋体" w:cs="仿宋_GB2312"/>
          <w:szCs w:val="21"/>
        </w:rPr>
      </w:pPr>
      <w:r>
        <w:rPr>
          <w:rFonts w:hint="eastAsia" w:ascii="宋体" w:hAnsi="宋体" w:eastAsia="宋体" w:cs="仿宋_GB2312"/>
          <w:szCs w:val="21"/>
        </w:rPr>
        <w:t>《医联病案信息采集接口规范（版本</w:t>
      </w:r>
      <w:r>
        <w:rPr>
          <w:rFonts w:ascii="宋体" w:hAnsi="宋体" w:eastAsia="宋体" w:cs="仿宋_GB2312"/>
          <w:szCs w:val="21"/>
        </w:rPr>
        <w:t>1.0）》</w:t>
      </w:r>
    </w:p>
    <w:p w14:paraId="38A53B27">
      <w:pPr>
        <w:pStyle w:val="64"/>
        <w:numPr>
          <w:ilvl w:val="0"/>
          <w:numId w:val="4"/>
        </w:numPr>
        <w:adjustRightInd w:val="0"/>
        <w:snapToGrid w:val="0"/>
        <w:spacing w:line="360" w:lineRule="auto"/>
        <w:ind w:hanging="278" w:firstLineChars="0"/>
        <w:jc w:val="left"/>
        <w:rPr>
          <w:rFonts w:ascii="宋体" w:hAnsi="宋体" w:eastAsia="宋体" w:cs="仿宋_GB2312"/>
          <w:szCs w:val="21"/>
        </w:rPr>
      </w:pPr>
      <w:r>
        <w:rPr>
          <w:rFonts w:hint="eastAsia" w:ascii="宋体" w:hAnsi="宋体" w:eastAsia="宋体" w:cs="仿宋_GB2312"/>
          <w:szCs w:val="21"/>
        </w:rPr>
        <w:t>《医联工程市级医院分级诊疗数据采集接口规范》</w:t>
      </w:r>
    </w:p>
    <w:p w14:paraId="06D08E80">
      <w:pPr>
        <w:pStyle w:val="64"/>
        <w:numPr>
          <w:ilvl w:val="0"/>
          <w:numId w:val="4"/>
        </w:numPr>
        <w:adjustRightInd w:val="0"/>
        <w:snapToGrid w:val="0"/>
        <w:spacing w:line="360" w:lineRule="auto"/>
        <w:ind w:hanging="278" w:firstLineChars="0"/>
        <w:jc w:val="left"/>
        <w:rPr>
          <w:rFonts w:ascii="宋体" w:hAnsi="宋体" w:eastAsia="宋体" w:cs="仿宋_GB2312"/>
          <w:szCs w:val="21"/>
        </w:rPr>
      </w:pPr>
      <w:r>
        <w:rPr>
          <w:rFonts w:hint="eastAsia" w:ascii="宋体" w:hAnsi="宋体" w:eastAsia="宋体" w:cs="仿宋_GB2312"/>
          <w:szCs w:val="21"/>
        </w:rPr>
        <w:t>《申康医院满意度调查实时数据采集接口规范（版本</w:t>
      </w:r>
      <w:r>
        <w:rPr>
          <w:rFonts w:ascii="宋体" w:hAnsi="宋体" w:eastAsia="宋体" w:cs="仿宋_GB2312"/>
          <w:szCs w:val="21"/>
        </w:rPr>
        <w:t>1.0）》</w:t>
      </w:r>
    </w:p>
    <w:p w14:paraId="721DC3BC">
      <w:pPr>
        <w:pStyle w:val="64"/>
        <w:numPr>
          <w:ilvl w:val="0"/>
          <w:numId w:val="4"/>
        </w:numPr>
        <w:adjustRightInd w:val="0"/>
        <w:snapToGrid w:val="0"/>
        <w:spacing w:line="360" w:lineRule="auto"/>
        <w:ind w:hanging="278" w:firstLineChars="0"/>
        <w:jc w:val="left"/>
        <w:rPr>
          <w:rFonts w:ascii="宋体" w:hAnsi="宋体" w:eastAsia="宋体" w:cs="仿宋_GB2312"/>
          <w:szCs w:val="21"/>
        </w:rPr>
      </w:pPr>
      <w:r>
        <w:rPr>
          <w:rFonts w:hint="eastAsia" w:ascii="宋体" w:hAnsi="宋体" w:eastAsia="宋体" w:cs="仿宋_GB2312"/>
          <w:szCs w:val="21"/>
        </w:rPr>
        <w:t>《申康风险防控信息采集接口文档（版本</w:t>
      </w:r>
      <w:r>
        <w:rPr>
          <w:rFonts w:ascii="宋体" w:hAnsi="宋体" w:eastAsia="宋体" w:cs="仿宋_GB2312"/>
          <w:szCs w:val="21"/>
        </w:rPr>
        <w:t>1.3）》</w:t>
      </w:r>
    </w:p>
    <w:p w14:paraId="397C95A3">
      <w:pPr>
        <w:pStyle w:val="64"/>
        <w:numPr>
          <w:ilvl w:val="0"/>
          <w:numId w:val="4"/>
        </w:numPr>
        <w:adjustRightInd w:val="0"/>
        <w:snapToGrid w:val="0"/>
        <w:spacing w:line="360" w:lineRule="auto"/>
        <w:ind w:hanging="278" w:firstLineChars="0"/>
        <w:jc w:val="left"/>
        <w:rPr>
          <w:rFonts w:ascii="宋体" w:hAnsi="宋体" w:eastAsia="宋体" w:cs="仿宋_GB2312"/>
          <w:szCs w:val="21"/>
        </w:rPr>
      </w:pPr>
      <w:r>
        <w:rPr>
          <w:rFonts w:hint="eastAsia" w:ascii="宋体" w:hAnsi="宋体" w:eastAsia="宋体" w:cs="仿宋_GB2312"/>
          <w:szCs w:val="21"/>
        </w:rPr>
        <w:t>《上海医联工程市级医院成本核算管理系统》接口规范</w:t>
      </w:r>
    </w:p>
    <w:p w14:paraId="1BF4EE31">
      <w:pPr>
        <w:pStyle w:val="64"/>
        <w:numPr>
          <w:ilvl w:val="0"/>
          <w:numId w:val="4"/>
        </w:numPr>
        <w:adjustRightInd w:val="0"/>
        <w:snapToGrid w:val="0"/>
        <w:spacing w:line="360" w:lineRule="auto"/>
        <w:ind w:hanging="278" w:firstLineChars="0"/>
        <w:jc w:val="left"/>
        <w:rPr>
          <w:rFonts w:ascii="宋体" w:hAnsi="宋体" w:eastAsia="宋体" w:cs="仿宋_GB2312"/>
          <w:szCs w:val="21"/>
        </w:rPr>
      </w:pPr>
      <w:r>
        <w:rPr>
          <w:rFonts w:hint="eastAsia" w:ascii="宋体" w:hAnsi="宋体" w:eastAsia="宋体" w:cs="仿宋_GB2312"/>
          <w:szCs w:val="21"/>
        </w:rPr>
        <w:t>《上海医联工程市级医院物资监管信息系统》接口规范</w:t>
      </w:r>
    </w:p>
    <w:p w14:paraId="558102C6">
      <w:pPr>
        <w:pStyle w:val="64"/>
        <w:numPr>
          <w:ilvl w:val="0"/>
          <w:numId w:val="4"/>
        </w:numPr>
        <w:adjustRightInd w:val="0"/>
        <w:snapToGrid w:val="0"/>
        <w:spacing w:line="360" w:lineRule="auto"/>
        <w:ind w:hanging="278" w:firstLineChars="0"/>
        <w:jc w:val="left"/>
        <w:rPr>
          <w:rFonts w:ascii="宋体" w:hAnsi="宋体" w:eastAsia="宋体" w:cs="仿宋_GB2312"/>
          <w:szCs w:val="21"/>
        </w:rPr>
      </w:pPr>
      <w:r>
        <w:rPr>
          <w:rFonts w:hint="eastAsia" w:ascii="宋体" w:hAnsi="宋体" w:eastAsia="宋体" w:cs="仿宋_GB2312"/>
          <w:szCs w:val="21"/>
        </w:rPr>
        <w:t>《上海医联工程市级医院财务集中管理信息系统》接口规范</w:t>
      </w:r>
    </w:p>
    <w:p w14:paraId="3D68A133">
      <w:pPr>
        <w:pStyle w:val="64"/>
        <w:numPr>
          <w:ilvl w:val="0"/>
          <w:numId w:val="4"/>
        </w:numPr>
        <w:adjustRightInd w:val="0"/>
        <w:snapToGrid w:val="0"/>
        <w:spacing w:line="360" w:lineRule="auto"/>
        <w:ind w:hanging="278" w:firstLineChars="0"/>
        <w:jc w:val="left"/>
        <w:rPr>
          <w:rFonts w:ascii="宋体" w:hAnsi="宋体" w:eastAsia="宋体" w:cs="仿宋_GB2312"/>
          <w:szCs w:val="21"/>
        </w:rPr>
      </w:pPr>
      <w:r>
        <w:rPr>
          <w:rFonts w:hint="eastAsia" w:ascii="宋体" w:hAnsi="宋体" w:eastAsia="宋体" w:cs="仿宋_GB2312"/>
          <w:szCs w:val="21"/>
        </w:rPr>
        <w:t>《上海市医联工程市级医院人力资源信息系统》接口规范</w:t>
      </w:r>
    </w:p>
    <w:p w14:paraId="2A3889BA">
      <w:pPr>
        <w:pStyle w:val="2"/>
        <w:rPr>
          <w:sz w:val="21"/>
          <w:szCs w:val="21"/>
        </w:rPr>
      </w:pPr>
      <w:r>
        <w:rPr>
          <w:rFonts w:hint="eastAsia"/>
          <w:sz w:val="21"/>
          <w:szCs w:val="21"/>
        </w:rPr>
        <w:t>系统功能、技术规格及要求</w:t>
      </w:r>
    </w:p>
    <w:p w14:paraId="57F03187">
      <w:pPr>
        <w:pStyle w:val="83"/>
        <w:ind w:firstLine="420"/>
        <w:jc w:val="both"/>
        <w:rPr>
          <w:rFonts w:ascii="宋体"/>
          <w:sz w:val="21"/>
          <w:szCs w:val="21"/>
        </w:rPr>
      </w:pPr>
      <w:r>
        <w:rPr>
          <w:rFonts w:hint="eastAsia" w:ascii="宋体"/>
          <w:sz w:val="21"/>
          <w:szCs w:val="21"/>
        </w:rPr>
        <w:t>供应商需提供软件系统的详细方案，包括但不限于需求分析、业务流程分析、功能描述等。</w:t>
      </w:r>
    </w:p>
    <w:p w14:paraId="2BE13FF6">
      <w:pPr>
        <w:pStyle w:val="6"/>
        <w:spacing w:before="0" w:after="0" w:line="360" w:lineRule="auto"/>
        <w:rPr>
          <w:sz w:val="21"/>
          <w:szCs w:val="21"/>
        </w:rPr>
      </w:pPr>
      <w:r>
        <w:rPr>
          <w:rFonts w:hint="eastAsia"/>
          <w:sz w:val="21"/>
          <w:szCs w:val="21"/>
        </w:rPr>
        <w:t>总体要求</w:t>
      </w:r>
    </w:p>
    <w:p w14:paraId="67F10A07">
      <w:pPr>
        <w:pStyle w:val="7"/>
        <w:rPr>
          <w:sz w:val="21"/>
          <w:szCs w:val="21"/>
        </w:rPr>
      </w:pPr>
      <w:r>
        <w:rPr>
          <w:rFonts w:hint="eastAsia"/>
          <w:sz w:val="21"/>
          <w:szCs w:val="21"/>
        </w:rPr>
        <w:t>云部署要求</w:t>
      </w:r>
    </w:p>
    <w:p w14:paraId="089A2DC8">
      <w:pPr>
        <w:pStyle w:val="83"/>
        <w:ind w:firstLine="420"/>
        <w:jc w:val="both"/>
        <w:rPr>
          <w:rFonts w:ascii="宋体"/>
          <w:sz w:val="21"/>
          <w:szCs w:val="21"/>
        </w:rPr>
      </w:pPr>
      <w:r>
        <w:rPr>
          <w:rFonts w:hint="eastAsia" w:ascii="宋体"/>
          <w:sz w:val="21"/>
          <w:szCs w:val="21"/>
        </w:rPr>
        <w:t>本项目必须利用上海市政务云环境进行项目开发及部署，相关资源由采购人统一规划安排。供应商应承诺完成本项目中相关应用系统软件在政务云上后续部署实施，系统适配应符合</w:t>
      </w:r>
      <w:r>
        <w:rPr>
          <w:rFonts w:ascii="宋体"/>
          <w:sz w:val="21"/>
          <w:szCs w:val="21"/>
        </w:rPr>
        <w:t>XC</w:t>
      </w:r>
      <w:r>
        <w:rPr>
          <w:rFonts w:hint="eastAsia" w:ascii="宋体"/>
          <w:sz w:val="21"/>
          <w:szCs w:val="21"/>
        </w:rPr>
        <w:t>环境要求。</w:t>
      </w:r>
    </w:p>
    <w:p w14:paraId="0DD47CE6">
      <w:pPr>
        <w:pStyle w:val="7"/>
        <w:rPr>
          <w:sz w:val="21"/>
          <w:szCs w:val="21"/>
        </w:rPr>
      </w:pPr>
      <w:r>
        <w:rPr>
          <w:rFonts w:hint="eastAsia"/>
          <w:sz w:val="21"/>
          <w:szCs w:val="21"/>
        </w:rPr>
        <w:t>架构要求</w:t>
      </w:r>
    </w:p>
    <w:p w14:paraId="6B4374A6">
      <w:pPr>
        <w:pStyle w:val="83"/>
        <w:ind w:firstLine="420"/>
        <w:jc w:val="both"/>
        <w:rPr>
          <w:rFonts w:ascii="宋体"/>
          <w:sz w:val="21"/>
          <w:szCs w:val="21"/>
        </w:rPr>
      </w:pPr>
      <w:r>
        <w:rPr>
          <w:rFonts w:hint="eastAsia" w:ascii="宋体"/>
          <w:sz w:val="21"/>
          <w:szCs w:val="21"/>
        </w:rPr>
        <w:t>投标人提供的系统平台建设应满足以下要求：</w:t>
      </w:r>
    </w:p>
    <w:p w14:paraId="7768FF43">
      <w:pPr>
        <w:pStyle w:val="83"/>
        <w:ind w:firstLine="420"/>
        <w:jc w:val="both"/>
        <w:rPr>
          <w:rFonts w:ascii="宋体"/>
          <w:sz w:val="21"/>
          <w:szCs w:val="21"/>
        </w:rPr>
      </w:pPr>
      <w:r>
        <w:rPr>
          <w:rFonts w:ascii="宋体"/>
          <w:sz w:val="21"/>
          <w:szCs w:val="21"/>
        </w:rPr>
        <w:t>1.具备负载均衡能力，能够实现系统的热部署。</w:t>
      </w:r>
    </w:p>
    <w:p w14:paraId="76D05796">
      <w:pPr>
        <w:pStyle w:val="83"/>
        <w:ind w:firstLine="420"/>
        <w:jc w:val="both"/>
        <w:rPr>
          <w:rFonts w:ascii="宋体"/>
          <w:sz w:val="21"/>
          <w:szCs w:val="21"/>
        </w:rPr>
      </w:pPr>
      <w:r>
        <w:rPr>
          <w:rFonts w:ascii="宋体"/>
          <w:sz w:val="21"/>
          <w:szCs w:val="21"/>
        </w:rPr>
        <w:t>2.采用各业务模块微服务化设计，保障平台的性能。</w:t>
      </w:r>
    </w:p>
    <w:p w14:paraId="76FA4948">
      <w:pPr>
        <w:pStyle w:val="83"/>
        <w:ind w:firstLine="420"/>
        <w:jc w:val="both"/>
        <w:rPr>
          <w:rFonts w:ascii="宋体"/>
          <w:sz w:val="21"/>
          <w:szCs w:val="21"/>
        </w:rPr>
      </w:pPr>
      <w:r>
        <w:rPr>
          <w:rFonts w:ascii="宋体"/>
          <w:sz w:val="21"/>
          <w:szCs w:val="21"/>
        </w:rPr>
        <w:t>3.具有良好的可扩展性，预留与</w:t>
      </w:r>
      <w:r>
        <w:rPr>
          <w:rFonts w:hint="eastAsia" w:ascii="宋体"/>
          <w:sz w:val="21"/>
          <w:szCs w:val="21"/>
        </w:rPr>
        <w:t>上级主管部门、医疗机构的接口，以后可快速接入。</w:t>
      </w:r>
    </w:p>
    <w:p w14:paraId="533C05E8">
      <w:pPr>
        <w:pStyle w:val="83"/>
        <w:ind w:firstLine="420"/>
        <w:jc w:val="both"/>
        <w:rPr>
          <w:rFonts w:ascii="宋体"/>
          <w:sz w:val="21"/>
          <w:szCs w:val="21"/>
        </w:rPr>
      </w:pPr>
      <w:r>
        <w:rPr>
          <w:rFonts w:hint="eastAsia" w:ascii="宋体"/>
          <w:sz w:val="21"/>
          <w:szCs w:val="21"/>
        </w:rPr>
        <w:t>投标人需提供针对本项目的总体架构设计图及说明。</w:t>
      </w:r>
    </w:p>
    <w:p w14:paraId="705EFF01">
      <w:pPr>
        <w:pStyle w:val="7"/>
        <w:rPr>
          <w:sz w:val="21"/>
          <w:szCs w:val="21"/>
        </w:rPr>
      </w:pPr>
      <w:r>
        <w:rPr>
          <w:rFonts w:hint="eastAsia"/>
          <w:sz w:val="21"/>
          <w:szCs w:val="21"/>
        </w:rPr>
        <w:t>性能要求</w:t>
      </w:r>
    </w:p>
    <w:p w14:paraId="15B08BA1">
      <w:pPr>
        <w:pStyle w:val="83"/>
        <w:ind w:firstLine="420"/>
        <w:jc w:val="both"/>
        <w:rPr>
          <w:rFonts w:ascii="宋体"/>
          <w:sz w:val="21"/>
          <w:szCs w:val="21"/>
        </w:rPr>
      </w:pPr>
      <w:r>
        <w:rPr>
          <w:rFonts w:ascii="宋体"/>
          <w:sz w:val="21"/>
          <w:szCs w:val="21"/>
        </w:rPr>
        <w:t>1、并发吞吐率：</w:t>
      </w:r>
      <w:r>
        <w:rPr>
          <w:rFonts w:hint="eastAsia" w:ascii="宋体"/>
          <w:sz w:val="21"/>
          <w:szCs w:val="21"/>
        </w:rPr>
        <w:t>并发用户数不少于</w:t>
      </w:r>
      <w:r>
        <w:rPr>
          <w:rFonts w:ascii="宋体"/>
          <w:sz w:val="21"/>
          <w:szCs w:val="21"/>
        </w:rPr>
        <w:t>20</w:t>
      </w:r>
      <w:r>
        <w:rPr>
          <w:rFonts w:hint="eastAsia" w:ascii="宋体"/>
          <w:sz w:val="21"/>
          <w:szCs w:val="21"/>
        </w:rPr>
        <w:t>0</w:t>
      </w:r>
      <w:r>
        <w:rPr>
          <w:rFonts w:ascii="宋体"/>
          <w:sz w:val="21"/>
          <w:szCs w:val="21"/>
        </w:rPr>
        <w:t>个；</w:t>
      </w:r>
    </w:p>
    <w:p w14:paraId="5F9151DB">
      <w:pPr>
        <w:pStyle w:val="83"/>
        <w:ind w:firstLine="420"/>
        <w:jc w:val="both"/>
        <w:rPr>
          <w:rFonts w:ascii="宋体"/>
          <w:sz w:val="21"/>
          <w:szCs w:val="21"/>
        </w:rPr>
      </w:pPr>
      <w:r>
        <w:rPr>
          <w:rFonts w:ascii="宋体"/>
          <w:sz w:val="21"/>
          <w:szCs w:val="21"/>
        </w:rPr>
        <w:t>2、系统</w:t>
      </w:r>
      <w:r>
        <w:rPr>
          <w:rFonts w:hint="eastAsia" w:ascii="宋体"/>
          <w:sz w:val="21"/>
          <w:szCs w:val="21"/>
        </w:rPr>
        <w:t>平均响应时间：不超过</w:t>
      </w:r>
      <w:r>
        <w:rPr>
          <w:rFonts w:ascii="宋体"/>
          <w:sz w:val="21"/>
          <w:szCs w:val="21"/>
        </w:rPr>
        <w:t>1秒</w:t>
      </w:r>
      <w:r>
        <w:rPr>
          <w:rFonts w:hint="eastAsia" w:ascii="宋体"/>
          <w:sz w:val="21"/>
          <w:szCs w:val="21"/>
        </w:rPr>
        <w:t>。</w:t>
      </w:r>
    </w:p>
    <w:p w14:paraId="0FE3B37A">
      <w:pPr>
        <w:pStyle w:val="83"/>
        <w:ind w:firstLine="420"/>
        <w:jc w:val="both"/>
        <w:rPr>
          <w:rFonts w:ascii="宋体"/>
          <w:sz w:val="21"/>
          <w:szCs w:val="21"/>
        </w:rPr>
      </w:pPr>
      <w:r>
        <w:rPr>
          <w:rFonts w:ascii="宋体"/>
          <w:sz w:val="21"/>
          <w:szCs w:val="21"/>
        </w:rPr>
        <w:t>3、基于SOA架构设计，能够适应不断变化的环境。</w:t>
      </w:r>
    </w:p>
    <w:p w14:paraId="1BA6CFBB">
      <w:pPr>
        <w:pStyle w:val="7"/>
        <w:rPr>
          <w:sz w:val="21"/>
          <w:szCs w:val="21"/>
        </w:rPr>
      </w:pPr>
      <w:r>
        <w:rPr>
          <w:rFonts w:hint="eastAsia"/>
          <w:sz w:val="21"/>
          <w:szCs w:val="21"/>
        </w:rPr>
        <w:t>安全要求</w:t>
      </w:r>
    </w:p>
    <w:p w14:paraId="1AF6488A">
      <w:pPr>
        <w:pStyle w:val="83"/>
        <w:ind w:firstLine="420"/>
        <w:jc w:val="both"/>
        <w:rPr>
          <w:rFonts w:ascii="宋体"/>
          <w:sz w:val="21"/>
          <w:szCs w:val="21"/>
        </w:rPr>
      </w:pPr>
      <w:r>
        <w:rPr>
          <w:rFonts w:hint="eastAsia" w:ascii="宋体"/>
          <w:sz w:val="21"/>
          <w:szCs w:val="21"/>
        </w:rPr>
        <w:t>根据《中华人民共和国数据安全法》、《中华人民共和国个人信息保护法》相关要求，本项目建设需满足以下安全要求：</w:t>
      </w:r>
    </w:p>
    <w:p w14:paraId="23838265">
      <w:pPr>
        <w:pStyle w:val="83"/>
        <w:ind w:firstLine="420"/>
        <w:jc w:val="both"/>
        <w:rPr>
          <w:rFonts w:ascii="宋体"/>
          <w:sz w:val="21"/>
          <w:szCs w:val="21"/>
        </w:rPr>
      </w:pPr>
      <w:r>
        <w:rPr>
          <w:rFonts w:ascii="宋体"/>
          <w:sz w:val="21"/>
          <w:szCs w:val="21"/>
        </w:rPr>
        <w:t>1.具备安全的加密设计，前后台数据传输必须进行加密；</w:t>
      </w:r>
    </w:p>
    <w:p w14:paraId="10C0C8A7">
      <w:pPr>
        <w:pStyle w:val="83"/>
        <w:ind w:firstLine="420"/>
        <w:jc w:val="both"/>
        <w:rPr>
          <w:rFonts w:ascii="宋体"/>
          <w:sz w:val="21"/>
          <w:szCs w:val="21"/>
        </w:rPr>
      </w:pPr>
      <w:r>
        <w:rPr>
          <w:rFonts w:ascii="宋体"/>
          <w:sz w:val="21"/>
          <w:szCs w:val="21"/>
        </w:rPr>
        <w:t>2.严格执行信息安全和健康医疗数据保密规定，建立完善个人隐私信息保护制度；</w:t>
      </w:r>
    </w:p>
    <w:p w14:paraId="19044ADF">
      <w:pPr>
        <w:pStyle w:val="83"/>
        <w:ind w:firstLine="420"/>
        <w:jc w:val="both"/>
        <w:rPr>
          <w:rFonts w:ascii="宋体"/>
          <w:sz w:val="21"/>
          <w:szCs w:val="21"/>
        </w:rPr>
      </w:pPr>
      <w:r>
        <w:rPr>
          <w:rFonts w:ascii="宋体"/>
          <w:sz w:val="21"/>
          <w:szCs w:val="21"/>
        </w:rPr>
        <w:t>3.满足网络安全等级保护三级</w:t>
      </w:r>
      <w:r>
        <w:rPr>
          <w:rFonts w:hint="eastAsia" w:ascii="宋体"/>
          <w:sz w:val="21"/>
          <w:szCs w:val="21"/>
        </w:rPr>
        <w:t>等相关要求；</w:t>
      </w:r>
    </w:p>
    <w:p w14:paraId="509847E3">
      <w:pPr>
        <w:pStyle w:val="83"/>
        <w:ind w:firstLine="420"/>
        <w:jc w:val="both"/>
        <w:rPr>
          <w:rFonts w:ascii="宋体"/>
          <w:sz w:val="21"/>
          <w:szCs w:val="21"/>
        </w:rPr>
      </w:pPr>
      <w:r>
        <w:rPr>
          <w:rFonts w:ascii="宋体"/>
          <w:sz w:val="21"/>
          <w:szCs w:val="21"/>
        </w:rPr>
        <w:t>4.满足国家对商用密码应用安全的相关要求。</w:t>
      </w:r>
    </w:p>
    <w:p w14:paraId="5838C18D">
      <w:pPr>
        <w:pStyle w:val="7"/>
        <w:rPr>
          <w:sz w:val="21"/>
          <w:szCs w:val="21"/>
        </w:rPr>
      </w:pPr>
      <w:r>
        <w:rPr>
          <w:rFonts w:hint="eastAsia"/>
          <w:sz w:val="21"/>
          <w:szCs w:val="21"/>
        </w:rPr>
        <w:t>其他安全要求</w:t>
      </w:r>
    </w:p>
    <w:p w14:paraId="4CD25352">
      <w:pPr>
        <w:pStyle w:val="83"/>
        <w:ind w:firstLine="420"/>
        <w:jc w:val="both"/>
        <w:rPr>
          <w:rFonts w:ascii="宋体"/>
          <w:sz w:val="21"/>
          <w:szCs w:val="21"/>
        </w:rPr>
      </w:pPr>
      <w:r>
        <w:rPr>
          <w:rFonts w:hint="eastAsia" w:ascii="宋体"/>
          <w:sz w:val="21"/>
          <w:szCs w:val="21"/>
        </w:rPr>
        <w:t>本项目须通过第三方软件测试、安全测评及密码测评，并作为项目验收及上线运行的先决条件。本项目软件测试、安全测评及密码测评工作由采购人安排第三方提供，投标人应承诺配合采购人做好软件测试、安全测评及密码测评工作。</w:t>
      </w:r>
    </w:p>
    <w:p w14:paraId="5C883C23">
      <w:pPr>
        <w:pStyle w:val="7"/>
        <w:rPr>
          <w:sz w:val="21"/>
          <w:szCs w:val="21"/>
        </w:rPr>
      </w:pPr>
      <w:r>
        <w:rPr>
          <w:rFonts w:hint="eastAsia"/>
          <w:sz w:val="21"/>
          <w:szCs w:val="21"/>
        </w:rPr>
        <w:t>与现有系统无缝衔接要求</w:t>
      </w:r>
    </w:p>
    <w:p w14:paraId="10F0869B">
      <w:pPr>
        <w:pStyle w:val="83"/>
        <w:ind w:firstLine="420"/>
        <w:jc w:val="both"/>
        <w:rPr>
          <w:rFonts w:ascii="宋体"/>
          <w:sz w:val="21"/>
          <w:szCs w:val="21"/>
        </w:rPr>
      </w:pPr>
      <w:r>
        <w:rPr>
          <w:rFonts w:hint="eastAsia" w:ascii="宋体"/>
          <w:sz w:val="21"/>
          <w:szCs w:val="21"/>
        </w:rPr>
        <w:t>投标人需承诺本项目建设内容可实现与申康中心现有系统无缝衔接，包括但不限于</w:t>
      </w:r>
      <w:r>
        <w:rPr>
          <w:rFonts w:ascii="宋体"/>
          <w:sz w:val="21"/>
          <w:szCs w:val="21"/>
        </w:rPr>
        <w:t>医联信息系统、市级医院集中式政府会计</w:t>
      </w:r>
      <w:r>
        <w:rPr>
          <w:rFonts w:hint="eastAsia" w:ascii="宋体"/>
          <w:sz w:val="21"/>
          <w:szCs w:val="21"/>
        </w:rPr>
        <w:t>、</w:t>
      </w:r>
      <w:r>
        <w:rPr>
          <w:rFonts w:ascii="宋体"/>
          <w:sz w:val="21"/>
          <w:szCs w:val="21"/>
        </w:rPr>
        <w:t>成本核算系统</w:t>
      </w:r>
      <w:r>
        <w:rPr>
          <w:rFonts w:hint="eastAsia" w:ascii="宋体"/>
          <w:sz w:val="21"/>
          <w:szCs w:val="21"/>
        </w:rPr>
        <w:t>以及</w:t>
      </w:r>
      <w:r>
        <w:rPr>
          <w:rFonts w:hint="eastAsia"/>
          <w:sz w:val="21"/>
          <w:szCs w:val="21"/>
        </w:rPr>
        <w:t>市级医院财务运营分析评价与促进平台</w:t>
      </w:r>
      <w:r>
        <w:rPr>
          <w:rFonts w:hint="eastAsia" w:ascii="宋体"/>
          <w:sz w:val="21"/>
          <w:szCs w:val="21"/>
        </w:rPr>
        <w:t>等。投标人需提供无缝衔接技术方案。在系统无缝衔接实施过程中，需要其他第三方配合而产生的所有费用均包含在本项目投标经费中。</w:t>
      </w:r>
    </w:p>
    <w:p w14:paraId="478230BE">
      <w:pPr>
        <w:pStyle w:val="6"/>
        <w:spacing w:before="0" w:after="0" w:line="360" w:lineRule="auto"/>
        <w:rPr>
          <w:sz w:val="21"/>
          <w:szCs w:val="21"/>
        </w:rPr>
      </w:pPr>
      <w:r>
        <w:rPr>
          <w:rFonts w:hint="eastAsia"/>
          <w:sz w:val="21"/>
          <w:szCs w:val="21"/>
        </w:rPr>
        <w:t>应用软件系统功能要求</w:t>
      </w:r>
    </w:p>
    <w:p w14:paraId="43AA86A9">
      <w:pPr>
        <w:pStyle w:val="7"/>
        <w:rPr>
          <w:sz w:val="21"/>
          <w:szCs w:val="21"/>
        </w:rPr>
      </w:pPr>
      <w:r>
        <w:rPr>
          <w:rFonts w:hint="eastAsia"/>
          <w:sz w:val="21"/>
          <w:szCs w:val="21"/>
        </w:rPr>
        <w:t>基于市级医院财务运营数据中心的成本管控数据主题库</w:t>
      </w:r>
    </w:p>
    <w:p w14:paraId="2FFAE70E">
      <w:pPr>
        <w:pStyle w:val="8"/>
        <w:ind w:left="567" w:leftChars="270"/>
        <w:rPr>
          <w:sz w:val="21"/>
          <w:szCs w:val="21"/>
        </w:rPr>
      </w:pPr>
      <w:r>
        <w:rPr>
          <w:rFonts w:hint="eastAsia"/>
          <w:sz w:val="21"/>
          <w:szCs w:val="21"/>
        </w:rPr>
        <w:t>成本分析与评价数据仓库</w:t>
      </w:r>
    </w:p>
    <w:p w14:paraId="67058167">
      <w:pPr>
        <w:pStyle w:val="83"/>
        <w:ind w:firstLine="420"/>
        <w:jc w:val="both"/>
        <w:rPr>
          <w:rFonts w:ascii="宋体"/>
          <w:sz w:val="21"/>
          <w:szCs w:val="21"/>
        </w:rPr>
      </w:pPr>
      <w:r>
        <w:rPr>
          <w:rFonts w:hint="eastAsia" w:ascii="宋体"/>
          <w:sz w:val="21"/>
          <w:szCs w:val="21"/>
        </w:rPr>
        <w:t>1、市级医院成本运营数据仓库</w:t>
      </w:r>
    </w:p>
    <w:p w14:paraId="1A1667D9">
      <w:pPr>
        <w:pStyle w:val="83"/>
        <w:ind w:firstLine="420"/>
        <w:jc w:val="both"/>
        <w:rPr>
          <w:rFonts w:ascii="宋体"/>
          <w:sz w:val="21"/>
          <w:szCs w:val="21"/>
        </w:rPr>
      </w:pPr>
      <w:r>
        <w:rPr>
          <w:rFonts w:hint="eastAsia" w:ascii="宋体"/>
          <w:sz w:val="21"/>
          <w:szCs w:val="21"/>
        </w:rPr>
        <w:t>以财务运营数据中心为基础，为成本运营分析评价所需</w:t>
      </w:r>
      <w:r>
        <w:rPr>
          <w:rFonts w:ascii="宋体"/>
          <w:sz w:val="21"/>
          <w:szCs w:val="21"/>
        </w:rPr>
        <w:t>的35个</w:t>
      </w:r>
      <w:r>
        <w:rPr>
          <w:rFonts w:hint="eastAsia" w:ascii="宋体"/>
          <w:sz w:val="21"/>
          <w:szCs w:val="21"/>
        </w:rPr>
        <w:t>相关指标构建指标计算原始数据标准，用于支撑跨月度动态计算评价指标。</w:t>
      </w:r>
    </w:p>
    <w:p w14:paraId="5F7C9EEE">
      <w:pPr>
        <w:pStyle w:val="83"/>
        <w:ind w:firstLine="420"/>
        <w:jc w:val="both"/>
        <w:rPr>
          <w:rFonts w:ascii="宋体"/>
          <w:sz w:val="21"/>
          <w:szCs w:val="21"/>
        </w:rPr>
      </w:pPr>
      <w:r>
        <w:rPr>
          <w:rFonts w:hint="eastAsia" w:ascii="宋体"/>
          <w:sz w:val="21"/>
          <w:szCs w:val="21"/>
        </w:rPr>
        <w:t>2、市级医院财务运营业务动态数据仓库</w:t>
      </w:r>
    </w:p>
    <w:p w14:paraId="6BD62CFA">
      <w:pPr>
        <w:pStyle w:val="83"/>
        <w:ind w:firstLine="420"/>
        <w:jc w:val="both"/>
        <w:rPr>
          <w:rFonts w:ascii="宋体"/>
          <w:sz w:val="21"/>
          <w:szCs w:val="21"/>
        </w:rPr>
      </w:pPr>
      <w:r>
        <w:rPr>
          <w:rFonts w:hint="eastAsia" w:ascii="宋体"/>
          <w:sz w:val="21"/>
          <w:szCs w:val="21"/>
        </w:rPr>
        <w:t>以财务运营数据中心为基础，构建用于业务动态分析的数据主题库，以天为单位，采集资产、医疗收入、医疗成本、门急诊住院业务量等数据，为及时决策提供基础支撑。</w:t>
      </w:r>
    </w:p>
    <w:p w14:paraId="4ED14E4A">
      <w:pPr>
        <w:pStyle w:val="83"/>
        <w:ind w:firstLine="420"/>
        <w:jc w:val="both"/>
        <w:rPr>
          <w:rFonts w:ascii="宋体"/>
          <w:sz w:val="21"/>
          <w:szCs w:val="21"/>
        </w:rPr>
      </w:pPr>
      <w:r>
        <w:rPr>
          <w:rFonts w:hint="eastAsia" w:ascii="宋体"/>
          <w:sz w:val="21"/>
          <w:szCs w:val="21"/>
        </w:rPr>
        <w:t>3、市级医院凭证数据仓库</w:t>
      </w:r>
    </w:p>
    <w:p w14:paraId="35235797">
      <w:pPr>
        <w:pStyle w:val="83"/>
        <w:ind w:firstLine="420"/>
        <w:jc w:val="both"/>
        <w:rPr>
          <w:rFonts w:ascii="宋体"/>
          <w:sz w:val="21"/>
          <w:szCs w:val="21"/>
        </w:rPr>
      </w:pPr>
      <w:r>
        <w:rPr>
          <w:rFonts w:hint="eastAsia" w:ascii="宋体"/>
          <w:sz w:val="21"/>
          <w:szCs w:val="21"/>
        </w:rPr>
        <w:t>以财务运营数据中心为基础，构建以天为单位的凭证成本运营指标分析评价仓库，包括医疗收入、医疗成本、预算、资产等多个维度，为精细化管理提供数据支撑。</w:t>
      </w:r>
    </w:p>
    <w:p w14:paraId="4035D138">
      <w:pPr>
        <w:pStyle w:val="8"/>
        <w:ind w:left="567" w:leftChars="270"/>
        <w:rPr>
          <w:sz w:val="21"/>
          <w:szCs w:val="21"/>
        </w:rPr>
      </w:pPr>
      <w:r>
        <w:rPr>
          <w:rFonts w:hint="eastAsia"/>
          <w:sz w:val="21"/>
          <w:szCs w:val="21"/>
        </w:rPr>
        <w:t>成本分析与评价数据治理</w:t>
      </w:r>
    </w:p>
    <w:p w14:paraId="43A7F73D">
      <w:pPr>
        <w:pStyle w:val="83"/>
        <w:ind w:firstLine="420"/>
        <w:jc w:val="both"/>
        <w:rPr>
          <w:rFonts w:ascii="宋体"/>
          <w:sz w:val="21"/>
          <w:szCs w:val="21"/>
        </w:rPr>
      </w:pPr>
      <w:r>
        <w:rPr>
          <w:rFonts w:hint="eastAsia" w:ascii="宋体"/>
          <w:sz w:val="21"/>
          <w:szCs w:val="21"/>
        </w:rPr>
        <w:t>1、市级医院成本运营指标数据采集与质控</w:t>
      </w:r>
    </w:p>
    <w:p w14:paraId="7084ADB0">
      <w:pPr>
        <w:pStyle w:val="83"/>
        <w:ind w:firstLine="420"/>
        <w:jc w:val="both"/>
        <w:rPr>
          <w:rFonts w:ascii="宋体"/>
          <w:sz w:val="21"/>
          <w:szCs w:val="21"/>
        </w:rPr>
      </w:pPr>
      <w:r>
        <w:rPr>
          <w:rFonts w:hint="eastAsia" w:ascii="宋体"/>
          <w:sz w:val="21"/>
          <w:szCs w:val="21"/>
        </w:rPr>
        <w:t>对成本运营指标数据进行自动采集和质控，形成成本运营数据质控报告，描述采集数据的问题，反馈数据提供方修改。</w:t>
      </w:r>
    </w:p>
    <w:p w14:paraId="0402FA9A">
      <w:pPr>
        <w:pStyle w:val="83"/>
        <w:ind w:firstLine="420"/>
        <w:jc w:val="both"/>
        <w:rPr>
          <w:rFonts w:ascii="宋体"/>
          <w:sz w:val="21"/>
          <w:szCs w:val="21"/>
        </w:rPr>
      </w:pPr>
      <w:r>
        <w:rPr>
          <w:rFonts w:hint="eastAsia" w:ascii="宋体"/>
          <w:sz w:val="21"/>
          <w:szCs w:val="21"/>
        </w:rPr>
        <w:t>2、市级医院财务运营业务动态数据采集与质控</w:t>
      </w:r>
    </w:p>
    <w:p w14:paraId="07AA3E9F">
      <w:pPr>
        <w:pStyle w:val="83"/>
        <w:ind w:firstLine="420"/>
        <w:jc w:val="both"/>
        <w:rPr>
          <w:rFonts w:ascii="宋体"/>
          <w:sz w:val="21"/>
          <w:szCs w:val="21"/>
        </w:rPr>
      </w:pPr>
      <w:r>
        <w:rPr>
          <w:rFonts w:hint="eastAsia" w:ascii="宋体"/>
          <w:sz w:val="21"/>
          <w:szCs w:val="21"/>
        </w:rPr>
        <w:t>对业务动态数据进行自动采集和质控，形成业务动态数据质控报告，描述采集数据的问题，反馈数据提供方修改。</w:t>
      </w:r>
    </w:p>
    <w:p w14:paraId="54C1E557">
      <w:pPr>
        <w:pStyle w:val="83"/>
        <w:ind w:firstLine="420"/>
        <w:jc w:val="both"/>
        <w:rPr>
          <w:rFonts w:ascii="宋体"/>
          <w:sz w:val="21"/>
          <w:szCs w:val="21"/>
        </w:rPr>
      </w:pPr>
      <w:r>
        <w:rPr>
          <w:rFonts w:hint="eastAsia" w:ascii="宋体"/>
          <w:sz w:val="21"/>
          <w:szCs w:val="21"/>
        </w:rPr>
        <w:t>3、市级医院凭证数据采集与质控</w:t>
      </w:r>
    </w:p>
    <w:p w14:paraId="1D735EDD">
      <w:pPr>
        <w:pStyle w:val="83"/>
        <w:ind w:firstLine="420"/>
        <w:jc w:val="both"/>
        <w:rPr>
          <w:rFonts w:ascii="宋体"/>
          <w:sz w:val="21"/>
          <w:szCs w:val="21"/>
        </w:rPr>
      </w:pPr>
      <w:r>
        <w:rPr>
          <w:rFonts w:hint="eastAsia" w:ascii="宋体"/>
          <w:sz w:val="21"/>
          <w:szCs w:val="21"/>
        </w:rPr>
        <w:t>对凭证数据进行自动采集和质控，形成凭证数据质控报告，描述采集数据的问题，反馈数据提供方修改。</w:t>
      </w:r>
    </w:p>
    <w:p w14:paraId="28CF33F3">
      <w:pPr>
        <w:pStyle w:val="7"/>
        <w:rPr>
          <w:sz w:val="21"/>
          <w:szCs w:val="21"/>
        </w:rPr>
      </w:pPr>
      <w:r>
        <w:rPr>
          <w:rFonts w:hint="eastAsia"/>
          <w:sz w:val="21"/>
          <w:szCs w:val="21"/>
        </w:rPr>
        <w:t>市级医院成本分析与评价系统</w:t>
      </w:r>
    </w:p>
    <w:p w14:paraId="304A992B">
      <w:pPr>
        <w:pStyle w:val="8"/>
        <w:ind w:left="567" w:leftChars="270"/>
        <w:rPr>
          <w:sz w:val="21"/>
          <w:szCs w:val="21"/>
        </w:rPr>
      </w:pPr>
      <w:r>
        <w:rPr>
          <w:rFonts w:hint="eastAsia"/>
          <w:sz w:val="21"/>
          <w:szCs w:val="21"/>
        </w:rPr>
        <w:t>成本运营指标分析评价（申康端）</w:t>
      </w:r>
    </w:p>
    <w:p w14:paraId="4010250F">
      <w:pPr>
        <w:pStyle w:val="83"/>
        <w:ind w:firstLine="420"/>
        <w:jc w:val="both"/>
        <w:rPr>
          <w:rFonts w:ascii="宋体"/>
          <w:sz w:val="21"/>
          <w:szCs w:val="21"/>
        </w:rPr>
      </w:pPr>
      <w:r>
        <w:rPr>
          <w:rFonts w:hint="eastAsia" w:ascii="宋体"/>
          <w:sz w:val="21"/>
          <w:szCs w:val="21"/>
        </w:rPr>
        <w:t>支持申康中心对市级医院成本运营相关指标进行监测分析，支持总体分析功能，并对人力成本、药品成本、医用耗材成本、后勤保障成本、管理办公成本、资本化成本分析以及典型场景运营成本的相关指标开展常态化分析，支持月度趋势、环比、同比分析，支持根据同比和全年比两个维度开展指标预警，支持对各医院指标进行横向比较和分类排名，支持通过象限图对医院指标分布情况进行分析评价。</w:t>
      </w:r>
    </w:p>
    <w:p w14:paraId="2CDC35DB">
      <w:pPr>
        <w:pStyle w:val="83"/>
        <w:ind w:firstLine="420"/>
        <w:jc w:val="both"/>
        <w:rPr>
          <w:rFonts w:ascii="宋体"/>
          <w:sz w:val="21"/>
          <w:szCs w:val="21"/>
        </w:rPr>
      </w:pPr>
      <w:r>
        <w:rPr>
          <w:rFonts w:hint="eastAsia" w:ascii="宋体"/>
          <w:sz w:val="21"/>
          <w:szCs w:val="21"/>
        </w:rPr>
        <w:t>1、总体分析</w:t>
      </w:r>
    </w:p>
    <w:p w14:paraId="24E81731">
      <w:pPr>
        <w:pStyle w:val="83"/>
        <w:ind w:firstLine="420"/>
        <w:jc w:val="both"/>
        <w:rPr>
          <w:rFonts w:ascii="宋体"/>
          <w:sz w:val="21"/>
          <w:szCs w:val="21"/>
        </w:rPr>
      </w:pPr>
      <w:r>
        <w:rPr>
          <w:rFonts w:hint="eastAsia" w:ascii="宋体"/>
          <w:sz w:val="21"/>
          <w:szCs w:val="21"/>
        </w:rPr>
        <w:t>支持申康中心对市级医院人力成本、药品成本、医用耗材成本、后勤保障成本、管理办公成本以及资本化成本进行整体分析、月度指标趋势分析、多维度预警、市级医院横向比较等分析。</w:t>
      </w:r>
    </w:p>
    <w:p w14:paraId="05147A4B">
      <w:pPr>
        <w:pStyle w:val="83"/>
        <w:ind w:firstLine="420"/>
        <w:jc w:val="both"/>
        <w:rPr>
          <w:rFonts w:ascii="宋体"/>
          <w:sz w:val="21"/>
          <w:szCs w:val="21"/>
        </w:rPr>
      </w:pPr>
      <w:r>
        <w:rPr>
          <w:rFonts w:hint="eastAsia" w:ascii="宋体"/>
          <w:sz w:val="21"/>
          <w:szCs w:val="21"/>
        </w:rPr>
        <w:t>2、人力成本分析</w:t>
      </w:r>
    </w:p>
    <w:p w14:paraId="15C2F336">
      <w:pPr>
        <w:pStyle w:val="83"/>
        <w:ind w:firstLine="420"/>
        <w:jc w:val="both"/>
        <w:rPr>
          <w:rFonts w:ascii="宋体"/>
          <w:sz w:val="21"/>
          <w:szCs w:val="21"/>
        </w:rPr>
      </w:pPr>
      <w:r>
        <w:rPr>
          <w:rFonts w:hint="eastAsia" w:ascii="宋体"/>
          <w:sz w:val="21"/>
          <w:szCs w:val="21"/>
        </w:rPr>
        <w:t>对市级医院整体人员经费占医疗成本比重、百元医疗收入（不含药品和卫生材料）人员经费支出、管理岗位人员经费占比以及人员固定薪酬占比等指标按要求进行分析评价。</w:t>
      </w:r>
    </w:p>
    <w:p w14:paraId="002F0EFB">
      <w:pPr>
        <w:pStyle w:val="83"/>
        <w:ind w:firstLine="420"/>
        <w:jc w:val="both"/>
        <w:rPr>
          <w:rFonts w:ascii="宋体"/>
          <w:sz w:val="21"/>
          <w:szCs w:val="21"/>
        </w:rPr>
      </w:pPr>
      <w:r>
        <w:rPr>
          <w:rFonts w:hint="eastAsia" w:ascii="宋体"/>
          <w:sz w:val="21"/>
          <w:szCs w:val="21"/>
        </w:rPr>
        <w:t>3、药品成本分析</w:t>
      </w:r>
    </w:p>
    <w:p w14:paraId="70603482">
      <w:pPr>
        <w:pStyle w:val="83"/>
        <w:ind w:firstLine="420"/>
        <w:jc w:val="both"/>
        <w:rPr>
          <w:rFonts w:ascii="宋体"/>
          <w:sz w:val="21"/>
          <w:szCs w:val="21"/>
        </w:rPr>
      </w:pPr>
      <w:r>
        <w:rPr>
          <w:rFonts w:hint="eastAsia" w:ascii="宋体"/>
          <w:sz w:val="21"/>
          <w:szCs w:val="21"/>
        </w:rPr>
        <w:t>对市级医院整体药品成本占医疗成本比重、百元医疗收入药品成本以及药品（不含中药饮片）收支配比率等指标按要求进行分析评价。</w:t>
      </w:r>
    </w:p>
    <w:p w14:paraId="355D3554">
      <w:pPr>
        <w:pStyle w:val="83"/>
        <w:ind w:firstLine="420"/>
        <w:jc w:val="both"/>
        <w:rPr>
          <w:rFonts w:ascii="宋体"/>
          <w:sz w:val="21"/>
          <w:szCs w:val="21"/>
        </w:rPr>
      </w:pPr>
      <w:r>
        <w:rPr>
          <w:rFonts w:hint="eastAsia" w:ascii="宋体"/>
          <w:sz w:val="21"/>
          <w:szCs w:val="21"/>
        </w:rPr>
        <w:t>4、医用耗材成本分析</w:t>
      </w:r>
    </w:p>
    <w:p w14:paraId="0A47E328">
      <w:pPr>
        <w:pStyle w:val="83"/>
        <w:ind w:firstLine="420"/>
        <w:jc w:val="both"/>
        <w:rPr>
          <w:rFonts w:ascii="宋体"/>
          <w:sz w:val="21"/>
          <w:szCs w:val="21"/>
        </w:rPr>
      </w:pPr>
      <w:r>
        <w:rPr>
          <w:rFonts w:hint="eastAsia" w:ascii="宋体"/>
          <w:sz w:val="21"/>
          <w:szCs w:val="21"/>
        </w:rPr>
        <w:t>对市级医院整体卫生材料成本占医疗成本比重、百元医疗收入卫生材料成本、百元医疗收入（不含药品和卫生材料）不可单独收费卫生材料成本、试剂成本与检验项目收入占比以及可单独收费卫生材料收支配比率等指标按要求进行分析评价。</w:t>
      </w:r>
    </w:p>
    <w:p w14:paraId="5003DFDF">
      <w:pPr>
        <w:pStyle w:val="83"/>
        <w:ind w:firstLine="420"/>
        <w:jc w:val="both"/>
        <w:rPr>
          <w:rFonts w:ascii="宋体"/>
          <w:sz w:val="21"/>
          <w:szCs w:val="21"/>
        </w:rPr>
      </w:pPr>
      <w:r>
        <w:rPr>
          <w:rFonts w:hint="eastAsia" w:ascii="宋体"/>
          <w:sz w:val="21"/>
          <w:szCs w:val="21"/>
        </w:rPr>
        <w:t>5、后勤保障成本分析</w:t>
      </w:r>
    </w:p>
    <w:p w14:paraId="14D049EA">
      <w:pPr>
        <w:pStyle w:val="83"/>
        <w:ind w:firstLine="420"/>
        <w:jc w:val="both"/>
        <w:rPr>
          <w:rFonts w:ascii="宋体"/>
          <w:sz w:val="21"/>
          <w:szCs w:val="21"/>
        </w:rPr>
      </w:pPr>
      <w:r>
        <w:rPr>
          <w:rFonts w:hint="eastAsia" w:ascii="宋体"/>
          <w:sz w:val="21"/>
          <w:szCs w:val="21"/>
        </w:rPr>
        <w:t>对市级医院整体万元医疗收入（不含药品和卫生材料）能耗成本、万元医疗收入（不含药品和卫生材料）维修成本以及万元医疗收入（不含药品和卫生材料）物业成本等指标按要求进行分析评价。</w:t>
      </w:r>
    </w:p>
    <w:p w14:paraId="62C592EB">
      <w:pPr>
        <w:pStyle w:val="83"/>
        <w:ind w:firstLine="420"/>
        <w:jc w:val="both"/>
        <w:rPr>
          <w:rFonts w:ascii="宋体"/>
          <w:sz w:val="21"/>
          <w:szCs w:val="21"/>
        </w:rPr>
      </w:pPr>
      <w:r>
        <w:rPr>
          <w:rFonts w:hint="eastAsia" w:ascii="宋体"/>
          <w:sz w:val="21"/>
          <w:szCs w:val="21"/>
        </w:rPr>
        <w:t>6、管理办公成本分析</w:t>
      </w:r>
    </w:p>
    <w:p w14:paraId="6055D621">
      <w:pPr>
        <w:pStyle w:val="83"/>
        <w:ind w:firstLine="420"/>
        <w:jc w:val="both"/>
        <w:rPr>
          <w:rFonts w:ascii="宋体"/>
          <w:sz w:val="21"/>
          <w:szCs w:val="21"/>
        </w:rPr>
      </w:pPr>
      <w:r>
        <w:rPr>
          <w:rFonts w:hint="eastAsia" w:ascii="宋体"/>
          <w:sz w:val="21"/>
          <w:szCs w:val="21"/>
        </w:rPr>
        <w:t>对市级医院整体管理费用率、百元医疗收入（不含药品和卫生材料）管理费用、人均管理费用以及人均日常办公成本等指标按要求进行分析评价。</w:t>
      </w:r>
    </w:p>
    <w:p w14:paraId="537E4A61">
      <w:pPr>
        <w:pStyle w:val="83"/>
        <w:ind w:firstLine="420"/>
        <w:jc w:val="both"/>
        <w:rPr>
          <w:rFonts w:ascii="宋体"/>
          <w:sz w:val="21"/>
          <w:szCs w:val="21"/>
        </w:rPr>
      </w:pPr>
      <w:r>
        <w:rPr>
          <w:rFonts w:hint="eastAsia" w:ascii="宋体"/>
          <w:sz w:val="21"/>
          <w:szCs w:val="21"/>
        </w:rPr>
        <w:t>7、资本化成本分析</w:t>
      </w:r>
    </w:p>
    <w:p w14:paraId="17941719">
      <w:pPr>
        <w:pStyle w:val="83"/>
        <w:ind w:firstLine="420"/>
        <w:jc w:val="both"/>
        <w:rPr>
          <w:rFonts w:ascii="宋体"/>
          <w:sz w:val="21"/>
          <w:szCs w:val="21"/>
        </w:rPr>
      </w:pPr>
      <w:r>
        <w:rPr>
          <w:rFonts w:hint="eastAsia" w:ascii="宋体"/>
          <w:sz w:val="21"/>
          <w:szCs w:val="21"/>
        </w:rPr>
        <w:t>对市级医院整体设备投入成本、大修投入成本、信息投入成本等指标按要求进行分析评价。</w:t>
      </w:r>
    </w:p>
    <w:p w14:paraId="720EE1D1">
      <w:pPr>
        <w:pStyle w:val="83"/>
        <w:ind w:firstLine="420"/>
        <w:jc w:val="both"/>
        <w:rPr>
          <w:rFonts w:ascii="宋体"/>
          <w:sz w:val="21"/>
          <w:szCs w:val="21"/>
        </w:rPr>
      </w:pPr>
      <w:r>
        <w:rPr>
          <w:rFonts w:hint="eastAsia" w:ascii="宋体"/>
          <w:sz w:val="21"/>
          <w:szCs w:val="21"/>
        </w:rPr>
        <w:t>8、典型场景运营成本分析</w:t>
      </w:r>
    </w:p>
    <w:p w14:paraId="3A758990">
      <w:pPr>
        <w:pStyle w:val="83"/>
        <w:ind w:firstLine="420"/>
        <w:jc w:val="both"/>
        <w:rPr>
          <w:rFonts w:ascii="宋体"/>
          <w:sz w:val="21"/>
          <w:szCs w:val="21"/>
        </w:rPr>
      </w:pPr>
      <w:r>
        <w:rPr>
          <w:rFonts w:hint="eastAsia" w:ascii="宋体"/>
          <w:sz w:val="21"/>
          <w:szCs w:val="21"/>
        </w:rPr>
        <w:t>对市级医院整体手术室、血透室、检验科、供应室“4个医辅医技科室”成本效率等指标按要求进行分析评价。</w:t>
      </w:r>
    </w:p>
    <w:p w14:paraId="1C3EEFFE">
      <w:pPr>
        <w:pStyle w:val="83"/>
        <w:ind w:firstLine="420"/>
        <w:jc w:val="both"/>
        <w:rPr>
          <w:rFonts w:ascii="宋体"/>
          <w:sz w:val="21"/>
          <w:szCs w:val="21"/>
        </w:rPr>
      </w:pPr>
      <w:r>
        <w:rPr>
          <w:rFonts w:hint="eastAsia" w:ascii="宋体"/>
          <w:sz w:val="21"/>
          <w:szCs w:val="21"/>
        </w:rPr>
        <w:t>9、成本运营指标查询统计</w:t>
      </w:r>
    </w:p>
    <w:p w14:paraId="2F3DA2B2">
      <w:pPr>
        <w:pStyle w:val="83"/>
        <w:ind w:firstLine="420"/>
        <w:jc w:val="both"/>
        <w:rPr>
          <w:rFonts w:ascii="宋体"/>
          <w:sz w:val="21"/>
          <w:szCs w:val="21"/>
        </w:rPr>
      </w:pPr>
      <w:r>
        <w:rPr>
          <w:rFonts w:hint="eastAsia" w:ascii="宋体"/>
          <w:sz w:val="21"/>
          <w:szCs w:val="21"/>
        </w:rPr>
        <w:t>支持分别从市级医院整体角度和医院个体角度，对成本运营指标进行指标明细的查询分析，包括整体成本指标明细查询、各医院成本指标明细查询，支持查询结果的导出功能。</w:t>
      </w:r>
    </w:p>
    <w:p w14:paraId="3BBDBC62">
      <w:pPr>
        <w:pStyle w:val="8"/>
        <w:ind w:left="567" w:leftChars="270"/>
        <w:rPr>
          <w:sz w:val="21"/>
          <w:szCs w:val="21"/>
        </w:rPr>
      </w:pPr>
      <w:r>
        <w:rPr>
          <w:rFonts w:hint="eastAsia"/>
          <w:sz w:val="21"/>
          <w:szCs w:val="21"/>
        </w:rPr>
        <w:t>成本运营指标动态分析评价（申康端）</w:t>
      </w:r>
    </w:p>
    <w:p w14:paraId="7254FC2D">
      <w:pPr>
        <w:pStyle w:val="83"/>
        <w:ind w:firstLine="420"/>
        <w:jc w:val="both"/>
        <w:rPr>
          <w:rFonts w:ascii="宋体"/>
          <w:sz w:val="21"/>
          <w:szCs w:val="21"/>
        </w:rPr>
      </w:pPr>
      <w:r>
        <w:rPr>
          <w:rFonts w:hint="eastAsia" w:ascii="宋体"/>
          <w:sz w:val="21"/>
          <w:szCs w:val="21"/>
        </w:rPr>
        <w:t>1、总体分析</w:t>
      </w:r>
    </w:p>
    <w:p w14:paraId="1E601DAD">
      <w:pPr>
        <w:pStyle w:val="83"/>
        <w:ind w:firstLine="420"/>
        <w:jc w:val="both"/>
        <w:rPr>
          <w:rFonts w:ascii="宋体"/>
          <w:sz w:val="21"/>
          <w:szCs w:val="21"/>
        </w:rPr>
      </w:pPr>
      <w:r>
        <w:rPr>
          <w:rFonts w:hint="eastAsia" w:ascii="宋体"/>
          <w:sz w:val="21"/>
          <w:szCs w:val="21"/>
        </w:rPr>
        <w:t>支持对各市级医院医疗成本运行相关的医疗收入及主要结构（门急诊收入、住院收入等）、总资产等变化情况，细化按天动态监测分析，并设置预警规则，对异常医院进行提示。</w:t>
      </w:r>
    </w:p>
    <w:p w14:paraId="1641885D">
      <w:pPr>
        <w:pStyle w:val="83"/>
        <w:ind w:firstLine="420"/>
        <w:jc w:val="both"/>
        <w:rPr>
          <w:rFonts w:ascii="宋体"/>
          <w:sz w:val="21"/>
          <w:szCs w:val="21"/>
        </w:rPr>
      </w:pPr>
      <w:r>
        <w:rPr>
          <w:rFonts w:hint="eastAsia" w:ascii="宋体"/>
          <w:sz w:val="21"/>
          <w:szCs w:val="21"/>
        </w:rPr>
        <w:t>2、医疗业务量分析</w:t>
      </w:r>
    </w:p>
    <w:p w14:paraId="00C78537">
      <w:pPr>
        <w:pStyle w:val="83"/>
        <w:ind w:firstLine="420"/>
        <w:jc w:val="both"/>
        <w:rPr>
          <w:rFonts w:ascii="宋体"/>
          <w:sz w:val="21"/>
          <w:szCs w:val="21"/>
        </w:rPr>
      </w:pPr>
      <w:r>
        <w:rPr>
          <w:rFonts w:hint="eastAsia" w:ascii="宋体"/>
          <w:sz w:val="21"/>
          <w:szCs w:val="21"/>
        </w:rPr>
        <w:t>支持对各市级医院医疗成本运行相关的医疗业务量（门急诊人次、出院人次）等变化情况，细化按天动态监测分析，并设置预警规则，对异常医院进行提示。</w:t>
      </w:r>
    </w:p>
    <w:p w14:paraId="611C8658">
      <w:pPr>
        <w:pStyle w:val="83"/>
        <w:ind w:firstLine="420"/>
        <w:jc w:val="both"/>
        <w:rPr>
          <w:rFonts w:ascii="宋体"/>
          <w:sz w:val="21"/>
          <w:szCs w:val="21"/>
        </w:rPr>
      </w:pPr>
      <w:r>
        <w:rPr>
          <w:rFonts w:hint="eastAsia" w:ascii="宋体"/>
          <w:sz w:val="21"/>
          <w:szCs w:val="21"/>
        </w:rPr>
        <w:t>3、均次医疗费用分析</w:t>
      </w:r>
    </w:p>
    <w:p w14:paraId="36910599">
      <w:pPr>
        <w:pStyle w:val="83"/>
        <w:ind w:firstLine="420"/>
        <w:jc w:val="both"/>
        <w:rPr>
          <w:rFonts w:ascii="宋体"/>
          <w:sz w:val="21"/>
          <w:szCs w:val="21"/>
        </w:rPr>
      </w:pPr>
      <w:r>
        <w:rPr>
          <w:rFonts w:hint="eastAsia" w:ascii="宋体"/>
          <w:sz w:val="21"/>
          <w:szCs w:val="21"/>
        </w:rPr>
        <w:t>支持对各市级医院医疗成本运行相关的均次医疗费用（门急诊均次费用、出院均次费用）等变化情况，细化按天动态监测分析，并设置预警规则，对异常医院进行提示。</w:t>
      </w:r>
    </w:p>
    <w:p w14:paraId="628D239C">
      <w:pPr>
        <w:pStyle w:val="83"/>
        <w:ind w:firstLine="420"/>
        <w:jc w:val="both"/>
        <w:rPr>
          <w:rFonts w:ascii="宋体"/>
          <w:sz w:val="21"/>
          <w:szCs w:val="21"/>
        </w:rPr>
      </w:pPr>
      <w:r>
        <w:rPr>
          <w:rFonts w:hint="eastAsia" w:ascii="宋体"/>
          <w:sz w:val="21"/>
          <w:szCs w:val="21"/>
        </w:rPr>
        <w:t>4、资产负债情况分析</w:t>
      </w:r>
    </w:p>
    <w:p w14:paraId="6D1E2169">
      <w:pPr>
        <w:pStyle w:val="83"/>
        <w:ind w:firstLine="420"/>
        <w:jc w:val="both"/>
        <w:rPr>
          <w:rFonts w:ascii="宋体"/>
          <w:sz w:val="21"/>
          <w:szCs w:val="21"/>
        </w:rPr>
      </w:pPr>
      <w:r>
        <w:rPr>
          <w:rFonts w:hint="eastAsia" w:ascii="宋体"/>
          <w:sz w:val="21"/>
          <w:szCs w:val="21"/>
        </w:rPr>
        <w:t>支持对各市级医院医疗成本运行相关的资产变化（如资产负债率、资金情况）等变化情况，细化按天动态监测分析，并设置预警规则，对异常医院进行提示。</w:t>
      </w:r>
    </w:p>
    <w:p w14:paraId="06FCAB6A">
      <w:pPr>
        <w:pStyle w:val="8"/>
        <w:ind w:left="567" w:leftChars="270"/>
        <w:rPr>
          <w:sz w:val="21"/>
          <w:szCs w:val="21"/>
        </w:rPr>
      </w:pPr>
      <w:r>
        <w:rPr>
          <w:rFonts w:hint="eastAsia"/>
          <w:sz w:val="21"/>
          <w:szCs w:val="21"/>
        </w:rPr>
        <w:t>成本运营指标数据挖掘（申康端）</w:t>
      </w:r>
    </w:p>
    <w:p w14:paraId="312AEF4F">
      <w:pPr>
        <w:pStyle w:val="83"/>
        <w:ind w:firstLine="420"/>
        <w:jc w:val="both"/>
        <w:rPr>
          <w:rFonts w:ascii="宋体"/>
          <w:sz w:val="21"/>
          <w:szCs w:val="21"/>
        </w:rPr>
      </w:pPr>
      <w:r>
        <w:rPr>
          <w:rFonts w:hint="eastAsia" w:ascii="宋体"/>
          <w:sz w:val="21"/>
          <w:szCs w:val="21"/>
        </w:rPr>
        <w:t>1、凭证动态查询</w:t>
      </w:r>
    </w:p>
    <w:p w14:paraId="054FD67F">
      <w:pPr>
        <w:pStyle w:val="83"/>
        <w:ind w:firstLine="420"/>
        <w:jc w:val="both"/>
        <w:rPr>
          <w:rFonts w:ascii="宋体"/>
          <w:sz w:val="21"/>
          <w:szCs w:val="21"/>
        </w:rPr>
      </w:pPr>
      <w:r>
        <w:rPr>
          <w:rFonts w:hint="eastAsia" w:ascii="宋体"/>
          <w:sz w:val="21"/>
          <w:szCs w:val="21"/>
        </w:rPr>
        <w:t>支持对各市级医院进行凭证数据动态查询，支持按时间周期、医院范围、类型（医疗收入、医疗成本、资产运营等）筛选查询相关凭证信息。</w:t>
      </w:r>
    </w:p>
    <w:p w14:paraId="789343BE">
      <w:pPr>
        <w:pStyle w:val="83"/>
        <w:ind w:firstLine="420"/>
        <w:jc w:val="both"/>
        <w:rPr>
          <w:rFonts w:ascii="宋体"/>
          <w:sz w:val="21"/>
          <w:szCs w:val="21"/>
        </w:rPr>
      </w:pPr>
      <w:r>
        <w:rPr>
          <w:rFonts w:hint="eastAsia" w:ascii="宋体"/>
          <w:sz w:val="21"/>
          <w:szCs w:val="21"/>
        </w:rPr>
        <w:t>2、凭证动态统计</w:t>
      </w:r>
    </w:p>
    <w:p w14:paraId="6C9F0316">
      <w:pPr>
        <w:pStyle w:val="83"/>
        <w:ind w:firstLine="420"/>
        <w:jc w:val="both"/>
        <w:rPr>
          <w:rFonts w:ascii="宋体"/>
          <w:sz w:val="21"/>
          <w:szCs w:val="21"/>
        </w:rPr>
      </w:pPr>
      <w:r>
        <w:rPr>
          <w:rFonts w:hint="eastAsia" w:ascii="宋体"/>
          <w:sz w:val="21"/>
          <w:szCs w:val="21"/>
        </w:rPr>
        <w:t>支持对各市级医院的凭证进行统计分析，支持根据凭证类型、日期等进行汇总统计，能够根据医院类型进行分析统计，支持各类凭证统计报表，满足未产出财务报表之前，能够对市级医院财务运营情况进行动态的统计分析。</w:t>
      </w:r>
    </w:p>
    <w:p w14:paraId="4C8E2FF2">
      <w:pPr>
        <w:pStyle w:val="83"/>
        <w:ind w:firstLine="420"/>
        <w:jc w:val="both"/>
        <w:rPr>
          <w:rFonts w:ascii="宋体"/>
          <w:sz w:val="21"/>
          <w:szCs w:val="21"/>
        </w:rPr>
      </w:pPr>
      <w:r>
        <w:rPr>
          <w:rFonts w:hint="eastAsia" w:ascii="宋体"/>
          <w:sz w:val="21"/>
          <w:szCs w:val="21"/>
        </w:rPr>
        <w:t>3、指标下钻凭证查询</w:t>
      </w:r>
    </w:p>
    <w:p w14:paraId="46C055CA">
      <w:pPr>
        <w:pStyle w:val="83"/>
        <w:ind w:firstLine="420"/>
        <w:jc w:val="both"/>
        <w:rPr>
          <w:rFonts w:ascii="宋体"/>
          <w:sz w:val="21"/>
          <w:szCs w:val="21"/>
        </w:rPr>
      </w:pPr>
      <w:r>
        <w:rPr>
          <w:rFonts w:hint="eastAsia" w:ascii="宋体"/>
          <w:sz w:val="21"/>
          <w:szCs w:val="21"/>
        </w:rPr>
        <w:t>支持为其他业务提供关联到凭证的下钻分析组件，支持在各财务主题、以及业务动态相关页面的指标分析中，关联指标下钻查询与该指标相应的凭证信息，指标值的数据可追溯至最细粒度的凭证科目，做到数据有依有据。</w:t>
      </w:r>
    </w:p>
    <w:p w14:paraId="2946DD93">
      <w:pPr>
        <w:pStyle w:val="8"/>
        <w:ind w:left="567" w:leftChars="270"/>
        <w:rPr>
          <w:sz w:val="21"/>
          <w:szCs w:val="21"/>
        </w:rPr>
      </w:pPr>
      <w:r>
        <w:rPr>
          <w:rFonts w:hint="eastAsia"/>
          <w:sz w:val="21"/>
          <w:szCs w:val="21"/>
        </w:rPr>
        <w:t>成本运营指标监测（医院端）</w:t>
      </w:r>
    </w:p>
    <w:p w14:paraId="35486287">
      <w:pPr>
        <w:pStyle w:val="83"/>
        <w:ind w:firstLine="420"/>
        <w:jc w:val="both"/>
        <w:rPr>
          <w:rFonts w:ascii="宋体"/>
          <w:sz w:val="21"/>
          <w:szCs w:val="21"/>
        </w:rPr>
      </w:pPr>
      <w:r>
        <w:rPr>
          <w:rFonts w:hint="eastAsia" w:ascii="宋体"/>
          <w:sz w:val="21"/>
          <w:szCs w:val="21"/>
        </w:rPr>
        <w:t>支持医院对本院运营情况进行总体监测，包括医院对自身人力成本、医院药品成本、医院医用耗材成本、医院后勤保障成本、医院管理办公成本、医院资本化成本以及医院典型场景运营成本相关指标进行监测分析，并与同期及上年全年进行比较分析，建立预警规则，对异常指标进行预警提示；支持各医院与同类医院开展对标分析；支持对各指标进行趋势分析，结合上年指标趋势、上年差额趋势、全年差额趋势，对自身的运营情况进行评价。</w:t>
      </w:r>
    </w:p>
    <w:p w14:paraId="63690052">
      <w:pPr>
        <w:pStyle w:val="83"/>
        <w:ind w:firstLine="420"/>
        <w:jc w:val="both"/>
        <w:rPr>
          <w:rFonts w:ascii="宋体"/>
          <w:sz w:val="21"/>
          <w:szCs w:val="21"/>
        </w:rPr>
      </w:pPr>
      <w:r>
        <w:rPr>
          <w:rFonts w:hint="eastAsia" w:ascii="宋体"/>
          <w:sz w:val="21"/>
          <w:szCs w:val="21"/>
        </w:rPr>
        <w:t>1、医院总体监测</w:t>
      </w:r>
    </w:p>
    <w:p w14:paraId="1C4A5212">
      <w:pPr>
        <w:pStyle w:val="83"/>
        <w:ind w:firstLine="420"/>
        <w:jc w:val="both"/>
        <w:rPr>
          <w:rFonts w:ascii="宋体"/>
          <w:sz w:val="21"/>
          <w:szCs w:val="21"/>
        </w:rPr>
      </w:pPr>
      <w:r>
        <w:rPr>
          <w:rFonts w:hint="eastAsia" w:ascii="宋体"/>
          <w:sz w:val="21"/>
          <w:szCs w:val="21"/>
        </w:rPr>
        <w:t>支持医院对本院人力成本、药品成本、医用耗材成本、后勤保障成本、管理办公成本以及资本化成本从医院自身运营管理角度进行整体分析，支持按照月度分析本医院指标整体趋势，能够对上述指标进行多维度预警，包括整体预警、指标属性预警以及主题预警。</w:t>
      </w:r>
    </w:p>
    <w:p w14:paraId="2291A593">
      <w:pPr>
        <w:pStyle w:val="83"/>
        <w:ind w:firstLine="420"/>
        <w:jc w:val="both"/>
        <w:rPr>
          <w:rFonts w:ascii="宋体"/>
          <w:sz w:val="21"/>
          <w:szCs w:val="21"/>
        </w:rPr>
      </w:pPr>
      <w:r>
        <w:rPr>
          <w:rFonts w:hint="eastAsia" w:ascii="宋体"/>
          <w:sz w:val="21"/>
          <w:szCs w:val="21"/>
        </w:rPr>
        <w:t>2、医院人力成本监测</w:t>
      </w:r>
    </w:p>
    <w:p w14:paraId="7DA2D1DB">
      <w:pPr>
        <w:pStyle w:val="83"/>
        <w:ind w:firstLine="420"/>
        <w:jc w:val="both"/>
        <w:rPr>
          <w:rFonts w:ascii="宋体"/>
          <w:sz w:val="21"/>
          <w:szCs w:val="21"/>
        </w:rPr>
      </w:pPr>
      <w:r>
        <w:rPr>
          <w:rFonts w:hint="eastAsia" w:ascii="宋体"/>
          <w:sz w:val="21"/>
          <w:szCs w:val="21"/>
        </w:rPr>
        <w:t>支持医院对本院人员经费占医疗成本比重、百元医疗收入（不含药品和卫生材料）人员经费支出、管理岗位人员经费占比、人员固定薪酬占比等指标按要求进行分析评价。</w:t>
      </w:r>
    </w:p>
    <w:p w14:paraId="231B044A">
      <w:pPr>
        <w:pStyle w:val="83"/>
        <w:ind w:firstLine="420"/>
        <w:jc w:val="both"/>
        <w:rPr>
          <w:rFonts w:ascii="宋体"/>
          <w:sz w:val="21"/>
          <w:szCs w:val="21"/>
        </w:rPr>
      </w:pPr>
      <w:r>
        <w:rPr>
          <w:rFonts w:hint="eastAsia" w:ascii="宋体"/>
          <w:sz w:val="21"/>
          <w:szCs w:val="21"/>
        </w:rPr>
        <w:t>3、医院药品成本监测</w:t>
      </w:r>
    </w:p>
    <w:p w14:paraId="140CC630">
      <w:pPr>
        <w:pStyle w:val="83"/>
        <w:ind w:firstLine="420"/>
        <w:jc w:val="both"/>
        <w:rPr>
          <w:rFonts w:ascii="宋体"/>
          <w:sz w:val="21"/>
          <w:szCs w:val="21"/>
        </w:rPr>
      </w:pPr>
      <w:r>
        <w:rPr>
          <w:rFonts w:hint="eastAsia" w:ascii="宋体"/>
          <w:sz w:val="21"/>
          <w:szCs w:val="21"/>
        </w:rPr>
        <w:t>支持医院对本院药品成本占医疗成本比重、百元医疗收入药品成本、药品（不含中药饮片）收支配比率等指标按要求进行分析评价。</w:t>
      </w:r>
    </w:p>
    <w:p w14:paraId="6C5D5F7C">
      <w:pPr>
        <w:pStyle w:val="83"/>
        <w:ind w:firstLine="420"/>
        <w:jc w:val="both"/>
        <w:rPr>
          <w:rFonts w:ascii="宋体"/>
          <w:sz w:val="21"/>
          <w:szCs w:val="21"/>
        </w:rPr>
      </w:pPr>
      <w:r>
        <w:rPr>
          <w:rFonts w:hint="eastAsia" w:ascii="宋体"/>
          <w:sz w:val="21"/>
          <w:szCs w:val="21"/>
        </w:rPr>
        <w:t>4、医院医用耗材成本监测</w:t>
      </w:r>
    </w:p>
    <w:p w14:paraId="7A131F14">
      <w:pPr>
        <w:pStyle w:val="83"/>
        <w:ind w:firstLine="420"/>
        <w:jc w:val="both"/>
        <w:rPr>
          <w:rFonts w:ascii="宋体"/>
          <w:sz w:val="21"/>
          <w:szCs w:val="21"/>
        </w:rPr>
      </w:pPr>
      <w:r>
        <w:rPr>
          <w:rFonts w:hint="eastAsia" w:ascii="宋体"/>
          <w:sz w:val="21"/>
          <w:szCs w:val="21"/>
        </w:rPr>
        <w:t>支持医院对本院卫生材料成本占医疗成本比重、百元医疗收入卫生材料成本、百元医疗收入（不含药品和卫生材料）不可单独收费卫生材料成本、试剂成本与检验项目收入占比、可单独收费卫生材料收支配比率等指标按要求进行分析评价。</w:t>
      </w:r>
    </w:p>
    <w:p w14:paraId="39508BE4">
      <w:pPr>
        <w:pStyle w:val="83"/>
        <w:ind w:firstLine="420"/>
        <w:jc w:val="both"/>
        <w:rPr>
          <w:rFonts w:ascii="宋体"/>
          <w:sz w:val="21"/>
          <w:szCs w:val="21"/>
        </w:rPr>
      </w:pPr>
      <w:r>
        <w:rPr>
          <w:rFonts w:hint="eastAsia" w:ascii="宋体"/>
          <w:sz w:val="21"/>
          <w:szCs w:val="21"/>
        </w:rPr>
        <w:t>5、医院后勤保障成本监测</w:t>
      </w:r>
    </w:p>
    <w:p w14:paraId="2E4D7E6C">
      <w:pPr>
        <w:pStyle w:val="83"/>
        <w:ind w:firstLine="420"/>
        <w:jc w:val="both"/>
        <w:rPr>
          <w:rFonts w:ascii="宋体"/>
          <w:sz w:val="21"/>
          <w:szCs w:val="21"/>
        </w:rPr>
      </w:pPr>
      <w:r>
        <w:rPr>
          <w:rFonts w:hint="eastAsia" w:ascii="宋体"/>
          <w:sz w:val="21"/>
          <w:szCs w:val="21"/>
        </w:rPr>
        <w:t>支持医院对本院万元医疗收入（不含药品和卫生材料）能耗成本、万元医疗收入（不含药品和卫生材料）维修成本、万元医疗收入（不含药品和卫生材料）物业成本等指标按要求进行分析评价。</w:t>
      </w:r>
    </w:p>
    <w:p w14:paraId="46EFBB70">
      <w:pPr>
        <w:pStyle w:val="83"/>
        <w:ind w:firstLine="420"/>
        <w:jc w:val="both"/>
        <w:rPr>
          <w:rFonts w:ascii="宋体"/>
          <w:sz w:val="21"/>
          <w:szCs w:val="21"/>
        </w:rPr>
      </w:pPr>
      <w:r>
        <w:rPr>
          <w:rFonts w:hint="eastAsia" w:ascii="宋体"/>
          <w:sz w:val="21"/>
          <w:szCs w:val="21"/>
        </w:rPr>
        <w:t>6、医院管理办公成本监测</w:t>
      </w:r>
    </w:p>
    <w:p w14:paraId="67FC23FA">
      <w:pPr>
        <w:pStyle w:val="83"/>
        <w:ind w:firstLine="420"/>
        <w:jc w:val="both"/>
        <w:rPr>
          <w:rFonts w:ascii="宋体"/>
          <w:sz w:val="21"/>
          <w:szCs w:val="21"/>
        </w:rPr>
      </w:pPr>
      <w:r>
        <w:rPr>
          <w:rFonts w:hint="eastAsia" w:ascii="宋体"/>
          <w:sz w:val="21"/>
          <w:szCs w:val="21"/>
        </w:rPr>
        <w:t>支持医院对本院管理费用率、百元医疗收入（不含药品和卫生材料）管理费用、人均管理费用、人均日常办公成本等指标按要求进行分析评价。</w:t>
      </w:r>
    </w:p>
    <w:p w14:paraId="4AA6F3C8">
      <w:pPr>
        <w:pStyle w:val="83"/>
        <w:ind w:firstLine="420"/>
        <w:jc w:val="both"/>
        <w:rPr>
          <w:rFonts w:ascii="宋体"/>
          <w:sz w:val="21"/>
          <w:szCs w:val="21"/>
        </w:rPr>
      </w:pPr>
      <w:r>
        <w:rPr>
          <w:rFonts w:hint="eastAsia" w:ascii="宋体"/>
          <w:sz w:val="21"/>
          <w:szCs w:val="21"/>
        </w:rPr>
        <w:t>7、医院资本化成本监测</w:t>
      </w:r>
    </w:p>
    <w:p w14:paraId="1926B24C">
      <w:pPr>
        <w:pStyle w:val="83"/>
        <w:ind w:firstLine="420"/>
        <w:jc w:val="both"/>
        <w:rPr>
          <w:rFonts w:ascii="宋体"/>
          <w:sz w:val="21"/>
          <w:szCs w:val="21"/>
        </w:rPr>
      </w:pPr>
      <w:r>
        <w:rPr>
          <w:rFonts w:hint="eastAsia" w:ascii="宋体"/>
          <w:sz w:val="21"/>
          <w:szCs w:val="21"/>
        </w:rPr>
        <w:t>支持医院对本院设备投入成本、大修投入成本、信息投入成本</w:t>
      </w:r>
      <w:bookmarkStart w:id="3" w:name="OLE_LINK3"/>
      <w:bookmarkStart w:id="4" w:name="OLE_LINK2"/>
      <w:r>
        <w:rPr>
          <w:rFonts w:hint="eastAsia" w:ascii="宋体"/>
          <w:sz w:val="21"/>
          <w:szCs w:val="21"/>
        </w:rPr>
        <w:t>等指标按要求进行分析评价</w:t>
      </w:r>
      <w:bookmarkEnd w:id="3"/>
      <w:bookmarkEnd w:id="4"/>
      <w:r>
        <w:rPr>
          <w:rFonts w:hint="eastAsia" w:ascii="宋体"/>
          <w:sz w:val="21"/>
          <w:szCs w:val="21"/>
        </w:rPr>
        <w:t>。</w:t>
      </w:r>
    </w:p>
    <w:p w14:paraId="0E37F3CF">
      <w:pPr>
        <w:pStyle w:val="83"/>
        <w:ind w:firstLine="420"/>
        <w:jc w:val="both"/>
        <w:rPr>
          <w:rFonts w:ascii="宋体"/>
          <w:sz w:val="21"/>
          <w:szCs w:val="21"/>
        </w:rPr>
      </w:pPr>
      <w:r>
        <w:rPr>
          <w:rFonts w:hint="eastAsia" w:ascii="宋体"/>
          <w:sz w:val="21"/>
          <w:szCs w:val="21"/>
        </w:rPr>
        <w:t>8、医院典型场景运营成本监测</w:t>
      </w:r>
    </w:p>
    <w:p w14:paraId="6C9B9DE6">
      <w:pPr>
        <w:pStyle w:val="83"/>
        <w:ind w:firstLine="420"/>
        <w:jc w:val="both"/>
        <w:rPr>
          <w:rFonts w:ascii="宋体"/>
          <w:sz w:val="21"/>
          <w:szCs w:val="21"/>
        </w:rPr>
      </w:pPr>
      <w:r>
        <w:rPr>
          <w:rFonts w:hint="eastAsia" w:ascii="宋体"/>
          <w:sz w:val="21"/>
          <w:szCs w:val="21"/>
        </w:rPr>
        <w:t>支持医院对本院手术室、血透室、检验科、供应室等科室的场景化等指标按要求进行分析评价。</w:t>
      </w:r>
    </w:p>
    <w:p w14:paraId="6B62246C">
      <w:pPr>
        <w:pStyle w:val="83"/>
        <w:ind w:firstLine="420"/>
        <w:jc w:val="both"/>
        <w:rPr>
          <w:rFonts w:ascii="宋体"/>
          <w:sz w:val="21"/>
          <w:szCs w:val="21"/>
        </w:rPr>
      </w:pPr>
      <w:r>
        <w:rPr>
          <w:rFonts w:hint="eastAsia" w:ascii="宋体"/>
          <w:sz w:val="21"/>
          <w:szCs w:val="21"/>
        </w:rPr>
        <w:t>9、医院成本运营指标查询统计</w:t>
      </w:r>
    </w:p>
    <w:p w14:paraId="15C75E5C">
      <w:pPr>
        <w:pStyle w:val="83"/>
        <w:ind w:firstLine="420"/>
        <w:jc w:val="both"/>
        <w:rPr>
          <w:rFonts w:ascii="宋体"/>
          <w:sz w:val="21"/>
          <w:szCs w:val="21"/>
        </w:rPr>
      </w:pPr>
      <w:r>
        <w:rPr>
          <w:rFonts w:hint="eastAsia" w:ascii="宋体"/>
          <w:sz w:val="21"/>
          <w:szCs w:val="21"/>
        </w:rPr>
        <w:t>支持医院对本院成本指标明细查询功能支持根据自定义时间范围统计分析医院整体成本情况，包括本期值、同期值、同比/同比（±）、上年全年值、上年全年比/上年全年比（±）及预警情况；支持医院对本院各成本运营指标的查询分析。</w:t>
      </w:r>
    </w:p>
    <w:p w14:paraId="1D1B28C3">
      <w:pPr>
        <w:pStyle w:val="8"/>
        <w:ind w:left="567" w:leftChars="270"/>
        <w:rPr>
          <w:sz w:val="21"/>
          <w:szCs w:val="21"/>
        </w:rPr>
      </w:pPr>
      <w:r>
        <w:rPr>
          <w:rFonts w:hint="eastAsia"/>
          <w:sz w:val="21"/>
          <w:szCs w:val="21"/>
        </w:rPr>
        <w:t>成本运营指标动态监测（医院端）</w:t>
      </w:r>
    </w:p>
    <w:p w14:paraId="15D09B81">
      <w:pPr>
        <w:pStyle w:val="83"/>
        <w:ind w:firstLine="420"/>
        <w:jc w:val="both"/>
        <w:rPr>
          <w:rFonts w:ascii="宋体"/>
          <w:sz w:val="21"/>
          <w:szCs w:val="21"/>
        </w:rPr>
      </w:pPr>
      <w:r>
        <w:rPr>
          <w:rFonts w:hint="eastAsia" w:ascii="宋体"/>
          <w:sz w:val="21"/>
          <w:szCs w:val="21"/>
        </w:rPr>
        <w:t>1、医院总体指标监测</w:t>
      </w:r>
    </w:p>
    <w:p w14:paraId="5C51E563">
      <w:pPr>
        <w:pStyle w:val="83"/>
        <w:ind w:firstLine="420"/>
        <w:jc w:val="both"/>
        <w:rPr>
          <w:rFonts w:ascii="宋体"/>
          <w:sz w:val="21"/>
          <w:szCs w:val="21"/>
        </w:rPr>
      </w:pPr>
      <w:r>
        <w:rPr>
          <w:rFonts w:hint="eastAsia" w:ascii="宋体"/>
          <w:sz w:val="21"/>
          <w:szCs w:val="21"/>
        </w:rPr>
        <w:t>支持医院对本院医疗成本运行相关的医疗收入及主要结构（门急诊收入、住院收入等）、总资产等变化情况，细化按天动态监测分析，并设置预警规则，对异常指标进行预警提示。</w:t>
      </w:r>
    </w:p>
    <w:p w14:paraId="7140947E">
      <w:pPr>
        <w:pStyle w:val="83"/>
        <w:ind w:firstLine="420"/>
        <w:jc w:val="both"/>
        <w:rPr>
          <w:rFonts w:ascii="宋体"/>
          <w:sz w:val="21"/>
          <w:szCs w:val="21"/>
        </w:rPr>
      </w:pPr>
      <w:r>
        <w:rPr>
          <w:rFonts w:hint="eastAsia" w:ascii="宋体"/>
          <w:sz w:val="21"/>
          <w:szCs w:val="21"/>
        </w:rPr>
        <w:t>2、医院医疗业务量监测</w:t>
      </w:r>
    </w:p>
    <w:p w14:paraId="044E7965">
      <w:pPr>
        <w:pStyle w:val="83"/>
        <w:ind w:firstLine="420"/>
        <w:jc w:val="both"/>
        <w:rPr>
          <w:rFonts w:ascii="宋体"/>
          <w:sz w:val="21"/>
          <w:szCs w:val="21"/>
        </w:rPr>
      </w:pPr>
      <w:r>
        <w:rPr>
          <w:rFonts w:hint="eastAsia" w:ascii="宋体"/>
          <w:sz w:val="21"/>
          <w:szCs w:val="21"/>
        </w:rPr>
        <w:t>支持医院对本院医疗成本运行相关的医疗业务量（门急诊人次、出院人次）等变化情况，细化按天动态监测分析，并设置预警规则，对异常指标进行预警提示。</w:t>
      </w:r>
    </w:p>
    <w:p w14:paraId="3A184C8F">
      <w:pPr>
        <w:pStyle w:val="83"/>
        <w:ind w:firstLine="420"/>
        <w:jc w:val="both"/>
        <w:rPr>
          <w:rFonts w:ascii="宋体"/>
          <w:sz w:val="21"/>
          <w:szCs w:val="21"/>
        </w:rPr>
      </w:pPr>
      <w:r>
        <w:rPr>
          <w:rFonts w:hint="eastAsia" w:ascii="宋体"/>
          <w:sz w:val="21"/>
          <w:szCs w:val="21"/>
        </w:rPr>
        <w:t>3、医院均次医疗费用监测</w:t>
      </w:r>
    </w:p>
    <w:p w14:paraId="51F6FA75">
      <w:pPr>
        <w:pStyle w:val="83"/>
        <w:ind w:firstLine="420"/>
        <w:jc w:val="both"/>
        <w:rPr>
          <w:rFonts w:ascii="宋体"/>
          <w:sz w:val="21"/>
          <w:szCs w:val="21"/>
        </w:rPr>
      </w:pPr>
      <w:r>
        <w:rPr>
          <w:rFonts w:hint="eastAsia" w:ascii="宋体"/>
          <w:sz w:val="21"/>
          <w:szCs w:val="21"/>
        </w:rPr>
        <w:t>支持医院对本院医疗成本运行相关的均次医疗费用（门急诊均次费用、出院均次费用）等变化情况，细化按天动态监测分析，并设置预警规则，对异常指标进行预警提示。</w:t>
      </w:r>
    </w:p>
    <w:p w14:paraId="373D17D8">
      <w:pPr>
        <w:pStyle w:val="83"/>
        <w:ind w:firstLine="420"/>
        <w:jc w:val="both"/>
        <w:rPr>
          <w:rFonts w:ascii="宋体"/>
          <w:sz w:val="21"/>
          <w:szCs w:val="21"/>
        </w:rPr>
      </w:pPr>
      <w:r>
        <w:rPr>
          <w:rFonts w:hint="eastAsia" w:ascii="宋体"/>
          <w:sz w:val="21"/>
          <w:szCs w:val="21"/>
        </w:rPr>
        <w:t>4、医院负债情况监测</w:t>
      </w:r>
    </w:p>
    <w:p w14:paraId="014CA5FD">
      <w:pPr>
        <w:pStyle w:val="83"/>
        <w:ind w:firstLine="480"/>
        <w:jc w:val="both"/>
        <w:rPr>
          <w:rFonts w:ascii="宋体"/>
          <w:sz w:val="21"/>
          <w:szCs w:val="21"/>
        </w:rPr>
      </w:pPr>
      <w:r>
        <w:rPr>
          <w:rFonts w:hint="eastAsia" w:ascii="宋体"/>
          <w:sz w:val="21"/>
          <w:szCs w:val="21"/>
        </w:rPr>
        <w:t>支持医院对本院</w:t>
      </w:r>
      <w:r>
        <w:rPr>
          <w:rFonts w:hint="eastAsia" w:ascii="宋体"/>
          <w:sz w:val="21"/>
          <w:szCs w:val="21"/>
        </w:rPr>
        <w:t>医疗成本运行相关的资产变化（如资产负债率、资金情况）等变化情况，细化按天动态监测分析，并设置预警规则，对异常指标进行预警提示。</w:t>
      </w:r>
    </w:p>
    <w:p w14:paraId="45885857">
      <w:pPr>
        <w:pStyle w:val="8"/>
        <w:ind w:left="567" w:leftChars="270"/>
        <w:rPr>
          <w:sz w:val="21"/>
          <w:szCs w:val="21"/>
        </w:rPr>
      </w:pPr>
      <w:r>
        <w:rPr>
          <w:rFonts w:hint="eastAsia"/>
          <w:sz w:val="21"/>
          <w:szCs w:val="21"/>
        </w:rPr>
        <w:t>成本运营指标预警配置</w:t>
      </w:r>
    </w:p>
    <w:p w14:paraId="67376E89">
      <w:pPr>
        <w:pStyle w:val="83"/>
        <w:ind w:firstLine="420"/>
        <w:rPr>
          <w:sz w:val="21"/>
          <w:szCs w:val="21"/>
        </w:rPr>
      </w:pPr>
      <w:r>
        <w:rPr>
          <w:rFonts w:hint="eastAsia"/>
          <w:sz w:val="21"/>
          <w:szCs w:val="21"/>
        </w:rPr>
        <w:t>配置成本工作指引指标的预警阈值，帮助管理者随时调节预警规则。</w:t>
      </w:r>
    </w:p>
    <w:p w14:paraId="6E58C660">
      <w:pPr>
        <w:pStyle w:val="8"/>
        <w:ind w:left="567" w:leftChars="270"/>
        <w:rPr>
          <w:sz w:val="21"/>
          <w:szCs w:val="21"/>
        </w:rPr>
      </w:pPr>
      <w:r>
        <w:rPr>
          <w:rFonts w:hint="eastAsia"/>
          <w:sz w:val="21"/>
          <w:szCs w:val="21"/>
        </w:rPr>
        <w:t>成本运营考核评价</w:t>
      </w:r>
    </w:p>
    <w:p w14:paraId="43FD3110">
      <w:pPr>
        <w:pStyle w:val="83"/>
        <w:ind w:firstLine="420"/>
        <w:jc w:val="both"/>
        <w:rPr>
          <w:sz w:val="21"/>
          <w:szCs w:val="21"/>
        </w:rPr>
      </w:pPr>
      <w:r>
        <w:rPr>
          <w:rFonts w:hint="eastAsia"/>
          <w:sz w:val="21"/>
          <w:szCs w:val="21"/>
        </w:rPr>
        <w:t>1、评价模型管理</w:t>
      </w:r>
    </w:p>
    <w:p w14:paraId="600F27F2">
      <w:pPr>
        <w:pStyle w:val="83"/>
        <w:ind w:firstLine="420"/>
        <w:rPr>
          <w:sz w:val="21"/>
          <w:szCs w:val="21"/>
        </w:rPr>
      </w:pPr>
      <w:r>
        <w:rPr>
          <w:rFonts w:hint="eastAsia"/>
          <w:sz w:val="21"/>
          <w:szCs w:val="21"/>
        </w:rPr>
        <w:t>制定成本工作指引量化打分考核评价模型，根据“9大维度35个指标”，构建多维度打分体系。</w:t>
      </w:r>
    </w:p>
    <w:p w14:paraId="41933BBA">
      <w:pPr>
        <w:pStyle w:val="83"/>
        <w:ind w:firstLine="420"/>
        <w:jc w:val="both"/>
        <w:rPr>
          <w:sz w:val="21"/>
          <w:szCs w:val="21"/>
        </w:rPr>
      </w:pPr>
      <w:r>
        <w:rPr>
          <w:rFonts w:hint="eastAsia"/>
          <w:sz w:val="21"/>
          <w:szCs w:val="21"/>
        </w:rPr>
        <w:t>2、评价数据分析</w:t>
      </w:r>
    </w:p>
    <w:p w14:paraId="380AE1AD">
      <w:pPr>
        <w:pStyle w:val="83"/>
        <w:ind w:firstLine="420"/>
        <w:jc w:val="both"/>
        <w:rPr>
          <w:sz w:val="21"/>
          <w:szCs w:val="21"/>
        </w:rPr>
      </w:pPr>
      <w:r>
        <w:rPr>
          <w:rFonts w:hint="eastAsia"/>
          <w:sz w:val="21"/>
          <w:szCs w:val="21"/>
        </w:rPr>
        <w:t>基于成本运营考核评价模型，建设市级医院成本运营考核评价系统，由人力成本、药品成本、医用耗材成本、后勤保障成本、管理办公成本、资本化成本及典型场景运营成本等七个主题构成，依据相关权重进行量化打分评价。</w:t>
      </w:r>
    </w:p>
    <w:p w14:paraId="337CAB7D">
      <w:pPr>
        <w:pStyle w:val="7"/>
        <w:rPr>
          <w:sz w:val="21"/>
          <w:szCs w:val="21"/>
        </w:rPr>
      </w:pPr>
      <w:r>
        <w:rPr>
          <w:rFonts w:hint="eastAsia"/>
          <w:sz w:val="21"/>
          <w:szCs w:val="21"/>
        </w:rPr>
        <w:t>成本运营数据标准化管理系统</w:t>
      </w:r>
    </w:p>
    <w:p w14:paraId="50F72FBC">
      <w:pPr>
        <w:pStyle w:val="8"/>
        <w:ind w:left="567" w:leftChars="270"/>
        <w:rPr>
          <w:sz w:val="21"/>
          <w:szCs w:val="21"/>
        </w:rPr>
      </w:pPr>
      <w:r>
        <w:rPr>
          <w:rFonts w:hint="eastAsia"/>
          <w:sz w:val="21"/>
          <w:szCs w:val="21"/>
        </w:rPr>
        <w:t>人力成本数据标准化管理系统</w:t>
      </w:r>
    </w:p>
    <w:p w14:paraId="0D241E5D">
      <w:pPr>
        <w:pStyle w:val="83"/>
        <w:ind w:firstLine="420"/>
        <w:jc w:val="both"/>
        <w:rPr>
          <w:sz w:val="21"/>
          <w:szCs w:val="21"/>
        </w:rPr>
      </w:pPr>
      <w:r>
        <w:rPr>
          <w:rFonts w:hint="eastAsia"/>
          <w:sz w:val="21"/>
          <w:szCs w:val="21"/>
        </w:rPr>
        <w:t>1、人力组织架构</w:t>
      </w:r>
    </w:p>
    <w:p w14:paraId="32CDB0DF">
      <w:pPr>
        <w:pStyle w:val="83"/>
        <w:ind w:firstLine="420"/>
        <w:jc w:val="both"/>
        <w:rPr>
          <w:sz w:val="21"/>
          <w:szCs w:val="21"/>
        </w:rPr>
      </w:pPr>
      <w:r>
        <w:rPr>
          <w:rFonts w:hint="eastAsia"/>
          <w:sz w:val="21"/>
          <w:szCs w:val="21"/>
        </w:rPr>
        <w:t>人力成本数据采集所需的组织架构设置，包括新增、修改、查询及相应的变动调整，如遇调整变动则及时动态反映。</w:t>
      </w:r>
    </w:p>
    <w:p w14:paraId="43F35967">
      <w:pPr>
        <w:pStyle w:val="83"/>
        <w:ind w:firstLine="420"/>
        <w:jc w:val="both"/>
        <w:rPr>
          <w:sz w:val="21"/>
          <w:szCs w:val="21"/>
        </w:rPr>
      </w:pPr>
      <w:r>
        <w:rPr>
          <w:rFonts w:hint="eastAsia"/>
          <w:sz w:val="21"/>
          <w:szCs w:val="21"/>
        </w:rPr>
        <w:t>2、人力成本数据标准</w:t>
      </w:r>
    </w:p>
    <w:p w14:paraId="12064BAD">
      <w:pPr>
        <w:pStyle w:val="83"/>
        <w:ind w:firstLine="420"/>
        <w:jc w:val="both"/>
        <w:rPr>
          <w:sz w:val="21"/>
          <w:szCs w:val="21"/>
        </w:rPr>
      </w:pPr>
      <w:r>
        <w:rPr>
          <w:rFonts w:hint="eastAsia"/>
          <w:sz w:val="21"/>
          <w:szCs w:val="21"/>
        </w:rPr>
        <w:t>设置人力成本项目业务模型，职工人事基本档案信息模型等信息。</w:t>
      </w:r>
    </w:p>
    <w:p w14:paraId="3A2C0668">
      <w:pPr>
        <w:pStyle w:val="83"/>
        <w:ind w:firstLine="420"/>
        <w:jc w:val="both"/>
        <w:rPr>
          <w:sz w:val="21"/>
          <w:szCs w:val="21"/>
        </w:rPr>
      </w:pPr>
      <w:r>
        <w:rPr>
          <w:rFonts w:hint="eastAsia"/>
          <w:sz w:val="21"/>
          <w:szCs w:val="21"/>
        </w:rPr>
        <w:t>3、人力成本数据采集上报</w:t>
      </w:r>
    </w:p>
    <w:p w14:paraId="1E72647A">
      <w:pPr>
        <w:pStyle w:val="83"/>
        <w:ind w:firstLine="420"/>
        <w:jc w:val="both"/>
        <w:rPr>
          <w:sz w:val="21"/>
          <w:szCs w:val="21"/>
        </w:rPr>
      </w:pPr>
      <w:r>
        <w:rPr>
          <w:rFonts w:hint="eastAsia"/>
          <w:sz w:val="21"/>
          <w:szCs w:val="21"/>
        </w:rPr>
        <w:t>满足人力成本系统自主上报数据的模板设计，医院在人力成本系统内进行相应的数据填报，并支持通过接口方式的数据动态传递。</w:t>
      </w:r>
    </w:p>
    <w:p w14:paraId="4E0B3B0B">
      <w:pPr>
        <w:pStyle w:val="83"/>
        <w:ind w:firstLine="420"/>
        <w:jc w:val="both"/>
        <w:rPr>
          <w:sz w:val="21"/>
          <w:szCs w:val="21"/>
        </w:rPr>
      </w:pPr>
      <w:r>
        <w:rPr>
          <w:rFonts w:hint="eastAsia"/>
          <w:sz w:val="21"/>
          <w:szCs w:val="21"/>
        </w:rPr>
        <w:t>4、人力成本数据集中存储</w:t>
      </w:r>
    </w:p>
    <w:p w14:paraId="357B96DB">
      <w:pPr>
        <w:pStyle w:val="83"/>
        <w:ind w:firstLine="420"/>
        <w:jc w:val="both"/>
        <w:rPr>
          <w:sz w:val="21"/>
          <w:szCs w:val="21"/>
        </w:rPr>
      </w:pPr>
      <w:r>
        <w:rPr>
          <w:rFonts w:hint="eastAsia"/>
          <w:sz w:val="21"/>
          <w:szCs w:val="21"/>
        </w:rPr>
        <w:t>可对人力成本采集数据进行申报确认、打回、更新的处理，可集中存储相关数据。</w:t>
      </w:r>
    </w:p>
    <w:p w14:paraId="29AC710B">
      <w:pPr>
        <w:pStyle w:val="83"/>
        <w:ind w:firstLine="420"/>
        <w:jc w:val="both"/>
        <w:rPr>
          <w:sz w:val="21"/>
          <w:szCs w:val="21"/>
        </w:rPr>
      </w:pPr>
      <w:r>
        <w:rPr>
          <w:rFonts w:hint="eastAsia"/>
          <w:sz w:val="21"/>
          <w:szCs w:val="21"/>
        </w:rPr>
        <w:t>5、人力成本数据报表生成</w:t>
      </w:r>
    </w:p>
    <w:p w14:paraId="55ECCD90">
      <w:pPr>
        <w:pStyle w:val="83"/>
        <w:ind w:firstLine="420"/>
        <w:jc w:val="both"/>
        <w:rPr>
          <w:sz w:val="21"/>
          <w:szCs w:val="21"/>
        </w:rPr>
      </w:pPr>
      <w:r>
        <w:rPr>
          <w:rFonts w:hint="eastAsia"/>
          <w:sz w:val="21"/>
          <w:szCs w:val="21"/>
        </w:rPr>
        <w:t>人力成本数据报表生成。</w:t>
      </w:r>
    </w:p>
    <w:p w14:paraId="3633FD73">
      <w:pPr>
        <w:pStyle w:val="83"/>
        <w:ind w:firstLine="420"/>
        <w:jc w:val="both"/>
        <w:rPr>
          <w:sz w:val="21"/>
          <w:szCs w:val="21"/>
        </w:rPr>
      </w:pPr>
      <w:r>
        <w:rPr>
          <w:rFonts w:hint="eastAsia"/>
          <w:sz w:val="21"/>
          <w:szCs w:val="21"/>
        </w:rPr>
        <w:t>6、人力成本数据动态分析工具</w:t>
      </w:r>
    </w:p>
    <w:p w14:paraId="15E9604C">
      <w:pPr>
        <w:pStyle w:val="83"/>
        <w:ind w:firstLine="420"/>
        <w:jc w:val="both"/>
        <w:rPr>
          <w:sz w:val="21"/>
          <w:szCs w:val="21"/>
        </w:rPr>
      </w:pPr>
      <w:r>
        <w:rPr>
          <w:rFonts w:hint="eastAsia"/>
          <w:sz w:val="21"/>
          <w:szCs w:val="21"/>
        </w:rPr>
        <w:t>初步实现按需选取不同的人力成本数据组合，生成不同数据要素的统计分析图表。</w:t>
      </w:r>
    </w:p>
    <w:p w14:paraId="3D11350E">
      <w:pPr>
        <w:pStyle w:val="8"/>
        <w:ind w:left="567" w:leftChars="270"/>
        <w:rPr>
          <w:sz w:val="21"/>
          <w:szCs w:val="21"/>
        </w:rPr>
      </w:pPr>
      <w:r>
        <w:rPr>
          <w:rFonts w:hint="eastAsia"/>
          <w:sz w:val="21"/>
          <w:szCs w:val="21"/>
        </w:rPr>
        <w:t>资本化成本数据标准化管理系统</w:t>
      </w:r>
    </w:p>
    <w:p w14:paraId="133AC2B7">
      <w:pPr>
        <w:pStyle w:val="83"/>
        <w:ind w:firstLine="420"/>
        <w:jc w:val="both"/>
        <w:rPr>
          <w:sz w:val="21"/>
          <w:szCs w:val="21"/>
        </w:rPr>
      </w:pPr>
      <w:r>
        <w:rPr>
          <w:rFonts w:hint="eastAsia"/>
          <w:sz w:val="21"/>
          <w:szCs w:val="21"/>
        </w:rPr>
        <w:t>1、资本化项目库数据采集</w:t>
      </w:r>
    </w:p>
    <w:p w14:paraId="0ACF810B">
      <w:pPr>
        <w:pStyle w:val="83"/>
        <w:ind w:firstLine="420"/>
        <w:jc w:val="both"/>
        <w:rPr>
          <w:sz w:val="21"/>
          <w:szCs w:val="21"/>
        </w:rPr>
      </w:pPr>
      <w:r>
        <w:rPr>
          <w:rFonts w:hint="eastAsia"/>
          <w:sz w:val="21"/>
          <w:szCs w:val="21"/>
        </w:rPr>
        <w:t>主要用于资本化项目预算库的标准建立，及项目立项入库的数据采集。</w:t>
      </w:r>
    </w:p>
    <w:p w14:paraId="321E4AC5">
      <w:pPr>
        <w:pStyle w:val="83"/>
        <w:ind w:firstLine="420"/>
        <w:jc w:val="both"/>
        <w:rPr>
          <w:sz w:val="21"/>
          <w:szCs w:val="21"/>
        </w:rPr>
      </w:pPr>
      <w:r>
        <w:rPr>
          <w:rFonts w:hint="eastAsia"/>
          <w:sz w:val="21"/>
          <w:szCs w:val="21"/>
        </w:rPr>
        <w:t>2、资本化项目预算数据采集</w:t>
      </w:r>
    </w:p>
    <w:p w14:paraId="77572519">
      <w:pPr>
        <w:pStyle w:val="83"/>
        <w:ind w:firstLine="420"/>
        <w:jc w:val="both"/>
        <w:rPr>
          <w:sz w:val="21"/>
          <w:szCs w:val="21"/>
        </w:rPr>
      </w:pPr>
      <w:r>
        <w:rPr>
          <w:rFonts w:hint="eastAsia"/>
          <w:sz w:val="21"/>
          <w:szCs w:val="21"/>
        </w:rPr>
        <w:t>主要用于资本化项目预算申报数据的采集，既要建立数据集规范，也要开发便于操作的系统功能。</w:t>
      </w:r>
    </w:p>
    <w:p w14:paraId="34F03441">
      <w:pPr>
        <w:pStyle w:val="83"/>
        <w:ind w:firstLine="420"/>
        <w:jc w:val="both"/>
        <w:rPr>
          <w:sz w:val="21"/>
          <w:szCs w:val="21"/>
        </w:rPr>
      </w:pPr>
      <w:r>
        <w:rPr>
          <w:rFonts w:hint="eastAsia"/>
          <w:sz w:val="21"/>
          <w:szCs w:val="21"/>
        </w:rPr>
        <w:t>3、资本化项目资金使用数据采集</w:t>
      </w:r>
    </w:p>
    <w:p w14:paraId="65A4D148">
      <w:pPr>
        <w:pStyle w:val="83"/>
        <w:ind w:firstLine="420"/>
        <w:jc w:val="both"/>
        <w:rPr>
          <w:sz w:val="21"/>
          <w:szCs w:val="21"/>
        </w:rPr>
      </w:pPr>
      <w:r>
        <w:rPr>
          <w:rFonts w:hint="eastAsia"/>
          <w:sz w:val="21"/>
          <w:szCs w:val="21"/>
        </w:rPr>
        <w:t>主要用于项目预算资金使用过程管理，涉及资金付款申请，资金支付条件审核，资金支付使用情况等信息。</w:t>
      </w:r>
    </w:p>
    <w:p w14:paraId="7E43CAC9">
      <w:pPr>
        <w:pStyle w:val="83"/>
        <w:ind w:firstLine="420"/>
        <w:jc w:val="both"/>
        <w:rPr>
          <w:sz w:val="21"/>
          <w:szCs w:val="21"/>
        </w:rPr>
      </w:pPr>
      <w:r>
        <w:rPr>
          <w:rFonts w:hint="eastAsia"/>
          <w:sz w:val="21"/>
          <w:szCs w:val="21"/>
        </w:rPr>
        <w:t>4、资本化成本数据集中存储</w:t>
      </w:r>
    </w:p>
    <w:p w14:paraId="02F723D7">
      <w:pPr>
        <w:pStyle w:val="83"/>
        <w:ind w:firstLine="420"/>
        <w:jc w:val="both"/>
        <w:rPr>
          <w:sz w:val="21"/>
          <w:szCs w:val="21"/>
        </w:rPr>
      </w:pPr>
      <w:r>
        <w:rPr>
          <w:rFonts w:hint="eastAsia"/>
          <w:sz w:val="21"/>
          <w:szCs w:val="21"/>
        </w:rPr>
        <w:t>统一存储院内资本化项目的申报情况，项目预算调整申报情况，项目预算执行结果形成集中数据集，供申康中心管理分析使用。</w:t>
      </w:r>
    </w:p>
    <w:p w14:paraId="58ACDCD1">
      <w:pPr>
        <w:pStyle w:val="83"/>
        <w:ind w:firstLine="420"/>
        <w:jc w:val="both"/>
        <w:rPr>
          <w:sz w:val="21"/>
          <w:szCs w:val="21"/>
        </w:rPr>
      </w:pPr>
      <w:r>
        <w:rPr>
          <w:rFonts w:hint="eastAsia"/>
          <w:sz w:val="21"/>
          <w:szCs w:val="21"/>
        </w:rPr>
        <w:t>5、资本化项目预算报表</w:t>
      </w:r>
    </w:p>
    <w:p w14:paraId="7E97D140">
      <w:pPr>
        <w:pStyle w:val="83"/>
        <w:ind w:firstLine="420"/>
        <w:jc w:val="both"/>
        <w:rPr>
          <w:sz w:val="21"/>
          <w:szCs w:val="21"/>
        </w:rPr>
      </w:pPr>
      <w:r>
        <w:rPr>
          <w:rFonts w:hint="eastAsia"/>
          <w:sz w:val="21"/>
          <w:szCs w:val="21"/>
        </w:rPr>
        <w:t>实现资本化项目固定报表的数据展现。</w:t>
      </w:r>
    </w:p>
    <w:p w14:paraId="582269A5">
      <w:pPr>
        <w:pStyle w:val="83"/>
        <w:ind w:firstLine="420"/>
        <w:jc w:val="both"/>
        <w:rPr>
          <w:sz w:val="21"/>
          <w:szCs w:val="21"/>
        </w:rPr>
      </w:pPr>
      <w:r>
        <w:rPr>
          <w:rFonts w:hint="eastAsia"/>
          <w:sz w:val="21"/>
          <w:szCs w:val="21"/>
        </w:rPr>
        <w:t>6、资本化项目预算数据动态分析工具</w:t>
      </w:r>
    </w:p>
    <w:p w14:paraId="71F96C17">
      <w:pPr>
        <w:pStyle w:val="83"/>
        <w:ind w:firstLine="420"/>
        <w:jc w:val="both"/>
        <w:rPr>
          <w:sz w:val="21"/>
          <w:szCs w:val="21"/>
        </w:rPr>
      </w:pPr>
      <w:r>
        <w:rPr>
          <w:rFonts w:hint="eastAsia"/>
          <w:sz w:val="21"/>
          <w:szCs w:val="21"/>
        </w:rPr>
        <w:t>初步实现资本化项目相关数据的动态使用。</w:t>
      </w:r>
    </w:p>
    <w:p w14:paraId="1E918801">
      <w:pPr>
        <w:pStyle w:val="8"/>
        <w:ind w:left="567" w:leftChars="270"/>
        <w:rPr>
          <w:sz w:val="21"/>
          <w:szCs w:val="21"/>
        </w:rPr>
      </w:pPr>
      <w:r>
        <w:rPr>
          <w:rFonts w:hint="eastAsia"/>
          <w:sz w:val="21"/>
          <w:szCs w:val="21"/>
        </w:rPr>
        <w:t>财务核算数据标准化管理系统</w:t>
      </w:r>
    </w:p>
    <w:p w14:paraId="233A0459">
      <w:pPr>
        <w:pStyle w:val="83"/>
        <w:ind w:firstLine="420"/>
        <w:jc w:val="both"/>
        <w:rPr>
          <w:sz w:val="21"/>
          <w:szCs w:val="21"/>
        </w:rPr>
      </w:pPr>
      <w:r>
        <w:rPr>
          <w:rFonts w:hint="eastAsia"/>
          <w:sz w:val="21"/>
          <w:szCs w:val="21"/>
        </w:rPr>
        <w:t>1、凭证级标准接口调用</w:t>
      </w:r>
    </w:p>
    <w:p w14:paraId="1016BAF4">
      <w:pPr>
        <w:pStyle w:val="83"/>
        <w:ind w:firstLine="420"/>
        <w:jc w:val="both"/>
        <w:rPr>
          <w:sz w:val="21"/>
          <w:szCs w:val="21"/>
        </w:rPr>
      </w:pPr>
      <w:r>
        <w:rPr>
          <w:rFonts w:hint="eastAsia"/>
          <w:sz w:val="21"/>
          <w:szCs w:val="21"/>
        </w:rPr>
        <w:t>建设相关医院财务核算数据纳入集中式政府会计核算平台的数据规范。按照市财政局要求，建设与</w:t>
      </w:r>
      <w:r>
        <w:rPr>
          <w:rFonts w:hint="eastAsia"/>
          <w:sz w:val="21"/>
          <w:szCs w:val="21"/>
          <w:lang w:val="en-US" w:eastAsia="zh-CN"/>
        </w:rPr>
        <w:t>市</w:t>
      </w:r>
      <w:r>
        <w:rPr>
          <w:rFonts w:hint="eastAsia"/>
          <w:sz w:val="21"/>
          <w:szCs w:val="21"/>
        </w:rPr>
        <w:t>财政预算一体化平台数据接口，实现会计核算数据按管理要求</w:t>
      </w:r>
      <w:r>
        <w:rPr>
          <w:rFonts w:hint="eastAsia"/>
          <w:sz w:val="21"/>
          <w:szCs w:val="21"/>
          <w:lang w:eastAsia="zh-CN"/>
        </w:rPr>
        <w:t>，</w:t>
      </w:r>
      <w:r>
        <w:rPr>
          <w:rFonts w:hint="eastAsia"/>
          <w:sz w:val="21"/>
          <w:szCs w:val="21"/>
        </w:rPr>
        <w:t>定期向</w:t>
      </w:r>
      <w:r>
        <w:rPr>
          <w:rFonts w:hint="eastAsia"/>
          <w:sz w:val="21"/>
          <w:szCs w:val="21"/>
          <w:lang w:val="en-US" w:eastAsia="zh-CN"/>
        </w:rPr>
        <w:t>市</w:t>
      </w:r>
      <w:r>
        <w:rPr>
          <w:rFonts w:hint="eastAsia"/>
          <w:sz w:val="21"/>
          <w:szCs w:val="21"/>
        </w:rPr>
        <w:t>财政预算一体化平台自动推送。</w:t>
      </w:r>
    </w:p>
    <w:p w14:paraId="75113758">
      <w:pPr>
        <w:pStyle w:val="83"/>
        <w:ind w:firstLine="420"/>
        <w:jc w:val="both"/>
        <w:rPr>
          <w:sz w:val="21"/>
          <w:szCs w:val="21"/>
        </w:rPr>
      </w:pPr>
      <w:r>
        <w:rPr>
          <w:rFonts w:hint="eastAsia"/>
          <w:sz w:val="21"/>
          <w:szCs w:val="21"/>
        </w:rPr>
        <w:t>2、中心核算统一平台科目余额表数据采集功能</w:t>
      </w:r>
    </w:p>
    <w:p w14:paraId="2DA1A25D">
      <w:pPr>
        <w:pStyle w:val="83"/>
        <w:ind w:firstLine="420"/>
        <w:jc w:val="both"/>
        <w:rPr>
          <w:sz w:val="21"/>
          <w:szCs w:val="21"/>
        </w:rPr>
      </w:pPr>
      <w:r>
        <w:rPr>
          <w:rFonts w:hint="eastAsia"/>
          <w:sz w:val="21"/>
          <w:szCs w:val="21"/>
        </w:rPr>
        <w:t>支持相关医院通过传递科目余额表数据至申康中心，供后续生产账表数据和成本分析指标数据。</w:t>
      </w:r>
    </w:p>
    <w:p w14:paraId="22D03F7E">
      <w:pPr>
        <w:pStyle w:val="83"/>
        <w:ind w:firstLine="420"/>
        <w:jc w:val="both"/>
        <w:rPr>
          <w:sz w:val="21"/>
          <w:szCs w:val="21"/>
        </w:rPr>
      </w:pPr>
      <w:r>
        <w:rPr>
          <w:rFonts w:hint="eastAsia"/>
          <w:sz w:val="21"/>
          <w:szCs w:val="21"/>
        </w:rPr>
        <w:t>3、中心核算统一平台账务处理</w:t>
      </w:r>
    </w:p>
    <w:p w14:paraId="05A6098E">
      <w:pPr>
        <w:pStyle w:val="83"/>
        <w:ind w:firstLine="420"/>
        <w:jc w:val="both"/>
        <w:rPr>
          <w:sz w:val="21"/>
          <w:szCs w:val="21"/>
        </w:rPr>
      </w:pPr>
      <w:r>
        <w:rPr>
          <w:rFonts w:hint="eastAsia"/>
          <w:sz w:val="21"/>
          <w:szCs w:val="21"/>
        </w:rPr>
        <w:t>支持相关医院通过账务记账以及个别无法通过数据传递而需手工处理的调整类凭证及其他按需发生的调整业务。</w:t>
      </w:r>
    </w:p>
    <w:p w14:paraId="392EDE8B">
      <w:pPr>
        <w:pStyle w:val="83"/>
        <w:ind w:firstLine="420"/>
        <w:jc w:val="both"/>
        <w:rPr>
          <w:sz w:val="21"/>
          <w:szCs w:val="21"/>
        </w:rPr>
      </w:pPr>
      <w:r>
        <w:rPr>
          <w:rFonts w:hint="eastAsia"/>
          <w:sz w:val="21"/>
          <w:szCs w:val="21"/>
        </w:rPr>
        <w:t>4、财务报表出具</w:t>
      </w:r>
    </w:p>
    <w:p w14:paraId="4817B8F3">
      <w:pPr>
        <w:pStyle w:val="83"/>
        <w:ind w:firstLine="420"/>
        <w:jc w:val="both"/>
        <w:rPr>
          <w:sz w:val="21"/>
          <w:szCs w:val="21"/>
        </w:rPr>
      </w:pPr>
      <w:r>
        <w:rPr>
          <w:rFonts w:hint="eastAsia"/>
          <w:sz w:val="21"/>
          <w:szCs w:val="21"/>
        </w:rPr>
        <w:t>相关医院数据纳入中心后，按照相关准则制度要求和成本指标计算需要进行报表改造。</w:t>
      </w:r>
    </w:p>
    <w:p w14:paraId="639EAC97">
      <w:pPr>
        <w:pStyle w:val="7"/>
        <w:rPr>
          <w:sz w:val="21"/>
          <w:szCs w:val="21"/>
        </w:rPr>
      </w:pPr>
      <w:r>
        <w:rPr>
          <w:rFonts w:hint="eastAsia"/>
          <w:sz w:val="21"/>
          <w:szCs w:val="21"/>
        </w:rPr>
        <w:t>密码应用功能</w:t>
      </w:r>
    </w:p>
    <w:p w14:paraId="60DB9372">
      <w:pPr>
        <w:pStyle w:val="8"/>
        <w:ind w:left="567" w:leftChars="270"/>
        <w:rPr>
          <w:sz w:val="21"/>
          <w:szCs w:val="21"/>
        </w:rPr>
      </w:pPr>
      <w:r>
        <w:rPr>
          <w:rFonts w:hint="eastAsia"/>
          <w:sz w:val="21"/>
          <w:szCs w:val="21"/>
        </w:rPr>
        <w:t>用户身份认证机制模块</w:t>
      </w:r>
    </w:p>
    <w:p w14:paraId="046FE172">
      <w:pPr>
        <w:ind w:firstLine="420" w:firstLineChars="200"/>
        <w:rPr>
          <w:rFonts w:ascii="宋体" w:hAnsi="宋体" w:eastAsia="宋体" w:cs="宋体"/>
          <w:kern w:val="0"/>
        </w:rPr>
      </w:pPr>
      <w:r>
        <w:rPr>
          <w:rFonts w:hint="eastAsia" w:ascii="宋体" w:hAnsi="宋体" w:eastAsia="宋体" w:cs="宋体"/>
          <w:kern w:val="0"/>
        </w:rPr>
        <w:t>开发用户身份认证机制模块，调用云平台提供的安全认证网关服务接口，并在移动终端部署用户证书、服务端部署站点证书，绑定应用用户数字证书和应用用户ID，实现对移动终端和服务端身份的鉴别。</w:t>
      </w:r>
    </w:p>
    <w:p w14:paraId="09192ECE">
      <w:pPr>
        <w:pStyle w:val="8"/>
        <w:ind w:left="567" w:leftChars="270"/>
        <w:rPr>
          <w:sz w:val="21"/>
          <w:szCs w:val="21"/>
        </w:rPr>
      </w:pPr>
      <w:r>
        <w:rPr>
          <w:rFonts w:hint="eastAsia"/>
          <w:sz w:val="21"/>
          <w:szCs w:val="21"/>
        </w:rPr>
        <w:t>业务重要数据安全传输模块</w:t>
      </w:r>
    </w:p>
    <w:p w14:paraId="479686A4">
      <w:pPr>
        <w:ind w:firstLine="420" w:firstLineChars="200"/>
        <w:rPr>
          <w:rFonts w:ascii="宋体" w:hAnsi="宋体" w:eastAsia="宋体" w:cs="宋体"/>
          <w:kern w:val="0"/>
        </w:rPr>
      </w:pPr>
      <w:r>
        <w:rPr>
          <w:rFonts w:hint="eastAsia" w:ascii="宋体" w:hAnsi="宋体" w:eastAsia="宋体" w:cs="宋体"/>
          <w:kern w:val="0"/>
        </w:rPr>
        <w:t>开发业务重要数据安全传输模块，调用云平台提供的安全认证网关服务接口，实现应用系统通信数据的机密性和完整性保护。</w:t>
      </w:r>
    </w:p>
    <w:p w14:paraId="65BAC579">
      <w:pPr>
        <w:pStyle w:val="8"/>
        <w:ind w:left="567" w:leftChars="270"/>
        <w:rPr>
          <w:sz w:val="21"/>
          <w:szCs w:val="21"/>
        </w:rPr>
      </w:pPr>
      <w:r>
        <w:rPr>
          <w:rFonts w:hint="eastAsia"/>
          <w:sz w:val="21"/>
          <w:szCs w:val="21"/>
        </w:rPr>
        <w:t>用户访问控制信息签名验签模块</w:t>
      </w:r>
    </w:p>
    <w:p w14:paraId="1B20641A">
      <w:pPr>
        <w:ind w:firstLine="420" w:firstLineChars="200"/>
        <w:rPr>
          <w:rFonts w:ascii="宋体" w:hAnsi="宋体" w:eastAsia="宋体" w:cs="宋体"/>
          <w:kern w:val="0"/>
        </w:rPr>
      </w:pPr>
      <w:r>
        <w:rPr>
          <w:rFonts w:hint="eastAsia" w:ascii="宋体" w:hAnsi="宋体" w:eastAsia="宋体" w:cs="宋体"/>
          <w:kern w:val="0"/>
        </w:rPr>
        <w:t>开发用户访问控制信息签名验签模块，调用云平台提供的签名验签服务接口，实现应用系统登录用户的访问控制列表完整性保护。</w:t>
      </w:r>
    </w:p>
    <w:p w14:paraId="43CC0771">
      <w:pPr>
        <w:pStyle w:val="8"/>
        <w:ind w:left="567" w:leftChars="270"/>
        <w:rPr>
          <w:sz w:val="21"/>
          <w:szCs w:val="21"/>
        </w:rPr>
      </w:pPr>
      <w:r>
        <w:rPr>
          <w:rFonts w:hint="eastAsia"/>
          <w:sz w:val="21"/>
          <w:szCs w:val="21"/>
        </w:rPr>
        <w:t>应用系统重要数据加解密模块</w:t>
      </w:r>
    </w:p>
    <w:p w14:paraId="710A5AEF">
      <w:pPr>
        <w:ind w:firstLine="420" w:firstLineChars="200"/>
        <w:rPr>
          <w:rFonts w:ascii="宋体" w:hAnsi="宋体" w:eastAsia="宋体" w:cs="宋体"/>
          <w:kern w:val="0"/>
        </w:rPr>
      </w:pPr>
      <w:r>
        <w:rPr>
          <w:rFonts w:hint="eastAsia" w:ascii="宋体" w:hAnsi="宋体" w:eastAsia="宋体" w:cs="宋体"/>
          <w:kern w:val="0"/>
        </w:rPr>
        <w:t>开发应用系统重要数据加解密模块，调用云平台提供的数据库加密服务接口、加密存储服务接口，实现登录用户身份鉴别数据、系统业务指标数据、系统业务日志数据和系统访问控制信息等结构化数据、非结构化数据的存储机密性保护。</w:t>
      </w:r>
    </w:p>
    <w:p w14:paraId="6C8F0C78">
      <w:pPr>
        <w:pStyle w:val="2"/>
        <w:rPr>
          <w:sz w:val="21"/>
          <w:szCs w:val="21"/>
        </w:rPr>
      </w:pPr>
      <w:r>
        <w:rPr>
          <w:rFonts w:hint="eastAsia"/>
          <w:sz w:val="21"/>
          <w:szCs w:val="21"/>
        </w:rPr>
        <w:t>实施、验收与售后服务要求</w:t>
      </w:r>
    </w:p>
    <w:p w14:paraId="45528897">
      <w:pPr>
        <w:pStyle w:val="6"/>
        <w:rPr>
          <w:sz w:val="21"/>
          <w:szCs w:val="21"/>
        </w:rPr>
      </w:pPr>
      <w:r>
        <w:rPr>
          <w:rFonts w:hint="eastAsia"/>
          <w:sz w:val="21"/>
          <w:szCs w:val="21"/>
        </w:rPr>
        <w:t>总体要求</w:t>
      </w:r>
    </w:p>
    <w:p w14:paraId="4C235267">
      <w:pPr>
        <w:numPr>
          <w:ilvl w:val="4"/>
          <w:numId w:val="5"/>
        </w:numPr>
        <w:adjustRightInd w:val="0"/>
        <w:snapToGrid w:val="0"/>
        <w:ind w:left="0" w:firstLine="420"/>
        <w:rPr>
          <w:rFonts w:ascii="宋体" w:hAnsi="宋体" w:eastAsia="宋体"/>
        </w:rPr>
      </w:pPr>
      <w:r>
        <w:rPr>
          <w:rFonts w:hint="eastAsia" w:ascii="宋体" w:hAnsi="宋体" w:eastAsia="宋体"/>
        </w:rPr>
        <w:t>响应供应商在上海有固定的售后服务团队。</w:t>
      </w:r>
    </w:p>
    <w:p w14:paraId="3EF7DC39">
      <w:pPr>
        <w:numPr>
          <w:ilvl w:val="4"/>
          <w:numId w:val="5"/>
        </w:numPr>
        <w:adjustRightInd w:val="0"/>
        <w:snapToGrid w:val="0"/>
        <w:ind w:left="0" w:firstLine="420"/>
        <w:rPr>
          <w:rFonts w:ascii="宋体" w:hAnsi="宋体" w:eastAsia="宋体"/>
        </w:rPr>
      </w:pPr>
      <w:r>
        <w:rPr>
          <w:rFonts w:hint="eastAsia" w:ascii="宋体" w:hAnsi="宋体" w:eastAsia="宋体"/>
        </w:rPr>
        <w:t>响应供应商应本着认真负责态度，组织技术队伍，认真做好项目的实施工作。在签订合同前，提出具体实施、服务、维护以及今后技术支持的措施计划和承诺。</w:t>
      </w:r>
    </w:p>
    <w:p w14:paraId="260AB453">
      <w:pPr>
        <w:numPr>
          <w:ilvl w:val="4"/>
          <w:numId w:val="5"/>
        </w:numPr>
        <w:adjustRightInd w:val="0"/>
        <w:snapToGrid w:val="0"/>
        <w:ind w:left="0" w:firstLine="420"/>
        <w:rPr>
          <w:rFonts w:ascii="宋体" w:hAnsi="宋体" w:eastAsia="宋体"/>
        </w:rPr>
      </w:pPr>
      <w:r>
        <w:rPr>
          <w:rFonts w:hint="eastAsia" w:ascii="宋体" w:hAnsi="宋体" w:eastAsia="宋体"/>
        </w:rPr>
        <w:t>响应供应商应加强项目管理，项目管理人员须具备专业管理素质，并有项目管理相关经验，确保项目建设有序推进和高质量完成。</w:t>
      </w:r>
    </w:p>
    <w:p w14:paraId="42D5CC8E">
      <w:pPr>
        <w:numPr>
          <w:ilvl w:val="4"/>
          <w:numId w:val="5"/>
        </w:numPr>
        <w:adjustRightInd w:val="0"/>
        <w:snapToGrid w:val="0"/>
        <w:ind w:left="0" w:firstLine="420"/>
        <w:rPr>
          <w:rFonts w:ascii="宋体" w:hAnsi="宋体" w:eastAsia="宋体"/>
        </w:rPr>
      </w:pPr>
      <w:r>
        <w:rPr>
          <w:rFonts w:hint="eastAsia" w:ascii="宋体" w:hAnsi="宋体" w:eastAsia="宋体"/>
        </w:rPr>
        <w:t>响应供应商提供项目实施计划，经用户方同意后，严格执行。如果遇到问题，由项目组提出项目变更说明，经用户方和系统提供商确定后，修改计划。</w:t>
      </w:r>
    </w:p>
    <w:p w14:paraId="3AE81D24">
      <w:pPr>
        <w:numPr>
          <w:ilvl w:val="4"/>
          <w:numId w:val="5"/>
        </w:numPr>
        <w:adjustRightInd w:val="0"/>
        <w:snapToGrid w:val="0"/>
        <w:ind w:left="0" w:firstLine="420"/>
        <w:rPr>
          <w:rFonts w:ascii="宋体" w:hAnsi="宋体" w:eastAsia="宋体"/>
        </w:rPr>
      </w:pPr>
      <w:r>
        <w:rPr>
          <w:rFonts w:hint="eastAsia" w:ascii="宋体" w:hAnsi="宋体" w:eastAsia="宋体"/>
        </w:rPr>
        <w:t>响应供应商应负责在项目验收时将系统的全部有关技术文件、资料、及安装、测试、验收报告等文档汇集成册交付用户方。</w:t>
      </w:r>
    </w:p>
    <w:p w14:paraId="5D02519E">
      <w:pPr>
        <w:numPr>
          <w:ilvl w:val="4"/>
          <w:numId w:val="5"/>
        </w:numPr>
        <w:adjustRightInd w:val="0"/>
        <w:snapToGrid w:val="0"/>
        <w:ind w:left="0" w:firstLine="420"/>
        <w:rPr>
          <w:rFonts w:ascii="宋体" w:hAnsi="宋体" w:eastAsia="宋体"/>
        </w:rPr>
      </w:pPr>
      <w:r>
        <w:rPr>
          <w:rFonts w:hint="eastAsia" w:ascii="宋体" w:hAnsi="宋体" w:eastAsia="宋体"/>
        </w:rPr>
        <w:t>结合实际情况，拟定详细的系统实施计划，包括同医联平台现有信息系统的对接、个性化定制、测试、试运行、培训及上线计划。承诺保证在合同规定时间内上线及上线后系统平稳运行。</w:t>
      </w:r>
    </w:p>
    <w:p w14:paraId="16E437D4">
      <w:pPr>
        <w:numPr>
          <w:ilvl w:val="4"/>
          <w:numId w:val="5"/>
        </w:numPr>
        <w:adjustRightInd w:val="0"/>
        <w:snapToGrid w:val="0"/>
        <w:ind w:left="0" w:firstLine="420"/>
        <w:rPr>
          <w:rFonts w:ascii="宋体" w:hAnsi="宋体" w:eastAsia="宋体"/>
        </w:rPr>
      </w:pPr>
      <w:r>
        <w:rPr>
          <w:rFonts w:hint="eastAsia" w:ascii="宋体" w:hAnsi="宋体" w:eastAsia="宋体"/>
        </w:rPr>
        <w:t>响应供应商在实施过程中，需结合医联平台现有设备和需采购的设备，参照信息系统安全等级保护三级或三级以上的要求建设。</w:t>
      </w:r>
    </w:p>
    <w:p w14:paraId="6E446DB6">
      <w:pPr>
        <w:pStyle w:val="6"/>
        <w:rPr>
          <w:sz w:val="21"/>
          <w:szCs w:val="21"/>
        </w:rPr>
      </w:pPr>
      <w:r>
        <w:rPr>
          <w:rFonts w:hint="eastAsia"/>
          <w:sz w:val="21"/>
          <w:szCs w:val="21"/>
        </w:rPr>
        <w:t>项目实施</w:t>
      </w:r>
    </w:p>
    <w:p w14:paraId="5B4A7A2C">
      <w:pPr>
        <w:pStyle w:val="7"/>
        <w:rPr>
          <w:sz w:val="21"/>
          <w:szCs w:val="21"/>
        </w:rPr>
      </w:pPr>
      <w:r>
        <w:rPr>
          <w:rFonts w:hint="eastAsia"/>
          <w:sz w:val="21"/>
          <w:szCs w:val="21"/>
        </w:rPr>
        <w:t>实施进度</w:t>
      </w:r>
    </w:p>
    <w:p w14:paraId="7F85C3EF">
      <w:pPr>
        <w:adjustRightInd w:val="0"/>
        <w:snapToGrid w:val="0"/>
        <w:ind w:firstLine="315" w:firstLineChars="150"/>
        <w:rPr>
          <w:rFonts w:ascii="宋体" w:hAnsi="宋体" w:eastAsia="宋体" w:cs="Arial"/>
        </w:rPr>
      </w:pPr>
      <w:r>
        <w:rPr>
          <w:rFonts w:ascii="宋体" w:hAnsi="宋体" w:eastAsia="宋体" w:cs="Arial"/>
        </w:rPr>
        <w:t>响应供应商应按照下表的时间进度，制定相应的项目实施详细进度计划。</w:t>
      </w:r>
    </w:p>
    <w:p w14:paraId="71DB0F1F">
      <w:pPr>
        <w:adjustRightInd w:val="0"/>
        <w:snapToGrid w:val="0"/>
        <w:ind w:firstLine="315" w:firstLineChars="150"/>
        <w:rPr>
          <w:rFonts w:ascii="宋体" w:hAnsi="宋体" w:eastAsia="宋体" w:cs="Arial"/>
        </w:rPr>
      </w:pPr>
      <w:r>
        <w:rPr>
          <w:rFonts w:hint="eastAsia" w:ascii="宋体" w:hAnsi="宋体" w:eastAsia="宋体" w:cs="Arial"/>
        </w:rPr>
        <w:t>项目建设周期共</w:t>
      </w:r>
      <w:r>
        <w:rPr>
          <w:rFonts w:ascii="宋体" w:hAnsi="宋体" w:eastAsia="宋体" w:cs="Arial"/>
        </w:rPr>
        <w:t>10个月。</w:t>
      </w:r>
    </w:p>
    <w:tbl>
      <w:tblPr>
        <w:tblStyle w:val="34"/>
        <w:tblW w:w="772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3929"/>
      </w:tblGrid>
      <w:tr w14:paraId="5E81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3798" w:type="dxa"/>
            <w:shd w:val="clear" w:color="auto" w:fill="D8D8D8" w:themeFill="background1" w:themeFillShade="D9"/>
            <w:vAlign w:val="center"/>
          </w:tcPr>
          <w:p w14:paraId="4612E11C">
            <w:pPr>
              <w:pStyle w:val="29"/>
              <w:adjustRightInd w:val="0"/>
              <w:snapToGrid w:val="0"/>
              <w:spacing w:after="0"/>
              <w:ind w:left="0" w:leftChars="0"/>
              <w:jc w:val="center"/>
              <w:rPr>
                <w:rFonts w:ascii="宋体" w:hAnsi="宋体" w:eastAsia="宋体" w:cs="Arial"/>
                <w:b/>
                <w:sz w:val="21"/>
                <w:szCs w:val="21"/>
              </w:rPr>
            </w:pPr>
            <w:r>
              <w:rPr>
                <w:rFonts w:ascii="宋体" w:hAnsi="宋体" w:eastAsia="宋体" w:cs="Arial"/>
                <w:b/>
                <w:sz w:val="21"/>
                <w:szCs w:val="21"/>
              </w:rPr>
              <w:t>项目</w:t>
            </w:r>
          </w:p>
        </w:tc>
        <w:tc>
          <w:tcPr>
            <w:tcW w:w="3929" w:type="dxa"/>
            <w:shd w:val="clear" w:color="auto" w:fill="D8D8D8" w:themeFill="background1" w:themeFillShade="D9"/>
            <w:vAlign w:val="center"/>
          </w:tcPr>
          <w:p w14:paraId="2035D4AD">
            <w:pPr>
              <w:pStyle w:val="29"/>
              <w:adjustRightInd w:val="0"/>
              <w:snapToGrid w:val="0"/>
              <w:spacing w:after="0"/>
              <w:ind w:left="0" w:leftChars="0"/>
              <w:jc w:val="center"/>
              <w:rPr>
                <w:rFonts w:ascii="宋体" w:hAnsi="宋体" w:eastAsia="宋体" w:cs="Arial"/>
                <w:b/>
                <w:sz w:val="21"/>
                <w:szCs w:val="21"/>
              </w:rPr>
            </w:pPr>
            <w:r>
              <w:rPr>
                <w:rFonts w:ascii="宋体" w:hAnsi="宋体" w:eastAsia="宋体" w:cs="Arial"/>
                <w:b/>
                <w:sz w:val="21"/>
                <w:szCs w:val="21"/>
              </w:rPr>
              <w:t>日期</w:t>
            </w:r>
          </w:p>
        </w:tc>
      </w:tr>
      <w:tr w14:paraId="6A06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22A0EA41">
            <w:pPr>
              <w:pStyle w:val="29"/>
              <w:adjustRightInd w:val="0"/>
              <w:snapToGrid w:val="0"/>
              <w:spacing w:after="0"/>
              <w:ind w:left="0" w:leftChars="0" w:firstLine="420"/>
              <w:rPr>
                <w:rFonts w:ascii="宋体" w:hAnsi="宋体" w:eastAsia="宋体" w:cs="Arial"/>
                <w:sz w:val="21"/>
                <w:szCs w:val="21"/>
              </w:rPr>
            </w:pPr>
            <w:r>
              <w:rPr>
                <w:rFonts w:ascii="宋体" w:hAnsi="宋体" w:eastAsia="宋体" w:cs="Arial"/>
                <w:sz w:val="21"/>
                <w:szCs w:val="21"/>
              </w:rPr>
              <w:t>应用软件开发</w:t>
            </w:r>
          </w:p>
        </w:tc>
        <w:tc>
          <w:tcPr>
            <w:tcW w:w="3929" w:type="dxa"/>
            <w:vAlign w:val="center"/>
          </w:tcPr>
          <w:p w14:paraId="0AEBDC2F">
            <w:pPr>
              <w:pStyle w:val="29"/>
              <w:adjustRightInd w:val="0"/>
              <w:snapToGrid w:val="0"/>
              <w:spacing w:after="0"/>
              <w:ind w:left="0" w:leftChars="0" w:firstLine="420"/>
              <w:rPr>
                <w:rFonts w:ascii="宋体" w:hAnsi="宋体" w:eastAsia="宋体" w:cs="Arial"/>
                <w:sz w:val="21"/>
                <w:szCs w:val="21"/>
              </w:rPr>
            </w:pPr>
            <w:r>
              <w:rPr>
                <w:rFonts w:ascii="宋体" w:hAnsi="宋体" w:eastAsia="宋体" w:cs="Arial"/>
                <w:sz w:val="21"/>
                <w:szCs w:val="21"/>
              </w:rPr>
              <w:t>合同</w:t>
            </w:r>
            <w:r>
              <w:rPr>
                <w:rFonts w:hint="eastAsia" w:ascii="宋体" w:hAnsi="宋体" w:eastAsia="宋体" w:cs="Arial"/>
                <w:sz w:val="21"/>
                <w:szCs w:val="21"/>
              </w:rPr>
              <w:t>生效</w:t>
            </w:r>
            <w:r>
              <w:rPr>
                <w:rFonts w:ascii="宋体" w:hAnsi="宋体" w:eastAsia="宋体" w:cs="Arial"/>
                <w:sz w:val="21"/>
                <w:szCs w:val="21"/>
              </w:rPr>
              <w:t>后8个月内</w:t>
            </w:r>
          </w:p>
        </w:tc>
      </w:tr>
      <w:tr w14:paraId="15F8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59A1C5C9">
            <w:pPr>
              <w:pStyle w:val="29"/>
              <w:adjustRightInd w:val="0"/>
              <w:snapToGrid w:val="0"/>
              <w:spacing w:after="0"/>
              <w:ind w:left="0" w:leftChars="0" w:firstLine="420"/>
              <w:rPr>
                <w:rFonts w:ascii="宋体" w:hAnsi="宋体" w:eastAsia="宋体" w:cs="Arial"/>
                <w:sz w:val="21"/>
                <w:szCs w:val="21"/>
              </w:rPr>
            </w:pPr>
            <w:r>
              <w:rPr>
                <w:rFonts w:hint="eastAsia" w:ascii="宋体" w:hAnsi="宋体" w:eastAsia="宋体" w:cs="Arial"/>
                <w:sz w:val="21"/>
                <w:szCs w:val="21"/>
              </w:rPr>
              <w:t>项目试运行</w:t>
            </w:r>
          </w:p>
        </w:tc>
        <w:tc>
          <w:tcPr>
            <w:tcW w:w="3929" w:type="dxa"/>
            <w:vAlign w:val="center"/>
          </w:tcPr>
          <w:p w14:paraId="058CB910">
            <w:pPr>
              <w:pStyle w:val="29"/>
              <w:adjustRightInd w:val="0"/>
              <w:snapToGrid w:val="0"/>
              <w:spacing w:after="0"/>
              <w:ind w:left="0" w:leftChars="0" w:firstLine="420"/>
              <w:rPr>
                <w:rFonts w:ascii="宋体" w:hAnsi="宋体" w:eastAsia="宋体" w:cs="Arial"/>
                <w:sz w:val="21"/>
                <w:szCs w:val="21"/>
              </w:rPr>
            </w:pPr>
            <w:r>
              <w:rPr>
                <w:rFonts w:hint="eastAsia" w:ascii="宋体" w:hAnsi="宋体" w:eastAsia="宋体" w:cs="Arial"/>
                <w:sz w:val="21"/>
                <w:szCs w:val="21"/>
              </w:rPr>
              <w:t>试运行</w:t>
            </w:r>
            <w:r>
              <w:rPr>
                <w:rFonts w:hint="eastAsia" w:ascii="宋体" w:hAnsi="宋体" w:eastAsia="宋体" w:cs="宋体"/>
                <w:sz w:val="21"/>
                <w:szCs w:val="21"/>
              </w:rPr>
              <w:t>至少</w:t>
            </w:r>
            <w:r>
              <w:rPr>
                <w:rFonts w:ascii="宋体" w:hAnsi="宋体" w:eastAsia="宋体" w:cs="Arial"/>
                <w:sz w:val="21"/>
                <w:szCs w:val="21"/>
              </w:rPr>
              <w:t>1个月</w:t>
            </w:r>
          </w:p>
        </w:tc>
      </w:tr>
      <w:tr w14:paraId="1C18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48500907">
            <w:pPr>
              <w:pStyle w:val="29"/>
              <w:adjustRightInd w:val="0"/>
              <w:snapToGrid w:val="0"/>
              <w:spacing w:after="0"/>
              <w:ind w:left="0" w:leftChars="0" w:firstLine="420"/>
              <w:rPr>
                <w:rFonts w:ascii="宋体" w:hAnsi="宋体" w:eastAsia="宋体" w:cs="Arial"/>
                <w:sz w:val="21"/>
                <w:szCs w:val="21"/>
              </w:rPr>
            </w:pPr>
            <w:r>
              <w:rPr>
                <w:rFonts w:hint="eastAsia" w:ascii="宋体" w:hAnsi="宋体" w:eastAsia="宋体" w:cs="Arial"/>
                <w:sz w:val="21"/>
                <w:szCs w:val="21"/>
              </w:rPr>
              <w:t>项目</w:t>
            </w:r>
            <w:r>
              <w:rPr>
                <w:rFonts w:ascii="宋体" w:hAnsi="宋体" w:eastAsia="宋体" w:cs="Arial"/>
                <w:sz w:val="21"/>
                <w:szCs w:val="21"/>
              </w:rPr>
              <w:t>验收</w:t>
            </w:r>
            <w:r>
              <w:rPr>
                <w:rFonts w:hint="eastAsia" w:ascii="宋体" w:hAnsi="宋体" w:eastAsia="宋体" w:cs="Arial"/>
                <w:sz w:val="21"/>
                <w:szCs w:val="21"/>
              </w:rPr>
              <w:t>交付</w:t>
            </w:r>
          </w:p>
        </w:tc>
        <w:tc>
          <w:tcPr>
            <w:tcW w:w="3929" w:type="dxa"/>
            <w:vAlign w:val="center"/>
          </w:tcPr>
          <w:p w14:paraId="6CA0E686">
            <w:pPr>
              <w:pStyle w:val="29"/>
              <w:adjustRightInd w:val="0"/>
              <w:snapToGrid w:val="0"/>
              <w:spacing w:after="0"/>
              <w:ind w:left="0" w:leftChars="0" w:firstLine="420"/>
              <w:rPr>
                <w:rFonts w:ascii="宋体" w:hAnsi="宋体" w:eastAsia="宋体" w:cs="Arial"/>
                <w:sz w:val="21"/>
                <w:szCs w:val="21"/>
              </w:rPr>
            </w:pPr>
            <w:r>
              <w:rPr>
                <w:rFonts w:hint="eastAsia" w:ascii="宋体" w:hAnsi="宋体" w:eastAsia="宋体" w:cs="Arial"/>
                <w:sz w:val="21"/>
                <w:szCs w:val="21"/>
              </w:rPr>
              <w:t>试运行通过后</w:t>
            </w:r>
            <w:r>
              <w:rPr>
                <w:rFonts w:ascii="宋体" w:hAnsi="宋体" w:eastAsia="宋体" w:cs="Arial"/>
                <w:sz w:val="21"/>
                <w:szCs w:val="21"/>
              </w:rPr>
              <w:t>1个月内</w:t>
            </w:r>
          </w:p>
        </w:tc>
      </w:tr>
    </w:tbl>
    <w:p w14:paraId="4F6DBF72">
      <w:pPr>
        <w:pStyle w:val="7"/>
        <w:rPr>
          <w:sz w:val="21"/>
          <w:szCs w:val="21"/>
        </w:rPr>
      </w:pPr>
      <w:r>
        <w:rPr>
          <w:rFonts w:hint="eastAsia"/>
          <w:sz w:val="21"/>
          <w:szCs w:val="21"/>
        </w:rPr>
        <w:t>实施人员的要求</w:t>
      </w:r>
    </w:p>
    <w:p w14:paraId="64E158A3">
      <w:pPr>
        <w:numPr>
          <w:ilvl w:val="0"/>
          <w:numId w:val="6"/>
        </w:numPr>
        <w:adjustRightInd w:val="0"/>
        <w:snapToGrid w:val="0"/>
        <w:ind w:left="0" w:firstLine="420"/>
        <w:rPr>
          <w:rFonts w:ascii="宋体" w:hAnsi="宋体" w:eastAsia="宋体" w:cs="Arial"/>
        </w:rPr>
      </w:pPr>
      <w:r>
        <w:rPr>
          <w:rFonts w:ascii="宋体" w:hAnsi="宋体" w:eastAsia="宋体" w:cs="Arial"/>
        </w:rPr>
        <w:t>为保证项目的顺利实施，响应供应商应成立商务与技术支持小组，全方位配合</w:t>
      </w:r>
      <w:r>
        <w:rPr>
          <w:rFonts w:hint="eastAsia" w:ascii="宋体" w:hAnsi="宋体" w:eastAsia="宋体" w:cs="Arial"/>
        </w:rPr>
        <w:t>用户</w:t>
      </w:r>
      <w:r>
        <w:rPr>
          <w:rFonts w:ascii="宋体" w:hAnsi="宋体" w:eastAsia="宋体" w:cs="Arial"/>
        </w:rPr>
        <w:t>。</w:t>
      </w:r>
    </w:p>
    <w:p w14:paraId="100D553F">
      <w:pPr>
        <w:numPr>
          <w:ilvl w:val="0"/>
          <w:numId w:val="6"/>
        </w:numPr>
        <w:adjustRightInd w:val="0"/>
        <w:snapToGrid w:val="0"/>
        <w:ind w:left="0" w:firstLine="420"/>
        <w:rPr>
          <w:rFonts w:ascii="宋体" w:hAnsi="宋体" w:eastAsia="宋体" w:cs="Arial"/>
        </w:rPr>
      </w:pPr>
      <w:r>
        <w:rPr>
          <w:rFonts w:hint="eastAsia" w:ascii="宋体" w:hAnsi="宋体" w:eastAsia="宋体" w:cs="Arial"/>
        </w:rPr>
        <w:t>项目经理具有本科及以上学历</w:t>
      </w:r>
      <w:r>
        <w:rPr>
          <w:rFonts w:hint="eastAsia" w:ascii="宋体" w:hAnsi="宋体" w:eastAsia="宋体" w:cs="Arial"/>
          <w:lang w:eastAsia="zh-CN"/>
        </w:rPr>
        <w:t>，</w:t>
      </w:r>
      <w:r>
        <w:rPr>
          <w:rFonts w:hint="eastAsia" w:ascii="宋体" w:hAnsi="宋体" w:eastAsia="宋体" w:cs="Arial"/>
        </w:rPr>
        <w:t>具有信息系统项目管理师（高级）证书</w:t>
      </w:r>
      <w:r>
        <w:rPr>
          <w:rFonts w:hint="eastAsia" w:ascii="宋体" w:hAnsi="宋体" w:eastAsia="宋体" w:cs="Arial"/>
          <w:lang w:eastAsia="zh-CN"/>
        </w:rPr>
        <w:t>且</w:t>
      </w:r>
      <w:r>
        <w:rPr>
          <w:rFonts w:hint="eastAsia" w:ascii="宋体" w:hAnsi="宋体" w:eastAsia="宋体" w:cs="Arial"/>
        </w:rPr>
        <w:t>具有5年及以上类似项目管理经验，且担任项目经理岗位</w:t>
      </w:r>
      <w:r>
        <w:rPr>
          <w:rFonts w:hint="eastAsia" w:ascii="宋体" w:hAnsi="宋体" w:eastAsia="宋体" w:cs="Arial"/>
          <w:lang w:eastAsia="zh-CN"/>
        </w:rPr>
        <w:t>。</w:t>
      </w:r>
    </w:p>
    <w:p w14:paraId="52AB7C3C">
      <w:pPr>
        <w:numPr>
          <w:ilvl w:val="0"/>
          <w:numId w:val="6"/>
        </w:numPr>
        <w:adjustRightInd w:val="0"/>
        <w:snapToGrid w:val="0"/>
        <w:ind w:left="0" w:firstLine="420"/>
        <w:rPr>
          <w:rFonts w:ascii="宋体" w:hAnsi="宋体" w:eastAsia="宋体" w:cs="Arial"/>
        </w:rPr>
      </w:pPr>
      <w:r>
        <w:rPr>
          <w:rFonts w:hint="eastAsia" w:ascii="宋体" w:hAnsi="宋体" w:eastAsia="宋体" w:cs="Arial"/>
        </w:rPr>
        <w:t>项目开发团队人员（不包含项目经理）数量不少于10人</w:t>
      </w:r>
      <w:r>
        <w:rPr>
          <w:rFonts w:hint="eastAsia" w:ascii="宋体" w:hAnsi="宋体" w:eastAsia="宋体" w:cs="Arial"/>
          <w:lang w:eastAsia="zh-CN"/>
        </w:rPr>
        <w:t>；</w:t>
      </w:r>
      <w:r>
        <w:rPr>
          <w:rFonts w:hint="eastAsia" w:ascii="宋体" w:hAnsi="宋体" w:eastAsia="宋体" w:cs="Arial"/>
        </w:rPr>
        <w:t>技术经理具有系统架构设计师或者系统分析师证书；项目实施期间提供至少7名研发人员驻场服务</w:t>
      </w:r>
      <w:r>
        <w:rPr>
          <w:rFonts w:hint="eastAsia" w:ascii="宋体" w:hAnsi="宋体" w:eastAsia="宋体" w:cs="Arial"/>
          <w:lang w:eastAsia="zh-CN"/>
        </w:rPr>
        <w:t>。</w:t>
      </w:r>
    </w:p>
    <w:p w14:paraId="164B3909">
      <w:pPr>
        <w:numPr>
          <w:ilvl w:val="0"/>
          <w:numId w:val="6"/>
        </w:numPr>
        <w:adjustRightInd w:val="0"/>
        <w:snapToGrid w:val="0"/>
        <w:ind w:left="0" w:firstLine="420"/>
        <w:rPr>
          <w:rFonts w:ascii="宋体" w:hAnsi="宋体" w:eastAsia="宋体" w:cs="Arial"/>
        </w:rPr>
      </w:pPr>
      <w:r>
        <w:rPr>
          <w:rFonts w:ascii="宋体" w:hAnsi="宋体" w:eastAsia="宋体" w:cs="Arial"/>
        </w:rPr>
        <w:t>响应供应商应在响应文件中提供项目实施详细进度计划和项目小组人员名单和职责。</w:t>
      </w:r>
    </w:p>
    <w:p w14:paraId="0070B311">
      <w:pPr>
        <w:numPr>
          <w:ilvl w:val="0"/>
          <w:numId w:val="6"/>
        </w:numPr>
        <w:adjustRightInd w:val="0"/>
        <w:snapToGrid w:val="0"/>
        <w:ind w:left="0" w:firstLine="420"/>
        <w:rPr>
          <w:rFonts w:ascii="宋体" w:hAnsi="宋体" w:eastAsia="宋体"/>
          <w:bCs/>
        </w:rPr>
      </w:pPr>
      <w:r>
        <w:rPr>
          <w:rFonts w:hint="eastAsia" w:ascii="宋体" w:hAnsi="宋体" w:eastAsia="宋体"/>
          <w:bCs/>
        </w:rPr>
        <w:t>系统在通过验收前现场需留驻足够的实施人员。</w:t>
      </w:r>
    </w:p>
    <w:p w14:paraId="7A24AFE0">
      <w:pPr>
        <w:numPr>
          <w:ilvl w:val="0"/>
          <w:numId w:val="6"/>
        </w:numPr>
        <w:adjustRightInd w:val="0"/>
        <w:snapToGrid w:val="0"/>
        <w:ind w:left="0" w:firstLine="420"/>
        <w:rPr>
          <w:rFonts w:ascii="宋体" w:hAnsi="宋体" w:eastAsia="宋体"/>
          <w:bCs/>
        </w:rPr>
      </w:pPr>
      <w:r>
        <w:rPr>
          <w:rFonts w:hint="eastAsia" w:ascii="宋体" w:hAnsi="宋体" w:eastAsia="宋体"/>
          <w:bCs/>
        </w:rPr>
        <w:t>用户方有权根据实施情况要求更换项目经理和实施人员。</w:t>
      </w:r>
    </w:p>
    <w:p w14:paraId="76FEE2D5">
      <w:pPr>
        <w:numPr>
          <w:ilvl w:val="0"/>
          <w:numId w:val="6"/>
        </w:numPr>
        <w:adjustRightInd w:val="0"/>
        <w:snapToGrid w:val="0"/>
        <w:ind w:left="0" w:firstLine="420"/>
        <w:jc w:val="left"/>
        <w:rPr>
          <w:rFonts w:ascii="宋体" w:hAnsi="宋体" w:eastAsia="宋体"/>
          <w:bCs/>
        </w:rPr>
      </w:pPr>
      <w:r>
        <w:rPr>
          <w:rFonts w:hint="eastAsia" w:ascii="宋体" w:hAnsi="宋体" w:eastAsia="宋体"/>
        </w:rPr>
        <w:t>对响应供应商项目经理等级基本要求：要求响应供应商针对本项目成立项目小组，在响应文件中提供书面名单，人员一旦得到确认，无特殊理由不得随意变动，其中项目经理具有相当资质，项目经理未得到用户方同意的情况下不得随意更换。</w:t>
      </w:r>
    </w:p>
    <w:p w14:paraId="20098D67">
      <w:pPr>
        <w:pStyle w:val="7"/>
        <w:rPr>
          <w:sz w:val="21"/>
          <w:szCs w:val="21"/>
        </w:rPr>
      </w:pPr>
      <w:r>
        <w:rPr>
          <w:rFonts w:hint="eastAsia"/>
          <w:sz w:val="21"/>
          <w:szCs w:val="21"/>
        </w:rPr>
        <w:t>安装、调试</w:t>
      </w:r>
    </w:p>
    <w:p w14:paraId="4FA24A8F">
      <w:pPr>
        <w:numPr>
          <w:ilvl w:val="0"/>
          <w:numId w:val="7"/>
        </w:numPr>
        <w:adjustRightInd w:val="0"/>
        <w:snapToGrid w:val="0"/>
        <w:ind w:left="0" w:firstLine="420"/>
        <w:rPr>
          <w:rFonts w:ascii="宋体" w:hAnsi="宋体" w:eastAsia="宋体"/>
        </w:rPr>
      </w:pPr>
      <w:r>
        <w:rPr>
          <w:rFonts w:ascii="宋体" w:hAnsi="宋体" w:eastAsia="宋体"/>
        </w:rPr>
        <w:t>合同签</w:t>
      </w:r>
      <w:r>
        <w:rPr>
          <w:rFonts w:hint="eastAsia" w:ascii="宋体" w:hAnsi="宋体" w:eastAsia="宋体"/>
        </w:rPr>
        <w:t>订</w:t>
      </w:r>
      <w:r>
        <w:rPr>
          <w:rFonts w:ascii="宋体" w:hAnsi="宋体" w:eastAsia="宋体"/>
        </w:rPr>
        <w:t>一周内，响应供应商向用户提交</w:t>
      </w:r>
      <w:r>
        <w:rPr>
          <w:rFonts w:hint="eastAsia" w:ascii="宋体" w:hAnsi="宋体" w:eastAsia="宋体"/>
        </w:rPr>
        <w:t>软件开发</w:t>
      </w:r>
      <w:r>
        <w:rPr>
          <w:rFonts w:ascii="宋体" w:hAnsi="宋体" w:eastAsia="宋体"/>
        </w:rPr>
        <w:t>环境的要求。</w:t>
      </w:r>
      <w:r>
        <w:rPr>
          <w:rFonts w:hint="eastAsia" w:ascii="宋体" w:hAnsi="宋体" w:eastAsia="宋体"/>
        </w:rPr>
        <w:t>软件实施</w:t>
      </w:r>
      <w:r>
        <w:rPr>
          <w:rFonts w:ascii="宋体" w:hAnsi="宋体" w:eastAsia="宋体"/>
        </w:rPr>
        <w:t>安装7天以前，响应供应商向用户提交</w:t>
      </w:r>
      <w:r>
        <w:rPr>
          <w:rFonts w:hint="eastAsia" w:ascii="宋体" w:hAnsi="宋体" w:eastAsia="宋体"/>
        </w:rPr>
        <w:t>软件</w:t>
      </w:r>
      <w:r>
        <w:rPr>
          <w:rFonts w:ascii="宋体" w:hAnsi="宋体" w:eastAsia="宋体"/>
        </w:rPr>
        <w:t>安装、测试和安装验收的计划方案，该计划方案需经过用户同意方可作为</w:t>
      </w:r>
      <w:r>
        <w:rPr>
          <w:rFonts w:hint="eastAsia" w:ascii="宋体" w:hAnsi="宋体" w:eastAsia="宋体"/>
        </w:rPr>
        <w:t>软件</w:t>
      </w:r>
      <w:r>
        <w:rPr>
          <w:rFonts w:ascii="宋体" w:hAnsi="宋体" w:eastAsia="宋体"/>
        </w:rPr>
        <w:t>安装、测试和安装验收的依据。</w:t>
      </w:r>
    </w:p>
    <w:p w14:paraId="5706F3CE">
      <w:pPr>
        <w:numPr>
          <w:ilvl w:val="0"/>
          <w:numId w:val="7"/>
        </w:numPr>
        <w:adjustRightInd w:val="0"/>
        <w:snapToGrid w:val="0"/>
        <w:ind w:left="0" w:firstLine="420"/>
        <w:rPr>
          <w:rFonts w:ascii="宋体" w:hAnsi="宋体" w:eastAsia="宋体"/>
        </w:rPr>
      </w:pPr>
      <w:r>
        <w:rPr>
          <w:rFonts w:ascii="宋体" w:hAnsi="宋体" w:eastAsia="宋体"/>
        </w:rPr>
        <w:t>响应供应商应承担所供产品的安装、调试和配置工作，同时应提供完整的安装调试文档及系统配置文件。</w:t>
      </w:r>
    </w:p>
    <w:p w14:paraId="02E037AA">
      <w:pPr>
        <w:numPr>
          <w:ilvl w:val="0"/>
          <w:numId w:val="7"/>
        </w:numPr>
        <w:adjustRightInd w:val="0"/>
        <w:snapToGrid w:val="0"/>
        <w:ind w:left="0" w:firstLine="420"/>
        <w:rPr>
          <w:rFonts w:ascii="宋体" w:hAnsi="宋体" w:eastAsia="宋体"/>
        </w:rPr>
      </w:pPr>
      <w:r>
        <w:rPr>
          <w:rFonts w:ascii="宋体" w:hAnsi="宋体" w:eastAsia="宋体"/>
        </w:rPr>
        <w:t>响应供应商应全力与用户及其他相关产品供应商配合，保证系统按时、正常地投入运行。</w:t>
      </w:r>
    </w:p>
    <w:p w14:paraId="5D5FCF0E">
      <w:pPr>
        <w:numPr>
          <w:ilvl w:val="0"/>
          <w:numId w:val="7"/>
        </w:numPr>
        <w:adjustRightInd w:val="0"/>
        <w:snapToGrid w:val="0"/>
        <w:ind w:left="0" w:firstLine="420"/>
        <w:rPr>
          <w:rFonts w:ascii="宋体" w:hAnsi="宋体" w:eastAsia="宋体"/>
        </w:rPr>
      </w:pPr>
      <w:r>
        <w:rPr>
          <w:rFonts w:ascii="宋体" w:hAnsi="宋体" w:eastAsia="宋体"/>
        </w:rPr>
        <w:t>响应供应商需保证所配置的软件产品有合法的使用权。</w:t>
      </w:r>
    </w:p>
    <w:p w14:paraId="154DC781">
      <w:pPr>
        <w:pStyle w:val="6"/>
        <w:spacing w:line="360" w:lineRule="auto"/>
        <w:rPr>
          <w:rFonts w:ascii="宋体" w:hAnsi="宋体"/>
          <w:sz w:val="21"/>
          <w:szCs w:val="21"/>
        </w:rPr>
      </w:pPr>
      <w:r>
        <w:rPr>
          <w:rFonts w:hint="eastAsia" w:ascii="宋体" w:hAnsi="宋体"/>
          <w:sz w:val="21"/>
          <w:szCs w:val="21"/>
        </w:rPr>
        <w:t>项目验收</w:t>
      </w:r>
    </w:p>
    <w:p w14:paraId="6B0D01E0">
      <w:pPr>
        <w:numPr>
          <w:ilvl w:val="0"/>
          <w:numId w:val="8"/>
        </w:numPr>
        <w:adjustRightInd w:val="0"/>
        <w:snapToGrid w:val="0"/>
        <w:ind w:left="0" w:firstLine="420"/>
        <w:rPr>
          <w:rFonts w:ascii="宋体" w:hAnsi="宋体" w:eastAsia="宋体"/>
        </w:rPr>
      </w:pPr>
      <w:r>
        <w:rPr>
          <w:rFonts w:ascii="宋体" w:hAnsi="宋体" w:eastAsia="宋体"/>
        </w:rPr>
        <w:t>系统验收合格的条件至少满足以下三个要求：试运行时性能满足合同要求；测试和试运行验收时出现的问题已被解决；已提供了合同的全部货物和资料。</w:t>
      </w:r>
    </w:p>
    <w:p w14:paraId="7F65E545">
      <w:pPr>
        <w:numPr>
          <w:ilvl w:val="0"/>
          <w:numId w:val="8"/>
        </w:numPr>
        <w:adjustRightInd w:val="0"/>
        <w:snapToGrid w:val="0"/>
        <w:ind w:left="0" w:firstLine="420"/>
        <w:textAlignment w:val="baseline"/>
        <w:rPr>
          <w:rFonts w:ascii="宋体" w:hAnsi="宋体" w:eastAsia="宋体"/>
        </w:rPr>
      </w:pPr>
      <w:r>
        <w:rPr>
          <w:rFonts w:hint="eastAsia" w:ascii="宋体" w:hAnsi="宋体" w:eastAsia="宋体"/>
        </w:rPr>
        <w:t>软件验收前需通过安全、功能、性能、密码等方面的第三方测评。</w:t>
      </w:r>
    </w:p>
    <w:p w14:paraId="42F981D8">
      <w:pPr>
        <w:numPr>
          <w:ilvl w:val="0"/>
          <w:numId w:val="8"/>
        </w:numPr>
        <w:adjustRightInd w:val="0"/>
        <w:snapToGrid w:val="0"/>
        <w:ind w:left="0" w:firstLine="420"/>
        <w:textAlignment w:val="baseline"/>
        <w:rPr>
          <w:rFonts w:ascii="宋体" w:hAnsi="宋体" w:eastAsia="宋体"/>
        </w:rPr>
      </w:pPr>
      <w:r>
        <w:rPr>
          <w:rFonts w:hint="eastAsia" w:ascii="宋体" w:hAnsi="宋体" w:eastAsia="宋体"/>
        </w:rPr>
        <w:t>所有子系统正式投入运行后进行软件系统验收。申康中心将邀请相关行业专家、监理与用户方一起验收，同时就系统的安全性、完整性、易用性、适用性等请第三方专业评测机构进行评测，届时验收专家由用户方指定，所有验收的费用包含在投报总价内。</w:t>
      </w:r>
    </w:p>
    <w:p w14:paraId="36D5C7B4">
      <w:pPr>
        <w:pStyle w:val="6"/>
        <w:rPr>
          <w:sz w:val="21"/>
          <w:szCs w:val="21"/>
        </w:rPr>
      </w:pPr>
      <w:r>
        <w:rPr>
          <w:rFonts w:hint="eastAsia"/>
          <w:sz w:val="21"/>
          <w:szCs w:val="21"/>
        </w:rPr>
        <w:t>技术文档</w:t>
      </w:r>
    </w:p>
    <w:p w14:paraId="614DF3CB">
      <w:pPr>
        <w:adjustRightInd w:val="0"/>
        <w:snapToGrid w:val="0"/>
        <w:ind w:firstLine="420"/>
        <w:rPr>
          <w:rFonts w:ascii="宋体" w:hAnsi="宋体" w:eastAsia="宋体"/>
          <w:bCs/>
        </w:rPr>
      </w:pPr>
      <w:r>
        <w:rPr>
          <w:rFonts w:hint="eastAsia" w:ascii="宋体" w:hAnsi="宋体" w:eastAsia="宋体"/>
          <w:bCs/>
        </w:rPr>
        <w:t>系统验收后响应供应商需提供详细的软件相关技术文档（含数据结构、数据流程图、系统字典说明等）、使用说明书、维护手册等文档资料。提供系统应急方案，提供本</w:t>
      </w:r>
      <w:r>
        <w:rPr>
          <w:rFonts w:ascii="宋体" w:hAnsi="宋体" w:eastAsia="宋体"/>
          <w:bCs/>
        </w:rPr>
        <w:t>项目</w:t>
      </w:r>
      <w:r>
        <w:rPr>
          <w:rFonts w:hint="eastAsia" w:ascii="宋体" w:hAnsi="宋体" w:eastAsia="宋体"/>
          <w:bCs/>
        </w:rPr>
        <w:t>中形成的程序源代码及技术支持工具。文档包括但不限于以下内容：</w:t>
      </w:r>
    </w:p>
    <w:p w14:paraId="60804A05">
      <w:pPr>
        <w:numPr>
          <w:ilvl w:val="0"/>
          <w:numId w:val="9"/>
        </w:numPr>
        <w:adjustRightInd w:val="0"/>
        <w:snapToGrid w:val="0"/>
        <w:ind w:left="0" w:firstLine="420"/>
        <w:rPr>
          <w:rFonts w:ascii="宋体" w:hAnsi="宋体" w:eastAsia="宋体"/>
          <w:bCs/>
        </w:rPr>
      </w:pPr>
      <w:r>
        <w:rPr>
          <w:rFonts w:hint="eastAsia" w:ascii="宋体" w:hAnsi="宋体" w:eastAsia="宋体"/>
          <w:bCs/>
        </w:rPr>
        <w:t>项目实施方案；</w:t>
      </w:r>
    </w:p>
    <w:p w14:paraId="569D68A0">
      <w:pPr>
        <w:numPr>
          <w:ilvl w:val="0"/>
          <w:numId w:val="9"/>
        </w:numPr>
        <w:adjustRightInd w:val="0"/>
        <w:snapToGrid w:val="0"/>
        <w:ind w:left="0" w:firstLine="420"/>
        <w:rPr>
          <w:rFonts w:ascii="宋体" w:hAnsi="宋体" w:eastAsia="宋体"/>
          <w:bCs/>
        </w:rPr>
      </w:pPr>
      <w:r>
        <w:rPr>
          <w:rFonts w:hint="eastAsia" w:ascii="宋体" w:hAnsi="宋体" w:eastAsia="宋体"/>
          <w:bCs/>
        </w:rPr>
        <w:t>需求说明书、设计说明书；</w:t>
      </w:r>
    </w:p>
    <w:p w14:paraId="366F9B55">
      <w:pPr>
        <w:numPr>
          <w:ilvl w:val="0"/>
          <w:numId w:val="9"/>
        </w:numPr>
        <w:adjustRightInd w:val="0"/>
        <w:snapToGrid w:val="0"/>
        <w:ind w:left="0" w:firstLine="420"/>
        <w:rPr>
          <w:rFonts w:ascii="宋体" w:hAnsi="宋体" w:eastAsia="宋体"/>
          <w:bCs/>
        </w:rPr>
      </w:pPr>
      <w:r>
        <w:rPr>
          <w:rFonts w:hint="eastAsia" w:ascii="宋体" w:hAnsi="宋体" w:eastAsia="宋体"/>
          <w:bCs/>
        </w:rPr>
        <w:t>测试报告；</w:t>
      </w:r>
    </w:p>
    <w:p w14:paraId="368F32C2">
      <w:pPr>
        <w:numPr>
          <w:ilvl w:val="0"/>
          <w:numId w:val="9"/>
        </w:numPr>
        <w:adjustRightInd w:val="0"/>
        <w:snapToGrid w:val="0"/>
        <w:ind w:left="0" w:firstLine="420"/>
        <w:rPr>
          <w:rFonts w:ascii="宋体" w:hAnsi="宋体" w:eastAsia="宋体"/>
          <w:bCs/>
        </w:rPr>
      </w:pPr>
      <w:r>
        <w:rPr>
          <w:rFonts w:hint="eastAsia" w:ascii="宋体" w:hAnsi="宋体" w:eastAsia="宋体"/>
          <w:bCs/>
        </w:rPr>
        <w:t>用户操作手册、系统运维手册以及培训文档等；</w:t>
      </w:r>
    </w:p>
    <w:p w14:paraId="119CC85D">
      <w:pPr>
        <w:numPr>
          <w:ilvl w:val="0"/>
          <w:numId w:val="9"/>
        </w:numPr>
        <w:adjustRightInd w:val="0"/>
        <w:snapToGrid w:val="0"/>
        <w:ind w:left="0" w:firstLine="420"/>
        <w:rPr>
          <w:rFonts w:ascii="宋体" w:hAnsi="宋体" w:eastAsia="宋体"/>
          <w:bCs/>
        </w:rPr>
      </w:pPr>
      <w:r>
        <w:rPr>
          <w:rFonts w:hint="eastAsia" w:ascii="宋体" w:hAnsi="宋体" w:eastAsia="宋体"/>
          <w:bCs/>
        </w:rPr>
        <w:t>试运行报告、项目总结报告、验收报告等；</w:t>
      </w:r>
    </w:p>
    <w:p w14:paraId="0049D3AC">
      <w:pPr>
        <w:numPr>
          <w:ilvl w:val="0"/>
          <w:numId w:val="9"/>
        </w:numPr>
        <w:adjustRightInd w:val="0"/>
        <w:snapToGrid w:val="0"/>
        <w:ind w:left="0" w:firstLine="420"/>
        <w:rPr>
          <w:rFonts w:ascii="宋体" w:hAnsi="宋体" w:eastAsia="宋体"/>
        </w:rPr>
      </w:pPr>
      <w:r>
        <w:rPr>
          <w:rFonts w:hint="eastAsia" w:ascii="宋体" w:hAnsi="宋体" w:eastAsia="宋体"/>
          <w:bCs/>
        </w:rPr>
        <w:t>本</w:t>
      </w:r>
      <w:r>
        <w:rPr>
          <w:rFonts w:ascii="宋体" w:hAnsi="宋体" w:eastAsia="宋体"/>
          <w:bCs/>
        </w:rPr>
        <w:t>项目</w:t>
      </w:r>
      <w:r>
        <w:rPr>
          <w:rFonts w:hint="eastAsia" w:ascii="宋体" w:hAnsi="宋体" w:eastAsia="宋体"/>
          <w:bCs/>
        </w:rPr>
        <w:t>形成的</w:t>
      </w:r>
      <w:r>
        <w:rPr>
          <w:rFonts w:hint="eastAsia" w:ascii="宋体" w:hAnsi="宋体" w:eastAsia="宋体"/>
        </w:rPr>
        <w:t>程序源代码（光盘形式）。</w:t>
      </w:r>
    </w:p>
    <w:p w14:paraId="7934B3F8">
      <w:pPr>
        <w:pStyle w:val="6"/>
        <w:rPr>
          <w:sz w:val="21"/>
          <w:szCs w:val="21"/>
        </w:rPr>
      </w:pPr>
      <w:r>
        <w:rPr>
          <w:rFonts w:hint="eastAsia"/>
          <w:sz w:val="21"/>
          <w:szCs w:val="21"/>
        </w:rPr>
        <w:t>系统维护、售后服务和培训</w:t>
      </w:r>
    </w:p>
    <w:p w14:paraId="501804AE">
      <w:pPr>
        <w:pStyle w:val="7"/>
        <w:rPr>
          <w:sz w:val="21"/>
          <w:szCs w:val="21"/>
        </w:rPr>
      </w:pPr>
      <w:r>
        <w:rPr>
          <w:rFonts w:hint="eastAsia"/>
          <w:sz w:val="21"/>
          <w:szCs w:val="21"/>
        </w:rPr>
        <w:t>免费维护期</w:t>
      </w:r>
    </w:p>
    <w:p w14:paraId="08559CC4">
      <w:pPr>
        <w:pStyle w:val="86"/>
        <w:spacing w:line="360" w:lineRule="auto"/>
        <w:rPr>
          <w:rFonts w:ascii="宋体" w:hAnsi="宋体"/>
          <w:szCs w:val="21"/>
        </w:rPr>
      </w:pPr>
      <w:r>
        <w:rPr>
          <w:rFonts w:hint="eastAsia" w:ascii="宋体" w:hAnsi="宋体"/>
          <w:szCs w:val="21"/>
        </w:rPr>
        <w:t>响应供应商在上海设立常驻售后服务机构，提供</w:t>
      </w:r>
      <w:r>
        <w:rPr>
          <w:rFonts w:ascii="宋体" w:hAnsi="宋体"/>
          <w:szCs w:val="21"/>
        </w:rPr>
        <w:t>应用软件</w:t>
      </w:r>
      <w:r>
        <w:rPr>
          <w:rFonts w:hint="eastAsia" w:ascii="宋体" w:hAnsi="宋体"/>
          <w:szCs w:val="21"/>
        </w:rPr>
        <w:t>验收后</w:t>
      </w:r>
      <w:r>
        <w:rPr>
          <w:rFonts w:ascii="宋体" w:hAnsi="宋体"/>
          <w:szCs w:val="21"/>
        </w:rPr>
        <w:t>1年</w:t>
      </w:r>
      <w:r>
        <w:rPr>
          <w:rFonts w:hint="eastAsia" w:ascii="宋体" w:hAnsi="宋体"/>
          <w:szCs w:val="21"/>
        </w:rPr>
        <w:t>的</w:t>
      </w:r>
      <w:r>
        <w:rPr>
          <w:rFonts w:ascii="宋体" w:hAnsi="宋体"/>
          <w:szCs w:val="21"/>
        </w:rPr>
        <w:t>7*24小时</w:t>
      </w:r>
      <w:r>
        <w:rPr>
          <w:rFonts w:hint="eastAsia" w:ascii="宋体" w:hAnsi="宋体"/>
          <w:szCs w:val="21"/>
        </w:rPr>
        <w:t>的</w:t>
      </w:r>
      <w:r>
        <w:rPr>
          <w:rFonts w:ascii="宋体" w:hAnsi="宋体"/>
          <w:szCs w:val="21"/>
        </w:rPr>
        <w:t>免费维护</w:t>
      </w:r>
      <w:r>
        <w:rPr>
          <w:rFonts w:hint="eastAsia" w:ascii="宋体" w:hAnsi="宋体"/>
          <w:szCs w:val="21"/>
        </w:rPr>
        <w:t>。响应供应商所提供的应用软件维护服务需包括但不限于免费功能增强性维护、软件升级和免费技术维护服务（如系统维护、跟踪检测等），保证响应供应商所投软件系统的正常运行。免费维护期内响应供应商应对系统进行优化和常规安全检查，并提供每月</w:t>
      </w:r>
      <w:r>
        <w:rPr>
          <w:rFonts w:ascii="宋体" w:hAnsi="宋体"/>
          <w:szCs w:val="21"/>
        </w:rPr>
        <w:t>2次的定时维护服务；响应供应商应在接到报修电话通知后1小时内响应，2小时内赶到现场处理故障，4小时内修复，</w:t>
      </w:r>
      <w:r>
        <w:rPr>
          <w:rFonts w:hint="eastAsia" w:ascii="宋体" w:hAnsi="宋体"/>
          <w:szCs w:val="21"/>
        </w:rPr>
        <w:t>并使系统恢复正常运行。</w:t>
      </w:r>
    </w:p>
    <w:p w14:paraId="77DBB289">
      <w:pPr>
        <w:pStyle w:val="86"/>
        <w:spacing w:line="360" w:lineRule="auto"/>
        <w:rPr>
          <w:rFonts w:ascii="宋体" w:hAnsi="宋体"/>
          <w:szCs w:val="21"/>
        </w:rPr>
      </w:pPr>
      <w:r>
        <w:rPr>
          <w:rFonts w:hint="eastAsia" w:ascii="宋体" w:hAnsi="宋体"/>
          <w:szCs w:val="21"/>
        </w:rPr>
        <w:t>项目验收后</w:t>
      </w:r>
      <w:r>
        <w:rPr>
          <w:rFonts w:ascii="宋体" w:hAnsi="宋体"/>
          <w:szCs w:val="21"/>
        </w:rPr>
        <w:t>1年内，响应供应商</w:t>
      </w:r>
      <w:r>
        <w:rPr>
          <w:rFonts w:hint="eastAsia" w:ascii="宋体" w:hAnsi="宋体"/>
          <w:szCs w:val="21"/>
        </w:rPr>
        <w:t>提供不少于3人的支撑团队</w:t>
      </w:r>
      <w:r>
        <w:rPr>
          <w:rFonts w:hint="eastAsia" w:ascii="宋体" w:hAnsi="宋体"/>
          <w:szCs w:val="21"/>
          <w:lang w:eastAsia="zh-CN"/>
        </w:rPr>
        <w:t>，</w:t>
      </w:r>
      <w:r>
        <w:rPr>
          <w:rFonts w:ascii="宋体" w:hAnsi="宋体"/>
          <w:szCs w:val="21"/>
        </w:rPr>
        <w:t>在现场至少派驻</w:t>
      </w:r>
      <w:r>
        <w:rPr>
          <w:rFonts w:hint="eastAsia" w:ascii="宋体" w:hAnsi="宋体"/>
          <w:szCs w:val="21"/>
          <w:lang w:eastAsia="zh-CN"/>
        </w:rPr>
        <w:t>技术</w:t>
      </w:r>
      <w:r>
        <w:rPr>
          <w:rFonts w:ascii="宋体" w:hAnsi="宋体"/>
          <w:szCs w:val="21"/>
        </w:rPr>
        <w:t>工程师1名，维持系统的正常运行，工作时间为用户方工作日8:00-17:30（根据用户方作息时间调整）。该驻场工程师需具有类似信息系统支持服务2年以上维护经验，并接受用户方统一管理，经过用户方确认后，无特殊原因不得随意更换，要保证人员的稳定性，更换人员需得到用户方确认。若不符合用户方要求，用户方有权利要求更换现场维护人员。</w:t>
      </w:r>
    </w:p>
    <w:p w14:paraId="12F27238">
      <w:pPr>
        <w:pStyle w:val="7"/>
        <w:rPr>
          <w:sz w:val="21"/>
          <w:szCs w:val="21"/>
        </w:rPr>
      </w:pPr>
      <w:r>
        <w:rPr>
          <w:rFonts w:hint="eastAsia"/>
          <w:sz w:val="21"/>
          <w:szCs w:val="21"/>
        </w:rPr>
        <w:t>售后服务</w:t>
      </w:r>
    </w:p>
    <w:p w14:paraId="781A2901">
      <w:pPr>
        <w:numPr>
          <w:ilvl w:val="0"/>
          <w:numId w:val="10"/>
        </w:numPr>
        <w:adjustRightInd w:val="0"/>
        <w:snapToGrid w:val="0"/>
        <w:ind w:left="0" w:firstLine="420"/>
        <w:rPr>
          <w:rFonts w:ascii="宋体" w:hAnsi="宋体" w:eastAsia="宋体"/>
        </w:rPr>
      </w:pPr>
      <w:r>
        <w:rPr>
          <w:rFonts w:ascii="宋体" w:hAnsi="宋体" w:eastAsia="宋体"/>
          <w:bCs/>
        </w:rPr>
        <w:t>响应供应商负责所供</w:t>
      </w:r>
      <w:r>
        <w:rPr>
          <w:rFonts w:hint="eastAsia" w:ascii="宋体" w:hAnsi="宋体" w:eastAsia="宋体"/>
          <w:bCs/>
        </w:rPr>
        <w:t>软件</w:t>
      </w:r>
      <w:r>
        <w:rPr>
          <w:rFonts w:ascii="宋体" w:hAnsi="宋体" w:eastAsia="宋体"/>
          <w:bCs/>
        </w:rPr>
        <w:t>及配套产品的售后服务，包括提供所供产品技术咨询、技术培训、</w:t>
      </w:r>
      <w:r>
        <w:rPr>
          <w:rFonts w:ascii="宋体" w:hAnsi="宋体" w:eastAsia="宋体"/>
        </w:rPr>
        <w:t>到货验收、安装调试以及负责所供产品的保修及其它售后技术服务。</w:t>
      </w:r>
    </w:p>
    <w:p w14:paraId="5ADFDDA0">
      <w:pPr>
        <w:numPr>
          <w:ilvl w:val="0"/>
          <w:numId w:val="10"/>
        </w:numPr>
        <w:adjustRightInd w:val="0"/>
        <w:snapToGrid w:val="0"/>
        <w:ind w:left="0" w:firstLine="420"/>
        <w:rPr>
          <w:rFonts w:ascii="宋体" w:hAnsi="宋体" w:eastAsia="宋体"/>
        </w:rPr>
      </w:pPr>
      <w:r>
        <w:rPr>
          <w:rFonts w:ascii="宋体" w:hAnsi="宋体" w:eastAsia="宋体"/>
        </w:rPr>
        <w:t>响应供应商</w:t>
      </w:r>
      <w:r>
        <w:rPr>
          <w:rFonts w:hint="eastAsia" w:ascii="宋体" w:hAnsi="宋体" w:eastAsia="宋体"/>
        </w:rPr>
        <w:t>需</w:t>
      </w:r>
      <w:r>
        <w:rPr>
          <w:rFonts w:ascii="宋体" w:hAnsi="宋体" w:eastAsia="宋体"/>
        </w:rPr>
        <w:t>作出无推诿承诺。即响应供应商应提供特殊措施，无论由于哪一方产生的问题而使系统发生不正常情况时，在得到</w:t>
      </w:r>
      <w:r>
        <w:rPr>
          <w:rFonts w:hint="eastAsia" w:ascii="宋体" w:hAnsi="宋体" w:eastAsia="宋体"/>
        </w:rPr>
        <w:t>用户</w:t>
      </w:r>
      <w:r>
        <w:rPr>
          <w:rFonts w:ascii="宋体" w:hAnsi="宋体" w:eastAsia="宋体"/>
        </w:rPr>
        <w:t>方或系统集成商通知后，立即派工程师到现场，全力协助系统集成商和其他供应商，使系统尽快恢复正常。</w:t>
      </w:r>
    </w:p>
    <w:p w14:paraId="65EC4B28">
      <w:pPr>
        <w:numPr>
          <w:ilvl w:val="0"/>
          <w:numId w:val="10"/>
        </w:numPr>
        <w:adjustRightInd w:val="0"/>
        <w:snapToGrid w:val="0"/>
        <w:ind w:left="0" w:firstLine="420"/>
        <w:rPr>
          <w:rFonts w:ascii="宋体" w:hAnsi="宋体" w:eastAsia="宋体"/>
        </w:rPr>
      </w:pPr>
      <w:r>
        <w:rPr>
          <w:rFonts w:ascii="宋体" w:hAnsi="宋体" w:eastAsia="宋体"/>
        </w:rPr>
        <w:t>响应供应商应提供中文电话免费咨询服务。</w:t>
      </w:r>
    </w:p>
    <w:p w14:paraId="5EF860AF">
      <w:pPr>
        <w:numPr>
          <w:ilvl w:val="0"/>
          <w:numId w:val="10"/>
        </w:numPr>
        <w:adjustRightInd w:val="0"/>
        <w:snapToGrid w:val="0"/>
        <w:ind w:left="0" w:firstLine="420"/>
        <w:rPr>
          <w:rFonts w:ascii="宋体" w:hAnsi="宋体" w:eastAsia="宋体"/>
        </w:rPr>
      </w:pPr>
      <w:r>
        <w:rPr>
          <w:rFonts w:ascii="宋体" w:hAnsi="宋体" w:eastAsia="宋体"/>
        </w:rPr>
        <w:t>在质保期结束前，需由响应供应商工程师和用户代表进行一次全面检查，任何缺陷由响应供应商负责修理，在修理之后，响应供应商应将缺陷原因、修理内容、完成修理及恢复正常的时间和日期等报告给用户，报告一式两份。</w:t>
      </w:r>
    </w:p>
    <w:p w14:paraId="61BEA99D">
      <w:pPr>
        <w:numPr>
          <w:ilvl w:val="0"/>
          <w:numId w:val="10"/>
        </w:numPr>
        <w:adjustRightInd w:val="0"/>
        <w:snapToGrid w:val="0"/>
        <w:ind w:left="0" w:firstLine="420"/>
        <w:rPr>
          <w:rFonts w:ascii="宋体" w:hAnsi="宋体" w:eastAsia="宋体"/>
        </w:rPr>
      </w:pPr>
      <w:r>
        <w:rPr>
          <w:rFonts w:ascii="宋体" w:hAnsi="宋体" w:eastAsia="宋体"/>
        </w:rPr>
        <w:t>为切实保障应用软件功能系统的顺利运行，总体方案需要考虑相关的培训功能。为工程提供优质的整体服务，保障工程的整体质量。培训应包括对运行平台的技术培训，以及对应用功能软件的操作培训。</w:t>
      </w:r>
    </w:p>
    <w:p w14:paraId="3F9EA2F3">
      <w:pPr>
        <w:numPr>
          <w:ilvl w:val="0"/>
          <w:numId w:val="10"/>
        </w:numPr>
        <w:adjustRightInd w:val="0"/>
        <w:snapToGrid w:val="0"/>
        <w:ind w:left="0" w:firstLine="420"/>
        <w:rPr>
          <w:rFonts w:ascii="宋体" w:hAnsi="宋体" w:eastAsia="宋体"/>
        </w:rPr>
      </w:pPr>
      <w:r>
        <w:rPr>
          <w:rFonts w:ascii="宋体" w:hAnsi="宋体" w:eastAsia="宋体"/>
        </w:rPr>
        <w:t>需要在响应供应商方案书中对售后服务的任务内容和服务方式进行详细罗列与界定，对于需要用户方面配合的内容也可同时加以说明。</w:t>
      </w:r>
    </w:p>
    <w:p w14:paraId="38B821A1">
      <w:pPr>
        <w:numPr>
          <w:ilvl w:val="0"/>
          <w:numId w:val="10"/>
        </w:numPr>
        <w:adjustRightInd w:val="0"/>
        <w:snapToGrid w:val="0"/>
        <w:ind w:left="0" w:firstLine="420"/>
        <w:rPr>
          <w:rFonts w:ascii="宋体" w:hAnsi="宋体" w:eastAsia="宋体"/>
        </w:rPr>
      </w:pPr>
      <w:r>
        <w:rPr>
          <w:rFonts w:hint="eastAsia" w:ascii="宋体" w:hAnsi="宋体" w:eastAsia="宋体"/>
        </w:rPr>
        <w:t>用户</w:t>
      </w:r>
      <w:r>
        <w:rPr>
          <w:rFonts w:ascii="宋体" w:hAnsi="宋体" w:eastAsia="宋体"/>
        </w:rPr>
        <w:t>方有权要求响应供应商、原产品制造厂家和</w:t>
      </w:r>
      <w:r>
        <w:rPr>
          <w:rFonts w:hint="eastAsia" w:ascii="宋体" w:hAnsi="宋体" w:eastAsia="宋体"/>
        </w:rPr>
        <w:t>用户方</w:t>
      </w:r>
      <w:r>
        <w:rPr>
          <w:rFonts w:ascii="宋体" w:hAnsi="宋体" w:eastAsia="宋体"/>
        </w:rPr>
        <w:t>指定的系统集成商共同签署书面文件，就响应供应商向</w:t>
      </w:r>
      <w:r>
        <w:rPr>
          <w:rFonts w:hint="eastAsia" w:ascii="宋体" w:hAnsi="宋体" w:eastAsia="宋体"/>
        </w:rPr>
        <w:t>用户</w:t>
      </w:r>
      <w:r>
        <w:rPr>
          <w:rFonts w:ascii="宋体" w:hAnsi="宋体" w:eastAsia="宋体"/>
        </w:rPr>
        <w:t>方提供设备的售后服务内容、质量保证、各自责任和合作事项等达成协议并共同对用户的利益负责。</w:t>
      </w:r>
    </w:p>
    <w:p w14:paraId="342667E1">
      <w:pPr>
        <w:numPr>
          <w:ilvl w:val="0"/>
          <w:numId w:val="10"/>
        </w:numPr>
        <w:adjustRightInd w:val="0"/>
        <w:snapToGrid w:val="0"/>
        <w:ind w:left="0" w:firstLine="420"/>
        <w:rPr>
          <w:rFonts w:ascii="宋体" w:hAnsi="宋体" w:eastAsia="宋体"/>
        </w:rPr>
      </w:pPr>
      <w:r>
        <w:rPr>
          <w:rFonts w:ascii="宋体" w:hAnsi="宋体" w:eastAsia="宋体"/>
        </w:rPr>
        <w:t>响应供应商</w:t>
      </w:r>
      <w:r>
        <w:rPr>
          <w:rFonts w:hint="eastAsia" w:ascii="宋体" w:hAnsi="宋体" w:eastAsia="宋体"/>
        </w:rPr>
        <w:t>需提供免费维护期后的服务方案情况及年维护费用报价情况。</w:t>
      </w:r>
    </w:p>
    <w:p w14:paraId="0AA363D4">
      <w:pPr>
        <w:pStyle w:val="7"/>
        <w:rPr>
          <w:sz w:val="21"/>
          <w:szCs w:val="21"/>
        </w:rPr>
      </w:pPr>
      <w:r>
        <w:rPr>
          <w:rFonts w:hint="eastAsia"/>
          <w:sz w:val="21"/>
          <w:szCs w:val="21"/>
        </w:rPr>
        <w:t>人员培训</w:t>
      </w:r>
    </w:p>
    <w:p w14:paraId="7A094999">
      <w:pPr>
        <w:autoSpaceDE w:val="0"/>
        <w:autoSpaceDN w:val="0"/>
        <w:adjustRightInd w:val="0"/>
        <w:snapToGrid w:val="0"/>
        <w:ind w:firstLine="420"/>
        <w:rPr>
          <w:rFonts w:ascii="宋体" w:hAnsi="宋体" w:eastAsia="宋体"/>
          <w:bCs/>
        </w:rPr>
      </w:pPr>
      <w:r>
        <w:rPr>
          <w:rFonts w:hint="eastAsia" w:ascii="宋体" w:hAnsi="宋体" w:eastAsia="宋体"/>
        </w:rPr>
        <w:t>响应供应商应负责使用人员的培训及考核。并在项目实施后继续按照用户方要求继续定期培训和考核（包括远程在线培训以及培训过程的</w:t>
      </w:r>
      <w:r>
        <w:rPr>
          <w:rFonts w:ascii="宋体" w:hAnsi="宋体" w:eastAsia="宋体"/>
        </w:rPr>
        <w:t>DVD、视频录制）。培训对象包括用户方的系统管理员、日常维护人员、技术层面人员（包括系统开发、程序版本控制、数据库维护）；用户方和各医院的管理人员、操作员。系统管理人员培训内容为系统中涉及的相关技术内容；管理人员培训内容为系统流程和相关管理思想；操作员培训内容为系统的操作培训</w:t>
      </w:r>
      <w:r>
        <w:rPr>
          <w:rFonts w:hint="eastAsia" w:ascii="宋体" w:hAnsi="宋体" w:eastAsia="宋体"/>
          <w:bCs/>
        </w:rPr>
        <w:t>。</w:t>
      </w:r>
    </w:p>
    <w:p w14:paraId="3C32AF71">
      <w:pPr>
        <w:autoSpaceDE w:val="0"/>
        <w:autoSpaceDN w:val="0"/>
        <w:adjustRightInd w:val="0"/>
        <w:snapToGrid w:val="0"/>
        <w:rPr>
          <w:rFonts w:ascii="宋体" w:hAnsi="宋体" w:eastAsia="宋体"/>
          <w:bCs/>
        </w:rPr>
      </w:pPr>
    </w:p>
    <w:p w14:paraId="24ACAC28">
      <w:pPr>
        <w:pStyle w:val="6"/>
        <w:rPr>
          <w:sz w:val="21"/>
          <w:szCs w:val="21"/>
        </w:rPr>
      </w:pPr>
      <w:r>
        <w:rPr>
          <w:rFonts w:hint="eastAsia"/>
          <w:sz w:val="21"/>
          <w:szCs w:val="21"/>
        </w:rPr>
        <w:t>知识产权承诺</w:t>
      </w:r>
    </w:p>
    <w:p w14:paraId="6CB6AA64">
      <w:pPr>
        <w:numPr>
          <w:ilvl w:val="0"/>
          <w:numId w:val="11"/>
        </w:numPr>
        <w:adjustRightInd w:val="0"/>
        <w:snapToGrid w:val="0"/>
        <w:ind w:left="0" w:firstLine="420"/>
        <w:rPr>
          <w:rFonts w:ascii="宋体" w:hAnsi="宋体" w:eastAsia="宋体"/>
          <w:bCs/>
        </w:rPr>
      </w:pPr>
      <w:r>
        <w:rPr>
          <w:rFonts w:hint="eastAsia" w:ascii="宋体" w:hAnsi="宋体" w:eastAsia="宋体"/>
          <w:bCs/>
        </w:rPr>
        <w:t>本</w:t>
      </w:r>
      <w:r>
        <w:rPr>
          <w:rFonts w:ascii="宋体" w:hAnsi="宋体" w:eastAsia="宋体"/>
          <w:bCs/>
        </w:rPr>
        <w:t>项目</w:t>
      </w:r>
      <w:r>
        <w:rPr>
          <w:rFonts w:hint="eastAsia" w:ascii="宋体" w:hAnsi="宋体" w:eastAsia="宋体"/>
          <w:bCs/>
        </w:rPr>
        <w:t>中形成的知识产权（包含需求分析、系统设计、软件程序、核心技术、</w:t>
      </w:r>
      <w:r>
        <w:rPr>
          <w:rFonts w:ascii="宋体" w:hAnsi="宋体" w:eastAsia="宋体"/>
          <w:bCs/>
        </w:rPr>
        <w:t>数据</w:t>
      </w:r>
      <w:r>
        <w:rPr>
          <w:rFonts w:hint="eastAsia" w:ascii="宋体" w:hAnsi="宋体" w:eastAsia="宋体"/>
          <w:bCs/>
        </w:rPr>
        <w:t>标准、接口规范、知识库、专有方法、模板、工具包、培训材料、专有数据、技</w:t>
      </w:r>
      <w:r>
        <w:rPr>
          <w:rFonts w:ascii="宋体" w:hAnsi="宋体" w:eastAsia="宋体"/>
          <w:bCs/>
        </w:rPr>
        <w:t>术文档</w:t>
      </w:r>
      <w:r>
        <w:rPr>
          <w:rFonts w:hint="eastAsia" w:ascii="宋体" w:hAnsi="宋体" w:eastAsia="宋体"/>
          <w:bCs/>
        </w:rPr>
        <w:t>、服务模式、</w:t>
      </w:r>
      <w:r>
        <w:rPr>
          <w:rFonts w:ascii="宋体" w:hAnsi="宋体" w:eastAsia="宋体"/>
          <w:bCs/>
        </w:rPr>
        <w:t>运作</w:t>
      </w:r>
      <w:r>
        <w:rPr>
          <w:rFonts w:hint="eastAsia" w:ascii="宋体" w:hAnsi="宋体" w:eastAsia="宋体"/>
          <w:bCs/>
        </w:rPr>
        <w:t>模式、系统建设指南等，但不限于上述形式</w:t>
      </w:r>
      <w:r>
        <w:rPr>
          <w:rFonts w:ascii="宋体" w:hAnsi="宋体" w:eastAsia="宋体"/>
          <w:bCs/>
        </w:rPr>
        <w:t>）</w:t>
      </w:r>
      <w:r>
        <w:rPr>
          <w:rFonts w:hint="eastAsia" w:ascii="宋体" w:hAnsi="宋体" w:eastAsia="宋体"/>
          <w:bCs/>
        </w:rPr>
        <w:t>归建设单位所有。响应供应商向建设单位交付的信息系统已享有知识产权的，建设单位在许可范围内合理使用。</w:t>
      </w:r>
    </w:p>
    <w:p w14:paraId="18075331">
      <w:pPr>
        <w:numPr>
          <w:ilvl w:val="0"/>
          <w:numId w:val="11"/>
        </w:numPr>
        <w:adjustRightInd w:val="0"/>
        <w:snapToGrid w:val="0"/>
        <w:ind w:left="0" w:firstLine="420"/>
        <w:rPr>
          <w:rFonts w:ascii="宋体" w:hAnsi="宋体" w:eastAsia="宋体"/>
          <w:bCs/>
        </w:rPr>
      </w:pPr>
      <w:r>
        <w:rPr>
          <w:rFonts w:hint="eastAsia" w:ascii="宋体" w:hAnsi="宋体" w:eastAsia="宋体"/>
          <w:bCs/>
        </w:rPr>
        <w:t>本</w:t>
      </w:r>
      <w:r>
        <w:rPr>
          <w:rFonts w:ascii="宋体" w:hAnsi="宋体" w:eastAsia="宋体"/>
          <w:bCs/>
        </w:rPr>
        <w:t>项目</w:t>
      </w:r>
      <w:r>
        <w:rPr>
          <w:rFonts w:hint="eastAsia" w:ascii="宋体" w:hAnsi="宋体" w:eastAsia="宋体"/>
          <w:bCs/>
        </w:rPr>
        <w:t>中形成的知识产权的申请权、所有权与利益（包括：专利权、商标权、著作权、</w:t>
      </w:r>
      <w:r>
        <w:fldChar w:fldCharType="begin"/>
      </w:r>
      <w:r>
        <w:instrText xml:space="preserve"> HYPERLINK "http://www.baidu.com/s?wd=%E5%95%86%E4%B8%9A%E7%A7%98%E5%AF%86&amp;tn=44039180_cpr&amp;fenlei=mv6quAkxTZn0IZRqIHckPjm4nH00T1Y3nhDdrHIhPWu-uWR3mH030ZwV5Hcvrjm3rH6sPfKWUMw85HfYnjn4nH6sgvPsT6KdThsqpZwYTjCEQLGCpyw9Uz4Bmy-bIi4WUvYETgN-TLwGUv3ErHn3rjTvnHc1PjcsrjfYPjRz" \t "_blank" </w:instrText>
      </w:r>
      <w:r>
        <w:fldChar w:fldCharType="separate"/>
      </w:r>
      <w:r>
        <w:rPr>
          <w:rFonts w:hint="eastAsia" w:ascii="宋体" w:hAnsi="宋体" w:eastAsia="宋体"/>
          <w:bCs/>
        </w:rPr>
        <w:t>商业秘密</w:t>
      </w:r>
      <w:r>
        <w:rPr>
          <w:rFonts w:hint="eastAsia" w:ascii="宋体" w:hAnsi="宋体" w:eastAsia="宋体"/>
          <w:bCs/>
        </w:rPr>
        <w:fldChar w:fldCharType="end"/>
      </w:r>
      <w:r>
        <w:rPr>
          <w:rFonts w:hint="eastAsia" w:ascii="宋体" w:hAnsi="宋体" w:eastAsia="宋体"/>
          <w:bCs/>
        </w:rPr>
        <w:t>专有权等，</w:t>
      </w:r>
      <w:r>
        <w:rPr>
          <w:rFonts w:ascii="宋体" w:hAnsi="宋体" w:eastAsia="宋体"/>
          <w:bCs/>
        </w:rPr>
        <w:t>但</w:t>
      </w:r>
      <w:r>
        <w:rPr>
          <w:rFonts w:hint="eastAsia" w:ascii="宋体" w:hAnsi="宋体" w:eastAsia="宋体"/>
          <w:bCs/>
        </w:rPr>
        <w:t>不限于上述权益的申请权）归建设单位所有。未经建设单位书面同意，响应供应商不得以任何形式申请。</w:t>
      </w:r>
    </w:p>
    <w:p w14:paraId="58691635">
      <w:pPr>
        <w:numPr>
          <w:ilvl w:val="0"/>
          <w:numId w:val="11"/>
        </w:numPr>
        <w:adjustRightInd w:val="0"/>
        <w:snapToGrid w:val="0"/>
        <w:ind w:left="0" w:firstLine="420"/>
        <w:rPr>
          <w:rFonts w:ascii="宋体" w:hAnsi="宋体" w:eastAsia="宋体"/>
          <w:bCs/>
        </w:rPr>
      </w:pPr>
      <w:r>
        <w:rPr>
          <w:rFonts w:hint="eastAsia" w:ascii="宋体" w:hAnsi="宋体" w:eastAsia="宋体"/>
          <w:bCs/>
        </w:rPr>
        <w:t>响应供应商不得以任何形式侵害本项目中形成的知识产权。未经建设单位书面同意，响应供应商不得以任何形式提供或出售给同行业</w:t>
      </w:r>
      <w:r>
        <w:rPr>
          <w:rFonts w:ascii="宋体" w:hAnsi="宋体" w:eastAsia="宋体"/>
          <w:bCs/>
        </w:rPr>
        <w:t>/同性质单位使用。若发生侵害行为，响应供应商则全额赔付建设单位本项目中标金额以及响应供应商通过侵害行为获得的全部收益。</w:t>
      </w:r>
    </w:p>
    <w:p w14:paraId="1F7BEF5F">
      <w:pPr>
        <w:numPr>
          <w:ilvl w:val="0"/>
          <w:numId w:val="11"/>
        </w:numPr>
        <w:adjustRightInd w:val="0"/>
        <w:snapToGrid w:val="0"/>
        <w:ind w:left="0" w:firstLine="420"/>
        <w:rPr>
          <w:rFonts w:ascii="宋体" w:hAnsi="宋体" w:eastAsia="宋体"/>
          <w:bCs/>
        </w:rPr>
      </w:pPr>
      <w:r>
        <w:rPr>
          <w:rFonts w:hint="eastAsia" w:ascii="宋体" w:hAnsi="宋体" w:eastAsia="宋体"/>
          <w:bCs/>
        </w:rPr>
        <w:t>没有建设单位明示的书面同意，响应供应商不能作出关于本</w:t>
      </w:r>
      <w:r>
        <w:rPr>
          <w:rFonts w:ascii="宋体" w:hAnsi="宋体" w:eastAsia="宋体"/>
          <w:bCs/>
        </w:rPr>
        <w:t>项目</w:t>
      </w:r>
      <w:r>
        <w:rPr>
          <w:rFonts w:hint="eastAsia" w:ascii="宋体" w:hAnsi="宋体" w:eastAsia="宋体"/>
          <w:bCs/>
        </w:rPr>
        <w:t>或者其条款的任何新闻公告、媒体宣传或其他形式的公开披露。</w:t>
      </w:r>
    </w:p>
    <w:p w14:paraId="4EBA3C1F">
      <w:pPr>
        <w:numPr>
          <w:ilvl w:val="0"/>
          <w:numId w:val="11"/>
        </w:numPr>
        <w:adjustRightInd w:val="0"/>
        <w:snapToGrid w:val="0"/>
        <w:ind w:left="0" w:firstLine="420"/>
        <w:rPr>
          <w:rFonts w:ascii="宋体" w:hAnsi="宋体" w:eastAsia="宋体"/>
          <w:bCs/>
        </w:rPr>
      </w:pPr>
      <w:r>
        <w:rPr>
          <w:rFonts w:hint="eastAsia" w:ascii="宋体" w:hAnsi="宋体" w:eastAsia="宋体"/>
          <w:bCs/>
        </w:rPr>
        <w:t>响应供应商提供的产品和服务等不得侵犯任何第三方的知识产权。若发生侵权行为，一切法律责任、</w:t>
      </w:r>
      <w:r>
        <w:rPr>
          <w:rFonts w:ascii="宋体" w:hAnsi="宋体" w:eastAsia="宋体"/>
          <w:bCs/>
        </w:rPr>
        <w:t>后果</w:t>
      </w:r>
      <w:r>
        <w:rPr>
          <w:rFonts w:hint="eastAsia" w:ascii="宋体" w:hAnsi="宋体" w:eastAsia="宋体"/>
          <w:bCs/>
        </w:rPr>
        <w:t>及损失均由响应供应商承担，建设单位不承担任何法律责任及后果，且保留追责权。</w:t>
      </w:r>
    </w:p>
    <w:p w14:paraId="1070E0D1">
      <w:pPr>
        <w:pStyle w:val="6"/>
        <w:rPr>
          <w:sz w:val="21"/>
          <w:szCs w:val="21"/>
        </w:rPr>
      </w:pPr>
      <w:r>
        <w:rPr>
          <w:rFonts w:hint="eastAsia"/>
          <w:sz w:val="21"/>
          <w:szCs w:val="21"/>
        </w:rPr>
        <w:t>保密承诺</w:t>
      </w:r>
    </w:p>
    <w:p w14:paraId="0E913172">
      <w:pPr>
        <w:numPr>
          <w:ilvl w:val="0"/>
          <w:numId w:val="12"/>
        </w:numPr>
        <w:adjustRightInd w:val="0"/>
        <w:snapToGrid w:val="0"/>
        <w:ind w:left="0" w:firstLine="420"/>
        <w:rPr>
          <w:rFonts w:ascii="宋体" w:hAnsi="宋体" w:eastAsia="宋体"/>
          <w:bCs/>
        </w:rPr>
      </w:pPr>
      <w:r>
        <w:rPr>
          <w:rFonts w:hint="eastAsia" w:ascii="宋体" w:hAnsi="宋体" w:eastAsia="宋体"/>
          <w:bCs/>
        </w:rPr>
        <w:t>响应供应商承诺参与本项目的所有服务人员需严格保守与本</w:t>
      </w:r>
      <w:r>
        <w:rPr>
          <w:rFonts w:ascii="宋体" w:hAnsi="宋体" w:eastAsia="宋体"/>
          <w:bCs/>
        </w:rPr>
        <w:t>项目</w:t>
      </w:r>
      <w:r>
        <w:rPr>
          <w:rFonts w:hint="eastAsia" w:ascii="宋体" w:hAnsi="宋体" w:eastAsia="宋体"/>
          <w:bCs/>
        </w:rPr>
        <w:t>有关的技术秘密和商业秘密，任何涉及建设单位及使用单位的信息，包括但不限于数据、特有的功能需求等，未得到建设单位及使用单位的书面同意，不得对任何第三方展示、举例乃至销售，否则响应供应商将承担由此产生的一切后果。</w:t>
      </w:r>
    </w:p>
    <w:p w14:paraId="593EC3D1">
      <w:pPr>
        <w:numPr>
          <w:ilvl w:val="0"/>
          <w:numId w:val="12"/>
        </w:numPr>
        <w:adjustRightInd w:val="0"/>
        <w:snapToGrid w:val="0"/>
        <w:ind w:left="0" w:firstLine="420"/>
        <w:rPr>
          <w:rFonts w:ascii="宋体" w:hAnsi="宋体" w:eastAsia="宋体"/>
          <w:bCs/>
        </w:rPr>
      </w:pPr>
      <w:r>
        <w:rPr>
          <w:rFonts w:hint="eastAsia" w:ascii="宋体" w:hAnsi="宋体" w:eastAsia="宋体"/>
          <w:bCs/>
        </w:rPr>
        <w:t>响应供应商不以实施项目为名，侵害本项目各参与单位的技术、商业秘密或者知识产权。</w:t>
      </w:r>
    </w:p>
    <w:p w14:paraId="1F414F62">
      <w:pPr>
        <w:pStyle w:val="6"/>
        <w:rPr>
          <w:sz w:val="21"/>
          <w:szCs w:val="21"/>
        </w:rPr>
      </w:pPr>
      <w:r>
        <w:rPr>
          <w:rFonts w:hint="eastAsia"/>
          <w:sz w:val="21"/>
          <w:szCs w:val="21"/>
        </w:rPr>
        <w:t>其他要求</w:t>
      </w:r>
    </w:p>
    <w:p w14:paraId="249ABF88">
      <w:pPr>
        <w:adjustRightInd w:val="0"/>
        <w:snapToGrid w:val="0"/>
        <w:ind w:firstLine="422" w:firstLineChars="200"/>
        <w:rPr>
          <w:rFonts w:ascii="宋体" w:hAnsi="宋体" w:eastAsia="宋体"/>
        </w:rPr>
      </w:pPr>
      <w:r>
        <w:rPr>
          <w:rFonts w:hint="eastAsia" w:ascii="宋体" w:hAnsi="宋体" w:eastAsia="宋体"/>
          <w:b/>
        </w:rPr>
        <w:t>报价说明：</w:t>
      </w:r>
      <w:r>
        <w:rPr>
          <w:rFonts w:hint="eastAsia" w:ascii="宋体" w:hAnsi="宋体" w:eastAsia="宋体"/>
        </w:rPr>
        <w:t>本系统所涉及运行的各类模块与现有申康中心相关系统对接开发费用，应包括在本次投报总价中，用户不再另行支付相关费用。</w:t>
      </w:r>
    </w:p>
    <w:p w14:paraId="51374094">
      <w:pPr>
        <w:pStyle w:val="2"/>
        <w:rPr>
          <w:sz w:val="21"/>
          <w:szCs w:val="21"/>
        </w:rPr>
      </w:pPr>
      <w:r>
        <w:rPr>
          <w:rFonts w:hint="eastAsia"/>
          <w:sz w:val="21"/>
          <w:szCs w:val="21"/>
        </w:rPr>
        <w:t>响应供应商要求</w:t>
      </w:r>
    </w:p>
    <w:p w14:paraId="3645A9D4">
      <w:pPr>
        <w:numPr>
          <w:ilvl w:val="0"/>
          <w:numId w:val="13"/>
        </w:numPr>
        <w:adjustRightInd w:val="0"/>
        <w:snapToGrid w:val="0"/>
        <w:ind w:left="0" w:firstLine="420"/>
        <w:rPr>
          <w:rFonts w:ascii="宋体" w:hAnsi="宋体" w:eastAsia="宋体"/>
          <w:bCs/>
        </w:rPr>
      </w:pPr>
      <w:r>
        <w:rPr>
          <w:rFonts w:hint="eastAsia" w:ascii="宋体" w:hAnsi="宋体" w:eastAsia="宋体"/>
          <w:bCs/>
        </w:rPr>
        <w:t>响应供应商需提供相应的技术服务，在满足用户方的应用与需求的前提下，配合完成与相关的系统集成工作。</w:t>
      </w:r>
    </w:p>
    <w:p w14:paraId="1FD724C6">
      <w:pPr>
        <w:numPr>
          <w:ilvl w:val="0"/>
          <w:numId w:val="13"/>
        </w:numPr>
        <w:adjustRightInd w:val="0"/>
        <w:snapToGrid w:val="0"/>
        <w:ind w:left="0" w:firstLine="420"/>
        <w:rPr>
          <w:rFonts w:ascii="宋体" w:hAnsi="宋体" w:eastAsia="宋体"/>
          <w:bCs/>
        </w:rPr>
      </w:pPr>
      <w:r>
        <w:rPr>
          <w:rFonts w:hint="eastAsia" w:ascii="宋体" w:hAnsi="宋体" w:eastAsia="宋体"/>
          <w:bCs/>
        </w:rPr>
        <w:t>响应供应商提供的产品及其配置应该是安全、可靠和成熟的，不是技术上已经或即将淘汰的。</w:t>
      </w:r>
    </w:p>
    <w:p w14:paraId="1FE3B44A">
      <w:pPr>
        <w:numPr>
          <w:ilvl w:val="0"/>
          <w:numId w:val="13"/>
        </w:numPr>
        <w:adjustRightInd w:val="0"/>
        <w:snapToGrid w:val="0"/>
        <w:ind w:left="0" w:firstLine="420"/>
        <w:rPr>
          <w:rFonts w:ascii="宋体" w:hAnsi="宋体" w:eastAsia="宋体"/>
          <w:bCs/>
        </w:rPr>
      </w:pPr>
      <w:r>
        <w:rPr>
          <w:rFonts w:hint="eastAsia" w:ascii="宋体" w:hAnsi="宋体" w:eastAsia="宋体"/>
          <w:bCs/>
        </w:rPr>
        <w:t>响应供应商提供的产品在升级、扩展时不应改变整个系统的结构、通信方式、管理模式，不应破坏应用软件的正常工作环境。</w:t>
      </w:r>
    </w:p>
    <w:p w14:paraId="16985668">
      <w:pPr>
        <w:numPr>
          <w:ilvl w:val="0"/>
          <w:numId w:val="13"/>
        </w:numPr>
        <w:adjustRightInd w:val="0"/>
        <w:snapToGrid w:val="0"/>
        <w:ind w:left="0" w:firstLine="420"/>
        <w:rPr>
          <w:rFonts w:ascii="宋体" w:hAnsi="宋体" w:eastAsia="宋体"/>
          <w:bCs/>
        </w:rPr>
      </w:pPr>
      <w:r>
        <w:rPr>
          <w:rFonts w:hint="eastAsia" w:ascii="宋体" w:hAnsi="宋体" w:eastAsia="宋体"/>
          <w:bCs/>
        </w:rPr>
        <w:t>响应供应商需熟悉“上海市医联工程”整体结构，详细提出在原有系统软硬件架构上进行扩展升级的方案。</w:t>
      </w:r>
    </w:p>
    <w:p w14:paraId="6B197304">
      <w:pPr>
        <w:numPr>
          <w:ilvl w:val="0"/>
          <w:numId w:val="13"/>
        </w:numPr>
        <w:adjustRightInd w:val="0"/>
        <w:snapToGrid w:val="0"/>
        <w:ind w:left="0" w:firstLine="420"/>
        <w:rPr>
          <w:rFonts w:ascii="宋体" w:hAnsi="宋体" w:eastAsia="宋体"/>
          <w:bCs/>
        </w:rPr>
      </w:pPr>
      <w:r>
        <w:rPr>
          <w:rFonts w:hint="eastAsia" w:ascii="宋体" w:hAnsi="宋体" w:eastAsia="宋体"/>
          <w:bCs/>
        </w:rPr>
        <w:t>响应供应商应该保证所提供的所有产品皆不侵犯任何第三方的版权、知识产权和其他合法权利。</w:t>
      </w:r>
    </w:p>
    <w:p w14:paraId="3450A5BA">
      <w:pPr>
        <w:numPr>
          <w:ilvl w:val="0"/>
          <w:numId w:val="13"/>
        </w:numPr>
        <w:adjustRightInd w:val="0"/>
        <w:snapToGrid w:val="0"/>
        <w:ind w:left="0" w:firstLine="420"/>
        <w:rPr>
          <w:rFonts w:ascii="宋体" w:hAnsi="宋体" w:eastAsia="宋体"/>
          <w:bCs/>
        </w:rPr>
      </w:pPr>
      <w:r>
        <w:rPr>
          <w:rFonts w:ascii="宋体" w:hAnsi="宋体" w:eastAsia="宋体"/>
          <w:bCs/>
        </w:rPr>
        <w:t>用户</w:t>
      </w:r>
      <w:r>
        <w:rPr>
          <w:rFonts w:hint="eastAsia" w:ascii="宋体" w:hAnsi="宋体" w:eastAsia="宋体"/>
          <w:bCs/>
        </w:rPr>
        <w:t>可在保证满足</w:t>
      </w:r>
      <w:r>
        <w:rPr>
          <w:rFonts w:ascii="宋体" w:hAnsi="宋体" w:eastAsia="宋体"/>
          <w:bCs/>
        </w:rPr>
        <w:t>本项目应用需求</w:t>
      </w:r>
      <w:r>
        <w:rPr>
          <w:rFonts w:hint="eastAsia" w:ascii="宋体" w:hAnsi="宋体" w:eastAsia="宋体"/>
          <w:bCs/>
        </w:rPr>
        <w:t>的情况下</w:t>
      </w:r>
      <w:r>
        <w:rPr>
          <w:rFonts w:ascii="宋体" w:hAnsi="宋体" w:eastAsia="宋体"/>
          <w:bCs/>
        </w:rPr>
        <w:t>，</w:t>
      </w:r>
      <w:r>
        <w:rPr>
          <w:rFonts w:hint="eastAsia" w:ascii="宋体" w:hAnsi="宋体" w:eastAsia="宋体"/>
          <w:bCs/>
        </w:rPr>
        <w:t>调整</w:t>
      </w:r>
      <w:r>
        <w:rPr>
          <w:rFonts w:ascii="宋体" w:hAnsi="宋体" w:eastAsia="宋体"/>
          <w:bCs/>
        </w:rPr>
        <w:t>上述采购产品的数量和配置。</w:t>
      </w:r>
    </w:p>
    <w:p w14:paraId="1711CDCB">
      <w:pPr>
        <w:numPr>
          <w:ilvl w:val="0"/>
          <w:numId w:val="13"/>
        </w:numPr>
        <w:adjustRightInd w:val="0"/>
        <w:snapToGrid w:val="0"/>
        <w:ind w:left="0" w:firstLine="420"/>
        <w:rPr>
          <w:rFonts w:ascii="宋体" w:hAnsi="宋体" w:eastAsia="宋体"/>
          <w:bCs/>
        </w:rPr>
      </w:pPr>
      <w:r>
        <w:rPr>
          <w:rFonts w:hint="eastAsia" w:ascii="宋体" w:hAnsi="宋体" w:eastAsia="宋体"/>
          <w:bCs/>
        </w:rPr>
        <w:t>具有ISO9001质量管理体系认证证书和</w:t>
      </w:r>
      <w:r>
        <w:rPr>
          <w:rFonts w:hint="eastAsia" w:ascii="宋体" w:hAnsi="宋体" w:eastAsia="宋体"/>
          <w:bCs/>
          <w:lang w:eastAsia="zh-CN"/>
        </w:rPr>
        <w:t>医院成本财务分析等</w:t>
      </w:r>
      <w:r>
        <w:rPr>
          <w:rFonts w:hint="eastAsia" w:ascii="宋体" w:hAnsi="宋体" w:eastAsia="宋体"/>
          <w:bCs/>
        </w:rPr>
        <w:t>信息系统相关自主知识产权的，优先考虑</w:t>
      </w:r>
      <w:r>
        <w:rPr>
          <w:rFonts w:hint="eastAsia" w:ascii="宋体" w:hAnsi="宋体" w:eastAsia="宋体"/>
          <w:bCs/>
          <w:lang w:eastAsia="zh-CN"/>
        </w:rPr>
        <w:t>。</w:t>
      </w:r>
      <w:bookmarkStart w:id="5" w:name="_GoBack"/>
      <w:bookmarkEnd w:id="5"/>
    </w:p>
    <w:sectPr>
      <w:headerReference r:id="rId5" w:type="default"/>
      <w:footerReference r:id="rId6" w:type="default"/>
      <w:footerReference r:id="rId7" w:type="even"/>
      <w:pgSz w:w="11906" w:h="16838"/>
      <w:pgMar w:top="1474" w:right="1418" w:bottom="1247" w:left="1418"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微软雅黑">
    <w:altName w:val="方正黑体_GBK"/>
    <w:panose1 w:val="020B0503020204020204"/>
    <w:charset w:val="86"/>
    <w:family w:val="swiss"/>
    <w:pitch w:val="default"/>
    <w:sig w:usb0="00000000" w:usb1="00000000" w:usb2="00000016" w:usb3="00000000" w:csb0="0004001F" w:csb1="00000000"/>
  </w:font>
  <w:font w:name="等线">
    <w:altName w:val="Noto Sans CJK SC"/>
    <w:panose1 w:val="00000000000000000000"/>
    <w:charset w:val="00"/>
    <w:family w:val="auto"/>
    <w:pitch w:val="default"/>
    <w:sig w:usb0="00000000" w:usb1="00000000" w:usb2="00000000" w:usb3="00000000" w:csb0="00000000"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EC9F">
    <w:pPr>
      <w:pStyle w:val="2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F1BC8">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CF1BC8">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3B98">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273"/>
                          </w:sdtPr>
                          <w:sdtContent>
                            <w:p w14:paraId="3E245D73">
                              <w:pPr>
                                <w:pStyle w:val="24"/>
                                <w:jc w:val="center"/>
                              </w:pPr>
                              <w:r>
                                <w:fldChar w:fldCharType="begin"/>
                              </w:r>
                              <w:r>
                                <w:instrText xml:space="preserve">PAGE   \* MERGEFORMAT</w:instrText>
                              </w:r>
                              <w:r>
                                <w:fldChar w:fldCharType="separate"/>
                              </w:r>
                              <w:r>
                                <w:rPr>
                                  <w:lang w:val="zh-CN"/>
                                </w:rPr>
                                <w:t>12</w:t>
                              </w:r>
                              <w:r>
                                <w:fldChar w:fldCharType="end"/>
                              </w:r>
                            </w:p>
                          </w:sdtContent>
                        </w:sdt>
                        <w:p w14:paraId="42FAC68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2273"/>
                    </w:sdtPr>
                    <w:sdtContent>
                      <w:p w14:paraId="3E245D73">
                        <w:pPr>
                          <w:pStyle w:val="24"/>
                          <w:jc w:val="center"/>
                        </w:pPr>
                        <w:r>
                          <w:fldChar w:fldCharType="begin"/>
                        </w:r>
                        <w:r>
                          <w:instrText xml:space="preserve">PAGE   \* MERGEFORMAT</w:instrText>
                        </w:r>
                        <w:r>
                          <w:fldChar w:fldCharType="separate"/>
                        </w:r>
                        <w:r>
                          <w:rPr>
                            <w:lang w:val="zh-CN"/>
                          </w:rPr>
                          <w:t>12</w:t>
                        </w:r>
                        <w:r>
                          <w:fldChar w:fldCharType="end"/>
                        </w:r>
                      </w:p>
                    </w:sdtContent>
                  </w:sdt>
                  <w:p w14:paraId="42FAC68C"/>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607A">
    <w:pPr>
      <w:pStyle w:val="4"/>
      <w:pBdr>
        <w:bottom w:val="none" w:color="auto" w:sz="0" w:space="1"/>
      </w:pBdr>
      <w:snapToGrid w:val="0"/>
      <w:spacing w:line="240" w:lineRule="auto"/>
      <w:ind w:firstLine="480"/>
      <w:jc w:val="right"/>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multilevel"/>
    <w:tmpl w:val="00000026"/>
    <w:lvl w:ilvl="0" w:tentative="0">
      <w:start w:val="1"/>
      <w:numFmt w:val="bullet"/>
      <w:lvlText w:val=""/>
      <w:lvlJc w:val="left"/>
      <w:pPr>
        <w:tabs>
          <w:tab w:val="left" w:pos="-375"/>
        </w:tabs>
        <w:ind w:left="181" w:hanging="840"/>
      </w:pPr>
      <w:rPr>
        <w:rFonts w:hint="default" w:ascii="Wingdings" w:hAnsi="Wingdings"/>
      </w:rPr>
    </w:lvl>
    <w:lvl w:ilvl="1" w:tentative="0">
      <w:start w:val="1"/>
      <w:numFmt w:val="decimal"/>
      <w:lvlText w:val="%2)"/>
      <w:lvlJc w:val="left"/>
      <w:pPr>
        <w:tabs>
          <w:tab w:val="left" w:pos="181"/>
        </w:tabs>
        <w:ind w:left="181" w:hanging="420"/>
      </w:pPr>
      <w:rPr>
        <w:rFonts w:hint="default"/>
      </w:rPr>
    </w:lvl>
    <w:lvl w:ilvl="2" w:tentative="0">
      <w:start w:val="1"/>
      <w:numFmt w:val="bullet"/>
      <w:lvlText w:val=""/>
      <w:lvlJc w:val="left"/>
      <w:pPr>
        <w:tabs>
          <w:tab w:val="left" w:pos="465"/>
        </w:tabs>
        <w:ind w:left="1021" w:hanging="840"/>
      </w:pPr>
      <w:rPr>
        <w:rFonts w:hint="default" w:ascii="Wingdings" w:hAnsi="Wingdings"/>
      </w:rPr>
    </w:lvl>
    <w:lvl w:ilvl="3" w:tentative="0">
      <w:start w:val="1"/>
      <w:numFmt w:val="decimal"/>
      <w:lvlText w:val="%4)"/>
      <w:lvlJc w:val="left"/>
      <w:pPr>
        <w:tabs>
          <w:tab w:val="left" w:pos="1021"/>
        </w:tabs>
        <w:ind w:left="1021" w:hanging="420"/>
      </w:pPr>
      <w:rPr>
        <w:rFonts w:hint="default"/>
      </w:rPr>
    </w:lvl>
    <w:lvl w:ilvl="4" w:tentative="0">
      <w:start w:val="1"/>
      <w:numFmt w:val="decimal"/>
      <w:lvlText w:val="%5)"/>
      <w:lvlJc w:val="left"/>
      <w:pPr>
        <w:ind w:left="786" w:hanging="360"/>
      </w:pPr>
      <w:rPr>
        <w:rFonts w:hint="default" w:ascii="宋体" w:hAnsi="宋体" w:cs="Times New Roman"/>
        <w:color w:val="auto"/>
      </w:rPr>
    </w:lvl>
    <w:lvl w:ilvl="5" w:tentative="0">
      <w:start w:val="1"/>
      <w:numFmt w:val="bullet"/>
      <w:lvlText w:val=""/>
      <w:lvlJc w:val="left"/>
      <w:pPr>
        <w:tabs>
          <w:tab w:val="left" w:pos="1861"/>
        </w:tabs>
        <w:ind w:left="1861" w:hanging="420"/>
      </w:pPr>
      <w:rPr>
        <w:rFonts w:hint="default" w:ascii="Wingdings" w:hAnsi="Wingdings"/>
      </w:rPr>
    </w:lvl>
    <w:lvl w:ilvl="6" w:tentative="0">
      <w:start w:val="1"/>
      <w:numFmt w:val="bullet"/>
      <w:lvlText w:val=""/>
      <w:lvlJc w:val="left"/>
      <w:pPr>
        <w:tabs>
          <w:tab w:val="left" w:pos="2281"/>
        </w:tabs>
        <w:ind w:left="2281" w:hanging="420"/>
      </w:pPr>
      <w:rPr>
        <w:rFonts w:hint="default" w:ascii="Wingdings" w:hAnsi="Wingdings"/>
      </w:rPr>
    </w:lvl>
    <w:lvl w:ilvl="7" w:tentative="0">
      <w:start w:val="1"/>
      <w:numFmt w:val="bullet"/>
      <w:lvlText w:val=""/>
      <w:lvlJc w:val="left"/>
      <w:pPr>
        <w:tabs>
          <w:tab w:val="left" w:pos="2701"/>
        </w:tabs>
        <w:ind w:left="2701" w:hanging="420"/>
      </w:pPr>
      <w:rPr>
        <w:rFonts w:hint="default" w:ascii="Wingdings" w:hAnsi="Wingdings"/>
      </w:rPr>
    </w:lvl>
    <w:lvl w:ilvl="8" w:tentative="0">
      <w:start w:val="1"/>
      <w:numFmt w:val="bullet"/>
      <w:lvlText w:val=""/>
      <w:lvlJc w:val="left"/>
      <w:pPr>
        <w:tabs>
          <w:tab w:val="left" w:pos="3121"/>
        </w:tabs>
        <w:ind w:left="3121" w:hanging="420"/>
      </w:pPr>
      <w:rPr>
        <w:rFonts w:hint="default" w:ascii="Wingdings" w:hAnsi="Wingdings"/>
      </w:rPr>
    </w:lvl>
  </w:abstractNum>
  <w:abstractNum w:abstractNumId="1">
    <w:nsid w:val="00000028"/>
    <w:multiLevelType w:val="multilevel"/>
    <w:tmpl w:val="0000002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085436BB"/>
    <w:multiLevelType w:val="multilevel"/>
    <w:tmpl w:val="085436B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C2A4B90"/>
    <w:multiLevelType w:val="multilevel"/>
    <w:tmpl w:val="0C2A4B90"/>
    <w:lvl w:ilvl="0" w:tentative="0">
      <w:start w:val="1"/>
      <w:numFmt w:val="decimal"/>
      <w:lvlText w:val="%1."/>
      <w:lvlJc w:val="left"/>
      <w:pPr>
        <w:ind w:left="6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C4279E8"/>
    <w:multiLevelType w:val="multilevel"/>
    <w:tmpl w:val="0C4279E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5">
    <w:nsid w:val="14DE4A01"/>
    <w:multiLevelType w:val="multilevel"/>
    <w:tmpl w:val="14DE4A01"/>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6">
    <w:nsid w:val="1E7E072C"/>
    <w:multiLevelType w:val="multilevel"/>
    <w:tmpl w:val="1E7E07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12802A6"/>
    <w:multiLevelType w:val="multilevel"/>
    <w:tmpl w:val="312802A6"/>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BDA5A51"/>
    <w:multiLevelType w:val="multilevel"/>
    <w:tmpl w:val="3BDA5A51"/>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B9D0C99"/>
    <w:multiLevelType w:val="multilevel"/>
    <w:tmpl w:val="4B9D0C99"/>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0">
    <w:nsid w:val="626048B5"/>
    <w:multiLevelType w:val="multilevel"/>
    <w:tmpl w:val="626048B5"/>
    <w:lvl w:ilvl="0" w:tentative="0">
      <w:start w:val="1"/>
      <w:numFmt w:val="decimal"/>
      <w:lvlText w:val="%1)"/>
      <w:lvlJc w:val="left"/>
      <w:pPr>
        <w:ind w:left="425" w:hanging="425"/>
      </w:pPr>
    </w:lvl>
    <w:lvl w:ilvl="1" w:tentative="0">
      <w:start w:val="1"/>
      <w:numFmt w:val="decimal"/>
      <w:lvlText w:val="5.%2."/>
      <w:lvlJc w:val="left"/>
      <w:pPr>
        <w:ind w:left="567" w:hanging="567"/>
      </w:pPr>
      <w:rPr>
        <w:rFonts w:hint="eastAsia"/>
      </w:rPr>
    </w:lvl>
    <w:lvl w:ilvl="2" w:tentative="0">
      <w:start w:val="1"/>
      <w:numFmt w:val="decimal"/>
      <w:lvlText w:val="5.2.%3."/>
      <w:lvlJc w:val="left"/>
      <w:pPr>
        <w:ind w:left="709" w:hanging="709"/>
      </w:pPr>
      <w:rPr>
        <w:rFonts w:hint="eastAsia"/>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639C1F49"/>
    <w:multiLevelType w:val="multilevel"/>
    <w:tmpl w:val="639C1F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67409AD"/>
    <w:multiLevelType w:val="multilevel"/>
    <w:tmpl w:val="767409AD"/>
    <w:lvl w:ilvl="0" w:tentative="0">
      <w:start w:val="1"/>
      <w:numFmt w:val="decimal"/>
      <w:pStyle w:val="2"/>
      <w:suff w:val="space"/>
      <w:lvlText w:val="%1"/>
      <w:lvlJc w:val="left"/>
      <w:pPr>
        <w:ind w:left="0" w:firstLine="0"/>
      </w:pPr>
      <w:rPr>
        <w:rFonts w:hint="eastAsia"/>
      </w:rPr>
    </w:lvl>
    <w:lvl w:ilvl="1" w:tentative="0">
      <w:start w:val="1"/>
      <w:numFmt w:val="decimal"/>
      <w:pStyle w:val="6"/>
      <w:isLgl/>
      <w:suff w:val="space"/>
      <w:lvlText w:val="%1.%2"/>
      <w:lvlJc w:val="left"/>
      <w:pPr>
        <w:ind w:left="1986" w:firstLine="0"/>
      </w:pPr>
      <w:rPr>
        <w:rFonts w:hint="eastAsia"/>
      </w:rPr>
    </w:lvl>
    <w:lvl w:ilvl="2" w:tentative="0">
      <w:start w:val="1"/>
      <w:numFmt w:val="decimal"/>
      <w:pStyle w:val="7"/>
      <w:isLgl/>
      <w:suff w:val="space"/>
      <w:lvlText w:val="%1.%2.%3"/>
      <w:lvlJc w:val="left"/>
      <w:pPr>
        <w:ind w:left="4536" w:firstLine="0"/>
      </w:pPr>
      <w:rPr>
        <w:rFonts w:hint="eastAsia"/>
        <w:color w:val="auto"/>
      </w:rPr>
    </w:lvl>
    <w:lvl w:ilvl="3" w:tentative="0">
      <w:start w:val="1"/>
      <w:numFmt w:val="decimal"/>
      <w:pStyle w:val="8"/>
      <w:isLgl/>
      <w:suff w:val="space"/>
      <w:lvlText w:val="%1.%2.%3.%4"/>
      <w:lvlJc w:val="left"/>
      <w:pPr>
        <w:ind w:left="2268" w:firstLine="0"/>
      </w:pPr>
      <w:rPr>
        <w:rFonts w:hint="eastAsia"/>
      </w:rPr>
    </w:lvl>
    <w:lvl w:ilvl="4" w:tentative="0">
      <w:start w:val="1"/>
      <w:numFmt w:val="decimal"/>
      <w:pStyle w:val="9"/>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pStyle w:val="12"/>
      <w:isLgl/>
      <w:suff w:val="space"/>
      <w:lvlText w:val="%1.%2.%3.%4.%5.%6.%7"/>
      <w:lvlJc w:val="left"/>
      <w:pPr>
        <w:ind w:left="0" w:firstLine="0"/>
      </w:pPr>
      <w:rPr>
        <w:rFonts w:hint="eastAsia"/>
      </w:rPr>
    </w:lvl>
    <w:lvl w:ilvl="7" w:tentative="0">
      <w:start w:val="1"/>
      <w:numFmt w:val="decimal"/>
      <w:pStyle w:val="13"/>
      <w:isLgl/>
      <w:suff w:val="space"/>
      <w:lvlText w:val="%1.%2.%3.%4.%5.%6.%7.%8"/>
      <w:lvlJc w:val="left"/>
      <w:pPr>
        <w:ind w:left="0" w:firstLine="0"/>
      </w:pPr>
      <w:rPr>
        <w:rFonts w:hint="eastAsia"/>
      </w:rPr>
    </w:lvl>
    <w:lvl w:ilvl="8" w:tentative="0">
      <w:start w:val="1"/>
      <w:numFmt w:val="decimal"/>
      <w:pStyle w:val="14"/>
      <w:isLgl/>
      <w:suff w:val="space"/>
      <w:lvlText w:val="%1.%2.%3.%4.%5.%6.%7.%8.%9"/>
      <w:lvlJc w:val="left"/>
      <w:pPr>
        <w:ind w:left="0" w:firstLine="0"/>
      </w:pPr>
      <w:rPr>
        <w:rFonts w:hint="eastAsia"/>
      </w:rPr>
    </w:lvl>
  </w:abstractNum>
  <w:num w:numId="1">
    <w:abstractNumId w:val="12"/>
  </w:num>
  <w:num w:numId="2">
    <w:abstractNumId w:val="2"/>
  </w:num>
  <w:num w:numId="3">
    <w:abstractNumId w:val="3"/>
  </w:num>
  <w:num w:numId="4">
    <w:abstractNumId w:val="7"/>
  </w:num>
  <w:num w:numId="5">
    <w:abstractNumId w:val="0"/>
  </w:num>
  <w:num w:numId="6">
    <w:abstractNumId w:val="11"/>
  </w:num>
  <w:num w:numId="7">
    <w:abstractNumId w:val="10"/>
  </w:num>
  <w:num w:numId="8">
    <w:abstractNumId w:val="6"/>
  </w:num>
  <w:num w:numId="9">
    <w:abstractNumId w:val="8"/>
  </w:num>
  <w:num w:numId="10">
    <w:abstractNumId w:val="1"/>
  </w:num>
  <w:num w:numId="11">
    <w:abstractNumId w:val="4"/>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s>
  <w:rsids>
    <w:rsidRoot w:val="00A61E41"/>
    <w:rsid w:val="00003D50"/>
    <w:rsid w:val="000046C9"/>
    <w:rsid w:val="00004E2F"/>
    <w:rsid w:val="0000584F"/>
    <w:rsid w:val="00005BEA"/>
    <w:rsid w:val="00010DF2"/>
    <w:rsid w:val="000142EC"/>
    <w:rsid w:val="00014AE9"/>
    <w:rsid w:val="00016F6A"/>
    <w:rsid w:val="00017D4B"/>
    <w:rsid w:val="00017D50"/>
    <w:rsid w:val="0002018F"/>
    <w:rsid w:val="00021B6F"/>
    <w:rsid w:val="00023D0C"/>
    <w:rsid w:val="00025EA3"/>
    <w:rsid w:val="00031769"/>
    <w:rsid w:val="00032F02"/>
    <w:rsid w:val="00034AEC"/>
    <w:rsid w:val="000351B2"/>
    <w:rsid w:val="00040195"/>
    <w:rsid w:val="0004048A"/>
    <w:rsid w:val="0004206E"/>
    <w:rsid w:val="00042597"/>
    <w:rsid w:val="00043626"/>
    <w:rsid w:val="00044910"/>
    <w:rsid w:val="000469EC"/>
    <w:rsid w:val="000505DC"/>
    <w:rsid w:val="00052117"/>
    <w:rsid w:val="000547A5"/>
    <w:rsid w:val="0005623D"/>
    <w:rsid w:val="00056830"/>
    <w:rsid w:val="000568AF"/>
    <w:rsid w:val="00057010"/>
    <w:rsid w:val="000574F2"/>
    <w:rsid w:val="00057573"/>
    <w:rsid w:val="00060935"/>
    <w:rsid w:val="00062F00"/>
    <w:rsid w:val="000638DD"/>
    <w:rsid w:val="00065BEA"/>
    <w:rsid w:val="000663EE"/>
    <w:rsid w:val="00067CB5"/>
    <w:rsid w:val="00071392"/>
    <w:rsid w:val="000732F4"/>
    <w:rsid w:val="000733CA"/>
    <w:rsid w:val="0007370E"/>
    <w:rsid w:val="0007398D"/>
    <w:rsid w:val="00075599"/>
    <w:rsid w:val="00077116"/>
    <w:rsid w:val="00077D37"/>
    <w:rsid w:val="00080162"/>
    <w:rsid w:val="00081396"/>
    <w:rsid w:val="000816F5"/>
    <w:rsid w:val="00081BEC"/>
    <w:rsid w:val="00084781"/>
    <w:rsid w:val="00084FD8"/>
    <w:rsid w:val="00087E56"/>
    <w:rsid w:val="0009105A"/>
    <w:rsid w:val="00091C21"/>
    <w:rsid w:val="0009673B"/>
    <w:rsid w:val="00096CFD"/>
    <w:rsid w:val="000A296F"/>
    <w:rsid w:val="000A43FE"/>
    <w:rsid w:val="000A5781"/>
    <w:rsid w:val="000A6625"/>
    <w:rsid w:val="000A7C5A"/>
    <w:rsid w:val="000A7E48"/>
    <w:rsid w:val="000B20E6"/>
    <w:rsid w:val="000B2B55"/>
    <w:rsid w:val="000B3F58"/>
    <w:rsid w:val="000B70D5"/>
    <w:rsid w:val="000C29CE"/>
    <w:rsid w:val="000C2E72"/>
    <w:rsid w:val="000C3769"/>
    <w:rsid w:val="000C5018"/>
    <w:rsid w:val="000C57A9"/>
    <w:rsid w:val="000C7837"/>
    <w:rsid w:val="000D0C36"/>
    <w:rsid w:val="000D1A54"/>
    <w:rsid w:val="000D2793"/>
    <w:rsid w:val="000D2AC2"/>
    <w:rsid w:val="000D3721"/>
    <w:rsid w:val="000D4403"/>
    <w:rsid w:val="000D53C0"/>
    <w:rsid w:val="000D6AAD"/>
    <w:rsid w:val="000E1A5B"/>
    <w:rsid w:val="000E21F1"/>
    <w:rsid w:val="000E277A"/>
    <w:rsid w:val="000E397B"/>
    <w:rsid w:val="000E5C6A"/>
    <w:rsid w:val="000E7906"/>
    <w:rsid w:val="000F0776"/>
    <w:rsid w:val="000F09B1"/>
    <w:rsid w:val="000F0D0F"/>
    <w:rsid w:val="000F16D2"/>
    <w:rsid w:val="000F179E"/>
    <w:rsid w:val="000F374B"/>
    <w:rsid w:val="000F415A"/>
    <w:rsid w:val="000F447F"/>
    <w:rsid w:val="000F4569"/>
    <w:rsid w:val="000F6767"/>
    <w:rsid w:val="00101F75"/>
    <w:rsid w:val="001023E1"/>
    <w:rsid w:val="00105746"/>
    <w:rsid w:val="00106A97"/>
    <w:rsid w:val="001106C8"/>
    <w:rsid w:val="001111C1"/>
    <w:rsid w:val="001115D0"/>
    <w:rsid w:val="00112669"/>
    <w:rsid w:val="00115042"/>
    <w:rsid w:val="00116622"/>
    <w:rsid w:val="00116E97"/>
    <w:rsid w:val="001206D4"/>
    <w:rsid w:val="00123D7E"/>
    <w:rsid w:val="00123E10"/>
    <w:rsid w:val="00127684"/>
    <w:rsid w:val="00131032"/>
    <w:rsid w:val="0013139B"/>
    <w:rsid w:val="0013272C"/>
    <w:rsid w:val="00140C16"/>
    <w:rsid w:val="00140EFD"/>
    <w:rsid w:val="001411E5"/>
    <w:rsid w:val="00141FE4"/>
    <w:rsid w:val="001431F5"/>
    <w:rsid w:val="001453F4"/>
    <w:rsid w:val="00150135"/>
    <w:rsid w:val="00151360"/>
    <w:rsid w:val="00151E1E"/>
    <w:rsid w:val="00154191"/>
    <w:rsid w:val="00156BF8"/>
    <w:rsid w:val="001578D6"/>
    <w:rsid w:val="0016251A"/>
    <w:rsid w:val="001627B6"/>
    <w:rsid w:val="00164AC8"/>
    <w:rsid w:val="00164E58"/>
    <w:rsid w:val="0016595A"/>
    <w:rsid w:val="001707F2"/>
    <w:rsid w:val="00172C3D"/>
    <w:rsid w:val="00173272"/>
    <w:rsid w:val="00174309"/>
    <w:rsid w:val="001752C6"/>
    <w:rsid w:val="001756CB"/>
    <w:rsid w:val="0017779A"/>
    <w:rsid w:val="0018079A"/>
    <w:rsid w:val="00181050"/>
    <w:rsid w:val="00184540"/>
    <w:rsid w:val="00187DB7"/>
    <w:rsid w:val="00190E56"/>
    <w:rsid w:val="00191930"/>
    <w:rsid w:val="00191D84"/>
    <w:rsid w:val="00192211"/>
    <w:rsid w:val="001932FD"/>
    <w:rsid w:val="001935DF"/>
    <w:rsid w:val="00193671"/>
    <w:rsid w:val="00194B06"/>
    <w:rsid w:val="00195306"/>
    <w:rsid w:val="001968A7"/>
    <w:rsid w:val="001973F1"/>
    <w:rsid w:val="001A144A"/>
    <w:rsid w:val="001A197C"/>
    <w:rsid w:val="001A21B9"/>
    <w:rsid w:val="001A3A32"/>
    <w:rsid w:val="001A560D"/>
    <w:rsid w:val="001A72F3"/>
    <w:rsid w:val="001B08B6"/>
    <w:rsid w:val="001B1753"/>
    <w:rsid w:val="001B2729"/>
    <w:rsid w:val="001B3C09"/>
    <w:rsid w:val="001B5224"/>
    <w:rsid w:val="001B714E"/>
    <w:rsid w:val="001C0B58"/>
    <w:rsid w:val="001C0B8B"/>
    <w:rsid w:val="001C0F50"/>
    <w:rsid w:val="001C1CE0"/>
    <w:rsid w:val="001C2291"/>
    <w:rsid w:val="001C5FA4"/>
    <w:rsid w:val="001C7252"/>
    <w:rsid w:val="001C7593"/>
    <w:rsid w:val="001C7A4C"/>
    <w:rsid w:val="001D0549"/>
    <w:rsid w:val="001D0CD5"/>
    <w:rsid w:val="001D179A"/>
    <w:rsid w:val="001D2803"/>
    <w:rsid w:val="001D356B"/>
    <w:rsid w:val="001D4712"/>
    <w:rsid w:val="001D5E5A"/>
    <w:rsid w:val="001D6164"/>
    <w:rsid w:val="001E0204"/>
    <w:rsid w:val="001E0B73"/>
    <w:rsid w:val="001E16D2"/>
    <w:rsid w:val="001E23C9"/>
    <w:rsid w:val="001E2AFD"/>
    <w:rsid w:val="001E2F52"/>
    <w:rsid w:val="001E5C2A"/>
    <w:rsid w:val="001E70C0"/>
    <w:rsid w:val="001E773F"/>
    <w:rsid w:val="001F2FBB"/>
    <w:rsid w:val="001F7177"/>
    <w:rsid w:val="001F7481"/>
    <w:rsid w:val="00204DAC"/>
    <w:rsid w:val="00205F0E"/>
    <w:rsid w:val="0020648F"/>
    <w:rsid w:val="0020730B"/>
    <w:rsid w:val="00210D2A"/>
    <w:rsid w:val="00213BDF"/>
    <w:rsid w:val="0021420C"/>
    <w:rsid w:val="00215E0F"/>
    <w:rsid w:val="00216A65"/>
    <w:rsid w:val="00216B27"/>
    <w:rsid w:val="002215D7"/>
    <w:rsid w:val="00222E61"/>
    <w:rsid w:val="00222F2A"/>
    <w:rsid w:val="00223AA3"/>
    <w:rsid w:val="00224D13"/>
    <w:rsid w:val="002271A9"/>
    <w:rsid w:val="00230C2C"/>
    <w:rsid w:val="00230FA1"/>
    <w:rsid w:val="00232F80"/>
    <w:rsid w:val="00234D5B"/>
    <w:rsid w:val="00235029"/>
    <w:rsid w:val="002353B5"/>
    <w:rsid w:val="002359F2"/>
    <w:rsid w:val="00236BFF"/>
    <w:rsid w:val="00237A60"/>
    <w:rsid w:val="0024091E"/>
    <w:rsid w:val="00241EE0"/>
    <w:rsid w:val="002438E1"/>
    <w:rsid w:val="002448D8"/>
    <w:rsid w:val="00245C66"/>
    <w:rsid w:val="002463F4"/>
    <w:rsid w:val="00247401"/>
    <w:rsid w:val="00247439"/>
    <w:rsid w:val="00247A6B"/>
    <w:rsid w:val="002520FA"/>
    <w:rsid w:val="002524C3"/>
    <w:rsid w:val="00255739"/>
    <w:rsid w:val="002612ED"/>
    <w:rsid w:val="00263539"/>
    <w:rsid w:val="002647AD"/>
    <w:rsid w:val="002654A3"/>
    <w:rsid w:val="002660B0"/>
    <w:rsid w:val="002668A1"/>
    <w:rsid w:val="00266D75"/>
    <w:rsid w:val="00267C88"/>
    <w:rsid w:val="002700D4"/>
    <w:rsid w:val="00270984"/>
    <w:rsid w:val="00270F87"/>
    <w:rsid w:val="00273527"/>
    <w:rsid w:val="00275421"/>
    <w:rsid w:val="00277160"/>
    <w:rsid w:val="002819C2"/>
    <w:rsid w:val="00281A87"/>
    <w:rsid w:val="00282115"/>
    <w:rsid w:val="00286EF5"/>
    <w:rsid w:val="00287552"/>
    <w:rsid w:val="002920D3"/>
    <w:rsid w:val="002931F5"/>
    <w:rsid w:val="002934AB"/>
    <w:rsid w:val="0029440F"/>
    <w:rsid w:val="00294736"/>
    <w:rsid w:val="002967A3"/>
    <w:rsid w:val="0029691A"/>
    <w:rsid w:val="002A0A30"/>
    <w:rsid w:val="002A27AC"/>
    <w:rsid w:val="002A2E4C"/>
    <w:rsid w:val="002A3344"/>
    <w:rsid w:val="002A3AF5"/>
    <w:rsid w:val="002A4548"/>
    <w:rsid w:val="002A51BE"/>
    <w:rsid w:val="002A77AF"/>
    <w:rsid w:val="002B1BA8"/>
    <w:rsid w:val="002B7215"/>
    <w:rsid w:val="002C01B4"/>
    <w:rsid w:val="002C043E"/>
    <w:rsid w:val="002C1B97"/>
    <w:rsid w:val="002C24FA"/>
    <w:rsid w:val="002C3724"/>
    <w:rsid w:val="002C57C8"/>
    <w:rsid w:val="002C5DE9"/>
    <w:rsid w:val="002C7E81"/>
    <w:rsid w:val="002D64F1"/>
    <w:rsid w:val="002D6D99"/>
    <w:rsid w:val="002D7BA5"/>
    <w:rsid w:val="002E0500"/>
    <w:rsid w:val="002E0680"/>
    <w:rsid w:val="002E1724"/>
    <w:rsid w:val="002E18F0"/>
    <w:rsid w:val="002E3109"/>
    <w:rsid w:val="002E69D8"/>
    <w:rsid w:val="002F2AE5"/>
    <w:rsid w:val="002F5247"/>
    <w:rsid w:val="002F7452"/>
    <w:rsid w:val="002F7AD6"/>
    <w:rsid w:val="002F7CAA"/>
    <w:rsid w:val="0030124A"/>
    <w:rsid w:val="003017A5"/>
    <w:rsid w:val="00301FE1"/>
    <w:rsid w:val="003021BD"/>
    <w:rsid w:val="003035A0"/>
    <w:rsid w:val="00303635"/>
    <w:rsid w:val="00303C5C"/>
    <w:rsid w:val="00305F53"/>
    <w:rsid w:val="003062DC"/>
    <w:rsid w:val="00307DE2"/>
    <w:rsid w:val="00310070"/>
    <w:rsid w:val="00310CD8"/>
    <w:rsid w:val="00311C91"/>
    <w:rsid w:val="00312655"/>
    <w:rsid w:val="00313E99"/>
    <w:rsid w:val="00313ECE"/>
    <w:rsid w:val="00316367"/>
    <w:rsid w:val="00316F21"/>
    <w:rsid w:val="0031763F"/>
    <w:rsid w:val="003216E6"/>
    <w:rsid w:val="003242A1"/>
    <w:rsid w:val="003260E4"/>
    <w:rsid w:val="0032633C"/>
    <w:rsid w:val="0032678A"/>
    <w:rsid w:val="00326DB6"/>
    <w:rsid w:val="003276E3"/>
    <w:rsid w:val="003279CF"/>
    <w:rsid w:val="0033008B"/>
    <w:rsid w:val="00330949"/>
    <w:rsid w:val="003341E6"/>
    <w:rsid w:val="00335CFC"/>
    <w:rsid w:val="00340E72"/>
    <w:rsid w:val="0034113C"/>
    <w:rsid w:val="00342466"/>
    <w:rsid w:val="0034368E"/>
    <w:rsid w:val="00345377"/>
    <w:rsid w:val="00345D7B"/>
    <w:rsid w:val="00346EE0"/>
    <w:rsid w:val="0035047C"/>
    <w:rsid w:val="003524BD"/>
    <w:rsid w:val="00352D14"/>
    <w:rsid w:val="00353890"/>
    <w:rsid w:val="00353D87"/>
    <w:rsid w:val="003541F9"/>
    <w:rsid w:val="0035650B"/>
    <w:rsid w:val="00357BAC"/>
    <w:rsid w:val="00357EFB"/>
    <w:rsid w:val="0036155B"/>
    <w:rsid w:val="003625AD"/>
    <w:rsid w:val="003639CA"/>
    <w:rsid w:val="00364254"/>
    <w:rsid w:val="00364FAD"/>
    <w:rsid w:val="00366321"/>
    <w:rsid w:val="00366C5E"/>
    <w:rsid w:val="003673DA"/>
    <w:rsid w:val="00367AB4"/>
    <w:rsid w:val="00367D25"/>
    <w:rsid w:val="00370D11"/>
    <w:rsid w:val="00370DB5"/>
    <w:rsid w:val="003743CE"/>
    <w:rsid w:val="00374BFA"/>
    <w:rsid w:val="00374E33"/>
    <w:rsid w:val="003758F4"/>
    <w:rsid w:val="003772C7"/>
    <w:rsid w:val="00377DB7"/>
    <w:rsid w:val="0038015D"/>
    <w:rsid w:val="003826A0"/>
    <w:rsid w:val="00385545"/>
    <w:rsid w:val="0038566C"/>
    <w:rsid w:val="00385A03"/>
    <w:rsid w:val="003870F8"/>
    <w:rsid w:val="003914D8"/>
    <w:rsid w:val="0039177C"/>
    <w:rsid w:val="00392C27"/>
    <w:rsid w:val="00393D3D"/>
    <w:rsid w:val="00394109"/>
    <w:rsid w:val="00394A78"/>
    <w:rsid w:val="00394A90"/>
    <w:rsid w:val="00397BA1"/>
    <w:rsid w:val="003A097D"/>
    <w:rsid w:val="003A408E"/>
    <w:rsid w:val="003A4828"/>
    <w:rsid w:val="003A6329"/>
    <w:rsid w:val="003A676A"/>
    <w:rsid w:val="003A6B16"/>
    <w:rsid w:val="003B04FD"/>
    <w:rsid w:val="003B1E63"/>
    <w:rsid w:val="003B2A08"/>
    <w:rsid w:val="003B38EA"/>
    <w:rsid w:val="003B5B19"/>
    <w:rsid w:val="003B5DE2"/>
    <w:rsid w:val="003B74EB"/>
    <w:rsid w:val="003C4131"/>
    <w:rsid w:val="003C476E"/>
    <w:rsid w:val="003C48FD"/>
    <w:rsid w:val="003D086D"/>
    <w:rsid w:val="003D13E6"/>
    <w:rsid w:val="003D3916"/>
    <w:rsid w:val="003D4425"/>
    <w:rsid w:val="003D4A55"/>
    <w:rsid w:val="003D7B96"/>
    <w:rsid w:val="003E2692"/>
    <w:rsid w:val="003E2DD1"/>
    <w:rsid w:val="003E3685"/>
    <w:rsid w:val="003E469D"/>
    <w:rsid w:val="003E55FA"/>
    <w:rsid w:val="003F0607"/>
    <w:rsid w:val="003F2222"/>
    <w:rsid w:val="003F237E"/>
    <w:rsid w:val="003F2CC1"/>
    <w:rsid w:val="003F2D42"/>
    <w:rsid w:val="003F32DC"/>
    <w:rsid w:val="003F7B52"/>
    <w:rsid w:val="00400F71"/>
    <w:rsid w:val="00402056"/>
    <w:rsid w:val="00402A99"/>
    <w:rsid w:val="00402C58"/>
    <w:rsid w:val="00404219"/>
    <w:rsid w:val="00404B81"/>
    <w:rsid w:val="0040565F"/>
    <w:rsid w:val="00405CC1"/>
    <w:rsid w:val="0041182B"/>
    <w:rsid w:val="004168E2"/>
    <w:rsid w:val="00421BD0"/>
    <w:rsid w:val="004221E0"/>
    <w:rsid w:val="00422418"/>
    <w:rsid w:val="00422B0F"/>
    <w:rsid w:val="00423304"/>
    <w:rsid w:val="0042376C"/>
    <w:rsid w:val="004238BB"/>
    <w:rsid w:val="00424032"/>
    <w:rsid w:val="004248F4"/>
    <w:rsid w:val="00425103"/>
    <w:rsid w:val="004258E3"/>
    <w:rsid w:val="00426322"/>
    <w:rsid w:val="00426722"/>
    <w:rsid w:val="00430DCE"/>
    <w:rsid w:val="00432AA1"/>
    <w:rsid w:val="00432E7F"/>
    <w:rsid w:val="00435E61"/>
    <w:rsid w:val="00436DDF"/>
    <w:rsid w:val="00437D4F"/>
    <w:rsid w:val="00437F82"/>
    <w:rsid w:val="004409FC"/>
    <w:rsid w:val="0044122F"/>
    <w:rsid w:val="004414FB"/>
    <w:rsid w:val="00443BFC"/>
    <w:rsid w:val="00443DCE"/>
    <w:rsid w:val="00443F54"/>
    <w:rsid w:val="00447784"/>
    <w:rsid w:val="00447F76"/>
    <w:rsid w:val="004522B2"/>
    <w:rsid w:val="00453DAD"/>
    <w:rsid w:val="00456022"/>
    <w:rsid w:val="004562B3"/>
    <w:rsid w:val="00463CBF"/>
    <w:rsid w:val="0046596C"/>
    <w:rsid w:val="004675B3"/>
    <w:rsid w:val="0046794F"/>
    <w:rsid w:val="0047113A"/>
    <w:rsid w:val="00471679"/>
    <w:rsid w:val="0047195A"/>
    <w:rsid w:val="00473A53"/>
    <w:rsid w:val="00473CEF"/>
    <w:rsid w:val="00474E57"/>
    <w:rsid w:val="004753D2"/>
    <w:rsid w:val="004769AD"/>
    <w:rsid w:val="00476E5E"/>
    <w:rsid w:val="0047769C"/>
    <w:rsid w:val="00477718"/>
    <w:rsid w:val="00480C6B"/>
    <w:rsid w:val="00481DAC"/>
    <w:rsid w:val="004843A7"/>
    <w:rsid w:val="004864D2"/>
    <w:rsid w:val="00491405"/>
    <w:rsid w:val="00491F0F"/>
    <w:rsid w:val="00493FBB"/>
    <w:rsid w:val="00497557"/>
    <w:rsid w:val="004A0F3A"/>
    <w:rsid w:val="004A14BB"/>
    <w:rsid w:val="004A23D6"/>
    <w:rsid w:val="004A2765"/>
    <w:rsid w:val="004A4109"/>
    <w:rsid w:val="004A6B97"/>
    <w:rsid w:val="004A76A8"/>
    <w:rsid w:val="004B2669"/>
    <w:rsid w:val="004B3C57"/>
    <w:rsid w:val="004B4088"/>
    <w:rsid w:val="004B4BDC"/>
    <w:rsid w:val="004C0EC0"/>
    <w:rsid w:val="004C0ED9"/>
    <w:rsid w:val="004C1DEE"/>
    <w:rsid w:val="004C44A4"/>
    <w:rsid w:val="004C47CC"/>
    <w:rsid w:val="004C742A"/>
    <w:rsid w:val="004D2225"/>
    <w:rsid w:val="004D29AD"/>
    <w:rsid w:val="004D3FDB"/>
    <w:rsid w:val="004D536F"/>
    <w:rsid w:val="004D553E"/>
    <w:rsid w:val="004D7225"/>
    <w:rsid w:val="004E14D7"/>
    <w:rsid w:val="004E39F7"/>
    <w:rsid w:val="004E3B39"/>
    <w:rsid w:val="004E3D2E"/>
    <w:rsid w:val="004E4F35"/>
    <w:rsid w:val="004E50CF"/>
    <w:rsid w:val="004E5C0E"/>
    <w:rsid w:val="004F04E3"/>
    <w:rsid w:val="004F2F21"/>
    <w:rsid w:val="004F333E"/>
    <w:rsid w:val="005006BD"/>
    <w:rsid w:val="005006BF"/>
    <w:rsid w:val="005010E7"/>
    <w:rsid w:val="00501960"/>
    <w:rsid w:val="00501CB6"/>
    <w:rsid w:val="0050363D"/>
    <w:rsid w:val="00503647"/>
    <w:rsid w:val="00505A93"/>
    <w:rsid w:val="0050661E"/>
    <w:rsid w:val="005066C3"/>
    <w:rsid w:val="00506DAB"/>
    <w:rsid w:val="005074E9"/>
    <w:rsid w:val="00510D31"/>
    <w:rsid w:val="00511E49"/>
    <w:rsid w:val="00512B12"/>
    <w:rsid w:val="0051432C"/>
    <w:rsid w:val="0051492E"/>
    <w:rsid w:val="00514A9F"/>
    <w:rsid w:val="00514E51"/>
    <w:rsid w:val="005154C8"/>
    <w:rsid w:val="00515695"/>
    <w:rsid w:val="00515BFF"/>
    <w:rsid w:val="00515E01"/>
    <w:rsid w:val="00516212"/>
    <w:rsid w:val="00521B60"/>
    <w:rsid w:val="005242A3"/>
    <w:rsid w:val="005251B5"/>
    <w:rsid w:val="00525EF8"/>
    <w:rsid w:val="0052731A"/>
    <w:rsid w:val="00530021"/>
    <w:rsid w:val="00530F3C"/>
    <w:rsid w:val="00531E14"/>
    <w:rsid w:val="00531E65"/>
    <w:rsid w:val="00532FEC"/>
    <w:rsid w:val="00535EA8"/>
    <w:rsid w:val="00535F02"/>
    <w:rsid w:val="0053718B"/>
    <w:rsid w:val="005373A2"/>
    <w:rsid w:val="00540DAF"/>
    <w:rsid w:val="005413B1"/>
    <w:rsid w:val="00543C5E"/>
    <w:rsid w:val="005440DC"/>
    <w:rsid w:val="005448EB"/>
    <w:rsid w:val="00547A53"/>
    <w:rsid w:val="0055143F"/>
    <w:rsid w:val="00552041"/>
    <w:rsid w:val="00553328"/>
    <w:rsid w:val="00553D24"/>
    <w:rsid w:val="00555E46"/>
    <w:rsid w:val="0055673F"/>
    <w:rsid w:val="005577C0"/>
    <w:rsid w:val="005604E9"/>
    <w:rsid w:val="005609E5"/>
    <w:rsid w:val="00561E7A"/>
    <w:rsid w:val="00563E91"/>
    <w:rsid w:val="00564A6C"/>
    <w:rsid w:val="00564A78"/>
    <w:rsid w:val="005652E9"/>
    <w:rsid w:val="00565448"/>
    <w:rsid w:val="00565E5E"/>
    <w:rsid w:val="00566478"/>
    <w:rsid w:val="00571069"/>
    <w:rsid w:val="00573E38"/>
    <w:rsid w:val="00576935"/>
    <w:rsid w:val="0057738D"/>
    <w:rsid w:val="00581A2B"/>
    <w:rsid w:val="00581D9E"/>
    <w:rsid w:val="00581E5B"/>
    <w:rsid w:val="00582003"/>
    <w:rsid w:val="00582ED6"/>
    <w:rsid w:val="00583E2A"/>
    <w:rsid w:val="0058454F"/>
    <w:rsid w:val="005845B6"/>
    <w:rsid w:val="00586FE9"/>
    <w:rsid w:val="00587402"/>
    <w:rsid w:val="005901BF"/>
    <w:rsid w:val="00590A50"/>
    <w:rsid w:val="0059135A"/>
    <w:rsid w:val="00593C68"/>
    <w:rsid w:val="00594D77"/>
    <w:rsid w:val="0059547F"/>
    <w:rsid w:val="00596D6F"/>
    <w:rsid w:val="005972C0"/>
    <w:rsid w:val="005A1636"/>
    <w:rsid w:val="005A3A05"/>
    <w:rsid w:val="005A3DA9"/>
    <w:rsid w:val="005A77EA"/>
    <w:rsid w:val="005B3395"/>
    <w:rsid w:val="005B3E72"/>
    <w:rsid w:val="005B457A"/>
    <w:rsid w:val="005B67C9"/>
    <w:rsid w:val="005C22ED"/>
    <w:rsid w:val="005C2C23"/>
    <w:rsid w:val="005C30E3"/>
    <w:rsid w:val="005C317E"/>
    <w:rsid w:val="005C58DA"/>
    <w:rsid w:val="005C71F1"/>
    <w:rsid w:val="005D02F5"/>
    <w:rsid w:val="005D074B"/>
    <w:rsid w:val="005D0962"/>
    <w:rsid w:val="005D1C5E"/>
    <w:rsid w:val="005D2660"/>
    <w:rsid w:val="005D57CA"/>
    <w:rsid w:val="005D5BB0"/>
    <w:rsid w:val="005D620D"/>
    <w:rsid w:val="005D6BA6"/>
    <w:rsid w:val="005D71F1"/>
    <w:rsid w:val="005E035A"/>
    <w:rsid w:val="005E1BE3"/>
    <w:rsid w:val="005E1C00"/>
    <w:rsid w:val="005E1F54"/>
    <w:rsid w:val="005E231C"/>
    <w:rsid w:val="005E44CE"/>
    <w:rsid w:val="005F291B"/>
    <w:rsid w:val="005F3745"/>
    <w:rsid w:val="005F3FAD"/>
    <w:rsid w:val="005F4F00"/>
    <w:rsid w:val="005F591F"/>
    <w:rsid w:val="005F5E03"/>
    <w:rsid w:val="005F5F92"/>
    <w:rsid w:val="005F7BAD"/>
    <w:rsid w:val="00606903"/>
    <w:rsid w:val="00606E03"/>
    <w:rsid w:val="00607E44"/>
    <w:rsid w:val="00610638"/>
    <w:rsid w:val="0061111F"/>
    <w:rsid w:val="0061173E"/>
    <w:rsid w:val="0061292D"/>
    <w:rsid w:val="006135FF"/>
    <w:rsid w:val="00615573"/>
    <w:rsid w:val="00615EDA"/>
    <w:rsid w:val="00620D3C"/>
    <w:rsid w:val="00623069"/>
    <w:rsid w:val="00624148"/>
    <w:rsid w:val="0062593E"/>
    <w:rsid w:val="0062758B"/>
    <w:rsid w:val="00630727"/>
    <w:rsid w:val="0063288D"/>
    <w:rsid w:val="006373CA"/>
    <w:rsid w:val="006423E5"/>
    <w:rsid w:val="00642A6C"/>
    <w:rsid w:val="006441BF"/>
    <w:rsid w:val="00645DEF"/>
    <w:rsid w:val="00650E0E"/>
    <w:rsid w:val="006524F7"/>
    <w:rsid w:val="00652B00"/>
    <w:rsid w:val="00653392"/>
    <w:rsid w:val="0065412D"/>
    <w:rsid w:val="0066024C"/>
    <w:rsid w:val="00661223"/>
    <w:rsid w:val="00661981"/>
    <w:rsid w:val="0066384E"/>
    <w:rsid w:val="006642F5"/>
    <w:rsid w:val="00665D1C"/>
    <w:rsid w:val="0066662A"/>
    <w:rsid w:val="00670332"/>
    <w:rsid w:val="00672CAB"/>
    <w:rsid w:val="00674748"/>
    <w:rsid w:val="00676632"/>
    <w:rsid w:val="0068043E"/>
    <w:rsid w:val="00682126"/>
    <w:rsid w:val="00682783"/>
    <w:rsid w:val="00682CC9"/>
    <w:rsid w:val="00683D1D"/>
    <w:rsid w:val="00684098"/>
    <w:rsid w:val="0068438C"/>
    <w:rsid w:val="006868E8"/>
    <w:rsid w:val="00687B31"/>
    <w:rsid w:val="00692302"/>
    <w:rsid w:val="0069256C"/>
    <w:rsid w:val="00694A37"/>
    <w:rsid w:val="00694D95"/>
    <w:rsid w:val="0069737A"/>
    <w:rsid w:val="006A242C"/>
    <w:rsid w:val="006A2448"/>
    <w:rsid w:val="006A562D"/>
    <w:rsid w:val="006A6454"/>
    <w:rsid w:val="006A6F3E"/>
    <w:rsid w:val="006B04E1"/>
    <w:rsid w:val="006B154C"/>
    <w:rsid w:val="006B52FD"/>
    <w:rsid w:val="006B6BF0"/>
    <w:rsid w:val="006B705F"/>
    <w:rsid w:val="006C22CB"/>
    <w:rsid w:val="006C2B09"/>
    <w:rsid w:val="006C3FCF"/>
    <w:rsid w:val="006C5820"/>
    <w:rsid w:val="006C7CF5"/>
    <w:rsid w:val="006D5087"/>
    <w:rsid w:val="006D593C"/>
    <w:rsid w:val="006D5B46"/>
    <w:rsid w:val="006D7A46"/>
    <w:rsid w:val="006E1114"/>
    <w:rsid w:val="006E174F"/>
    <w:rsid w:val="006E187A"/>
    <w:rsid w:val="006E1C53"/>
    <w:rsid w:val="006E31E2"/>
    <w:rsid w:val="006E44D5"/>
    <w:rsid w:val="006E7526"/>
    <w:rsid w:val="006F0830"/>
    <w:rsid w:val="006F13C9"/>
    <w:rsid w:val="006F1725"/>
    <w:rsid w:val="006F368A"/>
    <w:rsid w:val="006F5091"/>
    <w:rsid w:val="006F5279"/>
    <w:rsid w:val="006F6834"/>
    <w:rsid w:val="00701F93"/>
    <w:rsid w:val="00710A7E"/>
    <w:rsid w:val="00711A0C"/>
    <w:rsid w:val="00713C39"/>
    <w:rsid w:val="00714E67"/>
    <w:rsid w:val="0072038E"/>
    <w:rsid w:val="00721564"/>
    <w:rsid w:val="00721A3E"/>
    <w:rsid w:val="00721DEB"/>
    <w:rsid w:val="00722816"/>
    <w:rsid w:val="007234A5"/>
    <w:rsid w:val="00724099"/>
    <w:rsid w:val="00724CF4"/>
    <w:rsid w:val="007251B5"/>
    <w:rsid w:val="00733465"/>
    <w:rsid w:val="007342B1"/>
    <w:rsid w:val="0073456B"/>
    <w:rsid w:val="00734B97"/>
    <w:rsid w:val="0073524E"/>
    <w:rsid w:val="00737547"/>
    <w:rsid w:val="00737C10"/>
    <w:rsid w:val="00740100"/>
    <w:rsid w:val="00741B2D"/>
    <w:rsid w:val="00743340"/>
    <w:rsid w:val="00744D53"/>
    <w:rsid w:val="00745B7C"/>
    <w:rsid w:val="00745FBC"/>
    <w:rsid w:val="00746357"/>
    <w:rsid w:val="00750E90"/>
    <w:rsid w:val="007521D4"/>
    <w:rsid w:val="007527BC"/>
    <w:rsid w:val="00752FD5"/>
    <w:rsid w:val="00753F7D"/>
    <w:rsid w:val="00755F2D"/>
    <w:rsid w:val="00756853"/>
    <w:rsid w:val="0076303B"/>
    <w:rsid w:val="00763780"/>
    <w:rsid w:val="00764557"/>
    <w:rsid w:val="0076588A"/>
    <w:rsid w:val="00765EC6"/>
    <w:rsid w:val="00767F55"/>
    <w:rsid w:val="00770B48"/>
    <w:rsid w:val="00772034"/>
    <w:rsid w:val="0077750D"/>
    <w:rsid w:val="00777AB6"/>
    <w:rsid w:val="00777F2A"/>
    <w:rsid w:val="007803AD"/>
    <w:rsid w:val="00782FA7"/>
    <w:rsid w:val="007851BD"/>
    <w:rsid w:val="00791EB3"/>
    <w:rsid w:val="00792848"/>
    <w:rsid w:val="00793321"/>
    <w:rsid w:val="007938DC"/>
    <w:rsid w:val="00795140"/>
    <w:rsid w:val="0079716A"/>
    <w:rsid w:val="007A0969"/>
    <w:rsid w:val="007A4D0C"/>
    <w:rsid w:val="007A6086"/>
    <w:rsid w:val="007A6772"/>
    <w:rsid w:val="007A6BB0"/>
    <w:rsid w:val="007A758F"/>
    <w:rsid w:val="007A76CB"/>
    <w:rsid w:val="007A76EE"/>
    <w:rsid w:val="007B1114"/>
    <w:rsid w:val="007B1840"/>
    <w:rsid w:val="007B3A40"/>
    <w:rsid w:val="007B3AB5"/>
    <w:rsid w:val="007B3FBD"/>
    <w:rsid w:val="007B556D"/>
    <w:rsid w:val="007B76E2"/>
    <w:rsid w:val="007C1DAD"/>
    <w:rsid w:val="007C3786"/>
    <w:rsid w:val="007C3F16"/>
    <w:rsid w:val="007C6B7C"/>
    <w:rsid w:val="007D0A5C"/>
    <w:rsid w:val="007D0B89"/>
    <w:rsid w:val="007D1451"/>
    <w:rsid w:val="007D16D8"/>
    <w:rsid w:val="007D16E2"/>
    <w:rsid w:val="007D2BDC"/>
    <w:rsid w:val="007D2CB8"/>
    <w:rsid w:val="007D497F"/>
    <w:rsid w:val="007D49B4"/>
    <w:rsid w:val="007D52D7"/>
    <w:rsid w:val="007D57CB"/>
    <w:rsid w:val="007D68CF"/>
    <w:rsid w:val="007D7101"/>
    <w:rsid w:val="007E19EE"/>
    <w:rsid w:val="007E1C66"/>
    <w:rsid w:val="007E2780"/>
    <w:rsid w:val="007E6389"/>
    <w:rsid w:val="007E7DDE"/>
    <w:rsid w:val="007F0FBE"/>
    <w:rsid w:val="007F1D09"/>
    <w:rsid w:val="007F4222"/>
    <w:rsid w:val="007F58E8"/>
    <w:rsid w:val="007F75C3"/>
    <w:rsid w:val="00800CB3"/>
    <w:rsid w:val="00807A0D"/>
    <w:rsid w:val="0081007D"/>
    <w:rsid w:val="00810A89"/>
    <w:rsid w:val="00810B24"/>
    <w:rsid w:val="008127C4"/>
    <w:rsid w:val="008139A6"/>
    <w:rsid w:val="00813DC6"/>
    <w:rsid w:val="00814A9D"/>
    <w:rsid w:val="00814E96"/>
    <w:rsid w:val="0081752F"/>
    <w:rsid w:val="00820F52"/>
    <w:rsid w:val="00821B77"/>
    <w:rsid w:val="00824A89"/>
    <w:rsid w:val="00825AA1"/>
    <w:rsid w:val="00825FAD"/>
    <w:rsid w:val="008263C1"/>
    <w:rsid w:val="00827421"/>
    <w:rsid w:val="008302AB"/>
    <w:rsid w:val="008428EB"/>
    <w:rsid w:val="0084461C"/>
    <w:rsid w:val="0084464F"/>
    <w:rsid w:val="00847C72"/>
    <w:rsid w:val="00851566"/>
    <w:rsid w:val="008520F1"/>
    <w:rsid w:val="00852DDA"/>
    <w:rsid w:val="008562F1"/>
    <w:rsid w:val="00856CF0"/>
    <w:rsid w:val="00857B19"/>
    <w:rsid w:val="00857C4E"/>
    <w:rsid w:val="008600D8"/>
    <w:rsid w:val="008619E5"/>
    <w:rsid w:val="00862481"/>
    <w:rsid w:val="00862D9D"/>
    <w:rsid w:val="008668BC"/>
    <w:rsid w:val="0086709C"/>
    <w:rsid w:val="0087050F"/>
    <w:rsid w:val="00880CD0"/>
    <w:rsid w:val="0088134F"/>
    <w:rsid w:val="00881ED5"/>
    <w:rsid w:val="00883225"/>
    <w:rsid w:val="0088354F"/>
    <w:rsid w:val="00883D69"/>
    <w:rsid w:val="00884D84"/>
    <w:rsid w:val="00890AB9"/>
    <w:rsid w:val="00891010"/>
    <w:rsid w:val="00891023"/>
    <w:rsid w:val="008919CF"/>
    <w:rsid w:val="00891D9E"/>
    <w:rsid w:val="00893920"/>
    <w:rsid w:val="00893CDE"/>
    <w:rsid w:val="008955C0"/>
    <w:rsid w:val="00895E8A"/>
    <w:rsid w:val="008A5956"/>
    <w:rsid w:val="008A5F00"/>
    <w:rsid w:val="008A66C7"/>
    <w:rsid w:val="008A7DA7"/>
    <w:rsid w:val="008B0B41"/>
    <w:rsid w:val="008B14AC"/>
    <w:rsid w:val="008B1D03"/>
    <w:rsid w:val="008B319B"/>
    <w:rsid w:val="008B388A"/>
    <w:rsid w:val="008B5356"/>
    <w:rsid w:val="008B5BD3"/>
    <w:rsid w:val="008C3CA0"/>
    <w:rsid w:val="008C5435"/>
    <w:rsid w:val="008C7EE2"/>
    <w:rsid w:val="008D19EF"/>
    <w:rsid w:val="008D2B8E"/>
    <w:rsid w:val="008D36C8"/>
    <w:rsid w:val="008D622D"/>
    <w:rsid w:val="008D7AC4"/>
    <w:rsid w:val="008E03E7"/>
    <w:rsid w:val="008E145D"/>
    <w:rsid w:val="008E284C"/>
    <w:rsid w:val="008E3BC1"/>
    <w:rsid w:val="008E44BA"/>
    <w:rsid w:val="008E529F"/>
    <w:rsid w:val="008E62B0"/>
    <w:rsid w:val="008E7AEF"/>
    <w:rsid w:val="008F0B60"/>
    <w:rsid w:val="008F0EE0"/>
    <w:rsid w:val="008F1343"/>
    <w:rsid w:val="008F17A2"/>
    <w:rsid w:val="008F2A0A"/>
    <w:rsid w:val="008F2F50"/>
    <w:rsid w:val="008F3D77"/>
    <w:rsid w:val="008F497E"/>
    <w:rsid w:val="008F4CA4"/>
    <w:rsid w:val="008F4E59"/>
    <w:rsid w:val="008F5819"/>
    <w:rsid w:val="008F675D"/>
    <w:rsid w:val="008F7550"/>
    <w:rsid w:val="008F7645"/>
    <w:rsid w:val="00901EF1"/>
    <w:rsid w:val="00903012"/>
    <w:rsid w:val="0090303E"/>
    <w:rsid w:val="009047F1"/>
    <w:rsid w:val="00905410"/>
    <w:rsid w:val="00905E2E"/>
    <w:rsid w:val="00905FD5"/>
    <w:rsid w:val="009061FA"/>
    <w:rsid w:val="00906EF7"/>
    <w:rsid w:val="00907CF3"/>
    <w:rsid w:val="009103FC"/>
    <w:rsid w:val="0091256E"/>
    <w:rsid w:val="00912C57"/>
    <w:rsid w:val="009145C2"/>
    <w:rsid w:val="00917D6A"/>
    <w:rsid w:val="00920DE1"/>
    <w:rsid w:val="009225F8"/>
    <w:rsid w:val="009239B6"/>
    <w:rsid w:val="0092441B"/>
    <w:rsid w:val="0092773D"/>
    <w:rsid w:val="0092796A"/>
    <w:rsid w:val="00930F7C"/>
    <w:rsid w:val="0093112F"/>
    <w:rsid w:val="009312EE"/>
    <w:rsid w:val="00931DF0"/>
    <w:rsid w:val="00932F64"/>
    <w:rsid w:val="00933647"/>
    <w:rsid w:val="00933B57"/>
    <w:rsid w:val="00934943"/>
    <w:rsid w:val="009358F3"/>
    <w:rsid w:val="00936AD2"/>
    <w:rsid w:val="00937893"/>
    <w:rsid w:val="00940649"/>
    <w:rsid w:val="00940EF9"/>
    <w:rsid w:val="009410BB"/>
    <w:rsid w:val="009448C3"/>
    <w:rsid w:val="00945157"/>
    <w:rsid w:val="0094756C"/>
    <w:rsid w:val="00947CCE"/>
    <w:rsid w:val="009510A8"/>
    <w:rsid w:val="009523C8"/>
    <w:rsid w:val="0095318E"/>
    <w:rsid w:val="00954CAA"/>
    <w:rsid w:val="00956545"/>
    <w:rsid w:val="00956CCE"/>
    <w:rsid w:val="0096061B"/>
    <w:rsid w:val="009616B5"/>
    <w:rsid w:val="00961D52"/>
    <w:rsid w:val="00962435"/>
    <w:rsid w:val="009624C0"/>
    <w:rsid w:val="00963224"/>
    <w:rsid w:val="009662E5"/>
    <w:rsid w:val="00966EFF"/>
    <w:rsid w:val="00972155"/>
    <w:rsid w:val="009745C4"/>
    <w:rsid w:val="00977049"/>
    <w:rsid w:val="0097716D"/>
    <w:rsid w:val="0098105D"/>
    <w:rsid w:val="009817D2"/>
    <w:rsid w:val="00982164"/>
    <w:rsid w:val="00982B09"/>
    <w:rsid w:val="0098382B"/>
    <w:rsid w:val="009851A6"/>
    <w:rsid w:val="00985C7E"/>
    <w:rsid w:val="00987266"/>
    <w:rsid w:val="00987B18"/>
    <w:rsid w:val="009904EE"/>
    <w:rsid w:val="00990B73"/>
    <w:rsid w:val="009911EB"/>
    <w:rsid w:val="00991B82"/>
    <w:rsid w:val="00992950"/>
    <w:rsid w:val="00993393"/>
    <w:rsid w:val="00993A8F"/>
    <w:rsid w:val="00994F53"/>
    <w:rsid w:val="00996224"/>
    <w:rsid w:val="00996E32"/>
    <w:rsid w:val="00997BFB"/>
    <w:rsid w:val="00997DFD"/>
    <w:rsid w:val="009A19DD"/>
    <w:rsid w:val="009A3300"/>
    <w:rsid w:val="009A3E7B"/>
    <w:rsid w:val="009A413C"/>
    <w:rsid w:val="009A58E9"/>
    <w:rsid w:val="009A5B74"/>
    <w:rsid w:val="009A5E31"/>
    <w:rsid w:val="009A5FEC"/>
    <w:rsid w:val="009A6F9B"/>
    <w:rsid w:val="009A71A0"/>
    <w:rsid w:val="009B29BA"/>
    <w:rsid w:val="009B3E45"/>
    <w:rsid w:val="009B3EF6"/>
    <w:rsid w:val="009B63DF"/>
    <w:rsid w:val="009C0A93"/>
    <w:rsid w:val="009C0C04"/>
    <w:rsid w:val="009C0DB8"/>
    <w:rsid w:val="009C22B1"/>
    <w:rsid w:val="009C3FD9"/>
    <w:rsid w:val="009C4575"/>
    <w:rsid w:val="009C5533"/>
    <w:rsid w:val="009C603C"/>
    <w:rsid w:val="009C7C10"/>
    <w:rsid w:val="009D0020"/>
    <w:rsid w:val="009D421F"/>
    <w:rsid w:val="009D44DE"/>
    <w:rsid w:val="009D61A6"/>
    <w:rsid w:val="009D61D7"/>
    <w:rsid w:val="009D640D"/>
    <w:rsid w:val="009D7B09"/>
    <w:rsid w:val="009E0549"/>
    <w:rsid w:val="009E34A6"/>
    <w:rsid w:val="009E3FA9"/>
    <w:rsid w:val="009E550F"/>
    <w:rsid w:val="009F05D8"/>
    <w:rsid w:val="009F3713"/>
    <w:rsid w:val="009F4C60"/>
    <w:rsid w:val="009F6544"/>
    <w:rsid w:val="00A02340"/>
    <w:rsid w:val="00A02377"/>
    <w:rsid w:val="00A02F93"/>
    <w:rsid w:val="00A03137"/>
    <w:rsid w:val="00A035AF"/>
    <w:rsid w:val="00A06C1A"/>
    <w:rsid w:val="00A06FB1"/>
    <w:rsid w:val="00A108F2"/>
    <w:rsid w:val="00A113F6"/>
    <w:rsid w:val="00A15B75"/>
    <w:rsid w:val="00A2077E"/>
    <w:rsid w:val="00A21843"/>
    <w:rsid w:val="00A23AB0"/>
    <w:rsid w:val="00A23F8B"/>
    <w:rsid w:val="00A25639"/>
    <w:rsid w:val="00A30157"/>
    <w:rsid w:val="00A30B3C"/>
    <w:rsid w:val="00A3105B"/>
    <w:rsid w:val="00A33287"/>
    <w:rsid w:val="00A34046"/>
    <w:rsid w:val="00A37BA5"/>
    <w:rsid w:val="00A435F1"/>
    <w:rsid w:val="00A45013"/>
    <w:rsid w:val="00A45525"/>
    <w:rsid w:val="00A4780C"/>
    <w:rsid w:val="00A519EF"/>
    <w:rsid w:val="00A51F5A"/>
    <w:rsid w:val="00A51FB9"/>
    <w:rsid w:val="00A533ED"/>
    <w:rsid w:val="00A54EE0"/>
    <w:rsid w:val="00A559E6"/>
    <w:rsid w:val="00A61E41"/>
    <w:rsid w:val="00A621B2"/>
    <w:rsid w:val="00A70A3E"/>
    <w:rsid w:val="00A72889"/>
    <w:rsid w:val="00A76B6C"/>
    <w:rsid w:val="00A810A5"/>
    <w:rsid w:val="00A8196A"/>
    <w:rsid w:val="00A81E55"/>
    <w:rsid w:val="00A81EDB"/>
    <w:rsid w:val="00A81FDB"/>
    <w:rsid w:val="00A85520"/>
    <w:rsid w:val="00A856E8"/>
    <w:rsid w:val="00A86B28"/>
    <w:rsid w:val="00A86C98"/>
    <w:rsid w:val="00A87AA9"/>
    <w:rsid w:val="00A90E2D"/>
    <w:rsid w:val="00A9105B"/>
    <w:rsid w:val="00A91210"/>
    <w:rsid w:val="00A93E7C"/>
    <w:rsid w:val="00A93EC8"/>
    <w:rsid w:val="00A96C59"/>
    <w:rsid w:val="00A9747B"/>
    <w:rsid w:val="00A97F19"/>
    <w:rsid w:val="00AA16F8"/>
    <w:rsid w:val="00AA1E4D"/>
    <w:rsid w:val="00AA2FFB"/>
    <w:rsid w:val="00AA64A4"/>
    <w:rsid w:val="00AA771A"/>
    <w:rsid w:val="00AB30CF"/>
    <w:rsid w:val="00AB607F"/>
    <w:rsid w:val="00AC1398"/>
    <w:rsid w:val="00AC177F"/>
    <w:rsid w:val="00AC19FA"/>
    <w:rsid w:val="00AC39A4"/>
    <w:rsid w:val="00AC4591"/>
    <w:rsid w:val="00AC4D3F"/>
    <w:rsid w:val="00AC650F"/>
    <w:rsid w:val="00AC7C89"/>
    <w:rsid w:val="00AD05DE"/>
    <w:rsid w:val="00AD1139"/>
    <w:rsid w:val="00AD21AC"/>
    <w:rsid w:val="00AD2D05"/>
    <w:rsid w:val="00AD37B7"/>
    <w:rsid w:val="00AD3ACD"/>
    <w:rsid w:val="00AD48E6"/>
    <w:rsid w:val="00AD604F"/>
    <w:rsid w:val="00AD6CB8"/>
    <w:rsid w:val="00AD7EDD"/>
    <w:rsid w:val="00AE0BDB"/>
    <w:rsid w:val="00AE2226"/>
    <w:rsid w:val="00AE2A98"/>
    <w:rsid w:val="00AE31BB"/>
    <w:rsid w:val="00AE3569"/>
    <w:rsid w:val="00AE3A43"/>
    <w:rsid w:val="00AE443A"/>
    <w:rsid w:val="00AE5302"/>
    <w:rsid w:val="00AE55D6"/>
    <w:rsid w:val="00AE7301"/>
    <w:rsid w:val="00AF0792"/>
    <w:rsid w:val="00AF12A1"/>
    <w:rsid w:val="00AF38B4"/>
    <w:rsid w:val="00AF3F06"/>
    <w:rsid w:val="00AF49B2"/>
    <w:rsid w:val="00AF4CC5"/>
    <w:rsid w:val="00AF5731"/>
    <w:rsid w:val="00AF59D7"/>
    <w:rsid w:val="00B00F3E"/>
    <w:rsid w:val="00B01090"/>
    <w:rsid w:val="00B0187B"/>
    <w:rsid w:val="00B01BC3"/>
    <w:rsid w:val="00B01DBD"/>
    <w:rsid w:val="00B02A02"/>
    <w:rsid w:val="00B0549D"/>
    <w:rsid w:val="00B05A0D"/>
    <w:rsid w:val="00B06D07"/>
    <w:rsid w:val="00B06DAE"/>
    <w:rsid w:val="00B07CE7"/>
    <w:rsid w:val="00B12BA7"/>
    <w:rsid w:val="00B14CB5"/>
    <w:rsid w:val="00B15D71"/>
    <w:rsid w:val="00B16B9F"/>
    <w:rsid w:val="00B2096E"/>
    <w:rsid w:val="00B23E46"/>
    <w:rsid w:val="00B314DE"/>
    <w:rsid w:val="00B3159B"/>
    <w:rsid w:val="00B32882"/>
    <w:rsid w:val="00B33B4B"/>
    <w:rsid w:val="00B41ED0"/>
    <w:rsid w:val="00B426E0"/>
    <w:rsid w:val="00B43052"/>
    <w:rsid w:val="00B43B75"/>
    <w:rsid w:val="00B43B87"/>
    <w:rsid w:val="00B44989"/>
    <w:rsid w:val="00B46535"/>
    <w:rsid w:val="00B52F86"/>
    <w:rsid w:val="00B5377E"/>
    <w:rsid w:val="00B540B7"/>
    <w:rsid w:val="00B578D7"/>
    <w:rsid w:val="00B61162"/>
    <w:rsid w:val="00B61BA0"/>
    <w:rsid w:val="00B652DD"/>
    <w:rsid w:val="00B6604A"/>
    <w:rsid w:val="00B70318"/>
    <w:rsid w:val="00B7602E"/>
    <w:rsid w:val="00B76A88"/>
    <w:rsid w:val="00B77463"/>
    <w:rsid w:val="00B77779"/>
    <w:rsid w:val="00B80684"/>
    <w:rsid w:val="00B80AAD"/>
    <w:rsid w:val="00B80F90"/>
    <w:rsid w:val="00B81DEF"/>
    <w:rsid w:val="00B83841"/>
    <w:rsid w:val="00B8509F"/>
    <w:rsid w:val="00B8554D"/>
    <w:rsid w:val="00B85917"/>
    <w:rsid w:val="00B872D4"/>
    <w:rsid w:val="00B90BFD"/>
    <w:rsid w:val="00B91777"/>
    <w:rsid w:val="00B92006"/>
    <w:rsid w:val="00B9214C"/>
    <w:rsid w:val="00BA133F"/>
    <w:rsid w:val="00BB413E"/>
    <w:rsid w:val="00BB4A96"/>
    <w:rsid w:val="00BB5B40"/>
    <w:rsid w:val="00BB76C0"/>
    <w:rsid w:val="00BC19F7"/>
    <w:rsid w:val="00BC1CF2"/>
    <w:rsid w:val="00BC1D78"/>
    <w:rsid w:val="00BC2341"/>
    <w:rsid w:val="00BC5853"/>
    <w:rsid w:val="00BC65B9"/>
    <w:rsid w:val="00BC6D64"/>
    <w:rsid w:val="00BC7BA1"/>
    <w:rsid w:val="00BC7D41"/>
    <w:rsid w:val="00BD0B4C"/>
    <w:rsid w:val="00BD0BFF"/>
    <w:rsid w:val="00BD0FD9"/>
    <w:rsid w:val="00BD26EE"/>
    <w:rsid w:val="00BD2E51"/>
    <w:rsid w:val="00BD4888"/>
    <w:rsid w:val="00BD519B"/>
    <w:rsid w:val="00BD7600"/>
    <w:rsid w:val="00BE0EFE"/>
    <w:rsid w:val="00BE3ADE"/>
    <w:rsid w:val="00BE3F59"/>
    <w:rsid w:val="00BE55E4"/>
    <w:rsid w:val="00BE5913"/>
    <w:rsid w:val="00BE7AF8"/>
    <w:rsid w:val="00BF3409"/>
    <w:rsid w:val="00BF6830"/>
    <w:rsid w:val="00BF6949"/>
    <w:rsid w:val="00BF7B22"/>
    <w:rsid w:val="00C019B1"/>
    <w:rsid w:val="00C04623"/>
    <w:rsid w:val="00C0514C"/>
    <w:rsid w:val="00C06D26"/>
    <w:rsid w:val="00C10DF4"/>
    <w:rsid w:val="00C11405"/>
    <w:rsid w:val="00C12298"/>
    <w:rsid w:val="00C15C21"/>
    <w:rsid w:val="00C16121"/>
    <w:rsid w:val="00C17418"/>
    <w:rsid w:val="00C21E88"/>
    <w:rsid w:val="00C21EE7"/>
    <w:rsid w:val="00C22A04"/>
    <w:rsid w:val="00C254E7"/>
    <w:rsid w:val="00C255FF"/>
    <w:rsid w:val="00C25CBC"/>
    <w:rsid w:val="00C27F61"/>
    <w:rsid w:val="00C30246"/>
    <w:rsid w:val="00C34626"/>
    <w:rsid w:val="00C350E3"/>
    <w:rsid w:val="00C351C5"/>
    <w:rsid w:val="00C35635"/>
    <w:rsid w:val="00C40B5B"/>
    <w:rsid w:val="00C41655"/>
    <w:rsid w:val="00C41C87"/>
    <w:rsid w:val="00C41CF2"/>
    <w:rsid w:val="00C43C8B"/>
    <w:rsid w:val="00C46249"/>
    <w:rsid w:val="00C51D75"/>
    <w:rsid w:val="00C5265D"/>
    <w:rsid w:val="00C54442"/>
    <w:rsid w:val="00C55F22"/>
    <w:rsid w:val="00C61EC9"/>
    <w:rsid w:val="00C61F66"/>
    <w:rsid w:val="00C6245A"/>
    <w:rsid w:val="00C6314D"/>
    <w:rsid w:val="00C6351F"/>
    <w:rsid w:val="00C642FF"/>
    <w:rsid w:val="00C64783"/>
    <w:rsid w:val="00C64A42"/>
    <w:rsid w:val="00C71C25"/>
    <w:rsid w:val="00C71C98"/>
    <w:rsid w:val="00C731AE"/>
    <w:rsid w:val="00C731F2"/>
    <w:rsid w:val="00C73215"/>
    <w:rsid w:val="00C74542"/>
    <w:rsid w:val="00C75C45"/>
    <w:rsid w:val="00C8102E"/>
    <w:rsid w:val="00C81D5C"/>
    <w:rsid w:val="00C82A7E"/>
    <w:rsid w:val="00C83EFB"/>
    <w:rsid w:val="00C84042"/>
    <w:rsid w:val="00C8540C"/>
    <w:rsid w:val="00C85577"/>
    <w:rsid w:val="00C862D3"/>
    <w:rsid w:val="00C86E6D"/>
    <w:rsid w:val="00C9177E"/>
    <w:rsid w:val="00C9271C"/>
    <w:rsid w:val="00C94BBB"/>
    <w:rsid w:val="00C96361"/>
    <w:rsid w:val="00C96EB4"/>
    <w:rsid w:val="00C97601"/>
    <w:rsid w:val="00CA0172"/>
    <w:rsid w:val="00CA04A9"/>
    <w:rsid w:val="00CA26E4"/>
    <w:rsid w:val="00CA3C40"/>
    <w:rsid w:val="00CA3FEC"/>
    <w:rsid w:val="00CA677C"/>
    <w:rsid w:val="00CA7ACA"/>
    <w:rsid w:val="00CB0DB0"/>
    <w:rsid w:val="00CB21DD"/>
    <w:rsid w:val="00CB2767"/>
    <w:rsid w:val="00CB30F5"/>
    <w:rsid w:val="00CB4F0A"/>
    <w:rsid w:val="00CB4F12"/>
    <w:rsid w:val="00CB5EE0"/>
    <w:rsid w:val="00CB6E92"/>
    <w:rsid w:val="00CC3327"/>
    <w:rsid w:val="00CC3620"/>
    <w:rsid w:val="00CC5768"/>
    <w:rsid w:val="00CC6A8C"/>
    <w:rsid w:val="00CD1541"/>
    <w:rsid w:val="00CD1D97"/>
    <w:rsid w:val="00CD28B6"/>
    <w:rsid w:val="00CD2EB8"/>
    <w:rsid w:val="00CD3949"/>
    <w:rsid w:val="00CD42A5"/>
    <w:rsid w:val="00CD50DA"/>
    <w:rsid w:val="00CD6CA6"/>
    <w:rsid w:val="00CD6E14"/>
    <w:rsid w:val="00CD6F06"/>
    <w:rsid w:val="00CD7B64"/>
    <w:rsid w:val="00CE0AB5"/>
    <w:rsid w:val="00CE2F0B"/>
    <w:rsid w:val="00CE4B62"/>
    <w:rsid w:val="00CE604C"/>
    <w:rsid w:val="00CE7E78"/>
    <w:rsid w:val="00CF0651"/>
    <w:rsid w:val="00CF59AE"/>
    <w:rsid w:val="00CF6712"/>
    <w:rsid w:val="00CF6884"/>
    <w:rsid w:val="00CF68D1"/>
    <w:rsid w:val="00CF6917"/>
    <w:rsid w:val="00CF7FDA"/>
    <w:rsid w:val="00D02E13"/>
    <w:rsid w:val="00D035CE"/>
    <w:rsid w:val="00D036C8"/>
    <w:rsid w:val="00D05AFA"/>
    <w:rsid w:val="00D077AB"/>
    <w:rsid w:val="00D150F8"/>
    <w:rsid w:val="00D17C2A"/>
    <w:rsid w:val="00D21193"/>
    <w:rsid w:val="00D21F1F"/>
    <w:rsid w:val="00D224CF"/>
    <w:rsid w:val="00D225B4"/>
    <w:rsid w:val="00D240E6"/>
    <w:rsid w:val="00D24408"/>
    <w:rsid w:val="00D24E4C"/>
    <w:rsid w:val="00D24F31"/>
    <w:rsid w:val="00D251C6"/>
    <w:rsid w:val="00D25AA3"/>
    <w:rsid w:val="00D26003"/>
    <w:rsid w:val="00D30ECA"/>
    <w:rsid w:val="00D332D2"/>
    <w:rsid w:val="00D355BD"/>
    <w:rsid w:val="00D413F4"/>
    <w:rsid w:val="00D4288E"/>
    <w:rsid w:val="00D43D1E"/>
    <w:rsid w:val="00D47CF3"/>
    <w:rsid w:val="00D50357"/>
    <w:rsid w:val="00D50406"/>
    <w:rsid w:val="00D50863"/>
    <w:rsid w:val="00D50E2E"/>
    <w:rsid w:val="00D5236F"/>
    <w:rsid w:val="00D533D7"/>
    <w:rsid w:val="00D565DB"/>
    <w:rsid w:val="00D60841"/>
    <w:rsid w:val="00D61F6D"/>
    <w:rsid w:val="00D65A73"/>
    <w:rsid w:val="00D66AC1"/>
    <w:rsid w:val="00D75E06"/>
    <w:rsid w:val="00D76AF8"/>
    <w:rsid w:val="00D80E17"/>
    <w:rsid w:val="00D80FF8"/>
    <w:rsid w:val="00D8168F"/>
    <w:rsid w:val="00D82889"/>
    <w:rsid w:val="00D83CB5"/>
    <w:rsid w:val="00D84BF3"/>
    <w:rsid w:val="00D84EC0"/>
    <w:rsid w:val="00D85CD9"/>
    <w:rsid w:val="00D871A2"/>
    <w:rsid w:val="00D87E86"/>
    <w:rsid w:val="00D91CEC"/>
    <w:rsid w:val="00D92280"/>
    <w:rsid w:val="00D93288"/>
    <w:rsid w:val="00D95B0B"/>
    <w:rsid w:val="00D96D23"/>
    <w:rsid w:val="00D97BA0"/>
    <w:rsid w:val="00DA0B63"/>
    <w:rsid w:val="00DA6869"/>
    <w:rsid w:val="00DA6E5C"/>
    <w:rsid w:val="00DB01DA"/>
    <w:rsid w:val="00DB189E"/>
    <w:rsid w:val="00DB20A7"/>
    <w:rsid w:val="00DB2CCA"/>
    <w:rsid w:val="00DB3E9C"/>
    <w:rsid w:val="00DB47E9"/>
    <w:rsid w:val="00DB4A30"/>
    <w:rsid w:val="00DB4E72"/>
    <w:rsid w:val="00DB56AF"/>
    <w:rsid w:val="00DB5885"/>
    <w:rsid w:val="00DB786A"/>
    <w:rsid w:val="00DB7DBF"/>
    <w:rsid w:val="00DB7EB9"/>
    <w:rsid w:val="00DC36CF"/>
    <w:rsid w:val="00DC51F3"/>
    <w:rsid w:val="00DC5CE9"/>
    <w:rsid w:val="00DC6AB7"/>
    <w:rsid w:val="00DD254F"/>
    <w:rsid w:val="00DD2D9E"/>
    <w:rsid w:val="00DD40CD"/>
    <w:rsid w:val="00DD4381"/>
    <w:rsid w:val="00DD62DC"/>
    <w:rsid w:val="00DD7690"/>
    <w:rsid w:val="00DE0658"/>
    <w:rsid w:val="00DE11F1"/>
    <w:rsid w:val="00DE22FA"/>
    <w:rsid w:val="00DE34CE"/>
    <w:rsid w:val="00DE539D"/>
    <w:rsid w:val="00DE60B8"/>
    <w:rsid w:val="00DE7900"/>
    <w:rsid w:val="00DE7F48"/>
    <w:rsid w:val="00DF249E"/>
    <w:rsid w:val="00DF50C8"/>
    <w:rsid w:val="00DF55EC"/>
    <w:rsid w:val="00DF6B41"/>
    <w:rsid w:val="00E02778"/>
    <w:rsid w:val="00E02CC3"/>
    <w:rsid w:val="00E0344B"/>
    <w:rsid w:val="00E03D9C"/>
    <w:rsid w:val="00E04701"/>
    <w:rsid w:val="00E06C0B"/>
    <w:rsid w:val="00E071B4"/>
    <w:rsid w:val="00E15111"/>
    <w:rsid w:val="00E16C7E"/>
    <w:rsid w:val="00E17014"/>
    <w:rsid w:val="00E17262"/>
    <w:rsid w:val="00E23766"/>
    <w:rsid w:val="00E2673D"/>
    <w:rsid w:val="00E270B2"/>
    <w:rsid w:val="00E312B0"/>
    <w:rsid w:val="00E3276D"/>
    <w:rsid w:val="00E34978"/>
    <w:rsid w:val="00E36035"/>
    <w:rsid w:val="00E361DD"/>
    <w:rsid w:val="00E372E6"/>
    <w:rsid w:val="00E376FB"/>
    <w:rsid w:val="00E421AD"/>
    <w:rsid w:val="00E4696C"/>
    <w:rsid w:val="00E507A2"/>
    <w:rsid w:val="00E53406"/>
    <w:rsid w:val="00E54479"/>
    <w:rsid w:val="00E54EB1"/>
    <w:rsid w:val="00E553FD"/>
    <w:rsid w:val="00E55687"/>
    <w:rsid w:val="00E55DD2"/>
    <w:rsid w:val="00E56508"/>
    <w:rsid w:val="00E565A1"/>
    <w:rsid w:val="00E5711B"/>
    <w:rsid w:val="00E57B77"/>
    <w:rsid w:val="00E60DCF"/>
    <w:rsid w:val="00E63E6D"/>
    <w:rsid w:val="00E652D8"/>
    <w:rsid w:val="00E66363"/>
    <w:rsid w:val="00E72A13"/>
    <w:rsid w:val="00E73E9E"/>
    <w:rsid w:val="00E74C23"/>
    <w:rsid w:val="00E75AFD"/>
    <w:rsid w:val="00E8039C"/>
    <w:rsid w:val="00E805E3"/>
    <w:rsid w:val="00E81103"/>
    <w:rsid w:val="00E81BAA"/>
    <w:rsid w:val="00E81F38"/>
    <w:rsid w:val="00E82895"/>
    <w:rsid w:val="00E83534"/>
    <w:rsid w:val="00E84094"/>
    <w:rsid w:val="00E8441F"/>
    <w:rsid w:val="00E853F1"/>
    <w:rsid w:val="00E8584E"/>
    <w:rsid w:val="00E932EB"/>
    <w:rsid w:val="00E96F3E"/>
    <w:rsid w:val="00E97A7E"/>
    <w:rsid w:val="00EA0488"/>
    <w:rsid w:val="00EA543B"/>
    <w:rsid w:val="00EA7CE8"/>
    <w:rsid w:val="00EB1216"/>
    <w:rsid w:val="00EB29CD"/>
    <w:rsid w:val="00EB7136"/>
    <w:rsid w:val="00EB7F4D"/>
    <w:rsid w:val="00EC2554"/>
    <w:rsid w:val="00EC78F6"/>
    <w:rsid w:val="00EC7CC7"/>
    <w:rsid w:val="00EC7F07"/>
    <w:rsid w:val="00ED23EA"/>
    <w:rsid w:val="00EE0628"/>
    <w:rsid w:val="00EE6247"/>
    <w:rsid w:val="00EE6C33"/>
    <w:rsid w:val="00EF287A"/>
    <w:rsid w:val="00F0062E"/>
    <w:rsid w:val="00F0068E"/>
    <w:rsid w:val="00F00690"/>
    <w:rsid w:val="00F00D4F"/>
    <w:rsid w:val="00F03C26"/>
    <w:rsid w:val="00F04D3A"/>
    <w:rsid w:val="00F0665A"/>
    <w:rsid w:val="00F069EA"/>
    <w:rsid w:val="00F06CC7"/>
    <w:rsid w:val="00F10D0A"/>
    <w:rsid w:val="00F12A13"/>
    <w:rsid w:val="00F160F9"/>
    <w:rsid w:val="00F165B5"/>
    <w:rsid w:val="00F21963"/>
    <w:rsid w:val="00F23757"/>
    <w:rsid w:val="00F24CFB"/>
    <w:rsid w:val="00F2748F"/>
    <w:rsid w:val="00F30784"/>
    <w:rsid w:val="00F30F5B"/>
    <w:rsid w:val="00F3295E"/>
    <w:rsid w:val="00F329DE"/>
    <w:rsid w:val="00F34BAD"/>
    <w:rsid w:val="00F4420C"/>
    <w:rsid w:val="00F466AB"/>
    <w:rsid w:val="00F47774"/>
    <w:rsid w:val="00F512FC"/>
    <w:rsid w:val="00F52925"/>
    <w:rsid w:val="00F54E1B"/>
    <w:rsid w:val="00F57BB8"/>
    <w:rsid w:val="00F57F7A"/>
    <w:rsid w:val="00F608EE"/>
    <w:rsid w:val="00F60E7C"/>
    <w:rsid w:val="00F64625"/>
    <w:rsid w:val="00F66E57"/>
    <w:rsid w:val="00F70634"/>
    <w:rsid w:val="00F70B18"/>
    <w:rsid w:val="00F70B4E"/>
    <w:rsid w:val="00F7216A"/>
    <w:rsid w:val="00F725CF"/>
    <w:rsid w:val="00F729A1"/>
    <w:rsid w:val="00F7320C"/>
    <w:rsid w:val="00F7463D"/>
    <w:rsid w:val="00F7478A"/>
    <w:rsid w:val="00F805F0"/>
    <w:rsid w:val="00F80CE7"/>
    <w:rsid w:val="00F810BE"/>
    <w:rsid w:val="00F8165D"/>
    <w:rsid w:val="00F82BF5"/>
    <w:rsid w:val="00F85FA6"/>
    <w:rsid w:val="00F86492"/>
    <w:rsid w:val="00F87730"/>
    <w:rsid w:val="00F90F62"/>
    <w:rsid w:val="00F92CB0"/>
    <w:rsid w:val="00F9685A"/>
    <w:rsid w:val="00F96928"/>
    <w:rsid w:val="00F96DA8"/>
    <w:rsid w:val="00FA145D"/>
    <w:rsid w:val="00FA2257"/>
    <w:rsid w:val="00FA25D6"/>
    <w:rsid w:val="00FA2F88"/>
    <w:rsid w:val="00FA2FAA"/>
    <w:rsid w:val="00FA5773"/>
    <w:rsid w:val="00FA6351"/>
    <w:rsid w:val="00FA7227"/>
    <w:rsid w:val="00FB0471"/>
    <w:rsid w:val="00FB2C64"/>
    <w:rsid w:val="00FB6813"/>
    <w:rsid w:val="00FC12FE"/>
    <w:rsid w:val="00FC1E12"/>
    <w:rsid w:val="00FC2D1D"/>
    <w:rsid w:val="00FC4664"/>
    <w:rsid w:val="00FC5CE4"/>
    <w:rsid w:val="00FC636E"/>
    <w:rsid w:val="00FC78DB"/>
    <w:rsid w:val="00FD20FF"/>
    <w:rsid w:val="00FD2244"/>
    <w:rsid w:val="00FD2251"/>
    <w:rsid w:val="00FD5E48"/>
    <w:rsid w:val="00FD7A6B"/>
    <w:rsid w:val="00FE03B8"/>
    <w:rsid w:val="00FE0C52"/>
    <w:rsid w:val="00FE173C"/>
    <w:rsid w:val="00FE4A6A"/>
    <w:rsid w:val="00FE50AA"/>
    <w:rsid w:val="00FE6412"/>
    <w:rsid w:val="00FE6E07"/>
    <w:rsid w:val="00FE71E4"/>
    <w:rsid w:val="00FE7EA0"/>
    <w:rsid w:val="00FF0B32"/>
    <w:rsid w:val="00FF28DB"/>
    <w:rsid w:val="00FF2E56"/>
    <w:rsid w:val="00FF35C0"/>
    <w:rsid w:val="00FF49BF"/>
    <w:rsid w:val="029875C7"/>
    <w:rsid w:val="02DF39F5"/>
    <w:rsid w:val="04B53F23"/>
    <w:rsid w:val="05067124"/>
    <w:rsid w:val="08F56385"/>
    <w:rsid w:val="0BFC75CA"/>
    <w:rsid w:val="0C3063FD"/>
    <w:rsid w:val="0F492922"/>
    <w:rsid w:val="10E12EB6"/>
    <w:rsid w:val="10FF715E"/>
    <w:rsid w:val="172556A4"/>
    <w:rsid w:val="18FA7701"/>
    <w:rsid w:val="1A045DC3"/>
    <w:rsid w:val="1B3C67F3"/>
    <w:rsid w:val="1B7201A5"/>
    <w:rsid w:val="1BFFFC7F"/>
    <w:rsid w:val="1D1209EA"/>
    <w:rsid w:val="1F0D64E2"/>
    <w:rsid w:val="1F9D2C10"/>
    <w:rsid w:val="1FAD6200"/>
    <w:rsid w:val="1FF747B6"/>
    <w:rsid w:val="1FFB452B"/>
    <w:rsid w:val="202A060E"/>
    <w:rsid w:val="21D63707"/>
    <w:rsid w:val="21F433D4"/>
    <w:rsid w:val="24E710A6"/>
    <w:rsid w:val="25923AB8"/>
    <w:rsid w:val="26E42BBF"/>
    <w:rsid w:val="29206F2C"/>
    <w:rsid w:val="29BE76D9"/>
    <w:rsid w:val="2A933C74"/>
    <w:rsid w:val="2BF562FA"/>
    <w:rsid w:val="2F2C038D"/>
    <w:rsid w:val="2F797671"/>
    <w:rsid w:val="2F7B66D0"/>
    <w:rsid w:val="30AF7189"/>
    <w:rsid w:val="316D3A2B"/>
    <w:rsid w:val="323507EE"/>
    <w:rsid w:val="33132C1E"/>
    <w:rsid w:val="35BD3F82"/>
    <w:rsid w:val="35C35DAD"/>
    <w:rsid w:val="3A693109"/>
    <w:rsid w:val="3AB940B8"/>
    <w:rsid w:val="3B8D8289"/>
    <w:rsid w:val="3BDFB8F9"/>
    <w:rsid w:val="3DFFD82B"/>
    <w:rsid w:val="3EB6204F"/>
    <w:rsid w:val="3F116007"/>
    <w:rsid w:val="3F5BA4E6"/>
    <w:rsid w:val="3FFA46AA"/>
    <w:rsid w:val="3FFE7FEF"/>
    <w:rsid w:val="407D0E43"/>
    <w:rsid w:val="40C10117"/>
    <w:rsid w:val="42C866C0"/>
    <w:rsid w:val="442D12D1"/>
    <w:rsid w:val="446679C4"/>
    <w:rsid w:val="474F6B99"/>
    <w:rsid w:val="4CAB62A7"/>
    <w:rsid w:val="4DEF2F98"/>
    <w:rsid w:val="4E0308B4"/>
    <w:rsid w:val="502743BA"/>
    <w:rsid w:val="50A56CB1"/>
    <w:rsid w:val="57FF6B79"/>
    <w:rsid w:val="59E83026"/>
    <w:rsid w:val="5AED116F"/>
    <w:rsid w:val="5B2432AE"/>
    <w:rsid w:val="5BC5549E"/>
    <w:rsid w:val="5BDF6703"/>
    <w:rsid w:val="5E7B0CD7"/>
    <w:rsid w:val="5EED6572"/>
    <w:rsid w:val="5EFC6D38"/>
    <w:rsid w:val="5FFF3E78"/>
    <w:rsid w:val="60FB0E07"/>
    <w:rsid w:val="6237D648"/>
    <w:rsid w:val="68083B9A"/>
    <w:rsid w:val="698260AB"/>
    <w:rsid w:val="69AD52E1"/>
    <w:rsid w:val="6CC42A85"/>
    <w:rsid w:val="6DDD8922"/>
    <w:rsid w:val="6F971AB9"/>
    <w:rsid w:val="72BD79DB"/>
    <w:rsid w:val="76F5AAA8"/>
    <w:rsid w:val="79C6006B"/>
    <w:rsid w:val="7AEF1946"/>
    <w:rsid w:val="7CFBDC29"/>
    <w:rsid w:val="7D9F9DAB"/>
    <w:rsid w:val="7DFF6217"/>
    <w:rsid w:val="7F8A9611"/>
    <w:rsid w:val="7FFB99DF"/>
    <w:rsid w:val="7FFF6BF7"/>
    <w:rsid w:val="9F6F2022"/>
    <w:rsid w:val="BBAFF7F0"/>
    <w:rsid w:val="BBCBA1FB"/>
    <w:rsid w:val="CFF7C9C5"/>
    <w:rsid w:val="D9BB88AB"/>
    <w:rsid w:val="DB7F5B47"/>
    <w:rsid w:val="DDFC0152"/>
    <w:rsid w:val="DF6FA17A"/>
    <w:rsid w:val="DFBFE5CC"/>
    <w:rsid w:val="EF5FFA2F"/>
    <w:rsid w:val="EFAA8376"/>
    <w:rsid w:val="F46D3551"/>
    <w:rsid w:val="F7F62E00"/>
    <w:rsid w:val="FB7D926F"/>
    <w:rsid w:val="FEBBBECE"/>
    <w:rsid w:val="FF1528B6"/>
    <w:rsid w:val="FF7FF42A"/>
    <w:rsid w:val="FF7FF638"/>
    <w:rsid w:val="FFEB4333"/>
    <w:rsid w:val="FFF53878"/>
    <w:rsid w:val="FFF6C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360" w:lineRule="auto"/>
      <w:jc w:val="both"/>
    </w:pPr>
    <w:rPr>
      <w:rFonts w:asciiTheme="minorHAnsi" w:hAnsiTheme="minorHAnsi" w:eastAsiaTheme="minorEastAsia" w:cstheme="minorBidi"/>
      <w:kern w:val="2"/>
      <w:sz w:val="21"/>
      <w:szCs w:val="21"/>
      <w:lang w:val="en-US" w:eastAsia="zh-CN" w:bidi="ar-SA"/>
    </w:rPr>
  </w:style>
  <w:style w:type="paragraph" w:styleId="2">
    <w:name w:val="heading 1"/>
    <w:basedOn w:val="3"/>
    <w:next w:val="4"/>
    <w:link w:val="39"/>
    <w:qFormat/>
    <w:uiPriority w:val="0"/>
    <w:pPr>
      <w:keepNext/>
      <w:keepLines/>
      <w:numPr>
        <w:ilvl w:val="0"/>
        <w:numId w:val="1"/>
      </w:numPr>
      <w:spacing w:before="140" w:after="140" w:line="240" w:lineRule="auto"/>
      <w:jc w:val="left"/>
    </w:pPr>
    <w:rPr>
      <w:rFonts w:ascii="Times New Roman" w:hAnsi="Times New Roman" w:eastAsia="宋体"/>
      <w:bCs w:val="0"/>
      <w:kern w:val="44"/>
      <w:szCs w:val="44"/>
    </w:rPr>
  </w:style>
  <w:style w:type="paragraph" w:styleId="6">
    <w:name w:val="heading 2"/>
    <w:basedOn w:val="2"/>
    <w:next w:val="4"/>
    <w:link w:val="40"/>
    <w:qFormat/>
    <w:uiPriority w:val="0"/>
    <w:pPr>
      <w:numPr>
        <w:ilvl w:val="1"/>
      </w:numPr>
      <w:ind w:left="0"/>
      <w:outlineLvl w:val="1"/>
    </w:pPr>
    <w:rPr>
      <w:bCs/>
      <w:sz w:val="30"/>
      <w:szCs w:val="32"/>
    </w:rPr>
  </w:style>
  <w:style w:type="paragraph" w:styleId="7">
    <w:name w:val="heading 3"/>
    <w:basedOn w:val="2"/>
    <w:next w:val="4"/>
    <w:link w:val="44"/>
    <w:qFormat/>
    <w:uiPriority w:val="0"/>
    <w:pPr>
      <w:numPr>
        <w:ilvl w:val="2"/>
      </w:numPr>
      <w:ind w:left="284"/>
      <w:outlineLvl w:val="2"/>
    </w:pPr>
    <w:rPr>
      <w:bCs/>
      <w:sz w:val="28"/>
      <w:szCs w:val="32"/>
    </w:rPr>
  </w:style>
  <w:style w:type="paragraph" w:styleId="8">
    <w:name w:val="heading 4"/>
    <w:basedOn w:val="2"/>
    <w:next w:val="4"/>
    <w:link w:val="45"/>
    <w:qFormat/>
    <w:uiPriority w:val="0"/>
    <w:pPr>
      <w:numPr>
        <w:ilvl w:val="3"/>
      </w:numPr>
      <w:outlineLvl w:val="3"/>
    </w:pPr>
    <w:rPr>
      <w:bCs/>
      <w:sz w:val="24"/>
      <w:szCs w:val="28"/>
    </w:rPr>
  </w:style>
  <w:style w:type="paragraph" w:styleId="9">
    <w:name w:val="heading 5"/>
    <w:basedOn w:val="2"/>
    <w:next w:val="4"/>
    <w:link w:val="46"/>
    <w:qFormat/>
    <w:uiPriority w:val="0"/>
    <w:pPr>
      <w:numPr>
        <w:ilvl w:val="4"/>
      </w:numPr>
      <w:outlineLvl w:val="4"/>
    </w:pPr>
    <w:rPr>
      <w:bCs/>
      <w:sz w:val="24"/>
      <w:szCs w:val="28"/>
    </w:rPr>
  </w:style>
  <w:style w:type="paragraph" w:styleId="10">
    <w:name w:val="heading 6"/>
    <w:basedOn w:val="1"/>
    <w:next w:val="11"/>
    <w:link w:val="47"/>
    <w:qFormat/>
    <w:uiPriority w:val="0"/>
    <w:pPr>
      <w:outlineLvl w:val="5"/>
    </w:pPr>
    <w:rPr>
      <w:bCs/>
      <w:sz w:val="24"/>
      <w:szCs w:val="24"/>
    </w:rPr>
  </w:style>
  <w:style w:type="paragraph" w:styleId="12">
    <w:name w:val="heading 7"/>
    <w:basedOn w:val="2"/>
    <w:next w:val="4"/>
    <w:link w:val="48"/>
    <w:qFormat/>
    <w:uiPriority w:val="9"/>
    <w:pPr>
      <w:numPr>
        <w:ilvl w:val="6"/>
      </w:numPr>
      <w:outlineLvl w:val="6"/>
    </w:pPr>
    <w:rPr>
      <w:bCs/>
      <w:sz w:val="24"/>
      <w:szCs w:val="24"/>
    </w:rPr>
  </w:style>
  <w:style w:type="paragraph" w:styleId="13">
    <w:name w:val="heading 8"/>
    <w:basedOn w:val="2"/>
    <w:next w:val="4"/>
    <w:link w:val="49"/>
    <w:qFormat/>
    <w:uiPriority w:val="0"/>
    <w:pPr>
      <w:numPr>
        <w:ilvl w:val="7"/>
      </w:numPr>
      <w:outlineLvl w:val="7"/>
    </w:pPr>
    <w:rPr>
      <w:sz w:val="24"/>
      <w:szCs w:val="24"/>
    </w:rPr>
  </w:style>
  <w:style w:type="paragraph" w:styleId="14">
    <w:name w:val="heading 9"/>
    <w:basedOn w:val="2"/>
    <w:next w:val="4"/>
    <w:link w:val="50"/>
    <w:qFormat/>
    <w:uiPriority w:val="0"/>
    <w:pPr>
      <w:numPr>
        <w:ilvl w:val="8"/>
      </w:numPr>
      <w:outlineLvl w:val="8"/>
    </w:pPr>
    <w:rPr>
      <w:sz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41"/>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Body Text First Indent 2"/>
    <w:basedOn w:val="5"/>
    <w:link w:val="43"/>
    <w:qFormat/>
    <w:uiPriority w:val="0"/>
    <w:pPr>
      <w:spacing w:after="0"/>
      <w:ind w:left="0" w:leftChars="0" w:firstLine="200" w:firstLineChars="200"/>
    </w:pPr>
    <w:rPr>
      <w:rFonts w:eastAsia="宋体"/>
      <w:sz w:val="24"/>
    </w:rPr>
  </w:style>
  <w:style w:type="paragraph" w:styleId="5">
    <w:name w:val="Body Text Indent"/>
    <w:basedOn w:val="1"/>
    <w:link w:val="42"/>
    <w:unhideWhenUsed/>
    <w:qFormat/>
    <w:uiPriority w:val="99"/>
    <w:pPr>
      <w:spacing w:after="120"/>
      <w:ind w:left="420" w:leftChars="200"/>
    </w:pPr>
  </w:style>
  <w:style w:type="paragraph" w:styleId="11">
    <w:name w:val="Normal Indent"/>
    <w:basedOn w:val="1"/>
    <w:link w:val="73"/>
    <w:qFormat/>
    <w:uiPriority w:val="99"/>
    <w:pPr>
      <w:adjustRightInd w:val="0"/>
      <w:spacing w:line="400" w:lineRule="atLeast"/>
      <w:ind w:firstLine="420" w:firstLineChars="200"/>
      <w:jc w:val="left"/>
      <w:textAlignment w:val="baseline"/>
    </w:pPr>
    <w:rPr>
      <w:rFonts w:ascii="Times New Roman" w:hAnsi="Times New Roman" w:eastAsia="宋体" w:cs="Times New Roman"/>
      <w:kern w:val="0"/>
      <w:szCs w:val="20"/>
    </w:rPr>
  </w:style>
  <w:style w:type="paragraph" w:styleId="15">
    <w:name w:val="toc 7"/>
    <w:basedOn w:val="1"/>
    <w:next w:val="1"/>
    <w:unhideWhenUsed/>
    <w:qFormat/>
    <w:uiPriority w:val="39"/>
    <w:pPr>
      <w:ind w:left="1260"/>
      <w:jc w:val="left"/>
    </w:pPr>
    <w:rPr>
      <w:rFonts w:eastAsiaTheme="minorHAnsi"/>
      <w:sz w:val="18"/>
      <w:szCs w:val="18"/>
    </w:rPr>
  </w:style>
  <w:style w:type="paragraph" w:styleId="16">
    <w:name w:val="caption"/>
    <w:basedOn w:val="1"/>
    <w:next w:val="1"/>
    <w:unhideWhenUsed/>
    <w:qFormat/>
    <w:uiPriority w:val="35"/>
    <w:pPr>
      <w:spacing w:line="240" w:lineRule="auto"/>
    </w:pPr>
    <w:rPr>
      <w:rFonts w:eastAsia="黑体" w:asciiTheme="majorHAnsi" w:hAnsiTheme="majorHAnsi" w:cstheme="majorBidi"/>
      <w:sz w:val="20"/>
      <w:szCs w:val="20"/>
    </w:rPr>
  </w:style>
  <w:style w:type="paragraph" w:styleId="17">
    <w:name w:val="annotation text"/>
    <w:basedOn w:val="1"/>
    <w:link w:val="57"/>
    <w:unhideWhenUsed/>
    <w:qFormat/>
    <w:uiPriority w:val="0"/>
    <w:pPr>
      <w:jc w:val="left"/>
    </w:pPr>
  </w:style>
  <w:style w:type="paragraph" w:styleId="18">
    <w:name w:val="Body Text"/>
    <w:basedOn w:val="1"/>
    <w:link w:val="60"/>
    <w:unhideWhenUsed/>
    <w:qFormat/>
    <w:uiPriority w:val="99"/>
    <w:pPr>
      <w:spacing w:after="120"/>
    </w:pPr>
  </w:style>
  <w:style w:type="paragraph" w:styleId="19">
    <w:name w:val="toc 5"/>
    <w:basedOn w:val="1"/>
    <w:next w:val="1"/>
    <w:unhideWhenUsed/>
    <w:qFormat/>
    <w:uiPriority w:val="39"/>
    <w:pPr>
      <w:ind w:left="840"/>
      <w:jc w:val="left"/>
    </w:pPr>
    <w:rPr>
      <w:rFonts w:eastAsiaTheme="minorHAnsi"/>
      <w:sz w:val="18"/>
      <w:szCs w:val="18"/>
    </w:rPr>
  </w:style>
  <w:style w:type="paragraph" w:styleId="20">
    <w:name w:val="toc 3"/>
    <w:basedOn w:val="1"/>
    <w:next w:val="1"/>
    <w:unhideWhenUsed/>
    <w:qFormat/>
    <w:uiPriority w:val="39"/>
    <w:pPr>
      <w:ind w:left="420"/>
      <w:jc w:val="left"/>
    </w:pPr>
    <w:rPr>
      <w:rFonts w:eastAsia="宋体"/>
      <w:iCs/>
      <w:szCs w:val="20"/>
    </w:rPr>
  </w:style>
  <w:style w:type="paragraph" w:styleId="21">
    <w:name w:val="Plain Text"/>
    <w:basedOn w:val="1"/>
    <w:link w:val="61"/>
    <w:qFormat/>
    <w:uiPriority w:val="0"/>
    <w:pPr>
      <w:spacing w:line="240" w:lineRule="auto"/>
    </w:pPr>
    <w:rPr>
      <w:rFonts w:eastAsia="宋体"/>
      <w:sz w:val="24"/>
    </w:rPr>
  </w:style>
  <w:style w:type="paragraph" w:styleId="22">
    <w:name w:val="toc 8"/>
    <w:basedOn w:val="1"/>
    <w:next w:val="1"/>
    <w:unhideWhenUsed/>
    <w:qFormat/>
    <w:uiPriority w:val="39"/>
    <w:pPr>
      <w:ind w:left="1470"/>
      <w:jc w:val="left"/>
    </w:pPr>
    <w:rPr>
      <w:rFonts w:eastAsiaTheme="minorHAnsi"/>
      <w:sz w:val="18"/>
      <w:szCs w:val="18"/>
    </w:rPr>
  </w:style>
  <w:style w:type="paragraph" w:styleId="23">
    <w:name w:val="Balloon Text"/>
    <w:basedOn w:val="1"/>
    <w:link w:val="56"/>
    <w:unhideWhenUsed/>
    <w:qFormat/>
    <w:uiPriority w:val="99"/>
    <w:pPr>
      <w:spacing w:line="240" w:lineRule="auto"/>
    </w:pPr>
    <w:rPr>
      <w:sz w:val="18"/>
      <w:szCs w:val="18"/>
    </w:rPr>
  </w:style>
  <w:style w:type="paragraph" w:styleId="24">
    <w:name w:val="footer"/>
    <w:basedOn w:val="1"/>
    <w:link w:val="55"/>
    <w:unhideWhenUsed/>
    <w:qFormat/>
    <w:uiPriority w:val="99"/>
    <w:pPr>
      <w:tabs>
        <w:tab w:val="center" w:pos="4153"/>
        <w:tab w:val="right" w:pos="8306"/>
      </w:tabs>
      <w:snapToGrid w:val="0"/>
      <w:spacing w:line="240" w:lineRule="auto"/>
      <w:jc w:val="left"/>
    </w:pPr>
    <w:rPr>
      <w:sz w:val="18"/>
      <w:szCs w:val="18"/>
    </w:rPr>
  </w:style>
  <w:style w:type="paragraph" w:styleId="25">
    <w:name w:val="header"/>
    <w:basedOn w:val="1"/>
    <w:link w:val="54"/>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unhideWhenUsed/>
    <w:qFormat/>
    <w:uiPriority w:val="39"/>
    <w:pPr>
      <w:spacing w:before="120" w:after="120"/>
      <w:jc w:val="left"/>
    </w:pPr>
    <w:rPr>
      <w:rFonts w:eastAsia="宋体"/>
      <w:b/>
      <w:bCs/>
      <w:caps/>
      <w:szCs w:val="20"/>
    </w:rPr>
  </w:style>
  <w:style w:type="paragraph" w:styleId="27">
    <w:name w:val="toc 4"/>
    <w:basedOn w:val="1"/>
    <w:next w:val="1"/>
    <w:unhideWhenUsed/>
    <w:qFormat/>
    <w:uiPriority w:val="39"/>
    <w:pPr>
      <w:ind w:left="630"/>
      <w:jc w:val="left"/>
    </w:pPr>
    <w:rPr>
      <w:rFonts w:eastAsiaTheme="minorHAnsi"/>
      <w:sz w:val="18"/>
      <w:szCs w:val="18"/>
    </w:rPr>
  </w:style>
  <w:style w:type="paragraph" w:styleId="28">
    <w:name w:val="toc 6"/>
    <w:basedOn w:val="1"/>
    <w:next w:val="1"/>
    <w:unhideWhenUsed/>
    <w:qFormat/>
    <w:uiPriority w:val="39"/>
    <w:pPr>
      <w:ind w:left="1050"/>
      <w:jc w:val="left"/>
    </w:pPr>
    <w:rPr>
      <w:rFonts w:eastAsiaTheme="minorHAnsi"/>
      <w:sz w:val="18"/>
      <w:szCs w:val="18"/>
    </w:rPr>
  </w:style>
  <w:style w:type="paragraph" w:styleId="29">
    <w:name w:val="Body Text Indent 3"/>
    <w:basedOn w:val="1"/>
    <w:link w:val="85"/>
    <w:unhideWhenUsed/>
    <w:qFormat/>
    <w:uiPriority w:val="99"/>
    <w:pPr>
      <w:spacing w:after="120"/>
      <w:ind w:left="420" w:leftChars="200"/>
    </w:pPr>
    <w:rPr>
      <w:sz w:val="16"/>
      <w:szCs w:val="16"/>
    </w:rPr>
  </w:style>
  <w:style w:type="paragraph" w:styleId="30">
    <w:name w:val="toc 2"/>
    <w:basedOn w:val="1"/>
    <w:next w:val="1"/>
    <w:unhideWhenUsed/>
    <w:qFormat/>
    <w:uiPriority w:val="39"/>
    <w:pPr>
      <w:ind w:left="210"/>
      <w:jc w:val="left"/>
    </w:pPr>
    <w:rPr>
      <w:rFonts w:eastAsia="宋体"/>
      <w:smallCaps/>
      <w:szCs w:val="20"/>
    </w:rPr>
  </w:style>
  <w:style w:type="paragraph" w:styleId="31">
    <w:name w:val="toc 9"/>
    <w:basedOn w:val="1"/>
    <w:next w:val="1"/>
    <w:unhideWhenUsed/>
    <w:qFormat/>
    <w:uiPriority w:val="39"/>
    <w:pPr>
      <w:ind w:left="1680"/>
      <w:jc w:val="left"/>
    </w:pPr>
    <w:rPr>
      <w:rFonts w:eastAsiaTheme="minorHAnsi"/>
      <w:sz w:val="18"/>
      <w:szCs w:val="18"/>
    </w:rPr>
  </w:style>
  <w:style w:type="paragraph" w:styleId="32">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33">
    <w:name w:val="annotation subject"/>
    <w:basedOn w:val="17"/>
    <w:next w:val="17"/>
    <w:link w:val="58"/>
    <w:unhideWhenUsed/>
    <w:qFormat/>
    <w:uiPriority w:val="99"/>
    <w:rPr>
      <w:b/>
      <w:bCs/>
    </w:rPr>
  </w:style>
  <w:style w:type="table" w:styleId="35">
    <w:name w:val="Table Grid"/>
    <w:basedOn w:val="34"/>
    <w:qFormat/>
    <w:uiPriority w:val="39"/>
    <w:pPr>
      <w:jc w:val="center"/>
    </w:pPr>
    <w:rPr>
      <w:sz w:val="24"/>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
    <w:trPr>
      <w:tblHeader/>
      <w:jc w:val="center"/>
    </w:trPr>
    <w:tcPr>
      <w:shd w:val="clear" w:color="auto" w:fill="FFFFFF" w:themeFill="background1"/>
      <w:vAlign w:val="center"/>
    </w:tcPr>
  </w:style>
  <w:style w:type="character" w:styleId="37">
    <w:name w:val="Hyperlink"/>
    <w:basedOn w:val="36"/>
    <w:unhideWhenUsed/>
    <w:qFormat/>
    <w:uiPriority w:val="99"/>
    <w:rPr>
      <w:color w:val="0563C1" w:themeColor="hyperlink"/>
      <w:u w:val="single"/>
      <w14:textFill>
        <w14:solidFill>
          <w14:schemeClr w14:val="hlink"/>
        </w14:solidFill>
      </w14:textFill>
    </w:rPr>
  </w:style>
  <w:style w:type="character" w:styleId="38">
    <w:name w:val="annotation reference"/>
    <w:basedOn w:val="36"/>
    <w:unhideWhenUsed/>
    <w:qFormat/>
    <w:uiPriority w:val="0"/>
    <w:rPr>
      <w:sz w:val="21"/>
      <w:szCs w:val="21"/>
    </w:rPr>
  </w:style>
  <w:style w:type="character" w:customStyle="1" w:styleId="39">
    <w:name w:val="标题 1 字符"/>
    <w:basedOn w:val="36"/>
    <w:link w:val="2"/>
    <w:qFormat/>
    <w:uiPriority w:val="9"/>
    <w:rPr>
      <w:rFonts w:ascii="Times New Roman" w:hAnsi="Times New Roman" w:eastAsia="宋体" w:cstheme="majorBidi"/>
      <w:b/>
      <w:kern w:val="44"/>
      <w:sz w:val="32"/>
      <w:szCs w:val="44"/>
    </w:rPr>
  </w:style>
  <w:style w:type="character" w:customStyle="1" w:styleId="40">
    <w:name w:val="标题 2 字符"/>
    <w:basedOn w:val="36"/>
    <w:link w:val="6"/>
    <w:qFormat/>
    <w:uiPriority w:val="0"/>
    <w:rPr>
      <w:rFonts w:ascii="Times New Roman" w:hAnsi="Times New Roman" w:eastAsia="宋体" w:cstheme="majorBidi"/>
      <w:b/>
      <w:bCs/>
      <w:kern w:val="44"/>
      <w:sz w:val="30"/>
      <w:szCs w:val="32"/>
    </w:rPr>
  </w:style>
  <w:style w:type="character" w:customStyle="1" w:styleId="41">
    <w:name w:val="标题 字符"/>
    <w:basedOn w:val="36"/>
    <w:link w:val="3"/>
    <w:qFormat/>
    <w:uiPriority w:val="10"/>
    <w:rPr>
      <w:rFonts w:asciiTheme="majorHAnsi" w:hAnsiTheme="majorHAnsi" w:eastAsiaTheme="majorEastAsia" w:cstheme="majorBidi"/>
      <w:b/>
      <w:bCs/>
      <w:sz w:val="32"/>
      <w:szCs w:val="32"/>
    </w:rPr>
  </w:style>
  <w:style w:type="character" w:customStyle="1" w:styleId="42">
    <w:name w:val="正文文本缩进 字符"/>
    <w:basedOn w:val="36"/>
    <w:link w:val="5"/>
    <w:semiHidden/>
    <w:qFormat/>
    <w:uiPriority w:val="99"/>
  </w:style>
  <w:style w:type="character" w:customStyle="1" w:styleId="43">
    <w:name w:val="正文首行缩进 2 字符"/>
    <w:basedOn w:val="42"/>
    <w:link w:val="4"/>
    <w:qFormat/>
    <w:uiPriority w:val="0"/>
    <w:rPr>
      <w:rFonts w:eastAsia="宋体"/>
      <w:sz w:val="24"/>
    </w:rPr>
  </w:style>
  <w:style w:type="character" w:customStyle="1" w:styleId="44">
    <w:name w:val="标题 3 字符"/>
    <w:basedOn w:val="36"/>
    <w:link w:val="7"/>
    <w:qFormat/>
    <w:uiPriority w:val="0"/>
    <w:rPr>
      <w:rFonts w:cstheme="majorBidi"/>
      <w:b/>
      <w:bCs/>
      <w:kern w:val="44"/>
      <w:sz w:val="28"/>
      <w:szCs w:val="32"/>
    </w:rPr>
  </w:style>
  <w:style w:type="character" w:customStyle="1" w:styleId="45">
    <w:name w:val="标题 4 字符"/>
    <w:basedOn w:val="36"/>
    <w:link w:val="8"/>
    <w:qFormat/>
    <w:uiPriority w:val="0"/>
    <w:rPr>
      <w:rFonts w:ascii="Times New Roman" w:hAnsi="Times New Roman" w:eastAsia="宋体" w:cstheme="majorBidi"/>
      <w:b/>
      <w:bCs/>
      <w:kern w:val="44"/>
      <w:sz w:val="24"/>
      <w:szCs w:val="28"/>
    </w:rPr>
  </w:style>
  <w:style w:type="character" w:customStyle="1" w:styleId="46">
    <w:name w:val="标题 5 字符"/>
    <w:basedOn w:val="36"/>
    <w:link w:val="9"/>
    <w:qFormat/>
    <w:uiPriority w:val="9"/>
    <w:rPr>
      <w:rFonts w:ascii="Times New Roman" w:hAnsi="Times New Roman" w:eastAsia="宋体" w:cstheme="majorBidi"/>
      <w:b/>
      <w:bCs/>
      <w:kern w:val="44"/>
      <w:sz w:val="24"/>
      <w:szCs w:val="28"/>
    </w:rPr>
  </w:style>
  <w:style w:type="character" w:customStyle="1" w:styleId="47">
    <w:name w:val="标题 6 字符"/>
    <w:basedOn w:val="36"/>
    <w:link w:val="10"/>
    <w:qFormat/>
    <w:uiPriority w:val="9"/>
    <w:rPr>
      <w:rFonts w:ascii="Times New Roman" w:hAnsi="Times New Roman" w:eastAsia="宋体" w:cstheme="majorBidi"/>
      <w:b/>
      <w:bCs/>
      <w:kern w:val="44"/>
      <w:sz w:val="24"/>
      <w:szCs w:val="24"/>
    </w:rPr>
  </w:style>
  <w:style w:type="character" w:customStyle="1" w:styleId="48">
    <w:name w:val="标题 7 字符"/>
    <w:basedOn w:val="36"/>
    <w:link w:val="12"/>
    <w:qFormat/>
    <w:uiPriority w:val="9"/>
    <w:rPr>
      <w:rFonts w:ascii="Times New Roman" w:hAnsi="Times New Roman" w:eastAsia="宋体" w:cstheme="majorBidi"/>
      <w:b/>
      <w:bCs/>
      <w:kern w:val="44"/>
      <w:sz w:val="24"/>
      <w:szCs w:val="24"/>
    </w:rPr>
  </w:style>
  <w:style w:type="character" w:customStyle="1" w:styleId="49">
    <w:name w:val="标题 8 字符"/>
    <w:basedOn w:val="36"/>
    <w:link w:val="13"/>
    <w:qFormat/>
    <w:uiPriority w:val="9"/>
    <w:rPr>
      <w:rFonts w:ascii="Times New Roman" w:hAnsi="Times New Roman" w:eastAsia="宋体" w:cstheme="majorBidi"/>
      <w:b/>
      <w:kern w:val="44"/>
      <w:sz w:val="24"/>
      <w:szCs w:val="24"/>
    </w:rPr>
  </w:style>
  <w:style w:type="character" w:customStyle="1" w:styleId="50">
    <w:name w:val="标题 9 字符"/>
    <w:basedOn w:val="36"/>
    <w:link w:val="14"/>
    <w:qFormat/>
    <w:uiPriority w:val="9"/>
    <w:rPr>
      <w:rFonts w:ascii="Times New Roman" w:hAnsi="Times New Roman" w:eastAsia="宋体" w:cstheme="majorBidi"/>
      <w:b/>
      <w:kern w:val="44"/>
      <w:sz w:val="24"/>
      <w:szCs w:val="44"/>
    </w:rPr>
  </w:style>
  <w:style w:type="paragraph" w:customStyle="1" w:styleId="51">
    <w:name w:val="图片居中"/>
    <w:basedOn w:val="4"/>
    <w:qFormat/>
    <w:uiPriority w:val="0"/>
    <w:pPr>
      <w:spacing w:after="60"/>
      <w:ind w:firstLine="0" w:firstLineChars="0"/>
      <w:jc w:val="center"/>
    </w:pPr>
  </w:style>
  <w:style w:type="paragraph" w:customStyle="1" w:styleId="52">
    <w:name w:val="表格文字"/>
    <w:basedOn w:val="1"/>
    <w:next w:val="4"/>
    <w:link w:val="53"/>
    <w:qFormat/>
    <w:uiPriority w:val="0"/>
    <w:pPr>
      <w:snapToGrid w:val="0"/>
    </w:pPr>
    <w:rPr>
      <w:rFonts w:eastAsia="宋体"/>
      <w:sz w:val="24"/>
    </w:rPr>
  </w:style>
  <w:style w:type="character" w:customStyle="1" w:styleId="53">
    <w:name w:val="表格文字 字符"/>
    <w:basedOn w:val="36"/>
    <w:link w:val="52"/>
    <w:qFormat/>
    <w:uiPriority w:val="0"/>
    <w:rPr>
      <w:rFonts w:eastAsia="宋体"/>
      <w:sz w:val="24"/>
    </w:rPr>
  </w:style>
  <w:style w:type="character" w:customStyle="1" w:styleId="54">
    <w:name w:val="页眉 字符"/>
    <w:basedOn w:val="36"/>
    <w:link w:val="25"/>
    <w:qFormat/>
    <w:uiPriority w:val="99"/>
    <w:rPr>
      <w:sz w:val="18"/>
      <w:szCs w:val="18"/>
    </w:rPr>
  </w:style>
  <w:style w:type="character" w:customStyle="1" w:styleId="55">
    <w:name w:val="页脚 字符"/>
    <w:basedOn w:val="36"/>
    <w:link w:val="24"/>
    <w:qFormat/>
    <w:uiPriority w:val="99"/>
    <w:rPr>
      <w:sz w:val="18"/>
      <w:szCs w:val="18"/>
    </w:rPr>
  </w:style>
  <w:style w:type="character" w:customStyle="1" w:styleId="56">
    <w:name w:val="批注框文本 字符"/>
    <w:basedOn w:val="36"/>
    <w:link w:val="23"/>
    <w:semiHidden/>
    <w:qFormat/>
    <w:uiPriority w:val="99"/>
    <w:rPr>
      <w:sz w:val="18"/>
      <w:szCs w:val="18"/>
    </w:rPr>
  </w:style>
  <w:style w:type="character" w:customStyle="1" w:styleId="57">
    <w:name w:val="批注文字 字符"/>
    <w:basedOn w:val="36"/>
    <w:link w:val="17"/>
    <w:qFormat/>
    <w:uiPriority w:val="0"/>
  </w:style>
  <w:style w:type="character" w:customStyle="1" w:styleId="58">
    <w:name w:val="批注主题 字符"/>
    <w:basedOn w:val="57"/>
    <w:link w:val="33"/>
    <w:semiHidden/>
    <w:qFormat/>
    <w:uiPriority w:val="99"/>
    <w:rPr>
      <w:b/>
      <w:bCs/>
    </w:rPr>
  </w:style>
  <w:style w:type="table" w:customStyle="1" w:styleId="59">
    <w:name w:val="网格表 1 浅色1"/>
    <w:basedOn w:val="3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正文文本 字符"/>
    <w:basedOn w:val="36"/>
    <w:link w:val="18"/>
    <w:semiHidden/>
    <w:qFormat/>
    <w:uiPriority w:val="99"/>
  </w:style>
  <w:style w:type="character" w:customStyle="1" w:styleId="61">
    <w:name w:val="纯文本 字符"/>
    <w:link w:val="21"/>
    <w:qFormat/>
    <w:uiPriority w:val="0"/>
    <w:rPr>
      <w:rFonts w:eastAsia="宋体"/>
      <w:sz w:val="24"/>
    </w:rPr>
  </w:style>
  <w:style w:type="character" w:customStyle="1" w:styleId="62">
    <w:name w:val="纯文本 字符1"/>
    <w:basedOn w:val="36"/>
    <w:semiHidden/>
    <w:qFormat/>
    <w:uiPriority w:val="99"/>
    <w:rPr>
      <w:rFonts w:hAnsi="Courier New" w:cs="Courier New" w:asciiTheme="minorEastAsia"/>
    </w:rPr>
  </w:style>
  <w:style w:type="paragraph" w:customStyle="1" w:styleId="6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4">
    <w:name w:val="列表段落1"/>
    <w:basedOn w:val="1"/>
    <w:link w:val="69"/>
    <w:qFormat/>
    <w:uiPriority w:val="99"/>
    <w:pPr>
      <w:spacing w:line="240" w:lineRule="auto"/>
      <w:ind w:firstLine="420" w:firstLineChars="200"/>
    </w:pPr>
    <w:rPr>
      <w:szCs w:val="22"/>
    </w:rPr>
  </w:style>
  <w:style w:type="character" w:customStyle="1" w:styleId="65">
    <w:name w:val="正文正文111 Char"/>
    <w:link w:val="66"/>
    <w:qFormat/>
    <w:locked/>
    <w:uiPriority w:val="1"/>
    <w:rPr>
      <w:rFonts w:ascii="宋体" w:hAnsi="宋体" w:eastAsia="宋体" w:cs="宋体"/>
      <w:sz w:val="24"/>
    </w:rPr>
  </w:style>
  <w:style w:type="paragraph" w:customStyle="1" w:styleId="66">
    <w:name w:val="正文正文111"/>
    <w:basedOn w:val="1"/>
    <w:link w:val="65"/>
    <w:qFormat/>
    <w:uiPriority w:val="1"/>
    <w:pPr>
      <w:ind w:firstLine="200" w:firstLineChars="200"/>
      <w:jc w:val="left"/>
    </w:pPr>
    <w:rPr>
      <w:rFonts w:ascii="宋体" w:hAnsi="宋体" w:eastAsia="宋体" w:cs="宋体"/>
      <w:sz w:val="24"/>
    </w:rPr>
  </w:style>
  <w:style w:type="paragraph" w:customStyle="1" w:styleId="67">
    <w:name w:val="H正文"/>
    <w:basedOn w:val="1"/>
    <w:link w:val="68"/>
    <w:qFormat/>
    <w:uiPriority w:val="0"/>
    <w:pPr>
      <w:adjustRightInd w:val="0"/>
      <w:spacing w:before="60" w:after="60"/>
      <w:ind w:firstLine="482"/>
      <w:textAlignment w:val="baseline"/>
    </w:pPr>
    <w:rPr>
      <w:rFonts w:ascii="Times New Roman" w:hAnsi="Times New Roman" w:eastAsia="华文中宋" w:cs="Times New Roman"/>
      <w:kern w:val="0"/>
      <w:sz w:val="24"/>
      <w:szCs w:val="20"/>
    </w:rPr>
  </w:style>
  <w:style w:type="character" w:customStyle="1" w:styleId="68">
    <w:name w:val="H正文 Char"/>
    <w:link w:val="67"/>
    <w:qFormat/>
    <w:uiPriority w:val="0"/>
    <w:rPr>
      <w:rFonts w:ascii="Times New Roman" w:hAnsi="Times New Roman" w:eastAsia="华文中宋" w:cs="Times New Roman"/>
      <w:kern w:val="0"/>
      <w:sz w:val="24"/>
      <w:szCs w:val="20"/>
    </w:rPr>
  </w:style>
  <w:style w:type="character" w:customStyle="1" w:styleId="69">
    <w:name w:val="列表段落 字符"/>
    <w:link w:val="64"/>
    <w:qFormat/>
    <w:locked/>
    <w:uiPriority w:val="34"/>
    <w:rPr>
      <w:szCs w:val="22"/>
    </w:rPr>
  </w:style>
  <w:style w:type="character" w:customStyle="1" w:styleId="70">
    <w:name w:val="04-正文 Char Char"/>
    <w:link w:val="71"/>
    <w:qFormat/>
    <w:uiPriority w:val="0"/>
    <w:rPr>
      <w:szCs w:val="24"/>
    </w:rPr>
  </w:style>
  <w:style w:type="paragraph" w:customStyle="1" w:styleId="71">
    <w:name w:val="04-正文"/>
    <w:basedOn w:val="1"/>
    <w:link w:val="70"/>
    <w:qFormat/>
    <w:uiPriority w:val="0"/>
    <w:pPr>
      <w:spacing w:line="360" w:lineRule="exact"/>
      <w:ind w:firstLine="420"/>
    </w:pPr>
    <w:rPr>
      <w:szCs w:val="24"/>
    </w:rPr>
  </w:style>
  <w:style w:type="paragraph" w:customStyle="1" w:styleId="72">
    <w:name w:val="正文-2字符首行缩进"/>
    <w:basedOn w:val="1"/>
    <w:qFormat/>
    <w:uiPriority w:val="0"/>
    <w:pPr>
      <w:ind w:firstLine="200" w:firstLineChars="200"/>
    </w:pPr>
    <w:rPr>
      <w:rFonts w:ascii="仿宋_GB2312" w:hAnsi="Calibri" w:eastAsia="仿宋_GB2312" w:cs="仿宋_GB2312"/>
      <w:kern w:val="0"/>
      <w:sz w:val="24"/>
      <w:szCs w:val="24"/>
    </w:rPr>
  </w:style>
  <w:style w:type="character" w:customStyle="1" w:styleId="73">
    <w:name w:val="正文缩进 字符"/>
    <w:link w:val="11"/>
    <w:qFormat/>
    <w:uiPriority w:val="0"/>
    <w:rPr>
      <w:rFonts w:ascii="Times New Roman" w:hAnsi="Times New Roman" w:eastAsia="宋体" w:cs="Times New Roman"/>
      <w:kern w:val="0"/>
      <w:szCs w:val="20"/>
    </w:rPr>
  </w:style>
  <w:style w:type="paragraph" w:customStyle="1" w:styleId="74">
    <w:name w:val="项目1"/>
    <w:basedOn w:val="11"/>
    <w:next w:val="11"/>
    <w:qFormat/>
    <w:uiPriority w:val="0"/>
    <w:pPr>
      <w:tabs>
        <w:tab w:val="left" w:pos="2040"/>
      </w:tabs>
      <w:adjustRightInd/>
      <w:spacing w:beforeLines="50" w:afterLines="50" w:line="360" w:lineRule="auto"/>
      <w:ind w:left="1679" w:hanging="420" w:firstLineChars="0"/>
      <w:textAlignment w:val="auto"/>
    </w:pPr>
    <w:rPr>
      <w:rFonts w:ascii="宋体" w:hAnsi="宋体"/>
      <w:bCs/>
      <w:kern w:val="2"/>
      <w:szCs w:val="21"/>
    </w:rPr>
  </w:style>
  <w:style w:type="character" w:customStyle="1" w:styleId="75">
    <w:name w:val="无间隔 字符"/>
    <w:link w:val="76"/>
    <w:qFormat/>
    <w:locked/>
    <w:uiPriority w:val="1"/>
    <w:rPr>
      <w:rFonts w:ascii="Segoe UI" w:hAnsi="Segoe UI" w:cs="Segoe UI"/>
      <w:sz w:val="22"/>
    </w:rPr>
  </w:style>
  <w:style w:type="paragraph" w:customStyle="1" w:styleId="76">
    <w:name w:val="无间隔1"/>
    <w:link w:val="75"/>
    <w:qFormat/>
    <w:uiPriority w:val="1"/>
    <w:pPr>
      <w:snapToGrid w:val="0"/>
    </w:pPr>
    <w:rPr>
      <w:rFonts w:ascii="Segoe UI" w:hAnsi="Segoe UI" w:cs="Segoe UI" w:eastAsiaTheme="minorEastAsia"/>
      <w:kern w:val="2"/>
      <w:sz w:val="22"/>
      <w:szCs w:val="21"/>
      <w:lang w:val="en-US" w:eastAsia="zh-CN" w:bidi="ar-SA"/>
    </w:rPr>
  </w:style>
  <w:style w:type="paragraph" w:customStyle="1" w:styleId="77">
    <w:name w:val="FC正文"/>
    <w:basedOn w:val="1"/>
    <w:qFormat/>
    <w:uiPriority w:val="0"/>
    <w:pPr>
      <w:ind w:firstLine="480" w:firstLineChars="200"/>
    </w:pPr>
    <w:rPr>
      <w:rFonts w:ascii="宋体" w:hAnsi="宋体" w:eastAsia="宋体" w:cs="Times New Roman"/>
      <w:sz w:val="24"/>
      <w:szCs w:val="24"/>
    </w:rPr>
  </w:style>
  <w:style w:type="paragraph" w:customStyle="1" w:styleId="78">
    <w:name w:val="_正文段落"/>
    <w:basedOn w:val="1"/>
    <w:qFormat/>
    <w:uiPriority w:val="0"/>
    <w:rPr>
      <w:rFonts w:ascii="Times New Roman" w:hAnsi="Times New Roman" w:eastAsia="仿宋_GB2312" w:cs="Times New Roman"/>
      <w:sz w:val="28"/>
      <w:szCs w:val="24"/>
    </w:rPr>
  </w:style>
  <w:style w:type="paragraph" w:customStyle="1" w:styleId="79">
    <w:name w:val="表格"/>
    <w:basedOn w:val="1"/>
    <w:qFormat/>
    <w:uiPriority w:val="0"/>
    <w:pPr>
      <w:spacing w:line="400" w:lineRule="exact"/>
    </w:pPr>
    <w:rPr>
      <w:rFonts w:ascii="Times New Roman" w:hAnsi="Times New Roman" w:eastAsia="宋体" w:cs="Times New Roman"/>
      <w:sz w:val="24"/>
      <w:szCs w:val="24"/>
    </w:rPr>
  </w:style>
  <w:style w:type="paragraph" w:customStyle="1" w:styleId="80">
    <w:name w:val="_Style 78"/>
    <w:basedOn w:val="1"/>
    <w:next w:val="64"/>
    <w:qFormat/>
    <w:uiPriority w:val="99"/>
    <w:pPr>
      <w:spacing w:line="240" w:lineRule="auto"/>
      <w:ind w:firstLine="420" w:firstLineChars="200"/>
    </w:pPr>
    <w:rPr>
      <w:rFonts w:ascii="Calibri" w:hAnsi="Calibri" w:eastAsia="宋体" w:cs="Times New Roman"/>
      <w:szCs w:val="22"/>
    </w:rPr>
  </w:style>
  <w:style w:type="paragraph" w:customStyle="1" w:styleId="81">
    <w:name w:val="正文样式1"/>
    <w:basedOn w:val="18"/>
    <w:link w:val="82"/>
    <w:qFormat/>
    <w:uiPriority w:val="0"/>
    <w:pPr>
      <w:snapToGrid w:val="0"/>
      <w:spacing w:after="0" w:line="300" w:lineRule="auto"/>
      <w:ind w:firstLine="420" w:firstLineChars="200"/>
    </w:pPr>
    <w:rPr>
      <w:rFonts w:ascii="微软雅黑" w:hAnsi="微软雅黑" w:eastAsia="微软雅黑" w:cs="Times New Roman"/>
      <w:kern w:val="0"/>
      <w:sz w:val="20"/>
      <w:szCs w:val="24"/>
      <w:lang w:val="zh-CN"/>
    </w:rPr>
  </w:style>
  <w:style w:type="character" w:customStyle="1" w:styleId="82">
    <w:name w:val="正文样式1 Char"/>
    <w:link w:val="81"/>
    <w:qFormat/>
    <w:uiPriority w:val="0"/>
    <w:rPr>
      <w:rFonts w:ascii="微软雅黑" w:hAnsi="微软雅黑" w:eastAsia="微软雅黑" w:cs="Times New Roman"/>
      <w:szCs w:val="24"/>
      <w:lang w:val="zh-CN"/>
    </w:rPr>
  </w:style>
  <w:style w:type="paragraph" w:customStyle="1" w:styleId="83">
    <w:name w:val="正文-SM"/>
    <w:basedOn w:val="21"/>
    <w:qFormat/>
    <w:uiPriority w:val="0"/>
    <w:pPr>
      <w:widowControl/>
      <w:spacing w:line="360" w:lineRule="auto"/>
      <w:ind w:firstLine="200" w:firstLineChars="200"/>
      <w:jc w:val="left"/>
    </w:pPr>
    <w:rPr>
      <w:rFonts w:ascii="Times New Roman" w:hAnsi="宋体" w:cs="宋体"/>
      <w:kern w:val="0"/>
      <w:szCs w:val="24"/>
    </w:rPr>
  </w:style>
  <w:style w:type="paragraph" w:customStyle="1" w:styleId="84">
    <w:name w:val="列表段落11"/>
    <w:basedOn w:val="1"/>
    <w:qFormat/>
    <w:uiPriority w:val="0"/>
    <w:pPr>
      <w:widowControl/>
      <w:spacing w:line="240" w:lineRule="auto"/>
      <w:ind w:firstLine="420" w:firstLineChars="200"/>
      <w:jc w:val="left"/>
    </w:pPr>
    <w:rPr>
      <w:rFonts w:ascii="宋体" w:hAnsi="宋体" w:eastAsia="宋体" w:cs="宋体"/>
      <w:kern w:val="0"/>
      <w:sz w:val="24"/>
      <w:szCs w:val="24"/>
    </w:rPr>
  </w:style>
  <w:style w:type="character" w:customStyle="1" w:styleId="85">
    <w:name w:val="正文文本缩进 3 字符"/>
    <w:basedOn w:val="36"/>
    <w:link w:val="29"/>
    <w:semiHidden/>
    <w:qFormat/>
    <w:uiPriority w:val="99"/>
    <w:rPr>
      <w:kern w:val="2"/>
      <w:sz w:val="16"/>
      <w:szCs w:val="16"/>
    </w:rPr>
  </w:style>
  <w:style w:type="paragraph" w:customStyle="1" w:styleId="86">
    <w:name w:val="_Style 85"/>
    <w:basedOn w:val="1"/>
    <w:next w:val="64"/>
    <w:qFormat/>
    <w:uiPriority w:val="99"/>
    <w:pPr>
      <w:spacing w:line="240" w:lineRule="auto"/>
      <w:ind w:firstLine="420" w:firstLineChars="200"/>
    </w:pPr>
    <w:rPr>
      <w:rFonts w:ascii="Calibri" w:hAnsi="Calibri" w:eastAsia="宋体" w:cs="Times New Roman"/>
      <w:szCs w:val="22"/>
    </w:rPr>
  </w:style>
  <w:style w:type="paragraph" w:customStyle="1" w:styleId="87">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88">
    <w:name w:val="修订2"/>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89">
    <w:name w:val="列表段落2"/>
    <w:basedOn w:val="1"/>
    <w:qFormat/>
    <w:uiPriority w:val="99"/>
    <w:pPr>
      <w:ind w:firstLine="420" w:firstLineChars="200"/>
    </w:pPr>
  </w:style>
  <w:style w:type="paragraph" w:customStyle="1" w:styleId="90">
    <w:name w:val="修订3"/>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91">
    <w:name w:val="修订4"/>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92">
    <w:name w:val="修订5"/>
    <w:hidden/>
    <w:semiHidden/>
    <w:qFormat/>
    <w:uiPriority w:val="99"/>
    <w:rPr>
      <w:rFonts w:asciiTheme="minorHAnsi" w:hAnsiTheme="minorHAnsi" w:eastAsiaTheme="minorEastAsia" w:cstheme="minorBidi"/>
      <w:kern w:val="2"/>
      <w:sz w:val="21"/>
      <w:szCs w:val="21"/>
      <w:lang w:val="en-US" w:eastAsia="zh-CN" w:bidi="ar-SA"/>
    </w:rPr>
  </w:style>
  <w:style w:type="paragraph" w:styleId="93">
    <w:name w:val="List Paragraph"/>
    <w:basedOn w:val="1"/>
    <w:qFormat/>
    <w:uiPriority w:val="34"/>
    <w:pPr>
      <w:ind w:firstLine="420"/>
    </w:pPr>
    <w:rPr>
      <w:rFonts w:ascii="Times New Roman" w:hAnsi="Times New Roman"/>
    </w:rPr>
  </w:style>
  <w:style w:type="paragraph" w:customStyle="1" w:styleId="94">
    <w:name w:val="修订6"/>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95">
    <w:name w:val="修订7"/>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96">
    <w:name w:val="修订8"/>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97">
    <w:name w:val="修订9"/>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98">
    <w:name w:val="修订10"/>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99">
    <w:name w:val="修订11"/>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100">
    <w:name w:val="修订12"/>
    <w:hidden/>
    <w:unhideWhenUsed/>
    <w:qFormat/>
    <w:uiPriority w:val="99"/>
    <w:rPr>
      <w:rFonts w:asciiTheme="minorHAnsi" w:hAnsiTheme="minorHAnsi" w:eastAsiaTheme="minorEastAsia"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B9EC8-4D32-42A4-97E2-8B9C0E4E45F2}">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16</Pages>
  <Words>7328</Words>
  <Characters>7578</Characters>
  <Lines>88</Lines>
  <Paragraphs>24</Paragraphs>
  <TotalTime>10</TotalTime>
  <ScaleCrop>false</ScaleCrop>
  <LinksUpToDate>false</LinksUpToDate>
  <CharactersWithSpaces>7588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2025-02-27T00:55:00Z</dcterms:created>
  <dc:creator>Admin</dc:creator>
  <cp:lastModifiedBy>user</cp:lastModifiedBy>
  <cp:lastPrinted>2025-04-08T18:28:00Z</cp:lastPrinted>
  <dcterms:modified xsi:type="dcterms:W3CDTF">2025-04-09T10:46:48Z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1170DB9495CEBEA835DEF5670921E6C0_43</vt:lpwstr>
  </property>
  <property fmtid="{D5CDD505-2E9C-101B-9397-08002B2CF9AE}" pid="4" name="KSOTemplateDocerSaveRecord">
    <vt:lpwstr>eyJoZGlkIjoiMDYxMWI4NTExYmFmNWExYzhkMWNlMzY1YThkYzE3MTQiLCJ1c2VySWQiOiI3MDczMDI4MjIifQ==</vt:lpwstr>
  </property>
</Properties>
</file>