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6BD55">
      <w:pPr>
        <w:ind w:firstLine="643"/>
        <w:jc w:val="center"/>
        <w:rPr>
          <w:b/>
          <w:bCs/>
          <w:sz w:val="32"/>
          <w:szCs w:val="24"/>
        </w:rPr>
      </w:pPr>
      <w:r>
        <w:rPr>
          <w:rFonts w:hint="eastAsia"/>
          <w:b/>
          <w:bCs/>
          <w:sz w:val="32"/>
          <w:szCs w:val="24"/>
          <w:lang w:val="en-US" w:eastAsia="zh-CN"/>
        </w:rPr>
        <w:t>高清民事法庭及互联网法庭改造项目（2025年升级改造）技术</w:t>
      </w:r>
      <w:r>
        <w:rPr>
          <w:rFonts w:hint="eastAsia"/>
          <w:b/>
          <w:bCs/>
          <w:sz w:val="32"/>
          <w:szCs w:val="24"/>
        </w:rPr>
        <w:t>需求</w:t>
      </w:r>
    </w:p>
    <w:p w14:paraId="2863BB24">
      <w:pPr>
        <w:pStyle w:val="3"/>
        <w:ind w:firstLine="640"/>
      </w:pPr>
      <w:r>
        <w:rPr>
          <w:rFonts w:hint="eastAsia"/>
        </w:rPr>
        <w:t>建设内容</w:t>
      </w:r>
    </w:p>
    <w:p w14:paraId="1C232BE2">
      <w:pPr>
        <w:ind w:firstLine="480"/>
      </w:pPr>
      <w:r>
        <w:rPr>
          <w:rFonts w:hint="eastAsia"/>
        </w:rPr>
        <w:t>根据最高《科技法庭信息化建设规范》和上海高院《上海法院高清审判法庭庭审系统建设规范》等指导文件及技术要求为依据，结合业务的实际情况和项目具体需求，在</w:t>
      </w:r>
      <w:r>
        <w:rPr>
          <w:rFonts w:hint="eastAsia"/>
          <w:lang w:val="en-US" w:eastAsia="zh-CN"/>
        </w:rPr>
        <w:t>杨浦</w:t>
      </w:r>
      <w:r>
        <w:rPr>
          <w:rFonts w:hint="eastAsia"/>
        </w:rPr>
        <w:t>法院改造6个科技法庭，更换相关信息化设备及布线重新改造</w:t>
      </w:r>
      <w:r>
        <w:rPr>
          <w:rFonts w:hint="eastAsia"/>
          <w:lang w:eastAsia="zh-CN"/>
        </w:rPr>
        <w:t>。</w:t>
      </w:r>
      <w:r>
        <w:rPr>
          <w:rFonts w:hint="eastAsia"/>
        </w:rPr>
        <w:t>涉及视频采集处理系统、庭审音频采集扩声系统、法官辅助系统、高清示证系统、法庭公告屏及其他配套设施。</w:t>
      </w:r>
    </w:p>
    <w:p w14:paraId="3DE8C018">
      <w:pPr>
        <w:pStyle w:val="3"/>
        <w:ind w:firstLine="643" w:firstLineChars="200"/>
      </w:pPr>
      <w:r>
        <w:rPr>
          <w:rFonts w:hint="eastAsia"/>
        </w:rPr>
        <w:t>系统建设清单</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1117"/>
        <w:gridCol w:w="5817"/>
        <w:gridCol w:w="687"/>
        <w:gridCol w:w="383"/>
      </w:tblGrid>
      <w:tr w14:paraId="7590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6D1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none"/>
              </w:rPr>
              <w:t>序号</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B6C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none"/>
              </w:rPr>
              <w:t>名称</w:t>
            </w:r>
          </w:p>
        </w:tc>
        <w:tc>
          <w:tcPr>
            <w:tcW w:w="3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78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none"/>
              </w:rPr>
              <w:t>技术指标要求</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37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none"/>
              </w:rPr>
              <w:t>数量</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0D1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none"/>
              </w:rPr>
              <w:t>单位</w:t>
            </w:r>
          </w:p>
        </w:tc>
      </w:tr>
      <w:tr w14:paraId="5E8D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94E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14:ligatures w14:val="none"/>
              </w:rPr>
              <w:t>一</w:t>
            </w:r>
          </w:p>
        </w:tc>
        <w:tc>
          <w:tcPr>
            <w:tcW w:w="4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15D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视频采集处理系统</w:t>
            </w:r>
          </w:p>
        </w:tc>
      </w:tr>
      <w:tr w14:paraId="3D9A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989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082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高清录播工作站</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55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详见“重要产品技术指标要求”</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F84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15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63DB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E3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7B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高清摄像机</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04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详见“重要产品技术指标要求”</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8F2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47F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3B67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99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78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摄像机支架</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F1F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产品性能指标不低于以下参数：与高清摄像机配套，L型或U型；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91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49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套</w:t>
            </w:r>
          </w:p>
        </w:tc>
      </w:tr>
      <w:tr w14:paraId="0892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F3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14:ligatures w14:val="none"/>
              </w:rPr>
              <w:t>二</w:t>
            </w:r>
          </w:p>
        </w:tc>
        <w:tc>
          <w:tcPr>
            <w:tcW w:w="4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00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庭审扩声系统</w:t>
            </w:r>
          </w:p>
        </w:tc>
      </w:tr>
      <w:tr w14:paraId="7921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B6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7D0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数字音频处理器</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929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none"/>
              </w:rPr>
              <w:t>详见“重要产品技术指标要求”</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2A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75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2EDF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1F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499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桌面会议话筒</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9A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产品性能指标不低于以下参数：单体：背极式驻极体</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指向性：超心形</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頻率回应：50Hz-16KHz</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灵敏度：-42dB±3dB/（0dB=1V/Paat1KHz)</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最大声压级:132dB（at1kHz≦1%T.H.D)</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动态范围：115dB(1KHzatMaxSPL)</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信噪比：72dB(1KHzat1Pa)</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等效噪声：≤30dB输出阻抗：250Ω±30%(at1kHz)</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供电电压：幻象DC48V长度：400mm</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顏色：雅黑或银灰</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附件：防风棉</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D0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54</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890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个</w:t>
            </w:r>
          </w:p>
        </w:tc>
      </w:tr>
      <w:tr w14:paraId="5A88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BA1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A27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数字功放</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352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产品性能指标不低于以下参数：输入电压AC220V/50HZ</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承载功率8Ω300Wx2</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承载功率4Ω500Wx2</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桥接单声8Ω1000W@8Ω</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频率响应10HZ～20KHZ(+/-1dB)</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失真/THD≦0.2%</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信噪比/S/N:&gt;100dB</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输入阻抗20kΩ/10KkΩ</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输入灵敏度：1.2V</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外观尺寸：480*380*45mm</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66C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7C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06D1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833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48B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吸顶音箱</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4ED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产品性能指标不低于以下参数：高音单元19mm×1(0.75×1Inch)</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低频单元6.5"布边折环，低失真,准平板扬声器</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频率响应65Hz-20kHz</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标称阻抗8Ω</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功率60W～120W</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灵敏度91dB/W/m</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标称覆盖角90°圆锥覆盖</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类型专门定制的低失真叠片铁芯，宽频段设计</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安装方式吸顶安装壁挂安装均可</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安装架内置吸顶安装吊架1个，墙壁安装.</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尺寸（长、宽、高）390×300×95mm,开孔尺寸（长、宽）367×280mm</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1AC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69F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个</w:t>
            </w:r>
          </w:p>
        </w:tc>
      </w:tr>
      <w:tr w14:paraId="285BC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B24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AA4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电源控制器</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0C0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产品性能指标不低于以下参数：支持书记员电脑开机自启功能,书记员电脑关机自关功能。</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铝面板，配有输出电压、电流实时显示</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共十路可控八路电源输出，每路可达30A</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可控输出延时时间为1S</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继电器受控输出最大承受单路功率/总功率(无功功率）:6000W/10000W最大承受无功功率</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单路独立开关功能:支持面板设定某通道关闭与打开</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功能显示电压显示表类型:点阵显示功能操作，支持电压显示</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中控控制接口：232控制，I/O口控制</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8DD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A6F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2A50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36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14:ligatures w14:val="none"/>
              </w:rPr>
              <w:t>三</w:t>
            </w:r>
          </w:p>
        </w:tc>
        <w:tc>
          <w:tcPr>
            <w:tcW w:w="4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D0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庭审记录改革系统</w:t>
            </w:r>
          </w:p>
        </w:tc>
      </w:tr>
      <w:tr w14:paraId="5434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0F6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EF7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语音转录主机</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558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产品性能指标不低于以下参数：1、音频输入参数：</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1)频响：20HZ-20KHZ（+0.1/-0.4dB)</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2)动态范围：最高92dB，A计权</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3)噪声级别：-92dB，A计权</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4)阻抗：20kohm</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5)输入电平：+4dBu</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6)可调节增益范围：0dB~51dB（数字调节）</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2、音频输出参数：</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1)频响：20HZ-20KHZ（+0.1/-0.4dB）</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2)动态范围：最高92dB，A计权</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3)噪声级别：-92dB，A计权</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4)阻抗：470ohm</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5)输出电平：+4dBu</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3、接口默认数字音频参数：</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1)采样率：16k/48k</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2)位深：16bit</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3)通道：12通道</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4)光纤同步接口：input*1，output*1</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24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D86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530E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B3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14:ligatures w14:val="none"/>
              </w:rPr>
              <w:t>四</w:t>
            </w:r>
          </w:p>
        </w:tc>
        <w:tc>
          <w:tcPr>
            <w:tcW w:w="4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100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法官辅助系统</w:t>
            </w:r>
          </w:p>
        </w:tc>
      </w:tr>
      <w:tr w14:paraId="48839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EE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0FA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庭审助手触摸显示器</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998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产品性能指标不低于以下参数：23.8英寸10点投射式电容触控屏，IPS面板，16:9，DP、HDMI、USB等接口，内置2Wx2音箱，Z型折叠支架：倾斜角度-5~90度、折叠角度0~70度、高度调节75mm~184mm</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996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88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47E1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BF8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C7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庭审助手显示器</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EC3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产品性能指标不低于以下参数：庭审助手显示器23.8英寸，AH-IPS面板，1920*1080P，16:9，100Hz，HDMI*2，音频输出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8D4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5E0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1DCF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546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171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法官当事人庭审助手终端</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6B2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法官当事人庭审助手终端单路8核2.7GHz，8G,256GSSD硬盘,1G独显具备设备管理、文件系统管理、用户管理、个性化设置等基本功能，提供应用商店、邮件客户端、图片查看器、视频播放器、备份还原、安全中心等常用工具，具备桌面智能助手、听写播报、语音记事本、多种用户交互界面等特色功能。流式软件，文档处理软件</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086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544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1556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353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562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数字签名板</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21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产品性能指标不低于以下参数：数字签名板4寸黑白液晶屏(单色LCD)，显示区域</w:t>
            </w:r>
            <w:r>
              <w:rPr>
                <w:rFonts w:hint="eastAsia" w:ascii="宋体" w:hAnsi="宋体" w:cs="宋体"/>
                <w:i w:val="0"/>
                <w:iCs w:val="0"/>
                <w:color w:val="000000"/>
                <w:kern w:val="0"/>
                <w:sz w:val="22"/>
                <w:szCs w:val="22"/>
                <w:u w:val="none"/>
                <w:lang w:val="en-US" w:eastAsia="zh-CN" w:bidi="ar"/>
                <w14:ligatures w14:val="none"/>
              </w:rPr>
              <w:t>不低于</w:t>
            </w:r>
            <w:r>
              <w:rPr>
                <w:rFonts w:hint="eastAsia" w:ascii="宋体" w:hAnsi="宋体" w:eastAsia="宋体" w:cs="宋体"/>
                <w:i w:val="0"/>
                <w:iCs w:val="0"/>
                <w:color w:val="000000"/>
                <w:kern w:val="0"/>
                <w:sz w:val="22"/>
                <w:szCs w:val="22"/>
                <w:u w:val="none"/>
                <w:lang w:val="en-US" w:eastAsia="zh-CN" w:bidi="ar"/>
                <w14:ligatures w14:val="none"/>
              </w:rPr>
              <w:t>83.52mm(W)*55.68mm(H)，显示屏像素480*320(3:2)，USB接口，数位板分别率2540lpi，压感级别1024级，反应速度300点/秒</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39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68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套</w:t>
            </w:r>
          </w:p>
        </w:tc>
      </w:tr>
      <w:tr w14:paraId="28B7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7A8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14:ligatures w14:val="none"/>
              </w:rPr>
              <w:t>五</w:t>
            </w:r>
          </w:p>
        </w:tc>
        <w:tc>
          <w:tcPr>
            <w:tcW w:w="4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E68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高清示证系统</w:t>
            </w:r>
          </w:p>
        </w:tc>
      </w:tr>
      <w:tr w14:paraId="7040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FF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0C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高清示证系统显示器</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701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产品性能指标不低于以下参数：高清示证系统显示器65寸，4K（3840*2160）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C5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0C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21620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33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53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高清示证系统显示器支架</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CF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产品性能指标不低于以下参数：高清示证系统显示器支架示证显示器翻转支架</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AF9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11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套</w:t>
            </w:r>
          </w:p>
        </w:tc>
      </w:tr>
      <w:tr w14:paraId="7810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36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EC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高清矩阵</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B7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产品性能指标不低于以下参数：高清矩阵16路HDMI信号输入；16路HDMI信号输出；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162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3D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528E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542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CF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高清多媒体播放器</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62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产品性能指标不低于以下参数：蓝光DVD，输入端口：USB、HDMI；读取光盘格式：DVD、CD、VCD等</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622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2C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0322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22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26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示证展台</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231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产品性能指标不低于以下参数：变焦：12倍光学变焦20倍数字变焦</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对焦：自动</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解析度：1400TV线以上</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像素：1300万</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分辨率：4160*3104</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USB接口：USB-A*2Type-C*1</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输入接口：麦克风输入“1VGA输入*1HDMI输入*1</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输出接口：VGA输出*2HDMI输出*2</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灯光：双侧补光灯支持270°旋转</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展开尺寸：570X510X530mm</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收拢尺寸：120X510X410mm</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重量：5KG</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23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03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1ADE8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7FB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14:ligatures w14:val="none"/>
              </w:rPr>
              <w:t>六</w:t>
            </w:r>
          </w:p>
        </w:tc>
        <w:tc>
          <w:tcPr>
            <w:tcW w:w="4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7F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法庭公告屏</w:t>
            </w:r>
          </w:p>
        </w:tc>
      </w:tr>
      <w:tr w14:paraId="3C90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980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BBF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信息公告发布屏</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B7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产品性能指标不低于以下参数：信息公告发布屏1.显示屏：10.1英寸</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2.分辨率：1920*1200</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3.触摸屏：电容屏，多点式触摸</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8F2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22D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块</w:t>
            </w:r>
          </w:p>
        </w:tc>
      </w:tr>
      <w:tr w14:paraId="34B1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C8E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FA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庭审公告屏显示软件部署</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F6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滚动显示该法庭当天审理所有案件信息，当前审理案件的排期、法庭纪律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55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84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套</w:t>
            </w:r>
          </w:p>
        </w:tc>
      </w:tr>
      <w:tr w14:paraId="5B2A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462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14:ligatures w14:val="none"/>
              </w:rPr>
              <w:t>七</w:t>
            </w:r>
          </w:p>
        </w:tc>
        <w:tc>
          <w:tcPr>
            <w:tcW w:w="4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2C0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其他</w:t>
            </w:r>
          </w:p>
        </w:tc>
      </w:tr>
      <w:tr w14:paraId="0A6E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3CA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5FD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庭审交换机</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8C5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产品性能指标不低于以下参数：庭审交换机L2以太网交换机主机,支持24个10/100/1000BASE-T电口,4个1G/10GBASE-XSFP+端口-1台</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08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1A1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6B0C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F0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02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光纤模块</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490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产品性能指标不低于以下参数：光纤模块光模块-SFP-GE-多模模块-(850nm,0.55km,LC)</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432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BD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个</w:t>
            </w:r>
          </w:p>
        </w:tc>
      </w:tr>
      <w:tr w14:paraId="62EC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60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0FA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机柜</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54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产品性能指标不低于以下参数：标准机柜600*600，30U</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66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6D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台</w:t>
            </w:r>
          </w:p>
        </w:tc>
      </w:tr>
      <w:tr w14:paraId="3F8F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63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989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六类非屏蔽线缆</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773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产品性能指标不低于以下参数：六类非屏蔽线缆CAT6-UTP,305米/箱</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74A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9</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F7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箱</w:t>
            </w:r>
          </w:p>
        </w:tc>
      </w:tr>
      <w:tr w14:paraId="44EC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76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380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电源线</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7A7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电源线RVV3*1.5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74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075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米</w:t>
            </w:r>
          </w:p>
        </w:tc>
      </w:tr>
      <w:tr w14:paraId="43F5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8C7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755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音频线</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AA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音频线3*0.5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99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97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米</w:t>
            </w:r>
          </w:p>
        </w:tc>
      </w:tr>
      <w:tr w14:paraId="2037D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417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F43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视频线</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957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视频线3G-SDI</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700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14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米</w:t>
            </w:r>
          </w:p>
        </w:tc>
      </w:tr>
      <w:tr w14:paraId="3324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F5F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82A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光纤HDMI线缆20米</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AB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光纤HDMI线缆20米</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908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385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套</w:t>
            </w:r>
          </w:p>
        </w:tc>
      </w:tr>
      <w:tr w14:paraId="57DD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5C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9</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DD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金银音箱线</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F4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金银音箱线</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D04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720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FE8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米</w:t>
            </w:r>
          </w:p>
        </w:tc>
      </w:tr>
      <w:tr w14:paraId="33F6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CC1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750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镀锌管</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F7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镀锌管DN25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67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1000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C4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米</w:t>
            </w:r>
          </w:p>
        </w:tc>
      </w:tr>
      <w:tr w14:paraId="395CF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483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420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HDMI跳线</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66F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2米HDMI跳线</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26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48</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7E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套</w:t>
            </w:r>
          </w:p>
        </w:tc>
      </w:tr>
      <w:tr w14:paraId="6E42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B1B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D9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高清庭审信息管理系统许可</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CD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庭审及书记员软件，高院下发布署</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B3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A5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套</w:t>
            </w:r>
          </w:p>
        </w:tc>
      </w:tr>
      <w:tr w14:paraId="1D78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63A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13</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D8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庭审智能辅助对接服务许可</w:t>
            </w:r>
          </w:p>
        </w:tc>
        <w:tc>
          <w:tcPr>
            <w:tcW w:w="3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7B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庭审智能辅助对接服务，高院下发布署</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71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EC2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套</w:t>
            </w:r>
          </w:p>
        </w:tc>
      </w:tr>
    </w:tbl>
    <w:p w14:paraId="70F87006">
      <w:pPr>
        <w:pStyle w:val="3"/>
        <w:ind w:firstLine="643" w:firstLineChars="200"/>
      </w:pPr>
      <w:r>
        <w:rPr>
          <w:rFonts w:hint="eastAsia"/>
        </w:rPr>
        <w:t>重要产品技术指标要求</w:t>
      </w:r>
    </w:p>
    <w:p w14:paraId="64882D8F">
      <w:pPr>
        <w:pStyle w:val="4"/>
        <w:ind w:firstLine="602"/>
      </w:pPr>
      <w:r>
        <w:rPr>
          <w:rFonts w:hint="eastAsia"/>
        </w:rPr>
        <w:t>高清录播工作站</w:t>
      </w:r>
    </w:p>
    <w:p w14:paraId="22A55CDC">
      <w:pPr>
        <w:ind w:firstLine="480"/>
        <w:jc w:val="left"/>
        <w:rPr>
          <w:rFonts w:hint="eastAsia"/>
        </w:rPr>
      </w:pPr>
      <w:r>
        <w:rPr>
          <w:rFonts w:hint="eastAsia"/>
        </w:rPr>
        <w:t>支持6路HDMI输入、4路DVI视频输入，3路HDMI视频输出、6路DVI视频输出；</w:t>
      </w:r>
    </w:p>
    <w:p w14:paraId="36EC3A5B">
      <w:pPr>
        <w:ind w:firstLine="480"/>
        <w:jc w:val="left"/>
        <w:rPr>
          <w:rFonts w:hint="eastAsia"/>
        </w:rPr>
      </w:pPr>
      <w:r>
        <w:rPr>
          <w:rFonts w:hint="eastAsia"/>
        </w:rPr>
        <w:t>支持1路USB3.0、1路USB2.0，2路100M/1000M自适应网口；</w:t>
      </w:r>
    </w:p>
    <w:p w14:paraId="7A3A0236">
      <w:pPr>
        <w:ind w:firstLine="480"/>
        <w:jc w:val="left"/>
        <w:rPr>
          <w:rFonts w:hint="eastAsia"/>
        </w:rPr>
      </w:pPr>
      <w:r>
        <w:rPr>
          <w:rFonts w:hint="eastAsia"/>
        </w:rPr>
        <w:t>支持12路Mic In、4路Line In、2路XLR Out，3路Line Out；</w:t>
      </w:r>
    </w:p>
    <w:p w14:paraId="7295CC3F">
      <w:pPr>
        <w:ind w:firstLine="480"/>
        <w:jc w:val="left"/>
        <w:rPr>
          <w:rFonts w:hint="eastAsia"/>
        </w:rPr>
      </w:pPr>
      <w:r>
        <w:rPr>
          <w:rFonts w:hint="eastAsia"/>
        </w:rPr>
        <w:t>支持4路RS485控制接口，6路RS232控制接口，2路告警输入，2路告警输出接口；</w:t>
      </w:r>
    </w:p>
    <w:p w14:paraId="54E854C2">
      <w:pPr>
        <w:ind w:firstLine="480"/>
        <w:jc w:val="left"/>
        <w:rPr>
          <w:rFonts w:hint="eastAsia"/>
        </w:rPr>
      </w:pPr>
      <w:r>
        <w:rPr>
          <w:rFonts w:hint="eastAsia"/>
        </w:rPr>
        <w:t>支持4个SATA接口，每个SATA接口支持接入8TB硬盘；</w:t>
      </w:r>
    </w:p>
    <w:p w14:paraId="21275FB2">
      <w:pPr>
        <w:ind w:firstLine="480"/>
        <w:jc w:val="left"/>
        <w:rPr>
          <w:rFonts w:hint="eastAsia"/>
        </w:rPr>
      </w:pPr>
      <w:r>
        <w:rPr>
          <w:rFonts w:hint="eastAsia"/>
        </w:rPr>
        <w:t>支持一键开启、停止刻录；支持一键开关机；支持一键打点；支持一键DVD回放；</w:t>
      </w:r>
    </w:p>
    <w:p w14:paraId="5B16ED73">
      <w:pPr>
        <w:ind w:firstLine="480"/>
        <w:jc w:val="left"/>
        <w:rPr>
          <w:rFonts w:hint="eastAsia"/>
        </w:rPr>
      </w:pPr>
      <w:r>
        <w:rPr>
          <w:rFonts w:hint="eastAsia"/>
        </w:rPr>
        <w:t>▲内置8寸触控屏，支持实时显示通道状态、刻录/录制状态、USB接入状态、视频画面、光盘/硬盘总容量及已使用容量、刻录剩余时长、异常告警信息、CPU内存占用率、网络情况等；（需提供产品界面截图、产品彩页、产品说明书、产品白皮书或第三方检测机构出具的检测报告等证明材料）</w:t>
      </w:r>
    </w:p>
    <w:p w14:paraId="46D80150">
      <w:pPr>
        <w:ind w:firstLine="480"/>
        <w:jc w:val="left"/>
        <w:rPr>
          <w:rFonts w:hint="eastAsia"/>
        </w:rPr>
      </w:pPr>
      <w:r>
        <w:rPr>
          <w:rFonts w:hint="eastAsia"/>
        </w:rPr>
        <w:t>内置双DVD刻录光驱或双蓝光刻录光驱，支持光驱热插拔，支持便捷拆卸光驱，可实现在不拆设备机箱的情况下更换光驱；</w:t>
      </w:r>
    </w:p>
    <w:p w14:paraId="12269E87">
      <w:pPr>
        <w:ind w:firstLine="480"/>
        <w:jc w:val="left"/>
        <w:rPr>
          <w:rFonts w:hint="eastAsia"/>
        </w:rPr>
      </w:pPr>
      <w:r>
        <w:rPr>
          <w:rFonts w:hint="eastAsia"/>
        </w:rPr>
        <w:t xml:space="preserve">支持视频编码格式：H.264和H.265，音频编码格式：支持G.711、AAC_LC和ADPCM等； </w:t>
      </w:r>
    </w:p>
    <w:p w14:paraId="21F2C7D4">
      <w:pPr>
        <w:ind w:firstLine="480"/>
        <w:jc w:val="left"/>
        <w:rPr>
          <w:rFonts w:hint="eastAsia"/>
        </w:rPr>
      </w:pPr>
      <w:r>
        <w:rPr>
          <w:rFonts w:hint="eastAsia"/>
        </w:rPr>
        <w:t>▲支持6路IP摄像机（H.264或H.265摄像机）和SDI摄像机混合接入接入；支持4K、2K、1080P、720P、D1图像分辨率前端接入，并进入合成画面；（需提供产品界面截图、产品彩页、产品说明书、产品白皮书或第三方检测机构出具的检测报告等证明材料）</w:t>
      </w:r>
    </w:p>
    <w:p w14:paraId="6FC449D4">
      <w:pPr>
        <w:ind w:firstLine="480"/>
        <w:jc w:val="left"/>
        <w:rPr>
          <w:rFonts w:hint="eastAsia"/>
        </w:rPr>
      </w:pPr>
      <w:r>
        <w:rPr>
          <w:rFonts w:hint="eastAsia"/>
        </w:rPr>
        <w:t>支持两路证据展台（HDMI、DVI）接入并编码，支持两路证据编码独立录像，可同时将两路证据画面加入到合成画面中；</w:t>
      </w:r>
    </w:p>
    <w:p w14:paraId="3B4B01C0">
      <w:pPr>
        <w:ind w:firstLine="480"/>
        <w:jc w:val="left"/>
        <w:rPr>
          <w:rFonts w:hint="eastAsia"/>
        </w:rPr>
      </w:pPr>
      <w:r>
        <w:rPr>
          <w:rFonts w:hint="eastAsia"/>
        </w:rPr>
        <w:t>▲支持调节合成画面尺寸，支持4K、2K、1080P、720P、D1分辨率编码，合成画面帧率支持30fps、45fps和60fps可设置；（需提供产品界面截图、产品彩页、产品说明书、产品白皮书或第三方检测机构出具的检测报告等证明材料）</w:t>
      </w:r>
    </w:p>
    <w:p w14:paraId="6320A9F1">
      <w:pPr>
        <w:ind w:firstLine="480"/>
        <w:jc w:val="left"/>
        <w:rPr>
          <w:rFonts w:hint="eastAsia"/>
        </w:rPr>
      </w:pPr>
      <w:r>
        <w:rPr>
          <w:rFonts w:hint="eastAsia"/>
        </w:rPr>
        <w:t>支持啸叫抑制、回声抵消、自动增益、音频降噪，变声等音频处理功能。</w:t>
      </w:r>
    </w:p>
    <w:p w14:paraId="057340F2">
      <w:pPr>
        <w:ind w:firstLine="480"/>
        <w:jc w:val="left"/>
        <w:rPr>
          <w:rFonts w:hint="eastAsia"/>
        </w:rPr>
      </w:pPr>
      <w:r>
        <w:rPr>
          <w:rFonts w:hint="eastAsia"/>
        </w:rPr>
        <w:t>支持合成画面的双光盘同步刻录、循环刻录和只录像不刻录，中途更换新光盘，可以识别上一张光盘停止的时间点，在新光盘中继续刻录；</w:t>
      </w:r>
    </w:p>
    <w:p w14:paraId="7A09E011">
      <w:pPr>
        <w:ind w:firstLine="480"/>
        <w:jc w:val="left"/>
        <w:rPr>
          <w:rFonts w:hint="eastAsia"/>
        </w:rPr>
      </w:pPr>
      <w:r>
        <w:rPr>
          <w:rFonts w:hint="eastAsia"/>
        </w:rPr>
        <w:t>支持刻录光盘加密功能，加密后的光盘自动播放时需使用专用播放器输入正确密码后才能查看和播放光盘内的音视频及附件；</w:t>
      </w:r>
    </w:p>
    <w:p w14:paraId="55CEFCCC">
      <w:pPr>
        <w:ind w:firstLine="480"/>
        <w:jc w:val="left"/>
        <w:rPr>
          <w:rFonts w:hint="eastAsia"/>
        </w:rPr>
      </w:pPr>
      <w:r>
        <w:rPr>
          <w:rFonts w:hint="eastAsia"/>
        </w:rPr>
        <w:t>支持对光盘进行数字加密，生成唯一不可修改加密序列号，需要检验密码才能查看光盘内录像文件，支持防擦写（无法直接删除文件）；</w:t>
      </w:r>
    </w:p>
    <w:p w14:paraId="7E973C48">
      <w:pPr>
        <w:ind w:firstLine="480"/>
        <w:jc w:val="left"/>
        <w:rPr>
          <w:rFonts w:hint="eastAsia"/>
        </w:rPr>
      </w:pPr>
      <w:r>
        <w:rPr>
          <w:rFonts w:hint="eastAsia"/>
        </w:rPr>
        <w:t>支持Raid0、Raid1、Raid5、RAID6、Raid10，支持硬盘SMART信息显示和坏道检测；</w:t>
      </w:r>
    </w:p>
    <w:p w14:paraId="28FFD663">
      <w:pPr>
        <w:ind w:firstLine="480"/>
        <w:jc w:val="left"/>
        <w:rPr>
          <w:rFonts w:hint="eastAsia"/>
        </w:rPr>
      </w:pPr>
      <w:r>
        <w:rPr>
          <w:rFonts w:hint="eastAsia"/>
        </w:rPr>
        <w:t>▲支持H.323协议接入视频会议，远程点支持双流；（需提供产品界面截图、产品彩页、产品说明书、产品白皮书或第三方检测机构出具的检测报告等证明材料）</w:t>
      </w:r>
    </w:p>
    <w:p w14:paraId="4951DD94">
      <w:pPr>
        <w:ind w:firstLine="480"/>
        <w:jc w:val="left"/>
        <w:rPr>
          <w:rFonts w:hint="eastAsia"/>
        </w:rPr>
      </w:pPr>
      <w:r>
        <w:rPr>
          <w:rFonts w:hint="eastAsia"/>
        </w:rPr>
        <w:t>支持当同步录音录像过程中出现死机、断电等意外故障，设备恢复后故障前信息不丢失；</w:t>
      </w:r>
    </w:p>
    <w:p w14:paraId="24C3F784">
      <w:pPr>
        <w:ind w:firstLine="480"/>
        <w:jc w:val="left"/>
        <w:rPr>
          <w:rFonts w:hint="eastAsia"/>
        </w:rPr>
      </w:pPr>
      <w:r>
        <w:rPr>
          <w:rFonts w:hint="eastAsia"/>
        </w:rPr>
        <w:t>▲支持对多种视频智能分析（证人保护、庭纪监督、区域看防、视频诊断、异常行为检测、姿态检测）的算法进行详细的参数配置，支持视频窗口绘制待检测区域；（需提供产品界面截图、产品彩页、产品说明书、产品白皮书或第三方检测机构出具的检测报告等证明材料）</w:t>
      </w:r>
    </w:p>
    <w:p w14:paraId="26D7A05C">
      <w:pPr>
        <w:ind w:firstLine="480"/>
        <w:jc w:val="left"/>
        <w:rPr>
          <w:rFonts w:hint="eastAsia"/>
        </w:rPr>
      </w:pPr>
      <w:r>
        <w:rPr>
          <w:rFonts w:hint="eastAsia"/>
        </w:rPr>
        <w:t>支持证人保护功能，支持单画面不少于2个人脸动态马赛克处理（马赛克随人脸移动），支持自定义设置马赛克等级（薄码，中码，厚码）和区域大小，支持证人声音变声功能；</w:t>
      </w:r>
    </w:p>
    <w:p w14:paraId="7E605D22">
      <w:pPr>
        <w:ind w:firstLine="480"/>
        <w:jc w:val="left"/>
        <w:rPr>
          <w:rFonts w:hint="eastAsia"/>
        </w:rPr>
      </w:pPr>
      <w:r>
        <w:rPr>
          <w:rFonts w:hint="eastAsia"/>
        </w:rPr>
        <w:t>支持在麒麟、统信等国产操作系统上，登录 WEB 客户端并进行参数配置、浏览、播放录像、下载等操作。；</w:t>
      </w:r>
    </w:p>
    <w:p w14:paraId="03998CC9">
      <w:pPr>
        <w:ind w:firstLine="480"/>
        <w:jc w:val="left"/>
      </w:pPr>
      <w:r>
        <w:rPr>
          <w:rFonts w:hint="eastAsia"/>
        </w:rPr>
        <w:t>支持对指定区域内庭审秩序不规范检测，如迟到、早退、中途离席、缺席、法官制服不规范检测，准确率不低于95%；</w:t>
      </w:r>
    </w:p>
    <w:p w14:paraId="48A587FD">
      <w:pPr>
        <w:pStyle w:val="4"/>
        <w:ind w:firstLine="602"/>
      </w:pPr>
      <w:r>
        <w:rPr>
          <w:rFonts w:hint="eastAsia"/>
        </w:rPr>
        <w:t>高清摄像机</w:t>
      </w:r>
    </w:p>
    <w:p w14:paraId="4C0C5772">
      <w:pPr>
        <w:ind w:firstLine="480"/>
        <w:jc w:val="left"/>
        <w:rPr>
          <w:rFonts w:hint="eastAsia"/>
        </w:rPr>
      </w:pPr>
      <w:r>
        <w:rPr>
          <w:rFonts w:hint="eastAsia"/>
          <w:lang w:eastAsia="zh-CN"/>
        </w:rPr>
        <w:t>▲</w:t>
      </w:r>
      <w:r>
        <w:rPr>
          <w:rFonts w:hint="eastAsia"/>
        </w:rPr>
        <w:t>设备应采用1/1.8英寸200万像素高性能传感器（需提供产品界面截图、产品彩页、产品说明书、产品白皮书或第三方检测机构出具的检测报告等证明材料）</w:t>
      </w:r>
    </w:p>
    <w:p w14:paraId="4FE37DCC">
      <w:pPr>
        <w:ind w:firstLine="480"/>
        <w:jc w:val="left"/>
        <w:rPr>
          <w:rFonts w:hint="eastAsia"/>
        </w:rPr>
      </w:pPr>
      <w:r>
        <w:rPr>
          <w:rFonts w:hint="eastAsia"/>
        </w:rPr>
        <w:t>设备最低照度支持0.001lx(F=1.2,AGCON,彩色模式），能基本分辨被摄目标的轮廓特征和色彩，支持0.0001lx(F=1.2,AGCON,黑白模式）。</w:t>
      </w:r>
    </w:p>
    <w:p w14:paraId="1C40CD81">
      <w:pPr>
        <w:ind w:firstLine="480"/>
        <w:jc w:val="left"/>
        <w:rPr>
          <w:rFonts w:hint="eastAsia" w:eastAsia="宋体"/>
          <w:lang w:eastAsia="zh-CN"/>
        </w:rPr>
      </w:pPr>
      <w:r>
        <w:rPr>
          <w:rFonts w:hint="eastAsia"/>
        </w:rPr>
        <w:t>设备应该支持12倍光学变倍，内置f=5.3mm~63.6mm，F=1.6~2.8电动变焦镜头</w:t>
      </w:r>
    </w:p>
    <w:p w14:paraId="15DAB0B7">
      <w:pPr>
        <w:ind w:firstLine="480"/>
        <w:jc w:val="left"/>
        <w:rPr>
          <w:rFonts w:hint="eastAsia" w:eastAsia="宋体"/>
          <w:lang w:eastAsia="zh-CN"/>
        </w:rPr>
      </w:pPr>
      <w:r>
        <w:rPr>
          <w:rFonts w:hint="eastAsia"/>
        </w:rPr>
        <w:t>当环境照度低于一定值时，通过补光照射，可基本分辨距离80米处所摄目标的轮廓及状态</w:t>
      </w:r>
    </w:p>
    <w:p w14:paraId="13EE28D7">
      <w:pPr>
        <w:ind w:firstLine="480"/>
        <w:jc w:val="left"/>
        <w:rPr>
          <w:rFonts w:hint="eastAsia" w:eastAsia="宋体"/>
          <w:lang w:eastAsia="zh-CN"/>
        </w:rPr>
      </w:pPr>
      <w:r>
        <w:rPr>
          <w:rFonts w:hint="eastAsia"/>
        </w:rPr>
        <w:t>设备支持H.265、H.264编码格式；可将H.264格式设置Baseline/Main/HighProfile</w:t>
      </w:r>
    </w:p>
    <w:p w14:paraId="563346ED">
      <w:pPr>
        <w:ind w:firstLine="480"/>
        <w:jc w:val="left"/>
        <w:rPr>
          <w:rFonts w:hint="eastAsia" w:eastAsia="宋体"/>
          <w:lang w:eastAsia="zh-CN"/>
        </w:rPr>
      </w:pPr>
      <w:r>
        <w:rPr>
          <w:rFonts w:hint="eastAsia"/>
        </w:rPr>
        <w:t>设备图像分辨率尺寸满足1920×1080，帧率满足30fps</w:t>
      </w:r>
    </w:p>
    <w:p w14:paraId="1D6FD4A1">
      <w:pPr>
        <w:ind w:firstLine="480"/>
        <w:jc w:val="left"/>
        <w:rPr>
          <w:rFonts w:hint="eastAsia"/>
        </w:rPr>
      </w:pPr>
      <w:r>
        <w:rPr>
          <w:rFonts w:hint="eastAsia"/>
          <w:lang w:eastAsia="zh-CN"/>
        </w:rPr>
        <w:t>▲</w:t>
      </w:r>
      <w:r>
        <w:rPr>
          <w:rFonts w:hint="eastAsia"/>
        </w:rPr>
        <w:t>支持三码流并发输出：可达到主码流1920×1080，帧率30帧/秒；第一辅码流704×576，帧率30帧/秒；第二辅码流1080×720，帧率30帧/秒（需提供产品界面截图、产品彩页、产品说明书、产品白皮书或第三方检测机构出具的检测报告等证明材料）</w:t>
      </w:r>
    </w:p>
    <w:p w14:paraId="596C6EA5">
      <w:pPr>
        <w:ind w:firstLine="480"/>
        <w:jc w:val="left"/>
        <w:rPr>
          <w:rFonts w:hint="eastAsia" w:eastAsia="宋体"/>
          <w:lang w:eastAsia="zh-CN"/>
        </w:rPr>
      </w:pPr>
      <w:r>
        <w:rPr>
          <w:rFonts w:hint="eastAsia"/>
        </w:rPr>
        <w:t>设备宽动态范围不小于120dB</w:t>
      </w:r>
    </w:p>
    <w:p w14:paraId="26B1D94F">
      <w:pPr>
        <w:ind w:firstLine="480"/>
        <w:jc w:val="left"/>
        <w:rPr>
          <w:rFonts w:hint="eastAsia" w:eastAsia="宋体"/>
          <w:lang w:eastAsia="zh-CN"/>
        </w:rPr>
      </w:pPr>
      <w:r>
        <w:rPr>
          <w:rFonts w:hint="eastAsia"/>
        </w:rPr>
        <w:t>设备具有强光抑制功能，透雾，可以开启或关闭</w:t>
      </w:r>
    </w:p>
    <w:p w14:paraId="0AE4024D">
      <w:pPr>
        <w:ind w:firstLine="480"/>
        <w:jc w:val="left"/>
        <w:rPr>
          <w:rFonts w:hint="eastAsia" w:eastAsia="宋体"/>
          <w:lang w:eastAsia="zh-CN"/>
        </w:rPr>
      </w:pPr>
      <w:r>
        <w:rPr>
          <w:rFonts w:hint="eastAsia"/>
        </w:rPr>
        <w:t>设备应具有心跳机制，能按SNMP管理协议已固定时间间隔（可调整设置且不大于300秒）发送和接收设备状态信息</w:t>
      </w:r>
    </w:p>
    <w:p w14:paraId="64F94536">
      <w:pPr>
        <w:ind w:firstLine="480"/>
        <w:jc w:val="left"/>
        <w:rPr>
          <w:rFonts w:hint="eastAsia" w:eastAsia="宋体"/>
          <w:lang w:eastAsia="zh-CN"/>
        </w:rPr>
      </w:pPr>
      <w:r>
        <w:rPr>
          <w:rFonts w:hint="eastAsia"/>
        </w:rPr>
        <w:t>设备支持感兴趣区域(ROI)设置功能，支持一个区域的ROI编码，区域大小可设置，支持开启和关闭该功能，默认关闭，编码等级高、中、低可选；支持区域遮盖功能，支持在画面上设置4个矩形区域，遮蔽区域可以设置不同颜色；支持开启和关闭该功能，默认关闭</w:t>
      </w:r>
    </w:p>
    <w:p w14:paraId="13654E95">
      <w:pPr>
        <w:ind w:firstLine="480"/>
        <w:jc w:val="left"/>
        <w:rPr>
          <w:rFonts w:hint="eastAsia" w:eastAsia="宋体"/>
          <w:lang w:eastAsia="zh-CN"/>
        </w:rPr>
      </w:pPr>
      <w:r>
        <w:rPr>
          <w:rFonts w:hint="eastAsia"/>
        </w:rPr>
        <w:t>设备应支持警戒线穿越、区域入侵、区域离开、人员聚集、音频异常侦测、移动侦测等智能分析功能。</w:t>
      </w:r>
    </w:p>
    <w:p w14:paraId="1E3E7269">
      <w:pPr>
        <w:ind w:firstLine="480"/>
        <w:jc w:val="left"/>
        <w:rPr>
          <w:rFonts w:hint="eastAsia" w:eastAsia="宋体"/>
          <w:lang w:eastAsia="zh-CN"/>
        </w:rPr>
      </w:pPr>
      <w:r>
        <w:rPr>
          <w:rFonts w:hint="eastAsia"/>
        </w:rPr>
        <w:t>设备宜扩展支持SIP、RTSP、RTP、RTCP等网络协议</w:t>
      </w:r>
    </w:p>
    <w:p w14:paraId="70C85709">
      <w:pPr>
        <w:ind w:firstLine="480"/>
        <w:jc w:val="left"/>
        <w:rPr>
          <w:rFonts w:hint="eastAsia"/>
        </w:rPr>
      </w:pPr>
      <w:r>
        <w:rPr>
          <w:rFonts w:hint="eastAsia"/>
        </w:rPr>
        <w:t>设备应具备1×RJ45、1×LineIn、1×LineOut、1路内置MIC、1路HD-SDI输出、2×开关量报警输入、1×开关量报警输出、1×RS485、1×TF卡插槽（内置）。</w:t>
      </w:r>
    </w:p>
    <w:p w14:paraId="2179D725">
      <w:pPr>
        <w:ind w:firstLine="480"/>
        <w:jc w:val="left"/>
        <w:rPr>
          <w:rFonts w:hint="eastAsia"/>
        </w:rPr>
      </w:pPr>
      <w:r>
        <w:rPr>
          <w:rFonts w:hint="eastAsia"/>
        </w:rPr>
        <w:t>设备应具备IP66防护等级及IK10的防暴等级，在-40°的低温及+70°的高温下都运行正常。</w:t>
      </w:r>
    </w:p>
    <w:p w14:paraId="3B7CCE0F">
      <w:pPr>
        <w:ind w:firstLine="480"/>
        <w:jc w:val="left"/>
        <w:rPr>
          <w:rFonts w:hint="eastAsia" w:eastAsia="宋体"/>
          <w:lang w:eastAsia="zh-CN"/>
        </w:rPr>
      </w:pPr>
      <w:r>
        <w:rPr>
          <w:rFonts w:hint="eastAsia"/>
        </w:rPr>
        <w:t>设备应能满足在AC24V±10%宽电压环境下正常工作，设备应支持POE功能。</w:t>
      </w:r>
    </w:p>
    <w:p w14:paraId="5441766B">
      <w:pPr>
        <w:pStyle w:val="4"/>
        <w:ind w:firstLine="602"/>
      </w:pPr>
      <w:r>
        <w:rPr>
          <w:rFonts w:hint="eastAsia"/>
        </w:rPr>
        <w:t>数字音频处理器</w:t>
      </w:r>
    </w:p>
    <w:p w14:paraId="5C47D621">
      <w:pPr>
        <w:ind w:firstLine="480"/>
        <w:jc w:val="left"/>
        <w:rPr>
          <w:rFonts w:hint="eastAsia"/>
          <w:lang w:eastAsia="zh-CN"/>
        </w:rPr>
      </w:pPr>
      <w:r>
        <w:rPr>
          <w:rFonts w:hint="eastAsia"/>
          <w:lang w:eastAsia="zh-CN"/>
        </w:rPr>
        <w:t>1.▲设备具备总容量20*17规模的矩阵混音能力，支持所有音频通道之间任意混音。</w:t>
      </w:r>
      <w:r>
        <w:rPr>
          <w:rFonts w:hint="eastAsia"/>
        </w:rPr>
        <w:t>（需提供产品界面截图、产品彩页、产品说明书、产品白皮书或第三方检测机构出具的检测报告等证明材料）</w:t>
      </w:r>
    </w:p>
    <w:p w14:paraId="2BD7873B">
      <w:pPr>
        <w:ind w:firstLine="480"/>
        <w:jc w:val="left"/>
        <w:rPr>
          <w:rFonts w:hint="eastAsia"/>
          <w:lang w:eastAsia="zh-CN"/>
        </w:rPr>
      </w:pPr>
      <w:r>
        <w:rPr>
          <w:rFonts w:hint="eastAsia"/>
          <w:lang w:eastAsia="zh-CN"/>
        </w:rPr>
        <w:t>2.▲支持≥16路模拟输入通道，≥16路模拟输出通道。</w:t>
      </w:r>
      <w:r>
        <w:rPr>
          <w:rFonts w:hint="eastAsia"/>
        </w:rPr>
        <w:t>（需提供产品界面截图、产品彩页、产品说明书、产品白皮书或第三方检测机构出具的检测报告等证明材料）</w:t>
      </w:r>
    </w:p>
    <w:p w14:paraId="3D0F6B69">
      <w:pPr>
        <w:ind w:firstLine="480"/>
        <w:jc w:val="left"/>
        <w:rPr>
          <w:rFonts w:hint="eastAsia"/>
          <w:lang w:eastAsia="zh-CN"/>
        </w:rPr>
      </w:pPr>
      <w:r>
        <w:rPr>
          <w:rFonts w:hint="eastAsia"/>
          <w:lang w:eastAsia="zh-CN"/>
        </w:rPr>
        <w:t>3.DSP信号处理采样频率:48kHZ、量化精度~24bit。</w:t>
      </w:r>
    </w:p>
    <w:p w14:paraId="4D18F520">
      <w:pPr>
        <w:ind w:firstLine="480"/>
        <w:jc w:val="left"/>
        <w:rPr>
          <w:rFonts w:hint="eastAsia"/>
          <w:lang w:eastAsia="zh-CN"/>
        </w:rPr>
      </w:pPr>
      <w:r>
        <w:rPr>
          <w:rFonts w:hint="eastAsia"/>
          <w:lang w:eastAsia="zh-CN"/>
        </w:rPr>
        <w:t>4.动态范围:&gt;115dB。</w:t>
      </w:r>
    </w:p>
    <w:p w14:paraId="32B36276">
      <w:pPr>
        <w:ind w:firstLine="480"/>
        <w:jc w:val="left"/>
        <w:rPr>
          <w:rFonts w:hint="eastAsia"/>
          <w:lang w:eastAsia="zh-CN"/>
        </w:rPr>
      </w:pPr>
      <w:r>
        <w:rPr>
          <w:rFonts w:hint="eastAsia"/>
          <w:lang w:eastAsia="zh-CN"/>
        </w:rPr>
        <w:t>5.频响范围(土0.5dB):20Hz~20kHz。</w:t>
      </w:r>
    </w:p>
    <w:p w14:paraId="3A6C5985">
      <w:pPr>
        <w:ind w:firstLine="480"/>
        <w:jc w:val="left"/>
        <w:rPr>
          <w:rFonts w:hint="eastAsia"/>
          <w:lang w:eastAsia="zh-CN"/>
        </w:rPr>
      </w:pPr>
      <w:r>
        <w:rPr>
          <w:rFonts w:hint="eastAsia"/>
          <w:lang w:eastAsia="zh-CN"/>
        </w:rPr>
        <w:t>6.总谐波失真:0.01%。</w:t>
      </w:r>
    </w:p>
    <w:p w14:paraId="5992A8F2">
      <w:pPr>
        <w:ind w:firstLine="480"/>
        <w:jc w:val="left"/>
        <w:rPr>
          <w:rFonts w:hint="eastAsia"/>
          <w:lang w:eastAsia="zh-CN"/>
        </w:rPr>
      </w:pPr>
      <w:r>
        <w:rPr>
          <w:rFonts w:hint="eastAsia"/>
          <w:lang w:eastAsia="zh-CN"/>
        </w:rPr>
        <w:t>7.具备压缩、扩展、噪声门、自动噪声抑制、峰值限幅、自动增益）、增益共享自动混音(AMC)、回声消除（AEC）、高通/低通滤波，参量均衡、延时、分频控制等音频信号处理功能。</w:t>
      </w:r>
    </w:p>
    <w:p w14:paraId="2A106357">
      <w:pPr>
        <w:ind w:firstLine="480"/>
        <w:jc w:val="left"/>
        <w:rPr>
          <w:rFonts w:hint="eastAsia"/>
          <w:lang w:eastAsia="zh-CN"/>
        </w:rPr>
      </w:pPr>
      <w:r>
        <w:rPr>
          <w:rFonts w:hint="eastAsia"/>
          <w:lang w:eastAsia="zh-CN"/>
        </w:rPr>
        <w:t>8.16通道反馈抑制器支持8个反馈抑制频点数量，支持自动扫描啸叫频点。</w:t>
      </w:r>
    </w:p>
    <w:p w14:paraId="402CFEF6">
      <w:pPr>
        <w:ind w:firstLine="480"/>
        <w:jc w:val="left"/>
      </w:pPr>
      <w:r>
        <w:rPr>
          <w:rFonts w:hint="eastAsia"/>
          <w:lang w:eastAsia="zh-CN"/>
        </w:rPr>
        <w:t>9.支持网络音频调度管理平台软件管理，编辑矩阵切换、混音、音效处理预案，支持预案数量≥16个，支持对接集中控制系统通过调取预案实现快速音频控制。</w:t>
      </w:r>
    </w:p>
    <w:p w14:paraId="49ADEA7C">
      <w:pPr>
        <w:pStyle w:val="3"/>
        <w:ind w:firstLine="643" w:firstLineChars="200"/>
      </w:pPr>
      <w:r>
        <w:rPr>
          <w:rFonts w:hint="eastAsia"/>
        </w:rPr>
        <w:t>系统建设要求</w:t>
      </w:r>
    </w:p>
    <w:p w14:paraId="1AC893FE">
      <w:pPr>
        <w:ind w:firstLine="480"/>
      </w:pPr>
      <w:r>
        <w:rPr>
          <w:rFonts w:hint="eastAsia"/>
        </w:rPr>
        <w:t>本次采购项目中提供的专用设备（含配套）与法院现有业务系统须进行对接服务，实现与法院线上线下庭审系统各项功能及数据之间多种类型数据、处理、查询及应用。投标方需要自行解决相关系统对接和数据访问，招标金额包含相应的所有软件接口对接费用（涉及第三方公司的，请自行协商解决）。需完整实现下述系统对接及数据交互：</w:t>
      </w:r>
    </w:p>
    <w:p w14:paraId="46F45831">
      <w:pPr>
        <w:ind w:firstLine="480"/>
        <w:rPr>
          <w:rFonts w:hint="eastAsia"/>
        </w:rPr>
      </w:pPr>
      <w:r>
        <w:rPr>
          <w:rFonts w:hint="eastAsia"/>
        </w:rPr>
        <w:t>◆与上海法院统一使用的高清庭审系统无缝对接：纳入上海法院高清庭审系统进行统一管理，并获取与庭审相关权限、人事、审判、排期、公告等数据，满足庭审记录改革要求，满足线下高清庭审的相关要求。出具供应商无缝对接承诺，并加盖公章。</w:t>
      </w:r>
    </w:p>
    <w:p w14:paraId="0777305B">
      <w:pPr>
        <w:ind w:firstLine="480"/>
        <w:rPr>
          <w:rFonts w:hint="eastAsia"/>
          <w:lang w:val="en-US" w:eastAsia="zh-CN"/>
        </w:rPr>
      </w:pPr>
      <w:r>
        <w:rPr>
          <w:rFonts w:hint="eastAsia"/>
        </w:rPr>
        <w:t>◆</w:t>
      </w:r>
      <w:r>
        <w:rPr>
          <w:rFonts w:hint="eastAsia"/>
          <w:lang w:val="en-US" w:eastAsia="zh-CN"/>
        </w:rPr>
        <w:t>与最高院“一张网”系统对接：依据最高人民法院“一张网”总体试点工作的部署要求，出具对接方案。</w:t>
      </w:r>
    </w:p>
    <w:p w14:paraId="4A728A48">
      <w:pPr>
        <w:ind w:firstLine="480"/>
        <w:rPr>
          <w:rFonts w:hint="default"/>
          <w:lang w:val="en-US" w:eastAsia="zh-CN"/>
        </w:rPr>
      </w:pPr>
      <w:r>
        <w:rPr>
          <w:rFonts w:hint="eastAsia"/>
        </w:rPr>
        <w:t>◆</w:t>
      </w:r>
      <w:r>
        <w:rPr>
          <w:rFonts w:hint="eastAsia"/>
          <w:lang w:val="en-US" w:eastAsia="zh-CN"/>
        </w:rPr>
        <w:t>与上海法院审判管理系统对接：</w:t>
      </w:r>
      <w:r>
        <w:rPr>
          <w:rFonts w:hint="default"/>
          <w:lang w:val="en-US" w:eastAsia="zh-CN"/>
        </w:rPr>
        <w:t>建设完成后系统需接入上海法院审判管理及庭审管理平台，实现实时获取开庭、闭庭、案件审核、刻录等信息用于查询、汇总、统计分析等</w:t>
      </w:r>
      <w:r>
        <w:rPr>
          <w:rFonts w:hint="eastAsia"/>
          <w:lang w:val="en-US" w:eastAsia="zh-CN"/>
        </w:rPr>
        <w:t>，出具对接方案。</w:t>
      </w:r>
    </w:p>
    <w:p w14:paraId="6085F520">
      <w:pPr>
        <w:ind w:firstLine="480"/>
      </w:pPr>
      <w:r>
        <w:t>CA登录系统：与上海法院CA系统对接，从CA登录系统中获取用户的验证信息，以确定用户的登录权限，如用户身份信息不符合要求，将没有权限使用该系统。</w:t>
      </w:r>
    </w:p>
    <w:p w14:paraId="7E824EDD">
      <w:pPr>
        <w:ind w:firstLine="480"/>
      </w:pPr>
      <w:r>
        <w:rPr>
          <w:rFonts w:hint="eastAsia"/>
        </w:rPr>
        <w:t>权限管理系统：使用上海法院现有权限管理体系，从权限管理系统中获取登录用户的使用权限，以确定用户在本系统中的权限，涉及功能使用范围和数据查询范围；</w:t>
      </w:r>
    </w:p>
    <w:p w14:paraId="0C44DC89">
      <w:pPr>
        <w:ind w:firstLine="480"/>
      </w:pPr>
      <w:r>
        <w:rPr>
          <w:rFonts w:hint="eastAsia"/>
        </w:rPr>
        <w:t>其它接口：实现本项目与法庭内或法院提供的利旧设备进行对接要求。</w:t>
      </w:r>
    </w:p>
    <w:p w14:paraId="421CB826">
      <w:pPr>
        <w:pStyle w:val="3"/>
        <w:ind w:firstLine="643" w:firstLineChars="200"/>
      </w:pPr>
      <w:r>
        <w:rPr>
          <w:rFonts w:hint="eastAsia"/>
        </w:rPr>
        <w:t>实施人员要求</w:t>
      </w:r>
    </w:p>
    <w:p w14:paraId="7E4AEAD6">
      <w:pPr>
        <w:ind w:firstLine="480"/>
      </w:pPr>
      <w:r>
        <w:rPr>
          <w:rFonts w:hint="eastAsia"/>
        </w:rPr>
        <w:t>本项目技术环境复杂，且涉及多单位部门的协调，因此要求项目组成员具有很强的组织协调能力，应重复考虑本项目的复杂程度及实施要求，合理配置项目实施团队，具体要求如下：</w:t>
      </w:r>
    </w:p>
    <w:p w14:paraId="00195648">
      <w:pPr>
        <w:ind w:firstLine="480"/>
      </w:pPr>
      <w:r>
        <w:t>1.要求明确实施团队的组织架构及各成员的分工职责；</w:t>
      </w:r>
    </w:p>
    <w:p w14:paraId="73382117">
      <w:pPr>
        <w:ind w:firstLine="480"/>
      </w:pPr>
      <w:r>
        <w:t>2.要求项目经理、项目组成员，需要是与成交供应商签订正式劳动关系的员工，需提供项目人员最近一季度任意一个月的社保缴费证明。</w:t>
      </w:r>
    </w:p>
    <w:p w14:paraId="45528DF2">
      <w:pPr>
        <w:ind w:firstLine="480"/>
      </w:pPr>
      <w:r>
        <w:t>3.项目经理要求：成交供应商应优先选派具备以下资质或能力的人员作为项目经理，要求包括且不限于：具有本科及以上学位；具有</w:t>
      </w:r>
      <w:r>
        <w:rPr>
          <w:rFonts w:hint="eastAsia"/>
          <w:lang w:val="en-US" w:eastAsia="zh-CN"/>
        </w:rPr>
        <w:t>高级工程师</w:t>
      </w:r>
      <w:r>
        <w:t>证书；具有10年以上从业经历；至少担任过一个类似本项目的项目经理业绩，并提供证明。</w:t>
      </w:r>
    </w:p>
    <w:p w14:paraId="5D2A4812">
      <w:pPr>
        <w:ind w:firstLine="480"/>
      </w:pPr>
      <w:r>
        <w:t>4.项目组成员要求：为保证项目顺利实施，成交供应商应配备合理数量及丰富业绩的专业技术管理人员及项目组成员。</w:t>
      </w:r>
    </w:p>
    <w:p w14:paraId="603A11F6">
      <w:pPr>
        <w:pStyle w:val="3"/>
        <w:ind w:firstLine="643" w:firstLineChars="200"/>
      </w:pPr>
      <w:r>
        <w:rPr>
          <w:rFonts w:hint="eastAsia"/>
        </w:rPr>
        <w:t>售后服务要求</w:t>
      </w:r>
    </w:p>
    <w:p w14:paraId="66707763">
      <w:pPr>
        <w:ind w:firstLine="480"/>
      </w:pPr>
      <w:r>
        <w:rPr>
          <w:rFonts w:hint="eastAsia"/>
        </w:rPr>
        <w:t>系统提供</w:t>
      </w:r>
      <w:r>
        <w:t>1年免费的保修服务，保修日期从系统验收之日起开始计算。</w:t>
      </w:r>
    </w:p>
    <w:p w14:paraId="779D4E82">
      <w:pPr>
        <w:ind w:firstLine="480"/>
      </w:pPr>
      <w:r>
        <w:rPr>
          <w:rFonts w:hint="eastAsia"/>
        </w:rPr>
        <w:t>系统建设完毕后，提供技术支持和保障服务；工作时间半小时响应，如有紧急或重大情况发生，需增派工程师提供现场服务；非工作时间</w:t>
      </w:r>
      <w:r>
        <w:t>2小时响应（上门服务），供应商应合理配备备件库，应具备一定数量的备品备件，以保证出现系统故障时能及时到达并修复。</w:t>
      </w:r>
    </w:p>
    <w:p w14:paraId="1B04A887">
      <w:pPr>
        <w:ind w:firstLine="480"/>
      </w:pPr>
      <w:r>
        <w:rPr>
          <w:rFonts w:hint="eastAsia"/>
        </w:rPr>
        <w:t>提供系统的技术培训、系统扩充、升级方面的技术支持服务。</w:t>
      </w:r>
    </w:p>
    <w:p w14:paraId="5F41D668">
      <w:pPr>
        <w:pStyle w:val="3"/>
        <w:ind w:firstLine="643" w:firstLineChars="200"/>
      </w:pPr>
      <w:r>
        <w:rPr>
          <w:rFonts w:hint="eastAsia"/>
        </w:rPr>
        <w:t>其他要求</w:t>
      </w:r>
    </w:p>
    <w:p w14:paraId="6CC527A4">
      <w:pPr>
        <w:ind w:firstLine="480"/>
      </w:pPr>
      <w:r>
        <w:t>1.供应商具有近三年类似业绩的优先考虑；</w:t>
      </w:r>
    </w:p>
    <w:p w14:paraId="5413B1BB">
      <w:pPr>
        <w:ind w:firstLine="480"/>
        <w:rPr>
          <w:rFonts w:hint="eastAsia"/>
        </w:rPr>
      </w:pPr>
      <w:r>
        <w:t>2.供应商具有信息系统建设和服务能力等级证书CS3级或以上的、信息技术服务标准符合性证书（ITSS）三级或以上证书、ISO9001质量管理体系认证、ISO20000信息技术服务管理体系认证、ISO27001信息安全管理体系认证的优先考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等线 Light">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等线">
    <w:altName w:val="Noto Sans CJK SC"/>
    <w:panose1 w:val="00000000000000000000"/>
    <w:charset w:val="00"/>
    <w:family w:val="auto"/>
    <w:pitch w:val="default"/>
    <w:sig w:usb0="00000000" w:usb1="00000000" w:usb2="00000000" w:usb3="00000000" w:csb0="00000000" w:csb1="00000000"/>
  </w:font>
  <w:font w:name="等线 Light">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44BD3"/>
    <w:multiLevelType w:val="multilevel"/>
    <w:tmpl w:val="7A044BD3"/>
    <w:lvl w:ilvl="0" w:tentative="0">
      <w:start w:val="1"/>
      <w:numFmt w:val="decimal"/>
      <w:pStyle w:val="2"/>
      <w:suff w:val="space"/>
      <w:lvlText w:val="第%1章"/>
      <w:lvlJc w:val="center"/>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default" w:asciiTheme="majorHAnsi" w:hAnsiTheme="majorHAnsi"/>
      </w:rPr>
    </w:lvl>
    <w:lvl w:ilvl="3" w:tentative="0">
      <w:start w:val="1"/>
      <w:numFmt w:val="decimal"/>
      <w:pStyle w:val="5"/>
      <w:suff w:val="space"/>
      <w:lvlText w:val="%1.%2.%3.%4"/>
      <w:lvlJc w:val="left"/>
      <w:pPr>
        <w:ind w:left="0" w:firstLine="0"/>
      </w:pPr>
      <w:rPr>
        <w:rFonts w:hint="eastAsia"/>
      </w:rPr>
    </w:lvl>
    <w:lvl w:ilvl="4" w:tentative="0">
      <w:start w:val="1"/>
      <w:numFmt w:val="decimal"/>
      <w:pStyle w:val="6"/>
      <w:suff w:val="space"/>
      <w:lvlText w:val="%1.%2.%3.%4.%5"/>
      <w:lvlJc w:val="left"/>
      <w:pPr>
        <w:ind w:left="568" w:firstLine="0"/>
      </w:pPr>
      <w:rPr>
        <w:rFonts w:hint="default" w:asciiTheme="majorHAnsi" w:hAnsiTheme="majorHAnsi"/>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zYmU2ZDhiN2E1MTUxMjMyODJkYjQ0NTNjYmEwMmIifQ=="/>
  </w:docVars>
  <w:rsids>
    <w:rsidRoot w:val="002D4BA3"/>
    <w:rsid w:val="002D4BA3"/>
    <w:rsid w:val="00655F72"/>
    <w:rsid w:val="006D71A2"/>
    <w:rsid w:val="00706810"/>
    <w:rsid w:val="00754B10"/>
    <w:rsid w:val="007A6A84"/>
    <w:rsid w:val="008A0373"/>
    <w:rsid w:val="00AD4B83"/>
    <w:rsid w:val="0BF1683D"/>
    <w:rsid w:val="0E625C06"/>
    <w:rsid w:val="1F59095F"/>
    <w:rsid w:val="20076D9A"/>
    <w:rsid w:val="22B365D8"/>
    <w:rsid w:val="24D07B6C"/>
    <w:rsid w:val="27F83CDF"/>
    <w:rsid w:val="2FB71F48"/>
    <w:rsid w:val="31265ABA"/>
    <w:rsid w:val="33C2686F"/>
    <w:rsid w:val="3C563BFC"/>
    <w:rsid w:val="3FFF4AF4"/>
    <w:rsid w:val="40DC5BB5"/>
    <w:rsid w:val="44071B29"/>
    <w:rsid w:val="4683300A"/>
    <w:rsid w:val="502F69D7"/>
    <w:rsid w:val="53C6370B"/>
    <w:rsid w:val="54560AEA"/>
    <w:rsid w:val="5A1E6660"/>
    <w:rsid w:val="5B3B7CC5"/>
    <w:rsid w:val="5C9FB631"/>
    <w:rsid w:val="5D4A5AD1"/>
    <w:rsid w:val="5F6D4912"/>
    <w:rsid w:val="614F2F56"/>
    <w:rsid w:val="64E23A06"/>
    <w:rsid w:val="66C06B20"/>
    <w:rsid w:val="6E7F1DB2"/>
    <w:rsid w:val="716D317C"/>
    <w:rsid w:val="73BA26C4"/>
    <w:rsid w:val="7DB6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0" w:line="360" w:lineRule="auto"/>
      <w:ind w:firstLine="200" w:firstLineChars="200"/>
      <w:jc w:val="both"/>
    </w:pPr>
    <w:rPr>
      <w:rFonts w:eastAsia="宋体" w:asciiTheme="minorHAnsi" w:hAnsiTheme="minorHAnsi" w:cstheme="minorBidi"/>
      <w:kern w:val="2"/>
      <w:sz w:val="24"/>
      <w:szCs w:val="21"/>
      <w:lang w:val="en-US" w:eastAsia="zh-CN" w:bidi="ar-SA"/>
      <w14:ligatures w14:val="none"/>
    </w:rPr>
  </w:style>
  <w:style w:type="paragraph" w:styleId="2">
    <w:name w:val="heading 1"/>
    <w:basedOn w:val="1"/>
    <w:link w:val="13"/>
    <w:autoRedefine/>
    <w:qFormat/>
    <w:uiPriority w:val="9"/>
    <w:pPr>
      <w:keepNext/>
      <w:keepLines/>
      <w:numPr>
        <w:ilvl w:val="0"/>
        <w:numId w:val="1"/>
      </w:numPr>
      <w:jc w:val="center"/>
      <w:outlineLvl w:val="0"/>
    </w:pPr>
    <w:rPr>
      <w:b/>
      <w:bCs/>
      <w:kern w:val="44"/>
      <w:sz w:val="36"/>
      <w:szCs w:val="44"/>
    </w:rPr>
  </w:style>
  <w:style w:type="paragraph" w:styleId="3">
    <w:name w:val="heading 2"/>
    <w:basedOn w:val="1"/>
    <w:link w:val="14"/>
    <w:unhideWhenUsed/>
    <w:qFormat/>
    <w:uiPriority w:val="9"/>
    <w:pPr>
      <w:keepNext/>
      <w:keepLines/>
      <w:numPr>
        <w:ilvl w:val="1"/>
        <w:numId w:val="1"/>
      </w:numPr>
      <w:ind w:firstLineChars="0"/>
      <w:outlineLvl w:val="1"/>
    </w:pPr>
    <w:rPr>
      <w:rFonts w:asciiTheme="majorHAnsi" w:hAnsiTheme="majorHAnsi" w:eastAsiaTheme="majorEastAsia" w:cstheme="majorBidi"/>
      <w:b/>
      <w:bCs/>
      <w:sz w:val="32"/>
      <w:szCs w:val="32"/>
    </w:rPr>
  </w:style>
  <w:style w:type="paragraph" w:styleId="4">
    <w:name w:val="heading 3"/>
    <w:basedOn w:val="1"/>
    <w:link w:val="15"/>
    <w:autoRedefine/>
    <w:unhideWhenUsed/>
    <w:qFormat/>
    <w:uiPriority w:val="9"/>
    <w:pPr>
      <w:keepNext/>
      <w:keepLines/>
      <w:numPr>
        <w:ilvl w:val="2"/>
        <w:numId w:val="1"/>
      </w:numPr>
      <w:outlineLvl w:val="2"/>
    </w:pPr>
    <w:rPr>
      <w:b/>
      <w:bCs/>
      <w:sz w:val="30"/>
      <w:szCs w:val="32"/>
    </w:rPr>
  </w:style>
  <w:style w:type="paragraph" w:styleId="5">
    <w:name w:val="heading 4"/>
    <w:basedOn w:val="1"/>
    <w:link w:val="16"/>
    <w:autoRedefine/>
    <w:unhideWhenUsed/>
    <w:qFormat/>
    <w:uiPriority w:val="9"/>
    <w:pPr>
      <w:keepNext/>
      <w:keepLines/>
      <w:numPr>
        <w:ilvl w:val="3"/>
        <w:numId w:val="1"/>
      </w:numPr>
      <w:outlineLvl w:val="3"/>
    </w:pPr>
    <w:rPr>
      <w:rFonts w:asciiTheme="majorHAnsi" w:hAnsiTheme="majorHAnsi" w:eastAsiaTheme="majorEastAsia" w:cstheme="majorBidi"/>
      <w:b/>
      <w:bCs/>
      <w:sz w:val="28"/>
      <w:szCs w:val="28"/>
    </w:rPr>
  </w:style>
  <w:style w:type="paragraph" w:styleId="6">
    <w:name w:val="heading 5"/>
    <w:basedOn w:val="1"/>
    <w:link w:val="17"/>
    <w:autoRedefine/>
    <w:unhideWhenUsed/>
    <w:qFormat/>
    <w:uiPriority w:val="9"/>
    <w:pPr>
      <w:keepNext/>
      <w:keepLines/>
      <w:numPr>
        <w:ilvl w:val="4"/>
        <w:numId w:val="1"/>
      </w:numPr>
      <w:outlineLvl w:val="4"/>
    </w:pPr>
    <w:rPr>
      <w:b/>
      <w:bCs/>
      <w:szCs w:val="28"/>
    </w:rPr>
  </w:style>
  <w:style w:type="paragraph" w:styleId="7">
    <w:name w:val="heading 6"/>
    <w:basedOn w:val="1"/>
    <w:link w:val="18"/>
    <w:autoRedefine/>
    <w:unhideWhenUsed/>
    <w:qFormat/>
    <w:uiPriority w:val="9"/>
    <w:pPr>
      <w:keepNext/>
      <w:keepLines/>
      <w:outlineLvl w:val="5"/>
    </w:pPr>
    <w:rPr>
      <w:rFonts w:asciiTheme="majorHAnsi" w:hAnsiTheme="majorHAnsi" w:eastAsiaTheme="majorEastAsia" w:cstheme="majorBidi"/>
      <w:b/>
      <w:bCs/>
    </w:rPr>
  </w:style>
  <w:style w:type="character" w:default="1" w:styleId="11">
    <w:name w:val="Default Paragraph Font"/>
    <w:autoRedefine/>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unhideWhenUsed/>
    <w:qFormat/>
    <w:uiPriority w:val="99"/>
    <w:pPr>
      <w:jc w:val="left"/>
    </w:pPr>
  </w:style>
  <w:style w:type="paragraph" w:styleId="9">
    <w:name w:val="Title"/>
    <w:basedOn w:val="1"/>
    <w:next w:val="1"/>
    <w:link w:val="12"/>
    <w:autoRedefine/>
    <w:qFormat/>
    <w:uiPriority w:val="10"/>
    <w:pPr>
      <w:spacing w:before="240" w:after="60"/>
      <w:jc w:val="center"/>
      <w:outlineLvl w:val="0"/>
    </w:pPr>
    <w:rPr>
      <w:rFonts w:asciiTheme="majorHAnsi" w:hAnsiTheme="majorHAnsi" w:cstheme="majorBidi"/>
      <w:b/>
      <w:bCs/>
      <w:sz w:val="32"/>
      <w:szCs w:val="32"/>
    </w:rPr>
  </w:style>
  <w:style w:type="character" w:customStyle="1" w:styleId="12">
    <w:name w:val="标题 字符"/>
    <w:basedOn w:val="11"/>
    <w:link w:val="9"/>
    <w:autoRedefine/>
    <w:qFormat/>
    <w:uiPriority w:val="10"/>
    <w:rPr>
      <w:rFonts w:eastAsia="宋体" w:asciiTheme="majorHAnsi" w:hAnsiTheme="majorHAnsi" w:cstheme="majorBidi"/>
      <w:b/>
      <w:bCs/>
      <w:sz w:val="32"/>
      <w:szCs w:val="32"/>
      <w14:ligatures w14:val="none"/>
    </w:rPr>
  </w:style>
  <w:style w:type="character" w:customStyle="1" w:styleId="13">
    <w:name w:val="标题 1 字符"/>
    <w:basedOn w:val="11"/>
    <w:link w:val="2"/>
    <w:autoRedefine/>
    <w:qFormat/>
    <w:uiPriority w:val="9"/>
    <w:rPr>
      <w:rFonts w:eastAsia="宋体"/>
      <w:b/>
      <w:bCs/>
      <w:kern w:val="44"/>
      <w:sz w:val="36"/>
      <w:szCs w:val="44"/>
      <w14:ligatures w14:val="none"/>
    </w:rPr>
  </w:style>
  <w:style w:type="character" w:customStyle="1" w:styleId="14">
    <w:name w:val="标题 2 字符"/>
    <w:basedOn w:val="11"/>
    <w:link w:val="3"/>
    <w:autoRedefine/>
    <w:qFormat/>
    <w:uiPriority w:val="9"/>
    <w:rPr>
      <w:rFonts w:asciiTheme="majorHAnsi" w:hAnsiTheme="majorHAnsi" w:eastAsiaTheme="majorEastAsia" w:cstheme="majorBidi"/>
      <w:b/>
      <w:bCs/>
      <w:sz w:val="32"/>
      <w:szCs w:val="32"/>
      <w14:ligatures w14:val="none"/>
    </w:rPr>
  </w:style>
  <w:style w:type="character" w:customStyle="1" w:styleId="15">
    <w:name w:val="标题 3 字符"/>
    <w:basedOn w:val="11"/>
    <w:link w:val="4"/>
    <w:autoRedefine/>
    <w:qFormat/>
    <w:uiPriority w:val="9"/>
    <w:rPr>
      <w:rFonts w:eastAsia="宋体"/>
      <w:b/>
      <w:bCs/>
      <w:sz w:val="30"/>
      <w:szCs w:val="32"/>
      <w14:ligatures w14:val="none"/>
    </w:rPr>
  </w:style>
  <w:style w:type="character" w:customStyle="1" w:styleId="16">
    <w:name w:val="标题 4 字符"/>
    <w:basedOn w:val="11"/>
    <w:link w:val="5"/>
    <w:autoRedefine/>
    <w:qFormat/>
    <w:uiPriority w:val="9"/>
    <w:rPr>
      <w:rFonts w:asciiTheme="majorHAnsi" w:hAnsiTheme="majorHAnsi" w:eastAsiaTheme="majorEastAsia" w:cstheme="majorBidi"/>
      <w:b/>
      <w:bCs/>
      <w:sz w:val="28"/>
      <w:szCs w:val="28"/>
      <w14:ligatures w14:val="none"/>
    </w:rPr>
  </w:style>
  <w:style w:type="character" w:customStyle="1" w:styleId="17">
    <w:name w:val="标题 5 字符"/>
    <w:basedOn w:val="11"/>
    <w:link w:val="6"/>
    <w:autoRedefine/>
    <w:qFormat/>
    <w:uiPriority w:val="9"/>
    <w:rPr>
      <w:rFonts w:eastAsia="宋体"/>
      <w:b/>
      <w:bCs/>
      <w:sz w:val="24"/>
      <w:szCs w:val="28"/>
      <w14:ligatures w14:val="none"/>
    </w:rPr>
  </w:style>
  <w:style w:type="character" w:customStyle="1" w:styleId="18">
    <w:name w:val="标题 6 字符"/>
    <w:basedOn w:val="11"/>
    <w:link w:val="7"/>
    <w:autoRedefine/>
    <w:qFormat/>
    <w:uiPriority w:val="9"/>
    <w:rPr>
      <w:rFonts w:asciiTheme="majorHAnsi" w:hAnsiTheme="majorHAnsi" w:eastAsiaTheme="majorEastAsia" w:cstheme="majorBidi"/>
      <w:b/>
      <w:bCs/>
      <w:sz w:val="24"/>
      <w14:ligatures w14:val="none"/>
    </w:rPr>
  </w:style>
  <w:style w:type="character" w:customStyle="1" w:styleId="19">
    <w:name w:val="font41"/>
    <w:basedOn w:val="11"/>
    <w:qFormat/>
    <w:uiPriority w:val="0"/>
    <w:rPr>
      <w:rFonts w:ascii="等线" w:hAnsi="等线" w:eastAsia="等线" w:cs="等线"/>
      <w:b/>
      <w:bCs/>
      <w:color w:val="000000"/>
      <w:sz w:val="21"/>
      <w:szCs w:val="21"/>
      <w:u w:val="none"/>
    </w:rPr>
  </w:style>
  <w:style w:type="character" w:customStyle="1" w:styleId="20">
    <w:name w:val="font11"/>
    <w:basedOn w:val="11"/>
    <w:qFormat/>
    <w:uiPriority w:val="0"/>
    <w:rPr>
      <w:rFonts w:hint="eastAsia" w:ascii="宋体" w:hAnsi="宋体" w:eastAsia="宋体" w:cs="宋体"/>
      <w:b/>
      <w:bCs/>
      <w:color w:val="000000"/>
      <w:sz w:val="21"/>
      <w:szCs w:val="21"/>
      <w:u w:val="none"/>
    </w:rPr>
  </w:style>
  <w:style w:type="character" w:customStyle="1" w:styleId="21">
    <w:name w:val="font31"/>
    <w:basedOn w:val="11"/>
    <w:qFormat/>
    <w:uiPriority w:val="0"/>
    <w:rPr>
      <w:rFonts w:hint="eastAsia" w:ascii="等线" w:hAnsi="等线" w:eastAsia="等线" w:cs="等线"/>
      <w:color w:val="000000"/>
      <w:sz w:val="21"/>
      <w:szCs w:val="21"/>
      <w:u w:val="none"/>
    </w:rPr>
  </w:style>
  <w:style w:type="character" w:customStyle="1" w:styleId="22">
    <w:name w:val="font2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1460</Words>
  <Characters>1993</Characters>
  <Lines>45</Lines>
  <Paragraphs>12</Paragraphs>
  <TotalTime>96</TotalTime>
  <ScaleCrop>false</ScaleCrop>
  <LinksUpToDate>false</LinksUpToDate>
  <CharactersWithSpaces>1993</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2024-04-11T23:31:00Z</dcterms:created>
  <dc:creator>唐 唐</dc:creator>
  <cp:lastModifiedBy>刘  静</cp:lastModifiedBy>
  <dcterms:modified xsi:type="dcterms:W3CDTF">2025-08-04T16:52:33Z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ADDB709379D312298F709068DCE68402_43</vt:lpwstr>
  </property>
  <property fmtid="{D5CDD505-2E9C-101B-9397-08002B2CF9AE}" pid="4" name="KSOTemplateDocerSaveRecord">
    <vt:lpwstr>eyJoZGlkIjoiNWE2NjhkNDZkNWU5MjQ1ZDM1YWZkMjUxZGIxMDQ2NDMiLCJ1c2VySWQiOiI0MDA5MTczNDUifQ==</vt:lpwstr>
  </property>
</Properties>
</file>