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59D0C">
      <w:pPr>
        <w:jc w:val="center"/>
        <w:rPr>
          <w:rFonts w:hint="eastAsia" w:ascii="宋体" w:hAnsi="宋体" w:eastAsia="宋体" w:cs="宋体"/>
          <w:b/>
          <w:bCs/>
          <w:sz w:val="32"/>
          <w:szCs w:val="32"/>
        </w:rPr>
      </w:pPr>
      <w:r>
        <w:rPr>
          <w:rFonts w:hint="eastAsia" w:ascii="宋体" w:hAnsi="宋体" w:eastAsia="宋体" w:cs="宋体"/>
          <w:b/>
          <w:bCs/>
          <w:sz w:val="32"/>
          <w:szCs w:val="32"/>
        </w:rPr>
        <w:t>电梯采购需求标准</w:t>
      </w:r>
    </w:p>
    <w:p w14:paraId="6FAE0E34">
      <w:pPr>
        <w:spacing w:line="360" w:lineRule="auto"/>
        <w:ind w:firstLine="420" w:firstLineChars="200"/>
        <w:rPr>
          <w:rFonts w:hint="eastAsia" w:ascii="宋体" w:hAnsi="宋体" w:eastAsia="宋体" w:cs="宋体"/>
          <w:sz w:val="21"/>
          <w:szCs w:val="21"/>
        </w:rPr>
      </w:pPr>
    </w:p>
    <w:p w14:paraId="2B4E9B86">
      <w:pPr>
        <w:spacing w:line="360" w:lineRule="auto"/>
        <w:ind w:firstLine="422" w:firstLineChars="200"/>
        <w:rPr>
          <w:rFonts w:hint="eastAsia" w:ascii="宋体" w:hAnsi="宋体" w:eastAsia="宋体" w:cs="宋体"/>
          <w:b/>
          <w:color w:val="FF0000"/>
          <w:sz w:val="21"/>
          <w:szCs w:val="21"/>
        </w:rPr>
      </w:pPr>
      <w:r>
        <w:rPr>
          <w:rFonts w:hint="eastAsia" w:ascii="宋体" w:hAnsi="宋体" w:eastAsia="宋体" w:cs="宋体"/>
          <w:b/>
          <w:color w:val="000000" w:themeColor="text1"/>
          <w:sz w:val="21"/>
          <w:szCs w:val="21"/>
          <w:lang w:eastAsia="zh-CN"/>
          <w14:textFill>
            <w14:solidFill>
              <w14:schemeClr w14:val="tx1"/>
            </w14:solidFill>
          </w14:textFill>
        </w:rPr>
        <w:t>一</w:t>
      </w:r>
      <w:r>
        <w:rPr>
          <w:rFonts w:hint="eastAsia" w:ascii="宋体" w:hAnsi="宋体" w:eastAsia="宋体" w:cs="宋体"/>
          <w:b/>
          <w:color w:val="000000" w:themeColor="text1"/>
          <w:sz w:val="21"/>
          <w:szCs w:val="21"/>
          <w14:textFill>
            <w14:solidFill>
              <w14:schemeClr w14:val="tx1"/>
            </w14:solidFill>
          </w14:textFill>
        </w:rPr>
        <w:t>、建筑物基本情况</w:t>
      </w:r>
    </w:p>
    <w:p w14:paraId="22EE40D9">
      <w:pPr>
        <w:spacing w:line="360" w:lineRule="auto"/>
        <w:ind w:firstLine="420" w:firstLineChars="200"/>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（一）</w:t>
      </w:r>
      <w:r>
        <w:rPr>
          <w:rFonts w:hint="eastAsia" w:ascii="宋体" w:hAnsi="宋体" w:eastAsia="宋体" w:cs="宋体"/>
          <w:color w:val="000000" w:themeColor="text1"/>
          <w:sz w:val="21"/>
          <w:szCs w:val="21"/>
          <w14:textFill>
            <w14:solidFill>
              <w14:schemeClr w14:val="tx1"/>
            </w14:solidFill>
          </w14:textFill>
        </w:rPr>
        <w:t>建筑物地址：</w:t>
      </w:r>
      <w:r>
        <w:rPr>
          <w:rFonts w:hint="eastAsia" w:ascii="宋体" w:hAnsi="宋体" w:eastAsia="宋体" w:cs="宋体"/>
          <w:color w:val="000000" w:themeColor="text1"/>
          <w:sz w:val="21"/>
          <w:szCs w:val="21"/>
          <w:lang w:val="en-US" w:eastAsia="zh-CN"/>
          <w14:textFill>
            <w14:solidFill>
              <w14:schemeClr w14:val="tx1"/>
            </w14:solidFill>
          </w14:textFill>
        </w:rPr>
        <w:t>上海市松江区光星路2209号</w:t>
      </w:r>
    </w:p>
    <w:p w14:paraId="27FDF68E">
      <w:pPr>
        <w:spacing w:line="360" w:lineRule="auto"/>
        <w:ind w:firstLine="420" w:firstLineChars="200"/>
        <w:rPr>
          <w:rFonts w:hint="eastAsia" w:ascii="宋体" w:hAnsi="宋体" w:eastAsia="宋体" w:cs="宋体"/>
          <w:color w:val="FF0000"/>
          <w:sz w:val="21"/>
          <w:szCs w:val="21"/>
        </w:rPr>
      </w:pPr>
      <w:r>
        <w:rPr>
          <w:rFonts w:hint="eastAsia" w:ascii="宋体" w:hAnsi="宋体" w:eastAsia="宋体" w:cs="宋体"/>
          <w:color w:val="000000" w:themeColor="text1"/>
          <w:sz w:val="21"/>
          <w:szCs w:val="21"/>
          <w:lang w:eastAsia="zh-CN"/>
          <w14:textFill>
            <w14:solidFill>
              <w14:schemeClr w14:val="tx1"/>
            </w14:solidFill>
          </w14:textFill>
        </w:rPr>
        <w:t>（二）</w:t>
      </w:r>
      <w:r>
        <w:rPr>
          <w:rFonts w:hint="eastAsia" w:ascii="宋体" w:hAnsi="宋体" w:eastAsia="宋体" w:cs="宋体"/>
          <w:color w:val="000000" w:themeColor="text1"/>
          <w:sz w:val="21"/>
          <w:szCs w:val="21"/>
          <w14:textFill>
            <w14:solidFill>
              <w14:schemeClr w14:val="tx1"/>
            </w14:solidFill>
          </w14:textFill>
        </w:rPr>
        <w:t>建筑物状况：建成在用</w:t>
      </w:r>
    </w:p>
    <w:p w14:paraId="7316B297">
      <w:pPr>
        <w:spacing w:line="360" w:lineRule="auto"/>
        <w:ind w:firstLine="840" w:firstLineChars="400"/>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是否需要拆旧</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是</w:t>
      </w:r>
    </w:p>
    <w:p w14:paraId="7A0865AB">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w:t>
      </w:r>
      <w:r>
        <w:rPr>
          <w:rFonts w:hint="eastAsia" w:ascii="宋体" w:hAnsi="宋体" w:eastAsia="宋体" w:cs="宋体"/>
          <w:sz w:val="21"/>
          <w:szCs w:val="21"/>
        </w:rPr>
        <w:t>救援特殊要求：</w:t>
      </w:r>
      <w:r>
        <w:rPr>
          <w:rFonts w:hint="eastAsia" w:ascii="宋体" w:hAnsi="宋体" w:eastAsia="宋体" w:cs="宋体"/>
          <w:sz w:val="21"/>
          <w:szCs w:val="21"/>
          <w:lang w:val="en-US" w:eastAsia="zh-CN"/>
        </w:rPr>
        <w:t>无</w:t>
      </w:r>
    </w:p>
    <w:p w14:paraId="0D62E118">
      <w:pPr>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四</w:t>
      </w:r>
      <w:r>
        <w:rPr>
          <w:rFonts w:hint="eastAsia" w:ascii="宋体" w:hAnsi="宋体" w:eastAsia="宋体" w:cs="宋体"/>
          <w:sz w:val="21"/>
          <w:szCs w:val="21"/>
          <w:lang w:eastAsia="zh-CN"/>
        </w:rPr>
        <w:t>）</w:t>
      </w:r>
      <w:r>
        <w:rPr>
          <w:rFonts w:hint="eastAsia" w:ascii="宋体" w:hAnsi="宋体" w:eastAsia="宋体" w:cs="宋体"/>
          <w:sz w:val="21"/>
          <w:szCs w:val="21"/>
        </w:rPr>
        <w:t>建筑物层站情况：</w:t>
      </w:r>
      <w:r>
        <w:rPr>
          <w:rFonts w:hint="eastAsia" w:ascii="宋体" w:hAnsi="宋体" w:eastAsia="宋体" w:cs="宋体"/>
          <w:sz w:val="21"/>
          <w:szCs w:val="21"/>
          <w:lang w:val="en-US" w:eastAsia="zh-CN"/>
        </w:rPr>
        <w:t>见采购清单</w:t>
      </w:r>
    </w:p>
    <w:p w14:paraId="30BEB0D4">
      <w:pPr>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五</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电源：</w:t>
      </w:r>
      <w:r>
        <w:rPr>
          <w:rFonts w:hint="eastAsia" w:ascii="宋体" w:hAnsi="宋体" w:eastAsia="宋体" w:cs="宋体"/>
          <w:color w:val="auto"/>
          <w:sz w:val="21"/>
          <w:szCs w:val="21"/>
          <w:lang w:val="en-US" w:eastAsia="zh-CN"/>
        </w:rPr>
        <w:t>动力交流三相五线制 380V 50Hz，照明交流 220V 50Hz</w:t>
      </w:r>
    </w:p>
    <w:p w14:paraId="27AB9108">
      <w:pPr>
        <w:spacing w:line="360" w:lineRule="auto"/>
        <w:ind w:firstLine="420" w:firstLineChars="200"/>
        <w:rPr>
          <w:rFonts w:hint="eastAsia" w:ascii="宋体" w:hAnsi="宋体" w:eastAsia="宋体" w:cs="宋体"/>
          <w:color w:val="auto"/>
          <w:sz w:val="21"/>
          <w:szCs w:val="21"/>
          <w:lang w:val="en-US" w:eastAsia="zh-CN"/>
        </w:rPr>
      </w:pPr>
    </w:p>
    <w:p w14:paraId="2D42832D">
      <w:pPr>
        <w:spacing w:line="360" w:lineRule="auto"/>
        <w:ind w:firstLine="422" w:firstLineChars="200"/>
        <w:rPr>
          <w:rFonts w:hint="eastAsia" w:ascii="宋体" w:hAnsi="宋体" w:eastAsia="宋体" w:cs="宋体"/>
          <w:b/>
          <w:color w:val="auto"/>
          <w:sz w:val="21"/>
          <w:szCs w:val="21"/>
        </w:rPr>
      </w:pPr>
      <w:r>
        <w:rPr>
          <w:rFonts w:hint="eastAsia" w:ascii="宋体" w:hAnsi="宋体" w:eastAsia="宋体" w:cs="宋体"/>
          <w:b/>
          <w:sz w:val="21"/>
          <w:szCs w:val="21"/>
          <w:lang w:eastAsia="zh-CN"/>
        </w:rPr>
        <w:t>二</w:t>
      </w:r>
      <w:r>
        <w:rPr>
          <w:rFonts w:hint="eastAsia" w:ascii="宋体" w:hAnsi="宋体" w:eastAsia="宋体" w:cs="宋体"/>
          <w:b/>
          <w:sz w:val="21"/>
          <w:szCs w:val="21"/>
        </w:rPr>
        <w:t>、执行规定及标</w:t>
      </w:r>
      <w:r>
        <w:rPr>
          <w:rFonts w:hint="eastAsia" w:ascii="宋体" w:hAnsi="宋体" w:eastAsia="宋体" w:cs="宋体"/>
          <w:b/>
          <w:color w:val="auto"/>
          <w:sz w:val="21"/>
          <w:szCs w:val="21"/>
        </w:rPr>
        <w:t>准</w:t>
      </w:r>
    </w:p>
    <w:p w14:paraId="70DB577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所提供电梯产品</w:t>
      </w:r>
      <w:r>
        <w:rPr>
          <w:rFonts w:hint="eastAsia" w:ascii="宋体" w:hAnsi="宋体" w:eastAsia="宋体" w:cs="宋体"/>
          <w:sz w:val="21"/>
          <w:szCs w:val="21"/>
          <w:lang w:eastAsia="zh-CN"/>
        </w:rPr>
        <w:t>参考执行</w:t>
      </w:r>
      <w:r>
        <w:rPr>
          <w:rFonts w:hint="eastAsia" w:ascii="宋体" w:hAnsi="宋体" w:eastAsia="宋体" w:cs="宋体"/>
          <w:sz w:val="21"/>
          <w:szCs w:val="21"/>
        </w:rPr>
        <w:t>以下安全技术规范和国家标准的要求：</w:t>
      </w:r>
    </w:p>
    <w:p w14:paraId="21627B1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一</w:t>
      </w:r>
      <w:r>
        <w:rPr>
          <w:rFonts w:hint="eastAsia" w:ascii="宋体" w:hAnsi="宋体" w:eastAsia="宋体" w:cs="宋体"/>
          <w:sz w:val="21"/>
          <w:szCs w:val="21"/>
        </w:rPr>
        <w:t>）TSG T7001-2023《电梯监督检验和定期检验规则》</w:t>
      </w:r>
    </w:p>
    <w:p w14:paraId="313E8B2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二</w:t>
      </w:r>
      <w:r>
        <w:rPr>
          <w:rFonts w:hint="eastAsia" w:ascii="宋体" w:hAnsi="宋体" w:eastAsia="宋体" w:cs="宋体"/>
          <w:sz w:val="21"/>
          <w:szCs w:val="21"/>
        </w:rPr>
        <w:t>）TSG T7008-2023《电梯自行检测规则》</w:t>
      </w:r>
    </w:p>
    <w:p w14:paraId="5A5C6BF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三</w:t>
      </w:r>
      <w:r>
        <w:rPr>
          <w:rFonts w:hint="eastAsia" w:ascii="宋体" w:hAnsi="宋体" w:eastAsia="宋体" w:cs="宋体"/>
          <w:sz w:val="21"/>
          <w:szCs w:val="21"/>
        </w:rPr>
        <w:t>）TSG T7007-2022《电梯型式试验规则》</w:t>
      </w:r>
    </w:p>
    <w:p w14:paraId="741017E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四</w:t>
      </w:r>
      <w:r>
        <w:rPr>
          <w:rFonts w:hint="eastAsia" w:ascii="宋体" w:hAnsi="宋体" w:eastAsia="宋体" w:cs="宋体"/>
          <w:sz w:val="21"/>
          <w:szCs w:val="21"/>
        </w:rPr>
        <w:t>）GB/T 7588.1-2020《电梯制造与安装安全规范第1部分：乘客电梯和载货电梯》</w:t>
      </w:r>
    </w:p>
    <w:p w14:paraId="2D70DC6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五</w:t>
      </w:r>
      <w:r>
        <w:rPr>
          <w:rFonts w:hint="eastAsia" w:ascii="宋体" w:hAnsi="宋体" w:eastAsia="宋体" w:cs="宋体"/>
          <w:sz w:val="21"/>
          <w:szCs w:val="21"/>
        </w:rPr>
        <w:t>）GB/T 7588.2-2020《电梯制造与安装安全规范第2部分：电梯部件的设计原则、计算和检验》</w:t>
      </w:r>
    </w:p>
    <w:p w14:paraId="4C2640E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六</w:t>
      </w:r>
      <w:r>
        <w:rPr>
          <w:rFonts w:hint="eastAsia" w:ascii="宋体" w:hAnsi="宋体" w:eastAsia="宋体" w:cs="宋体"/>
          <w:sz w:val="21"/>
          <w:szCs w:val="21"/>
        </w:rPr>
        <w:t>）GB/T 10058-2009 《电梯技术条件》</w:t>
      </w:r>
    </w:p>
    <w:p w14:paraId="4563F8D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七</w:t>
      </w:r>
      <w:r>
        <w:rPr>
          <w:rFonts w:hint="eastAsia" w:ascii="宋体" w:hAnsi="宋体" w:eastAsia="宋体" w:cs="宋体"/>
          <w:sz w:val="21"/>
          <w:szCs w:val="21"/>
        </w:rPr>
        <w:t>）GB/T 10059-2009 《电梯试验方法》</w:t>
      </w:r>
    </w:p>
    <w:p w14:paraId="14ED2EE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八</w:t>
      </w:r>
      <w:r>
        <w:rPr>
          <w:rFonts w:hint="eastAsia" w:ascii="宋体" w:hAnsi="宋体" w:eastAsia="宋体" w:cs="宋体"/>
          <w:sz w:val="21"/>
          <w:szCs w:val="21"/>
        </w:rPr>
        <w:t>）GB/T 10060-2011《电梯安装验收规范》</w:t>
      </w:r>
    </w:p>
    <w:p w14:paraId="7E4C5003">
      <w:pPr>
        <w:spacing w:line="360" w:lineRule="auto"/>
        <w:ind w:firstLine="420" w:firstLineChars="200"/>
        <w:rPr>
          <w:rFonts w:hint="eastAsia" w:ascii="宋体" w:hAnsi="宋体" w:eastAsia="宋体" w:cs="宋体"/>
          <w:sz w:val="21"/>
          <w:szCs w:val="21"/>
          <w:highlight w:val="yellow"/>
        </w:rPr>
      </w:pPr>
      <w:r>
        <w:rPr>
          <w:rFonts w:hint="eastAsia" w:ascii="宋体" w:hAnsi="宋体" w:eastAsia="宋体" w:cs="宋体"/>
          <w:sz w:val="21"/>
          <w:szCs w:val="21"/>
        </w:rPr>
        <w:t>（</w:t>
      </w:r>
      <w:r>
        <w:rPr>
          <w:rFonts w:hint="eastAsia" w:ascii="宋体" w:hAnsi="宋体" w:eastAsia="宋体" w:cs="宋体"/>
          <w:sz w:val="21"/>
          <w:szCs w:val="21"/>
          <w:lang w:eastAsia="zh-CN"/>
        </w:rPr>
        <w:t>九</w:t>
      </w:r>
      <w:r>
        <w:rPr>
          <w:rFonts w:hint="eastAsia" w:ascii="宋体" w:hAnsi="宋体" w:eastAsia="宋体" w:cs="宋体"/>
          <w:sz w:val="21"/>
          <w:szCs w:val="21"/>
        </w:rPr>
        <w:t>）GB55019-2021 《建筑与市政工程无障碍通用规范》</w:t>
      </w:r>
    </w:p>
    <w:p w14:paraId="11676EB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十</w:t>
      </w:r>
      <w:r>
        <w:rPr>
          <w:rFonts w:hint="eastAsia" w:ascii="宋体" w:hAnsi="宋体" w:eastAsia="宋体" w:cs="宋体"/>
          <w:sz w:val="21"/>
          <w:szCs w:val="21"/>
        </w:rPr>
        <w:t>）GB 25194-2010《杂物电梯制造与安装安全规范》（仅杂物电梯适用）</w:t>
      </w:r>
    </w:p>
    <w:p w14:paraId="0075FA2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十一</w:t>
      </w:r>
      <w:r>
        <w:rPr>
          <w:rFonts w:hint="eastAsia" w:ascii="宋体" w:hAnsi="宋体" w:eastAsia="宋体" w:cs="宋体"/>
          <w:sz w:val="21"/>
          <w:szCs w:val="21"/>
        </w:rPr>
        <w:t>）GB/T 31094-2014《防爆电梯制造与安装规范》（仅防爆电梯适用）</w:t>
      </w:r>
    </w:p>
    <w:p w14:paraId="396255F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说明：1.以上标准如有更新，按最新标准执行。2.采购需求未列明的技术要求按标准规范执行；若采购需求提出的要求高于标准规范要求的，则按采购需求所列要求执行。</w:t>
      </w:r>
    </w:p>
    <w:p w14:paraId="39503083">
      <w:pPr>
        <w:spacing w:line="360" w:lineRule="auto"/>
        <w:rPr>
          <w:rFonts w:hint="eastAsia" w:ascii="宋体" w:hAnsi="宋体" w:eastAsia="宋体" w:cs="宋体"/>
          <w:sz w:val="21"/>
          <w:szCs w:val="21"/>
        </w:rPr>
      </w:pPr>
    </w:p>
    <w:p w14:paraId="2450901B">
      <w:pPr>
        <w:spacing w:line="360" w:lineRule="auto"/>
        <w:rPr>
          <w:rFonts w:hint="eastAsia" w:ascii="宋体" w:hAnsi="宋体" w:eastAsia="宋体" w:cs="宋体"/>
          <w:sz w:val="21"/>
          <w:szCs w:val="21"/>
        </w:rPr>
      </w:pPr>
    </w:p>
    <w:p w14:paraId="3A088531">
      <w:pPr>
        <w:spacing w:line="360" w:lineRule="auto"/>
        <w:rPr>
          <w:rFonts w:hint="eastAsia" w:ascii="宋体" w:hAnsi="宋体" w:eastAsia="宋体" w:cs="宋体"/>
          <w:sz w:val="21"/>
          <w:szCs w:val="21"/>
        </w:rPr>
      </w:pPr>
    </w:p>
    <w:p w14:paraId="1DE05A1C">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lang w:eastAsia="zh-CN"/>
        </w:rPr>
        <w:t>三</w:t>
      </w:r>
      <w:r>
        <w:rPr>
          <w:rFonts w:hint="eastAsia" w:ascii="宋体" w:hAnsi="宋体" w:eastAsia="宋体" w:cs="宋体"/>
          <w:b/>
          <w:sz w:val="21"/>
          <w:szCs w:val="21"/>
        </w:rPr>
        <w:t>、采购标的清单</w:t>
      </w:r>
    </w:p>
    <w:tbl>
      <w:tblPr>
        <w:tblStyle w:val="10"/>
        <w:tblW w:w="8028" w:type="dxa"/>
        <w:jc w:val="center"/>
        <w:tblLayout w:type="autofit"/>
        <w:tblCellMar>
          <w:top w:w="0" w:type="dxa"/>
          <w:left w:w="0" w:type="dxa"/>
          <w:bottom w:w="0" w:type="dxa"/>
          <w:right w:w="0" w:type="dxa"/>
        </w:tblCellMar>
      </w:tblPr>
      <w:tblGrid>
        <w:gridCol w:w="572"/>
        <w:gridCol w:w="1716"/>
        <w:gridCol w:w="624"/>
        <w:gridCol w:w="1404"/>
        <w:gridCol w:w="1224"/>
        <w:gridCol w:w="1488"/>
        <w:gridCol w:w="1000"/>
      </w:tblGrid>
      <w:tr w14:paraId="18066E90">
        <w:tblPrEx>
          <w:tblCellMar>
            <w:top w:w="0" w:type="dxa"/>
            <w:left w:w="0" w:type="dxa"/>
            <w:bottom w:w="0" w:type="dxa"/>
            <w:right w:w="0" w:type="dxa"/>
          </w:tblCellMar>
        </w:tblPrEx>
        <w:trPr>
          <w:tblHeader/>
          <w:jc w:val="center"/>
        </w:trPr>
        <w:tc>
          <w:tcPr>
            <w:tcW w:w="572" w:type="dxa"/>
            <w:tcBorders>
              <w:top w:val="single" w:color="auto" w:sz="12" w:space="0"/>
              <w:left w:val="single" w:color="auto" w:sz="12" w:space="0"/>
              <w:bottom w:val="single" w:color="auto" w:sz="8" w:space="0"/>
              <w:right w:val="single" w:color="auto" w:sz="8" w:space="0"/>
            </w:tcBorders>
            <w:tcMar>
              <w:left w:w="57" w:type="dxa"/>
              <w:right w:w="57" w:type="dxa"/>
            </w:tcMar>
            <w:vAlign w:val="center"/>
          </w:tcPr>
          <w:p w14:paraId="3C84D7EE">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序号</w:t>
            </w:r>
          </w:p>
        </w:tc>
        <w:tc>
          <w:tcPr>
            <w:tcW w:w="1716" w:type="dxa"/>
            <w:tcBorders>
              <w:top w:val="single" w:color="auto" w:sz="12" w:space="0"/>
              <w:left w:val="nil"/>
              <w:bottom w:val="single" w:color="auto" w:sz="8" w:space="0"/>
              <w:right w:val="single" w:color="auto" w:sz="8" w:space="0"/>
            </w:tcBorders>
            <w:tcMar>
              <w:left w:w="57" w:type="dxa"/>
              <w:right w:w="57" w:type="dxa"/>
            </w:tcMar>
            <w:vAlign w:val="center"/>
          </w:tcPr>
          <w:p w14:paraId="3F1D544B">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类别</w:t>
            </w:r>
          </w:p>
        </w:tc>
        <w:tc>
          <w:tcPr>
            <w:tcW w:w="624" w:type="dxa"/>
            <w:tcBorders>
              <w:top w:val="single" w:color="auto" w:sz="12" w:space="0"/>
              <w:left w:val="nil"/>
              <w:bottom w:val="single" w:color="auto" w:sz="8" w:space="0"/>
              <w:right w:val="single" w:color="auto" w:sz="8" w:space="0"/>
            </w:tcBorders>
            <w:tcMar>
              <w:left w:w="57" w:type="dxa"/>
              <w:right w:w="57" w:type="dxa"/>
            </w:tcMar>
            <w:vAlign w:val="center"/>
          </w:tcPr>
          <w:p w14:paraId="7DAA11B5">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数量</w:t>
            </w:r>
          </w:p>
        </w:tc>
        <w:tc>
          <w:tcPr>
            <w:tcW w:w="1404" w:type="dxa"/>
            <w:tcBorders>
              <w:top w:val="single" w:color="auto" w:sz="12" w:space="0"/>
              <w:left w:val="nil"/>
              <w:bottom w:val="single" w:color="auto" w:sz="8" w:space="0"/>
              <w:right w:val="single" w:color="auto" w:sz="8" w:space="0"/>
            </w:tcBorders>
            <w:tcMar>
              <w:left w:w="57" w:type="dxa"/>
              <w:right w:w="57" w:type="dxa"/>
            </w:tcMar>
            <w:vAlign w:val="center"/>
          </w:tcPr>
          <w:p w14:paraId="253903B7">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额定载重量</w:t>
            </w:r>
          </w:p>
        </w:tc>
        <w:tc>
          <w:tcPr>
            <w:tcW w:w="1224" w:type="dxa"/>
            <w:tcBorders>
              <w:top w:val="single" w:color="auto" w:sz="12" w:space="0"/>
              <w:left w:val="nil"/>
              <w:bottom w:val="single" w:color="auto" w:sz="8" w:space="0"/>
              <w:right w:val="single" w:color="auto" w:sz="8" w:space="0"/>
            </w:tcBorders>
            <w:tcMar>
              <w:left w:w="57" w:type="dxa"/>
              <w:right w:w="57" w:type="dxa"/>
            </w:tcMar>
            <w:vAlign w:val="center"/>
          </w:tcPr>
          <w:p w14:paraId="7121465F">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额定速度</w:t>
            </w:r>
          </w:p>
        </w:tc>
        <w:tc>
          <w:tcPr>
            <w:tcW w:w="1488" w:type="dxa"/>
            <w:tcBorders>
              <w:top w:val="single" w:color="auto" w:sz="12" w:space="0"/>
              <w:left w:val="nil"/>
              <w:bottom w:val="single" w:color="auto" w:sz="8" w:space="0"/>
              <w:right w:val="single" w:color="auto" w:sz="8" w:space="0"/>
            </w:tcBorders>
            <w:tcMar>
              <w:left w:w="57" w:type="dxa"/>
              <w:right w:w="57" w:type="dxa"/>
            </w:tcMar>
            <w:vAlign w:val="center"/>
          </w:tcPr>
          <w:p w14:paraId="52741A5E">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层/站/门</w:t>
            </w:r>
          </w:p>
        </w:tc>
        <w:tc>
          <w:tcPr>
            <w:tcW w:w="1000" w:type="dxa"/>
            <w:tcBorders>
              <w:top w:val="single" w:color="auto" w:sz="12" w:space="0"/>
              <w:left w:val="nil"/>
              <w:bottom w:val="single" w:color="auto" w:sz="8" w:space="0"/>
              <w:right w:val="single" w:color="auto" w:sz="12" w:space="0"/>
            </w:tcBorders>
            <w:tcMar>
              <w:left w:w="108" w:type="dxa"/>
              <w:right w:w="108" w:type="dxa"/>
            </w:tcMar>
            <w:vAlign w:val="center"/>
          </w:tcPr>
          <w:p w14:paraId="2ACA9B6F">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r>
      <w:tr w14:paraId="7D887925">
        <w:tblPrEx>
          <w:tblCellMar>
            <w:top w:w="0" w:type="dxa"/>
            <w:left w:w="0" w:type="dxa"/>
            <w:bottom w:w="0" w:type="dxa"/>
            <w:right w:w="0" w:type="dxa"/>
          </w:tblCellMar>
        </w:tblPrEx>
        <w:trPr>
          <w:trHeight w:val="405" w:hRule="atLeast"/>
          <w:jc w:val="center"/>
        </w:trPr>
        <w:tc>
          <w:tcPr>
            <w:tcW w:w="572" w:type="dxa"/>
            <w:tcBorders>
              <w:top w:val="nil"/>
              <w:left w:val="single" w:color="auto" w:sz="12" w:space="0"/>
              <w:bottom w:val="single" w:color="auto" w:sz="8" w:space="0"/>
              <w:right w:val="single" w:color="auto" w:sz="8" w:space="0"/>
            </w:tcBorders>
            <w:tcMar>
              <w:left w:w="108" w:type="dxa"/>
              <w:right w:w="108" w:type="dxa"/>
            </w:tcMar>
            <w:vAlign w:val="center"/>
          </w:tcPr>
          <w:p w14:paraId="7872991A">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716" w:type="dxa"/>
            <w:tcBorders>
              <w:top w:val="nil"/>
              <w:left w:val="nil"/>
              <w:bottom w:val="single" w:color="auto" w:sz="8" w:space="0"/>
              <w:right w:val="single" w:color="auto" w:sz="8" w:space="0"/>
            </w:tcBorders>
            <w:tcMar>
              <w:left w:w="108" w:type="dxa"/>
              <w:right w:w="108" w:type="dxa"/>
            </w:tcMar>
            <w:vAlign w:val="center"/>
          </w:tcPr>
          <w:p w14:paraId="1C69807E">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w:t>
            </w:r>
            <w:r>
              <w:rPr>
                <w:rFonts w:hint="eastAsia" w:ascii="宋体" w:hAnsi="宋体" w:eastAsia="宋体" w:cs="宋体"/>
                <w:kern w:val="0"/>
                <w:sz w:val="21"/>
                <w:szCs w:val="21"/>
              </w:rPr>
              <w:t>乘客电梯</w:t>
            </w:r>
          </w:p>
        </w:tc>
        <w:tc>
          <w:tcPr>
            <w:tcW w:w="624" w:type="dxa"/>
            <w:tcBorders>
              <w:top w:val="nil"/>
              <w:left w:val="nil"/>
              <w:bottom w:val="single" w:color="auto" w:sz="8" w:space="0"/>
              <w:right w:val="single" w:color="auto" w:sz="8" w:space="0"/>
            </w:tcBorders>
            <w:tcMar>
              <w:left w:w="108" w:type="dxa"/>
              <w:right w:w="108" w:type="dxa"/>
            </w:tcMar>
            <w:vAlign w:val="center"/>
          </w:tcPr>
          <w:p w14:paraId="73D4DAF5">
            <w:pPr>
              <w:widowControl/>
              <w:wordWrap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w:t>
            </w:r>
          </w:p>
        </w:tc>
        <w:tc>
          <w:tcPr>
            <w:tcW w:w="1404" w:type="dxa"/>
            <w:tcBorders>
              <w:top w:val="nil"/>
              <w:left w:val="nil"/>
              <w:bottom w:val="single" w:color="auto" w:sz="8" w:space="0"/>
              <w:right w:val="single" w:color="auto" w:sz="8" w:space="0"/>
            </w:tcBorders>
            <w:tcMar>
              <w:left w:w="108" w:type="dxa"/>
              <w:right w:w="108" w:type="dxa"/>
            </w:tcMar>
            <w:vAlign w:val="center"/>
          </w:tcPr>
          <w:p w14:paraId="284D3DAC">
            <w:pPr>
              <w:widowControl/>
              <w:wordWrap w:val="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1350kg</w:t>
            </w:r>
          </w:p>
        </w:tc>
        <w:tc>
          <w:tcPr>
            <w:tcW w:w="1224" w:type="dxa"/>
            <w:tcBorders>
              <w:top w:val="nil"/>
              <w:left w:val="nil"/>
              <w:bottom w:val="single" w:color="auto" w:sz="8" w:space="0"/>
              <w:right w:val="single" w:color="auto" w:sz="8" w:space="0"/>
            </w:tcBorders>
            <w:tcMar>
              <w:left w:w="108" w:type="dxa"/>
              <w:right w:w="108" w:type="dxa"/>
            </w:tcMar>
            <w:vAlign w:val="center"/>
          </w:tcPr>
          <w:p w14:paraId="3E6E57D0">
            <w:pPr>
              <w:widowControl/>
              <w:wordWrap w:val="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1.00m/s</w:t>
            </w:r>
          </w:p>
        </w:tc>
        <w:tc>
          <w:tcPr>
            <w:tcW w:w="1488" w:type="dxa"/>
            <w:tcBorders>
              <w:top w:val="nil"/>
              <w:left w:val="nil"/>
              <w:bottom w:val="single" w:color="auto" w:sz="8" w:space="0"/>
              <w:right w:val="single" w:color="auto" w:sz="8" w:space="0"/>
            </w:tcBorders>
            <w:tcMar>
              <w:left w:w="108" w:type="dxa"/>
              <w:right w:w="108" w:type="dxa"/>
            </w:tcMar>
            <w:vAlign w:val="center"/>
          </w:tcPr>
          <w:p w14:paraId="1D807331">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3层3站3门</w:t>
            </w:r>
          </w:p>
        </w:tc>
        <w:tc>
          <w:tcPr>
            <w:tcW w:w="1000" w:type="dxa"/>
            <w:tcBorders>
              <w:top w:val="nil"/>
              <w:left w:val="nil"/>
              <w:bottom w:val="single" w:color="auto" w:sz="8" w:space="0"/>
              <w:right w:val="single" w:color="auto" w:sz="12" w:space="0"/>
            </w:tcBorders>
            <w:tcMar>
              <w:left w:w="108" w:type="dxa"/>
              <w:right w:w="108" w:type="dxa"/>
            </w:tcMar>
            <w:vAlign w:val="center"/>
          </w:tcPr>
          <w:p w14:paraId="16E0193A">
            <w:pPr>
              <w:widowControl/>
              <w:wordWrap w:val="0"/>
              <w:jc w:val="center"/>
              <w:rPr>
                <w:rFonts w:hint="eastAsia" w:ascii="宋体" w:hAnsi="宋体" w:eastAsia="宋体" w:cs="宋体"/>
                <w:kern w:val="0"/>
                <w:sz w:val="21"/>
                <w:szCs w:val="21"/>
              </w:rPr>
            </w:pPr>
          </w:p>
        </w:tc>
      </w:tr>
      <w:tr w14:paraId="783DEE48">
        <w:tblPrEx>
          <w:tblCellMar>
            <w:top w:w="0" w:type="dxa"/>
            <w:left w:w="0" w:type="dxa"/>
            <w:bottom w:w="0" w:type="dxa"/>
            <w:right w:w="0" w:type="dxa"/>
          </w:tblCellMar>
        </w:tblPrEx>
        <w:trPr>
          <w:trHeight w:val="405" w:hRule="atLeast"/>
          <w:jc w:val="center"/>
        </w:trPr>
        <w:tc>
          <w:tcPr>
            <w:tcW w:w="572" w:type="dxa"/>
            <w:tcBorders>
              <w:top w:val="nil"/>
              <w:left w:val="single" w:color="auto" w:sz="12" w:space="0"/>
              <w:bottom w:val="single" w:color="auto" w:sz="8" w:space="0"/>
              <w:right w:val="single" w:color="auto" w:sz="8" w:space="0"/>
            </w:tcBorders>
            <w:tcMar>
              <w:left w:w="108" w:type="dxa"/>
              <w:right w:w="108" w:type="dxa"/>
            </w:tcMar>
            <w:vAlign w:val="center"/>
          </w:tcPr>
          <w:p w14:paraId="037E9614">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716" w:type="dxa"/>
            <w:tcBorders>
              <w:top w:val="nil"/>
              <w:left w:val="nil"/>
              <w:bottom w:val="single" w:color="auto" w:sz="8" w:space="0"/>
              <w:right w:val="single" w:color="auto" w:sz="8" w:space="0"/>
            </w:tcBorders>
            <w:tcMar>
              <w:left w:w="108" w:type="dxa"/>
              <w:right w:w="108" w:type="dxa"/>
            </w:tcMar>
            <w:vAlign w:val="center"/>
          </w:tcPr>
          <w:p w14:paraId="143AF22E">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w:t>
            </w:r>
            <w:r>
              <w:rPr>
                <w:rFonts w:hint="eastAsia" w:ascii="宋体" w:hAnsi="宋体" w:eastAsia="宋体" w:cs="宋体"/>
                <w:kern w:val="0"/>
                <w:sz w:val="21"/>
                <w:szCs w:val="21"/>
              </w:rPr>
              <w:t>乘客电梯</w:t>
            </w:r>
          </w:p>
        </w:tc>
        <w:tc>
          <w:tcPr>
            <w:tcW w:w="624" w:type="dxa"/>
            <w:tcBorders>
              <w:top w:val="nil"/>
              <w:left w:val="nil"/>
              <w:bottom w:val="single" w:color="auto" w:sz="8" w:space="0"/>
              <w:right w:val="single" w:color="auto" w:sz="8" w:space="0"/>
            </w:tcBorders>
            <w:tcMar>
              <w:left w:w="108" w:type="dxa"/>
              <w:right w:w="108" w:type="dxa"/>
            </w:tcMar>
            <w:vAlign w:val="center"/>
          </w:tcPr>
          <w:p w14:paraId="4F285A6E">
            <w:pPr>
              <w:widowControl/>
              <w:wordWrap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tc>
        <w:tc>
          <w:tcPr>
            <w:tcW w:w="1404" w:type="dxa"/>
            <w:tcBorders>
              <w:top w:val="nil"/>
              <w:left w:val="nil"/>
              <w:bottom w:val="single" w:color="auto" w:sz="8" w:space="0"/>
              <w:right w:val="single" w:color="auto" w:sz="8" w:space="0"/>
            </w:tcBorders>
            <w:shd w:val="clear" w:color="auto" w:fill="auto"/>
            <w:tcMar>
              <w:left w:w="108" w:type="dxa"/>
              <w:right w:w="108" w:type="dxa"/>
            </w:tcMar>
            <w:vAlign w:val="center"/>
          </w:tcPr>
          <w:p w14:paraId="2DC3BB2F">
            <w:pPr>
              <w:widowControl/>
              <w:wordWrap w:val="0"/>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1350kg</w:t>
            </w:r>
          </w:p>
        </w:tc>
        <w:tc>
          <w:tcPr>
            <w:tcW w:w="1224" w:type="dxa"/>
            <w:tcBorders>
              <w:top w:val="nil"/>
              <w:left w:val="nil"/>
              <w:bottom w:val="single" w:color="auto" w:sz="8" w:space="0"/>
              <w:right w:val="single" w:color="auto" w:sz="8" w:space="0"/>
            </w:tcBorders>
            <w:shd w:val="clear" w:color="auto" w:fill="auto"/>
            <w:tcMar>
              <w:left w:w="108" w:type="dxa"/>
              <w:right w:w="108" w:type="dxa"/>
            </w:tcMar>
            <w:vAlign w:val="center"/>
          </w:tcPr>
          <w:p w14:paraId="2D0C2892">
            <w:pPr>
              <w:widowControl/>
              <w:wordWrap w:val="0"/>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1.00m/s</w:t>
            </w:r>
          </w:p>
        </w:tc>
        <w:tc>
          <w:tcPr>
            <w:tcW w:w="1488" w:type="dxa"/>
            <w:tcBorders>
              <w:top w:val="nil"/>
              <w:left w:val="nil"/>
              <w:bottom w:val="single" w:color="auto" w:sz="8" w:space="0"/>
              <w:right w:val="single" w:color="auto" w:sz="8" w:space="0"/>
            </w:tcBorders>
            <w:tcMar>
              <w:left w:w="108" w:type="dxa"/>
              <w:right w:w="108" w:type="dxa"/>
            </w:tcMar>
            <w:vAlign w:val="center"/>
          </w:tcPr>
          <w:p w14:paraId="130EF847">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4层4站4门</w:t>
            </w:r>
          </w:p>
        </w:tc>
        <w:tc>
          <w:tcPr>
            <w:tcW w:w="1000" w:type="dxa"/>
            <w:tcBorders>
              <w:top w:val="nil"/>
              <w:left w:val="nil"/>
              <w:bottom w:val="single" w:color="auto" w:sz="8" w:space="0"/>
              <w:right w:val="single" w:color="auto" w:sz="12" w:space="0"/>
            </w:tcBorders>
            <w:tcMar>
              <w:left w:w="108" w:type="dxa"/>
              <w:right w:w="108" w:type="dxa"/>
            </w:tcMar>
            <w:vAlign w:val="center"/>
          </w:tcPr>
          <w:p w14:paraId="7F742C2A">
            <w:pPr>
              <w:widowControl/>
              <w:wordWrap w:val="0"/>
              <w:jc w:val="center"/>
              <w:rPr>
                <w:rFonts w:hint="eastAsia" w:ascii="宋体" w:hAnsi="宋体" w:eastAsia="宋体" w:cs="宋体"/>
                <w:kern w:val="0"/>
                <w:sz w:val="21"/>
                <w:szCs w:val="21"/>
              </w:rPr>
            </w:pPr>
          </w:p>
        </w:tc>
      </w:tr>
      <w:tr w14:paraId="3CEE22D1">
        <w:tblPrEx>
          <w:tblCellMar>
            <w:top w:w="0" w:type="dxa"/>
            <w:left w:w="0" w:type="dxa"/>
            <w:bottom w:w="0" w:type="dxa"/>
            <w:right w:w="0" w:type="dxa"/>
          </w:tblCellMar>
        </w:tblPrEx>
        <w:trPr>
          <w:trHeight w:val="405" w:hRule="atLeast"/>
          <w:jc w:val="center"/>
        </w:trPr>
        <w:tc>
          <w:tcPr>
            <w:tcW w:w="572" w:type="dxa"/>
            <w:tcBorders>
              <w:top w:val="nil"/>
              <w:left w:val="single" w:color="auto" w:sz="12" w:space="0"/>
              <w:bottom w:val="single" w:color="auto" w:sz="8" w:space="0"/>
              <w:right w:val="single" w:color="auto" w:sz="8" w:space="0"/>
            </w:tcBorders>
            <w:tcMar>
              <w:left w:w="108" w:type="dxa"/>
              <w:right w:w="108" w:type="dxa"/>
            </w:tcMar>
            <w:vAlign w:val="center"/>
          </w:tcPr>
          <w:p w14:paraId="55865DCD">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716" w:type="dxa"/>
            <w:tcBorders>
              <w:top w:val="nil"/>
              <w:left w:val="nil"/>
              <w:bottom w:val="single" w:color="auto" w:sz="8" w:space="0"/>
              <w:right w:val="single" w:color="auto" w:sz="8" w:space="0"/>
            </w:tcBorders>
            <w:tcMar>
              <w:left w:w="108" w:type="dxa"/>
              <w:right w:w="108" w:type="dxa"/>
            </w:tcMar>
            <w:vAlign w:val="center"/>
          </w:tcPr>
          <w:p w14:paraId="15AA02D1">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无机房</w:t>
            </w:r>
            <w:r>
              <w:rPr>
                <w:rFonts w:hint="eastAsia" w:ascii="宋体" w:hAnsi="宋体" w:eastAsia="宋体" w:cs="宋体"/>
                <w:kern w:val="0"/>
                <w:sz w:val="21"/>
                <w:szCs w:val="21"/>
              </w:rPr>
              <w:t>乘客电梯</w:t>
            </w:r>
          </w:p>
        </w:tc>
        <w:tc>
          <w:tcPr>
            <w:tcW w:w="624" w:type="dxa"/>
            <w:tcBorders>
              <w:top w:val="nil"/>
              <w:left w:val="nil"/>
              <w:bottom w:val="single" w:color="auto" w:sz="8" w:space="0"/>
              <w:right w:val="single" w:color="auto" w:sz="8" w:space="0"/>
            </w:tcBorders>
            <w:tcMar>
              <w:left w:w="108" w:type="dxa"/>
              <w:right w:w="108" w:type="dxa"/>
            </w:tcMar>
            <w:vAlign w:val="center"/>
          </w:tcPr>
          <w:p w14:paraId="5008CDE6">
            <w:pPr>
              <w:widowControl/>
              <w:wordWrap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w:t>
            </w:r>
          </w:p>
        </w:tc>
        <w:tc>
          <w:tcPr>
            <w:tcW w:w="1404" w:type="dxa"/>
            <w:tcBorders>
              <w:top w:val="nil"/>
              <w:left w:val="nil"/>
              <w:bottom w:val="single" w:color="auto" w:sz="8" w:space="0"/>
              <w:right w:val="single" w:color="auto" w:sz="8" w:space="0"/>
            </w:tcBorders>
            <w:tcMar>
              <w:left w:w="108" w:type="dxa"/>
              <w:right w:w="108" w:type="dxa"/>
            </w:tcMar>
            <w:vAlign w:val="center"/>
          </w:tcPr>
          <w:p w14:paraId="171F9AC9">
            <w:pPr>
              <w:widowControl/>
              <w:wordWrap w:val="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1000kg</w:t>
            </w:r>
          </w:p>
        </w:tc>
        <w:tc>
          <w:tcPr>
            <w:tcW w:w="1224" w:type="dxa"/>
            <w:tcBorders>
              <w:top w:val="nil"/>
              <w:left w:val="nil"/>
              <w:bottom w:val="single" w:color="auto" w:sz="8" w:space="0"/>
              <w:right w:val="single" w:color="auto" w:sz="8" w:space="0"/>
            </w:tcBorders>
            <w:tcMar>
              <w:left w:w="108" w:type="dxa"/>
              <w:right w:w="108" w:type="dxa"/>
            </w:tcMar>
            <w:vAlign w:val="center"/>
          </w:tcPr>
          <w:p w14:paraId="45FC6089">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1.00m/s</w:t>
            </w:r>
          </w:p>
        </w:tc>
        <w:tc>
          <w:tcPr>
            <w:tcW w:w="1488" w:type="dxa"/>
            <w:tcBorders>
              <w:top w:val="nil"/>
              <w:left w:val="nil"/>
              <w:bottom w:val="single" w:color="auto" w:sz="8" w:space="0"/>
              <w:right w:val="single" w:color="auto" w:sz="8" w:space="0"/>
            </w:tcBorders>
            <w:tcMar>
              <w:left w:w="108" w:type="dxa"/>
              <w:right w:w="108" w:type="dxa"/>
            </w:tcMar>
            <w:vAlign w:val="center"/>
          </w:tcPr>
          <w:p w14:paraId="0A627E25">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3层3站3门</w:t>
            </w:r>
          </w:p>
        </w:tc>
        <w:tc>
          <w:tcPr>
            <w:tcW w:w="1000" w:type="dxa"/>
            <w:tcBorders>
              <w:top w:val="nil"/>
              <w:left w:val="nil"/>
              <w:bottom w:val="single" w:color="auto" w:sz="8" w:space="0"/>
              <w:right w:val="single" w:color="auto" w:sz="12" w:space="0"/>
            </w:tcBorders>
            <w:tcMar>
              <w:left w:w="108" w:type="dxa"/>
              <w:right w:w="108" w:type="dxa"/>
            </w:tcMar>
            <w:vAlign w:val="center"/>
          </w:tcPr>
          <w:p w14:paraId="4A84ACE1">
            <w:pPr>
              <w:widowControl/>
              <w:wordWrap w:val="0"/>
              <w:jc w:val="center"/>
              <w:rPr>
                <w:rFonts w:hint="eastAsia" w:ascii="宋体" w:hAnsi="宋体" w:eastAsia="宋体" w:cs="宋体"/>
                <w:kern w:val="0"/>
                <w:sz w:val="21"/>
                <w:szCs w:val="21"/>
              </w:rPr>
            </w:pPr>
          </w:p>
        </w:tc>
      </w:tr>
      <w:tr w14:paraId="1BB08D08">
        <w:tblPrEx>
          <w:tblCellMar>
            <w:top w:w="0" w:type="dxa"/>
            <w:left w:w="0" w:type="dxa"/>
            <w:bottom w:w="0" w:type="dxa"/>
            <w:right w:w="0" w:type="dxa"/>
          </w:tblCellMar>
        </w:tblPrEx>
        <w:trPr>
          <w:trHeight w:val="405" w:hRule="atLeast"/>
          <w:jc w:val="center"/>
        </w:trPr>
        <w:tc>
          <w:tcPr>
            <w:tcW w:w="572" w:type="dxa"/>
            <w:tcBorders>
              <w:top w:val="nil"/>
              <w:left w:val="single" w:color="auto" w:sz="12" w:space="0"/>
              <w:bottom w:val="single" w:color="auto" w:sz="4" w:space="0"/>
              <w:right w:val="single" w:color="auto" w:sz="8" w:space="0"/>
            </w:tcBorders>
            <w:tcMar>
              <w:left w:w="108" w:type="dxa"/>
              <w:right w:w="108" w:type="dxa"/>
            </w:tcMar>
            <w:vAlign w:val="center"/>
          </w:tcPr>
          <w:p w14:paraId="68542221">
            <w:pPr>
              <w:widowControl/>
              <w:wordWrap w:val="0"/>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4</w:t>
            </w:r>
          </w:p>
        </w:tc>
        <w:tc>
          <w:tcPr>
            <w:tcW w:w="1716" w:type="dxa"/>
            <w:tcBorders>
              <w:top w:val="nil"/>
              <w:left w:val="nil"/>
              <w:bottom w:val="single" w:color="auto" w:sz="4" w:space="0"/>
              <w:right w:val="single" w:color="auto" w:sz="8" w:space="0"/>
            </w:tcBorders>
            <w:tcMar>
              <w:left w:w="108" w:type="dxa"/>
              <w:right w:w="108" w:type="dxa"/>
            </w:tcMar>
            <w:vAlign w:val="center"/>
          </w:tcPr>
          <w:p w14:paraId="4B597448">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杂物电梯</w:t>
            </w:r>
          </w:p>
        </w:tc>
        <w:tc>
          <w:tcPr>
            <w:tcW w:w="624" w:type="dxa"/>
            <w:tcBorders>
              <w:top w:val="nil"/>
              <w:left w:val="nil"/>
              <w:bottom w:val="single" w:color="auto" w:sz="4" w:space="0"/>
              <w:right w:val="single" w:color="auto" w:sz="8" w:space="0"/>
            </w:tcBorders>
            <w:tcMar>
              <w:left w:w="108" w:type="dxa"/>
              <w:right w:w="108" w:type="dxa"/>
            </w:tcMar>
            <w:vAlign w:val="center"/>
          </w:tcPr>
          <w:p w14:paraId="6768BB24">
            <w:pPr>
              <w:widowControl/>
              <w:wordWrap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tc>
        <w:tc>
          <w:tcPr>
            <w:tcW w:w="1404" w:type="dxa"/>
            <w:tcBorders>
              <w:top w:val="nil"/>
              <w:left w:val="nil"/>
              <w:bottom w:val="single" w:color="auto" w:sz="4" w:space="0"/>
              <w:right w:val="single" w:color="auto" w:sz="8" w:space="0"/>
            </w:tcBorders>
            <w:tcMar>
              <w:left w:w="108" w:type="dxa"/>
              <w:right w:w="108" w:type="dxa"/>
            </w:tcMar>
            <w:vAlign w:val="center"/>
          </w:tcPr>
          <w:p w14:paraId="75BAD64D">
            <w:pPr>
              <w:widowControl/>
              <w:wordWrap w:val="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200kg</w:t>
            </w:r>
          </w:p>
        </w:tc>
        <w:tc>
          <w:tcPr>
            <w:tcW w:w="1224" w:type="dxa"/>
            <w:tcBorders>
              <w:top w:val="nil"/>
              <w:left w:val="nil"/>
              <w:bottom w:val="single" w:color="auto" w:sz="4" w:space="0"/>
              <w:right w:val="single" w:color="auto" w:sz="8" w:space="0"/>
            </w:tcBorders>
            <w:tcMar>
              <w:left w:w="108" w:type="dxa"/>
              <w:right w:w="108" w:type="dxa"/>
            </w:tcMar>
            <w:vAlign w:val="center"/>
          </w:tcPr>
          <w:p w14:paraId="1D90F860">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0.4m/s</w:t>
            </w:r>
          </w:p>
        </w:tc>
        <w:tc>
          <w:tcPr>
            <w:tcW w:w="1488" w:type="dxa"/>
            <w:tcBorders>
              <w:top w:val="nil"/>
              <w:left w:val="nil"/>
              <w:bottom w:val="single" w:color="auto" w:sz="4" w:space="0"/>
              <w:right w:val="single" w:color="auto" w:sz="8" w:space="0"/>
            </w:tcBorders>
            <w:tcMar>
              <w:left w:w="108" w:type="dxa"/>
              <w:right w:w="108" w:type="dxa"/>
            </w:tcMar>
            <w:vAlign w:val="center"/>
          </w:tcPr>
          <w:p w14:paraId="664E2C91">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2层2站2门</w:t>
            </w:r>
          </w:p>
        </w:tc>
        <w:tc>
          <w:tcPr>
            <w:tcW w:w="1000" w:type="dxa"/>
            <w:tcBorders>
              <w:top w:val="nil"/>
              <w:left w:val="nil"/>
              <w:bottom w:val="single" w:color="auto" w:sz="4" w:space="0"/>
              <w:right w:val="single" w:color="auto" w:sz="12" w:space="0"/>
            </w:tcBorders>
            <w:tcMar>
              <w:left w:w="108" w:type="dxa"/>
              <w:right w:w="108" w:type="dxa"/>
            </w:tcMar>
            <w:vAlign w:val="center"/>
          </w:tcPr>
          <w:p w14:paraId="05608C37">
            <w:pPr>
              <w:widowControl/>
              <w:wordWrap w:val="0"/>
              <w:jc w:val="center"/>
              <w:rPr>
                <w:rFonts w:hint="eastAsia" w:ascii="宋体" w:hAnsi="宋体" w:eastAsia="宋体" w:cs="宋体"/>
                <w:kern w:val="0"/>
                <w:sz w:val="21"/>
                <w:szCs w:val="21"/>
              </w:rPr>
            </w:pPr>
          </w:p>
        </w:tc>
      </w:tr>
      <w:tr w14:paraId="6947B9AF">
        <w:tblPrEx>
          <w:tblCellMar>
            <w:top w:w="0" w:type="dxa"/>
            <w:left w:w="0" w:type="dxa"/>
            <w:bottom w:w="0" w:type="dxa"/>
            <w:right w:w="0" w:type="dxa"/>
          </w:tblCellMar>
        </w:tblPrEx>
        <w:trPr>
          <w:trHeight w:val="405" w:hRule="atLeast"/>
          <w:jc w:val="center"/>
        </w:trPr>
        <w:tc>
          <w:tcPr>
            <w:tcW w:w="572" w:type="dxa"/>
            <w:tcBorders>
              <w:top w:val="single" w:color="auto" w:sz="4" w:space="0"/>
              <w:left w:val="single" w:color="auto" w:sz="12" w:space="0"/>
              <w:bottom w:val="single" w:color="auto" w:sz="12" w:space="0"/>
              <w:right w:val="single" w:color="auto" w:sz="8" w:space="0"/>
            </w:tcBorders>
            <w:tcMar>
              <w:left w:w="108" w:type="dxa"/>
              <w:right w:w="108" w:type="dxa"/>
            </w:tcMar>
            <w:vAlign w:val="center"/>
          </w:tcPr>
          <w:p w14:paraId="34C9EBC5">
            <w:pPr>
              <w:widowControl/>
              <w:wordWrap w:val="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w:t>
            </w:r>
          </w:p>
        </w:tc>
        <w:tc>
          <w:tcPr>
            <w:tcW w:w="1716" w:type="dxa"/>
            <w:tcBorders>
              <w:top w:val="single" w:color="auto" w:sz="4" w:space="0"/>
              <w:left w:val="nil"/>
              <w:bottom w:val="single" w:color="auto" w:sz="12" w:space="0"/>
              <w:right w:val="single" w:color="auto" w:sz="8" w:space="0"/>
            </w:tcBorders>
            <w:tcMar>
              <w:left w:w="108" w:type="dxa"/>
              <w:right w:w="108" w:type="dxa"/>
            </w:tcMar>
            <w:vAlign w:val="center"/>
          </w:tcPr>
          <w:p w14:paraId="13E9B3FD">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杂物电梯</w:t>
            </w:r>
          </w:p>
        </w:tc>
        <w:tc>
          <w:tcPr>
            <w:tcW w:w="624" w:type="dxa"/>
            <w:tcBorders>
              <w:top w:val="single" w:color="auto" w:sz="4" w:space="0"/>
              <w:left w:val="nil"/>
              <w:bottom w:val="single" w:color="auto" w:sz="12" w:space="0"/>
              <w:right w:val="single" w:color="auto" w:sz="8" w:space="0"/>
            </w:tcBorders>
            <w:tcMar>
              <w:left w:w="108" w:type="dxa"/>
              <w:right w:w="108" w:type="dxa"/>
            </w:tcMar>
            <w:vAlign w:val="center"/>
          </w:tcPr>
          <w:p w14:paraId="4B1FC2BA">
            <w:pPr>
              <w:widowControl/>
              <w:wordWrap w:val="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w:t>
            </w:r>
          </w:p>
        </w:tc>
        <w:tc>
          <w:tcPr>
            <w:tcW w:w="1404" w:type="dxa"/>
            <w:tcBorders>
              <w:top w:val="single" w:color="auto" w:sz="4" w:space="0"/>
              <w:left w:val="nil"/>
              <w:bottom w:val="single" w:color="auto" w:sz="12" w:space="0"/>
              <w:right w:val="single" w:color="auto" w:sz="8" w:space="0"/>
            </w:tcBorders>
            <w:tcMar>
              <w:left w:w="108" w:type="dxa"/>
              <w:right w:w="108" w:type="dxa"/>
            </w:tcMar>
            <w:vAlign w:val="center"/>
          </w:tcPr>
          <w:p w14:paraId="0332954D">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200kg</w:t>
            </w:r>
          </w:p>
        </w:tc>
        <w:tc>
          <w:tcPr>
            <w:tcW w:w="1224" w:type="dxa"/>
            <w:tcBorders>
              <w:top w:val="single" w:color="auto" w:sz="4" w:space="0"/>
              <w:left w:val="nil"/>
              <w:bottom w:val="single" w:color="auto" w:sz="12" w:space="0"/>
              <w:right w:val="single" w:color="auto" w:sz="8" w:space="0"/>
            </w:tcBorders>
            <w:tcMar>
              <w:left w:w="108" w:type="dxa"/>
              <w:right w:w="108" w:type="dxa"/>
            </w:tcMar>
            <w:vAlign w:val="center"/>
          </w:tcPr>
          <w:p w14:paraId="736FBD68">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0.4m/s</w:t>
            </w:r>
          </w:p>
        </w:tc>
        <w:tc>
          <w:tcPr>
            <w:tcW w:w="1488" w:type="dxa"/>
            <w:tcBorders>
              <w:top w:val="single" w:color="auto" w:sz="4" w:space="0"/>
              <w:left w:val="nil"/>
              <w:bottom w:val="single" w:color="auto" w:sz="12" w:space="0"/>
              <w:right w:val="single" w:color="auto" w:sz="8" w:space="0"/>
            </w:tcBorders>
            <w:tcMar>
              <w:left w:w="108" w:type="dxa"/>
              <w:right w:w="108" w:type="dxa"/>
            </w:tcMar>
            <w:vAlign w:val="center"/>
          </w:tcPr>
          <w:p w14:paraId="23D947C3">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3层3站3门</w:t>
            </w:r>
          </w:p>
        </w:tc>
        <w:tc>
          <w:tcPr>
            <w:tcW w:w="1000" w:type="dxa"/>
            <w:tcBorders>
              <w:top w:val="single" w:color="auto" w:sz="4" w:space="0"/>
              <w:left w:val="nil"/>
              <w:bottom w:val="single" w:color="auto" w:sz="12" w:space="0"/>
              <w:right w:val="single" w:color="auto" w:sz="12" w:space="0"/>
            </w:tcBorders>
            <w:tcMar>
              <w:left w:w="108" w:type="dxa"/>
              <w:right w:w="108" w:type="dxa"/>
            </w:tcMar>
            <w:vAlign w:val="center"/>
          </w:tcPr>
          <w:p w14:paraId="785EC98D">
            <w:pPr>
              <w:widowControl/>
              <w:wordWrap w:val="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贯通门</w:t>
            </w:r>
          </w:p>
        </w:tc>
      </w:tr>
    </w:tbl>
    <w:p w14:paraId="2274570A">
      <w:pPr>
        <w:spacing w:line="360" w:lineRule="auto"/>
        <w:rPr>
          <w:rFonts w:hint="eastAsia" w:ascii="宋体" w:hAnsi="宋体" w:eastAsia="宋体" w:cs="宋体"/>
          <w:sz w:val="21"/>
          <w:szCs w:val="21"/>
        </w:rPr>
      </w:pPr>
    </w:p>
    <w:p w14:paraId="1402D625">
      <w:pPr>
        <w:spacing w:line="360" w:lineRule="auto"/>
        <w:rPr>
          <w:rFonts w:hint="eastAsia" w:ascii="宋体" w:hAnsi="宋体" w:eastAsia="宋体" w:cs="宋体"/>
          <w:sz w:val="21"/>
          <w:szCs w:val="21"/>
        </w:rPr>
      </w:pPr>
    </w:p>
    <w:p w14:paraId="279C2AD7">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lang w:eastAsia="zh-CN"/>
        </w:rPr>
        <w:t>四</w:t>
      </w:r>
      <w:r>
        <w:rPr>
          <w:rFonts w:hint="eastAsia" w:ascii="宋体" w:hAnsi="宋体" w:eastAsia="宋体" w:cs="宋体"/>
          <w:b/>
          <w:sz w:val="21"/>
          <w:szCs w:val="21"/>
        </w:rPr>
        <w:t>、商务要求</w:t>
      </w:r>
    </w:p>
    <w:p w14:paraId="79F6866D">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lang w:eastAsia="zh-CN"/>
        </w:rPr>
        <w:t>进度安排</w:t>
      </w:r>
    </w:p>
    <w:p w14:paraId="6BEAA4BC">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本项目计划自合同签订之日起分两批进行电梯安装，第一</w:t>
      </w:r>
      <w:bookmarkStart w:id="2" w:name="_GoBack"/>
      <w:bookmarkEnd w:id="2"/>
      <w:r>
        <w:rPr>
          <w:rFonts w:hint="eastAsia" w:ascii="宋体" w:hAnsi="宋体" w:eastAsia="宋体" w:cs="宋体"/>
          <w:sz w:val="21"/>
          <w:szCs w:val="21"/>
          <w:lang w:eastAsia="zh-CN"/>
        </w:rPr>
        <w:t>批五台，第二批六台，计划于八月底完成所有验收工作，取得合格文件并投入使用。</w:t>
      </w:r>
    </w:p>
    <w:p w14:paraId="1CC4F2D3">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包装和运输</w:t>
      </w:r>
    </w:p>
    <w:p w14:paraId="1EE9587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采购人应参照财政部等印发的《商品包装政府采购需求标准（试行）》《快递包装政府采购需求标准（试行）》（财办库〔2020〕123号）</w:t>
      </w:r>
      <w:r>
        <w:rPr>
          <w:rFonts w:hint="eastAsia" w:ascii="宋体" w:hAnsi="宋体" w:eastAsia="宋体" w:cs="宋体"/>
          <w:sz w:val="21"/>
          <w:szCs w:val="21"/>
          <w:lang w:eastAsia="zh-CN"/>
        </w:rPr>
        <w:t>执行</w:t>
      </w:r>
      <w:r>
        <w:rPr>
          <w:rFonts w:hint="eastAsia" w:ascii="宋体" w:hAnsi="宋体" w:eastAsia="宋体" w:cs="宋体"/>
          <w:sz w:val="21"/>
          <w:szCs w:val="21"/>
        </w:rPr>
        <w:t>。</w:t>
      </w:r>
    </w:p>
    <w:p w14:paraId="266005D8">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保险</w:t>
      </w:r>
    </w:p>
    <w:p w14:paraId="49B828C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lang w:eastAsia="zh-CN"/>
        </w:rPr>
        <w:t>应</w:t>
      </w:r>
      <w:r>
        <w:rPr>
          <w:rFonts w:hint="eastAsia" w:ascii="宋体" w:hAnsi="宋体" w:eastAsia="宋体" w:cs="宋体"/>
          <w:sz w:val="21"/>
          <w:szCs w:val="21"/>
        </w:rPr>
        <w:t>结合当地市场监管部门相关政策购买电梯责任保险或其他等同形式的商业保险，并明确保险的受益人。</w:t>
      </w:r>
    </w:p>
    <w:p w14:paraId="5DE27CAE">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出厂检验</w:t>
      </w:r>
    </w:p>
    <w:p w14:paraId="3FE371E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供应商所提供的电梯品牌制造单位必须履行电梯出厂检验程序，提供随机附带的配置说明文件。对需要使用密码接入控制器的，应要求其在安装使用维护说明中标明该预设密码。</w:t>
      </w:r>
    </w:p>
    <w:p w14:paraId="6A58774E">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到货检验</w:t>
      </w:r>
    </w:p>
    <w:p w14:paraId="3EDF813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应商在货物运抵安装位置后应当履行到货检验手续。到货检验可由采购人（含采购人委托的监理单位）、供应商共同进行，必要时可约定邀请第三方专业检验检测机构参与。检验内容包括对照采购清单及技术要求检查相关品牌证书、装箱清单（含设备的主、附件）、产品配置说明、设备出厂检验报告、整机及安全保护装置型式试验证书等相关文件证书等。</w:t>
      </w:r>
    </w:p>
    <w:p w14:paraId="1178C1C5">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安装调试</w:t>
      </w:r>
    </w:p>
    <w:p w14:paraId="2E25139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电梯安装施工过程中，中标供应商应当服从</w:t>
      </w:r>
      <w:r>
        <w:rPr>
          <w:rFonts w:hint="eastAsia" w:ascii="宋体" w:hAnsi="宋体" w:eastAsia="宋体" w:cs="宋体"/>
          <w:sz w:val="21"/>
          <w:szCs w:val="21"/>
          <w:lang w:val="en-US" w:eastAsia="zh-CN"/>
        </w:rPr>
        <w:t>采购</w:t>
      </w:r>
      <w:r>
        <w:rPr>
          <w:rFonts w:hint="eastAsia" w:ascii="宋体" w:hAnsi="宋体" w:eastAsia="宋体" w:cs="宋体"/>
          <w:sz w:val="21"/>
          <w:szCs w:val="21"/>
        </w:rPr>
        <w:t>单位对施工现场安全生产的管理，落实现场安全防护措施，并明确各自的安全责任。</w:t>
      </w:r>
    </w:p>
    <w:p w14:paraId="4F512CE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电梯安装施工期间应在电梯口的显著位置设置警示标志和公示牌，并采取必要的防护措施，公示牌载明作业内容、施工期限、施工单位、责任人、联系方式等信息。</w:t>
      </w:r>
    </w:p>
    <w:p w14:paraId="7E0B04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中标供应商不得采用更改软件程序、变动硬件设施等技术手段设置技术障碍，影响电梯正常运行。</w:t>
      </w:r>
    </w:p>
    <w:p w14:paraId="2DDDDEF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中标供应商不得以任何形式允许、默许其他单位或者个人将未经检验或者检验不合格的电梯投入使用。</w:t>
      </w:r>
    </w:p>
    <w:p w14:paraId="75FBDF3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中标供应商应提供必要的技术服务和必需的备品配件，指导并协助解决电梯安装、调试、使用过程中涉及的质量安全问题，并在安装竣工后进行整机验收、出具整机质量证明文件。</w:t>
      </w:r>
    </w:p>
    <w:p w14:paraId="217481A3">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交付检验</w:t>
      </w:r>
    </w:p>
    <w:p w14:paraId="6F45F61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中标供应商应提供交付检验服务。招标文件、投标文件、厂家货物技术标准说明及国家有关的质量标准规定均为验收依据。交付检验至少应满足以下要求：</w:t>
      </w:r>
    </w:p>
    <w:p w14:paraId="66709A6D">
      <w:pPr>
        <w:numPr>
          <w:ilvl w:val="0"/>
          <w:numId w:val="2"/>
        </w:num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电梯安装调试完毕后，采购人根据招标文件、投标文件、厂家货物技术标准说明等内容进行检查，符合要求后提请特种设备监督检验机构进行监督检验。</w:t>
      </w:r>
    </w:p>
    <w:p w14:paraId="3AEFEC02">
      <w:pPr>
        <w:numPr>
          <w:ilvl w:val="0"/>
          <w:numId w:val="0"/>
        </w:num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电梯安装监督检验须由经核准的特种设备监督检验机构进行，检验合格并完成电梯使用登记手续后方视为完成交付检验。</w:t>
      </w:r>
    </w:p>
    <w:p w14:paraId="5F76CC8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完成交付检验后，中标供应商应向采购人移交监督检验报告、特种设备使用标志、电梯相关建筑接口符合性声明、配置说明、型式试验证书、电气原理图、整机质量证明文件、安装使用维护保养说明书、应急救援说明、非金属材质部件使用声明（如果有）、未设置人为障碍声明、变更设计证明文件（如果有）、安装自检报告等有关资料。</w:t>
      </w:r>
    </w:p>
    <w:p w14:paraId="5CFCF540">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管理及技术支撑能力</w:t>
      </w:r>
    </w:p>
    <w:p w14:paraId="35BA75CA">
      <w:pPr>
        <w:spacing w:line="360" w:lineRule="auto"/>
        <w:ind w:firstLine="420" w:firstLineChars="200"/>
        <w:rPr>
          <w:rFonts w:hint="eastAsia" w:ascii="宋体" w:eastAsia="宋体" w:cs="宋体"/>
          <w:szCs w:val="21"/>
        </w:rPr>
      </w:pPr>
      <w:r>
        <w:rPr>
          <w:rFonts w:hint="eastAsia" w:ascii="宋体" w:hAnsi="宋体" w:eastAsia="宋体" w:cs="宋体"/>
          <w:sz w:val="21"/>
          <w:szCs w:val="21"/>
        </w:rPr>
        <w:t>投标人应在投标文件中明确项目实施期间的管理人员配置、安装过程管理方案、调试方案、维保及技术支撑方案、类似业绩等。</w:t>
      </w:r>
    </w:p>
    <w:p w14:paraId="75DAC6D8">
      <w:pPr>
        <w:spacing w:line="360" w:lineRule="auto"/>
        <w:ind w:firstLine="420" w:firstLineChars="200"/>
        <w:rPr>
          <w:rFonts w:hint="eastAsia" w:ascii="宋体" w:eastAsia="宋体" w:cs="宋体"/>
          <w:szCs w:val="21"/>
        </w:rPr>
      </w:pPr>
      <w:r>
        <w:rPr>
          <w:rFonts w:hint="eastAsia" w:ascii="宋体" w:eastAsia="宋体" w:cs="宋体"/>
          <w:szCs w:val="21"/>
        </w:rPr>
        <w:t>项目经理具备二级建造师（机电专业）资格或机械、电气相关专业中级工程师职称及以上。项目组成员数量配置</w:t>
      </w:r>
      <w:r>
        <w:rPr>
          <w:rFonts w:hint="eastAsia" w:ascii="宋体" w:eastAsia="宋体" w:cs="宋体"/>
          <w:szCs w:val="21"/>
          <w:lang w:eastAsia="zh-CN"/>
        </w:rPr>
        <w:t>能够</w:t>
      </w:r>
      <w:r>
        <w:rPr>
          <w:rFonts w:hint="eastAsia" w:ascii="宋体" w:eastAsia="宋体" w:cs="宋体"/>
          <w:szCs w:val="21"/>
        </w:rPr>
        <w:t>满足本项目安装进度要求，配备的安装人员</w:t>
      </w:r>
      <w:r>
        <w:rPr>
          <w:rFonts w:hint="eastAsia" w:ascii="宋体" w:eastAsia="宋体" w:cs="宋体"/>
          <w:szCs w:val="21"/>
          <w:lang w:eastAsia="zh-CN"/>
        </w:rPr>
        <w:t>持有必备的</w:t>
      </w:r>
      <w:r>
        <w:rPr>
          <w:rFonts w:hint="eastAsia" w:ascii="宋体" w:eastAsia="宋体" w:cs="宋体"/>
          <w:szCs w:val="21"/>
        </w:rPr>
        <w:t>岗位证书，从业经历丰富。</w:t>
      </w:r>
    </w:p>
    <w:p w14:paraId="0A94A931">
      <w:pPr>
        <w:spacing w:line="360" w:lineRule="auto"/>
        <w:ind w:firstLine="420" w:firstLineChars="200"/>
        <w:rPr>
          <w:rFonts w:hint="eastAsia" w:ascii="宋体" w:eastAsia="宋体" w:cs="宋体"/>
          <w:szCs w:val="21"/>
          <w:lang w:eastAsia="zh-CN"/>
        </w:rPr>
      </w:pPr>
      <w:r>
        <w:rPr>
          <w:rFonts w:hint="eastAsia" w:ascii="宋体" w:eastAsia="宋体" w:cs="宋体"/>
          <w:szCs w:val="21"/>
        </w:rPr>
        <w:t>投标人或投标品牌厂商通过通过质量管理体系认证（ISO 9001或GB/T 19001认证）、职业健康安全管理体系认证（ISO45001或GB/T 45001认证）、环境管理体系认证（ISO 14001或GB/T 24001认证），并在认证有效期内的</w:t>
      </w:r>
      <w:r>
        <w:rPr>
          <w:rFonts w:hint="eastAsia" w:ascii="宋体" w:eastAsia="宋体" w:cs="宋体"/>
          <w:szCs w:val="21"/>
          <w:lang w:eastAsia="zh-CN"/>
        </w:rPr>
        <w:t>优先考虑。</w:t>
      </w:r>
    </w:p>
    <w:p w14:paraId="33DDB5A9">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售后服务</w:t>
      </w:r>
    </w:p>
    <w:p w14:paraId="4114F8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1.质保</w:t>
      </w:r>
      <w:r>
        <w:rPr>
          <w:rFonts w:hint="eastAsia" w:ascii="宋体" w:hAnsi="宋体" w:eastAsia="宋体" w:cs="宋体"/>
          <w:sz w:val="21"/>
          <w:szCs w:val="21"/>
        </w:rPr>
        <w:t>售后维保服务期限</w:t>
      </w:r>
    </w:p>
    <w:p w14:paraId="24FA858D">
      <w:pPr>
        <w:spacing w:line="360" w:lineRule="auto"/>
        <w:ind w:firstLine="420" w:firstLineChars="200"/>
        <w:rPr>
          <w:rFonts w:hint="eastAsia" w:ascii="宋体" w:hAnsi="宋体"/>
          <w:color w:val="auto"/>
          <w:szCs w:val="21"/>
          <w:highlight w:val="none"/>
          <w:lang w:eastAsia="zh-CN"/>
        </w:rPr>
      </w:pPr>
      <w:r>
        <w:rPr>
          <w:rFonts w:hint="eastAsia" w:ascii="宋体" w:hAnsi="宋体"/>
          <w:color w:val="auto"/>
          <w:szCs w:val="21"/>
          <w:highlight w:val="none"/>
          <w:lang w:eastAsia="zh-CN"/>
        </w:rPr>
        <w:t>要求供应商提供自货物按合同规定验收合格之日起，整机不低于2年，主要部件和安全保护装置不低于5年的质量保证期。</w:t>
      </w:r>
    </w:p>
    <w:p w14:paraId="0B84779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在质量保证期限内存在质量问题的，中标供应商应当提供免费修理或者更换服务。</w:t>
      </w:r>
    </w:p>
    <w:p w14:paraId="34D6BCBF">
      <w:pPr>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color w:val="auto"/>
          <w:sz w:val="21"/>
          <w:szCs w:val="21"/>
        </w:rPr>
        <w:t>电梯主要部件包括</w:t>
      </w:r>
      <w:r>
        <w:rPr>
          <w:rFonts w:hint="eastAsia" w:ascii="宋体" w:hAnsi="宋体" w:eastAsia="宋体" w:cs="宋体"/>
          <w:color w:val="auto"/>
          <w:sz w:val="21"/>
          <w:szCs w:val="21"/>
        </w:rPr>
        <w:t>绳头组合、控制柜、层门、玻璃轿门、玻璃</w:t>
      </w:r>
      <w:r>
        <w:rPr>
          <w:rFonts w:hint="eastAsia" w:ascii="宋体" w:hAnsi="宋体" w:eastAsia="宋体" w:cs="宋体"/>
          <w:color w:val="auto"/>
          <w:sz w:val="21"/>
          <w:szCs w:val="21"/>
          <w:lang w:val="en-US" w:eastAsia="zh-CN"/>
        </w:rPr>
        <w:t>层门</w:t>
      </w:r>
      <w:r>
        <w:rPr>
          <w:rFonts w:hint="eastAsia" w:ascii="宋体" w:hAnsi="宋体" w:eastAsia="宋体" w:cs="宋体"/>
          <w:color w:val="auto"/>
          <w:sz w:val="21"/>
          <w:szCs w:val="21"/>
        </w:rPr>
        <w:t>、驱动主机（适用于曳引与强制驱动电梯）；</w:t>
      </w:r>
    </w:p>
    <w:p w14:paraId="54010021">
      <w:pPr>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color w:val="auto"/>
          <w:sz w:val="21"/>
          <w:szCs w:val="21"/>
        </w:rPr>
        <w:t>安全保护装置包括</w:t>
      </w:r>
      <w:r>
        <w:rPr>
          <w:rFonts w:hint="eastAsia" w:ascii="宋体" w:hAnsi="宋体" w:eastAsia="宋体" w:cs="宋体"/>
          <w:color w:val="auto"/>
          <w:sz w:val="21"/>
          <w:szCs w:val="21"/>
        </w:rPr>
        <w:t>限速器、安全钳、缓冲器、门锁装置、轿厢上行超速保护装置（适用于曳引驱动电梯）、含有电子元件的安全电路、可编程电子安全相关系统、轿厢意外移动保护装置（适用于曳引与强制驱动非防爆电梯）。</w:t>
      </w:r>
    </w:p>
    <w:p w14:paraId="42B075FD">
      <w:pPr>
        <w:spacing w:line="360" w:lineRule="auto"/>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本项目所有乘客电梯的</w:t>
      </w:r>
      <w:r>
        <w:rPr>
          <w:rFonts w:hint="eastAsia" w:ascii="宋体" w:hAnsi="宋体" w:eastAsia="宋体" w:cs="宋体"/>
          <w:color w:val="auto"/>
          <w:sz w:val="21"/>
          <w:szCs w:val="21"/>
        </w:rPr>
        <w:t>曳引机，安全钳，控制柜，门机，限速器</w:t>
      </w:r>
      <w:r>
        <w:rPr>
          <w:rFonts w:hint="eastAsia" w:ascii="宋体" w:hAnsi="宋体" w:eastAsia="宋体" w:cs="宋体"/>
          <w:color w:val="auto"/>
          <w:sz w:val="21"/>
          <w:szCs w:val="21"/>
          <w:lang w:eastAsia="zh-CN"/>
        </w:rPr>
        <w:t>均</w:t>
      </w:r>
      <w:r>
        <w:rPr>
          <w:rFonts w:hint="eastAsia" w:ascii="宋体" w:hAnsi="宋体" w:eastAsia="宋体" w:cs="宋体"/>
          <w:color w:val="auto"/>
          <w:sz w:val="21"/>
          <w:szCs w:val="21"/>
        </w:rPr>
        <w:t>为原厂生产</w:t>
      </w:r>
      <w:r>
        <w:rPr>
          <w:rFonts w:hint="eastAsia" w:ascii="宋体" w:hAnsi="宋体" w:eastAsia="宋体" w:cs="宋体"/>
          <w:color w:val="auto"/>
          <w:sz w:val="21"/>
          <w:szCs w:val="21"/>
          <w:lang w:eastAsia="zh-CN"/>
        </w:rPr>
        <w:t>的优先考虑。</w:t>
      </w:r>
    </w:p>
    <w:p w14:paraId="77000C8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售后服务要求</w:t>
      </w:r>
    </w:p>
    <w:p w14:paraId="0A008D7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设立24小时维保值班电话，保证接到故障通知后及时予以排除。</w:t>
      </w:r>
    </w:p>
    <w:p w14:paraId="6CCF25F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建立每台电梯的维保记录，及时记录电梯的维保、故障等情况。</w:t>
      </w:r>
    </w:p>
    <w:p w14:paraId="5C3A1E8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接到电梯困人故障报告后，维保人员30分钟内抵达所维保电梯所在地实施现场救援。</w:t>
      </w:r>
    </w:p>
    <w:p w14:paraId="1A98EF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rPr>
        <w:t>协助采购人建立每台电梯的档案，包括电梯安全管理制度、应急救援预案、维保记录、故障记录、日常巡查记录等。</w:t>
      </w:r>
    </w:p>
    <w:p w14:paraId="4E7E5BB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rPr>
        <w:t>维</w:t>
      </w:r>
      <w:r>
        <w:rPr>
          <w:rFonts w:hint="eastAsia" w:ascii="宋体" w:hAnsi="宋体" w:eastAsia="宋体" w:cs="宋体"/>
          <w:sz w:val="21"/>
          <w:szCs w:val="21"/>
          <w:lang w:val="en-US" w:eastAsia="zh-CN"/>
        </w:rPr>
        <w:t>修</w:t>
      </w:r>
      <w:r>
        <w:rPr>
          <w:rFonts w:hint="eastAsia" w:ascii="宋体" w:hAnsi="宋体" w:eastAsia="宋体" w:cs="宋体"/>
          <w:sz w:val="21"/>
          <w:szCs w:val="21"/>
        </w:rPr>
        <w:t>期间应在现场放置警示标志。</w:t>
      </w:r>
    </w:p>
    <w:p w14:paraId="0253E3D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w:t>
      </w:r>
      <w:r>
        <w:rPr>
          <w:rFonts w:hint="eastAsia" w:ascii="宋体" w:hAnsi="宋体" w:eastAsia="宋体" w:cs="宋体"/>
          <w:sz w:val="21"/>
          <w:szCs w:val="21"/>
        </w:rPr>
        <w:t>终止电梯</w:t>
      </w:r>
      <w:r>
        <w:rPr>
          <w:rFonts w:hint="eastAsia" w:ascii="宋体" w:hAnsi="宋体" w:eastAsia="宋体" w:cs="宋体"/>
          <w:sz w:val="21"/>
          <w:szCs w:val="21"/>
          <w:lang w:val="en-US" w:eastAsia="zh-CN"/>
        </w:rPr>
        <w:t>质保</w:t>
      </w:r>
      <w:r>
        <w:rPr>
          <w:rFonts w:hint="eastAsia" w:ascii="宋体" w:hAnsi="宋体" w:eastAsia="宋体" w:cs="宋体"/>
          <w:sz w:val="21"/>
          <w:szCs w:val="21"/>
        </w:rPr>
        <w:t>时不得采用设置密码等方式干扰电梯后续的正常运行和安全使用。</w:t>
      </w:r>
    </w:p>
    <w:p w14:paraId="4DFD046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w:t>
      </w:r>
      <w:r>
        <w:rPr>
          <w:rFonts w:hint="eastAsia" w:ascii="宋体" w:hAnsi="宋体" w:eastAsia="宋体" w:cs="宋体"/>
          <w:sz w:val="21"/>
          <w:szCs w:val="21"/>
        </w:rPr>
        <w:t>提供必需的备品备件，满足使用过程中更换及时性的要求。</w:t>
      </w:r>
    </w:p>
    <w:p w14:paraId="5DF2D80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w:t>
      </w:r>
      <w:r>
        <w:rPr>
          <w:rFonts w:hint="eastAsia" w:ascii="宋体" w:hAnsi="宋体" w:eastAsia="宋体" w:cs="宋体"/>
          <w:sz w:val="21"/>
          <w:szCs w:val="21"/>
        </w:rPr>
        <w:t>在未经采购人许可的情况下不得将售后</w:t>
      </w:r>
      <w:r>
        <w:rPr>
          <w:rFonts w:hint="eastAsia" w:ascii="宋体" w:hAnsi="宋体" w:eastAsia="宋体" w:cs="宋体"/>
          <w:sz w:val="21"/>
          <w:szCs w:val="21"/>
          <w:lang w:val="en-US" w:eastAsia="zh-CN"/>
        </w:rPr>
        <w:t>质</w:t>
      </w:r>
      <w:r>
        <w:rPr>
          <w:rFonts w:hint="eastAsia" w:ascii="宋体" w:hAnsi="宋体" w:eastAsia="宋体" w:cs="宋体"/>
          <w:sz w:val="21"/>
          <w:szCs w:val="21"/>
        </w:rPr>
        <w:t>保业务转包、分包。</w:t>
      </w:r>
    </w:p>
    <w:p w14:paraId="5ABC34AB">
      <w:pPr>
        <w:spacing w:line="360" w:lineRule="auto"/>
        <w:rPr>
          <w:rFonts w:hint="eastAsia" w:ascii="宋体" w:hAnsi="宋体" w:eastAsia="宋体" w:cs="宋体"/>
          <w:sz w:val="21"/>
          <w:szCs w:val="21"/>
        </w:rPr>
      </w:pPr>
    </w:p>
    <w:p w14:paraId="73EF64FD">
      <w:pPr>
        <w:spacing w:line="360" w:lineRule="auto"/>
        <w:ind w:firstLine="422" w:firstLineChars="200"/>
        <w:rPr>
          <w:rFonts w:hint="eastAsia" w:ascii="宋体" w:hAnsi="宋体" w:eastAsia="宋体" w:cs="宋体"/>
          <w:color w:val="FF0000"/>
          <w:sz w:val="21"/>
          <w:szCs w:val="21"/>
        </w:rPr>
      </w:pPr>
      <w:bookmarkStart w:id="0" w:name="_Toc17452"/>
      <w:bookmarkStart w:id="1" w:name="_Toc20695"/>
      <w:r>
        <w:rPr>
          <w:rFonts w:hint="eastAsia" w:ascii="宋体" w:hAnsi="宋体" w:eastAsia="宋体" w:cs="宋体"/>
          <w:b/>
          <w:sz w:val="21"/>
          <w:szCs w:val="21"/>
        </w:rPr>
        <w:t>七、施工界面划分</w:t>
      </w:r>
      <w:bookmarkEnd w:id="0"/>
      <w:bookmarkEnd w:id="1"/>
    </w:p>
    <w:p w14:paraId="0DBFF9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（一）</w:t>
      </w:r>
      <w:r>
        <w:rPr>
          <w:rFonts w:hint="eastAsia" w:ascii="宋体" w:hAnsi="宋体" w:eastAsia="宋体" w:cs="宋体"/>
          <w:sz w:val="21"/>
          <w:szCs w:val="21"/>
        </w:rPr>
        <w:t>电梯电源管线由中标供应商施工至井道内电梯控制柜（箱），电梯控制柜（箱）出线的管路（或线槽）、电缆敷设、导线由中标供应商提供并安装。</w:t>
      </w:r>
    </w:p>
    <w:p w14:paraId="74F23F2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（二）</w:t>
      </w:r>
      <w:r>
        <w:rPr>
          <w:rFonts w:hint="eastAsia" w:ascii="宋体" w:hAnsi="宋体" w:eastAsia="宋体" w:cs="宋体"/>
          <w:sz w:val="21"/>
          <w:szCs w:val="21"/>
        </w:rPr>
        <w:t>中标供应商负责提供井道照明的材料及安装。</w:t>
      </w:r>
    </w:p>
    <w:p w14:paraId="7A568D4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（三）</w:t>
      </w:r>
      <w:r>
        <w:rPr>
          <w:rFonts w:hint="eastAsia" w:ascii="宋体" w:hAnsi="宋体" w:eastAsia="宋体" w:cs="宋体"/>
          <w:sz w:val="21"/>
          <w:szCs w:val="21"/>
        </w:rPr>
        <w:t>电梯井道门洞口的防护栅栏由中标供应商负责井道门洞口的安全维护(厅门护栏的设置应符合安全要求)。</w:t>
      </w:r>
    </w:p>
    <w:p w14:paraId="3E1AE64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采购单位</w:t>
      </w:r>
      <w:r>
        <w:rPr>
          <w:rFonts w:hint="eastAsia" w:ascii="宋体" w:hAnsi="宋体" w:eastAsia="宋体" w:cs="宋体"/>
          <w:sz w:val="21"/>
          <w:szCs w:val="21"/>
        </w:rPr>
        <w:t>提供临时场所并指定施工现场内的垃圾堆放点，中标供应商在临时场所搭建工具房并自行采用保护措施，负责自行施工过程中的建筑垃圾清理及外运。</w:t>
      </w:r>
    </w:p>
    <w:p w14:paraId="44D3295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（五）</w:t>
      </w:r>
      <w:r>
        <w:rPr>
          <w:rFonts w:hint="eastAsia" w:ascii="宋体" w:hAnsi="宋体" w:eastAsia="宋体" w:cs="宋体"/>
          <w:sz w:val="21"/>
          <w:szCs w:val="21"/>
        </w:rPr>
        <w:t>电梯井道施工用脚手架由中标供应商自行负责提供及安装。</w:t>
      </w:r>
    </w:p>
    <w:p w14:paraId="3C9C3BD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（六）</w:t>
      </w:r>
      <w:r>
        <w:rPr>
          <w:rFonts w:hint="eastAsia" w:ascii="宋体" w:hAnsi="宋体" w:eastAsia="宋体" w:cs="宋体"/>
          <w:sz w:val="21"/>
          <w:szCs w:val="21"/>
        </w:rPr>
        <w:t>电梯调试期间，</w:t>
      </w:r>
      <w:r>
        <w:rPr>
          <w:rFonts w:hint="eastAsia" w:ascii="宋体" w:hAnsi="宋体" w:eastAsia="宋体" w:cs="宋体"/>
          <w:sz w:val="21"/>
          <w:szCs w:val="21"/>
          <w:lang w:val="en-US" w:eastAsia="zh-CN"/>
        </w:rPr>
        <w:t>采购单位</w:t>
      </w:r>
      <w:r>
        <w:rPr>
          <w:rFonts w:hint="eastAsia" w:ascii="宋体" w:hAnsi="宋体" w:eastAsia="宋体" w:cs="宋体"/>
          <w:sz w:val="21"/>
          <w:szCs w:val="21"/>
        </w:rPr>
        <w:t>提供二级电箱并接线至电梯机房，以满足调试电源所需的独立电源。</w:t>
      </w:r>
    </w:p>
    <w:p w14:paraId="1EE34B17">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七</w:t>
      </w:r>
      <w:r>
        <w:rPr>
          <w:rFonts w:hint="eastAsia" w:ascii="宋体" w:hAnsi="宋体" w:eastAsia="宋体" w:cs="宋体"/>
          <w:sz w:val="21"/>
          <w:szCs w:val="21"/>
          <w:lang w:eastAsia="zh-CN"/>
        </w:rPr>
        <w:t>）</w:t>
      </w:r>
      <w:r>
        <w:rPr>
          <w:rFonts w:hint="eastAsia" w:ascii="宋体" w:hAnsi="宋体" w:eastAsia="宋体" w:cs="宋体"/>
          <w:sz w:val="21"/>
          <w:szCs w:val="21"/>
        </w:rPr>
        <w:t>中央监控室五方对讲主机、及轿顶、轿内、底坑对讲机由中标供应商提供并安装；中央监控室至</w:t>
      </w:r>
      <w:r>
        <w:rPr>
          <w:rFonts w:hint="eastAsia" w:ascii="宋体" w:hAnsi="宋体" w:eastAsia="宋体" w:cs="宋体"/>
          <w:sz w:val="21"/>
          <w:szCs w:val="21"/>
          <w:lang w:val="en-US" w:eastAsia="zh-CN"/>
        </w:rPr>
        <w:t>电梯</w:t>
      </w:r>
      <w:r>
        <w:rPr>
          <w:rFonts w:hint="eastAsia" w:ascii="宋体" w:hAnsi="宋体" w:eastAsia="宋体" w:cs="宋体"/>
          <w:sz w:val="21"/>
          <w:szCs w:val="21"/>
        </w:rPr>
        <w:t>机房五方对讲管线由中标供应商提供并安装。</w:t>
      </w:r>
    </w:p>
    <w:p w14:paraId="670751D6">
      <w:pPr>
        <w:spacing w:line="360" w:lineRule="auto"/>
        <w:rPr>
          <w:rFonts w:hint="eastAsia" w:ascii="宋体" w:hAnsi="宋体" w:eastAsia="宋体" w:cs="宋体"/>
          <w:color w:val="FF0000"/>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Lucida Sans">
    <w:altName w:val="Noto Naskh Arabic"/>
    <w:panose1 w:val="020B0602030504020204"/>
    <w:charset w:val="00"/>
    <w:family w:val="swiss"/>
    <w:pitch w:val="default"/>
    <w:sig w:usb0="00000000" w:usb1="00000000" w:usb2="00000000" w:usb3="00000000" w:csb0="20000001" w:csb1="00000000"/>
  </w:font>
  <w:font w:name="Noto Naskh Arabic">
    <w:panose1 w:val="020B0502040504020204"/>
    <w:charset w:val="00"/>
    <w:family w:val="auto"/>
    <w:pitch w:val="default"/>
    <w:sig w:usb0="80002003" w:usb1="80002000" w:usb2="00000008" w:usb3="00000000" w:csb0="00000041" w:csb1="0008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方正兰亭黑_GBK">
    <w:altName w:val="方正黑体_GBK"/>
    <w:panose1 w:val="00000000000000000000"/>
    <w:charset w:val="86"/>
    <w:family w:val="script"/>
    <w:pitch w:val="default"/>
    <w:sig w:usb0="00000000" w:usb1="00000000" w:usb2="00080016" w:usb3="00000000" w:csb0="00040001" w:csb1="00000000"/>
  </w:font>
  <w:font w:name="方正黑体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457A8929">
        <w:pPr>
          <w:pStyle w:val="7"/>
          <w:jc w:val="center"/>
        </w:pPr>
        <w:r>
          <w:fldChar w:fldCharType="begin"/>
        </w:r>
        <w:r>
          <w:instrText xml:space="preserve"> PAGE   \* MERGEFORMAT </w:instrText>
        </w:r>
        <w:r>
          <w:fldChar w:fldCharType="separate"/>
        </w:r>
        <w:r>
          <w:rPr>
            <w:lang w:val="zh-CN"/>
          </w:rPr>
          <w:t>1</w:t>
        </w:r>
        <w:r>
          <w:fldChar w:fldCharType="end"/>
        </w:r>
      </w:p>
    </w:sdtContent>
  </w:sdt>
  <w:p w14:paraId="3905677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9D1781"/>
    <w:multiLevelType w:val="singleLevel"/>
    <w:tmpl w:val="EE9D1781"/>
    <w:lvl w:ilvl="0" w:tentative="0">
      <w:start w:val="1"/>
      <w:numFmt w:val="decimal"/>
      <w:lvlText w:val="%1."/>
      <w:lvlJc w:val="left"/>
      <w:pPr>
        <w:tabs>
          <w:tab w:val="left" w:pos="312"/>
        </w:tabs>
      </w:pPr>
    </w:lvl>
  </w:abstractNum>
  <w:abstractNum w:abstractNumId="1">
    <w:nsid w:val="FBBDB3F8"/>
    <w:multiLevelType w:val="singleLevel"/>
    <w:tmpl w:val="FBBDB3F8"/>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lMzJiYTgyNTJkM2E5NzA5NDNiNGU0YmVkYTRiODEifQ=="/>
  </w:docVars>
  <w:rsids>
    <w:rsidRoot w:val="0064245B"/>
    <w:rsid w:val="0064245B"/>
    <w:rsid w:val="006934B1"/>
    <w:rsid w:val="00802260"/>
    <w:rsid w:val="009055E5"/>
    <w:rsid w:val="009420EA"/>
    <w:rsid w:val="00E30F34"/>
    <w:rsid w:val="03A72764"/>
    <w:rsid w:val="0A64315D"/>
    <w:rsid w:val="0B6001AB"/>
    <w:rsid w:val="1A575719"/>
    <w:rsid w:val="1CD31A7D"/>
    <w:rsid w:val="27B7AB6F"/>
    <w:rsid w:val="288A5C59"/>
    <w:rsid w:val="299D6956"/>
    <w:rsid w:val="2B2842A1"/>
    <w:rsid w:val="2E0A6195"/>
    <w:rsid w:val="368C4E0A"/>
    <w:rsid w:val="36913E7F"/>
    <w:rsid w:val="36B23BA2"/>
    <w:rsid w:val="36D96A36"/>
    <w:rsid w:val="3A5D0A4B"/>
    <w:rsid w:val="49902B2E"/>
    <w:rsid w:val="540120F8"/>
    <w:rsid w:val="5D351CF6"/>
    <w:rsid w:val="67620C38"/>
    <w:rsid w:val="69C51D1A"/>
    <w:rsid w:val="731E2BC7"/>
    <w:rsid w:val="77EF3C34"/>
    <w:rsid w:val="783E7AC8"/>
    <w:rsid w:val="7BCD0401"/>
    <w:rsid w:val="7D7F1546"/>
    <w:rsid w:val="7F7F46A6"/>
    <w:rsid w:val="7FFDD3D5"/>
    <w:rsid w:val="DD3F5C51"/>
    <w:rsid w:val="E2FF24E4"/>
    <w:rsid w:val="F5FA70E9"/>
    <w:rsid w:val="FB1E3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Times New Roman" w:eastAsia="等线" w:cs="Arial"/>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autoRedefine/>
    <w:qFormat/>
    <w:uiPriority w:val="0"/>
    <w:pPr>
      <w:keepNext/>
      <w:keepLines/>
      <w:spacing w:before="260" w:after="260" w:line="415" w:lineRule="auto"/>
      <w:outlineLvl w:val="2"/>
    </w:pPr>
    <w:rPr>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alloon Text"/>
    <w:basedOn w:val="1"/>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autoRedefine/>
    <w:qFormat/>
    <w:uiPriority w:val="0"/>
    <w:rPr>
      <w:b/>
      <w:bCs/>
    </w:rPr>
  </w:style>
  <w:style w:type="character" w:styleId="12">
    <w:name w:val="annotation reference"/>
    <w:basedOn w:val="11"/>
    <w:autoRedefine/>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xmlns="http://www.yozosoft.com.cn/officeDocument/2016/customData">
    <docPr xmlns="http://www.yozosoft.com.cn/officeDocument/2016/customData" revisions="3 0 5 0 0 0 1 0 0 0 3000 0 1 1 1 1"/>
    <sectPr xmlns="http://www.yozosoft.com.cn/officeDocument/2016/customData"/>
  </customProps>
</customData>
</file>

<file path=customXml/itemProps1.xml><?xml version="1.0" encoding="utf-8"?>
<ds:datastoreItem xmlns:ds="http://schemas.openxmlformats.org/officeDocument/2006/customXml" ds:itemID="{D9D6E088-AB28-4FA6-B41C-B99B8905EA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3069</Words>
  <Characters>3285</Characters>
  <Lines>28</Lines>
  <Paragraphs>7</Paragraphs>
  <TotalTime>22</TotalTime>
  <ScaleCrop>false</ScaleCrop>
  <LinksUpToDate>false</LinksUpToDate>
  <CharactersWithSpaces>3302</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2024-03-18T15:49:00Z</dcterms:created>
  <dc:creator>张敏捷</dc:creator>
  <cp:lastModifiedBy>user</cp:lastModifiedBy>
  <dcterms:modified xsi:type="dcterms:W3CDTF">2025-04-19T10:35:06Z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8FCAC0257F2C416986A83C255A755DEE_13</vt:lpwstr>
  </property>
  <property fmtid="{D5CDD505-2E9C-101B-9397-08002B2CF9AE}" pid="4" name="KSOTemplateDocerSaveRecord">
    <vt:lpwstr>eyJoZGlkIjoiMmJkMjhhNDA2ZjUyMmEwYTA1ZGExYzQ5ZGQ4MzQ4MDYiLCJ1c2VySWQiOiI0NTY3NDI3MDgifQ==</vt:lpwstr>
  </property>
</Properties>
</file>