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01A079">
      <w:pPr>
        <w:ind w:firstLine="0" w:firstLineChars="0"/>
        <w:jc w:val="center"/>
        <w:rPr>
          <w:rFonts w:hint="eastAsia" w:ascii="黑体" w:hAnsi="黑体" w:eastAsia="黑体"/>
          <w:sz w:val="48"/>
          <w:szCs w:val="48"/>
        </w:rPr>
      </w:pPr>
    </w:p>
    <w:p w14:paraId="48534284">
      <w:pPr>
        <w:ind w:firstLine="0" w:firstLineChars="0"/>
        <w:jc w:val="center"/>
        <w:rPr>
          <w:rFonts w:hint="eastAsia" w:ascii="黑体" w:hAnsi="黑体" w:eastAsia="黑体"/>
          <w:sz w:val="48"/>
          <w:szCs w:val="48"/>
        </w:rPr>
      </w:pPr>
    </w:p>
    <w:p w14:paraId="1488162A">
      <w:pPr>
        <w:ind w:firstLine="0" w:firstLineChars="0"/>
        <w:jc w:val="center"/>
        <w:rPr>
          <w:rFonts w:hint="eastAsia" w:ascii="黑体" w:hAnsi="黑体" w:eastAsia="黑体"/>
          <w:sz w:val="48"/>
          <w:szCs w:val="48"/>
        </w:rPr>
      </w:pPr>
    </w:p>
    <w:p w14:paraId="20C34D67">
      <w:pPr>
        <w:ind w:firstLine="0" w:firstLineChars="0"/>
        <w:jc w:val="center"/>
        <w:rPr>
          <w:rFonts w:hint="eastAsia" w:ascii="黑体" w:hAnsi="黑体" w:eastAsia="黑体"/>
          <w:sz w:val="52"/>
          <w:szCs w:val="52"/>
        </w:rPr>
      </w:pPr>
      <w:r>
        <w:rPr>
          <w:rFonts w:hint="eastAsia" w:ascii="黑体" w:hAnsi="黑体" w:eastAsia="黑体"/>
          <w:sz w:val="52"/>
          <w:szCs w:val="52"/>
        </w:rPr>
        <w:t>上海市建设市场管理信息平台</w:t>
      </w:r>
    </w:p>
    <w:p w14:paraId="0A82F036">
      <w:pPr>
        <w:ind w:firstLine="0" w:firstLineChars="0"/>
        <w:jc w:val="center"/>
        <w:rPr>
          <w:rFonts w:hint="eastAsia" w:ascii="黑体" w:hAnsi="黑体" w:eastAsia="黑体"/>
          <w:sz w:val="52"/>
          <w:szCs w:val="52"/>
        </w:rPr>
      </w:pPr>
      <w:r>
        <w:rPr>
          <w:rFonts w:hint="eastAsia" w:ascii="黑体" w:hAnsi="黑体" w:eastAsia="黑体"/>
          <w:sz w:val="52"/>
          <w:szCs w:val="52"/>
        </w:rPr>
        <w:t>（2025年升级改造）</w:t>
      </w:r>
    </w:p>
    <w:p w14:paraId="1E8D2F6B">
      <w:pPr>
        <w:ind w:firstLine="0" w:firstLineChars="0"/>
        <w:jc w:val="center"/>
        <w:rPr>
          <w:rFonts w:hint="eastAsia" w:ascii="黑体" w:hAnsi="黑体" w:eastAsia="黑体"/>
          <w:sz w:val="52"/>
          <w:szCs w:val="52"/>
        </w:rPr>
      </w:pPr>
    </w:p>
    <w:p w14:paraId="40D0476C">
      <w:pPr>
        <w:ind w:firstLine="0" w:firstLineChars="0"/>
        <w:jc w:val="center"/>
        <w:rPr>
          <w:rFonts w:hint="eastAsia" w:ascii="黑体" w:hAnsi="黑体" w:eastAsia="黑体"/>
          <w:sz w:val="52"/>
          <w:szCs w:val="52"/>
        </w:rPr>
      </w:pPr>
    </w:p>
    <w:p w14:paraId="3839C331">
      <w:pPr>
        <w:ind w:firstLine="0" w:firstLineChars="0"/>
        <w:jc w:val="center"/>
        <w:rPr>
          <w:rFonts w:hint="eastAsia" w:ascii="黑体" w:hAnsi="黑体" w:eastAsia="黑体"/>
          <w:sz w:val="52"/>
          <w:szCs w:val="52"/>
        </w:rPr>
      </w:pPr>
      <w:r>
        <w:rPr>
          <w:rFonts w:hint="eastAsia" w:ascii="黑体" w:hAnsi="黑体" w:eastAsia="黑体"/>
          <w:sz w:val="52"/>
          <w:szCs w:val="52"/>
        </w:rPr>
        <w:t>采购需求</w:t>
      </w:r>
    </w:p>
    <w:p w14:paraId="1CC40D78">
      <w:pPr>
        <w:ind w:firstLine="0" w:firstLineChars="0"/>
        <w:jc w:val="center"/>
        <w:rPr>
          <w:rFonts w:hint="eastAsia" w:ascii="黑体" w:hAnsi="黑体" w:eastAsia="黑体"/>
          <w:sz w:val="72"/>
          <w:szCs w:val="72"/>
        </w:rPr>
      </w:pPr>
    </w:p>
    <w:p w14:paraId="0B40911A">
      <w:pPr>
        <w:ind w:firstLine="0" w:firstLineChars="0"/>
        <w:jc w:val="center"/>
        <w:rPr>
          <w:rFonts w:hint="eastAsia" w:ascii="黑体" w:hAnsi="黑体" w:eastAsia="黑体"/>
          <w:sz w:val="48"/>
          <w:szCs w:val="48"/>
        </w:rPr>
      </w:pPr>
    </w:p>
    <w:p w14:paraId="236F4F6B">
      <w:pPr>
        <w:ind w:firstLine="0" w:firstLineChars="0"/>
        <w:jc w:val="center"/>
        <w:rPr>
          <w:rFonts w:hint="eastAsia" w:ascii="黑体" w:hAnsi="黑体" w:eastAsia="黑体"/>
          <w:sz w:val="52"/>
          <w:szCs w:val="52"/>
        </w:rPr>
      </w:pPr>
    </w:p>
    <w:p w14:paraId="4FCE7503">
      <w:pPr>
        <w:ind w:firstLine="1040"/>
        <w:rPr>
          <w:rFonts w:hint="eastAsia" w:ascii="黑体" w:hAnsi="黑体" w:eastAsia="黑体"/>
          <w:sz w:val="52"/>
          <w:szCs w:val="52"/>
        </w:rPr>
      </w:pPr>
    </w:p>
    <w:p w14:paraId="12ED09E0">
      <w:pPr>
        <w:rPr>
          <w:rFonts w:hint="eastAsia"/>
        </w:rPr>
      </w:pPr>
    </w:p>
    <w:p w14:paraId="4B914784">
      <w:pPr>
        <w:rPr>
          <w:rFonts w:hint="eastAsia"/>
        </w:rPr>
      </w:pPr>
    </w:p>
    <w:p w14:paraId="5F8A8582">
      <w:pPr>
        <w:rPr>
          <w:rFonts w:hint="eastAsia"/>
        </w:rPr>
      </w:pPr>
    </w:p>
    <w:p w14:paraId="1D9A94D5">
      <w:pPr>
        <w:rPr>
          <w:rFonts w:hint="eastAsia"/>
        </w:rPr>
      </w:pPr>
    </w:p>
    <w:p w14:paraId="1B11E857">
      <w:pPr>
        <w:rPr>
          <w:rFonts w:hint="eastAsia"/>
        </w:rPr>
      </w:pPr>
    </w:p>
    <w:p w14:paraId="3FBABC9F">
      <w:pPr>
        <w:ind w:firstLine="1040"/>
        <w:rPr>
          <w:rFonts w:hint="eastAsia" w:ascii="黑体" w:hAnsi="黑体" w:eastAsia="黑体"/>
          <w:sz w:val="52"/>
          <w:szCs w:val="52"/>
        </w:rPr>
      </w:pPr>
    </w:p>
    <w:p w14:paraId="1DE6E69B">
      <w:pPr>
        <w:jc w:val="center"/>
        <w:rPr>
          <w:rFonts w:hint="eastAsia"/>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14:paraId="02976439">
      <w:pPr>
        <w:pStyle w:val="2"/>
        <w:rPr>
          <w:rFonts w:hint="eastAsia"/>
        </w:rPr>
      </w:pPr>
      <w:bookmarkStart w:id="0" w:name="_Toc63785461"/>
      <w:r>
        <w:rPr>
          <w:rFonts w:hint="eastAsia"/>
        </w:rPr>
        <w:t>项目概况</w:t>
      </w:r>
      <w:bookmarkEnd w:id="0"/>
    </w:p>
    <w:p w14:paraId="3A6B50C1">
      <w:pPr>
        <w:spacing w:line="560" w:lineRule="exact"/>
        <w:rPr>
          <w:rFonts w:hint="eastAsia"/>
        </w:rPr>
      </w:pPr>
      <w:r>
        <w:rPr>
          <w:rFonts w:hint="eastAsia"/>
        </w:rPr>
        <w:t>项目背景和现状：上海市建设市场管理信息平台（以下简称“建管平台”）在市委、市政府主要领导的关心和支持下，于2013年12月28日正式启动平台建设，2015年年底系统全部建成投入运行。2023年随着本市“一网通办”、“一网通管”和公共资源交易平台等工作的深入，在信息系统应用创新背景下，将建管平台进行XC适配改造，并针对系统进行必要的扩充和深化建设。本项目在前期项目建设和应用的基础上，基于“1+9+X”即一个基础平台、9大业务应用系统、互联X个外部相关行业数据库的整体架构，对平台进行升级改造，具体建设内容包括：1）升级改造：电子招投标交易、作业人员实名制、建设工程勘察质量管理、建筑机械管理、工地视频智能监管等功能。2）新增功能：电子合同管理、一般类建筑装饰装修工程质量安全监督抽查、远程分散电子招投标、预拌混凝土质量现场监管、住宅工程质量评价信息平台、企业资质批后监管、项目业绩库、安全生产许可证动态核查、安管人员电子化申报、“驾驶舱”专题建设等功能。通过本项目的建设以满足新的文件要求，符合新的业务流程，满足上海市建设市场管理日益多元的业务需求，提升行业管理和服务数字化水平。</w:t>
      </w:r>
    </w:p>
    <w:p w14:paraId="4205BD4D">
      <w:pPr>
        <w:spacing w:line="560" w:lineRule="exact"/>
        <w:rPr>
          <w:rFonts w:hint="eastAsia"/>
        </w:rPr>
      </w:pPr>
      <w:r>
        <w:rPr>
          <w:rFonts w:hint="eastAsia"/>
        </w:rPr>
        <w:t>建设期限：自合同签订之日起至2026年6月30日</w:t>
      </w:r>
    </w:p>
    <w:p w14:paraId="713C0DDC">
      <w:pPr>
        <w:spacing w:line="560" w:lineRule="exact"/>
        <w:rPr>
          <w:rFonts w:hint="eastAsia"/>
        </w:rPr>
      </w:pPr>
      <w:r>
        <w:rPr>
          <w:rFonts w:hint="eastAsia"/>
        </w:rPr>
        <w:t>建设地点：上海市住房和城乡建设管理委员会</w:t>
      </w:r>
    </w:p>
    <w:p w14:paraId="27EC976D">
      <w:pPr>
        <w:spacing w:line="560" w:lineRule="exact"/>
        <w:rPr>
          <w:rFonts w:hint="eastAsia"/>
        </w:rPr>
      </w:pPr>
      <w:r>
        <w:rPr>
          <w:rFonts w:hint="eastAsia"/>
        </w:rPr>
        <w:t>预算金额：</w:t>
      </w:r>
      <w:bookmarkStart w:id="1" w:name="_Hlk124156411"/>
      <w:r>
        <w:rPr>
          <w:rFonts w:hint="eastAsia"/>
        </w:rPr>
        <w:t>5,200,000.</w:t>
      </w:r>
      <w:r>
        <w:t>00</w:t>
      </w:r>
      <w:bookmarkEnd w:id="1"/>
      <w:r>
        <w:rPr>
          <w:rFonts w:hint="eastAsia"/>
        </w:rPr>
        <w:t>元。</w:t>
      </w:r>
    </w:p>
    <w:p w14:paraId="1A4E3BAE">
      <w:pPr>
        <w:spacing w:line="560" w:lineRule="exact"/>
        <w:rPr>
          <w:rFonts w:hint="eastAsia"/>
        </w:rPr>
      </w:pPr>
      <w:r>
        <w:rPr>
          <w:rFonts w:hint="eastAsia"/>
        </w:rPr>
        <w:t>采购金额（最高限价）：5,200,000.</w:t>
      </w:r>
      <w:r>
        <w:t>00</w:t>
      </w:r>
      <w:r>
        <w:rPr>
          <w:rFonts w:hint="eastAsia"/>
        </w:rPr>
        <w:t>元</w:t>
      </w:r>
    </w:p>
    <w:p w14:paraId="46543A55">
      <w:pPr>
        <w:rPr>
          <w:rFonts w:hint="eastAsia"/>
        </w:rPr>
      </w:pPr>
      <w:r>
        <w:rPr>
          <w:rFonts w:hint="eastAsia"/>
        </w:rPr>
        <w:t>组织形式：集中采购</w:t>
      </w:r>
    </w:p>
    <w:p w14:paraId="284EAA98">
      <w:pPr>
        <w:rPr>
          <w:rFonts w:hint="eastAsia"/>
        </w:rPr>
      </w:pPr>
      <w:r>
        <w:rPr>
          <w:rFonts w:hint="eastAsia"/>
        </w:rPr>
        <w:t>采购方式：公开招标</w:t>
      </w:r>
    </w:p>
    <w:p w14:paraId="6CF34948">
      <w:pPr>
        <w:rPr>
          <w:rFonts w:hint="eastAsia"/>
        </w:rPr>
      </w:pPr>
      <w:r>
        <w:rPr>
          <w:rFonts w:hint="eastAsia"/>
        </w:rPr>
        <w:t>是否接受联合体投标：否</w:t>
      </w:r>
    </w:p>
    <w:p w14:paraId="4C4F349C">
      <w:pPr>
        <w:rPr>
          <w:rFonts w:hint="eastAsia"/>
        </w:rPr>
      </w:pPr>
      <w:r>
        <w:t>是否按信创要求建设：是</w:t>
      </w:r>
    </w:p>
    <w:p w14:paraId="15A21C6A">
      <w:pPr>
        <w:rPr>
          <w:rFonts w:hint="eastAsia"/>
        </w:rPr>
      </w:pPr>
      <w:r>
        <w:rPr>
          <w:rFonts w:hint="eastAsia"/>
        </w:rPr>
        <w:t>运维后所属大系统：建设市场管理信息平台</w:t>
      </w:r>
    </w:p>
    <w:p w14:paraId="10DD7896">
      <w:pPr>
        <w:pStyle w:val="2"/>
        <w:rPr>
          <w:rFonts w:hint="eastAsia"/>
        </w:rPr>
      </w:pPr>
      <w:bookmarkStart w:id="2" w:name="_Toc47536644"/>
      <w:bookmarkEnd w:id="2"/>
      <w:bookmarkStart w:id="3" w:name="_Toc47531634"/>
      <w:bookmarkEnd w:id="3"/>
      <w:bookmarkStart w:id="4" w:name="_Toc47536272"/>
      <w:bookmarkEnd w:id="4"/>
      <w:bookmarkStart w:id="5" w:name="_Toc47533256"/>
      <w:bookmarkEnd w:id="5"/>
      <w:bookmarkStart w:id="6" w:name="_Toc47532255"/>
      <w:bookmarkEnd w:id="6"/>
      <w:bookmarkStart w:id="7" w:name="_Toc47537134"/>
      <w:bookmarkEnd w:id="7"/>
      <w:bookmarkStart w:id="8" w:name="_Toc47532891"/>
      <w:bookmarkEnd w:id="8"/>
      <w:bookmarkStart w:id="9" w:name="_Toc47539070"/>
      <w:bookmarkEnd w:id="9"/>
      <w:bookmarkStart w:id="10" w:name="_Toc63785463"/>
      <w:bookmarkStart w:id="11" w:name="_Toc48223882"/>
      <w:r>
        <w:rPr>
          <w:rFonts w:hint="eastAsia"/>
        </w:rPr>
        <w:t>建设目标</w:t>
      </w:r>
      <w:bookmarkEnd w:id="10"/>
      <w:bookmarkEnd w:id="11"/>
    </w:p>
    <w:p w14:paraId="636C2A97">
      <w:pPr>
        <w:pStyle w:val="135"/>
        <w:numPr>
          <w:ilvl w:val="0"/>
          <w:numId w:val="4"/>
        </w:numPr>
        <w:ind w:left="426" w:firstLineChars="0"/>
        <w:rPr>
          <w:b/>
          <w:bCs/>
          <w:sz w:val="24"/>
          <w:szCs w:val="24"/>
        </w:rPr>
      </w:pPr>
      <w:r>
        <w:rPr>
          <w:rFonts w:hint="eastAsia" w:ascii="宋体" w:hAnsi="宋体"/>
          <w:b/>
          <w:bCs/>
          <w:sz w:val="24"/>
          <w:szCs w:val="24"/>
        </w:rPr>
        <w:t>实现目标</w:t>
      </w:r>
    </w:p>
    <w:p w14:paraId="7E09F3D4">
      <w:pPr>
        <w:rPr>
          <w:rFonts w:hint="eastAsia"/>
        </w:rPr>
      </w:pPr>
      <w:r>
        <w:rPr>
          <w:rFonts w:hint="eastAsia" w:cs="宋体"/>
        </w:rPr>
        <w:t>依据《中华人民共和国建设部令》第166号、《建设工程勘察质量管理办法》（建设部令第53号）、《关于进一步深化本市建设工程招投标制度改革工作的实施意见》（沪建建管〔2024〕49号）、《上海市建设工程监理管理办法》 上海市人民政府令 （第72号）、《关于进一步加强建设工程企业资质审批管理工作的通知》（建市规〔2023〕3号）等相关文件要求，在前期项目建设的基础上，基于“1+9+X”即一个基础平台、9大业务应用系统、互联X个外部相关行业数据库的整体架构，对电子招投标交易、作业人员实名制、建设工程勘察质量管理、建筑机械管理、工地视频智能监管功能模块进行升级改造，并新增电子合同管理、工程监督标准库、监理报告、一般类建筑装饰装修工程质量安全监督抽查、远程分散电子招投标、预拌混凝土质量现场监管、住宅工程质量评价信息平台、企业资质批后监管、项目业绩库、安全生产许可证动态核查、消防审验技术服务机构管理、安管人员电子化申报、“驾驶舱”专题建设功能模块，以满足上海市建设市场管理日益多元的业务需求，提升行业管理和服务数字化水平，全面支撑本市精细化管理，促进数字孪生城市建设与数字化转型发展。</w:t>
      </w:r>
    </w:p>
    <w:p w14:paraId="5EDC179B">
      <w:pPr>
        <w:pStyle w:val="135"/>
        <w:numPr>
          <w:ilvl w:val="0"/>
          <w:numId w:val="4"/>
        </w:numPr>
        <w:ind w:left="426" w:firstLineChars="0"/>
        <w:rPr>
          <w:rFonts w:hint="eastAsia" w:ascii="宋体" w:hAnsi="宋体"/>
          <w:b/>
          <w:bCs/>
          <w:sz w:val="24"/>
          <w:szCs w:val="24"/>
        </w:rPr>
      </w:pPr>
      <w:r>
        <w:rPr>
          <w:rFonts w:hint="eastAsia" w:ascii="宋体" w:hAnsi="宋体"/>
          <w:b/>
          <w:bCs/>
          <w:sz w:val="24"/>
          <w:szCs w:val="24"/>
        </w:rPr>
        <w:t>规划</w:t>
      </w:r>
      <w:r>
        <w:rPr>
          <w:rFonts w:ascii="宋体" w:hAnsi="宋体"/>
          <w:b/>
          <w:bCs/>
          <w:sz w:val="24"/>
          <w:szCs w:val="24"/>
        </w:rPr>
        <w:t>指标</w:t>
      </w:r>
      <w:r>
        <w:rPr>
          <w:rFonts w:hint="eastAsia" w:ascii="宋体" w:hAnsi="宋体"/>
          <w:b/>
          <w:bCs/>
          <w:sz w:val="24"/>
          <w:szCs w:val="24"/>
        </w:rPr>
        <w:t>参数</w:t>
      </w:r>
    </w:p>
    <w:tbl>
      <w:tblPr>
        <w:tblStyle w:val="36"/>
        <w:tblW w:w="8785" w:type="dxa"/>
        <w:jc w:val="center"/>
        <w:tblLayout w:type="fixed"/>
        <w:tblCellMar>
          <w:top w:w="0" w:type="dxa"/>
          <w:left w:w="108" w:type="dxa"/>
          <w:bottom w:w="0" w:type="dxa"/>
          <w:right w:w="108" w:type="dxa"/>
        </w:tblCellMar>
      </w:tblPr>
      <w:tblGrid>
        <w:gridCol w:w="827"/>
        <w:gridCol w:w="1410"/>
        <w:gridCol w:w="1590"/>
        <w:gridCol w:w="3028"/>
        <w:gridCol w:w="1930"/>
      </w:tblGrid>
      <w:tr w14:paraId="681906C8">
        <w:tblPrEx>
          <w:tblCellMar>
            <w:top w:w="0" w:type="dxa"/>
            <w:left w:w="108" w:type="dxa"/>
            <w:bottom w:w="0" w:type="dxa"/>
            <w:right w:w="108" w:type="dxa"/>
          </w:tblCellMar>
        </w:tblPrEx>
        <w:trPr>
          <w:trHeight w:val="326" w:hRule="atLeast"/>
          <w:jc w:val="center"/>
        </w:trPr>
        <w:tc>
          <w:tcPr>
            <w:tcW w:w="223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515982">
            <w:pPr>
              <w:widowControl/>
              <w:spacing w:line="240" w:lineRule="auto"/>
              <w:ind w:firstLine="0" w:firstLineChars="0"/>
              <w:jc w:val="center"/>
              <w:textAlignment w:val="center"/>
              <w:rPr>
                <w:rFonts w:hint="eastAsia" w:cs="宋体"/>
                <w:color w:val="000000"/>
              </w:rPr>
            </w:pPr>
            <w:r>
              <w:rPr>
                <w:rFonts w:hint="eastAsia" w:cs="宋体"/>
                <w:color w:val="000000"/>
                <w:kern w:val="0"/>
                <w:lang w:bidi="ar"/>
              </w:rPr>
              <w:t>项目名称</w:t>
            </w:r>
          </w:p>
        </w:tc>
        <w:tc>
          <w:tcPr>
            <w:tcW w:w="6548"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514CCC">
            <w:pPr>
              <w:widowControl/>
              <w:spacing w:line="240" w:lineRule="auto"/>
              <w:ind w:firstLine="0" w:firstLineChars="0"/>
              <w:textAlignment w:val="center"/>
              <w:rPr>
                <w:rFonts w:hint="eastAsia" w:cs="宋体"/>
                <w:color w:val="000000"/>
              </w:rPr>
            </w:pPr>
            <w:r>
              <w:rPr>
                <w:rFonts w:hint="eastAsia" w:cs="宋体"/>
                <w:color w:val="000000"/>
                <w:kern w:val="0"/>
                <w:lang w:bidi="ar"/>
              </w:rPr>
              <w:t>上海市建设市场管理信息平台（2025年升级改造）</w:t>
            </w:r>
          </w:p>
        </w:tc>
      </w:tr>
      <w:tr w14:paraId="3E3D4B29">
        <w:tblPrEx>
          <w:tblCellMar>
            <w:top w:w="0" w:type="dxa"/>
            <w:left w:w="108" w:type="dxa"/>
            <w:bottom w:w="0" w:type="dxa"/>
            <w:right w:w="108" w:type="dxa"/>
          </w:tblCellMar>
        </w:tblPrEx>
        <w:trPr>
          <w:trHeight w:val="326" w:hRule="atLeast"/>
          <w:jc w:val="center"/>
        </w:trPr>
        <w:tc>
          <w:tcPr>
            <w:tcW w:w="223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EF933">
            <w:pPr>
              <w:spacing w:line="240" w:lineRule="auto"/>
              <w:jc w:val="center"/>
              <w:rPr>
                <w:rFonts w:hint="eastAsia" w:cs="宋体"/>
                <w:color w:val="000000"/>
              </w:rPr>
            </w:pPr>
          </w:p>
        </w:tc>
        <w:tc>
          <w:tcPr>
            <w:tcW w:w="654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BE101">
            <w:pPr>
              <w:spacing w:line="240" w:lineRule="auto"/>
              <w:jc w:val="center"/>
              <w:rPr>
                <w:rFonts w:hint="eastAsia" w:cs="宋体"/>
                <w:color w:val="000000"/>
              </w:rPr>
            </w:pPr>
          </w:p>
        </w:tc>
      </w:tr>
      <w:tr w14:paraId="7861CDE4">
        <w:tblPrEx>
          <w:tblCellMar>
            <w:top w:w="0" w:type="dxa"/>
            <w:left w:w="108" w:type="dxa"/>
            <w:bottom w:w="0" w:type="dxa"/>
            <w:right w:w="108" w:type="dxa"/>
          </w:tblCellMar>
        </w:tblPrEx>
        <w:trPr>
          <w:trHeight w:val="1476" w:hRule="atLeast"/>
          <w:jc w:val="center"/>
        </w:trPr>
        <w:tc>
          <w:tcPr>
            <w:tcW w:w="22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6F3288">
            <w:pPr>
              <w:widowControl/>
              <w:spacing w:line="240" w:lineRule="auto"/>
              <w:ind w:firstLine="0" w:firstLineChars="0"/>
              <w:jc w:val="center"/>
              <w:textAlignment w:val="center"/>
              <w:rPr>
                <w:rFonts w:hint="eastAsia" w:cs="宋体"/>
                <w:color w:val="000000"/>
              </w:rPr>
            </w:pPr>
            <w:r>
              <w:rPr>
                <w:rFonts w:hint="eastAsia" w:cs="宋体"/>
                <w:color w:val="000000"/>
                <w:kern w:val="0"/>
                <w:lang w:bidi="ar"/>
              </w:rPr>
              <w:t>总体目标</w:t>
            </w:r>
          </w:p>
        </w:tc>
        <w:tc>
          <w:tcPr>
            <w:tcW w:w="65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8A853D">
            <w:pPr>
              <w:widowControl/>
              <w:spacing w:line="240" w:lineRule="auto"/>
              <w:ind w:firstLine="0" w:firstLineChars="0"/>
              <w:jc w:val="left"/>
              <w:textAlignment w:val="center"/>
              <w:rPr>
                <w:rFonts w:hint="eastAsia" w:cs="宋体"/>
                <w:color w:val="000000"/>
              </w:rPr>
            </w:pPr>
            <w:r>
              <w:rPr>
                <w:rFonts w:hint="eastAsia" w:cs="宋体"/>
                <w:color w:val="000000"/>
                <w:kern w:val="0"/>
                <w:lang w:bidi="ar"/>
              </w:rPr>
              <w:t>在前期建设的基础上，基于“1+9+X”即一个基础平台、9大业务应用系统、互联X个外部相关行业数据库的整体架构，升级5个功能模块，并新增14个功能模块，满足上海市建设市场管理日益多元的业务需求，提升行业管理和服务数字化水平，全面支撑本市精细化管理，促进数字孪生城市建设与数字化转型发展。</w:t>
            </w:r>
          </w:p>
        </w:tc>
      </w:tr>
      <w:tr w14:paraId="6922FD77">
        <w:tblPrEx>
          <w:tblCellMar>
            <w:top w:w="0" w:type="dxa"/>
            <w:left w:w="108" w:type="dxa"/>
            <w:bottom w:w="0" w:type="dxa"/>
            <w:right w:w="108" w:type="dxa"/>
          </w:tblCellMar>
        </w:tblPrEx>
        <w:trPr>
          <w:trHeight w:val="300" w:hRule="atLeast"/>
          <w:jc w:val="center"/>
        </w:trPr>
        <w:tc>
          <w:tcPr>
            <w:tcW w:w="8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FADC91">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规划指标参数</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1311F">
            <w:pPr>
              <w:widowControl/>
              <w:ind w:firstLine="0" w:firstLineChars="0"/>
              <w:jc w:val="center"/>
              <w:textAlignment w:val="center"/>
              <w:rPr>
                <w:rFonts w:hint="eastAsia" w:cs="宋体"/>
                <w:color w:val="000000"/>
                <w:kern w:val="0"/>
                <w:lang w:bidi="ar"/>
              </w:rPr>
            </w:pPr>
            <w:r>
              <w:rPr>
                <w:rFonts w:hint="eastAsia" w:cs="宋体"/>
                <w:color w:val="000000"/>
                <w:kern w:val="0"/>
                <w:lang w:bidi="ar"/>
              </w:rPr>
              <w:t>一级指标</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171FE">
            <w:pPr>
              <w:widowControl/>
              <w:ind w:firstLine="0" w:firstLineChars="0"/>
              <w:jc w:val="center"/>
              <w:textAlignment w:val="center"/>
              <w:rPr>
                <w:rFonts w:hint="eastAsia" w:cs="宋体"/>
                <w:color w:val="000000"/>
                <w:kern w:val="0"/>
                <w:lang w:bidi="ar"/>
              </w:rPr>
            </w:pPr>
            <w:r>
              <w:rPr>
                <w:rFonts w:hint="eastAsia" w:cs="宋体"/>
                <w:color w:val="000000"/>
                <w:kern w:val="0"/>
                <w:lang w:bidi="ar"/>
              </w:rPr>
              <w:t>二级指标</w:t>
            </w: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D0F22">
            <w:pPr>
              <w:widowControl/>
              <w:ind w:firstLine="0" w:firstLineChars="0"/>
              <w:jc w:val="center"/>
              <w:textAlignment w:val="center"/>
              <w:rPr>
                <w:rFonts w:hint="eastAsia" w:cs="宋体"/>
                <w:color w:val="000000"/>
                <w:kern w:val="0"/>
                <w:lang w:bidi="ar"/>
              </w:rPr>
            </w:pPr>
            <w:r>
              <w:rPr>
                <w:rFonts w:hint="eastAsia" w:cs="宋体"/>
                <w:color w:val="000000"/>
                <w:kern w:val="0"/>
                <w:lang w:bidi="ar"/>
              </w:rPr>
              <w:t>三级指标</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EAA00">
            <w:pPr>
              <w:widowControl/>
              <w:ind w:firstLine="0" w:firstLineChars="0"/>
              <w:jc w:val="center"/>
              <w:textAlignment w:val="center"/>
              <w:rPr>
                <w:rFonts w:hint="eastAsia" w:cs="宋体"/>
                <w:color w:val="000000"/>
                <w:kern w:val="0"/>
                <w:lang w:bidi="ar"/>
              </w:rPr>
            </w:pPr>
            <w:r>
              <w:rPr>
                <w:rFonts w:hint="eastAsia" w:cs="宋体"/>
                <w:color w:val="000000"/>
                <w:kern w:val="0"/>
                <w:lang w:bidi="ar"/>
              </w:rPr>
              <w:t>目标值</w:t>
            </w:r>
          </w:p>
        </w:tc>
      </w:tr>
      <w:tr w14:paraId="25F9D761">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B25600">
            <w:pPr>
              <w:widowControl/>
              <w:spacing w:line="240" w:lineRule="auto"/>
              <w:ind w:firstLine="0" w:firstLineChars="0"/>
              <w:jc w:val="left"/>
              <w:textAlignment w:val="center"/>
              <w:rPr>
                <w:rFonts w:hint="eastAsia" w:cs="宋体"/>
                <w:color w:val="000000"/>
                <w:kern w:val="0"/>
                <w:lang w:bidi="ar"/>
              </w:rPr>
            </w:pP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5A54C">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通用指标</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522E5">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产出数量</w:t>
            </w: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82BF6">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软件开发完成率</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27C53">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100%</w:t>
            </w:r>
          </w:p>
        </w:tc>
      </w:tr>
      <w:tr w14:paraId="38EC70DE">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BC56D">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BE800">
            <w:pPr>
              <w:widowControl/>
              <w:spacing w:line="240" w:lineRule="auto"/>
              <w:ind w:firstLine="0" w:firstLineChars="0"/>
              <w:jc w:val="left"/>
              <w:textAlignment w:val="center"/>
              <w:rPr>
                <w:rFonts w:hint="eastAsia" w:cs="宋体"/>
                <w:color w:val="000000"/>
                <w:kern w:val="0"/>
                <w:lang w:bidi="ar"/>
              </w:rPr>
            </w:pP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3AF8BE">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产出质量</w:t>
            </w: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ACB3A">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一次性验收合格率</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A1BE1">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100%</w:t>
            </w:r>
          </w:p>
        </w:tc>
      </w:tr>
      <w:tr w14:paraId="6DB013D9">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90A8F">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4B4B2">
            <w:pPr>
              <w:widowControl/>
              <w:spacing w:line="240" w:lineRule="auto"/>
              <w:ind w:firstLine="0" w:firstLineChars="0"/>
              <w:jc w:val="left"/>
              <w:textAlignment w:val="center"/>
              <w:rPr>
                <w:rFonts w:hint="eastAsia" w:cs="宋体"/>
                <w:color w:val="000000"/>
                <w:kern w:val="0"/>
                <w:lang w:bidi="ar"/>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6E64A">
            <w:pPr>
              <w:widowControl/>
              <w:spacing w:line="240" w:lineRule="auto"/>
              <w:ind w:firstLine="0" w:firstLineChars="0"/>
              <w:jc w:val="left"/>
              <w:textAlignment w:val="center"/>
              <w:rPr>
                <w:rFonts w:hint="eastAsia" w:cs="宋体"/>
                <w:color w:val="000000"/>
                <w:kern w:val="0"/>
                <w:lang w:bidi="ar"/>
              </w:rPr>
            </w:pP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9213E">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系统稳定性</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EF091">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≥99.9%</w:t>
            </w:r>
          </w:p>
        </w:tc>
      </w:tr>
      <w:tr w14:paraId="5063CBF8">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2DD614">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20A18">
            <w:pPr>
              <w:widowControl/>
              <w:spacing w:line="240" w:lineRule="auto"/>
              <w:ind w:firstLine="0" w:firstLineChars="0"/>
              <w:jc w:val="left"/>
              <w:textAlignment w:val="center"/>
              <w:rPr>
                <w:rFonts w:hint="eastAsia" w:cs="宋体"/>
                <w:color w:val="000000"/>
                <w:kern w:val="0"/>
                <w:lang w:bidi="ar"/>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D4634">
            <w:pPr>
              <w:widowControl/>
              <w:spacing w:line="240" w:lineRule="auto"/>
              <w:ind w:firstLine="0" w:firstLineChars="0"/>
              <w:jc w:val="left"/>
              <w:textAlignment w:val="center"/>
              <w:rPr>
                <w:rFonts w:hint="eastAsia" w:cs="宋体"/>
                <w:color w:val="000000"/>
                <w:kern w:val="0"/>
                <w:lang w:bidi="ar"/>
              </w:rPr>
            </w:pP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F8FE8">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软件测试</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CA482">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通过</w:t>
            </w:r>
          </w:p>
        </w:tc>
      </w:tr>
      <w:tr w14:paraId="31153322">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FF510">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67559">
            <w:pPr>
              <w:widowControl/>
              <w:spacing w:line="240" w:lineRule="auto"/>
              <w:ind w:firstLine="0" w:firstLineChars="0"/>
              <w:jc w:val="left"/>
              <w:textAlignment w:val="center"/>
              <w:rPr>
                <w:rFonts w:hint="eastAsia" w:cs="宋体"/>
                <w:color w:val="000000"/>
                <w:kern w:val="0"/>
                <w:lang w:bidi="ar"/>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FC37B8">
            <w:pPr>
              <w:widowControl/>
              <w:spacing w:line="240" w:lineRule="auto"/>
              <w:ind w:firstLine="0" w:firstLineChars="0"/>
              <w:jc w:val="left"/>
              <w:textAlignment w:val="center"/>
              <w:rPr>
                <w:rFonts w:hint="eastAsia" w:cs="宋体"/>
                <w:color w:val="000000"/>
                <w:kern w:val="0"/>
                <w:lang w:bidi="ar"/>
              </w:rPr>
            </w:pP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58834">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密码测评</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95FE7">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通过</w:t>
            </w:r>
          </w:p>
        </w:tc>
      </w:tr>
      <w:tr w14:paraId="2829D4AD">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AA189">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03AD4">
            <w:pPr>
              <w:widowControl/>
              <w:spacing w:line="240" w:lineRule="auto"/>
              <w:ind w:firstLine="0" w:firstLineChars="0"/>
              <w:jc w:val="left"/>
              <w:textAlignment w:val="center"/>
              <w:rPr>
                <w:rFonts w:hint="eastAsia" w:cs="宋体"/>
                <w:color w:val="000000"/>
                <w:kern w:val="0"/>
                <w:lang w:bidi="ar"/>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4AB0E">
            <w:pPr>
              <w:widowControl/>
              <w:spacing w:line="240" w:lineRule="auto"/>
              <w:ind w:firstLine="0" w:firstLineChars="0"/>
              <w:jc w:val="left"/>
              <w:textAlignment w:val="center"/>
              <w:rPr>
                <w:rFonts w:hint="eastAsia" w:cs="宋体"/>
                <w:color w:val="000000"/>
                <w:kern w:val="0"/>
                <w:lang w:bidi="ar"/>
              </w:rPr>
            </w:pP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A76A1">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安全测评</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B0D7">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通过</w:t>
            </w:r>
          </w:p>
        </w:tc>
      </w:tr>
      <w:tr w14:paraId="0F36E24D">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58D5C6">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2E1AC">
            <w:pPr>
              <w:widowControl/>
              <w:spacing w:line="240" w:lineRule="auto"/>
              <w:ind w:firstLine="0" w:firstLineChars="0"/>
              <w:jc w:val="left"/>
              <w:textAlignment w:val="center"/>
              <w:rPr>
                <w:rFonts w:hint="eastAsia" w:cs="宋体"/>
                <w:color w:val="000000"/>
                <w:kern w:val="0"/>
                <w:lang w:bidi="ar"/>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6D3B2">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安全事件</w:t>
            </w: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7D8D4">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数据安全事件发生次数</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21BAD">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0次</w:t>
            </w:r>
          </w:p>
        </w:tc>
      </w:tr>
      <w:tr w14:paraId="1D263B9B">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61EB9">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6939A">
            <w:pPr>
              <w:widowControl/>
              <w:spacing w:line="240" w:lineRule="auto"/>
              <w:ind w:firstLine="0" w:firstLineChars="0"/>
              <w:jc w:val="left"/>
              <w:textAlignment w:val="center"/>
              <w:rPr>
                <w:rFonts w:hint="eastAsia" w:cs="宋体"/>
                <w:color w:val="000000"/>
                <w:kern w:val="0"/>
                <w:lang w:bidi="ar"/>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2E059">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产出时效</w:t>
            </w: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64683">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项目实施进度</w:t>
            </w:r>
          </w:p>
        </w:tc>
        <w:tc>
          <w:tcPr>
            <w:tcW w:w="1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2D3721">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12个月</w:t>
            </w:r>
          </w:p>
        </w:tc>
      </w:tr>
      <w:tr w14:paraId="6CCE1171">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FBD06">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533CD">
            <w:pPr>
              <w:widowControl/>
              <w:spacing w:line="240" w:lineRule="auto"/>
              <w:ind w:firstLine="0" w:firstLineChars="0"/>
              <w:jc w:val="left"/>
              <w:textAlignment w:val="center"/>
              <w:rPr>
                <w:rFonts w:hint="eastAsia" w:cs="宋体"/>
                <w:color w:val="000000"/>
                <w:kern w:val="0"/>
                <w:lang w:bidi="ar"/>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32C7D">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系统能力利用水平</w:t>
            </w: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D4BBC">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线上办件占比</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E2800">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100%</w:t>
            </w:r>
          </w:p>
        </w:tc>
      </w:tr>
      <w:tr w14:paraId="7B00526B">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23EDF">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32A03">
            <w:pPr>
              <w:widowControl/>
              <w:spacing w:line="240" w:lineRule="auto"/>
              <w:ind w:firstLine="0" w:firstLineChars="0"/>
              <w:jc w:val="left"/>
              <w:textAlignment w:val="center"/>
              <w:rPr>
                <w:rFonts w:hint="eastAsia" w:cs="宋体"/>
                <w:color w:val="000000"/>
                <w:kern w:val="0"/>
                <w:lang w:bidi="ar"/>
              </w:rPr>
            </w:pP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13DCA9">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用户使用情况</w:t>
            </w: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BFC3B">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系统用户量</w:t>
            </w:r>
          </w:p>
        </w:tc>
        <w:tc>
          <w:tcPr>
            <w:tcW w:w="1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4DFA7E">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≥3000人</w:t>
            </w:r>
          </w:p>
        </w:tc>
      </w:tr>
      <w:tr w14:paraId="2F51F863">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32319">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2964F">
            <w:pPr>
              <w:widowControl/>
              <w:spacing w:line="240" w:lineRule="auto"/>
              <w:ind w:firstLine="0" w:firstLineChars="0"/>
              <w:jc w:val="left"/>
              <w:textAlignment w:val="center"/>
              <w:rPr>
                <w:rFonts w:hint="eastAsia" w:cs="宋体"/>
                <w:color w:val="000000"/>
                <w:kern w:val="0"/>
                <w:lang w:bidi="ar"/>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5AC70">
            <w:pPr>
              <w:widowControl/>
              <w:spacing w:line="240" w:lineRule="auto"/>
              <w:ind w:firstLine="0" w:firstLineChars="0"/>
              <w:jc w:val="left"/>
              <w:textAlignment w:val="center"/>
              <w:rPr>
                <w:rFonts w:hint="eastAsia" w:cs="宋体"/>
                <w:color w:val="000000"/>
                <w:kern w:val="0"/>
                <w:lang w:bidi="ar"/>
              </w:rPr>
            </w:pP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1E874">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月活跃用户量</w:t>
            </w:r>
          </w:p>
        </w:tc>
        <w:tc>
          <w:tcPr>
            <w:tcW w:w="1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8BF412">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≥300人次/月</w:t>
            </w:r>
          </w:p>
        </w:tc>
      </w:tr>
      <w:tr w14:paraId="26DE73E1">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4A0A2">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31A5F">
            <w:pPr>
              <w:widowControl/>
              <w:spacing w:line="240" w:lineRule="auto"/>
              <w:ind w:firstLine="0" w:firstLineChars="0"/>
              <w:jc w:val="left"/>
              <w:textAlignment w:val="center"/>
              <w:rPr>
                <w:rFonts w:hint="eastAsia" w:cs="宋体"/>
                <w:color w:val="000000"/>
                <w:kern w:val="0"/>
                <w:lang w:bidi="ar"/>
              </w:rPr>
            </w:pP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C2C9C5">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共性平台</w:t>
            </w: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CF0FB">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跨部门数据共享程度</w:t>
            </w:r>
          </w:p>
        </w:tc>
        <w:tc>
          <w:tcPr>
            <w:tcW w:w="1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7AA747">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≥80%</w:t>
            </w:r>
          </w:p>
        </w:tc>
      </w:tr>
      <w:tr w14:paraId="7042ADEA">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063EF">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53764">
            <w:pPr>
              <w:widowControl/>
              <w:spacing w:line="240" w:lineRule="auto"/>
              <w:ind w:firstLine="0" w:firstLineChars="0"/>
              <w:jc w:val="left"/>
              <w:textAlignment w:val="center"/>
              <w:rPr>
                <w:rFonts w:hint="eastAsia" w:cs="宋体"/>
                <w:color w:val="000000"/>
                <w:kern w:val="0"/>
                <w:lang w:bidi="ar"/>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1D0049">
            <w:pPr>
              <w:widowControl/>
              <w:spacing w:line="240" w:lineRule="auto"/>
              <w:ind w:firstLine="0" w:firstLineChars="0"/>
              <w:jc w:val="left"/>
              <w:textAlignment w:val="center"/>
              <w:rPr>
                <w:rFonts w:hint="eastAsia" w:cs="宋体"/>
                <w:color w:val="000000"/>
                <w:kern w:val="0"/>
                <w:lang w:bidi="ar"/>
              </w:rPr>
            </w:pP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5A122">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核心数据缺失率</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08A98">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≤5%</w:t>
            </w:r>
          </w:p>
        </w:tc>
      </w:tr>
      <w:tr w14:paraId="128A401C">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3389E">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BBF8D">
            <w:pPr>
              <w:widowControl/>
              <w:spacing w:line="240" w:lineRule="auto"/>
              <w:ind w:firstLine="0" w:firstLineChars="0"/>
              <w:jc w:val="left"/>
              <w:textAlignment w:val="center"/>
              <w:rPr>
                <w:rFonts w:hint="eastAsia" w:cs="宋体"/>
                <w:color w:val="000000"/>
                <w:kern w:val="0"/>
                <w:lang w:bidi="ar"/>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DED80">
            <w:pPr>
              <w:widowControl/>
              <w:spacing w:line="240" w:lineRule="auto"/>
              <w:ind w:firstLine="0" w:firstLineChars="0"/>
              <w:jc w:val="left"/>
              <w:textAlignment w:val="center"/>
              <w:rPr>
                <w:rFonts w:hint="eastAsia" w:cs="宋体"/>
                <w:color w:val="000000"/>
                <w:kern w:val="0"/>
                <w:lang w:bidi="ar"/>
              </w:rPr>
            </w:pP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6C11F">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覆盖部门数量</w:t>
            </w:r>
          </w:p>
        </w:tc>
        <w:tc>
          <w:tcPr>
            <w:tcW w:w="1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01AB1B">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≥8个</w:t>
            </w:r>
          </w:p>
        </w:tc>
      </w:tr>
      <w:tr w14:paraId="3DAEB407">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F31731">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6D524">
            <w:pPr>
              <w:widowControl/>
              <w:spacing w:line="240" w:lineRule="auto"/>
              <w:ind w:firstLine="0" w:firstLineChars="0"/>
              <w:jc w:val="left"/>
              <w:textAlignment w:val="center"/>
              <w:rPr>
                <w:rFonts w:hint="eastAsia" w:cs="宋体"/>
                <w:color w:val="000000"/>
                <w:kern w:val="0"/>
                <w:lang w:bidi="ar"/>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E4B57">
            <w:pPr>
              <w:widowControl/>
              <w:spacing w:line="240" w:lineRule="auto"/>
              <w:ind w:firstLine="0" w:firstLineChars="0"/>
              <w:jc w:val="left"/>
              <w:textAlignment w:val="center"/>
              <w:rPr>
                <w:rFonts w:hint="eastAsia" w:cs="宋体"/>
                <w:color w:val="000000"/>
                <w:kern w:val="0"/>
                <w:lang w:bidi="ar"/>
              </w:rPr>
            </w:pP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A3B22">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统筹对接系统数量</w:t>
            </w:r>
          </w:p>
        </w:tc>
        <w:tc>
          <w:tcPr>
            <w:tcW w:w="1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C015D7">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≥10个</w:t>
            </w:r>
          </w:p>
        </w:tc>
      </w:tr>
      <w:tr w14:paraId="3C72D8AB">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FBB75">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3267B">
            <w:pPr>
              <w:widowControl/>
              <w:spacing w:line="240" w:lineRule="auto"/>
              <w:ind w:firstLine="0" w:firstLineChars="0"/>
              <w:jc w:val="left"/>
              <w:textAlignment w:val="center"/>
              <w:rPr>
                <w:rFonts w:hint="eastAsia" w:cs="宋体"/>
                <w:color w:val="000000"/>
                <w:kern w:val="0"/>
                <w:lang w:bidi="ar"/>
              </w:rPr>
            </w:pP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527084">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监测监管系统水平</w:t>
            </w:r>
          </w:p>
        </w:tc>
        <w:tc>
          <w:tcPr>
            <w:tcW w:w="30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6F0C42">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监测指标数量</w:t>
            </w:r>
          </w:p>
        </w:tc>
        <w:tc>
          <w:tcPr>
            <w:tcW w:w="1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56BB67">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≥6个</w:t>
            </w:r>
          </w:p>
        </w:tc>
      </w:tr>
      <w:tr w14:paraId="7C6371FF">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0CA96">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1F814">
            <w:pPr>
              <w:widowControl/>
              <w:spacing w:line="240" w:lineRule="auto"/>
              <w:ind w:firstLine="0" w:firstLineChars="0"/>
              <w:jc w:val="left"/>
              <w:textAlignment w:val="center"/>
              <w:rPr>
                <w:rFonts w:hint="eastAsia" w:cs="宋体"/>
                <w:color w:val="000000"/>
                <w:kern w:val="0"/>
                <w:lang w:bidi="ar"/>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9C70FB">
            <w:pPr>
              <w:widowControl/>
              <w:spacing w:line="240" w:lineRule="auto"/>
              <w:ind w:firstLine="0" w:firstLineChars="0"/>
              <w:jc w:val="left"/>
              <w:textAlignment w:val="center"/>
              <w:rPr>
                <w:rFonts w:hint="eastAsia" w:cs="宋体"/>
                <w:color w:val="000000"/>
                <w:kern w:val="0"/>
                <w:lang w:bidi="ar"/>
              </w:rPr>
            </w:pP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ACB4E">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监测数据完整性</w:t>
            </w:r>
          </w:p>
        </w:tc>
        <w:tc>
          <w:tcPr>
            <w:tcW w:w="1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D38D12">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≥90%</w:t>
            </w:r>
          </w:p>
        </w:tc>
      </w:tr>
      <w:tr w14:paraId="769BD0D4">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7D7DC">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EDAF4">
            <w:pPr>
              <w:widowControl/>
              <w:spacing w:line="240" w:lineRule="auto"/>
              <w:ind w:firstLine="0" w:firstLineChars="0"/>
              <w:jc w:val="left"/>
              <w:textAlignment w:val="center"/>
              <w:rPr>
                <w:rFonts w:hint="eastAsia" w:cs="宋体"/>
                <w:color w:val="000000"/>
                <w:kern w:val="0"/>
                <w:lang w:bidi="ar"/>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90343">
            <w:pPr>
              <w:widowControl/>
              <w:spacing w:line="240" w:lineRule="auto"/>
              <w:ind w:firstLine="0" w:firstLineChars="0"/>
              <w:jc w:val="left"/>
              <w:textAlignment w:val="center"/>
              <w:rPr>
                <w:rFonts w:hint="eastAsia" w:cs="宋体"/>
                <w:color w:val="000000"/>
                <w:kern w:val="0"/>
                <w:lang w:bidi="ar"/>
              </w:rPr>
            </w:pP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60866">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监测数据准确率</w:t>
            </w:r>
          </w:p>
        </w:tc>
        <w:tc>
          <w:tcPr>
            <w:tcW w:w="1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E673C9">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≥90%</w:t>
            </w:r>
          </w:p>
        </w:tc>
      </w:tr>
      <w:tr w14:paraId="55AEA104">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CCF38">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392B4">
            <w:pPr>
              <w:widowControl/>
              <w:spacing w:line="240" w:lineRule="auto"/>
              <w:ind w:firstLine="0" w:firstLineChars="0"/>
              <w:jc w:val="left"/>
              <w:textAlignment w:val="center"/>
              <w:rPr>
                <w:rFonts w:hint="eastAsia" w:cs="宋体"/>
                <w:color w:val="000000"/>
                <w:kern w:val="0"/>
                <w:lang w:bidi="ar"/>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92D7B">
            <w:pPr>
              <w:widowControl/>
              <w:spacing w:line="240" w:lineRule="auto"/>
              <w:ind w:firstLine="0" w:firstLineChars="0"/>
              <w:jc w:val="left"/>
              <w:textAlignment w:val="center"/>
              <w:rPr>
                <w:rFonts w:hint="eastAsia" w:cs="宋体"/>
                <w:color w:val="000000"/>
                <w:kern w:val="0"/>
                <w:lang w:bidi="ar"/>
              </w:rPr>
            </w:pP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1F45B">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监测对象月均风险预警数量</w:t>
            </w:r>
          </w:p>
        </w:tc>
        <w:tc>
          <w:tcPr>
            <w:tcW w:w="1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C2FAA8">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≥3个/月</w:t>
            </w:r>
          </w:p>
        </w:tc>
      </w:tr>
      <w:tr w14:paraId="48C7FD91">
        <w:tblPrEx>
          <w:tblCellMar>
            <w:top w:w="0" w:type="dxa"/>
            <w:left w:w="108" w:type="dxa"/>
            <w:bottom w:w="0" w:type="dxa"/>
            <w:right w:w="108" w:type="dxa"/>
          </w:tblCellMar>
        </w:tblPrEx>
        <w:trPr>
          <w:trHeight w:val="56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7CED51">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B9176">
            <w:pPr>
              <w:widowControl/>
              <w:spacing w:line="240" w:lineRule="auto"/>
              <w:ind w:firstLine="0" w:firstLineChars="0"/>
              <w:jc w:val="left"/>
              <w:textAlignment w:val="center"/>
              <w:rPr>
                <w:rFonts w:hint="eastAsia" w:cs="宋体"/>
                <w:color w:val="000000"/>
                <w:kern w:val="0"/>
                <w:lang w:bidi="ar"/>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48CDB">
            <w:pPr>
              <w:widowControl/>
              <w:spacing w:line="240" w:lineRule="auto"/>
              <w:ind w:firstLine="0" w:firstLineChars="0"/>
              <w:jc w:val="left"/>
              <w:textAlignment w:val="center"/>
              <w:rPr>
                <w:rFonts w:hint="eastAsia" w:cs="宋体"/>
                <w:color w:val="000000"/>
                <w:kern w:val="0"/>
                <w:lang w:bidi="ar"/>
              </w:rPr>
            </w:pP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C2B4D">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监测对象风险预警准确率</w:t>
            </w:r>
          </w:p>
        </w:tc>
        <w:tc>
          <w:tcPr>
            <w:tcW w:w="1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6D54F8">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≥80%</w:t>
            </w:r>
          </w:p>
        </w:tc>
      </w:tr>
      <w:tr w14:paraId="7293D658">
        <w:tblPrEx>
          <w:tblCellMar>
            <w:top w:w="0" w:type="dxa"/>
            <w:left w:w="108" w:type="dxa"/>
            <w:bottom w:w="0" w:type="dxa"/>
            <w:right w:w="108" w:type="dxa"/>
          </w:tblCellMar>
        </w:tblPrEx>
        <w:trPr>
          <w:trHeight w:val="56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B9B1E">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BD31F">
            <w:pPr>
              <w:widowControl/>
              <w:spacing w:line="240" w:lineRule="auto"/>
              <w:ind w:firstLine="0" w:firstLineChars="0"/>
              <w:jc w:val="left"/>
              <w:textAlignment w:val="center"/>
              <w:rPr>
                <w:rFonts w:hint="eastAsia" w:cs="宋体"/>
                <w:color w:val="000000"/>
                <w:kern w:val="0"/>
                <w:lang w:bidi="ar"/>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B37F9">
            <w:pPr>
              <w:widowControl/>
              <w:spacing w:line="240" w:lineRule="auto"/>
              <w:ind w:firstLine="0" w:firstLineChars="0"/>
              <w:jc w:val="left"/>
              <w:textAlignment w:val="center"/>
              <w:rPr>
                <w:rFonts w:hint="eastAsia" w:cs="宋体"/>
                <w:color w:val="000000"/>
                <w:kern w:val="0"/>
                <w:lang w:bidi="ar"/>
              </w:rPr>
            </w:pP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9E638">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监测对象风险预警完整率</w:t>
            </w:r>
          </w:p>
        </w:tc>
        <w:tc>
          <w:tcPr>
            <w:tcW w:w="1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1CB7CE">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≥80%</w:t>
            </w:r>
          </w:p>
        </w:tc>
      </w:tr>
      <w:tr w14:paraId="337668EC">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9F108">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EB88B">
            <w:pPr>
              <w:widowControl/>
              <w:spacing w:line="240" w:lineRule="auto"/>
              <w:ind w:firstLine="0" w:firstLineChars="0"/>
              <w:jc w:val="left"/>
              <w:textAlignment w:val="center"/>
              <w:rPr>
                <w:rFonts w:hint="eastAsia" w:cs="宋体"/>
                <w:color w:val="000000"/>
                <w:kern w:val="0"/>
                <w:lang w:bidi="ar"/>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AA67D">
            <w:pPr>
              <w:widowControl/>
              <w:spacing w:line="240" w:lineRule="auto"/>
              <w:ind w:firstLine="0" w:firstLineChars="0"/>
              <w:jc w:val="left"/>
              <w:textAlignment w:val="center"/>
              <w:rPr>
                <w:rFonts w:hint="eastAsia" w:cs="宋体"/>
                <w:color w:val="000000"/>
                <w:kern w:val="0"/>
                <w:lang w:bidi="ar"/>
              </w:rPr>
            </w:pP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BE188">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监测监管月均做出辅助决策数量</w:t>
            </w:r>
          </w:p>
        </w:tc>
        <w:tc>
          <w:tcPr>
            <w:tcW w:w="1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A7DF2A">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≥5个/月</w:t>
            </w:r>
          </w:p>
        </w:tc>
      </w:tr>
      <w:tr w14:paraId="145E3423">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46098F">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D5043">
            <w:pPr>
              <w:widowControl/>
              <w:spacing w:line="240" w:lineRule="auto"/>
              <w:ind w:firstLine="0" w:firstLineChars="0"/>
              <w:jc w:val="left"/>
              <w:textAlignment w:val="center"/>
              <w:rPr>
                <w:rFonts w:hint="eastAsia" w:cs="宋体"/>
                <w:color w:val="000000"/>
                <w:kern w:val="0"/>
                <w:lang w:bidi="ar"/>
              </w:rPr>
            </w:pP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ACC452">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行政审批系统水平</w:t>
            </w: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61D52">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行政审批流程优化个数</w:t>
            </w:r>
          </w:p>
        </w:tc>
        <w:tc>
          <w:tcPr>
            <w:tcW w:w="1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A017C9">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≥1个</w:t>
            </w:r>
          </w:p>
        </w:tc>
      </w:tr>
      <w:tr w14:paraId="04036515">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D11C2">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E4750">
            <w:pPr>
              <w:widowControl/>
              <w:spacing w:line="240" w:lineRule="auto"/>
              <w:ind w:firstLine="0" w:firstLineChars="0"/>
              <w:jc w:val="left"/>
              <w:textAlignment w:val="center"/>
              <w:rPr>
                <w:rFonts w:hint="eastAsia" w:cs="宋体"/>
                <w:color w:val="000000"/>
                <w:kern w:val="0"/>
                <w:lang w:bidi="ar"/>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A88E7">
            <w:pPr>
              <w:widowControl/>
              <w:spacing w:line="240" w:lineRule="auto"/>
              <w:ind w:firstLine="0" w:firstLineChars="0"/>
              <w:jc w:val="left"/>
              <w:textAlignment w:val="center"/>
              <w:rPr>
                <w:rFonts w:hint="eastAsia" w:cs="宋体"/>
                <w:color w:val="000000"/>
                <w:kern w:val="0"/>
                <w:lang w:bidi="ar"/>
              </w:rPr>
            </w:pP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FACD1">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项目审批办件减时限</w:t>
            </w:r>
          </w:p>
        </w:tc>
        <w:tc>
          <w:tcPr>
            <w:tcW w:w="1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FD4BA7">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≥50%</w:t>
            </w:r>
          </w:p>
        </w:tc>
      </w:tr>
      <w:tr w14:paraId="69B09E62">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8644D">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400D6">
            <w:pPr>
              <w:widowControl/>
              <w:spacing w:line="240" w:lineRule="auto"/>
              <w:ind w:firstLine="0" w:firstLineChars="0"/>
              <w:jc w:val="left"/>
              <w:textAlignment w:val="center"/>
              <w:rPr>
                <w:rFonts w:hint="eastAsia" w:cs="宋体"/>
                <w:color w:val="000000"/>
                <w:kern w:val="0"/>
                <w:lang w:bidi="ar"/>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C98B5">
            <w:pPr>
              <w:widowControl/>
              <w:spacing w:line="240" w:lineRule="auto"/>
              <w:ind w:firstLine="0" w:firstLineChars="0"/>
              <w:jc w:val="left"/>
              <w:textAlignment w:val="center"/>
              <w:rPr>
                <w:rFonts w:hint="eastAsia" w:cs="宋体"/>
                <w:color w:val="000000"/>
                <w:kern w:val="0"/>
                <w:lang w:bidi="ar"/>
              </w:rPr>
            </w:pP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1D5F8">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实际办件网办比例</w:t>
            </w:r>
          </w:p>
        </w:tc>
        <w:tc>
          <w:tcPr>
            <w:tcW w:w="1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9CB262">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≥80%</w:t>
            </w:r>
          </w:p>
        </w:tc>
      </w:tr>
      <w:tr w14:paraId="18840379">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35A58">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35678">
            <w:pPr>
              <w:widowControl/>
              <w:spacing w:line="240" w:lineRule="auto"/>
              <w:ind w:firstLine="0" w:firstLineChars="0"/>
              <w:jc w:val="left"/>
              <w:textAlignment w:val="center"/>
              <w:rPr>
                <w:rFonts w:hint="eastAsia" w:cs="宋体"/>
                <w:color w:val="000000"/>
                <w:kern w:val="0"/>
                <w:lang w:bidi="ar"/>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111D83">
            <w:pPr>
              <w:widowControl/>
              <w:spacing w:line="240" w:lineRule="auto"/>
              <w:ind w:firstLine="0" w:firstLineChars="0"/>
              <w:jc w:val="left"/>
              <w:textAlignment w:val="center"/>
              <w:rPr>
                <w:rFonts w:hint="eastAsia" w:cs="宋体"/>
                <w:color w:val="000000"/>
                <w:kern w:val="0"/>
                <w:lang w:bidi="ar"/>
              </w:rPr>
            </w:pP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66F75">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月均公众投诉数</w:t>
            </w:r>
          </w:p>
        </w:tc>
        <w:tc>
          <w:tcPr>
            <w:tcW w:w="1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E58F62">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≤1个/月</w:t>
            </w:r>
          </w:p>
        </w:tc>
      </w:tr>
      <w:tr w14:paraId="0E9EA45B">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A93AB">
            <w:pPr>
              <w:widowControl/>
              <w:spacing w:line="240" w:lineRule="auto"/>
              <w:ind w:firstLine="0" w:firstLineChars="0"/>
              <w:jc w:val="left"/>
              <w:textAlignment w:val="center"/>
              <w:rPr>
                <w:rFonts w:hint="eastAsia" w:cs="宋体"/>
                <w:color w:val="000000"/>
                <w:kern w:val="0"/>
                <w:lang w:bidi="ar"/>
              </w:rPr>
            </w:pP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987047">
            <w:pPr>
              <w:widowControl/>
              <w:spacing w:line="240" w:lineRule="auto"/>
              <w:ind w:firstLine="0" w:firstLineChars="0"/>
              <w:jc w:val="left"/>
              <w:textAlignment w:val="center"/>
              <w:rPr>
                <w:rFonts w:hint="eastAsia" w:cs="宋体"/>
                <w:color w:val="000000"/>
                <w:kern w:val="0"/>
                <w:lang w:bidi="ar"/>
              </w:rPr>
            </w:pPr>
          </w:p>
        </w:tc>
        <w:tc>
          <w:tcPr>
            <w:tcW w:w="1590" w:type="dxa"/>
            <w:vMerge w:val="restart"/>
            <w:tcBorders>
              <w:top w:val="single" w:color="000000" w:sz="4" w:space="0"/>
              <w:left w:val="single" w:color="000000" w:sz="4" w:space="0"/>
              <w:bottom w:val="nil"/>
              <w:right w:val="single" w:color="000000" w:sz="4" w:space="0"/>
            </w:tcBorders>
            <w:shd w:val="clear" w:color="auto" w:fill="auto"/>
            <w:vAlign w:val="center"/>
          </w:tcPr>
          <w:p w14:paraId="4DF56516">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产出质量</w:t>
            </w: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23E24">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每周连续运行和服务小时数</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B1EFD">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168小时</w:t>
            </w:r>
          </w:p>
        </w:tc>
      </w:tr>
      <w:tr w14:paraId="116E8BC0">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59BA6">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9C0451">
            <w:pPr>
              <w:widowControl/>
              <w:spacing w:line="240" w:lineRule="auto"/>
              <w:ind w:firstLine="0" w:firstLineChars="0"/>
              <w:jc w:val="left"/>
              <w:textAlignment w:val="center"/>
              <w:rPr>
                <w:rFonts w:hint="eastAsia" w:cs="宋体"/>
                <w:color w:val="000000"/>
                <w:kern w:val="0"/>
                <w:lang w:bidi="ar"/>
              </w:rPr>
            </w:pPr>
          </w:p>
        </w:tc>
        <w:tc>
          <w:tcPr>
            <w:tcW w:w="1590" w:type="dxa"/>
            <w:vMerge w:val="continue"/>
            <w:tcBorders>
              <w:top w:val="single" w:color="000000" w:sz="4" w:space="0"/>
              <w:left w:val="single" w:color="000000" w:sz="4" w:space="0"/>
              <w:bottom w:val="nil"/>
              <w:right w:val="single" w:color="000000" w:sz="4" w:space="0"/>
            </w:tcBorders>
            <w:shd w:val="clear" w:color="auto" w:fill="auto"/>
            <w:vAlign w:val="center"/>
          </w:tcPr>
          <w:p w14:paraId="3CB27337">
            <w:pPr>
              <w:widowControl/>
              <w:spacing w:line="240" w:lineRule="auto"/>
              <w:ind w:firstLine="0" w:firstLineChars="0"/>
              <w:jc w:val="left"/>
              <w:textAlignment w:val="center"/>
              <w:rPr>
                <w:rFonts w:hint="eastAsia" w:cs="宋体"/>
                <w:color w:val="000000"/>
                <w:kern w:val="0"/>
                <w:lang w:bidi="ar"/>
              </w:rPr>
            </w:pP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94DDB">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平均故障修复时间</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B1CBE">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＜30分钟</w:t>
            </w:r>
          </w:p>
        </w:tc>
      </w:tr>
      <w:tr w14:paraId="23416344">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317DD">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48C595">
            <w:pPr>
              <w:widowControl/>
              <w:spacing w:line="240" w:lineRule="auto"/>
              <w:ind w:firstLine="0" w:firstLineChars="0"/>
              <w:jc w:val="left"/>
              <w:textAlignment w:val="center"/>
              <w:rPr>
                <w:rFonts w:hint="eastAsia" w:cs="宋体"/>
                <w:color w:val="000000"/>
                <w:kern w:val="0"/>
                <w:lang w:bidi="ar"/>
              </w:rPr>
            </w:pPr>
          </w:p>
        </w:tc>
        <w:tc>
          <w:tcPr>
            <w:tcW w:w="1590" w:type="dxa"/>
            <w:vMerge w:val="continue"/>
            <w:tcBorders>
              <w:top w:val="single" w:color="000000" w:sz="4" w:space="0"/>
              <w:left w:val="single" w:color="000000" w:sz="4" w:space="0"/>
              <w:bottom w:val="nil"/>
              <w:right w:val="single" w:color="000000" w:sz="4" w:space="0"/>
            </w:tcBorders>
            <w:shd w:val="clear" w:color="auto" w:fill="auto"/>
            <w:vAlign w:val="center"/>
          </w:tcPr>
          <w:p w14:paraId="59D0A1E7">
            <w:pPr>
              <w:widowControl/>
              <w:spacing w:line="240" w:lineRule="auto"/>
              <w:ind w:firstLine="0" w:firstLineChars="0"/>
              <w:jc w:val="left"/>
              <w:textAlignment w:val="center"/>
              <w:rPr>
                <w:rFonts w:hint="eastAsia" w:cs="宋体"/>
                <w:color w:val="000000"/>
                <w:kern w:val="0"/>
                <w:lang w:bidi="ar"/>
              </w:rPr>
            </w:pP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461AC">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数据录入操作等待时间</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81E37">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≤0.5秒</w:t>
            </w:r>
          </w:p>
        </w:tc>
      </w:tr>
      <w:tr w14:paraId="77BEB45D">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AD990">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C68702">
            <w:pPr>
              <w:widowControl/>
              <w:spacing w:line="240" w:lineRule="auto"/>
              <w:ind w:firstLine="0" w:firstLineChars="0"/>
              <w:jc w:val="left"/>
              <w:textAlignment w:val="center"/>
              <w:rPr>
                <w:rFonts w:hint="eastAsia" w:cs="宋体"/>
                <w:color w:val="000000"/>
                <w:kern w:val="0"/>
                <w:lang w:bidi="ar"/>
              </w:rPr>
            </w:pPr>
          </w:p>
        </w:tc>
        <w:tc>
          <w:tcPr>
            <w:tcW w:w="1590" w:type="dxa"/>
            <w:vMerge w:val="continue"/>
            <w:tcBorders>
              <w:top w:val="single" w:color="000000" w:sz="4" w:space="0"/>
              <w:left w:val="single" w:color="000000" w:sz="4" w:space="0"/>
              <w:bottom w:val="nil"/>
              <w:right w:val="single" w:color="000000" w:sz="4" w:space="0"/>
            </w:tcBorders>
            <w:shd w:val="clear" w:color="auto" w:fill="auto"/>
            <w:vAlign w:val="center"/>
          </w:tcPr>
          <w:p w14:paraId="267A2889">
            <w:pPr>
              <w:widowControl/>
              <w:spacing w:line="240" w:lineRule="auto"/>
              <w:ind w:firstLine="0" w:firstLineChars="0"/>
              <w:jc w:val="left"/>
              <w:textAlignment w:val="center"/>
              <w:rPr>
                <w:rFonts w:hint="eastAsia" w:cs="宋体"/>
                <w:color w:val="000000"/>
                <w:kern w:val="0"/>
                <w:lang w:bidi="ar"/>
              </w:rPr>
            </w:pP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5ED37">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日常操作显示响应时间</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7A708">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≤2秒</w:t>
            </w:r>
          </w:p>
        </w:tc>
      </w:tr>
      <w:tr w14:paraId="02AEA9B0">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E2ED8">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EFA79">
            <w:pPr>
              <w:widowControl/>
              <w:spacing w:line="240" w:lineRule="auto"/>
              <w:ind w:firstLine="0" w:firstLineChars="0"/>
              <w:jc w:val="left"/>
              <w:textAlignment w:val="center"/>
              <w:rPr>
                <w:rFonts w:hint="eastAsia" w:cs="宋体"/>
                <w:color w:val="000000"/>
                <w:kern w:val="0"/>
                <w:lang w:bidi="ar"/>
              </w:rPr>
            </w:pPr>
          </w:p>
        </w:tc>
        <w:tc>
          <w:tcPr>
            <w:tcW w:w="1590" w:type="dxa"/>
            <w:vMerge w:val="continue"/>
            <w:tcBorders>
              <w:top w:val="single" w:color="000000" w:sz="4" w:space="0"/>
              <w:left w:val="single" w:color="000000" w:sz="4" w:space="0"/>
              <w:bottom w:val="nil"/>
              <w:right w:val="single" w:color="000000" w:sz="4" w:space="0"/>
            </w:tcBorders>
            <w:shd w:val="clear" w:color="auto" w:fill="auto"/>
            <w:vAlign w:val="center"/>
          </w:tcPr>
          <w:p w14:paraId="68069D45">
            <w:pPr>
              <w:widowControl/>
              <w:spacing w:line="240" w:lineRule="auto"/>
              <w:ind w:firstLine="0" w:firstLineChars="0"/>
              <w:jc w:val="left"/>
              <w:textAlignment w:val="center"/>
              <w:rPr>
                <w:rFonts w:hint="eastAsia" w:cs="宋体"/>
                <w:color w:val="000000"/>
                <w:kern w:val="0"/>
                <w:lang w:bidi="ar"/>
              </w:rPr>
            </w:pP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83D7A">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日常查询、统计和分析操作响应时间</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631D2">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≤5秒</w:t>
            </w:r>
          </w:p>
        </w:tc>
      </w:tr>
      <w:tr w14:paraId="380D95F1">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F2EE80">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D5A05">
            <w:pPr>
              <w:widowControl/>
              <w:spacing w:line="240" w:lineRule="auto"/>
              <w:ind w:firstLine="0" w:firstLineChars="0"/>
              <w:jc w:val="left"/>
              <w:textAlignment w:val="center"/>
              <w:rPr>
                <w:rFonts w:hint="eastAsia" w:cs="宋体"/>
                <w:color w:val="000000"/>
                <w:kern w:val="0"/>
                <w:lang w:bidi="ar"/>
              </w:rPr>
            </w:pPr>
          </w:p>
        </w:tc>
        <w:tc>
          <w:tcPr>
            <w:tcW w:w="1590" w:type="dxa"/>
            <w:vMerge w:val="continue"/>
            <w:tcBorders>
              <w:top w:val="single" w:color="000000" w:sz="4" w:space="0"/>
              <w:left w:val="single" w:color="000000" w:sz="4" w:space="0"/>
              <w:bottom w:val="nil"/>
              <w:right w:val="single" w:color="000000" w:sz="4" w:space="0"/>
            </w:tcBorders>
            <w:shd w:val="clear" w:color="auto" w:fill="auto"/>
            <w:vAlign w:val="center"/>
          </w:tcPr>
          <w:p w14:paraId="22D25324">
            <w:pPr>
              <w:widowControl/>
              <w:spacing w:line="240" w:lineRule="auto"/>
              <w:ind w:firstLine="0" w:firstLineChars="0"/>
              <w:jc w:val="left"/>
              <w:textAlignment w:val="center"/>
              <w:rPr>
                <w:rFonts w:hint="eastAsia" w:cs="宋体"/>
                <w:color w:val="000000"/>
                <w:kern w:val="0"/>
                <w:lang w:bidi="ar"/>
              </w:rPr>
            </w:pP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8BEDD">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复杂报表、图表显示响应时间</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B1FCD">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≤10秒</w:t>
            </w:r>
          </w:p>
        </w:tc>
      </w:tr>
      <w:tr w14:paraId="478E1121">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F292D">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B450C">
            <w:pPr>
              <w:widowControl/>
              <w:spacing w:line="240" w:lineRule="auto"/>
              <w:ind w:firstLine="0" w:firstLineChars="0"/>
              <w:jc w:val="left"/>
              <w:textAlignment w:val="center"/>
              <w:rPr>
                <w:rFonts w:hint="eastAsia" w:cs="宋体"/>
                <w:color w:val="000000"/>
                <w:kern w:val="0"/>
                <w:lang w:bidi="ar"/>
              </w:rPr>
            </w:pP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D4693D">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社会效益</w:t>
            </w: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2AACA">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覆盖年新建工程项目数</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0FC74">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≥7000个</w:t>
            </w:r>
          </w:p>
        </w:tc>
      </w:tr>
      <w:tr w14:paraId="43EDBD36">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FBC68">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7364DA">
            <w:pPr>
              <w:widowControl/>
              <w:spacing w:line="240" w:lineRule="auto"/>
              <w:ind w:firstLine="0" w:firstLineChars="0"/>
              <w:jc w:val="left"/>
              <w:textAlignment w:val="center"/>
              <w:rPr>
                <w:rFonts w:hint="eastAsia" w:cs="宋体"/>
                <w:color w:val="000000"/>
                <w:kern w:val="0"/>
                <w:lang w:bidi="ar"/>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767582">
            <w:pPr>
              <w:widowControl/>
              <w:spacing w:line="240" w:lineRule="auto"/>
              <w:ind w:firstLine="0" w:firstLineChars="0"/>
              <w:jc w:val="left"/>
              <w:textAlignment w:val="center"/>
              <w:rPr>
                <w:rFonts w:hint="eastAsia" w:cs="宋体"/>
                <w:color w:val="000000"/>
                <w:kern w:val="0"/>
                <w:lang w:bidi="ar"/>
              </w:rPr>
            </w:pP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5E97C">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工程监督标准库纳入标准文件数</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D2F16">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≥29000个</w:t>
            </w:r>
          </w:p>
        </w:tc>
      </w:tr>
      <w:tr w14:paraId="4DFC1684">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50F9AE">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DC254">
            <w:pPr>
              <w:widowControl/>
              <w:spacing w:line="240" w:lineRule="auto"/>
              <w:ind w:firstLine="0" w:firstLineChars="0"/>
              <w:jc w:val="left"/>
              <w:textAlignment w:val="center"/>
              <w:rPr>
                <w:rFonts w:hint="eastAsia" w:cs="宋体"/>
                <w:color w:val="000000"/>
                <w:kern w:val="0"/>
                <w:lang w:bidi="ar"/>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5ECED9">
            <w:pPr>
              <w:widowControl/>
              <w:spacing w:line="240" w:lineRule="auto"/>
              <w:ind w:firstLine="0" w:firstLineChars="0"/>
              <w:jc w:val="left"/>
              <w:textAlignment w:val="center"/>
              <w:rPr>
                <w:rFonts w:hint="eastAsia" w:cs="宋体"/>
                <w:color w:val="000000"/>
                <w:kern w:val="0"/>
                <w:lang w:bidi="ar"/>
              </w:rPr>
            </w:pP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505FB">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年累计上报监理月报数</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B7A14">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≥45000份</w:t>
            </w:r>
          </w:p>
        </w:tc>
      </w:tr>
      <w:tr w14:paraId="3791D2D3">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ECE6F">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FAB068">
            <w:pPr>
              <w:widowControl/>
              <w:spacing w:line="240" w:lineRule="auto"/>
              <w:ind w:firstLine="0" w:firstLineChars="0"/>
              <w:jc w:val="left"/>
              <w:textAlignment w:val="center"/>
              <w:rPr>
                <w:rFonts w:hint="eastAsia" w:cs="宋体"/>
                <w:color w:val="000000"/>
                <w:kern w:val="0"/>
                <w:lang w:bidi="ar"/>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200B6">
            <w:pPr>
              <w:widowControl/>
              <w:spacing w:line="240" w:lineRule="auto"/>
              <w:ind w:firstLine="0" w:firstLineChars="0"/>
              <w:jc w:val="left"/>
              <w:textAlignment w:val="center"/>
              <w:rPr>
                <w:rFonts w:hint="eastAsia" w:cs="宋体"/>
                <w:color w:val="000000"/>
                <w:kern w:val="0"/>
                <w:lang w:bidi="ar"/>
              </w:rPr>
            </w:pP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EEE04">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本市在用建筑机械设备登记数</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93051">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≥8000台</w:t>
            </w:r>
          </w:p>
        </w:tc>
      </w:tr>
      <w:tr w14:paraId="28A592EB">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0CEF1F">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06EC98">
            <w:pPr>
              <w:widowControl/>
              <w:spacing w:line="240" w:lineRule="auto"/>
              <w:ind w:firstLine="0" w:firstLineChars="0"/>
              <w:jc w:val="left"/>
              <w:textAlignment w:val="center"/>
              <w:rPr>
                <w:rFonts w:hint="eastAsia" w:cs="宋体"/>
                <w:color w:val="000000"/>
                <w:kern w:val="0"/>
                <w:lang w:bidi="ar"/>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224CA">
            <w:pPr>
              <w:widowControl/>
              <w:spacing w:line="240" w:lineRule="auto"/>
              <w:ind w:firstLine="0" w:firstLineChars="0"/>
              <w:jc w:val="left"/>
              <w:textAlignment w:val="center"/>
              <w:rPr>
                <w:rFonts w:hint="eastAsia" w:cs="宋体"/>
                <w:color w:val="000000"/>
                <w:kern w:val="0"/>
                <w:lang w:bidi="ar"/>
              </w:rPr>
            </w:pP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13CE4">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本市受理登记建设单位数</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9405D">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≥10000家</w:t>
            </w:r>
          </w:p>
        </w:tc>
      </w:tr>
      <w:tr w14:paraId="0EA998E8">
        <w:tblPrEx>
          <w:tblCellMar>
            <w:top w:w="0" w:type="dxa"/>
            <w:left w:w="108" w:type="dxa"/>
            <w:bottom w:w="0" w:type="dxa"/>
            <w:right w:w="108" w:type="dxa"/>
          </w:tblCellMar>
        </w:tblPrEx>
        <w:trPr>
          <w:trHeight w:val="300" w:hRule="atLeast"/>
          <w:jc w:val="center"/>
        </w:trPr>
        <w:tc>
          <w:tcPr>
            <w:tcW w:w="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C219B0">
            <w:pPr>
              <w:widowControl/>
              <w:spacing w:line="240" w:lineRule="auto"/>
              <w:ind w:firstLine="0" w:firstLineChars="0"/>
              <w:jc w:val="left"/>
              <w:textAlignment w:val="center"/>
              <w:rPr>
                <w:rFonts w:hint="eastAsia" w:cs="宋体"/>
                <w:color w:val="000000"/>
                <w:kern w:val="0"/>
                <w:lang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ED8D1">
            <w:pPr>
              <w:widowControl/>
              <w:spacing w:line="240" w:lineRule="auto"/>
              <w:ind w:firstLine="0" w:firstLineChars="0"/>
              <w:jc w:val="left"/>
              <w:textAlignment w:val="center"/>
              <w:rPr>
                <w:rFonts w:hint="eastAsia" w:cs="宋体"/>
                <w:color w:val="000000"/>
                <w:kern w:val="0"/>
                <w:lang w:bidi="ar"/>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559187">
            <w:pPr>
              <w:widowControl/>
              <w:spacing w:line="240" w:lineRule="auto"/>
              <w:ind w:firstLine="0" w:firstLineChars="0"/>
              <w:jc w:val="left"/>
              <w:textAlignment w:val="center"/>
              <w:rPr>
                <w:rFonts w:hint="eastAsia" w:cs="宋体"/>
                <w:color w:val="000000"/>
                <w:kern w:val="0"/>
                <w:lang w:bidi="ar"/>
              </w:rPr>
            </w:pPr>
          </w:p>
        </w:tc>
        <w:tc>
          <w:tcPr>
            <w:tcW w:w="3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990E4">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本市受理登记监理单位数</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5A66E">
            <w:pPr>
              <w:widowControl/>
              <w:spacing w:line="240" w:lineRule="auto"/>
              <w:ind w:firstLine="0" w:firstLineChars="0"/>
              <w:jc w:val="left"/>
              <w:textAlignment w:val="center"/>
              <w:rPr>
                <w:rFonts w:hint="eastAsia" w:cs="宋体"/>
                <w:color w:val="000000"/>
                <w:kern w:val="0"/>
                <w:lang w:bidi="ar"/>
              </w:rPr>
            </w:pPr>
            <w:r>
              <w:rPr>
                <w:rFonts w:hint="eastAsia" w:cs="宋体"/>
                <w:color w:val="000000"/>
                <w:kern w:val="0"/>
                <w:lang w:bidi="ar"/>
              </w:rPr>
              <w:t>≥8000家</w:t>
            </w:r>
          </w:p>
        </w:tc>
      </w:tr>
    </w:tbl>
    <w:p w14:paraId="1A9D8839">
      <w:pPr>
        <w:ind w:firstLine="482"/>
        <w:rPr>
          <w:rFonts w:hint="eastAsia"/>
          <w:b/>
        </w:rPr>
      </w:pPr>
    </w:p>
    <w:p w14:paraId="4BBCD627">
      <w:pPr>
        <w:pStyle w:val="2"/>
        <w:rPr>
          <w:rFonts w:hint="eastAsia"/>
        </w:rPr>
      </w:pPr>
      <w:bookmarkStart w:id="12" w:name="_Toc47533288"/>
      <w:bookmarkEnd w:id="12"/>
      <w:bookmarkStart w:id="13" w:name="_Toc47536304"/>
      <w:bookmarkEnd w:id="13"/>
      <w:bookmarkStart w:id="14" w:name="_Toc47532923"/>
      <w:bookmarkEnd w:id="14"/>
      <w:bookmarkStart w:id="15" w:name="_Toc47537166"/>
      <w:bookmarkEnd w:id="15"/>
      <w:bookmarkStart w:id="16" w:name="_Toc47539102"/>
      <w:bookmarkEnd w:id="16"/>
      <w:bookmarkStart w:id="17" w:name="_Toc47536676"/>
      <w:bookmarkEnd w:id="17"/>
      <w:r>
        <w:rPr>
          <w:rFonts w:hint="eastAsia"/>
        </w:rPr>
        <w:t>项目建设内容</w:t>
      </w:r>
    </w:p>
    <w:p w14:paraId="21205A79">
      <w:pPr>
        <w:pStyle w:val="3"/>
        <w:ind w:left="0"/>
        <w:rPr>
          <w:rFonts w:hint="eastAsia"/>
          <w:sz w:val="28"/>
          <w:szCs w:val="28"/>
        </w:rPr>
      </w:pPr>
      <w:bookmarkStart w:id="18" w:name="_Toc21664"/>
      <w:r>
        <w:rPr>
          <w:rFonts w:hint="eastAsia"/>
          <w:sz w:val="28"/>
          <w:szCs w:val="28"/>
        </w:rPr>
        <w:t>项目总体设计</w:t>
      </w:r>
      <w:bookmarkEnd w:id="18"/>
    </w:p>
    <w:p w14:paraId="713BA554">
      <w:pPr>
        <w:pStyle w:val="4"/>
        <w:ind w:left="420" w:hanging="420"/>
        <w:rPr>
          <w:rFonts w:hint="eastAsia"/>
        </w:rPr>
      </w:pPr>
      <w:bookmarkStart w:id="19" w:name="_Toc25367"/>
      <w:r>
        <w:rPr>
          <w:rFonts w:hint="eastAsia"/>
        </w:rPr>
        <w:t>技术路线</w:t>
      </w:r>
      <w:bookmarkEnd w:id="19"/>
    </w:p>
    <w:p w14:paraId="373E307D">
      <w:pPr>
        <w:rPr>
          <w:rFonts w:hint="eastAsia"/>
        </w:rPr>
      </w:pPr>
      <w:r>
        <w:rPr>
          <w:rFonts w:hint="eastAsia"/>
        </w:rPr>
        <w:t>应用系统基于B/S模式进行设计与开发。</w:t>
      </w:r>
    </w:p>
    <w:p w14:paraId="118B7CFD">
      <w:pPr>
        <w:rPr>
          <w:rFonts w:hint="eastAsia"/>
        </w:rPr>
      </w:pPr>
      <w:r>
        <w:rPr>
          <w:rFonts w:hint="eastAsia"/>
        </w:rPr>
        <w:t>应用系统应当采用主流的前后端分离架构。前端的页面应当适配主流浏览器，并兼容PC、手机和平板等不同设备的浏览的需求。前端、后端的开发应当使用能提高开发效率的前后端框架。后端实现的数据交换接口应当采用主流的XML、JSON格式。</w:t>
      </w:r>
    </w:p>
    <w:p w14:paraId="1F763E73">
      <w:pPr>
        <w:rPr>
          <w:rFonts w:hint="eastAsia"/>
        </w:rPr>
      </w:pPr>
      <w:r>
        <w:rPr>
          <w:rFonts w:hint="eastAsia"/>
        </w:rPr>
        <w:t>数据库采用多节点的存储计算分离的分布式架构集群。多节点具备高可用性，支持水平扩展。支持分布式事务。支持混合负载HTAP能力,在高并发、事务性请求的同时，能对分析型的复杂查询提供良好的支持。满足多节点SQL分布执行。</w:t>
      </w:r>
    </w:p>
    <w:p w14:paraId="13B251F5">
      <w:pPr>
        <w:rPr>
          <w:rFonts w:hint="eastAsia"/>
        </w:rPr>
      </w:pPr>
      <w:r>
        <w:rPr>
          <w:rFonts w:hint="eastAsia"/>
        </w:rPr>
        <w:t>在招标方提供的电子政务云环境中，依托已有的云资源，完成系统部署。</w:t>
      </w:r>
    </w:p>
    <w:p w14:paraId="23B96CCD">
      <w:pPr>
        <w:rPr>
          <w:rFonts w:hint="eastAsia"/>
        </w:rPr>
      </w:pPr>
      <w:r>
        <w:rPr>
          <w:rFonts w:hint="eastAsia"/>
        </w:rPr>
        <w:t>对本项目所涉及的操作系统、数据库、中间件等系统软件集成服务，提供原厂服务，保障上海市建设市场管理信息平台的正常运行。</w:t>
      </w:r>
    </w:p>
    <w:p w14:paraId="619850EC">
      <w:r>
        <w:rPr>
          <w:rFonts w:hint="eastAsia"/>
        </w:rPr>
        <w:t>功能模块开发应使用统一的开发模式或模板，建立适合本项目要求的低代码引擎、工作流引擎、规则引擎等效率组件和工具，充分应用引擎提升代码生成效率和质量。</w:t>
      </w:r>
    </w:p>
    <w:p w14:paraId="4B0F27C6">
      <w:pPr>
        <w:pStyle w:val="4"/>
        <w:ind w:left="420" w:hanging="420"/>
        <w:rPr>
          <w:rFonts w:hint="eastAsia"/>
        </w:rPr>
      </w:pPr>
      <w:r>
        <w:rPr>
          <w:rFonts w:hint="eastAsia"/>
        </w:rPr>
        <w:t>功能实现</w:t>
      </w:r>
    </w:p>
    <w:p w14:paraId="475FC606">
      <w:pPr>
        <w:rPr>
          <w:rFonts w:hint="eastAsia"/>
        </w:rPr>
      </w:pPr>
      <w:r>
        <w:rPr>
          <w:rFonts w:hint="eastAsia"/>
        </w:rPr>
        <w:t>根据市大数据中心要求，做好系统数据库的管理规范化、数据的标准化、完成数据编目和数据上链工作；按照中心的统一管理要求，做好前期系统的运维工作，确保系统安全、稳定运行，确保网络和数据安全，满足业务部门需求。</w:t>
      </w:r>
    </w:p>
    <w:p w14:paraId="29F81BB7">
      <w:pPr>
        <w:pStyle w:val="4"/>
        <w:ind w:left="420" w:hanging="420"/>
        <w:rPr>
          <w:rFonts w:hint="eastAsia"/>
        </w:rPr>
      </w:pPr>
      <w:bookmarkStart w:id="20" w:name="_Toc4193"/>
      <w:r>
        <w:rPr>
          <w:rFonts w:hint="eastAsia"/>
        </w:rPr>
        <w:t>总体架构</w:t>
      </w:r>
      <w:bookmarkEnd w:id="20"/>
    </w:p>
    <w:p w14:paraId="24881D34">
      <w:pPr>
        <w:rPr>
          <w:rFonts w:hint="eastAsia" w:cs="宋体"/>
        </w:rPr>
      </w:pPr>
      <w:r>
        <w:rPr>
          <w:rFonts w:hint="eastAsia"/>
        </w:rPr>
        <w:t>本次项目将</w:t>
      </w:r>
      <w:r>
        <w:rPr>
          <w:rFonts w:hint="eastAsia" w:cs="宋体"/>
        </w:rPr>
        <w:t>基于“1+9+X”即一个基础平台、9大业务应用系统、互联X个外部相关行业数据库的整体架构，</w:t>
      </w:r>
      <w:r>
        <w:rPr>
          <w:rFonts w:hint="eastAsia"/>
        </w:rPr>
        <w:t>建设功能模块按照前期</w:t>
      </w:r>
      <w:r>
        <w:rPr>
          <w:rFonts w:hint="eastAsia" w:cs="宋体"/>
        </w:rPr>
        <w:t>“1+9+X”整体架构进行功能归并，具体内容归类到建设程序审批、电子招投标、工地现场监管、建设主体管理、建设管理统计分析5个子系统中。</w:t>
      </w:r>
    </w:p>
    <w:p w14:paraId="14D512AF">
      <w:pPr>
        <w:ind w:firstLine="420" w:firstLineChars="175"/>
        <w:rPr>
          <w:rFonts w:hint="eastAsia"/>
        </w:rPr>
      </w:pPr>
      <w:r>
        <w:rPr>
          <w:rFonts w:hint="eastAsia" w:asciiTheme="minorEastAsia" w:hAnsiTheme="minorEastAsia" w:eastAsiaTheme="minorEastAsia"/>
        </w:rPr>
        <w:t>本项目总体架构如下图：</w:t>
      </w:r>
    </w:p>
    <w:p w14:paraId="4D3A7F4B">
      <w:pPr>
        <w:pStyle w:val="137"/>
        <w:ind w:firstLine="0" w:firstLineChars="0"/>
        <w:rPr>
          <w:rFonts w:hint="eastAsia" w:asciiTheme="minorEastAsia" w:hAnsiTheme="minorEastAsia" w:eastAsiaTheme="minorEastAsia"/>
          <w:lang w:eastAsia="zh-CN"/>
        </w:rPr>
      </w:pPr>
      <w:r>
        <w:object>
          <v:shape id="_x0000_i1025" o:spt="75" type="#_x0000_t75" style="height:380.55pt;width:414.85pt;" o:ole="t" filled="f" o:preferrelative="t" stroked="f" coordsize="21600,21600">
            <v:path/>
            <v:fill on="f" focussize="0,0"/>
            <v:stroke on="f" joinstyle="miter"/>
            <v:imagedata r:id="rId14" o:title=""/>
            <o:lock v:ext="edit" aspectratio="t"/>
            <w10:wrap type="none"/>
            <w10:anchorlock/>
          </v:shape>
          <o:OLEObject Type="Embed" ProgID="Visio.Drawing.11" ShapeID="_x0000_i1025" DrawAspect="Content" ObjectID="_1468075725" r:id="rId13">
            <o:LockedField>false</o:LockedField>
          </o:OLEObject>
        </w:object>
      </w:r>
    </w:p>
    <w:p w14:paraId="16B54204">
      <w:pPr>
        <w:pStyle w:val="137"/>
        <w:ind w:firstLine="0" w:firstLineChars="0"/>
        <w:jc w:val="center"/>
        <w:rPr>
          <w:rFonts w:hint="eastAsia" w:asciiTheme="minorEastAsia" w:hAnsiTheme="minorEastAsia" w:eastAsiaTheme="minorEastAsia"/>
          <w:lang w:eastAsia="zh-CN"/>
        </w:rPr>
      </w:pPr>
      <w:r>
        <w:rPr>
          <w:rFonts w:hint="eastAsia" w:asciiTheme="minorEastAsia" w:hAnsiTheme="minorEastAsia" w:eastAsiaTheme="minorEastAsia"/>
          <w:lang w:eastAsia="zh-CN"/>
        </w:rPr>
        <w:t>总体架构图</w:t>
      </w:r>
    </w:p>
    <w:p w14:paraId="42B2595D">
      <w:pPr>
        <w:rPr>
          <w:rFonts w:hint="eastAsia" w:cs="仿宋"/>
          <w:bCs/>
        </w:rPr>
      </w:pPr>
      <w:r>
        <w:rPr>
          <w:rFonts w:hint="eastAsia" w:cs="仿宋"/>
          <w:bCs/>
        </w:rPr>
        <w:t>上海市建设市场管理信息平台建设主要包含一个基础平台，运行九个业务应用系统，互联X个外部相关行业数据库，即“1+9+X”。</w:t>
      </w:r>
    </w:p>
    <w:p w14:paraId="4F1B0A51">
      <w:pPr>
        <w:numPr>
          <w:ilvl w:val="0"/>
          <w:numId w:val="5"/>
        </w:numPr>
        <w:ind w:left="7" w:firstLine="468" w:firstLineChars="195"/>
        <w:rPr>
          <w:rFonts w:hint="eastAsia" w:cs="仿宋"/>
        </w:rPr>
      </w:pPr>
      <w:r>
        <w:rPr>
          <w:rFonts w:hint="eastAsia" w:cs="仿宋"/>
        </w:rPr>
        <w:t>一个基础平台是包括信息化基础设施、信息资源库、应用支撑体系三个部分，是支撑九大业务应用系统运行，实现与X个相关行业数据交换的基础性工作。</w:t>
      </w:r>
    </w:p>
    <w:p w14:paraId="5B67B4D8">
      <w:pPr>
        <w:numPr>
          <w:ilvl w:val="0"/>
          <w:numId w:val="5"/>
        </w:numPr>
        <w:ind w:left="7" w:firstLine="468" w:firstLineChars="195"/>
        <w:rPr>
          <w:rFonts w:hint="eastAsia" w:cs="仿宋"/>
        </w:rPr>
      </w:pPr>
      <w:r>
        <w:rPr>
          <w:rFonts w:hint="eastAsia" w:cs="仿宋"/>
        </w:rPr>
        <w:t>九大业务应用系统包括程序审批系统、电子招投标系统、工地现场监管系统、建设主体管理系统、建设市场监管系统、建筑节能系统、建设市场信息服务系统、建设管理统计分析系统、应用支撑平台。</w:t>
      </w:r>
    </w:p>
    <w:p w14:paraId="54A4ACA5">
      <w:pPr>
        <w:numPr>
          <w:ilvl w:val="0"/>
          <w:numId w:val="5"/>
        </w:numPr>
        <w:ind w:left="7" w:firstLine="468" w:firstLineChars="195"/>
        <w:rPr>
          <w:rFonts w:hint="eastAsia" w:cs="仿宋"/>
        </w:rPr>
      </w:pPr>
      <w:r>
        <w:rPr>
          <w:rFonts w:hint="eastAsia" w:cs="仿宋"/>
        </w:rPr>
        <w:t>“X”外部相关行业数据交换是指围绕对建设项目、从业企业和人员的管理要求，建立与相关管理部门数据交换规范标准和接口系统，实现管理部门之间的“互通互用、共建共享”，在建设市场管理信息平台产生数据基础上形成覆盖全市、权威的建设市场信息资源库。</w:t>
      </w:r>
    </w:p>
    <w:p w14:paraId="15314396">
      <w:pPr>
        <w:pStyle w:val="4"/>
        <w:ind w:left="420" w:hanging="420"/>
        <w:rPr>
          <w:rFonts w:hint="eastAsia"/>
        </w:rPr>
      </w:pPr>
      <w:bookmarkStart w:id="21" w:name="_Toc29348"/>
      <w:r>
        <w:rPr>
          <w:rFonts w:hint="eastAsia"/>
        </w:rPr>
        <w:t>部署环境</w:t>
      </w:r>
      <w:bookmarkEnd w:id="21"/>
    </w:p>
    <w:p w14:paraId="2A98C1AD">
      <w:pPr>
        <w:pStyle w:val="14"/>
        <w:numPr>
          <w:ilvl w:val="0"/>
          <w:numId w:val="0"/>
        </w:numPr>
        <w:spacing w:after="163"/>
        <w:ind w:firstLine="480" w:firstLineChars="200"/>
        <w:rPr>
          <w:rFonts w:hint="eastAsia"/>
        </w:rPr>
      </w:pPr>
      <w:bookmarkStart w:id="22" w:name="_Toc28902"/>
      <w:r>
        <w:rPr>
          <w:rFonts w:hint="eastAsia"/>
        </w:rPr>
        <w:t>系统部署在上海市电子政务云上，依托上海市电子政务云提供网络、设备，部署环境要求以政务云实际提供为准。</w:t>
      </w:r>
    </w:p>
    <w:p w14:paraId="0C4773ED">
      <w:pPr>
        <w:pStyle w:val="3"/>
        <w:ind w:left="0"/>
        <w:rPr>
          <w:rFonts w:hint="eastAsia"/>
          <w:sz w:val="28"/>
          <w:szCs w:val="28"/>
        </w:rPr>
      </w:pPr>
      <w:r>
        <w:rPr>
          <w:rFonts w:hint="eastAsia"/>
          <w:sz w:val="28"/>
          <w:szCs w:val="28"/>
        </w:rPr>
        <w:t>软件开发清单</w:t>
      </w:r>
      <w:bookmarkEnd w:id="22"/>
    </w:p>
    <w:tbl>
      <w:tblPr>
        <w:tblStyle w:val="36"/>
        <w:tblW w:w="9138" w:type="dxa"/>
        <w:jc w:val="center"/>
        <w:tblLayout w:type="autofit"/>
        <w:tblCellMar>
          <w:top w:w="0" w:type="dxa"/>
          <w:left w:w="108" w:type="dxa"/>
          <w:bottom w:w="0" w:type="dxa"/>
          <w:right w:w="108" w:type="dxa"/>
        </w:tblCellMar>
      </w:tblPr>
      <w:tblGrid>
        <w:gridCol w:w="490"/>
        <w:gridCol w:w="1690"/>
        <w:gridCol w:w="2635"/>
        <w:gridCol w:w="4323"/>
      </w:tblGrid>
      <w:tr w14:paraId="7F8C41E8">
        <w:tblPrEx>
          <w:tblCellMar>
            <w:top w:w="0" w:type="dxa"/>
            <w:left w:w="108" w:type="dxa"/>
            <w:bottom w:w="0" w:type="dxa"/>
            <w:right w:w="108" w:type="dxa"/>
          </w:tblCellMar>
        </w:tblPrEx>
        <w:trPr>
          <w:trHeight w:val="280" w:hRule="atLeast"/>
          <w:tblHeader/>
          <w:jc w:val="center"/>
        </w:trPr>
        <w:tc>
          <w:tcPr>
            <w:tcW w:w="490" w:type="dxa"/>
            <w:tcBorders>
              <w:top w:val="single" w:color="000000" w:sz="4" w:space="0"/>
              <w:left w:val="single" w:color="000000" w:sz="4" w:space="0"/>
              <w:bottom w:val="single" w:color="000000" w:sz="4" w:space="0"/>
              <w:right w:val="single" w:color="000000" w:sz="4" w:space="0"/>
            </w:tcBorders>
            <w:shd w:val="clear" w:color="auto" w:fill="DCE6F2" w:themeFill="accent1" w:themeFillTint="32"/>
            <w:vAlign w:val="center"/>
          </w:tcPr>
          <w:p w14:paraId="534B3E8A">
            <w:pPr>
              <w:widowControl/>
              <w:spacing w:line="240" w:lineRule="auto"/>
              <w:ind w:firstLine="0" w:firstLineChars="0"/>
              <w:jc w:val="center"/>
              <w:textAlignment w:val="center"/>
              <w:rPr>
                <w:rFonts w:hint="eastAsia" w:cs="宋体"/>
                <w:b/>
                <w:bCs/>
                <w:color w:val="000000"/>
              </w:rPr>
            </w:pPr>
            <w:r>
              <w:rPr>
                <w:rFonts w:hint="eastAsia" w:cs="宋体"/>
                <w:b/>
                <w:bCs/>
                <w:color w:val="000000"/>
                <w:kern w:val="0"/>
                <w:lang w:bidi="ar"/>
              </w:rPr>
              <w:t>序号</w:t>
            </w:r>
          </w:p>
        </w:tc>
        <w:tc>
          <w:tcPr>
            <w:tcW w:w="1690" w:type="dxa"/>
            <w:tcBorders>
              <w:top w:val="single" w:color="000000" w:sz="4" w:space="0"/>
              <w:left w:val="single" w:color="000000" w:sz="4" w:space="0"/>
              <w:bottom w:val="single" w:color="000000" w:sz="4" w:space="0"/>
              <w:right w:val="single" w:color="000000" w:sz="4" w:space="0"/>
            </w:tcBorders>
            <w:shd w:val="clear" w:color="auto" w:fill="DCE6F2" w:themeFill="accent1" w:themeFillTint="32"/>
            <w:vAlign w:val="center"/>
          </w:tcPr>
          <w:p w14:paraId="76261AD0">
            <w:pPr>
              <w:widowControl/>
              <w:spacing w:line="240" w:lineRule="auto"/>
              <w:ind w:firstLine="0" w:firstLineChars="0"/>
              <w:jc w:val="center"/>
              <w:textAlignment w:val="center"/>
              <w:rPr>
                <w:rFonts w:hint="eastAsia" w:cs="宋体"/>
                <w:b/>
                <w:bCs/>
                <w:color w:val="000000"/>
              </w:rPr>
            </w:pPr>
            <w:r>
              <w:rPr>
                <w:rFonts w:hint="eastAsia" w:cs="宋体"/>
                <w:b/>
                <w:bCs/>
                <w:color w:val="000000"/>
                <w:kern w:val="0"/>
                <w:lang w:bidi="ar"/>
              </w:rPr>
              <w:t>应用系统名称</w:t>
            </w:r>
          </w:p>
        </w:tc>
        <w:tc>
          <w:tcPr>
            <w:tcW w:w="2635" w:type="dxa"/>
            <w:tcBorders>
              <w:top w:val="single" w:color="000000" w:sz="4" w:space="0"/>
              <w:left w:val="single" w:color="000000" w:sz="4" w:space="0"/>
              <w:bottom w:val="single" w:color="000000" w:sz="4" w:space="0"/>
              <w:right w:val="single" w:color="000000" w:sz="4" w:space="0"/>
            </w:tcBorders>
            <w:shd w:val="clear" w:color="auto" w:fill="DCE6F2" w:themeFill="accent1" w:themeFillTint="32"/>
            <w:vAlign w:val="center"/>
          </w:tcPr>
          <w:p w14:paraId="50FB162E">
            <w:pPr>
              <w:widowControl/>
              <w:spacing w:line="240" w:lineRule="auto"/>
              <w:ind w:firstLine="0" w:firstLineChars="0"/>
              <w:jc w:val="center"/>
              <w:textAlignment w:val="center"/>
              <w:rPr>
                <w:rFonts w:hint="eastAsia" w:cs="宋体"/>
                <w:b/>
                <w:bCs/>
                <w:color w:val="000000"/>
              </w:rPr>
            </w:pPr>
            <w:r>
              <w:rPr>
                <w:rFonts w:hint="eastAsia" w:cs="宋体"/>
                <w:b/>
                <w:bCs/>
                <w:color w:val="000000"/>
                <w:kern w:val="0"/>
                <w:lang w:bidi="ar"/>
              </w:rPr>
              <w:t>功能名称</w:t>
            </w:r>
          </w:p>
        </w:tc>
        <w:tc>
          <w:tcPr>
            <w:tcW w:w="4323" w:type="dxa"/>
            <w:tcBorders>
              <w:top w:val="single" w:color="000000" w:sz="4" w:space="0"/>
              <w:left w:val="single" w:color="000000" w:sz="4" w:space="0"/>
              <w:bottom w:val="single" w:color="000000" w:sz="4" w:space="0"/>
              <w:right w:val="single" w:color="000000" w:sz="4" w:space="0"/>
            </w:tcBorders>
            <w:shd w:val="clear" w:color="auto" w:fill="DCE6F2" w:themeFill="accent1" w:themeFillTint="32"/>
            <w:vAlign w:val="center"/>
          </w:tcPr>
          <w:p w14:paraId="0452A510">
            <w:pPr>
              <w:widowControl/>
              <w:spacing w:line="240" w:lineRule="auto"/>
              <w:ind w:firstLine="0" w:firstLineChars="0"/>
              <w:jc w:val="center"/>
              <w:textAlignment w:val="center"/>
              <w:rPr>
                <w:rFonts w:hint="eastAsia" w:cs="宋体"/>
                <w:b/>
                <w:bCs/>
                <w:color w:val="000000"/>
              </w:rPr>
            </w:pPr>
            <w:r>
              <w:rPr>
                <w:rFonts w:hint="eastAsia" w:cs="宋体"/>
                <w:b/>
                <w:bCs/>
                <w:color w:val="000000"/>
                <w:kern w:val="0"/>
                <w:lang w:bidi="ar"/>
              </w:rPr>
              <w:t>模块描述</w:t>
            </w:r>
          </w:p>
        </w:tc>
      </w:tr>
      <w:tr w14:paraId="02F38630">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F8C81">
            <w:pPr>
              <w:widowControl/>
              <w:spacing w:line="240" w:lineRule="auto"/>
              <w:ind w:firstLine="0" w:firstLineChars="0"/>
              <w:textAlignment w:val="center"/>
              <w:rPr>
                <w:rFonts w:hint="eastAsia" w:cs="宋体"/>
                <w:color w:val="000000"/>
              </w:rPr>
            </w:pPr>
            <w:r>
              <w:rPr>
                <w:rFonts w:hint="eastAsia" w:cs="宋体"/>
                <w:color w:val="000000"/>
                <w:kern w:val="0"/>
                <w:lang w:bidi="ar"/>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F50CF">
            <w:pPr>
              <w:widowControl/>
              <w:spacing w:line="240" w:lineRule="auto"/>
              <w:ind w:firstLine="0" w:firstLineChars="0"/>
              <w:textAlignment w:val="center"/>
              <w:rPr>
                <w:rFonts w:hint="eastAsia" w:cs="宋体"/>
                <w:color w:val="000000"/>
              </w:rPr>
            </w:pPr>
            <w:r>
              <w:rPr>
                <w:rFonts w:hint="eastAsia" w:cs="宋体"/>
                <w:color w:val="000000"/>
                <w:kern w:val="0"/>
                <w:lang w:bidi="ar"/>
              </w:rPr>
              <w:t>建设程序审批</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093FA">
            <w:pPr>
              <w:widowControl/>
              <w:spacing w:line="240" w:lineRule="auto"/>
              <w:ind w:firstLine="0" w:firstLineChars="0"/>
              <w:textAlignment w:val="center"/>
              <w:rPr>
                <w:rFonts w:hint="eastAsia" w:cs="宋体"/>
                <w:color w:val="000000"/>
              </w:rPr>
            </w:pPr>
            <w:r>
              <w:rPr>
                <w:rFonts w:hint="eastAsia" w:cs="宋体"/>
                <w:color w:val="000000"/>
                <w:kern w:val="0"/>
                <w:lang w:bidi="ar"/>
              </w:rPr>
              <w:t>电子合同管理-电子合同网签</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AEC7E">
            <w:pPr>
              <w:widowControl/>
              <w:spacing w:line="240" w:lineRule="auto"/>
              <w:ind w:firstLine="0" w:firstLineChars="0"/>
              <w:jc w:val="left"/>
              <w:textAlignment w:val="center"/>
              <w:rPr>
                <w:rFonts w:hint="eastAsia" w:cs="宋体"/>
                <w:color w:val="000000"/>
              </w:rPr>
            </w:pPr>
            <w:r>
              <w:rPr>
                <w:rFonts w:hint="eastAsia" w:cs="宋体"/>
                <w:color w:val="000000"/>
                <w:kern w:val="0"/>
                <w:lang w:bidi="ar"/>
              </w:rPr>
              <w:t>包括合同起草，合同生成，发承包单位合同pdf文件确认，发布合同公示，合同异议、答复，发承包单位合同签章，合同公告，电子合同信息查询。</w:t>
            </w:r>
          </w:p>
        </w:tc>
      </w:tr>
      <w:tr w14:paraId="599BA305">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F0637">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A6F95">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建设程序审批</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EC6BE">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电子合同管理-电子合同变更管理</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350D0">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包括发承包单位名称变更、合同文本内容的变更、项目负责人信息的变更、电子合同信息变更查询。</w:t>
            </w:r>
          </w:p>
        </w:tc>
      </w:tr>
      <w:tr w14:paraId="22E6F879">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1B6A5">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3</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DE7AA">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建设程序审批</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BB991">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电子合同管理-电子合同支付管理</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0FD36">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包括合同支付申请，合同支付审核，合同支付跟踪，合同支付情况监督。</w:t>
            </w:r>
          </w:p>
        </w:tc>
      </w:tr>
      <w:tr w14:paraId="05987865">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CA974">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4</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AC9C8">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建设程序审批</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FFB3C">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电子合同管理-合同结算管理</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389AE">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根据合同采用的工程量清单文件数据标准格式，逐项登记各分部分项工程子目、措施项目子目、其他项目子目、税金的结算金额，系统将中标结果明确的分项报价与结算金额进行对比并公示。</w:t>
            </w:r>
          </w:p>
        </w:tc>
      </w:tr>
      <w:tr w14:paraId="05CD582A">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7A1BB">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5</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47D4A">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建设程序审批</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21C82">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电子合同管理-电子合同数据交换</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5EAB3">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通过数据接口和财政云平台系统进行数据交换。包括：项目信息同步、中标结果信息同步、采购合同信息同步。</w:t>
            </w:r>
          </w:p>
        </w:tc>
      </w:tr>
      <w:tr w14:paraId="70C48801">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A68B5">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6</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43490">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电子招投标</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8B21F">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电子招投标交易（升级改造）-电子文件符合性校验</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79240">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包括建设工程电子招投标文本和数据标准升级，建设工程电子招投标数据标准校验程序升级，建设工程电子招投标文件数据提取接口升级。</w:t>
            </w:r>
          </w:p>
        </w:tc>
      </w:tr>
      <w:tr w14:paraId="461FF769">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8CAFC">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7</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88124">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电子招投标</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C4355">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电子招投标交易（升级改造）-交易过程管理</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32CA0">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包括施工电子招投标改造，监理电子招投标改造，勘察、设计、勘察设计合并电子招投标改造。</w:t>
            </w:r>
          </w:p>
        </w:tc>
      </w:tr>
      <w:tr w14:paraId="14092252">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A2504">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8</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64EE6">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电子招投标</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F2D20">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电子招投标交易（升级改造）-电子评标</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11F55">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包括施工既有评标办法电子评标改造，施工资格预审评审办法改造，新增工程总承包、施工澄清低价法两阶段电子评标，监理评标办法改造，勘察、设计、勘察设计合并电子评标改造。</w:t>
            </w:r>
          </w:p>
        </w:tc>
      </w:tr>
      <w:tr w14:paraId="21BBC747">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8D13C">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9</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94251">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电子招投标</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11292">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电子招投标交易（升级改造）-材料设备电子招投标</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CF5B4">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包括材料设备电子招投标改造，新增材料设备经评审的最低投标价法电子评标.</w:t>
            </w:r>
          </w:p>
        </w:tc>
      </w:tr>
      <w:tr w14:paraId="30F1CEF1">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18692">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10</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FE422">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电子招投标</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89458">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电子招投标交易（升级改造）-铁路工程招投标</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44244">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包括招标项目管理，投标项目管理，监管平台——事中事后监管。</w:t>
            </w:r>
          </w:p>
        </w:tc>
      </w:tr>
      <w:tr w14:paraId="54805C1C">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59A1F">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11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C20A5">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电子招投标</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F3386">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远程分散电子招投标-远程分散评标机位管理</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5CC25">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包括评标机位维护，评标机位开放周期设定，评标机位使用情况查询，评标机位随机分配与重新分配。</w:t>
            </w:r>
          </w:p>
        </w:tc>
      </w:tr>
      <w:tr w14:paraId="7A6346F0">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51CA1">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12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954D9">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电子招投标</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04423">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远程分散电子招投标-评标专家参与远程分散评标申请</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3826F">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包括参与远程分散评标申请，参与远程分散评标申请审核，参与远程分散评标变更申请，参与远程分散评标变更审核。</w:t>
            </w:r>
          </w:p>
        </w:tc>
      </w:tr>
      <w:tr w14:paraId="4990C8D2">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29547">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13</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54E72">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电子招投标</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90DA5">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远程分散电子招投标-远程分散评标项目设置</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B8769">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包括远程分散评标申请，远程分散评标抽取，远程分散评标方式变更。</w:t>
            </w:r>
          </w:p>
        </w:tc>
      </w:tr>
      <w:tr w14:paraId="736C2DA9">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4E148">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14</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92F08">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电子招投标</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2FF3D">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远程分散电子招投标-远程分散评标视频会议管理</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E0DA1">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包括创建会议，与会成员账号管理，视频会议，会议录屏，共享屏幕，共享文件，会议资料归档与查询。</w:t>
            </w:r>
          </w:p>
        </w:tc>
      </w:tr>
      <w:tr w14:paraId="4B30760A">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62013">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15</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C7847">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电子招投标</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38C77">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远程分散电子招投标-远程分散评标电子评标管理</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19451">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包括电子评标系统远程分散评标视频会议登录对接，交易系统远程分散评标视频会议登录对接，招投标监管系统远程分散评标视频会议登录对接，远程分散评标专家密码管理，远程分散评标会议监督管理。</w:t>
            </w:r>
          </w:p>
        </w:tc>
      </w:tr>
      <w:tr w14:paraId="72DB865C">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B4820">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16</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9267B">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电子招投标</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D1E3B">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远程分散电子招投标-系统接口</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155F6">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包括视屏会议系统接口，评标现场视频监控系统接口。</w:t>
            </w:r>
          </w:p>
        </w:tc>
      </w:tr>
      <w:tr w14:paraId="53FA9A30">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E9E5A">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17</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25E5E">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282EC">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工程监督-一般类建筑装饰装修工程质量安全监督抽查-施工许可证、安标</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E5EEF">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监督机构接收施工许可证信息时，从接收数据中判断是否为“一般类装饰装修工程”。若项目属于“一般类装饰装修工程”，则在自动生成监督任务书和工地，同时时工地进行相关标识。</w:t>
            </w:r>
          </w:p>
        </w:tc>
      </w:tr>
      <w:tr w14:paraId="68385A7B">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5A70E">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18</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B8EB3">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D84E0">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工程监督-一般类建筑装饰装修工程质量安全监督抽查-自动抽取待检查工程</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09991">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各辖区的工程项目独自构成样本总数，按照比例进行抽取，抽取项目的时间跨度为已发施工许可证至安全标准化竣工确认。</w:t>
            </w:r>
          </w:p>
        </w:tc>
      </w:tr>
      <w:tr w14:paraId="535CD968">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9BFC8">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19</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65E6E">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C4892">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工程监督-一般类建筑装饰装修工程质量安全监督抽查-抽后通知</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EC7E6">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抽中的工程项目做醒目标识，系统及时以短信的方式将抽中的项目告知各区监督机构联系人和建设单位联系人。</w:t>
            </w:r>
          </w:p>
        </w:tc>
      </w:tr>
      <w:tr w14:paraId="19B5A23E">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FC407">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20</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D64B4">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800CE">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工程监督-一般类建筑装饰装修工程质量安全监督抽查-抽后监督</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5E79C">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被抽中的工程，在完成工地监督组分配后，无需首次监督和竣工监督环节，直接进入过程监督。</w:t>
            </w:r>
          </w:p>
        </w:tc>
      </w:tr>
      <w:tr w14:paraId="040605F3">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59BE0">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21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C8E48">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CE638">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工程监督-一般类建筑装饰装修工程质量安全监督抽查-竣工备案</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F6B31">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审批管理系统主动从建管平台获取工地监督小结信息，从而接收建设单位的竣工备案申请。</w:t>
            </w:r>
          </w:p>
        </w:tc>
      </w:tr>
      <w:tr w14:paraId="63911B14">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D0D23">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22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4A3FF">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95B24">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工程监督-一般类建筑装饰装修工程质量安全监督抽查-工程查询</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BFD3F">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可显示工程的“一般类装饰装修”标识。</w:t>
            </w:r>
          </w:p>
        </w:tc>
      </w:tr>
      <w:tr w14:paraId="68C14E16">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13BAF">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23</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F222D">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06717">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作业人员实名制（升级改造）-聘用关系建立</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E353A">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企业与个人建立聘用，个人需同意聘用关系建立。</w:t>
            </w:r>
          </w:p>
        </w:tc>
      </w:tr>
      <w:tr w14:paraId="37F80BDA">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81C61">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24</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15A5F">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A23B7">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作业人员实名制（升级改造）-个人信息档案建立</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8BD2D">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技术和证书信息、培训信息、个人工作经历、用工信息、聘用信息等。</w:t>
            </w:r>
          </w:p>
        </w:tc>
      </w:tr>
      <w:tr w14:paraId="7FF88413">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47E27">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25</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73D31">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5CF58">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作业人员实名制（升级改造）-工资填报</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BCB70">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建筑工人工资填报、建筑工人工资填写审核、建筑工人工资填写预警。</w:t>
            </w:r>
          </w:p>
        </w:tc>
      </w:tr>
      <w:tr w14:paraId="62CB6CFE">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B3EEA">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26</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BAB45">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C6032">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作业人员实名制（升级改造）-工程款支付</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F1DAA">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工程款支付记录信息填写、查看、审核。</w:t>
            </w:r>
          </w:p>
        </w:tc>
      </w:tr>
      <w:tr w14:paraId="4A6BEDD6">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D1066">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27</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70A80">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50630">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作业人员实名制（升级改造）-管理人员管理</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6F89E">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所有合同人员均需要录入实名制，包括建设单位、施工单位、勘察单位、设计单位、监理单位五大责任主体的合同人员。</w:t>
            </w:r>
          </w:p>
        </w:tc>
      </w:tr>
      <w:tr w14:paraId="20AA9F38">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A8D39">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28</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1843F">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5466A">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建筑机械管理（升级改造）-机械设备产权备案管理</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19BC6">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面向产权企业或租赁企业，实现机械设备首次安装或出租前，对自己拥有产权的机械设备进行产权登记，登记特种设备制造许可证、产品合格证和制造监督检验证明等。</w:t>
            </w:r>
          </w:p>
        </w:tc>
      </w:tr>
      <w:tr w14:paraId="1D9AAA2F">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3AF90">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29</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74A71">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E3F40">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建筑机械管理（升级改造）-机械设备使用管理</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47751">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面向施工企业及监理企业现场管理人员，实现设备现场使用登记，监理审核，全国工程质量安全监管信息平台校验服务。</w:t>
            </w:r>
          </w:p>
        </w:tc>
      </w:tr>
      <w:tr w14:paraId="2772765F">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33108">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30</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8999D">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60E7A">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建筑机械管理（升级改造）-机械设备使用登记申请</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48B9E">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面向施工企业，实现施工企业机械设备使用登记证电子证照的申请功能。包括机械设备使用登记证申请信息的核对；机械设备安装、检测、验收的相关文件管理。</w:t>
            </w:r>
          </w:p>
        </w:tc>
      </w:tr>
      <w:tr w14:paraId="51FFF5BE">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15BBC">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31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AD05F">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0141B">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建筑机械管理（升级改造）-机械设备使用登记审核</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18A39">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对施工企业提交的机械设备使用登记信息进行审核。审核完成后获取全国工程质量安全监管信息平台赋码服务。</w:t>
            </w:r>
          </w:p>
        </w:tc>
      </w:tr>
      <w:tr w14:paraId="028D5B87">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E5738">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32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8B4F2">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690C5">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建筑机械管理（升级改造）-机械设备使用登记审批</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7587F">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对审核通过的机械设备使用登记信息进行审批。审批完成后为机械设备使用登记证加盖发证机关电子印章并发放机械设备使用登记证电子证照。</w:t>
            </w:r>
          </w:p>
        </w:tc>
      </w:tr>
      <w:tr w14:paraId="297A0CCD">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1F267">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33</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01E58">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A2FFE">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建筑机械管理（升级改造）-机械设备拆卸告知</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55E36">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包括选取拆卸企业及人员，按照拆卸规定逐条确认是否符合拆卸要求，并填写信息后完成拆卸告知填报。</w:t>
            </w:r>
          </w:p>
        </w:tc>
      </w:tr>
      <w:tr w14:paraId="25759D83">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37837">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34</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5E0A1">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06985">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建设工程勘察质量管理（升级改造）-勘察项目管理模块</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AFE3C">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新增管理功能、勘探工作量填报功能、勘探验收功能。</w:t>
            </w:r>
          </w:p>
        </w:tc>
      </w:tr>
      <w:tr w14:paraId="037EE2C6">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A4003">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35</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C9812">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9F548">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建设工程勘察质量管理（升级改造）-异常分析模块优化</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B5D4F">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提高异常分析的准确度。</w:t>
            </w:r>
          </w:p>
        </w:tc>
      </w:tr>
      <w:tr w14:paraId="1848B3CE">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D94F3">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36</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3821E">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97233">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建设工程勘察质量管理（升级改造）-数据报表模块调整</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53204">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按月份进行全市勘察业务分析。</w:t>
            </w:r>
          </w:p>
        </w:tc>
      </w:tr>
      <w:tr w14:paraId="252AC738">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ADB5D">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37</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203BE">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A0EB7">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建设工程勘察质量管理（升级改造）-企业名录模块调整</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EDF6B">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新增勘察单位与劳务单位企业名录信息。</w:t>
            </w:r>
          </w:p>
        </w:tc>
      </w:tr>
      <w:tr w14:paraId="0ADED8BD">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ADE9F">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38</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FB508">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2CE7A">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建设工程勘察质量管理（升级改造）-勘察项目拆分合并</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1BD14">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新增项目合并与拆分的功能，允许勘察单位在系统中提交情况说明后自行合并或拆分勘察项目，但一个项目仅允许一次拆分或者合并操作。</w:t>
            </w:r>
          </w:p>
        </w:tc>
      </w:tr>
      <w:tr w14:paraId="48C6BC9A">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7DBD5">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39</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48775">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C44C2">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建设工程勘察质量管理（升级改造）-开放第三方接入接口及文档</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997C2">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编制勘察外业采集的数据标准，包括钻探、静力触探以及土工试验等需要上传到系统的数据。开放允许第三方软件接入的接口及文档。</w:t>
            </w:r>
          </w:p>
        </w:tc>
      </w:tr>
      <w:tr w14:paraId="0EED231F">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450C3">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40</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E981B">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D3F4A">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工地视频智能监管（升级改造）-工地安全智能巡检监管</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69D00">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通过计算机视觉和人工智能技术，实时分析视频流，识别并检测人员闯入事件。根据划定的高危区域和风险等级，设定不同的报警触发条件。</w:t>
            </w:r>
          </w:p>
        </w:tc>
      </w:tr>
      <w:tr w14:paraId="6097B027">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BD045">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41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637AB">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3C057">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工地视频智能监管（升级改造）-工地质量智能监管——作业面进度管理</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488D5">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依据计划工期进行逾期判别和自动预警，分层级推送至不同层级管理人员，实现项目进度透明化、自动化、真实化记录和报告。</w:t>
            </w:r>
          </w:p>
        </w:tc>
      </w:tr>
      <w:tr w14:paraId="54F5B53A">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BF5CF">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42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00E35">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2BBB0">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工地视频智能监管（升级改造）-算法构建</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2A293">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包括火情烟雾预警，高温施工预警，防台防汛未撤场预警，密闭空间入侵预警，安全晨会未召开预警，塔吊机械异常预警，裸土覆盖异常预警，作业面异常预警，主通道日清日结异常预警算法构建。</w:t>
            </w:r>
          </w:p>
        </w:tc>
      </w:tr>
      <w:tr w14:paraId="566DAC18">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A9DB3">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43</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0A601">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D5FE9">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工地视频智能监管（升级改造）-预警分析</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1F2D2">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结合业务系统数据，可以直观的展示系统预警情况，对于AI预警时间的分布及规律进行分析，发现监管的堵点，提供数据支撑。</w:t>
            </w:r>
          </w:p>
        </w:tc>
      </w:tr>
      <w:tr w14:paraId="6D35DA27">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5C239">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44</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55BAB">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B5FB8">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工地视频智能监管（升级改造）-视频融合应用</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1D298">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支持以标准的API形式为其他业务模块授权视频相关的权限，支持配置授权的视频来源、视频数量、并发数量等；同时会对共享的视频的取流情况进行查询及控制。</w:t>
            </w:r>
          </w:p>
        </w:tc>
      </w:tr>
      <w:tr w14:paraId="50F5B17B">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0F4B7">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45</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A4277">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37EE5">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预拌混凝土质量现场监管-预拌混凝土进场材料验收管理</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4E58D">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现场人员对进场的预拌混凝土进行材料验收登记和确认。</w:t>
            </w:r>
          </w:p>
        </w:tc>
      </w:tr>
      <w:tr w14:paraId="512F6622">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1D0D5">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46</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71B2E">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43A8B">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预拌混凝土质量现场监管-工程现场采样制样管理</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DD295">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现场人员记录预拌混凝土的检测样本的采样、制样信息。</w:t>
            </w:r>
          </w:p>
        </w:tc>
      </w:tr>
      <w:tr w14:paraId="33322ED8">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3613A">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47</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9257B">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7AEA8">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预拌混凝土质量现场监管-浇筑信息管理</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41427">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现场施工人员记录预拌混凝土的浇筑信息。</w:t>
            </w:r>
          </w:p>
        </w:tc>
      </w:tr>
      <w:tr w14:paraId="1FE3439F">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8D654">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48</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B5B66">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320C9">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预拌混凝土质量现场监管-关键工艺监理见证管理</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E431E">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监理见证人员记录关键工艺的见证信息。</w:t>
            </w:r>
          </w:p>
        </w:tc>
      </w:tr>
      <w:tr w14:paraId="7EE81751">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D5E45">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49</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E1247">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C6341">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预拌混凝土质量现场监管-预拌混凝土质量预警</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75ABD">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根据全链数据的监控和分析，发布不同的预警信息。</w:t>
            </w:r>
          </w:p>
        </w:tc>
      </w:tr>
      <w:tr w14:paraId="4C58CA77">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C7B4E">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50</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D773B">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F7254">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预拌混凝土质量现场监管-预拌混凝土大数据分析</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98A27">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对预拌混凝土进场、制样、浇筑等各个环节的数据进行收集、整合和分析，挖掘预拌混凝土全产业链中的质量控制行为冲突点和隐藏规律。</w:t>
            </w:r>
          </w:p>
        </w:tc>
      </w:tr>
      <w:tr w14:paraId="4ADB490C">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E6638">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51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D0878">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A01A9">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住宅工程质量评价信息平台-建设工程工序验收管理</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FAA5D">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工程建设相关单位参加，对检验批、分项、分部、单位工程及其隐蔽工程的质量进行抽样检验，对技术文件进行审核，并根据设计文件和相关标准以书面形式对工程质量是否达到合格做出确认。</w:t>
            </w:r>
          </w:p>
        </w:tc>
      </w:tr>
      <w:tr w14:paraId="6C38BE9E">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B8D0D">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52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3395F">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A3EBA">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住宅工程质量评价信息平台-分户验收管理</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EA605">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对住宅工程的室内净距、净高尺寸、户内部分以及公共部位进行全面细致的验收。验收完成后，将出具详细的验收记录单，并针对发现的问题进行整改，直至确认各项指标均达到既定的验收标准。</w:t>
            </w:r>
          </w:p>
        </w:tc>
      </w:tr>
      <w:tr w14:paraId="22E0E64B">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C9B8C">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53</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CAD80">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FD882">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住宅工程质量评价信息平台-业务质量预看房管理</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31B70">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建设单位在完成预看房准备工作后，组织预购房或预选房的业主查看所购或所选房屋的质量情况，并在工程竣工验收前对业主提出房屋质量问题完成整改。</w:t>
            </w:r>
          </w:p>
        </w:tc>
      </w:tr>
      <w:tr w14:paraId="2F444CC6">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E7844">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54</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F8698">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工地现场监管</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FADDD">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住宅工程质量评价信息平台-综合评价</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CA076">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对采集到的数据进行计算，得到各项分类得分，对各项得分进行数据分析和使用展示，更直观地体现上海住宅质量各方面质量水平。</w:t>
            </w:r>
          </w:p>
        </w:tc>
      </w:tr>
      <w:tr w14:paraId="279337AD">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894BC">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55</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15188">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建设主体管理</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4C265">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企业资质批后监管-企业资质动态核查</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033DB">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包含企业资质动态核查发布、整改通知书的送达和接收、企业资质动态核查整改、企业资质动态核查整改受理、企业资质动态核查整改退回补证、企业资质动态核查整改审核、企业资质动态核查整改审批、企业资质动态核查查询及统计等功能。</w:t>
            </w:r>
          </w:p>
        </w:tc>
      </w:tr>
      <w:tr w14:paraId="63EBAF58">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90810">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56</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DDA64">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建设主体管理</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591AA">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企业资质批后监管-企业资质撤销/回管理</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98B19">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主要包括发布撤销/回事先告知书、事先告知书接收及送达、企业陈述和申辩、企业陈述和申辩受理、企业陈述和申辩审核、企业陈述和申辩审批、法制审核受理、法制审核审核、法制审核审批、企业资质撤销/回、企业资质撤销/回决定书接收及送达等功能。</w:t>
            </w:r>
          </w:p>
        </w:tc>
      </w:tr>
      <w:tr w14:paraId="39F9C4E2">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5A22E">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57</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2A4D7">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建设主体管理</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387DB">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项目业绩库-工程业绩报送</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41FFE">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工程业绩报送按照报送主体不同分为企业报送和主要参建人员报送。按工程所在区域不同又分为本市业绩报送和外省市业绩报送。</w:t>
            </w:r>
          </w:p>
        </w:tc>
      </w:tr>
      <w:tr w14:paraId="382BC415">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93777">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58</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C8843">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建设主体管理</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E55BF">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项目业绩库-工程业绩审核</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07299">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业在将工程业绩作为勘察、设计、施工、监理等资质申请条件时，可按照资质标准要求的多若干企业和个人业绩进行提前审核，审核通过后标明该若干业绩符合所申请的资质申报条件。</w:t>
            </w:r>
          </w:p>
        </w:tc>
      </w:tr>
      <w:tr w14:paraId="470FDDF4">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A7807">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59</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F87FE">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建设主体管理</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442C4">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项目业绩库-工程业绩核实</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FEF30">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企业可发起针对本市工程业绩自填数据的核实申请。通过核实的业绩数据，可用于相关其他业务，并将交换给全国四库一平台。</w:t>
            </w:r>
          </w:p>
        </w:tc>
      </w:tr>
      <w:tr w14:paraId="74B23E78">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F3FBB">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60</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794BE">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建设主体管理</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15958">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项目业绩库-业绩信息的综合管理</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7BBB1">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提供按不同条件对业绩库的查询，提供对业绩信息全库数据的综合修改及日志信息查询。</w:t>
            </w:r>
          </w:p>
        </w:tc>
      </w:tr>
      <w:tr w14:paraId="6342B291">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88657">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61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DF881">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建设主体管理</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0D79F">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项目业绩库-业绩信息与其他系统的数据接口</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F6E36">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包括与项目审批系统的数据交换接口，与企业资质系统的数据交换接口，与建设部的数据交换接口，提供外部系统调用接口。</w:t>
            </w:r>
          </w:p>
        </w:tc>
      </w:tr>
      <w:tr w14:paraId="6DFBFBEB">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0230C">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62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D3F5E">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建设主体管理</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5B057">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安全生产许可证动态核查-安全生产许可证动态核查发布</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F14DA">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管理部门用户可登录市建管平台管理端，按管理要求开展动态核查。动态核查的企业范围，应符合本市安全生产许可证动态监管管理办法及其他相关管理规定的要求。</w:t>
            </w:r>
          </w:p>
        </w:tc>
      </w:tr>
      <w:tr w14:paraId="4D953282">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954FC">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63</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DE163">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建设主体管理</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C4F31">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安全生产许可证动态核查-整改通知书的送达和接收</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8DE47">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安全生产许可证动态核查整改通知书的送达和接收，主要三种形式：1）企业端线上接收，2）管理端现场接收，3）公告送达。</w:t>
            </w:r>
          </w:p>
        </w:tc>
      </w:tr>
      <w:tr w14:paraId="16AB8BBB">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69318">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64</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24243">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建设主体管理</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26358">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安全生产许可证动态核查-安全生产许可证动态核查整改</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A61D8">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按资质申请表的格式要求逐项填报要求整改内容及上传相关证明材料，填报完成后，企业进行电子签章，系统自动产生针对本次整改的电子申请表。</w:t>
            </w:r>
          </w:p>
        </w:tc>
      </w:tr>
      <w:tr w14:paraId="53A22954">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FE713">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65</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7C3BC">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建设主体管理</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50B62">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安全生产许可证动态核查-安全生产许可证动态核查整改受理</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8D512">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管理部门分配经办人，对企业整改材料进行受理。经办人通过系统查看及校核企业填报的整改材料，并给出受理结论，分别为：受理通过、受理不通过、退回补证。</w:t>
            </w:r>
          </w:p>
        </w:tc>
      </w:tr>
      <w:tr w14:paraId="5AB363A6">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76B2F">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66</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323DD">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建设主体管理</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39289">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安全生产许可证动态核查-安全生产许可证动态核查整改退回补证</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44C28">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企业登录市建管平台企业端，按受理结论退回补证，完成后企业进行电子签章，系统将已退回补证完成的资料推送至管理部门经办人。</w:t>
            </w:r>
          </w:p>
        </w:tc>
      </w:tr>
      <w:tr w14:paraId="669233A2">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99F0A">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67</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1F34A">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建设主体管理</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1B1A5">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安全生产许可证动态核查-安全生产许可证动态核查整改审核</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4A686">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管理部门经办人给出受理意见后，审核人对已受理完成的企业进行审核，并给出审核结论，审核不通过的应给出审核意见。</w:t>
            </w:r>
          </w:p>
        </w:tc>
      </w:tr>
      <w:tr w14:paraId="2BF60F62">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E9CCA">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68</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93A21">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建设主体管理</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4FF9C">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安全生产许可证动态核查-安全生产许可证动态核查整改审批</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7F9FA">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管理部门审批人对已审核完成的企业进行审批，并给出审批结论，审批不通过的应给出审批意见。</w:t>
            </w:r>
          </w:p>
        </w:tc>
      </w:tr>
      <w:tr w14:paraId="4D87CE59">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1C41A">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69</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86EEA">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建设主体管理</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02AF2">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安全生产许可证动态核查-安全生产许可证动态核查查询及统计</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EE108">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管理部门用户可通过市建管平台管理端，按批次、企业名称、时间等查询条件查询到动态核查企业信。</w:t>
            </w:r>
          </w:p>
        </w:tc>
      </w:tr>
      <w:tr w14:paraId="755A1084">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A48CE">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70</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6BAE9">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建设主体管理</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77DB8">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安管人员电子化申报审批-考核发证</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E2840">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申请人在“上海一网通办”个人端提交考核发证申请。企业申请内容进行确认，对申请表进行数字签署。申请事项进入受理、初审上报、审查意见公式、审核、审批、制证、审批结果公告流程。</w:t>
            </w:r>
          </w:p>
        </w:tc>
      </w:tr>
      <w:tr w14:paraId="4430634C">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E919A">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71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0FEA0">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建设主体管理</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702A6">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安管人员电子化申报审批-证书延期申请</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818C8">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安管人员通过继续教育开始并完成身份证采集和个人数字证书申领后，可进行证书延期申请，填写申请表，上传证书使用的个人照片，对申请表进行电子签署。</w:t>
            </w:r>
          </w:p>
        </w:tc>
      </w:tr>
      <w:tr w14:paraId="65CBF3F0">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75DD2">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72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18A09">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建设主体管理</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4A5A4">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安管人员电子化申报审批-省内受聘企业变更申请</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32B18">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安管人员完成身份证采集和个人数字证书申领后，可进行省内变更受聘企业申请。</w:t>
            </w:r>
          </w:p>
        </w:tc>
      </w:tr>
      <w:tr w14:paraId="1FDB8A82">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5B7B7">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73</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B6389">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建设主体管理</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BB622">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安管人员电子化申报审批-跨省受聘企业变更申请</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071E2">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1.进沪换证：安管人员完成身份证采集和个人数字证书申领后，进行进沪换证申请，填写申请表，上传证书使用的个人照片，对申请表进行电子签署。</w:t>
            </w:r>
            <w:r>
              <w:rPr>
                <w:rFonts w:hint="eastAsia" w:cs="宋体"/>
                <w:color w:val="000000"/>
                <w:kern w:val="0"/>
                <w:lang w:bidi="ar"/>
              </w:rPr>
              <w:br w:type="textWrapping"/>
            </w:r>
            <w:r>
              <w:rPr>
                <w:rFonts w:hint="eastAsia" w:cs="宋体"/>
                <w:color w:val="000000"/>
                <w:kern w:val="0"/>
                <w:lang w:bidi="ar"/>
              </w:rPr>
              <w:t>2.离沪变更：安管人员进行离沪变更申请，申请事项进入受理、自动决定流程。对申请强制离沪变更的增加人工受理、人工决定、图片上传功能。</w:t>
            </w:r>
          </w:p>
        </w:tc>
      </w:tr>
      <w:tr w14:paraId="7F7886EA">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BF117">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74</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B8836">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建设主体管理</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EEAC4">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安管人员电子化申报审批-证书注销申请</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D8276">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安管人员进行注销申请，具有独立法人资格的企事业单位查看申请事项，选择聘用企业意见，完成签名确认。申请事项进入受理、自动决定流程。</w:t>
            </w:r>
          </w:p>
        </w:tc>
      </w:tr>
      <w:tr w14:paraId="72ADD606">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6CD85">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75</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2303F">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建设主体管理</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C8263">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安管人员电子化申报审批-变更事项</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F25AE">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通过企业端配套信息变更程序进行批量更名，证书中个人身份信息发生变更的，将通过管理端配套的信息变更程序对数据进行维护。</w:t>
            </w:r>
          </w:p>
        </w:tc>
      </w:tr>
      <w:tr w14:paraId="69FF5DFF">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26BEF">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76</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F7496">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建设主体管理</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B8AE0">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安管人员电子化申报审批-配套功能</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5F3DD">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包括企业工商更名证书批量更新功能，查询统计功能，下载功能，信息维护功能，电子档案归档，智能客服及人工在线帮办功能。</w:t>
            </w:r>
          </w:p>
        </w:tc>
      </w:tr>
      <w:tr w14:paraId="655EA65C">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FC45F">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77</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16243">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建设管理统计分析</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D0059">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“驾驶舱”专题建设-综合展示专题</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7FCFF">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基于GIS地图对全市工程信息进行地图展示，主要包括工地管理、建筑起重机械管理、建筑起重机械管理、综合竣工验收管理、市管项目页面、行政措施单、行政处罚、行政记分等信息。</w:t>
            </w:r>
          </w:p>
        </w:tc>
      </w:tr>
      <w:tr w14:paraId="6ADA33E6">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C128A">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78</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81305">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建设管理统计分析</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B16A7">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“驾驶舱”专题建设-安全管理专题</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11C48">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包括：本市各区域在建工程安标优良率（GIS地图）、事故概况、危大工程工地数据统计、建筑起重机械数量统计、各监督机构安全生产标准化优良率统计、企业安全生产许可证批后监督管理。</w:t>
            </w:r>
          </w:p>
        </w:tc>
      </w:tr>
      <w:tr w14:paraId="50E59BB0">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4E160">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79</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5F62F">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建设管理统计分析</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6FE9F">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“驾驶舱”专题建设-质量管理专题</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9FD1D">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包括深基坑在线监测（GIS地图）、深基坑在线监测、混凝土及预制构件质量监控、监督抽检统计、装配式结构统计、材料检测统计。</w:t>
            </w:r>
          </w:p>
        </w:tc>
      </w:tr>
      <w:tr w14:paraId="291CCFD2">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C195B">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80</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87F1D">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建设管理统计分析</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1C10B">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“驾驶舱”专题建设-实名制管理专题</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B924C">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包括：工地现场每日考勤统计、工地现场管理人员到岗情况（按监督机构）、工地现场管理人员到岗情况（按大型企业）、近三年在建工地建筑工人各类状况统计、建筑工人分类统计、支付预警（市、区）、支付预警（大型企业）。</w:t>
            </w:r>
          </w:p>
        </w:tc>
      </w:tr>
      <w:tr w14:paraId="1E78482B">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8A1E7">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81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816A2">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建设管理统计分析</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36318">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“驾驶舱”专题建设-信访管理专题</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42637">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包括本年信访数量统计、重点关注事项、各区信访受理统计、信访数据接口改造。</w:t>
            </w:r>
          </w:p>
        </w:tc>
      </w:tr>
      <w:tr w14:paraId="13C7BABA">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BA9BE">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82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4FAD3">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建设管理统计分析</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E36A7">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“驾驶舱”专题建设-机构管理专题</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B590D">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全市建筑行业工程监督机构（不包括化工、度假及各专业监督机构，共19家）的管理。</w:t>
            </w:r>
          </w:p>
        </w:tc>
      </w:tr>
      <w:tr w14:paraId="2447EA70">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DE7A6">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83</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B4B13">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建设管理统计分析</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0BE5E">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“驾驶舱”专题建设-市管机械管理专题</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E5EDE">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展示市管项目使用的起重机械管理信息，包括：当前在用起重机械情况、本年度起重机械检测情况、本年度起重机械拆除情况、本年度起重机械监督抽检计划、本年度起重机械监督抽检完成情况等。</w:t>
            </w:r>
          </w:p>
        </w:tc>
      </w:tr>
      <w:tr w14:paraId="24ACBAD1">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54FE7">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84</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A2C0B">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建设管理统计分析</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9BD8B">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“驾驶舱”专题建设-专业消防工程验收专题</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A2CCF">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包括通过联审平台竣工验收备案模块，开发数据接口对接专业消防工程验收相关数据，并对相关数据进行统计、分析、研判。</w:t>
            </w:r>
          </w:p>
        </w:tc>
      </w:tr>
      <w:tr w14:paraId="22D84523">
        <w:tblPrEx>
          <w:tblCellMar>
            <w:top w:w="0" w:type="dxa"/>
            <w:left w:w="108" w:type="dxa"/>
            <w:bottom w:w="0" w:type="dxa"/>
            <w:right w:w="108" w:type="dxa"/>
          </w:tblCellMar>
        </w:tblPrEx>
        <w:trPr>
          <w:trHeight w:val="2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6207A">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85</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94C9D">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密码应用建设</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8BD5E">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密码建设费用</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249AF">
            <w:pPr>
              <w:widowControl/>
              <w:spacing w:line="240" w:lineRule="auto"/>
              <w:ind w:firstLine="0" w:firstLineChars="0"/>
              <w:textAlignment w:val="center"/>
              <w:rPr>
                <w:rFonts w:hint="eastAsia" w:cs="宋体"/>
                <w:color w:val="000000"/>
                <w:kern w:val="0"/>
                <w:lang w:bidi="ar"/>
              </w:rPr>
            </w:pPr>
            <w:r>
              <w:rPr>
                <w:rFonts w:hint="eastAsia" w:cs="宋体"/>
                <w:color w:val="000000"/>
                <w:kern w:val="0"/>
                <w:lang w:bidi="ar"/>
              </w:rPr>
              <w:t>包括用户身份认证机制模块、业务重要数据安全传输模块、服务器虚拟机设备日志/访问控制信息完整性模块、重要可执行程序签名验签模块、用户访问控制信息签名验签模块、应用系统重要数据加解密模块、应用系统重要数据签名验签模块。</w:t>
            </w:r>
          </w:p>
        </w:tc>
      </w:tr>
    </w:tbl>
    <w:p w14:paraId="484FEB1B">
      <w:pPr>
        <w:ind w:firstLine="0" w:firstLineChars="0"/>
        <w:rPr>
          <w:rFonts w:hint="eastAsia"/>
        </w:rPr>
      </w:pPr>
    </w:p>
    <w:p w14:paraId="6D5BBD99">
      <w:pPr>
        <w:pStyle w:val="2"/>
        <w:rPr>
          <w:rFonts w:hint="eastAsia"/>
        </w:rPr>
      </w:pPr>
      <w:bookmarkStart w:id="23" w:name="_Toc63785502"/>
      <w:r>
        <w:rPr>
          <w:rFonts w:hint="eastAsia"/>
        </w:rPr>
        <w:t>电子政务云资源需求</w:t>
      </w:r>
      <w:bookmarkEnd w:id="23"/>
    </w:p>
    <w:p w14:paraId="72CBDE49">
      <w:pPr>
        <w:rPr>
          <w:rFonts w:hint="eastAsia"/>
        </w:rPr>
      </w:pPr>
      <w:r>
        <w:rPr>
          <w:rFonts w:hint="eastAsia"/>
        </w:rPr>
        <w:t>根据项目前期资源现状，本次建设需要的政务云资源如下表：</w:t>
      </w:r>
    </w:p>
    <w:p w14:paraId="0A406D38">
      <w:pPr>
        <w:ind w:firstLine="0" w:firstLineChars="0"/>
        <w:rPr>
          <w:rFonts w:hint="eastAsia" w:cs="宋体"/>
          <w:b/>
          <w:bCs/>
          <w:color w:val="000000"/>
          <w:kern w:val="0"/>
          <w:lang w:bidi="ar"/>
        </w:rPr>
      </w:pPr>
      <w:r>
        <w:rPr>
          <w:rFonts w:hint="eastAsia" w:cs="宋体"/>
          <w:b/>
          <w:bCs/>
          <w:color w:val="000000"/>
          <w:kern w:val="0"/>
          <w:lang w:bidi="ar"/>
        </w:rPr>
        <w:t>1、主机资源</w:t>
      </w:r>
    </w:p>
    <w:tbl>
      <w:tblPr>
        <w:tblStyle w:val="36"/>
        <w:tblW w:w="8680" w:type="dxa"/>
        <w:jc w:val="center"/>
        <w:tblLayout w:type="autofit"/>
        <w:tblCellMar>
          <w:top w:w="0" w:type="dxa"/>
          <w:left w:w="108" w:type="dxa"/>
          <w:bottom w:w="0" w:type="dxa"/>
          <w:right w:w="108" w:type="dxa"/>
        </w:tblCellMar>
      </w:tblPr>
      <w:tblGrid>
        <w:gridCol w:w="590"/>
        <w:gridCol w:w="1040"/>
        <w:gridCol w:w="1040"/>
        <w:gridCol w:w="1850"/>
        <w:gridCol w:w="1040"/>
        <w:gridCol w:w="1040"/>
        <w:gridCol w:w="1040"/>
        <w:gridCol w:w="1040"/>
      </w:tblGrid>
      <w:tr w14:paraId="0479BB0A">
        <w:tblPrEx>
          <w:tblCellMar>
            <w:top w:w="0" w:type="dxa"/>
            <w:left w:w="108" w:type="dxa"/>
            <w:bottom w:w="0" w:type="dxa"/>
            <w:right w:w="108" w:type="dxa"/>
          </w:tblCellMar>
        </w:tblPrEx>
        <w:trPr>
          <w:trHeight w:val="600" w:hRule="atLeast"/>
          <w:jc w:val="center"/>
        </w:trPr>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250A3">
            <w:pPr>
              <w:widowControl/>
              <w:spacing w:line="240" w:lineRule="auto"/>
              <w:ind w:firstLine="0" w:firstLineChars="0"/>
              <w:jc w:val="center"/>
              <w:textAlignment w:val="center"/>
              <w:rPr>
                <w:rFonts w:hint="eastAsia" w:cs="宋体"/>
                <w:color w:val="000000"/>
              </w:rPr>
            </w:pPr>
            <w:r>
              <w:rPr>
                <w:rFonts w:hint="eastAsia" w:cs="宋体"/>
                <w:color w:val="000000"/>
                <w:kern w:val="0"/>
                <w:lang w:bidi="ar"/>
              </w:rPr>
              <w:t>序号</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07783">
            <w:pPr>
              <w:widowControl/>
              <w:spacing w:line="240" w:lineRule="auto"/>
              <w:ind w:firstLine="0" w:firstLineChars="0"/>
              <w:jc w:val="center"/>
              <w:textAlignment w:val="center"/>
              <w:rPr>
                <w:rFonts w:hint="eastAsia" w:cs="宋体"/>
                <w:color w:val="000000"/>
              </w:rPr>
            </w:pPr>
            <w:r>
              <w:rPr>
                <w:rFonts w:hint="eastAsia" w:cs="宋体"/>
                <w:color w:val="000000"/>
                <w:kern w:val="0"/>
                <w:lang w:bidi="ar"/>
              </w:rPr>
              <w:t>资源类型</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D8DB2">
            <w:pPr>
              <w:widowControl/>
              <w:spacing w:line="240" w:lineRule="auto"/>
              <w:ind w:firstLine="0" w:firstLineChars="0"/>
              <w:jc w:val="center"/>
              <w:textAlignment w:val="center"/>
              <w:rPr>
                <w:rFonts w:hint="eastAsia" w:cs="宋体"/>
                <w:color w:val="000000"/>
              </w:rPr>
            </w:pPr>
            <w:r>
              <w:rPr>
                <w:rFonts w:hint="eastAsia" w:cs="宋体"/>
                <w:color w:val="000000"/>
                <w:kern w:val="0"/>
                <w:lang w:bidi="ar"/>
              </w:rPr>
              <w:t>资源名称</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6DE0C">
            <w:pPr>
              <w:widowControl/>
              <w:spacing w:line="240" w:lineRule="auto"/>
              <w:ind w:firstLine="0" w:firstLineChars="0"/>
              <w:jc w:val="center"/>
              <w:textAlignment w:val="center"/>
              <w:rPr>
                <w:rFonts w:hint="eastAsia" w:cs="宋体"/>
                <w:color w:val="000000"/>
              </w:rPr>
            </w:pPr>
            <w:r>
              <w:rPr>
                <w:rFonts w:hint="eastAsia" w:cs="宋体"/>
                <w:color w:val="000000"/>
                <w:kern w:val="0"/>
                <w:lang w:bidi="ar"/>
              </w:rPr>
              <w:t>资源说明</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0436E">
            <w:pPr>
              <w:widowControl/>
              <w:spacing w:line="240" w:lineRule="auto"/>
              <w:ind w:firstLine="0" w:firstLineChars="0"/>
              <w:jc w:val="center"/>
              <w:textAlignment w:val="center"/>
              <w:rPr>
                <w:rFonts w:hint="eastAsia" w:cs="宋体"/>
                <w:color w:val="000000"/>
              </w:rPr>
            </w:pPr>
            <w:r>
              <w:rPr>
                <w:rFonts w:hint="eastAsia" w:cs="宋体"/>
                <w:color w:val="000000"/>
                <w:kern w:val="0"/>
                <w:lang w:bidi="ar"/>
              </w:rPr>
              <w:t>资源核心（核）</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E26A3">
            <w:pPr>
              <w:widowControl/>
              <w:spacing w:line="240" w:lineRule="auto"/>
              <w:ind w:firstLine="0" w:firstLineChars="0"/>
              <w:jc w:val="center"/>
              <w:textAlignment w:val="center"/>
              <w:rPr>
                <w:rFonts w:hint="eastAsia" w:cs="宋体"/>
                <w:color w:val="000000"/>
              </w:rPr>
            </w:pPr>
            <w:r>
              <w:rPr>
                <w:rFonts w:hint="eastAsia" w:cs="宋体"/>
                <w:color w:val="000000"/>
                <w:kern w:val="0"/>
                <w:lang w:bidi="ar"/>
              </w:rPr>
              <w:t>资源内存(GB)</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9C79C">
            <w:pPr>
              <w:widowControl/>
              <w:spacing w:line="240" w:lineRule="auto"/>
              <w:ind w:firstLine="0" w:firstLineChars="0"/>
              <w:jc w:val="center"/>
              <w:textAlignment w:val="center"/>
              <w:rPr>
                <w:rFonts w:hint="eastAsia" w:cs="宋体"/>
                <w:color w:val="000000"/>
              </w:rPr>
            </w:pPr>
            <w:r>
              <w:rPr>
                <w:rFonts w:hint="eastAsia" w:cs="宋体"/>
                <w:color w:val="000000"/>
                <w:kern w:val="0"/>
                <w:lang w:bidi="ar"/>
              </w:rPr>
              <w:t>存储数量(GB)</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CDF44">
            <w:pPr>
              <w:widowControl/>
              <w:spacing w:line="240" w:lineRule="auto"/>
              <w:ind w:firstLine="0" w:firstLineChars="0"/>
              <w:jc w:val="center"/>
              <w:textAlignment w:val="center"/>
              <w:rPr>
                <w:rFonts w:hint="eastAsia" w:cs="宋体"/>
                <w:color w:val="000000"/>
              </w:rPr>
            </w:pPr>
            <w:r>
              <w:rPr>
                <w:rFonts w:hint="eastAsia" w:cs="宋体"/>
                <w:color w:val="000000"/>
                <w:kern w:val="0"/>
                <w:lang w:bidi="ar"/>
              </w:rPr>
              <w:t>资源数量(台)</w:t>
            </w:r>
          </w:p>
        </w:tc>
      </w:tr>
      <w:tr w14:paraId="6C7ECBFD">
        <w:tblPrEx>
          <w:tblCellMar>
            <w:top w:w="0" w:type="dxa"/>
            <w:left w:w="108" w:type="dxa"/>
            <w:bottom w:w="0" w:type="dxa"/>
            <w:right w:w="108" w:type="dxa"/>
          </w:tblCellMar>
        </w:tblPrEx>
        <w:trPr>
          <w:trHeight w:val="600" w:hRule="atLeast"/>
          <w:jc w:val="center"/>
        </w:trPr>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671B7">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C03C0">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虚拟机</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4938D">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数据库服务器</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78F99">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在2023年原有资源上平行扩展</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35585">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64</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637BB">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256</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F2308">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1500</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9C5CE">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2</w:t>
            </w:r>
          </w:p>
        </w:tc>
      </w:tr>
      <w:tr w14:paraId="522FB393">
        <w:tblPrEx>
          <w:tblCellMar>
            <w:top w:w="0" w:type="dxa"/>
            <w:left w:w="108" w:type="dxa"/>
            <w:bottom w:w="0" w:type="dxa"/>
            <w:right w:w="108" w:type="dxa"/>
          </w:tblCellMar>
        </w:tblPrEx>
        <w:trPr>
          <w:trHeight w:val="600" w:hRule="atLeast"/>
          <w:jc w:val="center"/>
        </w:trPr>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0D13E">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2</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5FA9">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虚拟机</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D2B62">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业务应用服务器</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1D047">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在2023年原有资源上平行扩展</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5DBBA">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32</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FA9D5">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256</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E7D7A">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500</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4C2DE">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4</w:t>
            </w:r>
          </w:p>
        </w:tc>
      </w:tr>
      <w:tr w14:paraId="349481D8">
        <w:tblPrEx>
          <w:tblCellMar>
            <w:top w:w="0" w:type="dxa"/>
            <w:left w:w="108" w:type="dxa"/>
            <w:bottom w:w="0" w:type="dxa"/>
            <w:right w:w="108" w:type="dxa"/>
          </w:tblCellMar>
        </w:tblPrEx>
        <w:trPr>
          <w:trHeight w:val="600" w:hRule="atLeast"/>
          <w:jc w:val="center"/>
        </w:trPr>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55F84">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3</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7F8A8">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虚拟机</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B865D">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接口应用服务器</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34FFB">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在2023年原有资源上平行扩展</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3A03A">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16</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36885">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128</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3EA75">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500</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D8681">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1</w:t>
            </w:r>
          </w:p>
        </w:tc>
      </w:tr>
    </w:tbl>
    <w:p w14:paraId="1B9C6B14">
      <w:pPr>
        <w:ind w:firstLine="0" w:firstLineChars="0"/>
        <w:rPr>
          <w:rFonts w:hint="eastAsia"/>
        </w:rPr>
      </w:pPr>
      <w:r>
        <w:rPr>
          <w:rFonts w:hint="eastAsia" w:cs="宋体"/>
          <w:b/>
          <w:bCs/>
          <w:color w:val="000000"/>
          <w:kern w:val="0"/>
          <w:lang w:bidi="ar"/>
        </w:rPr>
        <w:t>2、PaaS服务资源</w:t>
      </w:r>
    </w:p>
    <w:tbl>
      <w:tblPr>
        <w:tblStyle w:val="36"/>
        <w:tblW w:w="8680" w:type="dxa"/>
        <w:jc w:val="center"/>
        <w:tblLayout w:type="autofit"/>
        <w:tblCellMar>
          <w:top w:w="0" w:type="dxa"/>
          <w:left w:w="108" w:type="dxa"/>
          <w:bottom w:w="0" w:type="dxa"/>
          <w:right w:w="108" w:type="dxa"/>
        </w:tblCellMar>
      </w:tblPr>
      <w:tblGrid>
        <w:gridCol w:w="775"/>
        <w:gridCol w:w="5169"/>
        <w:gridCol w:w="1368"/>
        <w:gridCol w:w="1368"/>
      </w:tblGrid>
      <w:tr w14:paraId="63F5E7EA">
        <w:tblPrEx>
          <w:tblCellMar>
            <w:top w:w="0" w:type="dxa"/>
            <w:left w:w="108" w:type="dxa"/>
            <w:bottom w:w="0" w:type="dxa"/>
            <w:right w:w="108" w:type="dxa"/>
          </w:tblCellMar>
        </w:tblPrEx>
        <w:trPr>
          <w:trHeight w:val="300" w:hRule="atLeast"/>
          <w:jc w:val="center"/>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E9EF4">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序号</w:t>
            </w:r>
          </w:p>
        </w:tc>
        <w:tc>
          <w:tcPr>
            <w:tcW w:w="5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4C8B1">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资源名称</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3DDCF">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单位</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107D2">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资源数量</w:t>
            </w:r>
          </w:p>
        </w:tc>
      </w:tr>
      <w:tr w14:paraId="4B9AD4D8">
        <w:tblPrEx>
          <w:tblCellMar>
            <w:top w:w="0" w:type="dxa"/>
            <w:left w:w="108" w:type="dxa"/>
            <w:bottom w:w="0" w:type="dxa"/>
            <w:right w:w="108" w:type="dxa"/>
          </w:tblCellMar>
        </w:tblPrEx>
        <w:trPr>
          <w:trHeight w:val="300" w:hRule="atLeast"/>
          <w:jc w:val="center"/>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EFA09">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1</w:t>
            </w:r>
          </w:p>
        </w:tc>
        <w:tc>
          <w:tcPr>
            <w:tcW w:w="5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B1909">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关系型数据库服务</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C7286">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实例</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222B9">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2</w:t>
            </w:r>
          </w:p>
        </w:tc>
      </w:tr>
      <w:tr w14:paraId="72FFCE55">
        <w:tblPrEx>
          <w:tblCellMar>
            <w:top w:w="0" w:type="dxa"/>
            <w:left w:w="108" w:type="dxa"/>
            <w:bottom w:w="0" w:type="dxa"/>
            <w:right w:w="108" w:type="dxa"/>
          </w:tblCellMar>
        </w:tblPrEx>
        <w:trPr>
          <w:trHeight w:val="300" w:hRule="atLeast"/>
          <w:jc w:val="center"/>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440CF">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2</w:t>
            </w:r>
          </w:p>
        </w:tc>
        <w:tc>
          <w:tcPr>
            <w:tcW w:w="5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6EC9D">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 xml:space="preserve">操作系统服务 </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00B58">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套*年</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FED50">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7</w:t>
            </w:r>
          </w:p>
        </w:tc>
      </w:tr>
      <w:tr w14:paraId="52203C2E">
        <w:tblPrEx>
          <w:tblCellMar>
            <w:top w:w="0" w:type="dxa"/>
            <w:left w:w="108" w:type="dxa"/>
            <w:bottom w:w="0" w:type="dxa"/>
            <w:right w:w="108" w:type="dxa"/>
          </w:tblCellMar>
        </w:tblPrEx>
        <w:trPr>
          <w:trHeight w:val="300" w:hRule="atLeast"/>
          <w:jc w:val="center"/>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B7C87">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3</w:t>
            </w:r>
          </w:p>
        </w:tc>
        <w:tc>
          <w:tcPr>
            <w:tcW w:w="5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52561">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中间件</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7C803">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套*年</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109C2">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4</w:t>
            </w:r>
          </w:p>
        </w:tc>
      </w:tr>
      <w:tr w14:paraId="215DDE4D">
        <w:tblPrEx>
          <w:tblCellMar>
            <w:top w:w="0" w:type="dxa"/>
            <w:left w:w="108" w:type="dxa"/>
            <w:bottom w:w="0" w:type="dxa"/>
            <w:right w:w="108" w:type="dxa"/>
          </w:tblCellMar>
        </w:tblPrEx>
        <w:trPr>
          <w:trHeight w:val="300" w:hRule="atLeast"/>
          <w:jc w:val="center"/>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18F59">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4</w:t>
            </w:r>
          </w:p>
        </w:tc>
        <w:tc>
          <w:tcPr>
            <w:tcW w:w="5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50C9E">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安全认证网关服务</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1E795">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套*年</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E2568">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2</w:t>
            </w:r>
          </w:p>
        </w:tc>
      </w:tr>
      <w:tr w14:paraId="78E9921A">
        <w:tblPrEx>
          <w:tblCellMar>
            <w:top w:w="0" w:type="dxa"/>
            <w:left w:w="108" w:type="dxa"/>
            <w:bottom w:w="0" w:type="dxa"/>
            <w:right w:w="108" w:type="dxa"/>
          </w:tblCellMar>
        </w:tblPrEx>
        <w:trPr>
          <w:trHeight w:val="300" w:hRule="atLeast"/>
          <w:jc w:val="center"/>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5E972">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5</w:t>
            </w:r>
          </w:p>
        </w:tc>
        <w:tc>
          <w:tcPr>
            <w:tcW w:w="5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97A1B">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签名验签服务</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E206C">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套*年</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E9512">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2</w:t>
            </w:r>
          </w:p>
        </w:tc>
      </w:tr>
      <w:tr w14:paraId="77243243">
        <w:tblPrEx>
          <w:tblCellMar>
            <w:top w:w="0" w:type="dxa"/>
            <w:left w:w="108" w:type="dxa"/>
            <w:bottom w:w="0" w:type="dxa"/>
            <w:right w:w="108" w:type="dxa"/>
          </w:tblCellMar>
        </w:tblPrEx>
        <w:trPr>
          <w:trHeight w:val="300" w:hRule="atLeast"/>
          <w:jc w:val="center"/>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6E2FC">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6</w:t>
            </w:r>
          </w:p>
        </w:tc>
        <w:tc>
          <w:tcPr>
            <w:tcW w:w="5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EBAFC">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数字证书服务 - SSL证书-单域名</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81C6F">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张*年</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77B5B">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4</w:t>
            </w:r>
          </w:p>
        </w:tc>
      </w:tr>
    </w:tbl>
    <w:p w14:paraId="6AF9F4F5">
      <w:pPr>
        <w:ind w:firstLine="0" w:firstLineChars="0"/>
        <w:rPr>
          <w:rFonts w:hint="eastAsia" w:cs="宋体"/>
          <w:b/>
          <w:bCs/>
          <w:color w:val="000000"/>
          <w:kern w:val="0"/>
          <w:lang w:bidi="ar"/>
        </w:rPr>
      </w:pPr>
      <w:r>
        <w:rPr>
          <w:rFonts w:hint="eastAsia" w:cs="宋体"/>
          <w:b/>
          <w:bCs/>
          <w:color w:val="000000"/>
          <w:kern w:val="0"/>
          <w:lang w:bidi="ar"/>
        </w:rPr>
        <w:t>3、GPU资源</w:t>
      </w:r>
    </w:p>
    <w:tbl>
      <w:tblPr>
        <w:tblStyle w:val="36"/>
        <w:tblW w:w="5868" w:type="dxa"/>
        <w:jc w:val="center"/>
        <w:tblLayout w:type="autofit"/>
        <w:tblCellMar>
          <w:top w:w="0" w:type="dxa"/>
          <w:left w:w="108" w:type="dxa"/>
          <w:bottom w:w="0" w:type="dxa"/>
          <w:right w:w="108" w:type="dxa"/>
        </w:tblCellMar>
      </w:tblPr>
      <w:tblGrid>
        <w:gridCol w:w="988"/>
        <w:gridCol w:w="1356"/>
        <w:gridCol w:w="1762"/>
        <w:gridCol w:w="1762"/>
      </w:tblGrid>
      <w:tr w14:paraId="1188F6E1">
        <w:tblPrEx>
          <w:tblCellMar>
            <w:top w:w="0" w:type="dxa"/>
            <w:left w:w="108" w:type="dxa"/>
            <w:bottom w:w="0" w:type="dxa"/>
            <w:right w:w="108" w:type="dxa"/>
          </w:tblCellMar>
        </w:tblPrEx>
        <w:trPr>
          <w:trHeight w:val="300" w:hRule="atLeast"/>
          <w:jc w:val="center"/>
        </w:trPr>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583A0">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序号</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77109">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GPU类型</w:t>
            </w:r>
          </w:p>
        </w:tc>
        <w:tc>
          <w:tcPr>
            <w:tcW w:w="1762" w:type="dxa"/>
            <w:tcBorders>
              <w:top w:val="single" w:color="000000" w:sz="4" w:space="0"/>
              <w:left w:val="single" w:color="000000" w:sz="4" w:space="0"/>
              <w:bottom w:val="single" w:color="000000" w:sz="4" w:space="0"/>
              <w:right w:val="single" w:color="000000" w:sz="4" w:space="0"/>
            </w:tcBorders>
            <w:shd w:val="clear" w:color="auto" w:fill="auto"/>
          </w:tcPr>
          <w:p w14:paraId="5663D49D">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资源说明</w:t>
            </w:r>
          </w:p>
        </w:tc>
        <w:tc>
          <w:tcPr>
            <w:tcW w:w="1762" w:type="dxa"/>
            <w:tcBorders>
              <w:top w:val="single" w:color="000000" w:sz="4" w:space="0"/>
              <w:left w:val="single" w:color="000000" w:sz="4" w:space="0"/>
              <w:bottom w:val="single" w:color="000000" w:sz="4" w:space="0"/>
              <w:right w:val="single" w:color="000000" w:sz="4" w:space="0"/>
            </w:tcBorders>
            <w:vAlign w:val="center"/>
          </w:tcPr>
          <w:p w14:paraId="05F48B19">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资源数量</w:t>
            </w:r>
          </w:p>
        </w:tc>
      </w:tr>
      <w:tr w14:paraId="0E761302">
        <w:tblPrEx>
          <w:tblCellMar>
            <w:top w:w="0" w:type="dxa"/>
            <w:left w:w="108" w:type="dxa"/>
            <w:bottom w:w="0" w:type="dxa"/>
            <w:right w:w="108" w:type="dxa"/>
          </w:tblCellMar>
        </w:tblPrEx>
        <w:trPr>
          <w:trHeight w:val="300" w:hRule="atLeast"/>
          <w:jc w:val="center"/>
        </w:trPr>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3E370">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1</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92763">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推理GPU</w:t>
            </w:r>
          </w:p>
        </w:tc>
        <w:tc>
          <w:tcPr>
            <w:tcW w:w="1762" w:type="dxa"/>
            <w:tcBorders>
              <w:top w:val="single" w:color="000000" w:sz="4" w:space="0"/>
              <w:left w:val="single" w:color="000000" w:sz="4" w:space="0"/>
              <w:bottom w:val="single" w:color="000000" w:sz="4" w:space="0"/>
              <w:right w:val="single" w:color="000000" w:sz="4" w:space="0"/>
            </w:tcBorders>
            <w:shd w:val="clear" w:color="auto" w:fill="auto"/>
          </w:tcPr>
          <w:p w14:paraId="13148555">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Ascend(昇腾) 300I Duo</w:t>
            </w:r>
          </w:p>
        </w:tc>
        <w:tc>
          <w:tcPr>
            <w:tcW w:w="1762" w:type="dxa"/>
            <w:tcBorders>
              <w:top w:val="single" w:color="000000" w:sz="4" w:space="0"/>
              <w:left w:val="single" w:color="000000" w:sz="4" w:space="0"/>
              <w:bottom w:val="single" w:color="000000" w:sz="4" w:space="0"/>
              <w:right w:val="single" w:color="000000" w:sz="4" w:space="0"/>
            </w:tcBorders>
            <w:vAlign w:val="center"/>
          </w:tcPr>
          <w:p w14:paraId="0C9014AE">
            <w:pPr>
              <w:widowControl/>
              <w:spacing w:line="240" w:lineRule="auto"/>
              <w:ind w:firstLine="0" w:firstLineChars="0"/>
              <w:jc w:val="center"/>
              <w:textAlignment w:val="center"/>
              <w:rPr>
                <w:rFonts w:hint="eastAsia" w:cs="宋体"/>
                <w:color w:val="000000"/>
                <w:kern w:val="0"/>
                <w:lang w:bidi="ar"/>
              </w:rPr>
            </w:pPr>
            <w:r>
              <w:rPr>
                <w:rFonts w:hint="eastAsia" w:cs="宋体"/>
                <w:color w:val="000000"/>
                <w:kern w:val="0"/>
                <w:lang w:bidi="ar"/>
              </w:rPr>
              <w:t>4</w:t>
            </w:r>
          </w:p>
        </w:tc>
      </w:tr>
    </w:tbl>
    <w:p w14:paraId="634DFD48">
      <w:pPr>
        <w:ind w:firstLine="0" w:firstLineChars="0"/>
        <w:rPr>
          <w:rFonts w:hint="eastAsia"/>
        </w:rPr>
      </w:pPr>
    </w:p>
    <w:p w14:paraId="6F436D17">
      <w:pPr>
        <w:pStyle w:val="2"/>
        <w:rPr>
          <w:rFonts w:hint="eastAsia"/>
        </w:rPr>
      </w:pPr>
      <w:bookmarkStart w:id="24" w:name="_Toc63785503"/>
      <w:r>
        <w:rPr>
          <w:rFonts w:hint="eastAsia"/>
        </w:rPr>
        <w:t>其他工作要求</w:t>
      </w:r>
      <w:bookmarkEnd w:id="24"/>
    </w:p>
    <w:p w14:paraId="5184FE03">
      <w:pPr>
        <w:pStyle w:val="3"/>
        <w:rPr>
          <w:rFonts w:hint="eastAsia"/>
        </w:rPr>
      </w:pPr>
      <w:bookmarkStart w:id="25" w:name="_Toc63785505"/>
      <w:r>
        <w:rPr>
          <w:rFonts w:hint="eastAsia"/>
        </w:rPr>
        <w:t>售后服务要求</w:t>
      </w:r>
      <w:bookmarkEnd w:id="25"/>
    </w:p>
    <w:p w14:paraId="355ABDA6">
      <w:pPr>
        <w:pStyle w:val="107"/>
        <w:snapToGrid w:val="0"/>
        <w:spacing w:line="360" w:lineRule="auto"/>
        <w:ind w:firstLine="480"/>
        <w:rPr>
          <w:rFonts w:hint="eastAsia" w:ascii="宋体" w:hAnsi="宋体"/>
          <w:sz w:val="24"/>
          <w:szCs w:val="24"/>
        </w:rPr>
      </w:pPr>
      <w:r>
        <w:rPr>
          <w:rFonts w:hint="eastAsia" w:ascii="宋体" w:hAnsi="宋体"/>
          <w:sz w:val="24"/>
          <w:szCs w:val="24"/>
        </w:rPr>
        <w:t>本项目从系统验收通过之日起1年内提供</w:t>
      </w:r>
      <w:r>
        <w:rPr>
          <w:rFonts w:ascii="宋体" w:hAnsi="宋体"/>
          <w:sz w:val="24"/>
          <w:szCs w:val="24"/>
        </w:rPr>
        <w:t>7*24小时免费技术支持</w:t>
      </w:r>
      <w:r>
        <w:rPr>
          <w:rFonts w:hint="eastAsia" w:ascii="宋体" w:hAnsi="宋体"/>
          <w:sz w:val="24"/>
          <w:szCs w:val="24"/>
        </w:rPr>
        <w:t>和售后服务，1年后进入有偿维护期。</w:t>
      </w:r>
    </w:p>
    <w:p w14:paraId="752A64A4">
      <w:pPr>
        <w:pStyle w:val="107"/>
        <w:snapToGrid w:val="0"/>
        <w:spacing w:line="360" w:lineRule="auto"/>
        <w:ind w:firstLine="480"/>
        <w:rPr>
          <w:rFonts w:hint="eastAsia" w:ascii="宋体" w:hAnsi="宋体"/>
          <w:sz w:val="24"/>
          <w:szCs w:val="24"/>
        </w:rPr>
      </w:pPr>
      <w:r>
        <w:rPr>
          <w:rFonts w:hint="eastAsia" w:ascii="宋体" w:hAnsi="宋体"/>
          <w:sz w:val="24"/>
          <w:szCs w:val="24"/>
        </w:rPr>
        <w:t>在质量保证期内，供应商将按照售后服务的承诺提供保修和运行维护服务，如果厂商对信息系统中软、硬件设备等产品中的部分保修期超过上述期限的，则按照厂商的规定进行免费保修。</w:t>
      </w:r>
    </w:p>
    <w:p w14:paraId="7663D186">
      <w:pPr>
        <w:pStyle w:val="107"/>
        <w:snapToGrid w:val="0"/>
        <w:spacing w:line="360" w:lineRule="auto"/>
        <w:ind w:firstLine="480"/>
        <w:rPr>
          <w:rFonts w:hint="eastAsia" w:ascii="宋体" w:hAnsi="宋体"/>
          <w:sz w:val="24"/>
          <w:szCs w:val="24"/>
        </w:rPr>
      </w:pPr>
      <w:r>
        <w:rPr>
          <w:rFonts w:hint="eastAsia" w:ascii="宋体" w:hAnsi="宋体"/>
          <w:sz w:val="24"/>
          <w:szCs w:val="24"/>
        </w:rPr>
        <w:t>在质量保证期内，供应商负责信息系统的运行维护工作，确保信息系统安全、稳定、可靠地运行。本项目涉及的运行维护工作范围为：上海市建设市场管理信息平台。</w:t>
      </w:r>
    </w:p>
    <w:p w14:paraId="085B7F26">
      <w:pPr>
        <w:pStyle w:val="3"/>
        <w:rPr>
          <w:rFonts w:hint="eastAsia"/>
        </w:rPr>
      </w:pPr>
      <w:bookmarkStart w:id="26" w:name="_Toc63785506"/>
      <w:r>
        <w:rPr>
          <w:rFonts w:hint="eastAsia"/>
        </w:rPr>
        <w:t>应急响应要求</w:t>
      </w:r>
      <w:bookmarkEnd w:id="26"/>
    </w:p>
    <w:p w14:paraId="72F11731">
      <w:pPr>
        <w:pStyle w:val="107"/>
        <w:snapToGrid w:val="0"/>
        <w:spacing w:line="360" w:lineRule="auto"/>
        <w:ind w:firstLine="480"/>
        <w:rPr>
          <w:rFonts w:hint="eastAsia" w:ascii="宋体" w:hAnsi="宋体"/>
          <w:sz w:val="24"/>
          <w:szCs w:val="24"/>
        </w:rPr>
      </w:pPr>
      <w:r>
        <w:rPr>
          <w:rFonts w:hint="eastAsia" w:ascii="宋体" w:hAnsi="宋体"/>
          <w:sz w:val="24"/>
          <w:szCs w:val="24"/>
        </w:rPr>
        <w:t>供应商对系统故障应能够实时响应，若系统发生故障，接到通知后</w:t>
      </w:r>
      <w:r>
        <w:rPr>
          <w:rFonts w:ascii="宋体" w:hAnsi="宋体"/>
          <w:sz w:val="24"/>
          <w:szCs w:val="24"/>
        </w:rPr>
        <w:t>30分钟之内响应，专业工程师2小时内到达现场</w:t>
      </w:r>
      <w:r>
        <w:rPr>
          <w:rFonts w:hint="eastAsia" w:ascii="宋体" w:hAnsi="宋体"/>
          <w:sz w:val="24"/>
          <w:szCs w:val="24"/>
        </w:rPr>
        <w:t>。特殊故障与客户沟通协商后，按照协商的方式制定解决方案并进行处理。</w:t>
      </w:r>
    </w:p>
    <w:p w14:paraId="2613AA03">
      <w:pPr>
        <w:pStyle w:val="107"/>
        <w:snapToGrid w:val="0"/>
        <w:spacing w:line="360" w:lineRule="auto"/>
        <w:ind w:firstLine="480"/>
        <w:rPr>
          <w:rFonts w:hint="eastAsia" w:ascii="宋体" w:hAnsi="宋体"/>
          <w:sz w:val="24"/>
          <w:szCs w:val="24"/>
        </w:rPr>
      </w:pPr>
      <w:r>
        <w:rPr>
          <w:rFonts w:hint="eastAsia" w:ascii="宋体" w:hAnsi="宋体"/>
          <w:sz w:val="24"/>
          <w:szCs w:val="24"/>
        </w:rPr>
        <w:t>具体故障级别及对应的应急响应要求如下：</w:t>
      </w:r>
    </w:p>
    <w:p w14:paraId="5B6E0EA1">
      <w:pPr>
        <w:pStyle w:val="107"/>
        <w:snapToGrid w:val="0"/>
        <w:spacing w:line="360" w:lineRule="auto"/>
        <w:ind w:firstLine="480"/>
        <w:rPr>
          <w:rFonts w:hint="eastAsia" w:ascii="宋体" w:hAnsi="宋体"/>
          <w:sz w:val="24"/>
          <w:szCs w:val="24"/>
        </w:rPr>
      </w:pPr>
      <w:r>
        <w:rPr>
          <w:rFonts w:hint="eastAsia" w:ascii="宋体" w:hAnsi="宋体"/>
          <w:sz w:val="24"/>
          <w:szCs w:val="24"/>
        </w:rPr>
        <w:t>一级故障：在</w:t>
      </w:r>
      <w:r>
        <w:rPr>
          <w:rFonts w:ascii="宋体" w:hAnsi="宋体"/>
          <w:sz w:val="24"/>
          <w:szCs w:val="24"/>
        </w:rPr>
        <w:t>1小时内确诊，总故障解决时间不超过4小时。</w:t>
      </w:r>
    </w:p>
    <w:p w14:paraId="283412A7">
      <w:pPr>
        <w:pStyle w:val="107"/>
        <w:snapToGrid w:val="0"/>
        <w:spacing w:line="360" w:lineRule="auto"/>
        <w:ind w:firstLine="480"/>
        <w:rPr>
          <w:rFonts w:hint="eastAsia" w:ascii="宋体" w:hAnsi="宋体"/>
          <w:sz w:val="24"/>
          <w:szCs w:val="24"/>
        </w:rPr>
      </w:pPr>
      <w:r>
        <w:rPr>
          <w:rFonts w:hint="eastAsia" w:ascii="宋体" w:hAnsi="宋体"/>
          <w:sz w:val="24"/>
          <w:szCs w:val="24"/>
        </w:rPr>
        <w:t>二级故障：在</w:t>
      </w:r>
      <w:r>
        <w:rPr>
          <w:rFonts w:ascii="宋体" w:hAnsi="宋体"/>
          <w:sz w:val="24"/>
          <w:szCs w:val="24"/>
        </w:rPr>
        <w:t>2小时内确诊，并在4小时内由专家到达现场确诊并解决，总故障解决时间不超过8小时；</w:t>
      </w:r>
    </w:p>
    <w:p w14:paraId="70BC542D">
      <w:pPr>
        <w:pStyle w:val="107"/>
        <w:snapToGrid w:val="0"/>
        <w:spacing w:line="360" w:lineRule="auto"/>
        <w:ind w:firstLine="480"/>
        <w:rPr>
          <w:rFonts w:hint="eastAsia" w:ascii="宋体" w:hAnsi="宋体"/>
          <w:sz w:val="24"/>
          <w:szCs w:val="24"/>
        </w:rPr>
      </w:pPr>
      <w:r>
        <w:rPr>
          <w:rFonts w:hint="eastAsia" w:ascii="宋体" w:hAnsi="宋体"/>
          <w:sz w:val="24"/>
          <w:szCs w:val="24"/>
        </w:rPr>
        <w:t>三、四级故障：在</w:t>
      </w:r>
      <w:r>
        <w:rPr>
          <w:rFonts w:ascii="宋体" w:hAnsi="宋体"/>
          <w:sz w:val="24"/>
          <w:szCs w:val="24"/>
        </w:rPr>
        <w:t>4小时内确诊故障，总故障解决时间不超过16小时。</w:t>
      </w:r>
    </w:p>
    <w:p w14:paraId="79B1986A">
      <w:pPr>
        <w:pStyle w:val="3"/>
        <w:rPr>
          <w:rFonts w:hint="eastAsia"/>
        </w:rPr>
      </w:pPr>
      <w:bookmarkStart w:id="27" w:name="_Toc63785507"/>
      <w:r>
        <w:rPr>
          <w:rFonts w:hint="eastAsia"/>
        </w:rPr>
        <w:t>培训要求</w:t>
      </w:r>
      <w:bookmarkEnd w:id="27"/>
    </w:p>
    <w:p w14:paraId="176CE388">
      <w:pPr>
        <w:rPr>
          <w:rFonts w:hint="eastAsia"/>
        </w:rPr>
      </w:pPr>
      <w:r>
        <w:rPr>
          <w:rFonts w:hint="eastAsia"/>
        </w:rPr>
        <w:t>对系统使用单位提供业务操作培训，应提供详细培训方案。</w:t>
      </w:r>
    </w:p>
    <w:p w14:paraId="476183B7">
      <w:pPr>
        <w:rPr>
          <w:rFonts w:hint="eastAsia"/>
        </w:rPr>
      </w:pPr>
      <w:r>
        <w:rPr>
          <w:rFonts w:hint="eastAsia"/>
        </w:rPr>
        <w:t>(1)在12个月的质量保证期内，提供2次与项目相关的必要培训。</w:t>
      </w:r>
    </w:p>
    <w:p w14:paraId="0306DCE0">
      <w:pPr>
        <w:rPr>
          <w:rFonts w:hint="eastAsia"/>
        </w:rPr>
      </w:pPr>
      <w:r>
        <w:rPr>
          <w:rFonts w:hint="eastAsia"/>
        </w:rPr>
        <w:t>(2)供应商需要开展分层次的人员培训工作，每次培训后应对参加培训人员进行测试，评估培训成果。培训应具有培训教材、培训环境和高水平的培训讲师。</w:t>
      </w:r>
    </w:p>
    <w:p w14:paraId="3954253D">
      <w:pPr>
        <w:rPr>
          <w:rFonts w:hint="eastAsia"/>
        </w:rPr>
      </w:pPr>
      <w:r>
        <w:rPr>
          <w:rFonts w:hint="eastAsia"/>
        </w:rPr>
        <w:t>(3)供应商应提供一般用户的基础操作培训和部门信息管理员的日常应用维护的培训，确保用户对象能够掌握对应的操作技能。</w:t>
      </w:r>
    </w:p>
    <w:p w14:paraId="64116295">
      <w:pPr>
        <w:rPr>
          <w:rFonts w:hint="eastAsia"/>
        </w:rPr>
      </w:pPr>
      <w:r>
        <w:rPr>
          <w:rFonts w:hint="eastAsia"/>
        </w:rPr>
        <w:t>(4) 提供2人的数据库认证培训。</w:t>
      </w:r>
    </w:p>
    <w:p w14:paraId="31435D4D">
      <w:pPr>
        <w:pStyle w:val="3"/>
        <w:rPr>
          <w:rFonts w:hint="eastAsia"/>
        </w:rPr>
      </w:pPr>
      <w:bookmarkStart w:id="28" w:name="_Toc63785508"/>
      <w:r>
        <w:rPr>
          <w:rFonts w:hint="eastAsia"/>
        </w:rPr>
        <w:t>验收要求</w:t>
      </w:r>
      <w:bookmarkEnd w:id="28"/>
    </w:p>
    <w:p w14:paraId="3AE868CD">
      <w:pPr>
        <w:rPr>
          <w:rFonts w:hint="eastAsia"/>
          <w:szCs w:val="21"/>
        </w:rPr>
      </w:pPr>
      <w:r>
        <w:rPr>
          <w:rFonts w:hint="eastAsia"/>
          <w:szCs w:val="21"/>
        </w:rPr>
        <w:t>本项目按下述方式开展验收。</w:t>
      </w:r>
    </w:p>
    <w:p w14:paraId="01095CDD">
      <w:pPr>
        <w:rPr>
          <w:rFonts w:hint="eastAsia"/>
          <w:szCs w:val="21"/>
        </w:rPr>
      </w:pPr>
      <w:r>
        <w:rPr>
          <w:rFonts w:hint="eastAsia"/>
          <w:szCs w:val="21"/>
        </w:rPr>
        <w:t>（</w:t>
      </w:r>
      <w:r>
        <w:rPr>
          <w:szCs w:val="21"/>
        </w:rPr>
        <w:t>1）验收分初验和终验。</w:t>
      </w:r>
    </w:p>
    <w:p w14:paraId="5F3C3C56">
      <w:pPr>
        <w:rPr>
          <w:rFonts w:hint="eastAsia"/>
          <w:szCs w:val="21"/>
        </w:rPr>
      </w:pPr>
      <w:r>
        <w:rPr>
          <w:rFonts w:hint="eastAsia"/>
          <w:szCs w:val="21"/>
        </w:rPr>
        <w:t>（</w:t>
      </w:r>
      <w:r>
        <w:rPr>
          <w:szCs w:val="21"/>
        </w:rPr>
        <w:t>2）初验前，供应商须完成软件开发、软硬件安装和信息系统的调试等，并对本项目进行功能和运行检测，确保所有信息系统功能模块能够正常运行且已达到本项目约定的各类标准要求。供应商应以书面形式向招标方递交初验通知书。招标方应当在接到通知后的5个工作日内确定初验的具体日期，由双方按照本项目的约定完成本项目的初验。招标方有权委托第三方检测机构进行验收，对此供应商应当配合。</w:t>
      </w:r>
    </w:p>
    <w:p w14:paraId="68CE2303">
      <w:pPr>
        <w:rPr>
          <w:rFonts w:hint="eastAsia"/>
          <w:szCs w:val="21"/>
        </w:rPr>
      </w:pPr>
      <w:r>
        <w:rPr>
          <w:rFonts w:hint="eastAsia"/>
          <w:szCs w:val="21"/>
        </w:rPr>
        <w:t>（</w:t>
      </w:r>
      <w:r>
        <w:rPr>
          <w:szCs w:val="21"/>
        </w:rPr>
        <w:t>3）初验时，供应商须提供软件文档包括《用户需求说明书》、《系统概要设计说明书》、《系统详细设计说明书》、</w:t>
      </w:r>
      <w:r>
        <w:rPr>
          <w:rFonts w:hint="eastAsia"/>
          <w:szCs w:val="21"/>
        </w:rPr>
        <w:t>《三方功能需求确认单》、</w:t>
      </w:r>
      <w:r>
        <w:rPr>
          <w:szCs w:val="21"/>
        </w:rPr>
        <w:t>《测试报告》、《用户使用手册》、《系统部署文档》等）及可安装的程序运行文件。所交付的文档与文件应当是可供自然人阅读的书面和电子文档。软件文档及可安装的程序运行文件验收通过后，视为初验通过。如有缺陷，招标方应向供应商出具书面报告，陈述需要改进的缺陷。供应商应立即严格依照招标方的书面报告中的要求改进缺陷，并再次进行初验。</w:t>
      </w:r>
    </w:p>
    <w:p w14:paraId="19439C0A">
      <w:pPr>
        <w:rPr>
          <w:rFonts w:hint="eastAsia"/>
          <w:szCs w:val="21"/>
        </w:rPr>
      </w:pPr>
      <w:r>
        <w:rPr>
          <w:rFonts w:hint="eastAsia"/>
          <w:szCs w:val="21"/>
        </w:rPr>
        <w:t>（4）</w:t>
      </w:r>
      <w:r>
        <w:rPr>
          <w:szCs w:val="21"/>
        </w:rPr>
        <w:t>自初验通过之日起，招标方享有供应商免费提供的</w:t>
      </w:r>
      <w:r>
        <w:rPr>
          <w:rFonts w:hint="eastAsia"/>
          <w:szCs w:val="21"/>
        </w:rPr>
        <w:t>30</w:t>
      </w:r>
      <w:r>
        <w:rPr>
          <w:szCs w:val="21"/>
        </w:rPr>
        <w:t>天的信息系统试运行现场驻场服务期。该期间内，供应商应当按照招标方的要求提供现场技术支持服务，解决信息系统试运行期间可能出现的各类问题，或进一步提高与完善信息系统运行水平。</w:t>
      </w:r>
    </w:p>
    <w:p w14:paraId="51C5F6B6">
      <w:pPr>
        <w:rPr>
          <w:rFonts w:hint="eastAsia"/>
          <w:szCs w:val="21"/>
        </w:rPr>
      </w:pPr>
      <w:r>
        <w:rPr>
          <w:rFonts w:hint="eastAsia"/>
          <w:szCs w:val="21"/>
        </w:rPr>
        <w:t>（</w:t>
      </w:r>
      <w:r>
        <w:rPr>
          <w:szCs w:val="21"/>
        </w:rPr>
        <w:t>5）初验通过且信息系统试运行期已经达到本项目约定的时间，经供应商确认信息系统具备正常运行条件，且信息系统通过运行测试，供应商应以书面形式通知招标方信息系统已准备就绪等待终验。招标方在收到终验通知后的</w:t>
      </w:r>
      <w:r>
        <w:rPr>
          <w:rFonts w:hint="eastAsia"/>
          <w:szCs w:val="21"/>
        </w:rPr>
        <w:t>10</w:t>
      </w:r>
      <w:r>
        <w:rPr>
          <w:szCs w:val="21"/>
        </w:rPr>
        <w:t>个工作日内发起组织专家验收会。</w:t>
      </w:r>
    </w:p>
    <w:p w14:paraId="5C0B4E55">
      <w:pPr>
        <w:rPr>
          <w:rFonts w:hint="eastAsia"/>
          <w:szCs w:val="21"/>
        </w:rPr>
      </w:pPr>
      <w:r>
        <w:rPr>
          <w:rFonts w:hint="eastAsia"/>
          <w:szCs w:val="21"/>
        </w:rPr>
        <w:t>（6</w:t>
      </w:r>
      <w:r>
        <w:rPr>
          <w:szCs w:val="21"/>
        </w:rPr>
        <w:t>）如果属于供应商原因致使本项目未能通过终验，供应商应当排除缺陷，直至本项目完全符合验收标准，由上述情形而产生的相关费用应由供应商自行承担。</w:t>
      </w:r>
    </w:p>
    <w:p w14:paraId="38C8F4D0">
      <w:pPr>
        <w:rPr>
          <w:rFonts w:hint="eastAsia"/>
          <w:szCs w:val="21"/>
        </w:rPr>
      </w:pPr>
      <w:r>
        <w:rPr>
          <w:rFonts w:hint="eastAsia"/>
          <w:szCs w:val="21"/>
        </w:rPr>
        <w:t>（7</w:t>
      </w:r>
      <w:r>
        <w:rPr>
          <w:szCs w:val="21"/>
        </w:rPr>
        <w:t>）如果由于招标方原因导致本项目在终验通过前出现故障或问题，供应商应及时配合排除该方面的故障或问题。</w:t>
      </w:r>
    </w:p>
    <w:p w14:paraId="7E244522">
      <w:pPr>
        <w:rPr>
          <w:rFonts w:hint="eastAsia"/>
          <w:szCs w:val="21"/>
        </w:rPr>
      </w:pPr>
      <w:r>
        <w:rPr>
          <w:rFonts w:hint="eastAsia"/>
          <w:szCs w:val="21"/>
        </w:rPr>
        <w:t>（8</w:t>
      </w:r>
      <w:r>
        <w:rPr>
          <w:szCs w:val="21"/>
        </w:rPr>
        <w:t>）如本项目连续3次验收未通过（含初验未通过或终验未通过），招标方有权解除项目，并有权依照本项目约定的违约条款追究供应商的违约责任。</w:t>
      </w:r>
    </w:p>
    <w:p w14:paraId="6686A79F">
      <w:pPr>
        <w:pStyle w:val="3"/>
        <w:rPr>
          <w:rFonts w:hint="eastAsia"/>
        </w:rPr>
      </w:pPr>
      <w:bookmarkStart w:id="29" w:name="_Toc63785509"/>
      <w:r>
        <w:rPr>
          <w:rFonts w:hint="eastAsia"/>
        </w:rPr>
        <w:t>进度要求</w:t>
      </w:r>
      <w:bookmarkEnd w:id="29"/>
    </w:p>
    <w:p w14:paraId="0AE37119">
      <w:pPr>
        <w:rPr>
          <w:rFonts w:hint="eastAsia"/>
        </w:rPr>
      </w:pPr>
      <w:r>
        <w:rPr>
          <w:rFonts w:hint="eastAsia"/>
        </w:rPr>
        <w:t>投标人应根据建设内容，分阶段制定合理的时间进度，并且应根据招标方要求进行调整和细化。</w:t>
      </w:r>
    </w:p>
    <w:p w14:paraId="0B5D6EC5">
      <w:pPr>
        <w:rPr>
          <w:rFonts w:hint="eastAsia"/>
        </w:rPr>
      </w:pPr>
      <w:r>
        <w:rPr>
          <w:rFonts w:hint="eastAsia"/>
        </w:rPr>
        <w:t>总建设周期分为</w:t>
      </w:r>
      <w:r>
        <w:t>3个阶段。</w:t>
      </w:r>
    </w:p>
    <w:p w14:paraId="1A6F23E1">
      <w:pPr>
        <w:rPr>
          <w:rFonts w:hint="eastAsia"/>
        </w:rPr>
      </w:pPr>
      <w:r>
        <w:rPr>
          <w:rFonts w:hint="eastAsia"/>
        </w:rPr>
        <w:t>第一阶段合同签订之日起-2026年2月，完成系统建设。2025年11月完成项目初验。</w:t>
      </w:r>
    </w:p>
    <w:p w14:paraId="34C03DF0">
      <w:pPr>
        <w:rPr>
          <w:rFonts w:hint="eastAsia"/>
        </w:rPr>
      </w:pPr>
      <w:r>
        <w:rPr>
          <w:rFonts w:hint="eastAsia"/>
        </w:rPr>
        <w:t>第二阶段2026年3-4月，完成整体系统测试、试运行。</w:t>
      </w:r>
    </w:p>
    <w:p w14:paraId="532FC787">
      <w:pPr>
        <w:rPr>
          <w:rFonts w:hint="eastAsia"/>
        </w:rPr>
      </w:pPr>
      <w:r>
        <w:rPr>
          <w:rFonts w:hint="eastAsia"/>
        </w:rPr>
        <w:t>第三阶段2026年5-6月，完成项目最终验收。</w:t>
      </w:r>
    </w:p>
    <w:p w14:paraId="3CB5D4F9">
      <w:pPr>
        <w:pStyle w:val="3"/>
        <w:rPr>
          <w:rFonts w:hint="eastAsia"/>
        </w:rPr>
      </w:pPr>
      <w:bookmarkStart w:id="30" w:name="_Toc63785510"/>
      <w:r>
        <w:rPr>
          <w:rFonts w:hint="eastAsia"/>
        </w:rPr>
        <w:t>项目团队及驻场人员要求</w:t>
      </w:r>
      <w:bookmarkEnd w:id="30"/>
    </w:p>
    <w:p w14:paraId="132C543F">
      <w:pPr>
        <w:rPr>
          <w:rFonts w:hint="eastAsia"/>
        </w:rPr>
      </w:pPr>
      <w:r>
        <w:t>1）投标人须具有稳定的在职技术保障力量，能够提供及时的技术支援或服务，应针对本项目提供不少于</w:t>
      </w:r>
      <w:r>
        <w:rPr>
          <w:rFonts w:hint="eastAsia"/>
        </w:rPr>
        <w:t>18</w:t>
      </w:r>
      <w:r>
        <w:t>人的项目服务团队（包括项目经理、产品经理、技术负责人、研发等），投标单位的相关服务人员需具备相应的服务能力，需提供相关证明。</w:t>
      </w:r>
    </w:p>
    <w:tbl>
      <w:tblPr>
        <w:tblStyle w:val="36"/>
        <w:tblW w:w="8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2221"/>
        <w:gridCol w:w="1180"/>
        <w:gridCol w:w="2364"/>
        <w:gridCol w:w="1536"/>
      </w:tblGrid>
      <w:tr w14:paraId="40634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1176" w:type="dxa"/>
            <w:shd w:val="clear" w:color="auto" w:fill="auto"/>
            <w:noWrap/>
            <w:vAlign w:val="center"/>
          </w:tcPr>
          <w:p w14:paraId="26A8BF11">
            <w:pPr>
              <w:widowControl/>
              <w:spacing w:line="240" w:lineRule="auto"/>
              <w:ind w:firstLine="0" w:firstLineChars="0"/>
              <w:jc w:val="center"/>
              <w:rPr>
                <w:rFonts w:hint="eastAsia"/>
                <w:b/>
              </w:rPr>
            </w:pPr>
            <w:r>
              <w:rPr>
                <w:rFonts w:hint="eastAsia"/>
                <w:b/>
              </w:rPr>
              <w:t>角色</w:t>
            </w:r>
          </w:p>
        </w:tc>
        <w:tc>
          <w:tcPr>
            <w:tcW w:w="2221" w:type="dxa"/>
            <w:shd w:val="clear" w:color="auto" w:fill="auto"/>
            <w:noWrap/>
            <w:vAlign w:val="center"/>
          </w:tcPr>
          <w:p w14:paraId="32B6C246">
            <w:pPr>
              <w:widowControl/>
              <w:spacing w:line="240" w:lineRule="auto"/>
              <w:ind w:firstLine="0" w:firstLineChars="0"/>
              <w:jc w:val="center"/>
              <w:rPr>
                <w:rFonts w:hint="eastAsia"/>
                <w:b/>
              </w:rPr>
            </w:pPr>
            <w:r>
              <w:rPr>
                <w:rFonts w:hint="eastAsia"/>
                <w:b/>
              </w:rPr>
              <w:t>主要职责</w:t>
            </w:r>
          </w:p>
        </w:tc>
        <w:tc>
          <w:tcPr>
            <w:tcW w:w="1180" w:type="dxa"/>
            <w:shd w:val="clear" w:color="auto" w:fill="auto"/>
            <w:noWrap/>
            <w:vAlign w:val="center"/>
          </w:tcPr>
          <w:p w14:paraId="2847BBC4">
            <w:pPr>
              <w:widowControl/>
              <w:spacing w:line="240" w:lineRule="auto"/>
              <w:ind w:firstLine="0" w:firstLineChars="0"/>
              <w:jc w:val="center"/>
              <w:rPr>
                <w:rFonts w:hint="eastAsia"/>
                <w:b/>
              </w:rPr>
            </w:pPr>
            <w:r>
              <w:rPr>
                <w:rFonts w:hint="eastAsia"/>
                <w:b/>
              </w:rPr>
              <w:t>人员数量</w:t>
            </w:r>
          </w:p>
        </w:tc>
        <w:tc>
          <w:tcPr>
            <w:tcW w:w="2364" w:type="dxa"/>
            <w:vAlign w:val="center"/>
          </w:tcPr>
          <w:p w14:paraId="62FB1ADA">
            <w:pPr>
              <w:widowControl/>
              <w:spacing w:line="240" w:lineRule="auto"/>
              <w:ind w:firstLine="0" w:firstLineChars="0"/>
              <w:jc w:val="center"/>
              <w:rPr>
                <w:rFonts w:hint="eastAsia"/>
                <w:b/>
                <w:highlight w:val="yellow"/>
              </w:rPr>
            </w:pPr>
            <w:r>
              <w:rPr>
                <w:rFonts w:hint="eastAsia"/>
                <w:b/>
              </w:rPr>
              <w:t>人员要求</w:t>
            </w:r>
          </w:p>
        </w:tc>
        <w:tc>
          <w:tcPr>
            <w:tcW w:w="1536" w:type="dxa"/>
            <w:shd w:val="clear" w:color="auto" w:fill="auto"/>
            <w:noWrap/>
            <w:vAlign w:val="center"/>
          </w:tcPr>
          <w:p w14:paraId="5642166E">
            <w:pPr>
              <w:widowControl/>
              <w:spacing w:line="240" w:lineRule="auto"/>
              <w:ind w:firstLine="0" w:firstLineChars="0"/>
              <w:jc w:val="center"/>
              <w:rPr>
                <w:rFonts w:hint="eastAsia"/>
                <w:b/>
              </w:rPr>
            </w:pPr>
            <w:r>
              <w:rPr>
                <w:rFonts w:hint="eastAsia"/>
                <w:b/>
              </w:rPr>
              <w:t>驻场要求</w:t>
            </w:r>
          </w:p>
        </w:tc>
      </w:tr>
      <w:tr w14:paraId="754A1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shd w:val="clear" w:color="auto" w:fill="auto"/>
            <w:noWrap/>
            <w:vAlign w:val="center"/>
          </w:tcPr>
          <w:p w14:paraId="3CF77821">
            <w:pPr>
              <w:widowControl/>
              <w:spacing w:line="240" w:lineRule="auto"/>
              <w:ind w:firstLine="0" w:firstLineChars="0"/>
              <w:jc w:val="center"/>
              <w:rPr>
                <w:rFonts w:hint="eastAsia"/>
              </w:rPr>
            </w:pPr>
            <w:r>
              <w:rPr>
                <w:rFonts w:hint="eastAsia"/>
              </w:rPr>
              <w:t>项目经理</w:t>
            </w:r>
          </w:p>
        </w:tc>
        <w:tc>
          <w:tcPr>
            <w:tcW w:w="2221" w:type="dxa"/>
            <w:shd w:val="clear" w:color="auto" w:fill="auto"/>
            <w:vAlign w:val="center"/>
          </w:tcPr>
          <w:p w14:paraId="7CC85BBB">
            <w:pPr>
              <w:widowControl/>
              <w:spacing w:line="240" w:lineRule="auto"/>
              <w:ind w:firstLine="0" w:firstLineChars="0"/>
              <w:jc w:val="center"/>
              <w:rPr>
                <w:rFonts w:hint="eastAsia"/>
              </w:rPr>
            </w:pPr>
            <w:r>
              <w:rPr>
                <w:rFonts w:hint="eastAsia"/>
              </w:rPr>
              <w:t>负责项目质量和进度控制</w:t>
            </w:r>
          </w:p>
        </w:tc>
        <w:tc>
          <w:tcPr>
            <w:tcW w:w="1180" w:type="dxa"/>
            <w:shd w:val="clear" w:color="auto" w:fill="auto"/>
            <w:noWrap/>
            <w:vAlign w:val="center"/>
          </w:tcPr>
          <w:p w14:paraId="2D741BA8">
            <w:pPr>
              <w:widowControl/>
              <w:spacing w:line="240" w:lineRule="auto"/>
              <w:ind w:firstLine="0" w:firstLineChars="0"/>
              <w:jc w:val="center"/>
              <w:rPr>
                <w:rFonts w:hint="eastAsia"/>
              </w:rPr>
            </w:pPr>
            <w:r>
              <w:rPr>
                <w:rFonts w:hint="eastAsia"/>
              </w:rPr>
              <w:t>1人</w:t>
            </w:r>
          </w:p>
        </w:tc>
        <w:tc>
          <w:tcPr>
            <w:tcW w:w="2364" w:type="dxa"/>
            <w:vAlign w:val="center"/>
          </w:tcPr>
          <w:p w14:paraId="5A55C649">
            <w:pPr>
              <w:widowControl/>
              <w:spacing w:line="240" w:lineRule="auto"/>
              <w:ind w:firstLine="0" w:firstLineChars="0"/>
              <w:jc w:val="center"/>
              <w:rPr>
                <w:rFonts w:hint="eastAsia"/>
                <w:highlight w:val="yellow"/>
              </w:rPr>
            </w:pPr>
            <w:r>
              <w:rPr>
                <w:rFonts w:hint="eastAsia"/>
              </w:rPr>
              <w:t>计算机相关专业</w:t>
            </w:r>
            <w:r>
              <w:t>本科</w:t>
            </w:r>
            <w:r>
              <w:rPr>
                <w:rFonts w:hint="eastAsia"/>
              </w:rPr>
              <w:t>及以上学历，计算机或工程系列高级工程师及以上资格，有不低于两个政务类信息系统项目管理经验</w:t>
            </w:r>
          </w:p>
        </w:tc>
        <w:tc>
          <w:tcPr>
            <w:tcW w:w="1536" w:type="dxa"/>
            <w:shd w:val="clear" w:color="auto" w:fill="auto"/>
            <w:noWrap/>
            <w:vAlign w:val="center"/>
          </w:tcPr>
          <w:p w14:paraId="27A4B896">
            <w:pPr>
              <w:widowControl/>
              <w:spacing w:line="240" w:lineRule="auto"/>
              <w:ind w:firstLine="0" w:firstLineChars="0"/>
              <w:jc w:val="center"/>
              <w:rPr>
                <w:rFonts w:hint="eastAsia"/>
              </w:rPr>
            </w:pPr>
            <w:r>
              <w:rPr>
                <w:rFonts w:hint="eastAsia"/>
              </w:rPr>
              <w:t>驻场</w:t>
            </w:r>
          </w:p>
        </w:tc>
      </w:tr>
      <w:tr w14:paraId="4121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shd w:val="clear" w:color="auto" w:fill="auto"/>
            <w:noWrap/>
            <w:vAlign w:val="center"/>
          </w:tcPr>
          <w:p w14:paraId="6F8A5F05">
            <w:pPr>
              <w:widowControl/>
              <w:spacing w:line="240" w:lineRule="auto"/>
              <w:ind w:firstLine="0" w:firstLineChars="0"/>
              <w:jc w:val="center"/>
              <w:rPr>
                <w:rFonts w:hint="eastAsia"/>
              </w:rPr>
            </w:pPr>
            <w:r>
              <w:rPr>
                <w:rFonts w:hint="eastAsia"/>
              </w:rPr>
              <w:t>产品经理</w:t>
            </w:r>
          </w:p>
        </w:tc>
        <w:tc>
          <w:tcPr>
            <w:tcW w:w="2221" w:type="dxa"/>
            <w:shd w:val="clear" w:color="auto" w:fill="auto"/>
            <w:vAlign w:val="center"/>
          </w:tcPr>
          <w:p w14:paraId="2A6C4797">
            <w:pPr>
              <w:widowControl/>
              <w:spacing w:line="240" w:lineRule="auto"/>
              <w:ind w:firstLine="0" w:firstLineChars="0"/>
              <w:jc w:val="center"/>
              <w:rPr>
                <w:rFonts w:hint="eastAsia"/>
              </w:rPr>
            </w:pPr>
            <w:r>
              <w:rPr>
                <w:rFonts w:hint="eastAsia"/>
              </w:rPr>
              <w:t>负责项目需求评估与产品设计</w:t>
            </w:r>
          </w:p>
        </w:tc>
        <w:tc>
          <w:tcPr>
            <w:tcW w:w="1180" w:type="dxa"/>
            <w:shd w:val="clear" w:color="auto" w:fill="auto"/>
            <w:noWrap/>
            <w:vAlign w:val="center"/>
          </w:tcPr>
          <w:p w14:paraId="1703409A">
            <w:pPr>
              <w:widowControl/>
              <w:spacing w:line="240" w:lineRule="auto"/>
              <w:ind w:firstLine="0" w:firstLineChars="0"/>
              <w:jc w:val="center"/>
              <w:rPr>
                <w:rFonts w:hint="eastAsia"/>
              </w:rPr>
            </w:pPr>
            <w:r>
              <w:rPr>
                <w:rFonts w:hint="eastAsia"/>
              </w:rPr>
              <w:t>2人</w:t>
            </w:r>
          </w:p>
        </w:tc>
        <w:tc>
          <w:tcPr>
            <w:tcW w:w="2364" w:type="dxa"/>
            <w:vAlign w:val="center"/>
          </w:tcPr>
          <w:p w14:paraId="72D21821">
            <w:pPr>
              <w:widowControl/>
              <w:spacing w:line="240" w:lineRule="auto"/>
              <w:ind w:firstLine="0" w:firstLineChars="0"/>
              <w:jc w:val="center"/>
              <w:rPr>
                <w:rFonts w:hint="eastAsia"/>
                <w:highlight w:val="yellow"/>
              </w:rPr>
            </w:pPr>
            <w:r>
              <w:rPr>
                <w:rFonts w:hint="eastAsia"/>
              </w:rPr>
              <w:t>大学本科以上学历、5年以上产品设计经验</w:t>
            </w:r>
          </w:p>
        </w:tc>
        <w:tc>
          <w:tcPr>
            <w:tcW w:w="1536" w:type="dxa"/>
            <w:shd w:val="clear" w:color="auto" w:fill="auto"/>
            <w:noWrap/>
            <w:vAlign w:val="center"/>
          </w:tcPr>
          <w:p w14:paraId="00F48F12">
            <w:pPr>
              <w:widowControl/>
              <w:spacing w:line="240" w:lineRule="auto"/>
              <w:ind w:firstLine="0" w:firstLineChars="0"/>
              <w:jc w:val="center"/>
              <w:rPr>
                <w:rFonts w:hint="eastAsia"/>
              </w:rPr>
            </w:pPr>
            <w:r>
              <w:rPr>
                <w:rFonts w:hint="eastAsia"/>
              </w:rPr>
              <w:t>驻场</w:t>
            </w:r>
          </w:p>
        </w:tc>
      </w:tr>
      <w:tr w14:paraId="0AE9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shd w:val="clear" w:color="auto" w:fill="auto"/>
            <w:noWrap/>
            <w:vAlign w:val="center"/>
          </w:tcPr>
          <w:p w14:paraId="37947DCD">
            <w:pPr>
              <w:widowControl/>
              <w:spacing w:line="240" w:lineRule="auto"/>
              <w:ind w:firstLine="0" w:firstLineChars="0"/>
              <w:jc w:val="center"/>
              <w:rPr>
                <w:rFonts w:hint="eastAsia"/>
              </w:rPr>
            </w:pPr>
            <w:r>
              <w:rPr>
                <w:rFonts w:hint="eastAsia"/>
              </w:rPr>
              <w:t>研发</w:t>
            </w:r>
          </w:p>
        </w:tc>
        <w:tc>
          <w:tcPr>
            <w:tcW w:w="2221" w:type="dxa"/>
            <w:shd w:val="clear" w:color="auto" w:fill="auto"/>
            <w:noWrap/>
            <w:vAlign w:val="center"/>
          </w:tcPr>
          <w:p w14:paraId="56AAE282">
            <w:pPr>
              <w:widowControl/>
              <w:spacing w:line="240" w:lineRule="auto"/>
              <w:ind w:firstLine="0" w:firstLineChars="0"/>
              <w:jc w:val="center"/>
              <w:rPr>
                <w:rFonts w:hint="eastAsia"/>
              </w:rPr>
            </w:pPr>
            <w:r>
              <w:rPr>
                <w:rFonts w:hint="eastAsia"/>
              </w:rPr>
              <w:t>负责项目具体开发与实施</w:t>
            </w:r>
          </w:p>
        </w:tc>
        <w:tc>
          <w:tcPr>
            <w:tcW w:w="1180" w:type="dxa"/>
            <w:shd w:val="clear" w:color="auto" w:fill="auto"/>
            <w:noWrap/>
            <w:vAlign w:val="center"/>
          </w:tcPr>
          <w:p w14:paraId="74C0888A">
            <w:pPr>
              <w:widowControl/>
              <w:spacing w:line="240" w:lineRule="auto"/>
              <w:ind w:firstLine="0" w:firstLineChars="0"/>
              <w:jc w:val="center"/>
              <w:rPr>
                <w:rFonts w:hint="eastAsia"/>
              </w:rPr>
            </w:pPr>
            <w:r>
              <w:rPr>
                <w:rFonts w:hint="eastAsia"/>
              </w:rPr>
              <w:t>15人</w:t>
            </w:r>
          </w:p>
        </w:tc>
        <w:tc>
          <w:tcPr>
            <w:tcW w:w="2364" w:type="dxa"/>
            <w:vAlign w:val="center"/>
          </w:tcPr>
          <w:p w14:paraId="194304E1">
            <w:pPr>
              <w:widowControl/>
              <w:spacing w:line="240" w:lineRule="auto"/>
              <w:ind w:firstLine="0" w:firstLineChars="0"/>
              <w:jc w:val="center"/>
              <w:rPr>
                <w:rFonts w:hint="eastAsia"/>
                <w:highlight w:val="yellow"/>
              </w:rPr>
            </w:pPr>
            <w:r>
              <w:rPr>
                <w:rFonts w:hint="eastAsia"/>
              </w:rPr>
              <w:t>大学本科以上学历、3年以上项目研发经验</w:t>
            </w:r>
          </w:p>
        </w:tc>
        <w:tc>
          <w:tcPr>
            <w:tcW w:w="1536" w:type="dxa"/>
            <w:shd w:val="clear" w:color="auto" w:fill="auto"/>
            <w:noWrap/>
            <w:vAlign w:val="center"/>
          </w:tcPr>
          <w:p w14:paraId="3B1EF133">
            <w:pPr>
              <w:widowControl/>
              <w:spacing w:line="240" w:lineRule="auto"/>
              <w:ind w:firstLine="0" w:firstLineChars="0"/>
              <w:jc w:val="center"/>
              <w:rPr>
                <w:rFonts w:hint="eastAsia"/>
              </w:rPr>
            </w:pPr>
            <w:r>
              <w:rPr>
                <w:rFonts w:hint="eastAsia"/>
              </w:rPr>
              <w:t>驻场10人/</w:t>
            </w:r>
          </w:p>
          <w:p w14:paraId="2D17F39E">
            <w:pPr>
              <w:widowControl/>
              <w:spacing w:line="240" w:lineRule="auto"/>
              <w:ind w:firstLine="0" w:firstLineChars="0"/>
              <w:jc w:val="center"/>
              <w:rPr>
                <w:rFonts w:hint="eastAsia"/>
              </w:rPr>
            </w:pPr>
            <w:r>
              <w:rPr>
                <w:rFonts w:hint="eastAsia"/>
              </w:rPr>
              <w:t>不驻场5人</w:t>
            </w:r>
          </w:p>
        </w:tc>
      </w:tr>
    </w:tbl>
    <w:p w14:paraId="420AC057">
      <w:pPr>
        <w:rPr>
          <w:rFonts w:hint="eastAsia"/>
        </w:rPr>
      </w:pPr>
      <w:r>
        <w:t>2）投标人应针对本项目提供不少于</w:t>
      </w:r>
      <w:r>
        <w:rPr>
          <w:rFonts w:hint="eastAsia"/>
        </w:rPr>
        <w:t>4</w:t>
      </w:r>
      <w:r>
        <w:t>人的质保期间支撑团队（其中技术经理</w:t>
      </w:r>
      <w:r>
        <w:rPr>
          <w:rFonts w:hint="eastAsia"/>
        </w:rPr>
        <w:t>1</w:t>
      </w:r>
      <w:r>
        <w:t>人，技术工程师不少于</w:t>
      </w:r>
      <w:r>
        <w:rPr>
          <w:rFonts w:hint="eastAsia"/>
        </w:rPr>
        <w:t>3</w:t>
      </w:r>
      <w:r>
        <w:t>人）；投标人的相关服务人员需具备相应的服务能力，需提供相关证明（最近一个季度依法缴纳社保费的证明）。</w:t>
      </w:r>
    </w:p>
    <w:tbl>
      <w:tblPr>
        <w:tblStyle w:val="36"/>
        <w:tblW w:w="84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123"/>
        <w:gridCol w:w="1180"/>
        <w:gridCol w:w="2506"/>
        <w:gridCol w:w="1180"/>
      </w:tblGrid>
      <w:tr w14:paraId="3E66A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31819429">
            <w:pPr>
              <w:widowControl/>
              <w:spacing w:line="240" w:lineRule="auto"/>
              <w:ind w:firstLine="0" w:firstLineChars="0"/>
              <w:jc w:val="center"/>
              <w:rPr>
                <w:rFonts w:hint="eastAsia"/>
                <w:b/>
              </w:rPr>
            </w:pPr>
            <w:r>
              <w:rPr>
                <w:rFonts w:hint="eastAsia"/>
                <w:b/>
              </w:rPr>
              <w:t>角色</w:t>
            </w:r>
          </w:p>
        </w:tc>
        <w:tc>
          <w:tcPr>
            <w:tcW w:w="2123" w:type="dxa"/>
            <w:shd w:val="clear" w:color="auto" w:fill="auto"/>
            <w:noWrap/>
            <w:vAlign w:val="center"/>
          </w:tcPr>
          <w:p w14:paraId="531DB878">
            <w:pPr>
              <w:widowControl/>
              <w:spacing w:line="240" w:lineRule="auto"/>
              <w:ind w:firstLine="0" w:firstLineChars="0"/>
              <w:jc w:val="center"/>
              <w:rPr>
                <w:rFonts w:hint="eastAsia"/>
                <w:b/>
              </w:rPr>
            </w:pPr>
            <w:r>
              <w:rPr>
                <w:rFonts w:hint="eastAsia"/>
                <w:b/>
              </w:rPr>
              <w:t>主要职责</w:t>
            </w:r>
          </w:p>
        </w:tc>
        <w:tc>
          <w:tcPr>
            <w:tcW w:w="0" w:type="auto"/>
            <w:shd w:val="clear" w:color="auto" w:fill="auto"/>
            <w:noWrap/>
            <w:vAlign w:val="center"/>
          </w:tcPr>
          <w:p w14:paraId="363AA9B0">
            <w:pPr>
              <w:widowControl/>
              <w:spacing w:line="240" w:lineRule="auto"/>
              <w:ind w:firstLine="0" w:firstLineChars="0"/>
              <w:jc w:val="center"/>
              <w:rPr>
                <w:rFonts w:hint="eastAsia"/>
                <w:b/>
              </w:rPr>
            </w:pPr>
            <w:r>
              <w:rPr>
                <w:rFonts w:hint="eastAsia"/>
                <w:b/>
              </w:rPr>
              <w:t>人员数量</w:t>
            </w:r>
          </w:p>
        </w:tc>
        <w:tc>
          <w:tcPr>
            <w:tcW w:w="2506" w:type="dxa"/>
            <w:vAlign w:val="center"/>
          </w:tcPr>
          <w:p w14:paraId="038C9377">
            <w:pPr>
              <w:widowControl/>
              <w:spacing w:line="240" w:lineRule="auto"/>
              <w:ind w:firstLine="0" w:firstLineChars="0"/>
              <w:jc w:val="center"/>
              <w:rPr>
                <w:rFonts w:hint="eastAsia"/>
                <w:b/>
              </w:rPr>
            </w:pPr>
            <w:r>
              <w:rPr>
                <w:rFonts w:hint="eastAsia"/>
                <w:b/>
              </w:rPr>
              <w:t>人员要求</w:t>
            </w:r>
          </w:p>
        </w:tc>
        <w:tc>
          <w:tcPr>
            <w:tcW w:w="0" w:type="auto"/>
            <w:shd w:val="clear" w:color="auto" w:fill="auto"/>
            <w:noWrap/>
            <w:vAlign w:val="center"/>
          </w:tcPr>
          <w:p w14:paraId="4301FD7E">
            <w:pPr>
              <w:widowControl/>
              <w:spacing w:line="240" w:lineRule="auto"/>
              <w:ind w:firstLine="0" w:firstLineChars="0"/>
              <w:jc w:val="center"/>
              <w:rPr>
                <w:rFonts w:hint="eastAsia"/>
                <w:b/>
              </w:rPr>
            </w:pPr>
            <w:r>
              <w:rPr>
                <w:rFonts w:hint="eastAsia"/>
                <w:b/>
              </w:rPr>
              <w:t>驻场要求</w:t>
            </w:r>
          </w:p>
        </w:tc>
      </w:tr>
      <w:tr w14:paraId="3CD5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03F97EE0">
            <w:pPr>
              <w:widowControl/>
              <w:spacing w:line="240" w:lineRule="auto"/>
              <w:ind w:firstLine="0" w:firstLineChars="0"/>
              <w:jc w:val="center"/>
              <w:rPr>
                <w:rFonts w:hint="eastAsia"/>
              </w:rPr>
            </w:pPr>
            <w:r>
              <w:rPr>
                <w:rFonts w:hint="eastAsia"/>
              </w:rPr>
              <w:t>项目经理</w:t>
            </w:r>
          </w:p>
        </w:tc>
        <w:tc>
          <w:tcPr>
            <w:tcW w:w="2123" w:type="dxa"/>
            <w:shd w:val="clear" w:color="auto" w:fill="auto"/>
            <w:vAlign w:val="center"/>
          </w:tcPr>
          <w:p w14:paraId="1584F772">
            <w:pPr>
              <w:widowControl/>
              <w:spacing w:line="240" w:lineRule="auto"/>
              <w:ind w:firstLine="0" w:firstLineChars="0"/>
              <w:jc w:val="center"/>
              <w:rPr>
                <w:rFonts w:hint="eastAsia"/>
              </w:rPr>
            </w:pPr>
            <w:r>
              <w:rPr>
                <w:rFonts w:hint="eastAsia"/>
              </w:rPr>
              <w:t>负责项目质量和进度控制</w:t>
            </w:r>
          </w:p>
        </w:tc>
        <w:tc>
          <w:tcPr>
            <w:tcW w:w="0" w:type="auto"/>
            <w:shd w:val="clear" w:color="auto" w:fill="auto"/>
            <w:noWrap/>
            <w:vAlign w:val="center"/>
          </w:tcPr>
          <w:p w14:paraId="2915A05D">
            <w:pPr>
              <w:widowControl/>
              <w:spacing w:line="240" w:lineRule="auto"/>
              <w:ind w:firstLine="0" w:firstLineChars="0"/>
              <w:jc w:val="center"/>
              <w:rPr>
                <w:rFonts w:hint="eastAsia"/>
              </w:rPr>
            </w:pPr>
            <w:r>
              <w:rPr>
                <w:rFonts w:hint="eastAsia"/>
              </w:rPr>
              <w:t>1人</w:t>
            </w:r>
          </w:p>
        </w:tc>
        <w:tc>
          <w:tcPr>
            <w:tcW w:w="2506" w:type="dxa"/>
            <w:vAlign w:val="center"/>
          </w:tcPr>
          <w:p w14:paraId="3DB5E25B">
            <w:pPr>
              <w:widowControl/>
              <w:spacing w:line="240" w:lineRule="auto"/>
              <w:ind w:firstLine="0" w:firstLineChars="0"/>
              <w:jc w:val="center"/>
              <w:rPr>
                <w:rFonts w:hint="eastAsia"/>
                <w:highlight w:val="yellow"/>
              </w:rPr>
            </w:pPr>
            <w:r>
              <w:rPr>
                <w:rFonts w:hint="eastAsia"/>
              </w:rPr>
              <w:t>计算机相关专业</w:t>
            </w:r>
            <w:r>
              <w:t>本科</w:t>
            </w:r>
            <w:r>
              <w:rPr>
                <w:rFonts w:hint="eastAsia"/>
              </w:rPr>
              <w:t>及以上学历，计算机或工程系列高级工程师及以上资格，有不低于两个政务类信息系统项目管理经验</w:t>
            </w:r>
          </w:p>
        </w:tc>
        <w:tc>
          <w:tcPr>
            <w:tcW w:w="0" w:type="auto"/>
            <w:shd w:val="clear" w:color="auto" w:fill="auto"/>
            <w:noWrap/>
            <w:vAlign w:val="center"/>
          </w:tcPr>
          <w:p w14:paraId="05B99D58">
            <w:pPr>
              <w:widowControl/>
              <w:spacing w:line="240" w:lineRule="auto"/>
              <w:ind w:firstLine="0" w:firstLineChars="0"/>
              <w:jc w:val="center"/>
              <w:rPr>
                <w:rFonts w:hint="eastAsia"/>
              </w:rPr>
            </w:pPr>
            <w:r>
              <w:rPr>
                <w:rFonts w:hint="eastAsia"/>
              </w:rPr>
              <w:t>驻场</w:t>
            </w:r>
          </w:p>
        </w:tc>
      </w:tr>
      <w:tr w14:paraId="1E974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7835680E">
            <w:pPr>
              <w:widowControl/>
              <w:spacing w:line="240" w:lineRule="auto"/>
              <w:ind w:firstLine="0" w:firstLineChars="0"/>
              <w:jc w:val="center"/>
              <w:rPr>
                <w:rFonts w:hint="eastAsia"/>
              </w:rPr>
            </w:pPr>
            <w:r>
              <w:rPr>
                <w:rFonts w:hint="eastAsia"/>
              </w:rPr>
              <w:t>技术工程师</w:t>
            </w:r>
          </w:p>
        </w:tc>
        <w:tc>
          <w:tcPr>
            <w:tcW w:w="2123" w:type="dxa"/>
            <w:shd w:val="clear" w:color="auto" w:fill="auto"/>
            <w:noWrap/>
            <w:vAlign w:val="center"/>
          </w:tcPr>
          <w:p w14:paraId="33E5CF88">
            <w:pPr>
              <w:widowControl/>
              <w:spacing w:line="240" w:lineRule="auto"/>
              <w:ind w:firstLine="0" w:firstLineChars="0"/>
              <w:jc w:val="center"/>
              <w:rPr>
                <w:rFonts w:hint="eastAsia"/>
              </w:rPr>
            </w:pPr>
            <w:r>
              <w:rPr>
                <w:rFonts w:hint="eastAsia"/>
              </w:rPr>
              <w:t>负责项目运行维护</w:t>
            </w:r>
          </w:p>
        </w:tc>
        <w:tc>
          <w:tcPr>
            <w:tcW w:w="0" w:type="auto"/>
            <w:shd w:val="clear" w:color="auto" w:fill="auto"/>
            <w:noWrap/>
            <w:vAlign w:val="center"/>
          </w:tcPr>
          <w:p w14:paraId="1257645C">
            <w:pPr>
              <w:widowControl/>
              <w:spacing w:line="240" w:lineRule="auto"/>
              <w:ind w:firstLine="0" w:firstLineChars="0"/>
              <w:jc w:val="center"/>
              <w:rPr>
                <w:rFonts w:hint="eastAsia"/>
              </w:rPr>
            </w:pPr>
            <w:r>
              <w:rPr>
                <w:rFonts w:hint="eastAsia"/>
              </w:rPr>
              <w:t>3人</w:t>
            </w:r>
          </w:p>
        </w:tc>
        <w:tc>
          <w:tcPr>
            <w:tcW w:w="2506" w:type="dxa"/>
            <w:vAlign w:val="center"/>
          </w:tcPr>
          <w:p w14:paraId="3DB1C9A1">
            <w:pPr>
              <w:widowControl/>
              <w:spacing w:line="240" w:lineRule="auto"/>
              <w:ind w:firstLine="0" w:firstLineChars="0"/>
              <w:jc w:val="center"/>
              <w:rPr>
                <w:rFonts w:hint="eastAsia"/>
              </w:rPr>
            </w:pPr>
            <w:r>
              <w:rPr>
                <w:rFonts w:hint="eastAsia"/>
              </w:rPr>
              <w:t>大学本科以上学历、5年以上系统运维经验</w:t>
            </w:r>
          </w:p>
        </w:tc>
        <w:tc>
          <w:tcPr>
            <w:tcW w:w="0" w:type="auto"/>
            <w:shd w:val="clear" w:color="auto" w:fill="auto"/>
            <w:noWrap/>
            <w:vAlign w:val="center"/>
          </w:tcPr>
          <w:p w14:paraId="689105C5">
            <w:pPr>
              <w:widowControl/>
              <w:spacing w:line="240" w:lineRule="auto"/>
              <w:ind w:firstLine="0" w:firstLineChars="0"/>
              <w:jc w:val="center"/>
              <w:rPr>
                <w:rFonts w:hint="eastAsia"/>
              </w:rPr>
            </w:pPr>
            <w:r>
              <w:rPr>
                <w:rFonts w:hint="eastAsia"/>
              </w:rPr>
              <w:t>驻场</w:t>
            </w:r>
          </w:p>
        </w:tc>
      </w:tr>
    </w:tbl>
    <w:p w14:paraId="73A0B490">
      <w:pPr>
        <w:rPr>
          <w:rFonts w:hint="eastAsia"/>
        </w:rPr>
      </w:pPr>
    </w:p>
    <w:p w14:paraId="78A8ACD4">
      <w:pPr>
        <w:pStyle w:val="3"/>
        <w:rPr>
          <w:rFonts w:hint="eastAsia"/>
        </w:rPr>
      </w:pPr>
      <w:bookmarkStart w:id="31" w:name="_Toc63785511"/>
      <w:r>
        <w:t>等级保护要求</w:t>
      </w:r>
      <w:bookmarkEnd w:id="31"/>
    </w:p>
    <w:p w14:paraId="265AC9AE">
      <w:pPr>
        <w:rPr>
          <w:rFonts w:hint="eastAsia"/>
        </w:rPr>
      </w:pPr>
      <w:r>
        <w:t>本项目等级保护要求：</w:t>
      </w:r>
      <w:r>
        <w:rPr>
          <w:rFonts w:hint="eastAsia"/>
        </w:rPr>
        <w:t>安全等级保护二级。</w:t>
      </w:r>
    </w:p>
    <w:p w14:paraId="1F02BDAC">
      <w:pPr>
        <w:pStyle w:val="3"/>
        <w:rPr>
          <w:rFonts w:hint="eastAsia"/>
        </w:rPr>
      </w:pPr>
      <w:r>
        <w:rPr>
          <w:rFonts w:hint="eastAsia"/>
        </w:rPr>
        <w:t>商业密码应用需求</w:t>
      </w:r>
    </w:p>
    <w:p w14:paraId="127A29C1">
      <w:pPr>
        <w:rPr>
          <w:rFonts w:hint="eastAsia"/>
        </w:rPr>
      </w:pPr>
      <w:r>
        <w:rPr>
          <w:rFonts w:hint="eastAsia"/>
        </w:rPr>
        <w:t>根据安全风险分析，并对照《密码应用基本要求》中三级指标要求和《密码应用设计指南》，梳理出本系统密码应用需求清单，如下表所示。</w:t>
      </w:r>
    </w:p>
    <w:p w14:paraId="4E00A12E">
      <w:pPr>
        <w:ind w:firstLine="0" w:firstLineChars="0"/>
        <w:jc w:val="center"/>
        <w:rPr>
          <w:rFonts w:hint="eastAsia"/>
        </w:rPr>
      </w:pPr>
    </w:p>
    <w:tbl>
      <w:tblPr>
        <w:tblStyle w:val="3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6"/>
        <w:gridCol w:w="858"/>
        <w:gridCol w:w="2286"/>
        <w:gridCol w:w="3715"/>
        <w:gridCol w:w="1573"/>
      </w:tblGrid>
      <w:tr w14:paraId="357FC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9" w:hRule="atLeast"/>
          <w:tblHeader/>
          <w:jc w:val="center"/>
        </w:trPr>
        <w:tc>
          <w:tcPr>
            <w:tcW w:w="1714" w:type="dxa"/>
            <w:gridSpan w:val="2"/>
            <w:vAlign w:val="center"/>
          </w:tcPr>
          <w:p w14:paraId="6AA5B09E">
            <w:pPr>
              <w:spacing w:line="240" w:lineRule="auto"/>
              <w:ind w:firstLine="0" w:firstLineChars="0"/>
              <w:jc w:val="center"/>
              <w:rPr>
                <w:rFonts w:hint="eastAsia" w:cs="宋体"/>
                <w:b/>
                <w:bCs/>
                <w:szCs w:val="28"/>
                <w:lang w:val="zh-CN" w:bidi="zh-CN"/>
              </w:rPr>
            </w:pPr>
            <w:r>
              <w:rPr>
                <w:rFonts w:hint="eastAsia" w:cs="宋体"/>
                <w:b/>
                <w:bCs/>
                <w:szCs w:val="28"/>
                <w:lang w:val="zh-CN" w:bidi="zh-CN"/>
              </w:rPr>
              <w:t>安全层面</w:t>
            </w:r>
          </w:p>
        </w:tc>
        <w:tc>
          <w:tcPr>
            <w:tcW w:w="2286" w:type="dxa"/>
            <w:vAlign w:val="center"/>
          </w:tcPr>
          <w:p w14:paraId="39B22BD6">
            <w:pPr>
              <w:spacing w:line="240" w:lineRule="auto"/>
              <w:ind w:firstLine="0" w:firstLineChars="0"/>
              <w:jc w:val="center"/>
              <w:rPr>
                <w:rFonts w:hint="eastAsia" w:cs="宋体"/>
                <w:b/>
                <w:bCs/>
                <w:szCs w:val="28"/>
                <w:lang w:val="zh-CN" w:bidi="zh-CN"/>
              </w:rPr>
            </w:pPr>
            <w:r>
              <w:rPr>
                <w:rFonts w:hint="eastAsia" w:cs="宋体"/>
                <w:b/>
                <w:bCs/>
                <w:szCs w:val="28"/>
                <w:lang w:val="zh-CN" w:bidi="zh-CN"/>
              </w:rPr>
              <w:t>指标要求</w:t>
            </w:r>
          </w:p>
        </w:tc>
        <w:tc>
          <w:tcPr>
            <w:tcW w:w="3715" w:type="dxa"/>
            <w:vAlign w:val="center"/>
          </w:tcPr>
          <w:p w14:paraId="2F937A9C">
            <w:pPr>
              <w:spacing w:line="240" w:lineRule="auto"/>
              <w:ind w:firstLine="0" w:firstLineChars="0"/>
              <w:jc w:val="center"/>
              <w:rPr>
                <w:rFonts w:hint="eastAsia" w:cs="宋体"/>
                <w:b/>
                <w:bCs/>
                <w:szCs w:val="28"/>
                <w:lang w:val="zh-CN" w:bidi="zh-CN"/>
              </w:rPr>
            </w:pPr>
            <w:r>
              <w:rPr>
                <w:rFonts w:hint="eastAsia" w:cs="宋体"/>
                <w:b/>
                <w:bCs/>
                <w:szCs w:val="28"/>
                <w:lang w:val="zh-CN" w:bidi="zh-CN"/>
              </w:rPr>
              <w:t>系统密码应用需求</w:t>
            </w:r>
          </w:p>
        </w:tc>
        <w:tc>
          <w:tcPr>
            <w:tcW w:w="1573" w:type="dxa"/>
            <w:vAlign w:val="center"/>
          </w:tcPr>
          <w:p w14:paraId="7ED6DF84">
            <w:pPr>
              <w:spacing w:line="240" w:lineRule="auto"/>
              <w:ind w:firstLine="0" w:firstLineChars="0"/>
              <w:jc w:val="center"/>
              <w:rPr>
                <w:rFonts w:hint="eastAsia" w:cs="宋体"/>
                <w:b/>
                <w:bCs/>
                <w:szCs w:val="28"/>
                <w:lang w:val="zh-CN" w:bidi="zh-CN"/>
              </w:rPr>
            </w:pPr>
            <w:r>
              <w:rPr>
                <w:rFonts w:hint="eastAsia" w:cs="宋体"/>
                <w:b/>
                <w:bCs/>
                <w:szCs w:val="28"/>
                <w:lang w:val="zh-CN" w:bidi="zh-CN"/>
              </w:rPr>
              <w:t>不适用说明</w:t>
            </w:r>
          </w:p>
        </w:tc>
      </w:tr>
      <w:tr w14:paraId="2FF6F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8" w:hRule="atLeast"/>
          <w:jc w:val="center"/>
        </w:trPr>
        <w:tc>
          <w:tcPr>
            <w:tcW w:w="856" w:type="dxa"/>
            <w:vMerge w:val="restart"/>
            <w:vAlign w:val="center"/>
          </w:tcPr>
          <w:p w14:paraId="7E0EA8D9">
            <w:pPr>
              <w:spacing w:line="240" w:lineRule="auto"/>
              <w:ind w:firstLine="0" w:firstLineChars="0"/>
              <w:rPr>
                <w:rFonts w:hint="eastAsia" w:cs="宋体"/>
                <w:szCs w:val="28"/>
                <w:lang w:val="zh-CN" w:bidi="zh-CN"/>
              </w:rPr>
            </w:pPr>
            <w:r>
              <w:rPr>
                <w:rFonts w:hint="eastAsia" w:cs="宋体"/>
                <w:szCs w:val="28"/>
                <w:lang w:val="zh-CN" w:bidi="zh-CN"/>
              </w:rPr>
              <w:t>计算平台安全</w:t>
            </w:r>
          </w:p>
        </w:tc>
        <w:tc>
          <w:tcPr>
            <w:tcW w:w="858" w:type="dxa"/>
            <w:vMerge w:val="restart"/>
            <w:vAlign w:val="center"/>
          </w:tcPr>
          <w:p w14:paraId="16B59B37">
            <w:pPr>
              <w:spacing w:line="240" w:lineRule="auto"/>
              <w:ind w:firstLine="0" w:firstLineChars="0"/>
              <w:rPr>
                <w:rFonts w:hint="eastAsia" w:cs="宋体"/>
                <w:szCs w:val="28"/>
                <w:lang w:val="zh-CN" w:bidi="zh-CN"/>
              </w:rPr>
            </w:pPr>
            <w:r>
              <w:rPr>
                <w:rFonts w:hint="eastAsia" w:cs="宋体"/>
                <w:szCs w:val="28"/>
                <w:lang w:val="zh-CN" w:bidi="zh-CN"/>
              </w:rPr>
              <w:t>物理和环境安全</w:t>
            </w:r>
          </w:p>
        </w:tc>
        <w:tc>
          <w:tcPr>
            <w:tcW w:w="2286" w:type="dxa"/>
            <w:vAlign w:val="center"/>
          </w:tcPr>
          <w:p w14:paraId="6A82B701">
            <w:pPr>
              <w:spacing w:line="240" w:lineRule="auto"/>
              <w:ind w:firstLine="0" w:firstLineChars="0"/>
              <w:rPr>
                <w:rFonts w:hint="eastAsia" w:cs="宋体"/>
                <w:szCs w:val="28"/>
                <w:lang w:val="zh-CN" w:bidi="zh-CN"/>
              </w:rPr>
            </w:pPr>
            <w:r>
              <w:rPr>
                <w:rFonts w:hint="eastAsia" w:cs="宋体"/>
                <w:szCs w:val="28"/>
                <w:lang w:val="zh-CN" w:bidi="zh-CN"/>
              </w:rPr>
              <w:t>身份鉴别</w:t>
            </w:r>
          </w:p>
        </w:tc>
        <w:tc>
          <w:tcPr>
            <w:tcW w:w="3715" w:type="dxa"/>
            <w:vAlign w:val="center"/>
          </w:tcPr>
          <w:p w14:paraId="23A181BB">
            <w:pPr>
              <w:spacing w:line="240" w:lineRule="auto"/>
              <w:ind w:firstLine="0" w:firstLineChars="0"/>
              <w:rPr>
                <w:rFonts w:hint="eastAsia" w:cs="宋体"/>
                <w:szCs w:val="28"/>
                <w:lang w:val="zh-CN" w:bidi="zh-CN"/>
              </w:rPr>
            </w:pPr>
            <w:r>
              <w:rPr>
                <w:rFonts w:hint="eastAsia" w:cs="宋体"/>
                <w:szCs w:val="28"/>
                <w:lang w:val="zh-CN" w:bidi="zh-CN"/>
              </w:rPr>
              <w:t>已符合密码应用要求。</w:t>
            </w:r>
          </w:p>
        </w:tc>
        <w:tc>
          <w:tcPr>
            <w:tcW w:w="1573" w:type="dxa"/>
            <w:vAlign w:val="center"/>
          </w:tcPr>
          <w:p w14:paraId="0C968702">
            <w:pPr>
              <w:spacing w:line="240" w:lineRule="auto"/>
              <w:ind w:firstLine="0" w:firstLineChars="0"/>
              <w:rPr>
                <w:rFonts w:hint="eastAsia" w:cs="宋体"/>
                <w:szCs w:val="28"/>
                <w:lang w:val="zh-CN" w:bidi="zh-CN"/>
              </w:rPr>
            </w:pPr>
            <w:r>
              <w:rPr>
                <w:rFonts w:hint="eastAsia" w:cs="宋体"/>
                <w:szCs w:val="28"/>
                <w:lang w:val="zh-CN" w:bidi="zh-CN"/>
              </w:rPr>
              <w:t>无</w:t>
            </w:r>
          </w:p>
        </w:tc>
      </w:tr>
      <w:tr w14:paraId="6F73D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1" w:hRule="atLeast"/>
          <w:jc w:val="center"/>
        </w:trPr>
        <w:tc>
          <w:tcPr>
            <w:tcW w:w="856" w:type="dxa"/>
            <w:vMerge w:val="continue"/>
            <w:vAlign w:val="center"/>
          </w:tcPr>
          <w:p w14:paraId="57202335">
            <w:pPr>
              <w:spacing w:line="240" w:lineRule="auto"/>
              <w:ind w:firstLine="0" w:firstLineChars="0"/>
              <w:rPr>
                <w:rFonts w:hint="eastAsia" w:cs="宋体"/>
                <w:szCs w:val="28"/>
                <w:lang w:val="zh-CN" w:bidi="zh-CN"/>
              </w:rPr>
            </w:pPr>
          </w:p>
        </w:tc>
        <w:tc>
          <w:tcPr>
            <w:tcW w:w="858" w:type="dxa"/>
            <w:vMerge w:val="continue"/>
            <w:vAlign w:val="center"/>
          </w:tcPr>
          <w:p w14:paraId="582FA5BE">
            <w:pPr>
              <w:spacing w:line="240" w:lineRule="auto"/>
              <w:ind w:firstLine="0" w:firstLineChars="0"/>
              <w:rPr>
                <w:rFonts w:hint="eastAsia" w:cs="宋体"/>
                <w:szCs w:val="28"/>
                <w:lang w:val="zh-CN" w:bidi="zh-CN"/>
              </w:rPr>
            </w:pPr>
          </w:p>
        </w:tc>
        <w:tc>
          <w:tcPr>
            <w:tcW w:w="2286" w:type="dxa"/>
            <w:vAlign w:val="center"/>
          </w:tcPr>
          <w:p w14:paraId="06C064FB">
            <w:pPr>
              <w:spacing w:line="240" w:lineRule="auto"/>
              <w:ind w:firstLine="0" w:firstLineChars="0"/>
              <w:rPr>
                <w:rFonts w:hint="eastAsia" w:cs="宋体"/>
                <w:szCs w:val="28"/>
                <w:lang w:val="zh-CN" w:bidi="zh-CN"/>
              </w:rPr>
            </w:pPr>
            <w:r>
              <w:rPr>
                <w:rFonts w:hint="eastAsia" w:cs="宋体"/>
                <w:szCs w:val="28"/>
                <w:lang w:val="zh-CN" w:bidi="zh-CN"/>
              </w:rPr>
              <w:t>电子门禁记录数据完整性</w:t>
            </w:r>
          </w:p>
        </w:tc>
        <w:tc>
          <w:tcPr>
            <w:tcW w:w="3715" w:type="dxa"/>
            <w:vMerge w:val="restart"/>
            <w:vAlign w:val="center"/>
          </w:tcPr>
          <w:p w14:paraId="751C41B8">
            <w:pPr>
              <w:spacing w:line="240" w:lineRule="auto"/>
              <w:ind w:firstLine="0" w:firstLineChars="0"/>
              <w:rPr>
                <w:rFonts w:hint="eastAsia" w:cs="宋体"/>
                <w:szCs w:val="28"/>
                <w:lang w:val="zh-CN" w:bidi="zh-CN"/>
              </w:rPr>
            </w:pPr>
            <w:r>
              <w:rPr>
                <w:rFonts w:hint="eastAsia" w:cs="宋体"/>
                <w:szCs w:val="28"/>
                <w:lang w:val="zh-CN" w:bidi="zh-CN"/>
              </w:rPr>
              <w:t>已符合密码应用要求。</w:t>
            </w:r>
          </w:p>
        </w:tc>
        <w:tc>
          <w:tcPr>
            <w:tcW w:w="1573" w:type="dxa"/>
            <w:vMerge w:val="restart"/>
            <w:vAlign w:val="center"/>
          </w:tcPr>
          <w:p w14:paraId="5483C64B">
            <w:pPr>
              <w:spacing w:line="240" w:lineRule="auto"/>
              <w:ind w:firstLine="0" w:firstLineChars="0"/>
              <w:rPr>
                <w:rFonts w:hint="eastAsia" w:cs="宋体"/>
                <w:szCs w:val="28"/>
                <w:lang w:val="zh-CN" w:bidi="zh-CN"/>
              </w:rPr>
            </w:pPr>
            <w:r>
              <w:rPr>
                <w:rFonts w:hint="eastAsia" w:cs="宋体"/>
                <w:szCs w:val="28"/>
                <w:lang w:val="zh-CN" w:bidi="zh-CN"/>
              </w:rPr>
              <w:t>无</w:t>
            </w:r>
          </w:p>
        </w:tc>
      </w:tr>
      <w:tr w14:paraId="76515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9" w:hRule="atLeast"/>
          <w:jc w:val="center"/>
        </w:trPr>
        <w:tc>
          <w:tcPr>
            <w:tcW w:w="856" w:type="dxa"/>
            <w:vMerge w:val="continue"/>
            <w:vAlign w:val="center"/>
          </w:tcPr>
          <w:p w14:paraId="5DAB7C24">
            <w:pPr>
              <w:spacing w:line="240" w:lineRule="auto"/>
              <w:ind w:firstLine="0" w:firstLineChars="0"/>
              <w:rPr>
                <w:rFonts w:hint="eastAsia" w:cs="宋体"/>
                <w:szCs w:val="28"/>
                <w:lang w:val="zh-CN" w:bidi="zh-CN"/>
              </w:rPr>
            </w:pPr>
          </w:p>
        </w:tc>
        <w:tc>
          <w:tcPr>
            <w:tcW w:w="858" w:type="dxa"/>
            <w:vMerge w:val="continue"/>
            <w:vAlign w:val="center"/>
          </w:tcPr>
          <w:p w14:paraId="67A3ED1D">
            <w:pPr>
              <w:spacing w:line="240" w:lineRule="auto"/>
              <w:ind w:firstLine="0" w:firstLineChars="0"/>
              <w:rPr>
                <w:rFonts w:hint="eastAsia" w:cs="宋体"/>
                <w:szCs w:val="28"/>
                <w:lang w:val="zh-CN" w:bidi="zh-CN"/>
              </w:rPr>
            </w:pPr>
          </w:p>
        </w:tc>
        <w:tc>
          <w:tcPr>
            <w:tcW w:w="2286" w:type="dxa"/>
            <w:vAlign w:val="center"/>
          </w:tcPr>
          <w:p w14:paraId="43BC3D2A">
            <w:pPr>
              <w:spacing w:line="240" w:lineRule="auto"/>
              <w:ind w:firstLine="0" w:firstLineChars="0"/>
              <w:rPr>
                <w:rFonts w:hint="eastAsia" w:cs="宋体"/>
                <w:szCs w:val="28"/>
                <w:lang w:val="zh-CN" w:bidi="zh-CN"/>
              </w:rPr>
            </w:pPr>
            <w:r>
              <w:rPr>
                <w:rFonts w:hint="eastAsia" w:cs="宋体"/>
                <w:szCs w:val="28"/>
                <w:lang w:val="zh-CN" w:bidi="zh-CN"/>
              </w:rPr>
              <w:t>视频监控记录数据完整性</w:t>
            </w:r>
          </w:p>
        </w:tc>
        <w:tc>
          <w:tcPr>
            <w:tcW w:w="3715" w:type="dxa"/>
            <w:vMerge w:val="continue"/>
            <w:vAlign w:val="center"/>
          </w:tcPr>
          <w:p w14:paraId="04080DAD">
            <w:pPr>
              <w:spacing w:line="240" w:lineRule="auto"/>
              <w:ind w:firstLine="0" w:firstLineChars="0"/>
              <w:rPr>
                <w:rFonts w:hint="eastAsia" w:cs="宋体"/>
                <w:szCs w:val="28"/>
                <w:lang w:val="zh-CN" w:bidi="zh-CN"/>
              </w:rPr>
            </w:pPr>
          </w:p>
        </w:tc>
        <w:tc>
          <w:tcPr>
            <w:tcW w:w="1573" w:type="dxa"/>
            <w:vMerge w:val="continue"/>
            <w:vAlign w:val="center"/>
          </w:tcPr>
          <w:p w14:paraId="232810C5">
            <w:pPr>
              <w:spacing w:line="240" w:lineRule="auto"/>
              <w:ind w:firstLine="0" w:firstLineChars="0"/>
              <w:rPr>
                <w:rFonts w:hint="eastAsia" w:cs="宋体"/>
                <w:szCs w:val="28"/>
                <w:lang w:val="zh-CN" w:bidi="zh-CN"/>
              </w:rPr>
            </w:pPr>
          </w:p>
        </w:tc>
      </w:tr>
      <w:tr w14:paraId="6C44F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 w:hRule="atLeast"/>
          <w:jc w:val="center"/>
        </w:trPr>
        <w:tc>
          <w:tcPr>
            <w:tcW w:w="856" w:type="dxa"/>
            <w:vMerge w:val="continue"/>
            <w:vAlign w:val="center"/>
          </w:tcPr>
          <w:p w14:paraId="62D27CC7">
            <w:pPr>
              <w:spacing w:line="240" w:lineRule="auto"/>
              <w:ind w:firstLine="0" w:firstLineChars="0"/>
              <w:rPr>
                <w:rFonts w:hint="eastAsia" w:cs="宋体"/>
                <w:szCs w:val="28"/>
                <w:lang w:val="zh-CN" w:bidi="zh-CN"/>
              </w:rPr>
            </w:pPr>
          </w:p>
        </w:tc>
        <w:tc>
          <w:tcPr>
            <w:tcW w:w="858" w:type="dxa"/>
            <w:vMerge w:val="continue"/>
            <w:vAlign w:val="center"/>
          </w:tcPr>
          <w:p w14:paraId="51DA1A99">
            <w:pPr>
              <w:spacing w:line="240" w:lineRule="auto"/>
              <w:ind w:firstLine="0" w:firstLineChars="0"/>
              <w:rPr>
                <w:rFonts w:hint="eastAsia" w:cs="宋体"/>
                <w:szCs w:val="28"/>
                <w:lang w:val="zh-CN" w:bidi="zh-CN"/>
              </w:rPr>
            </w:pPr>
          </w:p>
        </w:tc>
        <w:tc>
          <w:tcPr>
            <w:tcW w:w="2286" w:type="dxa"/>
            <w:vAlign w:val="center"/>
          </w:tcPr>
          <w:p w14:paraId="1AB0E2D2">
            <w:pPr>
              <w:spacing w:line="240" w:lineRule="auto"/>
              <w:ind w:firstLine="0" w:firstLineChars="0"/>
              <w:rPr>
                <w:rFonts w:hint="eastAsia" w:cs="宋体"/>
                <w:szCs w:val="28"/>
                <w:lang w:val="zh-CN" w:bidi="zh-CN"/>
              </w:rPr>
            </w:pPr>
            <w:r>
              <w:rPr>
                <w:rFonts w:hint="eastAsia" w:cs="宋体"/>
                <w:szCs w:val="28"/>
                <w:lang w:val="zh-CN" w:bidi="zh-CN"/>
              </w:rPr>
              <w:t>密码服务</w:t>
            </w:r>
          </w:p>
        </w:tc>
        <w:tc>
          <w:tcPr>
            <w:tcW w:w="3715" w:type="dxa"/>
            <w:vAlign w:val="center"/>
          </w:tcPr>
          <w:p w14:paraId="2A771DD9">
            <w:pPr>
              <w:spacing w:line="240" w:lineRule="auto"/>
              <w:ind w:firstLine="0" w:firstLineChars="0"/>
              <w:rPr>
                <w:rFonts w:hint="eastAsia" w:cs="宋体"/>
                <w:szCs w:val="28"/>
                <w:lang w:val="zh-CN" w:bidi="zh-CN"/>
              </w:rPr>
            </w:pPr>
            <w:r>
              <w:rPr>
                <w:rFonts w:hint="eastAsia" w:cs="宋体"/>
                <w:szCs w:val="28"/>
                <w:lang w:val="zh-CN" w:bidi="zh-CN"/>
              </w:rPr>
              <w:t>不适用。</w:t>
            </w:r>
          </w:p>
        </w:tc>
        <w:tc>
          <w:tcPr>
            <w:tcW w:w="1573" w:type="dxa"/>
            <w:vAlign w:val="center"/>
          </w:tcPr>
          <w:p w14:paraId="4D797828">
            <w:pPr>
              <w:spacing w:line="240" w:lineRule="auto"/>
              <w:ind w:firstLine="0" w:firstLineChars="0"/>
              <w:rPr>
                <w:rFonts w:hint="eastAsia" w:cs="宋体"/>
                <w:szCs w:val="28"/>
                <w:lang w:val="zh-CN" w:bidi="zh-CN"/>
              </w:rPr>
            </w:pPr>
            <w:r>
              <w:rPr>
                <w:rFonts w:hint="eastAsia" w:cs="宋体"/>
                <w:szCs w:val="28"/>
                <w:lang w:val="zh-CN" w:bidi="zh-CN"/>
              </w:rPr>
              <w:t>无密码服务需求</w:t>
            </w:r>
          </w:p>
        </w:tc>
      </w:tr>
      <w:tr w14:paraId="2BF3D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2EC23924">
            <w:pPr>
              <w:spacing w:line="240" w:lineRule="auto"/>
              <w:ind w:firstLine="0" w:firstLineChars="0"/>
              <w:rPr>
                <w:rFonts w:hint="eastAsia" w:cs="宋体"/>
                <w:szCs w:val="28"/>
                <w:lang w:val="zh-CN" w:bidi="zh-CN"/>
              </w:rPr>
            </w:pPr>
          </w:p>
        </w:tc>
        <w:tc>
          <w:tcPr>
            <w:tcW w:w="858" w:type="dxa"/>
            <w:vMerge w:val="continue"/>
            <w:vAlign w:val="center"/>
          </w:tcPr>
          <w:p w14:paraId="137C94ED">
            <w:pPr>
              <w:spacing w:line="240" w:lineRule="auto"/>
              <w:ind w:firstLine="0" w:firstLineChars="0"/>
              <w:rPr>
                <w:rFonts w:hint="eastAsia" w:cs="宋体"/>
                <w:szCs w:val="28"/>
                <w:lang w:val="zh-CN" w:bidi="zh-CN"/>
              </w:rPr>
            </w:pPr>
          </w:p>
        </w:tc>
        <w:tc>
          <w:tcPr>
            <w:tcW w:w="2286" w:type="dxa"/>
            <w:vAlign w:val="center"/>
          </w:tcPr>
          <w:p w14:paraId="077490B3">
            <w:pPr>
              <w:spacing w:line="240" w:lineRule="auto"/>
              <w:ind w:firstLine="0" w:firstLineChars="0"/>
              <w:rPr>
                <w:rFonts w:hint="eastAsia" w:cs="宋体"/>
                <w:szCs w:val="28"/>
                <w:lang w:val="zh-CN" w:bidi="zh-CN"/>
              </w:rPr>
            </w:pPr>
            <w:r>
              <w:rPr>
                <w:rFonts w:hint="eastAsia" w:cs="宋体"/>
                <w:szCs w:val="28"/>
                <w:lang w:val="zh-CN" w:bidi="zh-CN"/>
              </w:rPr>
              <w:t>密码产品</w:t>
            </w:r>
          </w:p>
        </w:tc>
        <w:tc>
          <w:tcPr>
            <w:tcW w:w="3715" w:type="dxa"/>
            <w:vAlign w:val="center"/>
          </w:tcPr>
          <w:p w14:paraId="73D313E4">
            <w:pPr>
              <w:spacing w:line="240" w:lineRule="auto"/>
              <w:ind w:firstLine="0" w:firstLineChars="0"/>
              <w:rPr>
                <w:rFonts w:hint="eastAsia" w:cs="宋体"/>
                <w:szCs w:val="28"/>
                <w:lang w:val="zh-CN" w:bidi="zh-CN"/>
              </w:rPr>
            </w:pPr>
            <w:r>
              <w:rPr>
                <w:rFonts w:hint="eastAsia" w:cs="宋体"/>
                <w:szCs w:val="28"/>
                <w:lang w:val="zh-CN" w:bidi="zh-CN"/>
              </w:rPr>
              <w:t>采用的密码产品应达到GB/T 37092-2018二级及以上安全要求。</w:t>
            </w:r>
          </w:p>
        </w:tc>
        <w:tc>
          <w:tcPr>
            <w:tcW w:w="1573" w:type="dxa"/>
            <w:vAlign w:val="center"/>
          </w:tcPr>
          <w:p w14:paraId="75C782E7">
            <w:pPr>
              <w:spacing w:line="240" w:lineRule="auto"/>
              <w:ind w:firstLine="0" w:firstLineChars="0"/>
              <w:rPr>
                <w:rFonts w:hint="eastAsia" w:cs="宋体"/>
                <w:szCs w:val="28"/>
                <w:lang w:val="zh-CN" w:bidi="zh-CN"/>
              </w:rPr>
            </w:pPr>
            <w:r>
              <w:rPr>
                <w:rFonts w:hint="eastAsia" w:cs="宋体"/>
                <w:szCs w:val="28"/>
                <w:lang w:val="zh-CN" w:bidi="zh-CN"/>
              </w:rPr>
              <w:t>无</w:t>
            </w:r>
          </w:p>
        </w:tc>
      </w:tr>
      <w:tr w14:paraId="1D440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5" w:hRule="atLeast"/>
          <w:jc w:val="center"/>
        </w:trPr>
        <w:tc>
          <w:tcPr>
            <w:tcW w:w="856" w:type="dxa"/>
            <w:vMerge w:val="continue"/>
            <w:vAlign w:val="center"/>
          </w:tcPr>
          <w:p w14:paraId="49723D01">
            <w:pPr>
              <w:spacing w:line="240" w:lineRule="auto"/>
              <w:ind w:firstLine="0" w:firstLineChars="0"/>
              <w:rPr>
                <w:rFonts w:hint="eastAsia" w:cs="宋体"/>
                <w:szCs w:val="28"/>
                <w:lang w:val="zh-CN" w:bidi="zh-CN"/>
              </w:rPr>
            </w:pPr>
          </w:p>
        </w:tc>
        <w:tc>
          <w:tcPr>
            <w:tcW w:w="858" w:type="dxa"/>
            <w:vMerge w:val="restart"/>
            <w:vAlign w:val="center"/>
          </w:tcPr>
          <w:p w14:paraId="65AE2551">
            <w:pPr>
              <w:spacing w:line="240" w:lineRule="auto"/>
              <w:ind w:firstLine="0" w:firstLineChars="0"/>
              <w:rPr>
                <w:rFonts w:hint="eastAsia" w:cs="宋体"/>
                <w:szCs w:val="28"/>
                <w:lang w:val="zh-CN" w:bidi="zh-CN"/>
              </w:rPr>
            </w:pPr>
            <w:r>
              <w:rPr>
                <w:rFonts w:hint="eastAsia" w:cs="宋体"/>
                <w:szCs w:val="28"/>
                <w:lang w:val="zh-CN" w:bidi="zh-CN"/>
              </w:rPr>
              <w:t>网络和通信安全</w:t>
            </w:r>
          </w:p>
        </w:tc>
        <w:tc>
          <w:tcPr>
            <w:tcW w:w="2286" w:type="dxa"/>
            <w:vAlign w:val="center"/>
          </w:tcPr>
          <w:p w14:paraId="6BD53806">
            <w:pPr>
              <w:spacing w:line="240" w:lineRule="auto"/>
              <w:ind w:firstLine="0" w:firstLineChars="0"/>
              <w:rPr>
                <w:rFonts w:hint="eastAsia" w:cs="宋体"/>
                <w:szCs w:val="28"/>
                <w:lang w:val="zh-CN" w:bidi="zh-CN"/>
              </w:rPr>
            </w:pPr>
            <w:r>
              <w:rPr>
                <w:rFonts w:hint="eastAsia" w:cs="宋体"/>
                <w:szCs w:val="28"/>
                <w:lang w:val="zh-CN" w:bidi="zh-CN"/>
              </w:rPr>
              <w:t>身份鉴别</w:t>
            </w:r>
          </w:p>
        </w:tc>
        <w:tc>
          <w:tcPr>
            <w:tcW w:w="3715" w:type="dxa"/>
            <w:vAlign w:val="center"/>
          </w:tcPr>
          <w:p w14:paraId="1B39BDF1">
            <w:pPr>
              <w:spacing w:line="240" w:lineRule="auto"/>
              <w:ind w:firstLine="0" w:firstLineChars="0"/>
              <w:rPr>
                <w:rFonts w:hint="eastAsia" w:cs="宋体"/>
                <w:szCs w:val="28"/>
                <w:lang w:val="zh-CN" w:bidi="zh-CN"/>
              </w:rPr>
            </w:pPr>
            <w:r>
              <w:rPr>
                <w:rFonts w:hint="eastAsia" w:cs="宋体"/>
                <w:szCs w:val="28"/>
                <w:lang w:val="zh-CN" w:bidi="zh-CN"/>
              </w:rPr>
              <w:t>已符合密码应用要求。</w:t>
            </w:r>
          </w:p>
        </w:tc>
        <w:tc>
          <w:tcPr>
            <w:tcW w:w="1573" w:type="dxa"/>
            <w:vAlign w:val="center"/>
          </w:tcPr>
          <w:p w14:paraId="45DBFCD3">
            <w:pPr>
              <w:spacing w:line="240" w:lineRule="auto"/>
              <w:ind w:firstLine="0" w:firstLineChars="0"/>
              <w:rPr>
                <w:rFonts w:hint="eastAsia" w:cs="宋体"/>
                <w:szCs w:val="28"/>
                <w:lang w:val="zh-CN" w:bidi="zh-CN"/>
              </w:rPr>
            </w:pPr>
            <w:r>
              <w:rPr>
                <w:rFonts w:hint="eastAsia" w:cs="宋体"/>
                <w:szCs w:val="28"/>
                <w:lang w:val="zh-CN" w:bidi="zh-CN"/>
              </w:rPr>
              <w:t>无</w:t>
            </w:r>
          </w:p>
        </w:tc>
      </w:tr>
      <w:tr w14:paraId="4E3FB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51" w:hRule="atLeast"/>
          <w:jc w:val="center"/>
        </w:trPr>
        <w:tc>
          <w:tcPr>
            <w:tcW w:w="856" w:type="dxa"/>
            <w:vMerge w:val="continue"/>
            <w:vAlign w:val="center"/>
          </w:tcPr>
          <w:p w14:paraId="2038DE75">
            <w:pPr>
              <w:spacing w:line="240" w:lineRule="auto"/>
              <w:ind w:firstLine="0" w:firstLineChars="0"/>
              <w:rPr>
                <w:rFonts w:hint="eastAsia" w:cs="宋体"/>
                <w:szCs w:val="28"/>
                <w:lang w:val="zh-CN" w:bidi="zh-CN"/>
              </w:rPr>
            </w:pPr>
          </w:p>
        </w:tc>
        <w:tc>
          <w:tcPr>
            <w:tcW w:w="858" w:type="dxa"/>
            <w:vMerge w:val="continue"/>
            <w:vAlign w:val="center"/>
          </w:tcPr>
          <w:p w14:paraId="09C38690">
            <w:pPr>
              <w:spacing w:line="240" w:lineRule="auto"/>
              <w:ind w:firstLine="0" w:firstLineChars="0"/>
              <w:rPr>
                <w:rFonts w:hint="eastAsia" w:cs="宋体"/>
                <w:szCs w:val="28"/>
                <w:lang w:val="zh-CN" w:bidi="zh-CN"/>
              </w:rPr>
            </w:pPr>
          </w:p>
        </w:tc>
        <w:tc>
          <w:tcPr>
            <w:tcW w:w="2286" w:type="dxa"/>
            <w:vAlign w:val="center"/>
          </w:tcPr>
          <w:p w14:paraId="33B09BAA">
            <w:pPr>
              <w:spacing w:line="240" w:lineRule="auto"/>
              <w:ind w:firstLine="0" w:firstLineChars="0"/>
              <w:rPr>
                <w:rFonts w:hint="eastAsia" w:cs="宋体"/>
                <w:szCs w:val="28"/>
                <w:lang w:val="zh-CN" w:bidi="zh-CN"/>
              </w:rPr>
            </w:pPr>
            <w:r>
              <w:rPr>
                <w:rFonts w:hint="eastAsia" w:cs="宋体"/>
                <w:szCs w:val="28"/>
                <w:lang w:val="zh-CN" w:bidi="zh-CN"/>
              </w:rPr>
              <w:t>通信数据完整性</w:t>
            </w:r>
          </w:p>
        </w:tc>
        <w:tc>
          <w:tcPr>
            <w:tcW w:w="3715" w:type="dxa"/>
            <w:vMerge w:val="restart"/>
            <w:vAlign w:val="center"/>
          </w:tcPr>
          <w:p w14:paraId="39FD3DF0">
            <w:pPr>
              <w:spacing w:line="240" w:lineRule="auto"/>
              <w:ind w:firstLine="0" w:firstLineChars="0"/>
              <w:rPr>
                <w:rFonts w:hint="eastAsia" w:cs="宋体"/>
                <w:szCs w:val="28"/>
                <w:lang w:val="zh-CN" w:bidi="zh-CN"/>
              </w:rPr>
            </w:pPr>
            <w:r>
              <w:rPr>
                <w:rFonts w:hint="eastAsia" w:cs="宋体"/>
                <w:szCs w:val="28"/>
                <w:lang w:val="zh-CN" w:bidi="zh-CN"/>
              </w:rPr>
              <w:t>保护通信过程中重要业务数据的完整性和机密性，防止数据被非授权篡改，防止重要数据泄露。</w:t>
            </w:r>
          </w:p>
        </w:tc>
        <w:tc>
          <w:tcPr>
            <w:tcW w:w="1573" w:type="dxa"/>
            <w:vAlign w:val="center"/>
          </w:tcPr>
          <w:p w14:paraId="7B9DC7AC">
            <w:pPr>
              <w:spacing w:line="240" w:lineRule="auto"/>
              <w:ind w:firstLine="0" w:firstLineChars="0"/>
              <w:rPr>
                <w:rFonts w:hint="eastAsia" w:cs="宋体"/>
                <w:szCs w:val="28"/>
                <w:lang w:val="zh-CN" w:bidi="zh-CN"/>
              </w:rPr>
            </w:pPr>
            <w:r>
              <w:rPr>
                <w:rFonts w:hint="eastAsia" w:cs="宋体"/>
                <w:szCs w:val="28"/>
                <w:lang w:val="zh-CN" w:bidi="zh-CN"/>
              </w:rPr>
              <w:t>无</w:t>
            </w:r>
          </w:p>
        </w:tc>
      </w:tr>
      <w:tr w14:paraId="2EF37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46933485">
            <w:pPr>
              <w:spacing w:line="240" w:lineRule="auto"/>
              <w:ind w:firstLine="0" w:firstLineChars="0"/>
              <w:rPr>
                <w:rFonts w:hint="eastAsia" w:cs="宋体"/>
                <w:szCs w:val="28"/>
                <w:lang w:val="zh-CN" w:bidi="zh-CN"/>
              </w:rPr>
            </w:pPr>
          </w:p>
        </w:tc>
        <w:tc>
          <w:tcPr>
            <w:tcW w:w="858" w:type="dxa"/>
            <w:vMerge w:val="continue"/>
            <w:vAlign w:val="center"/>
          </w:tcPr>
          <w:p w14:paraId="783CE042">
            <w:pPr>
              <w:spacing w:line="240" w:lineRule="auto"/>
              <w:ind w:firstLine="0" w:firstLineChars="0"/>
              <w:rPr>
                <w:rFonts w:hint="eastAsia" w:cs="宋体"/>
                <w:szCs w:val="28"/>
                <w:lang w:val="zh-CN" w:bidi="zh-CN"/>
              </w:rPr>
            </w:pPr>
          </w:p>
        </w:tc>
        <w:tc>
          <w:tcPr>
            <w:tcW w:w="2286" w:type="dxa"/>
            <w:vAlign w:val="center"/>
          </w:tcPr>
          <w:p w14:paraId="77EBEAC3">
            <w:pPr>
              <w:spacing w:line="240" w:lineRule="auto"/>
              <w:ind w:firstLine="0" w:firstLineChars="0"/>
              <w:rPr>
                <w:rFonts w:hint="eastAsia" w:cs="宋体"/>
                <w:szCs w:val="28"/>
                <w:lang w:val="zh-CN" w:bidi="zh-CN"/>
              </w:rPr>
            </w:pPr>
            <w:r>
              <w:rPr>
                <w:rFonts w:hint="eastAsia" w:cs="宋体"/>
                <w:szCs w:val="28"/>
                <w:lang w:val="zh-CN" w:bidi="zh-CN"/>
              </w:rPr>
              <w:t>通信过程中重要数据的机密性</w:t>
            </w:r>
          </w:p>
        </w:tc>
        <w:tc>
          <w:tcPr>
            <w:tcW w:w="3715" w:type="dxa"/>
            <w:vMerge w:val="continue"/>
            <w:vAlign w:val="center"/>
          </w:tcPr>
          <w:p w14:paraId="3098772A">
            <w:pPr>
              <w:spacing w:line="240" w:lineRule="auto"/>
              <w:ind w:firstLine="0" w:firstLineChars="0"/>
              <w:rPr>
                <w:rFonts w:hint="eastAsia" w:cs="宋体"/>
                <w:szCs w:val="28"/>
                <w:lang w:val="zh-CN" w:bidi="zh-CN"/>
              </w:rPr>
            </w:pPr>
          </w:p>
        </w:tc>
        <w:tc>
          <w:tcPr>
            <w:tcW w:w="1573" w:type="dxa"/>
            <w:vAlign w:val="center"/>
          </w:tcPr>
          <w:p w14:paraId="7CBA88B2">
            <w:pPr>
              <w:spacing w:line="240" w:lineRule="auto"/>
              <w:ind w:firstLine="0" w:firstLineChars="0"/>
              <w:rPr>
                <w:rFonts w:hint="eastAsia" w:cs="宋体"/>
                <w:szCs w:val="28"/>
                <w:lang w:val="zh-CN" w:bidi="zh-CN"/>
              </w:rPr>
            </w:pPr>
            <w:r>
              <w:rPr>
                <w:rFonts w:hint="eastAsia" w:cs="宋体"/>
                <w:szCs w:val="28"/>
                <w:lang w:val="zh-CN" w:bidi="zh-CN"/>
              </w:rPr>
              <w:t>无</w:t>
            </w:r>
          </w:p>
        </w:tc>
      </w:tr>
      <w:tr w14:paraId="09C91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03EF5E31">
            <w:pPr>
              <w:spacing w:line="240" w:lineRule="auto"/>
              <w:ind w:firstLine="0" w:firstLineChars="0"/>
              <w:rPr>
                <w:rFonts w:hint="eastAsia" w:cs="宋体"/>
                <w:szCs w:val="28"/>
                <w:lang w:val="zh-CN" w:bidi="zh-CN"/>
              </w:rPr>
            </w:pPr>
          </w:p>
        </w:tc>
        <w:tc>
          <w:tcPr>
            <w:tcW w:w="858" w:type="dxa"/>
            <w:vMerge w:val="continue"/>
            <w:vAlign w:val="center"/>
          </w:tcPr>
          <w:p w14:paraId="46379FE8">
            <w:pPr>
              <w:spacing w:line="240" w:lineRule="auto"/>
              <w:ind w:firstLine="0" w:firstLineChars="0"/>
              <w:rPr>
                <w:rFonts w:hint="eastAsia" w:cs="宋体"/>
                <w:szCs w:val="28"/>
                <w:lang w:val="zh-CN" w:bidi="zh-CN"/>
              </w:rPr>
            </w:pPr>
          </w:p>
        </w:tc>
        <w:tc>
          <w:tcPr>
            <w:tcW w:w="2286" w:type="dxa"/>
            <w:vAlign w:val="center"/>
          </w:tcPr>
          <w:p w14:paraId="75211407">
            <w:pPr>
              <w:spacing w:line="240" w:lineRule="auto"/>
              <w:ind w:firstLine="0" w:firstLineChars="0"/>
              <w:rPr>
                <w:rFonts w:hint="eastAsia" w:cs="宋体"/>
                <w:szCs w:val="28"/>
                <w:lang w:val="zh-CN" w:bidi="zh-CN"/>
              </w:rPr>
            </w:pPr>
            <w:r>
              <w:rPr>
                <w:rFonts w:hint="eastAsia" w:cs="宋体"/>
                <w:szCs w:val="28"/>
                <w:lang w:val="zh-CN" w:bidi="zh-CN"/>
              </w:rPr>
              <w:t xml:space="preserve">网络边界访问控制信息的完整性 </w:t>
            </w:r>
          </w:p>
        </w:tc>
        <w:tc>
          <w:tcPr>
            <w:tcW w:w="3715" w:type="dxa"/>
            <w:vAlign w:val="center"/>
          </w:tcPr>
          <w:p w14:paraId="0A3AE058">
            <w:pPr>
              <w:spacing w:line="240" w:lineRule="auto"/>
              <w:ind w:firstLine="0" w:firstLineChars="0"/>
              <w:rPr>
                <w:rFonts w:hint="eastAsia" w:cs="宋体"/>
                <w:szCs w:val="28"/>
                <w:lang w:val="zh-CN" w:bidi="zh-CN"/>
              </w:rPr>
            </w:pPr>
            <w:r>
              <w:rPr>
                <w:rFonts w:hint="eastAsia" w:cs="宋体"/>
                <w:szCs w:val="28"/>
                <w:lang w:val="zh-CN" w:bidi="zh-CN"/>
              </w:rPr>
              <w:t>保护政务外网和互联网用户访问</w:t>
            </w:r>
            <w:r>
              <w:rPr>
                <w:rFonts w:hint="eastAsia" w:cs="宋体"/>
                <w:szCs w:val="28"/>
                <w:lang w:bidi="zh-CN"/>
              </w:rPr>
              <w:t>应用系统</w:t>
            </w:r>
            <w:r>
              <w:rPr>
                <w:rFonts w:hint="eastAsia" w:cs="宋体"/>
                <w:szCs w:val="28"/>
                <w:lang w:val="zh-CN" w:bidi="zh-CN"/>
              </w:rPr>
              <w:t>的网络边界访问控制信息的完整性，防止被非授权篡改。</w:t>
            </w:r>
          </w:p>
        </w:tc>
        <w:tc>
          <w:tcPr>
            <w:tcW w:w="1573" w:type="dxa"/>
            <w:vAlign w:val="center"/>
          </w:tcPr>
          <w:p w14:paraId="7B1E25B0">
            <w:pPr>
              <w:spacing w:line="240" w:lineRule="auto"/>
              <w:ind w:firstLine="0" w:firstLineChars="0"/>
              <w:rPr>
                <w:rFonts w:hint="eastAsia" w:cs="宋体"/>
                <w:szCs w:val="28"/>
                <w:lang w:val="zh-CN" w:bidi="zh-CN"/>
              </w:rPr>
            </w:pPr>
            <w:r>
              <w:rPr>
                <w:rFonts w:hint="eastAsia" w:cs="宋体"/>
                <w:szCs w:val="28"/>
                <w:lang w:val="zh-CN" w:bidi="zh-CN"/>
              </w:rPr>
              <w:t>无</w:t>
            </w:r>
          </w:p>
        </w:tc>
      </w:tr>
      <w:tr w14:paraId="3B4F7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2F5D1FC6">
            <w:pPr>
              <w:spacing w:line="240" w:lineRule="auto"/>
              <w:ind w:firstLine="0" w:firstLineChars="0"/>
              <w:rPr>
                <w:rFonts w:hint="eastAsia" w:cs="宋体"/>
                <w:szCs w:val="28"/>
                <w:lang w:val="zh-CN" w:bidi="zh-CN"/>
              </w:rPr>
            </w:pPr>
          </w:p>
        </w:tc>
        <w:tc>
          <w:tcPr>
            <w:tcW w:w="858" w:type="dxa"/>
            <w:vMerge w:val="continue"/>
            <w:vAlign w:val="center"/>
          </w:tcPr>
          <w:p w14:paraId="3A77A22B">
            <w:pPr>
              <w:spacing w:line="240" w:lineRule="auto"/>
              <w:ind w:firstLine="0" w:firstLineChars="0"/>
              <w:rPr>
                <w:rFonts w:hint="eastAsia" w:cs="宋体"/>
                <w:szCs w:val="28"/>
                <w:lang w:val="zh-CN" w:bidi="zh-CN"/>
              </w:rPr>
            </w:pPr>
          </w:p>
        </w:tc>
        <w:tc>
          <w:tcPr>
            <w:tcW w:w="2286" w:type="dxa"/>
            <w:vAlign w:val="center"/>
          </w:tcPr>
          <w:p w14:paraId="463B198F">
            <w:pPr>
              <w:spacing w:line="240" w:lineRule="auto"/>
              <w:ind w:firstLine="0" w:firstLineChars="0"/>
              <w:rPr>
                <w:rFonts w:hint="eastAsia" w:cs="宋体"/>
                <w:szCs w:val="28"/>
                <w:lang w:val="zh-CN" w:bidi="zh-CN"/>
              </w:rPr>
            </w:pPr>
            <w:r>
              <w:rPr>
                <w:rFonts w:hint="eastAsia" w:cs="宋体"/>
                <w:szCs w:val="28"/>
                <w:lang w:val="zh-CN" w:bidi="zh-CN"/>
              </w:rPr>
              <w:t>安全接入认证</w:t>
            </w:r>
          </w:p>
        </w:tc>
        <w:tc>
          <w:tcPr>
            <w:tcW w:w="3715" w:type="dxa"/>
            <w:vAlign w:val="center"/>
          </w:tcPr>
          <w:p w14:paraId="76589409">
            <w:pPr>
              <w:spacing w:line="240" w:lineRule="auto"/>
              <w:ind w:firstLine="0" w:firstLineChars="0"/>
              <w:rPr>
                <w:rFonts w:hint="eastAsia" w:cs="宋体"/>
                <w:szCs w:val="28"/>
                <w:lang w:val="zh-CN" w:bidi="zh-CN"/>
              </w:rPr>
            </w:pPr>
            <w:r>
              <w:rPr>
                <w:rFonts w:hint="eastAsia" w:cs="宋体"/>
                <w:szCs w:val="28"/>
                <w:lang w:val="zh-CN" w:bidi="zh-CN"/>
              </w:rPr>
              <w:t>不适用。</w:t>
            </w:r>
          </w:p>
        </w:tc>
        <w:tc>
          <w:tcPr>
            <w:tcW w:w="1573" w:type="dxa"/>
            <w:vAlign w:val="center"/>
          </w:tcPr>
          <w:p w14:paraId="40E14ABF">
            <w:pPr>
              <w:spacing w:line="240" w:lineRule="auto"/>
              <w:ind w:firstLine="0" w:firstLineChars="0"/>
              <w:rPr>
                <w:rFonts w:hint="eastAsia" w:cs="宋体"/>
                <w:szCs w:val="28"/>
                <w:lang w:val="zh-CN" w:bidi="zh-CN"/>
              </w:rPr>
            </w:pPr>
            <w:r>
              <w:rPr>
                <w:rFonts w:hint="eastAsia" w:cs="宋体"/>
                <w:szCs w:val="28"/>
                <w:lang w:val="zh-CN" w:bidi="zh-CN"/>
              </w:rPr>
              <w:t>无外部设备接入本系统的需求</w:t>
            </w:r>
          </w:p>
        </w:tc>
      </w:tr>
      <w:tr w14:paraId="423CC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13" w:hRule="atLeast"/>
          <w:jc w:val="center"/>
        </w:trPr>
        <w:tc>
          <w:tcPr>
            <w:tcW w:w="856" w:type="dxa"/>
            <w:vMerge w:val="continue"/>
            <w:vAlign w:val="center"/>
          </w:tcPr>
          <w:p w14:paraId="652CDCB2">
            <w:pPr>
              <w:spacing w:line="240" w:lineRule="auto"/>
              <w:ind w:firstLine="0" w:firstLineChars="0"/>
              <w:rPr>
                <w:rFonts w:hint="eastAsia" w:cs="宋体"/>
                <w:szCs w:val="28"/>
                <w:lang w:val="zh-CN" w:bidi="zh-CN"/>
              </w:rPr>
            </w:pPr>
          </w:p>
        </w:tc>
        <w:tc>
          <w:tcPr>
            <w:tcW w:w="858" w:type="dxa"/>
            <w:vMerge w:val="continue"/>
            <w:vAlign w:val="center"/>
          </w:tcPr>
          <w:p w14:paraId="11DD645D">
            <w:pPr>
              <w:spacing w:line="240" w:lineRule="auto"/>
              <w:ind w:firstLine="0" w:firstLineChars="0"/>
              <w:rPr>
                <w:rFonts w:hint="eastAsia" w:cs="宋体"/>
                <w:szCs w:val="28"/>
                <w:lang w:val="zh-CN" w:bidi="zh-CN"/>
              </w:rPr>
            </w:pPr>
          </w:p>
        </w:tc>
        <w:tc>
          <w:tcPr>
            <w:tcW w:w="2286" w:type="dxa"/>
            <w:vAlign w:val="center"/>
          </w:tcPr>
          <w:p w14:paraId="11D98C31">
            <w:pPr>
              <w:spacing w:line="240" w:lineRule="auto"/>
              <w:ind w:firstLine="0" w:firstLineChars="0"/>
              <w:rPr>
                <w:rFonts w:hint="eastAsia" w:cs="宋体"/>
                <w:szCs w:val="28"/>
                <w:lang w:val="zh-CN" w:bidi="zh-CN"/>
              </w:rPr>
            </w:pPr>
            <w:r>
              <w:rPr>
                <w:rFonts w:hint="eastAsia" w:cs="宋体"/>
                <w:szCs w:val="28"/>
                <w:lang w:val="zh-CN" w:bidi="zh-CN"/>
              </w:rPr>
              <w:t>密码服务</w:t>
            </w:r>
          </w:p>
        </w:tc>
        <w:tc>
          <w:tcPr>
            <w:tcW w:w="3715" w:type="dxa"/>
            <w:vAlign w:val="center"/>
          </w:tcPr>
          <w:p w14:paraId="7B4B64EB">
            <w:pPr>
              <w:spacing w:line="240" w:lineRule="auto"/>
              <w:ind w:firstLine="0" w:firstLineChars="0"/>
              <w:rPr>
                <w:rFonts w:hint="eastAsia" w:cs="宋体"/>
                <w:szCs w:val="28"/>
                <w:lang w:val="zh-CN" w:bidi="zh-CN"/>
              </w:rPr>
            </w:pPr>
            <w:r>
              <w:rPr>
                <w:rFonts w:hint="eastAsia" w:cs="宋体"/>
                <w:szCs w:val="28"/>
                <w:lang w:val="zh-CN" w:bidi="zh-CN"/>
              </w:rPr>
              <w:t>采用的数字证书由具有电子认证服务资质的机构签发。</w:t>
            </w:r>
          </w:p>
        </w:tc>
        <w:tc>
          <w:tcPr>
            <w:tcW w:w="1573" w:type="dxa"/>
            <w:vAlign w:val="center"/>
          </w:tcPr>
          <w:p w14:paraId="6734AFDD">
            <w:pPr>
              <w:spacing w:line="240" w:lineRule="auto"/>
              <w:ind w:firstLine="0" w:firstLineChars="0"/>
              <w:rPr>
                <w:rFonts w:hint="eastAsia" w:cs="宋体"/>
                <w:szCs w:val="28"/>
                <w:lang w:val="zh-CN" w:bidi="zh-CN"/>
              </w:rPr>
            </w:pPr>
            <w:r>
              <w:rPr>
                <w:rFonts w:hint="eastAsia" w:cs="宋体"/>
                <w:szCs w:val="28"/>
                <w:lang w:val="zh-CN" w:bidi="zh-CN"/>
              </w:rPr>
              <w:t>无</w:t>
            </w:r>
          </w:p>
        </w:tc>
      </w:tr>
      <w:tr w14:paraId="7E876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3C03FA64">
            <w:pPr>
              <w:spacing w:line="240" w:lineRule="auto"/>
              <w:ind w:firstLine="0" w:firstLineChars="0"/>
              <w:rPr>
                <w:rFonts w:hint="eastAsia" w:cs="宋体"/>
                <w:szCs w:val="28"/>
                <w:lang w:val="zh-CN" w:bidi="zh-CN"/>
              </w:rPr>
            </w:pPr>
          </w:p>
        </w:tc>
        <w:tc>
          <w:tcPr>
            <w:tcW w:w="858" w:type="dxa"/>
            <w:vMerge w:val="continue"/>
            <w:vAlign w:val="center"/>
          </w:tcPr>
          <w:p w14:paraId="3D34DA69">
            <w:pPr>
              <w:spacing w:line="240" w:lineRule="auto"/>
              <w:ind w:firstLine="0" w:firstLineChars="0"/>
              <w:rPr>
                <w:rFonts w:hint="eastAsia" w:cs="宋体"/>
                <w:szCs w:val="28"/>
                <w:lang w:val="zh-CN" w:bidi="zh-CN"/>
              </w:rPr>
            </w:pPr>
          </w:p>
        </w:tc>
        <w:tc>
          <w:tcPr>
            <w:tcW w:w="2286" w:type="dxa"/>
            <w:vAlign w:val="center"/>
          </w:tcPr>
          <w:p w14:paraId="1CB80D60">
            <w:pPr>
              <w:spacing w:line="240" w:lineRule="auto"/>
              <w:ind w:firstLine="0" w:firstLineChars="0"/>
              <w:rPr>
                <w:rFonts w:hint="eastAsia" w:cs="宋体"/>
                <w:szCs w:val="28"/>
                <w:lang w:val="zh-CN" w:bidi="zh-CN"/>
              </w:rPr>
            </w:pPr>
            <w:r>
              <w:rPr>
                <w:rFonts w:hint="eastAsia" w:cs="宋体"/>
                <w:szCs w:val="28"/>
                <w:lang w:val="zh-CN" w:bidi="zh-CN"/>
              </w:rPr>
              <w:t>密码产品</w:t>
            </w:r>
          </w:p>
        </w:tc>
        <w:tc>
          <w:tcPr>
            <w:tcW w:w="3715" w:type="dxa"/>
            <w:vAlign w:val="center"/>
          </w:tcPr>
          <w:p w14:paraId="3862E3B7">
            <w:pPr>
              <w:spacing w:line="240" w:lineRule="auto"/>
              <w:ind w:firstLine="0" w:firstLineChars="0"/>
              <w:rPr>
                <w:rFonts w:hint="eastAsia" w:cs="宋体"/>
                <w:szCs w:val="28"/>
                <w:lang w:val="zh-CN" w:bidi="zh-CN"/>
              </w:rPr>
            </w:pPr>
            <w:r>
              <w:rPr>
                <w:rFonts w:hint="eastAsia" w:cs="宋体"/>
                <w:szCs w:val="28"/>
                <w:lang w:val="zh-CN" w:bidi="zh-CN"/>
              </w:rPr>
              <w:t>采用的密码产品应达到GB/T 37092-2018二级及以上安全要求。</w:t>
            </w:r>
          </w:p>
        </w:tc>
        <w:tc>
          <w:tcPr>
            <w:tcW w:w="1573" w:type="dxa"/>
            <w:vAlign w:val="center"/>
          </w:tcPr>
          <w:p w14:paraId="475C154B">
            <w:pPr>
              <w:spacing w:line="240" w:lineRule="auto"/>
              <w:ind w:firstLine="0" w:firstLineChars="0"/>
              <w:rPr>
                <w:rFonts w:hint="eastAsia" w:cs="宋体"/>
                <w:szCs w:val="28"/>
                <w:lang w:val="zh-CN" w:bidi="zh-CN"/>
              </w:rPr>
            </w:pPr>
            <w:r>
              <w:rPr>
                <w:rFonts w:hint="eastAsia" w:cs="宋体"/>
                <w:szCs w:val="28"/>
                <w:lang w:val="zh-CN" w:bidi="zh-CN"/>
              </w:rPr>
              <w:t>无</w:t>
            </w:r>
          </w:p>
        </w:tc>
      </w:tr>
      <w:tr w14:paraId="19D31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3E392F68">
            <w:pPr>
              <w:spacing w:line="240" w:lineRule="auto"/>
              <w:ind w:firstLine="0" w:firstLineChars="0"/>
              <w:rPr>
                <w:rFonts w:hint="eastAsia" w:cs="宋体"/>
                <w:szCs w:val="28"/>
                <w:lang w:val="zh-CN" w:bidi="zh-CN"/>
              </w:rPr>
            </w:pPr>
          </w:p>
        </w:tc>
        <w:tc>
          <w:tcPr>
            <w:tcW w:w="858" w:type="dxa"/>
            <w:vMerge w:val="restart"/>
            <w:vAlign w:val="center"/>
          </w:tcPr>
          <w:p w14:paraId="19A4B519">
            <w:pPr>
              <w:spacing w:line="240" w:lineRule="auto"/>
              <w:ind w:firstLine="0" w:firstLineChars="0"/>
              <w:rPr>
                <w:rFonts w:hint="eastAsia" w:cs="宋体"/>
                <w:szCs w:val="28"/>
                <w:lang w:val="zh-CN" w:bidi="zh-CN"/>
              </w:rPr>
            </w:pPr>
            <w:r>
              <w:rPr>
                <w:rFonts w:hint="eastAsia" w:cs="宋体"/>
                <w:szCs w:val="28"/>
                <w:lang w:val="zh-CN" w:bidi="zh-CN"/>
              </w:rPr>
              <w:t>设备和计算安全</w:t>
            </w:r>
          </w:p>
        </w:tc>
        <w:tc>
          <w:tcPr>
            <w:tcW w:w="2286" w:type="dxa"/>
            <w:vAlign w:val="center"/>
          </w:tcPr>
          <w:p w14:paraId="0F58D523">
            <w:pPr>
              <w:spacing w:line="240" w:lineRule="auto"/>
              <w:ind w:firstLine="0" w:firstLineChars="0"/>
              <w:rPr>
                <w:rFonts w:hint="eastAsia" w:cs="宋体"/>
                <w:szCs w:val="28"/>
                <w:lang w:val="zh-CN" w:bidi="zh-CN"/>
              </w:rPr>
            </w:pPr>
            <w:r>
              <w:rPr>
                <w:rFonts w:hint="eastAsia" w:cs="宋体"/>
                <w:szCs w:val="28"/>
                <w:lang w:val="zh-CN" w:bidi="zh-CN"/>
              </w:rPr>
              <w:t>身份鉴别</w:t>
            </w:r>
          </w:p>
        </w:tc>
        <w:tc>
          <w:tcPr>
            <w:tcW w:w="3715" w:type="dxa"/>
            <w:vAlign w:val="center"/>
          </w:tcPr>
          <w:p w14:paraId="1FC19E80">
            <w:pPr>
              <w:spacing w:line="240" w:lineRule="auto"/>
              <w:ind w:firstLine="0" w:firstLineChars="0"/>
              <w:rPr>
                <w:rFonts w:hint="eastAsia" w:cs="宋体"/>
                <w:szCs w:val="28"/>
                <w:lang w:val="zh-CN" w:bidi="zh-CN"/>
              </w:rPr>
            </w:pPr>
            <w:r>
              <w:rPr>
                <w:rFonts w:hint="eastAsia" w:cs="宋体"/>
                <w:szCs w:val="28"/>
                <w:lang w:val="zh-CN" w:bidi="zh-CN"/>
              </w:rPr>
              <w:t>管理员通过远程运维管理终端访问堡垒机、服务器虚拟机、数据库、密码服务时，对其身份真实性进行识别和确认，防止假冒人员登录。</w:t>
            </w:r>
          </w:p>
        </w:tc>
        <w:tc>
          <w:tcPr>
            <w:tcW w:w="1573" w:type="dxa"/>
            <w:vAlign w:val="center"/>
          </w:tcPr>
          <w:p w14:paraId="33358566">
            <w:pPr>
              <w:spacing w:line="240" w:lineRule="auto"/>
              <w:ind w:firstLine="0" w:firstLineChars="0"/>
              <w:rPr>
                <w:rFonts w:hint="eastAsia" w:cs="宋体"/>
                <w:szCs w:val="28"/>
                <w:lang w:val="zh-CN" w:bidi="zh-CN"/>
              </w:rPr>
            </w:pPr>
            <w:r>
              <w:rPr>
                <w:rFonts w:hint="eastAsia" w:cs="宋体"/>
                <w:szCs w:val="28"/>
                <w:lang w:val="zh-CN" w:bidi="zh-CN"/>
              </w:rPr>
              <w:t>无</w:t>
            </w:r>
          </w:p>
        </w:tc>
      </w:tr>
      <w:tr w14:paraId="2EBEC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39EE0B42">
            <w:pPr>
              <w:spacing w:line="240" w:lineRule="auto"/>
              <w:ind w:firstLine="0" w:firstLineChars="0"/>
              <w:rPr>
                <w:rFonts w:hint="eastAsia" w:cs="宋体"/>
                <w:szCs w:val="28"/>
                <w:lang w:val="zh-CN" w:bidi="zh-CN"/>
              </w:rPr>
            </w:pPr>
          </w:p>
        </w:tc>
        <w:tc>
          <w:tcPr>
            <w:tcW w:w="858" w:type="dxa"/>
            <w:vMerge w:val="continue"/>
            <w:vAlign w:val="center"/>
          </w:tcPr>
          <w:p w14:paraId="6891B227">
            <w:pPr>
              <w:spacing w:line="240" w:lineRule="auto"/>
              <w:ind w:firstLine="0" w:firstLineChars="0"/>
              <w:rPr>
                <w:rFonts w:hint="eastAsia" w:cs="宋体"/>
                <w:szCs w:val="28"/>
                <w:lang w:val="zh-CN" w:bidi="zh-CN"/>
              </w:rPr>
            </w:pPr>
          </w:p>
        </w:tc>
        <w:tc>
          <w:tcPr>
            <w:tcW w:w="2286" w:type="dxa"/>
            <w:vAlign w:val="center"/>
          </w:tcPr>
          <w:p w14:paraId="2F8E54F7">
            <w:pPr>
              <w:spacing w:line="240" w:lineRule="auto"/>
              <w:ind w:firstLine="0" w:firstLineChars="0"/>
              <w:rPr>
                <w:rFonts w:hint="eastAsia" w:cs="宋体"/>
                <w:szCs w:val="28"/>
                <w:lang w:val="zh-CN" w:bidi="zh-CN"/>
              </w:rPr>
            </w:pPr>
            <w:r>
              <w:rPr>
                <w:rFonts w:hint="eastAsia" w:cs="宋体"/>
                <w:szCs w:val="28"/>
                <w:lang w:val="zh-CN" w:bidi="zh-CN"/>
              </w:rPr>
              <w:t>远程管理通道安全</w:t>
            </w:r>
          </w:p>
        </w:tc>
        <w:tc>
          <w:tcPr>
            <w:tcW w:w="3715" w:type="dxa"/>
            <w:vAlign w:val="center"/>
          </w:tcPr>
          <w:p w14:paraId="0762825C">
            <w:pPr>
              <w:spacing w:line="240" w:lineRule="auto"/>
              <w:ind w:firstLine="0" w:firstLineChars="0"/>
              <w:rPr>
                <w:rFonts w:hint="eastAsia" w:cs="宋体"/>
                <w:szCs w:val="28"/>
                <w:lang w:val="zh-CN" w:bidi="zh-CN"/>
              </w:rPr>
            </w:pPr>
            <w:r>
              <w:rPr>
                <w:rFonts w:hint="eastAsia" w:cs="宋体"/>
                <w:szCs w:val="28"/>
                <w:lang w:val="zh-CN" w:bidi="zh-CN"/>
              </w:rPr>
              <w:t>在设备实施远程运维管理时，对设备的运维管理通道进行保护，防止运维管理数据泄漏。</w:t>
            </w:r>
          </w:p>
        </w:tc>
        <w:tc>
          <w:tcPr>
            <w:tcW w:w="1573" w:type="dxa"/>
            <w:vAlign w:val="center"/>
          </w:tcPr>
          <w:p w14:paraId="7977C67A">
            <w:pPr>
              <w:spacing w:line="240" w:lineRule="auto"/>
              <w:ind w:firstLine="0" w:firstLineChars="0"/>
              <w:rPr>
                <w:rFonts w:hint="eastAsia" w:cs="宋体"/>
                <w:szCs w:val="28"/>
                <w:lang w:val="zh-CN" w:bidi="zh-CN"/>
              </w:rPr>
            </w:pPr>
            <w:r>
              <w:rPr>
                <w:rFonts w:hint="eastAsia" w:cs="宋体"/>
                <w:szCs w:val="28"/>
                <w:lang w:val="zh-CN" w:bidi="zh-CN"/>
              </w:rPr>
              <w:t>无</w:t>
            </w:r>
          </w:p>
        </w:tc>
      </w:tr>
      <w:tr w14:paraId="0E529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0C91C18F">
            <w:pPr>
              <w:spacing w:line="240" w:lineRule="auto"/>
              <w:ind w:firstLine="0" w:firstLineChars="0"/>
              <w:rPr>
                <w:rFonts w:hint="eastAsia" w:cs="宋体"/>
                <w:szCs w:val="28"/>
                <w:lang w:val="zh-CN" w:bidi="zh-CN"/>
              </w:rPr>
            </w:pPr>
          </w:p>
        </w:tc>
        <w:tc>
          <w:tcPr>
            <w:tcW w:w="858" w:type="dxa"/>
            <w:vMerge w:val="continue"/>
            <w:vAlign w:val="center"/>
          </w:tcPr>
          <w:p w14:paraId="33E5A5A9">
            <w:pPr>
              <w:spacing w:line="240" w:lineRule="auto"/>
              <w:ind w:firstLine="0" w:firstLineChars="0"/>
              <w:rPr>
                <w:rFonts w:hint="eastAsia" w:cs="宋体"/>
                <w:szCs w:val="28"/>
                <w:lang w:val="zh-CN" w:bidi="zh-CN"/>
              </w:rPr>
            </w:pPr>
          </w:p>
        </w:tc>
        <w:tc>
          <w:tcPr>
            <w:tcW w:w="2286" w:type="dxa"/>
            <w:vAlign w:val="center"/>
          </w:tcPr>
          <w:p w14:paraId="73D1AD05">
            <w:pPr>
              <w:spacing w:line="240" w:lineRule="auto"/>
              <w:ind w:firstLine="0" w:firstLineChars="0"/>
              <w:rPr>
                <w:rFonts w:hint="eastAsia" w:cs="宋体"/>
                <w:szCs w:val="28"/>
                <w:lang w:val="zh-CN" w:bidi="zh-CN"/>
              </w:rPr>
            </w:pPr>
            <w:r>
              <w:rPr>
                <w:rFonts w:hint="eastAsia" w:cs="宋体"/>
                <w:szCs w:val="28"/>
                <w:lang w:val="zh-CN" w:bidi="zh-CN"/>
              </w:rPr>
              <w:t>系统资源访问控制信息完整性</w:t>
            </w:r>
          </w:p>
        </w:tc>
        <w:tc>
          <w:tcPr>
            <w:tcW w:w="3715" w:type="dxa"/>
            <w:vAlign w:val="center"/>
          </w:tcPr>
          <w:p w14:paraId="58071973">
            <w:pPr>
              <w:spacing w:line="240" w:lineRule="auto"/>
              <w:ind w:firstLine="0" w:firstLineChars="0"/>
              <w:rPr>
                <w:rFonts w:hint="eastAsia" w:cs="宋体"/>
                <w:szCs w:val="28"/>
                <w:lang w:val="zh-CN" w:bidi="zh-CN"/>
              </w:rPr>
            </w:pPr>
            <w:r>
              <w:rPr>
                <w:rFonts w:hint="eastAsia" w:cs="宋体"/>
                <w:szCs w:val="28"/>
                <w:lang w:val="zh-CN" w:bidi="zh-CN"/>
              </w:rPr>
              <w:t>保护系统中服务器虚拟机、数据库、密码</w:t>
            </w:r>
            <w:r>
              <w:rPr>
                <w:rFonts w:hint="eastAsia" w:cs="宋体"/>
                <w:szCs w:val="28"/>
                <w:lang w:bidi="zh-CN"/>
              </w:rPr>
              <w:t>服务</w:t>
            </w:r>
            <w:r>
              <w:rPr>
                <w:rFonts w:hint="eastAsia" w:cs="宋体"/>
                <w:szCs w:val="28"/>
                <w:lang w:val="zh-CN" w:bidi="zh-CN"/>
              </w:rPr>
              <w:t>的访问控制信息的完整性，防止被非授权篡改。</w:t>
            </w:r>
          </w:p>
        </w:tc>
        <w:tc>
          <w:tcPr>
            <w:tcW w:w="1573" w:type="dxa"/>
            <w:vAlign w:val="center"/>
          </w:tcPr>
          <w:p w14:paraId="4230E266">
            <w:pPr>
              <w:spacing w:line="240" w:lineRule="auto"/>
              <w:ind w:firstLine="0" w:firstLineChars="0"/>
              <w:rPr>
                <w:rFonts w:hint="eastAsia" w:cs="宋体"/>
                <w:szCs w:val="28"/>
                <w:lang w:val="zh-CN" w:bidi="zh-CN"/>
              </w:rPr>
            </w:pPr>
            <w:r>
              <w:rPr>
                <w:rFonts w:hint="eastAsia" w:cs="宋体"/>
                <w:szCs w:val="28"/>
                <w:lang w:val="zh-CN" w:bidi="zh-CN"/>
              </w:rPr>
              <w:t>无</w:t>
            </w:r>
          </w:p>
        </w:tc>
      </w:tr>
      <w:tr w14:paraId="2BBD5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0E35BC99">
            <w:pPr>
              <w:spacing w:line="240" w:lineRule="auto"/>
              <w:ind w:firstLine="0" w:firstLineChars="0"/>
              <w:rPr>
                <w:rFonts w:hint="eastAsia" w:cs="宋体"/>
                <w:szCs w:val="28"/>
                <w:lang w:val="zh-CN" w:bidi="zh-CN"/>
              </w:rPr>
            </w:pPr>
          </w:p>
        </w:tc>
        <w:tc>
          <w:tcPr>
            <w:tcW w:w="858" w:type="dxa"/>
            <w:vMerge w:val="continue"/>
            <w:vAlign w:val="center"/>
          </w:tcPr>
          <w:p w14:paraId="0DCBB2B3">
            <w:pPr>
              <w:spacing w:line="240" w:lineRule="auto"/>
              <w:ind w:firstLine="0" w:firstLineChars="0"/>
              <w:rPr>
                <w:rFonts w:hint="eastAsia" w:cs="宋体"/>
                <w:szCs w:val="28"/>
                <w:lang w:val="zh-CN" w:bidi="zh-CN"/>
              </w:rPr>
            </w:pPr>
          </w:p>
        </w:tc>
        <w:tc>
          <w:tcPr>
            <w:tcW w:w="2286" w:type="dxa"/>
            <w:vAlign w:val="center"/>
          </w:tcPr>
          <w:p w14:paraId="368D8DA6">
            <w:pPr>
              <w:spacing w:line="240" w:lineRule="auto"/>
              <w:ind w:firstLine="0" w:firstLineChars="0"/>
              <w:rPr>
                <w:rFonts w:hint="eastAsia" w:cs="宋体"/>
                <w:szCs w:val="28"/>
                <w:lang w:val="zh-CN" w:bidi="zh-CN"/>
              </w:rPr>
            </w:pPr>
            <w:r>
              <w:rPr>
                <w:rFonts w:hint="eastAsia" w:cs="宋体"/>
                <w:szCs w:val="28"/>
                <w:lang w:val="zh-CN" w:bidi="zh-CN"/>
              </w:rPr>
              <w:t>重要信息资源安全标记完整性</w:t>
            </w:r>
          </w:p>
        </w:tc>
        <w:tc>
          <w:tcPr>
            <w:tcW w:w="3715" w:type="dxa"/>
            <w:vAlign w:val="center"/>
          </w:tcPr>
          <w:p w14:paraId="0B00B955">
            <w:pPr>
              <w:spacing w:line="240" w:lineRule="auto"/>
              <w:ind w:firstLine="0" w:firstLineChars="0"/>
              <w:rPr>
                <w:rFonts w:hint="eastAsia" w:cs="宋体"/>
                <w:szCs w:val="28"/>
                <w:lang w:val="zh-CN" w:bidi="zh-CN"/>
              </w:rPr>
            </w:pPr>
            <w:r>
              <w:rPr>
                <w:rFonts w:hint="eastAsia" w:cs="宋体"/>
                <w:szCs w:val="28"/>
                <w:lang w:val="zh-CN" w:bidi="zh-CN"/>
              </w:rPr>
              <w:t>不适用。</w:t>
            </w:r>
          </w:p>
        </w:tc>
        <w:tc>
          <w:tcPr>
            <w:tcW w:w="1573" w:type="dxa"/>
            <w:vAlign w:val="center"/>
          </w:tcPr>
          <w:p w14:paraId="4CDDD3B7">
            <w:pPr>
              <w:spacing w:line="240" w:lineRule="auto"/>
              <w:ind w:firstLine="0" w:firstLineChars="0"/>
              <w:rPr>
                <w:rFonts w:hint="eastAsia" w:cs="宋体"/>
                <w:szCs w:val="28"/>
                <w:lang w:val="zh-CN" w:bidi="zh-CN"/>
              </w:rPr>
            </w:pPr>
            <w:r>
              <w:rPr>
                <w:rFonts w:hint="eastAsia" w:cs="宋体"/>
                <w:szCs w:val="28"/>
                <w:lang w:val="zh-CN" w:bidi="zh-CN"/>
              </w:rPr>
              <w:t>设备没有安全标记</w:t>
            </w:r>
          </w:p>
        </w:tc>
      </w:tr>
      <w:tr w14:paraId="08D83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639C7F22">
            <w:pPr>
              <w:spacing w:line="240" w:lineRule="auto"/>
              <w:ind w:firstLine="0" w:firstLineChars="0"/>
              <w:rPr>
                <w:rFonts w:hint="eastAsia" w:cs="宋体"/>
                <w:szCs w:val="28"/>
                <w:lang w:val="zh-CN" w:bidi="zh-CN"/>
              </w:rPr>
            </w:pPr>
          </w:p>
        </w:tc>
        <w:tc>
          <w:tcPr>
            <w:tcW w:w="858" w:type="dxa"/>
            <w:vMerge w:val="continue"/>
            <w:vAlign w:val="center"/>
          </w:tcPr>
          <w:p w14:paraId="4A77606E">
            <w:pPr>
              <w:spacing w:line="240" w:lineRule="auto"/>
              <w:ind w:firstLine="0" w:firstLineChars="0"/>
              <w:rPr>
                <w:rFonts w:hint="eastAsia" w:cs="宋体"/>
                <w:szCs w:val="28"/>
                <w:lang w:val="zh-CN" w:bidi="zh-CN"/>
              </w:rPr>
            </w:pPr>
          </w:p>
        </w:tc>
        <w:tc>
          <w:tcPr>
            <w:tcW w:w="2286" w:type="dxa"/>
            <w:vAlign w:val="center"/>
          </w:tcPr>
          <w:p w14:paraId="6A6DE334">
            <w:pPr>
              <w:spacing w:line="240" w:lineRule="auto"/>
              <w:ind w:firstLine="0" w:firstLineChars="0"/>
              <w:rPr>
                <w:rFonts w:hint="eastAsia" w:cs="宋体"/>
                <w:szCs w:val="28"/>
                <w:lang w:val="zh-CN" w:bidi="zh-CN"/>
              </w:rPr>
            </w:pPr>
            <w:r>
              <w:rPr>
                <w:rFonts w:hint="eastAsia" w:cs="宋体"/>
                <w:szCs w:val="28"/>
                <w:lang w:val="zh-CN" w:bidi="zh-CN"/>
              </w:rPr>
              <w:t>日志记录完整性</w:t>
            </w:r>
          </w:p>
        </w:tc>
        <w:tc>
          <w:tcPr>
            <w:tcW w:w="3715" w:type="dxa"/>
            <w:vAlign w:val="center"/>
          </w:tcPr>
          <w:p w14:paraId="76D7088F">
            <w:pPr>
              <w:spacing w:line="240" w:lineRule="auto"/>
              <w:ind w:firstLine="0" w:firstLineChars="0"/>
              <w:rPr>
                <w:rFonts w:hint="eastAsia" w:cs="宋体"/>
                <w:szCs w:val="28"/>
                <w:lang w:val="zh-CN" w:bidi="zh-CN"/>
              </w:rPr>
            </w:pPr>
            <w:r>
              <w:rPr>
                <w:rFonts w:hint="eastAsia" w:cs="宋体"/>
                <w:szCs w:val="28"/>
                <w:lang w:val="zh-CN" w:bidi="zh-CN"/>
              </w:rPr>
              <w:t>保护系统中服务器虚拟机、数据库、密码</w:t>
            </w:r>
            <w:r>
              <w:rPr>
                <w:rFonts w:hint="eastAsia" w:cs="宋体"/>
                <w:szCs w:val="28"/>
                <w:lang w:bidi="zh-CN"/>
              </w:rPr>
              <w:t>服务</w:t>
            </w:r>
            <w:r>
              <w:rPr>
                <w:rFonts w:hint="eastAsia" w:cs="宋体"/>
                <w:szCs w:val="28"/>
                <w:lang w:val="zh-CN" w:bidi="zh-CN"/>
              </w:rPr>
              <w:t>的日志记录的完整性，防止被非授权篡改。</w:t>
            </w:r>
          </w:p>
        </w:tc>
        <w:tc>
          <w:tcPr>
            <w:tcW w:w="1573" w:type="dxa"/>
            <w:vAlign w:val="center"/>
          </w:tcPr>
          <w:p w14:paraId="06D3C744">
            <w:pPr>
              <w:spacing w:line="240" w:lineRule="auto"/>
              <w:ind w:firstLine="0" w:firstLineChars="0"/>
              <w:rPr>
                <w:rFonts w:hint="eastAsia" w:cs="宋体"/>
                <w:szCs w:val="28"/>
                <w:lang w:val="zh-CN" w:bidi="zh-CN"/>
              </w:rPr>
            </w:pPr>
            <w:r>
              <w:rPr>
                <w:rFonts w:hint="eastAsia" w:cs="宋体"/>
                <w:szCs w:val="28"/>
                <w:lang w:val="zh-CN" w:bidi="zh-CN"/>
              </w:rPr>
              <w:t>无</w:t>
            </w:r>
          </w:p>
        </w:tc>
      </w:tr>
      <w:tr w14:paraId="58F9E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5FE6F822">
            <w:pPr>
              <w:spacing w:line="240" w:lineRule="auto"/>
              <w:ind w:firstLine="0" w:firstLineChars="0"/>
              <w:rPr>
                <w:rFonts w:hint="eastAsia" w:cs="宋体"/>
                <w:szCs w:val="28"/>
                <w:lang w:val="zh-CN" w:bidi="zh-CN"/>
              </w:rPr>
            </w:pPr>
          </w:p>
        </w:tc>
        <w:tc>
          <w:tcPr>
            <w:tcW w:w="858" w:type="dxa"/>
            <w:vMerge w:val="continue"/>
            <w:vAlign w:val="center"/>
          </w:tcPr>
          <w:p w14:paraId="35AEB92D">
            <w:pPr>
              <w:spacing w:line="240" w:lineRule="auto"/>
              <w:ind w:firstLine="0" w:firstLineChars="0"/>
              <w:rPr>
                <w:rFonts w:hint="eastAsia" w:cs="宋体"/>
                <w:szCs w:val="28"/>
                <w:lang w:val="zh-CN" w:bidi="zh-CN"/>
              </w:rPr>
            </w:pPr>
          </w:p>
        </w:tc>
        <w:tc>
          <w:tcPr>
            <w:tcW w:w="2286" w:type="dxa"/>
            <w:vAlign w:val="center"/>
          </w:tcPr>
          <w:p w14:paraId="50A7F7A0">
            <w:pPr>
              <w:spacing w:line="240" w:lineRule="auto"/>
              <w:ind w:firstLine="0" w:firstLineChars="0"/>
              <w:rPr>
                <w:rFonts w:hint="eastAsia" w:cs="宋体"/>
                <w:szCs w:val="28"/>
                <w:lang w:val="zh-CN" w:bidi="zh-CN"/>
              </w:rPr>
            </w:pPr>
            <w:r>
              <w:rPr>
                <w:rFonts w:hint="eastAsia" w:cs="宋体"/>
                <w:szCs w:val="28"/>
                <w:lang w:val="zh-CN" w:bidi="zh-CN"/>
              </w:rPr>
              <w:t>重要可执行程序完整性、</w:t>
            </w:r>
          </w:p>
          <w:p w14:paraId="00E78E78">
            <w:pPr>
              <w:spacing w:line="240" w:lineRule="auto"/>
              <w:ind w:firstLine="0" w:firstLineChars="0"/>
              <w:rPr>
                <w:rFonts w:hint="eastAsia" w:cs="宋体"/>
                <w:szCs w:val="28"/>
                <w:lang w:val="zh-CN" w:bidi="zh-CN"/>
              </w:rPr>
            </w:pPr>
            <w:r>
              <w:rPr>
                <w:rFonts w:hint="eastAsia" w:cs="宋体"/>
                <w:szCs w:val="28"/>
                <w:lang w:val="zh-CN" w:bidi="zh-CN"/>
              </w:rPr>
              <w:t>来源真实性</w:t>
            </w:r>
          </w:p>
        </w:tc>
        <w:tc>
          <w:tcPr>
            <w:tcW w:w="3715" w:type="dxa"/>
            <w:vAlign w:val="center"/>
          </w:tcPr>
          <w:p w14:paraId="253EFBD7">
            <w:pPr>
              <w:spacing w:line="240" w:lineRule="auto"/>
              <w:ind w:firstLine="0" w:firstLineChars="0"/>
              <w:rPr>
                <w:rFonts w:hint="eastAsia" w:cs="宋体"/>
                <w:szCs w:val="28"/>
                <w:lang w:val="zh-CN" w:bidi="zh-CN"/>
              </w:rPr>
            </w:pPr>
            <w:r>
              <w:rPr>
                <w:rFonts w:hint="eastAsia" w:cs="宋体"/>
                <w:szCs w:val="28"/>
                <w:lang w:val="zh-CN" w:bidi="zh-CN"/>
              </w:rPr>
              <w:t>保护应用服务器等设备中部署的重要可执行程序的完整性和来源真实性，防止被非授权篡改。</w:t>
            </w:r>
          </w:p>
        </w:tc>
        <w:tc>
          <w:tcPr>
            <w:tcW w:w="1573" w:type="dxa"/>
            <w:vAlign w:val="center"/>
          </w:tcPr>
          <w:p w14:paraId="1B2B35C0">
            <w:pPr>
              <w:spacing w:line="240" w:lineRule="auto"/>
              <w:ind w:firstLine="0" w:firstLineChars="0"/>
              <w:rPr>
                <w:rFonts w:hint="eastAsia" w:cs="宋体"/>
                <w:szCs w:val="28"/>
                <w:lang w:val="zh-CN" w:bidi="zh-CN"/>
              </w:rPr>
            </w:pPr>
            <w:r>
              <w:rPr>
                <w:rFonts w:hint="eastAsia" w:cs="宋体"/>
                <w:szCs w:val="28"/>
                <w:lang w:val="zh-CN" w:bidi="zh-CN"/>
              </w:rPr>
              <w:t>无</w:t>
            </w:r>
          </w:p>
        </w:tc>
      </w:tr>
      <w:tr w14:paraId="40B17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36" w:hRule="atLeast"/>
          <w:jc w:val="center"/>
        </w:trPr>
        <w:tc>
          <w:tcPr>
            <w:tcW w:w="856" w:type="dxa"/>
            <w:vMerge w:val="continue"/>
            <w:vAlign w:val="center"/>
          </w:tcPr>
          <w:p w14:paraId="502FE720">
            <w:pPr>
              <w:spacing w:line="240" w:lineRule="auto"/>
              <w:ind w:firstLine="0" w:firstLineChars="0"/>
              <w:rPr>
                <w:rFonts w:hint="eastAsia" w:cs="宋体"/>
                <w:szCs w:val="28"/>
                <w:lang w:val="zh-CN" w:bidi="zh-CN"/>
              </w:rPr>
            </w:pPr>
          </w:p>
        </w:tc>
        <w:tc>
          <w:tcPr>
            <w:tcW w:w="858" w:type="dxa"/>
            <w:vMerge w:val="continue"/>
            <w:vAlign w:val="center"/>
          </w:tcPr>
          <w:p w14:paraId="09444D27">
            <w:pPr>
              <w:spacing w:line="240" w:lineRule="auto"/>
              <w:ind w:firstLine="0" w:firstLineChars="0"/>
              <w:rPr>
                <w:rFonts w:hint="eastAsia" w:cs="宋体"/>
                <w:szCs w:val="28"/>
                <w:lang w:val="zh-CN" w:bidi="zh-CN"/>
              </w:rPr>
            </w:pPr>
          </w:p>
        </w:tc>
        <w:tc>
          <w:tcPr>
            <w:tcW w:w="2286" w:type="dxa"/>
            <w:vAlign w:val="center"/>
          </w:tcPr>
          <w:p w14:paraId="40166CDF">
            <w:pPr>
              <w:spacing w:line="240" w:lineRule="auto"/>
              <w:ind w:firstLine="0" w:firstLineChars="0"/>
              <w:rPr>
                <w:rFonts w:hint="eastAsia" w:cs="宋体"/>
                <w:szCs w:val="28"/>
                <w:lang w:val="zh-CN" w:bidi="zh-CN"/>
              </w:rPr>
            </w:pPr>
            <w:r>
              <w:rPr>
                <w:rFonts w:hint="eastAsia" w:cs="宋体"/>
                <w:szCs w:val="28"/>
                <w:lang w:val="zh-CN" w:bidi="zh-CN"/>
              </w:rPr>
              <w:t>密码服务</w:t>
            </w:r>
          </w:p>
        </w:tc>
        <w:tc>
          <w:tcPr>
            <w:tcW w:w="3715" w:type="dxa"/>
            <w:vAlign w:val="center"/>
          </w:tcPr>
          <w:p w14:paraId="0502427A">
            <w:pPr>
              <w:spacing w:line="240" w:lineRule="auto"/>
              <w:ind w:firstLine="0" w:firstLineChars="0"/>
              <w:rPr>
                <w:rFonts w:hint="eastAsia" w:cs="宋体"/>
                <w:szCs w:val="28"/>
                <w:lang w:val="zh-CN" w:bidi="zh-CN"/>
              </w:rPr>
            </w:pPr>
            <w:r>
              <w:rPr>
                <w:rFonts w:hint="eastAsia" w:cs="宋体"/>
                <w:lang w:val="zh-CN" w:bidi="zh-CN"/>
              </w:rPr>
              <w:t>采用的数字证书由具有电子认证服务资质的机构签发。</w:t>
            </w:r>
          </w:p>
        </w:tc>
        <w:tc>
          <w:tcPr>
            <w:tcW w:w="1573" w:type="dxa"/>
            <w:vAlign w:val="center"/>
          </w:tcPr>
          <w:p w14:paraId="6BEE8AD1">
            <w:pPr>
              <w:spacing w:line="240" w:lineRule="auto"/>
              <w:ind w:firstLine="0" w:firstLineChars="0"/>
              <w:rPr>
                <w:rFonts w:hint="eastAsia" w:cs="宋体"/>
                <w:szCs w:val="28"/>
                <w:lang w:val="zh-CN" w:bidi="zh-CN"/>
              </w:rPr>
            </w:pPr>
            <w:r>
              <w:rPr>
                <w:rFonts w:hint="eastAsia" w:cs="宋体"/>
                <w:lang w:val="zh-CN" w:bidi="zh-CN"/>
              </w:rPr>
              <w:t>无</w:t>
            </w:r>
          </w:p>
        </w:tc>
      </w:tr>
      <w:tr w14:paraId="634E9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7CA2F1E2">
            <w:pPr>
              <w:spacing w:line="240" w:lineRule="auto"/>
              <w:ind w:firstLine="0" w:firstLineChars="0"/>
              <w:rPr>
                <w:rFonts w:hint="eastAsia" w:cs="宋体"/>
                <w:szCs w:val="28"/>
                <w:lang w:val="zh-CN" w:bidi="zh-CN"/>
              </w:rPr>
            </w:pPr>
          </w:p>
        </w:tc>
        <w:tc>
          <w:tcPr>
            <w:tcW w:w="858" w:type="dxa"/>
            <w:vMerge w:val="continue"/>
            <w:vAlign w:val="center"/>
          </w:tcPr>
          <w:p w14:paraId="790913D5">
            <w:pPr>
              <w:spacing w:line="240" w:lineRule="auto"/>
              <w:ind w:firstLine="0" w:firstLineChars="0"/>
              <w:rPr>
                <w:rFonts w:hint="eastAsia" w:cs="宋体"/>
                <w:szCs w:val="28"/>
                <w:lang w:val="zh-CN" w:bidi="zh-CN"/>
              </w:rPr>
            </w:pPr>
          </w:p>
        </w:tc>
        <w:tc>
          <w:tcPr>
            <w:tcW w:w="2286" w:type="dxa"/>
            <w:vAlign w:val="center"/>
          </w:tcPr>
          <w:p w14:paraId="4ECE36CC">
            <w:pPr>
              <w:spacing w:line="240" w:lineRule="auto"/>
              <w:ind w:firstLine="0" w:firstLineChars="0"/>
              <w:rPr>
                <w:rFonts w:hint="eastAsia" w:cs="宋体"/>
                <w:szCs w:val="28"/>
                <w:lang w:val="zh-CN" w:bidi="zh-CN"/>
              </w:rPr>
            </w:pPr>
            <w:r>
              <w:rPr>
                <w:rFonts w:hint="eastAsia" w:cs="宋体"/>
                <w:szCs w:val="28"/>
                <w:lang w:val="zh-CN" w:bidi="zh-CN"/>
              </w:rPr>
              <w:t>密码产品</w:t>
            </w:r>
          </w:p>
        </w:tc>
        <w:tc>
          <w:tcPr>
            <w:tcW w:w="3715" w:type="dxa"/>
            <w:vAlign w:val="center"/>
          </w:tcPr>
          <w:p w14:paraId="40E915E1">
            <w:pPr>
              <w:spacing w:line="240" w:lineRule="auto"/>
              <w:ind w:firstLine="0" w:firstLineChars="0"/>
              <w:rPr>
                <w:rFonts w:hint="eastAsia" w:cs="宋体"/>
                <w:szCs w:val="28"/>
                <w:lang w:val="zh-CN" w:bidi="zh-CN"/>
              </w:rPr>
            </w:pPr>
            <w:r>
              <w:rPr>
                <w:rFonts w:hint="eastAsia" w:cs="宋体"/>
                <w:szCs w:val="28"/>
                <w:lang w:val="zh-CN" w:bidi="zh-CN"/>
              </w:rPr>
              <w:t>采用的密码产品应达到GB/T 37092-2018二级及以上安全要求。</w:t>
            </w:r>
          </w:p>
        </w:tc>
        <w:tc>
          <w:tcPr>
            <w:tcW w:w="1573" w:type="dxa"/>
            <w:vAlign w:val="center"/>
          </w:tcPr>
          <w:p w14:paraId="02DCB46B">
            <w:pPr>
              <w:spacing w:line="240" w:lineRule="auto"/>
              <w:ind w:firstLine="0" w:firstLineChars="0"/>
              <w:rPr>
                <w:rFonts w:hint="eastAsia" w:cs="宋体"/>
                <w:szCs w:val="28"/>
                <w:lang w:val="zh-CN" w:bidi="zh-CN"/>
              </w:rPr>
            </w:pPr>
            <w:r>
              <w:rPr>
                <w:rFonts w:hint="eastAsia" w:cs="宋体"/>
                <w:szCs w:val="28"/>
                <w:lang w:val="zh-CN" w:bidi="zh-CN"/>
              </w:rPr>
              <w:t>无</w:t>
            </w:r>
          </w:p>
        </w:tc>
      </w:tr>
      <w:tr w14:paraId="508F3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restart"/>
            <w:vAlign w:val="center"/>
          </w:tcPr>
          <w:p w14:paraId="55F9D150">
            <w:pPr>
              <w:spacing w:line="240" w:lineRule="auto"/>
              <w:ind w:firstLine="0" w:firstLineChars="0"/>
              <w:rPr>
                <w:rFonts w:hint="eastAsia" w:cs="宋体"/>
                <w:szCs w:val="28"/>
                <w:lang w:val="zh-CN" w:bidi="zh-CN"/>
              </w:rPr>
            </w:pPr>
            <w:r>
              <w:rPr>
                <w:rFonts w:hint="eastAsia" w:cs="宋体"/>
                <w:szCs w:val="28"/>
                <w:lang w:val="zh-CN" w:bidi="zh-CN"/>
              </w:rPr>
              <w:t>业务应用安全</w:t>
            </w:r>
          </w:p>
        </w:tc>
        <w:tc>
          <w:tcPr>
            <w:tcW w:w="858" w:type="dxa"/>
            <w:vMerge w:val="restart"/>
            <w:vAlign w:val="center"/>
          </w:tcPr>
          <w:p w14:paraId="23CD8EEE">
            <w:pPr>
              <w:spacing w:line="240" w:lineRule="auto"/>
              <w:ind w:firstLine="0" w:firstLineChars="0"/>
              <w:rPr>
                <w:rFonts w:hint="eastAsia" w:cs="宋体"/>
                <w:szCs w:val="28"/>
                <w:lang w:val="zh-CN" w:bidi="zh-CN"/>
              </w:rPr>
            </w:pPr>
            <w:r>
              <w:rPr>
                <w:rFonts w:hint="eastAsia" w:cs="宋体"/>
                <w:szCs w:val="28"/>
                <w:lang w:val="zh-CN" w:bidi="zh-CN"/>
              </w:rPr>
              <w:t>应用和数据安全</w:t>
            </w:r>
          </w:p>
        </w:tc>
        <w:tc>
          <w:tcPr>
            <w:tcW w:w="2286" w:type="dxa"/>
            <w:vAlign w:val="center"/>
          </w:tcPr>
          <w:p w14:paraId="51F47579">
            <w:pPr>
              <w:spacing w:line="240" w:lineRule="auto"/>
              <w:ind w:firstLine="0" w:firstLineChars="0"/>
              <w:rPr>
                <w:rFonts w:hint="eastAsia" w:cs="宋体"/>
                <w:szCs w:val="28"/>
                <w:lang w:val="zh-CN" w:bidi="zh-CN"/>
              </w:rPr>
            </w:pPr>
            <w:r>
              <w:rPr>
                <w:rFonts w:hint="eastAsia" w:cs="宋体"/>
                <w:szCs w:val="28"/>
                <w:lang w:val="zh-CN" w:bidi="zh-CN"/>
              </w:rPr>
              <w:t>身份鉴别</w:t>
            </w:r>
          </w:p>
        </w:tc>
        <w:tc>
          <w:tcPr>
            <w:tcW w:w="3715" w:type="dxa"/>
            <w:vAlign w:val="center"/>
          </w:tcPr>
          <w:p w14:paraId="2CA16BA9">
            <w:pPr>
              <w:spacing w:line="240" w:lineRule="auto"/>
              <w:ind w:firstLine="0" w:firstLineChars="0"/>
              <w:rPr>
                <w:rFonts w:hint="eastAsia" w:cs="宋体"/>
                <w:szCs w:val="28"/>
                <w:lang w:val="zh-CN" w:bidi="zh-CN"/>
              </w:rPr>
            </w:pPr>
            <w:r>
              <w:rPr>
                <w:rFonts w:hint="eastAsia" w:cs="宋体"/>
                <w:szCs w:val="28"/>
                <w:lang w:val="zh-CN" w:bidi="zh-CN"/>
              </w:rPr>
              <w:t>确认应用系统用户身份的真实性，防止假冒人员登录。</w:t>
            </w:r>
          </w:p>
        </w:tc>
        <w:tc>
          <w:tcPr>
            <w:tcW w:w="1573" w:type="dxa"/>
            <w:vAlign w:val="center"/>
          </w:tcPr>
          <w:p w14:paraId="490EE99C">
            <w:pPr>
              <w:spacing w:line="240" w:lineRule="auto"/>
              <w:ind w:firstLine="0" w:firstLineChars="0"/>
              <w:rPr>
                <w:rFonts w:hint="eastAsia" w:cs="宋体"/>
                <w:szCs w:val="28"/>
                <w:lang w:val="zh-CN" w:bidi="zh-CN"/>
              </w:rPr>
            </w:pPr>
            <w:r>
              <w:rPr>
                <w:rFonts w:hint="eastAsia" w:cs="宋体"/>
                <w:szCs w:val="28"/>
                <w:lang w:val="zh-CN" w:bidi="zh-CN"/>
              </w:rPr>
              <w:t>无</w:t>
            </w:r>
          </w:p>
        </w:tc>
      </w:tr>
      <w:tr w14:paraId="6F9079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5D3D0858">
            <w:pPr>
              <w:spacing w:line="240" w:lineRule="auto"/>
              <w:ind w:firstLine="0" w:firstLineChars="0"/>
              <w:rPr>
                <w:rFonts w:hint="eastAsia" w:cs="宋体"/>
                <w:szCs w:val="28"/>
                <w:lang w:val="zh-CN" w:bidi="zh-CN"/>
              </w:rPr>
            </w:pPr>
          </w:p>
        </w:tc>
        <w:tc>
          <w:tcPr>
            <w:tcW w:w="858" w:type="dxa"/>
            <w:vMerge w:val="continue"/>
            <w:vAlign w:val="center"/>
          </w:tcPr>
          <w:p w14:paraId="18965192">
            <w:pPr>
              <w:spacing w:line="240" w:lineRule="auto"/>
              <w:ind w:firstLine="0" w:firstLineChars="0"/>
              <w:rPr>
                <w:rFonts w:hint="eastAsia" w:cs="宋体"/>
                <w:szCs w:val="28"/>
                <w:lang w:val="zh-CN" w:bidi="zh-CN"/>
              </w:rPr>
            </w:pPr>
          </w:p>
        </w:tc>
        <w:tc>
          <w:tcPr>
            <w:tcW w:w="2286" w:type="dxa"/>
            <w:vAlign w:val="center"/>
          </w:tcPr>
          <w:p w14:paraId="44FB686D">
            <w:pPr>
              <w:spacing w:line="240" w:lineRule="auto"/>
              <w:ind w:firstLine="0" w:firstLineChars="0"/>
              <w:rPr>
                <w:rFonts w:hint="eastAsia" w:cs="宋体"/>
                <w:szCs w:val="28"/>
                <w:lang w:val="zh-CN" w:bidi="zh-CN"/>
              </w:rPr>
            </w:pPr>
            <w:r>
              <w:rPr>
                <w:rFonts w:hint="eastAsia" w:cs="宋体"/>
                <w:szCs w:val="28"/>
                <w:lang w:val="zh-CN" w:bidi="zh-CN"/>
              </w:rPr>
              <w:t>访问控制信息完整性</w:t>
            </w:r>
          </w:p>
        </w:tc>
        <w:tc>
          <w:tcPr>
            <w:tcW w:w="3715" w:type="dxa"/>
            <w:vAlign w:val="center"/>
          </w:tcPr>
          <w:p w14:paraId="07E61D66">
            <w:pPr>
              <w:spacing w:line="240" w:lineRule="auto"/>
              <w:ind w:firstLine="0" w:firstLineChars="0"/>
              <w:rPr>
                <w:rFonts w:hint="eastAsia" w:cs="宋体"/>
                <w:szCs w:val="28"/>
                <w:lang w:val="zh-CN" w:bidi="zh-CN"/>
              </w:rPr>
            </w:pPr>
            <w:r>
              <w:rPr>
                <w:rFonts w:hint="eastAsia" w:cs="宋体"/>
                <w:szCs w:val="28"/>
                <w:lang w:val="zh-CN" w:bidi="zh-CN"/>
              </w:rPr>
              <w:t>对应用系统的访问权限控制列表进行完整性保护，防止被非授权篡改。</w:t>
            </w:r>
          </w:p>
        </w:tc>
        <w:tc>
          <w:tcPr>
            <w:tcW w:w="1573" w:type="dxa"/>
            <w:vAlign w:val="center"/>
          </w:tcPr>
          <w:p w14:paraId="3121BCE1">
            <w:pPr>
              <w:spacing w:line="240" w:lineRule="auto"/>
              <w:ind w:firstLine="0" w:firstLineChars="0"/>
              <w:rPr>
                <w:rFonts w:hint="eastAsia" w:cs="宋体"/>
                <w:szCs w:val="28"/>
                <w:lang w:val="zh-CN" w:bidi="zh-CN"/>
              </w:rPr>
            </w:pPr>
            <w:r>
              <w:rPr>
                <w:rFonts w:hint="eastAsia" w:cs="宋体"/>
                <w:szCs w:val="28"/>
                <w:lang w:val="zh-CN" w:bidi="zh-CN"/>
              </w:rPr>
              <w:t>无</w:t>
            </w:r>
          </w:p>
        </w:tc>
      </w:tr>
      <w:tr w14:paraId="36D13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04" w:hRule="atLeast"/>
          <w:jc w:val="center"/>
        </w:trPr>
        <w:tc>
          <w:tcPr>
            <w:tcW w:w="856" w:type="dxa"/>
            <w:vMerge w:val="continue"/>
            <w:vAlign w:val="center"/>
          </w:tcPr>
          <w:p w14:paraId="75449204">
            <w:pPr>
              <w:spacing w:line="240" w:lineRule="auto"/>
              <w:ind w:firstLine="0" w:firstLineChars="0"/>
              <w:rPr>
                <w:rFonts w:hint="eastAsia" w:cs="宋体"/>
                <w:szCs w:val="28"/>
                <w:lang w:val="zh-CN" w:bidi="zh-CN"/>
              </w:rPr>
            </w:pPr>
          </w:p>
        </w:tc>
        <w:tc>
          <w:tcPr>
            <w:tcW w:w="858" w:type="dxa"/>
            <w:vMerge w:val="continue"/>
            <w:vAlign w:val="center"/>
          </w:tcPr>
          <w:p w14:paraId="526687B0">
            <w:pPr>
              <w:spacing w:line="240" w:lineRule="auto"/>
              <w:ind w:firstLine="0" w:firstLineChars="0"/>
              <w:rPr>
                <w:rFonts w:hint="eastAsia" w:cs="宋体"/>
                <w:szCs w:val="28"/>
                <w:lang w:val="zh-CN" w:bidi="zh-CN"/>
              </w:rPr>
            </w:pPr>
          </w:p>
        </w:tc>
        <w:tc>
          <w:tcPr>
            <w:tcW w:w="2286" w:type="dxa"/>
            <w:vAlign w:val="center"/>
          </w:tcPr>
          <w:p w14:paraId="11609DD1">
            <w:pPr>
              <w:spacing w:line="240" w:lineRule="auto"/>
              <w:ind w:firstLine="0" w:firstLineChars="0"/>
              <w:rPr>
                <w:rFonts w:hint="eastAsia" w:cs="宋体"/>
                <w:szCs w:val="28"/>
                <w:lang w:val="zh-CN" w:bidi="zh-CN"/>
              </w:rPr>
            </w:pPr>
            <w:r>
              <w:rPr>
                <w:rFonts w:hint="eastAsia" w:cs="宋体"/>
                <w:szCs w:val="28"/>
                <w:lang w:val="zh-CN" w:bidi="zh-CN"/>
              </w:rPr>
              <w:t>重要信息资源安全标记完整性</w:t>
            </w:r>
          </w:p>
        </w:tc>
        <w:tc>
          <w:tcPr>
            <w:tcW w:w="3715" w:type="dxa"/>
            <w:vAlign w:val="center"/>
          </w:tcPr>
          <w:p w14:paraId="20B8211C">
            <w:pPr>
              <w:spacing w:line="240" w:lineRule="auto"/>
              <w:ind w:firstLine="0" w:firstLineChars="0"/>
              <w:rPr>
                <w:rFonts w:hint="eastAsia" w:cs="宋体"/>
                <w:szCs w:val="28"/>
                <w:lang w:val="zh-CN" w:bidi="zh-CN"/>
              </w:rPr>
            </w:pPr>
            <w:r>
              <w:rPr>
                <w:rFonts w:hint="eastAsia" w:cs="宋体"/>
                <w:szCs w:val="28"/>
                <w:lang w:val="zh-CN" w:bidi="zh-CN"/>
              </w:rPr>
              <w:t>不适用。</w:t>
            </w:r>
          </w:p>
        </w:tc>
        <w:tc>
          <w:tcPr>
            <w:tcW w:w="1573" w:type="dxa"/>
            <w:vAlign w:val="center"/>
          </w:tcPr>
          <w:p w14:paraId="0515C68B">
            <w:pPr>
              <w:spacing w:line="240" w:lineRule="auto"/>
              <w:ind w:firstLine="0" w:firstLineChars="0"/>
              <w:rPr>
                <w:rFonts w:hint="eastAsia" w:cs="宋体"/>
                <w:szCs w:val="28"/>
                <w:lang w:val="zh-CN" w:bidi="zh-CN"/>
              </w:rPr>
            </w:pPr>
            <w:r>
              <w:rPr>
                <w:rFonts w:hint="eastAsia" w:cs="宋体"/>
                <w:szCs w:val="28"/>
                <w:lang w:val="zh-CN" w:bidi="zh-CN"/>
              </w:rPr>
              <w:t>应用没有安全标记。</w:t>
            </w:r>
          </w:p>
        </w:tc>
      </w:tr>
      <w:tr w14:paraId="6F977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6" w:type="dxa"/>
            <w:vMerge w:val="continue"/>
            <w:vAlign w:val="center"/>
          </w:tcPr>
          <w:p w14:paraId="76073A29">
            <w:pPr>
              <w:spacing w:line="240" w:lineRule="auto"/>
              <w:ind w:firstLine="0" w:firstLineChars="0"/>
              <w:rPr>
                <w:rFonts w:hint="eastAsia" w:cs="宋体"/>
                <w:szCs w:val="28"/>
                <w:lang w:val="zh-CN" w:bidi="zh-CN"/>
              </w:rPr>
            </w:pPr>
          </w:p>
        </w:tc>
        <w:tc>
          <w:tcPr>
            <w:tcW w:w="858" w:type="dxa"/>
            <w:vMerge w:val="continue"/>
            <w:vAlign w:val="center"/>
          </w:tcPr>
          <w:p w14:paraId="2637D6D3">
            <w:pPr>
              <w:spacing w:line="240" w:lineRule="auto"/>
              <w:ind w:firstLine="0" w:firstLineChars="0"/>
              <w:rPr>
                <w:rFonts w:hint="eastAsia" w:cs="宋体"/>
                <w:szCs w:val="28"/>
                <w:lang w:val="zh-CN" w:bidi="zh-CN"/>
              </w:rPr>
            </w:pPr>
          </w:p>
        </w:tc>
        <w:tc>
          <w:tcPr>
            <w:tcW w:w="2286" w:type="dxa"/>
            <w:vAlign w:val="center"/>
          </w:tcPr>
          <w:p w14:paraId="64A88C2C">
            <w:pPr>
              <w:spacing w:line="240" w:lineRule="auto"/>
              <w:ind w:firstLine="0" w:firstLineChars="0"/>
              <w:rPr>
                <w:rFonts w:hint="eastAsia" w:cs="宋体"/>
                <w:szCs w:val="28"/>
                <w:lang w:val="zh-CN" w:bidi="zh-CN"/>
              </w:rPr>
            </w:pPr>
            <w:r>
              <w:rPr>
                <w:rFonts w:hint="eastAsia" w:cs="宋体"/>
                <w:szCs w:val="28"/>
                <w:lang w:val="zh-CN" w:bidi="zh-CN"/>
              </w:rPr>
              <w:t>数据传输机密性</w:t>
            </w:r>
          </w:p>
        </w:tc>
        <w:tc>
          <w:tcPr>
            <w:tcW w:w="3715" w:type="dxa"/>
            <w:vMerge w:val="restart"/>
            <w:vAlign w:val="center"/>
          </w:tcPr>
          <w:p w14:paraId="0398BBF8">
            <w:pPr>
              <w:spacing w:line="240" w:lineRule="auto"/>
              <w:ind w:firstLine="0" w:firstLineChars="0"/>
              <w:rPr>
                <w:rFonts w:hint="eastAsia" w:cs="宋体"/>
                <w:szCs w:val="28"/>
                <w:lang w:val="zh-CN" w:bidi="zh-CN"/>
              </w:rPr>
            </w:pPr>
            <w:r>
              <w:rPr>
                <w:rFonts w:hint="eastAsia" w:cs="宋体"/>
                <w:szCs w:val="28"/>
                <w:lang w:val="zh-CN" w:bidi="zh-CN"/>
              </w:rPr>
              <w:t>保护互联网客户端与服务端之间传输和存储的用户登录身份鉴别信息、电子公文数据等重要数据的机密性和完整性，防止数据泄露给非授权的个人、进程等。保护系统业务日志数据的完整性，防止该数据被非授权篡改。</w:t>
            </w:r>
          </w:p>
        </w:tc>
        <w:tc>
          <w:tcPr>
            <w:tcW w:w="1573" w:type="dxa"/>
            <w:vMerge w:val="restart"/>
            <w:vAlign w:val="center"/>
          </w:tcPr>
          <w:p w14:paraId="1521DE7D">
            <w:pPr>
              <w:spacing w:line="240" w:lineRule="auto"/>
              <w:ind w:firstLine="0" w:firstLineChars="0"/>
              <w:rPr>
                <w:rFonts w:hint="eastAsia" w:cs="宋体"/>
                <w:szCs w:val="28"/>
                <w:lang w:val="zh-CN" w:bidi="zh-CN"/>
              </w:rPr>
            </w:pPr>
            <w:r>
              <w:rPr>
                <w:rFonts w:hint="eastAsia" w:cs="宋体"/>
                <w:szCs w:val="28"/>
                <w:lang w:val="zh-CN" w:bidi="zh-CN"/>
              </w:rPr>
              <w:t>无</w:t>
            </w:r>
          </w:p>
        </w:tc>
      </w:tr>
      <w:tr w14:paraId="76B73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6" w:type="dxa"/>
            <w:vMerge w:val="continue"/>
            <w:vAlign w:val="center"/>
          </w:tcPr>
          <w:p w14:paraId="468DF35F">
            <w:pPr>
              <w:spacing w:line="240" w:lineRule="auto"/>
              <w:ind w:firstLine="0" w:firstLineChars="0"/>
              <w:rPr>
                <w:rFonts w:hint="eastAsia" w:cs="宋体"/>
                <w:szCs w:val="28"/>
                <w:lang w:val="zh-CN" w:bidi="zh-CN"/>
              </w:rPr>
            </w:pPr>
          </w:p>
        </w:tc>
        <w:tc>
          <w:tcPr>
            <w:tcW w:w="858" w:type="dxa"/>
            <w:vMerge w:val="continue"/>
            <w:vAlign w:val="center"/>
          </w:tcPr>
          <w:p w14:paraId="3A326E1D">
            <w:pPr>
              <w:spacing w:line="240" w:lineRule="auto"/>
              <w:ind w:firstLine="0" w:firstLineChars="0"/>
              <w:rPr>
                <w:rFonts w:hint="eastAsia" w:cs="宋体"/>
                <w:szCs w:val="28"/>
                <w:lang w:val="zh-CN" w:bidi="zh-CN"/>
              </w:rPr>
            </w:pPr>
          </w:p>
        </w:tc>
        <w:tc>
          <w:tcPr>
            <w:tcW w:w="2286" w:type="dxa"/>
            <w:vAlign w:val="center"/>
          </w:tcPr>
          <w:p w14:paraId="7A483AF9">
            <w:pPr>
              <w:spacing w:line="240" w:lineRule="auto"/>
              <w:ind w:firstLine="0" w:firstLineChars="0"/>
              <w:rPr>
                <w:rFonts w:hint="eastAsia" w:cs="宋体"/>
                <w:szCs w:val="28"/>
                <w:lang w:val="zh-CN" w:bidi="zh-CN"/>
              </w:rPr>
            </w:pPr>
            <w:r>
              <w:rPr>
                <w:rFonts w:hint="eastAsia" w:cs="宋体"/>
                <w:szCs w:val="28"/>
                <w:lang w:val="zh-CN" w:bidi="zh-CN"/>
              </w:rPr>
              <w:t>数据存储机密性</w:t>
            </w:r>
          </w:p>
        </w:tc>
        <w:tc>
          <w:tcPr>
            <w:tcW w:w="3715" w:type="dxa"/>
            <w:vMerge w:val="continue"/>
            <w:vAlign w:val="center"/>
          </w:tcPr>
          <w:p w14:paraId="2A51219E">
            <w:pPr>
              <w:spacing w:line="240" w:lineRule="auto"/>
              <w:ind w:firstLine="0" w:firstLineChars="0"/>
              <w:rPr>
                <w:rFonts w:hint="eastAsia" w:cs="宋体"/>
                <w:szCs w:val="28"/>
                <w:lang w:val="zh-CN" w:bidi="zh-CN"/>
              </w:rPr>
            </w:pPr>
          </w:p>
        </w:tc>
        <w:tc>
          <w:tcPr>
            <w:tcW w:w="1573" w:type="dxa"/>
            <w:vMerge w:val="continue"/>
            <w:vAlign w:val="center"/>
          </w:tcPr>
          <w:p w14:paraId="0600E49F">
            <w:pPr>
              <w:spacing w:line="240" w:lineRule="auto"/>
              <w:ind w:firstLine="0" w:firstLineChars="0"/>
              <w:rPr>
                <w:rFonts w:hint="eastAsia" w:cs="宋体"/>
                <w:szCs w:val="28"/>
                <w:lang w:val="zh-CN" w:bidi="zh-CN"/>
              </w:rPr>
            </w:pPr>
          </w:p>
        </w:tc>
      </w:tr>
      <w:tr w14:paraId="2EE3F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6" w:type="dxa"/>
            <w:vMerge w:val="continue"/>
            <w:vAlign w:val="center"/>
          </w:tcPr>
          <w:p w14:paraId="13D1BA78">
            <w:pPr>
              <w:spacing w:line="240" w:lineRule="auto"/>
              <w:ind w:firstLine="0" w:firstLineChars="0"/>
              <w:rPr>
                <w:rFonts w:hint="eastAsia" w:cs="宋体"/>
                <w:szCs w:val="28"/>
                <w:lang w:val="zh-CN" w:bidi="zh-CN"/>
              </w:rPr>
            </w:pPr>
          </w:p>
        </w:tc>
        <w:tc>
          <w:tcPr>
            <w:tcW w:w="858" w:type="dxa"/>
            <w:vMerge w:val="continue"/>
            <w:vAlign w:val="center"/>
          </w:tcPr>
          <w:p w14:paraId="0595B6A8">
            <w:pPr>
              <w:spacing w:line="240" w:lineRule="auto"/>
              <w:ind w:firstLine="0" w:firstLineChars="0"/>
              <w:rPr>
                <w:rFonts w:hint="eastAsia" w:cs="宋体"/>
                <w:szCs w:val="28"/>
                <w:lang w:val="zh-CN" w:bidi="zh-CN"/>
              </w:rPr>
            </w:pPr>
          </w:p>
        </w:tc>
        <w:tc>
          <w:tcPr>
            <w:tcW w:w="2286" w:type="dxa"/>
            <w:vAlign w:val="center"/>
          </w:tcPr>
          <w:p w14:paraId="08A241DA">
            <w:pPr>
              <w:spacing w:line="240" w:lineRule="auto"/>
              <w:ind w:firstLine="0" w:firstLineChars="0"/>
              <w:rPr>
                <w:rFonts w:hint="eastAsia" w:cs="宋体"/>
                <w:szCs w:val="28"/>
                <w:lang w:val="zh-CN" w:bidi="zh-CN"/>
              </w:rPr>
            </w:pPr>
            <w:r>
              <w:rPr>
                <w:rFonts w:hint="eastAsia" w:cs="宋体"/>
                <w:szCs w:val="28"/>
                <w:lang w:val="zh-CN" w:bidi="zh-CN"/>
              </w:rPr>
              <w:t>数据传输完整性</w:t>
            </w:r>
          </w:p>
        </w:tc>
        <w:tc>
          <w:tcPr>
            <w:tcW w:w="3715" w:type="dxa"/>
            <w:vMerge w:val="continue"/>
            <w:vAlign w:val="center"/>
          </w:tcPr>
          <w:p w14:paraId="353F7F3F">
            <w:pPr>
              <w:spacing w:line="240" w:lineRule="auto"/>
              <w:ind w:firstLine="0" w:firstLineChars="0"/>
              <w:rPr>
                <w:rFonts w:hint="eastAsia" w:cs="宋体"/>
                <w:szCs w:val="28"/>
                <w:lang w:val="zh-CN" w:bidi="zh-CN"/>
              </w:rPr>
            </w:pPr>
          </w:p>
        </w:tc>
        <w:tc>
          <w:tcPr>
            <w:tcW w:w="1573" w:type="dxa"/>
            <w:vMerge w:val="continue"/>
            <w:vAlign w:val="center"/>
          </w:tcPr>
          <w:p w14:paraId="68AD3FD3">
            <w:pPr>
              <w:spacing w:line="240" w:lineRule="auto"/>
              <w:ind w:firstLine="0" w:firstLineChars="0"/>
              <w:rPr>
                <w:rFonts w:hint="eastAsia" w:cs="宋体"/>
                <w:szCs w:val="28"/>
                <w:lang w:val="zh-CN" w:bidi="zh-CN"/>
              </w:rPr>
            </w:pPr>
          </w:p>
        </w:tc>
      </w:tr>
      <w:tr w14:paraId="58EF6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6" w:type="dxa"/>
            <w:vMerge w:val="continue"/>
            <w:vAlign w:val="center"/>
          </w:tcPr>
          <w:p w14:paraId="2249081E">
            <w:pPr>
              <w:spacing w:line="240" w:lineRule="auto"/>
              <w:ind w:firstLine="0" w:firstLineChars="0"/>
              <w:rPr>
                <w:rFonts w:hint="eastAsia" w:cs="宋体"/>
                <w:szCs w:val="28"/>
                <w:lang w:val="zh-CN" w:bidi="zh-CN"/>
              </w:rPr>
            </w:pPr>
          </w:p>
        </w:tc>
        <w:tc>
          <w:tcPr>
            <w:tcW w:w="858" w:type="dxa"/>
            <w:vMerge w:val="continue"/>
            <w:vAlign w:val="center"/>
          </w:tcPr>
          <w:p w14:paraId="229EBE69">
            <w:pPr>
              <w:spacing w:line="240" w:lineRule="auto"/>
              <w:ind w:firstLine="0" w:firstLineChars="0"/>
              <w:rPr>
                <w:rFonts w:hint="eastAsia" w:cs="宋体"/>
                <w:szCs w:val="28"/>
                <w:lang w:val="zh-CN" w:bidi="zh-CN"/>
              </w:rPr>
            </w:pPr>
          </w:p>
        </w:tc>
        <w:tc>
          <w:tcPr>
            <w:tcW w:w="2286" w:type="dxa"/>
            <w:vAlign w:val="center"/>
          </w:tcPr>
          <w:p w14:paraId="1160A283">
            <w:pPr>
              <w:spacing w:line="240" w:lineRule="auto"/>
              <w:ind w:firstLine="0" w:firstLineChars="0"/>
              <w:rPr>
                <w:rFonts w:hint="eastAsia" w:cs="宋体"/>
                <w:szCs w:val="28"/>
                <w:lang w:val="zh-CN" w:bidi="zh-CN"/>
              </w:rPr>
            </w:pPr>
            <w:r>
              <w:rPr>
                <w:rFonts w:hint="eastAsia" w:cs="宋体"/>
                <w:szCs w:val="28"/>
                <w:lang w:val="zh-CN" w:bidi="zh-CN"/>
              </w:rPr>
              <w:t>数据存储完整性</w:t>
            </w:r>
          </w:p>
        </w:tc>
        <w:tc>
          <w:tcPr>
            <w:tcW w:w="3715" w:type="dxa"/>
            <w:vMerge w:val="continue"/>
            <w:vAlign w:val="center"/>
          </w:tcPr>
          <w:p w14:paraId="7D30E799">
            <w:pPr>
              <w:spacing w:line="240" w:lineRule="auto"/>
              <w:ind w:firstLine="0" w:firstLineChars="0"/>
              <w:rPr>
                <w:rFonts w:hint="eastAsia" w:cs="宋体"/>
                <w:szCs w:val="28"/>
                <w:lang w:val="zh-CN" w:bidi="zh-CN"/>
              </w:rPr>
            </w:pPr>
          </w:p>
        </w:tc>
        <w:tc>
          <w:tcPr>
            <w:tcW w:w="1573" w:type="dxa"/>
            <w:vMerge w:val="continue"/>
            <w:vAlign w:val="center"/>
          </w:tcPr>
          <w:p w14:paraId="4F1B7D7F">
            <w:pPr>
              <w:spacing w:line="240" w:lineRule="auto"/>
              <w:ind w:firstLine="0" w:firstLineChars="0"/>
              <w:rPr>
                <w:rFonts w:hint="eastAsia" w:cs="宋体"/>
                <w:szCs w:val="28"/>
                <w:lang w:val="zh-CN" w:bidi="zh-CN"/>
              </w:rPr>
            </w:pPr>
          </w:p>
        </w:tc>
      </w:tr>
      <w:tr w14:paraId="6D40A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92" w:hRule="atLeast"/>
          <w:jc w:val="center"/>
        </w:trPr>
        <w:tc>
          <w:tcPr>
            <w:tcW w:w="856" w:type="dxa"/>
            <w:vMerge w:val="continue"/>
            <w:vAlign w:val="center"/>
          </w:tcPr>
          <w:p w14:paraId="7C157F09">
            <w:pPr>
              <w:spacing w:line="240" w:lineRule="auto"/>
              <w:ind w:firstLine="0" w:firstLineChars="0"/>
              <w:rPr>
                <w:rFonts w:hint="eastAsia" w:cs="宋体"/>
                <w:szCs w:val="28"/>
                <w:lang w:val="zh-CN" w:bidi="zh-CN"/>
              </w:rPr>
            </w:pPr>
          </w:p>
        </w:tc>
        <w:tc>
          <w:tcPr>
            <w:tcW w:w="858" w:type="dxa"/>
            <w:vMerge w:val="continue"/>
            <w:vAlign w:val="center"/>
          </w:tcPr>
          <w:p w14:paraId="6744D51D">
            <w:pPr>
              <w:spacing w:line="240" w:lineRule="auto"/>
              <w:ind w:firstLine="0" w:firstLineChars="0"/>
              <w:rPr>
                <w:rFonts w:hint="eastAsia" w:cs="宋体"/>
                <w:szCs w:val="28"/>
                <w:lang w:val="zh-CN" w:bidi="zh-CN"/>
              </w:rPr>
            </w:pPr>
          </w:p>
        </w:tc>
        <w:tc>
          <w:tcPr>
            <w:tcW w:w="2286" w:type="dxa"/>
            <w:vAlign w:val="center"/>
          </w:tcPr>
          <w:p w14:paraId="2D597765">
            <w:pPr>
              <w:spacing w:line="240" w:lineRule="auto"/>
              <w:ind w:firstLine="0" w:firstLineChars="0"/>
              <w:rPr>
                <w:rFonts w:hint="eastAsia" w:cs="宋体"/>
                <w:szCs w:val="28"/>
                <w:lang w:val="zh-CN" w:bidi="zh-CN"/>
              </w:rPr>
            </w:pPr>
            <w:r>
              <w:rPr>
                <w:rFonts w:hint="eastAsia" w:cs="宋体"/>
                <w:szCs w:val="28"/>
                <w:lang w:val="zh-CN" w:bidi="zh-CN"/>
              </w:rPr>
              <w:t>不可否认性</w:t>
            </w:r>
          </w:p>
        </w:tc>
        <w:tc>
          <w:tcPr>
            <w:tcW w:w="3715" w:type="dxa"/>
            <w:vAlign w:val="center"/>
          </w:tcPr>
          <w:p w14:paraId="6B93E91C">
            <w:pPr>
              <w:spacing w:line="240" w:lineRule="auto"/>
              <w:ind w:firstLine="0" w:firstLineChars="0"/>
              <w:rPr>
                <w:rFonts w:hint="eastAsia" w:cs="宋体"/>
                <w:szCs w:val="28"/>
                <w:lang w:val="zh-CN" w:bidi="zh-CN"/>
              </w:rPr>
            </w:pPr>
            <w:r>
              <w:rPr>
                <w:rFonts w:hint="eastAsia" w:cs="宋体"/>
                <w:szCs w:val="28"/>
                <w:lang w:val="zh-CN" w:bidi="zh-CN"/>
              </w:rPr>
              <w:t>不适用。</w:t>
            </w:r>
          </w:p>
        </w:tc>
        <w:tc>
          <w:tcPr>
            <w:tcW w:w="1573" w:type="dxa"/>
            <w:vAlign w:val="center"/>
          </w:tcPr>
          <w:p w14:paraId="4900CBD9">
            <w:pPr>
              <w:spacing w:line="240" w:lineRule="auto"/>
              <w:ind w:firstLine="0" w:firstLineChars="0"/>
              <w:rPr>
                <w:rFonts w:hint="eastAsia" w:cs="宋体"/>
                <w:szCs w:val="28"/>
                <w:lang w:val="zh-CN" w:bidi="zh-CN"/>
              </w:rPr>
            </w:pPr>
            <w:r>
              <w:rPr>
                <w:rFonts w:hint="eastAsia" w:cs="宋体"/>
                <w:szCs w:val="28"/>
                <w:lang w:val="zh-CN" w:bidi="zh-CN"/>
              </w:rPr>
              <w:t>无不可否认性需求</w:t>
            </w:r>
          </w:p>
        </w:tc>
      </w:tr>
      <w:tr w14:paraId="3BDEA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32" w:hRule="atLeast"/>
          <w:jc w:val="center"/>
        </w:trPr>
        <w:tc>
          <w:tcPr>
            <w:tcW w:w="856" w:type="dxa"/>
            <w:vMerge w:val="continue"/>
            <w:vAlign w:val="center"/>
          </w:tcPr>
          <w:p w14:paraId="4AD5162B">
            <w:pPr>
              <w:spacing w:line="240" w:lineRule="auto"/>
              <w:ind w:firstLine="0" w:firstLineChars="0"/>
              <w:rPr>
                <w:rFonts w:hint="eastAsia" w:cs="宋体"/>
                <w:szCs w:val="28"/>
                <w:lang w:val="zh-CN" w:bidi="zh-CN"/>
              </w:rPr>
            </w:pPr>
          </w:p>
        </w:tc>
        <w:tc>
          <w:tcPr>
            <w:tcW w:w="858" w:type="dxa"/>
            <w:vMerge w:val="continue"/>
            <w:vAlign w:val="center"/>
          </w:tcPr>
          <w:p w14:paraId="6B17F1E8">
            <w:pPr>
              <w:spacing w:line="240" w:lineRule="auto"/>
              <w:ind w:firstLine="0" w:firstLineChars="0"/>
              <w:rPr>
                <w:rFonts w:hint="eastAsia" w:cs="宋体"/>
                <w:szCs w:val="28"/>
                <w:lang w:val="zh-CN" w:bidi="zh-CN"/>
              </w:rPr>
            </w:pPr>
          </w:p>
        </w:tc>
        <w:tc>
          <w:tcPr>
            <w:tcW w:w="2286" w:type="dxa"/>
            <w:vAlign w:val="center"/>
          </w:tcPr>
          <w:p w14:paraId="250D7589">
            <w:pPr>
              <w:spacing w:line="240" w:lineRule="auto"/>
              <w:ind w:firstLine="0" w:firstLineChars="0"/>
              <w:rPr>
                <w:rFonts w:hint="eastAsia" w:cs="宋体"/>
                <w:szCs w:val="28"/>
                <w:lang w:val="zh-CN" w:bidi="zh-CN"/>
              </w:rPr>
            </w:pPr>
            <w:r>
              <w:rPr>
                <w:rFonts w:hint="eastAsia" w:cs="宋体"/>
                <w:szCs w:val="28"/>
                <w:lang w:val="zh-CN" w:bidi="zh-CN"/>
              </w:rPr>
              <w:t>密码服务</w:t>
            </w:r>
          </w:p>
        </w:tc>
        <w:tc>
          <w:tcPr>
            <w:tcW w:w="3715" w:type="dxa"/>
            <w:vAlign w:val="center"/>
          </w:tcPr>
          <w:p w14:paraId="0A0CE61D">
            <w:pPr>
              <w:spacing w:line="240" w:lineRule="auto"/>
              <w:ind w:firstLine="0" w:firstLineChars="0"/>
              <w:rPr>
                <w:rFonts w:hint="eastAsia" w:cs="宋体"/>
                <w:szCs w:val="28"/>
                <w:lang w:val="zh-CN" w:bidi="zh-CN"/>
              </w:rPr>
            </w:pPr>
            <w:r>
              <w:rPr>
                <w:rFonts w:hint="eastAsia" w:cs="宋体"/>
                <w:szCs w:val="28"/>
                <w:lang w:val="zh-CN" w:bidi="zh-CN"/>
              </w:rPr>
              <w:t>采用的数字证书由具有电子认证服务资质的机构签发。</w:t>
            </w:r>
          </w:p>
        </w:tc>
        <w:tc>
          <w:tcPr>
            <w:tcW w:w="1573" w:type="dxa"/>
            <w:vAlign w:val="center"/>
          </w:tcPr>
          <w:p w14:paraId="6532606E">
            <w:pPr>
              <w:spacing w:line="240" w:lineRule="auto"/>
              <w:ind w:firstLine="0" w:firstLineChars="0"/>
              <w:rPr>
                <w:rFonts w:hint="eastAsia" w:cs="宋体"/>
                <w:szCs w:val="28"/>
                <w:lang w:val="zh-CN" w:bidi="zh-CN"/>
              </w:rPr>
            </w:pPr>
            <w:r>
              <w:rPr>
                <w:rFonts w:hint="eastAsia" w:cs="宋体"/>
                <w:szCs w:val="28"/>
                <w:lang w:val="zh-CN" w:bidi="zh-CN"/>
              </w:rPr>
              <w:t>无</w:t>
            </w:r>
          </w:p>
        </w:tc>
      </w:tr>
      <w:tr w14:paraId="10362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11DDFCBE">
            <w:pPr>
              <w:spacing w:line="240" w:lineRule="auto"/>
              <w:ind w:firstLine="0" w:firstLineChars="0"/>
              <w:rPr>
                <w:rFonts w:hint="eastAsia" w:cs="宋体"/>
                <w:szCs w:val="28"/>
                <w:lang w:val="zh-CN" w:bidi="zh-CN"/>
              </w:rPr>
            </w:pPr>
          </w:p>
        </w:tc>
        <w:tc>
          <w:tcPr>
            <w:tcW w:w="858" w:type="dxa"/>
            <w:vMerge w:val="continue"/>
            <w:vAlign w:val="center"/>
          </w:tcPr>
          <w:p w14:paraId="20B2AE52">
            <w:pPr>
              <w:spacing w:line="240" w:lineRule="auto"/>
              <w:ind w:firstLine="0" w:firstLineChars="0"/>
              <w:rPr>
                <w:rFonts w:hint="eastAsia" w:cs="宋体"/>
                <w:szCs w:val="28"/>
                <w:lang w:val="zh-CN" w:bidi="zh-CN"/>
              </w:rPr>
            </w:pPr>
          </w:p>
        </w:tc>
        <w:tc>
          <w:tcPr>
            <w:tcW w:w="2286" w:type="dxa"/>
            <w:vAlign w:val="center"/>
          </w:tcPr>
          <w:p w14:paraId="4DC1146D">
            <w:pPr>
              <w:spacing w:line="240" w:lineRule="auto"/>
              <w:ind w:firstLine="0" w:firstLineChars="0"/>
              <w:rPr>
                <w:rFonts w:hint="eastAsia" w:cs="宋体"/>
                <w:szCs w:val="28"/>
                <w:lang w:val="zh-CN" w:bidi="zh-CN"/>
              </w:rPr>
            </w:pPr>
            <w:r>
              <w:rPr>
                <w:rFonts w:hint="eastAsia" w:cs="宋体"/>
                <w:szCs w:val="28"/>
                <w:lang w:val="zh-CN" w:bidi="zh-CN"/>
              </w:rPr>
              <w:t>密码产品</w:t>
            </w:r>
          </w:p>
        </w:tc>
        <w:tc>
          <w:tcPr>
            <w:tcW w:w="3715" w:type="dxa"/>
            <w:vAlign w:val="center"/>
          </w:tcPr>
          <w:p w14:paraId="3479197B">
            <w:pPr>
              <w:spacing w:line="240" w:lineRule="auto"/>
              <w:ind w:firstLine="0" w:firstLineChars="0"/>
              <w:rPr>
                <w:rFonts w:hint="eastAsia" w:cs="宋体"/>
                <w:szCs w:val="28"/>
                <w:lang w:val="zh-CN" w:bidi="zh-CN"/>
              </w:rPr>
            </w:pPr>
            <w:r>
              <w:rPr>
                <w:rFonts w:hint="eastAsia" w:cs="宋体"/>
                <w:szCs w:val="28"/>
                <w:lang w:val="zh-CN" w:bidi="zh-CN"/>
              </w:rPr>
              <w:t>采用的密码产品，应达到GB/T 37092-2018二级及以上安全要求。</w:t>
            </w:r>
          </w:p>
        </w:tc>
        <w:tc>
          <w:tcPr>
            <w:tcW w:w="1573" w:type="dxa"/>
            <w:vAlign w:val="center"/>
          </w:tcPr>
          <w:p w14:paraId="038D94CE">
            <w:pPr>
              <w:spacing w:line="240" w:lineRule="auto"/>
              <w:ind w:firstLine="0" w:firstLineChars="0"/>
              <w:rPr>
                <w:rFonts w:hint="eastAsia" w:cs="宋体"/>
                <w:szCs w:val="28"/>
                <w:lang w:val="zh-CN" w:bidi="zh-CN"/>
              </w:rPr>
            </w:pPr>
            <w:r>
              <w:rPr>
                <w:rFonts w:hint="eastAsia" w:cs="宋体"/>
                <w:szCs w:val="28"/>
                <w:lang w:val="zh-CN" w:bidi="zh-CN"/>
              </w:rPr>
              <w:t>无</w:t>
            </w:r>
          </w:p>
        </w:tc>
      </w:tr>
    </w:tbl>
    <w:p w14:paraId="6BBD4BA0">
      <w:pPr>
        <w:ind w:firstLine="0" w:firstLineChars="0"/>
        <w:rPr>
          <w:rFonts w:hint="eastAsia"/>
        </w:rPr>
      </w:pPr>
    </w:p>
    <w:p w14:paraId="459C5275">
      <w:pPr>
        <w:pStyle w:val="3"/>
        <w:rPr>
          <w:rFonts w:hint="eastAsia"/>
        </w:rPr>
      </w:pPr>
      <w:bookmarkStart w:id="32" w:name="_Toc63785512"/>
      <w:r>
        <w:rPr>
          <w:rFonts w:hint="eastAsia"/>
        </w:rPr>
        <w:t>技术文件要求</w:t>
      </w:r>
    </w:p>
    <w:p w14:paraId="4F76174A">
      <w:pPr>
        <w:rPr>
          <w:rFonts w:hint="eastAsia"/>
        </w:rPr>
      </w:pPr>
      <w:r>
        <w:rPr>
          <w:rFonts w:hint="eastAsia"/>
        </w:rPr>
        <w:t>投标人提供的书面技术资料应能确保系统正常运行所需的管理、运营及维护有关的全套文件。技术文件应该全面、完整、详细。投标人提供的技术文件至少应包括：</w:t>
      </w:r>
    </w:p>
    <w:p w14:paraId="0DA4E14D">
      <w:pPr>
        <w:rPr>
          <w:rFonts w:hint="eastAsia"/>
        </w:rPr>
      </w:pPr>
      <w:r>
        <w:rPr>
          <w:rFonts w:hint="eastAsia"/>
        </w:rPr>
        <w:t>－</w:t>
      </w:r>
      <w:r>
        <w:t xml:space="preserve"> 系统说明文件； </w:t>
      </w:r>
    </w:p>
    <w:p w14:paraId="2145FB0E">
      <w:pPr>
        <w:rPr>
          <w:rFonts w:hint="eastAsia"/>
        </w:rPr>
      </w:pPr>
      <w:r>
        <w:rPr>
          <w:rFonts w:hint="eastAsia"/>
        </w:rPr>
        <w:t>－</w:t>
      </w:r>
      <w:r>
        <w:t xml:space="preserve"> 技术手册(安装、测试、操作、维护、故障排除等)； </w:t>
      </w:r>
    </w:p>
    <w:p w14:paraId="3FF91E34">
      <w:pPr>
        <w:rPr>
          <w:rFonts w:hint="eastAsia"/>
        </w:rPr>
      </w:pPr>
      <w:r>
        <w:rPr>
          <w:rFonts w:hint="eastAsia"/>
        </w:rPr>
        <w:t>－</w:t>
      </w:r>
      <w:r>
        <w:t xml:space="preserve"> 项目文档，应该包括：</w:t>
      </w:r>
    </w:p>
    <w:p w14:paraId="13C14B89">
      <w:pPr>
        <w:ind w:left="360"/>
        <w:rPr>
          <w:rFonts w:hint="eastAsia"/>
        </w:rPr>
      </w:pPr>
      <w:r>
        <w:t>(1)软件需求说明书</w:t>
      </w:r>
    </w:p>
    <w:p w14:paraId="4D106753">
      <w:pPr>
        <w:ind w:left="360"/>
        <w:rPr>
          <w:rFonts w:hint="eastAsia"/>
        </w:rPr>
      </w:pPr>
      <w:r>
        <w:t>(2)系统总体设计说明书</w:t>
      </w:r>
    </w:p>
    <w:p w14:paraId="415B5866">
      <w:pPr>
        <w:ind w:left="360"/>
        <w:rPr>
          <w:rFonts w:hint="eastAsia"/>
        </w:rPr>
      </w:pPr>
      <w:r>
        <w:t>(3)应用软件功能清单</w:t>
      </w:r>
    </w:p>
    <w:p w14:paraId="3E2539CF">
      <w:pPr>
        <w:rPr>
          <w:rFonts w:hint="eastAsia"/>
        </w:rPr>
      </w:pPr>
      <w:r>
        <w:rPr>
          <w:rFonts w:hint="eastAsia"/>
        </w:rPr>
        <w:t>提供全套技术文件纸介质</w:t>
      </w:r>
      <w:r>
        <w:t>3套以及电子文件1套。</w:t>
      </w:r>
    </w:p>
    <w:p w14:paraId="46BF76F9">
      <w:pPr>
        <w:pStyle w:val="2"/>
        <w:rPr>
          <w:rFonts w:hint="eastAsia"/>
        </w:rPr>
      </w:pPr>
      <w:r>
        <w:rPr>
          <w:rFonts w:hint="eastAsia"/>
        </w:rPr>
        <w:t>供应商管理要求</w:t>
      </w:r>
      <w:bookmarkEnd w:id="32"/>
    </w:p>
    <w:p w14:paraId="70477410">
      <w:pPr>
        <w:pStyle w:val="81"/>
        <w:ind w:firstLine="480"/>
        <w:rPr>
          <w:rFonts w:hint="eastAsia"/>
          <w:sz w:val="24"/>
          <w:szCs w:val="24"/>
        </w:rPr>
      </w:pPr>
      <w:r>
        <w:rPr>
          <w:rFonts w:hint="eastAsia"/>
          <w:sz w:val="24"/>
          <w:szCs w:val="24"/>
        </w:rPr>
        <w:t>1、在项目实施期间，中标人应严格执行国家、地方、行业有关本项目业务管理和安全作业的法律、法规和制度并按规定承担相应的费用。中标人因违反规定等原因造成的一切损失和责任由中标人自行承担。</w:t>
      </w:r>
    </w:p>
    <w:p w14:paraId="003C8E84">
      <w:pPr>
        <w:pStyle w:val="81"/>
        <w:ind w:firstLine="480"/>
        <w:rPr>
          <w:rFonts w:hint="eastAsia"/>
          <w:sz w:val="24"/>
          <w:szCs w:val="24"/>
        </w:rPr>
      </w:pPr>
      <w:r>
        <w:rPr>
          <w:rFonts w:hint="eastAsia"/>
          <w:sz w:val="24"/>
          <w:szCs w:val="24"/>
        </w:rPr>
        <w:t>2、中标人在投标书中承诺并经招标人认定的项目负责人及专业技术人员必须是本单位职工（在本单位缴纳社会保障金）和该项目实施现场的实际操作者，应具有类似本项目的实施经验，并应在软件应用调研、安装、试运行等期间常驻项目现场。未经采购人同意，中标人不得调换或撤离上述人员。如采购人认为有必要，可要求中标人对上述人员中的部分人员作出更好的调整。</w:t>
      </w:r>
    </w:p>
    <w:p w14:paraId="2E340571">
      <w:pPr>
        <w:pStyle w:val="81"/>
        <w:ind w:firstLine="480"/>
        <w:rPr>
          <w:rFonts w:hint="eastAsia"/>
          <w:sz w:val="24"/>
          <w:szCs w:val="24"/>
        </w:rPr>
      </w:pPr>
      <w:r>
        <w:rPr>
          <w:rFonts w:hint="eastAsia"/>
          <w:sz w:val="24"/>
          <w:szCs w:val="24"/>
        </w:rPr>
        <w:t>3、中标人在项目实施期间，应按项目实际进度与环节落实所对应项目整体及各环节管理工作，按照规范做好项目实施期间相关管理与实施记录。</w:t>
      </w:r>
    </w:p>
    <w:p w14:paraId="1CC18F54">
      <w:pPr>
        <w:pStyle w:val="81"/>
        <w:ind w:firstLine="480"/>
        <w:rPr>
          <w:rFonts w:hint="eastAsia"/>
          <w:sz w:val="24"/>
          <w:szCs w:val="24"/>
        </w:rPr>
      </w:pPr>
      <w:r>
        <w:rPr>
          <w:rFonts w:hint="eastAsia"/>
          <w:sz w:val="24"/>
          <w:szCs w:val="24"/>
        </w:rPr>
        <w:t>4、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必须得到采购人项目联系人确认。</w:t>
      </w:r>
    </w:p>
    <w:p w14:paraId="48A4521F">
      <w:pPr>
        <w:pStyle w:val="81"/>
        <w:ind w:firstLine="480"/>
        <w:rPr>
          <w:rFonts w:hint="eastAsia"/>
          <w:sz w:val="24"/>
          <w:szCs w:val="24"/>
        </w:rPr>
      </w:pPr>
      <w:r>
        <w:rPr>
          <w:rFonts w:hint="eastAsia"/>
          <w:sz w:val="24"/>
          <w:szCs w:val="24"/>
        </w:rPr>
        <w:t>5、中标人在项目实施期间必须遵守采购人的规章制度并提供实施人员名单。</w:t>
      </w:r>
    </w:p>
    <w:p w14:paraId="62EF4979">
      <w:pPr>
        <w:pStyle w:val="81"/>
        <w:ind w:firstLine="480"/>
        <w:rPr>
          <w:rFonts w:hint="eastAsia"/>
          <w:sz w:val="24"/>
          <w:szCs w:val="24"/>
        </w:rPr>
      </w:pPr>
      <w:r>
        <w:rPr>
          <w:rFonts w:hint="eastAsia"/>
          <w:sz w:val="24"/>
          <w:szCs w:val="24"/>
        </w:rPr>
        <w:t>6、各投标人在投标文件中要结合本项目的特点和采购人上述的具体要求制定相应的管理措施，并在报价中列支相应的费用清单，投标人报价中未列支上述费用清单的，上述费用视为已包含在投标人的投标总报价中。</w:t>
      </w:r>
    </w:p>
    <w:p w14:paraId="10E29B79">
      <w:pPr>
        <w:pStyle w:val="81"/>
        <w:ind w:firstLine="480"/>
        <w:rPr>
          <w:rFonts w:hint="eastAsia"/>
        </w:rPr>
      </w:pPr>
      <w:r>
        <w:rPr>
          <w:rFonts w:hint="eastAsia"/>
          <w:sz w:val="24"/>
          <w:szCs w:val="24"/>
        </w:rPr>
        <w:t>7、本项目软件开发及调试将纳入采购人的管理范围，中标人在此过程中须服从上述单位的管理协调。</w:t>
      </w:r>
    </w:p>
    <w:p w14:paraId="476C7DC1">
      <w:pPr>
        <w:pStyle w:val="2"/>
        <w:rPr>
          <w:rFonts w:hint="eastAsia"/>
        </w:rPr>
      </w:pPr>
      <w:bookmarkStart w:id="33" w:name="_Toc63785513"/>
      <w:r>
        <w:rPr>
          <w:rFonts w:hint="eastAsia"/>
        </w:rPr>
        <w:t>知识产权及保密要求</w:t>
      </w:r>
      <w:bookmarkEnd w:id="33"/>
    </w:p>
    <w:p w14:paraId="7D717305">
      <w:pPr>
        <w:ind w:firstLine="482"/>
        <w:rPr>
          <w:rFonts w:hint="eastAsia"/>
          <w:b/>
        </w:rPr>
      </w:pPr>
      <w:r>
        <w:rPr>
          <w:b/>
        </w:rPr>
        <w:t>1、中标人数据、文件、资料知识产权</w:t>
      </w:r>
    </w:p>
    <w:p w14:paraId="045694A9">
      <w:pPr>
        <w:rPr>
          <w:rFonts w:hint="eastAsia"/>
        </w:rPr>
      </w:pPr>
      <w:r>
        <w:rPr>
          <w:rFonts w:hint="eastAsia"/>
        </w:rPr>
        <w:t>中标人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中标人应负责与第三方解决纠纷，若因此导致采购人损失的，采购人有权要求中标人赔偿采购人因此遭受的全部损失，包括但不限于直接损失、间接损失、诉讼费／仲裁费、律师费、公证费、鉴定费等。</w:t>
      </w:r>
    </w:p>
    <w:p w14:paraId="0891C508">
      <w:pPr>
        <w:rPr>
          <w:rFonts w:hint="eastAsia"/>
        </w:rPr>
      </w:pPr>
      <w:r>
        <w:rPr>
          <w:rFonts w:hint="eastAsia"/>
        </w:rPr>
        <w:t>中标人因履行本项目而产生的所有成果的知识产权等权利均归采购人所有，中标人应配合采购人进行相关权利登记或申请。未经采购人书面同意，中标人不得以任何形式使用或许可他人使用本项目成果的相关内容，不得擅自对外公开发表或向任何第三方透露。</w:t>
      </w:r>
    </w:p>
    <w:p w14:paraId="5B4068C5">
      <w:pPr>
        <w:rPr>
          <w:rFonts w:hint="eastAsia"/>
        </w:rPr>
      </w:pPr>
      <w:r>
        <w:rPr>
          <w:rFonts w:hint="eastAsia"/>
        </w:rPr>
        <w:t>在不影响上述条款规定的由采购人取得所有成果的知识产权的前提下，双方因履行本项目而被授权接触或使用对方之知识产权（包括但不限于商标、专利、著作权等），和/或任何其他相关资料、数据等涉及的任何权利，均不视为向另一方转让上述权利或在本项目范围外授权许可另一方使用上述权利，上述权利仍应属于提供方，并仅可使用于本项目，被授权接触或使用方未经提供方书面同意，不得擅自挪作他用。</w:t>
      </w:r>
    </w:p>
    <w:p w14:paraId="5100357E">
      <w:pPr>
        <w:ind w:firstLine="482"/>
        <w:rPr>
          <w:rFonts w:hint="eastAsia"/>
          <w:b/>
        </w:rPr>
      </w:pPr>
      <w:r>
        <w:rPr>
          <w:b/>
        </w:rPr>
        <w:t>2、项目保密要求</w:t>
      </w:r>
    </w:p>
    <w:p w14:paraId="1010FA25">
      <w:pPr>
        <w:rPr>
          <w:rFonts w:hint="eastAsia"/>
        </w:rPr>
      </w:pPr>
      <w:r>
        <w:rPr>
          <w:rFonts w:hint="eastAsia"/>
        </w:rPr>
        <w:t>中标人因履行本项目而知悉的所有数据、信息和资料（包括但不限于账号信息、图表、文字、计算过程、任何形式的文件、访谈记录、现场实测数据、采购人相关工作程序等）以及因履行本项目而形成的数据、信息和任何形式的工作成果，均是采购人要求保密的信息。未经采购人书面同意，中标人不得对外泄露采购人要求保密的信息，不得用于其他用途，否则中标人需承担由此引起的法律责任和经济责任，包括但不限于直接损失、间接损失、律师费、诉讼费/仲裁费、调查费、公证费等。</w:t>
      </w:r>
    </w:p>
    <w:p w14:paraId="765908F9">
      <w:pPr>
        <w:rPr>
          <w:rFonts w:hint="eastAsia"/>
        </w:rPr>
      </w:pPr>
      <w:r>
        <w:rPr>
          <w:rFonts w:hint="eastAsia"/>
        </w:rPr>
        <w:t>中标人应采取必要的有效措施保证其参与本项目的人员（包括中标人聘用的人员、借调的人员、实习的人员）无论是在职或离职后，以及中标人的合作方无论是合作中或合作终止后，都能够履行本项目约定的保密义务。若中标人人员或中标人合作方违反保密规定，中标人应承担连带责任。</w:t>
      </w:r>
    </w:p>
    <w:p w14:paraId="50BA26C0">
      <w:pPr>
        <w:rPr>
          <w:rFonts w:hint="eastAsia"/>
        </w:rPr>
      </w:pPr>
      <w:r>
        <w:rPr>
          <w:rFonts w:hint="eastAsia"/>
        </w:rPr>
        <w:t>中标人（含中标人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14:paraId="106D7BFA">
      <w:pPr>
        <w:rPr>
          <w:rFonts w:hint="eastAsia"/>
        </w:rPr>
      </w:pPr>
      <w:r>
        <w:rPr>
          <w:rFonts w:hint="eastAsia"/>
        </w:rPr>
        <w:t>以上内容的保密期限自中标人知悉保密信息起始至保密信息被合法公开之日止。</w:t>
      </w:r>
    </w:p>
    <w:p w14:paraId="5339F2B2">
      <w:pPr>
        <w:ind w:firstLine="482"/>
        <w:rPr>
          <w:rFonts w:hint="eastAsia"/>
          <w:b/>
        </w:rPr>
      </w:pPr>
      <w:r>
        <w:rPr>
          <w:b/>
        </w:rPr>
        <w:t>3、临时账号等使用要求</w:t>
      </w:r>
    </w:p>
    <w:p w14:paraId="1AAE9025">
      <w:pPr>
        <w:rPr>
          <w:rFonts w:hint="eastAsia"/>
        </w:rPr>
      </w:pPr>
      <w:r>
        <w:rPr>
          <w:rFonts w:hint="eastAsia"/>
        </w:rPr>
        <w:t>中标人对采购人提拱的临时使用账号要保密，不得公开，对组件开发的账号密码需进行加密，避免信息安全的泄露。未经采购人的同意不得利用采购人的网络及平台进行短信、彩信、微信发送</w:t>
      </w:r>
      <w:r>
        <w:t>,造成的一切后果由中标人负责。</w:t>
      </w:r>
    </w:p>
    <w:p w14:paraId="682500D0">
      <w:pPr>
        <w:rPr>
          <w:rFonts w:hint="eastAsia"/>
          <w:bCs/>
          <w:iCs/>
        </w:rPr>
      </w:pPr>
      <w:bookmarkStart w:id="34" w:name="_GoBack"/>
      <w:bookmarkEnd w:id="34"/>
    </w:p>
    <w:p w14:paraId="02D321E8">
      <w:pPr>
        <w:ind w:firstLine="0" w:firstLineChars="0"/>
        <w:rPr>
          <w:rFonts w:hint="eastAsia"/>
        </w:rPr>
      </w:pP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Arial">
    <w:altName w:val="DejaVu Sans"/>
    <w:panose1 w:val="020B0604020202020204"/>
    <w:charset w:val="00"/>
    <w:family w:val="swiss"/>
    <w:pitch w:val="default"/>
    <w:sig w:usb0="00000000" w:usb1="00000000" w:usb2="00000009" w:usb3="00000000" w:csb0="000001FF"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0000019F" w:csb1="00000000"/>
  </w:font>
  <w:font w:name="Noto Sans Syriac Eastern">
    <w:panose1 w:val="02040503050306020203"/>
    <w:charset w:val="86"/>
    <w:family w:val="auto"/>
    <w:pitch w:val="default"/>
    <w:sig w:usb0="00000000" w:usb1="00000000" w:usb2="00000080" w:usb3="00000000" w:csb0="203E0161" w:csb1="D7FF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03" w:usb1="2BDF3C10" w:usb2="00000016" w:usb3="00000000" w:csb0="602E0107"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ourier New">
    <w:altName w:val="DejaVu Sans"/>
    <w:panose1 w:val="02070309020205020404"/>
    <w:charset w:val="00"/>
    <w:family w:val="modern"/>
    <w:pitch w:val="default"/>
    <w:sig w:usb0="00000000" w:usb1="00000000" w:usb2="00000009" w:usb3="00000000" w:csb0="000001FF" w:csb1="00000000"/>
  </w:font>
  <w:font w:name="Calibri Light">
    <w:altName w:val="DejaVu Sans"/>
    <w:panose1 w:val="020F0302020204030204"/>
    <w:charset w:val="00"/>
    <w:family w:val="swiss"/>
    <w:pitch w:val="default"/>
    <w:sig w:usb0="00000000" w:usb1="00000000" w:usb2="00000009" w:usb3="00000000" w:csb0="000001FF" w:csb1="00000000"/>
  </w:font>
  <w:font w:name="Arial Unicode MS">
    <w:altName w:val="DejaVu Sans"/>
    <w:panose1 w:val="020B0604020202020204"/>
    <w:charset w:val="86"/>
    <w:family w:val="swiss"/>
    <w:pitch w:val="default"/>
    <w:sig w:usb0="00000000" w:usb1="00000000" w:usb2="0000003F" w:usb3="00000000" w:csb0="603F01FF" w:csb1="FFFF0000"/>
  </w:font>
  <w:font w:name="等线 Light">
    <w:altName w:val="汉仪中圆B5"/>
    <w:panose1 w:val="02010600030101010101"/>
    <w:charset w:val="86"/>
    <w:family w:val="auto"/>
    <w:pitch w:val="default"/>
    <w:sig w:usb0="00000000" w:usb1="00000000" w:usb2="00000016" w:usb3="00000000" w:csb0="0004000F" w:csb1="00000000"/>
  </w:font>
  <w:font w:name="汉仪中圆B5">
    <w:panose1 w:val="02010600000101010101"/>
    <w:charset w:val="88"/>
    <w:family w:val="auto"/>
    <w:pitch w:val="default"/>
    <w:sig w:usb0="00000001" w:usb1="080E0800" w:usb2="00000002" w:usb3="00000000" w:csb0="00100000" w:csb1="00000000"/>
  </w:font>
  <w:font w:name="time">
    <w:altName w:val="文泉驿微米黑"/>
    <w:panose1 w:val="00000000000000000000"/>
    <w:charset w:val="00"/>
    <w:family w:val="roman"/>
    <w:pitch w:val="default"/>
    <w:sig w:usb0="00000000" w:usb1="00000000" w:usb2="00000000" w:usb3="00000000" w:csb0="00040001" w:csb1="00000000"/>
  </w:font>
  <w:font w:name="文泉驿微米黑">
    <w:panose1 w:val="020B0606030804020204"/>
    <w:charset w:val="86"/>
    <w:family w:val="auto"/>
    <w:pitch w:val="default"/>
    <w:sig w:usb0="E10002EF" w:usb1="6BDFFCFB" w:usb2="00800036" w:usb3="00000000" w:csb0="603E019F" w:csb1="DFD70000"/>
  </w:font>
  <w:font w:name="Microsoft YaHei UI">
    <w:altName w:val="文泉驿微米黑"/>
    <w:panose1 w:val="020B0503020204020204"/>
    <w:charset w:val="86"/>
    <w:family w:val="swiss"/>
    <w:pitch w:val="default"/>
    <w:sig w:usb0="00000000" w:usb1="00000000" w:usb2="00000016" w:usb3="00000000" w:csb0="0004001F" w:csb1="00000000"/>
  </w:font>
  <w:font w:name="Microsoft Sans Serif">
    <w:altName w:val="DejaVu Sans"/>
    <w:panose1 w:val="020B0604020202020204"/>
    <w:charset w:val="00"/>
    <w:family w:val="swiss"/>
    <w:pitch w:val="default"/>
    <w:sig w:usb0="00000000" w:usb1="00000000" w:usb2="00000029" w:usb3="00000000" w:csb0="000101FF" w:csb1="00000000"/>
  </w:font>
  <w:font w:name="楷体_GB2312">
    <w:altName w:val="方正楷体_GBK"/>
    <w:panose1 w:val="02010609030101010101"/>
    <w:charset w:val="86"/>
    <w:family w:val="modern"/>
    <w:pitch w:val="default"/>
    <w:sig w:usb0="00000000" w:usb1="00000000" w:usb2="00000010" w:usb3="00000000" w:csb0="00040000" w:csb1="00000000"/>
  </w:font>
  <w:font w:name="方正楷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CF7AB">
    <w:pPr>
      <w:ind w:firstLine="0" w:firstLineChars="0"/>
      <w:jc w:val="center"/>
      <w:rPr>
        <w:rFonts w:hint="eastAsia"/>
      </w:rPr>
    </w:pPr>
    <w:r>
      <w:fldChar w:fldCharType="begin"/>
    </w:r>
    <w:r>
      <w:instrText xml:space="preserve">PAGE   \* MERGEFORMAT</w:instrText>
    </w:r>
    <w:r>
      <w:fldChar w:fldCharType="separate"/>
    </w:r>
    <w:r>
      <w:rPr>
        <w:lang w:val="zh-CN"/>
      </w:rPr>
      <w:t>11</w:t>
    </w:r>
    <w:r>
      <w:rPr>
        <w:lang w:val="zh-CN"/>
      </w:rPr>
      <w:fldChar w:fldCharType="end"/>
    </w:r>
  </w:p>
  <w:p w14:paraId="00AB8262">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455A8">
    <w:pPr>
      <w:rPr>
        <w:rFonts w:hint="eastAsia"/>
      </w:rPr>
    </w:pPr>
  </w:p>
  <w:p w14:paraId="2DD6A489">
    <w:pP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09FC1">
    <w:pPr>
      <w:ind w:firstLine="0" w:firstLineChars="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6F551">
    <w:pPr>
      <w:ind w:firstLine="0" w:firstLineChars="0"/>
      <w:jc w:val="center"/>
      <w:rPr>
        <w:rFonts w:hint="eastAsia"/>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5D1D7AD6">
    <w:pP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94E3B">
    <w:pPr>
      <w:pStyle w:val="2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B19DD">
    <w:pPr>
      <w:rPr>
        <w:rFonts w:hint="eastAsia"/>
      </w:rPr>
    </w:pPr>
  </w:p>
  <w:p w14:paraId="598F7E22">
    <w:pP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57CDB">
    <w:pPr>
      <w:pStyle w:val="26"/>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22BEF5"/>
    <w:multiLevelType w:val="singleLevel"/>
    <w:tmpl w:val="1922BEF5"/>
    <w:lvl w:ilvl="0" w:tentative="0">
      <w:start w:val="1"/>
      <w:numFmt w:val="bullet"/>
      <w:pStyle w:val="14"/>
      <w:lvlText w:val=""/>
      <w:lvlJc w:val="left"/>
      <w:pPr>
        <w:tabs>
          <w:tab w:val="left" w:pos="360"/>
        </w:tabs>
        <w:ind w:left="360" w:hanging="360"/>
      </w:pPr>
      <w:rPr>
        <w:rFonts w:hint="default" w:ascii="Wingdings" w:hAnsi="Wingdings"/>
      </w:rPr>
    </w:lvl>
  </w:abstractNum>
  <w:abstractNum w:abstractNumId="1">
    <w:nsid w:val="6350366A"/>
    <w:multiLevelType w:val="multilevel"/>
    <w:tmpl w:val="6350366A"/>
    <w:lvl w:ilvl="0" w:tentative="0">
      <w:start w:val="1"/>
      <w:numFmt w:val="none"/>
      <w:pStyle w:val="113"/>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pStyle w:val="4"/>
      <w:isLgl/>
      <w:suff w:val="nothing"/>
      <w:lvlText w:val="%1.%2.%3、"/>
      <w:lvlJc w:val="left"/>
      <w:pPr>
        <w:ind w:left="2628"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3">
    <w:nsid w:val="6B71257C"/>
    <w:multiLevelType w:val="multilevel"/>
    <w:tmpl w:val="6B71257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6FD8003F"/>
    <w:multiLevelType w:val="multilevel"/>
    <w:tmpl w:val="6FD8003F"/>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dlMzJiYTgyNTJkM2E5NzA5NDNiNGU0YmVkYTRiODEifQ=="/>
  </w:docVars>
  <w:rsids>
    <w:rsidRoot w:val="006910C0"/>
    <w:rsid w:val="0000005A"/>
    <w:rsid w:val="00000AED"/>
    <w:rsid w:val="00003516"/>
    <w:rsid w:val="0000380E"/>
    <w:rsid w:val="00005AFD"/>
    <w:rsid w:val="00006563"/>
    <w:rsid w:val="000074F1"/>
    <w:rsid w:val="00007A41"/>
    <w:rsid w:val="00007DA7"/>
    <w:rsid w:val="00012EF0"/>
    <w:rsid w:val="000156DE"/>
    <w:rsid w:val="000165AD"/>
    <w:rsid w:val="000179E9"/>
    <w:rsid w:val="00020C18"/>
    <w:rsid w:val="00021EE6"/>
    <w:rsid w:val="0002280E"/>
    <w:rsid w:val="00022C74"/>
    <w:rsid w:val="00025122"/>
    <w:rsid w:val="000252D5"/>
    <w:rsid w:val="00026997"/>
    <w:rsid w:val="00027A64"/>
    <w:rsid w:val="00032D27"/>
    <w:rsid w:val="00035325"/>
    <w:rsid w:val="00035D5B"/>
    <w:rsid w:val="000378D0"/>
    <w:rsid w:val="00037F2C"/>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231F"/>
    <w:rsid w:val="00062A05"/>
    <w:rsid w:val="00062EE6"/>
    <w:rsid w:val="0006344E"/>
    <w:rsid w:val="000649E6"/>
    <w:rsid w:val="0006794B"/>
    <w:rsid w:val="00067DCA"/>
    <w:rsid w:val="00070063"/>
    <w:rsid w:val="0007087A"/>
    <w:rsid w:val="000710EC"/>
    <w:rsid w:val="00072237"/>
    <w:rsid w:val="00072ABE"/>
    <w:rsid w:val="00080B39"/>
    <w:rsid w:val="00083950"/>
    <w:rsid w:val="00084388"/>
    <w:rsid w:val="0008452F"/>
    <w:rsid w:val="00084E8E"/>
    <w:rsid w:val="00085A68"/>
    <w:rsid w:val="00090625"/>
    <w:rsid w:val="00090948"/>
    <w:rsid w:val="00091CD1"/>
    <w:rsid w:val="0009460E"/>
    <w:rsid w:val="000951D4"/>
    <w:rsid w:val="000A2146"/>
    <w:rsid w:val="000A2930"/>
    <w:rsid w:val="000A3276"/>
    <w:rsid w:val="000A3C35"/>
    <w:rsid w:val="000A3E30"/>
    <w:rsid w:val="000A5876"/>
    <w:rsid w:val="000A61D0"/>
    <w:rsid w:val="000A6C67"/>
    <w:rsid w:val="000A6DB8"/>
    <w:rsid w:val="000A7596"/>
    <w:rsid w:val="000B11A8"/>
    <w:rsid w:val="000B1887"/>
    <w:rsid w:val="000B1959"/>
    <w:rsid w:val="000B2E1C"/>
    <w:rsid w:val="000B4459"/>
    <w:rsid w:val="000B4B46"/>
    <w:rsid w:val="000B5363"/>
    <w:rsid w:val="000B53BA"/>
    <w:rsid w:val="000B642F"/>
    <w:rsid w:val="000B6C99"/>
    <w:rsid w:val="000C3F3C"/>
    <w:rsid w:val="000C5A75"/>
    <w:rsid w:val="000C75F7"/>
    <w:rsid w:val="000D0AB2"/>
    <w:rsid w:val="000D225C"/>
    <w:rsid w:val="000D36F2"/>
    <w:rsid w:val="000D4B26"/>
    <w:rsid w:val="000D74DB"/>
    <w:rsid w:val="000E24D6"/>
    <w:rsid w:val="000E6072"/>
    <w:rsid w:val="000E6D61"/>
    <w:rsid w:val="000E7A23"/>
    <w:rsid w:val="000F1C29"/>
    <w:rsid w:val="000F1E9E"/>
    <w:rsid w:val="000F2B10"/>
    <w:rsid w:val="000F3F72"/>
    <w:rsid w:val="001055B2"/>
    <w:rsid w:val="001068F0"/>
    <w:rsid w:val="00106AB8"/>
    <w:rsid w:val="00106C9E"/>
    <w:rsid w:val="00106E16"/>
    <w:rsid w:val="0010768B"/>
    <w:rsid w:val="00111701"/>
    <w:rsid w:val="00112A29"/>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C6"/>
    <w:rsid w:val="00145512"/>
    <w:rsid w:val="001465BD"/>
    <w:rsid w:val="00147B45"/>
    <w:rsid w:val="00150803"/>
    <w:rsid w:val="00151D83"/>
    <w:rsid w:val="001546C9"/>
    <w:rsid w:val="00154FAE"/>
    <w:rsid w:val="00155E77"/>
    <w:rsid w:val="00156A70"/>
    <w:rsid w:val="00160A61"/>
    <w:rsid w:val="00160FC0"/>
    <w:rsid w:val="001624C6"/>
    <w:rsid w:val="0016429B"/>
    <w:rsid w:val="00164525"/>
    <w:rsid w:val="00164C50"/>
    <w:rsid w:val="001650BC"/>
    <w:rsid w:val="00165CB2"/>
    <w:rsid w:val="00166203"/>
    <w:rsid w:val="00166767"/>
    <w:rsid w:val="001707CB"/>
    <w:rsid w:val="00171477"/>
    <w:rsid w:val="00172A1A"/>
    <w:rsid w:val="00173251"/>
    <w:rsid w:val="00176BED"/>
    <w:rsid w:val="0017759D"/>
    <w:rsid w:val="001804A5"/>
    <w:rsid w:val="00181C94"/>
    <w:rsid w:val="00182C84"/>
    <w:rsid w:val="00187031"/>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907"/>
    <w:rsid w:val="001B4DC5"/>
    <w:rsid w:val="001B5505"/>
    <w:rsid w:val="001C2180"/>
    <w:rsid w:val="001C29CC"/>
    <w:rsid w:val="001C3217"/>
    <w:rsid w:val="001C3B98"/>
    <w:rsid w:val="001C6028"/>
    <w:rsid w:val="001C6365"/>
    <w:rsid w:val="001C7F57"/>
    <w:rsid w:val="001D0E79"/>
    <w:rsid w:val="001D6049"/>
    <w:rsid w:val="001D7339"/>
    <w:rsid w:val="001E2750"/>
    <w:rsid w:val="001E4343"/>
    <w:rsid w:val="001E52BB"/>
    <w:rsid w:val="001E660A"/>
    <w:rsid w:val="001F05D6"/>
    <w:rsid w:val="001F0623"/>
    <w:rsid w:val="001F5B0A"/>
    <w:rsid w:val="001F640F"/>
    <w:rsid w:val="001F6794"/>
    <w:rsid w:val="001F6F65"/>
    <w:rsid w:val="002002DF"/>
    <w:rsid w:val="00203A6F"/>
    <w:rsid w:val="00205646"/>
    <w:rsid w:val="00205993"/>
    <w:rsid w:val="002063F7"/>
    <w:rsid w:val="002129E5"/>
    <w:rsid w:val="00212AA4"/>
    <w:rsid w:val="00212E13"/>
    <w:rsid w:val="002163C8"/>
    <w:rsid w:val="002179FE"/>
    <w:rsid w:val="00220CC0"/>
    <w:rsid w:val="00221A36"/>
    <w:rsid w:val="002224FD"/>
    <w:rsid w:val="00223296"/>
    <w:rsid w:val="0022329B"/>
    <w:rsid w:val="002240F7"/>
    <w:rsid w:val="0022486F"/>
    <w:rsid w:val="00225314"/>
    <w:rsid w:val="00225DF4"/>
    <w:rsid w:val="00226C70"/>
    <w:rsid w:val="00230C8A"/>
    <w:rsid w:val="00231F98"/>
    <w:rsid w:val="002324F8"/>
    <w:rsid w:val="002342F4"/>
    <w:rsid w:val="002348B0"/>
    <w:rsid w:val="00235CDC"/>
    <w:rsid w:val="00237E76"/>
    <w:rsid w:val="00240BBE"/>
    <w:rsid w:val="00241525"/>
    <w:rsid w:val="00241D87"/>
    <w:rsid w:val="00243C55"/>
    <w:rsid w:val="00243D5E"/>
    <w:rsid w:val="002451EC"/>
    <w:rsid w:val="00245ED4"/>
    <w:rsid w:val="00246B41"/>
    <w:rsid w:val="0025002B"/>
    <w:rsid w:val="002500DE"/>
    <w:rsid w:val="00252457"/>
    <w:rsid w:val="00252581"/>
    <w:rsid w:val="002535B5"/>
    <w:rsid w:val="002538CB"/>
    <w:rsid w:val="002542BD"/>
    <w:rsid w:val="0025774E"/>
    <w:rsid w:val="00257D64"/>
    <w:rsid w:val="0026340A"/>
    <w:rsid w:val="002654EA"/>
    <w:rsid w:val="002704EA"/>
    <w:rsid w:val="0027061A"/>
    <w:rsid w:val="002716A4"/>
    <w:rsid w:val="002719CC"/>
    <w:rsid w:val="002730C5"/>
    <w:rsid w:val="0027337C"/>
    <w:rsid w:val="0027602B"/>
    <w:rsid w:val="00277F5E"/>
    <w:rsid w:val="00280084"/>
    <w:rsid w:val="00280490"/>
    <w:rsid w:val="002860B8"/>
    <w:rsid w:val="0029206E"/>
    <w:rsid w:val="00293382"/>
    <w:rsid w:val="00294F51"/>
    <w:rsid w:val="002A2342"/>
    <w:rsid w:val="002A279E"/>
    <w:rsid w:val="002A4FA3"/>
    <w:rsid w:val="002B3606"/>
    <w:rsid w:val="002B3D80"/>
    <w:rsid w:val="002B4402"/>
    <w:rsid w:val="002B4946"/>
    <w:rsid w:val="002B4C41"/>
    <w:rsid w:val="002B588D"/>
    <w:rsid w:val="002C1839"/>
    <w:rsid w:val="002C214A"/>
    <w:rsid w:val="002C28E8"/>
    <w:rsid w:val="002C3027"/>
    <w:rsid w:val="002C674D"/>
    <w:rsid w:val="002C7648"/>
    <w:rsid w:val="002C7DC4"/>
    <w:rsid w:val="002D0821"/>
    <w:rsid w:val="002D1929"/>
    <w:rsid w:val="002D1B73"/>
    <w:rsid w:val="002D3CB0"/>
    <w:rsid w:val="002D4800"/>
    <w:rsid w:val="002D5B21"/>
    <w:rsid w:val="002D6F6D"/>
    <w:rsid w:val="002E1FE6"/>
    <w:rsid w:val="002E2EA7"/>
    <w:rsid w:val="002E36D2"/>
    <w:rsid w:val="002E748B"/>
    <w:rsid w:val="002F2002"/>
    <w:rsid w:val="002F335D"/>
    <w:rsid w:val="002F4E32"/>
    <w:rsid w:val="002F503F"/>
    <w:rsid w:val="002F51DD"/>
    <w:rsid w:val="002F5D08"/>
    <w:rsid w:val="002F6895"/>
    <w:rsid w:val="002F6D13"/>
    <w:rsid w:val="003038D3"/>
    <w:rsid w:val="003049C7"/>
    <w:rsid w:val="00305F0E"/>
    <w:rsid w:val="0030667A"/>
    <w:rsid w:val="003106DE"/>
    <w:rsid w:val="00311530"/>
    <w:rsid w:val="00312D31"/>
    <w:rsid w:val="00315216"/>
    <w:rsid w:val="0031691C"/>
    <w:rsid w:val="00317AEF"/>
    <w:rsid w:val="00317F49"/>
    <w:rsid w:val="0032089B"/>
    <w:rsid w:val="00323450"/>
    <w:rsid w:val="00323D93"/>
    <w:rsid w:val="0032489B"/>
    <w:rsid w:val="00324BC7"/>
    <w:rsid w:val="0032525B"/>
    <w:rsid w:val="00326A7A"/>
    <w:rsid w:val="00326FEE"/>
    <w:rsid w:val="003315D7"/>
    <w:rsid w:val="00334DE6"/>
    <w:rsid w:val="0033536D"/>
    <w:rsid w:val="003353FF"/>
    <w:rsid w:val="003366D2"/>
    <w:rsid w:val="00337C79"/>
    <w:rsid w:val="00337FEF"/>
    <w:rsid w:val="0034084C"/>
    <w:rsid w:val="00340D5E"/>
    <w:rsid w:val="003420B5"/>
    <w:rsid w:val="00343646"/>
    <w:rsid w:val="00344CCB"/>
    <w:rsid w:val="00345897"/>
    <w:rsid w:val="00351BFC"/>
    <w:rsid w:val="0035575E"/>
    <w:rsid w:val="003565B4"/>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17E"/>
    <w:rsid w:val="003A345B"/>
    <w:rsid w:val="003A49EE"/>
    <w:rsid w:val="003A674D"/>
    <w:rsid w:val="003A7123"/>
    <w:rsid w:val="003B102E"/>
    <w:rsid w:val="003B2167"/>
    <w:rsid w:val="003B5F5D"/>
    <w:rsid w:val="003B62C8"/>
    <w:rsid w:val="003C0C62"/>
    <w:rsid w:val="003C12DC"/>
    <w:rsid w:val="003C2CDA"/>
    <w:rsid w:val="003D000A"/>
    <w:rsid w:val="003D31E9"/>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F39"/>
    <w:rsid w:val="00405FAD"/>
    <w:rsid w:val="004117AB"/>
    <w:rsid w:val="00412B2F"/>
    <w:rsid w:val="00415281"/>
    <w:rsid w:val="00415716"/>
    <w:rsid w:val="0041604D"/>
    <w:rsid w:val="00417842"/>
    <w:rsid w:val="00417A6E"/>
    <w:rsid w:val="0042285D"/>
    <w:rsid w:val="00427D2B"/>
    <w:rsid w:val="00430B13"/>
    <w:rsid w:val="00430CE5"/>
    <w:rsid w:val="0043153C"/>
    <w:rsid w:val="00431D0F"/>
    <w:rsid w:val="0043481C"/>
    <w:rsid w:val="00444307"/>
    <w:rsid w:val="0044436F"/>
    <w:rsid w:val="004443EB"/>
    <w:rsid w:val="00444432"/>
    <w:rsid w:val="00444673"/>
    <w:rsid w:val="0044621E"/>
    <w:rsid w:val="00447BF1"/>
    <w:rsid w:val="00450BA4"/>
    <w:rsid w:val="004511FC"/>
    <w:rsid w:val="00456784"/>
    <w:rsid w:val="00456DCA"/>
    <w:rsid w:val="00461140"/>
    <w:rsid w:val="004611DB"/>
    <w:rsid w:val="004658B0"/>
    <w:rsid w:val="0046614B"/>
    <w:rsid w:val="00467FD7"/>
    <w:rsid w:val="00470073"/>
    <w:rsid w:val="004730F8"/>
    <w:rsid w:val="00473618"/>
    <w:rsid w:val="00474353"/>
    <w:rsid w:val="00474555"/>
    <w:rsid w:val="004750F4"/>
    <w:rsid w:val="00476CB1"/>
    <w:rsid w:val="00480A48"/>
    <w:rsid w:val="00482501"/>
    <w:rsid w:val="00482E7D"/>
    <w:rsid w:val="00484395"/>
    <w:rsid w:val="004865FB"/>
    <w:rsid w:val="00486C03"/>
    <w:rsid w:val="00491AB3"/>
    <w:rsid w:val="00497A33"/>
    <w:rsid w:val="004A1112"/>
    <w:rsid w:val="004A1DA0"/>
    <w:rsid w:val="004A1F20"/>
    <w:rsid w:val="004A2393"/>
    <w:rsid w:val="004A3569"/>
    <w:rsid w:val="004A452A"/>
    <w:rsid w:val="004A5F2C"/>
    <w:rsid w:val="004A6E4F"/>
    <w:rsid w:val="004A720D"/>
    <w:rsid w:val="004B00D0"/>
    <w:rsid w:val="004B6084"/>
    <w:rsid w:val="004B7AE0"/>
    <w:rsid w:val="004C0BC4"/>
    <w:rsid w:val="004C260D"/>
    <w:rsid w:val="004C2D47"/>
    <w:rsid w:val="004C4357"/>
    <w:rsid w:val="004C4477"/>
    <w:rsid w:val="004C5730"/>
    <w:rsid w:val="004C6397"/>
    <w:rsid w:val="004C668F"/>
    <w:rsid w:val="004C682B"/>
    <w:rsid w:val="004D142C"/>
    <w:rsid w:val="004D1E22"/>
    <w:rsid w:val="004D29F7"/>
    <w:rsid w:val="004D36D8"/>
    <w:rsid w:val="004D42F8"/>
    <w:rsid w:val="004D4C5C"/>
    <w:rsid w:val="004D5AB0"/>
    <w:rsid w:val="004D5EAE"/>
    <w:rsid w:val="004D7A0E"/>
    <w:rsid w:val="004E06E7"/>
    <w:rsid w:val="004E0AE3"/>
    <w:rsid w:val="004E20D3"/>
    <w:rsid w:val="004E2C82"/>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42B3"/>
    <w:rsid w:val="005045AB"/>
    <w:rsid w:val="00507D43"/>
    <w:rsid w:val="005103F2"/>
    <w:rsid w:val="00510E2C"/>
    <w:rsid w:val="00511FDC"/>
    <w:rsid w:val="005124C6"/>
    <w:rsid w:val="00513EBC"/>
    <w:rsid w:val="00514CE1"/>
    <w:rsid w:val="00517155"/>
    <w:rsid w:val="00517DB3"/>
    <w:rsid w:val="005200DC"/>
    <w:rsid w:val="005200F2"/>
    <w:rsid w:val="0052369D"/>
    <w:rsid w:val="005271DB"/>
    <w:rsid w:val="00530D2F"/>
    <w:rsid w:val="0053487C"/>
    <w:rsid w:val="005356E1"/>
    <w:rsid w:val="00536A8B"/>
    <w:rsid w:val="00540418"/>
    <w:rsid w:val="00541A96"/>
    <w:rsid w:val="00541C6A"/>
    <w:rsid w:val="00542C54"/>
    <w:rsid w:val="00546A43"/>
    <w:rsid w:val="00546C70"/>
    <w:rsid w:val="00547258"/>
    <w:rsid w:val="00550CF0"/>
    <w:rsid w:val="005559FE"/>
    <w:rsid w:val="00555E63"/>
    <w:rsid w:val="005560D6"/>
    <w:rsid w:val="00556D07"/>
    <w:rsid w:val="005611F2"/>
    <w:rsid w:val="00561734"/>
    <w:rsid w:val="00561952"/>
    <w:rsid w:val="00564B9A"/>
    <w:rsid w:val="00565694"/>
    <w:rsid w:val="00566DD6"/>
    <w:rsid w:val="005714EF"/>
    <w:rsid w:val="00571CEC"/>
    <w:rsid w:val="00572FCE"/>
    <w:rsid w:val="005750DB"/>
    <w:rsid w:val="005759FC"/>
    <w:rsid w:val="00575B85"/>
    <w:rsid w:val="00576DB9"/>
    <w:rsid w:val="0057738F"/>
    <w:rsid w:val="005805E4"/>
    <w:rsid w:val="0058202F"/>
    <w:rsid w:val="00584221"/>
    <w:rsid w:val="00584EB6"/>
    <w:rsid w:val="00586B68"/>
    <w:rsid w:val="0058774E"/>
    <w:rsid w:val="005878CF"/>
    <w:rsid w:val="00590CA0"/>
    <w:rsid w:val="00595B01"/>
    <w:rsid w:val="00596D98"/>
    <w:rsid w:val="005979A5"/>
    <w:rsid w:val="005A0021"/>
    <w:rsid w:val="005A017B"/>
    <w:rsid w:val="005A01AE"/>
    <w:rsid w:val="005A2AEC"/>
    <w:rsid w:val="005A412D"/>
    <w:rsid w:val="005A5212"/>
    <w:rsid w:val="005B002D"/>
    <w:rsid w:val="005B0FFF"/>
    <w:rsid w:val="005B19AF"/>
    <w:rsid w:val="005B258C"/>
    <w:rsid w:val="005B61DD"/>
    <w:rsid w:val="005B6735"/>
    <w:rsid w:val="005B7831"/>
    <w:rsid w:val="005C0CD6"/>
    <w:rsid w:val="005C12D9"/>
    <w:rsid w:val="005C2146"/>
    <w:rsid w:val="005C309D"/>
    <w:rsid w:val="005C544B"/>
    <w:rsid w:val="005C5916"/>
    <w:rsid w:val="005C5AEE"/>
    <w:rsid w:val="005C774A"/>
    <w:rsid w:val="005D3734"/>
    <w:rsid w:val="005D4F16"/>
    <w:rsid w:val="005D5A53"/>
    <w:rsid w:val="005D5DA0"/>
    <w:rsid w:val="005D7FBD"/>
    <w:rsid w:val="005E19B4"/>
    <w:rsid w:val="005E1D6B"/>
    <w:rsid w:val="005E227A"/>
    <w:rsid w:val="005E2CF8"/>
    <w:rsid w:val="005E3126"/>
    <w:rsid w:val="005E7075"/>
    <w:rsid w:val="005E75A7"/>
    <w:rsid w:val="005F38E2"/>
    <w:rsid w:val="005F3EE6"/>
    <w:rsid w:val="005F6736"/>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EF9"/>
    <w:rsid w:val="00620295"/>
    <w:rsid w:val="00622F8E"/>
    <w:rsid w:val="00626AC8"/>
    <w:rsid w:val="00627912"/>
    <w:rsid w:val="0063195F"/>
    <w:rsid w:val="00636C0A"/>
    <w:rsid w:val="00637EC6"/>
    <w:rsid w:val="0064240C"/>
    <w:rsid w:val="00642FF5"/>
    <w:rsid w:val="006430FB"/>
    <w:rsid w:val="00643992"/>
    <w:rsid w:val="00644DBC"/>
    <w:rsid w:val="00646FE6"/>
    <w:rsid w:val="006474CD"/>
    <w:rsid w:val="00647744"/>
    <w:rsid w:val="006479A0"/>
    <w:rsid w:val="006500D9"/>
    <w:rsid w:val="00653B54"/>
    <w:rsid w:val="006541A3"/>
    <w:rsid w:val="00654FAD"/>
    <w:rsid w:val="00655C9F"/>
    <w:rsid w:val="006567FF"/>
    <w:rsid w:val="00656867"/>
    <w:rsid w:val="0066109F"/>
    <w:rsid w:val="00664B26"/>
    <w:rsid w:val="0066596B"/>
    <w:rsid w:val="00670295"/>
    <w:rsid w:val="006704F5"/>
    <w:rsid w:val="00672894"/>
    <w:rsid w:val="00674B47"/>
    <w:rsid w:val="0067609E"/>
    <w:rsid w:val="00677749"/>
    <w:rsid w:val="00680E07"/>
    <w:rsid w:val="00682B9D"/>
    <w:rsid w:val="00683806"/>
    <w:rsid w:val="00686AF9"/>
    <w:rsid w:val="006910C0"/>
    <w:rsid w:val="00691954"/>
    <w:rsid w:val="0069320E"/>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B012F"/>
    <w:rsid w:val="006B27CF"/>
    <w:rsid w:val="006B41BD"/>
    <w:rsid w:val="006B5678"/>
    <w:rsid w:val="006B62B2"/>
    <w:rsid w:val="006C1C57"/>
    <w:rsid w:val="006C5760"/>
    <w:rsid w:val="006C6D6F"/>
    <w:rsid w:val="006D0D78"/>
    <w:rsid w:val="006D1128"/>
    <w:rsid w:val="006D1380"/>
    <w:rsid w:val="006D2848"/>
    <w:rsid w:val="006D30E0"/>
    <w:rsid w:val="006D5521"/>
    <w:rsid w:val="006D5FE9"/>
    <w:rsid w:val="006D6CBB"/>
    <w:rsid w:val="006D76A9"/>
    <w:rsid w:val="006D77F4"/>
    <w:rsid w:val="006E0898"/>
    <w:rsid w:val="006E41CD"/>
    <w:rsid w:val="006F3BEC"/>
    <w:rsid w:val="00703C00"/>
    <w:rsid w:val="007057CC"/>
    <w:rsid w:val="007066F2"/>
    <w:rsid w:val="00706AE5"/>
    <w:rsid w:val="0070740A"/>
    <w:rsid w:val="00711F93"/>
    <w:rsid w:val="00712940"/>
    <w:rsid w:val="0071428C"/>
    <w:rsid w:val="00715A16"/>
    <w:rsid w:val="007164B0"/>
    <w:rsid w:val="007166FF"/>
    <w:rsid w:val="007260CC"/>
    <w:rsid w:val="00726543"/>
    <w:rsid w:val="00726E0F"/>
    <w:rsid w:val="0073353E"/>
    <w:rsid w:val="00736633"/>
    <w:rsid w:val="00741EE7"/>
    <w:rsid w:val="00743A79"/>
    <w:rsid w:val="007444D4"/>
    <w:rsid w:val="0074594D"/>
    <w:rsid w:val="007459F3"/>
    <w:rsid w:val="00746E35"/>
    <w:rsid w:val="007470E2"/>
    <w:rsid w:val="0075232F"/>
    <w:rsid w:val="00753132"/>
    <w:rsid w:val="007550B3"/>
    <w:rsid w:val="00760451"/>
    <w:rsid w:val="007653E7"/>
    <w:rsid w:val="007714B6"/>
    <w:rsid w:val="0077182A"/>
    <w:rsid w:val="00771913"/>
    <w:rsid w:val="007722A5"/>
    <w:rsid w:val="00772718"/>
    <w:rsid w:val="00775BCF"/>
    <w:rsid w:val="007818AA"/>
    <w:rsid w:val="00783140"/>
    <w:rsid w:val="007838B6"/>
    <w:rsid w:val="00783E77"/>
    <w:rsid w:val="007906F1"/>
    <w:rsid w:val="0079243D"/>
    <w:rsid w:val="00794A9B"/>
    <w:rsid w:val="0079583B"/>
    <w:rsid w:val="00796602"/>
    <w:rsid w:val="00797185"/>
    <w:rsid w:val="007976B7"/>
    <w:rsid w:val="00797A7E"/>
    <w:rsid w:val="00797D6F"/>
    <w:rsid w:val="007B014B"/>
    <w:rsid w:val="007B0D88"/>
    <w:rsid w:val="007B306F"/>
    <w:rsid w:val="007B4714"/>
    <w:rsid w:val="007B4E82"/>
    <w:rsid w:val="007C1996"/>
    <w:rsid w:val="007C3773"/>
    <w:rsid w:val="007C3F1F"/>
    <w:rsid w:val="007D2D0D"/>
    <w:rsid w:val="007D3325"/>
    <w:rsid w:val="007D3818"/>
    <w:rsid w:val="007D6DC5"/>
    <w:rsid w:val="007D7425"/>
    <w:rsid w:val="007E320E"/>
    <w:rsid w:val="007E3280"/>
    <w:rsid w:val="007E4A02"/>
    <w:rsid w:val="007E581B"/>
    <w:rsid w:val="007E595C"/>
    <w:rsid w:val="007E59A5"/>
    <w:rsid w:val="007F3B8C"/>
    <w:rsid w:val="007F41D0"/>
    <w:rsid w:val="007F4B8B"/>
    <w:rsid w:val="007F5957"/>
    <w:rsid w:val="007F70B6"/>
    <w:rsid w:val="007F74CA"/>
    <w:rsid w:val="00800F1E"/>
    <w:rsid w:val="0080195A"/>
    <w:rsid w:val="0080239C"/>
    <w:rsid w:val="00802841"/>
    <w:rsid w:val="008037D5"/>
    <w:rsid w:val="0080458E"/>
    <w:rsid w:val="00805447"/>
    <w:rsid w:val="008054FA"/>
    <w:rsid w:val="0080651F"/>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2B57"/>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2A68"/>
    <w:rsid w:val="008435BA"/>
    <w:rsid w:val="0084558B"/>
    <w:rsid w:val="0084654A"/>
    <w:rsid w:val="00847654"/>
    <w:rsid w:val="00851064"/>
    <w:rsid w:val="00855543"/>
    <w:rsid w:val="008566B3"/>
    <w:rsid w:val="008576B7"/>
    <w:rsid w:val="00857F7B"/>
    <w:rsid w:val="00863DA1"/>
    <w:rsid w:val="008654A6"/>
    <w:rsid w:val="00865D86"/>
    <w:rsid w:val="00870495"/>
    <w:rsid w:val="00870EA1"/>
    <w:rsid w:val="008710C5"/>
    <w:rsid w:val="00873A15"/>
    <w:rsid w:val="00874438"/>
    <w:rsid w:val="00874E75"/>
    <w:rsid w:val="008767F3"/>
    <w:rsid w:val="00876CEF"/>
    <w:rsid w:val="00877342"/>
    <w:rsid w:val="008803C3"/>
    <w:rsid w:val="00881450"/>
    <w:rsid w:val="008817C7"/>
    <w:rsid w:val="00881875"/>
    <w:rsid w:val="00881C05"/>
    <w:rsid w:val="008848A3"/>
    <w:rsid w:val="00884AF1"/>
    <w:rsid w:val="00885F7A"/>
    <w:rsid w:val="00890712"/>
    <w:rsid w:val="00890D81"/>
    <w:rsid w:val="00892955"/>
    <w:rsid w:val="00893628"/>
    <w:rsid w:val="008941EB"/>
    <w:rsid w:val="0089545A"/>
    <w:rsid w:val="00895A02"/>
    <w:rsid w:val="008A01EE"/>
    <w:rsid w:val="008A0DAC"/>
    <w:rsid w:val="008A3B78"/>
    <w:rsid w:val="008A4166"/>
    <w:rsid w:val="008A7DBF"/>
    <w:rsid w:val="008B136C"/>
    <w:rsid w:val="008B55EF"/>
    <w:rsid w:val="008B6910"/>
    <w:rsid w:val="008C0B5C"/>
    <w:rsid w:val="008C1343"/>
    <w:rsid w:val="008C3912"/>
    <w:rsid w:val="008C5598"/>
    <w:rsid w:val="008C69EA"/>
    <w:rsid w:val="008C6F8B"/>
    <w:rsid w:val="008C7AB7"/>
    <w:rsid w:val="008C7FB4"/>
    <w:rsid w:val="008D2C8C"/>
    <w:rsid w:val="008D3040"/>
    <w:rsid w:val="008D3ECD"/>
    <w:rsid w:val="008D5C03"/>
    <w:rsid w:val="008D7580"/>
    <w:rsid w:val="008D7C35"/>
    <w:rsid w:val="008E5698"/>
    <w:rsid w:val="008E5733"/>
    <w:rsid w:val="008E77D2"/>
    <w:rsid w:val="008E78FD"/>
    <w:rsid w:val="008F199D"/>
    <w:rsid w:val="008F38A0"/>
    <w:rsid w:val="008F39C9"/>
    <w:rsid w:val="008F5EB5"/>
    <w:rsid w:val="008F678C"/>
    <w:rsid w:val="008F75A7"/>
    <w:rsid w:val="008F7E5A"/>
    <w:rsid w:val="00900A7F"/>
    <w:rsid w:val="009019DD"/>
    <w:rsid w:val="009036EE"/>
    <w:rsid w:val="00905815"/>
    <w:rsid w:val="00905D1D"/>
    <w:rsid w:val="0091016D"/>
    <w:rsid w:val="00910C98"/>
    <w:rsid w:val="00911910"/>
    <w:rsid w:val="00912A58"/>
    <w:rsid w:val="00913908"/>
    <w:rsid w:val="00913D26"/>
    <w:rsid w:val="0091438B"/>
    <w:rsid w:val="009147E3"/>
    <w:rsid w:val="00920FD2"/>
    <w:rsid w:val="00923A43"/>
    <w:rsid w:val="0092439C"/>
    <w:rsid w:val="0092498E"/>
    <w:rsid w:val="00925B91"/>
    <w:rsid w:val="00934461"/>
    <w:rsid w:val="00934F7E"/>
    <w:rsid w:val="00936A1C"/>
    <w:rsid w:val="00943E35"/>
    <w:rsid w:val="00945278"/>
    <w:rsid w:val="0094658D"/>
    <w:rsid w:val="00947678"/>
    <w:rsid w:val="00947878"/>
    <w:rsid w:val="009504C2"/>
    <w:rsid w:val="0095254A"/>
    <w:rsid w:val="0095273B"/>
    <w:rsid w:val="009559E1"/>
    <w:rsid w:val="009568D5"/>
    <w:rsid w:val="00957CD3"/>
    <w:rsid w:val="009623C7"/>
    <w:rsid w:val="0096269B"/>
    <w:rsid w:val="00963FB0"/>
    <w:rsid w:val="00964C86"/>
    <w:rsid w:val="00965E82"/>
    <w:rsid w:val="009662C9"/>
    <w:rsid w:val="009664BB"/>
    <w:rsid w:val="009669F8"/>
    <w:rsid w:val="00966F89"/>
    <w:rsid w:val="00973B5D"/>
    <w:rsid w:val="00976CD2"/>
    <w:rsid w:val="0097755E"/>
    <w:rsid w:val="00981467"/>
    <w:rsid w:val="00981C24"/>
    <w:rsid w:val="00985223"/>
    <w:rsid w:val="009852F6"/>
    <w:rsid w:val="00985DE5"/>
    <w:rsid w:val="00986254"/>
    <w:rsid w:val="0098729E"/>
    <w:rsid w:val="00990067"/>
    <w:rsid w:val="00992977"/>
    <w:rsid w:val="009937D4"/>
    <w:rsid w:val="00993C78"/>
    <w:rsid w:val="009948C7"/>
    <w:rsid w:val="00995850"/>
    <w:rsid w:val="0099796C"/>
    <w:rsid w:val="009A00F7"/>
    <w:rsid w:val="009A194E"/>
    <w:rsid w:val="009A1EA2"/>
    <w:rsid w:val="009A209E"/>
    <w:rsid w:val="009A3FD7"/>
    <w:rsid w:val="009A6652"/>
    <w:rsid w:val="009A74FD"/>
    <w:rsid w:val="009B25D8"/>
    <w:rsid w:val="009B2A89"/>
    <w:rsid w:val="009B42E3"/>
    <w:rsid w:val="009B5859"/>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F110B"/>
    <w:rsid w:val="009F1498"/>
    <w:rsid w:val="009F1E9F"/>
    <w:rsid w:val="009F3793"/>
    <w:rsid w:val="009F54F2"/>
    <w:rsid w:val="00A0056B"/>
    <w:rsid w:val="00A01657"/>
    <w:rsid w:val="00A01C65"/>
    <w:rsid w:val="00A0213D"/>
    <w:rsid w:val="00A04C73"/>
    <w:rsid w:val="00A0679A"/>
    <w:rsid w:val="00A07A2B"/>
    <w:rsid w:val="00A12375"/>
    <w:rsid w:val="00A125B8"/>
    <w:rsid w:val="00A13124"/>
    <w:rsid w:val="00A15370"/>
    <w:rsid w:val="00A156AB"/>
    <w:rsid w:val="00A16B8D"/>
    <w:rsid w:val="00A21293"/>
    <w:rsid w:val="00A2134B"/>
    <w:rsid w:val="00A21623"/>
    <w:rsid w:val="00A220EB"/>
    <w:rsid w:val="00A22302"/>
    <w:rsid w:val="00A25F1B"/>
    <w:rsid w:val="00A325F3"/>
    <w:rsid w:val="00A32A63"/>
    <w:rsid w:val="00A33103"/>
    <w:rsid w:val="00A33294"/>
    <w:rsid w:val="00A35DCB"/>
    <w:rsid w:val="00A3690E"/>
    <w:rsid w:val="00A37751"/>
    <w:rsid w:val="00A406B1"/>
    <w:rsid w:val="00A4113E"/>
    <w:rsid w:val="00A42435"/>
    <w:rsid w:val="00A438BA"/>
    <w:rsid w:val="00A446FD"/>
    <w:rsid w:val="00A46F46"/>
    <w:rsid w:val="00A52CB6"/>
    <w:rsid w:val="00A52F99"/>
    <w:rsid w:val="00A538BB"/>
    <w:rsid w:val="00A54164"/>
    <w:rsid w:val="00A56737"/>
    <w:rsid w:val="00A60002"/>
    <w:rsid w:val="00A603D8"/>
    <w:rsid w:val="00A60AE2"/>
    <w:rsid w:val="00A61834"/>
    <w:rsid w:val="00A618B0"/>
    <w:rsid w:val="00A62790"/>
    <w:rsid w:val="00A6291F"/>
    <w:rsid w:val="00A63F53"/>
    <w:rsid w:val="00A7111E"/>
    <w:rsid w:val="00A72E24"/>
    <w:rsid w:val="00A755B6"/>
    <w:rsid w:val="00A75B1A"/>
    <w:rsid w:val="00A80ED4"/>
    <w:rsid w:val="00A816C4"/>
    <w:rsid w:val="00A82981"/>
    <w:rsid w:val="00A86F10"/>
    <w:rsid w:val="00A87AF2"/>
    <w:rsid w:val="00A90B23"/>
    <w:rsid w:val="00A93193"/>
    <w:rsid w:val="00A93C2B"/>
    <w:rsid w:val="00A94556"/>
    <w:rsid w:val="00A974CB"/>
    <w:rsid w:val="00AA1EAC"/>
    <w:rsid w:val="00AA45E2"/>
    <w:rsid w:val="00AA7AC1"/>
    <w:rsid w:val="00AB2094"/>
    <w:rsid w:val="00AB6327"/>
    <w:rsid w:val="00AB6B8F"/>
    <w:rsid w:val="00AC0C65"/>
    <w:rsid w:val="00AC0FB2"/>
    <w:rsid w:val="00AC3721"/>
    <w:rsid w:val="00AC41C6"/>
    <w:rsid w:val="00AC70C7"/>
    <w:rsid w:val="00AC76B7"/>
    <w:rsid w:val="00AD0223"/>
    <w:rsid w:val="00AD123A"/>
    <w:rsid w:val="00AD15FF"/>
    <w:rsid w:val="00AD1AA5"/>
    <w:rsid w:val="00AD2920"/>
    <w:rsid w:val="00AD2CD5"/>
    <w:rsid w:val="00AD2DFC"/>
    <w:rsid w:val="00AD38C4"/>
    <w:rsid w:val="00AD5A4A"/>
    <w:rsid w:val="00AD60EE"/>
    <w:rsid w:val="00AD6A2B"/>
    <w:rsid w:val="00AD73D4"/>
    <w:rsid w:val="00AE1EA2"/>
    <w:rsid w:val="00AE2874"/>
    <w:rsid w:val="00AE2BA2"/>
    <w:rsid w:val="00AE2F98"/>
    <w:rsid w:val="00AE3602"/>
    <w:rsid w:val="00AE5342"/>
    <w:rsid w:val="00AE5987"/>
    <w:rsid w:val="00AE6472"/>
    <w:rsid w:val="00AF1345"/>
    <w:rsid w:val="00AF38A8"/>
    <w:rsid w:val="00AF51ED"/>
    <w:rsid w:val="00AF63EB"/>
    <w:rsid w:val="00B016D2"/>
    <w:rsid w:val="00B018EC"/>
    <w:rsid w:val="00B060C7"/>
    <w:rsid w:val="00B11AB7"/>
    <w:rsid w:val="00B12213"/>
    <w:rsid w:val="00B13710"/>
    <w:rsid w:val="00B22881"/>
    <w:rsid w:val="00B23EFC"/>
    <w:rsid w:val="00B24B72"/>
    <w:rsid w:val="00B25DB8"/>
    <w:rsid w:val="00B2656C"/>
    <w:rsid w:val="00B266E6"/>
    <w:rsid w:val="00B3094D"/>
    <w:rsid w:val="00B30B04"/>
    <w:rsid w:val="00B30BF9"/>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C67"/>
    <w:rsid w:val="00B53F86"/>
    <w:rsid w:val="00B53FDC"/>
    <w:rsid w:val="00B54C9B"/>
    <w:rsid w:val="00B55431"/>
    <w:rsid w:val="00B55CAE"/>
    <w:rsid w:val="00B576C6"/>
    <w:rsid w:val="00B615F2"/>
    <w:rsid w:val="00B61A28"/>
    <w:rsid w:val="00B65C6D"/>
    <w:rsid w:val="00B66B06"/>
    <w:rsid w:val="00B67862"/>
    <w:rsid w:val="00B70634"/>
    <w:rsid w:val="00B70BE4"/>
    <w:rsid w:val="00B73880"/>
    <w:rsid w:val="00B73CF1"/>
    <w:rsid w:val="00B745B3"/>
    <w:rsid w:val="00B7599D"/>
    <w:rsid w:val="00B75B9C"/>
    <w:rsid w:val="00B7648F"/>
    <w:rsid w:val="00B76E13"/>
    <w:rsid w:val="00B771EE"/>
    <w:rsid w:val="00B7765B"/>
    <w:rsid w:val="00B77B4B"/>
    <w:rsid w:val="00B80ABC"/>
    <w:rsid w:val="00B814C2"/>
    <w:rsid w:val="00B900FE"/>
    <w:rsid w:val="00B9064C"/>
    <w:rsid w:val="00B91F6C"/>
    <w:rsid w:val="00BA0A14"/>
    <w:rsid w:val="00BA228D"/>
    <w:rsid w:val="00BA398D"/>
    <w:rsid w:val="00BA39D3"/>
    <w:rsid w:val="00BA5C56"/>
    <w:rsid w:val="00BA776F"/>
    <w:rsid w:val="00BB0C0D"/>
    <w:rsid w:val="00BB0D69"/>
    <w:rsid w:val="00BB366E"/>
    <w:rsid w:val="00BB3AF0"/>
    <w:rsid w:val="00BB4F70"/>
    <w:rsid w:val="00BB67FF"/>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95"/>
    <w:rsid w:val="00BD535F"/>
    <w:rsid w:val="00BD5CDF"/>
    <w:rsid w:val="00BD65FC"/>
    <w:rsid w:val="00BD7660"/>
    <w:rsid w:val="00BE0666"/>
    <w:rsid w:val="00BE24B9"/>
    <w:rsid w:val="00BE2AE8"/>
    <w:rsid w:val="00BE2D55"/>
    <w:rsid w:val="00BE38DD"/>
    <w:rsid w:val="00BE3AF0"/>
    <w:rsid w:val="00BE4AB1"/>
    <w:rsid w:val="00BF16C3"/>
    <w:rsid w:val="00BF38E0"/>
    <w:rsid w:val="00BF44FA"/>
    <w:rsid w:val="00BF57E1"/>
    <w:rsid w:val="00C003B4"/>
    <w:rsid w:val="00C00A5F"/>
    <w:rsid w:val="00C042E0"/>
    <w:rsid w:val="00C051D9"/>
    <w:rsid w:val="00C06333"/>
    <w:rsid w:val="00C06F68"/>
    <w:rsid w:val="00C075BA"/>
    <w:rsid w:val="00C10A3A"/>
    <w:rsid w:val="00C11E20"/>
    <w:rsid w:val="00C15D16"/>
    <w:rsid w:val="00C20015"/>
    <w:rsid w:val="00C247DD"/>
    <w:rsid w:val="00C25B43"/>
    <w:rsid w:val="00C26A54"/>
    <w:rsid w:val="00C3261C"/>
    <w:rsid w:val="00C3318B"/>
    <w:rsid w:val="00C33C20"/>
    <w:rsid w:val="00C35362"/>
    <w:rsid w:val="00C357EA"/>
    <w:rsid w:val="00C379F8"/>
    <w:rsid w:val="00C37A1C"/>
    <w:rsid w:val="00C42323"/>
    <w:rsid w:val="00C4316E"/>
    <w:rsid w:val="00C453A9"/>
    <w:rsid w:val="00C46027"/>
    <w:rsid w:val="00C465D5"/>
    <w:rsid w:val="00C4756A"/>
    <w:rsid w:val="00C47C39"/>
    <w:rsid w:val="00C50649"/>
    <w:rsid w:val="00C50E1F"/>
    <w:rsid w:val="00C51C09"/>
    <w:rsid w:val="00C52BB6"/>
    <w:rsid w:val="00C53471"/>
    <w:rsid w:val="00C5406A"/>
    <w:rsid w:val="00C55143"/>
    <w:rsid w:val="00C5611B"/>
    <w:rsid w:val="00C5695E"/>
    <w:rsid w:val="00C61528"/>
    <w:rsid w:val="00C63457"/>
    <w:rsid w:val="00C64964"/>
    <w:rsid w:val="00C6631E"/>
    <w:rsid w:val="00C67473"/>
    <w:rsid w:val="00C67AA4"/>
    <w:rsid w:val="00C7148C"/>
    <w:rsid w:val="00C72192"/>
    <w:rsid w:val="00C72F81"/>
    <w:rsid w:val="00C732E5"/>
    <w:rsid w:val="00C73D0B"/>
    <w:rsid w:val="00C75017"/>
    <w:rsid w:val="00C765B4"/>
    <w:rsid w:val="00C813EA"/>
    <w:rsid w:val="00C81496"/>
    <w:rsid w:val="00C82CE6"/>
    <w:rsid w:val="00C82E22"/>
    <w:rsid w:val="00C85144"/>
    <w:rsid w:val="00C8532B"/>
    <w:rsid w:val="00C86738"/>
    <w:rsid w:val="00C86A27"/>
    <w:rsid w:val="00C91517"/>
    <w:rsid w:val="00C929BD"/>
    <w:rsid w:val="00C931A2"/>
    <w:rsid w:val="00CA02E1"/>
    <w:rsid w:val="00CA15DA"/>
    <w:rsid w:val="00CA224E"/>
    <w:rsid w:val="00CA41C5"/>
    <w:rsid w:val="00CA42B7"/>
    <w:rsid w:val="00CA4A53"/>
    <w:rsid w:val="00CA51F5"/>
    <w:rsid w:val="00CB218A"/>
    <w:rsid w:val="00CB225A"/>
    <w:rsid w:val="00CB69E6"/>
    <w:rsid w:val="00CB761B"/>
    <w:rsid w:val="00CB7E33"/>
    <w:rsid w:val="00CC13DF"/>
    <w:rsid w:val="00CC1EEE"/>
    <w:rsid w:val="00CC562B"/>
    <w:rsid w:val="00CC6C15"/>
    <w:rsid w:val="00CC7FCF"/>
    <w:rsid w:val="00CD2749"/>
    <w:rsid w:val="00CD2A60"/>
    <w:rsid w:val="00CD306F"/>
    <w:rsid w:val="00CD3971"/>
    <w:rsid w:val="00CD3DAB"/>
    <w:rsid w:val="00CE0DF1"/>
    <w:rsid w:val="00CE3786"/>
    <w:rsid w:val="00CE4027"/>
    <w:rsid w:val="00CE47CC"/>
    <w:rsid w:val="00CE68F6"/>
    <w:rsid w:val="00CE7E27"/>
    <w:rsid w:val="00CF22AC"/>
    <w:rsid w:val="00CF2F0A"/>
    <w:rsid w:val="00CF79E8"/>
    <w:rsid w:val="00D015AA"/>
    <w:rsid w:val="00D021B8"/>
    <w:rsid w:val="00D03D90"/>
    <w:rsid w:val="00D04024"/>
    <w:rsid w:val="00D043EB"/>
    <w:rsid w:val="00D06705"/>
    <w:rsid w:val="00D06A9B"/>
    <w:rsid w:val="00D0750D"/>
    <w:rsid w:val="00D07DD8"/>
    <w:rsid w:val="00D1038F"/>
    <w:rsid w:val="00D10BF7"/>
    <w:rsid w:val="00D10FEB"/>
    <w:rsid w:val="00D140A0"/>
    <w:rsid w:val="00D203D1"/>
    <w:rsid w:val="00D2057A"/>
    <w:rsid w:val="00D21D98"/>
    <w:rsid w:val="00D2317F"/>
    <w:rsid w:val="00D231A9"/>
    <w:rsid w:val="00D24391"/>
    <w:rsid w:val="00D2472B"/>
    <w:rsid w:val="00D253DD"/>
    <w:rsid w:val="00D26FFA"/>
    <w:rsid w:val="00D3215D"/>
    <w:rsid w:val="00D33352"/>
    <w:rsid w:val="00D347D9"/>
    <w:rsid w:val="00D35565"/>
    <w:rsid w:val="00D36A19"/>
    <w:rsid w:val="00D40DCF"/>
    <w:rsid w:val="00D41075"/>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F50"/>
    <w:rsid w:val="00D55A98"/>
    <w:rsid w:val="00D56B49"/>
    <w:rsid w:val="00D6053F"/>
    <w:rsid w:val="00D6073D"/>
    <w:rsid w:val="00D618D6"/>
    <w:rsid w:val="00D62426"/>
    <w:rsid w:val="00D62804"/>
    <w:rsid w:val="00D70F55"/>
    <w:rsid w:val="00D70FA5"/>
    <w:rsid w:val="00D74171"/>
    <w:rsid w:val="00D7474C"/>
    <w:rsid w:val="00D8032C"/>
    <w:rsid w:val="00D80CE2"/>
    <w:rsid w:val="00D83080"/>
    <w:rsid w:val="00D84D5F"/>
    <w:rsid w:val="00D851E2"/>
    <w:rsid w:val="00D87FFA"/>
    <w:rsid w:val="00D912FF"/>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F0C"/>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10B1"/>
    <w:rsid w:val="00DF1FDA"/>
    <w:rsid w:val="00DF3DD0"/>
    <w:rsid w:val="00DF4D50"/>
    <w:rsid w:val="00DF538C"/>
    <w:rsid w:val="00E021C2"/>
    <w:rsid w:val="00E024A3"/>
    <w:rsid w:val="00E0423D"/>
    <w:rsid w:val="00E057B5"/>
    <w:rsid w:val="00E0581E"/>
    <w:rsid w:val="00E079C5"/>
    <w:rsid w:val="00E07CBD"/>
    <w:rsid w:val="00E07F56"/>
    <w:rsid w:val="00E10A16"/>
    <w:rsid w:val="00E1112F"/>
    <w:rsid w:val="00E1318F"/>
    <w:rsid w:val="00E13B3B"/>
    <w:rsid w:val="00E13E29"/>
    <w:rsid w:val="00E14F6D"/>
    <w:rsid w:val="00E16857"/>
    <w:rsid w:val="00E16C3A"/>
    <w:rsid w:val="00E17B4A"/>
    <w:rsid w:val="00E20651"/>
    <w:rsid w:val="00E2107C"/>
    <w:rsid w:val="00E21E70"/>
    <w:rsid w:val="00E224DE"/>
    <w:rsid w:val="00E23DCE"/>
    <w:rsid w:val="00E26363"/>
    <w:rsid w:val="00E272A4"/>
    <w:rsid w:val="00E305F9"/>
    <w:rsid w:val="00E306AC"/>
    <w:rsid w:val="00E34446"/>
    <w:rsid w:val="00E3633B"/>
    <w:rsid w:val="00E36870"/>
    <w:rsid w:val="00E374E1"/>
    <w:rsid w:val="00E41458"/>
    <w:rsid w:val="00E417AB"/>
    <w:rsid w:val="00E43D48"/>
    <w:rsid w:val="00E4542D"/>
    <w:rsid w:val="00E45BE0"/>
    <w:rsid w:val="00E46CAD"/>
    <w:rsid w:val="00E47521"/>
    <w:rsid w:val="00E4760C"/>
    <w:rsid w:val="00E507A6"/>
    <w:rsid w:val="00E5375C"/>
    <w:rsid w:val="00E561AD"/>
    <w:rsid w:val="00E57FAF"/>
    <w:rsid w:val="00E60BA9"/>
    <w:rsid w:val="00E63510"/>
    <w:rsid w:val="00E635EA"/>
    <w:rsid w:val="00E655E5"/>
    <w:rsid w:val="00E65F4E"/>
    <w:rsid w:val="00E662E0"/>
    <w:rsid w:val="00E67D5D"/>
    <w:rsid w:val="00E71C7A"/>
    <w:rsid w:val="00E73119"/>
    <w:rsid w:val="00E73E1E"/>
    <w:rsid w:val="00E767FF"/>
    <w:rsid w:val="00E84C91"/>
    <w:rsid w:val="00E84E60"/>
    <w:rsid w:val="00E8556E"/>
    <w:rsid w:val="00E86B2D"/>
    <w:rsid w:val="00E86F4D"/>
    <w:rsid w:val="00E87D08"/>
    <w:rsid w:val="00E90D0E"/>
    <w:rsid w:val="00E91B2D"/>
    <w:rsid w:val="00E92FCA"/>
    <w:rsid w:val="00E95CAA"/>
    <w:rsid w:val="00EA0A39"/>
    <w:rsid w:val="00EA0EB2"/>
    <w:rsid w:val="00EA236F"/>
    <w:rsid w:val="00EA3023"/>
    <w:rsid w:val="00EA3E49"/>
    <w:rsid w:val="00EA3FC8"/>
    <w:rsid w:val="00EA5B8C"/>
    <w:rsid w:val="00EB0DC9"/>
    <w:rsid w:val="00EB1383"/>
    <w:rsid w:val="00EB252D"/>
    <w:rsid w:val="00EB29FA"/>
    <w:rsid w:val="00EB2CCE"/>
    <w:rsid w:val="00EB385F"/>
    <w:rsid w:val="00EB3E49"/>
    <w:rsid w:val="00EB5FC3"/>
    <w:rsid w:val="00EB6DA9"/>
    <w:rsid w:val="00EC1561"/>
    <w:rsid w:val="00EC462E"/>
    <w:rsid w:val="00EC6CD8"/>
    <w:rsid w:val="00EC786F"/>
    <w:rsid w:val="00ED1866"/>
    <w:rsid w:val="00ED3134"/>
    <w:rsid w:val="00ED38E2"/>
    <w:rsid w:val="00ED5C44"/>
    <w:rsid w:val="00ED635B"/>
    <w:rsid w:val="00EE742D"/>
    <w:rsid w:val="00EF0A22"/>
    <w:rsid w:val="00EF1267"/>
    <w:rsid w:val="00EF180C"/>
    <w:rsid w:val="00EF3B6B"/>
    <w:rsid w:val="00EF4B43"/>
    <w:rsid w:val="00EF6750"/>
    <w:rsid w:val="00EF770B"/>
    <w:rsid w:val="00F02836"/>
    <w:rsid w:val="00F02FB5"/>
    <w:rsid w:val="00F0534E"/>
    <w:rsid w:val="00F05C30"/>
    <w:rsid w:val="00F10F1B"/>
    <w:rsid w:val="00F14179"/>
    <w:rsid w:val="00F15786"/>
    <w:rsid w:val="00F167C5"/>
    <w:rsid w:val="00F20B5A"/>
    <w:rsid w:val="00F21F0B"/>
    <w:rsid w:val="00F236AB"/>
    <w:rsid w:val="00F24EA4"/>
    <w:rsid w:val="00F27087"/>
    <w:rsid w:val="00F2773C"/>
    <w:rsid w:val="00F300B3"/>
    <w:rsid w:val="00F30DB9"/>
    <w:rsid w:val="00F30FB8"/>
    <w:rsid w:val="00F31D68"/>
    <w:rsid w:val="00F33152"/>
    <w:rsid w:val="00F338F2"/>
    <w:rsid w:val="00F349D3"/>
    <w:rsid w:val="00F3533E"/>
    <w:rsid w:val="00F35B84"/>
    <w:rsid w:val="00F402B5"/>
    <w:rsid w:val="00F4072F"/>
    <w:rsid w:val="00F42839"/>
    <w:rsid w:val="00F44CC0"/>
    <w:rsid w:val="00F450BA"/>
    <w:rsid w:val="00F4684B"/>
    <w:rsid w:val="00F46BE9"/>
    <w:rsid w:val="00F47C3B"/>
    <w:rsid w:val="00F506CA"/>
    <w:rsid w:val="00F53A7A"/>
    <w:rsid w:val="00F54FCD"/>
    <w:rsid w:val="00F5785C"/>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5995"/>
    <w:rsid w:val="00F85FC5"/>
    <w:rsid w:val="00F86C22"/>
    <w:rsid w:val="00F90CB3"/>
    <w:rsid w:val="00F912A2"/>
    <w:rsid w:val="00F913A3"/>
    <w:rsid w:val="00F925C3"/>
    <w:rsid w:val="00FA0109"/>
    <w:rsid w:val="00FA458B"/>
    <w:rsid w:val="00FA5EC5"/>
    <w:rsid w:val="00FA7016"/>
    <w:rsid w:val="00FA7174"/>
    <w:rsid w:val="00FA793D"/>
    <w:rsid w:val="00FB020E"/>
    <w:rsid w:val="00FB0F17"/>
    <w:rsid w:val="00FB37F5"/>
    <w:rsid w:val="00FB4B9D"/>
    <w:rsid w:val="00FB50ED"/>
    <w:rsid w:val="00FB6E18"/>
    <w:rsid w:val="00FC144B"/>
    <w:rsid w:val="00FC2169"/>
    <w:rsid w:val="00FC28E2"/>
    <w:rsid w:val="00FC3BF6"/>
    <w:rsid w:val="00FC3D22"/>
    <w:rsid w:val="00FC6FE1"/>
    <w:rsid w:val="00FD0C3D"/>
    <w:rsid w:val="00FD2F6B"/>
    <w:rsid w:val="00FE064A"/>
    <w:rsid w:val="00FE0B55"/>
    <w:rsid w:val="00FE1E98"/>
    <w:rsid w:val="00FE2452"/>
    <w:rsid w:val="00FE312F"/>
    <w:rsid w:val="00FE5469"/>
    <w:rsid w:val="00FE66C2"/>
    <w:rsid w:val="00FE684A"/>
    <w:rsid w:val="00FE6F23"/>
    <w:rsid w:val="00FF0F8C"/>
    <w:rsid w:val="00FF408B"/>
    <w:rsid w:val="00FF43E1"/>
    <w:rsid w:val="03430854"/>
    <w:rsid w:val="039F5FA6"/>
    <w:rsid w:val="050D2A9B"/>
    <w:rsid w:val="08686061"/>
    <w:rsid w:val="09305ADA"/>
    <w:rsid w:val="0B9F75B8"/>
    <w:rsid w:val="0E8013B7"/>
    <w:rsid w:val="10A425F1"/>
    <w:rsid w:val="10D604C6"/>
    <w:rsid w:val="11B515E0"/>
    <w:rsid w:val="12883F9A"/>
    <w:rsid w:val="13A53267"/>
    <w:rsid w:val="13F970D2"/>
    <w:rsid w:val="14AA4136"/>
    <w:rsid w:val="163A420B"/>
    <w:rsid w:val="19413B26"/>
    <w:rsid w:val="1C6D3688"/>
    <w:rsid w:val="1CC63D0A"/>
    <w:rsid w:val="1DAC5CF3"/>
    <w:rsid w:val="1DC2081A"/>
    <w:rsid w:val="1DD94266"/>
    <w:rsid w:val="1F9D0947"/>
    <w:rsid w:val="1FFB29C6"/>
    <w:rsid w:val="22AF3620"/>
    <w:rsid w:val="22B83BEE"/>
    <w:rsid w:val="22E70AD4"/>
    <w:rsid w:val="24F1508D"/>
    <w:rsid w:val="266F634F"/>
    <w:rsid w:val="291059EA"/>
    <w:rsid w:val="2BBF12EC"/>
    <w:rsid w:val="2BC649D9"/>
    <w:rsid w:val="3515160D"/>
    <w:rsid w:val="3A8A7544"/>
    <w:rsid w:val="3C7D00D8"/>
    <w:rsid w:val="3CA06C0C"/>
    <w:rsid w:val="3EA25851"/>
    <w:rsid w:val="3F6C3757"/>
    <w:rsid w:val="405D6A10"/>
    <w:rsid w:val="41DA6594"/>
    <w:rsid w:val="42B117F2"/>
    <w:rsid w:val="444C1A75"/>
    <w:rsid w:val="44A3526F"/>
    <w:rsid w:val="44B032F4"/>
    <w:rsid w:val="457D25F7"/>
    <w:rsid w:val="468341CD"/>
    <w:rsid w:val="472C2589"/>
    <w:rsid w:val="4A760AEB"/>
    <w:rsid w:val="4F3162CA"/>
    <w:rsid w:val="50D95873"/>
    <w:rsid w:val="526102AF"/>
    <w:rsid w:val="528444DA"/>
    <w:rsid w:val="537745D5"/>
    <w:rsid w:val="53D5F397"/>
    <w:rsid w:val="552306F6"/>
    <w:rsid w:val="56E352D5"/>
    <w:rsid w:val="57E435FE"/>
    <w:rsid w:val="582D0655"/>
    <w:rsid w:val="5951205C"/>
    <w:rsid w:val="59D079E8"/>
    <w:rsid w:val="59D40847"/>
    <w:rsid w:val="5AE37F25"/>
    <w:rsid w:val="5CB23D47"/>
    <w:rsid w:val="5D50171E"/>
    <w:rsid w:val="5FAF09C4"/>
    <w:rsid w:val="608C4642"/>
    <w:rsid w:val="62795572"/>
    <w:rsid w:val="64DD6417"/>
    <w:rsid w:val="66004745"/>
    <w:rsid w:val="6A567F20"/>
    <w:rsid w:val="6CD97953"/>
    <w:rsid w:val="6ED30FD7"/>
    <w:rsid w:val="727D78FD"/>
    <w:rsid w:val="73CC655F"/>
    <w:rsid w:val="75957445"/>
    <w:rsid w:val="75D01AE1"/>
    <w:rsid w:val="77524363"/>
    <w:rsid w:val="77B917B5"/>
    <w:rsid w:val="78703975"/>
    <w:rsid w:val="7BE420FD"/>
    <w:rsid w:val="7D0D296B"/>
    <w:rsid w:val="7D4E0B54"/>
    <w:rsid w:val="7D503E78"/>
    <w:rsid w:val="7E0160D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6"/>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89"/>
    <w:qFormat/>
    <w:uiPriority w:val="9"/>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82"/>
    <w:qFormat/>
    <w:uiPriority w:val="0"/>
    <w:pPr>
      <w:keepNext/>
      <w:keepLines/>
      <w:numPr>
        <w:ilvl w:val="2"/>
        <w:numId w:val="1"/>
      </w:numPr>
      <w:spacing w:before="120" w:after="120"/>
      <w:ind w:left="1069" w:firstLine="0" w:firstLineChars="0"/>
      <w:outlineLvl w:val="2"/>
    </w:pPr>
    <w:rPr>
      <w:b/>
      <w:bCs/>
      <w:sz w:val="28"/>
      <w:szCs w:val="28"/>
    </w:rPr>
  </w:style>
  <w:style w:type="paragraph" w:styleId="5">
    <w:name w:val="heading 4"/>
    <w:basedOn w:val="1"/>
    <w:next w:val="1"/>
    <w:link w:val="59"/>
    <w:qFormat/>
    <w:uiPriority w:val="0"/>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87"/>
    <w:qFormat/>
    <w:uiPriority w:val="0"/>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100"/>
    <w:qFormat/>
    <w:uiPriority w:val="0"/>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3"/>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9"/>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49"/>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5"/>
    <w:qFormat/>
    <w:uiPriority w:val="0"/>
    <w:pPr>
      <w:spacing w:afterLines="50"/>
      <w:ind w:firstLine="200"/>
    </w:pPr>
    <w:rPr>
      <w:rFonts w:ascii="Arial" w:hAnsi="Arial" w:eastAsia="黑体"/>
      <w:sz w:val="20"/>
      <w:szCs w:val="20"/>
    </w:rPr>
  </w:style>
  <w:style w:type="paragraph" w:styleId="14">
    <w:name w:val="List Bullet"/>
    <w:basedOn w:val="1"/>
    <w:qFormat/>
    <w:uiPriority w:val="0"/>
    <w:pPr>
      <w:numPr>
        <w:ilvl w:val="0"/>
        <w:numId w:val="2"/>
      </w:numPr>
    </w:pPr>
  </w:style>
  <w:style w:type="paragraph" w:styleId="15">
    <w:name w:val="Document Map"/>
    <w:basedOn w:val="1"/>
    <w:link w:val="92"/>
    <w:qFormat/>
    <w:uiPriority w:val="0"/>
    <w:rPr>
      <w:rFonts w:hAnsi="Times New Roman"/>
      <w:sz w:val="18"/>
      <w:szCs w:val="18"/>
    </w:rPr>
  </w:style>
  <w:style w:type="paragraph" w:styleId="16">
    <w:name w:val="annotation text"/>
    <w:basedOn w:val="1"/>
    <w:link w:val="46"/>
    <w:qFormat/>
    <w:uiPriority w:val="99"/>
    <w:pPr>
      <w:jc w:val="left"/>
    </w:pPr>
    <w:rPr>
      <w:rFonts w:ascii="Times New Roman" w:hAnsi="Times New Roman" w:eastAsia="仿宋"/>
      <w:sz w:val="28"/>
    </w:rPr>
  </w:style>
  <w:style w:type="paragraph" w:styleId="17">
    <w:name w:val="Body Text"/>
    <w:basedOn w:val="1"/>
    <w:link w:val="60"/>
    <w:unhideWhenUsed/>
    <w:qFormat/>
    <w:uiPriority w:val="0"/>
    <w:pPr>
      <w:spacing w:after="120" w:line="240" w:lineRule="auto"/>
      <w:ind w:firstLine="0" w:firstLineChars="0"/>
    </w:pPr>
    <w:rPr>
      <w:rFonts w:ascii="Times New Roman" w:hAnsi="Times New Roman"/>
      <w:sz w:val="21"/>
    </w:rPr>
  </w:style>
  <w:style w:type="paragraph" w:styleId="18">
    <w:name w:val="Body Text Indent"/>
    <w:basedOn w:val="1"/>
    <w:link w:val="86"/>
    <w:qFormat/>
    <w:uiPriority w:val="0"/>
    <w:pPr>
      <w:spacing w:after="120"/>
      <w:ind w:firstLine="200"/>
    </w:pPr>
    <w:rPr>
      <w:rFonts w:ascii="Times New Roman" w:hAnsi="Times New Roman"/>
      <w:sz w:val="21"/>
      <w:szCs w:val="20"/>
    </w:rPr>
  </w:style>
  <w:style w:type="paragraph" w:styleId="19">
    <w:name w:val="toc 5"/>
    <w:basedOn w:val="1"/>
    <w:next w:val="1"/>
    <w:unhideWhenUsed/>
    <w:qFormat/>
    <w:uiPriority w:val="39"/>
    <w:pPr>
      <w:ind w:left="1680" w:leftChars="800"/>
    </w:pPr>
    <w:rPr>
      <w:rFonts w:ascii="等线" w:hAnsi="等线" w:eastAsia="等线"/>
      <w:szCs w:val="22"/>
    </w:rPr>
  </w:style>
  <w:style w:type="paragraph" w:styleId="20">
    <w:name w:val="toc 3"/>
    <w:basedOn w:val="1"/>
    <w:next w:val="1"/>
    <w:qFormat/>
    <w:uiPriority w:val="39"/>
    <w:pPr>
      <w:tabs>
        <w:tab w:val="right" w:leader="dot" w:pos="8302"/>
      </w:tabs>
      <w:ind w:left="840" w:leftChars="400"/>
    </w:pPr>
  </w:style>
  <w:style w:type="paragraph" w:styleId="21">
    <w:name w:val="Plain Text"/>
    <w:basedOn w:val="1"/>
    <w:link w:val="67"/>
    <w:qFormat/>
    <w:uiPriority w:val="0"/>
    <w:pPr>
      <w:spacing w:line="240" w:lineRule="auto"/>
      <w:ind w:firstLine="0" w:firstLineChars="0"/>
    </w:pPr>
    <w:rPr>
      <w:rFonts w:hAnsi="Courier New"/>
      <w:sz w:val="21"/>
      <w:szCs w:val="20"/>
    </w:rPr>
  </w:style>
  <w:style w:type="paragraph" w:styleId="22">
    <w:name w:val="toc 8"/>
    <w:basedOn w:val="1"/>
    <w:next w:val="1"/>
    <w:unhideWhenUsed/>
    <w:qFormat/>
    <w:uiPriority w:val="39"/>
    <w:pPr>
      <w:ind w:left="2940" w:leftChars="1400"/>
    </w:pPr>
    <w:rPr>
      <w:rFonts w:ascii="等线" w:hAnsi="等线" w:eastAsia="等线"/>
      <w:szCs w:val="22"/>
    </w:rPr>
  </w:style>
  <w:style w:type="paragraph" w:styleId="23">
    <w:name w:val="Date"/>
    <w:basedOn w:val="1"/>
    <w:next w:val="1"/>
    <w:link w:val="48"/>
    <w:qFormat/>
    <w:uiPriority w:val="0"/>
    <w:pPr>
      <w:ind w:left="100" w:leftChars="2500"/>
    </w:pPr>
    <w:rPr>
      <w:rFonts w:ascii="Times New Roman" w:hAnsi="Times New Roman"/>
      <w:sz w:val="21"/>
    </w:rPr>
  </w:style>
  <w:style w:type="paragraph" w:styleId="24">
    <w:name w:val="Balloon Text"/>
    <w:basedOn w:val="1"/>
    <w:link w:val="97"/>
    <w:qFormat/>
    <w:uiPriority w:val="0"/>
    <w:rPr>
      <w:rFonts w:ascii="Times New Roman" w:hAnsi="Times New Roman"/>
      <w:sz w:val="18"/>
      <w:szCs w:val="18"/>
    </w:rPr>
  </w:style>
  <w:style w:type="paragraph" w:styleId="25">
    <w:name w:val="footer"/>
    <w:basedOn w:val="1"/>
    <w:link w:val="90"/>
    <w:qFormat/>
    <w:uiPriority w:val="99"/>
    <w:pPr>
      <w:tabs>
        <w:tab w:val="center" w:pos="4153"/>
        <w:tab w:val="right" w:pos="8306"/>
      </w:tabs>
      <w:snapToGrid w:val="0"/>
      <w:jc w:val="center"/>
    </w:pPr>
    <w:rPr>
      <w:rFonts w:ascii="Times New Roman" w:hAnsi="Times New Roman"/>
      <w:sz w:val="18"/>
      <w:szCs w:val="18"/>
    </w:rPr>
  </w:style>
  <w:style w:type="paragraph" w:styleId="26">
    <w:name w:val="header"/>
    <w:basedOn w:val="1"/>
    <w:link w:val="98"/>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7">
    <w:name w:val="toc 1"/>
    <w:basedOn w:val="1"/>
    <w:next w:val="1"/>
    <w:qFormat/>
    <w:uiPriority w:val="39"/>
  </w:style>
  <w:style w:type="paragraph" w:styleId="28">
    <w:name w:val="toc 4"/>
    <w:basedOn w:val="1"/>
    <w:next w:val="1"/>
    <w:unhideWhenUsed/>
    <w:qFormat/>
    <w:uiPriority w:val="39"/>
    <w:pPr>
      <w:ind w:left="1260" w:leftChars="600"/>
    </w:pPr>
    <w:rPr>
      <w:rFonts w:ascii="等线" w:hAnsi="等线" w:eastAsia="等线"/>
      <w:szCs w:val="22"/>
    </w:rPr>
  </w:style>
  <w:style w:type="paragraph" w:styleId="29">
    <w:name w:val="Subtitle"/>
    <w:basedOn w:val="1"/>
    <w:next w:val="1"/>
    <w:link w:val="88"/>
    <w:qFormat/>
    <w:uiPriority w:val="0"/>
    <w:pPr>
      <w:spacing w:before="240" w:after="60" w:line="312" w:lineRule="auto"/>
      <w:jc w:val="center"/>
      <w:outlineLvl w:val="1"/>
    </w:pPr>
    <w:rPr>
      <w:rFonts w:ascii="Calibri Light" w:hAnsi="Calibri Light"/>
      <w:b/>
      <w:bCs/>
      <w:kern w:val="28"/>
      <w:sz w:val="32"/>
      <w:szCs w:val="32"/>
    </w:rPr>
  </w:style>
  <w:style w:type="paragraph" w:styleId="30">
    <w:name w:val="toc 6"/>
    <w:basedOn w:val="1"/>
    <w:next w:val="1"/>
    <w:unhideWhenUsed/>
    <w:qFormat/>
    <w:uiPriority w:val="39"/>
    <w:pPr>
      <w:ind w:left="2100" w:leftChars="1000"/>
    </w:pPr>
    <w:rPr>
      <w:rFonts w:ascii="等线" w:hAnsi="等线" w:eastAsia="等线"/>
      <w:szCs w:val="22"/>
    </w:rPr>
  </w:style>
  <w:style w:type="paragraph" w:styleId="31">
    <w:name w:val="toc 2"/>
    <w:basedOn w:val="1"/>
    <w:next w:val="1"/>
    <w:qFormat/>
    <w:uiPriority w:val="39"/>
    <w:pPr>
      <w:tabs>
        <w:tab w:val="right" w:leader="dot" w:pos="8302"/>
      </w:tabs>
      <w:ind w:left="420" w:leftChars="200"/>
    </w:pPr>
  </w:style>
  <w:style w:type="paragraph" w:styleId="32">
    <w:name w:val="toc 9"/>
    <w:basedOn w:val="1"/>
    <w:next w:val="1"/>
    <w:unhideWhenUsed/>
    <w:qFormat/>
    <w:uiPriority w:val="39"/>
    <w:pPr>
      <w:ind w:left="3360" w:leftChars="1600"/>
    </w:pPr>
    <w:rPr>
      <w:rFonts w:ascii="等线" w:hAnsi="等线" w:eastAsia="等线"/>
      <w:szCs w:val="22"/>
    </w:rPr>
  </w:style>
  <w:style w:type="paragraph" w:styleId="33">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4">
    <w:name w:val="Title"/>
    <w:basedOn w:val="1"/>
    <w:next w:val="1"/>
    <w:link w:val="96"/>
    <w:qFormat/>
    <w:uiPriority w:val="0"/>
    <w:pPr>
      <w:spacing w:before="240" w:after="60" w:line="960" w:lineRule="auto"/>
      <w:jc w:val="center"/>
    </w:pPr>
    <w:rPr>
      <w:rFonts w:ascii="Cambria" w:hAnsi="Cambria" w:eastAsia="黑体"/>
      <w:b/>
      <w:bCs/>
      <w:sz w:val="52"/>
      <w:szCs w:val="32"/>
    </w:rPr>
  </w:style>
  <w:style w:type="paragraph" w:styleId="35">
    <w:name w:val="annotation subject"/>
    <w:basedOn w:val="16"/>
    <w:next w:val="16"/>
    <w:link w:val="84"/>
    <w:qFormat/>
    <w:uiPriority w:val="0"/>
    <w:rPr>
      <w:b/>
      <w:bCs/>
      <w:sz w:val="21"/>
    </w:rPr>
  </w:style>
  <w:style w:type="table" w:styleId="37">
    <w:name w:val="Table Grid"/>
    <w:basedOn w:val="36"/>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page number"/>
    <w:basedOn w:val="38"/>
    <w:qFormat/>
    <w:uiPriority w:val="0"/>
  </w:style>
  <w:style w:type="character" w:styleId="40">
    <w:name w:val="FollowedHyperlink"/>
    <w:unhideWhenUsed/>
    <w:qFormat/>
    <w:uiPriority w:val="99"/>
    <w:rPr>
      <w:color w:val="954F72"/>
      <w:u w:val="single"/>
    </w:rPr>
  </w:style>
  <w:style w:type="character" w:styleId="41">
    <w:name w:val="Hyperlink"/>
    <w:qFormat/>
    <w:uiPriority w:val="99"/>
    <w:rPr>
      <w:color w:val="0000FF"/>
      <w:u w:val="single"/>
    </w:rPr>
  </w:style>
  <w:style w:type="character" w:styleId="42">
    <w:name w:val="annotation reference"/>
    <w:qFormat/>
    <w:uiPriority w:val="99"/>
    <w:rPr>
      <w:sz w:val="21"/>
      <w:szCs w:val="21"/>
    </w:rPr>
  </w:style>
  <w:style w:type="character" w:customStyle="1" w:styleId="43">
    <w:name w:val="标题 3 字符1"/>
    <w:qFormat/>
    <w:uiPriority w:val="0"/>
    <w:rPr>
      <w:rFonts w:ascii="宋体" w:hAnsi="宋体"/>
      <w:b/>
      <w:bCs/>
      <w:kern w:val="2"/>
      <w:sz w:val="28"/>
      <w:szCs w:val="28"/>
    </w:rPr>
  </w:style>
  <w:style w:type="character" w:customStyle="1" w:styleId="44">
    <w:name w:val="首行缩进正文 Char"/>
    <w:link w:val="45"/>
    <w:qFormat/>
    <w:uiPriority w:val="0"/>
    <w:rPr>
      <w:kern w:val="2"/>
      <w:sz w:val="24"/>
    </w:rPr>
  </w:style>
  <w:style w:type="paragraph" w:customStyle="1" w:styleId="45">
    <w:name w:val="首行缩进正文"/>
    <w:basedOn w:val="1"/>
    <w:link w:val="44"/>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6">
    <w:name w:val="批注文字 字符1"/>
    <w:link w:val="16"/>
    <w:qFormat/>
    <w:uiPriority w:val="99"/>
    <w:rPr>
      <w:rFonts w:eastAsia="仿宋"/>
      <w:kern w:val="2"/>
      <w:sz w:val="28"/>
      <w:szCs w:val="24"/>
    </w:rPr>
  </w:style>
  <w:style w:type="character" w:customStyle="1" w:styleId="47">
    <w:name w:val="日期 字符"/>
    <w:semiHidden/>
    <w:qFormat/>
    <w:uiPriority w:val="99"/>
    <w:rPr>
      <w:rFonts w:ascii="宋体" w:hAnsi="宋体"/>
      <w:kern w:val="2"/>
      <w:sz w:val="24"/>
      <w:szCs w:val="24"/>
    </w:rPr>
  </w:style>
  <w:style w:type="character" w:customStyle="1" w:styleId="48">
    <w:name w:val="日期 字符1"/>
    <w:link w:val="23"/>
    <w:qFormat/>
    <w:uiPriority w:val="0"/>
    <w:rPr>
      <w:kern w:val="2"/>
      <w:sz w:val="21"/>
      <w:szCs w:val="24"/>
    </w:rPr>
  </w:style>
  <w:style w:type="character" w:customStyle="1" w:styleId="49">
    <w:name w:val="标题 9 字符"/>
    <w:link w:val="10"/>
    <w:qFormat/>
    <w:uiPriority w:val="9"/>
    <w:rPr>
      <w:rFonts w:ascii="Cambria" w:hAnsi="Cambria"/>
      <w:kern w:val="2"/>
      <w:sz w:val="21"/>
      <w:szCs w:val="21"/>
    </w:rPr>
  </w:style>
  <w:style w:type="character" w:customStyle="1" w:styleId="50">
    <w:name w:val="未处理的提及1"/>
    <w:unhideWhenUsed/>
    <w:qFormat/>
    <w:uiPriority w:val="99"/>
    <w:rPr>
      <w:color w:val="605E5C"/>
      <w:shd w:val="clear" w:color="auto" w:fill="E1DFDD"/>
    </w:rPr>
  </w:style>
  <w:style w:type="character" w:customStyle="1" w:styleId="51">
    <w:name w:val="标题 1 字符"/>
    <w:qFormat/>
    <w:uiPriority w:val="9"/>
    <w:rPr>
      <w:rFonts w:ascii="宋体" w:hAnsi="宋体"/>
      <w:b/>
      <w:bCs/>
      <w:kern w:val="44"/>
      <w:sz w:val="44"/>
      <w:szCs w:val="44"/>
    </w:rPr>
  </w:style>
  <w:style w:type="character" w:customStyle="1" w:styleId="52">
    <w:name w:val="标题 3 字符"/>
    <w:semiHidden/>
    <w:qFormat/>
    <w:uiPriority w:val="9"/>
    <w:rPr>
      <w:rFonts w:ascii="宋体" w:hAnsi="宋体"/>
      <w:b/>
      <w:bCs/>
      <w:kern w:val="2"/>
      <w:sz w:val="32"/>
      <w:szCs w:val="32"/>
    </w:rPr>
  </w:style>
  <w:style w:type="character" w:customStyle="1" w:styleId="53">
    <w:name w:val="页脚 字符"/>
    <w:qFormat/>
    <w:uiPriority w:val="99"/>
  </w:style>
  <w:style w:type="character" w:customStyle="1" w:styleId="54">
    <w:name w:val="标题 5 字符"/>
    <w:semiHidden/>
    <w:qFormat/>
    <w:uiPriority w:val="9"/>
    <w:rPr>
      <w:rFonts w:ascii="宋体" w:hAnsi="宋体"/>
      <w:b/>
      <w:bCs/>
      <w:kern w:val="2"/>
      <w:sz w:val="28"/>
      <w:szCs w:val="28"/>
    </w:rPr>
  </w:style>
  <w:style w:type="character" w:customStyle="1" w:styleId="55">
    <w:name w:val="题注 字符"/>
    <w:link w:val="13"/>
    <w:qFormat/>
    <w:locked/>
    <w:uiPriority w:val="0"/>
    <w:rPr>
      <w:rFonts w:ascii="Arial" w:hAnsi="Arial" w:eastAsia="黑体"/>
      <w:kern w:val="2"/>
    </w:rPr>
  </w:style>
  <w:style w:type="character" w:customStyle="1" w:styleId="56">
    <w:name w:val="标题 2 字符"/>
    <w:semiHidden/>
    <w:qFormat/>
    <w:uiPriority w:val="9"/>
    <w:rPr>
      <w:rFonts w:ascii="等线 Light" w:hAnsi="等线 Light" w:eastAsia="等线 Light" w:cs="Times New Roman"/>
      <w:b/>
      <w:bCs/>
      <w:kern w:val="2"/>
      <w:sz w:val="32"/>
      <w:szCs w:val="32"/>
    </w:rPr>
  </w:style>
  <w:style w:type="character" w:customStyle="1" w:styleId="57">
    <w:name w:val="纯文本 字符"/>
    <w:qFormat/>
    <w:uiPriority w:val="0"/>
    <w:rPr>
      <w:rFonts w:ascii="宋体" w:hAnsi="Courier New" w:cs="Courier New"/>
      <w:kern w:val="2"/>
      <w:sz w:val="21"/>
      <w:szCs w:val="21"/>
    </w:rPr>
  </w:style>
  <w:style w:type="character" w:customStyle="1" w:styleId="58">
    <w:name w:val="列表段落 字符"/>
    <w:qFormat/>
    <w:uiPriority w:val="34"/>
    <w:rPr>
      <w:kern w:val="2"/>
      <w:sz w:val="21"/>
      <w:szCs w:val="22"/>
    </w:rPr>
  </w:style>
  <w:style w:type="character" w:customStyle="1" w:styleId="59">
    <w:name w:val="标题 4 字符1"/>
    <w:link w:val="5"/>
    <w:qFormat/>
    <w:uiPriority w:val="0"/>
    <w:rPr>
      <w:rFonts w:ascii="宋体" w:hAnsi="宋体"/>
      <w:b/>
      <w:bCs/>
      <w:kern w:val="2"/>
      <w:sz w:val="30"/>
      <w:szCs w:val="30"/>
    </w:rPr>
  </w:style>
  <w:style w:type="character" w:customStyle="1" w:styleId="60">
    <w:name w:val="正文文本 字符"/>
    <w:link w:val="17"/>
    <w:qFormat/>
    <w:uiPriority w:val="0"/>
    <w:rPr>
      <w:kern w:val="2"/>
      <w:sz w:val="21"/>
      <w:szCs w:val="24"/>
    </w:rPr>
  </w:style>
  <w:style w:type="character" w:customStyle="1" w:styleId="61">
    <w:name w:val="列表段落 字符1"/>
    <w:link w:val="62"/>
    <w:qFormat/>
    <w:uiPriority w:val="34"/>
    <w:rPr>
      <w:kern w:val="2"/>
      <w:sz w:val="21"/>
      <w:szCs w:val="24"/>
    </w:rPr>
  </w:style>
  <w:style w:type="paragraph" w:styleId="62">
    <w:name w:val="List Paragraph"/>
    <w:basedOn w:val="1"/>
    <w:link w:val="61"/>
    <w:qFormat/>
    <w:uiPriority w:val="34"/>
    <w:pPr>
      <w:ind w:firstLine="420"/>
    </w:pPr>
    <w:rPr>
      <w:rFonts w:ascii="Times New Roman" w:hAnsi="Times New Roman"/>
      <w:sz w:val="21"/>
    </w:rPr>
  </w:style>
  <w:style w:type="character" w:customStyle="1" w:styleId="63">
    <w:name w:val="font21"/>
    <w:qFormat/>
    <w:uiPriority w:val="0"/>
    <w:rPr>
      <w:rFonts w:ascii="Calibri" w:hAnsi="Calibri" w:cs="Calibri"/>
      <w:color w:val="000000"/>
      <w:sz w:val="21"/>
      <w:szCs w:val="21"/>
      <w:u w:val="none"/>
    </w:rPr>
  </w:style>
  <w:style w:type="character" w:customStyle="1" w:styleId="64">
    <w:name w:val="*正文 Char"/>
    <w:link w:val="65"/>
    <w:qFormat/>
    <w:uiPriority w:val="0"/>
    <w:rPr>
      <w:rFonts w:ascii="time" w:hAnsi="time"/>
      <w:sz w:val="24"/>
      <w:szCs w:val="24"/>
      <w:lang w:bidi="en-US"/>
    </w:rPr>
  </w:style>
  <w:style w:type="paragraph" w:customStyle="1" w:styleId="65">
    <w:name w:val="*正文"/>
    <w:basedOn w:val="1"/>
    <w:link w:val="64"/>
    <w:qFormat/>
    <w:uiPriority w:val="0"/>
    <w:pPr>
      <w:widowControl/>
      <w:ind w:firstLine="200"/>
      <w:contextualSpacing/>
    </w:pPr>
    <w:rPr>
      <w:rFonts w:ascii="time" w:hAnsi="time"/>
      <w:kern w:val="0"/>
      <w:lang w:bidi="en-US"/>
    </w:rPr>
  </w:style>
  <w:style w:type="character" w:customStyle="1" w:styleId="66">
    <w:name w:val="正文文本缩进 字符"/>
    <w:semiHidden/>
    <w:qFormat/>
    <w:uiPriority w:val="99"/>
    <w:rPr>
      <w:rFonts w:ascii="宋体" w:hAnsi="宋体"/>
      <w:kern w:val="2"/>
      <w:sz w:val="24"/>
      <w:szCs w:val="24"/>
    </w:rPr>
  </w:style>
  <w:style w:type="character" w:customStyle="1" w:styleId="67">
    <w:name w:val="纯文本 字符1"/>
    <w:link w:val="21"/>
    <w:qFormat/>
    <w:locked/>
    <w:uiPriority w:val="0"/>
    <w:rPr>
      <w:rFonts w:ascii="宋体" w:hAnsi="Courier New"/>
      <w:kern w:val="2"/>
      <w:sz w:val="21"/>
    </w:rPr>
  </w:style>
  <w:style w:type="character" w:customStyle="1" w:styleId="68">
    <w:name w:val="my正文 Char"/>
    <w:link w:val="69"/>
    <w:qFormat/>
    <w:uiPriority w:val="0"/>
    <w:rPr>
      <w:kern w:val="2"/>
      <w:sz w:val="21"/>
      <w:szCs w:val="24"/>
    </w:rPr>
  </w:style>
  <w:style w:type="paragraph" w:customStyle="1" w:styleId="69">
    <w:name w:val="my正文"/>
    <w:basedOn w:val="1"/>
    <w:link w:val="68"/>
    <w:qFormat/>
    <w:uiPriority w:val="0"/>
    <w:pPr>
      <w:spacing w:line="240" w:lineRule="auto"/>
      <w:ind w:firstLine="0" w:firstLineChars="0"/>
    </w:pPr>
    <w:rPr>
      <w:rFonts w:ascii="Times New Roman" w:hAnsi="Times New Roman"/>
      <w:sz w:val="21"/>
    </w:rPr>
  </w:style>
  <w:style w:type="character" w:customStyle="1" w:styleId="70">
    <w:name w:val="正文2 字符"/>
    <w:link w:val="71"/>
    <w:qFormat/>
    <w:uiPriority w:val="0"/>
    <w:rPr>
      <w:kern w:val="2"/>
      <w:sz w:val="21"/>
      <w:szCs w:val="24"/>
    </w:rPr>
  </w:style>
  <w:style w:type="paragraph" w:customStyle="1" w:styleId="71">
    <w:name w:val="正文2"/>
    <w:basedOn w:val="1"/>
    <w:link w:val="70"/>
    <w:qFormat/>
    <w:uiPriority w:val="0"/>
    <w:pPr>
      <w:ind w:firstLine="420"/>
    </w:pPr>
    <w:rPr>
      <w:rFonts w:ascii="Times New Roman" w:hAnsi="Times New Roman"/>
      <w:sz w:val="21"/>
    </w:rPr>
  </w:style>
  <w:style w:type="character" w:customStyle="1" w:styleId="72">
    <w:name w:val="font41"/>
    <w:qFormat/>
    <w:uiPriority w:val="0"/>
    <w:rPr>
      <w:rFonts w:hint="eastAsia" w:ascii="宋体" w:hAnsi="宋体" w:eastAsia="宋体" w:cs="宋体"/>
      <w:color w:val="000000"/>
      <w:sz w:val="21"/>
      <w:szCs w:val="21"/>
      <w:u w:val="none"/>
    </w:rPr>
  </w:style>
  <w:style w:type="character" w:customStyle="1" w:styleId="73">
    <w:name w:val="标题 7 字符"/>
    <w:link w:val="8"/>
    <w:qFormat/>
    <w:uiPriority w:val="9"/>
    <w:rPr>
      <w:b/>
      <w:bCs/>
      <w:kern w:val="2"/>
      <w:sz w:val="21"/>
      <w:szCs w:val="24"/>
    </w:rPr>
  </w:style>
  <w:style w:type="character" w:customStyle="1" w:styleId="74">
    <w:name w:val="批注框文本 字符"/>
    <w:semiHidden/>
    <w:qFormat/>
    <w:uiPriority w:val="99"/>
    <w:rPr>
      <w:rFonts w:ascii="宋体" w:hAnsi="宋体"/>
      <w:kern w:val="2"/>
      <w:sz w:val="18"/>
      <w:szCs w:val="18"/>
    </w:rPr>
  </w:style>
  <w:style w:type="character" w:customStyle="1" w:styleId="75">
    <w:name w:val="副标题 Char1"/>
    <w:qFormat/>
    <w:uiPriority w:val="0"/>
    <w:rPr>
      <w:rFonts w:ascii="Calibri Light" w:hAnsi="Calibri Light" w:cs="Times New Roman"/>
      <w:b/>
      <w:bCs/>
      <w:kern w:val="28"/>
      <w:sz w:val="32"/>
      <w:szCs w:val="32"/>
    </w:rPr>
  </w:style>
  <w:style w:type="character" w:customStyle="1" w:styleId="76">
    <w:name w:val="标题 1 字符1"/>
    <w:link w:val="2"/>
    <w:qFormat/>
    <w:uiPriority w:val="0"/>
    <w:rPr>
      <w:rFonts w:ascii="宋体" w:hAnsi="宋体" w:eastAsia="黑体"/>
      <w:b/>
      <w:bCs/>
      <w:kern w:val="44"/>
      <w:sz w:val="32"/>
      <w:szCs w:val="28"/>
    </w:rPr>
  </w:style>
  <w:style w:type="character" w:customStyle="1" w:styleId="77">
    <w:name w:val="批注文字 字符"/>
    <w:qFormat/>
    <w:uiPriority w:val="99"/>
    <w:rPr>
      <w:rFonts w:ascii="宋体" w:hAnsi="宋体"/>
      <w:kern w:val="2"/>
      <w:sz w:val="24"/>
      <w:szCs w:val="24"/>
    </w:rPr>
  </w:style>
  <w:style w:type="character" w:customStyle="1" w:styleId="78">
    <w:name w:val="文档结构图 字符"/>
    <w:semiHidden/>
    <w:qFormat/>
    <w:uiPriority w:val="99"/>
    <w:rPr>
      <w:rFonts w:ascii="Microsoft YaHei UI" w:hAnsi="宋体" w:eastAsia="Microsoft YaHei UI"/>
      <w:kern w:val="2"/>
      <w:sz w:val="18"/>
      <w:szCs w:val="18"/>
    </w:rPr>
  </w:style>
  <w:style w:type="character" w:customStyle="1" w:styleId="79">
    <w:name w:val="标题 6 字符"/>
    <w:semiHidden/>
    <w:qFormat/>
    <w:uiPriority w:val="9"/>
    <w:rPr>
      <w:rFonts w:ascii="等线 Light" w:hAnsi="等线 Light" w:eastAsia="等线 Light" w:cs="Times New Roman"/>
      <w:b/>
      <w:bCs/>
      <w:kern w:val="2"/>
      <w:sz w:val="24"/>
      <w:szCs w:val="24"/>
    </w:rPr>
  </w:style>
  <w:style w:type="character" w:customStyle="1" w:styleId="80">
    <w:name w:val="正文正文2 Char"/>
    <w:link w:val="81"/>
    <w:qFormat/>
    <w:uiPriority w:val="0"/>
    <w:rPr>
      <w:rFonts w:ascii="宋体" w:hAnsi="宋体"/>
      <w:kern w:val="2"/>
      <w:sz w:val="21"/>
      <w:szCs w:val="21"/>
    </w:rPr>
  </w:style>
  <w:style w:type="paragraph" w:customStyle="1" w:styleId="81">
    <w:name w:val="正文正文2"/>
    <w:basedOn w:val="1"/>
    <w:link w:val="80"/>
    <w:qFormat/>
    <w:uiPriority w:val="0"/>
    <w:pPr>
      <w:ind w:firstLine="460"/>
    </w:pPr>
    <w:rPr>
      <w:sz w:val="21"/>
      <w:szCs w:val="21"/>
    </w:rPr>
  </w:style>
  <w:style w:type="character" w:customStyle="1" w:styleId="82">
    <w:name w:val="标题 3 字符2"/>
    <w:link w:val="4"/>
    <w:qFormat/>
    <w:uiPriority w:val="0"/>
    <w:rPr>
      <w:rFonts w:ascii="宋体" w:hAnsi="宋体"/>
      <w:b/>
      <w:bCs/>
      <w:kern w:val="2"/>
      <w:sz w:val="28"/>
      <w:szCs w:val="28"/>
    </w:rPr>
  </w:style>
  <w:style w:type="character" w:customStyle="1" w:styleId="83">
    <w:name w:val="标题 4 字符"/>
    <w:semiHidden/>
    <w:qFormat/>
    <w:uiPriority w:val="9"/>
    <w:rPr>
      <w:rFonts w:ascii="等线 Light" w:hAnsi="等线 Light" w:eastAsia="等线 Light" w:cs="Times New Roman"/>
      <w:b/>
      <w:bCs/>
      <w:kern w:val="2"/>
      <w:sz w:val="28"/>
      <w:szCs w:val="28"/>
    </w:rPr>
  </w:style>
  <w:style w:type="character" w:customStyle="1" w:styleId="84">
    <w:name w:val="批注主题 字符1"/>
    <w:link w:val="35"/>
    <w:qFormat/>
    <w:uiPriority w:val="0"/>
    <w:rPr>
      <w:rFonts w:eastAsia="仿宋"/>
      <w:b/>
      <w:bCs/>
      <w:kern w:val="2"/>
      <w:sz w:val="21"/>
      <w:szCs w:val="24"/>
    </w:rPr>
  </w:style>
  <w:style w:type="character" w:customStyle="1" w:styleId="85">
    <w:name w:val="页眉 字符"/>
    <w:semiHidden/>
    <w:qFormat/>
    <w:uiPriority w:val="99"/>
    <w:rPr>
      <w:rFonts w:ascii="宋体" w:hAnsi="宋体"/>
      <w:kern w:val="2"/>
      <w:sz w:val="18"/>
      <w:szCs w:val="18"/>
    </w:rPr>
  </w:style>
  <w:style w:type="character" w:customStyle="1" w:styleId="86">
    <w:name w:val="正文文本缩进 字符1"/>
    <w:link w:val="18"/>
    <w:qFormat/>
    <w:uiPriority w:val="0"/>
    <w:rPr>
      <w:kern w:val="2"/>
      <w:sz w:val="21"/>
    </w:rPr>
  </w:style>
  <w:style w:type="character" w:customStyle="1" w:styleId="87">
    <w:name w:val="标题 5 字符1"/>
    <w:link w:val="6"/>
    <w:qFormat/>
    <w:uiPriority w:val="0"/>
    <w:rPr>
      <w:rFonts w:ascii="宋体" w:hAnsi="宋体"/>
      <w:b/>
      <w:bCs/>
      <w:kern w:val="2"/>
      <w:sz w:val="24"/>
      <w:szCs w:val="28"/>
    </w:rPr>
  </w:style>
  <w:style w:type="character" w:customStyle="1" w:styleId="88">
    <w:name w:val="副标题 字符1"/>
    <w:link w:val="29"/>
    <w:qFormat/>
    <w:uiPriority w:val="0"/>
    <w:rPr>
      <w:rFonts w:ascii="Calibri Light" w:hAnsi="Calibri Light"/>
      <w:b/>
      <w:bCs/>
      <w:kern w:val="28"/>
      <w:sz w:val="32"/>
      <w:szCs w:val="32"/>
    </w:rPr>
  </w:style>
  <w:style w:type="character" w:customStyle="1" w:styleId="89">
    <w:name w:val="标题 2 字符1"/>
    <w:link w:val="3"/>
    <w:qFormat/>
    <w:uiPriority w:val="9"/>
    <w:rPr>
      <w:rFonts w:ascii="宋体" w:hAnsi="宋体"/>
      <w:b/>
      <w:bCs/>
      <w:kern w:val="2"/>
      <w:sz w:val="30"/>
      <w:szCs w:val="32"/>
    </w:rPr>
  </w:style>
  <w:style w:type="character" w:customStyle="1" w:styleId="90">
    <w:name w:val="页脚 字符1"/>
    <w:link w:val="25"/>
    <w:qFormat/>
    <w:uiPriority w:val="99"/>
    <w:rPr>
      <w:kern w:val="2"/>
      <w:sz w:val="18"/>
      <w:szCs w:val="18"/>
    </w:rPr>
  </w:style>
  <w:style w:type="character" w:customStyle="1" w:styleId="91">
    <w:name w:val="批注主题 字符"/>
    <w:semiHidden/>
    <w:qFormat/>
    <w:uiPriority w:val="99"/>
    <w:rPr>
      <w:rFonts w:ascii="宋体" w:hAnsi="宋体"/>
      <w:b/>
      <w:bCs/>
      <w:kern w:val="2"/>
      <w:sz w:val="24"/>
      <w:szCs w:val="24"/>
    </w:rPr>
  </w:style>
  <w:style w:type="character" w:customStyle="1" w:styleId="92">
    <w:name w:val="文档结构图 字符1"/>
    <w:link w:val="15"/>
    <w:qFormat/>
    <w:uiPriority w:val="0"/>
    <w:rPr>
      <w:rFonts w:ascii="宋体"/>
      <w:kern w:val="2"/>
      <w:sz w:val="18"/>
      <w:szCs w:val="18"/>
    </w:rPr>
  </w:style>
  <w:style w:type="character" w:customStyle="1" w:styleId="93">
    <w:name w:val="font31"/>
    <w:qFormat/>
    <w:uiPriority w:val="0"/>
    <w:rPr>
      <w:rFonts w:hint="eastAsia" w:ascii="宋体" w:hAnsi="宋体" w:eastAsia="宋体" w:cs="宋体"/>
      <w:color w:val="000000"/>
      <w:sz w:val="21"/>
      <w:szCs w:val="21"/>
      <w:u w:val="none"/>
    </w:rPr>
  </w:style>
  <w:style w:type="character" w:customStyle="1" w:styleId="94">
    <w:name w:val="标准正文 Char"/>
    <w:link w:val="95"/>
    <w:qFormat/>
    <w:uiPriority w:val="0"/>
    <w:rPr>
      <w:rFonts w:ascii="Arial" w:hAnsi="Arial"/>
      <w:kern w:val="2"/>
      <w:sz w:val="24"/>
    </w:rPr>
  </w:style>
  <w:style w:type="paragraph" w:customStyle="1" w:styleId="95">
    <w:name w:val="标准正文"/>
    <w:basedOn w:val="18"/>
    <w:link w:val="94"/>
    <w:qFormat/>
    <w:uiPriority w:val="0"/>
    <w:pPr>
      <w:spacing w:before="60" w:after="60"/>
      <w:ind w:firstLine="482" w:firstLineChars="0"/>
    </w:pPr>
    <w:rPr>
      <w:rFonts w:ascii="Arial" w:hAnsi="Arial"/>
      <w:sz w:val="24"/>
    </w:rPr>
  </w:style>
  <w:style w:type="character" w:customStyle="1" w:styleId="96">
    <w:name w:val="标题 字符1"/>
    <w:link w:val="34"/>
    <w:qFormat/>
    <w:uiPriority w:val="0"/>
    <w:rPr>
      <w:rFonts w:ascii="Cambria" w:hAnsi="Cambria" w:eastAsia="黑体"/>
      <w:b/>
      <w:bCs/>
      <w:kern w:val="2"/>
      <w:sz w:val="52"/>
      <w:szCs w:val="32"/>
    </w:rPr>
  </w:style>
  <w:style w:type="character" w:customStyle="1" w:styleId="97">
    <w:name w:val="批注框文本 字符1"/>
    <w:link w:val="24"/>
    <w:qFormat/>
    <w:uiPriority w:val="0"/>
    <w:rPr>
      <w:kern w:val="2"/>
      <w:sz w:val="18"/>
      <w:szCs w:val="18"/>
    </w:rPr>
  </w:style>
  <w:style w:type="character" w:customStyle="1" w:styleId="98">
    <w:name w:val="页眉 字符1"/>
    <w:link w:val="26"/>
    <w:qFormat/>
    <w:uiPriority w:val="99"/>
    <w:rPr>
      <w:kern w:val="2"/>
      <w:sz w:val="18"/>
      <w:szCs w:val="18"/>
    </w:rPr>
  </w:style>
  <w:style w:type="character" w:customStyle="1" w:styleId="99">
    <w:name w:val="标题 8 字符"/>
    <w:link w:val="9"/>
    <w:qFormat/>
    <w:uiPriority w:val="9"/>
    <w:rPr>
      <w:rFonts w:ascii="Cambria" w:hAnsi="Cambria"/>
      <w:kern w:val="2"/>
      <w:sz w:val="21"/>
      <w:szCs w:val="24"/>
    </w:rPr>
  </w:style>
  <w:style w:type="character" w:customStyle="1" w:styleId="100">
    <w:name w:val="标题 6 字符1"/>
    <w:link w:val="7"/>
    <w:qFormat/>
    <w:uiPriority w:val="0"/>
    <w:rPr>
      <w:rFonts w:ascii="Cambria" w:hAnsi="Cambria"/>
      <w:b/>
      <w:bCs/>
      <w:kern w:val="2"/>
      <w:sz w:val="24"/>
      <w:szCs w:val="24"/>
    </w:rPr>
  </w:style>
  <w:style w:type="character" w:customStyle="1" w:styleId="101">
    <w:name w:val="标题 字符"/>
    <w:qFormat/>
    <w:uiPriority w:val="10"/>
    <w:rPr>
      <w:rFonts w:ascii="等线 Light" w:hAnsi="等线 Light" w:eastAsia="等线 Light" w:cs="Times New Roman"/>
      <w:b/>
      <w:bCs/>
      <w:kern w:val="2"/>
      <w:sz w:val="32"/>
      <w:szCs w:val="32"/>
    </w:rPr>
  </w:style>
  <w:style w:type="character" w:customStyle="1" w:styleId="102">
    <w:name w:val="副标题 字符"/>
    <w:qFormat/>
    <w:uiPriority w:val="11"/>
    <w:rPr>
      <w:rFonts w:ascii="等线" w:hAnsi="等线" w:eastAsia="等线" w:cs="Times New Roman"/>
      <w:b/>
      <w:bCs/>
      <w:kern w:val="28"/>
      <w:sz w:val="32"/>
      <w:szCs w:val="32"/>
    </w:rPr>
  </w:style>
  <w:style w:type="paragraph" w:customStyle="1" w:styleId="103">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4">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5">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6">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7">
    <w:name w:val="正文缩进1"/>
    <w:basedOn w:val="1"/>
    <w:qFormat/>
    <w:uiPriority w:val="0"/>
    <w:pPr>
      <w:spacing w:line="240" w:lineRule="auto"/>
      <w:ind w:firstLine="420"/>
    </w:pPr>
    <w:rPr>
      <w:rFonts w:ascii="Times New Roman" w:hAnsi="Times New Roman"/>
      <w:sz w:val="21"/>
      <w:szCs w:val="20"/>
    </w:rPr>
  </w:style>
  <w:style w:type="paragraph" w:customStyle="1" w:styleId="108">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9">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10">
    <w:name w:val="Indent Normal"/>
    <w:basedOn w:val="1"/>
    <w:qFormat/>
    <w:uiPriority w:val="0"/>
    <w:pPr>
      <w:ind w:firstLine="150" w:firstLineChars="150"/>
    </w:pPr>
  </w:style>
  <w:style w:type="paragraph" w:customStyle="1" w:styleId="111">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2">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3">
    <w:name w:val="列项●（二级）"/>
    <w:qFormat/>
    <w:uiPriority w:val="0"/>
    <w:pPr>
      <w:numPr>
        <w:ilvl w:val="0"/>
        <w:numId w:val="3"/>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4">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5">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6">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7">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8">
    <w:name w:val="Char Char Char Char Char Char1 Char"/>
    <w:basedOn w:val="1"/>
    <w:qFormat/>
    <w:uiPriority w:val="0"/>
    <w:pPr>
      <w:widowControl/>
      <w:spacing w:after="160" w:line="240" w:lineRule="exact"/>
      <w:jc w:val="left"/>
    </w:pPr>
  </w:style>
  <w:style w:type="paragraph" w:customStyle="1" w:styleId="119">
    <w:name w:val="PM_Body"/>
    <w:basedOn w:val="1"/>
    <w:qFormat/>
    <w:locked/>
    <w:uiPriority w:val="0"/>
    <w:rPr>
      <w:szCs w:val="21"/>
    </w:rPr>
  </w:style>
  <w:style w:type="paragraph" w:customStyle="1" w:styleId="120">
    <w:name w:val="Char Char1"/>
    <w:basedOn w:val="1"/>
    <w:qFormat/>
    <w:uiPriority w:val="0"/>
    <w:pPr>
      <w:widowControl/>
      <w:spacing w:before="120" w:after="120"/>
    </w:pPr>
    <w:rPr>
      <w:rFonts w:ascii="Times New Roman" w:hAnsi="Times New Roman" w:cs="宋体"/>
    </w:rPr>
  </w:style>
  <w:style w:type="paragraph" w:customStyle="1" w:styleId="121">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2">
    <w:name w:val="修订1"/>
    <w:unhideWhenUsed/>
    <w:qFormat/>
    <w:uiPriority w:val="99"/>
    <w:rPr>
      <w:rFonts w:ascii="宋体" w:hAnsi="宋体" w:eastAsia="宋体" w:cs="Times New Roman"/>
      <w:kern w:val="2"/>
      <w:sz w:val="24"/>
      <w:szCs w:val="24"/>
      <w:lang w:val="en-US" w:eastAsia="zh-CN" w:bidi="ar-SA"/>
    </w:rPr>
  </w:style>
  <w:style w:type="paragraph" w:customStyle="1" w:styleId="123">
    <w:name w:val="列出段落2"/>
    <w:basedOn w:val="1"/>
    <w:qFormat/>
    <w:uiPriority w:val="0"/>
    <w:pPr>
      <w:spacing w:line="240" w:lineRule="auto"/>
      <w:ind w:firstLine="420"/>
    </w:pPr>
    <w:rPr>
      <w:rFonts w:ascii="等线" w:hAnsi="等线" w:eastAsia="等线" w:cs="等线"/>
      <w:sz w:val="21"/>
      <w:szCs w:val="21"/>
    </w:rPr>
  </w:style>
  <w:style w:type="paragraph" w:customStyle="1" w:styleId="124">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6">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7">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8">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9">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30">
    <w:name w:val="TOC 标题1"/>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1">
    <w:name w:val="!我的表格1"/>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
    <w:name w:val="网格型1"/>
    <w:basedOn w:val="36"/>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3">
    <w:name w:val="标题 1 Char"/>
    <w:qFormat/>
    <w:uiPriority w:val="0"/>
    <w:rPr>
      <w:rFonts w:ascii="宋体" w:hAnsi="宋体" w:eastAsia="黑体"/>
      <w:b/>
      <w:bCs/>
      <w:kern w:val="44"/>
      <w:sz w:val="32"/>
      <w:szCs w:val="28"/>
    </w:rPr>
  </w:style>
  <w:style w:type="character" w:customStyle="1" w:styleId="134">
    <w:name w:val="纯文本 Char2"/>
    <w:qFormat/>
    <w:uiPriority w:val="0"/>
    <w:rPr>
      <w:rFonts w:ascii="宋体" w:hAnsi="宋体" w:eastAsia="宋体" w:cs="Times New Roman"/>
      <w:color w:val="000000"/>
      <w:kern w:val="0"/>
      <w:sz w:val="24"/>
      <w:szCs w:val="24"/>
    </w:rPr>
  </w:style>
  <w:style w:type="paragraph" w:customStyle="1" w:styleId="135">
    <w:name w:val="列表段落1"/>
    <w:basedOn w:val="1"/>
    <w:qFormat/>
    <w:uiPriority w:val="0"/>
    <w:pPr>
      <w:ind w:firstLine="420"/>
    </w:pPr>
    <w:rPr>
      <w:rFonts w:ascii="Times New Roman" w:hAnsi="Times New Roman"/>
      <w:sz w:val="21"/>
      <w:szCs w:val="21"/>
    </w:rPr>
  </w:style>
  <w:style w:type="paragraph" w:customStyle="1" w:styleId="136">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37">
    <w:name w:val="样式2"/>
    <w:basedOn w:val="1"/>
    <w:qFormat/>
    <w:uiPriority w:val="0"/>
    <w:pPr>
      <w:widowControl/>
      <w:adjustRightInd w:val="0"/>
    </w:pPr>
    <w:rPr>
      <w:kern w:val="0"/>
      <w:lang w:eastAsia="en-US"/>
    </w:rPr>
  </w:style>
  <w:style w:type="paragraph" w:customStyle="1" w:styleId="138">
    <w:name w:val="Revision"/>
    <w:hidden/>
    <w:unhideWhenUsed/>
    <w:qFormat/>
    <w:uiPriority w:val="99"/>
    <w:rPr>
      <w:rFonts w:ascii="宋体" w:hAnsi="宋体"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1.emf"/><Relationship Id="rId13" Type="http://schemas.openxmlformats.org/officeDocument/2006/relationships/oleObject" Target="embeddings/Microsoft_Visio_2003-2010___1.vsd"/><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tyleName="APA" SelectedStyle="\APASixthEditionOfficeOnline.xsl" Version="6"/>
</file>

<file path=customXml/itemProps1.xml><?xml version="1.0" encoding="utf-8"?>
<ds:datastoreItem xmlns:ds="http://schemas.openxmlformats.org/officeDocument/2006/customXml" ds:itemID="{1D9AD641-0B16-48B9-B81A-C11DF304B1BF}">
  <ds:schemaRefs/>
</ds:datastoreItem>
</file>

<file path=docProps/app.xml><?xml version="1.0" encoding="utf-8"?>
<Properties xmlns="http://schemas.openxmlformats.org/officeDocument/2006/extended-properties" xmlns:vt="http://schemas.openxmlformats.org/officeDocument/2006/docPropsVTypes">
  <Template>Normal</Template>
  <Pages>24</Pages>
  <Words>2694</Words>
  <Characters>15360</Characters>
  <Lines>128</Lines>
  <Paragraphs>36</Paragraphs>
  <TotalTime>71</TotalTime>
  <ScaleCrop>false</ScaleCrop>
  <LinksUpToDate>false</LinksUpToDate>
  <CharactersWithSpaces>18018</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2025-03-19T11:42:00Z</dcterms:created>
  <dc:creator>gtig_tzb</dc:creator>
  <cp:lastModifiedBy>user</cp:lastModifiedBy>
  <cp:lastPrinted>2020-08-06T20:08:00Z</cp:lastPrinted>
  <dcterms:modified xsi:type="dcterms:W3CDTF">2025-04-30T09:35:33Z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DDF5DD630DCD49A284C19B840B60E0F4_12</vt:lpwstr>
  </property>
</Properties>
</file>