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F867F">
      <w:pPr>
        <w:ind w:firstLine="0" w:firstLineChars="0"/>
        <w:jc w:val="center"/>
        <w:rPr>
          <w:rFonts w:ascii="黑体" w:hAnsi="黑体" w:eastAsia="黑体"/>
          <w:sz w:val="48"/>
          <w:szCs w:val="48"/>
        </w:rPr>
      </w:pPr>
    </w:p>
    <w:p w14:paraId="0EC0248F">
      <w:pPr>
        <w:ind w:firstLine="0" w:firstLineChars="0"/>
        <w:jc w:val="center"/>
        <w:rPr>
          <w:rFonts w:ascii="黑体" w:hAnsi="黑体" w:eastAsia="黑体"/>
          <w:sz w:val="48"/>
          <w:szCs w:val="48"/>
        </w:rPr>
      </w:pPr>
    </w:p>
    <w:p w14:paraId="4518365C">
      <w:pPr>
        <w:pStyle w:val="140"/>
        <w:spacing w:after="240"/>
        <w:outlineLvl w:val="9"/>
        <w:rPr>
          <w:sz w:val="44"/>
          <w:szCs w:val="44"/>
        </w:rPr>
      </w:pPr>
      <w:r>
        <w:rPr>
          <w:rFonts w:hint="eastAsia"/>
          <w:sz w:val="44"/>
          <w:szCs w:val="44"/>
        </w:rPr>
        <w:t>上海市野生动植物和自然保护地研究中心</w:t>
      </w:r>
    </w:p>
    <w:p w14:paraId="67C62FE3">
      <w:pPr>
        <w:ind w:firstLine="0" w:firstLineChars="0"/>
        <w:jc w:val="center"/>
        <w:rPr>
          <w:rFonts w:ascii="黑体" w:hAnsi="黑体" w:eastAsia="黑体"/>
          <w:sz w:val="52"/>
          <w:szCs w:val="52"/>
        </w:rPr>
      </w:pPr>
      <w:r>
        <w:rPr>
          <w:rFonts w:hint="eastAsia" w:ascii="微软雅黑" w:hAnsi="微软雅黑" w:eastAsia="微软雅黑" w:cstheme="majorBidi"/>
          <w:bCs/>
          <w:sz w:val="52"/>
          <w:szCs w:val="52"/>
        </w:rPr>
        <w:t>野保研究中心数字化管理子系统项目</w:t>
      </w:r>
      <w:r>
        <w:rPr>
          <w:rFonts w:hint="eastAsia" w:ascii="黑体" w:hAnsi="黑体" w:eastAsia="黑体"/>
          <w:sz w:val="52"/>
          <w:szCs w:val="52"/>
        </w:rPr>
        <w:t>采购需求</w:t>
      </w:r>
    </w:p>
    <w:p w14:paraId="30D954D3">
      <w:pPr>
        <w:ind w:firstLine="0" w:firstLineChars="0"/>
        <w:jc w:val="center"/>
        <w:rPr>
          <w:rFonts w:ascii="黑体" w:hAnsi="黑体" w:eastAsia="黑体"/>
          <w:sz w:val="72"/>
          <w:szCs w:val="72"/>
        </w:rPr>
      </w:pPr>
    </w:p>
    <w:p w14:paraId="02D0450A">
      <w:pPr>
        <w:ind w:firstLine="0" w:firstLineChars="0"/>
        <w:jc w:val="center"/>
        <w:rPr>
          <w:rFonts w:ascii="黑体" w:hAnsi="黑体" w:eastAsia="黑体"/>
          <w:sz w:val="48"/>
          <w:szCs w:val="48"/>
        </w:rPr>
      </w:pPr>
    </w:p>
    <w:p w14:paraId="6EAA0CDD">
      <w:pPr>
        <w:ind w:firstLine="0" w:firstLineChars="0"/>
        <w:jc w:val="center"/>
        <w:rPr>
          <w:rFonts w:ascii="黑体" w:hAnsi="黑体" w:eastAsia="黑体"/>
          <w:sz w:val="52"/>
          <w:szCs w:val="52"/>
        </w:rPr>
      </w:pPr>
    </w:p>
    <w:p w14:paraId="6057EF52">
      <w:pPr>
        <w:ind w:firstLine="1040"/>
        <w:rPr>
          <w:rFonts w:ascii="黑体" w:hAnsi="黑体" w:eastAsia="黑体"/>
          <w:sz w:val="52"/>
          <w:szCs w:val="52"/>
        </w:rPr>
      </w:pPr>
    </w:p>
    <w:p w14:paraId="416589FE"/>
    <w:p w14:paraId="6D3676B2"/>
    <w:p w14:paraId="687573FA"/>
    <w:p w14:paraId="19AA0877"/>
    <w:p w14:paraId="7DA9C755"/>
    <w:p w14:paraId="38B796F4">
      <w:pPr>
        <w:ind w:firstLine="1040"/>
        <w:rPr>
          <w:rFonts w:ascii="黑体" w:hAnsi="黑体" w:eastAsia="黑体"/>
          <w:sz w:val="52"/>
          <w:szCs w:val="52"/>
        </w:rPr>
      </w:pPr>
    </w:p>
    <w:p w14:paraId="06A85533">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6B7CA8E1">
      <w:pPr>
        <w:pStyle w:val="2"/>
      </w:pPr>
      <w:bookmarkStart w:id="0" w:name="_Toc63785461"/>
      <w:r>
        <w:rPr>
          <w:rFonts w:hint="eastAsia"/>
        </w:rPr>
        <w:t>项目概况</w:t>
      </w:r>
      <w:bookmarkEnd w:id="0"/>
    </w:p>
    <w:p w14:paraId="0A51DFB4">
      <w:pPr>
        <w:spacing w:line="560" w:lineRule="exact"/>
      </w:pPr>
      <w:r>
        <w:rPr>
          <w:rFonts w:hint="eastAsia"/>
        </w:rPr>
        <w:t>项目背景&amp;现状：</w:t>
      </w:r>
    </w:p>
    <w:p w14:paraId="72E02DF7">
      <w:r>
        <w:rPr>
          <w:rFonts w:hint="eastAsia"/>
        </w:rPr>
        <w:t>2024年5月，国家发展改革委、国家数据局、财政部、自然资源部发布《关于深化智慧城市发展 推进城市全域数字化转型的指导意见》（以下简称《指导意见》）（发改数据〔2024〕660号），围绕总体要求、全领域推进城市数字化转型、全方位增强城市数字化转型支撑、全过程优化城市数字化转型生态以及保障措施等5个方面着力推进城市全域数字化转型。指导意见指出：“提高生态环境监管治理协同水平，打造智慧高效生态环境数字化监测体系，加强跨部门生态治理业务集成和数据联动，支撑美丽城市建设”。《上海市生物多样性保护战略与行动计划（2024-2035年）（2024年）和《上海市自然保护地保护和发展规划（2024-2035年）》（2024年）等文件都明确要求，探索建立上海市自然保护地“天空地一体化”调查监测网络体系，充分协调已有的环境、气象、水文水质、海洋、野生动物等监测站点，整合卫星遥感、实地观测等数据，依托现代信息化手段，形成调查监测大数据存储、应用和数据挖掘方法。</w:t>
      </w:r>
    </w:p>
    <w:p w14:paraId="4DC461B7">
      <w:pPr>
        <w:ind w:firstLine="0" w:firstLineChars="0"/>
      </w:pPr>
      <w:r>
        <w:rPr>
          <w:rFonts w:hint="eastAsia"/>
        </w:rPr>
        <w:t>上海市野生动植物和自然保护地研究中心（以下简称“野保研究中心”），是上海市绿化和市容管理局直属科研类事业单位，机构规格为正处级，机构类别为公益一类，行业分类为科学研究单位，编制为35名，主要承担上海市陆生野生动植物、自然保护地及湿地科学研究，陆生野生动植物疫源疫病和外来入侵物种防控研究，以及湿地生态系统监测平台建设维护等职能。本单位为2021年新成立的科研单位，目前没有任何数字化管理系统，为贯彻落实“全域数字化转型”等相关精神，促进本单位高质量发展，提升单位管理水平，拟建设野保研究中心数字化管理子系统。</w:t>
      </w:r>
    </w:p>
    <w:p w14:paraId="032339A1">
      <w:pPr>
        <w:spacing w:line="560" w:lineRule="exact"/>
      </w:pPr>
      <w:r>
        <w:rPr>
          <w:rFonts w:hint="eastAsia"/>
        </w:rPr>
        <w:t>建设期限：自合同签订之日起至</w:t>
      </w:r>
      <w:r>
        <w:t>202</w:t>
      </w:r>
      <w:r>
        <w:rPr>
          <w:rFonts w:hint="eastAsia"/>
        </w:rPr>
        <w:t>5年</w:t>
      </w:r>
      <w:r>
        <w:t>1</w:t>
      </w:r>
      <w:r>
        <w:rPr>
          <w:rFonts w:hint="eastAsia"/>
        </w:rPr>
        <w:t>1月</w:t>
      </w:r>
      <w:r>
        <w:t>3</w:t>
      </w:r>
      <w:r>
        <w:rPr>
          <w:rFonts w:hint="eastAsia"/>
        </w:rPr>
        <w:t>0日</w:t>
      </w:r>
    </w:p>
    <w:p w14:paraId="25CBDA2C">
      <w:pPr>
        <w:spacing w:line="560" w:lineRule="exact"/>
      </w:pPr>
      <w:r>
        <w:rPr>
          <w:rFonts w:hint="eastAsia"/>
        </w:rPr>
        <w:t>建设地点：上海市野生动植物和自然保护地研究中心</w:t>
      </w:r>
    </w:p>
    <w:p w14:paraId="17ED3AF6">
      <w:pPr>
        <w:spacing w:line="560" w:lineRule="exact"/>
      </w:pPr>
      <w:r>
        <w:rPr>
          <w:rFonts w:hint="eastAsia"/>
        </w:rPr>
        <w:t>预算金额：4,247,500元</w:t>
      </w:r>
    </w:p>
    <w:p w14:paraId="0D4A4CFE">
      <w:pPr>
        <w:spacing w:line="560" w:lineRule="exact"/>
      </w:pPr>
      <w:r>
        <w:rPr>
          <w:rFonts w:hint="eastAsia"/>
        </w:rPr>
        <w:t>采购金额（最高限价）：4,247,500元</w:t>
      </w:r>
    </w:p>
    <w:p w14:paraId="371D9AAC">
      <w:r>
        <w:rPr>
          <w:rFonts w:hint="eastAsia"/>
        </w:rPr>
        <w:t>组织形式：集中采购</w:t>
      </w:r>
    </w:p>
    <w:p w14:paraId="326E336E">
      <w:r>
        <w:rPr>
          <w:rFonts w:hint="eastAsia"/>
        </w:rPr>
        <w:t>采购方式：公开招标</w:t>
      </w:r>
    </w:p>
    <w:p w14:paraId="22AB7AAE">
      <w:r>
        <w:rPr>
          <w:rFonts w:hint="eastAsia"/>
        </w:rPr>
        <w:t>是否接受联合体响应：否</w:t>
      </w:r>
    </w:p>
    <w:p w14:paraId="47FC30F8">
      <w:r>
        <w:t>是否按信创要求建设：是</w:t>
      </w:r>
    </w:p>
    <w:p w14:paraId="3F41A9AE">
      <w:r>
        <w:rPr>
          <w:rFonts w:hint="eastAsia"/>
        </w:rPr>
        <w:t>运维后所属大系统：应用系统</w:t>
      </w:r>
    </w:p>
    <w:p w14:paraId="2BF063D6">
      <w:pPr>
        <w:pStyle w:val="2"/>
      </w:pPr>
      <w:bookmarkStart w:id="1" w:name="_Toc47536272"/>
      <w:bookmarkEnd w:id="1"/>
      <w:bookmarkStart w:id="2" w:name="_Toc47532891"/>
      <w:bookmarkEnd w:id="2"/>
      <w:bookmarkStart w:id="3" w:name="_Toc47537134"/>
      <w:bookmarkEnd w:id="3"/>
      <w:bookmarkStart w:id="4" w:name="_Toc47539070"/>
      <w:bookmarkEnd w:id="4"/>
      <w:bookmarkStart w:id="5" w:name="_Toc47533256"/>
      <w:bookmarkEnd w:id="5"/>
      <w:bookmarkStart w:id="6" w:name="_Toc47531634"/>
      <w:bookmarkEnd w:id="6"/>
      <w:bookmarkStart w:id="7" w:name="_Toc47532255"/>
      <w:bookmarkEnd w:id="7"/>
      <w:bookmarkStart w:id="8" w:name="_Toc47536644"/>
      <w:bookmarkEnd w:id="8"/>
      <w:bookmarkStart w:id="9" w:name="_Toc63785463"/>
      <w:bookmarkStart w:id="10" w:name="_Toc48223882"/>
      <w:r>
        <w:rPr>
          <w:rFonts w:hint="eastAsia"/>
        </w:rPr>
        <w:t>建设目标</w:t>
      </w:r>
      <w:bookmarkEnd w:id="9"/>
      <w:bookmarkEnd w:id="10"/>
    </w:p>
    <w:p w14:paraId="0F4058A5">
      <w:pPr>
        <w:ind w:firstLine="720" w:firstLineChars="300"/>
      </w:pPr>
      <w:r>
        <w:rPr>
          <w:rFonts w:hint="eastAsia"/>
        </w:rPr>
        <w:t>依托物联网、云计算、大数据和人工智能等技术手段，对野保研究中心的“科研监测、实验研究、数据分析、运行保障”实现全域数字化管理，为“野生动物疫源疫病监测、外来入侵物种防控、自然保护地和湿地生态系统监测、湿地碳汇、陆生野生动植物物种鉴定、极小种群保护和恢复生态”等研究工作进行数字化和信息化赋能，同时加强生物安全实验监管和科研基地运行保障，切实提升科研工作管理水平和科技创新能力，为本市生物多样性提升以及保障生态安全和公共卫生安全提供有力科技支撑。</w:t>
      </w:r>
    </w:p>
    <w:p w14:paraId="0082CF74">
      <w:pPr>
        <w:rPr>
          <w:bCs/>
        </w:rPr>
      </w:pPr>
      <w:r>
        <w:rPr>
          <w:rFonts w:hint="eastAsia"/>
          <w:bCs/>
        </w:rPr>
        <w:t>技术指标要求：</w:t>
      </w:r>
    </w:p>
    <w:tbl>
      <w:tblPr>
        <w:tblStyle w:val="36"/>
        <w:tblW w:w="8783" w:type="dxa"/>
        <w:tblInd w:w="0" w:type="dxa"/>
        <w:tblLayout w:type="fixed"/>
        <w:tblCellMar>
          <w:top w:w="0" w:type="dxa"/>
          <w:left w:w="108" w:type="dxa"/>
          <w:bottom w:w="0" w:type="dxa"/>
          <w:right w:w="108" w:type="dxa"/>
        </w:tblCellMar>
      </w:tblPr>
      <w:tblGrid>
        <w:gridCol w:w="675"/>
        <w:gridCol w:w="2410"/>
        <w:gridCol w:w="4536"/>
        <w:gridCol w:w="1162"/>
      </w:tblGrid>
      <w:tr w14:paraId="48BC3174">
        <w:tblPrEx>
          <w:tblCellMar>
            <w:top w:w="0" w:type="dxa"/>
            <w:left w:w="108" w:type="dxa"/>
            <w:bottom w:w="0" w:type="dxa"/>
            <w:right w:w="108" w:type="dxa"/>
          </w:tblCellMar>
        </w:tblPrEx>
        <w:trPr>
          <w:trHeight w:val="28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3604A93">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一级指标</w:t>
            </w:r>
          </w:p>
        </w:tc>
        <w:tc>
          <w:tcPr>
            <w:tcW w:w="2410" w:type="dxa"/>
            <w:tcBorders>
              <w:top w:val="single" w:color="auto" w:sz="4" w:space="0"/>
              <w:left w:val="nil"/>
              <w:bottom w:val="single" w:color="auto" w:sz="4" w:space="0"/>
              <w:right w:val="single" w:color="auto" w:sz="4" w:space="0"/>
            </w:tcBorders>
            <w:shd w:val="clear" w:color="auto" w:fill="auto"/>
            <w:vAlign w:val="center"/>
          </w:tcPr>
          <w:p w14:paraId="65234038">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二级指标</w:t>
            </w:r>
          </w:p>
        </w:tc>
        <w:tc>
          <w:tcPr>
            <w:tcW w:w="4536" w:type="dxa"/>
            <w:tcBorders>
              <w:top w:val="single" w:color="auto" w:sz="4" w:space="0"/>
              <w:left w:val="nil"/>
              <w:bottom w:val="single" w:color="auto" w:sz="4" w:space="0"/>
              <w:right w:val="single" w:color="auto" w:sz="4" w:space="0"/>
            </w:tcBorders>
            <w:shd w:val="clear" w:color="auto" w:fill="auto"/>
            <w:vAlign w:val="center"/>
          </w:tcPr>
          <w:p w14:paraId="2587AC27">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三级指标</w:t>
            </w:r>
          </w:p>
        </w:tc>
        <w:tc>
          <w:tcPr>
            <w:tcW w:w="1162" w:type="dxa"/>
            <w:tcBorders>
              <w:top w:val="single" w:color="auto" w:sz="4" w:space="0"/>
              <w:left w:val="nil"/>
              <w:bottom w:val="single" w:color="auto" w:sz="4" w:space="0"/>
              <w:right w:val="single" w:color="auto" w:sz="4" w:space="0"/>
            </w:tcBorders>
            <w:shd w:val="clear" w:color="auto" w:fill="auto"/>
            <w:vAlign w:val="center"/>
          </w:tcPr>
          <w:p w14:paraId="27CFACEB">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目标值</w:t>
            </w:r>
          </w:p>
        </w:tc>
      </w:tr>
      <w:tr w14:paraId="05E3EF0D">
        <w:tblPrEx>
          <w:tblCellMar>
            <w:top w:w="0" w:type="dxa"/>
            <w:left w:w="108" w:type="dxa"/>
            <w:bottom w:w="0" w:type="dxa"/>
            <w:right w:w="108" w:type="dxa"/>
          </w:tblCellMar>
        </w:tblPrEx>
        <w:trPr>
          <w:trHeight w:val="283" w:hRule="atLeast"/>
        </w:trPr>
        <w:tc>
          <w:tcPr>
            <w:tcW w:w="675" w:type="dxa"/>
            <w:vMerge w:val="restart"/>
            <w:tcBorders>
              <w:top w:val="nil"/>
              <w:left w:val="single" w:color="auto" w:sz="4" w:space="0"/>
              <w:right w:val="single" w:color="auto" w:sz="4" w:space="0"/>
            </w:tcBorders>
            <w:shd w:val="clear" w:color="auto" w:fill="auto"/>
            <w:vAlign w:val="center"/>
          </w:tcPr>
          <w:p w14:paraId="0A4B7768">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通用指标</w:t>
            </w: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14:paraId="3BAEB40E">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质量指标</w:t>
            </w:r>
          </w:p>
        </w:tc>
        <w:tc>
          <w:tcPr>
            <w:tcW w:w="4536" w:type="dxa"/>
            <w:tcBorders>
              <w:top w:val="nil"/>
              <w:left w:val="nil"/>
              <w:bottom w:val="single" w:color="auto" w:sz="4" w:space="0"/>
              <w:right w:val="single" w:color="auto" w:sz="4" w:space="0"/>
            </w:tcBorders>
            <w:shd w:val="clear" w:color="auto" w:fill="auto"/>
            <w:vAlign w:val="center"/>
          </w:tcPr>
          <w:p w14:paraId="52A14E1E">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一次性验收合格率</w:t>
            </w:r>
          </w:p>
        </w:tc>
        <w:tc>
          <w:tcPr>
            <w:tcW w:w="1162" w:type="dxa"/>
            <w:tcBorders>
              <w:top w:val="nil"/>
              <w:left w:val="nil"/>
              <w:bottom w:val="single" w:color="auto" w:sz="4" w:space="0"/>
              <w:right w:val="single" w:color="auto" w:sz="4" w:space="0"/>
            </w:tcBorders>
            <w:shd w:val="clear" w:color="auto" w:fill="auto"/>
            <w:vAlign w:val="center"/>
          </w:tcPr>
          <w:p w14:paraId="26CF972A">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100%</w:t>
            </w:r>
          </w:p>
        </w:tc>
      </w:tr>
      <w:tr w14:paraId="7EECEC55">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52D3C4C8">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111F52DC">
            <w:pPr>
              <w:widowControl/>
              <w:spacing w:line="240" w:lineRule="auto"/>
              <w:ind w:firstLine="0" w:firstLineChars="0"/>
              <w:jc w:val="left"/>
              <w:rPr>
                <w:rFonts w:ascii="仿宋_GB2312" w:hAnsi="等线" w:eastAsia="仿宋_GB2312" w:cs="宋体"/>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1303A8D4">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系统可靠性</w:t>
            </w:r>
          </w:p>
        </w:tc>
        <w:tc>
          <w:tcPr>
            <w:tcW w:w="1162" w:type="dxa"/>
            <w:tcBorders>
              <w:top w:val="nil"/>
              <w:left w:val="nil"/>
              <w:bottom w:val="single" w:color="auto" w:sz="4" w:space="0"/>
              <w:right w:val="single" w:color="auto" w:sz="4" w:space="0"/>
            </w:tcBorders>
            <w:shd w:val="clear" w:color="auto" w:fill="auto"/>
            <w:vAlign w:val="center"/>
          </w:tcPr>
          <w:p w14:paraId="76BFDFE6">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≥99.9%</w:t>
            </w:r>
          </w:p>
        </w:tc>
      </w:tr>
      <w:tr w14:paraId="218E294E">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05DB834F">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6FE4C244">
            <w:pPr>
              <w:widowControl/>
              <w:spacing w:line="240" w:lineRule="auto"/>
              <w:ind w:firstLine="0" w:firstLineChars="0"/>
              <w:jc w:val="left"/>
              <w:rPr>
                <w:rFonts w:ascii="仿宋_GB2312" w:hAnsi="等线" w:eastAsia="仿宋_GB2312" w:cs="宋体"/>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3465CFBD">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密码测试</w:t>
            </w:r>
          </w:p>
        </w:tc>
        <w:tc>
          <w:tcPr>
            <w:tcW w:w="1162" w:type="dxa"/>
            <w:tcBorders>
              <w:top w:val="nil"/>
              <w:left w:val="nil"/>
              <w:bottom w:val="single" w:color="auto" w:sz="4" w:space="0"/>
              <w:right w:val="single" w:color="auto" w:sz="4" w:space="0"/>
            </w:tcBorders>
            <w:shd w:val="clear" w:color="auto" w:fill="auto"/>
            <w:vAlign w:val="center"/>
          </w:tcPr>
          <w:p w14:paraId="07E3D6B0">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通过</w:t>
            </w:r>
          </w:p>
        </w:tc>
      </w:tr>
      <w:tr w14:paraId="02E925D8">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1CEE70ED">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581B5607">
            <w:pPr>
              <w:widowControl/>
              <w:spacing w:line="240" w:lineRule="auto"/>
              <w:ind w:firstLine="0" w:firstLineChars="0"/>
              <w:jc w:val="left"/>
              <w:rPr>
                <w:rFonts w:ascii="仿宋_GB2312" w:hAnsi="等线" w:eastAsia="仿宋_GB2312" w:cs="宋体"/>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59B222B9">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安全测试</w:t>
            </w:r>
          </w:p>
        </w:tc>
        <w:tc>
          <w:tcPr>
            <w:tcW w:w="1162" w:type="dxa"/>
            <w:tcBorders>
              <w:top w:val="nil"/>
              <w:left w:val="nil"/>
              <w:bottom w:val="single" w:color="auto" w:sz="4" w:space="0"/>
              <w:right w:val="single" w:color="auto" w:sz="4" w:space="0"/>
            </w:tcBorders>
            <w:shd w:val="clear" w:color="auto" w:fill="auto"/>
            <w:vAlign w:val="center"/>
          </w:tcPr>
          <w:p w14:paraId="756F4540">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通过</w:t>
            </w:r>
          </w:p>
        </w:tc>
      </w:tr>
      <w:tr w14:paraId="4AE9E69A">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40C73CFE">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044546FA">
            <w:pPr>
              <w:widowControl/>
              <w:spacing w:line="240" w:lineRule="auto"/>
              <w:ind w:firstLine="0" w:firstLineChars="0"/>
              <w:jc w:val="left"/>
              <w:rPr>
                <w:rFonts w:ascii="仿宋_GB2312" w:hAnsi="等线" w:eastAsia="仿宋_GB2312" w:cs="宋体"/>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23C12D08">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软件测评</w:t>
            </w:r>
          </w:p>
        </w:tc>
        <w:tc>
          <w:tcPr>
            <w:tcW w:w="1162" w:type="dxa"/>
            <w:tcBorders>
              <w:top w:val="nil"/>
              <w:left w:val="nil"/>
              <w:bottom w:val="single" w:color="auto" w:sz="4" w:space="0"/>
              <w:right w:val="single" w:color="auto" w:sz="4" w:space="0"/>
            </w:tcBorders>
            <w:shd w:val="clear" w:color="auto" w:fill="auto"/>
            <w:vAlign w:val="center"/>
          </w:tcPr>
          <w:p w14:paraId="6CA5FF47">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通过</w:t>
            </w:r>
          </w:p>
        </w:tc>
      </w:tr>
      <w:tr w14:paraId="04DCA919">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6DE0BFF2">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52F9CAD5">
            <w:pPr>
              <w:widowControl/>
              <w:spacing w:line="240" w:lineRule="auto"/>
              <w:ind w:firstLine="0" w:firstLineChars="0"/>
              <w:jc w:val="left"/>
              <w:rPr>
                <w:rFonts w:ascii="仿宋_GB2312" w:hAnsi="等线" w:eastAsia="仿宋_GB2312" w:cs="宋体"/>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77A77249">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网络安全等级保护</w:t>
            </w:r>
          </w:p>
        </w:tc>
        <w:tc>
          <w:tcPr>
            <w:tcW w:w="1162" w:type="dxa"/>
            <w:tcBorders>
              <w:top w:val="nil"/>
              <w:left w:val="nil"/>
              <w:bottom w:val="single" w:color="auto" w:sz="4" w:space="0"/>
              <w:right w:val="single" w:color="auto" w:sz="4" w:space="0"/>
            </w:tcBorders>
            <w:shd w:val="clear" w:color="auto" w:fill="auto"/>
            <w:vAlign w:val="center"/>
          </w:tcPr>
          <w:p w14:paraId="239F3B6A">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二级</w:t>
            </w:r>
          </w:p>
        </w:tc>
      </w:tr>
      <w:tr w14:paraId="19883BA1">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6C3A4FB9">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tcBorders>
              <w:top w:val="nil"/>
              <w:left w:val="nil"/>
              <w:bottom w:val="single" w:color="auto" w:sz="4" w:space="0"/>
              <w:right w:val="single" w:color="auto" w:sz="4" w:space="0"/>
            </w:tcBorders>
            <w:shd w:val="clear" w:color="auto" w:fill="auto"/>
            <w:vAlign w:val="center"/>
          </w:tcPr>
          <w:p w14:paraId="4955A0AE">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安全事件</w:t>
            </w:r>
          </w:p>
        </w:tc>
        <w:tc>
          <w:tcPr>
            <w:tcW w:w="4536" w:type="dxa"/>
            <w:tcBorders>
              <w:top w:val="nil"/>
              <w:left w:val="nil"/>
              <w:bottom w:val="single" w:color="auto" w:sz="4" w:space="0"/>
              <w:right w:val="single" w:color="auto" w:sz="4" w:space="0"/>
            </w:tcBorders>
            <w:shd w:val="clear" w:color="auto" w:fill="auto"/>
            <w:vAlign w:val="center"/>
          </w:tcPr>
          <w:p w14:paraId="3CB0DCC7">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数据安全事件发生次数</w:t>
            </w:r>
          </w:p>
        </w:tc>
        <w:tc>
          <w:tcPr>
            <w:tcW w:w="1162" w:type="dxa"/>
            <w:tcBorders>
              <w:top w:val="nil"/>
              <w:left w:val="nil"/>
              <w:bottom w:val="single" w:color="auto" w:sz="4" w:space="0"/>
              <w:right w:val="single" w:color="auto" w:sz="4" w:space="0"/>
            </w:tcBorders>
            <w:shd w:val="clear" w:color="auto" w:fill="auto"/>
            <w:vAlign w:val="center"/>
          </w:tcPr>
          <w:p w14:paraId="13895BFE">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0次</w:t>
            </w:r>
          </w:p>
        </w:tc>
      </w:tr>
      <w:tr w14:paraId="5B05B50B">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41916E2C">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tcBorders>
              <w:top w:val="nil"/>
              <w:left w:val="nil"/>
              <w:bottom w:val="single" w:color="auto" w:sz="4" w:space="0"/>
              <w:right w:val="single" w:color="auto" w:sz="4" w:space="0"/>
            </w:tcBorders>
            <w:shd w:val="clear" w:color="auto" w:fill="auto"/>
            <w:vAlign w:val="center"/>
          </w:tcPr>
          <w:p w14:paraId="539DEF95">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时效指标</w:t>
            </w:r>
          </w:p>
        </w:tc>
        <w:tc>
          <w:tcPr>
            <w:tcW w:w="4536" w:type="dxa"/>
            <w:tcBorders>
              <w:top w:val="nil"/>
              <w:left w:val="nil"/>
              <w:bottom w:val="single" w:color="auto" w:sz="4" w:space="0"/>
              <w:right w:val="single" w:color="auto" w:sz="4" w:space="0"/>
            </w:tcBorders>
            <w:shd w:val="clear" w:color="auto" w:fill="auto"/>
            <w:vAlign w:val="center"/>
          </w:tcPr>
          <w:p w14:paraId="1EDFBB05">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项目按期完成率</w:t>
            </w:r>
          </w:p>
        </w:tc>
        <w:tc>
          <w:tcPr>
            <w:tcW w:w="1162" w:type="dxa"/>
            <w:tcBorders>
              <w:top w:val="nil"/>
              <w:left w:val="nil"/>
              <w:bottom w:val="single" w:color="auto" w:sz="4" w:space="0"/>
              <w:right w:val="single" w:color="auto" w:sz="4" w:space="0"/>
            </w:tcBorders>
            <w:shd w:val="clear" w:color="auto" w:fill="auto"/>
            <w:vAlign w:val="center"/>
          </w:tcPr>
          <w:p w14:paraId="2171A31B">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100%</w:t>
            </w:r>
          </w:p>
        </w:tc>
      </w:tr>
      <w:tr w14:paraId="497A16E6">
        <w:tblPrEx>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vAlign w:val="center"/>
          </w:tcPr>
          <w:p w14:paraId="4750BA2F">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14:paraId="30C526CC">
            <w:pPr>
              <w:widowControl/>
              <w:spacing w:line="240" w:lineRule="auto"/>
              <w:ind w:firstLine="0" w:firstLineChars="0"/>
              <w:jc w:val="center"/>
              <w:rPr>
                <w:rFonts w:ascii="仿宋_GB2312" w:hAnsi="等线" w:eastAsia="仿宋_GB2312" w:cs="宋体"/>
                <w:kern w:val="0"/>
              </w:rPr>
            </w:pPr>
            <w:r>
              <w:rPr>
                <w:rFonts w:hint="eastAsia" w:ascii="仿宋_GB2312" w:hAnsi="等线" w:eastAsia="仿宋_GB2312" w:cs="宋体"/>
                <w:kern w:val="0"/>
              </w:rPr>
              <w:t>监测监管系统</w:t>
            </w:r>
          </w:p>
        </w:tc>
        <w:tc>
          <w:tcPr>
            <w:tcW w:w="4536" w:type="dxa"/>
            <w:tcBorders>
              <w:top w:val="nil"/>
              <w:left w:val="nil"/>
              <w:bottom w:val="single" w:color="auto" w:sz="4" w:space="0"/>
              <w:right w:val="single" w:color="auto" w:sz="4" w:space="0"/>
            </w:tcBorders>
            <w:shd w:val="clear" w:color="auto" w:fill="auto"/>
            <w:vAlign w:val="center"/>
          </w:tcPr>
          <w:p w14:paraId="7908681D">
            <w:pPr>
              <w:widowControl/>
              <w:spacing w:line="240" w:lineRule="auto"/>
              <w:ind w:firstLine="0" w:firstLineChars="0"/>
              <w:jc w:val="left"/>
              <w:rPr>
                <w:rFonts w:ascii="仿宋_GB2312" w:hAnsi="等线" w:eastAsia="仿宋_GB2312" w:cs="宋体"/>
                <w:kern w:val="0"/>
              </w:rPr>
            </w:pPr>
            <w:r>
              <w:rPr>
                <w:rFonts w:hint="eastAsia" w:ascii="仿宋_GB2312" w:hAnsi="等线" w:eastAsia="仿宋_GB2312" w:cs="宋体"/>
                <w:kern w:val="0"/>
              </w:rPr>
              <w:t>监测指标数量</w:t>
            </w:r>
          </w:p>
        </w:tc>
        <w:tc>
          <w:tcPr>
            <w:tcW w:w="1162" w:type="dxa"/>
            <w:tcBorders>
              <w:top w:val="nil"/>
              <w:left w:val="nil"/>
              <w:bottom w:val="single" w:color="auto" w:sz="4" w:space="0"/>
              <w:right w:val="single" w:color="auto" w:sz="4" w:space="0"/>
            </w:tcBorders>
            <w:shd w:val="clear" w:color="auto" w:fill="auto"/>
            <w:vAlign w:val="center"/>
          </w:tcPr>
          <w:p w14:paraId="6205AE5D">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10个</w:t>
            </w:r>
          </w:p>
        </w:tc>
      </w:tr>
      <w:tr w14:paraId="61802738">
        <w:tblPrEx>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vAlign w:val="center"/>
          </w:tcPr>
          <w:p w14:paraId="3D22BE71">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1B8F0180">
            <w:pPr>
              <w:widowControl/>
              <w:spacing w:line="240" w:lineRule="auto"/>
              <w:ind w:firstLine="0" w:firstLineChars="0"/>
              <w:jc w:val="left"/>
              <w:rPr>
                <w:rFonts w:ascii="仿宋_GB2312" w:hAnsi="等线" w:eastAsia="仿宋_GB2312" w:cs="宋体"/>
                <w:kern w:val="0"/>
              </w:rPr>
            </w:pPr>
          </w:p>
        </w:tc>
        <w:tc>
          <w:tcPr>
            <w:tcW w:w="4536" w:type="dxa"/>
            <w:tcBorders>
              <w:top w:val="nil"/>
              <w:left w:val="nil"/>
              <w:bottom w:val="single" w:color="auto" w:sz="4" w:space="0"/>
              <w:right w:val="single" w:color="auto" w:sz="4" w:space="0"/>
            </w:tcBorders>
            <w:shd w:val="clear" w:color="auto" w:fill="auto"/>
            <w:vAlign w:val="center"/>
          </w:tcPr>
          <w:p w14:paraId="6800D8F3">
            <w:pPr>
              <w:widowControl/>
              <w:spacing w:line="240" w:lineRule="auto"/>
              <w:ind w:firstLine="0" w:firstLineChars="0"/>
              <w:jc w:val="left"/>
              <w:rPr>
                <w:rFonts w:ascii="仿宋_GB2312" w:hAnsi="等线" w:eastAsia="仿宋_GB2312" w:cs="宋体"/>
                <w:kern w:val="0"/>
              </w:rPr>
            </w:pPr>
            <w:r>
              <w:rPr>
                <w:rFonts w:hint="eastAsia" w:ascii="仿宋_GB2312" w:hAnsi="等线" w:eastAsia="仿宋_GB2312" w:cs="宋体"/>
                <w:kern w:val="0"/>
              </w:rPr>
              <w:t>监测数据完整性</w:t>
            </w:r>
          </w:p>
        </w:tc>
        <w:tc>
          <w:tcPr>
            <w:tcW w:w="1162" w:type="dxa"/>
            <w:tcBorders>
              <w:top w:val="nil"/>
              <w:left w:val="nil"/>
              <w:bottom w:val="single" w:color="auto" w:sz="4" w:space="0"/>
              <w:right w:val="single" w:color="auto" w:sz="4" w:space="0"/>
            </w:tcBorders>
            <w:shd w:val="clear" w:color="auto" w:fill="auto"/>
            <w:vAlign w:val="center"/>
          </w:tcPr>
          <w:p w14:paraId="4EA406A4">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75%</w:t>
            </w:r>
          </w:p>
        </w:tc>
      </w:tr>
      <w:tr w14:paraId="6F027253">
        <w:tblPrEx>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vAlign w:val="center"/>
          </w:tcPr>
          <w:p w14:paraId="75A0701F">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4004CA1C">
            <w:pPr>
              <w:widowControl/>
              <w:spacing w:line="240" w:lineRule="auto"/>
              <w:ind w:firstLine="0" w:firstLineChars="0"/>
              <w:jc w:val="left"/>
              <w:rPr>
                <w:rFonts w:ascii="仿宋_GB2312" w:hAnsi="等线" w:eastAsia="仿宋_GB2312" w:cs="宋体"/>
                <w:kern w:val="0"/>
              </w:rPr>
            </w:pPr>
          </w:p>
        </w:tc>
        <w:tc>
          <w:tcPr>
            <w:tcW w:w="4536" w:type="dxa"/>
            <w:tcBorders>
              <w:top w:val="nil"/>
              <w:left w:val="nil"/>
              <w:bottom w:val="single" w:color="auto" w:sz="4" w:space="0"/>
              <w:right w:val="single" w:color="auto" w:sz="4" w:space="0"/>
            </w:tcBorders>
            <w:shd w:val="clear" w:color="auto" w:fill="auto"/>
            <w:vAlign w:val="center"/>
          </w:tcPr>
          <w:p w14:paraId="7283E546">
            <w:pPr>
              <w:widowControl/>
              <w:spacing w:line="240" w:lineRule="auto"/>
              <w:ind w:firstLine="0" w:firstLineChars="0"/>
              <w:jc w:val="left"/>
              <w:rPr>
                <w:rFonts w:ascii="仿宋_GB2312" w:hAnsi="等线" w:eastAsia="仿宋_GB2312" w:cs="宋体"/>
                <w:kern w:val="0"/>
              </w:rPr>
            </w:pPr>
            <w:r>
              <w:rPr>
                <w:rFonts w:hint="eastAsia" w:ascii="仿宋_GB2312" w:hAnsi="等线" w:eastAsia="仿宋_GB2312" w:cs="宋体"/>
                <w:kern w:val="0"/>
              </w:rPr>
              <w:t>监测数据准确率</w:t>
            </w:r>
          </w:p>
        </w:tc>
        <w:tc>
          <w:tcPr>
            <w:tcW w:w="1162" w:type="dxa"/>
            <w:tcBorders>
              <w:top w:val="nil"/>
              <w:left w:val="nil"/>
              <w:bottom w:val="single" w:color="auto" w:sz="4" w:space="0"/>
              <w:right w:val="single" w:color="auto" w:sz="4" w:space="0"/>
            </w:tcBorders>
            <w:shd w:val="clear" w:color="auto" w:fill="auto"/>
            <w:vAlign w:val="center"/>
          </w:tcPr>
          <w:p w14:paraId="1ADB65BC">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85%</w:t>
            </w:r>
          </w:p>
        </w:tc>
      </w:tr>
      <w:tr w14:paraId="64426DD1">
        <w:tblPrEx>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vAlign w:val="center"/>
          </w:tcPr>
          <w:p w14:paraId="64A821E3">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6B2BA9A5">
            <w:pPr>
              <w:widowControl/>
              <w:spacing w:line="240" w:lineRule="auto"/>
              <w:ind w:firstLine="0" w:firstLineChars="0"/>
              <w:jc w:val="left"/>
              <w:rPr>
                <w:rFonts w:ascii="仿宋_GB2312" w:hAnsi="等线" w:eastAsia="仿宋_GB2312" w:cs="宋体"/>
                <w:kern w:val="0"/>
              </w:rPr>
            </w:pPr>
          </w:p>
        </w:tc>
        <w:tc>
          <w:tcPr>
            <w:tcW w:w="4536" w:type="dxa"/>
            <w:tcBorders>
              <w:top w:val="nil"/>
              <w:left w:val="nil"/>
              <w:bottom w:val="single" w:color="auto" w:sz="4" w:space="0"/>
              <w:right w:val="single" w:color="auto" w:sz="4" w:space="0"/>
            </w:tcBorders>
            <w:shd w:val="clear" w:color="auto" w:fill="auto"/>
            <w:vAlign w:val="center"/>
          </w:tcPr>
          <w:p w14:paraId="7A1CD40F">
            <w:pPr>
              <w:widowControl/>
              <w:spacing w:line="240" w:lineRule="auto"/>
              <w:ind w:firstLine="0" w:firstLineChars="0"/>
              <w:jc w:val="left"/>
              <w:rPr>
                <w:rFonts w:ascii="仿宋_GB2312" w:hAnsi="等线" w:eastAsia="仿宋_GB2312" w:cs="宋体"/>
                <w:kern w:val="0"/>
              </w:rPr>
            </w:pPr>
            <w:r>
              <w:rPr>
                <w:rFonts w:hint="eastAsia" w:ascii="仿宋_GB2312" w:hAnsi="等线" w:eastAsia="仿宋_GB2312" w:cs="宋体"/>
                <w:kern w:val="0"/>
              </w:rPr>
              <w:t>监测对象月均风险预警数量</w:t>
            </w:r>
          </w:p>
        </w:tc>
        <w:tc>
          <w:tcPr>
            <w:tcW w:w="1162" w:type="dxa"/>
            <w:tcBorders>
              <w:top w:val="nil"/>
              <w:left w:val="nil"/>
              <w:bottom w:val="single" w:color="auto" w:sz="4" w:space="0"/>
              <w:right w:val="single" w:color="auto" w:sz="4" w:space="0"/>
            </w:tcBorders>
            <w:shd w:val="clear" w:color="auto" w:fill="auto"/>
            <w:vAlign w:val="center"/>
          </w:tcPr>
          <w:p w14:paraId="3A7DC107">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3</w:t>
            </w:r>
          </w:p>
        </w:tc>
      </w:tr>
      <w:tr w14:paraId="0CC53D60">
        <w:tblPrEx>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vAlign w:val="center"/>
          </w:tcPr>
          <w:p w14:paraId="5DB75CBA">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4CB2191B">
            <w:pPr>
              <w:widowControl/>
              <w:spacing w:line="240" w:lineRule="auto"/>
              <w:ind w:firstLine="0" w:firstLineChars="0"/>
              <w:jc w:val="left"/>
              <w:rPr>
                <w:rFonts w:ascii="仿宋_GB2312" w:hAnsi="等线" w:eastAsia="仿宋_GB2312" w:cs="宋体"/>
                <w:kern w:val="0"/>
              </w:rPr>
            </w:pPr>
          </w:p>
        </w:tc>
        <w:tc>
          <w:tcPr>
            <w:tcW w:w="4536" w:type="dxa"/>
            <w:tcBorders>
              <w:top w:val="nil"/>
              <w:left w:val="nil"/>
              <w:bottom w:val="single" w:color="auto" w:sz="4" w:space="0"/>
              <w:right w:val="single" w:color="auto" w:sz="4" w:space="0"/>
            </w:tcBorders>
            <w:shd w:val="clear" w:color="auto" w:fill="auto"/>
            <w:vAlign w:val="center"/>
          </w:tcPr>
          <w:p w14:paraId="36841216">
            <w:pPr>
              <w:widowControl/>
              <w:spacing w:line="240" w:lineRule="auto"/>
              <w:ind w:firstLine="0" w:firstLineChars="0"/>
              <w:jc w:val="left"/>
              <w:rPr>
                <w:rFonts w:ascii="仿宋_GB2312" w:hAnsi="等线" w:eastAsia="仿宋_GB2312" w:cs="宋体"/>
                <w:kern w:val="0"/>
              </w:rPr>
            </w:pPr>
            <w:r>
              <w:rPr>
                <w:rFonts w:hint="eastAsia" w:ascii="仿宋_GB2312" w:hAnsi="等线" w:eastAsia="仿宋_GB2312" w:cs="宋体"/>
                <w:kern w:val="0"/>
              </w:rPr>
              <w:t>监测对象风险预警准确率</w:t>
            </w:r>
          </w:p>
        </w:tc>
        <w:tc>
          <w:tcPr>
            <w:tcW w:w="1162" w:type="dxa"/>
            <w:tcBorders>
              <w:top w:val="nil"/>
              <w:left w:val="nil"/>
              <w:bottom w:val="single" w:color="auto" w:sz="4" w:space="0"/>
              <w:right w:val="single" w:color="auto" w:sz="4" w:space="0"/>
            </w:tcBorders>
            <w:shd w:val="clear" w:color="auto" w:fill="auto"/>
            <w:vAlign w:val="center"/>
          </w:tcPr>
          <w:p w14:paraId="642261EA">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50%</w:t>
            </w:r>
          </w:p>
        </w:tc>
      </w:tr>
      <w:tr w14:paraId="7000133D">
        <w:tblPrEx>
          <w:tblCellMar>
            <w:top w:w="0" w:type="dxa"/>
            <w:left w:w="108" w:type="dxa"/>
            <w:bottom w:w="0" w:type="dxa"/>
            <w:right w:w="108" w:type="dxa"/>
          </w:tblCellMar>
        </w:tblPrEx>
        <w:trPr>
          <w:trHeight w:val="600" w:hRule="atLeast"/>
        </w:trPr>
        <w:tc>
          <w:tcPr>
            <w:tcW w:w="675" w:type="dxa"/>
            <w:vMerge w:val="continue"/>
            <w:tcBorders>
              <w:left w:val="single" w:color="auto" w:sz="4" w:space="0"/>
              <w:right w:val="single" w:color="auto" w:sz="4" w:space="0"/>
            </w:tcBorders>
            <w:vAlign w:val="center"/>
          </w:tcPr>
          <w:p w14:paraId="57690564">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7C33EDBE">
            <w:pPr>
              <w:widowControl/>
              <w:spacing w:line="240" w:lineRule="auto"/>
              <w:ind w:firstLine="0" w:firstLineChars="0"/>
              <w:jc w:val="left"/>
              <w:rPr>
                <w:rFonts w:ascii="仿宋_GB2312" w:hAnsi="等线" w:eastAsia="仿宋_GB2312" w:cs="宋体"/>
                <w:kern w:val="0"/>
              </w:rPr>
            </w:pPr>
          </w:p>
        </w:tc>
        <w:tc>
          <w:tcPr>
            <w:tcW w:w="4536" w:type="dxa"/>
            <w:tcBorders>
              <w:top w:val="nil"/>
              <w:left w:val="nil"/>
              <w:bottom w:val="single" w:color="auto" w:sz="4" w:space="0"/>
              <w:right w:val="single" w:color="auto" w:sz="4" w:space="0"/>
            </w:tcBorders>
            <w:shd w:val="clear" w:color="auto" w:fill="auto"/>
            <w:vAlign w:val="center"/>
          </w:tcPr>
          <w:p w14:paraId="542B7A0F">
            <w:pPr>
              <w:widowControl/>
              <w:spacing w:line="240" w:lineRule="auto"/>
              <w:ind w:firstLine="0" w:firstLineChars="0"/>
              <w:jc w:val="left"/>
              <w:rPr>
                <w:rFonts w:ascii="仿宋_GB2312" w:hAnsi="等线" w:eastAsia="仿宋_GB2312" w:cs="宋体"/>
                <w:kern w:val="0"/>
              </w:rPr>
            </w:pPr>
            <w:r>
              <w:rPr>
                <w:rFonts w:hint="eastAsia" w:ascii="仿宋_GB2312" w:hAnsi="等线" w:eastAsia="仿宋_GB2312" w:cs="宋体"/>
                <w:kern w:val="0"/>
              </w:rPr>
              <w:t>监测对象风险预警完整率</w:t>
            </w:r>
          </w:p>
        </w:tc>
        <w:tc>
          <w:tcPr>
            <w:tcW w:w="1162" w:type="dxa"/>
            <w:tcBorders>
              <w:top w:val="nil"/>
              <w:left w:val="nil"/>
              <w:bottom w:val="single" w:color="auto" w:sz="4" w:space="0"/>
              <w:right w:val="single" w:color="auto" w:sz="4" w:space="0"/>
            </w:tcBorders>
            <w:shd w:val="clear" w:color="auto" w:fill="auto"/>
            <w:vAlign w:val="center"/>
          </w:tcPr>
          <w:p w14:paraId="531D746C">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30%</w:t>
            </w:r>
          </w:p>
        </w:tc>
      </w:tr>
      <w:tr w14:paraId="1781EC4D">
        <w:tblPrEx>
          <w:tblCellMar>
            <w:top w:w="0" w:type="dxa"/>
            <w:left w:w="108" w:type="dxa"/>
            <w:bottom w:w="0" w:type="dxa"/>
            <w:right w:w="108" w:type="dxa"/>
          </w:tblCellMar>
        </w:tblPrEx>
        <w:trPr>
          <w:trHeight w:val="300" w:hRule="atLeast"/>
        </w:trPr>
        <w:tc>
          <w:tcPr>
            <w:tcW w:w="675" w:type="dxa"/>
            <w:vMerge w:val="continue"/>
            <w:tcBorders>
              <w:left w:val="single" w:color="auto" w:sz="4" w:space="0"/>
              <w:bottom w:val="single" w:color="auto" w:sz="4" w:space="0"/>
              <w:right w:val="single" w:color="auto" w:sz="4" w:space="0"/>
            </w:tcBorders>
            <w:vAlign w:val="center"/>
          </w:tcPr>
          <w:p w14:paraId="44AA8BCF">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7EBC3AA1">
            <w:pPr>
              <w:widowControl/>
              <w:spacing w:line="240" w:lineRule="auto"/>
              <w:ind w:firstLine="0" w:firstLineChars="0"/>
              <w:jc w:val="left"/>
              <w:rPr>
                <w:rFonts w:ascii="仿宋_GB2312" w:hAnsi="等线" w:eastAsia="仿宋_GB2312" w:cs="宋体"/>
                <w:kern w:val="0"/>
              </w:rPr>
            </w:pPr>
          </w:p>
        </w:tc>
        <w:tc>
          <w:tcPr>
            <w:tcW w:w="4536" w:type="dxa"/>
            <w:tcBorders>
              <w:top w:val="nil"/>
              <w:left w:val="nil"/>
              <w:bottom w:val="single" w:color="auto" w:sz="4" w:space="0"/>
              <w:right w:val="single" w:color="auto" w:sz="4" w:space="0"/>
            </w:tcBorders>
            <w:shd w:val="clear" w:color="auto" w:fill="auto"/>
            <w:noWrap/>
            <w:vAlign w:val="center"/>
          </w:tcPr>
          <w:p w14:paraId="28329961">
            <w:pPr>
              <w:widowControl/>
              <w:spacing w:line="240" w:lineRule="auto"/>
              <w:ind w:firstLine="0" w:firstLineChars="0"/>
              <w:jc w:val="left"/>
              <w:rPr>
                <w:rFonts w:ascii="仿宋_GB2312" w:hAnsi="等线" w:eastAsia="仿宋_GB2312" w:cs="宋体"/>
                <w:kern w:val="0"/>
              </w:rPr>
            </w:pPr>
            <w:r>
              <w:rPr>
                <w:rFonts w:hint="eastAsia" w:ascii="仿宋_GB2312" w:hAnsi="等线" w:eastAsia="仿宋_GB2312" w:cs="宋体"/>
                <w:kern w:val="0"/>
              </w:rPr>
              <w:t>监测监管月均做出辅助决策数量</w:t>
            </w:r>
          </w:p>
        </w:tc>
        <w:tc>
          <w:tcPr>
            <w:tcW w:w="1162" w:type="dxa"/>
            <w:tcBorders>
              <w:top w:val="nil"/>
              <w:left w:val="nil"/>
              <w:bottom w:val="single" w:color="auto" w:sz="4" w:space="0"/>
              <w:right w:val="single" w:color="auto" w:sz="4" w:space="0"/>
            </w:tcBorders>
            <w:shd w:val="clear" w:color="auto" w:fill="auto"/>
            <w:vAlign w:val="center"/>
          </w:tcPr>
          <w:p w14:paraId="185CA550">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w:t>
            </w:r>
          </w:p>
        </w:tc>
      </w:tr>
      <w:tr w14:paraId="599B4FBE">
        <w:tblPrEx>
          <w:tblCellMar>
            <w:top w:w="0" w:type="dxa"/>
            <w:left w:w="108" w:type="dxa"/>
            <w:bottom w:w="0" w:type="dxa"/>
            <w:right w:w="108" w:type="dxa"/>
          </w:tblCellMar>
        </w:tblPrEx>
        <w:trPr>
          <w:trHeight w:val="459" w:hRule="atLeast"/>
        </w:trPr>
        <w:tc>
          <w:tcPr>
            <w:tcW w:w="675" w:type="dxa"/>
            <w:vMerge w:val="restart"/>
            <w:tcBorders>
              <w:top w:val="nil"/>
              <w:left w:val="single" w:color="auto" w:sz="4" w:space="0"/>
              <w:right w:val="single" w:color="auto" w:sz="4" w:space="0"/>
            </w:tcBorders>
            <w:shd w:val="clear" w:color="auto" w:fill="auto"/>
            <w:vAlign w:val="center"/>
          </w:tcPr>
          <w:p w14:paraId="6B5E11C6">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业务指标</w:t>
            </w:r>
          </w:p>
        </w:tc>
        <w:tc>
          <w:tcPr>
            <w:tcW w:w="2410" w:type="dxa"/>
            <w:tcBorders>
              <w:top w:val="nil"/>
              <w:left w:val="single" w:color="auto" w:sz="4" w:space="0"/>
              <w:bottom w:val="single" w:color="auto" w:sz="4" w:space="0"/>
              <w:right w:val="single" w:color="auto" w:sz="4" w:space="0"/>
            </w:tcBorders>
            <w:shd w:val="clear" w:color="auto" w:fill="auto"/>
            <w:vAlign w:val="center"/>
          </w:tcPr>
          <w:p w14:paraId="3D068553">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产出数量</w:t>
            </w:r>
          </w:p>
        </w:tc>
        <w:tc>
          <w:tcPr>
            <w:tcW w:w="4536" w:type="dxa"/>
            <w:tcBorders>
              <w:top w:val="nil"/>
              <w:left w:val="nil"/>
              <w:bottom w:val="single" w:color="auto" w:sz="4" w:space="0"/>
              <w:right w:val="single" w:color="auto" w:sz="4" w:space="0"/>
            </w:tcBorders>
            <w:shd w:val="clear" w:color="auto" w:fill="auto"/>
            <w:noWrap/>
            <w:vAlign w:val="center"/>
          </w:tcPr>
          <w:p w14:paraId="10003C0C">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软件开发完成率</w:t>
            </w:r>
          </w:p>
        </w:tc>
        <w:tc>
          <w:tcPr>
            <w:tcW w:w="1162" w:type="dxa"/>
            <w:tcBorders>
              <w:top w:val="nil"/>
              <w:left w:val="nil"/>
              <w:bottom w:val="single" w:color="auto" w:sz="4" w:space="0"/>
              <w:right w:val="single" w:color="auto" w:sz="4" w:space="0"/>
            </w:tcBorders>
            <w:shd w:val="clear" w:color="auto" w:fill="auto"/>
            <w:noWrap/>
            <w:vAlign w:val="center"/>
          </w:tcPr>
          <w:p w14:paraId="4F628409">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100%</w:t>
            </w:r>
          </w:p>
        </w:tc>
      </w:tr>
      <w:tr w14:paraId="033508A4">
        <w:tblPrEx>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vAlign w:val="center"/>
          </w:tcPr>
          <w:p w14:paraId="5DD9C56D">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14:paraId="2939FA9F">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产出质量</w:t>
            </w:r>
          </w:p>
        </w:tc>
        <w:tc>
          <w:tcPr>
            <w:tcW w:w="4536" w:type="dxa"/>
            <w:tcBorders>
              <w:top w:val="nil"/>
              <w:left w:val="nil"/>
              <w:bottom w:val="single" w:color="auto" w:sz="4" w:space="0"/>
              <w:right w:val="single" w:color="auto" w:sz="4" w:space="0"/>
            </w:tcBorders>
            <w:shd w:val="clear" w:color="auto" w:fill="auto"/>
            <w:vAlign w:val="center"/>
          </w:tcPr>
          <w:p w14:paraId="7B9BC77A">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支持同时在线用户数</w:t>
            </w:r>
          </w:p>
        </w:tc>
        <w:tc>
          <w:tcPr>
            <w:tcW w:w="1162" w:type="dxa"/>
            <w:tcBorders>
              <w:top w:val="nil"/>
              <w:left w:val="nil"/>
              <w:bottom w:val="single" w:color="auto" w:sz="4" w:space="0"/>
              <w:right w:val="single" w:color="auto" w:sz="4" w:space="0"/>
            </w:tcBorders>
            <w:shd w:val="clear" w:color="auto" w:fill="auto"/>
            <w:vAlign w:val="center"/>
          </w:tcPr>
          <w:p w14:paraId="06B04F81">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≥50个</w:t>
            </w:r>
          </w:p>
        </w:tc>
      </w:tr>
      <w:tr w14:paraId="300A92A7">
        <w:tblPrEx>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vAlign w:val="center"/>
          </w:tcPr>
          <w:p w14:paraId="41348844">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66EA893F">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23640D2A">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支持并发终端数</w:t>
            </w:r>
          </w:p>
        </w:tc>
        <w:tc>
          <w:tcPr>
            <w:tcW w:w="1162" w:type="dxa"/>
            <w:tcBorders>
              <w:top w:val="nil"/>
              <w:left w:val="nil"/>
              <w:bottom w:val="single" w:color="auto" w:sz="4" w:space="0"/>
              <w:right w:val="single" w:color="auto" w:sz="4" w:space="0"/>
            </w:tcBorders>
            <w:shd w:val="clear" w:color="auto" w:fill="auto"/>
            <w:vAlign w:val="center"/>
          </w:tcPr>
          <w:p w14:paraId="671BF7D7">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≥200个</w:t>
            </w:r>
          </w:p>
        </w:tc>
      </w:tr>
      <w:tr w14:paraId="19EF395D">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2B45FE63">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6BB066EF">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37365577">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简单报表统计响应时间</w:t>
            </w:r>
          </w:p>
        </w:tc>
        <w:tc>
          <w:tcPr>
            <w:tcW w:w="1162" w:type="dxa"/>
            <w:tcBorders>
              <w:top w:val="nil"/>
              <w:left w:val="nil"/>
              <w:bottom w:val="single" w:color="auto" w:sz="4" w:space="0"/>
              <w:right w:val="single" w:color="auto" w:sz="4" w:space="0"/>
            </w:tcBorders>
            <w:shd w:val="clear" w:color="auto" w:fill="auto"/>
            <w:vAlign w:val="center"/>
          </w:tcPr>
          <w:p w14:paraId="1061B9A9">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≤15秒</w:t>
            </w:r>
          </w:p>
        </w:tc>
      </w:tr>
      <w:tr w14:paraId="542161C8">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21AD8F46">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463E76EA">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3F28D5BD">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支持同时在线终端数量</w:t>
            </w:r>
          </w:p>
        </w:tc>
        <w:tc>
          <w:tcPr>
            <w:tcW w:w="1162" w:type="dxa"/>
            <w:tcBorders>
              <w:top w:val="nil"/>
              <w:left w:val="nil"/>
              <w:bottom w:val="single" w:color="auto" w:sz="4" w:space="0"/>
              <w:right w:val="single" w:color="auto" w:sz="4" w:space="0"/>
            </w:tcBorders>
            <w:shd w:val="clear" w:color="auto" w:fill="auto"/>
            <w:vAlign w:val="center"/>
          </w:tcPr>
          <w:p w14:paraId="574B9B2A">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≥1000个</w:t>
            </w:r>
          </w:p>
        </w:tc>
      </w:tr>
      <w:tr w14:paraId="67266148">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7D9FA507">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7C8C6091">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vAlign w:val="center"/>
          </w:tcPr>
          <w:p w14:paraId="75621B81">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系统登录及查询和写入操作响应时间</w:t>
            </w:r>
          </w:p>
        </w:tc>
        <w:tc>
          <w:tcPr>
            <w:tcW w:w="1162" w:type="dxa"/>
            <w:tcBorders>
              <w:top w:val="nil"/>
              <w:left w:val="nil"/>
              <w:bottom w:val="single" w:color="auto" w:sz="4" w:space="0"/>
              <w:right w:val="single" w:color="auto" w:sz="4" w:space="0"/>
            </w:tcBorders>
            <w:shd w:val="clear" w:color="auto" w:fill="auto"/>
            <w:vAlign w:val="center"/>
          </w:tcPr>
          <w:p w14:paraId="0077077B">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≤5秒</w:t>
            </w:r>
          </w:p>
        </w:tc>
      </w:tr>
      <w:tr w14:paraId="510D6EA5">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4DCC6055">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14:paraId="45755386">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产出效益</w:t>
            </w:r>
          </w:p>
        </w:tc>
        <w:tc>
          <w:tcPr>
            <w:tcW w:w="4536" w:type="dxa"/>
            <w:tcBorders>
              <w:top w:val="nil"/>
              <w:left w:val="nil"/>
              <w:bottom w:val="single" w:color="auto" w:sz="4" w:space="0"/>
              <w:right w:val="single" w:color="auto" w:sz="4" w:space="0"/>
            </w:tcBorders>
            <w:shd w:val="clear" w:color="auto" w:fill="auto"/>
            <w:noWrap/>
            <w:vAlign w:val="center"/>
          </w:tcPr>
          <w:p w14:paraId="3369CF5D">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生物安全实验室智慧管理系统日均使用次数</w:t>
            </w:r>
          </w:p>
        </w:tc>
        <w:tc>
          <w:tcPr>
            <w:tcW w:w="1162" w:type="dxa"/>
            <w:tcBorders>
              <w:top w:val="nil"/>
              <w:left w:val="nil"/>
              <w:bottom w:val="single" w:color="auto" w:sz="4" w:space="0"/>
              <w:right w:val="single" w:color="auto" w:sz="4" w:space="0"/>
            </w:tcBorders>
            <w:shd w:val="clear" w:color="auto" w:fill="auto"/>
            <w:noWrap/>
            <w:vAlign w:val="center"/>
          </w:tcPr>
          <w:p w14:paraId="0733CA18">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≥10次</w:t>
            </w:r>
          </w:p>
        </w:tc>
      </w:tr>
      <w:tr w14:paraId="21BF6C37">
        <w:tblPrEx>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vAlign w:val="center"/>
          </w:tcPr>
          <w:p w14:paraId="31FA82A3">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38E8A0A0">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15DD904E">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线上收录管理实验样品数量</w:t>
            </w:r>
          </w:p>
        </w:tc>
        <w:tc>
          <w:tcPr>
            <w:tcW w:w="1162" w:type="dxa"/>
            <w:tcBorders>
              <w:top w:val="nil"/>
              <w:left w:val="nil"/>
              <w:bottom w:val="single" w:color="auto" w:sz="4" w:space="0"/>
              <w:right w:val="single" w:color="auto" w:sz="4" w:space="0"/>
            </w:tcBorders>
            <w:shd w:val="clear" w:color="auto" w:fill="auto"/>
            <w:noWrap/>
            <w:vAlign w:val="center"/>
          </w:tcPr>
          <w:p w14:paraId="3C803B5B">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≥100个</w:t>
            </w:r>
          </w:p>
        </w:tc>
      </w:tr>
      <w:tr w14:paraId="44966697">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10E7BBDF">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6707FF51">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1AFBA8E5">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线上管理实验仪器设备数量</w:t>
            </w:r>
          </w:p>
        </w:tc>
        <w:tc>
          <w:tcPr>
            <w:tcW w:w="1162" w:type="dxa"/>
            <w:tcBorders>
              <w:top w:val="nil"/>
              <w:left w:val="nil"/>
              <w:bottom w:val="single" w:color="auto" w:sz="4" w:space="0"/>
              <w:right w:val="single" w:color="auto" w:sz="4" w:space="0"/>
            </w:tcBorders>
            <w:shd w:val="clear" w:color="auto" w:fill="auto"/>
            <w:noWrap/>
            <w:vAlign w:val="center"/>
          </w:tcPr>
          <w:p w14:paraId="0DB056A8">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≥80台</w:t>
            </w:r>
          </w:p>
        </w:tc>
      </w:tr>
      <w:tr w14:paraId="63E9B46A">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17983B30">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3076CF03">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7CB2E2D1">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生物安全实验室智慧管理系统收录实验数据条目数</w:t>
            </w:r>
          </w:p>
        </w:tc>
        <w:tc>
          <w:tcPr>
            <w:tcW w:w="1162" w:type="dxa"/>
            <w:tcBorders>
              <w:top w:val="nil"/>
              <w:left w:val="nil"/>
              <w:bottom w:val="single" w:color="auto" w:sz="4" w:space="0"/>
              <w:right w:val="single" w:color="auto" w:sz="4" w:space="0"/>
            </w:tcBorders>
            <w:shd w:val="clear" w:color="auto" w:fill="auto"/>
            <w:noWrap/>
            <w:vAlign w:val="center"/>
          </w:tcPr>
          <w:p w14:paraId="1BFD0B6C">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≥100条</w:t>
            </w:r>
          </w:p>
        </w:tc>
      </w:tr>
      <w:tr w14:paraId="1C50E424">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695EA11D">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4ECFF735">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551C8C5F">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线上管理危化品数量</w:t>
            </w:r>
          </w:p>
        </w:tc>
        <w:tc>
          <w:tcPr>
            <w:tcW w:w="1162" w:type="dxa"/>
            <w:tcBorders>
              <w:top w:val="nil"/>
              <w:left w:val="nil"/>
              <w:bottom w:val="single" w:color="auto" w:sz="4" w:space="0"/>
              <w:right w:val="single" w:color="auto" w:sz="4" w:space="0"/>
            </w:tcBorders>
            <w:shd w:val="clear" w:color="auto" w:fill="auto"/>
            <w:noWrap/>
            <w:vAlign w:val="center"/>
          </w:tcPr>
          <w:p w14:paraId="10FAFA76">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≥10种</w:t>
            </w:r>
          </w:p>
        </w:tc>
      </w:tr>
      <w:tr w14:paraId="4A2592B6">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34EC9E06">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75016EBD">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60F749D0">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实验线上申请占比</w:t>
            </w:r>
          </w:p>
        </w:tc>
        <w:tc>
          <w:tcPr>
            <w:tcW w:w="1162" w:type="dxa"/>
            <w:tcBorders>
              <w:top w:val="nil"/>
              <w:left w:val="nil"/>
              <w:bottom w:val="single" w:color="auto" w:sz="4" w:space="0"/>
              <w:right w:val="single" w:color="auto" w:sz="4" w:space="0"/>
            </w:tcBorders>
            <w:shd w:val="clear" w:color="auto" w:fill="auto"/>
            <w:noWrap/>
            <w:vAlign w:val="center"/>
          </w:tcPr>
          <w:p w14:paraId="0E850AF9">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≥90%</w:t>
            </w:r>
          </w:p>
        </w:tc>
      </w:tr>
      <w:tr w14:paraId="115992E3">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62B7F649">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73638B24">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42F5F7D5">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野外调查工作管理系统月均使用次数</w:t>
            </w:r>
          </w:p>
        </w:tc>
        <w:tc>
          <w:tcPr>
            <w:tcW w:w="1162" w:type="dxa"/>
            <w:tcBorders>
              <w:top w:val="nil"/>
              <w:left w:val="nil"/>
              <w:bottom w:val="single" w:color="auto" w:sz="4" w:space="0"/>
              <w:right w:val="single" w:color="auto" w:sz="4" w:space="0"/>
            </w:tcBorders>
            <w:shd w:val="clear" w:color="auto" w:fill="auto"/>
            <w:noWrap/>
            <w:vAlign w:val="center"/>
          </w:tcPr>
          <w:p w14:paraId="0331C7E6">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30次</w:t>
            </w:r>
          </w:p>
        </w:tc>
      </w:tr>
      <w:tr w14:paraId="6983B56A">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68493A28">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528C8241">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3171A048">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野外调查线上工作占比</w:t>
            </w:r>
          </w:p>
        </w:tc>
        <w:tc>
          <w:tcPr>
            <w:tcW w:w="1162" w:type="dxa"/>
            <w:tcBorders>
              <w:top w:val="nil"/>
              <w:left w:val="nil"/>
              <w:bottom w:val="single" w:color="auto" w:sz="4" w:space="0"/>
              <w:right w:val="single" w:color="auto" w:sz="4" w:space="0"/>
            </w:tcBorders>
            <w:shd w:val="clear" w:color="auto" w:fill="auto"/>
            <w:noWrap/>
            <w:vAlign w:val="center"/>
          </w:tcPr>
          <w:p w14:paraId="29B83787">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80%</w:t>
            </w:r>
          </w:p>
        </w:tc>
      </w:tr>
      <w:tr w14:paraId="0BB28B1A">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4ED7A68C">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70DA24B7">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384AD7D6">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生态监测数据被调用量</w:t>
            </w:r>
          </w:p>
        </w:tc>
        <w:tc>
          <w:tcPr>
            <w:tcW w:w="1162" w:type="dxa"/>
            <w:tcBorders>
              <w:top w:val="nil"/>
              <w:left w:val="nil"/>
              <w:bottom w:val="single" w:color="auto" w:sz="4" w:space="0"/>
              <w:right w:val="single" w:color="auto" w:sz="4" w:space="0"/>
            </w:tcBorders>
            <w:shd w:val="clear" w:color="auto" w:fill="auto"/>
            <w:noWrap/>
            <w:vAlign w:val="center"/>
          </w:tcPr>
          <w:p w14:paraId="1A778F3F">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10条</w:t>
            </w:r>
          </w:p>
        </w:tc>
      </w:tr>
      <w:tr w14:paraId="06EA9436">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7259054A">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5A2526B8">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25E4F3C9">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野保科研大数据管理系统收录野生动植物DNA数量</w:t>
            </w:r>
          </w:p>
        </w:tc>
        <w:tc>
          <w:tcPr>
            <w:tcW w:w="1162" w:type="dxa"/>
            <w:tcBorders>
              <w:top w:val="nil"/>
              <w:left w:val="nil"/>
              <w:bottom w:val="single" w:color="auto" w:sz="4" w:space="0"/>
              <w:right w:val="single" w:color="auto" w:sz="4" w:space="0"/>
            </w:tcBorders>
            <w:shd w:val="clear" w:color="auto" w:fill="auto"/>
            <w:noWrap/>
            <w:vAlign w:val="center"/>
          </w:tcPr>
          <w:p w14:paraId="10AB7C56">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1500个</w:t>
            </w:r>
          </w:p>
        </w:tc>
      </w:tr>
      <w:tr w14:paraId="747B9F18">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50E934F0">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11E1D0EC">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2CF2188B">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野保科研大数据管理系统收录野生动植物标本数量</w:t>
            </w:r>
          </w:p>
        </w:tc>
        <w:tc>
          <w:tcPr>
            <w:tcW w:w="1162" w:type="dxa"/>
            <w:tcBorders>
              <w:top w:val="nil"/>
              <w:left w:val="nil"/>
              <w:bottom w:val="single" w:color="auto" w:sz="4" w:space="0"/>
              <w:right w:val="single" w:color="auto" w:sz="4" w:space="0"/>
            </w:tcBorders>
            <w:shd w:val="clear" w:color="auto" w:fill="auto"/>
            <w:noWrap/>
            <w:vAlign w:val="center"/>
          </w:tcPr>
          <w:p w14:paraId="6DB76422">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32个</w:t>
            </w:r>
          </w:p>
        </w:tc>
      </w:tr>
      <w:tr w14:paraId="20D59C22">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4BABCBC6">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333DE32F">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698989E4">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野保科研大数据分析系统月均形成分析成果数量</w:t>
            </w:r>
          </w:p>
        </w:tc>
        <w:tc>
          <w:tcPr>
            <w:tcW w:w="1162" w:type="dxa"/>
            <w:tcBorders>
              <w:top w:val="nil"/>
              <w:left w:val="nil"/>
              <w:bottom w:val="single" w:color="auto" w:sz="4" w:space="0"/>
              <w:right w:val="single" w:color="auto" w:sz="4" w:space="0"/>
            </w:tcBorders>
            <w:shd w:val="clear" w:color="auto" w:fill="auto"/>
            <w:noWrap/>
            <w:vAlign w:val="center"/>
          </w:tcPr>
          <w:p w14:paraId="1750FCBC">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6个</w:t>
            </w:r>
          </w:p>
        </w:tc>
      </w:tr>
      <w:tr w14:paraId="2D83D5D6">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6CBE35D4">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1B3F99A5">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30309591">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野保科研大数据分析系统月均支撑产出科研成果数量</w:t>
            </w:r>
          </w:p>
        </w:tc>
        <w:tc>
          <w:tcPr>
            <w:tcW w:w="1162" w:type="dxa"/>
            <w:tcBorders>
              <w:top w:val="nil"/>
              <w:left w:val="nil"/>
              <w:bottom w:val="single" w:color="auto" w:sz="4" w:space="0"/>
              <w:right w:val="single" w:color="auto" w:sz="4" w:space="0"/>
            </w:tcBorders>
            <w:shd w:val="clear" w:color="auto" w:fill="auto"/>
            <w:noWrap/>
            <w:vAlign w:val="center"/>
          </w:tcPr>
          <w:p w14:paraId="3B7A2264">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2个</w:t>
            </w:r>
          </w:p>
        </w:tc>
      </w:tr>
      <w:tr w14:paraId="46E3D358">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5F5D07E1">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21BAFA07">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09256EF7">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野保科研基地运行保障管理系统管理的科研项目数量</w:t>
            </w:r>
          </w:p>
        </w:tc>
        <w:tc>
          <w:tcPr>
            <w:tcW w:w="1162" w:type="dxa"/>
            <w:tcBorders>
              <w:top w:val="nil"/>
              <w:left w:val="nil"/>
              <w:bottom w:val="single" w:color="auto" w:sz="4" w:space="0"/>
              <w:right w:val="single" w:color="auto" w:sz="4" w:space="0"/>
            </w:tcBorders>
            <w:shd w:val="clear" w:color="auto" w:fill="auto"/>
            <w:noWrap/>
            <w:vAlign w:val="center"/>
          </w:tcPr>
          <w:p w14:paraId="62BE87B9">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≥10项</w:t>
            </w:r>
          </w:p>
        </w:tc>
      </w:tr>
      <w:tr w14:paraId="41252788">
        <w:tblPrEx>
          <w:tblCellMar>
            <w:top w:w="0" w:type="dxa"/>
            <w:left w:w="108" w:type="dxa"/>
            <w:bottom w:w="0" w:type="dxa"/>
            <w:right w:w="108" w:type="dxa"/>
          </w:tblCellMar>
        </w:tblPrEx>
        <w:trPr>
          <w:trHeight w:val="283" w:hRule="atLeast"/>
        </w:trPr>
        <w:tc>
          <w:tcPr>
            <w:tcW w:w="675" w:type="dxa"/>
            <w:vMerge w:val="continue"/>
            <w:tcBorders>
              <w:left w:val="single" w:color="auto" w:sz="4" w:space="0"/>
              <w:right w:val="single" w:color="auto" w:sz="4" w:space="0"/>
            </w:tcBorders>
            <w:vAlign w:val="center"/>
          </w:tcPr>
          <w:p w14:paraId="5441AF8B">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63ECFE0B">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0082D8AA">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通过野保科研基地运行保障管理系统进行管理的科研项目占比</w:t>
            </w:r>
          </w:p>
        </w:tc>
        <w:tc>
          <w:tcPr>
            <w:tcW w:w="1162" w:type="dxa"/>
            <w:tcBorders>
              <w:top w:val="nil"/>
              <w:left w:val="nil"/>
              <w:bottom w:val="single" w:color="auto" w:sz="4" w:space="0"/>
              <w:right w:val="single" w:color="auto" w:sz="4" w:space="0"/>
            </w:tcBorders>
            <w:shd w:val="clear" w:color="auto" w:fill="auto"/>
            <w:noWrap/>
            <w:vAlign w:val="center"/>
          </w:tcPr>
          <w:p w14:paraId="04DAC70F">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≥90%</w:t>
            </w:r>
          </w:p>
        </w:tc>
      </w:tr>
      <w:tr w14:paraId="6A942D79">
        <w:tblPrEx>
          <w:tblCellMar>
            <w:top w:w="0" w:type="dxa"/>
            <w:left w:w="108" w:type="dxa"/>
            <w:bottom w:w="0" w:type="dxa"/>
            <w:right w:w="108" w:type="dxa"/>
          </w:tblCellMar>
        </w:tblPrEx>
        <w:trPr>
          <w:trHeight w:val="283" w:hRule="atLeast"/>
        </w:trPr>
        <w:tc>
          <w:tcPr>
            <w:tcW w:w="675" w:type="dxa"/>
            <w:vMerge w:val="continue"/>
            <w:tcBorders>
              <w:left w:val="single" w:color="auto" w:sz="4" w:space="0"/>
              <w:bottom w:val="single" w:color="auto" w:sz="4" w:space="0"/>
              <w:right w:val="single" w:color="auto" w:sz="4" w:space="0"/>
            </w:tcBorders>
            <w:vAlign w:val="center"/>
          </w:tcPr>
          <w:p w14:paraId="759D6F0E">
            <w:pPr>
              <w:widowControl/>
              <w:spacing w:line="240" w:lineRule="auto"/>
              <w:ind w:firstLine="0" w:firstLineChars="0"/>
              <w:jc w:val="left"/>
              <w:rPr>
                <w:rFonts w:ascii="仿宋_GB2312" w:hAnsi="等线" w:eastAsia="仿宋_GB2312" w:cs="宋体"/>
                <w:color w:val="000000"/>
                <w:kern w:val="0"/>
                <w:sz w:val="22"/>
                <w:szCs w:val="22"/>
              </w:rPr>
            </w:pPr>
          </w:p>
        </w:tc>
        <w:tc>
          <w:tcPr>
            <w:tcW w:w="2410" w:type="dxa"/>
            <w:vMerge w:val="continue"/>
            <w:tcBorders>
              <w:top w:val="nil"/>
              <w:left w:val="single" w:color="auto" w:sz="4" w:space="0"/>
              <w:bottom w:val="single" w:color="auto" w:sz="4" w:space="0"/>
              <w:right w:val="single" w:color="auto" w:sz="4" w:space="0"/>
            </w:tcBorders>
            <w:vAlign w:val="center"/>
          </w:tcPr>
          <w:p w14:paraId="09B50899">
            <w:pPr>
              <w:widowControl/>
              <w:spacing w:line="240" w:lineRule="auto"/>
              <w:ind w:firstLine="0" w:firstLineChars="0"/>
              <w:jc w:val="left"/>
              <w:rPr>
                <w:rFonts w:ascii="仿宋_GB2312" w:hAnsi="等线" w:eastAsia="仿宋_GB2312" w:cs="宋体"/>
                <w:color w:val="000000"/>
                <w:kern w:val="0"/>
                <w:sz w:val="22"/>
                <w:szCs w:val="22"/>
              </w:rPr>
            </w:pPr>
          </w:p>
        </w:tc>
        <w:tc>
          <w:tcPr>
            <w:tcW w:w="4536" w:type="dxa"/>
            <w:tcBorders>
              <w:top w:val="nil"/>
              <w:left w:val="nil"/>
              <w:bottom w:val="single" w:color="auto" w:sz="4" w:space="0"/>
              <w:right w:val="single" w:color="auto" w:sz="4" w:space="0"/>
            </w:tcBorders>
            <w:shd w:val="clear" w:color="auto" w:fill="auto"/>
            <w:noWrap/>
            <w:vAlign w:val="center"/>
          </w:tcPr>
          <w:p w14:paraId="61CCA06D">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实现对接的数字孪生模型数量</w:t>
            </w:r>
          </w:p>
        </w:tc>
        <w:tc>
          <w:tcPr>
            <w:tcW w:w="1162" w:type="dxa"/>
            <w:tcBorders>
              <w:top w:val="nil"/>
              <w:left w:val="nil"/>
              <w:bottom w:val="single" w:color="auto" w:sz="4" w:space="0"/>
              <w:right w:val="single" w:color="auto" w:sz="4" w:space="0"/>
            </w:tcBorders>
            <w:shd w:val="clear" w:color="auto" w:fill="auto"/>
            <w:noWrap/>
            <w:vAlign w:val="center"/>
          </w:tcPr>
          <w:p w14:paraId="5219A68B">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5个</w:t>
            </w:r>
          </w:p>
        </w:tc>
      </w:tr>
    </w:tbl>
    <w:p w14:paraId="4173A13E"/>
    <w:p w14:paraId="5A2871FF">
      <w:pPr>
        <w:pStyle w:val="2"/>
      </w:pPr>
      <w:bookmarkStart w:id="11" w:name="_Toc47536304"/>
      <w:bookmarkEnd w:id="11"/>
      <w:bookmarkStart w:id="12" w:name="_Toc47537166"/>
      <w:bookmarkEnd w:id="12"/>
      <w:bookmarkStart w:id="13" w:name="_Toc47539102"/>
      <w:bookmarkEnd w:id="13"/>
      <w:bookmarkStart w:id="14" w:name="_Toc47533288"/>
      <w:bookmarkEnd w:id="14"/>
      <w:bookmarkStart w:id="15" w:name="_Toc47536676"/>
      <w:bookmarkEnd w:id="15"/>
      <w:bookmarkStart w:id="16" w:name="_Toc47532923"/>
      <w:bookmarkEnd w:id="16"/>
      <w:r>
        <w:rPr>
          <w:rFonts w:hint="eastAsia"/>
        </w:rPr>
        <w:t>项目建设内容</w:t>
      </w:r>
    </w:p>
    <w:p w14:paraId="6C66EF73">
      <w:r>
        <w:rPr>
          <w:rFonts w:hint="eastAsia"/>
        </w:rPr>
        <w:t>生物安全实验室（P2）智慧管理模块拟建设P2实验室智慧管理子系统，实现实验室应急指挥、环境和设备实时监测预警、实验室安全管理、实验室“仪器设备、实验数据、试剂耗材、样品、危化品”管理等功能，提升生物安全实验室的安全运行能力和管理水平；野外调查工作管理模块拟建设“一体化”野外调查管理子系统，实现野外调查现场作业、数据同步、野外安全和野外装备、质量检查管理等功能，提升科研调查数据的客观性、准确性、完整性和时效性；生态监测网络管理模块拟建设“一张网”智慧感知子系统，实现生物多样性、碳通量、外来入侵物种的监测和预警以及生态监测台站管理等功能，提升自然保护地、湿地等生态监测能力；野保科研大数据管理模块拟建设“一套数”科研大数据管理子系统，实现生态监测数据库、野外调查数据库、实验室原始数据库以及野生动植物DNA基因库等数据库的大数据处理功能，提升生态网络监测和资源调查大数据深度挖掘和分析能力；野保科研大数据分析模块拟建设“多场景”科研科普成果管理子系统，实现野生动植物DNA基因分析产出、野生植物调查成果分析产出、生物多样性分析产出、极小种群复壮分析产出、湿地碳汇计量监测分析产出、生态调查监测成果分析产出、鸟类卫星追踪分析产出、外来入侵物种分析产出、野生动植物标本库分析产出等功能；野保科研基地运行保障管理模块拟建设科研基地运行保障管理子系统，实现科研项目管理、科研人员管理、后勤综合管理，以及配套的数据孪生底座和相关的传感器数据对接等功能，提升科研项目的全过程管理水平，保障科研基地安全、稳定运行；野保科研基地应用支撑环境模块拟搭建智能传感器、智能图像和行为识别、计算和存储服务、安全和网络服务等，实现支撑科研监测实时数据采集、科研大数据海量存储，以及科研基地和实验室态势全面感知的智慧化管理等功能。</w:t>
      </w:r>
    </w:p>
    <w:p w14:paraId="634BFB7D">
      <w:pPr>
        <w:widowControl/>
        <w:ind w:firstLine="720" w:firstLineChars="300"/>
        <w:textAlignment w:val="auto"/>
        <w:rPr>
          <w:rFonts w:cs="宋体"/>
          <w:b/>
          <w:bCs/>
          <w:kern w:val="0"/>
          <w:sz w:val="18"/>
          <w:szCs w:val="18"/>
          <w:lang w:bidi="ar"/>
        </w:rPr>
      </w:pPr>
      <w:r>
        <w:rPr>
          <w:rFonts w:hint="eastAsia"/>
        </w:rPr>
        <w:t>具体</w:t>
      </w:r>
      <w:r>
        <w:rPr>
          <w:rFonts w:hint="eastAsia"/>
          <w:b/>
        </w:rPr>
        <w:t>软件开发</w:t>
      </w:r>
      <w:r>
        <w:rPr>
          <w:rFonts w:hint="eastAsia"/>
        </w:rPr>
        <w:t>清单如下：</w:t>
      </w:r>
    </w:p>
    <w:tbl>
      <w:tblPr>
        <w:tblStyle w:val="36"/>
        <w:tblW w:w="8908" w:type="dxa"/>
        <w:tblInd w:w="0" w:type="dxa"/>
        <w:tblLayout w:type="fixed"/>
        <w:tblCellMar>
          <w:top w:w="0" w:type="dxa"/>
          <w:left w:w="108" w:type="dxa"/>
          <w:bottom w:w="0" w:type="dxa"/>
          <w:right w:w="108" w:type="dxa"/>
        </w:tblCellMar>
      </w:tblPr>
      <w:tblGrid>
        <w:gridCol w:w="675"/>
        <w:gridCol w:w="2138"/>
        <w:gridCol w:w="2398"/>
        <w:gridCol w:w="3697"/>
      </w:tblGrid>
      <w:tr w14:paraId="749CD2E4">
        <w:tblPrEx>
          <w:tblCellMar>
            <w:top w:w="0" w:type="dxa"/>
            <w:left w:w="108" w:type="dxa"/>
            <w:bottom w:w="0" w:type="dxa"/>
            <w:right w:w="108" w:type="dxa"/>
          </w:tblCellMar>
        </w:tblPrEx>
        <w:trPr>
          <w:trHeight w:val="283" w:hRule="atLeast"/>
        </w:trPr>
        <w:tc>
          <w:tcPr>
            <w:tcW w:w="675" w:type="dxa"/>
            <w:tcBorders>
              <w:top w:val="single" w:color="auto" w:sz="4" w:space="0"/>
              <w:left w:val="single" w:color="auto" w:sz="4" w:space="0"/>
              <w:bottom w:val="single" w:color="auto" w:sz="4" w:space="0"/>
              <w:right w:val="single" w:color="auto" w:sz="4" w:space="0"/>
            </w:tcBorders>
            <w:shd w:val="clear" w:color="auto" w:fill="F2F8FC"/>
            <w:noWrap/>
            <w:vAlign w:val="center"/>
          </w:tcPr>
          <w:p w14:paraId="0211E684">
            <w:pPr>
              <w:widowControl/>
              <w:spacing w:line="240" w:lineRule="auto"/>
              <w:ind w:firstLine="0" w:firstLineChars="0"/>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序号</w:t>
            </w:r>
          </w:p>
        </w:tc>
        <w:tc>
          <w:tcPr>
            <w:tcW w:w="2138" w:type="dxa"/>
            <w:tcBorders>
              <w:top w:val="single" w:color="auto" w:sz="4" w:space="0"/>
              <w:left w:val="nil"/>
              <w:bottom w:val="single" w:color="auto" w:sz="4" w:space="0"/>
              <w:right w:val="single" w:color="auto" w:sz="4" w:space="0"/>
            </w:tcBorders>
            <w:shd w:val="clear" w:color="auto" w:fill="F2F8FC"/>
            <w:noWrap/>
            <w:vAlign w:val="center"/>
          </w:tcPr>
          <w:p w14:paraId="29069E31">
            <w:pPr>
              <w:widowControl/>
              <w:spacing w:line="240" w:lineRule="auto"/>
              <w:ind w:firstLine="0" w:firstLineChars="0"/>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应用系统名称</w:t>
            </w:r>
          </w:p>
        </w:tc>
        <w:tc>
          <w:tcPr>
            <w:tcW w:w="2398" w:type="dxa"/>
            <w:tcBorders>
              <w:top w:val="single" w:color="auto" w:sz="4" w:space="0"/>
              <w:left w:val="nil"/>
              <w:bottom w:val="single" w:color="auto" w:sz="4" w:space="0"/>
              <w:right w:val="single" w:color="auto" w:sz="4" w:space="0"/>
            </w:tcBorders>
            <w:shd w:val="clear" w:color="auto" w:fill="F2F8FC"/>
            <w:noWrap/>
            <w:vAlign w:val="center"/>
          </w:tcPr>
          <w:p w14:paraId="1889CEEF">
            <w:pPr>
              <w:widowControl/>
              <w:spacing w:line="240" w:lineRule="auto"/>
              <w:ind w:firstLine="0" w:firstLineChars="0"/>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模块名称</w:t>
            </w:r>
          </w:p>
        </w:tc>
        <w:tc>
          <w:tcPr>
            <w:tcW w:w="3697" w:type="dxa"/>
            <w:tcBorders>
              <w:top w:val="single" w:color="auto" w:sz="4" w:space="0"/>
              <w:left w:val="nil"/>
              <w:bottom w:val="single" w:color="auto" w:sz="4" w:space="0"/>
              <w:right w:val="single" w:color="auto" w:sz="4" w:space="0"/>
            </w:tcBorders>
            <w:shd w:val="clear" w:color="auto" w:fill="F2F8FC"/>
            <w:noWrap/>
            <w:vAlign w:val="center"/>
          </w:tcPr>
          <w:p w14:paraId="50CA11F1">
            <w:pPr>
              <w:widowControl/>
              <w:spacing w:line="240" w:lineRule="auto"/>
              <w:ind w:firstLine="0" w:firstLineChars="0"/>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模块描述</w:t>
            </w:r>
          </w:p>
        </w:tc>
      </w:tr>
      <w:tr w14:paraId="636FAB4C">
        <w:tblPrEx>
          <w:tblCellMar>
            <w:top w:w="0" w:type="dxa"/>
            <w:left w:w="108" w:type="dxa"/>
            <w:bottom w:w="0" w:type="dxa"/>
            <w:right w:w="108" w:type="dxa"/>
          </w:tblCellMar>
        </w:tblPrEx>
        <w:trPr>
          <w:trHeight w:val="472"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AB9BBB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c>
          <w:tcPr>
            <w:tcW w:w="2138" w:type="dxa"/>
            <w:tcBorders>
              <w:top w:val="nil"/>
              <w:left w:val="nil"/>
              <w:bottom w:val="single" w:color="auto" w:sz="4" w:space="0"/>
              <w:right w:val="single" w:color="auto" w:sz="4" w:space="0"/>
            </w:tcBorders>
            <w:shd w:val="clear" w:color="auto" w:fill="auto"/>
            <w:noWrap/>
            <w:vAlign w:val="center"/>
          </w:tcPr>
          <w:p w14:paraId="2604F09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3602C61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P2实验室样品管理-实验样品接收登记管理</w:t>
            </w:r>
          </w:p>
        </w:tc>
        <w:tc>
          <w:tcPr>
            <w:tcW w:w="3697" w:type="dxa"/>
            <w:tcBorders>
              <w:top w:val="nil"/>
              <w:left w:val="nil"/>
              <w:bottom w:val="single" w:color="auto" w:sz="4" w:space="0"/>
              <w:right w:val="single" w:color="auto" w:sz="4" w:space="0"/>
            </w:tcBorders>
            <w:shd w:val="clear" w:color="auto" w:fill="auto"/>
            <w:noWrap/>
            <w:vAlign w:val="center"/>
          </w:tcPr>
          <w:p w14:paraId="1DD204B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实现实验室样品的接收和登记管理。对特殊样品实现特殊流程管理。实现样品状态核查登记。</w:t>
            </w:r>
          </w:p>
        </w:tc>
      </w:tr>
      <w:tr w14:paraId="1E14CB5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897617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c>
          <w:tcPr>
            <w:tcW w:w="2138" w:type="dxa"/>
            <w:tcBorders>
              <w:top w:val="nil"/>
              <w:left w:val="nil"/>
              <w:bottom w:val="single" w:color="auto" w:sz="4" w:space="0"/>
              <w:right w:val="single" w:color="auto" w:sz="4" w:space="0"/>
            </w:tcBorders>
            <w:shd w:val="clear" w:color="auto" w:fill="auto"/>
            <w:noWrap/>
            <w:vAlign w:val="center"/>
          </w:tcPr>
          <w:p w14:paraId="38C72F8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1EB2925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P2实验室样品管理-实验样品溯源管理</w:t>
            </w:r>
          </w:p>
        </w:tc>
        <w:tc>
          <w:tcPr>
            <w:tcW w:w="3697" w:type="dxa"/>
            <w:tcBorders>
              <w:top w:val="nil"/>
              <w:left w:val="nil"/>
              <w:bottom w:val="single" w:color="auto" w:sz="4" w:space="0"/>
              <w:right w:val="single" w:color="auto" w:sz="4" w:space="0"/>
            </w:tcBorders>
            <w:shd w:val="clear" w:color="auto" w:fill="auto"/>
            <w:noWrap/>
            <w:vAlign w:val="center"/>
          </w:tcPr>
          <w:p w14:paraId="11BD64C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实现实验室样品的标识与编号，实现样品流转记录全程管理。</w:t>
            </w:r>
          </w:p>
        </w:tc>
      </w:tr>
      <w:tr w14:paraId="1DBA6EB9">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455459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c>
          <w:tcPr>
            <w:tcW w:w="2138" w:type="dxa"/>
            <w:tcBorders>
              <w:top w:val="nil"/>
              <w:left w:val="nil"/>
              <w:bottom w:val="single" w:color="auto" w:sz="4" w:space="0"/>
              <w:right w:val="single" w:color="auto" w:sz="4" w:space="0"/>
            </w:tcBorders>
            <w:shd w:val="clear" w:color="auto" w:fill="auto"/>
            <w:noWrap/>
            <w:vAlign w:val="center"/>
          </w:tcPr>
          <w:p w14:paraId="65FB89F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590D262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P2实验室样品管理-实验样品存放管理</w:t>
            </w:r>
          </w:p>
        </w:tc>
        <w:tc>
          <w:tcPr>
            <w:tcW w:w="3697" w:type="dxa"/>
            <w:tcBorders>
              <w:top w:val="nil"/>
              <w:left w:val="nil"/>
              <w:bottom w:val="single" w:color="auto" w:sz="4" w:space="0"/>
              <w:right w:val="single" w:color="auto" w:sz="4" w:space="0"/>
            </w:tcBorders>
            <w:shd w:val="clear" w:color="auto" w:fill="auto"/>
            <w:noWrap/>
            <w:vAlign w:val="center"/>
          </w:tcPr>
          <w:p w14:paraId="008E019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实现实验室样品存放入库的管理、实时查询。实现样品的移动、销毁等全程管理。</w:t>
            </w:r>
          </w:p>
        </w:tc>
      </w:tr>
      <w:tr w14:paraId="1AD2D0C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0E93B5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w:t>
            </w:r>
          </w:p>
        </w:tc>
        <w:tc>
          <w:tcPr>
            <w:tcW w:w="2138" w:type="dxa"/>
            <w:tcBorders>
              <w:top w:val="nil"/>
              <w:left w:val="nil"/>
              <w:bottom w:val="single" w:color="auto" w:sz="4" w:space="0"/>
              <w:right w:val="single" w:color="auto" w:sz="4" w:space="0"/>
            </w:tcBorders>
            <w:shd w:val="clear" w:color="auto" w:fill="auto"/>
            <w:noWrap/>
            <w:vAlign w:val="center"/>
          </w:tcPr>
          <w:p w14:paraId="32A1148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38E805C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P2实验室样品管理-实验室活体样品管理</w:t>
            </w:r>
          </w:p>
        </w:tc>
        <w:tc>
          <w:tcPr>
            <w:tcW w:w="3697" w:type="dxa"/>
            <w:tcBorders>
              <w:top w:val="nil"/>
              <w:left w:val="nil"/>
              <w:bottom w:val="single" w:color="auto" w:sz="4" w:space="0"/>
              <w:right w:val="single" w:color="auto" w:sz="4" w:space="0"/>
            </w:tcBorders>
            <w:shd w:val="clear" w:color="auto" w:fill="auto"/>
            <w:noWrap/>
            <w:vAlign w:val="center"/>
          </w:tcPr>
          <w:p w14:paraId="053D128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实现实验室活体样品的全过程管理，对于逃逸进行预警。</w:t>
            </w:r>
          </w:p>
        </w:tc>
      </w:tr>
      <w:tr w14:paraId="5D78F5E3">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66B9F9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c>
          <w:tcPr>
            <w:tcW w:w="2138" w:type="dxa"/>
            <w:tcBorders>
              <w:top w:val="nil"/>
              <w:left w:val="nil"/>
              <w:bottom w:val="single" w:color="auto" w:sz="4" w:space="0"/>
              <w:right w:val="single" w:color="auto" w:sz="4" w:space="0"/>
            </w:tcBorders>
            <w:shd w:val="clear" w:color="auto" w:fill="auto"/>
            <w:noWrap/>
            <w:vAlign w:val="center"/>
          </w:tcPr>
          <w:p w14:paraId="726AE79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41EF909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P2实验人员实时监控管理-实验室人员进出监控</w:t>
            </w:r>
          </w:p>
        </w:tc>
        <w:tc>
          <w:tcPr>
            <w:tcW w:w="3697" w:type="dxa"/>
            <w:tcBorders>
              <w:top w:val="nil"/>
              <w:left w:val="nil"/>
              <w:bottom w:val="single" w:color="auto" w:sz="4" w:space="0"/>
              <w:right w:val="single" w:color="auto" w:sz="4" w:space="0"/>
            </w:tcBorders>
            <w:shd w:val="clear" w:color="auto" w:fill="auto"/>
            <w:noWrap/>
            <w:vAlign w:val="center"/>
          </w:tcPr>
          <w:p w14:paraId="7AF2462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实现实验人员的进出记录和监控。对于重要的生物安全实验，实现全程监管和实时预警。</w:t>
            </w:r>
          </w:p>
        </w:tc>
      </w:tr>
      <w:tr w14:paraId="04DD7D25">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875F4B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w:t>
            </w:r>
          </w:p>
        </w:tc>
        <w:tc>
          <w:tcPr>
            <w:tcW w:w="2138" w:type="dxa"/>
            <w:tcBorders>
              <w:top w:val="nil"/>
              <w:left w:val="nil"/>
              <w:bottom w:val="single" w:color="auto" w:sz="4" w:space="0"/>
              <w:right w:val="single" w:color="auto" w:sz="4" w:space="0"/>
            </w:tcBorders>
            <w:shd w:val="clear" w:color="auto" w:fill="auto"/>
            <w:noWrap/>
            <w:vAlign w:val="center"/>
          </w:tcPr>
          <w:p w14:paraId="4EB8A50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5130B43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P2实验人员实时监控管理-实验室人员区域定位</w:t>
            </w:r>
          </w:p>
        </w:tc>
        <w:tc>
          <w:tcPr>
            <w:tcW w:w="3697" w:type="dxa"/>
            <w:tcBorders>
              <w:top w:val="nil"/>
              <w:left w:val="nil"/>
              <w:bottom w:val="single" w:color="auto" w:sz="4" w:space="0"/>
              <w:right w:val="single" w:color="auto" w:sz="4" w:space="0"/>
            </w:tcBorders>
            <w:shd w:val="clear" w:color="auto" w:fill="auto"/>
            <w:noWrap/>
            <w:vAlign w:val="center"/>
          </w:tcPr>
          <w:p w14:paraId="58F99AE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实现实验室内人员总数量和实验房间的人员分布情况的实时获取。</w:t>
            </w:r>
          </w:p>
        </w:tc>
      </w:tr>
      <w:tr w14:paraId="23029116">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06A25EE">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w:t>
            </w:r>
          </w:p>
        </w:tc>
        <w:tc>
          <w:tcPr>
            <w:tcW w:w="2138" w:type="dxa"/>
            <w:tcBorders>
              <w:top w:val="nil"/>
              <w:left w:val="nil"/>
              <w:bottom w:val="single" w:color="auto" w:sz="4" w:space="0"/>
              <w:right w:val="single" w:color="auto" w:sz="4" w:space="0"/>
            </w:tcBorders>
            <w:shd w:val="clear" w:color="auto" w:fill="auto"/>
            <w:noWrap/>
            <w:vAlign w:val="center"/>
          </w:tcPr>
          <w:p w14:paraId="03F377C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00B0237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P2实验人员实时监控管理-实验室实时音视频对讲</w:t>
            </w:r>
          </w:p>
        </w:tc>
        <w:tc>
          <w:tcPr>
            <w:tcW w:w="3697" w:type="dxa"/>
            <w:tcBorders>
              <w:top w:val="nil"/>
              <w:left w:val="nil"/>
              <w:bottom w:val="single" w:color="auto" w:sz="4" w:space="0"/>
              <w:right w:val="single" w:color="auto" w:sz="4" w:space="0"/>
            </w:tcBorders>
            <w:shd w:val="clear" w:color="auto" w:fill="auto"/>
            <w:noWrap/>
            <w:vAlign w:val="center"/>
          </w:tcPr>
          <w:p w14:paraId="010F4D6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实现实验室重要区域与已有的中控室语音台的实时对讲。</w:t>
            </w:r>
          </w:p>
        </w:tc>
      </w:tr>
      <w:tr w14:paraId="1173845A">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01A675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w:t>
            </w:r>
          </w:p>
        </w:tc>
        <w:tc>
          <w:tcPr>
            <w:tcW w:w="2138" w:type="dxa"/>
            <w:tcBorders>
              <w:top w:val="nil"/>
              <w:left w:val="nil"/>
              <w:bottom w:val="single" w:color="auto" w:sz="4" w:space="0"/>
              <w:right w:val="single" w:color="auto" w:sz="4" w:space="0"/>
            </w:tcBorders>
            <w:shd w:val="clear" w:color="auto" w:fill="auto"/>
            <w:noWrap/>
            <w:vAlign w:val="center"/>
          </w:tcPr>
          <w:p w14:paraId="7DEE25D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35A9F13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P2实验室仪器设备管理-仪器设备申购管理</w:t>
            </w:r>
          </w:p>
        </w:tc>
        <w:tc>
          <w:tcPr>
            <w:tcW w:w="3697" w:type="dxa"/>
            <w:tcBorders>
              <w:top w:val="nil"/>
              <w:left w:val="nil"/>
              <w:bottom w:val="single" w:color="auto" w:sz="4" w:space="0"/>
              <w:right w:val="single" w:color="auto" w:sz="4" w:space="0"/>
            </w:tcBorders>
            <w:shd w:val="clear" w:color="auto" w:fill="auto"/>
            <w:noWrap/>
            <w:vAlign w:val="center"/>
          </w:tcPr>
          <w:p w14:paraId="7E413AF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实现实验室仪器设备采购的全流程管理。</w:t>
            </w:r>
          </w:p>
        </w:tc>
      </w:tr>
      <w:tr w14:paraId="223F8E1C">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1D86388">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w:t>
            </w:r>
          </w:p>
        </w:tc>
        <w:tc>
          <w:tcPr>
            <w:tcW w:w="2138" w:type="dxa"/>
            <w:tcBorders>
              <w:top w:val="nil"/>
              <w:left w:val="nil"/>
              <w:bottom w:val="single" w:color="auto" w:sz="4" w:space="0"/>
              <w:right w:val="single" w:color="auto" w:sz="4" w:space="0"/>
            </w:tcBorders>
            <w:shd w:val="clear" w:color="auto" w:fill="auto"/>
            <w:noWrap/>
            <w:vAlign w:val="center"/>
          </w:tcPr>
          <w:p w14:paraId="4C7AEE3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5ACEFD1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P2实验室仪器设备管理-仪器设备台账管理</w:t>
            </w:r>
          </w:p>
        </w:tc>
        <w:tc>
          <w:tcPr>
            <w:tcW w:w="3697" w:type="dxa"/>
            <w:tcBorders>
              <w:top w:val="nil"/>
              <w:left w:val="nil"/>
              <w:bottom w:val="single" w:color="auto" w:sz="4" w:space="0"/>
              <w:right w:val="single" w:color="auto" w:sz="4" w:space="0"/>
            </w:tcBorders>
            <w:shd w:val="clear" w:color="auto" w:fill="auto"/>
            <w:noWrap/>
            <w:vAlign w:val="center"/>
          </w:tcPr>
          <w:p w14:paraId="0EE25D0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实现实验室仪器设备的台账管理。</w:t>
            </w:r>
          </w:p>
        </w:tc>
      </w:tr>
      <w:tr w14:paraId="698BA4D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85E46D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c>
          <w:tcPr>
            <w:tcW w:w="2138" w:type="dxa"/>
            <w:tcBorders>
              <w:top w:val="nil"/>
              <w:left w:val="nil"/>
              <w:bottom w:val="single" w:color="auto" w:sz="4" w:space="0"/>
              <w:right w:val="single" w:color="auto" w:sz="4" w:space="0"/>
            </w:tcBorders>
            <w:shd w:val="clear" w:color="auto" w:fill="auto"/>
            <w:noWrap/>
            <w:vAlign w:val="center"/>
          </w:tcPr>
          <w:p w14:paraId="1A40BBC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03A9C35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P2实验室仪器设备管理-仪器设备使用管理</w:t>
            </w:r>
          </w:p>
        </w:tc>
        <w:tc>
          <w:tcPr>
            <w:tcW w:w="3697" w:type="dxa"/>
            <w:tcBorders>
              <w:top w:val="nil"/>
              <w:left w:val="nil"/>
              <w:bottom w:val="single" w:color="auto" w:sz="4" w:space="0"/>
              <w:right w:val="single" w:color="auto" w:sz="4" w:space="0"/>
            </w:tcBorders>
            <w:shd w:val="clear" w:color="auto" w:fill="auto"/>
            <w:noWrap/>
            <w:vAlign w:val="center"/>
          </w:tcPr>
          <w:p w14:paraId="45D3FFA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实现实验室重要仪器设备授权管理，实现重要仪器设备使用日志管理。</w:t>
            </w:r>
          </w:p>
        </w:tc>
      </w:tr>
      <w:tr w14:paraId="1C15FFEC">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688887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w:t>
            </w:r>
          </w:p>
        </w:tc>
        <w:tc>
          <w:tcPr>
            <w:tcW w:w="2138" w:type="dxa"/>
            <w:tcBorders>
              <w:top w:val="nil"/>
              <w:left w:val="nil"/>
              <w:bottom w:val="single" w:color="auto" w:sz="4" w:space="0"/>
              <w:right w:val="single" w:color="auto" w:sz="4" w:space="0"/>
            </w:tcBorders>
            <w:shd w:val="clear" w:color="auto" w:fill="auto"/>
            <w:noWrap/>
            <w:vAlign w:val="center"/>
          </w:tcPr>
          <w:p w14:paraId="76E9A6F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7DB42EE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P2实验室仪器设备管理-仪器设备维保管理</w:t>
            </w:r>
          </w:p>
        </w:tc>
        <w:tc>
          <w:tcPr>
            <w:tcW w:w="3697" w:type="dxa"/>
            <w:tcBorders>
              <w:top w:val="nil"/>
              <w:left w:val="nil"/>
              <w:bottom w:val="single" w:color="auto" w:sz="4" w:space="0"/>
              <w:right w:val="single" w:color="auto" w:sz="4" w:space="0"/>
            </w:tcBorders>
            <w:shd w:val="clear" w:color="auto" w:fill="auto"/>
            <w:noWrap/>
            <w:vAlign w:val="center"/>
          </w:tcPr>
          <w:p w14:paraId="525F9EF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实现实验室仪器设备的维保分类评估、维护计划管理及历史维护记录登记等。</w:t>
            </w:r>
          </w:p>
        </w:tc>
      </w:tr>
      <w:tr w14:paraId="5FD0B2BC">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06788C7">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w:t>
            </w:r>
          </w:p>
        </w:tc>
        <w:tc>
          <w:tcPr>
            <w:tcW w:w="2138" w:type="dxa"/>
            <w:tcBorders>
              <w:top w:val="nil"/>
              <w:left w:val="nil"/>
              <w:bottom w:val="single" w:color="auto" w:sz="4" w:space="0"/>
              <w:right w:val="single" w:color="auto" w:sz="4" w:space="0"/>
            </w:tcBorders>
            <w:shd w:val="clear" w:color="auto" w:fill="auto"/>
            <w:noWrap/>
            <w:vAlign w:val="center"/>
          </w:tcPr>
          <w:p w14:paraId="2FF6342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3A23D0B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P2实验室仪器设备管理-仪器设备借用管理</w:t>
            </w:r>
          </w:p>
        </w:tc>
        <w:tc>
          <w:tcPr>
            <w:tcW w:w="3697" w:type="dxa"/>
            <w:tcBorders>
              <w:top w:val="nil"/>
              <w:left w:val="nil"/>
              <w:bottom w:val="single" w:color="auto" w:sz="4" w:space="0"/>
              <w:right w:val="single" w:color="auto" w:sz="4" w:space="0"/>
            </w:tcBorders>
            <w:shd w:val="clear" w:color="auto" w:fill="auto"/>
            <w:noWrap/>
            <w:vAlign w:val="center"/>
          </w:tcPr>
          <w:p w14:paraId="0CF0FCF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实现实验室仪器设备的第三方借用流程管理。</w:t>
            </w:r>
          </w:p>
        </w:tc>
      </w:tr>
      <w:tr w14:paraId="097AADFA">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BD21B83">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w:t>
            </w:r>
          </w:p>
        </w:tc>
        <w:tc>
          <w:tcPr>
            <w:tcW w:w="2138" w:type="dxa"/>
            <w:tcBorders>
              <w:top w:val="nil"/>
              <w:left w:val="nil"/>
              <w:bottom w:val="single" w:color="auto" w:sz="4" w:space="0"/>
              <w:right w:val="single" w:color="auto" w:sz="4" w:space="0"/>
            </w:tcBorders>
            <w:shd w:val="clear" w:color="auto" w:fill="auto"/>
            <w:noWrap/>
            <w:vAlign w:val="center"/>
          </w:tcPr>
          <w:p w14:paraId="1261876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3EEC69C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P2实验室仪器设备管理-仪器设备报废管理</w:t>
            </w:r>
          </w:p>
        </w:tc>
        <w:tc>
          <w:tcPr>
            <w:tcW w:w="3697" w:type="dxa"/>
            <w:tcBorders>
              <w:top w:val="nil"/>
              <w:left w:val="nil"/>
              <w:bottom w:val="single" w:color="auto" w:sz="4" w:space="0"/>
              <w:right w:val="single" w:color="auto" w:sz="4" w:space="0"/>
            </w:tcBorders>
            <w:shd w:val="clear" w:color="auto" w:fill="auto"/>
            <w:noWrap/>
            <w:vAlign w:val="center"/>
          </w:tcPr>
          <w:p w14:paraId="5C7E618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实现实验室仪器设备的报废流程管理。</w:t>
            </w:r>
          </w:p>
        </w:tc>
      </w:tr>
      <w:tr w14:paraId="59BD9BC9">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BEEC24E">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w:t>
            </w:r>
          </w:p>
        </w:tc>
        <w:tc>
          <w:tcPr>
            <w:tcW w:w="2138" w:type="dxa"/>
            <w:tcBorders>
              <w:top w:val="nil"/>
              <w:left w:val="nil"/>
              <w:bottom w:val="single" w:color="auto" w:sz="4" w:space="0"/>
              <w:right w:val="single" w:color="auto" w:sz="4" w:space="0"/>
            </w:tcBorders>
            <w:shd w:val="clear" w:color="auto" w:fill="auto"/>
            <w:noWrap/>
            <w:vAlign w:val="center"/>
          </w:tcPr>
          <w:p w14:paraId="7BC997D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7025EF0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P2实验数据管理-实验数据实时调阅</w:t>
            </w:r>
          </w:p>
        </w:tc>
        <w:tc>
          <w:tcPr>
            <w:tcW w:w="3697" w:type="dxa"/>
            <w:tcBorders>
              <w:top w:val="nil"/>
              <w:left w:val="nil"/>
              <w:bottom w:val="single" w:color="auto" w:sz="4" w:space="0"/>
              <w:right w:val="single" w:color="auto" w:sz="4" w:space="0"/>
            </w:tcBorders>
            <w:shd w:val="clear" w:color="auto" w:fill="auto"/>
            <w:noWrap/>
            <w:vAlign w:val="center"/>
          </w:tcPr>
          <w:p w14:paraId="522F4E5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对于已有的支持远传的实验室仪器设备，实现实时数据的调阅。</w:t>
            </w:r>
          </w:p>
        </w:tc>
      </w:tr>
      <w:tr w14:paraId="29B08729">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8FFD0B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15</w:t>
            </w:r>
          </w:p>
        </w:tc>
        <w:tc>
          <w:tcPr>
            <w:tcW w:w="2138" w:type="dxa"/>
            <w:tcBorders>
              <w:top w:val="nil"/>
              <w:left w:val="nil"/>
              <w:bottom w:val="single" w:color="auto" w:sz="4" w:space="0"/>
              <w:right w:val="single" w:color="auto" w:sz="4" w:space="0"/>
            </w:tcBorders>
            <w:shd w:val="clear" w:color="auto" w:fill="auto"/>
            <w:noWrap/>
            <w:vAlign w:val="center"/>
          </w:tcPr>
          <w:p w14:paraId="33BE39B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76AFC1B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P2实验数据管理-原始数据下载和查询</w:t>
            </w:r>
          </w:p>
        </w:tc>
        <w:tc>
          <w:tcPr>
            <w:tcW w:w="3697" w:type="dxa"/>
            <w:tcBorders>
              <w:top w:val="nil"/>
              <w:left w:val="nil"/>
              <w:bottom w:val="single" w:color="auto" w:sz="4" w:space="0"/>
              <w:right w:val="single" w:color="auto" w:sz="4" w:space="0"/>
            </w:tcBorders>
            <w:shd w:val="clear" w:color="auto" w:fill="auto"/>
            <w:noWrap/>
            <w:vAlign w:val="center"/>
          </w:tcPr>
          <w:p w14:paraId="1129575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对于已有的支持原始数据调阅的实验室仪器设备，实现原始数据的下载和存储。</w:t>
            </w:r>
          </w:p>
        </w:tc>
      </w:tr>
      <w:tr w14:paraId="47BEC4BB">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940857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16</w:t>
            </w:r>
          </w:p>
        </w:tc>
        <w:tc>
          <w:tcPr>
            <w:tcW w:w="2138" w:type="dxa"/>
            <w:tcBorders>
              <w:top w:val="nil"/>
              <w:left w:val="nil"/>
              <w:bottom w:val="single" w:color="auto" w:sz="4" w:space="0"/>
              <w:right w:val="single" w:color="auto" w:sz="4" w:space="0"/>
            </w:tcBorders>
            <w:shd w:val="clear" w:color="auto" w:fill="auto"/>
            <w:noWrap/>
            <w:vAlign w:val="center"/>
          </w:tcPr>
          <w:p w14:paraId="52D9130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5BAAF64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P2实验数据管理-第三方实验数据导入</w:t>
            </w:r>
          </w:p>
        </w:tc>
        <w:tc>
          <w:tcPr>
            <w:tcW w:w="3697" w:type="dxa"/>
            <w:tcBorders>
              <w:top w:val="nil"/>
              <w:left w:val="nil"/>
              <w:bottom w:val="single" w:color="auto" w:sz="4" w:space="0"/>
              <w:right w:val="single" w:color="auto" w:sz="4" w:space="0"/>
            </w:tcBorders>
            <w:shd w:val="clear" w:color="auto" w:fill="auto"/>
            <w:noWrap/>
            <w:vAlign w:val="center"/>
          </w:tcPr>
          <w:p w14:paraId="78D431C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对委托第三方进行实验分析的数据，按照规定格式导入系统中，并实现数据自动关联。</w:t>
            </w:r>
          </w:p>
        </w:tc>
      </w:tr>
      <w:tr w14:paraId="1A6801E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3EFED3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17</w:t>
            </w:r>
          </w:p>
        </w:tc>
        <w:tc>
          <w:tcPr>
            <w:tcW w:w="2138" w:type="dxa"/>
            <w:tcBorders>
              <w:top w:val="nil"/>
              <w:left w:val="nil"/>
              <w:bottom w:val="single" w:color="auto" w:sz="4" w:space="0"/>
              <w:right w:val="single" w:color="auto" w:sz="4" w:space="0"/>
            </w:tcBorders>
            <w:shd w:val="clear" w:color="auto" w:fill="auto"/>
            <w:noWrap/>
            <w:vAlign w:val="center"/>
          </w:tcPr>
          <w:p w14:paraId="74E5EF4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5749854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P2实验数据管理-实验日志填报</w:t>
            </w:r>
          </w:p>
        </w:tc>
        <w:tc>
          <w:tcPr>
            <w:tcW w:w="3697" w:type="dxa"/>
            <w:tcBorders>
              <w:top w:val="nil"/>
              <w:left w:val="nil"/>
              <w:bottom w:val="single" w:color="auto" w:sz="4" w:space="0"/>
              <w:right w:val="single" w:color="auto" w:sz="4" w:space="0"/>
            </w:tcBorders>
            <w:shd w:val="clear" w:color="auto" w:fill="auto"/>
            <w:noWrap/>
            <w:vAlign w:val="center"/>
          </w:tcPr>
          <w:p w14:paraId="4429753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实现对实验的日志填报、查询等管理。</w:t>
            </w:r>
          </w:p>
        </w:tc>
      </w:tr>
      <w:tr w14:paraId="09CDD24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4AA271D">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18</w:t>
            </w:r>
          </w:p>
        </w:tc>
        <w:tc>
          <w:tcPr>
            <w:tcW w:w="2138" w:type="dxa"/>
            <w:tcBorders>
              <w:top w:val="nil"/>
              <w:left w:val="nil"/>
              <w:bottom w:val="single" w:color="auto" w:sz="4" w:space="0"/>
              <w:right w:val="single" w:color="auto" w:sz="4" w:space="0"/>
            </w:tcBorders>
            <w:shd w:val="clear" w:color="auto" w:fill="auto"/>
            <w:noWrap/>
            <w:vAlign w:val="center"/>
          </w:tcPr>
          <w:p w14:paraId="6EA1D46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45B81E7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P2实验室试剂耗材管理</w:t>
            </w:r>
          </w:p>
        </w:tc>
        <w:tc>
          <w:tcPr>
            <w:tcW w:w="3697" w:type="dxa"/>
            <w:tcBorders>
              <w:top w:val="nil"/>
              <w:left w:val="nil"/>
              <w:bottom w:val="single" w:color="auto" w:sz="4" w:space="0"/>
              <w:right w:val="single" w:color="auto" w:sz="4" w:space="0"/>
            </w:tcBorders>
            <w:shd w:val="clear" w:color="auto" w:fill="auto"/>
            <w:noWrap/>
            <w:vAlign w:val="center"/>
          </w:tcPr>
          <w:p w14:paraId="281C160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实现实验室的耗材试剂流程管理。</w:t>
            </w:r>
          </w:p>
        </w:tc>
      </w:tr>
      <w:tr w14:paraId="10FB7051">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6801E3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19</w:t>
            </w:r>
          </w:p>
        </w:tc>
        <w:tc>
          <w:tcPr>
            <w:tcW w:w="2138" w:type="dxa"/>
            <w:tcBorders>
              <w:top w:val="nil"/>
              <w:left w:val="nil"/>
              <w:bottom w:val="single" w:color="auto" w:sz="4" w:space="0"/>
              <w:right w:val="single" w:color="auto" w:sz="4" w:space="0"/>
            </w:tcBorders>
            <w:shd w:val="clear" w:color="auto" w:fill="auto"/>
            <w:noWrap/>
            <w:vAlign w:val="center"/>
          </w:tcPr>
          <w:p w14:paraId="58F03FC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44AD67A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P2实验室危化品管理-实验室危化品申购管理</w:t>
            </w:r>
          </w:p>
        </w:tc>
        <w:tc>
          <w:tcPr>
            <w:tcW w:w="3697" w:type="dxa"/>
            <w:tcBorders>
              <w:top w:val="nil"/>
              <w:left w:val="nil"/>
              <w:bottom w:val="single" w:color="auto" w:sz="4" w:space="0"/>
              <w:right w:val="single" w:color="auto" w:sz="4" w:space="0"/>
            </w:tcBorders>
            <w:shd w:val="clear" w:color="auto" w:fill="auto"/>
            <w:noWrap/>
            <w:vAlign w:val="center"/>
          </w:tcPr>
          <w:p w14:paraId="2AA0A5B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实现实验室危化品的申购流程管理。</w:t>
            </w:r>
          </w:p>
        </w:tc>
      </w:tr>
      <w:tr w14:paraId="7574592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27360C3">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c>
          <w:tcPr>
            <w:tcW w:w="2138" w:type="dxa"/>
            <w:tcBorders>
              <w:top w:val="nil"/>
              <w:left w:val="nil"/>
              <w:bottom w:val="single" w:color="auto" w:sz="4" w:space="0"/>
              <w:right w:val="single" w:color="auto" w:sz="4" w:space="0"/>
            </w:tcBorders>
            <w:shd w:val="clear" w:color="auto" w:fill="auto"/>
            <w:noWrap/>
            <w:vAlign w:val="center"/>
          </w:tcPr>
          <w:p w14:paraId="42C75CF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58C6A2A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P2实验室危化品管理-实验室危化品领用管理</w:t>
            </w:r>
          </w:p>
        </w:tc>
        <w:tc>
          <w:tcPr>
            <w:tcW w:w="3697" w:type="dxa"/>
            <w:tcBorders>
              <w:top w:val="nil"/>
              <w:left w:val="nil"/>
              <w:bottom w:val="single" w:color="auto" w:sz="4" w:space="0"/>
              <w:right w:val="single" w:color="auto" w:sz="4" w:space="0"/>
            </w:tcBorders>
            <w:shd w:val="clear" w:color="auto" w:fill="auto"/>
            <w:noWrap/>
            <w:vAlign w:val="center"/>
          </w:tcPr>
          <w:p w14:paraId="11CC615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实现实验室危化品的领用流程管理。</w:t>
            </w:r>
          </w:p>
        </w:tc>
      </w:tr>
      <w:tr w14:paraId="24E035D9">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A5B206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21</w:t>
            </w:r>
          </w:p>
        </w:tc>
        <w:tc>
          <w:tcPr>
            <w:tcW w:w="2138" w:type="dxa"/>
            <w:tcBorders>
              <w:top w:val="nil"/>
              <w:left w:val="nil"/>
              <w:bottom w:val="single" w:color="auto" w:sz="4" w:space="0"/>
              <w:right w:val="single" w:color="auto" w:sz="4" w:space="0"/>
            </w:tcBorders>
            <w:shd w:val="clear" w:color="auto" w:fill="auto"/>
            <w:noWrap/>
            <w:vAlign w:val="center"/>
          </w:tcPr>
          <w:p w14:paraId="22F29F9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194EB04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P2实验室危化品管理-实验室危化品存放管理</w:t>
            </w:r>
          </w:p>
        </w:tc>
        <w:tc>
          <w:tcPr>
            <w:tcW w:w="3697" w:type="dxa"/>
            <w:tcBorders>
              <w:top w:val="nil"/>
              <w:left w:val="nil"/>
              <w:bottom w:val="single" w:color="auto" w:sz="4" w:space="0"/>
              <w:right w:val="single" w:color="auto" w:sz="4" w:space="0"/>
            </w:tcBorders>
            <w:shd w:val="clear" w:color="auto" w:fill="auto"/>
            <w:noWrap/>
            <w:vAlign w:val="center"/>
          </w:tcPr>
          <w:p w14:paraId="3408D05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实现实验室危化品的存放流程管理。</w:t>
            </w:r>
          </w:p>
        </w:tc>
      </w:tr>
      <w:tr w14:paraId="5B992B5A">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32CFB3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22</w:t>
            </w:r>
          </w:p>
        </w:tc>
        <w:tc>
          <w:tcPr>
            <w:tcW w:w="2138" w:type="dxa"/>
            <w:tcBorders>
              <w:top w:val="nil"/>
              <w:left w:val="nil"/>
              <w:bottom w:val="single" w:color="auto" w:sz="4" w:space="0"/>
              <w:right w:val="single" w:color="auto" w:sz="4" w:space="0"/>
            </w:tcBorders>
            <w:shd w:val="clear" w:color="auto" w:fill="auto"/>
            <w:noWrap/>
            <w:vAlign w:val="center"/>
          </w:tcPr>
          <w:p w14:paraId="373A111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22A36A0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P2实验室危废管理-实验室废液管理</w:t>
            </w:r>
          </w:p>
        </w:tc>
        <w:tc>
          <w:tcPr>
            <w:tcW w:w="3697" w:type="dxa"/>
            <w:tcBorders>
              <w:top w:val="nil"/>
              <w:left w:val="nil"/>
              <w:bottom w:val="single" w:color="auto" w:sz="4" w:space="0"/>
              <w:right w:val="single" w:color="auto" w:sz="4" w:space="0"/>
            </w:tcBorders>
            <w:shd w:val="clear" w:color="auto" w:fill="auto"/>
            <w:noWrap/>
            <w:vAlign w:val="center"/>
          </w:tcPr>
          <w:p w14:paraId="55EB06E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实现实验室废液的分类收集流程管理。</w:t>
            </w:r>
          </w:p>
        </w:tc>
      </w:tr>
      <w:tr w14:paraId="6EF86EB9">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AD1F80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23</w:t>
            </w:r>
          </w:p>
        </w:tc>
        <w:tc>
          <w:tcPr>
            <w:tcW w:w="2138" w:type="dxa"/>
            <w:tcBorders>
              <w:top w:val="nil"/>
              <w:left w:val="nil"/>
              <w:bottom w:val="single" w:color="auto" w:sz="4" w:space="0"/>
              <w:right w:val="single" w:color="auto" w:sz="4" w:space="0"/>
            </w:tcBorders>
            <w:shd w:val="clear" w:color="auto" w:fill="auto"/>
            <w:noWrap/>
            <w:vAlign w:val="center"/>
          </w:tcPr>
          <w:p w14:paraId="33EFAAD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185CF1A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P2实验室危废管理-医用废弃物管理</w:t>
            </w:r>
          </w:p>
        </w:tc>
        <w:tc>
          <w:tcPr>
            <w:tcW w:w="3697" w:type="dxa"/>
            <w:tcBorders>
              <w:top w:val="nil"/>
              <w:left w:val="nil"/>
              <w:bottom w:val="single" w:color="auto" w:sz="4" w:space="0"/>
              <w:right w:val="single" w:color="auto" w:sz="4" w:space="0"/>
            </w:tcBorders>
            <w:shd w:val="clear" w:color="auto" w:fill="auto"/>
            <w:noWrap/>
            <w:vAlign w:val="center"/>
          </w:tcPr>
          <w:p w14:paraId="497D255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实现实验室医用废弃物的分类收集流程管理。</w:t>
            </w:r>
          </w:p>
        </w:tc>
      </w:tr>
      <w:tr w14:paraId="66660CF0">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EEB6DF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24</w:t>
            </w:r>
          </w:p>
        </w:tc>
        <w:tc>
          <w:tcPr>
            <w:tcW w:w="2138" w:type="dxa"/>
            <w:tcBorders>
              <w:top w:val="nil"/>
              <w:left w:val="nil"/>
              <w:bottom w:val="single" w:color="auto" w:sz="4" w:space="0"/>
              <w:right w:val="single" w:color="auto" w:sz="4" w:space="0"/>
            </w:tcBorders>
            <w:shd w:val="clear" w:color="auto" w:fill="auto"/>
            <w:noWrap/>
            <w:vAlign w:val="center"/>
          </w:tcPr>
          <w:p w14:paraId="60E362C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1E3202F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P2实验室危废管理-危险废弃物管理</w:t>
            </w:r>
          </w:p>
        </w:tc>
        <w:tc>
          <w:tcPr>
            <w:tcW w:w="3697" w:type="dxa"/>
            <w:tcBorders>
              <w:top w:val="nil"/>
              <w:left w:val="nil"/>
              <w:bottom w:val="single" w:color="auto" w:sz="4" w:space="0"/>
              <w:right w:val="single" w:color="auto" w:sz="4" w:space="0"/>
            </w:tcBorders>
            <w:shd w:val="clear" w:color="auto" w:fill="auto"/>
            <w:noWrap/>
            <w:vAlign w:val="center"/>
          </w:tcPr>
          <w:p w14:paraId="47A81CB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实现实验室危险废弃物的分类收集流程管理。</w:t>
            </w:r>
          </w:p>
        </w:tc>
      </w:tr>
      <w:tr w14:paraId="7015FCC3">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2D3F0B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c>
          <w:tcPr>
            <w:tcW w:w="2138" w:type="dxa"/>
            <w:tcBorders>
              <w:top w:val="nil"/>
              <w:left w:val="nil"/>
              <w:bottom w:val="single" w:color="auto" w:sz="4" w:space="0"/>
              <w:right w:val="single" w:color="auto" w:sz="4" w:space="0"/>
            </w:tcBorders>
            <w:shd w:val="clear" w:color="auto" w:fill="auto"/>
            <w:noWrap/>
            <w:vAlign w:val="center"/>
          </w:tcPr>
          <w:p w14:paraId="74378FD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054AB0D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P2实验室运行保障管理-实验申请和排期管理</w:t>
            </w:r>
          </w:p>
        </w:tc>
        <w:tc>
          <w:tcPr>
            <w:tcW w:w="3697" w:type="dxa"/>
            <w:tcBorders>
              <w:top w:val="nil"/>
              <w:left w:val="nil"/>
              <w:bottom w:val="single" w:color="auto" w:sz="4" w:space="0"/>
              <w:right w:val="single" w:color="auto" w:sz="4" w:space="0"/>
            </w:tcBorders>
            <w:shd w:val="clear" w:color="auto" w:fill="auto"/>
            <w:noWrap/>
            <w:vAlign w:val="center"/>
          </w:tcPr>
          <w:p w14:paraId="24E27BD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实现实验室重要实验的内部审核流程管理。</w:t>
            </w:r>
          </w:p>
        </w:tc>
      </w:tr>
      <w:tr w14:paraId="75BED3C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FA4686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26</w:t>
            </w:r>
          </w:p>
        </w:tc>
        <w:tc>
          <w:tcPr>
            <w:tcW w:w="2138" w:type="dxa"/>
            <w:tcBorders>
              <w:top w:val="nil"/>
              <w:left w:val="nil"/>
              <w:bottom w:val="single" w:color="auto" w:sz="4" w:space="0"/>
              <w:right w:val="single" w:color="auto" w:sz="4" w:space="0"/>
            </w:tcBorders>
            <w:shd w:val="clear" w:color="auto" w:fill="auto"/>
            <w:noWrap/>
            <w:vAlign w:val="center"/>
          </w:tcPr>
          <w:p w14:paraId="0BE7593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0988DB5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P2实验室运行保障管理-实验室物品申购管理</w:t>
            </w:r>
          </w:p>
        </w:tc>
        <w:tc>
          <w:tcPr>
            <w:tcW w:w="3697" w:type="dxa"/>
            <w:tcBorders>
              <w:top w:val="nil"/>
              <w:left w:val="nil"/>
              <w:bottom w:val="single" w:color="auto" w:sz="4" w:space="0"/>
              <w:right w:val="single" w:color="auto" w:sz="4" w:space="0"/>
            </w:tcBorders>
            <w:shd w:val="clear" w:color="auto" w:fill="auto"/>
            <w:noWrap/>
            <w:vAlign w:val="center"/>
          </w:tcPr>
          <w:p w14:paraId="5C4AB9E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实现实验室日常用品申购流程管理，实现库存联动。</w:t>
            </w:r>
          </w:p>
        </w:tc>
      </w:tr>
      <w:tr w14:paraId="28B81DA9">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68E683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27</w:t>
            </w:r>
          </w:p>
        </w:tc>
        <w:tc>
          <w:tcPr>
            <w:tcW w:w="2138" w:type="dxa"/>
            <w:tcBorders>
              <w:top w:val="nil"/>
              <w:left w:val="nil"/>
              <w:bottom w:val="single" w:color="auto" w:sz="4" w:space="0"/>
              <w:right w:val="single" w:color="auto" w:sz="4" w:space="0"/>
            </w:tcBorders>
            <w:shd w:val="clear" w:color="auto" w:fill="auto"/>
            <w:noWrap/>
            <w:vAlign w:val="center"/>
          </w:tcPr>
          <w:p w14:paraId="6853DA9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6891F78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P2实验室运行保障管理-实验室物品领用管理</w:t>
            </w:r>
          </w:p>
        </w:tc>
        <w:tc>
          <w:tcPr>
            <w:tcW w:w="3697" w:type="dxa"/>
            <w:tcBorders>
              <w:top w:val="nil"/>
              <w:left w:val="nil"/>
              <w:bottom w:val="single" w:color="auto" w:sz="4" w:space="0"/>
              <w:right w:val="single" w:color="auto" w:sz="4" w:space="0"/>
            </w:tcBorders>
            <w:shd w:val="clear" w:color="auto" w:fill="auto"/>
            <w:noWrap/>
            <w:vAlign w:val="center"/>
          </w:tcPr>
          <w:p w14:paraId="37BC49B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实现除危化品、生物安全实验之外的试剂、耗材、日常用品等的领用申请，标记等流程管理。</w:t>
            </w:r>
          </w:p>
        </w:tc>
      </w:tr>
      <w:tr w14:paraId="75C07E97">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F2CB21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28</w:t>
            </w:r>
          </w:p>
        </w:tc>
        <w:tc>
          <w:tcPr>
            <w:tcW w:w="2138" w:type="dxa"/>
            <w:tcBorders>
              <w:top w:val="nil"/>
              <w:left w:val="nil"/>
              <w:bottom w:val="single" w:color="auto" w:sz="4" w:space="0"/>
              <w:right w:val="single" w:color="auto" w:sz="4" w:space="0"/>
            </w:tcBorders>
            <w:shd w:val="clear" w:color="auto" w:fill="auto"/>
            <w:noWrap/>
            <w:vAlign w:val="center"/>
          </w:tcPr>
          <w:p w14:paraId="03BCDB3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007834A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P2实验室运行保障管理-实验室物品库存管理</w:t>
            </w:r>
          </w:p>
        </w:tc>
        <w:tc>
          <w:tcPr>
            <w:tcW w:w="3697" w:type="dxa"/>
            <w:tcBorders>
              <w:top w:val="nil"/>
              <w:left w:val="nil"/>
              <w:bottom w:val="single" w:color="auto" w:sz="4" w:space="0"/>
              <w:right w:val="single" w:color="auto" w:sz="4" w:space="0"/>
            </w:tcBorders>
            <w:shd w:val="clear" w:color="auto" w:fill="auto"/>
            <w:noWrap/>
            <w:vAlign w:val="center"/>
          </w:tcPr>
          <w:p w14:paraId="0AD0A83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实现除危化品、生物安全实验之外的试剂、耗材、日常用品等的出入库，动态库存查询，盘库等。</w:t>
            </w:r>
          </w:p>
        </w:tc>
      </w:tr>
      <w:tr w14:paraId="63843E55">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6961635">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29</w:t>
            </w:r>
          </w:p>
        </w:tc>
        <w:tc>
          <w:tcPr>
            <w:tcW w:w="2138" w:type="dxa"/>
            <w:tcBorders>
              <w:top w:val="nil"/>
              <w:left w:val="nil"/>
              <w:bottom w:val="single" w:color="auto" w:sz="4" w:space="0"/>
              <w:right w:val="single" w:color="auto" w:sz="4" w:space="0"/>
            </w:tcBorders>
            <w:shd w:val="clear" w:color="auto" w:fill="auto"/>
            <w:noWrap/>
            <w:vAlign w:val="center"/>
          </w:tcPr>
          <w:p w14:paraId="5945D5B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0A53915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P2实验室运行保障管理-实验室环境自动控制管理</w:t>
            </w:r>
          </w:p>
        </w:tc>
        <w:tc>
          <w:tcPr>
            <w:tcW w:w="3697" w:type="dxa"/>
            <w:tcBorders>
              <w:top w:val="nil"/>
              <w:left w:val="nil"/>
              <w:bottom w:val="single" w:color="auto" w:sz="4" w:space="0"/>
              <w:right w:val="single" w:color="auto" w:sz="4" w:space="0"/>
            </w:tcBorders>
            <w:shd w:val="clear" w:color="auto" w:fill="auto"/>
            <w:noWrap/>
            <w:vAlign w:val="center"/>
          </w:tcPr>
          <w:p w14:paraId="6FF6D7D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实现实验室照明、紫光灯的远程开关控制；实现实验室所有门禁远程开关控制；实现新风和压力系统远程开关控制。</w:t>
            </w:r>
          </w:p>
        </w:tc>
      </w:tr>
      <w:tr w14:paraId="388DB51E">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730474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c>
          <w:tcPr>
            <w:tcW w:w="2138" w:type="dxa"/>
            <w:tcBorders>
              <w:top w:val="nil"/>
              <w:left w:val="nil"/>
              <w:bottom w:val="single" w:color="auto" w:sz="4" w:space="0"/>
              <w:right w:val="single" w:color="auto" w:sz="4" w:space="0"/>
            </w:tcBorders>
            <w:shd w:val="clear" w:color="auto" w:fill="auto"/>
            <w:noWrap/>
            <w:vAlign w:val="center"/>
          </w:tcPr>
          <w:p w14:paraId="1354BFA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4871588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P2实验室运行保障管理-实验室消杀管理</w:t>
            </w:r>
          </w:p>
        </w:tc>
        <w:tc>
          <w:tcPr>
            <w:tcW w:w="3697" w:type="dxa"/>
            <w:tcBorders>
              <w:top w:val="nil"/>
              <w:left w:val="nil"/>
              <w:bottom w:val="single" w:color="auto" w:sz="4" w:space="0"/>
              <w:right w:val="single" w:color="auto" w:sz="4" w:space="0"/>
            </w:tcBorders>
            <w:shd w:val="clear" w:color="auto" w:fill="auto"/>
            <w:noWrap/>
            <w:vAlign w:val="center"/>
          </w:tcPr>
          <w:p w14:paraId="598477C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实现实验室消毒的全程留痕管理。实现消杀计划的制订和定期提醒等。对于每日、每次（重要实验）的消杀进行记录。</w:t>
            </w:r>
          </w:p>
        </w:tc>
      </w:tr>
      <w:tr w14:paraId="293ED7A2">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38C18E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31</w:t>
            </w:r>
          </w:p>
        </w:tc>
        <w:tc>
          <w:tcPr>
            <w:tcW w:w="2138" w:type="dxa"/>
            <w:tcBorders>
              <w:top w:val="nil"/>
              <w:left w:val="nil"/>
              <w:bottom w:val="single" w:color="auto" w:sz="4" w:space="0"/>
              <w:right w:val="single" w:color="auto" w:sz="4" w:space="0"/>
            </w:tcBorders>
            <w:shd w:val="clear" w:color="auto" w:fill="auto"/>
            <w:noWrap/>
            <w:vAlign w:val="center"/>
          </w:tcPr>
          <w:p w14:paraId="5436367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7421A9B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P2实验室运行保障管理-实验室文档资料管理</w:t>
            </w:r>
          </w:p>
        </w:tc>
        <w:tc>
          <w:tcPr>
            <w:tcW w:w="3697" w:type="dxa"/>
            <w:tcBorders>
              <w:top w:val="nil"/>
              <w:left w:val="nil"/>
              <w:bottom w:val="single" w:color="auto" w:sz="4" w:space="0"/>
              <w:right w:val="single" w:color="auto" w:sz="4" w:space="0"/>
            </w:tcBorders>
            <w:shd w:val="clear" w:color="auto" w:fill="auto"/>
            <w:noWrap/>
            <w:vAlign w:val="center"/>
          </w:tcPr>
          <w:p w14:paraId="785DBB2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实现实验室的技术文档管理，支持与设备进行关联。</w:t>
            </w:r>
          </w:p>
        </w:tc>
      </w:tr>
      <w:tr w14:paraId="1996217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6DF7AA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32</w:t>
            </w:r>
          </w:p>
        </w:tc>
        <w:tc>
          <w:tcPr>
            <w:tcW w:w="2138" w:type="dxa"/>
            <w:tcBorders>
              <w:top w:val="nil"/>
              <w:left w:val="nil"/>
              <w:bottom w:val="single" w:color="auto" w:sz="4" w:space="0"/>
              <w:right w:val="single" w:color="auto" w:sz="4" w:space="0"/>
            </w:tcBorders>
            <w:shd w:val="clear" w:color="auto" w:fill="auto"/>
            <w:noWrap/>
            <w:vAlign w:val="center"/>
          </w:tcPr>
          <w:p w14:paraId="511F0A0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5DF8DD2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P2实验室设备和环境参数实时监测和预警-仪器设备运行状态监测和预警</w:t>
            </w:r>
          </w:p>
        </w:tc>
        <w:tc>
          <w:tcPr>
            <w:tcW w:w="3697" w:type="dxa"/>
            <w:tcBorders>
              <w:top w:val="nil"/>
              <w:left w:val="nil"/>
              <w:bottom w:val="single" w:color="auto" w:sz="4" w:space="0"/>
              <w:right w:val="single" w:color="auto" w:sz="4" w:space="0"/>
            </w:tcBorders>
            <w:shd w:val="clear" w:color="auto" w:fill="auto"/>
            <w:noWrap/>
            <w:vAlign w:val="center"/>
          </w:tcPr>
          <w:p w14:paraId="6F5420D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对接大型仪器运行系统，实时获取状态监测数据。实现设备间房门未正常关闭的识别和预警。</w:t>
            </w:r>
          </w:p>
        </w:tc>
      </w:tr>
      <w:tr w14:paraId="371D6066">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F41D42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33</w:t>
            </w:r>
          </w:p>
        </w:tc>
        <w:tc>
          <w:tcPr>
            <w:tcW w:w="2138" w:type="dxa"/>
            <w:tcBorders>
              <w:top w:val="nil"/>
              <w:left w:val="nil"/>
              <w:bottom w:val="single" w:color="auto" w:sz="4" w:space="0"/>
              <w:right w:val="single" w:color="auto" w:sz="4" w:space="0"/>
            </w:tcBorders>
            <w:shd w:val="clear" w:color="auto" w:fill="auto"/>
            <w:noWrap/>
            <w:vAlign w:val="center"/>
          </w:tcPr>
          <w:p w14:paraId="7990956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4597370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P2实验室设备和环境参数实时监测和预警-仪器设备内温监测和预警</w:t>
            </w:r>
          </w:p>
        </w:tc>
        <w:tc>
          <w:tcPr>
            <w:tcW w:w="3697" w:type="dxa"/>
            <w:tcBorders>
              <w:top w:val="nil"/>
              <w:left w:val="nil"/>
              <w:bottom w:val="single" w:color="auto" w:sz="4" w:space="0"/>
              <w:right w:val="single" w:color="auto" w:sz="4" w:space="0"/>
            </w:tcBorders>
            <w:shd w:val="clear" w:color="auto" w:fill="auto"/>
            <w:noWrap/>
            <w:vAlign w:val="center"/>
          </w:tcPr>
          <w:p w14:paraId="0E040F6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实时监测实验室样品冰存储箱内温度，并实现实时预警。</w:t>
            </w:r>
          </w:p>
        </w:tc>
      </w:tr>
      <w:tr w14:paraId="09B92E2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FB7661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34</w:t>
            </w:r>
          </w:p>
        </w:tc>
        <w:tc>
          <w:tcPr>
            <w:tcW w:w="2138" w:type="dxa"/>
            <w:tcBorders>
              <w:top w:val="nil"/>
              <w:left w:val="nil"/>
              <w:bottom w:val="single" w:color="auto" w:sz="4" w:space="0"/>
              <w:right w:val="single" w:color="auto" w:sz="4" w:space="0"/>
            </w:tcBorders>
            <w:shd w:val="clear" w:color="auto" w:fill="auto"/>
            <w:noWrap/>
            <w:vAlign w:val="center"/>
          </w:tcPr>
          <w:p w14:paraId="2C97739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05B92F3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P2实验室设备和环境参数实时监测和预警-实验室环境温湿度监测和预警</w:t>
            </w:r>
          </w:p>
        </w:tc>
        <w:tc>
          <w:tcPr>
            <w:tcW w:w="3697" w:type="dxa"/>
            <w:tcBorders>
              <w:top w:val="nil"/>
              <w:left w:val="nil"/>
              <w:bottom w:val="single" w:color="auto" w:sz="4" w:space="0"/>
              <w:right w:val="single" w:color="auto" w:sz="4" w:space="0"/>
            </w:tcBorders>
            <w:shd w:val="clear" w:color="auto" w:fill="auto"/>
            <w:noWrap/>
            <w:vAlign w:val="center"/>
          </w:tcPr>
          <w:p w14:paraId="7E889AD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实时监测实验室环境温湿度，并实现实时预警。</w:t>
            </w:r>
          </w:p>
        </w:tc>
      </w:tr>
      <w:tr w14:paraId="35CC47A3">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7A4BA7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35</w:t>
            </w:r>
          </w:p>
        </w:tc>
        <w:tc>
          <w:tcPr>
            <w:tcW w:w="2138" w:type="dxa"/>
            <w:tcBorders>
              <w:top w:val="nil"/>
              <w:left w:val="nil"/>
              <w:bottom w:val="single" w:color="auto" w:sz="4" w:space="0"/>
              <w:right w:val="single" w:color="auto" w:sz="4" w:space="0"/>
            </w:tcBorders>
            <w:shd w:val="clear" w:color="auto" w:fill="auto"/>
            <w:noWrap/>
            <w:vAlign w:val="center"/>
          </w:tcPr>
          <w:p w14:paraId="6A45185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07816D0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P2实验室设备和环境参数实时监测和预警-实验室压差监测和预警</w:t>
            </w:r>
          </w:p>
        </w:tc>
        <w:tc>
          <w:tcPr>
            <w:tcW w:w="3697" w:type="dxa"/>
            <w:tcBorders>
              <w:top w:val="nil"/>
              <w:left w:val="nil"/>
              <w:bottom w:val="single" w:color="auto" w:sz="4" w:space="0"/>
              <w:right w:val="single" w:color="auto" w:sz="4" w:space="0"/>
            </w:tcBorders>
            <w:shd w:val="clear" w:color="auto" w:fill="auto"/>
            <w:noWrap/>
            <w:vAlign w:val="center"/>
          </w:tcPr>
          <w:p w14:paraId="4417182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实时监测实验室压差，并实现实时预警。</w:t>
            </w:r>
          </w:p>
        </w:tc>
      </w:tr>
      <w:tr w14:paraId="17EE259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8B1547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36</w:t>
            </w:r>
          </w:p>
        </w:tc>
        <w:tc>
          <w:tcPr>
            <w:tcW w:w="2138" w:type="dxa"/>
            <w:tcBorders>
              <w:top w:val="nil"/>
              <w:left w:val="nil"/>
              <w:bottom w:val="single" w:color="auto" w:sz="4" w:space="0"/>
              <w:right w:val="single" w:color="auto" w:sz="4" w:space="0"/>
            </w:tcBorders>
            <w:shd w:val="clear" w:color="auto" w:fill="auto"/>
            <w:noWrap/>
            <w:vAlign w:val="center"/>
          </w:tcPr>
          <w:p w14:paraId="45637A9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22AE3CD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P2实验室设备和环境参数实时监测和预警-实验室危险源监测和预警</w:t>
            </w:r>
          </w:p>
        </w:tc>
        <w:tc>
          <w:tcPr>
            <w:tcW w:w="3697" w:type="dxa"/>
            <w:tcBorders>
              <w:top w:val="nil"/>
              <w:left w:val="nil"/>
              <w:bottom w:val="single" w:color="auto" w:sz="4" w:space="0"/>
              <w:right w:val="single" w:color="auto" w:sz="4" w:space="0"/>
            </w:tcBorders>
            <w:shd w:val="clear" w:color="auto" w:fill="auto"/>
            <w:noWrap/>
            <w:vAlign w:val="center"/>
          </w:tcPr>
          <w:p w14:paraId="39D153B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实时监测实验室内的危险源并实现实时报警；对有害气体泄露等情况实现实时报警；对于压缩气体异常情况实现实时报警。</w:t>
            </w:r>
          </w:p>
        </w:tc>
      </w:tr>
      <w:tr w14:paraId="2718476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AD88AB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37</w:t>
            </w:r>
          </w:p>
        </w:tc>
        <w:tc>
          <w:tcPr>
            <w:tcW w:w="2138" w:type="dxa"/>
            <w:tcBorders>
              <w:top w:val="nil"/>
              <w:left w:val="nil"/>
              <w:bottom w:val="single" w:color="auto" w:sz="4" w:space="0"/>
              <w:right w:val="single" w:color="auto" w:sz="4" w:space="0"/>
            </w:tcBorders>
            <w:shd w:val="clear" w:color="auto" w:fill="auto"/>
            <w:noWrap/>
            <w:vAlign w:val="center"/>
          </w:tcPr>
          <w:p w14:paraId="0DE7D03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7D42B3C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P2实验室设备和环境参数实时监测和预警-实验室能源监测和节能管理</w:t>
            </w:r>
          </w:p>
        </w:tc>
        <w:tc>
          <w:tcPr>
            <w:tcW w:w="3697" w:type="dxa"/>
            <w:tcBorders>
              <w:top w:val="nil"/>
              <w:left w:val="nil"/>
              <w:bottom w:val="single" w:color="auto" w:sz="4" w:space="0"/>
              <w:right w:val="single" w:color="auto" w:sz="4" w:space="0"/>
            </w:tcBorders>
            <w:shd w:val="clear" w:color="auto" w:fill="auto"/>
            <w:noWrap/>
            <w:vAlign w:val="center"/>
          </w:tcPr>
          <w:p w14:paraId="47C552D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实现实验室能源使用的数据采集和分析。</w:t>
            </w:r>
          </w:p>
        </w:tc>
      </w:tr>
      <w:tr w14:paraId="00E38BBC">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1735B1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38</w:t>
            </w:r>
          </w:p>
        </w:tc>
        <w:tc>
          <w:tcPr>
            <w:tcW w:w="2138" w:type="dxa"/>
            <w:tcBorders>
              <w:top w:val="nil"/>
              <w:left w:val="nil"/>
              <w:bottom w:val="single" w:color="auto" w:sz="4" w:space="0"/>
              <w:right w:val="single" w:color="auto" w:sz="4" w:space="0"/>
            </w:tcBorders>
            <w:shd w:val="clear" w:color="auto" w:fill="auto"/>
            <w:noWrap/>
            <w:vAlign w:val="center"/>
          </w:tcPr>
          <w:p w14:paraId="7B00275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72B8513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P2实验室设备和环境参数实时监测和预警-实验室通排风系统状态监测和预警</w:t>
            </w:r>
          </w:p>
        </w:tc>
        <w:tc>
          <w:tcPr>
            <w:tcW w:w="3697" w:type="dxa"/>
            <w:tcBorders>
              <w:top w:val="nil"/>
              <w:left w:val="nil"/>
              <w:bottom w:val="single" w:color="auto" w:sz="4" w:space="0"/>
              <w:right w:val="single" w:color="auto" w:sz="4" w:space="0"/>
            </w:tcBorders>
            <w:shd w:val="clear" w:color="auto" w:fill="auto"/>
            <w:noWrap/>
            <w:vAlign w:val="center"/>
          </w:tcPr>
          <w:p w14:paraId="06AD400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实现实验室的通排风状态进行实时的监测和实时预警。</w:t>
            </w:r>
          </w:p>
        </w:tc>
      </w:tr>
      <w:tr w14:paraId="0E18F5F9">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99CED1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39</w:t>
            </w:r>
          </w:p>
        </w:tc>
        <w:tc>
          <w:tcPr>
            <w:tcW w:w="2138" w:type="dxa"/>
            <w:tcBorders>
              <w:top w:val="nil"/>
              <w:left w:val="nil"/>
              <w:bottom w:val="single" w:color="auto" w:sz="4" w:space="0"/>
              <w:right w:val="single" w:color="auto" w:sz="4" w:space="0"/>
            </w:tcBorders>
            <w:shd w:val="clear" w:color="auto" w:fill="auto"/>
            <w:noWrap/>
            <w:vAlign w:val="center"/>
          </w:tcPr>
          <w:p w14:paraId="0CE0070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31C9E36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P2实验室安全管理-实验室安全培训管理</w:t>
            </w:r>
          </w:p>
        </w:tc>
        <w:tc>
          <w:tcPr>
            <w:tcW w:w="3697" w:type="dxa"/>
            <w:tcBorders>
              <w:top w:val="nil"/>
              <w:left w:val="nil"/>
              <w:bottom w:val="single" w:color="auto" w:sz="4" w:space="0"/>
              <w:right w:val="single" w:color="auto" w:sz="4" w:space="0"/>
            </w:tcBorders>
            <w:shd w:val="clear" w:color="auto" w:fill="auto"/>
            <w:noWrap/>
            <w:vAlign w:val="center"/>
          </w:tcPr>
          <w:p w14:paraId="4795497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实现实验室安全培训管理。</w:t>
            </w:r>
          </w:p>
        </w:tc>
      </w:tr>
      <w:tr w14:paraId="3F458EC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E7944D8">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40</w:t>
            </w:r>
          </w:p>
        </w:tc>
        <w:tc>
          <w:tcPr>
            <w:tcW w:w="2138" w:type="dxa"/>
            <w:tcBorders>
              <w:top w:val="nil"/>
              <w:left w:val="nil"/>
              <w:bottom w:val="single" w:color="auto" w:sz="4" w:space="0"/>
              <w:right w:val="single" w:color="auto" w:sz="4" w:space="0"/>
            </w:tcBorders>
            <w:shd w:val="clear" w:color="auto" w:fill="auto"/>
            <w:noWrap/>
            <w:vAlign w:val="center"/>
          </w:tcPr>
          <w:p w14:paraId="68340BD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1B44FBB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P2实验室安全管理-实验室安全检查管理</w:t>
            </w:r>
          </w:p>
        </w:tc>
        <w:tc>
          <w:tcPr>
            <w:tcW w:w="3697" w:type="dxa"/>
            <w:tcBorders>
              <w:top w:val="nil"/>
              <w:left w:val="nil"/>
              <w:bottom w:val="single" w:color="auto" w:sz="4" w:space="0"/>
              <w:right w:val="single" w:color="auto" w:sz="4" w:space="0"/>
            </w:tcBorders>
            <w:shd w:val="clear" w:color="auto" w:fill="auto"/>
            <w:noWrap/>
            <w:vAlign w:val="center"/>
          </w:tcPr>
          <w:p w14:paraId="7216622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实现实验室安全检查管理。</w:t>
            </w:r>
          </w:p>
        </w:tc>
      </w:tr>
      <w:tr w14:paraId="3D98726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3390A7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41</w:t>
            </w:r>
          </w:p>
        </w:tc>
        <w:tc>
          <w:tcPr>
            <w:tcW w:w="2138" w:type="dxa"/>
            <w:tcBorders>
              <w:top w:val="nil"/>
              <w:left w:val="nil"/>
              <w:bottom w:val="single" w:color="auto" w:sz="4" w:space="0"/>
              <w:right w:val="single" w:color="auto" w:sz="4" w:space="0"/>
            </w:tcBorders>
            <w:shd w:val="clear" w:color="auto" w:fill="auto"/>
            <w:noWrap/>
            <w:vAlign w:val="center"/>
          </w:tcPr>
          <w:p w14:paraId="61B18EA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3FA750A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P2实验室安全管理-实验室安全演练管理</w:t>
            </w:r>
          </w:p>
        </w:tc>
        <w:tc>
          <w:tcPr>
            <w:tcW w:w="3697" w:type="dxa"/>
            <w:tcBorders>
              <w:top w:val="nil"/>
              <w:left w:val="nil"/>
              <w:bottom w:val="single" w:color="auto" w:sz="4" w:space="0"/>
              <w:right w:val="single" w:color="auto" w:sz="4" w:space="0"/>
            </w:tcBorders>
            <w:shd w:val="clear" w:color="auto" w:fill="auto"/>
            <w:noWrap/>
            <w:vAlign w:val="center"/>
          </w:tcPr>
          <w:p w14:paraId="730CD20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实现实验室安全演练管理。</w:t>
            </w:r>
          </w:p>
        </w:tc>
      </w:tr>
      <w:tr w14:paraId="249E9112">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D37BE53">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42</w:t>
            </w:r>
          </w:p>
        </w:tc>
        <w:tc>
          <w:tcPr>
            <w:tcW w:w="2138" w:type="dxa"/>
            <w:tcBorders>
              <w:top w:val="nil"/>
              <w:left w:val="nil"/>
              <w:bottom w:val="single" w:color="auto" w:sz="4" w:space="0"/>
              <w:right w:val="single" w:color="auto" w:sz="4" w:space="0"/>
            </w:tcBorders>
            <w:shd w:val="clear" w:color="auto" w:fill="auto"/>
            <w:noWrap/>
            <w:vAlign w:val="center"/>
          </w:tcPr>
          <w:p w14:paraId="5EA686C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6958E9B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P2实验室应急指挥管理-应急指挥集成总控管理</w:t>
            </w:r>
          </w:p>
        </w:tc>
        <w:tc>
          <w:tcPr>
            <w:tcW w:w="3697" w:type="dxa"/>
            <w:tcBorders>
              <w:top w:val="nil"/>
              <w:left w:val="nil"/>
              <w:bottom w:val="single" w:color="auto" w:sz="4" w:space="0"/>
              <w:right w:val="single" w:color="auto" w:sz="4" w:space="0"/>
            </w:tcBorders>
            <w:shd w:val="clear" w:color="auto" w:fill="auto"/>
            <w:noWrap/>
            <w:vAlign w:val="center"/>
          </w:tcPr>
          <w:p w14:paraId="30F3C48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实现实验室应急指挥集成总控管理。</w:t>
            </w:r>
          </w:p>
        </w:tc>
      </w:tr>
      <w:tr w14:paraId="07F019BA">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AE2A78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43</w:t>
            </w:r>
          </w:p>
        </w:tc>
        <w:tc>
          <w:tcPr>
            <w:tcW w:w="2138" w:type="dxa"/>
            <w:tcBorders>
              <w:top w:val="nil"/>
              <w:left w:val="nil"/>
              <w:bottom w:val="single" w:color="auto" w:sz="4" w:space="0"/>
              <w:right w:val="single" w:color="auto" w:sz="4" w:space="0"/>
            </w:tcBorders>
            <w:shd w:val="clear" w:color="auto" w:fill="auto"/>
            <w:noWrap/>
            <w:vAlign w:val="center"/>
          </w:tcPr>
          <w:p w14:paraId="736D06A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生物安全实验室（P2）智慧管理（P2LIMS）</w:t>
            </w:r>
          </w:p>
        </w:tc>
        <w:tc>
          <w:tcPr>
            <w:tcW w:w="2398" w:type="dxa"/>
            <w:tcBorders>
              <w:top w:val="nil"/>
              <w:left w:val="nil"/>
              <w:bottom w:val="single" w:color="auto" w:sz="4" w:space="0"/>
              <w:right w:val="single" w:color="auto" w:sz="4" w:space="0"/>
            </w:tcBorders>
            <w:shd w:val="clear" w:color="auto" w:fill="auto"/>
            <w:noWrap/>
            <w:vAlign w:val="center"/>
          </w:tcPr>
          <w:p w14:paraId="60F3570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P2实验室应急指挥管理-实验室内部管线监控</w:t>
            </w:r>
          </w:p>
        </w:tc>
        <w:tc>
          <w:tcPr>
            <w:tcW w:w="3697" w:type="dxa"/>
            <w:tcBorders>
              <w:top w:val="nil"/>
              <w:left w:val="nil"/>
              <w:bottom w:val="single" w:color="auto" w:sz="4" w:space="0"/>
              <w:right w:val="single" w:color="auto" w:sz="4" w:space="0"/>
            </w:tcBorders>
            <w:shd w:val="clear" w:color="auto" w:fill="auto"/>
            <w:noWrap/>
            <w:vAlign w:val="center"/>
          </w:tcPr>
          <w:p w14:paraId="47FCB53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实现实验室内部管线监控管理。</w:t>
            </w:r>
          </w:p>
        </w:tc>
      </w:tr>
      <w:tr w14:paraId="54B80F76">
        <w:tblPrEx>
          <w:tblCellMar>
            <w:top w:w="0" w:type="dxa"/>
            <w:left w:w="108" w:type="dxa"/>
            <w:bottom w:w="0" w:type="dxa"/>
            <w:right w:w="108" w:type="dxa"/>
          </w:tblCellMar>
        </w:tblPrEx>
        <w:trPr>
          <w:trHeight w:val="292"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6E82C55">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44</w:t>
            </w:r>
          </w:p>
        </w:tc>
        <w:tc>
          <w:tcPr>
            <w:tcW w:w="2138" w:type="dxa"/>
            <w:tcBorders>
              <w:top w:val="nil"/>
              <w:left w:val="nil"/>
              <w:bottom w:val="single" w:color="auto" w:sz="4" w:space="0"/>
              <w:right w:val="single" w:color="auto" w:sz="4" w:space="0"/>
            </w:tcBorders>
            <w:shd w:val="clear" w:color="auto" w:fill="auto"/>
            <w:noWrap/>
            <w:vAlign w:val="center"/>
          </w:tcPr>
          <w:p w14:paraId="05A320C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5EEB5A8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野外调查准备管理</w:t>
            </w:r>
          </w:p>
        </w:tc>
        <w:tc>
          <w:tcPr>
            <w:tcW w:w="3697" w:type="dxa"/>
            <w:tcBorders>
              <w:top w:val="nil"/>
              <w:left w:val="nil"/>
              <w:bottom w:val="single" w:color="auto" w:sz="4" w:space="0"/>
              <w:right w:val="single" w:color="auto" w:sz="4" w:space="0"/>
            </w:tcBorders>
            <w:shd w:val="clear" w:color="auto" w:fill="auto"/>
            <w:noWrap/>
            <w:vAlign w:val="center"/>
          </w:tcPr>
          <w:p w14:paraId="6DA9E8A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实现野外调查前的准备管理。</w:t>
            </w:r>
          </w:p>
        </w:tc>
      </w:tr>
      <w:tr w14:paraId="240868B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1DF1F2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45</w:t>
            </w:r>
          </w:p>
        </w:tc>
        <w:tc>
          <w:tcPr>
            <w:tcW w:w="2138" w:type="dxa"/>
            <w:tcBorders>
              <w:top w:val="nil"/>
              <w:left w:val="nil"/>
              <w:bottom w:val="single" w:color="auto" w:sz="4" w:space="0"/>
              <w:right w:val="single" w:color="auto" w:sz="4" w:space="0"/>
            </w:tcBorders>
            <w:shd w:val="clear" w:color="auto" w:fill="auto"/>
            <w:noWrap/>
            <w:vAlign w:val="center"/>
          </w:tcPr>
          <w:p w14:paraId="3E6378B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7328436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野外调查项目信息管理</w:t>
            </w:r>
          </w:p>
        </w:tc>
        <w:tc>
          <w:tcPr>
            <w:tcW w:w="3697" w:type="dxa"/>
            <w:tcBorders>
              <w:top w:val="nil"/>
              <w:left w:val="nil"/>
              <w:bottom w:val="single" w:color="auto" w:sz="4" w:space="0"/>
              <w:right w:val="single" w:color="auto" w:sz="4" w:space="0"/>
            </w:tcBorders>
            <w:shd w:val="clear" w:color="auto" w:fill="auto"/>
            <w:noWrap/>
            <w:vAlign w:val="center"/>
          </w:tcPr>
          <w:p w14:paraId="51970C8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实现野外调查项目的信息配置管理。</w:t>
            </w:r>
          </w:p>
        </w:tc>
      </w:tr>
      <w:tr w14:paraId="7ED9D3DE">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4AFAF9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46</w:t>
            </w:r>
          </w:p>
        </w:tc>
        <w:tc>
          <w:tcPr>
            <w:tcW w:w="2138" w:type="dxa"/>
            <w:tcBorders>
              <w:top w:val="nil"/>
              <w:left w:val="nil"/>
              <w:bottom w:val="single" w:color="auto" w:sz="4" w:space="0"/>
              <w:right w:val="single" w:color="auto" w:sz="4" w:space="0"/>
            </w:tcBorders>
            <w:shd w:val="clear" w:color="auto" w:fill="auto"/>
            <w:noWrap/>
            <w:vAlign w:val="center"/>
          </w:tcPr>
          <w:p w14:paraId="12B9FFF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60E2E87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野外调查安全计划管理</w:t>
            </w:r>
          </w:p>
        </w:tc>
        <w:tc>
          <w:tcPr>
            <w:tcW w:w="3697" w:type="dxa"/>
            <w:tcBorders>
              <w:top w:val="nil"/>
              <w:left w:val="nil"/>
              <w:bottom w:val="single" w:color="auto" w:sz="4" w:space="0"/>
              <w:right w:val="single" w:color="auto" w:sz="4" w:space="0"/>
            </w:tcBorders>
            <w:shd w:val="clear" w:color="auto" w:fill="auto"/>
            <w:noWrap/>
            <w:vAlign w:val="center"/>
          </w:tcPr>
          <w:p w14:paraId="314706F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实现野外调查安全计划管理。</w:t>
            </w:r>
          </w:p>
        </w:tc>
      </w:tr>
      <w:tr w14:paraId="36AA8B35">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0D5C895">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47</w:t>
            </w:r>
          </w:p>
        </w:tc>
        <w:tc>
          <w:tcPr>
            <w:tcW w:w="2138" w:type="dxa"/>
            <w:tcBorders>
              <w:top w:val="nil"/>
              <w:left w:val="nil"/>
              <w:bottom w:val="single" w:color="auto" w:sz="4" w:space="0"/>
              <w:right w:val="single" w:color="auto" w:sz="4" w:space="0"/>
            </w:tcBorders>
            <w:shd w:val="clear" w:color="auto" w:fill="auto"/>
            <w:noWrap/>
            <w:vAlign w:val="center"/>
          </w:tcPr>
          <w:p w14:paraId="0EDEC02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5B34155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野外调查专用装备管理</w:t>
            </w:r>
          </w:p>
        </w:tc>
        <w:tc>
          <w:tcPr>
            <w:tcW w:w="3697" w:type="dxa"/>
            <w:tcBorders>
              <w:top w:val="nil"/>
              <w:left w:val="nil"/>
              <w:bottom w:val="single" w:color="auto" w:sz="4" w:space="0"/>
              <w:right w:val="single" w:color="auto" w:sz="4" w:space="0"/>
            </w:tcBorders>
            <w:shd w:val="clear" w:color="auto" w:fill="auto"/>
            <w:noWrap/>
            <w:vAlign w:val="center"/>
          </w:tcPr>
          <w:p w14:paraId="677875D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实现野外调查专用装备管理。</w:t>
            </w:r>
          </w:p>
        </w:tc>
      </w:tr>
      <w:tr w14:paraId="48FA499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B83276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48</w:t>
            </w:r>
          </w:p>
        </w:tc>
        <w:tc>
          <w:tcPr>
            <w:tcW w:w="2138" w:type="dxa"/>
            <w:tcBorders>
              <w:top w:val="nil"/>
              <w:left w:val="nil"/>
              <w:bottom w:val="single" w:color="auto" w:sz="4" w:space="0"/>
              <w:right w:val="single" w:color="auto" w:sz="4" w:space="0"/>
            </w:tcBorders>
            <w:shd w:val="clear" w:color="auto" w:fill="auto"/>
            <w:noWrap/>
            <w:vAlign w:val="center"/>
          </w:tcPr>
          <w:p w14:paraId="06D47FD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26112B3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野外调查现场作业管理</w:t>
            </w:r>
          </w:p>
        </w:tc>
        <w:tc>
          <w:tcPr>
            <w:tcW w:w="3697" w:type="dxa"/>
            <w:tcBorders>
              <w:top w:val="nil"/>
              <w:left w:val="nil"/>
              <w:bottom w:val="single" w:color="auto" w:sz="4" w:space="0"/>
              <w:right w:val="single" w:color="auto" w:sz="4" w:space="0"/>
            </w:tcBorders>
            <w:shd w:val="clear" w:color="auto" w:fill="auto"/>
            <w:noWrap/>
            <w:vAlign w:val="center"/>
          </w:tcPr>
          <w:p w14:paraId="60D76C4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实现野外调查现场作业管理。</w:t>
            </w:r>
          </w:p>
        </w:tc>
      </w:tr>
      <w:tr w14:paraId="7869B186">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3DCFAA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49</w:t>
            </w:r>
          </w:p>
        </w:tc>
        <w:tc>
          <w:tcPr>
            <w:tcW w:w="2138" w:type="dxa"/>
            <w:tcBorders>
              <w:top w:val="nil"/>
              <w:left w:val="nil"/>
              <w:bottom w:val="single" w:color="auto" w:sz="4" w:space="0"/>
              <w:right w:val="single" w:color="auto" w:sz="4" w:space="0"/>
            </w:tcBorders>
            <w:shd w:val="clear" w:color="auto" w:fill="auto"/>
            <w:noWrap/>
            <w:vAlign w:val="center"/>
          </w:tcPr>
          <w:p w14:paraId="718F423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2D5E1BD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野外调查结束管理</w:t>
            </w:r>
          </w:p>
        </w:tc>
        <w:tc>
          <w:tcPr>
            <w:tcW w:w="3697" w:type="dxa"/>
            <w:tcBorders>
              <w:top w:val="nil"/>
              <w:left w:val="nil"/>
              <w:bottom w:val="single" w:color="auto" w:sz="4" w:space="0"/>
              <w:right w:val="single" w:color="auto" w:sz="4" w:space="0"/>
            </w:tcBorders>
            <w:shd w:val="clear" w:color="auto" w:fill="auto"/>
            <w:noWrap/>
            <w:vAlign w:val="center"/>
          </w:tcPr>
          <w:p w14:paraId="29E4537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实现野外调查结束管理。</w:t>
            </w:r>
          </w:p>
        </w:tc>
      </w:tr>
      <w:tr w14:paraId="7AC12407">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C26BC5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50</w:t>
            </w:r>
          </w:p>
        </w:tc>
        <w:tc>
          <w:tcPr>
            <w:tcW w:w="2138" w:type="dxa"/>
            <w:tcBorders>
              <w:top w:val="nil"/>
              <w:left w:val="nil"/>
              <w:bottom w:val="single" w:color="auto" w:sz="4" w:space="0"/>
              <w:right w:val="single" w:color="auto" w:sz="4" w:space="0"/>
            </w:tcBorders>
            <w:shd w:val="clear" w:color="auto" w:fill="auto"/>
            <w:noWrap/>
            <w:vAlign w:val="center"/>
          </w:tcPr>
          <w:p w14:paraId="5BA9CC0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170BDB8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野外调查数据同步管理</w:t>
            </w:r>
          </w:p>
        </w:tc>
        <w:tc>
          <w:tcPr>
            <w:tcW w:w="3697" w:type="dxa"/>
            <w:tcBorders>
              <w:top w:val="nil"/>
              <w:left w:val="nil"/>
              <w:bottom w:val="single" w:color="auto" w:sz="4" w:space="0"/>
              <w:right w:val="single" w:color="auto" w:sz="4" w:space="0"/>
            </w:tcBorders>
            <w:shd w:val="clear" w:color="auto" w:fill="auto"/>
            <w:noWrap/>
            <w:vAlign w:val="center"/>
          </w:tcPr>
          <w:p w14:paraId="1E9C707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实现野外调查数据同步管理。</w:t>
            </w:r>
          </w:p>
        </w:tc>
      </w:tr>
      <w:tr w14:paraId="29395ED2">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FF7A83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51</w:t>
            </w:r>
          </w:p>
        </w:tc>
        <w:tc>
          <w:tcPr>
            <w:tcW w:w="2138" w:type="dxa"/>
            <w:tcBorders>
              <w:top w:val="nil"/>
              <w:left w:val="nil"/>
              <w:bottom w:val="single" w:color="auto" w:sz="4" w:space="0"/>
              <w:right w:val="single" w:color="auto" w:sz="4" w:space="0"/>
            </w:tcBorders>
            <w:shd w:val="clear" w:color="auto" w:fill="auto"/>
            <w:noWrap/>
            <w:vAlign w:val="center"/>
          </w:tcPr>
          <w:p w14:paraId="0DBAEE8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2CE8C40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野外调查装备归还和清洗管理</w:t>
            </w:r>
          </w:p>
        </w:tc>
        <w:tc>
          <w:tcPr>
            <w:tcW w:w="3697" w:type="dxa"/>
            <w:tcBorders>
              <w:top w:val="nil"/>
              <w:left w:val="nil"/>
              <w:bottom w:val="single" w:color="auto" w:sz="4" w:space="0"/>
              <w:right w:val="single" w:color="auto" w:sz="4" w:space="0"/>
            </w:tcBorders>
            <w:shd w:val="clear" w:color="auto" w:fill="auto"/>
            <w:noWrap/>
            <w:vAlign w:val="center"/>
          </w:tcPr>
          <w:p w14:paraId="74AB1FE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实现野外调查装备归还和清洗管理。</w:t>
            </w:r>
          </w:p>
        </w:tc>
      </w:tr>
      <w:tr w14:paraId="3B6EB93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763DB7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52</w:t>
            </w:r>
          </w:p>
        </w:tc>
        <w:tc>
          <w:tcPr>
            <w:tcW w:w="2138" w:type="dxa"/>
            <w:tcBorders>
              <w:top w:val="nil"/>
              <w:left w:val="nil"/>
              <w:bottom w:val="single" w:color="auto" w:sz="4" w:space="0"/>
              <w:right w:val="single" w:color="auto" w:sz="4" w:space="0"/>
            </w:tcBorders>
            <w:shd w:val="clear" w:color="auto" w:fill="auto"/>
            <w:noWrap/>
            <w:vAlign w:val="center"/>
          </w:tcPr>
          <w:p w14:paraId="48F742F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77DD4AD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检测样品送检交接管理</w:t>
            </w:r>
          </w:p>
        </w:tc>
        <w:tc>
          <w:tcPr>
            <w:tcW w:w="3697" w:type="dxa"/>
            <w:tcBorders>
              <w:top w:val="nil"/>
              <w:left w:val="nil"/>
              <w:bottom w:val="single" w:color="auto" w:sz="4" w:space="0"/>
              <w:right w:val="single" w:color="auto" w:sz="4" w:space="0"/>
            </w:tcBorders>
            <w:shd w:val="clear" w:color="auto" w:fill="auto"/>
            <w:noWrap/>
            <w:vAlign w:val="center"/>
          </w:tcPr>
          <w:p w14:paraId="0A04CCA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实现野外采样的样品送检交接管理。</w:t>
            </w:r>
          </w:p>
        </w:tc>
      </w:tr>
      <w:tr w14:paraId="753C764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3FFFCC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53</w:t>
            </w:r>
          </w:p>
        </w:tc>
        <w:tc>
          <w:tcPr>
            <w:tcW w:w="2138" w:type="dxa"/>
            <w:tcBorders>
              <w:top w:val="nil"/>
              <w:left w:val="nil"/>
              <w:bottom w:val="single" w:color="auto" w:sz="4" w:space="0"/>
              <w:right w:val="single" w:color="auto" w:sz="4" w:space="0"/>
            </w:tcBorders>
            <w:shd w:val="clear" w:color="auto" w:fill="auto"/>
            <w:noWrap/>
            <w:vAlign w:val="center"/>
          </w:tcPr>
          <w:p w14:paraId="1D9E19E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6514160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野外调查安全总结管理</w:t>
            </w:r>
          </w:p>
        </w:tc>
        <w:tc>
          <w:tcPr>
            <w:tcW w:w="3697" w:type="dxa"/>
            <w:tcBorders>
              <w:top w:val="nil"/>
              <w:left w:val="nil"/>
              <w:bottom w:val="single" w:color="auto" w:sz="4" w:space="0"/>
              <w:right w:val="single" w:color="auto" w:sz="4" w:space="0"/>
            </w:tcBorders>
            <w:shd w:val="clear" w:color="auto" w:fill="auto"/>
            <w:noWrap/>
            <w:vAlign w:val="center"/>
          </w:tcPr>
          <w:p w14:paraId="5A9A7DE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实现野外调查安全总结管理。</w:t>
            </w:r>
          </w:p>
        </w:tc>
      </w:tr>
      <w:tr w14:paraId="40260FDC">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3629D57">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54</w:t>
            </w:r>
          </w:p>
        </w:tc>
        <w:tc>
          <w:tcPr>
            <w:tcW w:w="2138" w:type="dxa"/>
            <w:tcBorders>
              <w:top w:val="nil"/>
              <w:left w:val="nil"/>
              <w:bottom w:val="single" w:color="auto" w:sz="4" w:space="0"/>
              <w:right w:val="single" w:color="auto" w:sz="4" w:space="0"/>
            </w:tcBorders>
            <w:shd w:val="clear" w:color="auto" w:fill="auto"/>
            <w:noWrap/>
            <w:vAlign w:val="center"/>
          </w:tcPr>
          <w:p w14:paraId="22767C6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3D1DCEA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野外调查质量检查管理</w:t>
            </w:r>
          </w:p>
        </w:tc>
        <w:tc>
          <w:tcPr>
            <w:tcW w:w="3697" w:type="dxa"/>
            <w:tcBorders>
              <w:top w:val="nil"/>
              <w:left w:val="nil"/>
              <w:bottom w:val="single" w:color="auto" w:sz="4" w:space="0"/>
              <w:right w:val="single" w:color="auto" w:sz="4" w:space="0"/>
            </w:tcBorders>
            <w:shd w:val="clear" w:color="auto" w:fill="auto"/>
            <w:noWrap/>
            <w:vAlign w:val="center"/>
          </w:tcPr>
          <w:p w14:paraId="2EC1EDA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实现野外调查质量检查管理。</w:t>
            </w:r>
          </w:p>
        </w:tc>
      </w:tr>
      <w:tr w14:paraId="0B146F7F">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F1BF8A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55</w:t>
            </w:r>
          </w:p>
        </w:tc>
        <w:tc>
          <w:tcPr>
            <w:tcW w:w="2138" w:type="dxa"/>
            <w:tcBorders>
              <w:top w:val="nil"/>
              <w:left w:val="nil"/>
              <w:bottom w:val="single" w:color="auto" w:sz="4" w:space="0"/>
              <w:right w:val="single" w:color="auto" w:sz="4" w:space="0"/>
            </w:tcBorders>
            <w:shd w:val="clear" w:color="auto" w:fill="auto"/>
            <w:noWrap/>
            <w:vAlign w:val="center"/>
          </w:tcPr>
          <w:p w14:paraId="3C12407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3DBCA59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野外调查配置管理</w:t>
            </w:r>
          </w:p>
        </w:tc>
        <w:tc>
          <w:tcPr>
            <w:tcW w:w="3697" w:type="dxa"/>
            <w:tcBorders>
              <w:top w:val="nil"/>
              <w:left w:val="nil"/>
              <w:bottom w:val="single" w:color="auto" w:sz="4" w:space="0"/>
              <w:right w:val="single" w:color="auto" w:sz="4" w:space="0"/>
            </w:tcBorders>
            <w:shd w:val="clear" w:color="auto" w:fill="auto"/>
            <w:noWrap/>
            <w:vAlign w:val="center"/>
          </w:tcPr>
          <w:p w14:paraId="530FB8E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实现调查表样、调查类目、调查区域、调查专家库的统一配置管理。</w:t>
            </w:r>
          </w:p>
        </w:tc>
      </w:tr>
      <w:tr w14:paraId="6E133F67">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9E5472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56</w:t>
            </w:r>
          </w:p>
        </w:tc>
        <w:tc>
          <w:tcPr>
            <w:tcW w:w="2138" w:type="dxa"/>
            <w:tcBorders>
              <w:top w:val="nil"/>
              <w:left w:val="nil"/>
              <w:bottom w:val="single" w:color="auto" w:sz="4" w:space="0"/>
              <w:right w:val="single" w:color="auto" w:sz="4" w:space="0"/>
            </w:tcBorders>
            <w:shd w:val="clear" w:color="auto" w:fill="auto"/>
            <w:noWrap/>
            <w:vAlign w:val="center"/>
          </w:tcPr>
          <w:p w14:paraId="092C4B2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野外调查工作管理</w:t>
            </w:r>
          </w:p>
        </w:tc>
        <w:tc>
          <w:tcPr>
            <w:tcW w:w="2398" w:type="dxa"/>
            <w:tcBorders>
              <w:top w:val="nil"/>
              <w:left w:val="nil"/>
              <w:bottom w:val="single" w:color="auto" w:sz="4" w:space="0"/>
              <w:right w:val="single" w:color="auto" w:sz="4" w:space="0"/>
            </w:tcBorders>
            <w:shd w:val="clear" w:color="auto" w:fill="auto"/>
            <w:noWrap/>
            <w:vAlign w:val="center"/>
          </w:tcPr>
          <w:p w14:paraId="072A8BF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野外调查第三方APP数据调阅</w:t>
            </w:r>
          </w:p>
        </w:tc>
        <w:tc>
          <w:tcPr>
            <w:tcW w:w="3697" w:type="dxa"/>
            <w:tcBorders>
              <w:top w:val="nil"/>
              <w:left w:val="nil"/>
              <w:bottom w:val="single" w:color="auto" w:sz="4" w:space="0"/>
              <w:right w:val="single" w:color="auto" w:sz="4" w:space="0"/>
            </w:tcBorders>
            <w:shd w:val="clear" w:color="auto" w:fill="auto"/>
            <w:noWrap/>
            <w:vAlign w:val="center"/>
          </w:tcPr>
          <w:p w14:paraId="327172C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实现野外调查第三方APP数据的调阅。</w:t>
            </w:r>
          </w:p>
        </w:tc>
      </w:tr>
      <w:tr w14:paraId="1AFB3FEA">
        <w:tblPrEx>
          <w:tblCellMar>
            <w:top w:w="0" w:type="dxa"/>
            <w:left w:w="108" w:type="dxa"/>
            <w:bottom w:w="0" w:type="dxa"/>
            <w:right w:w="108" w:type="dxa"/>
          </w:tblCellMar>
        </w:tblPrEx>
        <w:trPr>
          <w:trHeight w:val="292"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D3D8AC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57</w:t>
            </w:r>
          </w:p>
        </w:tc>
        <w:tc>
          <w:tcPr>
            <w:tcW w:w="2138" w:type="dxa"/>
            <w:tcBorders>
              <w:top w:val="nil"/>
              <w:left w:val="nil"/>
              <w:bottom w:val="single" w:color="auto" w:sz="4" w:space="0"/>
              <w:right w:val="single" w:color="auto" w:sz="4" w:space="0"/>
            </w:tcBorders>
            <w:shd w:val="clear" w:color="auto" w:fill="auto"/>
            <w:noWrap/>
            <w:vAlign w:val="center"/>
          </w:tcPr>
          <w:p w14:paraId="59F9CAA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4C2E380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生物多样性监测</w:t>
            </w:r>
          </w:p>
        </w:tc>
        <w:tc>
          <w:tcPr>
            <w:tcW w:w="3697" w:type="dxa"/>
            <w:tcBorders>
              <w:top w:val="nil"/>
              <w:left w:val="nil"/>
              <w:bottom w:val="single" w:color="auto" w:sz="4" w:space="0"/>
              <w:right w:val="single" w:color="auto" w:sz="4" w:space="0"/>
            </w:tcBorders>
            <w:shd w:val="clear" w:color="auto" w:fill="auto"/>
            <w:noWrap/>
            <w:vAlign w:val="center"/>
          </w:tcPr>
          <w:p w14:paraId="659586A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对生物多样性要素进行连续在线监测，对监测指标进行监测和管理。</w:t>
            </w:r>
          </w:p>
        </w:tc>
      </w:tr>
      <w:tr w14:paraId="192596FC">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179396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58</w:t>
            </w:r>
          </w:p>
        </w:tc>
        <w:tc>
          <w:tcPr>
            <w:tcW w:w="2138" w:type="dxa"/>
            <w:tcBorders>
              <w:top w:val="nil"/>
              <w:left w:val="nil"/>
              <w:bottom w:val="single" w:color="auto" w:sz="4" w:space="0"/>
              <w:right w:val="single" w:color="auto" w:sz="4" w:space="0"/>
            </w:tcBorders>
            <w:shd w:val="clear" w:color="auto" w:fill="auto"/>
            <w:noWrap/>
            <w:vAlign w:val="center"/>
          </w:tcPr>
          <w:p w14:paraId="2D031C7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6E6BE96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碳通量监测</w:t>
            </w:r>
          </w:p>
        </w:tc>
        <w:tc>
          <w:tcPr>
            <w:tcW w:w="3697" w:type="dxa"/>
            <w:tcBorders>
              <w:top w:val="nil"/>
              <w:left w:val="nil"/>
              <w:bottom w:val="single" w:color="auto" w:sz="4" w:space="0"/>
              <w:right w:val="single" w:color="auto" w:sz="4" w:space="0"/>
            </w:tcBorders>
            <w:shd w:val="clear" w:color="auto" w:fill="auto"/>
            <w:noWrap/>
            <w:vAlign w:val="center"/>
          </w:tcPr>
          <w:p w14:paraId="4FF4632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对二氧化碳、水汽浓度、能量通量等指标进行连续在线监测，对监测指标进行监测和管理。</w:t>
            </w:r>
          </w:p>
        </w:tc>
      </w:tr>
      <w:tr w14:paraId="5337AED4">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27ADD5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59</w:t>
            </w:r>
          </w:p>
        </w:tc>
        <w:tc>
          <w:tcPr>
            <w:tcW w:w="2138" w:type="dxa"/>
            <w:tcBorders>
              <w:top w:val="nil"/>
              <w:left w:val="nil"/>
              <w:bottom w:val="single" w:color="auto" w:sz="4" w:space="0"/>
              <w:right w:val="single" w:color="auto" w:sz="4" w:space="0"/>
            </w:tcBorders>
            <w:shd w:val="clear" w:color="auto" w:fill="auto"/>
            <w:noWrap/>
            <w:vAlign w:val="center"/>
          </w:tcPr>
          <w:p w14:paraId="2FA3C70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36749F0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气象监测</w:t>
            </w:r>
          </w:p>
        </w:tc>
        <w:tc>
          <w:tcPr>
            <w:tcW w:w="3697" w:type="dxa"/>
            <w:tcBorders>
              <w:top w:val="nil"/>
              <w:left w:val="nil"/>
              <w:bottom w:val="single" w:color="auto" w:sz="4" w:space="0"/>
              <w:right w:val="single" w:color="auto" w:sz="4" w:space="0"/>
            </w:tcBorders>
            <w:shd w:val="clear" w:color="auto" w:fill="auto"/>
            <w:noWrap/>
            <w:vAlign w:val="center"/>
          </w:tcPr>
          <w:p w14:paraId="44834FC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对空气质量、气候环境舒适度、空气清新等指标进行连续在线监测，对监测指标进行监测和管理。</w:t>
            </w:r>
          </w:p>
        </w:tc>
      </w:tr>
      <w:tr w14:paraId="64458ABE">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551DDA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60</w:t>
            </w:r>
          </w:p>
        </w:tc>
        <w:tc>
          <w:tcPr>
            <w:tcW w:w="2138" w:type="dxa"/>
            <w:tcBorders>
              <w:top w:val="nil"/>
              <w:left w:val="nil"/>
              <w:bottom w:val="single" w:color="auto" w:sz="4" w:space="0"/>
              <w:right w:val="single" w:color="auto" w:sz="4" w:space="0"/>
            </w:tcBorders>
            <w:shd w:val="clear" w:color="auto" w:fill="auto"/>
            <w:noWrap/>
            <w:vAlign w:val="center"/>
          </w:tcPr>
          <w:p w14:paraId="29A2B97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2EF3C30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土壤监测</w:t>
            </w:r>
          </w:p>
        </w:tc>
        <w:tc>
          <w:tcPr>
            <w:tcW w:w="3697" w:type="dxa"/>
            <w:tcBorders>
              <w:top w:val="nil"/>
              <w:left w:val="nil"/>
              <w:bottom w:val="single" w:color="auto" w:sz="4" w:space="0"/>
              <w:right w:val="single" w:color="auto" w:sz="4" w:space="0"/>
            </w:tcBorders>
            <w:shd w:val="clear" w:color="auto" w:fill="auto"/>
            <w:noWrap/>
            <w:vAlign w:val="center"/>
          </w:tcPr>
          <w:p w14:paraId="3A1B9B0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对土壤蒸散、土壤热通量、土壤温度、土壤水势、地下水水位等土壤指标进行连续在线监测，对监测指标进行监测和管理。</w:t>
            </w:r>
          </w:p>
        </w:tc>
      </w:tr>
      <w:tr w14:paraId="5621C02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328C68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61</w:t>
            </w:r>
          </w:p>
        </w:tc>
        <w:tc>
          <w:tcPr>
            <w:tcW w:w="2138" w:type="dxa"/>
            <w:tcBorders>
              <w:top w:val="nil"/>
              <w:left w:val="nil"/>
              <w:bottom w:val="single" w:color="auto" w:sz="4" w:space="0"/>
              <w:right w:val="single" w:color="auto" w:sz="4" w:space="0"/>
            </w:tcBorders>
            <w:shd w:val="clear" w:color="auto" w:fill="auto"/>
            <w:noWrap/>
            <w:vAlign w:val="center"/>
          </w:tcPr>
          <w:p w14:paraId="01109DD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5E7C747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地貌定位监测</w:t>
            </w:r>
          </w:p>
        </w:tc>
        <w:tc>
          <w:tcPr>
            <w:tcW w:w="3697" w:type="dxa"/>
            <w:tcBorders>
              <w:top w:val="nil"/>
              <w:left w:val="nil"/>
              <w:bottom w:val="single" w:color="auto" w:sz="4" w:space="0"/>
              <w:right w:val="single" w:color="auto" w:sz="4" w:space="0"/>
            </w:tcBorders>
            <w:shd w:val="clear" w:color="auto" w:fill="auto"/>
            <w:noWrap/>
            <w:vAlign w:val="center"/>
          </w:tcPr>
          <w:p w14:paraId="3AC761D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对地形、地貌等指标进行连续在线监测，对监测指标进行监测和管理。</w:t>
            </w:r>
          </w:p>
        </w:tc>
      </w:tr>
      <w:tr w14:paraId="55DFBC93">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94B88B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62</w:t>
            </w:r>
          </w:p>
        </w:tc>
        <w:tc>
          <w:tcPr>
            <w:tcW w:w="2138" w:type="dxa"/>
            <w:tcBorders>
              <w:top w:val="nil"/>
              <w:left w:val="nil"/>
              <w:bottom w:val="single" w:color="auto" w:sz="4" w:space="0"/>
              <w:right w:val="single" w:color="auto" w:sz="4" w:space="0"/>
            </w:tcBorders>
            <w:shd w:val="clear" w:color="auto" w:fill="auto"/>
            <w:noWrap/>
            <w:vAlign w:val="center"/>
          </w:tcPr>
          <w:p w14:paraId="345A1B0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28B03B8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水环境监测</w:t>
            </w:r>
          </w:p>
        </w:tc>
        <w:tc>
          <w:tcPr>
            <w:tcW w:w="3697" w:type="dxa"/>
            <w:tcBorders>
              <w:top w:val="nil"/>
              <w:left w:val="nil"/>
              <w:bottom w:val="single" w:color="auto" w:sz="4" w:space="0"/>
              <w:right w:val="single" w:color="auto" w:sz="4" w:space="0"/>
            </w:tcBorders>
            <w:shd w:val="clear" w:color="auto" w:fill="auto"/>
            <w:noWrap/>
            <w:vAlign w:val="center"/>
          </w:tcPr>
          <w:p w14:paraId="3736227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对地表水和地下水的水质等指标进行连续在线监测，对监测指标进行监测和管理。</w:t>
            </w:r>
          </w:p>
        </w:tc>
      </w:tr>
      <w:tr w14:paraId="5DC8B60A">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4CA609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63</w:t>
            </w:r>
          </w:p>
        </w:tc>
        <w:tc>
          <w:tcPr>
            <w:tcW w:w="2138" w:type="dxa"/>
            <w:tcBorders>
              <w:top w:val="nil"/>
              <w:left w:val="nil"/>
              <w:bottom w:val="single" w:color="auto" w:sz="4" w:space="0"/>
              <w:right w:val="single" w:color="auto" w:sz="4" w:space="0"/>
            </w:tcBorders>
            <w:shd w:val="clear" w:color="auto" w:fill="auto"/>
            <w:noWrap/>
            <w:vAlign w:val="center"/>
          </w:tcPr>
          <w:p w14:paraId="6C64108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4F0B476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水文动力监测</w:t>
            </w:r>
          </w:p>
        </w:tc>
        <w:tc>
          <w:tcPr>
            <w:tcW w:w="3697" w:type="dxa"/>
            <w:tcBorders>
              <w:top w:val="nil"/>
              <w:left w:val="nil"/>
              <w:bottom w:val="single" w:color="auto" w:sz="4" w:space="0"/>
              <w:right w:val="single" w:color="auto" w:sz="4" w:space="0"/>
            </w:tcBorders>
            <w:shd w:val="clear" w:color="auto" w:fill="auto"/>
            <w:noWrap/>
            <w:vAlign w:val="center"/>
          </w:tcPr>
          <w:p w14:paraId="15FF014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对水文动力等指标进行连续在线监测，对监测指标进行监测和管理。</w:t>
            </w:r>
          </w:p>
        </w:tc>
      </w:tr>
      <w:tr w14:paraId="3A5BAA8D">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DD300A3">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64</w:t>
            </w:r>
          </w:p>
        </w:tc>
        <w:tc>
          <w:tcPr>
            <w:tcW w:w="2138" w:type="dxa"/>
            <w:tcBorders>
              <w:top w:val="nil"/>
              <w:left w:val="nil"/>
              <w:bottom w:val="single" w:color="auto" w:sz="4" w:space="0"/>
              <w:right w:val="single" w:color="auto" w:sz="4" w:space="0"/>
            </w:tcBorders>
            <w:shd w:val="clear" w:color="auto" w:fill="auto"/>
            <w:noWrap/>
            <w:vAlign w:val="center"/>
          </w:tcPr>
          <w:p w14:paraId="24105FF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54CDF04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外来入侵物种监测和预警</w:t>
            </w:r>
          </w:p>
        </w:tc>
        <w:tc>
          <w:tcPr>
            <w:tcW w:w="3697" w:type="dxa"/>
            <w:tcBorders>
              <w:top w:val="nil"/>
              <w:left w:val="nil"/>
              <w:bottom w:val="single" w:color="auto" w:sz="4" w:space="0"/>
              <w:right w:val="single" w:color="auto" w:sz="4" w:space="0"/>
            </w:tcBorders>
            <w:shd w:val="clear" w:color="auto" w:fill="auto"/>
            <w:noWrap/>
            <w:vAlign w:val="center"/>
          </w:tcPr>
          <w:p w14:paraId="3B6447B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对外来入侵物种进行连续在线监测，对监测指标进行监测和管理。</w:t>
            </w:r>
          </w:p>
        </w:tc>
      </w:tr>
      <w:tr w14:paraId="427DBAC0">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EF03F6D">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65</w:t>
            </w:r>
          </w:p>
        </w:tc>
        <w:tc>
          <w:tcPr>
            <w:tcW w:w="2138" w:type="dxa"/>
            <w:tcBorders>
              <w:top w:val="nil"/>
              <w:left w:val="nil"/>
              <w:bottom w:val="single" w:color="auto" w:sz="4" w:space="0"/>
              <w:right w:val="single" w:color="auto" w:sz="4" w:space="0"/>
            </w:tcBorders>
            <w:shd w:val="clear" w:color="auto" w:fill="auto"/>
            <w:noWrap/>
            <w:vAlign w:val="center"/>
          </w:tcPr>
          <w:p w14:paraId="32963D7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08E9901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采集数据标准化处理</w:t>
            </w:r>
          </w:p>
        </w:tc>
        <w:tc>
          <w:tcPr>
            <w:tcW w:w="3697" w:type="dxa"/>
            <w:tcBorders>
              <w:top w:val="nil"/>
              <w:left w:val="nil"/>
              <w:bottom w:val="single" w:color="auto" w:sz="4" w:space="0"/>
              <w:right w:val="single" w:color="auto" w:sz="4" w:space="0"/>
            </w:tcBorders>
            <w:shd w:val="clear" w:color="auto" w:fill="auto"/>
            <w:noWrap/>
            <w:vAlign w:val="center"/>
          </w:tcPr>
          <w:p w14:paraId="5CDF29A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实现生态监测网络的采集数据标准化管理。</w:t>
            </w:r>
          </w:p>
        </w:tc>
      </w:tr>
      <w:tr w14:paraId="667F677B">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898534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66</w:t>
            </w:r>
          </w:p>
        </w:tc>
        <w:tc>
          <w:tcPr>
            <w:tcW w:w="2138" w:type="dxa"/>
            <w:tcBorders>
              <w:top w:val="nil"/>
              <w:left w:val="nil"/>
              <w:bottom w:val="single" w:color="auto" w:sz="4" w:space="0"/>
              <w:right w:val="single" w:color="auto" w:sz="4" w:space="0"/>
            </w:tcBorders>
            <w:shd w:val="clear" w:color="auto" w:fill="auto"/>
            <w:noWrap/>
            <w:vAlign w:val="center"/>
          </w:tcPr>
          <w:p w14:paraId="2B19D8A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52F40E7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监测项目全生命周期管理</w:t>
            </w:r>
          </w:p>
        </w:tc>
        <w:tc>
          <w:tcPr>
            <w:tcW w:w="3697" w:type="dxa"/>
            <w:tcBorders>
              <w:top w:val="nil"/>
              <w:left w:val="nil"/>
              <w:bottom w:val="single" w:color="auto" w:sz="4" w:space="0"/>
              <w:right w:val="single" w:color="auto" w:sz="4" w:space="0"/>
            </w:tcBorders>
            <w:shd w:val="clear" w:color="auto" w:fill="auto"/>
            <w:noWrap/>
            <w:vAlign w:val="center"/>
          </w:tcPr>
          <w:p w14:paraId="54D95E5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实现生态监测网络的项目全生命周期管理。</w:t>
            </w:r>
          </w:p>
        </w:tc>
      </w:tr>
      <w:tr w14:paraId="2A52FB11">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60D6DD8">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67</w:t>
            </w:r>
          </w:p>
        </w:tc>
        <w:tc>
          <w:tcPr>
            <w:tcW w:w="2138" w:type="dxa"/>
            <w:tcBorders>
              <w:top w:val="nil"/>
              <w:left w:val="nil"/>
              <w:bottom w:val="single" w:color="auto" w:sz="4" w:space="0"/>
              <w:right w:val="single" w:color="auto" w:sz="4" w:space="0"/>
            </w:tcBorders>
            <w:shd w:val="clear" w:color="auto" w:fill="auto"/>
            <w:noWrap/>
            <w:vAlign w:val="center"/>
          </w:tcPr>
          <w:p w14:paraId="623097B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生态监测网络管理</w:t>
            </w:r>
          </w:p>
        </w:tc>
        <w:tc>
          <w:tcPr>
            <w:tcW w:w="2398" w:type="dxa"/>
            <w:tcBorders>
              <w:top w:val="nil"/>
              <w:left w:val="nil"/>
              <w:bottom w:val="single" w:color="auto" w:sz="4" w:space="0"/>
              <w:right w:val="single" w:color="auto" w:sz="4" w:space="0"/>
            </w:tcBorders>
            <w:shd w:val="clear" w:color="auto" w:fill="auto"/>
            <w:noWrap/>
            <w:vAlign w:val="center"/>
          </w:tcPr>
          <w:p w14:paraId="3023F77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生态监测台站管理</w:t>
            </w:r>
          </w:p>
        </w:tc>
        <w:tc>
          <w:tcPr>
            <w:tcW w:w="3697" w:type="dxa"/>
            <w:tcBorders>
              <w:top w:val="nil"/>
              <w:left w:val="nil"/>
              <w:bottom w:val="single" w:color="auto" w:sz="4" w:space="0"/>
              <w:right w:val="single" w:color="auto" w:sz="4" w:space="0"/>
            </w:tcBorders>
            <w:shd w:val="clear" w:color="auto" w:fill="auto"/>
            <w:noWrap/>
            <w:vAlign w:val="center"/>
          </w:tcPr>
          <w:p w14:paraId="59062C4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实现生态监测网络的台站管理。</w:t>
            </w:r>
          </w:p>
        </w:tc>
      </w:tr>
      <w:tr w14:paraId="099FDB2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A5E6D4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68</w:t>
            </w:r>
          </w:p>
        </w:tc>
        <w:tc>
          <w:tcPr>
            <w:tcW w:w="2138" w:type="dxa"/>
            <w:tcBorders>
              <w:top w:val="nil"/>
              <w:left w:val="nil"/>
              <w:bottom w:val="single" w:color="auto" w:sz="4" w:space="0"/>
              <w:right w:val="single" w:color="auto" w:sz="4" w:space="0"/>
            </w:tcBorders>
            <w:shd w:val="clear" w:color="auto" w:fill="auto"/>
            <w:noWrap/>
            <w:vAlign w:val="center"/>
          </w:tcPr>
          <w:p w14:paraId="7080A6E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野保科研大数据管理</w:t>
            </w:r>
          </w:p>
        </w:tc>
        <w:tc>
          <w:tcPr>
            <w:tcW w:w="2398" w:type="dxa"/>
            <w:tcBorders>
              <w:top w:val="nil"/>
              <w:left w:val="nil"/>
              <w:bottom w:val="single" w:color="auto" w:sz="4" w:space="0"/>
              <w:right w:val="single" w:color="auto" w:sz="4" w:space="0"/>
            </w:tcBorders>
            <w:shd w:val="clear" w:color="auto" w:fill="auto"/>
            <w:noWrap/>
            <w:vAlign w:val="center"/>
          </w:tcPr>
          <w:p w14:paraId="5240AF7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高通量测序原始数据管理</w:t>
            </w:r>
          </w:p>
        </w:tc>
        <w:tc>
          <w:tcPr>
            <w:tcW w:w="3697" w:type="dxa"/>
            <w:tcBorders>
              <w:top w:val="nil"/>
              <w:left w:val="nil"/>
              <w:bottom w:val="single" w:color="auto" w:sz="4" w:space="0"/>
              <w:right w:val="single" w:color="auto" w:sz="4" w:space="0"/>
            </w:tcBorders>
            <w:shd w:val="clear" w:color="auto" w:fill="auto"/>
            <w:noWrap/>
            <w:vAlign w:val="center"/>
          </w:tcPr>
          <w:p w14:paraId="5D66871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对全基因组测序结果的原始数据实现分布式数据存储和索引；实现序列修正和标记关联管理。</w:t>
            </w:r>
          </w:p>
        </w:tc>
      </w:tr>
      <w:tr w14:paraId="78F445BA">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B2EC695">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69</w:t>
            </w:r>
          </w:p>
        </w:tc>
        <w:tc>
          <w:tcPr>
            <w:tcW w:w="2138" w:type="dxa"/>
            <w:tcBorders>
              <w:top w:val="nil"/>
              <w:left w:val="nil"/>
              <w:bottom w:val="single" w:color="auto" w:sz="4" w:space="0"/>
              <w:right w:val="single" w:color="auto" w:sz="4" w:space="0"/>
            </w:tcBorders>
            <w:shd w:val="clear" w:color="auto" w:fill="auto"/>
            <w:noWrap/>
            <w:vAlign w:val="center"/>
          </w:tcPr>
          <w:p w14:paraId="3193702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野保科研大数据管理</w:t>
            </w:r>
          </w:p>
        </w:tc>
        <w:tc>
          <w:tcPr>
            <w:tcW w:w="2398" w:type="dxa"/>
            <w:tcBorders>
              <w:top w:val="nil"/>
              <w:left w:val="nil"/>
              <w:bottom w:val="single" w:color="auto" w:sz="4" w:space="0"/>
              <w:right w:val="single" w:color="auto" w:sz="4" w:space="0"/>
            </w:tcBorders>
            <w:shd w:val="clear" w:color="auto" w:fill="auto"/>
            <w:noWrap/>
            <w:vAlign w:val="center"/>
          </w:tcPr>
          <w:p w14:paraId="49BAF76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野生动植物DNA基因库大数据管理</w:t>
            </w:r>
          </w:p>
        </w:tc>
        <w:tc>
          <w:tcPr>
            <w:tcW w:w="3697" w:type="dxa"/>
            <w:tcBorders>
              <w:top w:val="nil"/>
              <w:left w:val="nil"/>
              <w:bottom w:val="single" w:color="auto" w:sz="4" w:space="0"/>
              <w:right w:val="single" w:color="auto" w:sz="4" w:space="0"/>
            </w:tcBorders>
            <w:shd w:val="clear" w:color="auto" w:fill="auto"/>
            <w:noWrap/>
            <w:vAlign w:val="center"/>
          </w:tcPr>
          <w:p w14:paraId="6256DC2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实现野生动植物DNA基因大数据管理。</w:t>
            </w:r>
          </w:p>
        </w:tc>
      </w:tr>
      <w:tr w14:paraId="3C68A04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34BB0B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70</w:t>
            </w:r>
          </w:p>
        </w:tc>
        <w:tc>
          <w:tcPr>
            <w:tcW w:w="2138" w:type="dxa"/>
            <w:tcBorders>
              <w:top w:val="nil"/>
              <w:left w:val="nil"/>
              <w:bottom w:val="single" w:color="auto" w:sz="4" w:space="0"/>
              <w:right w:val="single" w:color="auto" w:sz="4" w:space="0"/>
            </w:tcBorders>
            <w:shd w:val="clear" w:color="auto" w:fill="auto"/>
            <w:noWrap/>
            <w:vAlign w:val="center"/>
          </w:tcPr>
          <w:p w14:paraId="256326B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野保科研大数据管理</w:t>
            </w:r>
          </w:p>
        </w:tc>
        <w:tc>
          <w:tcPr>
            <w:tcW w:w="2398" w:type="dxa"/>
            <w:tcBorders>
              <w:top w:val="nil"/>
              <w:left w:val="nil"/>
              <w:bottom w:val="single" w:color="auto" w:sz="4" w:space="0"/>
              <w:right w:val="single" w:color="auto" w:sz="4" w:space="0"/>
            </w:tcBorders>
            <w:shd w:val="clear" w:color="auto" w:fill="auto"/>
            <w:noWrap/>
            <w:vAlign w:val="center"/>
          </w:tcPr>
          <w:p w14:paraId="795D31C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野生动植物标本库大数据管理</w:t>
            </w:r>
          </w:p>
        </w:tc>
        <w:tc>
          <w:tcPr>
            <w:tcW w:w="3697" w:type="dxa"/>
            <w:tcBorders>
              <w:top w:val="nil"/>
              <w:left w:val="nil"/>
              <w:bottom w:val="single" w:color="auto" w:sz="4" w:space="0"/>
              <w:right w:val="single" w:color="auto" w:sz="4" w:space="0"/>
            </w:tcBorders>
            <w:shd w:val="clear" w:color="auto" w:fill="auto"/>
            <w:noWrap/>
            <w:vAlign w:val="center"/>
          </w:tcPr>
          <w:p w14:paraId="75BA7B6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实现野生动植物标本库大数据管理。</w:t>
            </w:r>
          </w:p>
        </w:tc>
      </w:tr>
      <w:tr w14:paraId="6F4771A5">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DA6175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71</w:t>
            </w:r>
          </w:p>
        </w:tc>
        <w:tc>
          <w:tcPr>
            <w:tcW w:w="2138" w:type="dxa"/>
            <w:tcBorders>
              <w:top w:val="nil"/>
              <w:left w:val="nil"/>
              <w:bottom w:val="single" w:color="auto" w:sz="4" w:space="0"/>
              <w:right w:val="single" w:color="auto" w:sz="4" w:space="0"/>
            </w:tcBorders>
            <w:shd w:val="clear" w:color="auto" w:fill="auto"/>
            <w:noWrap/>
            <w:vAlign w:val="center"/>
          </w:tcPr>
          <w:p w14:paraId="46CFC22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野保科研大数据管理</w:t>
            </w:r>
          </w:p>
        </w:tc>
        <w:tc>
          <w:tcPr>
            <w:tcW w:w="2398" w:type="dxa"/>
            <w:tcBorders>
              <w:top w:val="nil"/>
              <w:left w:val="nil"/>
              <w:bottom w:val="single" w:color="auto" w:sz="4" w:space="0"/>
              <w:right w:val="single" w:color="auto" w:sz="4" w:space="0"/>
            </w:tcBorders>
            <w:shd w:val="clear" w:color="auto" w:fill="auto"/>
            <w:noWrap/>
            <w:vAlign w:val="center"/>
          </w:tcPr>
          <w:p w14:paraId="0153F34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生态监测大数据管理</w:t>
            </w:r>
          </w:p>
        </w:tc>
        <w:tc>
          <w:tcPr>
            <w:tcW w:w="3697" w:type="dxa"/>
            <w:tcBorders>
              <w:top w:val="nil"/>
              <w:left w:val="nil"/>
              <w:bottom w:val="single" w:color="auto" w:sz="4" w:space="0"/>
              <w:right w:val="single" w:color="auto" w:sz="4" w:space="0"/>
            </w:tcBorders>
            <w:shd w:val="clear" w:color="auto" w:fill="auto"/>
            <w:noWrap/>
            <w:vAlign w:val="center"/>
          </w:tcPr>
          <w:p w14:paraId="5A7C440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实现生态监测长序列数据进行大数据查询分析，自动化产出标准化的生态监测数据产品。</w:t>
            </w:r>
          </w:p>
        </w:tc>
      </w:tr>
      <w:tr w14:paraId="208F09A2">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F32580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72</w:t>
            </w:r>
          </w:p>
        </w:tc>
        <w:tc>
          <w:tcPr>
            <w:tcW w:w="2138" w:type="dxa"/>
            <w:tcBorders>
              <w:top w:val="nil"/>
              <w:left w:val="nil"/>
              <w:bottom w:val="single" w:color="auto" w:sz="4" w:space="0"/>
              <w:right w:val="single" w:color="auto" w:sz="4" w:space="0"/>
            </w:tcBorders>
            <w:shd w:val="clear" w:color="auto" w:fill="auto"/>
            <w:noWrap/>
            <w:vAlign w:val="center"/>
          </w:tcPr>
          <w:p w14:paraId="0E0BB1A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野保科研大数据管理</w:t>
            </w:r>
          </w:p>
        </w:tc>
        <w:tc>
          <w:tcPr>
            <w:tcW w:w="2398" w:type="dxa"/>
            <w:tcBorders>
              <w:top w:val="nil"/>
              <w:left w:val="nil"/>
              <w:bottom w:val="single" w:color="auto" w:sz="4" w:space="0"/>
              <w:right w:val="single" w:color="auto" w:sz="4" w:space="0"/>
            </w:tcBorders>
            <w:shd w:val="clear" w:color="auto" w:fill="auto"/>
            <w:noWrap/>
            <w:vAlign w:val="center"/>
          </w:tcPr>
          <w:p w14:paraId="0C5879D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野外调查大数据管理</w:t>
            </w:r>
          </w:p>
        </w:tc>
        <w:tc>
          <w:tcPr>
            <w:tcW w:w="3697" w:type="dxa"/>
            <w:tcBorders>
              <w:top w:val="nil"/>
              <w:left w:val="nil"/>
              <w:bottom w:val="single" w:color="auto" w:sz="4" w:space="0"/>
              <w:right w:val="single" w:color="auto" w:sz="4" w:space="0"/>
            </w:tcBorders>
            <w:shd w:val="clear" w:color="auto" w:fill="auto"/>
            <w:noWrap/>
            <w:vAlign w:val="center"/>
          </w:tcPr>
          <w:p w14:paraId="478F1AC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实现对野外调查专项的调查数据记录表的管理。</w:t>
            </w:r>
          </w:p>
        </w:tc>
      </w:tr>
      <w:tr w14:paraId="326018B2">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BEC856D">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73</w:t>
            </w:r>
          </w:p>
        </w:tc>
        <w:tc>
          <w:tcPr>
            <w:tcW w:w="2138" w:type="dxa"/>
            <w:tcBorders>
              <w:top w:val="nil"/>
              <w:left w:val="nil"/>
              <w:bottom w:val="single" w:color="auto" w:sz="4" w:space="0"/>
              <w:right w:val="single" w:color="auto" w:sz="4" w:space="0"/>
            </w:tcBorders>
            <w:shd w:val="clear" w:color="auto" w:fill="auto"/>
            <w:noWrap/>
            <w:vAlign w:val="center"/>
          </w:tcPr>
          <w:p w14:paraId="355E0FA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野保科研大数据管理</w:t>
            </w:r>
          </w:p>
        </w:tc>
        <w:tc>
          <w:tcPr>
            <w:tcW w:w="2398" w:type="dxa"/>
            <w:tcBorders>
              <w:top w:val="nil"/>
              <w:left w:val="nil"/>
              <w:bottom w:val="single" w:color="auto" w:sz="4" w:space="0"/>
              <w:right w:val="single" w:color="auto" w:sz="4" w:space="0"/>
            </w:tcBorders>
            <w:shd w:val="clear" w:color="auto" w:fill="auto"/>
            <w:noWrap/>
            <w:vAlign w:val="center"/>
          </w:tcPr>
          <w:p w14:paraId="712596B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野保大数据基础信息和脚本管理-野保大数据基础信息管理</w:t>
            </w:r>
          </w:p>
        </w:tc>
        <w:tc>
          <w:tcPr>
            <w:tcW w:w="3697" w:type="dxa"/>
            <w:tcBorders>
              <w:top w:val="nil"/>
              <w:left w:val="nil"/>
              <w:bottom w:val="single" w:color="auto" w:sz="4" w:space="0"/>
              <w:right w:val="single" w:color="auto" w:sz="4" w:space="0"/>
            </w:tcBorders>
            <w:shd w:val="clear" w:color="auto" w:fill="auto"/>
            <w:noWrap/>
            <w:vAlign w:val="center"/>
          </w:tcPr>
          <w:p w14:paraId="6D11B22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实现野保科研大数据的元数据、治理检验等管理。</w:t>
            </w:r>
          </w:p>
        </w:tc>
      </w:tr>
      <w:tr w14:paraId="3385E85E">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09EF77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74</w:t>
            </w:r>
          </w:p>
        </w:tc>
        <w:tc>
          <w:tcPr>
            <w:tcW w:w="2138" w:type="dxa"/>
            <w:tcBorders>
              <w:top w:val="nil"/>
              <w:left w:val="nil"/>
              <w:bottom w:val="single" w:color="auto" w:sz="4" w:space="0"/>
              <w:right w:val="single" w:color="auto" w:sz="4" w:space="0"/>
            </w:tcBorders>
            <w:shd w:val="clear" w:color="auto" w:fill="auto"/>
            <w:noWrap/>
            <w:vAlign w:val="center"/>
          </w:tcPr>
          <w:p w14:paraId="2A63457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野保科研大数据管理</w:t>
            </w:r>
          </w:p>
        </w:tc>
        <w:tc>
          <w:tcPr>
            <w:tcW w:w="2398" w:type="dxa"/>
            <w:tcBorders>
              <w:top w:val="nil"/>
              <w:left w:val="nil"/>
              <w:bottom w:val="single" w:color="auto" w:sz="4" w:space="0"/>
              <w:right w:val="single" w:color="auto" w:sz="4" w:space="0"/>
            </w:tcBorders>
            <w:shd w:val="clear" w:color="auto" w:fill="auto"/>
            <w:noWrap/>
            <w:vAlign w:val="center"/>
          </w:tcPr>
          <w:p w14:paraId="4857307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野保大数据基础信息和脚本管理-数据预处理脚本管理</w:t>
            </w:r>
          </w:p>
        </w:tc>
        <w:tc>
          <w:tcPr>
            <w:tcW w:w="3697" w:type="dxa"/>
            <w:tcBorders>
              <w:top w:val="nil"/>
              <w:left w:val="nil"/>
              <w:bottom w:val="single" w:color="auto" w:sz="4" w:space="0"/>
              <w:right w:val="single" w:color="auto" w:sz="4" w:space="0"/>
            </w:tcBorders>
            <w:shd w:val="clear" w:color="auto" w:fill="auto"/>
            <w:noWrap/>
            <w:vAlign w:val="center"/>
          </w:tcPr>
          <w:p w14:paraId="539907D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实现预处理脚本管理。</w:t>
            </w:r>
          </w:p>
        </w:tc>
      </w:tr>
      <w:tr w14:paraId="20448FEE">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30DDF4E">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75</w:t>
            </w:r>
          </w:p>
        </w:tc>
        <w:tc>
          <w:tcPr>
            <w:tcW w:w="2138" w:type="dxa"/>
            <w:tcBorders>
              <w:top w:val="nil"/>
              <w:left w:val="nil"/>
              <w:bottom w:val="single" w:color="auto" w:sz="4" w:space="0"/>
              <w:right w:val="single" w:color="auto" w:sz="4" w:space="0"/>
            </w:tcBorders>
            <w:shd w:val="clear" w:color="auto" w:fill="auto"/>
            <w:noWrap/>
            <w:vAlign w:val="center"/>
          </w:tcPr>
          <w:p w14:paraId="56F9BCF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野保科研大数据管理</w:t>
            </w:r>
          </w:p>
        </w:tc>
        <w:tc>
          <w:tcPr>
            <w:tcW w:w="2398" w:type="dxa"/>
            <w:tcBorders>
              <w:top w:val="nil"/>
              <w:left w:val="nil"/>
              <w:bottom w:val="single" w:color="auto" w:sz="4" w:space="0"/>
              <w:right w:val="single" w:color="auto" w:sz="4" w:space="0"/>
            </w:tcBorders>
            <w:shd w:val="clear" w:color="auto" w:fill="auto"/>
            <w:noWrap/>
            <w:vAlign w:val="center"/>
          </w:tcPr>
          <w:p w14:paraId="156DFE6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野保大数据基础信息和脚本管理-数据全生命周期管理</w:t>
            </w:r>
          </w:p>
        </w:tc>
        <w:tc>
          <w:tcPr>
            <w:tcW w:w="3697" w:type="dxa"/>
            <w:tcBorders>
              <w:top w:val="nil"/>
              <w:left w:val="nil"/>
              <w:bottom w:val="single" w:color="auto" w:sz="4" w:space="0"/>
              <w:right w:val="single" w:color="auto" w:sz="4" w:space="0"/>
            </w:tcBorders>
            <w:shd w:val="clear" w:color="auto" w:fill="auto"/>
            <w:noWrap/>
            <w:vAlign w:val="center"/>
          </w:tcPr>
          <w:p w14:paraId="7E11417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实现每个项目在全生命周期各个阶段的数据管理。</w:t>
            </w:r>
          </w:p>
        </w:tc>
      </w:tr>
      <w:tr w14:paraId="204002EC">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46E73B5">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76</w:t>
            </w:r>
          </w:p>
        </w:tc>
        <w:tc>
          <w:tcPr>
            <w:tcW w:w="2138" w:type="dxa"/>
            <w:tcBorders>
              <w:top w:val="nil"/>
              <w:left w:val="nil"/>
              <w:bottom w:val="single" w:color="auto" w:sz="4" w:space="0"/>
              <w:right w:val="single" w:color="auto" w:sz="4" w:space="0"/>
            </w:tcBorders>
            <w:shd w:val="clear" w:color="auto" w:fill="auto"/>
            <w:noWrap/>
            <w:vAlign w:val="center"/>
          </w:tcPr>
          <w:p w14:paraId="7810F25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1240676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野生动植物物种鉴定大数据分析及科研成果管理-形态学特征大数据分析</w:t>
            </w:r>
          </w:p>
        </w:tc>
        <w:tc>
          <w:tcPr>
            <w:tcW w:w="3697" w:type="dxa"/>
            <w:tcBorders>
              <w:top w:val="nil"/>
              <w:left w:val="nil"/>
              <w:bottom w:val="single" w:color="auto" w:sz="4" w:space="0"/>
              <w:right w:val="single" w:color="auto" w:sz="4" w:space="0"/>
            </w:tcBorders>
            <w:shd w:val="clear" w:color="auto" w:fill="auto"/>
            <w:noWrap/>
            <w:vAlign w:val="center"/>
          </w:tcPr>
          <w:p w14:paraId="56599B0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实现野生动植物的形态学分类、形态特征、地理分布的大数据分析。</w:t>
            </w:r>
          </w:p>
        </w:tc>
      </w:tr>
      <w:tr w14:paraId="6BA6D3C2">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26F406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77</w:t>
            </w:r>
          </w:p>
        </w:tc>
        <w:tc>
          <w:tcPr>
            <w:tcW w:w="2138" w:type="dxa"/>
            <w:tcBorders>
              <w:top w:val="nil"/>
              <w:left w:val="nil"/>
              <w:bottom w:val="single" w:color="auto" w:sz="4" w:space="0"/>
              <w:right w:val="single" w:color="auto" w:sz="4" w:space="0"/>
            </w:tcBorders>
            <w:shd w:val="clear" w:color="auto" w:fill="auto"/>
            <w:noWrap/>
            <w:vAlign w:val="center"/>
          </w:tcPr>
          <w:p w14:paraId="294CB0F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4AEBFCC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野生动植物物种鉴定大数据分析及科研成果管理-基因序列大数据比对分析</w:t>
            </w:r>
          </w:p>
        </w:tc>
        <w:tc>
          <w:tcPr>
            <w:tcW w:w="3697" w:type="dxa"/>
            <w:tcBorders>
              <w:top w:val="nil"/>
              <w:left w:val="nil"/>
              <w:bottom w:val="single" w:color="auto" w:sz="4" w:space="0"/>
              <w:right w:val="single" w:color="auto" w:sz="4" w:space="0"/>
            </w:tcBorders>
            <w:shd w:val="clear" w:color="auto" w:fill="auto"/>
            <w:noWrap/>
            <w:vAlign w:val="center"/>
          </w:tcPr>
          <w:p w14:paraId="5059CC8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实现野生动植物基因序列大数据测序和比对分析，形成专题分析成果。</w:t>
            </w:r>
          </w:p>
        </w:tc>
      </w:tr>
      <w:tr w14:paraId="783C3386">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6160D8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78</w:t>
            </w:r>
          </w:p>
        </w:tc>
        <w:tc>
          <w:tcPr>
            <w:tcW w:w="2138" w:type="dxa"/>
            <w:tcBorders>
              <w:top w:val="nil"/>
              <w:left w:val="nil"/>
              <w:bottom w:val="single" w:color="auto" w:sz="4" w:space="0"/>
              <w:right w:val="single" w:color="auto" w:sz="4" w:space="0"/>
            </w:tcBorders>
            <w:shd w:val="clear" w:color="auto" w:fill="auto"/>
            <w:noWrap/>
            <w:vAlign w:val="center"/>
          </w:tcPr>
          <w:p w14:paraId="6B9A225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1080168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野生动植物物种鉴定大数据分析及科研成果管理-系统发育树构建分析</w:t>
            </w:r>
          </w:p>
        </w:tc>
        <w:tc>
          <w:tcPr>
            <w:tcW w:w="3697" w:type="dxa"/>
            <w:tcBorders>
              <w:top w:val="nil"/>
              <w:left w:val="nil"/>
              <w:bottom w:val="single" w:color="auto" w:sz="4" w:space="0"/>
              <w:right w:val="single" w:color="auto" w:sz="4" w:space="0"/>
            </w:tcBorders>
            <w:shd w:val="clear" w:color="auto" w:fill="auto"/>
            <w:noWrap/>
            <w:vAlign w:val="center"/>
          </w:tcPr>
          <w:p w14:paraId="664067B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通过野生动植物基因DNA的大数据分析，形成自动分类结果。根据序列信息进行发育建树分析，形成专题分析成果。根据测序数据和序列标签得到样本序列、选择比对注释平台并得到物种注释成果。</w:t>
            </w:r>
          </w:p>
        </w:tc>
      </w:tr>
      <w:tr w14:paraId="3F2E4E27">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B0D759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79</w:t>
            </w:r>
          </w:p>
        </w:tc>
        <w:tc>
          <w:tcPr>
            <w:tcW w:w="2138" w:type="dxa"/>
            <w:tcBorders>
              <w:top w:val="nil"/>
              <w:left w:val="nil"/>
              <w:bottom w:val="single" w:color="auto" w:sz="4" w:space="0"/>
              <w:right w:val="single" w:color="auto" w:sz="4" w:space="0"/>
            </w:tcBorders>
            <w:shd w:val="clear" w:color="auto" w:fill="auto"/>
            <w:noWrap/>
            <w:vAlign w:val="center"/>
          </w:tcPr>
          <w:p w14:paraId="20D3873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629C168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野生植物调查大数据分析及科研成果管理-植物资源大数据分析</w:t>
            </w:r>
          </w:p>
        </w:tc>
        <w:tc>
          <w:tcPr>
            <w:tcW w:w="3697" w:type="dxa"/>
            <w:tcBorders>
              <w:top w:val="nil"/>
              <w:left w:val="nil"/>
              <w:bottom w:val="single" w:color="auto" w:sz="4" w:space="0"/>
              <w:right w:val="single" w:color="auto" w:sz="4" w:space="0"/>
            </w:tcBorders>
            <w:shd w:val="clear" w:color="auto" w:fill="auto"/>
            <w:noWrap/>
            <w:vAlign w:val="center"/>
          </w:tcPr>
          <w:p w14:paraId="6040B18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通过构建植物资源大数据识别算法，训练分析模型，自动计算分析；定制植物多样性指数分析方法，管理大数据分析方法。</w:t>
            </w:r>
          </w:p>
        </w:tc>
      </w:tr>
      <w:tr w14:paraId="7653EBFC">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E027CA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80</w:t>
            </w:r>
          </w:p>
        </w:tc>
        <w:tc>
          <w:tcPr>
            <w:tcW w:w="2138" w:type="dxa"/>
            <w:tcBorders>
              <w:top w:val="nil"/>
              <w:left w:val="nil"/>
              <w:bottom w:val="single" w:color="auto" w:sz="4" w:space="0"/>
              <w:right w:val="single" w:color="auto" w:sz="4" w:space="0"/>
            </w:tcBorders>
            <w:shd w:val="clear" w:color="auto" w:fill="auto"/>
            <w:noWrap/>
            <w:vAlign w:val="center"/>
          </w:tcPr>
          <w:p w14:paraId="6E85648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6B5A204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野生植物调查大数据分析及科研成果管理-植物调查大数据分析报告</w:t>
            </w:r>
          </w:p>
        </w:tc>
        <w:tc>
          <w:tcPr>
            <w:tcW w:w="3697" w:type="dxa"/>
            <w:tcBorders>
              <w:top w:val="nil"/>
              <w:left w:val="nil"/>
              <w:bottom w:val="single" w:color="auto" w:sz="4" w:space="0"/>
              <w:right w:val="single" w:color="auto" w:sz="4" w:space="0"/>
            </w:tcBorders>
            <w:shd w:val="clear" w:color="auto" w:fill="auto"/>
            <w:noWrap/>
            <w:vAlign w:val="center"/>
          </w:tcPr>
          <w:p w14:paraId="74E9AB8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根据植物调查的大数据分析结果，自动生成报告。</w:t>
            </w:r>
          </w:p>
        </w:tc>
      </w:tr>
      <w:tr w14:paraId="4DC55B1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D963C3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81</w:t>
            </w:r>
          </w:p>
        </w:tc>
        <w:tc>
          <w:tcPr>
            <w:tcW w:w="2138" w:type="dxa"/>
            <w:tcBorders>
              <w:top w:val="nil"/>
              <w:left w:val="nil"/>
              <w:bottom w:val="single" w:color="auto" w:sz="4" w:space="0"/>
              <w:right w:val="single" w:color="auto" w:sz="4" w:space="0"/>
            </w:tcBorders>
            <w:shd w:val="clear" w:color="auto" w:fill="auto"/>
            <w:noWrap/>
            <w:vAlign w:val="center"/>
          </w:tcPr>
          <w:p w14:paraId="425FEE1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196107A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野生植物调查大数据分析及科研成果管理-植物资源调查专题成果管理</w:t>
            </w:r>
          </w:p>
        </w:tc>
        <w:tc>
          <w:tcPr>
            <w:tcW w:w="3697" w:type="dxa"/>
            <w:tcBorders>
              <w:top w:val="nil"/>
              <w:left w:val="nil"/>
              <w:bottom w:val="single" w:color="auto" w:sz="4" w:space="0"/>
              <w:right w:val="single" w:color="auto" w:sz="4" w:space="0"/>
            </w:tcBorders>
            <w:shd w:val="clear" w:color="auto" w:fill="auto"/>
            <w:noWrap/>
            <w:vAlign w:val="center"/>
          </w:tcPr>
          <w:p w14:paraId="026E93C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实现植物资源调查的专题成果分析。</w:t>
            </w:r>
          </w:p>
        </w:tc>
      </w:tr>
      <w:tr w14:paraId="4A30128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B5DDAA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82</w:t>
            </w:r>
          </w:p>
        </w:tc>
        <w:tc>
          <w:tcPr>
            <w:tcW w:w="2138" w:type="dxa"/>
            <w:tcBorders>
              <w:top w:val="nil"/>
              <w:left w:val="nil"/>
              <w:bottom w:val="single" w:color="auto" w:sz="4" w:space="0"/>
              <w:right w:val="single" w:color="auto" w:sz="4" w:space="0"/>
            </w:tcBorders>
            <w:shd w:val="clear" w:color="auto" w:fill="auto"/>
            <w:noWrap/>
            <w:vAlign w:val="center"/>
          </w:tcPr>
          <w:p w14:paraId="785E6D4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7A1E35F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爬行动物调查大数据分析及科研成果管理-爬行动物调查大数据分析</w:t>
            </w:r>
          </w:p>
        </w:tc>
        <w:tc>
          <w:tcPr>
            <w:tcW w:w="3697" w:type="dxa"/>
            <w:tcBorders>
              <w:top w:val="nil"/>
              <w:left w:val="nil"/>
              <w:bottom w:val="single" w:color="auto" w:sz="4" w:space="0"/>
              <w:right w:val="single" w:color="auto" w:sz="4" w:space="0"/>
            </w:tcBorders>
            <w:shd w:val="clear" w:color="auto" w:fill="auto"/>
            <w:noWrap/>
            <w:vAlign w:val="center"/>
          </w:tcPr>
          <w:p w14:paraId="3654A4A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根据爬行动物大数据按不同分析维度进行爬行动物调查专题分析。</w:t>
            </w:r>
          </w:p>
        </w:tc>
      </w:tr>
      <w:tr w14:paraId="05F4E068">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C307FD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83</w:t>
            </w:r>
          </w:p>
        </w:tc>
        <w:tc>
          <w:tcPr>
            <w:tcW w:w="2138" w:type="dxa"/>
            <w:tcBorders>
              <w:top w:val="nil"/>
              <w:left w:val="nil"/>
              <w:bottom w:val="single" w:color="auto" w:sz="4" w:space="0"/>
              <w:right w:val="single" w:color="auto" w:sz="4" w:space="0"/>
            </w:tcBorders>
            <w:shd w:val="clear" w:color="auto" w:fill="auto"/>
            <w:noWrap/>
            <w:vAlign w:val="center"/>
          </w:tcPr>
          <w:p w14:paraId="6E56E81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0A5E58E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爬行动物调查大数据分析及科研成果管理-爬行动物资源专题成果管理</w:t>
            </w:r>
          </w:p>
        </w:tc>
        <w:tc>
          <w:tcPr>
            <w:tcW w:w="3697" w:type="dxa"/>
            <w:tcBorders>
              <w:top w:val="nil"/>
              <w:left w:val="nil"/>
              <w:bottom w:val="single" w:color="auto" w:sz="4" w:space="0"/>
              <w:right w:val="single" w:color="auto" w:sz="4" w:space="0"/>
            </w:tcBorders>
            <w:shd w:val="clear" w:color="auto" w:fill="auto"/>
            <w:noWrap/>
            <w:vAlign w:val="center"/>
          </w:tcPr>
          <w:p w14:paraId="7AB7CAE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根据爬行动物大数据实现爬行动物资源分布、爬行动物生境大数据分析。</w:t>
            </w:r>
          </w:p>
        </w:tc>
      </w:tr>
      <w:tr w14:paraId="5842492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3D20C4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84</w:t>
            </w:r>
          </w:p>
        </w:tc>
        <w:tc>
          <w:tcPr>
            <w:tcW w:w="2138" w:type="dxa"/>
            <w:tcBorders>
              <w:top w:val="nil"/>
              <w:left w:val="nil"/>
              <w:bottom w:val="single" w:color="auto" w:sz="4" w:space="0"/>
              <w:right w:val="single" w:color="auto" w:sz="4" w:space="0"/>
            </w:tcBorders>
            <w:shd w:val="clear" w:color="auto" w:fill="auto"/>
            <w:noWrap/>
            <w:vAlign w:val="center"/>
          </w:tcPr>
          <w:p w14:paraId="6A2738E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7C09320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生物多样性大数据分析及科研成果管理-野生动植物物种及种群变化分析</w:t>
            </w:r>
          </w:p>
        </w:tc>
        <w:tc>
          <w:tcPr>
            <w:tcW w:w="3697" w:type="dxa"/>
            <w:tcBorders>
              <w:top w:val="nil"/>
              <w:left w:val="nil"/>
              <w:bottom w:val="single" w:color="auto" w:sz="4" w:space="0"/>
              <w:right w:val="single" w:color="auto" w:sz="4" w:space="0"/>
            </w:tcBorders>
            <w:shd w:val="clear" w:color="auto" w:fill="auto"/>
            <w:noWrap/>
            <w:vAlign w:val="center"/>
          </w:tcPr>
          <w:p w14:paraId="7D723BA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根据野外调查大数据进行专题分析，管理野生动植物物种及种群变化的专题分析成果。</w:t>
            </w:r>
          </w:p>
        </w:tc>
      </w:tr>
      <w:tr w14:paraId="3C6508E6">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DE36C4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85</w:t>
            </w:r>
          </w:p>
        </w:tc>
        <w:tc>
          <w:tcPr>
            <w:tcW w:w="2138" w:type="dxa"/>
            <w:tcBorders>
              <w:top w:val="nil"/>
              <w:left w:val="nil"/>
              <w:bottom w:val="single" w:color="auto" w:sz="4" w:space="0"/>
              <w:right w:val="single" w:color="auto" w:sz="4" w:space="0"/>
            </w:tcBorders>
            <w:shd w:val="clear" w:color="auto" w:fill="auto"/>
            <w:noWrap/>
            <w:vAlign w:val="center"/>
          </w:tcPr>
          <w:p w14:paraId="77FDF45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63A95B3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生物多样性大数据分析及科研成果管理-野生动植物生物多样性分析</w:t>
            </w:r>
          </w:p>
        </w:tc>
        <w:tc>
          <w:tcPr>
            <w:tcW w:w="3697" w:type="dxa"/>
            <w:tcBorders>
              <w:top w:val="nil"/>
              <w:left w:val="nil"/>
              <w:bottom w:val="single" w:color="auto" w:sz="4" w:space="0"/>
              <w:right w:val="single" w:color="auto" w:sz="4" w:space="0"/>
            </w:tcBorders>
            <w:shd w:val="clear" w:color="auto" w:fill="auto"/>
            <w:noWrap/>
            <w:vAlign w:val="center"/>
          </w:tcPr>
          <w:p w14:paraId="60CB085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根据野外调查大数据进行生物多样性的α多样性、β多样性分析，实现自动判别优势种。</w:t>
            </w:r>
          </w:p>
        </w:tc>
      </w:tr>
      <w:tr w14:paraId="622D29CE">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EB4C278">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86</w:t>
            </w:r>
          </w:p>
        </w:tc>
        <w:tc>
          <w:tcPr>
            <w:tcW w:w="2138" w:type="dxa"/>
            <w:tcBorders>
              <w:top w:val="nil"/>
              <w:left w:val="nil"/>
              <w:bottom w:val="single" w:color="auto" w:sz="4" w:space="0"/>
              <w:right w:val="single" w:color="auto" w:sz="4" w:space="0"/>
            </w:tcBorders>
            <w:shd w:val="clear" w:color="auto" w:fill="auto"/>
            <w:noWrap/>
            <w:vAlign w:val="center"/>
          </w:tcPr>
          <w:p w14:paraId="2C289D0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1B58BC1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生物多样性大数据分析及科研成果管理-生物多样性专题分析成果管理</w:t>
            </w:r>
          </w:p>
        </w:tc>
        <w:tc>
          <w:tcPr>
            <w:tcW w:w="3697" w:type="dxa"/>
            <w:tcBorders>
              <w:top w:val="nil"/>
              <w:left w:val="nil"/>
              <w:bottom w:val="single" w:color="auto" w:sz="4" w:space="0"/>
              <w:right w:val="single" w:color="auto" w:sz="4" w:space="0"/>
            </w:tcBorders>
            <w:shd w:val="clear" w:color="auto" w:fill="auto"/>
            <w:noWrap/>
            <w:vAlign w:val="center"/>
          </w:tcPr>
          <w:p w14:paraId="40F08C7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实现生物多样性概况、多样性变化趋势等大数据分析。</w:t>
            </w:r>
          </w:p>
        </w:tc>
      </w:tr>
      <w:tr w14:paraId="153DE96A">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68F81B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87</w:t>
            </w:r>
          </w:p>
        </w:tc>
        <w:tc>
          <w:tcPr>
            <w:tcW w:w="2138" w:type="dxa"/>
            <w:tcBorders>
              <w:top w:val="nil"/>
              <w:left w:val="nil"/>
              <w:bottom w:val="single" w:color="auto" w:sz="4" w:space="0"/>
              <w:right w:val="single" w:color="auto" w:sz="4" w:space="0"/>
            </w:tcBorders>
            <w:shd w:val="clear" w:color="auto" w:fill="auto"/>
            <w:noWrap/>
            <w:vAlign w:val="center"/>
          </w:tcPr>
          <w:p w14:paraId="656FC84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6D407E6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极小种群复壮大数据分析及成果管理-极小种群大数据分析</w:t>
            </w:r>
          </w:p>
        </w:tc>
        <w:tc>
          <w:tcPr>
            <w:tcW w:w="3697" w:type="dxa"/>
            <w:tcBorders>
              <w:top w:val="nil"/>
              <w:left w:val="nil"/>
              <w:bottom w:val="single" w:color="auto" w:sz="4" w:space="0"/>
              <w:right w:val="single" w:color="auto" w:sz="4" w:space="0"/>
            </w:tcBorders>
            <w:shd w:val="clear" w:color="auto" w:fill="auto"/>
            <w:noWrap/>
            <w:vAlign w:val="center"/>
          </w:tcPr>
          <w:p w14:paraId="34D2F25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实现极小种群复壮的大数据分析。</w:t>
            </w:r>
          </w:p>
        </w:tc>
      </w:tr>
      <w:tr w14:paraId="0C249CF5">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5713CD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88</w:t>
            </w:r>
          </w:p>
        </w:tc>
        <w:tc>
          <w:tcPr>
            <w:tcW w:w="2138" w:type="dxa"/>
            <w:tcBorders>
              <w:top w:val="nil"/>
              <w:left w:val="nil"/>
              <w:bottom w:val="single" w:color="auto" w:sz="4" w:space="0"/>
              <w:right w:val="single" w:color="auto" w:sz="4" w:space="0"/>
            </w:tcBorders>
            <w:shd w:val="clear" w:color="auto" w:fill="auto"/>
            <w:noWrap/>
            <w:vAlign w:val="center"/>
          </w:tcPr>
          <w:p w14:paraId="70A8DF7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79F5FA3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极小种群复壮大数据分析及成果管理-极小种群复壮分析成果管理</w:t>
            </w:r>
          </w:p>
        </w:tc>
        <w:tc>
          <w:tcPr>
            <w:tcW w:w="3697" w:type="dxa"/>
            <w:tcBorders>
              <w:top w:val="nil"/>
              <w:left w:val="nil"/>
              <w:bottom w:val="single" w:color="auto" w:sz="4" w:space="0"/>
              <w:right w:val="single" w:color="auto" w:sz="4" w:space="0"/>
            </w:tcBorders>
            <w:shd w:val="clear" w:color="auto" w:fill="auto"/>
            <w:noWrap/>
            <w:vAlign w:val="center"/>
          </w:tcPr>
          <w:p w14:paraId="3CC601E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实现极小种群人工繁育技术开发分析和极小种群野外栖息地营造技术开发分析（以无斑雨蛙为例）。</w:t>
            </w:r>
          </w:p>
        </w:tc>
      </w:tr>
      <w:tr w14:paraId="2143135D">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B89F3E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89</w:t>
            </w:r>
          </w:p>
        </w:tc>
        <w:tc>
          <w:tcPr>
            <w:tcW w:w="2138" w:type="dxa"/>
            <w:tcBorders>
              <w:top w:val="nil"/>
              <w:left w:val="nil"/>
              <w:bottom w:val="single" w:color="auto" w:sz="4" w:space="0"/>
              <w:right w:val="single" w:color="auto" w:sz="4" w:space="0"/>
            </w:tcBorders>
            <w:shd w:val="clear" w:color="auto" w:fill="auto"/>
            <w:noWrap/>
            <w:vAlign w:val="center"/>
          </w:tcPr>
          <w:p w14:paraId="46564A8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21BFB76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湿地样地调查大数据分析及科研成果管理-样地调查大数据分析</w:t>
            </w:r>
          </w:p>
        </w:tc>
        <w:tc>
          <w:tcPr>
            <w:tcW w:w="3697" w:type="dxa"/>
            <w:tcBorders>
              <w:top w:val="nil"/>
              <w:left w:val="nil"/>
              <w:bottom w:val="single" w:color="auto" w:sz="4" w:space="0"/>
              <w:right w:val="single" w:color="auto" w:sz="4" w:space="0"/>
            </w:tcBorders>
            <w:shd w:val="clear" w:color="auto" w:fill="auto"/>
            <w:noWrap/>
            <w:vAlign w:val="center"/>
          </w:tcPr>
          <w:p w14:paraId="5F9CC93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根据湿地样地调查的大数据，实现样地基本情况和生态状况数据分析。</w:t>
            </w:r>
          </w:p>
        </w:tc>
      </w:tr>
      <w:tr w14:paraId="76637B9A">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3B0B24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90</w:t>
            </w:r>
          </w:p>
        </w:tc>
        <w:tc>
          <w:tcPr>
            <w:tcW w:w="2138" w:type="dxa"/>
            <w:tcBorders>
              <w:top w:val="nil"/>
              <w:left w:val="nil"/>
              <w:bottom w:val="single" w:color="auto" w:sz="4" w:space="0"/>
              <w:right w:val="single" w:color="auto" w:sz="4" w:space="0"/>
            </w:tcBorders>
            <w:shd w:val="clear" w:color="auto" w:fill="auto"/>
            <w:noWrap/>
            <w:vAlign w:val="center"/>
          </w:tcPr>
          <w:p w14:paraId="41E2156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6326EF6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湿地样地调查大数据分析及科研成果管理-样地调查大数据分析报告</w:t>
            </w:r>
          </w:p>
        </w:tc>
        <w:tc>
          <w:tcPr>
            <w:tcW w:w="3697" w:type="dxa"/>
            <w:tcBorders>
              <w:top w:val="nil"/>
              <w:left w:val="nil"/>
              <w:bottom w:val="single" w:color="auto" w:sz="4" w:space="0"/>
              <w:right w:val="single" w:color="auto" w:sz="4" w:space="0"/>
            </w:tcBorders>
            <w:shd w:val="clear" w:color="auto" w:fill="auto"/>
            <w:noWrap/>
            <w:vAlign w:val="center"/>
          </w:tcPr>
          <w:p w14:paraId="096EA4E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实现湿地样地的大数据分析，自动生成报告。</w:t>
            </w:r>
          </w:p>
        </w:tc>
      </w:tr>
      <w:tr w14:paraId="425C2C65">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3F34817">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91</w:t>
            </w:r>
          </w:p>
        </w:tc>
        <w:tc>
          <w:tcPr>
            <w:tcW w:w="2138" w:type="dxa"/>
            <w:tcBorders>
              <w:top w:val="nil"/>
              <w:left w:val="nil"/>
              <w:bottom w:val="single" w:color="auto" w:sz="4" w:space="0"/>
              <w:right w:val="single" w:color="auto" w:sz="4" w:space="0"/>
            </w:tcBorders>
            <w:shd w:val="clear" w:color="auto" w:fill="auto"/>
            <w:noWrap/>
            <w:vAlign w:val="center"/>
          </w:tcPr>
          <w:p w14:paraId="5B025AF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37C1819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湿地样地调查大数据分析及科研成果管理-样地调查专题分析成果管理</w:t>
            </w:r>
          </w:p>
        </w:tc>
        <w:tc>
          <w:tcPr>
            <w:tcW w:w="3697" w:type="dxa"/>
            <w:tcBorders>
              <w:top w:val="nil"/>
              <w:left w:val="nil"/>
              <w:bottom w:val="single" w:color="auto" w:sz="4" w:space="0"/>
              <w:right w:val="single" w:color="auto" w:sz="4" w:space="0"/>
            </w:tcBorders>
            <w:shd w:val="clear" w:color="auto" w:fill="auto"/>
            <w:noWrap/>
            <w:vAlign w:val="center"/>
          </w:tcPr>
          <w:p w14:paraId="61F717F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实现样地、样方、样点等大数据分析和成果管理。</w:t>
            </w:r>
          </w:p>
        </w:tc>
      </w:tr>
      <w:tr w14:paraId="6D3B38D5">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04010A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92</w:t>
            </w:r>
          </w:p>
        </w:tc>
        <w:tc>
          <w:tcPr>
            <w:tcW w:w="2138" w:type="dxa"/>
            <w:tcBorders>
              <w:top w:val="nil"/>
              <w:left w:val="nil"/>
              <w:bottom w:val="single" w:color="auto" w:sz="4" w:space="0"/>
              <w:right w:val="single" w:color="auto" w:sz="4" w:space="0"/>
            </w:tcBorders>
            <w:shd w:val="clear" w:color="auto" w:fill="auto"/>
            <w:noWrap/>
            <w:vAlign w:val="center"/>
          </w:tcPr>
          <w:p w14:paraId="48C25C7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44E1F1D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湿地样地调查大数据分析及科研成果管理-湿地植被调查分析成果管理</w:t>
            </w:r>
          </w:p>
        </w:tc>
        <w:tc>
          <w:tcPr>
            <w:tcW w:w="3697" w:type="dxa"/>
            <w:tcBorders>
              <w:top w:val="nil"/>
              <w:left w:val="nil"/>
              <w:bottom w:val="single" w:color="auto" w:sz="4" w:space="0"/>
              <w:right w:val="single" w:color="auto" w:sz="4" w:space="0"/>
            </w:tcBorders>
            <w:shd w:val="clear" w:color="auto" w:fill="auto"/>
            <w:noWrap/>
            <w:vAlign w:val="center"/>
          </w:tcPr>
          <w:p w14:paraId="4D87B44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实现湿地大类、样方范围内的植被群系、物种及受威胁程度的大数据分析和成果管理。</w:t>
            </w:r>
          </w:p>
        </w:tc>
      </w:tr>
      <w:tr w14:paraId="514EB50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E51AF6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93</w:t>
            </w:r>
          </w:p>
        </w:tc>
        <w:tc>
          <w:tcPr>
            <w:tcW w:w="2138" w:type="dxa"/>
            <w:tcBorders>
              <w:top w:val="nil"/>
              <w:left w:val="nil"/>
              <w:bottom w:val="single" w:color="auto" w:sz="4" w:space="0"/>
              <w:right w:val="single" w:color="auto" w:sz="4" w:space="0"/>
            </w:tcBorders>
            <w:shd w:val="clear" w:color="auto" w:fill="auto"/>
            <w:noWrap/>
            <w:vAlign w:val="center"/>
          </w:tcPr>
          <w:p w14:paraId="1A9F6DA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7056E6F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全口径湿地碳汇大数据分析和科研成果管理-土壤碳储量定量化分析评估</w:t>
            </w:r>
          </w:p>
        </w:tc>
        <w:tc>
          <w:tcPr>
            <w:tcW w:w="3697" w:type="dxa"/>
            <w:tcBorders>
              <w:top w:val="nil"/>
              <w:left w:val="nil"/>
              <w:bottom w:val="single" w:color="auto" w:sz="4" w:space="0"/>
              <w:right w:val="single" w:color="auto" w:sz="4" w:space="0"/>
            </w:tcBorders>
            <w:shd w:val="clear" w:color="auto" w:fill="auto"/>
            <w:noWrap/>
            <w:vAlign w:val="center"/>
          </w:tcPr>
          <w:p w14:paraId="0F8E387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实现土壤碳储量定量化专题分析。</w:t>
            </w:r>
          </w:p>
        </w:tc>
      </w:tr>
      <w:tr w14:paraId="53CE90E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32B874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94</w:t>
            </w:r>
          </w:p>
        </w:tc>
        <w:tc>
          <w:tcPr>
            <w:tcW w:w="2138" w:type="dxa"/>
            <w:tcBorders>
              <w:top w:val="nil"/>
              <w:left w:val="nil"/>
              <w:bottom w:val="single" w:color="auto" w:sz="4" w:space="0"/>
              <w:right w:val="single" w:color="auto" w:sz="4" w:space="0"/>
            </w:tcBorders>
            <w:shd w:val="clear" w:color="auto" w:fill="auto"/>
            <w:noWrap/>
            <w:vAlign w:val="center"/>
          </w:tcPr>
          <w:p w14:paraId="128208A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5FA73AC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全口径湿地碳汇大数据分析和科研成果管理-植被碳储量定量化调查和评估</w:t>
            </w:r>
          </w:p>
        </w:tc>
        <w:tc>
          <w:tcPr>
            <w:tcW w:w="3697" w:type="dxa"/>
            <w:tcBorders>
              <w:top w:val="nil"/>
              <w:left w:val="nil"/>
              <w:bottom w:val="single" w:color="auto" w:sz="4" w:space="0"/>
              <w:right w:val="single" w:color="auto" w:sz="4" w:space="0"/>
            </w:tcBorders>
            <w:shd w:val="clear" w:color="auto" w:fill="auto"/>
            <w:noWrap/>
            <w:vAlign w:val="center"/>
          </w:tcPr>
          <w:p w14:paraId="7B2016C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实现植被碳储量分布专题分析。</w:t>
            </w:r>
          </w:p>
        </w:tc>
      </w:tr>
      <w:tr w14:paraId="1466E226">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BA8CD3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95</w:t>
            </w:r>
          </w:p>
        </w:tc>
        <w:tc>
          <w:tcPr>
            <w:tcW w:w="2138" w:type="dxa"/>
            <w:tcBorders>
              <w:top w:val="nil"/>
              <w:left w:val="nil"/>
              <w:bottom w:val="single" w:color="auto" w:sz="4" w:space="0"/>
              <w:right w:val="single" w:color="auto" w:sz="4" w:space="0"/>
            </w:tcBorders>
            <w:shd w:val="clear" w:color="auto" w:fill="auto"/>
            <w:noWrap/>
            <w:vAlign w:val="center"/>
          </w:tcPr>
          <w:p w14:paraId="02FE928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3A5FCB3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全口径湿地碳汇大数据分析和科研成果管理-盐沼湿地碳储量评估</w:t>
            </w:r>
          </w:p>
        </w:tc>
        <w:tc>
          <w:tcPr>
            <w:tcW w:w="3697" w:type="dxa"/>
            <w:tcBorders>
              <w:top w:val="nil"/>
              <w:left w:val="nil"/>
              <w:bottom w:val="single" w:color="auto" w:sz="4" w:space="0"/>
              <w:right w:val="single" w:color="auto" w:sz="4" w:space="0"/>
            </w:tcBorders>
            <w:shd w:val="clear" w:color="auto" w:fill="auto"/>
            <w:noWrap/>
            <w:vAlign w:val="center"/>
          </w:tcPr>
          <w:p w14:paraId="099BB8E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实现盐沼湿地碳储量专题分析及评估。</w:t>
            </w:r>
          </w:p>
        </w:tc>
      </w:tr>
      <w:tr w14:paraId="34185536">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EB08A5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96</w:t>
            </w:r>
          </w:p>
        </w:tc>
        <w:tc>
          <w:tcPr>
            <w:tcW w:w="2138" w:type="dxa"/>
            <w:tcBorders>
              <w:top w:val="nil"/>
              <w:left w:val="nil"/>
              <w:bottom w:val="single" w:color="auto" w:sz="4" w:space="0"/>
              <w:right w:val="single" w:color="auto" w:sz="4" w:space="0"/>
            </w:tcBorders>
            <w:shd w:val="clear" w:color="auto" w:fill="auto"/>
            <w:noWrap/>
            <w:vAlign w:val="center"/>
          </w:tcPr>
          <w:p w14:paraId="6F0A79A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383E528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全口径湿地碳汇大数据分析和科研成果管理-上海盐沼湿地植被特征大数据分析</w:t>
            </w:r>
          </w:p>
        </w:tc>
        <w:tc>
          <w:tcPr>
            <w:tcW w:w="3697" w:type="dxa"/>
            <w:tcBorders>
              <w:top w:val="nil"/>
              <w:left w:val="nil"/>
              <w:bottom w:val="single" w:color="auto" w:sz="4" w:space="0"/>
              <w:right w:val="single" w:color="auto" w:sz="4" w:space="0"/>
            </w:tcBorders>
            <w:shd w:val="clear" w:color="auto" w:fill="auto"/>
            <w:noWrap/>
            <w:vAlign w:val="center"/>
          </w:tcPr>
          <w:p w14:paraId="1DC2055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实现上海市盐沼湿地植物群落分布分析。</w:t>
            </w:r>
          </w:p>
        </w:tc>
      </w:tr>
      <w:tr w14:paraId="7D1F0B73">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36D207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97</w:t>
            </w:r>
          </w:p>
        </w:tc>
        <w:tc>
          <w:tcPr>
            <w:tcW w:w="2138" w:type="dxa"/>
            <w:tcBorders>
              <w:top w:val="nil"/>
              <w:left w:val="nil"/>
              <w:bottom w:val="single" w:color="auto" w:sz="4" w:space="0"/>
              <w:right w:val="single" w:color="auto" w:sz="4" w:space="0"/>
            </w:tcBorders>
            <w:shd w:val="clear" w:color="auto" w:fill="auto"/>
            <w:noWrap/>
            <w:vAlign w:val="center"/>
          </w:tcPr>
          <w:p w14:paraId="53A39FE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3B002C1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全口径湿地碳汇大数据分析和科研成果管理-上海市盐沼湿地碳储量分布格局分析</w:t>
            </w:r>
          </w:p>
        </w:tc>
        <w:tc>
          <w:tcPr>
            <w:tcW w:w="3697" w:type="dxa"/>
            <w:tcBorders>
              <w:top w:val="nil"/>
              <w:left w:val="nil"/>
              <w:bottom w:val="single" w:color="auto" w:sz="4" w:space="0"/>
              <w:right w:val="single" w:color="auto" w:sz="4" w:space="0"/>
            </w:tcBorders>
            <w:shd w:val="clear" w:color="auto" w:fill="auto"/>
            <w:noWrap/>
            <w:vAlign w:val="center"/>
          </w:tcPr>
          <w:p w14:paraId="5B05211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实现上海市盐沼湿地碳储量分布格局分析。</w:t>
            </w:r>
          </w:p>
        </w:tc>
      </w:tr>
      <w:tr w14:paraId="267446F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01D72AD">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98</w:t>
            </w:r>
          </w:p>
        </w:tc>
        <w:tc>
          <w:tcPr>
            <w:tcW w:w="2138" w:type="dxa"/>
            <w:tcBorders>
              <w:top w:val="nil"/>
              <w:left w:val="nil"/>
              <w:bottom w:val="single" w:color="auto" w:sz="4" w:space="0"/>
              <w:right w:val="single" w:color="auto" w:sz="4" w:space="0"/>
            </w:tcBorders>
            <w:shd w:val="clear" w:color="auto" w:fill="auto"/>
            <w:noWrap/>
            <w:vAlign w:val="center"/>
          </w:tcPr>
          <w:p w14:paraId="34A1708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2FAC662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生态监测大数据分析及科研成果管理-生态监测大数据分析</w:t>
            </w:r>
          </w:p>
        </w:tc>
        <w:tc>
          <w:tcPr>
            <w:tcW w:w="3697" w:type="dxa"/>
            <w:tcBorders>
              <w:top w:val="nil"/>
              <w:left w:val="nil"/>
              <w:bottom w:val="single" w:color="auto" w:sz="4" w:space="0"/>
              <w:right w:val="single" w:color="auto" w:sz="4" w:space="0"/>
            </w:tcBorders>
            <w:shd w:val="clear" w:color="auto" w:fill="auto"/>
            <w:noWrap/>
            <w:vAlign w:val="center"/>
          </w:tcPr>
          <w:p w14:paraId="03716B0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实现自然保护地监测大数据分析。</w:t>
            </w:r>
          </w:p>
        </w:tc>
      </w:tr>
      <w:tr w14:paraId="3BA67AA5">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B704FB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99</w:t>
            </w:r>
          </w:p>
        </w:tc>
        <w:tc>
          <w:tcPr>
            <w:tcW w:w="2138" w:type="dxa"/>
            <w:tcBorders>
              <w:top w:val="nil"/>
              <w:left w:val="nil"/>
              <w:bottom w:val="single" w:color="auto" w:sz="4" w:space="0"/>
              <w:right w:val="single" w:color="auto" w:sz="4" w:space="0"/>
            </w:tcBorders>
            <w:shd w:val="clear" w:color="auto" w:fill="auto"/>
            <w:noWrap/>
            <w:vAlign w:val="center"/>
          </w:tcPr>
          <w:p w14:paraId="53E212F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01A960E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生态监测大数据分析及科研成果管理-生态监测实时分析成果管理</w:t>
            </w:r>
          </w:p>
        </w:tc>
        <w:tc>
          <w:tcPr>
            <w:tcW w:w="3697" w:type="dxa"/>
            <w:tcBorders>
              <w:top w:val="nil"/>
              <w:left w:val="nil"/>
              <w:bottom w:val="single" w:color="auto" w:sz="4" w:space="0"/>
              <w:right w:val="single" w:color="auto" w:sz="4" w:space="0"/>
            </w:tcBorders>
            <w:shd w:val="clear" w:color="auto" w:fill="auto"/>
            <w:noWrap/>
            <w:vAlign w:val="center"/>
          </w:tcPr>
          <w:p w14:paraId="245DCF2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实现生态监测实时数据分析和成果管理。</w:t>
            </w:r>
          </w:p>
        </w:tc>
      </w:tr>
      <w:tr w14:paraId="7BC2F9C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6EE1AB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100</w:t>
            </w:r>
          </w:p>
        </w:tc>
        <w:tc>
          <w:tcPr>
            <w:tcW w:w="2138" w:type="dxa"/>
            <w:tcBorders>
              <w:top w:val="nil"/>
              <w:left w:val="nil"/>
              <w:bottom w:val="single" w:color="auto" w:sz="4" w:space="0"/>
              <w:right w:val="single" w:color="auto" w:sz="4" w:space="0"/>
            </w:tcBorders>
            <w:shd w:val="clear" w:color="auto" w:fill="auto"/>
            <w:noWrap/>
            <w:vAlign w:val="center"/>
          </w:tcPr>
          <w:p w14:paraId="02A3611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1261410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鸟类卫星追踪大数据分析及科研成果管理-鸟类种群分布大数据分析</w:t>
            </w:r>
          </w:p>
        </w:tc>
        <w:tc>
          <w:tcPr>
            <w:tcW w:w="3697" w:type="dxa"/>
            <w:tcBorders>
              <w:top w:val="nil"/>
              <w:left w:val="nil"/>
              <w:bottom w:val="single" w:color="auto" w:sz="4" w:space="0"/>
              <w:right w:val="single" w:color="auto" w:sz="4" w:space="0"/>
            </w:tcBorders>
            <w:shd w:val="clear" w:color="auto" w:fill="auto"/>
            <w:noWrap/>
            <w:vAlign w:val="center"/>
          </w:tcPr>
          <w:p w14:paraId="0A18568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实现鸟类种群分布大数据分析。</w:t>
            </w:r>
          </w:p>
        </w:tc>
      </w:tr>
      <w:tr w14:paraId="47C7B4B9">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02D4EF7">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101</w:t>
            </w:r>
          </w:p>
        </w:tc>
        <w:tc>
          <w:tcPr>
            <w:tcW w:w="2138" w:type="dxa"/>
            <w:tcBorders>
              <w:top w:val="nil"/>
              <w:left w:val="nil"/>
              <w:bottom w:val="single" w:color="auto" w:sz="4" w:space="0"/>
              <w:right w:val="single" w:color="auto" w:sz="4" w:space="0"/>
            </w:tcBorders>
            <w:shd w:val="clear" w:color="auto" w:fill="auto"/>
            <w:noWrap/>
            <w:vAlign w:val="center"/>
          </w:tcPr>
          <w:p w14:paraId="5E59D84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58B1F8B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鸟类卫星追踪大数据分析及科研成果管理-鸟类迁徙路线大数据分析</w:t>
            </w:r>
          </w:p>
        </w:tc>
        <w:tc>
          <w:tcPr>
            <w:tcW w:w="3697" w:type="dxa"/>
            <w:tcBorders>
              <w:top w:val="nil"/>
              <w:left w:val="nil"/>
              <w:bottom w:val="single" w:color="auto" w:sz="4" w:space="0"/>
              <w:right w:val="single" w:color="auto" w:sz="4" w:space="0"/>
            </w:tcBorders>
            <w:shd w:val="clear" w:color="auto" w:fill="auto"/>
            <w:noWrap/>
            <w:vAlign w:val="center"/>
          </w:tcPr>
          <w:p w14:paraId="2916CFB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实现鸟类迁徙路线大数据分析。</w:t>
            </w:r>
          </w:p>
        </w:tc>
      </w:tr>
      <w:tr w14:paraId="1A4B1737">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855FCB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102</w:t>
            </w:r>
          </w:p>
        </w:tc>
        <w:tc>
          <w:tcPr>
            <w:tcW w:w="2138" w:type="dxa"/>
            <w:tcBorders>
              <w:top w:val="nil"/>
              <w:left w:val="nil"/>
              <w:bottom w:val="single" w:color="auto" w:sz="4" w:space="0"/>
              <w:right w:val="single" w:color="auto" w:sz="4" w:space="0"/>
            </w:tcBorders>
            <w:shd w:val="clear" w:color="auto" w:fill="auto"/>
            <w:noWrap/>
            <w:vAlign w:val="center"/>
          </w:tcPr>
          <w:p w14:paraId="641FD8F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6197293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鸟类卫星追踪大数据分析及科研成果管理-鸟类活动范围大数据分析</w:t>
            </w:r>
          </w:p>
        </w:tc>
        <w:tc>
          <w:tcPr>
            <w:tcW w:w="3697" w:type="dxa"/>
            <w:tcBorders>
              <w:top w:val="nil"/>
              <w:left w:val="nil"/>
              <w:bottom w:val="single" w:color="auto" w:sz="4" w:space="0"/>
              <w:right w:val="single" w:color="auto" w:sz="4" w:space="0"/>
            </w:tcBorders>
            <w:shd w:val="clear" w:color="auto" w:fill="auto"/>
            <w:noWrap/>
            <w:vAlign w:val="center"/>
          </w:tcPr>
          <w:p w14:paraId="704AD42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实现鸟类活动范围大数据分析。</w:t>
            </w:r>
          </w:p>
        </w:tc>
      </w:tr>
      <w:tr w14:paraId="5CD62A80">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67B861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103</w:t>
            </w:r>
          </w:p>
        </w:tc>
        <w:tc>
          <w:tcPr>
            <w:tcW w:w="2138" w:type="dxa"/>
            <w:tcBorders>
              <w:top w:val="nil"/>
              <w:left w:val="nil"/>
              <w:bottom w:val="single" w:color="auto" w:sz="4" w:space="0"/>
              <w:right w:val="single" w:color="auto" w:sz="4" w:space="0"/>
            </w:tcBorders>
            <w:shd w:val="clear" w:color="auto" w:fill="auto"/>
            <w:noWrap/>
            <w:vAlign w:val="center"/>
          </w:tcPr>
          <w:p w14:paraId="75C4876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34A782D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鸟类卫星追踪大数据分析及科研成果管理-鸟类迁徙规律大数据分析</w:t>
            </w:r>
          </w:p>
        </w:tc>
        <w:tc>
          <w:tcPr>
            <w:tcW w:w="3697" w:type="dxa"/>
            <w:tcBorders>
              <w:top w:val="nil"/>
              <w:left w:val="nil"/>
              <w:bottom w:val="single" w:color="auto" w:sz="4" w:space="0"/>
              <w:right w:val="single" w:color="auto" w:sz="4" w:space="0"/>
            </w:tcBorders>
            <w:shd w:val="clear" w:color="auto" w:fill="auto"/>
            <w:noWrap/>
            <w:vAlign w:val="center"/>
          </w:tcPr>
          <w:p w14:paraId="621F2F4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实现鸟类迁徙规律大数据分析。</w:t>
            </w:r>
          </w:p>
        </w:tc>
      </w:tr>
      <w:tr w14:paraId="6C08038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27E159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104</w:t>
            </w:r>
          </w:p>
        </w:tc>
        <w:tc>
          <w:tcPr>
            <w:tcW w:w="2138" w:type="dxa"/>
            <w:tcBorders>
              <w:top w:val="nil"/>
              <w:left w:val="nil"/>
              <w:bottom w:val="single" w:color="auto" w:sz="4" w:space="0"/>
              <w:right w:val="single" w:color="auto" w:sz="4" w:space="0"/>
            </w:tcBorders>
            <w:shd w:val="clear" w:color="auto" w:fill="auto"/>
            <w:noWrap/>
            <w:vAlign w:val="center"/>
          </w:tcPr>
          <w:p w14:paraId="6818814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7FBC1C3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小天鹅等鸟类禽流感风险评价大数据分析及成果管理-小天鹅等鸟类禽流感基因序列大数据分析</w:t>
            </w:r>
          </w:p>
        </w:tc>
        <w:tc>
          <w:tcPr>
            <w:tcW w:w="3697" w:type="dxa"/>
            <w:tcBorders>
              <w:top w:val="nil"/>
              <w:left w:val="nil"/>
              <w:bottom w:val="single" w:color="auto" w:sz="4" w:space="0"/>
              <w:right w:val="single" w:color="auto" w:sz="4" w:space="0"/>
            </w:tcBorders>
            <w:shd w:val="clear" w:color="auto" w:fill="auto"/>
            <w:noWrap/>
            <w:vAlign w:val="center"/>
          </w:tcPr>
          <w:p w14:paraId="370C61A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实现小天鹅等鸟类禽流感基因序列大数据分析。</w:t>
            </w:r>
          </w:p>
        </w:tc>
      </w:tr>
      <w:tr w14:paraId="2AE1EB17">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F8F94A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105</w:t>
            </w:r>
          </w:p>
        </w:tc>
        <w:tc>
          <w:tcPr>
            <w:tcW w:w="2138" w:type="dxa"/>
            <w:tcBorders>
              <w:top w:val="nil"/>
              <w:left w:val="nil"/>
              <w:bottom w:val="single" w:color="auto" w:sz="4" w:space="0"/>
              <w:right w:val="single" w:color="auto" w:sz="4" w:space="0"/>
            </w:tcBorders>
            <w:shd w:val="clear" w:color="auto" w:fill="auto"/>
            <w:noWrap/>
            <w:vAlign w:val="center"/>
          </w:tcPr>
          <w:p w14:paraId="4938D1B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2708CA9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小天鹅等鸟类禽流感风险评价大数据分析及成果管理-小天鹅等鸟类禽流感携带特征大数据分析</w:t>
            </w:r>
          </w:p>
        </w:tc>
        <w:tc>
          <w:tcPr>
            <w:tcW w:w="3697" w:type="dxa"/>
            <w:tcBorders>
              <w:top w:val="nil"/>
              <w:left w:val="nil"/>
              <w:bottom w:val="single" w:color="auto" w:sz="4" w:space="0"/>
              <w:right w:val="single" w:color="auto" w:sz="4" w:space="0"/>
            </w:tcBorders>
            <w:shd w:val="clear" w:color="auto" w:fill="auto"/>
            <w:noWrap/>
            <w:vAlign w:val="center"/>
          </w:tcPr>
          <w:p w14:paraId="7798A29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实现小天鹅等鸟类禽流感携带特征大数据分析。</w:t>
            </w:r>
          </w:p>
        </w:tc>
      </w:tr>
      <w:tr w14:paraId="6853F5D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293CE53">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106</w:t>
            </w:r>
          </w:p>
        </w:tc>
        <w:tc>
          <w:tcPr>
            <w:tcW w:w="2138" w:type="dxa"/>
            <w:tcBorders>
              <w:top w:val="nil"/>
              <w:left w:val="nil"/>
              <w:bottom w:val="single" w:color="auto" w:sz="4" w:space="0"/>
              <w:right w:val="single" w:color="auto" w:sz="4" w:space="0"/>
            </w:tcBorders>
            <w:shd w:val="clear" w:color="auto" w:fill="auto"/>
            <w:noWrap/>
            <w:vAlign w:val="center"/>
          </w:tcPr>
          <w:p w14:paraId="6DD3AA3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3D361CF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野生动物疫源疫病大数据分析及科研成果管理-野生动物样本采集数据分析</w:t>
            </w:r>
          </w:p>
        </w:tc>
        <w:tc>
          <w:tcPr>
            <w:tcW w:w="3697" w:type="dxa"/>
            <w:tcBorders>
              <w:top w:val="nil"/>
              <w:left w:val="nil"/>
              <w:bottom w:val="single" w:color="auto" w:sz="4" w:space="0"/>
              <w:right w:val="single" w:color="auto" w:sz="4" w:space="0"/>
            </w:tcBorders>
            <w:shd w:val="clear" w:color="auto" w:fill="auto"/>
            <w:noWrap/>
            <w:vAlign w:val="center"/>
          </w:tcPr>
          <w:p w14:paraId="63A321A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实现野生动物样本采集数据分析。</w:t>
            </w:r>
          </w:p>
        </w:tc>
      </w:tr>
      <w:tr w14:paraId="73943D0F">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AF6F68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107</w:t>
            </w:r>
          </w:p>
        </w:tc>
        <w:tc>
          <w:tcPr>
            <w:tcW w:w="2138" w:type="dxa"/>
            <w:tcBorders>
              <w:top w:val="nil"/>
              <w:left w:val="nil"/>
              <w:bottom w:val="single" w:color="auto" w:sz="4" w:space="0"/>
              <w:right w:val="single" w:color="auto" w:sz="4" w:space="0"/>
            </w:tcBorders>
            <w:shd w:val="clear" w:color="auto" w:fill="auto"/>
            <w:noWrap/>
            <w:vAlign w:val="center"/>
          </w:tcPr>
          <w:p w14:paraId="6CEB9E7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078B63D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野生动物疫源疫病大数据分析及科研成果管理-野生动物样本分子生物学分析</w:t>
            </w:r>
          </w:p>
        </w:tc>
        <w:tc>
          <w:tcPr>
            <w:tcW w:w="3697" w:type="dxa"/>
            <w:tcBorders>
              <w:top w:val="nil"/>
              <w:left w:val="nil"/>
              <w:bottom w:val="single" w:color="auto" w:sz="4" w:space="0"/>
              <w:right w:val="single" w:color="auto" w:sz="4" w:space="0"/>
            </w:tcBorders>
            <w:shd w:val="clear" w:color="auto" w:fill="auto"/>
            <w:noWrap/>
            <w:vAlign w:val="center"/>
          </w:tcPr>
          <w:p w14:paraId="7455307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实现野生动物样本分子生物学分析。</w:t>
            </w:r>
          </w:p>
        </w:tc>
      </w:tr>
      <w:tr w14:paraId="117C678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F0C215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108</w:t>
            </w:r>
          </w:p>
        </w:tc>
        <w:tc>
          <w:tcPr>
            <w:tcW w:w="2138" w:type="dxa"/>
            <w:tcBorders>
              <w:top w:val="nil"/>
              <w:left w:val="nil"/>
              <w:bottom w:val="single" w:color="auto" w:sz="4" w:space="0"/>
              <w:right w:val="single" w:color="auto" w:sz="4" w:space="0"/>
            </w:tcBorders>
            <w:shd w:val="clear" w:color="auto" w:fill="auto"/>
            <w:noWrap/>
            <w:vAlign w:val="center"/>
          </w:tcPr>
          <w:p w14:paraId="2766072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50E6BD5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野生动物疫源疫病大数据分析及科研成果管理-野生动物病原分离成果管理</w:t>
            </w:r>
          </w:p>
        </w:tc>
        <w:tc>
          <w:tcPr>
            <w:tcW w:w="3697" w:type="dxa"/>
            <w:tcBorders>
              <w:top w:val="nil"/>
              <w:left w:val="nil"/>
              <w:bottom w:val="single" w:color="auto" w:sz="4" w:space="0"/>
              <w:right w:val="single" w:color="auto" w:sz="4" w:space="0"/>
            </w:tcBorders>
            <w:shd w:val="clear" w:color="auto" w:fill="auto"/>
            <w:noWrap/>
            <w:vAlign w:val="center"/>
          </w:tcPr>
          <w:p w14:paraId="2BF9539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实现野生动物病原分离成果分析和成果管理。</w:t>
            </w:r>
          </w:p>
        </w:tc>
      </w:tr>
      <w:tr w14:paraId="75018D63">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9C7573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109</w:t>
            </w:r>
          </w:p>
        </w:tc>
        <w:tc>
          <w:tcPr>
            <w:tcW w:w="2138" w:type="dxa"/>
            <w:tcBorders>
              <w:top w:val="nil"/>
              <w:left w:val="nil"/>
              <w:bottom w:val="single" w:color="auto" w:sz="4" w:space="0"/>
              <w:right w:val="single" w:color="auto" w:sz="4" w:space="0"/>
            </w:tcBorders>
            <w:shd w:val="clear" w:color="auto" w:fill="auto"/>
            <w:noWrap/>
            <w:vAlign w:val="center"/>
          </w:tcPr>
          <w:p w14:paraId="2A7FE8C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3CB7379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野生动物疫源疫病大数据分析及科研成果管理-野生动物病原分布成果管理</w:t>
            </w:r>
          </w:p>
        </w:tc>
        <w:tc>
          <w:tcPr>
            <w:tcW w:w="3697" w:type="dxa"/>
            <w:tcBorders>
              <w:top w:val="nil"/>
              <w:left w:val="nil"/>
              <w:bottom w:val="single" w:color="auto" w:sz="4" w:space="0"/>
              <w:right w:val="single" w:color="auto" w:sz="4" w:space="0"/>
            </w:tcBorders>
            <w:shd w:val="clear" w:color="auto" w:fill="auto"/>
            <w:noWrap/>
            <w:vAlign w:val="center"/>
          </w:tcPr>
          <w:p w14:paraId="56452E0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实现野生动物病原分布分析和成果管理。</w:t>
            </w:r>
          </w:p>
        </w:tc>
      </w:tr>
      <w:tr w14:paraId="2324B53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54BBBEE">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110</w:t>
            </w:r>
          </w:p>
        </w:tc>
        <w:tc>
          <w:tcPr>
            <w:tcW w:w="2138" w:type="dxa"/>
            <w:tcBorders>
              <w:top w:val="nil"/>
              <w:left w:val="nil"/>
              <w:bottom w:val="single" w:color="auto" w:sz="4" w:space="0"/>
              <w:right w:val="single" w:color="auto" w:sz="4" w:space="0"/>
            </w:tcBorders>
            <w:shd w:val="clear" w:color="auto" w:fill="auto"/>
            <w:noWrap/>
            <w:vAlign w:val="center"/>
          </w:tcPr>
          <w:p w14:paraId="5F21FEC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79D2AFC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外来入侵物种大数据分析及科研成果管理-外来入侵物种入侵动态监测大数据分析</w:t>
            </w:r>
          </w:p>
        </w:tc>
        <w:tc>
          <w:tcPr>
            <w:tcW w:w="3697" w:type="dxa"/>
            <w:tcBorders>
              <w:top w:val="nil"/>
              <w:left w:val="nil"/>
              <w:bottom w:val="single" w:color="auto" w:sz="4" w:space="0"/>
              <w:right w:val="single" w:color="auto" w:sz="4" w:space="0"/>
            </w:tcBorders>
            <w:shd w:val="clear" w:color="auto" w:fill="auto"/>
            <w:noWrap/>
            <w:vAlign w:val="center"/>
          </w:tcPr>
          <w:p w14:paraId="793D3A6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实现外来入侵物种入侵动态监测大数据分析。</w:t>
            </w:r>
          </w:p>
        </w:tc>
      </w:tr>
      <w:tr w14:paraId="068D73F7">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01BE60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111</w:t>
            </w:r>
          </w:p>
        </w:tc>
        <w:tc>
          <w:tcPr>
            <w:tcW w:w="2138" w:type="dxa"/>
            <w:tcBorders>
              <w:top w:val="nil"/>
              <w:left w:val="nil"/>
              <w:bottom w:val="single" w:color="auto" w:sz="4" w:space="0"/>
              <w:right w:val="single" w:color="auto" w:sz="4" w:space="0"/>
            </w:tcBorders>
            <w:shd w:val="clear" w:color="auto" w:fill="auto"/>
            <w:noWrap/>
            <w:vAlign w:val="center"/>
          </w:tcPr>
          <w:p w14:paraId="54E659F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62F4D49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外来入侵物种大数据分析及科研成果管理-外来入侵物种治理对生态环境影响分析</w:t>
            </w:r>
          </w:p>
        </w:tc>
        <w:tc>
          <w:tcPr>
            <w:tcW w:w="3697" w:type="dxa"/>
            <w:tcBorders>
              <w:top w:val="nil"/>
              <w:left w:val="nil"/>
              <w:bottom w:val="single" w:color="auto" w:sz="4" w:space="0"/>
              <w:right w:val="single" w:color="auto" w:sz="4" w:space="0"/>
            </w:tcBorders>
            <w:shd w:val="clear" w:color="auto" w:fill="auto"/>
            <w:noWrap/>
            <w:vAlign w:val="center"/>
          </w:tcPr>
          <w:p w14:paraId="0C84380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实现外来入侵物种治理对生态环境影响分析。</w:t>
            </w:r>
          </w:p>
        </w:tc>
      </w:tr>
      <w:tr w14:paraId="64BAE543">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D159475">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112</w:t>
            </w:r>
          </w:p>
        </w:tc>
        <w:tc>
          <w:tcPr>
            <w:tcW w:w="2138" w:type="dxa"/>
            <w:tcBorders>
              <w:top w:val="nil"/>
              <w:left w:val="nil"/>
              <w:bottom w:val="single" w:color="auto" w:sz="4" w:space="0"/>
              <w:right w:val="single" w:color="auto" w:sz="4" w:space="0"/>
            </w:tcBorders>
            <w:shd w:val="clear" w:color="auto" w:fill="auto"/>
            <w:noWrap/>
            <w:vAlign w:val="center"/>
          </w:tcPr>
          <w:p w14:paraId="6AEF07D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31FB2C8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外来入侵物种大数据分析及科研成果管理-外来入侵物种治理成效分析</w:t>
            </w:r>
          </w:p>
        </w:tc>
        <w:tc>
          <w:tcPr>
            <w:tcW w:w="3697" w:type="dxa"/>
            <w:tcBorders>
              <w:top w:val="nil"/>
              <w:left w:val="nil"/>
              <w:bottom w:val="single" w:color="auto" w:sz="4" w:space="0"/>
              <w:right w:val="single" w:color="auto" w:sz="4" w:space="0"/>
            </w:tcBorders>
            <w:shd w:val="clear" w:color="auto" w:fill="auto"/>
            <w:noWrap/>
            <w:vAlign w:val="center"/>
          </w:tcPr>
          <w:p w14:paraId="6EFA5D0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实现外来入侵物种治理成效分析。</w:t>
            </w:r>
          </w:p>
        </w:tc>
      </w:tr>
      <w:tr w14:paraId="64E52E41">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E94858D">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113</w:t>
            </w:r>
          </w:p>
        </w:tc>
        <w:tc>
          <w:tcPr>
            <w:tcW w:w="2138" w:type="dxa"/>
            <w:tcBorders>
              <w:top w:val="nil"/>
              <w:left w:val="nil"/>
              <w:bottom w:val="single" w:color="auto" w:sz="4" w:space="0"/>
              <w:right w:val="single" w:color="auto" w:sz="4" w:space="0"/>
            </w:tcBorders>
            <w:shd w:val="clear" w:color="auto" w:fill="auto"/>
            <w:noWrap/>
            <w:vAlign w:val="center"/>
          </w:tcPr>
          <w:p w14:paraId="1861313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656DD20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野生动植物标本大数据分析及科研成果管理-野生动植物标本大数据分析</w:t>
            </w:r>
          </w:p>
        </w:tc>
        <w:tc>
          <w:tcPr>
            <w:tcW w:w="3697" w:type="dxa"/>
            <w:tcBorders>
              <w:top w:val="nil"/>
              <w:left w:val="nil"/>
              <w:bottom w:val="single" w:color="auto" w:sz="4" w:space="0"/>
              <w:right w:val="single" w:color="auto" w:sz="4" w:space="0"/>
            </w:tcBorders>
            <w:shd w:val="clear" w:color="auto" w:fill="auto"/>
            <w:noWrap/>
            <w:vAlign w:val="center"/>
          </w:tcPr>
          <w:p w14:paraId="141477B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实现野生动植物标本大数据分析。</w:t>
            </w:r>
          </w:p>
        </w:tc>
      </w:tr>
      <w:tr w14:paraId="2B5C17E9">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232784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114</w:t>
            </w:r>
          </w:p>
        </w:tc>
        <w:tc>
          <w:tcPr>
            <w:tcW w:w="2138" w:type="dxa"/>
            <w:tcBorders>
              <w:top w:val="nil"/>
              <w:left w:val="nil"/>
              <w:bottom w:val="single" w:color="auto" w:sz="4" w:space="0"/>
              <w:right w:val="single" w:color="auto" w:sz="4" w:space="0"/>
            </w:tcBorders>
            <w:shd w:val="clear" w:color="auto" w:fill="auto"/>
            <w:noWrap/>
            <w:vAlign w:val="center"/>
          </w:tcPr>
          <w:p w14:paraId="15AB8E7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野保科研大数据分析</w:t>
            </w:r>
          </w:p>
        </w:tc>
        <w:tc>
          <w:tcPr>
            <w:tcW w:w="2398" w:type="dxa"/>
            <w:tcBorders>
              <w:top w:val="nil"/>
              <w:left w:val="nil"/>
              <w:bottom w:val="single" w:color="auto" w:sz="4" w:space="0"/>
              <w:right w:val="single" w:color="auto" w:sz="4" w:space="0"/>
            </w:tcBorders>
            <w:shd w:val="clear" w:color="auto" w:fill="auto"/>
            <w:noWrap/>
            <w:vAlign w:val="center"/>
          </w:tcPr>
          <w:p w14:paraId="4268E33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野生动植物标本大数据分析及科研成果管理-野生动植物标本分析成果管理</w:t>
            </w:r>
          </w:p>
        </w:tc>
        <w:tc>
          <w:tcPr>
            <w:tcW w:w="3697" w:type="dxa"/>
            <w:tcBorders>
              <w:top w:val="nil"/>
              <w:left w:val="nil"/>
              <w:bottom w:val="single" w:color="auto" w:sz="4" w:space="0"/>
              <w:right w:val="single" w:color="auto" w:sz="4" w:space="0"/>
            </w:tcBorders>
            <w:shd w:val="clear" w:color="auto" w:fill="auto"/>
            <w:noWrap/>
            <w:vAlign w:val="center"/>
          </w:tcPr>
          <w:p w14:paraId="54598BF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实现野生动植物标本分析成果管理。</w:t>
            </w:r>
          </w:p>
        </w:tc>
      </w:tr>
      <w:tr w14:paraId="3F03C43E">
        <w:trPr>
          <w:trHeight w:val="292"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BD1225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115</w:t>
            </w:r>
          </w:p>
        </w:tc>
        <w:tc>
          <w:tcPr>
            <w:tcW w:w="2138" w:type="dxa"/>
            <w:tcBorders>
              <w:top w:val="nil"/>
              <w:left w:val="nil"/>
              <w:bottom w:val="single" w:color="auto" w:sz="4" w:space="0"/>
              <w:right w:val="single" w:color="auto" w:sz="4" w:space="0"/>
            </w:tcBorders>
            <w:shd w:val="clear" w:color="auto" w:fill="auto"/>
            <w:noWrap/>
            <w:vAlign w:val="center"/>
          </w:tcPr>
          <w:p w14:paraId="6BF9127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1FE3262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野保科研项目管理-科研项目申报管理</w:t>
            </w:r>
          </w:p>
        </w:tc>
        <w:tc>
          <w:tcPr>
            <w:tcW w:w="3697" w:type="dxa"/>
            <w:tcBorders>
              <w:top w:val="nil"/>
              <w:left w:val="nil"/>
              <w:bottom w:val="single" w:color="auto" w:sz="4" w:space="0"/>
              <w:right w:val="single" w:color="auto" w:sz="4" w:space="0"/>
            </w:tcBorders>
            <w:shd w:val="clear" w:color="auto" w:fill="auto"/>
            <w:noWrap/>
            <w:vAlign w:val="center"/>
          </w:tcPr>
          <w:p w14:paraId="34978EF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实现野保科研项目预申报流程管理。</w:t>
            </w:r>
          </w:p>
        </w:tc>
      </w:tr>
      <w:tr w14:paraId="37D022A9">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9FAE19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116</w:t>
            </w:r>
          </w:p>
        </w:tc>
        <w:tc>
          <w:tcPr>
            <w:tcW w:w="2138" w:type="dxa"/>
            <w:tcBorders>
              <w:top w:val="nil"/>
              <w:left w:val="nil"/>
              <w:bottom w:val="single" w:color="auto" w:sz="4" w:space="0"/>
              <w:right w:val="single" w:color="auto" w:sz="4" w:space="0"/>
            </w:tcBorders>
            <w:shd w:val="clear" w:color="auto" w:fill="auto"/>
            <w:noWrap/>
            <w:vAlign w:val="center"/>
          </w:tcPr>
          <w:p w14:paraId="6E2459C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3BF50FF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野保科研项目管理-科研项目结题验收管理</w:t>
            </w:r>
          </w:p>
        </w:tc>
        <w:tc>
          <w:tcPr>
            <w:tcW w:w="3697" w:type="dxa"/>
            <w:tcBorders>
              <w:top w:val="nil"/>
              <w:left w:val="nil"/>
              <w:bottom w:val="single" w:color="auto" w:sz="4" w:space="0"/>
              <w:right w:val="single" w:color="auto" w:sz="4" w:space="0"/>
            </w:tcBorders>
            <w:shd w:val="clear" w:color="auto" w:fill="auto"/>
            <w:noWrap/>
            <w:vAlign w:val="center"/>
          </w:tcPr>
          <w:p w14:paraId="28C669B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实现野保科研项目结题验收管理，包括成果文档提交、科研数据管理、自动归档等。</w:t>
            </w:r>
          </w:p>
        </w:tc>
      </w:tr>
      <w:tr w14:paraId="6025AD97">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AD1A86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117</w:t>
            </w:r>
          </w:p>
        </w:tc>
        <w:tc>
          <w:tcPr>
            <w:tcW w:w="2138" w:type="dxa"/>
            <w:tcBorders>
              <w:top w:val="nil"/>
              <w:left w:val="nil"/>
              <w:bottom w:val="single" w:color="auto" w:sz="4" w:space="0"/>
              <w:right w:val="single" w:color="auto" w:sz="4" w:space="0"/>
            </w:tcBorders>
            <w:shd w:val="clear" w:color="auto" w:fill="auto"/>
            <w:noWrap/>
            <w:vAlign w:val="center"/>
          </w:tcPr>
          <w:p w14:paraId="6DCA204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7018DBE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野保科研项目管理-科研项目日常工作管理</w:t>
            </w:r>
          </w:p>
        </w:tc>
        <w:tc>
          <w:tcPr>
            <w:tcW w:w="3697" w:type="dxa"/>
            <w:tcBorders>
              <w:top w:val="nil"/>
              <w:left w:val="nil"/>
              <w:bottom w:val="single" w:color="auto" w:sz="4" w:space="0"/>
              <w:right w:val="single" w:color="auto" w:sz="4" w:space="0"/>
            </w:tcBorders>
            <w:shd w:val="clear" w:color="auto" w:fill="auto"/>
            <w:noWrap/>
            <w:vAlign w:val="center"/>
          </w:tcPr>
          <w:p w14:paraId="2FEF597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实现野保科研项目日常工作管理，包括周报、任务进度、领导安排、请休假等流程管理。</w:t>
            </w:r>
          </w:p>
        </w:tc>
      </w:tr>
      <w:tr w14:paraId="2C16E5C6">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7B7E776">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118</w:t>
            </w:r>
          </w:p>
        </w:tc>
        <w:tc>
          <w:tcPr>
            <w:tcW w:w="2138" w:type="dxa"/>
            <w:tcBorders>
              <w:top w:val="nil"/>
              <w:left w:val="nil"/>
              <w:bottom w:val="single" w:color="auto" w:sz="4" w:space="0"/>
              <w:right w:val="single" w:color="auto" w:sz="4" w:space="0"/>
            </w:tcBorders>
            <w:shd w:val="clear" w:color="auto" w:fill="auto"/>
            <w:noWrap/>
            <w:vAlign w:val="center"/>
          </w:tcPr>
          <w:p w14:paraId="0D16853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3748F4C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野保科研项目管理-科研项目审批管理</w:t>
            </w:r>
          </w:p>
        </w:tc>
        <w:tc>
          <w:tcPr>
            <w:tcW w:w="3697" w:type="dxa"/>
            <w:tcBorders>
              <w:top w:val="nil"/>
              <w:left w:val="nil"/>
              <w:bottom w:val="single" w:color="auto" w:sz="4" w:space="0"/>
              <w:right w:val="single" w:color="auto" w:sz="4" w:space="0"/>
            </w:tcBorders>
            <w:shd w:val="clear" w:color="auto" w:fill="auto"/>
            <w:noWrap/>
            <w:vAlign w:val="center"/>
          </w:tcPr>
          <w:p w14:paraId="5F61BCC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实现野保科研项目的日常办公业务的审批流程管理。</w:t>
            </w:r>
          </w:p>
        </w:tc>
      </w:tr>
      <w:tr w14:paraId="52EE88C4">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55FD925">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119</w:t>
            </w:r>
          </w:p>
        </w:tc>
        <w:tc>
          <w:tcPr>
            <w:tcW w:w="2138" w:type="dxa"/>
            <w:tcBorders>
              <w:top w:val="nil"/>
              <w:left w:val="nil"/>
              <w:bottom w:val="single" w:color="auto" w:sz="4" w:space="0"/>
              <w:right w:val="single" w:color="auto" w:sz="4" w:space="0"/>
            </w:tcBorders>
            <w:shd w:val="clear" w:color="auto" w:fill="auto"/>
            <w:noWrap/>
            <w:vAlign w:val="center"/>
          </w:tcPr>
          <w:p w14:paraId="6B4B715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6500B26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野保科研项目管理-科研项目预决算管理</w:t>
            </w:r>
          </w:p>
        </w:tc>
        <w:tc>
          <w:tcPr>
            <w:tcW w:w="3697" w:type="dxa"/>
            <w:tcBorders>
              <w:top w:val="nil"/>
              <w:left w:val="nil"/>
              <w:bottom w:val="single" w:color="auto" w:sz="4" w:space="0"/>
              <w:right w:val="single" w:color="auto" w:sz="4" w:space="0"/>
            </w:tcBorders>
            <w:shd w:val="clear" w:color="auto" w:fill="auto"/>
            <w:noWrap/>
            <w:vAlign w:val="center"/>
          </w:tcPr>
          <w:p w14:paraId="48052E2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实现野保科研项目的预算和决算管理。</w:t>
            </w:r>
          </w:p>
        </w:tc>
      </w:tr>
      <w:tr w14:paraId="358CA123">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DABCD5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120</w:t>
            </w:r>
          </w:p>
        </w:tc>
        <w:tc>
          <w:tcPr>
            <w:tcW w:w="2138" w:type="dxa"/>
            <w:tcBorders>
              <w:top w:val="nil"/>
              <w:left w:val="nil"/>
              <w:bottom w:val="single" w:color="auto" w:sz="4" w:space="0"/>
              <w:right w:val="single" w:color="auto" w:sz="4" w:space="0"/>
            </w:tcBorders>
            <w:shd w:val="clear" w:color="auto" w:fill="auto"/>
            <w:noWrap/>
            <w:vAlign w:val="center"/>
          </w:tcPr>
          <w:p w14:paraId="735526B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2C5DC4F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野保科研项目管理-科研项目财务成本绩效管理</w:t>
            </w:r>
          </w:p>
        </w:tc>
        <w:tc>
          <w:tcPr>
            <w:tcW w:w="3697" w:type="dxa"/>
            <w:tcBorders>
              <w:top w:val="nil"/>
              <w:left w:val="nil"/>
              <w:bottom w:val="single" w:color="auto" w:sz="4" w:space="0"/>
              <w:right w:val="single" w:color="auto" w:sz="4" w:space="0"/>
            </w:tcBorders>
            <w:shd w:val="clear" w:color="auto" w:fill="auto"/>
            <w:noWrap/>
            <w:vAlign w:val="center"/>
          </w:tcPr>
          <w:p w14:paraId="23FA85D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实现野保科研项目财务成本绩效的管理。</w:t>
            </w:r>
          </w:p>
        </w:tc>
      </w:tr>
      <w:tr w14:paraId="6D8A965F">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CA5345D">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121</w:t>
            </w:r>
          </w:p>
        </w:tc>
        <w:tc>
          <w:tcPr>
            <w:tcW w:w="2138" w:type="dxa"/>
            <w:tcBorders>
              <w:top w:val="nil"/>
              <w:left w:val="nil"/>
              <w:bottom w:val="single" w:color="auto" w:sz="4" w:space="0"/>
              <w:right w:val="single" w:color="auto" w:sz="4" w:space="0"/>
            </w:tcBorders>
            <w:shd w:val="clear" w:color="auto" w:fill="auto"/>
            <w:noWrap/>
            <w:vAlign w:val="center"/>
          </w:tcPr>
          <w:p w14:paraId="2488214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293AEA8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野保科研项目管理-采购调查服务招标管理</w:t>
            </w:r>
          </w:p>
        </w:tc>
        <w:tc>
          <w:tcPr>
            <w:tcW w:w="3697" w:type="dxa"/>
            <w:tcBorders>
              <w:top w:val="nil"/>
              <w:left w:val="nil"/>
              <w:bottom w:val="single" w:color="auto" w:sz="4" w:space="0"/>
              <w:right w:val="single" w:color="auto" w:sz="4" w:space="0"/>
            </w:tcBorders>
            <w:shd w:val="clear" w:color="auto" w:fill="auto"/>
            <w:noWrap/>
            <w:vAlign w:val="center"/>
          </w:tcPr>
          <w:p w14:paraId="5C04551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实现采购野外调查的第三方服务的招标相关文档管理。</w:t>
            </w:r>
          </w:p>
        </w:tc>
      </w:tr>
      <w:tr w14:paraId="571291C0">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179C3B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122</w:t>
            </w:r>
          </w:p>
        </w:tc>
        <w:tc>
          <w:tcPr>
            <w:tcW w:w="2138" w:type="dxa"/>
            <w:tcBorders>
              <w:top w:val="nil"/>
              <w:left w:val="nil"/>
              <w:bottom w:val="single" w:color="auto" w:sz="4" w:space="0"/>
              <w:right w:val="single" w:color="auto" w:sz="4" w:space="0"/>
            </w:tcBorders>
            <w:shd w:val="clear" w:color="auto" w:fill="auto"/>
            <w:noWrap/>
            <w:vAlign w:val="center"/>
          </w:tcPr>
          <w:p w14:paraId="32796A9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67EBCDC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野保科研项目管理-学术交流活动管理</w:t>
            </w:r>
          </w:p>
        </w:tc>
        <w:tc>
          <w:tcPr>
            <w:tcW w:w="3697" w:type="dxa"/>
            <w:tcBorders>
              <w:top w:val="nil"/>
              <w:left w:val="nil"/>
              <w:bottom w:val="single" w:color="auto" w:sz="4" w:space="0"/>
              <w:right w:val="single" w:color="auto" w:sz="4" w:space="0"/>
            </w:tcBorders>
            <w:shd w:val="clear" w:color="auto" w:fill="auto"/>
            <w:noWrap/>
            <w:vAlign w:val="center"/>
          </w:tcPr>
          <w:p w14:paraId="671A08C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实现野保主办的学术交流活动管理。</w:t>
            </w:r>
          </w:p>
        </w:tc>
      </w:tr>
      <w:tr w14:paraId="6A45441E">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FCBE4DE">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123</w:t>
            </w:r>
          </w:p>
        </w:tc>
        <w:tc>
          <w:tcPr>
            <w:tcW w:w="2138" w:type="dxa"/>
            <w:tcBorders>
              <w:top w:val="nil"/>
              <w:left w:val="nil"/>
              <w:bottom w:val="single" w:color="auto" w:sz="4" w:space="0"/>
              <w:right w:val="single" w:color="auto" w:sz="4" w:space="0"/>
            </w:tcBorders>
            <w:shd w:val="clear" w:color="auto" w:fill="auto"/>
            <w:noWrap/>
            <w:vAlign w:val="center"/>
          </w:tcPr>
          <w:p w14:paraId="1B9D59B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6922796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野保科研项目管理-科研项目知识库管理</w:t>
            </w:r>
          </w:p>
        </w:tc>
        <w:tc>
          <w:tcPr>
            <w:tcW w:w="3697" w:type="dxa"/>
            <w:tcBorders>
              <w:top w:val="nil"/>
              <w:left w:val="nil"/>
              <w:bottom w:val="single" w:color="auto" w:sz="4" w:space="0"/>
              <w:right w:val="single" w:color="auto" w:sz="4" w:space="0"/>
            </w:tcBorders>
            <w:shd w:val="clear" w:color="auto" w:fill="auto"/>
            <w:noWrap/>
            <w:vAlign w:val="center"/>
          </w:tcPr>
          <w:p w14:paraId="4972B59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实现野保科研项目的知识库管理。</w:t>
            </w:r>
          </w:p>
        </w:tc>
      </w:tr>
      <w:tr w14:paraId="29E100C5">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C299D1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124</w:t>
            </w:r>
          </w:p>
        </w:tc>
        <w:tc>
          <w:tcPr>
            <w:tcW w:w="2138" w:type="dxa"/>
            <w:tcBorders>
              <w:top w:val="nil"/>
              <w:left w:val="nil"/>
              <w:bottom w:val="single" w:color="auto" w:sz="4" w:space="0"/>
              <w:right w:val="single" w:color="auto" w:sz="4" w:space="0"/>
            </w:tcBorders>
            <w:shd w:val="clear" w:color="auto" w:fill="auto"/>
            <w:noWrap/>
            <w:vAlign w:val="center"/>
          </w:tcPr>
          <w:p w14:paraId="5A8E6449">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3BDE2E2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野保科研项目管理-科研成果自申报管理</w:t>
            </w:r>
          </w:p>
        </w:tc>
        <w:tc>
          <w:tcPr>
            <w:tcW w:w="3697" w:type="dxa"/>
            <w:tcBorders>
              <w:top w:val="nil"/>
              <w:left w:val="nil"/>
              <w:bottom w:val="single" w:color="auto" w:sz="4" w:space="0"/>
              <w:right w:val="single" w:color="auto" w:sz="4" w:space="0"/>
            </w:tcBorders>
            <w:shd w:val="clear" w:color="auto" w:fill="auto"/>
            <w:noWrap/>
            <w:vAlign w:val="center"/>
          </w:tcPr>
          <w:p w14:paraId="5DFB5E9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实现野保科研成果的个人自主申报管理。</w:t>
            </w:r>
          </w:p>
        </w:tc>
      </w:tr>
      <w:tr w14:paraId="1A568F56">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1EC4A13">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125</w:t>
            </w:r>
          </w:p>
        </w:tc>
        <w:tc>
          <w:tcPr>
            <w:tcW w:w="2138" w:type="dxa"/>
            <w:tcBorders>
              <w:top w:val="nil"/>
              <w:left w:val="nil"/>
              <w:bottom w:val="single" w:color="auto" w:sz="4" w:space="0"/>
              <w:right w:val="single" w:color="auto" w:sz="4" w:space="0"/>
            </w:tcBorders>
            <w:shd w:val="clear" w:color="auto" w:fill="auto"/>
            <w:noWrap/>
            <w:vAlign w:val="center"/>
          </w:tcPr>
          <w:p w14:paraId="399CBE1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601D6E1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野保科研项目管理-科研成果统计及奖励发放管理</w:t>
            </w:r>
          </w:p>
        </w:tc>
        <w:tc>
          <w:tcPr>
            <w:tcW w:w="3697" w:type="dxa"/>
            <w:tcBorders>
              <w:top w:val="nil"/>
              <w:left w:val="nil"/>
              <w:bottom w:val="single" w:color="auto" w:sz="4" w:space="0"/>
              <w:right w:val="single" w:color="auto" w:sz="4" w:space="0"/>
            </w:tcBorders>
            <w:shd w:val="clear" w:color="auto" w:fill="auto"/>
            <w:noWrap/>
            <w:vAlign w:val="center"/>
          </w:tcPr>
          <w:p w14:paraId="2418475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实现野保科研成果统计及奖励发放管理。</w:t>
            </w:r>
          </w:p>
        </w:tc>
      </w:tr>
      <w:tr w14:paraId="04C18605">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1BE6D6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126</w:t>
            </w:r>
          </w:p>
        </w:tc>
        <w:tc>
          <w:tcPr>
            <w:tcW w:w="2138" w:type="dxa"/>
            <w:tcBorders>
              <w:top w:val="nil"/>
              <w:left w:val="nil"/>
              <w:bottom w:val="single" w:color="auto" w:sz="4" w:space="0"/>
              <w:right w:val="single" w:color="auto" w:sz="4" w:space="0"/>
            </w:tcBorders>
            <w:shd w:val="clear" w:color="auto" w:fill="auto"/>
            <w:noWrap/>
            <w:vAlign w:val="center"/>
          </w:tcPr>
          <w:p w14:paraId="05652EB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78192F8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野保科研项目管理-技术合同奖励管理</w:t>
            </w:r>
          </w:p>
        </w:tc>
        <w:tc>
          <w:tcPr>
            <w:tcW w:w="3697" w:type="dxa"/>
            <w:tcBorders>
              <w:top w:val="nil"/>
              <w:left w:val="nil"/>
              <w:bottom w:val="single" w:color="auto" w:sz="4" w:space="0"/>
              <w:right w:val="single" w:color="auto" w:sz="4" w:space="0"/>
            </w:tcBorders>
            <w:shd w:val="clear" w:color="auto" w:fill="auto"/>
            <w:noWrap/>
            <w:vAlign w:val="center"/>
          </w:tcPr>
          <w:p w14:paraId="523D5F3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实现野保科研项目的技术合同奖励管理。</w:t>
            </w:r>
          </w:p>
        </w:tc>
      </w:tr>
      <w:tr w14:paraId="0C76F256">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893ED0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127</w:t>
            </w:r>
          </w:p>
        </w:tc>
        <w:tc>
          <w:tcPr>
            <w:tcW w:w="2138" w:type="dxa"/>
            <w:tcBorders>
              <w:top w:val="nil"/>
              <w:left w:val="nil"/>
              <w:bottom w:val="single" w:color="auto" w:sz="4" w:space="0"/>
              <w:right w:val="single" w:color="auto" w:sz="4" w:space="0"/>
            </w:tcBorders>
            <w:shd w:val="clear" w:color="auto" w:fill="auto"/>
            <w:noWrap/>
            <w:vAlign w:val="center"/>
          </w:tcPr>
          <w:p w14:paraId="6D8EDE3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6351D61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野保科研项目管理-科研主管部门填报文档管理</w:t>
            </w:r>
          </w:p>
        </w:tc>
        <w:tc>
          <w:tcPr>
            <w:tcW w:w="3697" w:type="dxa"/>
            <w:tcBorders>
              <w:top w:val="nil"/>
              <w:left w:val="nil"/>
              <w:bottom w:val="single" w:color="auto" w:sz="4" w:space="0"/>
              <w:right w:val="single" w:color="auto" w:sz="4" w:space="0"/>
            </w:tcBorders>
            <w:shd w:val="clear" w:color="auto" w:fill="auto"/>
            <w:noWrap/>
            <w:vAlign w:val="center"/>
          </w:tcPr>
          <w:p w14:paraId="275A47C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实现科研主管部门规定的填报文档的线上流转管理。</w:t>
            </w:r>
          </w:p>
        </w:tc>
      </w:tr>
      <w:tr w14:paraId="624D3A77">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984F593">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128</w:t>
            </w:r>
          </w:p>
        </w:tc>
        <w:tc>
          <w:tcPr>
            <w:tcW w:w="2138" w:type="dxa"/>
            <w:tcBorders>
              <w:top w:val="nil"/>
              <w:left w:val="nil"/>
              <w:bottom w:val="single" w:color="auto" w:sz="4" w:space="0"/>
              <w:right w:val="single" w:color="auto" w:sz="4" w:space="0"/>
            </w:tcBorders>
            <w:shd w:val="clear" w:color="auto" w:fill="auto"/>
            <w:noWrap/>
            <w:vAlign w:val="center"/>
          </w:tcPr>
          <w:p w14:paraId="0434EC5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50450BD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野保科研后勤综合管理-实验室访客管理</w:t>
            </w:r>
          </w:p>
        </w:tc>
        <w:tc>
          <w:tcPr>
            <w:tcW w:w="3697" w:type="dxa"/>
            <w:tcBorders>
              <w:top w:val="nil"/>
              <w:left w:val="nil"/>
              <w:bottom w:val="single" w:color="auto" w:sz="4" w:space="0"/>
              <w:right w:val="single" w:color="auto" w:sz="4" w:space="0"/>
            </w:tcBorders>
            <w:shd w:val="clear" w:color="auto" w:fill="auto"/>
            <w:noWrap/>
            <w:vAlign w:val="center"/>
          </w:tcPr>
          <w:p w14:paraId="5B60EDD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实现实验室访客信息登记管理，与实验室预约申请数据联动。</w:t>
            </w:r>
          </w:p>
        </w:tc>
      </w:tr>
      <w:tr w14:paraId="3E3EACF0">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05A147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129</w:t>
            </w:r>
          </w:p>
        </w:tc>
        <w:tc>
          <w:tcPr>
            <w:tcW w:w="2138" w:type="dxa"/>
            <w:tcBorders>
              <w:top w:val="nil"/>
              <w:left w:val="nil"/>
              <w:bottom w:val="single" w:color="auto" w:sz="4" w:space="0"/>
              <w:right w:val="single" w:color="auto" w:sz="4" w:space="0"/>
            </w:tcBorders>
            <w:shd w:val="clear" w:color="auto" w:fill="auto"/>
            <w:noWrap/>
            <w:vAlign w:val="center"/>
          </w:tcPr>
          <w:p w14:paraId="7EF070B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6F448C3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野保科研项目管理-科研书籍管理</w:t>
            </w:r>
          </w:p>
        </w:tc>
        <w:tc>
          <w:tcPr>
            <w:tcW w:w="3697" w:type="dxa"/>
            <w:tcBorders>
              <w:top w:val="nil"/>
              <w:left w:val="nil"/>
              <w:bottom w:val="single" w:color="auto" w:sz="4" w:space="0"/>
              <w:right w:val="single" w:color="auto" w:sz="4" w:space="0"/>
            </w:tcBorders>
            <w:shd w:val="clear" w:color="auto" w:fill="auto"/>
            <w:noWrap/>
            <w:vAlign w:val="center"/>
          </w:tcPr>
          <w:p w14:paraId="02DF6DB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实现科研书籍的入库、借阅归还、库存盘点管理。</w:t>
            </w:r>
          </w:p>
        </w:tc>
      </w:tr>
      <w:tr w14:paraId="5D3B5EC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8CDA51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130</w:t>
            </w:r>
          </w:p>
        </w:tc>
        <w:tc>
          <w:tcPr>
            <w:tcW w:w="2138" w:type="dxa"/>
            <w:tcBorders>
              <w:top w:val="nil"/>
              <w:left w:val="nil"/>
              <w:bottom w:val="single" w:color="auto" w:sz="4" w:space="0"/>
              <w:right w:val="single" w:color="auto" w:sz="4" w:space="0"/>
            </w:tcBorders>
            <w:shd w:val="clear" w:color="auto" w:fill="auto"/>
            <w:noWrap/>
            <w:vAlign w:val="center"/>
          </w:tcPr>
          <w:p w14:paraId="6ADA546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1F1F5CE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野保科研后勤综合管理-会议室管理</w:t>
            </w:r>
          </w:p>
        </w:tc>
        <w:tc>
          <w:tcPr>
            <w:tcW w:w="3697" w:type="dxa"/>
            <w:tcBorders>
              <w:top w:val="nil"/>
              <w:left w:val="nil"/>
              <w:bottom w:val="single" w:color="auto" w:sz="4" w:space="0"/>
              <w:right w:val="single" w:color="auto" w:sz="4" w:space="0"/>
            </w:tcBorders>
            <w:shd w:val="clear" w:color="auto" w:fill="auto"/>
            <w:noWrap/>
            <w:vAlign w:val="center"/>
          </w:tcPr>
          <w:p w14:paraId="7543685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实现会议室申请管理。</w:t>
            </w:r>
          </w:p>
        </w:tc>
      </w:tr>
      <w:tr w14:paraId="40707D67">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9A75740">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131</w:t>
            </w:r>
          </w:p>
        </w:tc>
        <w:tc>
          <w:tcPr>
            <w:tcW w:w="2138" w:type="dxa"/>
            <w:tcBorders>
              <w:top w:val="nil"/>
              <w:left w:val="nil"/>
              <w:bottom w:val="single" w:color="auto" w:sz="4" w:space="0"/>
              <w:right w:val="single" w:color="auto" w:sz="4" w:space="0"/>
            </w:tcBorders>
            <w:shd w:val="clear" w:color="auto" w:fill="auto"/>
            <w:noWrap/>
            <w:vAlign w:val="center"/>
          </w:tcPr>
          <w:p w14:paraId="711F022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7960A36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野保科研后勤综合管理-用餐管理</w:t>
            </w:r>
          </w:p>
        </w:tc>
        <w:tc>
          <w:tcPr>
            <w:tcW w:w="3697" w:type="dxa"/>
            <w:tcBorders>
              <w:top w:val="nil"/>
              <w:left w:val="nil"/>
              <w:bottom w:val="single" w:color="auto" w:sz="4" w:space="0"/>
              <w:right w:val="single" w:color="auto" w:sz="4" w:space="0"/>
            </w:tcBorders>
            <w:shd w:val="clear" w:color="auto" w:fill="auto"/>
            <w:noWrap/>
            <w:vAlign w:val="center"/>
          </w:tcPr>
          <w:p w14:paraId="4B94649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实现用餐的申请管理。</w:t>
            </w:r>
          </w:p>
        </w:tc>
      </w:tr>
      <w:tr w14:paraId="2D03D61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F9D32D4">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132</w:t>
            </w:r>
          </w:p>
        </w:tc>
        <w:tc>
          <w:tcPr>
            <w:tcW w:w="2138" w:type="dxa"/>
            <w:tcBorders>
              <w:top w:val="nil"/>
              <w:left w:val="nil"/>
              <w:bottom w:val="single" w:color="auto" w:sz="4" w:space="0"/>
              <w:right w:val="single" w:color="auto" w:sz="4" w:space="0"/>
            </w:tcBorders>
            <w:shd w:val="clear" w:color="auto" w:fill="auto"/>
            <w:noWrap/>
            <w:vAlign w:val="center"/>
          </w:tcPr>
          <w:p w14:paraId="3C53384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33A8E34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野保科研后勤综合管理-办公用品管理</w:t>
            </w:r>
          </w:p>
        </w:tc>
        <w:tc>
          <w:tcPr>
            <w:tcW w:w="3697" w:type="dxa"/>
            <w:tcBorders>
              <w:top w:val="nil"/>
              <w:left w:val="nil"/>
              <w:bottom w:val="single" w:color="auto" w:sz="4" w:space="0"/>
              <w:right w:val="single" w:color="auto" w:sz="4" w:space="0"/>
            </w:tcBorders>
            <w:shd w:val="clear" w:color="auto" w:fill="auto"/>
            <w:noWrap/>
            <w:vAlign w:val="center"/>
          </w:tcPr>
          <w:p w14:paraId="17CDC3E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实现办公用品的出入库、库存、盘点以及申领管理。</w:t>
            </w:r>
          </w:p>
        </w:tc>
      </w:tr>
      <w:tr w14:paraId="434D120D">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F4D094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133</w:t>
            </w:r>
          </w:p>
        </w:tc>
        <w:tc>
          <w:tcPr>
            <w:tcW w:w="2138" w:type="dxa"/>
            <w:tcBorders>
              <w:top w:val="nil"/>
              <w:left w:val="nil"/>
              <w:bottom w:val="single" w:color="auto" w:sz="4" w:space="0"/>
              <w:right w:val="single" w:color="auto" w:sz="4" w:space="0"/>
            </w:tcBorders>
            <w:shd w:val="clear" w:color="auto" w:fill="auto"/>
            <w:noWrap/>
            <w:vAlign w:val="center"/>
          </w:tcPr>
          <w:p w14:paraId="34D3EAB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5068B68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野保科研后勤综合管理-固定资产管理</w:t>
            </w:r>
          </w:p>
        </w:tc>
        <w:tc>
          <w:tcPr>
            <w:tcW w:w="3697" w:type="dxa"/>
            <w:tcBorders>
              <w:top w:val="nil"/>
              <w:left w:val="nil"/>
              <w:bottom w:val="single" w:color="auto" w:sz="4" w:space="0"/>
              <w:right w:val="single" w:color="auto" w:sz="4" w:space="0"/>
            </w:tcBorders>
            <w:shd w:val="clear" w:color="auto" w:fill="auto"/>
            <w:noWrap/>
            <w:vAlign w:val="center"/>
          </w:tcPr>
          <w:p w14:paraId="0ED7A9A2">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实现固定资产的出入库、库存、盘点以及折旧管理。</w:t>
            </w:r>
          </w:p>
        </w:tc>
      </w:tr>
      <w:tr w14:paraId="77417486">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018D0C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134</w:t>
            </w:r>
          </w:p>
        </w:tc>
        <w:tc>
          <w:tcPr>
            <w:tcW w:w="2138" w:type="dxa"/>
            <w:tcBorders>
              <w:top w:val="nil"/>
              <w:left w:val="nil"/>
              <w:bottom w:val="single" w:color="auto" w:sz="4" w:space="0"/>
              <w:right w:val="single" w:color="auto" w:sz="4" w:space="0"/>
            </w:tcBorders>
            <w:shd w:val="clear" w:color="auto" w:fill="auto"/>
            <w:noWrap/>
            <w:vAlign w:val="center"/>
          </w:tcPr>
          <w:p w14:paraId="0B2D3DF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7CBF768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野保科研人员管理-实验室人员管理</w:t>
            </w:r>
          </w:p>
        </w:tc>
        <w:tc>
          <w:tcPr>
            <w:tcW w:w="3697" w:type="dxa"/>
            <w:tcBorders>
              <w:top w:val="nil"/>
              <w:left w:val="nil"/>
              <w:bottom w:val="single" w:color="auto" w:sz="4" w:space="0"/>
              <w:right w:val="single" w:color="auto" w:sz="4" w:space="0"/>
            </w:tcBorders>
            <w:shd w:val="clear" w:color="auto" w:fill="auto"/>
            <w:noWrap/>
            <w:vAlign w:val="center"/>
          </w:tcPr>
          <w:p w14:paraId="76CF79D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实现实验室人员的基本信息、权限等的管理。</w:t>
            </w:r>
          </w:p>
        </w:tc>
      </w:tr>
      <w:tr w14:paraId="6CBBA053">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6A3936B7">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135</w:t>
            </w:r>
          </w:p>
        </w:tc>
        <w:tc>
          <w:tcPr>
            <w:tcW w:w="2138" w:type="dxa"/>
            <w:tcBorders>
              <w:top w:val="nil"/>
              <w:left w:val="nil"/>
              <w:bottom w:val="single" w:color="auto" w:sz="4" w:space="0"/>
              <w:right w:val="single" w:color="auto" w:sz="4" w:space="0"/>
            </w:tcBorders>
            <w:shd w:val="clear" w:color="auto" w:fill="auto"/>
            <w:noWrap/>
            <w:vAlign w:val="center"/>
          </w:tcPr>
          <w:p w14:paraId="72C53C46">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146976E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野保科研人员管理-员工安全档案管理</w:t>
            </w:r>
          </w:p>
        </w:tc>
        <w:tc>
          <w:tcPr>
            <w:tcW w:w="3697" w:type="dxa"/>
            <w:tcBorders>
              <w:top w:val="nil"/>
              <w:left w:val="nil"/>
              <w:bottom w:val="single" w:color="auto" w:sz="4" w:space="0"/>
              <w:right w:val="single" w:color="auto" w:sz="4" w:space="0"/>
            </w:tcBorders>
            <w:shd w:val="clear" w:color="auto" w:fill="auto"/>
            <w:noWrap/>
            <w:vAlign w:val="center"/>
          </w:tcPr>
          <w:p w14:paraId="222E2E3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实现出野外的员工档案管理。</w:t>
            </w:r>
          </w:p>
        </w:tc>
      </w:tr>
      <w:tr w14:paraId="3E35576D">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17C257B">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136</w:t>
            </w:r>
          </w:p>
        </w:tc>
        <w:tc>
          <w:tcPr>
            <w:tcW w:w="2138" w:type="dxa"/>
            <w:tcBorders>
              <w:top w:val="nil"/>
              <w:left w:val="nil"/>
              <w:bottom w:val="single" w:color="auto" w:sz="4" w:space="0"/>
              <w:right w:val="single" w:color="auto" w:sz="4" w:space="0"/>
            </w:tcBorders>
            <w:shd w:val="clear" w:color="auto" w:fill="auto"/>
            <w:noWrap/>
            <w:vAlign w:val="center"/>
          </w:tcPr>
          <w:p w14:paraId="32992D9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2F48E2B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数据孪生底座-数字孪生与业务系统数据对接</w:t>
            </w:r>
          </w:p>
        </w:tc>
        <w:tc>
          <w:tcPr>
            <w:tcW w:w="3697" w:type="dxa"/>
            <w:tcBorders>
              <w:top w:val="nil"/>
              <w:left w:val="nil"/>
              <w:bottom w:val="single" w:color="auto" w:sz="4" w:space="0"/>
              <w:right w:val="single" w:color="auto" w:sz="4" w:space="0"/>
            </w:tcBorders>
            <w:shd w:val="clear" w:color="auto" w:fill="auto"/>
            <w:noWrap/>
            <w:vAlign w:val="center"/>
          </w:tcPr>
          <w:p w14:paraId="13E3E37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实现业务数据在3</w:t>
            </w:r>
            <w:r>
              <w:rPr>
                <w:rFonts w:cs="宋体" w:asciiTheme="minorEastAsia" w:hAnsiTheme="minorEastAsia" w:eastAsiaTheme="minorEastAsia"/>
                <w:color w:val="000000"/>
                <w:kern w:val="0"/>
                <w:sz w:val="22"/>
                <w:szCs w:val="22"/>
              </w:rPr>
              <w:t>D</w:t>
            </w:r>
            <w:r>
              <w:rPr>
                <w:rFonts w:hint="eastAsia" w:cs="宋体" w:asciiTheme="minorEastAsia" w:hAnsiTheme="minorEastAsia" w:eastAsiaTheme="minorEastAsia"/>
                <w:color w:val="000000"/>
                <w:kern w:val="0"/>
                <w:sz w:val="22"/>
                <w:szCs w:val="22"/>
              </w:rPr>
              <w:t>场景中的加载接口和数据双向传输接口。</w:t>
            </w:r>
          </w:p>
        </w:tc>
      </w:tr>
      <w:tr w14:paraId="2D25D18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FEF0FF1">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137</w:t>
            </w:r>
          </w:p>
        </w:tc>
        <w:tc>
          <w:tcPr>
            <w:tcW w:w="2138" w:type="dxa"/>
            <w:tcBorders>
              <w:top w:val="nil"/>
              <w:left w:val="nil"/>
              <w:bottom w:val="single" w:color="auto" w:sz="4" w:space="0"/>
              <w:right w:val="single" w:color="auto" w:sz="4" w:space="0"/>
            </w:tcBorders>
            <w:shd w:val="clear" w:color="auto" w:fill="auto"/>
            <w:noWrap/>
            <w:vAlign w:val="center"/>
          </w:tcPr>
          <w:p w14:paraId="26B348B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07691DA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数据孪生底座-野保科研基地园区模型加载和展示</w:t>
            </w:r>
          </w:p>
        </w:tc>
        <w:tc>
          <w:tcPr>
            <w:tcW w:w="3697" w:type="dxa"/>
            <w:tcBorders>
              <w:top w:val="nil"/>
              <w:left w:val="nil"/>
              <w:bottom w:val="single" w:color="auto" w:sz="4" w:space="0"/>
              <w:right w:val="single" w:color="auto" w:sz="4" w:space="0"/>
            </w:tcBorders>
            <w:shd w:val="clear" w:color="auto" w:fill="auto"/>
            <w:noWrap/>
            <w:vAlign w:val="center"/>
          </w:tcPr>
          <w:p w14:paraId="772158B4">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实现整个野保科研基地整体园区的布局、绿化、湖泊，附属设施等的模型实时加载，完成与其他相关业务子系统之间的对接。</w:t>
            </w:r>
          </w:p>
        </w:tc>
      </w:tr>
      <w:tr w14:paraId="46E53605">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46B93FC">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138</w:t>
            </w:r>
          </w:p>
        </w:tc>
        <w:tc>
          <w:tcPr>
            <w:tcW w:w="2138" w:type="dxa"/>
            <w:tcBorders>
              <w:top w:val="nil"/>
              <w:left w:val="nil"/>
              <w:bottom w:val="single" w:color="auto" w:sz="4" w:space="0"/>
              <w:right w:val="single" w:color="auto" w:sz="4" w:space="0"/>
            </w:tcBorders>
            <w:shd w:val="clear" w:color="auto" w:fill="auto"/>
            <w:noWrap/>
            <w:vAlign w:val="center"/>
          </w:tcPr>
          <w:p w14:paraId="7BFC1C7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451F07E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数据孪生底座-野保科研基地主建筑模型加载和展示</w:t>
            </w:r>
          </w:p>
        </w:tc>
        <w:tc>
          <w:tcPr>
            <w:tcW w:w="3697" w:type="dxa"/>
            <w:tcBorders>
              <w:top w:val="nil"/>
              <w:left w:val="nil"/>
              <w:bottom w:val="single" w:color="auto" w:sz="4" w:space="0"/>
              <w:right w:val="single" w:color="auto" w:sz="4" w:space="0"/>
            </w:tcBorders>
            <w:shd w:val="clear" w:color="auto" w:fill="auto"/>
            <w:noWrap/>
            <w:vAlign w:val="center"/>
          </w:tcPr>
          <w:p w14:paraId="266006B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实现整个野保科研基地1-4号楼外立面、基本结构等的模型实时加载，完成与其他相关业务子系统之间的对接。</w:t>
            </w:r>
          </w:p>
        </w:tc>
      </w:tr>
      <w:tr w14:paraId="2BCAE78E">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FC8095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139</w:t>
            </w:r>
          </w:p>
        </w:tc>
        <w:tc>
          <w:tcPr>
            <w:tcW w:w="2138" w:type="dxa"/>
            <w:tcBorders>
              <w:top w:val="nil"/>
              <w:left w:val="nil"/>
              <w:bottom w:val="single" w:color="auto" w:sz="4" w:space="0"/>
              <w:right w:val="single" w:color="auto" w:sz="4" w:space="0"/>
            </w:tcBorders>
            <w:shd w:val="clear" w:color="auto" w:fill="auto"/>
            <w:noWrap/>
            <w:vAlign w:val="center"/>
          </w:tcPr>
          <w:p w14:paraId="5D1BB2D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5663B2B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数据孪生底座-野保科研基地实验室区域模型加载和展示</w:t>
            </w:r>
          </w:p>
        </w:tc>
        <w:tc>
          <w:tcPr>
            <w:tcW w:w="3697" w:type="dxa"/>
            <w:tcBorders>
              <w:top w:val="nil"/>
              <w:left w:val="nil"/>
              <w:bottom w:val="single" w:color="auto" w:sz="4" w:space="0"/>
              <w:right w:val="single" w:color="auto" w:sz="4" w:space="0"/>
            </w:tcBorders>
            <w:shd w:val="clear" w:color="auto" w:fill="auto"/>
            <w:noWrap/>
            <w:vAlign w:val="center"/>
          </w:tcPr>
          <w:p w14:paraId="659F06B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实现整个野保科研基地的1号楼实验室，2号楼全部的内部实验功能区域模型实时加载，完成与其他相关业务子系统之间的对接。</w:t>
            </w:r>
          </w:p>
        </w:tc>
      </w:tr>
      <w:tr w14:paraId="3DF64F7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3C9C832">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140</w:t>
            </w:r>
          </w:p>
        </w:tc>
        <w:tc>
          <w:tcPr>
            <w:tcW w:w="2138" w:type="dxa"/>
            <w:tcBorders>
              <w:top w:val="nil"/>
              <w:left w:val="nil"/>
              <w:bottom w:val="single" w:color="auto" w:sz="4" w:space="0"/>
              <w:right w:val="single" w:color="auto" w:sz="4" w:space="0"/>
            </w:tcBorders>
            <w:shd w:val="clear" w:color="auto" w:fill="auto"/>
            <w:noWrap/>
            <w:vAlign w:val="center"/>
          </w:tcPr>
          <w:p w14:paraId="58316D2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13D369F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数据孪生底座-野保科研基地内部管线加载和展示</w:t>
            </w:r>
          </w:p>
        </w:tc>
        <w:tc>
          <w:tcPr>
            <w:tcW w:w="3697" w:type="dxa"/>
            <w:tcBorders>
              <w:top w:val="nil"/>
              <w:left w:val="nil"/>
              <w:bottom w:val="single" w:color="auto" w:sz="4" w:space="0"/>
              <w:right w:val="single" w:color="auto" w:sz="4" w:space="0"/>
            </w:tcBorders>
            <w:shd w:val="clear" w:color="auto" w:fill="auto"/>
            <w:noWrap/>
            <w:vAlign w:val="center"/>
          </w:tcPr>
          <w:p w14:paraId="3002480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实现整个野保科研基地P2实验室给排水管、动力配电管线、照明管线的模型实时加载，完成与其他相关业务子系统之间的对接。</w:t>
            </w:r>
          </w:p>
        </w:tc>
      </w:tr>
      <w:tr w14:paraId="1F63783D">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1FBB47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141</w:t>
            </w:r>
          </w:p>
        </w:tc>
        <w:tc>
          <w:tcPr>
            <w:tcW w:w="2138" w:type="dxa"/>
            <w:tcBorders>
              <w:top w:val="nil"/>
              <w:left w:val="nil"/>
              <w:bottom w:val="single" w:color="auto" w:sz="4" w:space="0"/>
              <w:right w:val="single" w:color="auto" w:sz="4" w:space="0"/>
            </w:tcBorders>
            <w:shd w:val="clear" w:color="auto" w:fill="auto"/>
            <w:noWrap/>
            <w:vAlign w:val="center"/>
          </w:tcPr>
          <w:p w14:paraId="4E39B3A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1A4E89F3">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数据孪生底座-野保科研基地其他模型加载和展示</w:t>
            </w:r>
          </w:p>
        </w:tc>
        <w:tc>
          <w:tcPr>
            <w:tcW w:w="3697" w:type="dxa"/>
            <w:tcBorders>
              <w:top w:val="nil"/>
              <w:left w:val="nil"/>
              <w:bottom w:val="single" w:color="auto" w:sz="4" w:space="0"/>
              <w:right w:val="single" w:color="auto" w:sz="4" w:space="0"/>
            </w:tcBorders>
            <w:shd w:val="clear" w:color="auto" w:fill="auto"/>
            <w:noWrap/>
            <w:vAlign w:val="center"/>
          </w:tcPr>
          <w:p w14:paraId="1A6901FF">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实现整个野保科研基地门禁、重要仪器设备、摄像头、模拟人等的模型实时加载，完成与其他相关业务子系统之间的对接。</w:t>
            </w:r>
          </w:p>
        </w:tc>
      </w:tr>
      <w:tr w14:paraId="71029014">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1F473C0D">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142</w:t>
            </w:r>
          </w:p>
        </w:tc>
        <w:tc>
          <w:tcPr>
            <w:tcW w:w="2138" w:type="dxa"/>
            <w:tcBorders>
              <w:top w:val="nil"/>
              <w:left w:val="nil"/>
              <w:bottom w:val="single" w:color="auto" w:sz="4" w:space="0"/>
              <w:right w:val="single" w:color="auto" w:sz="4" w:space="0"/>
            </w:tcBorders>
            <w:shd w:val="clear" w:color="auto" w:fill="auto"/>
            <w:noWrap/>
            <w:vAlign w:val="center"/>
          </w:tcPr>
          <w:p w14:paraId="13CE127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67422DD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传感器和图像识别接口对接-压差传感器数据采集对接</w:t>
            </w:r>
          </w:p>
        </w:tc>
        <w:tc>
          <w:tcPr>
            <w:tcW w:w="3697" w:type="dxa"/>
            <w:tcBorders>
              <w:top w:val="nil"/>
              <w:left w:val="nil"/>
              <w:bottom w:val="single" w:color="auto" w:sz="4" w:space="0"/>
              <w:right w:val="single" w:color="auto" w:sz="4" w:space="0"/>
            </w:tcBorders>
            <w:shd w:val="clear" w:color="auto" w:fill="auto"/>
            <w:noWrap/>
            <w:vAlign w:val="center"/>
          </w:tcPr>
          <w:p w14:paraId="49CDCA7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实现与压差传感器数据采集实时对接。</w:t>
            </w:r>
          </w:p>
        </w:tc>
      </w:tr>
      <w:tr w14:paraId="75875944">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F4C7A17">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143</w:t>
            </w:r>
          </w:p>
        </w:tc>
        <w:tc>
          <w:tcPr>
            <w:tcW w:w="2138" w:type="dxa"/>
            <w:tcBorders>
              <w:top w:val="nil"/>
              <w:left w:val="nil"/>
              <w:bottom w:val="single" w:color="auto" w:sz="4" w:space="0"/>
              <w:right w:val="single" w:color="auto" w:sz="4" w:space="0"/>
            </w:tcBorders>
            <w:shd w:val="clear" w:color="auto" w:fill="auto"/>
            <w:noWrap/>
            <w:vAlign w:val="center"/>
          </w:tcPr>
          <w:p w14:paraId="1DE3810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2E0F15D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传感器和图像识别接口对接-门禁自动控制传感器数据采集和控制对接</w:t>
            </w:r>
          </w:p>
        </w:tc>
        <w:tc>
          <w:tcPr>
            <w:tcW w:w="3697" w:type="dxa"/>
            <w:tcBorders>
              <w:top w:val="nil"/>
              <w:left w:val="nil"/>
              <w:bottom w:val="single" w:color="auto" w:sz="4" w:space="0"/>
              <w:right w:val="single" w:color="auto" w:sz="4" w:space="0"/>
            </w:tcBorders>
            <w:shd w:val="clear" w:color="auto" w:fill="auto"/>
            <w:noWrap/>
            <w:vAlign w:val="center"/>
          </w:tcPr>
          <w:p w14:paraId="28A6B041">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实现与门禁自动控制传感器数据采集实时对接。实现与门禁自动控制传感器控制开关对接。</w:t>
            </w:r>
          </w:p>
        </w:tc>
      </w:tr>
      <w:tr w14:paraId="1B2B548B">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3C89250D">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144</w:t>
            </w:r>
          </w:p>
        </w:tc>
        <w:tc>
          <w:tcPr>
            <w:tcW w:w="2138" w:type="dxa"/>
            <w:tcBorders>
              <w:top w:val="nil"/>
              <w:left w:val="nil"/>
              <w:bottom w:val="single" w:color="auto" w:sz="4" w:space="0"/>
              <w:right w:val="single" w:color="auto" w:sz="4" w:space="0"/>
            </w:tcBorders>
            <w:shd w:val="clear" w:color="auto" w:fill="auto"/>
            <w:noWrap/>
            <w:vAlign w:val="center"/>
          </w:tcPr>
          <w:p w14:paraId="5D7DC30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41A8A4D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传感器和图像识别接口对接-环境温湿度传感器数据采集对接</w:t>
            </w:r>
          </w:p>
        </w:tc>
        <w:tc>
          <w:tcPr>
            <w:tcW w:w="3697" w:type="dxa"/>
            <w:tcBorders>
              <w:top w:val="nil"/>
              <w:left w:val="nil"/>
              <w:bottom w:val="single" w:color="auto" w:sz="4" w:space="0"/>
              <w:right w:val="single" w:color="auto" w:sz="4" w:space="0"/>
            </w:tcBorders>
            <w:shd w:val="clear" w:color="auto" w:fill="auto"/>
            <w:noWrap/>
            <w:vAlign w:val="center"/>
          </w:tcPr>
          <w:p w14:paraId="1C16B00B">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实现与环境温湿度传感器数据采集实时对接。</w:t>
            </w:r>
          </w:p>
        </w:tc>
      </w:tr>
      <w:tr w14:paraId="41E60AC8">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260C0B9A">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145</w:t>
            </w:r>
          </w:p>
        </w:tc>
        <w:tc>
          <w:tcPr>
            <w:tcW w:w="2138" w:type="dxa"/>
            <w:tcBorders>
              <w:top w:val="nil"/>
              <w:left w:val="nil"/>
              <w:bottom w:val="single" w:color="auto" w:sz="4" w:space="0"/>
              <w:right w:val="single" w:color="auto" w:sz="4" w:space="0"/>
            </w:tcBorders>
            <w:shd w:val="clear" w:color="auto" w:fill="auto"/>
            <w:noWrap/>
            <w:vAlign w:val="center"/>
          </w:tcPr>
          <w:p w14:paraId="044411BA">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78C1294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传感器和图像识别接口对接-低温环境温度传感器采集对接</w:t>
            </w:r>
          </w:p>
        </w:tc>
        <w:tc>
          <w:tcPr>
            <w:tcW w:w="3697" w:type="dxa"/>
            <w:tcBorders>
              <w:top w:val="nil"/>
              <w:left w:val="nil"/>
              <w:bottom w:val="single" w:color="auto" w:sz="4" w:space="0"/>
              <w:right w:val="single" w:color="auto" w:sz="4" w:space="0"/>
            </w:tcBorders>
            <w:shd w:val="clear" w:color="auto" w:fill="auto"/>
            <w:noWrap/>
            <w:vAlign w:val="center"/>
          </w:tcPr>
          <w:p w14:paraId="7261C895">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实现与低温环境温度传感器数据采集实时对接。</w:t>
            </w:r>
          </w:p>
        </w:tc>
      </w:tr>
      <w:tr w14:paraId="595FBBD3">
        <w:tblPrEx>
          <w:tblCellMar>
            <w:top w:w="0" w:type="dxa"/>
            <w:left w:w="108" w:type="dxa"/>
            <w:bottom w:w="0" w:type="dxa"/>
            <w:right w:w="108" w:type="dxa"/>
          </w:tblCellMar>
        </w:tblPrEx>
        <w:trPr>
          <w:trHeight w:val="283"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4A1EB26F">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146</w:t>
            </w:r>
          </w:p>
        </w:tc>
        <w:tc>
          <w:tcPr>
            <w:tcW w:w="2138" w:type="dxa"/>
            <w:tcBorders>
              <w:top w:val="nil"/>
              <w:left w:val="nil"/>
              <w:bottom w:val="single" w:color="auto" w:sz="4" w:space="0"/>
              <w:right w:val="single" w:color="auto" w:sz="4" w:space="0"/>
            </w:tcBorders>
            <w:shd w:val="clear" w:color="auto" w:fill="auto"/>
            <w:noWrap/>
            <w:vAlign w:val="center"/>
          </w:tcPr>
          <w:p w14:paraId="7FD83090">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nil"/>
              <w:left w:val="nil"/>
              <w:bottom w:val="single" w:color="auto" w:sz="4" w:space="0"/>
              <w:right w:val="single" w:color="auto" w:sz="4" w:space="0"/>
            </w:tcBorders>
            <w:shd w:val="clear" w:color="auto" w:fill="auto"/>
            <w:noWrap/>
            <w:vAlign w:val="center"/>
          </w:tcPr>
          <w:p w14:paraId="1DB7119D">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传感器和图像识别接口对接-智能用电控制传感器数据采集和控制对接</w:t>
            </w:r>
          </w:p>
        </w:tc>
        <w:tc>
          <w:tcPr>
            <w:tcW w:w="3697" w:type="dxa"/>
            <w:tcBorders>
              <w:top w:val="nil"/>
              <w:left w:val="nil"/>
              <w:bottom w:val="single" w:color="auto" w:sz="4" w:space="0"/>
              <w:right w:val="single" w:color="auto" w:sz="4" w:space="0"/>
            </w:tcBorders>
            <w:shd w:val="clear" w:color="auto" w:fill="auto"/>
            <w:noWrap/>
            <w:vAlign w:val="center"/>
          </w:tcPr>
          <w:p w14:paraId="63B60218">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实现与智能用电控制传感器数据采集实时对接。实现与智能用电控制传感器控制开关对接。</w:t>
            </w:r>
          </w:p>
        </w:tc>
      </w:tr>
      <w:tr w14:paraId="73ED4BE6">
        <w:trPr>
          <w:trHeight w:val="283" w:hRule="atLeast"/>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B3AD9">
            <w:pPr>
              <w:widowControl/>
              <w:spacing w:line="240" w:lineRule="auto"/>
              <w:ind w:firstLine="0" w:firstLineChars="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B7E67">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野保科研基地运行保障管理</w:t>
            </w:r>
          </w:p>
        </w:tc>
        <w:tc>
          <w:tcPr>
            <w:tcW w:w="23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F1D2C">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传感器和图像识别接口对接-图像识别接口对接</w:t>
            </w:r>
          </w:p>
        </w:tc>
        <w:tc>
          <w:tcPr>
            <w:tcW w:w="3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7B99E">
            <w:pPr>
              <w:widowControl/>
              <w:spacing w:line="240" w:lineRule="auto"/>
              <w:ind w:firstLine="0" w:firstLineChars="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实现与图像识别接口实时对接，实现算法事件获取，视频流和关键图片调阅。</w:t>
            </w:r>
          </w:p>
        </w:tc>
      </w:tr>
      <w:tr w14:paraId="1F4996EA">
        <w:tblPrEx>
          <w:tblCellMar>
            <w:top w:w="0" w:type="dxa"/>
            <w:left w:w="108" w:type="dxa"/>
            <w:bottom w:w="0" w:type="dxa"/>
            <w:right w:w="108" w:type="dxa"/>
          </w:tblCellMar>
        </w:tblPrEx>
        <w:trPr>
          <w:trHeight w:val="283" w:hRule="atLeast"/>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F30D9">
            <w:pPr>
              <w:widowControl/>
              <w:spacing w:line="240" w:lineRule="auto"/>
              <w:ind w:firstLine="0" w:firstLineChars="0"/>
              <w:jc w:val="center"/>
              <w:rPr>
                <w:rFonts w:hint="default" w:cs="宋体" w:asciiTheme="minorEastAsia" w:hAnsiTheme="minorEastAsia" w:eastAsiaTheme="minorEastAsia"/>
                <w:color w:val="000000"/>
                <w:kern w:val="0"/>
                <w:sz w:val="22"/>
                <w:szCs w:val="22"/>
                <w:lang w:val="en-US" w:eastAsia="zh-CN"/>
              </w:rPr>
            </w:pPr>
            <w:r>
              <w:rPr>
                <w:rFonts w:hint="eastAsia" w:cs="宋体" w:asciiTheme="minorEastAsia" w:hAnsiTheme="minorEastAsia" w:eastAsiaTheme="minorEastAsia"/>
                <w:color w:val="000000"/>
                <w:kern w:val="0"/>
                <w:sz w:val="22"/>
                <w:szCs w:val="22"/>
                <w:lang w:val="en-US" w:eastAsia="zh-CN"/>
              </w:rPr>
              <w:t>148</w:t>
            </w:r>
          </w:p>
        </w:tc>
        <w:tc>
          <w:tcPr>
            <w:tcW w:w="2138" w:type="dxa"/>
            <w:tcBorders>
              <w:top w:val="single" w:color="auto" w:sz="4" w:space="0"/>
              <w:left w:val="nil"/>
              <w:bottom w:val="single" w:color="auto" w:sz="4" w:space="0"/>
              <w:right w:val="single" w:color="auto" w:sz="4" w:space="0"/>
            </w:tcBorders>
            <w:shd w:val="clear" w:color="auto" w:fill="auto"/>
            <w:noWrap/>
            <w:vAlign w:val="center"/>
          </w:tcPr>
          <w:p w14:paraId="782DCF6A">
            <w:pPr>
              <w:widowControl/>
              <w:spacing w:line="240" w:lineRule="auto"/>
              <w:ind w:firstLine="0" w:firstLineChars="0"/>
              <w:jc w:val="left"/>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密码安全应用模块</w:t>
            </w:r>
          </w:p>
        </w:tc>
        <w:tc>
          <w:tcPr>
            <w:tcW w:w="2398" w:type="dxa"/>
            <w:tcBorders>
              <w:top w:val="single" w:color="auto" w:sz="4" w:space="0"/>
              <w:left w:val="nil"/>
              <w:bottom w:val="single" w:color="auto" w:sz="4" w:space="0"/>
              <w:right w:val="single" w:color="auto" w:sz="4" w:space="0"/>
            </w:tcBorders>
            <w:shd w:val="clear" w:color="auto" w:fill="auto"/>
            <w:noWrap/>
            <w:vAlign w:val="center"/>
          </w:tcPr>
          <w:p w14:paraId="473B3E7D">
            <w:pPr>
              <w:widowControl/>
              <w:spacing w:line="240" w:lineRule="auto"/>
              <w:ind w:firstLine="0" w:firstLineChars="0"/>
              <w:jc w:val="left"/>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密码安全应用模块</w:t>
            </w:r>
          </w:p>
        </w:tc>
        <w:tc>
          <w:tcPr>
            <w:tcW w:w="3697" w:type="dxa"/>
            <w:tcBorders>
              <w:top w:val="single" w:color="auto" w:sz="4" w:space="0"/>
              <w:left w:val="nil"/>
              <w:bottom w:val="single" w:color="auto" w:sz="4" w:space="0"/>
              <w:right w:val="single" w:color="auto" w:sz="4" w:space="0"/>
            </w:tcBorders>
            <w:shd w:val="clear" w:color="auto" w:fill="auto"/>
            <w:noWrap/>
            <w:vAlign w:val="center"/>
          </w:tcPr>
          <w:p w14:paraId="787AD308">
            <w:pPr>
              <w:widowControl/>
              <w:spacing w:line="240" w:lineRule="auto"/>
              <w:ind w:firstLine="0" w:firstLineChars="0"/>
              <w:jc w:val="left"/>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用户身份认证机制模块</w:t>
            </w:r>
          </w:p>
          <w:p w14:paraId="7121254F">
            <w:pPr>
              <w:widowControl/>
              <w:spacing w:line="240" w:lineRule="auto"/>
              <w:ind w:firstLine="0" w:firstLineChars="0"/>
              <w:jc w:val="left"/>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业务重要数据安全传输模块</w:t>
            </w:r>
          </w:p>
          <w:p w14:paraId="00FDF1F7">
            <w:pPr>
              <w:widowControl/>
              <w:spacing w:line="240" w:lineRule="auto"/>
              <w:ind w:firstLine="0" w:firstLineChars="0"/>
              <w:jc w:val="left"/>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服务器虚拟机设备日志/访问控制信息完整性模块</w:t>
            </w:r>
          </w:p>
          <w:p w14:paraId="265C4F82">
            <w:pPr>
              <w:widowControl/>
              <w:spacing w:line="240" w:lineRule="auto"/>
              <w:ind w:firstLine="0" w:firstLineChars="0"/>
              <w:jc w:val="left"/>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重要数据加解密验签模块</w:t>
            </w:r>
          </w:p>
        </w:tc>
      </w:tr>
    </w:tbl>
    <w:p w14:paraId="42448531">
      <w:pPr>
        <w:widowControl/>
        <w:ind w:firstLine="0" w:firstLineChars="0"/>
        <w:textAlignment w:val="center"/>
        <w:rPr>
          <w:rFonts w:cs="宋体"/>
          <w:b/>
          <w:bCs/>
          <w:kern w:val="0"/>
          <w:sz w:val="18"/>
          <w:szCs w:val="18"/>
          <w:lang w:bidi="ar"/>
        </w:rPr>
        <w:sectPr>
          <w:footerReference r:id="rId11" w:type="first"/>
          <w:pgSz w:w="11906" w:h="16838"/>
          <w:pgMar w:top="1134" w:right="1797" w:bottom="1135" w:left="1797" w:header="340" w:footer="7" w:gutter="0"/>
          <w:pgNumType w:start="1"/>
          <w:cols w:space="720" w:num="1"/>
          <w:titlePg/>
          <w:docGrid w:type="linesAndChars" w:linePitch="326" w:charSpace="0"/>
        </w:sectPr>
      </w:pPr>
    </w:p>
    <w:p w14:paraId="2128E232">
      <w:pPr>
        <w:pStyle w:val="2"/>
      </w:pPr>
      <w:bookmarkStart w:id="17" w:name="_Toc63785502"/>
      <w:r>
        <w:rPr>
          <w:rFonts w:hint="eastAsia"/>
        </w:rPr>
        <w:t>电子政务云资源需求</w:t>
      </w:r>
      <w:bookmarkEnd w:id="17"/>
    </w:p>
    <w:p w14:paraId="66D31782">
      <w:r>
        <w:rPr>
          <w:rFonts w:hint="eastAsia"/>
        </w:rPr>
        <w:t>根据项目前期资源现状，本次建设根据估算拟向电子政务云申请</w:t>
      </w:r>
      <w:r>
        <w:t>6</w:t>
      </w:r>
      <w:r>
        <w:rPr>
          <w:rFonts w:hint="eastAsia"/>
        </w:rPr>
        <w:t>台服务器资源，共计CPU</w:t>
      </w:r>
      <w:r>
        <w:t>48</w:t>
      </w:r>
      <w:r>
        <w:rPr>
          <w:rFonts w:hint="eastAsia"/>
        </w:rPr>
        <w:t>核、内存</w:t>
      </w:r>
      <w:r>
        <w:t>128</w:t>
      </w:r>
      <w:r>
        <w:rPr>
          <w:rFonts w:hint="eastAsia"/>
        </w:rPr>
        <w:t>G、存储</w:t>
      </w:r>
      <w:r>
        <w:t>4</w:t>
      </w:r>
      <w:r>
        <w:rPr>
          <w:rFonts w:hint="eastAsia"/>
        </w:rPr>
        <w:t>T，均为虚拟机。</w:t>
      </w:r>
    </w:p>
    <w:p w14:paraId="7CBD2D6C">
      <w:pPr>
        <w:pStyle w:val="2"/>
      </w:pPr>
      <w:bookmarkStart w:id="18" w:name="_Toc31750"/>
      <w:bookmarkStart w:id="19" w:name="_Toc17438"/>
      <w:r>
        <w:rPr>
          <w:rFonts w:hint="eastAsia"/>
        </w:rPr>
        <w:t>其他工作要求</w:t>
      </w:r>
      <w:bookmarkEnd w:id="18"/>
      <w:bookmarkEnd w:id="19"/>
    </w:p>
    <w:p w14:paraId="3ADB4A7D">
      <w:pPr>
        <w:keepNext/>
        <w:keepLines/>
        <w:numPr>
          <w:ilvl w:val="1"/>
          <w:numId w:val="1"/>
        </w:numPr>
        <w:spacing w:before="120" w:after="120"/>
        <w:ind w:hanging="851" w:firstLineChars="0"/>
        <w:outlineLvl w:val="2"/>
        <w:rPr>
          <w:b/>
          <w:bCs/>
          <w:sz w:val="30"/>
          <w:szCs w:val="32"/>
        </w:rPr>
      </w:pPr>
      <w:bookmarkStart w:id="20" w:name="_Toc3267"/>
      <w:r>
        <w:rPr>
          <w:rFonts w:hint="eastAsia"/>
          <w:b/>
          <w:bCs/>
          <w:sz w:val="30"/>
          <w:szCs w:val="32"/>
        </w:rPr>
        <w:t>售后服务要求</w:t>
      </w:r>
      <w:bookmarkEnd w:id="20"/>
    </w:p>
    <w:p w14:paraId="11636DF0">
      <w:pPr>
        <w:snapToGrid w:val="0"/>
      </w:pPr>
      <w:r>
        <w:rPr>
          <w:rFonts w:hint="eastAsia"/>
        </w:rPr>
        <w:t>本项目从系统验收通过之日起1年内提供</w:t>
      </w:r>
      <w:r>
        <w:t>7*24小时免费技术支持</w:t>
      </w:r>
      <w:r>
        <w:rPr>
          <w:rFonts w:hint="eastAsia"/>
        </w:rPr>
        <w:t>和售后服务。</w:t>
      </w:r>
    </w:p>
    <w:p w14:paraId="2EB63E8A">
      <w:pPr>
        <w:snapToGrid w:val="0"/>
      </w:pPr>
      <w:r>
        <w:rPr>
          <w:rFonts w:hint="eastAsia"/>
        </w:rPr>
        <w:t>在质量保证期内，供应商将按照售后服务的承诺提供保修和运行维护服务，。</w:t>
      </w:r>
    </w:p>
    <w:p w14:paraId="1D0BDA78">
      <w:pPr>
        <w:snapToGrid w:val="0"/>
      </w:pPr>
      <w:r>
        <w:rPr>
          <w:rFonts w:hint="eastAsia"/>
        </w:rPr>
        <w:t>在质量保证期内，供应商负责信息系统的运行维护工作，确保信息系统安全、稳定、可靠地运行，本项目涉及的运行维护范围为：软件功能模块（本次项目建设内容）的运行保障，按照采购人的要求进行的系统升级（操作系统、中间件、数据库等的安全漏洞、应用漏洞的修复，支持性系统和软件的重要安全补丁升级等），按照</w:t>
      </w:r>
      <w:r>
        <w:t>甲方要求进行应急</w:t>
      </w:r>
      <w:r>
        <w:rPr>
          <w:rFonts w:hint="eastAsia"/>
        </w:rPr>
        <w:t>预案</w:t>
      </w:r>
      <w:r>
        <w:t>演练</w:t>
      </w:r>
      <w:r>
        <w:rPr>
          <w:rFonts w:hint="eastAsia"/>
        </w:rPr>
        <w:t>，根据</w:t>
      </w:r>
      <w:r>
        <w:t>甲方</w:t>
      </w:r>
      <w:r>
        <w:rPr>
          <w:rFonts w:hint="eastAsia"/>
        </w:rPr>
        <w:t>的具体</w:t>
      </w:r>
      <w:r>
        <w:t>要求，</w:t>
      </w:r>
      <w:r>
        <w:rPr>
          <w:rFonts w:hint="eastAsia"/>
        </w:rPr>
        <w:t>在重大节假日提供远程或者现场的保障服务。</w:t>
      </w:r>
    </w:p>
    <w:p w14:paraId="69850B91">
      <w:pPr>
        <w:keepNext/>
        <w:keepLines/>
        <w:numPr>
          <w:ilvl w:val="1"/>
          <w:numId w:val="1"/>
        </w:numPr>
        <w:spacing w:before="120" w:after="120"/>
        <w:ind w:hanging="851" w:firstLineChars="0"/>
        <w:outlineLvl w:val="2"/>
        <w:rPr>
          <w:b/>
          <w:bCs/>
          <w:sz w:val="30"/>
          <w:szCs w:val="32"/>
        </w:rPr>
      </w:pPr>
      <w:bookmarkStart w:id="21" w:name="_Toc13243"/>
      <w:r>
        <w:rPr>
          <w:rFonts w:hint="eastAsia"/>
          <w:b/>
          <w:bCs/>
          <w:sz w:val="30"/>
          <w:szCs w:val="32"/>
        </w:rPr>
        <w:t>应急响应要求</w:t>
      </w:r>
      <w:bookmarkEnd w:id="21"/>
    </w:p>
    <w:p w14:paraId="473377CC">
      <w:pPr>
        <w:snapToGrid w:val="0"/>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14:paraId="5CF1C91F">
      <w:pPr>
        <w:snapToGrid w:val="0"/>
      </w:pPr>
      <w:r>
        <w:rPr>
          <w:rFonts w:hint="eastAsia"/>
        </w:rPr>
        <w:t>具体故障级别及对应的应急响应要求如下：</w:t>
      </w:r>
    </w:p>
    <w:p w14:paraId="3C9E8986">
      <w:pPr>
        <w:snapToGrid w:val="0"/>
      </w:pPr>
      <w:r>
        <w:rPr>
          <w:rFonts w:hint="eastAsia"/>
        </w:rPr>
        <w:t>一级故障：在</w:t>
      </w:r>
      <w:r>
        <w:t>1小时内确诊，总故障解决时间不超过4小时。</w:t>
      </w:r>
    </w:p>
    <w:p w14:paraId="782BEF3E">
      <w:pPr>
        <w:snapToGrid w:val="0"/>
      </w:pPr>
      <w:r>
        <w:rPr>
          <w:rFonts w:hint="eastAsia"/>
        </w:rPr>
        <w:t>二级故障：在</w:t>
      </w:r>
      <w:r>
        <w:t>2小时内确诊，并在4小时内由专家到达现场确诊并解决，总故障解决时间不超过8小时；</w:t>
      </w:r>
    </w:p>
    <w:p w14:paraId="17DB6D9B">
      <w:pPr>
        <w:snapToGrid w:val="0"/>
      </w:pPr>
      <w:r>
        <w:rPr>
          <w:rFonts w:hint="eastAsia"/>
        </w:rPr>
        <w:t>三、四级故障：在</w:t>
      </w:r>
      <w:r>
        <w:t>4小时内确诊故障，总故障解决时间不超过16小时。</w:t>
      </w:r>
    </w:p>
    <w:p w14:paraId="244AB014">
      <w:pPr>
        <w:keepNext/>
        <w:keepLines/>
        <w:numPr>
          <w:ilvl w:val="1"/>
          <w:numId w:val="1"/>
        </w:numPr>
        <w:spacing w:before="120" w:after="120"/>
        <w:ind w:hanging="851" w:firstLineChars="0"/>
        <w:outlineLvl w:val="2"/>
        <w:rPr>
          <w:b/>
          <w:bCs/>
          <w:sz w:val="30"/>
          <w:szCs w:val="32"/>
        </w:rPr>
      </w:pPr>
      <w:bookmarkStart w:id="22" w:name="_Toc10101"/>
      <w:r>
        <w:rPr>
          <w:rFonts w:hint="eastAsia"/>
          <w:b/>
          <w:bCs/>
          <w:sz w:val="30"/>
          <w:szCs w:val="32"/>
        </w:rPr>
        <w:t>培训要求</w:t>
      </w:r>
      <w:bookmarkEnd w:id="22"/>
    </w:p>
    <w:p w14:paraId="5EF8D37D">
      <w:r>
        <w:rPr>
          <w:rFonts w:hint="eastAsia"/>
        </w:rPr>
        <w:t>对系统使用单位提供业务操作培训，应提供详细培训方案。</w:t>
      </w:r>
    </w:p>
    <w:p w14:paraId="1505F85D">
      <w:r>
        <w:rPr>
          <w:rFonts w:hint="eastAsia"/>
        </w:rPr>
        <w:t>(1)在12个月的质量保证期内，提供2次与项目相关的必要培训。</w:t>
      </w:r>
    </w:p>
    <w:p w14:paraId="76E3A9B7">
      <w:r>
        <w:rPr>
          <w:rFonts w:hint="eastAsia"/>
        </w:rPr>
        <w:t>(2)供应商需要开展分层次的人员培训工作，每次培训后应对参加培训人员进行测试，评估培训成果。培训应具有培训教材、培训环境和高水平的培训讲师。</w:t>
      </w:r>
    </w:p>
    <w:p w14:paraId="1D613EA2">
      <w:r>
        <w:rPr>
          <w:rFonts w:hint="eastAsia"/>
        </w:rPr>
        <w:t>(3)供应商应提供一般用户的基础操作培训和部门信息管理员的日常应用维护的培训，确保用户对象能够掌握对应的操作技能。</w:t>
      </w:r>
    </w:p>
    <w:p w14:paraId="62910D4A">
      <w:pPr>
        <w:keepNext/>
        <w:keepLines/>
        <w:numPr>
          <w:ilvl w:val="1"/>
          <w:numId w:val="1"/>
        </w:numPr>
        <w:spacing w:before="120" w:after="120"/>
        <w:ind w:hanging="993" w:firstLineChars="0"/>
        <w:outlineLvl w:val="2"/>
        <w:rPr>
          <w:b/>
          <w:bCs/>
          <w:sz w:val="30"/>
          <w:szCs w:val="32"/>
        </w:rPr>
      </w:pPr>
      <w:bookmarkStart w:id="23" w:name="_Toc30162"/>
      <w:r>
        <w:rPr>
          <w:rFonts w:hint="eastAsia"/>
          <w:b/>
          <w:bCs/>
          <w:sz w:val="30"/>
          <w:szCs w:val="32"/>
        </w:rPr>
        <w:t>验收要求</w:t>
      </w:r>
      <w:bookmarkEnd w:id="23"/>
    </w:p>
    <w:p w14:paraId="22A66D16">
      <w:pPr>
        <w:rPr>
          <w:szCs w:val="21"/>
        </w:rPr>
      </w:pPr>
      <w:r>
        <w:rPr>
          <w:rFonts w:hint="eastAsia"/>
          <w:szCs w:val="21"/>
        </w:rPr>
        <w:t>本项目按下述方式开展验收。</w:t>
      </w:r>
    </w:p>
    <w:p w14:paraId="4CAB2110">
      <w:pPr>
        <w:rPr>
          <w:szCs w:val="21"/>
        </w:rPr>
      </w:pPr>
      <w:r>
        <w:rPr>
          <w:rFonts w:hint="eastAsia"/>
          <w:szCs w:val="21"/>
        </w:rPr>
        <w:t>（</w:t>
      </w:r>
      <w:r>
        <w:rPr>
          <w:szCs w:val="21"/>
        </w:rPr>
        <w:t>1）验收分初验和终验。</w:t>
      </w:r>
    </w:p>
    <w:p w14:paraId="08CEDBB0">
      <w:pPr>
        <w:rPr>
          <w:szCs w:val="21"/>
        </w:rPr>
      </w:pPr>
      <w:r>
        <w:rPr>
          <w:rFonts w:hint="eastAsia"/>
          <w:szCs w:val="21"/>
        </w:rPr>
        <w:t>（</w:t>
      </w:r>
      <w:r>
        <w:rPr>
          <w:szCs w:val="21"/>
        </w:rPr>
        <w:t>2）初验前，供应商完成软件开发、软硬件安装和信息系统的调试等，并对本项目进行功能和运行检测，确保所有信息系统功能模块能够正常运行且已达到本项目约定的各类标准要求。供应商应以书面形式向采购方递交初验通知书。采购方应当在接到通知后的5个工作日内确定初验的具体日期，由双方按照本项目的约定完成本项目的初验。采购方有权委托第三方检测机构进行验收，对此供应商应当配合。</w:t>
      </w:r>
    </w:p>
    <w:p w14:paraId="3210D405">
      <w:pPr>
        <w:rPr>
          <w:szCs w:val="21"/>
        </w:rPr>
      </w:pPr>
      <w:r>
        <w:rPr>
          <w:rFonts w:hint="eastAsia"/>
          <w:szCs w:val="21"/>
        </w:rPr>
        <w:t>（</w:t>
      </w:r>
      <w:r>
        <w:rPr>
          <w:szCs w:val="21"/>
        </w:rPr>
        <w:t>3）初验时，供应商提供软件文档包括《用户需求说明书》、《系统概要设计说明书》、《系统详细设计说明书》、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采购方应向供应商出具书面报告，陈述需要改进的缺陷。供应商应立即严格依照采购方的书面报告中的要求改进缺陷，并再次进行初验。</w:t>
      </w:r>
    </w:p>
    <w:p w14:paraId="224EA9E7">
      <w:pPr>
        <w:rPr>
          <w:szCs w:val="21"/>
        </w:rPr>
      </w:pPr>
      <w:r>
        <w:rPr>
          <w:rFonts w:hint="eastAsia"/>
          <w:szCs w:val="21"/>
        </w:rPr>
        <w:t>（</w:t>
      </w:r>
      <w:r>
        <w:rPr>
          <w:szCs w:val="21"/>
        </w:rPr>
        <w:t>4）自初验通过之日起，采购方享有供应商免费提供的30天的信息系统试运行现场驻场服务期。该期间内，供应商应当按照采购方的要求提供现场技术支持服务，解决信息系统试运行期间可能出现的各类问题，或进一步提高与完善信息系统运行水平。</w:t>
      </w:r>
    </w:p>
    <w:p w14:paraId="1A682D60">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采购方信息系统已准备就绪等待终验。采购方在收到终验通知后的</w:t>
      </w:r>
      <w:r>
        <w:rPr>
          <w:rFonts w:hint="eastAsia"/>
          <w:szCs w:val="21"/>
        </w:rPr>
        <w:t>20</w:t>
      </w:r>
      <w:r>
        <w:rPr>
          <w:szCs w:val="21"/>
        </w:rPr>
        <w:t xml:space="preserve">     个工作日内发起组织专家验收会。</w:t>
      </w:r>
    </w:p>
    <w:p w14:paraId="0F3A8946">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557A3F3A">
      <w:pPr>
        <w:rPr>
          <w:szCs w:val="21"/>
        </w:rPr>
      </w:pPr>
      <w:r>
        <w:rPr>
          <w:rFonts w:hint="eastAsia"/>
          <w:szCs w:val="21"/>
        </w:rPr>
        <w:t>（7</w:t>
      </w:r>
      <w:r>
        <w:rPr>
          <w:szCs w:val="21"/>
        </w:rPr>
        <w:t>）如果由于采购方原因导致本项目在终验通过前出现故障或问题，供应商应及时配合排除该方面的故障或问题。</w:t>
      </w:r>
    </w:p>
    <w:p w14:paraId="6DB19C35">
      <w:pPr>
        <w:rPr>
          <w:szCs w:val="21"/>
        </w:rPr>
      </w:pPr>
      <w:r>
        <w:rPr>
          <w:rFonts w:hint="eastAsia"/>
          <w:szCs w:val="21"/>
        </w:rPr>
        <w:t>（8</w:t>
      </w:r>
      <w:r>
        <w:rPr>
          <w:szCs w:val="21"/>
        </w:rPr>
        <w:t>）如本项目连续3次验收未通过（含初验未通过或终验未通过），采购方有权解除项目，并有权依照本项目约定的违约条款追究供应商的违约责任。</w:t>
      </w:r>
    </w:p>
    <w:p w14:paraId="399008E8">
      <w:pPr>
        <w:keepNext/>
        <w:keepLines/>
        <w:numPr>
          <w:ilvl w:val="1"/>
          <w:numId w:val="1"/>
        </w:numPr>
        <w:spacing w:before="120" w:after="120"/>
        <w:ind w:hanging="993" w:firstLineChars="0"/>
        <w:outlineLvl w:val="2"/>
        <w:rPr>
          <w:b/>
          <w:bCs/>
          <w:sz w:val="30"/>
          <w:szCs w:val="32"/>
        </w:rPr>
      </w:pPr>
      <w:bookmarkStart w:id="24" w:name="_Toc9166"/>
      <w:r>
        <w:rPr>
          <w:rFonts w:hint="eastAsia"/>
          <w:b/>
          <w:bCs/>
          <w:sz w:val="30"/>
          <w:szCs w:val="32"/>
        </w:rPr>
        <w:t>进度要求</w:t>
      </w:r>
      <w:bookmarkEnd w:id="24"/>
    </w:p>
    <w:p w14:paraId="5E5B3A7D">
      <w:r>
        <w:rPr>
          <w:rFonts w:hint="eastAsia"/>
        </w:rPr>
        <w:t>供应商应根据建设内容，分阶段制定合理的时间进度，并且应根据采购方要求进行调整和细化。</w:t>
      </w:r>
    </w:p>
    <w:p w14:paraId="5F6EE71E">
      <w:r>
        <w:rPr>
          <w:rFonts w:hint="eastAsia"/>
        </w:rPr>
        <w:t>总建设周期为自合同签订之日起至2025年11月</w:t>
      </w:r>
      <w:r>
        <w:t>3</w:t>
      </w:r>
      <w:r>
        <w:rPr>
          <w:rFonts w:hint="eastAsia"/>
        </w:rPr>
        <w:t>0日，分为4个阶段。</w:t>
      </w:r>
    </w:p>
    <w:p w14:paraId="3F67E03F">
      <w:r>
        <w:rPr>
          <w:rFonts w:hint="eastAsia"/>
        </w:rPr>
        <w:t>第一阶段：自合同签订之日起</w:t>
      </w:r>
      <w:r>
        <w:t>1</w:t>
      </w:r>
      <w:r>
        <w:rPr>
          <w:rFonts w:hint="eastAsia"/>
        </w:rPr>
        <w:t>个月，完成系统设计选型。</w:t>
      </w:r>
    </w:p>
    <w:p w14:paraId="2FF4A253">
      <w:r>
        <w:rPr>
          <w:rFonts w:hint="eastAsia"/>
        </w:rPr>
        <w:t>第二阶段：</w:t>
      </w:r>
      <w:bookmarkStart w:id="25" w:name="_Hlk156207750"/>
      <w:r>
        <w:rPr>
          <w:rFonts w:hint="eastAsia"/>
        </w:rPr>
        <w:t>第一阶段完成之日起</w:t>
      </w:r>
      <w:bookmarkEnd w:id="25"/>
      <w:r>
        <w:t>3</w:t>
      </w:r>
      <w:r>
        <w:rPr>
          <w:rFonts w:hint="eastAsia"/>
        </w:rPr>
        <w:t>个月，完成系统建设。</w:t>
      </w:r>
    </w:p>
    <w:p w14:paraId="3BE07789">
      <w:r>
        <w:rPr>
          <w:rFonts w:hint="eastAsia"/>
        </w:rPr>
        <w:t>第三阶段：第二阶段完成之日起</w:t>
      </w:r>
      <w:r>
        <w:t>3</w:t>
      </w:r>
      <w:r>
        <w:rPr>
          <w:rFonts w:hint="eastAsia"/>
        </w:rPr>
        <w:t>个月，完成系统测试。</w:t>
      </w:r>
    </w:p>
    <w:p w14:paraId="22E7DA63">
      <w:r>
        <w:rPr>
          <w:rFonts w:hint="eastAsia"/>
        </w:rPr>
        <w:t>第四阶段：第三阶段完成之日起至2</w:t>
      </w:r>
      <w:r>
        <w:t>02</w:t>
      </w:r>
      <w:r>
        <w:rPr>
          <w:rFonts w:hint="eastAsia"/>
        </w:rPr>
        <w:t>5年11月30日，完成试运行验收。</w:t>
      </w:r>
    </w:p>
    <w:p w14:paraId="51950C93">
      <w:pPr>
        <w:keepNext/>
        <w:keepLines/>
        <w:numPr>
          <w:ilvl w:val="1"/>
          <w:numId w:val="1"/>
        </w:numPr>
        <w:spacing w:before="120" w:after="120"/>
        <w:ind w:hanging="993" w:firstLineChars="0"/>
        <w:outlineLvl w:val="2"/>
        <w:rPr>
          <w:b/>
          <w:bCs/>
          <w:sz w:val="30"/>
          <w:szCs w:val="32"/>
        </w:rPr>
      </w:pPr>
      <w:bookmarkStart w:id="26" w:name="_Toc19856"/>
      <w:r>
        <w:rPr>
          <w:rFonts w:hint="eastAsia"/>
          <w:b/>
          <w:bCs/>
          <w:sz w:val="30"/>
          <w:szCs w:val="32"/>
        </w:rPr>
        <w:t>项目团队及驻场人员要求</w:t>
      </w:r>
      <w:bookmarkEnd w:id="26"/>
    </w:p>
    <w:p w14:paraId="1DE71D2B">
      <w:pPr>
        <w:rPr>
          <w:rFonts w:hint="default" w:eastAsia="宋体"/>
          <w:lang w:val="en-US" w:eastAsia="zh-CN"/>
        </w:rPr>
      </w:pPr>
      <w:r>
        <w:t>1）供应商具有稳定的在职技术保障力量，能够提供及时的技术支援或服务，应针对本项目提供不少于2</w:t>
      </w:r>
      <w:r>
        <w:rPr>
          <w:rFonts w:hint="eastAsia"/>
        </w:rPr>
        <w:t>8</w:t>
      </w:r>
      <w:r>
        <w:t>人的项目服务团队（包括项目经理、技术负责人、研发等），</w:t>
      </w:r>
      <w:r>
        <w:rPr>
          <w:rFonts w:hint="eastAsia"/>
        </w:rPr>
        <w:t>供应商</w:t>
      </w:r>
      <w:r>
        <w:t>的相关服务人员需具备相应的服务能力，需提供相关证明（最近一个季度</w:t>
      </w:r>
      <w:r>
        <w:rPr>
          <w:rFonts w:hint="eastAsia"/>
        </w:rPr>
        <w:t>任意一个月</w:t>
      </w:r>
      <w:r>
        <w:t>依法缴纳社保费的证明）。</w:t>
      </w:r>
      <w:r>
        <w:rPr>
          <w:rFonts w:hint="eastAsia"/>
          <w:lang w:eastAsia="zh-CN"/>
        </w:rPr>
        <w:t>团队中</w:t>
      </w:r>
      <w:bookmarkStart w:id="40" w:name="_GoBack"/>
      <w:bookmarkEnd w:id="40"/>
      <w:r>
        <w:rPr>
          <w:rFonts w:hint="eastAsia"/>
          <w:lang w:eastAsia="zh-CN"/>
        </w:rPr>
        <w:t>技术人员具有中级(及以上)工程师职称的</w:t>
      </w:r>
      <w:r>
        <w:rPr>
          <w:rFonts w:hint="eastAsia"/>
          <w:lang w:val="en-US" w:eastAsia="zh-CN"/>
        </w:rPr>
        <w:t>优先考虑。</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100"/>
        <w:gridCol w:w="1225"/>
        <w:gridCol w:w="1544"/>
        <w:gridCol w:w="1483"/>
      </w:tblGrid>
      <w:tr w14:paraId="70C8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1A048800">
            <w:pPr>
              <w:widowControl/>
              <w:ind w:firstLine="0" w:firstLineChars="0"/>
              <w:rPr>
                <w:b/>
              </w:rPr>
            </w:pPr>
            <w:r>
              <w:rPr>
                <w:rFonts w:hint="eastAsia"/>
                <w:b/>
              </w:rPr>
              <w:t>角色</w:t>
            </w:r>
          </w:p>
        </w:tc>
        <w:tc>
          <w:tcPr>
            <w:tcW w:w="3100" w:type="dxa"/>
            <w:shd w:val="clear" w:color="auto" w:fill="auto"/>
            <w:noWrap/>
            <w:vAlign w:val="center"/>
          </w:tcPr>
          <w:p w14:paraId="63332165">
            <w:pPr>
              <w:widowControl/>
              <w:ind w:firstLine="0" w:firstLineChars="0"/>
              <w:rPr>
                <w:b/>
              </w:rPr>
            </w:pPr>
            <w:r>
              <w:rPr>
                <w:rFonts w:hint="eastAsia"/>
                <w:b/>
              </w:rPr>
              <w:t>主要职责</w:t>
            </w:r>
          </w:p>
        </w:tc>
        <w:tc>
          <w:tcPr>
            <w:tcW w:w="1225" w:type="dxa"/>
            <w:shd w:val="clear" w:color="auto" w:fill="auto"/>
            <w:noWrap/>
            <w:vAlign w:val="center"/>
          </w:tcPr>
          <w:p w14:paraId="1DDB078C">
            <w:pPr>
              <w:widowControl/>
              <w:ind w:firstLine="0" w:firstLineChars="0"/>
              <w:rPr>
                <w:b/>
              </w:rPr>
            </w:pPr>
            <w:r>
              <w:rPr>
                <w:rFonts w:hint="eastAsia"/>
                <w:b/>
              </w:rPr>
              <w:t>人员数量</w:t>
            </w:r>
          </w:p>
        </w:tc>
        <w:tc>
          <w:tcPr>
            <w:tcW w:w="1544" w:type="dxa"/>
            <w:vAlign w:val="center"/>
          </w:tcPr>
          <w:p w14:paraId="27378985">
            <w:pPr>
              <w:widowControl/>
              <w:ind w:firstLine="0" w:firstLineChars="0"/>
              <w:rPr>
                <w:b/>
              </w:rPr>
            </w:pPr>
            <w:r>
              <w:rPr>
                <w:rFonts w:hint="eastAsia"/>
                <w:b/>
              </w:rPr>
              <w:t>人员要求</w:t>
            </w:r>
          </w:p>
        </w:tc>
        <w:tc>
          <w:tcPr>
            <w:tcW w:w="1483" w:type="dxa"/>
            <w:shd w:val="clear" w:color="auto" w:fill="auto"/>
            <w:noWrap/>
            <w:vAlign w:val="center"/>
          </w:tcPr>
          <w:p w14:paraId="401A60D0">
            <w:pPr>
              <w:widowControl/>
              <w:ind w:firstLine="0" w:firstLineChars="0"/>
              <w:rPr>
                <w:b/>
              </w:rPr>
            </w:pPr>
            <w:r>
              <w:rPr>
                <w:rFonts w:hint="eastAsia"/>
                <w:b/>
              </w:rPr>
              <w:t>驻场要求</w:t>
            </w:r>
          </w:p>
        </w:tc>
      </w:tr>
      <w:tr w14:paraId="2740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029C2924">
            <w:pPr>
              <w:widowControl/>
              <w:ind w:firstLine="0" w:firstLineChars="0"/>
              <w:rPr>
                <w:sz w:val="18"/>
                <w:szCs w:val="18"/>
              </w:rPr>
            </w:pPr>
            <w:r>
              <w:rPr>
                <w:rFonts w:hint="eastAsia"/>
                <w:sz w:val="18"/>
                <w:szCs w:val="18"/>
              </w:rPr>
              <w:t>项目经理</w:t>
            </w:r>
          </w:p>
        </w:tc>
        <w:tc>
          <w:tcPr>
            <w:tcW w:w="3100" w:type="dxa"/>
            <w:shd w:val="clear" w:color="auto" w:fill="auto"/>
            <w:vAlign w:val="center"/>
          </w:tcPr>
          <w:p w14:paraId="729CB788">
            <w:pPr>
              <w:widowControl/>
              <w:ind w:firstLine="0" w:firstLineChars="0"/>
              <w:rPr>
                <w:sz w:val="18"/>
                <w:szCs w:val="18"/>
              </w:rPr>
            </w:pPr>
            <w:r>
              <w:rPr>
                <w:rFonts w:hint="eastAsia"/>
                <w:sz w:val="18"/>
                <w:szCs w:val="18"/>
              </w:rPr>
              <w:t>负责项目沟通管理；组织并推进项目进度；把控项目质量；项目安全管理等</w:t>
            </w:r>
          </w:p>
        </w:tc>
        <w:tc>
          <w:tcPr>
            <w:tcW w:w="1225" w:type="dxa"/>
            <w:shd w:val="clear" w:color="auto" w:fill="auto"/>
            <w:noWrap/>
            <w:vAlign w:val="center"/>
          </w:tcPr>
          <w:p w14:paraId="3021BC45">
            <w:pPr>
              <w:widowControl/>
              <w:ind w:firstLine="0" w:firstLineChars="0"/>
              <w:rPr>
                <w:sz w:val="18"/>
                <w:szCs w:val="18"/>
              </w:rPr>
            </w:pPr>
            <w:r>
              <w:rPr>
                <w:sz w:val="18"/>
                <w:szCs w:val="18"/>
              </w:rPr>
              <w:t>1</w:t>
            </w:r>
            <w:r>
              <w:rPr>
                <w:rFonts w:hint="eastAsia"/>
                <w:sz w:val="18"/>
                <w:szCs w:val="18"/>
              </w:rPr>
              <w:t>人</w:t>
            </w:r>
          </w:p>
        </w:tc>
        <w:tc>
          <w:tcPr>
            <w:tcW w:w="1544" w:type="dxa"/>
            <w:vAlign w:val="center"/>
          </w:tcPr>
          <w:p w14:paraId="63894FF0">
            <w:pPr>
              <w:widowControl/>
              <w:ind w:firstLine="0" w:firstLineChars="0"/>
              <w:rPr>
                <w:sz w:val="18"/>
                <w:szCs w:val="18"/>
              </w:rPr>
            </w:pPr>
            <w:r>
              <w:rPr>
                <w:rFonts w:hint="eastAsia" w:cs="宋体"/>
                <w:color w:val="FF0000"/>
                <w:kern w:val="0"/>
                <w:sz w:val="18"/>
                <w:szCs w:val="18"/>
              </w:rPr>
              <w:t>计算机相关专业</w:t>
            </w:r>
            <w:r>
              <w:rPr>
                <w:rFonts w:hint="eastAsia" w:cs="宋体"/>
                <w:kern w:val="0"/>
                <w:sz w:val="18"/>
                <w:szCs w:val="18"/>
              </w:rPr>
              <w:t>本科及以上学历，具备信息系统项目管理师或高级工程师职称，具备相关工作经验</w:t>
            </w:r>
          </w:p>
        </w:tc>
        <w:tc>
          <w:tcPr>
            <w:tcW w:w="1483" w:type="dxa"/>
            <w:shd w:val="clear" w:color="auto" w:fill="auto"/>
            <w:noWrap/>
            <w:vAlign w:val="center"/>
          </w:tcPr>
          <w:p w14:paraId="2F5A385C">
            <w:pPr>
              <w:widowControl/>
              <w:ind w:firstLine="0" w:firstLineChars="0"/>
              <w:rPr>
                <w:sz w:val="18"/>
                <w:szCs w:val="18"/>
              </w:rPr>
            </w:pPr>
            <w:r>
              <w:rPr>
                <w:rFonts w:hint="eastAsia"/>
                <w:sz w:val="18"/>
                <w:szCs w:val="18"/>
              </w:rPr>
              <w:t>驻场</w:t>
            </w:r>
          </w:p>
        </w:tc>
      </w:tr>
      <w:tr w14:paraId="19C8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5B5744AC">
            <w:pPr>
              <w:widowControl/>
              <w:ind w:firstLine="0" w:firstLineChars="0"/>
              <w:rPr>
                <w:sz w:val="18"/>
                <w:szCs w:val="18"/>
              </w:rPr>
            </w:pPr>
            <w:r>
              <w:rPr>
                <w:rFonts w:hint="eastAsia"/>
                <w:sz w:val="18"/>
                <w:szCs w:val="18"/>
              </w:rPr>
              <w:t>技术负责人</w:t>
            </w:r>
          </w:p>
        </w:tc>
        <w:tc>
          <w:tcPr>
            <w:tcW w:w="3100" w:type="dxa"/>
            <w:shd w:val="clear" w:color="auto" w:fill="auto"/>
            <w:vAlign w:val="center"/>
          </w:tcPr>
          <w:p w14:paraId="0DCE26A1">
            <w:pPr>
              <w:widowControl/>
              <w:ind w:firstLine="0" w:firstLineChars="0"/>
              <w:rPr>
                <w:sz w:val="18"/>
                <w:szCs w:val="18"/>
              </w:rPr>
            </w:pPr>
            <w:r>
              <w:rPr>
                <w:rFonts w:hint="eastAsia"/>
                <w:sz w:val="18"/>
                <w:szCs w:val="18"/>
              </w:rPr>
              <w:t>负责项目技术的总体把控</w:t>
            </w:r>
          </w:p>
        </w:tc>
        <w:tc>
          <w:tcPr>
            <w:tcW w:w="1225" w:type="dxa"/>
            <w:shd w:val="clear" w:color="auto" w:fill="auto"/>
            <w:noWrap/>
            <w:vAlign w:val="center"/>
          </w:tcPr>
          <w:p w14:paraId="4A50E459">
            <w:pPr>
              <w:widowControl/>
              <w:ind w:firstLine="0" w:firstLineChars="0"/>
              <w:rPr>
                <w:sz w:val="18"/>
                <w:szCs w:val="18"/>
              </w:rPr>
            </w:pPr>
            <w:r>
              <w:rPr>
                <w:sz w:val="18"/>
                <w:szCs w:val="18"/>
              </w:rPr>
              <w:t>1</w:t>
            </w:r>
            <w:r>
              <w:rPr>
                <w:rFonts w:hint="eastAsia"/>
                <w:sz w:val="18"/>
                <w:szCs w:val="18"/>
              </w:rPr>
              <w:t>人</w:t>
            </w:r>
          </w:p>
        </w:tc>
        <w:tc>
          <w:tcPr>
            <w:tcW w:w="1544" w:type="dxa"/>
            <w:vAlign w:val="center"/>
          </w:tcPr>
          <w:p w14:paraId="1F402EB2">
            <w:pPr>
              <w:widowControl/>
              <w:ind w:firstLine="0" w:firstLineChars="0"/>
              <w:rPr>
                <w:sz w:val="18"/>
                <w:szCs w:val="18"/>
              </w:rPr>
            </w:pPr>
            <w:r>
              <w:rPr>
                <w:rFonts w:hint="eastAsia" w:cs="宋体"/>
                <w:kern w:val="0"/>
                <w:sz w:val="18"/>
                <w:szCs w:val="18"/>
              </w:rPr>
              <w:t>本科及以上学历，具备相关工作经验</w:t>
            </w:r>
          </w:p>
        </w:tc>
        <w:tc>
          <w:tcPr>
            <w:tcW w:w="1483" w:type="dxa"/>
            <w:shd w:val="clear" w:color="auto" w:fill="auto"/>
            <w:noWrap/>
            <w:vAlign w:val="center"/>
          </w:tcPr>
          <w:p w14:paraId="0222380D">
            <w:pPr>
              <w:widowControl/>
              <w:ind w:firstLine="0" w:firstLineChars="0"/>
              <w:rPr>
                <w:sz w:val="18"/>
                <w:szCs w:val="18"/>
              </w:rPr>
            </w:pPr>
            <w:r>
              <w:rPr>
                <w:rFonts w:hint="eastAsia"/>
                <w:sz w:val="18"/>
                <w:szCs w:val="18"/>
              </w:rPr>
              <w:t>不驻场</w:t>
            </w:r>
          </w:p>
        </w:tc>
      </w:tr>
      <w:tr w14:paraId="0DF8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2C580661">
            <w:pPr>
              <w:widowControl/>
              <w:ind w:firstLine="0" w:firstLineChars="0"/>
              <w:rPr>
                <w:sz w:val="18"/>
                <w:szCs w:val="18"/>
              </w:rPr>
            </w:pPr>
            <w:r>
              <w:rPr>
                <w:rFonts w:hint="eastAsia"/>
                <w:sz w:val="18"/>
                <w:szCs w:val="18"/>
              </w:rPr>
              <w:t>系统架构师</w:t>
            </w:r>
          </w:p>
        </w:tc>
        <w:tc>
          <w:tcPr>
            <w:tcW w:w="3100" w:type="dxa"/>
            <w:shd w:val="clear" w:color="auto" w:fill="auto"/>
            <w:noWrap/>
            <w:vAlign w:val="center"/>
          </w:tcPr>
          <w:p w14:paraId="79E09C0E">
            <w:pPr>
              <w:widowControl/>
              <w:ind w:firstLine="0" w:firstLineChars="0"/>
              <w:rPr>
                <w:sz w:val="18"/>
                <w:szCs w:val="18"/>
              </w:rPr>
            </w:pPr>
            <w:r>
              <w:rPr>
                <w:rFonts w:hint="eastAsia"/>
                <w:sz w:val="18"/>
                <w:szCs w:val="18"/>
              </w:rPr>
              <w:t>负责项目软件平台系统架构设计</w:t>
            </w:r>
          </w:p>
        </w:tc>
        <w:tc>
          <w:tcPr>
            <w:tcW w:w="1225" w:type="dxa"/>
            <w:shd w:val="clear" w:color="auto" w:fill="auto"/>
            <w:noWrap/>
            <w:vAlign w:val="center"/>
          </w:tcPr>
          <w:p w14:paraId="06485745">
            <w:pPr>
              <w:widowControl/>
              <w:ind w:firstLine="0" w:firstLineChars="0"/>
              <w:rPr>
                <w:sz w:val="18"/>
                <w:szCs w:val="18"/>
              </w:rPr>
            </w:pPr>
            <w:r>
              <w:rPr>
                <w:rFonts w:hint="eastAsia"/>
                <w:sz w:val="18"/>
                <w:szCs w:val="18"/>
              </w:rPr>
              <w:t>2人</w:t>
            </w:r>
          </w:p>
        </w:tc>
        <w:tc>
          <w:tcPr>
            <w:tcW w:w="1544" w:type="dxa"/>
            <w:vAlign w:val="center"/>
          </w:tcPr>
          <w:p w14:paraId="57AF4639">
            <w:pPr>
              <w:widowControl/>
              <w:ind w:firstLine="0" w:firstLineChars="0"/>
              <w:rPr>
                <w:sz w:val="18"/>
                <w:szCs w:val="18"/>
              </w:rPr>
            </w:pPr>
            <w:r>
              <w:rPr>
                <w:rFonts w:hint="eastAsia" w:cs="宋体"/>
                <w:kern w:val="0"/>
                <w:sz w:val="18"/>
                <w:szCs w:val="18"/>
              </w:rPr>
              <w:t>本科及以上学历，具备相关工作经验</w:t>
            </w:r>
          </w:p>
        </w:tc>
        <w:tc>
          <w:tcPr>
            <w:tcW w:w="1483" w:type="dxa"/>
            <w:shd w:val="clear" w:color="auto" w:fill="auto"/>
            <w:noWrap/>
            <w:vAlign w:val="center"/>
          </w:tcPr>
          <w:p w14:paraId="57C201F8">
            <w:pPr>
              <w:widowControl/>
              <w:ind w:firstLine="0" w:firstLineChars="0"/>
              <w:rPr>
                <w:sz w:val="18"/>
                <w:szCs w:val="18"/>
              </w:rPr>
            </w:pPr>
            <w:r>
              <w:rPr>
                <w:rFonts w:hint="eastAsia"/>
                <w:sz w:val="18"/>
                <w:szCs w:val="18"/>
              </w:rPr>
              <w:t>不驻场</w:t>
            </w:r>
          </w:p>
        </w:tc>
      </w:tr>
      <w:tr w14:paraId="39CE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1D881740">
            <w:pPr>
              <w:widowControl/>
              <w:ind w:firstLine="0" w:firstLineChars="0"/>
              <w:rPr>
                <w:sz w:val="18"/>
                <w:szCs w:val="18"/>
              </w:rPr>
            </w:pPr>
            <w:r>
              <w:rPr>
                <w:rFonts w:hint="eastAsia"/>
                <w:sz w:val="18"/>
                <w:szCs w:val="18"/>
              </w:rPr>
              <w:t>需求分析师</w:t>
            </w:r>
          </w:p>
        </w:tc>
        <w:tc>
          <w:tcPr>
            <w:tcW w:w="3100" w:type="dxa"/>
            <w:shd w:val="clear" w:color="auto" w:fill="auto"/>
            <w:noWrap/>
            <w:vAlign w:val="center"/>
          </w:tcPr>
          <w:p w14:paraId="7DD90E4C">
            <w:pPr>
              <w:widowControl/>
              <w:ind w:firstLine="0" w:firstLineChars="0"/>
              <w:rPr>
                <w:sz w:val="18"/>
                <w:szCs w:val="18"/>
              </w:rPr>
            </w:pPr>
            <w:r>
              <w:rPr>
                <w:rFonts w:hint="eastAsia"/>
                <w:sz w:val="18"/>
                <w:szCs w:val="18"/>
              </w:rPr>
              <w:t>负责项目软件平台系统需求分析</w:t>
            </w:r>
          </w:p>
        </w:tc>
        <w:tc>
          <w:tcPr>
            <w:tcW w:w="1225" w:type="dxa"/>
            <w:shd w:val="clear" w:color="auto" w:fill="auto"/>
            <w:noWrap/>
            <w:vAlign w:val="center"/>
          </w:tcPr>
          <w:p w14:paraId="0177A7D3">
            <w:pPr>
              <w:widowControl/>
              <w:ind w:firstLine="0" w:firstLineChars="0"/>
              <w:rPr>
                <w:sz w:val="18"/>
                <w:szCs w:val="18"/>
              </w:rPr>
            </w:pPr>
            <w:r>
              <w:rPr>
                <w:rFonts w:hint="eastAsia"/>
                <w:sz w:val="18"/>
                <w:szCs w:val="18"/>
              </w:rPr>
              <w:t>2人</w:t>
            </w:r>
          </w:p>
        </w:tc>
        <w:tc>
          <w:tcPr>
            <w:tcW w:w="1544" w:type="dxa"/>
            <w:vAlign w:val="center"/>
          </w:tcPr>
          <w:p w14:paraId="1F80218D">
            <w:pPr>
              <w:widowControl/>
              <w:ind w:firstLine="0" w:firstLineChars="0"/>
              <w:rPr>
                <w:rFonts w:cs="宋体"/>
                <w:kern w:val="0"/>
                <w:sz w:val="18"/>
                <w:szCs w:val="18"/>
              </w:rPr>
            </w:pPr>
            <w:r>
              <w:rPr>
                <w:rFonts w:hint="eastAsia" w:cs="宋体"/>
                <w:kern w:val="0"/>
                <w:sz w:val="18"/>
                <w:szCs w:val="18"/>
              </w:rPr>
              <w:t>本科及以上学历，具备相关工作经验</w:t>
            </w:r>
          </w:p>
        </w:tc>
        <w:tc>
          <w:tcPr>
            <w:tcW w:w="1483" w:type="dxa"/>
            <w:shd w:val="clear" w:color="auto" w:fill="auto"/>
            <w:noWrap/>
            <w:vAlign w:val="center"/>
          </w:tcPr>
          <w:p w14:paraId="4C54812D">
            <w:pPr>
              <w:widowControl/>
              <w:ind w:firstLine="0" w:firstLineChars="0"/>
              <w:rPr>
                <w:sz w:val="18"/>
                <w:szCs w:val="18"/>
              </w:rPr>
            </w:pPr>
            <w:r>
              <w:rPr>
                <w:rFonts w:hint="eastAsia"/>
                <w:sz w:val="18"/>
                <w:szCs w:val="18"/>
              </w:rPr>
              <w:t>不驻场</w:t>
            </w:r>
          </w:p>
        </w:tc>
      </w:tr>
      <w:tr w14:paraId="21CE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1015815F">
            <w:pPr>
              <w:widowControl/>
              <w:ind w:firstLine="0" w:firstLineChars="0"/>
              <w:rPr>
                <w:sz w:val="18"/>
                <w:szCs w:val="18"/>
              </w:rPr>
            </w:pPr>
            <w:r>
              <w:rPr>
                <w:rFonts w:hint="eastAsia"/>
                <w:sz w:val="18"/>
                <w:szCs w:val="18"/>
              </w:rPr>
              <w:t>研发工程师</w:t>
            </w:r>
          </w:p>
        </w:tc>
        <w:tc>
          <w:tcPr>
            <w:tcW w:w="3100" w:type="dxa"/>
            <w:shd w:val="clear" w:color="auto" w:fill="auto"/>
            <w:noWrap/>
            <w:vAlign w:val="center"/>
          </w:tcPr>
          <w:p w14:paraId="1EEB5F7B">
            <w:pPr>
              <w:widowControl/>
              <w:ind w:firstLine="0" w:firstLineChars="0"/>
              <w:rPr>
                <w:sz w:val="18"/>
                <w:szCs w:val="18"/>
              </w:rPr>
            </w:pPr>
            <w:r>
              <w:rPr>
                <w:rFonts w:hint="eastAsia"/>
                <w:sz w:val="18"/>
                <w:szCs w:val="18"/>
              </w:rPr>
              <w:t>负责项目具体开发</w:t>
            </w:r>
          </w:p>
        </w:tc>
        <w:tc>
          <w:tcPr>
            <w:tcW w:w="1225" w:type="dxa"/>
            <w:shd w:val="clear" w:color="auto" w:fill="auto"/>
            <w:noWrap/>
            <w:vAlign w:val="center"/>
          </w:tcPr>
          <w:p w14:paraId="51F379AF">
            <w:pPr>
              <w:widowControl/>
              <w:ind w:firstLine="0" w:firstLineChars="0"/>
              <w:rPr>
                <w:sz w:val="18"/>
                <w:szCs w:val="18"/>
              </w:rPr>
            </w:pPr>
            <w:r>
              <w:rPr>
                <w:sz w:val="18"/>
                <w:szCs w:val="18"/>
              </w:rPr>
              <w:t>至少</w:t>
            </w:r>
            <w:r>
              <w:rPr>
                <w:rFonts w:hint="eastAsia"/>
                <w:sz w:val="18"/>
                <w:szCs w:val="18"/>
              </w:rPr>
              <w:t>20</w:t>
            </w:r>
            <w:r>
              <w:rPr>
                <w:sz w:val="18"/>
                <w:szCs w:val="18"/>
              </w:rPr>
              <w:t>人</w:t>
            </w:r>
          </w:p>
        </w:tc>
        <w:tc>
          <w:tcPr>
            <w:tcW w:w="1544" w:type="dxa"/>
            <w:vAlign w:val="center"/>
          </w:tcPr>
          <w:p w14:paraId="4FAB7727">
            <w:pPr>
              <w:widowControl/>
              <w:ind w:firstLine="0" w:firstLineChars="0"/>
              <w:rPr>
                <w:rFonts w:cs="宋体"/>
                <w:kern w:val="0"/>
                <w:sz w:val="18"/>
                <w:szCs w:val="18"/>
              </w:rPr>
            </w:pPr>
            <w:r>
              <w:rPr>
                <w:rFonts w:hint="eastAsia" w:cs="宋体"/>
                <w:kern w:val="0"/>
                <w:sz w:val="18"/>
                <w:szCs w:val="18"/>
              </w:rPr>
              <w:t>大专及以上学历，具备相关工作经验</w:t>
            </w:r>
          </w:p>
        </w:tc>
        <w:tc>
          <w:tcPr>
            <w:tcW w:w="1483" w:type="dxa"/>
            <w:shd w:val="clear" w:color="auto" w:fill="auto"/>
            <w:noWrap/>
            <w:vAlign w:val="center"/>
          </w:tcPr>
          <w:p w14:paraId="4058D588">
            <w:pPr>
              <w:widowControl/>
              <w:ind w:firstLine="0" w:firstLineChars="0"/>
              <w:rPr>
                <w:sz w:val="18"/>
                <w:szCs w:val="18"/>
              </w:rPr>
            </w:pPr>
            <w:r>
              <w:rPr>
                <w:rFonts w:hint="eastAsia"/>
                <w:sz w:val="18"/>
                <w:szCs w:val="18"/>
              </w:rPr>
              <w:t>不驻场</w:t>
            </w:r>
          </w:p>
        </w:tc>
      </w:tr>
      <w:tr w14:paraId="7E62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405889B5">
            <w:pPr>
              <w:widowControl/>
              <w:ind w:firstLine="0" w:firstLineChars="0"/>
              <w:rPr>
                <w:sz w:val="18"/>
                <w:szCs w:val="18"/>
              </w:rPr>
            </w:pPr>
            <w:r>
              <w:rPr>
                <w:rFonts w:hint="eastAsia"/>
                <w:sz w:val="18"/>
                <w:szCs w:val="18"/>
              </w:rPr>
              <w:t>实施工程师</w:t>
            </w:r>
          </w:p>
        </w:tc>
        <w:tc>
          <w:tcPr>
            <w:tcW w:w="3100" w:type="dxa"/>
            <w:shd w:val="clear" w:color="auto" w:fill="auto"/>
            <w:noWrap/>
            <w:vAlign w:val="center"/>
          </w:tcPr>
          <w:p w14:paraId="1D69CD12">
            <w:pPr>
              <w:widowControl/>
              <w:ind w:firstLine="0" w:firstLineChars="0"/>
              <w:rPr>
                <w:sz w:val="18"/>
                <w:szCs w:val="18"/>
              </w:rPr>
            </w:pPr>
            <w:r>
              <w:rPr>
                <w:rFonts w:hint="eastAsia"/>
                <w:sz w:val="18"/>
                <w:szCs w:val="18"/>
              </w:rPr>
              <w:t>负责项目实施与测试</w:t>
            </w:r>
          </w:p>
        </w:tc>
        <w:tc>
          <w:tcPr>
            <w:tcW w:w="1225" w:type="dxa"/>
            <w:shd w:val="clear" w:color="auto" w:fill="auto"/>
            <w:noWrap/>
            <w:vAlign w:val="center"/>
          </w:tcPr>
          <w:p w14:paraId="3D1F45A5">
            <w:pPr>
              <w:widowControl/>
              <w:ind w:firstLine="0" w:firstLineChars="0"/>
              <w:rPr>
                <w:sz w:val="18"/>
                <w:szCs w:val="18"/>
              </w:rPr>
            </w:pPr>
            <w:r>
              <w:rPr>
                <w:sz w:val="18"/>
                <w:szCs w:val="18"/>
              </w:rPr>
              <w:t>至少</w:t>
            </w:r>
            <w:r>
              <w:rPr>
                <w:rFonts w:hint="eastAsia"/>
                <w:sz w:val="18"/>
                <w:szCs w:val="18"/>
              </w:rPr>
              <w:t>2人</w:t>
            </w:r>
          </w:p>
        </w:tc>
        <w:tc>
          <w:tcPr>
            <w:tcW w:w="1544" w:type="dxa"/>
            <w:vAlign w:val="center"/>
          </w:tcPr>
          <w:p w14:paraId="24AB4615">
            <w:pPr>
              <w:widowControl/>
              <w:ind w:firstLine="0" w:firstLineChars="0"/>
              <w:rPr>
                <w:rFonts w:cs="宋体"/>
                <w:kern w:val="0"/>
                <w:sz w:val="18"/>
                <w:szCs w:val="18"/>
              </w:rPr>
            </w:pPr>
            <w:r>
              <w:rPr>
                <w:rFonts w:hint="eastAsia" w:cs="宋体"/>
                <w:kern w:val="0"/>
                <w:sz w:val="18"/>
                <w:szCs w:val="18"/>
              </w:rPr>
              <w:t>大专及以上学历，具备相关工作经验</w:t>
            </w:r>
          </w:p>
        </w:tc>
        <w:tc>
          <w:tcPr>
            <w:tcW w:w="1483" w:type="dxa"/>
            <w:shd w:val="clear" w:color="auto" w:fill="auto"/>
            <w:noWrap/>
            <w:vAlign w:val="center"/>
          </w:tcPr>
          <w:p w14:paraId="2D435C0A">
            <w:pPr>
              <w:widowControl/>
              <w:ind w:firstLine="0" w:firstLineChars="0"/>
              <w:rPr>
                <w:sz w:val="18"/>
                <w:szCs w:val="18"/>
              </w:rPr>
            </w:pPr>
            <w:r>
              <w:rPr>
                <w:rFonts w:hint="eastAsia"/>
                <w:sz w:val="18"/>
                <w:szCs w:val="18"/>
              </w:rPr>
              <w:t>驻场</w:t>
            </w:r>
          </w:p>
        </w:tc>
      </w:tr>
    </w:tbl>
    <w:p w14:paraId="76AB9BA7">
      <w:r>
        <w:t>2）供应商应针对本项目提供不少于12人的质保期间支撑团队（其中</w:t>
      </w:r>
      <w:r>
        <w:rPr>
          <w:rFonts w:hint="eastAsia"/>
        </w:rPr>
        <w:t>项目</w:t>
      </w:r>
      <w:r>
        <w:t>经理</w:t>
      </w:r>
      <w:r>
        <w:rPr>
          <w:rFonts w:hint="eastAsia"/>
        </w:rPr>
        <w:t>1</w:t>
      </w:r>
      <w:r>
        <w:t>人，</w:t>
      </w:r>
      <w:r>
        <w:rPr>
          <w:rFonts w:hint="eastAsia"/>
        </w:rPr>
        <w:t>系统架构师1</w:t>
      </w:r>
      <w:r>
        <w:t>人，技术工程师不少于</w:t>
      </w:r>
      <w:r>
        <w:rPr>
          <w:rFonts w:hint="eastAsia"/>
        </w:rPr>
        <w:t>1</w:t>
      </w:r>
      <w:r>
        <w:t>0人）；供应商的相关服务人员需具备相应的服务能力，需提供相关证明（最近一个季度</w:t>
      </w:r>
      <w:r>
        <w:rPr>
          <w:rFonts w:hint="eastAsia"/>
        </w:rPr>
        <w:t>任意一个月</w:t>
      </w:r>
      <w:r>
        <w:t>依法缴纳社保费的证明）。</w:t>
      </w:r>
    </w:p>
    <w:tbl>
      <w:tblPr>
        <w:tblStyle w:val="3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843"/>
        <w:gridCol w:w="1180"/>
        <w:gridCol w:w="1553"/>
        <w:gridCol w:w="1536"/>
      </w:tblGrid>
      <w:tr w14:paraId="087F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1F374090">
            <w:pPr>
              <w:widowControl/>
              <w:ind w:firstLine="0" w:firstLineChars="0"/>
              <w:rPr>
                <w:b/>
              </w:rPr>
            </w:pPr>
            <w:r>
              <w:rPr>
                <w:rFonts w:hint="eastAsia"/>
                <w:b/>
              </w:rPr>
              <w:t>角色</w:t>
            </w:r>
          </w:p>
        </w:tc>
        <w:tc>
          <w:tcPr>
            <w:tcW w:w="2843" w:type="dxa"/>
            <w:shd w:val="clear" w:color="auto" w:fill="auto"/>
            <w:noWrap/>
            <w:vAlign w:val="center"/>
          </w:tcPr>
          <w:p w14:paraId="6D86B7FD">
            <w:pPr>
              <w:widowControl/>
              <w:ind w:firstLine="0" w:firstLineChars="0"/>
              <w:rPr>
                <w:b/>
              </w:rPr>
            </w:pPr>
            <w:r>
              <w:rPr>
                <w:rFonts w:hint="eastAsia"/>
                <w:b/>
              </w:rPr>
              <w:t>主要职责</w:t>
            </w:r>
          </w:p>
        </w:tc>
        <w:tc>
          <w:tcPr>
            <w:tcW w:w="1180" w:type="dxa"/>
            <w:shd w:val="clear" w:color="auto" w:fill="auto"/>
            <w:noWrap/>
            <w:vAlign w:val="center"/>
          </w:tcPr>
          <w:p w14:paraId="7B6186A6">
            <w:pPr>
              <w:widowControl/>
              <w:ind w:firstLine="0" w:firstLineChars="0"/>
              <w:rPr>
                <w:b/>
              </w:rPr>
            </w:pPr>
            <w:r>
              <w:rPr>
                <w:rFonts w:hint="eastAsia"/>
                <w:b/>
              </w:rPr>
              <w:t>人员数量</w:t>
            </w:r>
          </w:p>
        </w:tc>
        <w:tc>
          <w:tcPr>
            <w:tcW w:w="1553" w:type="dxa"/>
            <w:vAlign w:val="center"/>
          </w:tcPr>
          <w:p w14:paraId="2D5C2C2E">
            <w:pPr>
              <w:widowControl/>
              <w:ind w:firstLine="0" w:firstLineChars="0"/>
              <w:rPr>
                <w:b/>
              </w:rPr>
            </w:pPr>
            <w:r>
              <w:rPr>
                <w:rFonts w:hint="eastAsia"/>
                <w:b/>
              </w:rPr>
              <w:t>人员要求</w:t>
            </w:r>
          </w:p>
        </w:tc>
        <w:tc>
          <w:tcPr>
            <w:tcW w:w="1536" w:type="dxa"/>
            <w:shd w:val="clear" w:color="auto" w:fill="auto"/>
            <w:noWrap/>
            <w:vAlign w:val="center"/>
          </w:tcPr>
          <w:p w14:paraId="3ED88BBA">
            <w:pPr>
              <w:widowControl/>
              <w:ind w:firstLine="0" w:firstLineChars="0"/>
              <w:rPr>
                <w:b/>
              </w:rPr>
            </w:pPr>
            <w:r>
              <w:rPr>
                <w:rFonts w:hint="eastAsia"/>
                <w:b/>
              </w:rPr>
              <w:t>驻场要求</w:t>
            </w:r>
          </w:p>
        </w:tc>
      </w:tr>
      <w:tr w14:paraId="17B9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16" w:type="dxa"/>
            <w:shd w:val="clear" w:color="auto" w:fill="auto"/>
            <w:noWrap/>
            <w:vAlign w:val="center"/>
          </w:tcPr>
          <w:p w14:paraId="198870CE">
            <w:pPr>
              <w:widowControl/>
              <w:ind w:firstLine="0" w:firstLineChars="0"/>
              <w:rPr>
                <w:sz w:val="18"/>
                <w:szCs w:val="18"/>
              </w:rPr>
            </w:pPr>
            <w:r>
              <w:rPr>
                <w:rFonts w:hint="eastAsia"/>
                <w:sz w:val="18"/>
                <w:szCs w:val="18"/>
              </w:rPr>
              <w:t>项目经理</w:t>
            </w:r>
          </w:p>
        </w:tc>
        <w:tc>
          <w:tcPr>
            <w:tcW w:w="2843" w:type="dxa"/>
            <w:shd w:val="clear" w:color="auto" w:fill="auto"/>
            <w:vAlign w:val="center"/>
          </w:tcPr>
          <w:p w14:paraId="35D0C524">
            <w:pPr>
              <w:widowControl/>
              <w:ind w:firstLine="0" w:firstLineChars="0"/>
              <w:rPr>
                <w:sz w:val="18"/>
                <w:szCs w:val="18"/>
              </w:rPr>
            </w:pPr>
            <w:r>
              <w:rPr>
                <w:rFonts w:hint="eastAsia"/>
                <w:sz w:val="18"/>
                <w:szCs w:val="18"/>
              </w:rPr>
              <w:t>负责项目质量和进度控制</w:t>
            </w:r>
          </w:p>
        </w:tc>
        <w:tc>
          <w:tcPr>
            <w:tcW w:w="1180" w:type="dxa"/>
            <w:shd w:val="clear" w:color="auto" w:fill="auto"/>
            <w:noWrap/>
            <w:vAlign w:val="center"/>
          </w:tcPr>
          <w:p w14:paraId="62B58EA6">
            <w:pPr>
              <w:widowControl/>
              <w:ind w:firstLine="0" w:firstLineChars="0"/>
              <w:rPr>
                <w:sz w:val="18"/>
                <w:szCs w:val="18"/>
              </w:rPr>
            </w:pPr>
            <w:r>
              <w:rPr>
                <w:rFonts w:hint="eastAsia"/>
                <w:sz w:val="18"/>
                <w:szCs w:val="18"/>
              </w:rPr>
              <w:t>1人</w:t>
            </w:r>
          </w:p>
        </w:tc>
        <w:tc>
          <w:tcPr>
            <w:tcW w:w="1553" w:type="dxa"/>
            <w:vAlign w:val="center"/>
          </w:tcPr>
          <w:p w14:paraId="40B29766">
            <w:pPr>
              <w:widowControl/>
              <w:ind w:firstLine="0" w:firstLineChars="0"/>
              <w:jc w:val="left"/>
              <w:rPr>
                <w:sz w:val="18"/>
                <w:szCs w:val="18"/>
              </w:rPr>
            </w:pPr>
            <w:r>
              <w:rPr>
                <w:rFonts w:hint="eastAsia" w:cs="宋体"/>
                <w:color w:val="FF0000"/>
                <w:kern w:val="0"/>
                <w:sz w:val="18"/>
                <w:szCs w:val="18"/>
              </w:rPr>
              <w:t>计算机相关专业</w:t>
            </w:r>
            <w:r>
              <w:rPr>
                <w:rFonts w:hint="eastAsia" w:cs="宋体"/>
                <w:kern w:val="0"/>
                <w:sz w:val="18"/>
                <w:szCs w:val="18"/>
              </w:rPr>
              <w:t>本科及以上学历，具备信息系统项目管理师或高级工程师职称，具备相关工作经验</w:t>
            </w:r>
          </w:p>
        </w:tc>
        <w:tc>
          <w:tcPr>
            <w:tcW w:w="1536" w:type="dxa"/>
            <w:shd w:val="clear" w:color="auto" w:fill="auto"/>
            <w:noWrap/>
            <w:vAlign w:val="center"/>
          </w:tcPr>
          <w:p w14:paraId="71B2B84F">
            <w:pPr>
              <w:widowControl/>
              <w:ind w:firstLine="0" w:firstLineChars="0"/>
              <w:rPr>
                <w:sz w:val="18"/>
                <w:szCs w:val="18"/>
              </w:rPr>
            </w:pPr>
            <w:r>
              <w:rPr>
                <w:rFonts w:hint="eastAsia"/>
                <w:sz w:val="18"/>
                <w:szCs w:val="18"/>
              </w:rPr>
              <w:t>不驻场</w:t>
            </w:r>
          </w:p>
        </w:tc>
      </w:tr>
      <w:tr w14:paraId="30B7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416" w:type="dxa"/>
            <w:shd w:val="clear" w:color="auto" w:fill="auto"/>
            <w:noWrap/>
            <w:vAlign w:val="center"/>
          </w:tcPr>
          <w:p w14:paraId="17967D0F">
            <w:pPr>
              <w:widowControl/>
              <w:ind w:firstLine="0" w:firstLineChars="0"/>
              <w:rPr>
                <w:sz w:val="18"/>
                <w:szCs w:val="18"/>
              </w:rPr>
            </w:pPr>
            <w:r>
              <w:rPr>
                <w:rFonts w:hint="eastAsia"/>
                <w:sz w:val="18"/>
                <w:szCs w:val="18"/>
              </w:rPr>
              <w:t>系统架构师</w:t>
            </w:r>
          </w:p>
        </w:tc>
        <w:tc>
          <w:tcPr>
            <w:tcW w:w="2843" w:type="dxa"/>
            <w:shd w:val="clear" w:color="auto" w:fill="auto"/>
            <w:vAlign w:val="center"/>
          </w:tcPr>
          <w:p w14:paraId="6C2C4775">
            <w:pPr>
              <w:widowControl/>
              <w:ind w:firstLine="0" w:firstLineChars="0"/>
              <w:rPr>
                <w:sz w:val="18"/>
                <w:szCs w:val="18"/>
              </w:rPr>
            </w:pPr>
            <w:r>
              <w:rPr>
                <w:rFonts w:hint="eastAsia"/>
                <w:sz w:val="18"/>
                <w:szCs w:val="18"/>
              </w:rPr>
              <w:t>负责项目需求评估与产品设计</w:t>
            </w:r>
          </w:p>
        </w:tc>
        <w:tc>
          <w:tcPr>
            <w:tcW w:w="1180" w:type="dxa"/>
            <w:shd w:val="clear" w:color="auto" w:fill="auto"/>
            <w:noWrap/>
            <w:vAlign w:val="center"/>
          </w:tcPr>
          <w:p w14:paraId="0F1C51E8">
            <w:pPr>
              <w:widowControl/>
              <w:ind w:firstLine="0" w:firstLineChars="0"/>
              <w:rPr>
                <w:sz w:val="18"/>
                <w:szCs w:val="18"/>
              </w:rPr>
            </w:pPr>
            <w:r>
              <w:rPr>
                <w:rFonts w:hint="eastAsia"/>
                <w:sz w:val="18"/>
                <w:szCs w:val="18"/>
              </w:rPr>
              <w:t>1人</w:t>
            </w:r>
          </w:p>
        </w:tc>
        <w:tc>
          <w:tcPr>
            <w:tcW w:w="1553" w:type="dxa"/>
            <w:vAlign w:val="center"/>
          </w:tcPr>
          <w:p w14:paraId="3EFF6C79">
            <w:pPr>
              <w:widowControl/>
              <w:ind w:firstLine="0" w:firstLineChars="0"/>
              <w:jc w:val="left"/>
              <w:rPr>
                <w:sz w:val="18"/>
                <w:szCs w:val="18"/>
              </w:rPr>
            </w:pPr>
            <w:r>
              <w:rPr>
                <w:rFonts w:hint="eastAsia"/>
                <w:sz w:val="18"/>
                <w:szCs w:val="18"/>
              </w:rPr>
              <w:t>本科以上学历</w:t>
            </w:r>
          </w:p>
        </w:tc>
        <w:tc>
          <w:tcPr>
            <w:tcW w:w="1536" w:type="dxa"/>
            <w:shd w:val="clear" w:color="auto" w:fill="auto"/>
            <w:noWrap/>
            <w:vAlign w:val="center"/>
          </w:tcPr>
          <w:p w14:paraId="5D80192A">
            <w:pPr>
              <w:widowControl/>
              <w:ind w:firstLine="0" w:firstLineChars="0"/>
              <w:rPr>
                <w:sz w:val="18"/>
                <w:szCs w:val="18"/>
              </w:rPr>
            </w:pPr>
            <w:r>
              <w:rPr>
                <w:rFonts w:hint="eastAsia"/>
                <w:sz w:val="18"/>
                <w:szCs w:val="18"/>
              </w:rPr>
              <w:t>不驻场</w:t>
            </w:r>
          </w:p>
        </w:tc>
      </w:tr>
      <w:tr w14:paraId="1045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16" w:type="dxa"/>
            <w:shd w:val="clear" w:color="auto" w:fill="auto"/>
            <w:noWrap/>
            <w:vAlign w:val="center"/>
          </w:tcPr>
          <w:p w14:paraId="466D8E78">
            <w:pPr>
              <w:widowControl/>
              <w:ind w:firstLine="0" w:firstLineChars="0"/>
              <w:rPr>
                <w:sz w:val="18"/>
                <w:szCs w:val="18"/>
              </w:rPr>
            </w:pPr>
            <w:r>
              <w:rPr>
                <w:rFonts w:hint="eastAsia"/>
                <w:sz w:val="18"/>
                <w:szCs w:val="18"/>
              </w:rPr>
              <w:t>技术工程师</w:t>
            </w:r>
          </w:p>
        </w:tc>
        <w:tc>
          <w:tcPr>
            <w:tcW w:w="2843" w:type="dxa"/>
            <w:shd w:val="clear" w:color="auto" w:fill="auto"/>
            <w:noWrap/>
            <w:vAlign w:val="center"/>
          </w:tcPr>
          <w:p w14:paraId="1541F5A4">
            <w:pPr>
              <w:widowControl/>
              <w:ind w:firstLine="0" w:firstLineChars="0"/>
              <w:rPr>
                <w:sz w:val="18"/>
                <w:szCs w:val="18"/>
              </w:rPr>
            </w:pPr>
            <w:r>
              <w:rPr>
                <w:rFonts w:hint="eastAsia"/>
                <w:sz w:val="18"/>
                <w:szCs w:val="18"/>
              </w:rPr>
              <w:t>负责项目运行维护</w:t>
            </w:r>
          </w:p>
        </w:tc>
        <w:tc>
          <w:tcPr>
            <w:tcW w:w="1180" w:type="dxa"/>
            <w:shd w:val="clear" w:color="auto" w:fill="auto"/>
            <w:noWrap/>
            <w:vAlign w:val="center"/>
          </w:tcPr>
          <w:p w14:paraId="0E71C102">
            <w:pPr>
              <w:widowControl/>
              <w:ind w:firstLine="0" w:firstLineChars="0"/>
              <w:rPr>
                <w:sz w:val="18"/>
                <w:szCs w:val="18"/>
              </w:rPr>
            </w:pPr>
            <w:r>
              <w:rPr>
                <w:rFonts w:hint="eastAsia"/>
                <w:sz w:val="18"/>
                <w:szCs w:val="18"/>
              </w:rPr>
              <w:t>至少</w:t>
            </w:r>
            <w:r>
              <w:rPr>
                <w:sz w:val="18"/>
                <w:szCs w:val="18"/>
              </w:rPr>
              <w:t>10</w:t>
            </w:r>
            <w:r>
              <w:rPr>
                <w:rFonts w:hint="eastAsia"/>
                <w:sz w:val="18"/>
                <w:szCs w:val="18"/>
              </w:rPr>
              <w:t>人</w:t>
            </w:r>
          </w:p>
        </w:tc>
        <w:tc>
          <w:tcPr>
            <w:tcW w:w="1553" w:type="dxa"/>
            <w:vAlign w:val="center"/>
          </w:tcPr>
          <w:p w14:paraId="59417CF9">
            <w:pPr>
              <w:widowControl/>
              <w:ind w:firstLine="0" w:firstLineChars="0"/>
              <w:jc w:val="left"/>
              <w:rPr>
                <w:sz w:val="18"/>
                <w:szCs w:val="18"/>
              </w:rPr>
            </w:pPr>
            <w:r>
              <w:rPr>
                <w:rFonts w:hint="eastAsia" w:cs="宋体"/>
                <w:kern w:val="0"/>
                <w:sz w:val="18"/>
                <w:szCs w:val="18"/>
              </w:rPr>
              <w:t>大专</w:t>
            </w:r>
            <w:r>
              <w:rPr>
                <w:rFonts w:hint="eastAsia"/>
                <w:sz w:val="18"/>
                <w:szCs w:val="18"/>
              </w:rPr>
              <w:t>以上学历</w:t>
            </w:r>
          </w:p>
        </w:tc>
        <w:tc>
          <w:tcPr>
            <w:tcW w:w="1536" w:type="dxa"/>
            <w:shd w:val="clear" w:color="auto" w:fill="auto"/>
            <w:noWrap/>
            <w:vAlign w:val="center"/>
          </w:tcPr>
          <w:p w14:paraId="7DE72CC8">
            <w:pPr>
              <w:widowControl/>
              <w:ind w:firstLine="0" w:firstLineChars="0"/>
              <w:rPr>
                <w:sz w:val="18"/>
                <w:szCs w:val="18"/>
              </w:rPr>
            </w:pPr>
            <w:r>
              <w:rPr>
                <w:rFonts w:hint="eastAsia"/>
                <w:sz w:val="18"/>
                <w:szCs w:val="18"/>
              </w:rPr>
              <w:t>不驻场</w:t>
            </w:r>
          </w:p>
        </w:tc>
      </w:tr>
    </w:tbl>
    <w:p w14:paraId="504A191F">
      <w:pPr>
        <w:keepNext/>
        <w:keepLines/>
        <w:numPr>
          <w:ilvl w:val="1"/>
          <w:numId w:val="1"/>
        </w:numPr>
        <w:spacing w:before="120" w:after="120"/>
        <w:ind w:hanging="993" w:firstLineChars="0"/>
        <w:outlineLvl w:val="2"/>
        <w:rPr>
          <w:b/>
          <w:bCs/>
          <w:sz w:val="30"/>
          <w:szCs w:val="32"/>
        </w:rPr>
      </w:pPr>
      <w:bookmarkStart w:id="27" w:name="_Toc30806"/>
      <w:r>
        <w:rPr>
          <w:b/>
          <w:bCs/>
          <w:sz w:val="30"/>
          <w:szCs w:val="32"/>
        </w:rPr>
        <w:t>等级保护要求</w:t>
      </w:r>
      <w:bookmarkEnd w:id="27"/>
    </w:p>
    <w:p w14:paraId="29089758">
      <w:r>
        <w:t>本项目等级保护要求：</w:t>
      </w:r>
      <w:r>
        <w:rPr>
          <w:rFonts w:hint="eastAsia"/>
        </w:rPr>
        <w:t>符合</w:t>
      </w:r>
      <w:r>
        <w:t>等保</w:t>
      </w:r>
      <w:r>
        <w:rPr>
          <w:rFonts w:hint="eastAsia"/>
        </w:rPr>
        <w:t>二</w:t>
      </w:r>
      <w:r>
        <w:t>级要求</w:t>
      </w:r>
    </w:p>
    <w:p w14:paraId="7F2EE4F3">
      <w:pPr>
        <w:keepNext/>
        <w:keepLines/>
        <w:numPr>
          <w:ilvl w:val="1"/>
          <w:numId w:val="1"/>
        </w:numPr>
        <w:spacing w:before="120" w:after="120"/>
        <w:ind w:hanging="993" w:firstLineChars="0"/>
        <w:outlineLvl w:val="2"/>
        <w:rPr>
          <w:b/>
          <w:bCs/>
          <w:sz w:val="30"/>
          <w:szCs w:val="32"/>
        </w:rPr>
      </w:pPr>
      <w:bookmarkStart w:id="28" w:name="_Toc30290"/>
      <w:r>
        <w:rPr>
          <w:rFonts w:hint="eastAsia"/>
          <w:b/>
          <w:bCs/>
          <w:sz w:val="30"/>
          <w:szCs w:val="32"/>
        </w:rPr>
        <w:t>商业密码应用需求</w:t>
      </w:r>
      <w:bookmarkEnd w:id="28"/>
    </w:p>
    <w:p w14:paraId="69D6ACDA">
      <w:r>
        <w:rPr>
          <w:rFonts w:hint="eastAsia"/>
        </w:rPr>
        <w:t>依据GB/T</w:t>
      </w:r>
      <w:r>
        <w:t xml:space="preserve">  </w:t>
      </w:r>
      <w:r>
        <w:rPr>
          <w:rFonts w:hint="eastAsia"/>
        </w:rPr>
        <w:t>39786—2021《信息安全技术信息系统密码应用基本要求》，结合本系统风险控制需求分析结果，本系统的主要密码应用需求包括：</w:t>
      </w:r>
    </w:p>
    <w:tbl>
      <w:tblPr>
        <w:tblStyle w:val="36"/>
        <w:tblW w:w="5153" w:type="pct"/>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899"/>
        <w:gridCol w:w="3225"/>
        <w:gridCol w:w="1920"/>
      </w:tblGrid>
      <w:tr w14:paraId="32D33FD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92" w:type="pct"/>
            <w:shd w:val="clear" w:color="auto" w:fill="D9D9D9"/>
            <w:vAlign w:val="center"/>
          </w:tcPr>
          <w:p w14:paraId="43E03859">
            <w:pPr>
              <w:widowControl/>
              <w:ind w:firstLine="420"/>
              <w:jc w:val="center"/>
              <w:rPr>
                <w:sz w:val="21"/>
                <w:szCs w:val="21"/>
              </w:rPr>
            </w:pPr>
            <w:r>
              <w:rPr>
                <w:sz w:val="21"/>
                <w:szCs w:val="21"/>
              </w:rPr>
              <w:t>指标要求</w:t>
            </w:r>
          </w:p>
        </w:tc>
        <w:tc>
          <w:tcPr>
            <w:tcW w:w="1080" w:type="pct"/>
            <w:shd w:val="clear" w:color="auto" w:fill="D9D9D9"/>
            <w:vAlign w:val="center"/>
          </w:tcPr>
          <w:p w14:paraId="08EF8765">
            <w:pPr>
              <w:widowControl/>
              <w:ind w:firstLine="0" w:firstLineChars="0"/>
              <w:rPr>
                <w:sz w:val="21"/>
                <w:szCs w:val="21"/>
              </w:rPr>
            </w:pPr>
            <w:r>
              <w:rPr>
                <w:sz w:val="21"/>
                <w:szCs w:val="21"/>
              </w:rPr>
              <w:t>密码技术应用点</w:t>
            </w:r>
          </w:p>
        </w:tc>
        <w:tc>
          <w:tcPr>
            <w:tcW w:w="1834" w:type="pct"/>
            <w:shd w:val="clear" w:color="auto" w:fill="D9D9D9"/>
            <w:vAlign w:val="center"/>
          </w:tcPr>
          <w:p w14:paraId="3C3FD268">
            <w:pPr>
              <w:widowControl/>
              <w:ind w:firstLine="0" w:firstLineChars="0"/>
              <w:rPr>
                <w:sz w:val="21"/>
                <w:szCs w:val="21"/>
              </w:rPr>
            </w:pPr>
            <w:r>
              <w:rPr>
                <w:rFonts w:hint="eastAsia"/>
                <w:sz w:val="21"/>
                <w:szCs w:val="21"/>
              </w:rPr>
              <w:t>密码应用需求</w:t>
            </w:r>
          </w:p>
        </w:tc>
        <w:tc>
          <w:tcPr>
            <w:tcW w:w="1092" w:type="pct"/>
            <w:shd w:val="clear" w:color="auto" w:fill="D9D9D9"/>
            <w:vAlign w:val="center"/>
          </w:tcPr>
          <w:p w14:paraId="073D4DD0">
            <w:pPr>
              <w:widowControl/>
              <w:ind w:firstLine="0" w:firstLineChars="0"/>
              <w:rPr>
                <w:sz w:val="21"/>
                <w:szCs w:val="21"/>
              </w:rPr>
            </w:pPr>
            <w:r>
              <w:rPr>
                <w:sz w:val="21"/>
                <w:szCs w:val="21"/>
              </w:rPr>
              <w:t>说明</w:t>
            </w:r>
          </w:p>
        </w:tc>
      </w:tr>
      <w:tr w14:paraId="0803965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restart"/>
            <w:vAlign w:val="center"/>
          </w:tcPr>
          <w:p w14:paraId="30D8DBDE">
            <w:pPr>
              <w:widowControl/>
              <w:ind w:firstLine="0" w:firstLineChars="0"/>
              <w:rPr>
                <w:sz w:val="21"/>
                <w:szCs w:val="21"/>
              </w:rPr>
            </w:pPr>
            <w:r>
              <w:rPr>
                <w:sz w:val="21"/>
                <w:szCs w:val="21"/>
              </w:rPr>
              <w:t>物理和环境安全</w:t>
            </w:r>
          </w:p>
        </w:tc>
        <w:tc>
          <w:tcPr>
            <w:tcW w:w="1080" w:type="pct"/>
            <w:vAlign w:val="center"/>
          </w:tcPr>
          <w:p w14:paraId="48A1C10B">
            <w:pPr>
              <w:pStyle w:val="122"/>
              <w:ind w:firstLine="0" w:firstLineChars="0"/>
              <w:rPr>
                <w:rFonts w:hAnsi="宋体" w:cs="Times New Roman"/>
                <w:kern w:val="2"/>
                <w:szCs w:val="21"/>
              </w:rPr>
            </w:pPr>
            <w:r>
              <w:rPr>
                <w:rFonts w:hint="eastAsia" w:hAnsi="宋体" w:cs="Times New Roman"/>
                <w:kern w:val="2"/>
                <w:szCs w:val="21"/>
              </w:rPr>
              <w:t>身份鉴别</w:t>
            </w:r>
          </w:p>
        </w:tc>
        <w:tc>
          <w:tcPr>
            <w:tcW w:w="1834" w:type="pct"/>
            <w:vMerge w:val="restart"/>
            <w:vAlign w:val="center"/>
          </w:tcPr>
          <w:p w14:paraId="5C0F194F">
            <w:pPr>
              <w:widowControl/>
              <w:ind w:firstLine="420"/>
              <w:jc w:val="center"/>
              <w:rPr>
                <w:sz w:val="21"/>
                <w:szCs w:val="21"/>
              </w:rPr>
            </w:pPr>
            <w:r>
              <w:rPr>
                <w:rFonts w:hint="eastAsia"/>
                <w:sz w:val="21"/>
                <w:szCs w:val="21"/>
              </w:rPr>
              <w:t>系统的物理和环境安全由云平台提供安全保障，不适用。</w:t>
            </w:r>
          </w:p>
        </w:tc>
        <w:tc>
          <w:tcPr>
            <w:tcW w:w="1092" w:type="pct"/>
            <w:vMerge w:val="restart"/>
            <w:vAlign w:val="center"/>
          </w:tcPr>
          <w:p w14:paraId="58D3874B">
            <w:pPr>
              <w:widowControl/>
              <w:ind w:firstLine="0" w:firstLineChars="0"/>
              <w:rPr>
                <w:sz w:val="21"/>
                <w:szCs w:val="21"/>
              </w:rPr>
            </w:pPr>
            <w:r>
              <w:rPr>
                <w:rFonts w:hint="eastAsia"/>
                <w:sz w:val="21"/>
                <w:szCs w:val="21"/>
              </w:rPr>
              <w:t>云平台通过密评</w:t>
            </w:r>
          </w:p>
        </w:tc>
      </w:tr>
      <w:tr w14:paraId="15EEF78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266E921E">
            <w:pPr>
              <w:widowControl/>
              <w:ind w:firstLine="420"/>
              <w:jc w:val="left"/>
              <w:rPr>
                <w:sz w:val="21"/>
                <w:szCs w:val="21"/>
              </w:rPr>
            </w:pPr>
          </w:p>
        </w:tc>
        <w:tc>
          <w:tcPr>
            <w:tcW w:w="1080" w:type="pct"/>
            <w:vAlign w:val="center"/>
          </w:tcPr>
          <w:p w14:paraId="101CB368">
            <w:pPr>
              <w:pStyle w:val="122"/>
              <w:ind w:firstLine="0" w:firstLineChars="0"/>
              <w:rPr>
                <w:rFonts w:hAnsi="宋体" w:cs="Times New Roman"/>
                <w:kern w:val="2"/>
                <w:szCs w:val="21"/>
              </w:rPr>
            </w:pPr>
            <w:r>
              <w:rPr>
                <w:rFonts w:hint="eastAsia" w:hAnsi="宋体" w:cs="Times New Roman"/>
                <w:kern w:val="2"/>
                <w:szCs w:val="21"/>
              </w:rPr>
              <w:t>电子门禁记录数据完整性</w:t>
            </w:r>
          </w:p>
        </w:tc>
        <w:tc>
          <w:tcPr>
            <w:tcW w:w="1834" w:type="pct"/>
            <w:vMerge w:val="continue"/>
            <w:vAlign w:val="center"/>
          </w:tcPr>
          <w:p w14:paraId="0A8B992E">
            <w:pPr>
              <w:ind w:firstLine="420"/>
              <w:jc w:val="center"/>
              <w:rPr>
                <w:sz w:val="21"/>
                <w:szCs w:val="21"/>
              </w:rPr>
            </w:pPr>
          </w:p>
        </w:tc>
        <w:tc>
          <w:tcPr>
            <w:tcW w:w="1092" w:type="pct"/>
            <w:vMerge w:val="continue"/>
            <w:vAlign w:val="center"/>
          </w:tcPr>
          <w:p w14:paraId="4BBA0212">
            <w:pPr>
              <w:widowControl/>
              <w:ind w:firstLine="420"/>
              <w:jc w:val="center"/>
              <w:rPr>
                <w:sz w:val="21"/>
                <w:szCs w:val="21"/>
              </w:rPr>
            </w:pPr>
          </w:p>
        </w:tc>
      </w:tr>
      <w:tr w14:paraId="45B12D4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7CF0380B">
            <w:pPr>
              <w:widowControl/>
              <w:ind w:firstLine="420"/>
              <w:jc w:val="left"/>
              <w:rPr>
                <w:sz w:val="21"/>
                <w:szCs w:val="21"/>
              </w:rPr>
            </w:pPr>
          </w:p>
        </w:tc>
        <w:tc>
          <w:tcPr>
            <w:tcW w:w="1080" w:type="pct"/>
            <w:vAlign w:val="center"/>
          </w:tcPr>
          <w:p w14:paraId="1FA2F94C">
            <w:pPr>
              <w:pStyle w:val="122"/>
              <w:ind w:firstLine="0" w:firstLineChars="0"/>
              <w:rPr>
                <w:rFonts w:hAnsi="宋体" w:cs="Times New Roman"/>
                <w:kern w:val="2"/>
                <w:szCs w:val="21"/>
              </w:rPr>
            </w:pPr>
            <w:r>
              <w:rPr>
                <w:rFonts w:hint="eastAsia" w:hAnsi="宋体" w:cs="Times New Roman"/>
                <w:kern w:val="2"/>
                <w:szCs w:val="21"/>
              </w:rPr>
              <w:t>视频监控记录数据完整性</w:t>
            </w:r>
          </w:p>
        </w:tc>
        <w:tc>
          <w:tcPr>
            <w:tcW w:w="1834" w:type="pct"/>
            <w:vMerge w:val="continue"/>
            <w:vAlign w:val="center"/>
          </w:tcPr>
          <w:p w14:paraId="0821301F">
            <w:pPr>
              <w:widowControl/>
              <w:ind w:firstLine="420"/>
              <w:jc w:val="center"/>
              <w:rPr>
                <w:sz w:val="21"/>
                <w:szCs w:val="21"/>
              </w:rPr>
            </w:pPr>
          </w:p>
        </w:tc>
        <w:tc>
          <w:tcPr>
            <w:tcW w:w="1092" w:type="pct"/>
            <w:vMerge w:val="continue"/>
            <w:vAlign w:val="center"/>
          </w:tcPr>
          <w:p w14:paraId="71305F71">
            <w:pPr>
              <w:widowControl/>
              <w:ind w:firstLine="420"/>
              <w:jc w:val="center"/>
              <w:rPr>
                <w:sz w:val="21"/>
                <w:szCs w:val="21"/>
              </w:rPr>
            </w:pPr>
          </w:p>
        </w:tc>
      </w:tr>
      <w:tr w14:paraId="47E523A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0049B08F">
            <w:pPr>
              <w:widowControl/>
              <w:ind w:firstLine="420"/>
              <w:jc w:val="left"/>
              <w:rPr>
                <w:sz w:val="21"/>
                <w:szCs w:val="21"/>
              </w:rPr>
            </w:pPr>
          </w:p>
        </w:tc>
        <w:tc>
          <w:tcPr>
            <w:tcW w:w="1080" w:type="pct"/>
            <w:vAlign w:val="center"/>
          </w:tcPr>
          <w:p w14:paraId="41BA2C7A">
            <w:pPr>
              <w:pStyle w:val="122"/>
              <w:ind w:firstLine="0" w:firstLineChars="0"/>
              <w:rPr>
                <w:rFonts w:hAnsi="宋体" w:cs="Times New Roman"/>
                <w:kern w:val="2"/>
                <w:szCs w:val="21"/>
              </w:rPr>
            </w:pPr>
            <w:r>
              <w:rPr>
                <w:rFonts w:hint="eastAsia" w:hAnsi="宋体" w:cs="Times New Roman"/>
                <w:kern w:val="2"/>
                <w:szCs w:val="21"/>
              </w:rPr>
              <w:t>密码服务</w:t>
            </w:r>
          </w:p>
        </w:tc>
        <w:tc>
          <w:tcPr>
            <w:tcW w:w="1834" w:type="pct"/>
            <w:vMerge w:val="continue"/>
            <w:vAlign w:val="center"/>
          </w:tcPr>
          <w:p w14:paraId="318D5784">
            <w:pPr>
              <w:widowControl/>
              <w:ind w:firstLine="420"/>
              <w:jc w:val="center"/>
              <w:rPr>
                <w:sz w:val="21"/>
                <w:szCs w:val="21"/>
              </w:rPr>
            </w:pPr>
          </w:p>
        </w:tc>
        <w:tc>
          <w:tcPr>
            <w:tcW w:w="1092" w:type="pct"/>
            <w:vMerge w:val="continue"/>
            <w:vAlign w:val="center"/>
          </w:tcPr>
          <w:p w14:paraId="50335DA6">
            <w:pPr>
              <w:widowControl/>
              <w:ind w:firstLine="420"/>
              <w:jc w:val="center"/>
              <w:rPr>
                <w:sz w:val="21"/>
                <w:szCs w:val="21"/>
              </w:rPr>
            </w:pPr>
          </w:p>
        </w:tc>
      </w:tr>
      <w:tr w14:paraId="01278AB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05F9A29C">
            <w:pPr>
              <w:widowControl/>
              <w:ind w:firstLine="420"/>
              <w:jc w:val="left"/>
              <w:rPr>
                <w:sz w:val="21"/>
                <w:szCs w:val="21"/>
              </w:rPr>
            </w:pPr>
          </w:p>
        </w:tc>
        <w:tc>
          <w:tcPr>
            <w:tcW w:w="1080" w:type="pct"/>
            <w:vAlign w:val="center"/>
          </w:tcPr>
          <w:p w14:paraId="05CD84FF">
            <w:pPr>
              <w:pStyle w:val="122"/>
              <w:ind w:firstLine="0" w:firstLineChars="0"/>
              <w:rPr>
                <w:rFonts w:hAnsi="宋体" w:cs="Times New Roman"/>
                <w:kern w:val="2"/>
                <w:szCs w:val="21"/>
              </w:rPr>
            </w:pPr>
            <w:r>
              <w:rPr>
                <w:rFonts w:hint="eastAsia" w:hAnsi="宋体" w:cs="Times New Roman"/>
                <w:kern w:val="2"/>
                <w:szCs w:val="21"/>
              </w:rPr>
              <w:t>密码产品</w:t>
            </w:r>
          </w:p>
        </w:tc>
        <w:tc>
          <w:tcPr>
            <w:tcW w:w="1834" w:type="pct"/>
            <w:vMerge w:val="continue"/>
            <w:vAlign w:val="center"/>
          </w:tcPr>
          <w:p w14:paraId="120A26D5">
            <w:pPr>
              <w:widowControl/>
              <w:ind w:firstLine="420"/>
              <w:jc w:val="center"/>
              <w:rPr>
                <w:sz w:val="21"/>
                <w:szCs w:val="21"/>
              </w:rPr>
            </w:pPr>
          </w:p>
        </w:tc>
        <w:tc>
          <w:tcPr>
            <w:tcW w:w="1092" w:type="pct"/>
            <w:vMerge w:val="continue"/>
            <w:vAlign w:val="center"/>
          </w:tcPr>
          <w:p w14:paraId="58C8C03A">
            <w:pPr>
              <w:widowControl/>
              <w:ind w:firstLine="420"/>
              <w:jc w:val="center"/>
              <w:rPr>
                <w:sz w:val="21"/>
                <w:szCs w:val="21"/>
              </w:rPr>
            </w:pPr>
          </w:p>
        </w:tc>
      </w:tr>
      <w:tr w14:paraId="53C9E04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restart"/>
            <w:vAlign w:val="center"/>
          </w:tcPr>
          <w:p w14:paraId="041A0611">
            <w:pPr>
              <w:widowControl/>
              <w:ind w:firstLine="0" w:firstLineChars="0"/>
              <w:rPr>
                <w:sz w:val="21"/>
                <w:szCs w:val="21"/>
              </w:rPr>
            </w:pPr>
            <w:r>
              <w:rPr>
                <w:sz w:val="21"/>
                <w:szCs w:val="21"/>
              </w:rPr>
              <w:t>网络和通信安全</w:t>
            </w:r>
          </w:p>
        </w:tc>
        <w:tc>
          <w:tcPr>
            <w:tcW w:w="1080" w:type="pct"/>
            <w:vAlign w:val="center"/>
          </w:tcPr>
          <w:p w14:paraId="34C52CF5">
            <w:pPr>
              <w:pStyle w:val="122"/>
              <w:ind w:firstLine="0" w:firstLineChars="0"/>
              <w:rPr>
                <w:rFonts w:hAnsi="宋体" w:cs="Times New Roman"/>
                <w:kern w:val="2"/>
                <w:szCs w:val="21"/>
              </w:rPr>
            </w:pPr>
            <w:r>
              <w:rPr>
                <w:rFonts w:hint="eastAsia" w:hAnsi="宋体" w:cs="Times New Roman"/>
                <w:kern w:val="2"/>
                <w:szCs w:val="21"/>
              </w:rPr>
              <w:t>身份鉴别</w:t>
            </w:r>
          </w:p>
        </w:tc>
        <w:tc>
          <w:tcPr>
            <w:tcW w:w="1834" w:type="pct"/>
            <w:vAlign w:val="center"/>
          </w:tcPr>
          <w:p w14:paraId="52C36082">
            <w:pPr>
              <w:widowControl/>
              <w:ind w:firstLine="0" w:firstLineChars="0"/>
              <w:rPr>
                <w:sz w:val="21"/>
                <w:szCs w:val="21"/>
              </w:rPr>
            </w:pPr>
            <w:r>
              <w:rPr>
                <w:rFonts w:hint="eastAsia"/>
                <w:sz w:val="21"/>
                <w:szCs w:val="21"/>
              </w:rPr>
              <w:t>确认服务端的身份真实性，防止与假冒实体进行通信</w:t>
            </w:r>
          </w:p>
        </w:tc>
        <w:tc>
          <w:tcPr>
            <w:tcW w:w="1092" w:type="pct"/>
            <w:vAlign w:val="center"/>
          </w:tcPr>
          <w:p w14:paraId="53DC40A4">
            <w:pPr>
              <w:widowControl/>
              <w:ind w:firstLine="420"/>
              <w:jc w:val="center"/>
              <w:rPr>
                <w:sz w:val="21"/>
                <w:szCs w:val="21"/>
              </w:rPr>
            </w:pPr>
          </w:p>
        </w:tc>
      </w:tr>
      <w:tr w14:paraId="383EA1B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1C7BC976">
            <w:pPr>
              <w:widowControl/>
              <w:ind w:firstLine="420"/>
              <w:jc w:val="left"/>
              <w:rPr>
                <w:sz w:val="21"/>
                <w:szCs w:val="21"/>
              </w:rPr>
            </w:pPr>
          </w:p>
        </w:tc>
        <w:tc>
          <w:tcPr>
            <w:tcW w:w="1080" w:type="pct"/>
            <w:vAlign w:val="center"/>
          </w:tcPr>
          <w:p w14:paraId="5E119267">
            <w:pPr>
              <w:pStyle w:val="122"/>
              <w:ind w:firstLine="0" w:firstLineChars="0"/>
              <w:rPr>
                <w:rFonts w:hAnsi="宋体" w:cs="Times New Roman"/>
                <w:kern w:val="2"/>
                <w:szCs w:val="21"/>
              </w:rPr>
            </w:pPr>
            <w:r>
              <w:rPr>
                <w:rFonts w:hint="eastAsia" w:hAnsi="宋体" w:cs="Times New Roman"/>
                <w:kern w:val="2"/>
                <w:szCs w:val="21"/>
              </w:rPr>
              <w:t>通信数据完整性</w:t>
            </w:r>
          </w:p>
        </w:tc>
        <w:tc>
          <w:tcPr>
            <w:tcW w:w="1834" w:type="pct"/>
            <w:vAlign w:val="center"/>
          </w:tcPr>
          <w:p w14:paraId="4BC41083">
            <w:pPr>
              <w:widowControl/>
              <w:ind w:firstLine="0" w:firstLineChars="0"/>
              <w:rPr>
                <w:sz w:val="21"/>
                <w:szCs w:val="21"/>
              </w:rPr>
            </w:pPr>
            <w:r>
              <w:rPr>
                <w:rFonts w:hint="eastAsia"/>
                <w:sz w:val="21"/>
                <w:szCs w:val="21"/>
              </w:rPr>
              <w:t>防止重要数据在传输过程中被非法篡改</w:t>
            </w:r>
          </w:p>
        </w:tc>
        <w:tc>
          <w:tcPr>
            <w:tcW w:w="1092" w:type="pct"/>
            <w:vAlign w:val="center"/>
          </w:tcPr>
          <w:p w14:paraId="0DD58B64">
            <w:pPr>
              <w:widowControl/>
              <w:ind w:firstLine="420"/>
              <w:jc w:val="center"/>
              <w:rPr>
                <w:sz w:val="21"/>
                <w:szCs w:val="21"/>
              </w:rPr>
            </w:pPr>
          </w:p>
        </w:tc>
      </w:tr>
      <w:tr w14:paraId="61D7CEC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6AE22A1E">
            <w:pPr>
              <w:widowControl/>
              <w:ind w:firstLine="420"/>
              <w:jc w:val="left"/>
              <w:rPr>
                <w:sz w:val="21"/>
                <w:szCs w:val="21"/>
              </w:rPr>
            </w:pPr>
          </w:p>
        </w:tc>
        <w:tc>
          <w:tcPr>
            <w:tcW w:w="1080" w:type="pct"/>
            <w:vAlign w:val="center"/>
          </w:tcPr>
          <w:p w14:paraId="780F16BD">
            <w:pPr>
              <w:pStyle w:val="122"/>
              <w:ind w:firstLine="0" w:firstLineChars="0"/>
              <w:rPr>
                <w:rFonts w:hAnsi="宋体" w:cs="Times New Roman"/>
                <w:kern w:val="2"/>
                <w:szCs w:val="21"/>
              </w:rPr>
            </w:pPr>
            <w:r>
              <w:rPr>
                <w:rFonts w:hint="eastAsia" w:hAnsi="宋体" w:cs="Times New Roman"/>
                <w:kern w:val="2"/>
                <w:szCs w:val="21"/>
              </w:rPr>
              <w:t>通信过程中重要数据的机密性</w:t>
            </w:r>
          </w:p>
        </w:tc>
        <w:tc>
          <w:tcPr>
            <w:tcW w:w="1834" w:type="pct"/>
            <w:vAlign w:val="center"/>
          </w:tcPr>
          <w:p w14:paraId="15EBFA89">
            <w:pPr>
              <w:widowControl/>
              <w:ind w:firstLine="0" w:firstLineChars="0"/>
              <w:rPr>
                <w:sz w:val="21"/>
                <w:szCs w:val="21"/>
              </w:rPr>
            </w:pPr>
            <w:r>
              <w:rPr>
                <w:rFonts w:hint="eastAsia"/>
                <w:sz w:val="21"/>
                <w:szCs w:val="21"/>
              </w:rPr>
              <w:t>防止管理员身份鉴别信息等重要数据在传输过程中被非法窃取</w:t>
            </w:r>
          </w:p>
        </w:tc>
        <w:tc>
          <w:tcPr>
            <w:tcW w:w="1092" w:type="pct"/>
            <w:vAlign w:val="center"/>
          </w:tcPr>
          <w:p w14:paraId="2704518A">
            <w:pPr>
              <w:widowControl/>
              <w:ind w:firstLine="420"/>
              <w:jc w:val="center"/>
              <w:rPr>
                <w:sz w:val="21"/>
                <w:szCs w:val="21"/>
              </w:rPr>
            </w:pPr>
          </w:p>
        </w:tc>
      </w:tr>
      <w:tr w14:paraId="0DFC2BD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6BF70615">
            <w:pPr>
              <w:widowControl/>
              <w:ind w:firstLine="420"/>
              <w:jc w:val="left"/>
              <w:rPr>
                <w:sz w:val="21"/>
                <w:szCs w:val="21"/>
              </w:rPr>
            </w:pPr>
          </w:p>
        </w:tc>
        <w:tc>
          <w:tcPr>
            <w:tcW w:w="1080" w:type="pct"/>
            <w:vAlign w:val="center"/>
          </w:tcPr>
          <w:p w14:paraId="0838029E">
            <w:pPr>
              <w:pStyle w:val="122"/>
              <w:ind w:firstLine="0" w:firstLineChars="0"/>
              <w:rPr>
                <w:rFonts w:hAnsi="宋体" w:cs="Times New Roman"/>
                <w:kern w:val="2"/>
                <w:szCs w:val="21"/>
              </w:rPr>
            </w:pPr>
            <w:r>
              <w:rPr>
                <w:rFonts w:hint="eastAsia" w:hAnsi="宋体" w:cs="Times New Roman"/>
                <w:kern w:val="2"/>
                <w:szCs w:val="21"/>
              </w:rPr>
              <w:t>网络边界访问控制信息的完整性</w:t>
            </w:r>
          </w:p>
        </w:tc>
        <w:tc>
          <w:tcPr>
            <w:tcW w:w="1834" w:type="pct"/>
            <w:vAlign w:val="center"/>
          </w:tcPr>
          <w:p w14:paraId="4120E939">
            <w:pPr>
              <w:widowControl/>
              <w:ind w:firstLine="0" w:firstLineChars="0"/>
              <w:rPr>
                <w:sz w:val="21"/>
                <w:szCs w:val="21"/>
              </w:rPr>
            </w:pPr>
            <w:r>
              <w:rPr>
                <w:rFonts w:hint="eastAsia"/>
                <w:sz w:val="21"/>
                <w:szCs w:val="21"/>
              </w:rPr>
              <w:t>系统网络拓扑中不同区域网络边界访问控制信息的完整性保护由云平台提供，不适用。</w:t>
            </w:r>
          </w:p>
        </w:tc>
        <w:tc>
          <w:tcPr>
            <w:tcW w:w="1092" w:type="pct"/>
            <w:vAlign w:val="center"/>
          </w:tcPr>
          <w:p w14:paraId="4105E6DB">
            <w:pPr>
              <w:widowControl/>
              <w:ind w:firstLine="0" w:firstLineChars="0"/>
              <w:rPr>
                <w:sz w:val="21"/>
                <w:szCs w:val="21"/>
              </w:rPr>
            </w:pPr>
            <w:r>
              <w:rPr>
                <w:rFonts w:hint="eastAsia"/>
                <w:sz w:val="21"/>
                <w:szCs w:val="21"/>
              </w:rPr>
              <w:t>云平台通过密评</w:t>
            </w:r>
          </w:p>
        </w:tc>
      </w:tr>
      <w:tr w14:paraId="121251B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5A354E10">
            <w:pPr>
              <w:widowControl/>
              <w:ind w:firstLine="420"/>
              <w:jc w:val="left"/>
              <w:rPr>
                <w:sz w:val="21"/>
                <w:szCs w:val="21"/>
              </w:rPr>
            </w:pPr>
          </w:p>
        </w:tc>
        <w:tc>
          <w:tcPr>
            <w:tcW w:w="1080" w:type="pct"/>
            <w:vAlign w:val="center"/>
          </w:tcPr>
          <w:p w14:paraId="6D345CA0">
            <w:pPr>
              <w:pStyle w:val="122"/>
              <w:ind w:firstLine="0" w:firstLineChars="0"/>
              <w:rPr>
                <w:rFonts w:hAnsi="宋体" w:cs="Times New Roman"/>
                <w:kern w:val="2"/>
                <w:szCs w:val="21"/>
              </w:rPr>
            </w:pPr>
            <w:r>
              <w:rPr>
                <w:rFonts w:hint="eastAsia" w:hAnsi="宋体" w:cs="Times New Roman"/>
                <w:kern w:val="2"/>
                <w:szCs w:val="21"/>
              </w:rPr>
              <w:t>安全接入认证</w:t>
            </w:r>
          </w:p>
        </w:tc>
        <w:tc>
          <w:tcPr>
            <w:tcW w:w="1834" w:type="pct"/>
            <w:vAlign w:val="center"/>
          </w:tcPr>
          <w:p w14:paraId="2EE7BB3A">
            <w:pPr>
              <w:widowControl/>
              <w:ind w:firstLine="0" w:firstLineChars="0"/>
              <w:rPr>
                <w:sz w:val="21"/>
                <w:szCs w:val="21"/>
              </w:rPr>
            </w:pPr>
            <w:r>
              <w:rPr>
                <w:rFonts w:hint="eastAsia"/>
                <w:sz w:val="21"/>
                <w:szCs w:val="21"/>
              </w:rPr>
              <w:t>不适用</w:t>
            </w:r>
          </w:p>
        </w:tc>
        <w:tc>
          <w:tcPr>
            <w:tcW w:w="1092" w:type="pct"/>
            <w:vAlign w:val="center"/>
          </w:tcPr>
          <w:p w14:paraId="43D11159">
            <w:pPr>
              <w:widowControl/>
              <w:ind w:firstLine="0" w:firstLineChars="0"/>
              <w:rPr>
                <w:sz w:val="21"/>
                <w:szCs w:val="21"/>
              </w:rPr>
            </w:pPr>
            <w:r>
              <w:rPr>
                <w:rFonts w:hint="eastAsia"/>
                <w:sz w:val="21"/>
                <w:szCs w:val="21"/>
              </w:rPr>
              <w:t>无外部接入设备</w:t>
            </w:r>
          </w:p>
        </w:tc>
      </w:tr>
      <w:tr w14:paraId="06833F1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restart"/>
            <w:vAlign w:val="center"/>
          </w:tcPr>
          <w:p w14:paraId="2670653B">
            <w:pPr>
              <w:widowControl/>
              <w:ind w:firstLine="0" w:firstLineChars="0"/>
              <w:rPr>
                <w:sz w:val="21"/>
                <w:szCs w:val="21"/>
              </w:rPr>
            </w:pPr>
            <w:r>
              <w:rPr>
                <w:sz w:val="21"/>
                <w:szCs w:val="21"/>
              </w:rPr>
              <w:t>设备和计算安全</w:t>
            </w:r>
          </w:p>
        </w:tc>
        <w:tc>
          <w:tcPr>
            <w:tcW w:w="1080" w:type="pct"/>
            <w:vAlign w:val="center"/>
          </w:tcPr>
          <w:p w14:paraId="2056F164">
            <w:pPr>
              <w:pStyle w:val="122"/>
              <w:ind w:firstLine="0" w:firstLineChars="0"/>
              <w:rPr>
                <w:rFonts w:hAnsi="宋体" w:cs="Times New Roman"/>
                <w:kern w:val="2"/>
                <w:szCs w:val="21"/>
              </w:rPr>
            </w:pPr>
            <w:r>
              <w:rPr>
                <w:rFonts w:hint="eastAsia" w:hAnsi="宋体" w:cs="Times New Roman"/>
                <w:kern w:val="2"/>
                <w:szCs w:val="21"/>
              </w:rPr>
              <w:t>身份鉴别</w:t>
            </w:r>
          </w:p>
        </w:tc>
        <w:tc>
          <w:tcPr>
            <w:tcW w:w="1834" w:type="pct"/>
            <w:vAlign w:val="center"/>
          </w:tcPr>
          <w:p w14:paraId="148AC27B">
            <w:pPr>
              <w:widowControl/>
              <w:ind w:firstLine="0" w:firstLineChars="0"/>
              <w:rPr>
                <w:sz w:val="21"/>
                <w:szCs w:val="21"/>
              </w:rPr>
            </w:pPr>
            <w:r>
              <w:rPr>
                <w:rFonts w:hint="eastAsia"/>
                <w:sz w:val="21"/>
                <w:szCs w:val="21"/>
              </w:rPr>
              <w:t>对远程登录设备的用户身份真实性进行鉴别，防止假冒用户登录</w:t>
            </w:r>
          </w:p>
        </w:tc>
        <w:tc>
          <w:tcPr>
            <w:tcW w:w="1092" w:type="pct"/>
            <w:vAlign w:val="center"/>
          </w:tcPr>
          <w:p w14:paraId="126A810F">
            <w:pPr>
              <w:widowControl/>
              <w:ind w:firstLine="420"/>
              <w:jc w:val="center"/>
              <w:rPr>
                <w:sz w:val="21"/>
                <w:szCs w:val="21"/>
              </w:rPr>
            </w:pPr>
          </w:p>
        </w:tc>
      </w:tr>
      <w:tr w14:paraId="7CD8C37C">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087C8755">
            <w:pPr>
              <w:widowControl/>
              <w:ind w:firstLine="420"/>
              <w:jc w:val="left"/>
              <w:rPr>
                <w:sz w:val="21"/>
                <w:szCs w:val="21"/>
              </w:rPr>
            </w:pPr>
          </w:p>
        </w:tc>
        <w:tc>
          <w:tcPr>
            <w:tcW w:w="1080" w:type="pct"/>
            <w:vAlign w:val="center"/>
          </w:tcPr>
          <w:p w14:paraId="74E0A64E">
            <w:pPr>
              <w:pStyle w:val="122"/>
              <w:ind w:firstLine="0" w:firstLineChars="0"/>
              <w:rPr>
                <w:rFonts w:hAnsi="宋体" w:cs="Times New Roman"/>
                <w:kern w:val="2"/>
                <w:szCs w:val="21"/>
              </w:rPr>
            </w:pPr>
            <w:r>
              <w:rPr>
                <w:rFonts w:hint="eastAsia" w:hAnsi="宋体" w:cs="Times New Roman"/>
                <w:kern w:val="2"/>
                <w:szCs w:val="21"/>
              </w:rPr>
              <w:t>远程管理通道安全</w:t>
            </w:r>
          </w:p>
        </w:tc>
        <w:tc>
          <w:tcPr>
            <w:tcW w:w="1834" w:type="pct"/>
            <w:vAlign w:val="center"/>
          </w:tcPr>
          <w:p w14:paraId="11C14E3F">
            <w:pPr>
              <w:widowControl/>
              <w:ind w:firstLine="0" w:firstLineChars="0"/>
              <w:rPr>
                <w:sz w:val="21"/>
                <w:szCs w:val="21"/>
              </w:rPr>
            </w:pPr>
            <w:r>
              <w:rPr>
                <w:rFonts w:hint="eastAsia"/>
                <w:sz w:val="21"/>
                <w:szCs w:val="21"/>
              </w:rPr>
              <w:t>远程管理时保护管理员身份鉴别信息等重要数据被非法窃取或非法篡改</w:t>
            </w:r>
          </w:p>
        </w:tc>
        <w:tc>
          <w:tcPr>
            <w:tcW w:w="1092" w:type="pct"/>
            <w:vAlign w:val="center"/>
          </w:tcPr>
          <w:p w14:paraId="65BF1B9E">
            <w:pPr>
              <w:widowControl/>
              <w:ind w:firstLine="420"/>
              <w:jc w:val="center"/>
              <w:rPr>
                <w:sz w:val="21"/>
                <w:szCs w:val="21"/>
              </w:rPr>
            </w:pPr>
          </w:p>
        </w:tc>
      </w:tr>
      <w:tr w14:paraId="184D247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094B9A59">
            <w:pPr>
              <w:widowControl/>
              <w:ind w:firstLine="420"/>
              <w:jc w:val="left"/>
              <w:rPr>
                <w:sz w:val="21"/>
                <w:szCs w:val="21"/>
              </w:rPr>
            </w:pPr>
          </w:p>
        </w:tc>
        <w:tc>
          <w:tcPr>
            <w:tcW w:w="1080" w:type="pct"/>
            <w:vAlign w:val="center"/>
          </w:tcPr>
          <w:p w14:paraId="07F7EDC7">
            <w:pPr>
              <w:pStyle w:val="122"/>
              <w:ind w:firstLine="0" w:firstLineChars="0"/>
              <w:rPr>
                <w:rFonts w:hAnsi="宋体" w:cs="Times New Roman"/>
                <w:kern w:val="2"/>
                <w:szCs w:val="21"/>
              </w:rPr>
            </w:pPr>
            <w:r>
              <w:rPr>
                <w:rFonts w:hint="eastAsia" w:hAnsi="宋体" w:cs="Times New Roman"/>
                <w:kern w:val="2"/>
                <w:szCs w:val="21"/>
              </w:rPr>
              <w:t>系统资源访问控制信息完整性</w:t>
            </w:r>
          </w:p>
        </w:tc>
        <w:tc>
          <w:tcPr>
            <w:tcW w:w="1834" w:type="pct"/>
            <w:vAlign w:val="center"/>
          </w:tcPr>
          <w:p w14:paraId="3AAD327C">
            <w:pPr>
              <w:widowControl/>
              <w:ind w:firstLine="0" w:firstLineChars="0"/>
              <w:rPr>
                <w:sz w:val="21"/>
                <w:szCs w:val="21"/>
              </w:rPr>
            </w:pPr>
            <w:r>
              <w:rPr>
                <w:rFonts w:hint="eastAsia"/>
                <w:sz w:val="21"/>
                <w:szCs w:val="21"/>
              </w:rPr>
              <w:t>保护系统资源访问控制信息免受非法篡改</w:t>
            </w:r>
          </w:p>
        </w:tc>
        <w:tc>
          <w:tcPr>
            <w:tcW w:w="1092" w:type="pct"/>
            <w:vAlign w:val="center"/>
          </w:tcPr>
          <w:p w14:paraId="1E1C6B7E">
            <w:pPr>
              <w:widowControl/>
              <w:ind w:firstLine="420"/>
              <w:jc w:val="center"/>
              <w:rPr>
                <w:sz w:val="21"/>
                <w:szCs w:val="21"/>
              </w:rPr>
            </w:pPr>
          </w:p>
        </w:tc>
      </w:tr>
      <w:tr w14:paraId="016B4BA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178790AD">
            <w:pPr>
              <w:widowControl/>
              <w:ind w:firstLine="420"/>
              <w:jc w:val="left"/>
              <w:rPr>
                <w:sz w:val="21"/>
                <w:szCs w:val="21"/>
              </w:rPr>
            </w:pPr>
          </w:p>
        </w:tc>
        <w:tc>
          <w:tcPr>
            <w:tcW w:w="1080" w:type="pct"/>
            <w:vAlign w:val="center"/>
          </w:tcPr>
          <w:p w14:paraId="5F685D3E">
            <w:pPr>
              <w:pStyle w:val="122"/>
              <w:ind w:firstLine="0" w:firstLineChars="0"/>
              <w:rPr>
                <w:rFonts w:hAnsi="宋体" w:cs="Times New Roman"/>
                <w:kern w:val="2"/>
                <w:szCs w:val="21"/>
              </w:rPr>
            </w:pPr>
            <w:r>
              <w:rPr>
                <w:rFonts w:hint="eastAsia" w:hAnsi="宋体" w:cs="Times New Roman"/>
                <w:kern w:val="2"/>
                <w:szCs w:val="21"/>
              </w:rPr>
              <w:t>重要信息资源安全标记的完整性</w:t>
            </w:r>
          </w:p>
        </w:tc>
        <w:tc>
          <w:tcPr>
            <w:tcW w:w="1834" w:type="pct"/>
            <w:vAlign w:val="center"/>
          </w:tcPr>
          <w:p w14:paraId="536FE91A">
            <w:pPr>
              <w:widowControl/>
              <w:ind w:firstLine="0" w:firstLineChars="0"/>
              <w:rPr>
                <w:sz w:val="21"/>
                <w:szCs w:val="21"/>
              </w:rPr>
            </w:pPr>
            <w:r>
              <w:rPr>
                <w:rFonts w:hint="eastAsia"/>
                <w:sz w:val="21"/>
                <w:szCs w:val="21"/>
              </w:rPr>
              <w:t>不适用</w:t>
            </w:r>
          </w:p>
        </w:tc>
        <w:tc>
          <w:tcPr>
            <w:tcW w:w="1092" w:type="pct"/>
            <w:vAlign w:val="center"/>
          </w:tcPr>
          <w:p w14:paraId="6B8C1E7A">
            <w:pPr>
              <w:widowControl/>
              <w:ind w:firstLine="0" w:firstLineChars="0"/>
              <w:rPr>
                <w:sz w:val="21"/>
                <w:szCs w:val="21"/>
              </w:rPr>
            </w:pPr>
            <w:r>
              <w:rPr>
                <w:rFonts w:hint="eastAsia"/>
                <w:sz w:val="21"/>
                <w:szCs w:val="21"/>
              </w:rPr>
              <w:t>无重要信息资源安全标记</w:t>
            </w:r>
          </w:p>
        </w:tc>
      </w:tr>
      <w:tr w14:paraId="6224C75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67D4B201">
            <w:pPr>
              <w:widowControl/>
              <w:ind w:firstLine="420"/>
              <w:jc w:val="left"/>
              <w:rPr>
                <w:sz w:val="21"/>
                <w:szCs w:val="21"/>
              </w:rPr>
            </w:pPr>
          </w:p>
        </w:tc>
        <w:tc>
          <w:tcPr>
            <w:tcW w:w="1080" w:type="pct"/>
            <w:vAlign w:val="center"/>
          </w:tcPr>
          <w:p w14:paraId="6E0E1985">
            <w:pPr>
              <w:pStyle w:val="122"/>
              <w:ind w:firstLine="0" w:firstLineChars="0"/>
              <w:rPr>
                <w:rFonts w:hAnsi="宋体" w:cs="Times New Roman"/>
                <w:kern w:val="2"/>
                <w:szCs w:val="21"/>
              </w:rPr>
            </w:pPr>
            <w:r>
              <w:rPr>
                <w:rFonts w:hint="eastAsia" w:hAnsi="宋体" w:cs="Times New Roman"/>
                <w:kern w:val="2"/>
                <w:szCs w:val="21"/>
              </w:rPr>
              <w:t>日志记录完整性</w:t>
            </w:r>
          </w:p>
        </w:tc>
        <w:tc>
          <w:tcPr>
            <w:tcW w:w="1834" w:type="pct"/>
            <w:vAlign w:val="center"/>
          </w:tcPr>
          <w:p w14:paraId="06A5BA85">
            <w:pPr>
              <w:widowControl/>
              <w:ind w:firstLine="0" w:firstLineChars="0"/>
              <w:rPr>
                <w:sz w:val="21"/>
                <w:szCs w:val="21"/>
              </w:rPr>
            </w:pPr>
            <w:r>
              <w:rPr>
                <w:rFonts w:hint="eastAsia"/>
                <w:sz w:val="21"/>
                <w:szCs w:val="21"/>
              </w:rPr>
              <w:t>保护重要日志记录信息免受非法篡改</w:t>
            </w:r>
          </w:p>
        </w:tc>
        <w:tc>
          <w:tcPr>
            <w:tcW w:w="1092" w:type="pct"/>
            <w:vAlign w:val="center"/>
          </w:tcPr>
          <w:p w14:paraId="48084522">
            <w:pPr>
              <w:widowControl/>
              <w:ind w:firstLine="420"/>
              <w:jc w:val="center"/>
              <w:rPr>
                <w:sz w:val="21"/>
                <w:szCs w:val="21"/>
              </w:rPr>
            </w:pPr>
          </w:p>
        </w:tc>
      </w:tr>
      <w:tr w14:paraId="6B4DE1E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057674DE">
            <w:pPr>
              <w:widowControl/>
              <w:ind w:firstLine="420"/>
              <w:jc w:val="left"/>
              <w:rPr>
                <w:sz w:val="21"/>
                <w:szCs w:val="21"/>
              </w:rPr>
            </w:pPr>
          </w:p>
        </w:tc>
        <w:tc>
          <w:tcPr>
            <w:tcW w:w="1080" w:type="pct"/>
            <w:vAlign w:val="center"/>
          </w:tcPr>
          <w:p w14:paraId="72B24495">
            <w:pPr>
              <w:pStyle w:val="122"/>
              <w:ind w:firstLine="0" w:firstLineChars="0"/>
              <w:rPr>
                <w:rFonts w:hAnsi="宋体" w:cs="Times New Roman"/>
                <w:kern w:val="2"/>
                <w:szCs w:val="21"/>
              </w:rPr>
            </w:pPr>
            <w:r>
              <w:rPr>
                <w:rFonts w:hint="eastAsia" w:hAnsi="宋体" w:cs="Times New Roman"/>
                <w:kern w:val="2"/>
                <w:szCs w:val="21"/>
              </w:rPr>
              <w:t>重要可执行程序完整性、重要可执行程序来源真实性</w:t>
            </w:r>
          </w:p>
        </w:tc>
        <w:tc>
          <w:tcPr>
            <w:tcW w:w="1834" w:type="pct"/>
            <w:vAlign w:val="center"/>
          </w:tcPr>
          <w:p w14:paraId="51B852C3">
            <w:pPr>
              <w:widowControl/>
              <w:ind w:firstLine="0" w:firstLineChars="0"/>
              <w:rPr>
                <w:sz w:val="21"/>
                <w:szCs w:val="21"/>
              </w:rPr>
            </w:pPr>
            <w:r>
              <w:rPr>
                <w:rFonts w:hint="eastAsia"/>
                <w:sz w:val="21"/>
                <w:szCs w:val="21"/>
              </w:rPr>
              <w:t>保护重要可执行程序免受非法篡改</w:t>
            </w:r>
          </w:p>
        </w:tc>
        <w:tc>
          <w:tcPr>
            <w:tcW w:w="1092" w:type="pct"/>
            <w:vAlign w:val="center"/>
          </w:tcPr>
          <w:p w14:paraId="4E783255">
            <w:pPr>
              <w:widowControl/>
              <w:ind w:firstLine="420"/>
              <w:jc w:val="center"/>
              <w:rPr>
                <w:sz w:val="21"/>
                <w:szCs w:val="21"/>
              </w:rPr>
            </w:pPr>
          </w:p>
        </w:tc>
      </w:tr>
      <w:tr w14:paraId="4CFDEE1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restart"/>
            <w:vAlign w:val="center"/>
          </w:tcPr>
          <w:p w14:paraId="252D4612">
            <w:pPr>
              <w:widowControl/>
              <w:ind w:firstLine="0" w:firstLineChars="0"/>
              <w:rPr>
                <w:sz w:val="21"/>
                <w:szCs w:val="21"/>
              </w:rPr>
            </w:pPr>
            <w:r>
              <w:rPr>
                <w:sz w:val="21"/>
                <w:szCs w:val="21"/>
              </w:rPr>
              <w:t>应用和数据安全</w:t>
            </w:r>
          </w:p>
        </w:tc>
        <w:tc>
          <w:tcPr>
            <w:tcW w:w="1080" w:type="pct"/>
            <w:vAlign w:val="center"/>
          </w:tcPr>
          <w:p w14:paraId="353A4055">
            <w:pPr>
              <w:pStyle w:val="122"/>
              <w:ind w:firstLine="0" w:firstLineChars="0"/>
              <w:rPr>
                <w:rFonts w:hAnsi="宋体" w:cs="Times New Roman"/>
                <w:kern w:val="2"/>
                <w:szCs w:val="21"/>
              </w:rPr>
            </w:pPr>
            <w:r>
              <w:rPr>
                <w:rFonts w:hint="eastAsia" w:hAnsi="宋体" w:cs="Times New Roman"/>
                <w:kern w:val="2"/>
                <w:szCs w:val="21"/>
              </w:rPr>
              <w:t>身份鉴别</w:t>
            </w:r>
          </w:p>
        </w:tc>
        <w:tc>
          <w:tcPr>
            <w:tcW w:w="1834" w:type="pct"/>
            <w:vAlign w:val="center"/>
          </w:tcPr>
          <w:p w14:paraId="64D18AA1">
            <w:pPr>
              <w:widowControl/>
              <w:ind w:firstLine="0" w:firstLineChars="0"/>
              <w:rPr>
                <w:sz w:val="21"/>
                <w:szCs w:val="21"/>
              </w:rPr>
            </w:pPr>
            <w:r>
              <w:rPr>
                <w:rFonts w:hint="eastAsia"/>
                <w:sz w:val="21"/>
                <w:szCs w:val="21"/>
              </w:rPr>
              <w:t>保护执行关键操作或访问重要数据的用户身份真实性，防止假冒用户访问</w:t>
            </w:r>
          </w:p>
        </w:tc>
        <w:tc>
          <w:tcPr>
            <w:tcW w:w="1092" w:type="pct"/>
            <w:vAlign w:val="center"/>
          </w:tcPr>
          <w:p w14:paraId="5025C400">
            <w:pPr>
              <w:widowControl/>
              <w:ind w:firstLine="420"/>
              <w:jc w:val="center"/>
              <w:rPr>
                <w:sz w:val="21"/>
                <w:szCs w:val="21"/>
              </w:rPr>
            </w:pPr>
          </w:p>
        </w:tc>
      </w:tr>
      <w:tr w14:paraId="26552B7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1DE5BD98">
            <w:pPr>
              <w:widowControl/>
              <w:ind w:firstLine="420"/>
              <w:jc w:val="left"/>
              <w:rPr>
                <w:sz w:val="21"/>
                <w:szCs w:val="21"/>
              </w:rPr>
            </w:pPr>
          </w:p>
        </w:tc>
        <w:tc>
          <w:tcPr>
            <w:tcW w:w="1080" w:type="pct"/>
            <w:vAlign w:val="center"/>
          </w:tcPr>
          <w:p w14:paraId="314475BC">
            <w:pPr>
              <w:pStyle w:val="122"/>
              <w:ind w:firstLine="0" w:firstLineChars="0"/>
              <w:rPr>
                <w:rFonts w:hAnsi="宋体" w:cs="Times New Roman"/>
                <w:kern w:val="2"/>
                <w:szCs w:val="21"/>
              </w:rPr>
            </w:pPr>
            <w:r>
              <w:rPr>
                <w:rFonts w:hint="eastAsia" w:hAnsi="宋体" w:cs="Times New Roman"/>
                <w:kern w:val="2"/>
                <w:szCs w:val="21"/>
              </w:rPr>
              <w:t>访问控制信息完整性</w:t>
            </w:r>
          </w:p>
        </w:tc>
        <w:tc>
          <w:tcPr>
            <w:tcW w:w="1834" w:type="pct"/>
            <w:vAlign w:val="center"/>
          </w:tcPr>
          <w:p w14:paraId="45803AD3">
            <w:pPr>
              <w:widowControl/>
              <w:ind w:firstLine="0" w:firstLineChars="0"/>
              <w:rPr>
                <w:sz w:val="21"/>
                <w:szCs w:val="21"/>
              </w:rPr>
            </w:pPr>
            <w:r>
              <w:rPr>
                <w:rFonts w:hint="eastAsia"/>
                <w:sz w:val="21"/>
                <w:szCs w:val="21"/>
              </w:rPr>
              <w:t>保护应用系统的访问控制信息免受非法篡改</w:t>
            </w:r>
          </w:p>
        </w:tc>
        <w:tc>
          <w:tcPr>
            <w:tcW w:w="1092" w:type="pct"/>
            <w:vAlign w:val="center"/>
          </w:tcPr>
          <w:p w14:paraId="2560C27D">
            <w:pPr>
              <w:widowControl/>
              <w:ind w:firstLine="420"/>
              <w:jc w:val="center"/>
              <w:rPr>
                <w:sz w:val="21"/>
                <w:szCs w:val="21"/>
              </w:rPr>
            </w:pPr>
          </w:p>
        </w:tc>
      </w:tr>
      <w:tr w14:paraId="5B248CA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565007C8">
            <w:pPr>
              <w:widowControl/>
              <w:ind w:firstLine="420"/>
              <w:jc w:val="left"/>
              <w:rPr>
                <w:sz w:val="21"/>
                <w:szCs w:val="21"/>
              </w:rPr>
            </w:pPr>
          </w:p>
        </w:tc>
        <w:tc>
          <w:tcPr>
            <w:tcW w:w="1080" w:type="pct"/>
            <w:vAlign w:val="center"/>
          </w:tcPr>
          <w:p w14:paraId="25475504">
            <w:pPr>
              <w:pStyle w:val="122"/>
              <w:ind w:firstLine="0" w:firstLineChars="0"/>
              <w:rPr>
                <w:rFonts w:hAnsi="宋体" w:cs="Times New Roman"/>
                <w:kern w:val="2"/>
                <w:szCs w:val="21"/>
              </w:rPr>
            </w:pPr>
            <w:r>
              <w:rPr>
                <w:rFonts w:hint="eastAsia" w:hAnsi="宋体" w:cs="Times New Roman"/>
                <w:kern w:val="2"/>
                <w:szCs w:val="21"/>
              </w:rPr>
              <w:t>重要信息资源安全标记完整性</w:t>
            </w:r>
          </w:p>
        </w:tc>
        <w:tc>
          <w:tcPr>
            <w:tcW w:w="1834" w:type="pct"/>
            <w:vAlign w:val="center"/>
          </w:tcPr>
          <w:p w14:paraId="25744575">
            <w:pPr>
              <w:widowControl/>
              <w:ind w:firstLine="0" w:firstLineChars="0"/>
              <w:rPr>
                <w:sz w:val="21"/>
                <w:szCs w:val="21"/>
              </w:rPr>
            </w:pPr>
            <w:r>
              <w:rPr>
                <w:rFonts w:hint="eastAsia"/>
                <w:sz w:val="21"/>
                <w:szCs w:val="21"/>
              </w:rPr>
              <w:t>不适用</w:t>
            </w:r>
          </w:p>
        </w:tc>
        <w:tc>
          <w:tcPr>
            <w:tcW w:w="1092" w:type="pct"/>
            <w:vAlign w:val="center"/>
          </w:tcPr>
          <w:p w14:paraId="1A9BFE96">
            <w:pPr>
              <w:widowControl/>
              <w:ind w:firstLine="0" w:firstLineChars="0"/>
              <w:rPr>
                <w:sz w:val="21"/>
                <w:szCs w:val="21"/>
              </w:rPr>
            </w:pPr>
            <w:r>
              <w:rPr>
                <w:rFonts w:hint="eastAsia"/>
                <w:sz w:val="21"/>
                <w:szCs w:val="21"/>
              </w:rPr>
              <w:t>无重要信息资源安全标记</w:t>
            </w:r>
          </w:p>
        </w:tc>
      </w:tr>
      <w:tr w14:paraId="2437825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2A622C97">
            <w:pPr>
              <w:widowControl/>
              <w:ind w:firstLine="420"/>
              <w:jc w:val="left"/>
              <w:rPr>
                <w:sz w:val="21"/>
                <w:szCs w:val="21"/>
              </w:rPr>
            </w:pPr>
          </w:p>
        </w:tc>
        <w:tc>
          <w:tcPr>
            <w:tcW w:w="1080" w:type="pct"/>
            <w:vAlign w:val="center"/>
          </w:tcPr>
          <w:p w14:paraId="6D3F62E8">
            <w:pPr>
              <w:pStyle w:val="122"/>
              <w:ind w:firstLine="0" w:firstLineChars="0"/>
              <w:rPr>
                <w:rFonts w:hAnsi="宋体" w:cs="Times New Roman"/>
                <w:kern w:val="2"/>
                <w:szCs w:val="21"/>
              </w:rPr>
            </w:pPr>
            <w:r>
              <w:rPr>
                <w:rFonts w:hint="eastAsia" w:hAnsi="宋体" w:cs="Times New Roman"/>
                <w:kern w:val="2"/>
                <w:szCs w:val="21"/>
              </w:rPr>
              <w:t>重要数据传输机密性</w:t>
            </w:r>
          </w:p>
        </w:tc>
        <w:tc>
          <w:tcPr>
            <w:tcW w:w="1834" w:type="pct"/>
            <w:vAlign w:val="center"/>
          </w:tcPr>
          <w:p w14:paraId="662D2B99">
            <w:pPr>
              <w:widowControl/>
              <w:ind w:firstLine="0" w:firstLineChars="0"/>
              <w:rPr>
                <w:sz w:val="21"/>
                <w:szCs w:val="21"/>
              </w:rPr>
            </w:pPr>
            <w:r>
              <w:rPr>
                <w:rFonts w:hint="eastAsia"/>
                <w:sz w:val="21"/>
                <w:szCs w:val="21"/>
              </w:rPr>
              <w:t>保护用户鉴别信息等重要数据传输的机密性</w:t>
            </w:r>
          </w:p>
        </w:tc>
        <w:tc>
          <w:tcPr>
            <w:tcW w:w="1092" w:type="pct"/>
            <w:vAlign w:val="center"/>
          </w:tcPr>
          <w:p w14:paraId="6C7AE7B3">
            <w:pPr>
              <w:widowControl/>
              <w:ind w:firstLine="420"/>
              <w:jc w:val="center"/>
              <w:rPr>
                <w:sz w:val="21"/>
                <w:szCs w:val="21"/>
              </w:rPr>
            </w:pPr>
          </w:p>
        </w:tc>
      </w:tr>
      <w:tr w14:paraId="78A97DB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502B97F3">
            <w:pPr>
              <w:widowControl/>
              <w:ind w:firstLine="420"/>
              <w:jc w:val="left"/>
              <w:rPr>
                <w:sz w:val="21"/>
                <w:szCs w:val="21"/>
              </w:rPr>
            </w:pPr>
          </w:p>
        </w:tc>
        <w:tc>
          <w:tcPr>
            <w:tcW w:w="1080" w:type="pct"/>
            <w:vAlign w:val="center"/>
          </w:tcPr>
          <w:p w14:paraId="355D6C46">
            <w:pPr>
              <w:pStyle w:val="122"/>
              <w:ind w:firstLine="0" w:firstLineChars="0"/>
              <w:rPr>
                <w:rFonts w:hAnsi="宋体" w:cs="Times New Roman"/>
                <w:kern w:val="2"/>
                <w:szCs w:val="21"/>
              </w:rPr>
            </w:pPr>
            <w:r>
              <w:rPr>
                <w:rFonts w:hint="eastAsia" w:hAnsi="宋体" w:cs="Times New Roman"/>
                <w:kern w:val="2"/>
                <w:szCs w:val="21"/>
              </w:rPr>
              <w:t>重要数据存储机密性</w:t>
            </w:r>
          </w:p>
        </w:tc>
        <w:tc>
          <w:tcPr>
            <w:tcW w:w="1834" w:type="pct"/>
            <w:vAlign w:val="center"/>
          </w:tcPr>
          <w:p w14:paraId="5A71B85F">
            <w:pPr>
              <w:widowControl/>
              <w:ind w:firstLine="0" w:firstLineChars="0"/>
              <w:rPr>
                <w:sz w:val="21"/>
                <w:szCs w:val="21"/>
              </w:rPr>
            </w:pPr>
            <w:r>
              <w:rPr>
                <w:rFonts w:hint="eastAsia"/>
                <w:sz w:val="21"/>
                <w:szCs w:val="21"/>
              </w:rPr>
              <w:t>保护用户鉴别信息等重要数据存储的机密性</w:t>
            </w:r>
          </w:p>
        </w:tc>
        <w:tc>
          <w:tcPr>
            <w:tcW w:w="1092" w:type="pct"/>
            <w:vAlign w:val="center"/>
          </w:tcPr>
          <w:p w14:paraId="47435577">
            <w:pPr>
              <w:widowControl/>
              <w:ind w:firstLine="420"/>
              <w:jc w:val="center"/>
              <w:rPr>
                <w:sz w:val="21"/>
                <w:szCs w:val="21"/>
              </w:rPr>
            </w:pPr>
          </w:p>
        </w:tc>
      </w:tr>
      <w:tr w14:paraId="70CA1A5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2B3A25B0">
            <w:pPr>
              <w:widowControl/>
              <w:ind w:firstLine="420"/>
              <w:jc w:val="left"/>
              <w:rPr>
                <w:sz w:val="21"/>
                <w:szCs w:val="21"/>
              </w:rPr>
            </w:pPr>
          </w:p>
        </w:tc>
        <w:tc>
          <w:tcPr>
            <w:tcW w:w="1080" w:type="pct"/>
            <w:vAlign w:val="center"/>
          </w:tcPr>
          <w:p w14:paraId="25EA990D">
            <w:pPr>
              <w:pStyle w:val="122"/>
              <w:ind w:firstLine="0" w:firstLineChars="0"/>
              <w:rPr>
                <w:rFonts w:hAnsi="宋体" w:cs="Times New Roman"/>
                <w:kern w:val="2"/>
                <w:szCs w:val="21"/>
              </w:rPr>
            </w:pPr>
            <w:r>
              <w:rPr>
                <w:rFonts w:hint="eastAsia" w:hAnsi="宋体" w:cs="Times New Roman"/>
                <w:kern w:val="2"/>
                <w:szCs w:val="21"/>
              </w:rPr>
              <w:t>重要数据传输完整性</w:t>
            </w:r>
          </w:p>
        </w:tc>
        <w:tc>
          <w:tcPr>
            <w:tcW w:w="1834" w:type="pct"/>
            <w:vAlign w:val="center"/>
          </w:tcPr>
          <w:p w14:paraId="7D9D1AFF">
            <w:pPr>
              <w:widowControl/>
              <w:ind w:firstLine="0" w:firstLineChars="0"/>
              <w:rPr>
                <w:sz w:val="21"/>
                <w:szCs w:val="21"/>
              </w:rPr>
            </w:pPr>
            <w:r>
              <w:rPr>
                <w:rFonts w:hint="eastAsia"/>
                <w:sz w:val="21"/>
                <w:szCs w:val="21"/>
              </w:rPr>
              <w:t>保护用户鉴别信息等重要数据传输的完整性</w:t>
            </w:r>
          </w:p>
        </w:tc>
        <w:tc>
          <w:tcPr>
            <w:tcW w:w="1092" w:type="pct"/>
            <w:vAlign w:val="center"/>
          </w:tcPr>
          <w:p w14:paraId="058246B1">
            <w:pPr>
              <w:widowControl/>
              <w:ind w:firstLine="420"/>
              <w:jc w:val="center"/>
              <w:rPr>
                <w:sz w:val="21"/>
                <w:szCs w:val="21"/>
              </w:rPr>
            </w:pPr>
          </w:p>
        </w:tc>
      </w:tr>
      <w:tr w14:paraId="510A32E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2" w:type="pct"/>
            <w:vMerge w:val="continue"/>
            <w:vAlign w:val="center"/>
          </w:tcPr>
          <w:p w14:paraId="212730B2">
            <w:pPr>
              <w:widowControl/>
              <w:ind w:firstLine="420"/>
              <w:jc w:val="left"/>
              <w:rPr>
                <w:sz w:val="21"/>
                <w:szCs w:val="21"/>
              </w:rPr>
            </w:pPr>
          </w:p>
        </w:tc>
        <w:tc>
          <w:tcPr>
            <w:tcW w:w="1080" w:type="pct"/>
            <w:vAlign w:val="center"/>
          </w:tcPr>
          <w:p w14:paraId="7177D47E">
            <w:pPr>
              <w:pStyle w:val="122"/>
              <w:ind w:firstLine="0" w:firstLineChars="0"/>
              <w:rPr>
                <w:rFonts w:hAnsi="宋体" w:cs="Times New Roman"/>
                <w:kern w:val="2"/>
                <w:szCs w:val="21"/>
              </w:rPr>
            </w:pPr>
            <w:r>
              <w:rPr>
                <w:rFonts w:hint="eastAsia" w:hAnsi="宋体" w:cs="Times New Roman"/>
                <w:kern w:val="2"/>
                <w:szCs w:val="21"/>
              </w:rPr>
              <w:t>重要数据存储完整性</w:t>
            </w:r>
          </w:p>
        </w:tc>
        <w:tc>
          <w:tcPr>
            <w:tcW w:w="1834" w:type="pct"/>
            <w:vAlign w:val="center"/>
          </w:tcPr>
          <w:p w14:paraId="2357AAA2">
            <w:pPr>
              <w:widowControl/>
              <w:ind w:firstLine="0" w:firstLineChars="0"/>
              <w:rPr>
                <w:sz w:val="21"/>
                <w:szCs w:val="21"/>
              </w:rPr>
            </w:pPr>
            <w:r>
              <w:rPr>
                <w:rFonts w:hint="eastAsia"/>
                <w:sz w:val="21"/>
                <w:szCs w:val="21"/>
              </w:rPr>
              <w:t>保护用户鉴别信息等重要数据存储的完整性</w:t>
            </w:r>
          </w:p>
        </w:tc>
        <w:tc>
          <w:tcPr>
            <w:tcW w:w="1092" w:type="pct"/>
            <w:vAlign w:val="center"/>
          </w:tcPr>
          <w:p w14:paraId="1B134E0D">
            <w:pPr>
              <w:widowControl/>
              <w:ind w:firstLine="420"/>
              <w:jc w:val="center"/>
              <w:rPr>
                <w:sz w:val="21"/>
                <w:szCs w:val="21"/>
              </w:rPr>
            </w:pPr>
          </w:p>
        </w:tc>
      </w:tr>
    </w:tbl>
    <w:p w14:paraId="453A5015">
      <w:pPr>
        <w:ind w:firstLine="0" w:firstLineChars="0"/>
      </w:pPr>
    </w:p>
    <w:p w14:paraId="1085CB87">
      <w:pPr>
        <w:keepNext/>
        <w:keepLines/>
        <w:numPr>
          <w:ilvl w:val="1"/>
          <w:numId w:val="1"/>
        </w:numPr>
        <w:spacing w:before="120" w:after="120"/>
        <w:ind w:hanging="993" w:firstLineChars="0"/>
        <w:outlineLvl w:val="2"/>
        <w:rPr>
          <w:b/>
          <w:bCs/>
          <w:sz w:val="30"/>
          <w:szCs w:val="32"/>
        </w:rPr>
      </w:pPr>
      <w:bookmarkStart w:id="29" w:name="_Toc24097"/>
      <w:r>
        <w:rPr>
          <w:rFonts w:hint="eastAsia"/>
          <w:b/>
          <w:bCs/>
          <w:sz w:val="30"/>
          <w:szCs w:val="32"/>
        </w:rPr>
        <w:t>技术文件要求</w:t>
      </w:r>
      <w:bookmarkEnd w:id="29"/>
    </w:p>
    <w:p w14:paraId="4732FF66">
      <w:r>
        <w:rPr>
          <w:rFonts w:hint="eastAsia"/>
        </w:rPr>
        <w:t>供应商在验收阶段提供的书面技术资料应能确保系统正常运行所需的管理、运营及维护有关的全套文件。技术文件应该全面、完整、详细。供应商提供的技术文件至少应包括：</w:t>
      </w:r>
    </w:p>
    <w:p w14:paraId="71BD36BE">
      <w:r>
        <w:rPr>
          <w:rFonts w:hint="eastAsia"/>
        </w:rPr>
        <w:t>－</w:t>
      </w:r>
      <w:r>
        <w:t xml:space="preserve"> 系统说明文件； </w:t>
      </w:r>
    </w:p>
    <w:p w14:paraId="14E78FF3">
      <w:r>
        <w:rPr>
          <w:rFonts w:hint="eastAsia"/>
        </w:rPr>
        <w:t>－</w:t>
      </w:r>
      <w:r>
        <w:t xml:space="preserve"> 技术手册(安装、测试、操作、维护、故障排除等)； </w:t>
      </w:r>
    </w:p>
    <w:p w14:paraId="678B0433">
      <w:r>
        <w:rPr>
          <w:rFonts w:hint="eastAsia"/>
        </w:rPr>
        <w:t>－</w:t>
      </w:r>
      <w:r>
        <w:t xml:space="preserve"> 项目文档，应该包括：</w:t>
      </w:r>
    </w:p>
    <w:p w14:paraId="0D04515D">
      <w:pPr>
        <w:ind w:left="360"/>
      </w:pPr>
      <w:r>
        <w:t>(1)软件需求说明书</w:t>
      </w:r>
    </w:p>
    <w:p w14:paraId="611F728C">
      <w:pPr>
        <w:ind w:left="360"/>
      </w:pPr>
      <w:r>
        <w:t>(2)</w:t>
      </w:r>
      <w:r>
        <w:tab/>
      </w:r>
      <w:r>
        <w:t>系统总体设计说明书</w:t>
      </w:r>
    </w:p>
    <w:p w14:paraId="0F7CEAE8">
      <w:pPr>
        <w:ind w:left="360"/>
      </w:pPr>
      <w:r>
        <w:t>(3)</w:t>
      </w:r>
      <w:r>
        <w:tab/>
      </w:r>
      <w:r>
        <w:t>应用软件功能清单</w:t>
      </w:r>
    </w:p>
    <w:p w14:paraId="1DE4ACAF">
      <w:r>
        <w:rPr>
          <w:rFonts w:hint="eastAsia"/>
        </w:rPr>
        <w:t>提供全套技术文件纸介质</w:t>
      </w:r>
      <w:r>
        <w:t>3套以及电子文件1套。</w:t>
      </w:r>
    </w:p>
    <w:p w14:paraId="520410BE"/>
    <w:p w14:paraId="1D47357B">
      <w:pPr>
        <w:pStyle w:val="2"/>
      </w:pPr>
      <w:bookmarkStart w:id="30" w:name="_Toc28749"/>
      <w:bookmarkStart w:id="31" w:name="_Toc11103"/>
      <w:r>
        <w:rPr>
          <w:rFonts w:hint="eastAsia"/>
        </w:rPr>
        <w:t>供应商管理要求</w:t>
      </w:r>
      <w:bookmarkEnd w:id="30"/>
      <w:bookmarkEnd w:id="31"/>
    </w:p>
    <w:p w14:paraId="58368887">
      <w:r>
        <w:rPr>
          <w:rFonts w:hint="eastAsia"/>
        </w:rPr>
        <w:t>1、在项目实施期间，成交供应商应严格执行国家、地方、行业有关本项目业务管理和安全作业的法律、法规和制度并按规定承担相应的费用。成交供应商因违反规定等原因造成的一切损失和责任由成交供应商自行承担。</w:t>
      </w:r>
    </w:p>
    <w:p w14:paraId="6566A6AA">
      <w:r>
        <w:rPr>
          <w:rFonts w:hint="eastAsia"/>
        </w:rPr>
        <w:t>2、成交供应商在响应文件中承诺并经采购人认定的项目负责人及专业技术人员是本单位职工（在本单位缴纳社会保障金）和该项目实施现场的实际操作者，应具有类似本项目的实施经验，并应在软件应用调研、安装、试运行等期间常驻项目现场。未经采购人同意，成交供应商不得调换或撤离上述人员。如采购人认为有必要，可要求成交供应商对上述人员中的部分人员作出更好的调整。</w:t>
      </w:r>
    </w:p>
    <w:p w14:paraId="0A4C3F99">
      <w:r>
        <w:rPr>
          <w:rFonts w:hint="eastAsia"/>
        </w:rPr>
        <w:t>3、成交供应商在项目实施期间，应按项目实际进度与环节落实所对应项目整体及各环节管理工作，按照规范做好项目实施期间相关管理与实施记录。</w:t>
      </w:r>
    </w:p>
    <w:p w14:paraId="287CE417">
      <w:r>
        <w:rPr>
          <w:rFonts w:hint="eastAsia"/>
        </w:rPr>
        <w:t>4、参与本项目的工作人员应严格遵循采购人的安全制度，保障采购人资料和设备的安全。成交供应商如需进入采购人机房工作，只能在采购人规定的工作区域内对项目涉及的设备进行操作，严禁触动与项目无关的任何设备（包括任何操作行为），如需跨区操作需得到采购人项目联系人确认。</w:t>
      </w:r>
    </w:p>
    <w:p w14:paraId="7431D20A">
      <w:r>
        <w:rPr>
          <w:rFonts w:hint="eastAsia"/>
        </w:rPr>
        <w:t>5、成交供应商在项目实施期间需遵守采购人的规章制度并提供实施人员名单。</w:t>
      </w:r>
    </w:p>
    <w:p w14:paraId="396E5E7B">
      <w:r>
        <w:rPr>
          <w:rFonts w:hint="eastAsia"/>
        </w:rPr>
        <w:t>6、各供应商在响应文件中要结合本项目的特点和采购人上述的具体要求制定相应的管理措施，并在报价中列支相应的费用清单，供应商报价中未列支上述费用清单的，上述费用视为已包含在供应商的响应总报价中。</w:t>
      </w:r>
    </w:p>
    <w:p w14:paraId="398030E8">
      <w:pPr>
        <w:rPr>
          <w:szCs w:val="21"/>
        </w:rPr>
      </w:pPr>
      <w:r>
        <w:rPr>
          <w:rFonts w:hint="eastAsia"/>
        </w:rPr>
        <w:t>7、本项目软件开发及调试将纳入采购人的管理范围，成交供应商在此过程中服从上述单位的管理协调。</w:t>
      </w:r>
    </w:p>
    <w:p w14:paraId="4AFB9AA9"/>
    <w:p w14:paraId="551CA1F6">
      <w:pPr>
        <w:pStyle w:val="2"/>
      </w:pPr>
      <w:bookmarkStart w:id="32" w:name="_Toc16175"/>
      <w:bookmarkStart w:id="33" w:name="_Toc28506"/>
      <w:r>
        <w:rPr>
          <w:rFonts w:hint="eastAsia"/>
        </w:rPr>
        <w:t>知识产权及保密要求</w:t>
      </w:r>
      <w:bookmarkEnd w:id="32"/>
      <w:bookmarkEnd w:id="33"/>
    </w:p>
    <w:p w14:paraId="3AE91BAC">
      <w:pPr>
        <w:ind w:firstLine="482"/>
        <w:rPr>
          <w:b/>
        </w:rPr>
      </w:pPr>
      <w:r>
        <w:rPr>
          <w:b/>
        </w:rPr>
        <w:t>1、成交供应商数据、文件、资料知识产权</w:t>
      </w:r>
    </w:p>
    <w:p w14:paraId="4E6856C6">
      <w:r>
        <w:rPr>
          <w:rFonts w:hint="eastAsia"/>
        </w:rPr>
        <w:t>成交供应商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成交供应商应负责与第三方解决纠纷，若因此导致采购人损失的，采购人有权要求成交供应商赔偿采购人因此遭受的全部损失，包括但不限于直接损失、间接损失、诉讼费／仲裁费、律师费、公证费、鉴定费等。</w:t>
      </w:r>
    </w:p>
    <w:p w14:paraId="75C1C83D">
      <w:r>
        <w:rPr>
          <w:rFonts w:hint="eastAsia"/>
        </w:rPr>
        <w:t>成交供应商因履行本项目而产生的所有成果的知识产权等权利均归采购人所有，成交供应商应配合采购人进行相关权利登记或申请。未经采购人书面同意，成交供应商不得以任何形式使用或许可他人使用本项目成果的相关内容，不得擅自对外公开发表或向任何第三方透露。</w:t>
      </w:r>
    </w:p>
    <w:p w14:paraId="311BF465">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7A1B3C55">
      <w:pPr>
        <w:ind w:firstLine="482"/>
        <w:rPr>
          <w:b/>
        </w:rPr>
      </w:pPr>
      <w:r>
        <w:rPr>
          <w:b/>
        </w:rPr>
        <w:t>2、项目保密要求</w:t>
      </w:r>
    </w:p>
    <w:p w14:paraId="5D5DB5BB">
      <w:r>
        <w:rPr>
          <w:rFonts w:hint="eastAsia"/>
        </w:rPr>
        <w:t>成交供应商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成交供应商不得对外泄露采购人要求保密的信息，不得用于其他用途，否则成交供应商需承担由此引起的法律责任和经济责任，包括但不限于直接损失、间接损失、律师费、诉讼费/仲裁费、调查费、公证费等。</w:t>
      </w:r>
    </w:p>
    <w:p w14:paraId="14D0C749">
      <w:r>
        <w:rPr>
          <w:rFonts w:hint="eastAsia"/>
        </w:rPr>
        <w:t>成交供应商应采取必要的有效措施保证其参与本项目的人员（包括成交供应商聘用的人员、借调的人员、实习的人员）无论是在职或离职后，以及成交供应商的合作方无论是合作中或合作终止后，都能够履行本项目约定的保密义务。若成交供应商人员或成交供应商合作方违反保密规定，成交供应商应承担连带责任。</w:t>
      </w:r>
    </w:p>
    <w:p w14:paraId="434C4946">
      <w:r>
        <w:rPr>
          <w:rFonts w:hint="eastAsia"/>
        </w:rPr>
        <w:t>成交供应商（含成交供应商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5F7B316F">
      <w:r>
        <w:rPr>
          <w:rFonts w:hint="eastAsia"/>
        </w:rPr>
        <w:t>以上内容的保密期限自成交供应商知悉保密信息起始至保密信息被合法公开之日止。</w:t>
      </w:r>
    </w:p>
    <w:p w14:paraId="11BCED12">
      <w:pPr>
        <w:ind w:firstLine="482"/>
        <w:rPr>
          <w:b/>
        </w:rPr>
      </w:pPr>
      <w:r>
        <w:rPr>
          <w:b/>
        </w:rPr>
        <w:t>3、临时账号等使用要求</w:t>
      </w:r>
    </w:p>
    <w:p w14:paraId="36A29856">
      <w:r>
        <w:rPr>
          <w:rFonts w:hint="eastAsia"/>
        </w:rPr>
        <w:t>成交供应商对采购人提拱的临时使用账号要保密，不得公开，对组件开发的账号密码需进行加密，避免信息安全的泄露。未经采购人的同意不得利用采购人的网络及平台进行短信、彩信、微信发送</w:t>
      </w:r>
      <w:r>
        <w:t>,造成的一切后果由成交供应商负责。</w:t>
      </w:r>
    </w:p>
    <w:p w14:paraId="77A2F94F">
      <w:pPr>
        <w:pStyle w:val="2"/>
      </w:pPr>
      <w:bookmarkStart w:id="34" w:name="_Toc17875"/>
      <w:bookmarkStart w:id="35" w:name="_Toc13854"/>
      <w:r>
        <w:t>项目的变更、解除和终止</w:t>
      </w:r>
      <w:bookmarkEnd w:id="34"/>
      <w:bookmarkEnd w:id="35"/>
    </w:p>
    <w:p w14:paraId="508BCDC4">
      <w:r>
        <w:rPr>
          <w:rFonts w:hint="eastAsia"/>
        </w:rPr>
        <w:t>如果成交供应商丧失履约能力、发生资不抵债或进入破产程序，采购人可在任何时候以书面形式通知成交供应商终止本项目的执行而不给予成交供应商补偿。该终止本项目将不损害或影响采购人已经采取或将要采取任何行动或补救措施的权利。</w:t>
      </w:r>
    </w:p>
    <w:p w14:paraId="55D46455">
      <w:r>
        <w:rPr>
          <w:rFonts w:hint="eastAsia"/>
        </w:rPr>
        <w:t>如遇国家、行业管理部门等机构的有关标准和规定调整的，导致本项目内容做相应调整时，双方应按照公平、合理的原则共同协商修改本项目对应的合同的相关条款。</w:t>
      </w:r>
    </w:p>
    <w:p w14:paraId="6590ADC1">
      <w:pPr>
        <w:pStyle w:val="2"/>
      </w:pPr>
      <w:bookmarkStart w:id="36" w:name="_Toc20530"/>
      <w:bookmarkStart w:id="37" w:name="_Toc30169"/>
      <w:r>
        <w:rPr>
          <w:rFonts w:hint="eastAsia"/>
        </w:rPr>
        <w:t>违约责任</w:t>
      </w:r>
      <w:bookmarkEnd w:id="36"/>
      <w:bookmarkEnd w:id="37"/>
    </w:p>
    <w:p w14:paraId="45D5DCE9">
      <w:r>
        <w:t>1、如成交供应商未按约定的时间或服务标准完成建设工作，采购人可要求成交供应商在规定的时间内采取补救措施。成交供应商还应向采购人支付本项目费用总额30%的违约金，违约金不足以弥补采购人损失的，采购人有权要求成交供应商赔偿超过部分。</w:t>
      </w:r>
    </w:p>
    <w:p w14:paraId="0BB92C67">
      <w:r>
        <w:t>2、因成交供应商违反保密义务或知识产权约定的，采购人有权要求成交供应商支付本项目费用总额30%的违约金，违约金不足以弥补采购人损失的，采购人有权要求成交供应商赔偿超过部分。若成交供应商违反保密义务，采购人还有权立即单方解除合同而不承担任何违约责任。</w:t>
      </w:r>
    </w:p>
    <w:p w14:paraId="574D42AC">
      <w:r>
        <w:t>3、成交供应商有其他违反本项目合同约定的行为，成交供应商应当支付本项目总价款金额的20%作为违约金，违约金不足以弥补采购人损失的，采购人有权要求成交供应商赔偿超过部分。</w:t>
      </w:r>
    </w:p>
    <w:p w14:paraId="6B1B0771">
      <w:r>
        <w:t>4、成交供应商有下列情形之一，采购人有权解除合同：</w:t>
      </w:r>
    </w:p>
    <w:p w14:paraId="19878060">
      <w:r>
        <w:rPr>
          <w:rFonts w:hint="eastAsia"/>
        </w:rPr>
        <w:t>（1</w:t>
      </w:r>
      <w:r>
        <w:t>）因成交供应商服务质量问题导致采购人无法实现目的；</w:t>
      </w:r>
    </w:p>
    <w:p w14:paraId="0A20441F">
      <w:r>
        <w:rPr>
          <w:rFonts w:hint="eastAsia"/>
        </w:rPr>
        <w:t>（2</w:t>
      </w:r>
      <w:r>
        <w:t>）擅自转让或者分包其应履行的义务的；</w:t>
      </w:r>
    </w:p>
    <w:p w14:paraId="44496931">
      <w:r>
        <w:rPr>
          <w:rFonts w:hint="eastAsia"/>
        </w:rPr>
        <w:t>（3</w:t>
      </w:r>
      <w:r>
        <w:t>）违反或者未履行本项目合同约定的其他相关义务，且在采购人要求的合理时间内未能纠正的。</w:t>
      </w:r>
    </w:p>
    <w:p w14:paraId="7807590C">
      <w:pPr>
        <w:pStyle w:val="2"/>
      </w:pPr>
      <w:bookmarkStart w:id="38" w:name="_Toc30948"/>
      <w:bookmarkStart w:id="39" w:name="_Toc8833"/>
      <w:r>
        <w:rPr>
          <w:rFonts w:hint="eastAsia"/>
        </w:rPr>
        <w:t>付款方式</w:t>
      </w:r>
      <w:bookmarkEnd w:id="38"/>
      <w:bookmarkEnd w:id="39"/>
    </w:p>
    <w:p w14:paraId="37A958B6">
      <w:r>
        <w:t xml:space="preserve">采用分期付款方式付款： </w:t>
      </w:r>
    </w:p>
    <w:p w14:paraId="3B3F9107">
      <w:pPr>
        <w:rPr>
          <w:rFonts w:hint="eastAsia"/>
        </w:rPr>
      </w:pPr>
      <w:r>
        <w:rPr>
          <w:rFonts w:hint="eastAsia"/>
        </w:rPr>
        <w:t>第一</w:t>
      </w:r>
      <w:r>
        <w:t>期</w:t>
      </w:r>
      <w:r>
        <w:rPr>
          <w:rFonts w:hint="eastAsia"/>
        </w:rPr>
        <w:t>-预付款（</w:t>
      </w:r>
      <w:r>
        <w:rPr>
          <w:rFonts w:hint="eastAsia"/>
          <w:lang w:val="en-US" w:eastAsia="zh-CN"/>
        </w:rPr>
        <w:t>3</w:t>
      </w:r>
      <w:r>
        <w:rPr>
          <w:rFonts w:hint="eastAsia"/>
        </w:rPr>
        <w:t>0%）：合同签订且采购人收到有效发票后10个工作日内支付合同款的</w:t>
      </w:r>
      <w:r>
        <w:rPr>
          <w:rFonts w:hint="eastAsia"/>
          <w:lang w:val="en-US" w:eastAsia="zh-CN"/>
        </w:rPr>
        <w:t>3</w:t>
      </w:r>
      <w:r>
        <w:rPr>
          <w:rFonts w:hint="eastAsia"/>
        </w:rPr>
        <w:t>0%作为预付款；</w:t>
      </w:r>
    </w:p>
    <w:p w14:paraId="44AACB2F">
      <w:pPr>
        <w:rPr>
          <w:rFonts w:hint="default" w:eastAsia="宋体"/>
          <w:lang w:val="en-US" w:eastAsia="zh-CN"/>
        </w:rPr>
      </w:pPr>
      <w:r>
        <w:rPr>
          <w:rFonts w:hint="eastAsia"/>
          <w:lang w:val="en-US" w:eastAsia="zh-CN"/>
        </w:rPr>
        <w:t>第二期</w:t>
      </w:r>
      <w:r>
        <w:rPr>
          <w:rFonts w:hint="eastAsia"/>
        </w:rPr>
        <w:t>款（</w:t>
      </w:r>
      <w:r>
        <w:rPr>
          <w:rFonts w:hint="eastAsia"/>
          <w:lang w:val="en-US" w:eastAsia="zh-CN"/>
        </w:rPr>
        <w:t>3</w:t>
      </w:r>
      <w:r>
        <w:rPr>
          <w:rFonts w:hint="eastAsia"/>
        </w:rPr>
        <w:t>0%）</w:t>
      </w:r>
      <w:r>
        <w:rPr>
          <w:rFonts w:hint="eastAsia"/>
          <w:lang w:eastAsia="zh-CN"/>
        </w:rPr>
        <w:t>：</w:t>
      </w:r>
      <w:r>
        <w:rPr>
          <w:rFonts w:hint="eastAsia"/>
          <w:lang w:val="en-US" w:eastAsia="zh-CN"/>
        </w:rPr>
        <w:t>完成系统总体框架搭建后且采购人收到有效发票</w:t>
      </w:r>
      <w:r>
        <w:rPr>
          <w:rFonts w:hint="eastAsia"/>
        </w:rPr>
        <w:t>10个工作日内支付合同款的</w:t>
      </w:r>
      <w:r>
        <w:rPr>
          <w:rFonts w:hint="eastAsia"/>
          <w:lang w:val="en-US" w:eastAsia="zh-CN"/>
        </w:rPr>
        <w:t>3</w:t>
      </w:r>
      <w:r>
        <w:rPr>
          <w:rFonts w:hint="eastAsia"/>
        </w:rPr>
        <w:t>0%；</w:t>
      </w:r>
    </w:p>
    <w:p w14:paraId="6E3BCD06">
      <w:r>
        <w:rPr>
          <w:rFonts w:hint="eastAsia"/>
        </w:rPr>
        <w:t>第三</w:t>
      </w:r>
      <w:r>
        <w:t>期</w:t>
      </w:r>
      <w:r>
        <w:rPr>
          <w:rFonts w:hint="eastAsia"/>
        </w:rPr>
        <w:t>款（</w:t>
      </w:r>
      <w:r>
        <w:rPr>
          <w:rFonts w:hint="eastAsia"/>
          <w:lang w:val="en-US" w:eastAsia="zh-CN"/>
        </w:rPr>
        <w:t>3</w:t>
      </w:r>
      <w:r>
        <w:rPr>
          <w:rFonts w:hint="eastAsia"/>
        </w:rPr>
        <w:t>0%）：系统上线试运行后且采购人收到有效发票10个工作日内支付合同款的</w:t>
      </w:r>
      <w:r>
        <w:rPr>
          <w:rFonts w:hint="eastAsia"/>
          <w:lang w:val="en-US" w:eastAsia="zh-CN"/>
        </w:rPr>
        <w:t>3</w:t>
      </w:r>
      <w:r>
        <w:rPr>
          <w:rFonts w:hint="eastAsia"/>
        </w:rPr>
        <w:t>0%；</w:t>
      </w:r>
    </w:p>
    <w:p w14:paraId="0BBF674C">
      <w:r>
        <w:rPr>
          <w:rFonts w:hint="eastAsia"/>
        </w:rPr>
        <w:t>第</w:t>
      </w:r>
      <w:r>
        <w:rPr>
          <w:rFonts w:hint="eastAsia"/>
          <w:lang w:val="en-US" w:eastAsia="zh-CN"/>
        </w:rPr>
        <w:t>四</w:t>
      </w:r>
      <w:r>
        <w:t>期</w:t>
      </w:r>
      <w:r>
        <w:rPr>
          <w:rFonts w:hint="eastAsia"/>
        </w:rPr>
        <w:t>-尾款（10%），最终验收通过后，采购人收到有效发票10个工作日内支付剩余合同款。</w:t>
      </w:r>
    </w:p>
    <w:p w14:paraId="65FD99F3">
      <w:pPr>
        <w:pStyle w:val="2"/>
      </w:pPr>
      <w:r>
        <w:rPr>
          <w:rFonts w:hint="eastAsia"/>
        </w:rPr>
        <w:t>其他要求</w:t>
      </w:r>
    </w:p>
    <w:p w14:paraId="356E4416">
      <w:r>
        <w:rPr>
          <w:rFonts w:hint="eastAsia"/>
        </w:rPr>
        <w:t>1</w:t>
      </w:r>
      <w:r>
        <w:t>.</w:t>
      </w:r>
      <w:r>
        <w:rPr>
          <w:rFonts w:hint="eastAsia"/>
        </w:rPr>
        <w:t>投标人具有近三年类似业绩的优先考虑；</w:t>
      </w:r>
    </w:p>
    <w:p w14:paraId="5BBB32B4">
      <w:r>
        <w:rPr>
          <w:rFonts w:hint="eastAsia"/>
        </w:rPr>
        <w:t>2</w:t>
      </w:r>
      <w:r>
        <w:t>.</w:t>
      </w:r>
      <w:r>
        <w:rPr>
          <w:rFonts w:hint="eastAsia"/>
        </w:rPr>
        <w:t>投标人具有</w:t>
      </w:r>
      <w:r>
        <w:rPr>
          <w:rFonts w:hint="eastAsia"/>
          <w:lang w:val="en-US" w:eastAsia="zh-CN"/>
        </w:rPr>
        <w:t>I</w:t>
      </w:r>
      <w:r>
        <w:rPr>
          <w:rFonts w:hint="eastAsia"/>
        </w:rPr>
        <w:t>SO9001质量管理体系认证、ISO27001信息安全管理体系认证、ITSS信息技术服务运行维护证书、软件企业证书</w:t>
      </w:r>
      <w:r>
        <w:t>的</w:t>
      </w:r>
      <w:r>
        <w:rPr>
          <w:rFonts w:hint="eastAsia"/>
        </w:rPr>
        <w:t>优先考虑。</w:t>
      </w:r>
    </w:p>
    <w:p w14:paraId="364BCA41"/>
    <w:p w14:paraId="3BBB51A3">
      <w:pPr>
        <w:ind w:firstLine="0" w:firstLineChars="0"/>
        <w:rPr>
          <w:b/>
          <w:bCs/>
        </w:rPr>
      </w:pPr>
    </w:p>
    <w:sectPr>
      <w:pgSz w:w="11906" w:h="16838"/>
      <w:pgMar w:top="1134" w:right="1797" w:bottom="1135" w:left="1797" w:header="340" w:footer="7" w:gutter="0"/>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Noto Sans CJK SC"/>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2895">
    <w:pPr>
      <w:ind w:firstLine="0" w:firstLineChars="0"/>
      <w:jc w:val="center"/>
    </w:pPr>
    <w:r>
      <w:fldChar w:fldCharType="begin"/>
    </w:r>
    <w:r>
      <w:instrText xml:space="preserve">PAGE   \* MERGEFORMAT</w:instrText>
    </w:r>
    <w:r>
      <w:fldChar w:fldCharType="separate"/>
    </w:r>
    <w:r>
      <w:rPr>
        <w:lang w:val="zh-CN"/>
      </w:rPr>
      <w:t>6</w:t>
    </w:r>
    <w:r>
      <w:rPr>
        <w:lang w:val="zh-CN"/>
      </w:rPr>
      <w:fldChar w:fldCharType="end"/>
    </w:r>
  </w:p>
  <w:p w14:paraId="0F27D2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1A138"/>
  <w:p w14:paraId="38DF96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06C9">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DD76">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53D1DA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92A9">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D493"/>
  <w:p w14:paraId="1EBB8D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B869">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0366A"/>
    <w:multiLevelType w:val="multilevel"/>
    <w:tmpl w:val="6350366A"/>
    <w:lvl w:ilvl="0" w:tentative="0">
      <w:start w:val="1"/>
      <w:numFmt w:val="none"/>
      <w:pStyle w:val="119"/>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YmEzMTNhMjdkYThkNDYyOTNhN2M4MTNhMDJiODcifQ=="/>
  </w:docVars>
  <w:rsids>
    <w:rsidRoot w:val="009D2397"/>
    <w:rsid w:val="00001268"/>
    <w:rsid w:val="00001DD4"/>
    <w:rsid w:val="0000249A"/>
    <w:rsid w:val="000111D4"/>
    <w:rsid w:val="0001231A"/>
    <w:rsid w:val="00016CFE"/>
    <w:rsid w:val="00017DA5"/>
    <w:rsid w:val="000302E8"/>
    <w:rsid w:val="000401C8"/>
    <w:rsid w:val="00084E82"/>
    <w:rsid w:val="000B7F50"/>
    <w:rsid w:val="000D35EE"/>
    <w:rsid w:val="000D6653"/>
    <w:rsid w:val="00141C68"/>
    <w:rsid w:val="001457C3"/>
    <w:rsid w:val="0015600B"/>
    <w:rsid w:val="001739D4"/>
    <w:rsid w:val="001A0E30"/>
    <w:rsid w:val="001C0219"/>
    <w:rsid w:val="001F6CDA"/>
    <w:rsid w:val="00224CB3"/>
    <w:rsid w:val="0023588A"/>
    <w:rsid w:val="00250F26"/>
    <w:rsid w:val="0026093B"/>
    <w:rsid w:val="002619D2"/>
    <w:rsid w:val="0026742E"/>
    <w:rsid w:val="00286820"/>
    <w:rsid w:val="002A38E1"/>
    <w:rsid w:val="002A6247"/>
    <w:rsid w:val="002C4CF6"/>
    <w:rsid w:val="002C5A01"/>
    <w:rsid w:val="002D4897"/>
    <w:rsid w:val="002D7F73"/>
    <w:rsid w:val="00336E85"/>
    <w:rsid w:val="0035109C"/>
    <w:rsid w:val="00380420"/>
    <w:rsid w:val="0038587C"/>
    <w:rsid w:val="003A66B5"/>
    <w:rsid w:val="003F0061"/>
    <w:rsid w:val="00404A7D"/>
    <w:rsid w:val="00421E31"/>
    <w:rsid w:val="00447A63"/>
    <w:rsid w:val="00465FC1"/>
    <w:rsid w:val="00477325"/>
    <w:rsid w:val="004D6936"/>
    <w:rsid w:val="004E0DDA"/>
    <w:rsid w:val="005035DE"/>
    <w:rsid w:val="005260A9"/>
    <w:rsid w:val="00530632"/>
    <w:rsid w:val="00541AF0"/>
    <w:rsid w:val="00577361"/>
    <w:rsid w:val="00586519"/>
    <w:rsid w:val="00596BF8"/>
    <w:rsid w:val="005B12F5"/>
    <w:rsid w:val="005C5628"/>
    <w:rsid w:val="005D68BE"/>
    <w:rsid w:val="0060544E"/>
    <w:rsid w:val="00613A6B"/>
    <w:rsid w:val="00631950"/>
    <w:rsid w:val="006407E7"/>
    <w:rsid w:val="0065118E"/>
    <w:rsid w:val="006B61D7"/>
    <w:rsid w:val="00734DFE"/>
    <w:rsid w:val="007452B7"/>
    <w:rsid w:val="00761249"/>
    <w:rsid w:val="007753A1"/>
    <w:rsid w:val="0077621A"/>
    <w:rsid w:val="007913A6"/>
    <w:rsid w:val="007B6EB2"/>
    <w:rsid w:val="007C11C5"/>
    <w:rsid w:val="007D67F3"/>
    <w:rsid w:val="007E1FCB"/>
    <w:rsid w:val="007F4B59"/>
    <w:rsid w:val="007F6008"/>
    <w:rsid w:val="00800956"/>
    <w:rsid w:val="00805DFF"/>
    <w:rsid w:val="00811678"/>
    <w:rsid w:val="00813FEE"/>
    <w:rsid w:val="008211E5"/>
    <w:rsid w:val="00833892"/>
    <w:rsid w:val="008367A8"/>
    <w:rsid w:val="008408EF"/>
    <w:rsid w:val="00882E23"/>
    <w:rsid w:val="008D5E15"/>
    <w:rsid w:val="008E57F4"/>
    <w:rsid w:val="008E6398"/>
    <w:rsid w:val="0091419B"/>
    <w:rsid w:val="00946F09"/>
    <w:rsid w:val="009554E3"/>
    <w:rsid w:val="009657AA"/>
    <w:rsid w:val="00974B31"/>
    <w:rsid w:val="009A511A"/>
    <w:rsid w:val="009D2397"/>
    <w:rsid w:val="009D7393"/>
    <w:rsid w:val="009E7E16"/>
    <w:rsid w:val="009F17B1"/>
    <w:rsid w:val="00A41B07"/>
    <w:rsid w:val="00A5617C"/>
    <w:rsid w:val="00A83B70"/>
    <w:rsid w:val="00AD4873"/>
    <w:rsid w:val="00B0321D"/>
    <w:rsid w:val="00B26289"/>
    <w:rsid w:val="00B46D74"/>
    <w:rsid w:val="00B673E5"/>
    <w:rsid w:val="00B87DF9"/>
    <w:rsid w:val="00B93F9E"/>
    <w:rsid w:val="00BC2E55"/>
    <w:rsid w:val="00BE331C"/>
    <w:rsid w:val="00C0212C"/>
    <w:rsid w:val="00C03A32"/>
    <w:rsid w:val="00C43B9F"/>
    <w:rsid w:val="00C95167"/>
    <w:rsid w:val="00CA557F"/>
    <w:rsid w:val="00CE6BD1"/>
    <w:rsid w:val="00CF69C2"/>
    <w:rsid w:val="00D02D93"/>
    <w:rsid w:val="00D9282A"/>
    <w:rsid w:val="00D93DA0"/>
    <w:rsid w:val="00DA7DBD"/>
    <w:rsid w:val="00DC2F47"/>
    <w:rsid w:val="00DD19EB"/>
    <w:rsid w:val="00DD2DEB"/>
    <w:rsid w:val="00DF1237"/>
    <w:rsid w:val="00E04497"/>
    <w:rsid w:val="00E11C58"/>
    <w:rsid w:val="00E24404"/>
    <w:rsid w:val="00E334F6"/>
    <w:rsid w:val="00E46B79"/>
    <w:rsid w:val="00E54182"/>
    <w:rsid w:val="00E62E04"/>
    <w:rsid w:val="00E80D27"/>
    <w:rsid w:val="00EA23F2"/>
    <w:rsid w:val="00EB1C2E"/>
    <w:rsid w:val="00EB2B30"/>
    <w:rsid w:val="00EC7941"/>
    <w:rsid w:val="00ED2C16"/>
    <w:rsid w:val="00EF582E"/>
    <w:rsid w:val="00F316DB"/>
    <w:rsid w:val="00F36848"/>
    <w:rsid w:val="00F52B77"/>
    <w:rsid w:val="00F77821"/>
    <w:rsid w:val="00F86464"/>
    <w:rsid w:val="00F92BF1"/>
    <w:rsid w:val="00FA2A96"/>
    <w:rsid w:val="00FA4617"/>
    <w:rsid w:val="00FC6AAA"/>
    <w:rsid w:val="00FD4107"/>
    <w:rsid w:val="01F336B8"/>
    <w:rsid w:val="022D25F8"/>
    <w:rsid w:val="024C5E48"/>
    <w:rsid w:val="05DF0E99"/>
    <w:rsid w:val="06126227"/>
    <w:rsid w:val="069A7FF8"/>
    <w:rsid w:val="06D40A51"/>
    <w:rsid w:val="07772DAE"/>
    <w:rsid w:val="08F6039D"/>
    <w:rsid w:val="0A5B078E"/>
    <w:rsid w:val="0B7B4FAF"/>
    <w:rsid w:val="0B884C29"/>
    <w:rsid w:val="0B9F0D16"/>
    <w:rsid w:val="0BBB077A"/>
    <w:rsid w:val="0D46126D"/>
    <w:rsid w:val="0E5C283D"/>
    <w:rsid w:val="123C7875"/>
    <w:rsid w:val="134A0A16"/>
    <w:rsid w:val="15FC0026"/>
    <w:rsid w:val="16ED28DB"/>
    <w:rsid w:val="1DE92029"/>
    <w:rsid w:val="1E336318"/>
    <w:rsid w:val="1EBA325B"/>
    <w:rsid w:val="1F3B254F"/>
    <w:rsid w:val="1F7B2C73"/>
    <w:rsid w:val="251C461B"/>
    <w:rsid w:val="25D5565D"/>
    <w:rsid w:val="26C2328E"/>
    <w:rsid w:val="26C75EA7"/>
    <w:rsid w:val="289A4DF4"/>
    <w:rsid w:val="298D1FAA"/>
    <w:rsid w:val="29B449E4"/>
    <w:rsid w:val="2E88388E"/>
    <w:rsid w:val="2EA86D20"/>
    <w:rsid w:val="31E85B72"/>
    <w:rsid w:val="39DC5BB6"/>
    <w:rsid w:val="39F2758E"/>
    <w:rsid w:val="3ACE2381"/>
    <w:rsid w:val="3B000ABB"/>
    <w:rsid w:val="3B135A0E"/>
    <w:rsid w:val="3B1403AE"/>
    <w:rsid w:val="3C727823"/>
    <w:rsid w:val="3E09759C"/>
    <w:rsid w:val="3EC0145C"/>
    <w:rsid w:val="42076D18"/>
    <w:rsid w:val="42561330"/>
    <w:rsid w:val="43581D28"/>
    <w:rsid w:val="46D03D93"/>
    <w:rsid w:val="474205F7"/>
    <w:rsid w:val="4AC04479"/>
    <w:rsid w:val="4C3605C6"/>
    <w:rsid w:val="4CAB3FC1"/>
    <w:rsid w:val="4D467EC5"/>
    <w:rsid w:val="4DCE1CA3"/>
    <w:rsid w:val="4E11675A"/>
    <w:rsid w:val="4EB76B82"/>
    <w:rsid w:val="4FA2150D"/>
    <w:rsid w:val="4FE15C83"/>
    <w:rsid w:val="51042CAA"/>
    <w:rsid w:val="53D5495F"/>
    <w:rsid w:val="53F20FDD"/>
    <w:rsid w:val="54A2765E"/>
    <w:rsid w:val="555211F0"/>
    <w:rsid w:val="57E01845"/>
    <w:rsid w:val="5B123195"/>
    <w:rsid w:val="5B644A23"/>
    <w:rsid w:val="5BA71C00"/>
    <w:rsid w:val="5D174E5B"/>
    <w:rsid w:val="5F0F66F3"/>
    <w:rsid w:val="61C50CDA"/>
    <w:rsid w:val="6254619A"/>
    <w:rsid w:val="62C44768"/>
    <w:rsid w:val="63CB327E"/>
    <w:rsid w:val="6561620F"/>
    <w:rsid w:val="67AD3D48"/>
    <w:rsid w:val="68476448"/>
    <w:rsid w:val="686D1B74"/>
    <w:rsid w:val="68B30AF3"/>
    <w:rsid w:val="6933686A"/>
    <w:rsid w:val="6A866542"/>
    <w:rsid w:val="6AA10091"/>
    <w:rsid w:val="6B080110"/>
    <w:rsid w:val="70091513"/>
    <w:rsid w:val="75296DEE"/>
    <w:rsid w:val="77A8625B"/>
    <w:rsid w:val="79312D7A"/>
    <w:rsid w:val="7A0128FA"/>
    <w:rsid w:val="7B3D5D78"/>
    <w:rsid w:val="7C3F770A"/>
    <w:rsid w:val="7CDF1219"/>
    <w:rsid w:val="7CE83020"/>
    <w:rsid w:val="7DDF6C60"/>
    <w:rsid w:val="7EAB4E7D"/>
    <w:rsid w:val="BFB3C262"/>
    <w:rsid w:val="ECFEE5C7"/>
    <w:rsid w:val="EF3EBDFB"/>
    <w:rsid w:val="F5D333D2"/>
    <w:rsid w:val="FE3F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44"/>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45"/>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46"/>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47"/>
    <w:qFormat/>
    <w:uiPriority w:val="9"/>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48"/>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4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50"/>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51"/>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2"/>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67"/>
    <w:qFormat/>
    <w:uiPriority w:val="0"/>
    <w:pPr>
      <w:spacing w:afterLines="50"/>
      <w:ind w:firstLine="200"/>
    </w:pPr>
    <w:rPr>
      <w:rFonts w:ascii="Arial" w:hAnsi="Arial" w:eastAsia="黑体" w:cstheme="minorBidi"/>
      <w:sz w:val="21"/>
      <w:szCs w:val="22"/>
    </w:rPr>
  </w:style>
  <w:style w:type="paragraph" w:styleId="14">
    <w:name w:val="Document Map"/>
    <w:basedOn w:val="1"/>
    <w:link w:val="90"/>
    <w:qFormat/>
    <w:uiPriority w:val="0"/>
    <w:rPr>
      <w:rFonts w:hAnsiTheme="minorHAnsi" w:eastAsiaTheme="minorEastAsia" w:cstheme="minorBidi"/>
      <w:sz w:val="18"/>
      <w:szCs w:val="18"/>
    </w:rPr>
  </w:style>
  <w:style w:type="paragraph" w:styleId="15">
    <w:name w:val="annotation text"/>
    <w:basedOn w:val="1"/>
    <w:link w:val="64"/>
    <w:qFormat/>
    <w:uiPriority w:val="99"/>
    <w:pPr>
      <w:jc w:val="left"/>
    </w:pPr>
    <w:rPr>
      <w:rFonts w:eastAsia="仿宋" w:asciiTheme="minorHAnsi" w:hAnsiTheme="minorHAnsi" w:cstheme="minorBidi"/>
      <w:sz w:val="28"/>
    </w:rPr>
  </w:style>
  <w:style w:type="paragraph" w:styleId="16">
    <w:name w:val="Body Text"/>
    <w:basedOn w:val="1"/>
    <w:link w:val="70"/>
    <w:unhideWhenUsed/>
    <w:qFormat/>
    <w:uiPriority w:val="0"/>
    <w:pPr>
      <w:spacing w:after="120" w:line="240" w:lineRule="auto"/>
      <w:ind w:firstLine="0" w:firstLineChars="0"/>
    </w:pPr>
    <w:rPr>
      <w:rFonts w:asciiTheme="minorHAnsi" w:hAnsiTheme="minorHAnsi" w:eastAsiaTheme="minorEastAsia" w:cstheme="minorBidi"/>
      <w:sz w:val="21"/>
    </w:rPr>
  </w:style>
  <w:style w:type="paragraph" w:styleId="17">
    <w:name w:val="Body Text Indent"/>
    <w:basedOn w:val="1"/>
    <w:link w:val="87"/>
    <w:qFormat/>
    <w:uiPriority w:val="0"/>
    <w:pPr>
      <w:spacing w:after="120"/>
      <w:ind w:firstLine="200"/>
    </w:pPr>
    <w:rPr>
      <w:rFonts w:asciiTheme="minorHAnsi" w:hAnsiTheme="minorHAnsi" w:eastAsiaTheme="minorEastAsia" w:cstheme="minorBidi"/>
      <w:sz w:val="21"/>
      <w:szCs w:val="22"/>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76"/>
    <w:qFormat/>
    <w:uiPriority w:val="0"/>
    <w:pPr>
      <w:spacing w:line="240" w:lineRule="auto"/>
      <w:ind w:firstLine="0" w:firstLineChars="0"/>
    </w:pPr>
    <w:rPr>
      <w:rFonts w:hAnsi="Courier New" w:eastAsiaTheme="minorEastAsia" w:cstheme="minorBidi"/>
      <w:sz w:val="21"/>
      <w:szCs w:val="22"/>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65"/>
    <w:qFormat/>
    <w:uiPriority w:val="0"/>
    <w:pPr>
      <w:ind w:left="100" w:leftChars="2500"/>
    </w:pPr>
    <w:rPr>
      <w:rFonts w:asciiTheme="minorHAnsi" w:hAnsiTheme="minorHAnsi" w:eastAsiaTheme="minorEastAsia" w:cstheme="minorBidi"/>
      <w:sz w:val="21"/>
    </w:rPr>
  </w:style>
  <w:style w:type="paragraph" w:styleId="23">
    <w:name w:val="Balloon Text"/>
    <w:basedOn w:val="1"/>
    <w:link w:val="95"/>
    <w:qFormat/>
    <w:uiPriority w:val="0"/>
    <w:rPr>
      <w:rFonts w:asciiTheme="minorHAnsi" w:hAnsiTheme="minorHAnsi" w:eastAsiaTheme="minorEastAsia" w:cstheme="minorBidi"/>
      <w:sz w:val="18"/>
      <w:szCs w:val="18"/>
    </w:rPr>
  </w:style>
  <w:style w:type="paragraph" w:styleId="24">
    <w:name w:val="footer"/>
    <w:basedOn w:val="1"/>
    <w:link w:val="54"/>
    <w:unhideWhenUsed/>
    <w:qFormat/>
    <w:uiPriority w:val="99"/>
    <w:pPr>
      <w:tabs>
        <w:tab w:val="center" w:pos="4153"/>
        <w:tab w:val="right" w:pos="8306"/>
      </w:tabs>
      <w:snapToGrid w:val="0"/>
      <w:jc w:val="left"/>
    </w:pPr>
    <w:rPr>
      <w:sz w:val="18"/>
      <w:szCs w:val="18"/>
    </w:rPr>
  </w:style>
  <w:style w:type="paragraph" w:styleId="25">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8"/>
    <w:qFormat/>
    <w:uiPriority w:val="0"/>
    <w:pPr>
      <w:spacing w:before="240" w:after="60" w:line="312" w:lineRule="auto"/>
      <w:jc w:val="center"/>
      <w:outlineLvl w:val="1"/>
    </w:pPr>
    <w:rPr>
      <w:rFonts w:ascii="Calibri Light" w:hAnsi="Calibri Light" w:eastAsiaTheme="minorEastAsia" w:cstheme="minorBidi"/>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4"/>
    <w:qFormat/>
    <w:uiPriority w:val="0"/>
    <w:pPr>
      <w:spacing w:before="240" w:after="60" w:line="960" w:lineRule="auto"/>
      <w:jc w:val="center"/>
    </w:pPr>
    <w:rPr>
      <w:rFonts w:ascii="Cambria" w:hAnsi="Cambria" w:eastAsia="黑体" w:cstheme="minorBidi"/>
      <w:b/>
      <w:bCs/>
      <w:sz w:val="52"/>
      <w:szCs w:val="32"/>
    </w:rPr>
  </w:style>
  <w:style w:type="paragraph" w:styleId="34">
    <w:name w:val="annotation subject"/>
    <w:basedOn w:val="15"/>
    <w:next w:val="15"/>
    <w:link w:val="86"/>
    <w:qFormat/>
    <w:uiPriority w:val="0"/>
    <w:rPr>
      <w:b/>
      <w:bCs/>
      <w:sz w:val="21"/>
    </w:rPr>
  </w:style>
  <w:style w:type="paragraph" w:styleId="35">
    <w:name w:val="Body Text First Indent"/>
    <w:basedOn w:val="16"/>
    <w:link w:val="145"/>
    <w:semiHidden/>
    <w:unhideWhenUsed/>
    <w:qFormat/>
    <w:uiPriority w:val="99"/>
    <w:pPr>
      <w:ind w:firstLine="420" w:firstLineChars="100"/>
    </w:pPr>
    <w:rPr>
      <w:szCs w:val="22"/>
    </w:rPr>
  </w:style>
  <w:style w:type="character" w:styleId="38">
    <w:name w:val="Strong"/>
    <w:basedOn w:val="37"/>
    <w:qFormat/>
    <w:uiPriority w:val="22"/>
    <w:rPr>
      <w:b/>
    </w:rPr>
  </w:style>
  <w:style w:type="character" w:styleId="39">
    <w:name w:val="page number"/>
    <w:basedOn w:val="37"/>
    <w:qFormat/>
    <w:uiPriority w:val="0"/>
  </w:style>
  <w:style w:type="character" w:styleId="40">
    <w:name w:val="FollowedHyperlink"/>
    <w:unhideWhenUsed/>
    <w:qFormat/>
    <w:uiPriority w:val="99"/>
    <w:rPr>
      <w:color w:val="954F72"/>
      <w:u w:val="single"/>
    </w:rPr>
  </w:style>
  <w:style w:type="character" w:styleId="41">
    <w:name w:val="Emphasis"/>
    <w:basedOn w:val="37"/>
    <w:qFormat/>
    <w:uiPriority w:val="20"/>
    <w:rPr>
      <w:i/>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customStyle="1" w:styleId="44">
    <w:name w:val="标题 1 字符1"/>
    <w:link w:val="2"/>
    <w:qFormat/>
    <w:uiPriority w:val="9"/>
    <w:rPr>
      <w:rFonts w:ascii="宋体" w:hAnsi="宋体" w:eastAsia="黑体" w:cs="Times New Roman"/>
      <w:b/>
      <w:bCs/>
      <w:kern w:val="44"/>
      <w:sz w:val="32"/>
      <w:szCs w:val="28"/>
    </w:rPr>
  </w:style>
  <w:style w:type="character" w:customStyle="1" w:styleId="45">
    <w:name w:val="标题 2 字符1"/>
    <w:link w:val="3"/>
    <w:qFormat/>
    <w:uiPriority w:val="9"/>
    <w:rPr>
      <w:rFonts w:ascii="宋体" w:hAnsi="宋体" w:eastAsia="宋体" w:cs="Times New Roman"/>
      <w:b/>
      <w:bCs/>
      <w:sz w:val="30"/>
      <w:szCs w:val="32"/>
    </w:rPr>
  </w:style>
  <w:style w:type="character" w:customStyle="1" w:styleId="46">
    <w:name w:val="标题 3 字符2"/>
    <w:link w:val="4"/>
    <w:qFormat/>
    <w:uiPriority w:val="9"/>
    <w:rPr>
      <w:rFonts w:ascii="宋体" w:hAnsi="宋体" w:eastAsia="宋体" w:cs="Times New Roman"/>
      <w:b/>
      <w:bCs/>
      <w:sz w:val="28"/>
      <w:szCs w:val="28"/>
    </w:rPr>
  </w:style>
  <w:style w:type="character" w:customStyle="1" w:styleId="47">
    <w:name w:val="标题 4 字符1"/>
    <w:link w:val="5"/>
    <w:qFormat/>
    <w:uiPriority w:val="9"/>
    <w:rPr>
      <w:rFonts w:ascii="宋体" w:hAnsi="宋体" w:eastAsia="宋体" w:cs="Times New Roman"/>
      <w:b/>
      <w:bCs/>
      <w:sz w:val="30"/>
      <w:szCs w:val="30"/>
    </w:rPr>
  </w:style>
  <w:style w:type="character" w:customStyle="1" w:styleId="48">
    <w:name w:val="标题 5 字符1"/>
    <w:link w:val="6"/>
    <w:qFormat/>
    <w:uiPriority w:val="9"/>
    <w:rPr>
      <w:rFonts w:ascii="宋体" w:hAnsi="宋体" w:eastAsia="宋体" w:cs="Times New Roman"/>
      <w:b/>
      <w:bCs/>
      <w:sz w:val="24"/>
      <w:szCs w:val="28"/>
    </w:rPr>
  </w:style>
  <w:style w:type="character" w:customStyle="1" w:styleId="49">
    <w:name w:val="标题 6 字符1"/>
    <w:link w:val="7"/>
    <w:qFormat/>
    <w:uiPriority w:val="9"/>
    <w:rPr>
      <w:rFonts w:ascii="Cambria" w:hAnsi="Cambria" w:eastAsia="宋体" w:cs="Times New Roman"/>
      <w:b/>
      <w:bCs/>
      <w:sz w:val="24"/>
      <w:szCs w:val="24"/>
    </w:rPr>
  </w:style>
  <w:style w:type="character" w:customStyle="1" w:styleId="50">
    <w:name w:val="标题 7 字符"/>
    <w:basedOn w:val="37"/>
    <w:link w:val="8"/>
    <w:qFormat/>
    <w:uiPriority w:val="9"/>
    <w:rPr>
      <w:rFonts w:ascii="Times New Roman" w:hAnsi="Times New Roman" w:eastAsia="宋体" w:cs="Times New Roman"/>
      <w:b/>
      <w:bCs/>
      <w:szCs w:val="24"/>
    </w:rPr>
  </w:style>
  <w:style w:type="character" w:customStyle="1" w:styleId="51">
    <w:name w:val="标题 8 字符"/>
    <w:basedOn w:val="37"/>
    <w:link w:val="9"/>
    <w:qFormat/>
    <w:uiPriority w:val="9"/>
    <w:rPr>
      <w:rFonts w:ascii="Cambria" w:hAnsi="Cambria" w:eastAsia="宋体" w:cs="Times New Roman"/>
      <w:szCs w:val="24"/>
    </w:rPr>
  </w:style>
  <w:style w:type="character" w:customStyle="1" w:styleId="52">
    <w:name w:val="标题 9 字符"/>
    <w:basedOn w:val="37"/>
    <w:link w:val="10"/>
    <w:qFormat/>
    <w:uiPriority w:val="9"/>
    <w:rPr>
      <w:rFonts w:ascii="Cambria" w:hAnsi="Cambria" w:eastAsia="宋体" w:cs="Times New Roman"/>
      <w:szCs w:val="21"/>
    </w:rPr>
  </w:style>
  <w:style w:type="character" w:customStyle="1" w:styleId="53">
    <w:name w:val="页眉 字符"/>
    <w:basedOn w:val="37"/>
    <w:link w:val="25"/>
    <w:qFormat/>
    <w:uiPriority w:val="99"/>
    <w:rPr>
      <w:sz w:val="18"/>
      <w:szCs w:val="18"/>
    </w:rPr>
  </w:style>
  <w:style w:type="character" w:customStyle="1" w:styleId="54">
    <w:name w:val="页脚 字符"/>
    <w:basedOn w:val="37"/>
    <w:link w:val="24"/>
    <w:qFormat/>
    <w:uiPriority w:val="99"/>
    <w:rPr>
      <w:sz w:val="18"/>
      <w:szCs w:val="18"/>
    </w:rPr>
  </w:style>
  <w:style w:type="character" w:customStyle="1" w:styleId="55">
    <w:name w:val="标题 1 字符"/>
    <w:basedOn w:val="37"/>
    <w:qFormat/>
    <w:uiPriority w:val="9"/>
    <w:rPr>
      <w:rFonts w:ascii="宋体" w:hAnsi="宋体" w:eastAsia="宋体" w:cs="Times New Roman"/>
      <w:b/>
      <w:bCs/>
      <w:kern w:val="44"/>
      <w:sz w:val="44"/>
      <w:szCs w:val="44"/>
    </w:rPr>
  </w:style>
  <w:style w:type="character" w:customStyle="1" w:styleId="56">
    <w:name w:val="标题 2 字符"/>
    <w:basedOn w:val="37"/>
    <w:semiHidden/>
    <w:qFormat/>
    <w:uiPriority w:val="9"/>
    <w:rPr>
      <w:rFonts w:asciiTheme="majorHAnsi" w:hAnsiTheme="majorHAnsi" w:eastAsiaTheme="majorEastAsia" w:cstheme="majorBidi"/>
      <w:b/>
      <w:bCs/>
      <w:sz w:val="32"/>
      <w:szCs w:val="32"/>
    </w:rPr>
  </w:style>
  <w:style w:type="character" w:customStyle="1" w:styleId="57">
    <w:name w:val="标题 3 字符"/>
    <w:basedOn w:val="37"/>
    <w:semiHidden/>
    <w:qFormat/>
    <w:uiPriority w:val="9"/>
    <w:rPr>
      <w:rFonts w:ascii="宋体" w:hAnsi="宋体" w:eastAsia="宋体" w:cs="Times New Roman"/>
      <w:b/>
      <w:bCs/>
      <w:sz w:val="32"/>
      <w:szCs w:val="32"/>
    </w:rPr>
  </w:style>
  <w:style w:type="character" w:customStyle="1" w:styleId="58">
    <w:name w:val="标题 4 字符"/>
    <w:basedOn w:val="37"/>
    <w:semiHidden/>
    <w:qFormat/>
    <w:uiPriority w:val="9"/>
    <w:rPr>
      <w:rFonts w:asciiTheme="majorHAnsi" w:hAnsiTheme="majorHAnsi" w:eastAsiaTheme="majorEastAsia" w:cstheme="majorBidi"/>
      <w:b/>
      <w:bCs/>
      <w:sz w:val="28"/>
      <w:szCs w:val="28"/>
    </w:rPr>
  </w:style>
  <w:style w:type="character" w:customStyle="1" w:styleId="59">
    <w:name w:val="标题 5 字符"/>
    <w:basedOn w:val="37"/>
    <w:semiHidden/>
    <w:qFormat/>
    <w:uiPriority w:val="9"/>
    <w:rPr>
      <w:rFonts w:ascii="宋体" w:hAnsi="宋体" w:eastAsia="宋体" w:cs="Times New Roman"/>
      <w:b/>
      <w:bCs/>
      <w:sz w:val="28"/>
      <w:szCs w:val="28"/>
    </w:rPr>
  </w:style>
  <w:style w:type="character" w:customStyle="1" w:styleId="60">
    <w:name w:val="标题 6 字符"/>
    <w:basedOn w:val="37"/>
    <w:semiHidden/>
    <w:qFormat/>
    <w:uiPriority w:val="9"/>
    <w:rPr>
      <w:rFonts w:asciiTheme="majorHAnsi" w:hAnsiTheme="majorHAnsi" w:eastAsiaTheme="majorEastAsia" w:cstheme="majorBidi"/>
      <w:b/>
      <w:bCs/>
      <w:sz w:val="24"/>
      <w:szCs w:val="24"/>
    </w:rPr>
  </w:style>
  <w:style w:type="character" w:customStyle="1" w:styleId="61">
    <w:name w:val="标题 3 字符1"/>
    <w:qFormat/>
    <w:uiPriority w:val="0"/>
    <w:rPr>
      <w:rFonts w:ascii="宋体" w:hAnsi="宋体"/>
      <w:b/>
      <w:bCs/>
      <w:kern w:val="2"/>
      <w:sz w:val="28"/>
      <w:szCs w:val="28"/>
    </w:rPr>
  </w:style>
  <w:style w:type="character" w:customStyle="1" w:styleId="62">
    <w:name w:val="首行缩进正文 Char"/>
    <w:link w:val="63"/>
    <w:qFormat/>
    <w:uiPriority w:val="0"/>
    <w:rPr>
      <w:sz w:val="24"/>
    </w:rPr>
  </w:style>
  <w:style w:type="paragraph" w:customStyle="1" w:styleId="63">
    <w:name w:val="首行缩进正文"/>
    <w:basedOn w:val="1"/>
    <w:link w:val="62"/>
    <w:qFormat/>
    <w:uiPriority w:val="0"/>
    <w:pPr>
      <w:widowControl/>
      <w:adjustRightInd w:val="0"/>
      <w:snapToGrid w:val="0"/>
      <w:spacing w:afterLines="50" w:line="276" w:lineRule="auto"/>
      <w:ind w:firstLine="420" w:firstLineChars="0"/>
      <w:jc w:val="left"/>
    </w:pPr>
    <w:rPr>
      <w:rFonts w:asciiTheme="minorHAnsi" w:hAnsiTheme="minorHAnsi" w:eastAsiaTheme="minorEastAsia" w:cstheme="minorBidi"/>
      <w:szCs w:val="22"/>
    </w:rPr>
  </w:style>
  <w:style w:type="character" w:customStyle="1" w:styleId="64">
    <w:name w:val="批注文字 字符1"/>
    <w:link w:val="15"/>
    <w:qFormat/>
    <w:uiPriority w:val="99"/>
    <w:rPr>
      <w:rFonts w:eastAsia="仿宋"/>
      <w:sz w:val="28"/>
      <w:szCs w:val="24"/>
    </w:rPr>
  </w:style>
  <w:style w:type="character" w:customStyle="1" w:styleId="65">
    <w:name w:val="日期 字符"/>
    <w:link w:val="22"/>
    <w:qFormat/>
    <w:uiPriority w:val="0"/>
    <w:rPr>
      <w:szCs w:val="24"/>
    </w:rPr>
  </w:style>
  <w:style w:type="character" w:customStyle="1" w:styleId="66">
    <w:name w:val="未处理的提及1"/>
    <w:unhideWhenUsed/>
    <w:qFormat/>
    <w:uiPriority w:val="99"/>
    <w:rPr>
      <w:color w:val="605E5C"/>
      <w:shd w:val="clear" w:color="auto" w:fill="E1DFDD"/>
    </w:rPr>
  </w:style>
  <w:style w:type="character" w:customStyle="1" w:styleId="67">
    <w:name w:val="题注 字符"/>
    <w:link w:val="13"/>
    <w:qFormat/>
    <w:locked/>
    <w:uiPriority w:val="0"/>
    <w:rPr>
      <w:rFonts w:ascii="Arial" w:hAnsi="Arial" w:eastAsia="黑体"/>
    </w:rPr>
  </w:style>
  <w:style w:type="character" w:customStyle="1" w:styleId="68">
    <w:name w:val="纯文本 字符"/>
    <w:qFormat/>
    <w:uiPriority w:val="0"/>
    <w:rPr>
      <w:rFonts w:ascii="宋体" w:hAnsi="Courier New" w:cs="Courier New"/>
      <w:kern w:val="2"/>
      <w:sz w:val="21"/>
      <w:szCs w:val="21"/>
    </w:rPr>
  </w:style>
  <w:style w:type="character" w:customStyle="1" w:styleId="69">
    <w:name w:val="列表段落 字符"/>
    <w:qFormat/>
    <w:uiPriority w:val="34"/>
    <w:rPr>
      <w:kern w:val="2"/>
      <w:sz w:val="21"/>
      <w:szCs w:val="22"/>
    </w:rPr>
  </w:style>
  <w:style w:type="character" w:customStyle="1" w:styleId="70">
    <w:name w:val="正文文本 字符"/>
    <w:link w:val="16"/>
    <w:qFormat/>
    <w:uiPriority w:val="0"/>
    <w:rPr>
      <w:szCs w:val="24"/>
    </w:rPr>
  </w:style>
  <w:style w:type="character" w:customStyle="1" w:styleId="71">
    <w:name w:val="列出段落 字符"/>
    <w:link w:val="72"/>
    <w:qFormat/>
    <w:uiPriority w:val="34"/>
    <w:rPr>
      <w:szCs w:val="24"/>
    </w:rPr>
  </w:style>
  <w:style w:type="paragraph" w:styleId="72">
    <w:name w:val="List Paragraph"/>
    <w:basedOn w:val="1"/>
    <w:link w:val="71"/>
    <w:qFormat/>
    <w:uiPriority w:val="34"/>
    <w:pPr>
      <w:ind w:firstLine="420"/>
    </w:pPr>
    <w:rPr>
      <w:rFonts w:asciiTheme="minorHAnsi" w:hAnsiTheme="minorHAnsi" w:eastAsiaTheme="minorEastAsia" w:cstheme="minorBidi"/>
      <w:sz w:val="21"/>
    </w:rPr>
  </w:style>
  <w:style w:type="character" w:customStyle="1" w:styleId="73">
    <w:name w:val="font21"/>
    <w:qFormat/>
    <w:uiPriority w:val="0"/>
    <w:rPr>
      <w:rFonts w:ascii="Calibri" w:hAnsi="Calibri" w:cs="Calibri"/>
      <w:color w:val="000000"/>
      <w:sz w:val="21"/>
      <w:szCs w:val="21"/>
      <w:u w:val="none"/>
    </w:rPr>
  </w:style>
  <w:style w:type="character" w:customStyle="1" w:styleId="74">
    <w:name w:val="*正文 Char"/>
    <w:link w:val="75"/>
    <w:qFormat/>
    <w:uiPriority w:val="0"/>
    <w:rPr>
      <w:rFonts w:ascii="time" w:hAnsi="time"/>
      <w:sz w:val="24"/>
      <w:szCs w:val="24"/>
      <w:lang w:bidi="en-US"/>
    </w:rPr>
  </w:style>
  <w:style w:type="paragraph" w:customStyle="1" w:styleId="75">
    <w:name w:val="*正文"/>
    <w:basedOn w:val="1"/>
    <w:link w:val="74"/>
    <w:qFormat/>
    <w:uiPriority w:val="0"/>
    <w:pPr>
      <w:widowControl/>
      <w:ind w:firstLine="200"/>
      <w:contextualSpacing/>
    </w:pPr>
    <w:rPr>
      <w:rFonts w:ascii="time" w:hAnsi="time" w:eastAsiaTheme="minorEastAsia" w:cstheme="minorBidi"/>
      <w:lang w:bidi="en-US"/>
    </w:rPr>
  </w:style>
  <w:style w:type="character" w:customStyle="1" w:styleId="76">
    <w:name w:val="纯文本 字符1"/>
    <w:link w:val="20"/>
    <w:qFormat/>
    <w:locked/>
    <w:uiPriority w:val="0"/>
    <w:rPr>
      <w:rFonts w:ascii="宋体" w:hAnsi="Courier New"/>
    </w:rPr>
  </w:style>
  <w:style w:type="character" w:customStyle="1" w:styleId="77">
    <w:name w:val="my正文 Char"/>
    <w:link w:val="78"/>
    <w:qFormat/>
    <w:uiPriority w:val="0"/>
    <w:rPr>
      <w:szCs w:val="24"/>
    </w:rPr>
  </w:style>
  <w:style w:type="paragraph" w:customStyle="1" w:styleId="78">
    <w:name w:val="my正文"/>
    <w:basedOn w:val="1"/>
    <w:link w:val="77"/>
    <w:qFormat/>
    <w:uiPriority w:val="0"/>
    <w:pPr>
      <w:spacing w:line="240" w:lineRule="auto"/>
      <w:ind w:firstLine="0" w:firstLineChars="0"/>
    </w:pPr>
    <w:rPr>
      <w:rFonts w:asciiTheme="minorHAnsi" w:hAnsiTheme="minorHAnsi" w:eastAsiaTheme="minorEastAsia" w:cstheme="minorBidi"/>
      <w:sz w:val="21"/>
    </w:rPr>
  </w:style>
  <w:style w:type="character" w:customStyle="1" w:styleId="79">
    <w:name w:val="正文2 字符"/>
    <w:link w:val="80"/>
    <w:qFormat/>
    <w:uiPriority w:val="0"/>
    <w:rPr>
      <w:szCs w:val="24"/>
    </w:rPr>
  </w:style>
  <w:style w:type="paragraph" w:customStyle="1" w:styleId="80">
    <w:name w:val="正文2"/>
    <w:basedOn w:val="1"/>
    <w:link w:val="79"/>
    <w:qFormat/>
    <w:uiPriority w:val="0"/>
    <w:pPr>
      <w:ind w:firstLine="420"/>
    </w:pPr>
    <w:rPr>
      <w:rFonts w:asciiTheme="minorHAnsi" w:hAnsiTheme="minorHAnsi" w:eastAsiaTheme="minorEastAsia" w:cstheme="minorBidi"/>
      <w:sz w:val="21"/>
    </w:rPr>
  </w:style>
  <w:style w:type="character" w:customStyle="1" w:styleId="81">
    <w:name w:val="font41"/>
    <w:qFormat/>
    <w:uiPriority w:val="0"/>
    <w:rPr>
      <w:rFonts w:hint="eastAsia" w:ascii="宋体" w:hAnsi="宋体" w:eastAsia="宋体" w:cs="宋体"/>
      <w:color w:val="000000"/>
      <w:sz w:val="21"/>
      <w:szCs w:val="21"/>
      <w:u w:val="none"/>
    </w:rPr>
  </w:style>
  <w:style w:type="character" w:customStyle="1" w:styleId="82">
    <w:name w:val="副标题 Char1"/>
    <w:qFormat/>
    <w:uiPriority w:val="0"/>
    <w:rPr>
      <w:rFonts w:ascii="Calibri Light" w:hAnsi="Calibri Light" w:cs="Times New Roman"/>
      <w:b/>
      <w:bCs/>
      <w:kern w:val="28"/>
      <w:sz w:val="32"/>
      <w:szCs w:val="32"/>
    </w:rPr>
  </w:style>
  <w:style w:type="character" w:customStyle="1" w:styleId="83">
    <w:name w:val="批注文字 字符"/>
    <w:qFormat/>
    <w:uiPriority w:val="99"/>
    <w:rPr>
      <w:rFonts w:ascii="宋体" w:hAnsi="宋体"/>
      <w:kern w:val="2"/>
      <w:sz w:val="24"/>
      <w:szCs w:val="24"/>
    </w:rPr>
  </w:style>
  <w:style w:type="character" w:customStyle="1" w:styleId="84">
    <w:name w:val="正文正文2 Char"/>
    <w:link w:val="85"/>
    <w:qFormat/>
    <w:uiPriority w:val="0"/>
    <w:rPr>
      <w:rFonts w:ascii="宋体" w:hAnsi="宋体"/>
      <w:szCs w:val="21"/>
    </w:rPr>
  </w:style>
  <w:style w:type="paragraph" w:customStyle="1" w:styleId="85">
    <w:name w:val="正文正文2"/>
    <w:basedOn w:val="1"/>
    <w:link w:val="84"/>
    <w:qFormat/>
    <w:uiPriority w:val="0"/>
    <w:pPr>
      <w:ind w:firstLine="460"/>
    </w:pPr>
    <w:rPr>
      <w:rFonts w:eastAsiaTheme="minorEastAsia" w:cstheme="minorBidi"/>
      <w:sz w:val="21"/>
      <w:szCs w:val="21"/>
    </w:rPr>
  </w:style>
  <w:style w:type="character" w:customStyle="1" w:styleId="86">
    <w:name w:val="批注主题 字符"/>
    <w:link w:val="34"/>
    <w:qFormat/>
    <w:uiPriority w:val="0"/>
    <w:rPr>
      <w:rFonts w:eastAsia="仿宋"/>
      <w:b/>
      <w:bCs/>
      <w:szCs w:val="24"/>
    </w:rPr>
  </w:style>
  <w:style w:type="character" w:customStyle="1" w:styleId="87">
    <w:name w:val="正文文本缩进 字符"/>
    <w:link w:val="17"/>
    <w:qFormat/>
    <w:uiPriority w:val="0"/>
  </w:style>
  <w:style w:type="character" w:customStyle="1" w:styleId="88">
    <w:name w:val="副标题 字符1"/>
    <w:link w:val="28"/>
    <w:qFormat/>
    <w:uiPriority w:val="0"/>
    <w:rPr>
      <w:rFonts w:ascii="Calibri Light" w:hAnsi="Calibri Light"/>
      <w:b/>
      <w:bCs/>
      <w:kern w:val="28"/>
      <w:sz w:val="32"/>
      <w:szCs w:val="32"/>
    </w:rPr>
  </w:style>
  <w:style w:type="character" w:customStyle="1" w:styleId="89">
    <w:name w:val="页脚 字符1"/>
    <w:qFormat/>
    <w:uiPriority w:val="99"/>
    <w:rPr>
      <w:kern w:val="2"/>
      <w:sz w:val="18"/>
      <w:szCs w:val="18"/>
    </w:rPr>
  </w:style>
  <w:style w:type="character" w:customStyle="1" w:styleId="90">
    <w:name w:val="文档结构图 字符"/>
    <w:link w:val="14"/>
    <w:qFormat/>
    <w:uiPriority w:val="0"/>
    <w:rPr>
      <w:rFonts w:ascii="宋体"/>
      <w:sz w:val="18"/>
      <w:szCs w:val="18"/>
    </w:rPr>
  </w:style>
  <w:style w:type="character" w:customStyle="1" w:styleId="91">
    <w:name w:val="font31"/>
    <w:qFormat/>
    <w:uiPriority w:val="0"/>
    <w:rPr>
      <w:rFonts w:hint="eastAsia" w:ascii="宋体" w:hAnsi="宋体" w:eastAsia="宋体" w:cs="宋体"/>
      <w:color w:val="000000"/>
      <w:sz w:val="21"/>
      <w:szCs w:val="21"/>
      <w:u w:val="none"/>
    </w:rPr>
  </w:style>
  <w:style w:type="character" w:customStyle="1" w:styleId="92">
    <w:name w:val="标准正文 Char"/>
    <w:link w:val="93"/>
    <w:qFormat/>
    <w:uiPriority w:val="0"/>
    <w:rPr>
      <w:rFonts w:ascii="Arial" w:hAnsi="Arial"/>
      <w:sz w:val="24"/>
    </w:rPr>
  </w:style>
  <w:style w:type="paragraph" w:customStyle="1" w:styleId="93">
    <w:name w:val="标准正文"/>
    <w:basedOn w:val="17"/>
    <w:link w:val="92"/>
    <w:qFormat/>
    <w:uiPriority w:val="0"/>
    <w:pPr>
      <w:spacing w:before="60" w:after="60"/>
      <w:ind w:firstLine="482" w:firstLineChars="0"/>
    </w:pPr>
    <w:rPr>
      <w:rFonts w:ascii="Arial" w:hAnsi="Arial"/>
      <w:sz w:val="24"/>
    </w:rPr>
  </w:style>
  <w:style w:type="character" w:customStyle="1" w:styleId="94">
    <w:name w:val="标题 字符1"/>
    <w:link w:val="33"/>
    <w:qFormat/>
    <w:uiPriority w:val="0"/>
    <w:rPr>
      <w:rFonts w:ascii="Cambria" w:hAnsi="Cambria" w:eastAsia="黑体"/>
      <w:b/>
      <w:bCs/>
      <w:sz w:val="52"/>
      <w:szCs w:val="32"/>
    </w:rPr>
  </w:style>
  <w:style w:type="character" w:customStyle="1" w:styleId="95">
    <w:name w:val="批注框文本 字符"/>
    <w:link w:val="23"/>
    <w:qFormat/>
    <w:uiPriority w:val="0"/>
    <w:rPr>
      <w:sz w:val="18"/>
      <w:szCs w:val="18"/>
    </w:rPr>
  </w:style>
  <w:style w:type="character" w:customStyle="1" w:styleId="96">
    <w:name w:val="页眉 字符1"/>
    <w:qFormat/>
    <w:uiPriority w:val="99"/>
    <w:rPr>
      <w:kern w:val="2"/>
      <w:sz w:val="18"/>
      <w:szCs w:val="18"/>
    </w:rPr>
  </w:style>
  <w:style w:type="character" w:customStyle="1" w:styleId="97">
    <w:name w:val="标题 字符"/>
    <w:qFormat/>
    <w:uiPriority w:val="10"/>
    <w:rPr>
      <w:rFonts w:ascii="等线 Light" w:hAnsi="等线 Light" w:eastAsia="等线 Light" w:cs="Times New Roman"/>
      <w:b/>
      <w:bCs/>
      <w:kern w:val="2"/>
      <w:sz w:val="32"/>
      <w:szCs w:val="32"/>
    </w:rPr>
  </w:style>
  <w:style w:type="character" w:customStyle="1" w:styleId="98">
    <w:name w:val="副标题 字符"/>
    <w:qFormat/>
    <w:uiPriority w:val="11"/>
    <w:rPr>
      <w:rFonts w:ascii="等线" w:hAnsi="等线" w:eastAsia="等线" w:cs="Times New Roman"/>
      <w:b/>
      <w:bCs/>
      <w:kern w:val="28"/>
      <w:sz w:val="32"/>
      <w:szCs w:val="32"/>
    </w:rPr>
  </w:style>
  <w:style w:type="character" w:customStyle="1" w:styleId="99">
    <w:name w:val="批注文字 字符2"/>
    <w:basedOn w:val="37"/>
    <w:semiHidden/>
    <w:qFormat/>
    <w:uiPriority w:val="99"/>
    <w:rPr>
      <w:rFonts w:ascii="宋体" w:hAnsi="宋体" w:eastAsia="宋体" w:cs="Times New Roman"/>
      <w:sz w:val="24"/>
      <w:szCs w:val="24"/>
    </w:rPr>
  </w:style>
  <w:style w:type="character" w:customStyle="1" w:styleId="100">
    <w:name w:val="批注主题 字符2"/>
    <w:basedOn w:val="99"/>
    <w:semiHidden/>
    <w:qFormat/>
    <w:uiPriority w:val="99"/>
    <w:rPr>
      <w:rFonts w:ascii="宋体" w:hAnsi="宋体" w:eastAsia="宋体" w:cs="Times New Roman"/>
      <w:b/>
      <w:bCs/>
      <w:sz w:val="24"/>
      <w:szCs w:val="24"/>
    </w:rPr>
  </w:style>
  <w:style w:type="character" w:customStyle="1" w:styleId="101">
    <w:name w:val="日期 字符2"/>
    <w:basedOn w:val="37"/>
    <w:semiHidden/>
    <w:qFormat/>
    <w:uiPriority w:val="99"/>
    <w:rPr>
      <w:rFonts w:ascii="宋体" w:hAnsi="宋体" w:eastAsia="宋体" w:cs="Times New Roman"/>
      <w:sz w:val="24"/>
      <w:szCs w:val="24"/>
    </w:rPr>
  </w:style>
  <w:style w:type="character" w:customStyle="1" w:styleId="102">
    <w:name w:val="正文文本缩进 字符2"/>
    <w:basedOn w:val="37"/>
    <w:semiHidden/>
    <w:qFormat/>
    <w:uiPriority w:val="99"/>
    <w:rPr>
      <w:rFonts w:ascii="宋体" w:hAnsi="宋体" w:eastAsia="宋体" w:cs="Times New Roman"/>
      <w:sz w:val="24"/>
      <w:szCs w:val="24"/>
    </w:rPr>
  </w:style>
  <w:style w:type="character" w:customStyle="1" w:styleId="103">
    <w:name w:val="批注框文本 字符2"/>
    <w:basedOn w:val="37"/>
    <w:semiHidden/>
    <w:qFormat/>
    <w:uiPriority w:val="99"/>
    <w:rPr>
      <w:rFonts w:ascii="宋体" w:hAnsi="宋体" w:eastAsia="宋体" w:cs="Times New Roman"/>
      <w:sz w:val="18"/>
      <w:szCs w:val="18"/>
    </w:rPr>
  </w:style>
  <w:style w:type="character" w:customStyle="1" w:styleId="104">
    <w:name w:val="副标题 字符2"/>
    <w:basedOn w:val="37"/>
    <w:qFormat/>
    <w:uiPriority w:val="11"/>
    <w:rPr>
      <w:b/>
      <w:bCs/>
      <w:kern w:val="28"/>
      <w:sz w:val="32"/>
      <w:szCs w:val="32"/>
    </w:rPr>
  </w:style>
  <w:style w:type="character" w:customStyle="1" w:styleId="105">
    <w:name w:val="纯文本 字符2"/>
    <w:basedOn w:val="37"/>
    <w:semiHidden/>
    <w:qFormat/>
    <w:uiPriority w:val="99"/>
    <w:rPr>
      <w:rFonts w:hAnsi="Courier New" w:cs="Courier New" w:asciiTheme="minorEastAsia"/>
      <w:sz w:val="24"/>
      <w:szCs w:val="24"/>
    </w:rPr>
  </w:style>
  <w:style w:type="character" w:customStyle="1" w:styleId="106">
    <w:name w:val="标题 字符2"/>
    <w:basedOn w:val="37"/>
    <w:qFormat/>
    <w:uiPriority w:val="10"/>
    <w:rPr>
      <w:rFonts w:asciiTheme="majorHAnsi" w:hAnsiTheme="majorHAnsi" w:eastAsiaTheme="majorEastAsia" w:cstheme="majorBidi"/>
      <w:b/>
      <w:bCs/>
      <w:sz w:val="32"/>
      <w:szCs w:val="32"/>
    </w:rPr>
  </w:style>
  <w:style w:type="character" w:customStyle="1" w:styleId="107">
    <w:name w:val="正文文本 字符1"/>
    <w:basedOn w:val="37"/>
    <w:semiHidden/>
    <w:qFormat/>
    <w:uiPriority w:val="99"/>
    <w:rPr>
      <w:rFonts w:ascii="宋体" w:hAnsi="宋体" w:eastAsia="宋体" w:cs="Times New Roman"/>
      <w:sz w:val="24"/>
      <w:szCs w:val="24"/>
    </w:rPr>
  </w:style>
  <w:style w:type="character" w:customStyle="1" w:styleId="108">
    <w:name w:val="文档结构图 字符2"/>
    <w:basedOn w:val="37"/>
    <w:semiHidden/>
    <w:qFormat/>
    <w:uiPriority w:val="99"/>
    <w:rPr>
      <w:rFonts w:ascii="Microsoft YaHei UI" w:hAnsi="宋体" w:eastAsia="Microsoft YaHei UI" w:cs="Times New Roman"/>
      <w:sz w:val="18"/>
      <w:szCs w:val="18"/>
    </w:rPr>
  </w:style>
  <w:style w:type="paragraph" w:customStyle="1" w:styleId="109">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10">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11">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12">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13">
    <w:name w:val="正文缩进1"/>
    <w:basedOn w:val="1"/>
    <w:qFormat/>
    <w:uiPriority w:val="0"/>
    <w:pPr>
      <w:spacing w:line="240" w:lineRule="auto"/>
      <w:ind w:firstLine="420"/>
    </w:pPr>
    <w:rPr>
      <w:rFonts w:ascii="Times New Roman" w:hAnsi="Times New Roman"/>
      <w:sz w:val="21"/>
      <w:szCs w:val="20"/>
    </w:rPr>
  </w:style>
  <w:style w:type="paragraph" w:customStyle="1" w:styleId="114">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5">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6">
    <w:name w:val="Indent Normal"/>
    <w:basedOn w:val="1"/>
    <w:qFormat/>
    <w:uiPriority w:val="0"/>
    <w:pPr>
      <w:ind w:firstLine="150" w:firstLineChars="150"/>
    </w:pPr>
  </w:style>
  <w:style w:type="paragraph" w:customStyle="1" w:styleId="117">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8">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9">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0">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21">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2">
    <w:name w:val="段"/>
    <w:link w:val="123"/>
    <w:qFormat/>
    <w:uiPriority w:val="0"/>
    <w:pPr>
      <w:autoSpaceDE w:val="0"/>
      <w:autoSpaceDN w:val="0"/>
      <w:ind w:firstLine="200" w:firstLineChars="200"/>
      <w:jc w:val="both"/>
    </w:pPr>
    <w:rPr>
      <w:rFonts w:ascii="宋体" w:hAnsi="Times New Roman" w:eastAsia="宋体" w:cs="Calibri"/>
      <w:sz w:val="21"/>
      <w:lang w:val="en-US" w:eastAsia="zh-CN" w:bidi="ar-SA"/>
    </w:rPr>
  </w:style>
  <w:style w:type="character" w:customStyle="1" w:styleId="123">
    <w:name w:val="段 Char"/>
    <w:basedOn w:val="37"/>
    <w:link w:val="122"/>
    <w:qFormat/>
    <w:uiPriority w:val="0"/>
    <w:rPr>
      <w:rFonts w:ascii="宋体" w:hAnsi="Times New Roman" w:eastAsia="宋体" w:cs="Calibri"/>
      <w:kern w:val="0"/>
      <w:szCs w:val="20"/>
    </w:rPr>
  </w:style>
  <w:style w:type="paragraph" w:customStyle="1" w:styleId="1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25">
    <w:name w:val="Char Char Char Char Char Char1 Char"/>
    <w:basedOn w:val="1"/>
    <w:qFormat/>
    <w:uiPriority w:val="0"/>
    <w:pPr>
      <w:widowControl/>
      <w:spacing w:after="160" w:line="240" w:lineRule="exact"/>
      <w:jc w:val="left"/>
    </w:pPr>
  </w:style>
  <w:style w:type="paragraph" w:customStyle="1" w:styleId="126">
    <w:name w:val="PM_Body"/>
    <w:basedOn w:val="1"/>
    <w:qFormat/>
    <w:locked/>
    <w:uiPriority w:val="0"/>
    <w:rPr>
      <w:szCs w:val="21"/>
    </w:rPr>
  </w:style>
  <w:style w:type="paragraph" w:customStyle="1" w:styleId="127">
    <w:name w:val="Char Char1"/>
    <w:basedOn w:val="1"/>
    <w:qFormat/>
    <w:uiPriority w:val="0"/>
    <w:pPr>
      <w:widowControl/>
      <w:spacing w:before="120" w:after="120"/>
    </w:pPr>
    <w:rPr>
      <w:rFonts w:ascii="Times New Roman" w:hAnsi="Times New Roman" w:cs="宋体"/>
    </w:rPr>
  </w:style>
  <w:style w:type="paragraph" w:customStyle="1" w:styleId="128">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9">
    <w:name w:val="修订1"/>
    <w:unhideWhenUsed/>
    <w:qFormat/>
    <w:uiPriority w:val="99"/>
    <w:rPr>
      <w:rFonts w:ascii="宋体" w:hAnsi="宋体" w:eastAsia="宋体" w:cs="Times New Roman"/>
      <w:kern w:val="2"/>
      <w:sz w:val="24"/>
      <w:szCs w:val="24"/>
      <w:lang w:val="en-US" w:eastAsia="zh-CN" w:bidi="ar-SA"/>
    </w:rPr>
  </w:style>
  <w:style w:type="paragraph" w:customStyle="1" w:styleId="130">
    <w:name w:val="列出段落2"/>
    <w:basedOn w:val="1"/>
    <w:qFormat/>
    <w:uiPriority w:val="0"/>
    <w:pPr>
      <w:spacing w:line="240" w:lineRule="auto"/>
      <w:ind w:firstLine="420"/>
    </w:pPr>
    <w:rPr>
      <w:rFonts w:ascii="等线" w:hAnsi="等线" w:eastAsia="等线" w:cs="等线"/>
      <w:sz w:val="21"/>
      <w:szCs w:val="21"/>
    </w:rPr>
  </w:style>
  <w:style w:type="paragraph" w:customStyle="1" w:styleId="131">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33">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34">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35">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6">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7">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character" w:customStyle="1" w:styleId="138">
    <w:name w:val="标题 1 Char"/>
    <w:qFormat/>
    <w:uiPriority w:val="0"/>
    <w:rPr>
      <w:rFonts w:ascii="宋体" w:hAnsi="宋体" w:eastAsia="黑体"/>
      <w:b/>
      <w:bCs/>
      <w:kern w:val="44"/>
      <w:sz w:val="32"/>
      <w:szCs w:val="28"/>
    </w:rPr>
  </w:style>
  <w:style w:type="character" w:customStyle="1" w:styleId="139">
    <w:name w:val="纯文本 Char2"/>
    <w:qFormat/>
    <w:uiPriority w:val="0"/>
    <w:rPr>
      <w:rFonts w:ascii="宋体" w:hAnsi="宋体" w:eastAsia="宋体" w:cs="Times New Roman"/>
      <w:color w:val="000000"/>
      <w:kern w:val="0"/>
      <w:sz w:val="24"/>
      <w:szCs w:val="24"/>
    </w:rPr>
  </w:style>
  <w:style w:type="paragraph" w:customStyle="1" w:styleId="140">
    <w:name w:val="可研标题"/>
    <w:basedOn w:val="33"/>
    <w:link w:val="141"/>
    <w:qFormat/>
    <w:uiPriority w:val="0"/>
    <w:pPr>
      <w:spacing w:line="360" w:lineRule="auto"/>
      <w:ind w:firstLine="0" w:firstLineChars="0"/>
      <w:outlineLvl w:val="0"/>
    </w:pPr>
    <w:rPr>
      <w:rFonts w:ascii="微软雅黑" w:hAnsi="微软雅黑" w:eastAsia="微软雅黑" w:cstheme="majorBidi"/>
      <w:b w:val="0"/>
      <w:szCs w:val="52"/>
    </w:rPr>
  </w:style>
  <w:style w:type="character" w:customStyle="1" w:styleId="141">
    <w:name w:val="可研标题 Char"/>
    <w:basedOn w:val="97"/>
    <w:link w:val="140"/>
    <w:qFormat/>
    <w:uiPriority w:val="0"/>
    <w:rPr>
      <w:rFonts w:ascii="微软雅黑" w:hAnsi="微软雅黑" w:eastAsia="微软雅黑" w:cstheme="majorBidi"/>
      <w:b w:val="0"/>
      <w:kern w:val="2"/>
      <w:sz w:val="52"/>
      <w:szCs w:val="52"/>
    </w:rPr>
  </w:style>
  <w:style w:type="paragraph" w:customStyle="1" w:styleId="142">
    <w:name w:val="可研正文"/>
    <w:basedOn w:val="1"/>
    <w:link w:val="143"/>
    <w:qFormat/>
    <w:uiPriority w:val="0"/>
    <w:pPr>
      <w:ind w:firstLine="200"/>
    </w:pPr>
    <w:rPr>
      <w:rFonts w:ascii="仿宋" w:hAnsi="仿宋" w:eastAsia="仿宋" w:cstheme="minorBidi"/>
      <w:sz w:val="28"/>
      <w:szCs w:val="28"/>
    </w:rPr>
  </w:style>
  <w:style w:type="character" w:customStyle="1" w:styleId="143">
    <w:name w:val="可研正文 Char"/>
    <w:link w:val="142"/>
    <w:qFormat/>
    <w:uiPriority w:val="0"/>
    <w:rPr>
      <w:rFonts w:ascii="仿宋" w:hAnsi="仿宋" w:eastAsia="仿宋"/>
      <w:sz w:val="28"/>
      <w:szCs w:val="28"/>
    </w:rPr>
  </w:style>
  <w:style w:type="paragraph" w:customStyle="1" w:styleId="144">
    <w:name w:val="正文文本首行缩进1"/>
    <w:basedOn w:val="1"/>
    <w:next w:val="35"/>
    <w:link w:val="146"/>
    <w:qFormat/>
    <w:uiPriority w:val="0"/>
    <w:pPr>
      <w:spacing w:after="50" w:afterLines="50"/>
      <w:ind w:firstLine="200"/>
    </w:pPr>
    <w:rPr>
      <w:rFonts w:asciiTheme="minorHAnsi" w:hAnsiTheme="minorHAnsi" w:eastAsiaTheme="minorEastAsia" w:cstheme="minorBidi"/>
      <w:szCs w:val="22"/>
    </w:rPr>
  </w:style>
  <w:style w:type="character" w:customStyle="1" w:styleId="145">
    <w:name w:val="正文首行缩进 字符"/>
    <w:basedOn w:val="107"/>
    <w:link w:val="35"/>
    <w:semiHidden/>
    <w:qFormat/>
    <w:uiPriority w:val="99"/>
    <w:rPr>
      <w:rFonts w:ascii="宋体" w:hAnsi="宋体" w:eastAsia="宋体" w:cs="Times New Roman"/>
      <w:sz w:val="24"/>
      <w:szCs w:val="24"/>
    </w:rPr>
  </w:style>
  <w:style w:type="character" w:customStyle="1" w:styleId="146">
    <w:name w:val="正文首行缩进 Char"/>
    <w:link w:val="144"/>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11333</Words>
  <Characters>11972</Characters>
  <Lines>214</Lines>
  <Paragraphs>60</Paragraphs>
  <TotalTime>12</TotalTime>
  <ScaleCrop>false</ScaleCrop>
  <LinksUpToDate>false</LinksUpToDate>
  <CharactersWithSpaces>11972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2024-01-18T07:21:00Z</dcterms:created>
  <dc:creator>桂阳</dc:creator>
  <cp:lastModifiedBy>user</cp:lastModifiedBy>
  <dcterms:modified xsi:type="dcterms:W3CDTF">2025-01-23T10:29:55Z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EC17BCFBCE6FCD0220068F67768EC04B_43</vt:lpwstr>
  </property>
  <property fmtid="{D5CDD505-2E9C-101B-9397-08002B2CF9AE}" pid="4" name="KSOTemplateDocerSaveRecord">
    <vt:lpwstr>eyJoZGlkIjoiMTdiZTIwYzhjMTc3Yjg5OWEzOTk3MmU3OWQ0NjMxYjAiLCJ1c2VySWQiOiIzNzI4Mjc3ODUifQ==</vt:lpwstr>
  </property>
</Properties>
</file>