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numPr>
          <w:ilvl w:val="255"/>
          <w:numId w:val="0"/>
        </w:numPr>
      </w:pPr>
      <w:r>
        <w:rPr>
          <w:rFonts w:hint="eastAsia"/>
        </w:rPr>
        <w:t>包</w:t>
      </w:r>
      <w:r>
        <w:rPr>
          <w:rFonts w:hint="eastAsia"/>
          <w:lang w:val="en-US" w:eastAsia="zh-CN"/>
        </w:rPr>
        <w:t>2</w:t>
      </w:r>
      <w:r>
        <w:rPr>
          <w:rFonts w:hint="eastAsia"/>
        </w:rPr>
        <w:t>：后勤公共及会议厅家具采购需求</w:t>
      </w:r>
    </w:p>
    <w:p>
      <w:pPr>
        <w:pStyle w:val="12"/>
        <w:spacing w:before="313" w:line="360" w:lineRule="auto"/>
        <w:rPr>
          <w:rFonts w:hint="eastAsia"/>
          <w:b/>
          <w:bCs/>
        </w:rPr>
      </w:pPr>
      <w:r>
        <w:rPr>
          <w:rFonts w:hint="eastAsia"/>
          <w:b/>
          <w:bCs/>
          <w:spacing w:val="12"/>
        </w:rPr>
        <w:t>一、项目（包件）内容</w:t>
      </w:r>
    </w:p>
    <w:p>
      <w:pPr>
        <w:pStyle w:val="12"/>
        <w:spacing w:before="44" w:line="360" w:lineRule="auto"/>
        <w:ind w:firstLine="480" w:firstLineChars="200"/>
        <w:rPr>
          <w:rFonts w:hint="eastAsia"/>
        </w:rPr>
      </w:pPr>
      <w:r>
        <w:rPr>
          <w:rFonts w:hint="eastAsia"/>
        </w:rPr>
        <w:t>后勤公共及会议厅家具。</w:t>
      </w:r>
    </w:p>
    <w:p>
      <w:pPr>
        <w:pStyle w:val="12"/>
        <w:spacing w:before="44" w:line="360" w:lineRule="auto"/>
        <w:ind w:firstLine="480" w:firstLineChars="200"/>
        <w:rPr>
          <w:rFonts w:hint="eastAsia"/>
        </w:rPr>
      </w:pPr>
    </w:p>
    <w:p>
      <w:pPr>
        <w:pStyle w:val="13"/>
        <w:ind w:left="0" w:leftChars="0"/>
        <w:rPr>
          <w:rFonts w:hint="eastAsia" w:ascii="宋体" w:hAnsi="宋体" w:eastAsia="宋体" w:cs="宋体"/>
          <w:color w:val="FF0000"/>
          <w:highlight w:val="yellow"/>
        </w:rPr>
      </w:pPr>
      <w:r>
        <w:rPr>
          <w:rFonts w:hint="eastAsia" w:ascii="宋体" w:hAnsi="宋体" w:eastAsia="宋体" w:cs="宋体"/>
          <w:b/>
          <w:bCs/>
        </w:rPr>
        <w:t>二、需执行的国家相关标准、行业标准或其他标准、规范</w:t>
      </w:r>
    </w:p>
    <w:p>
      <w:pPr>
        <w:pStyle w:val="12"/>
        <w:spacing w:before="44" w:line="360" w:lineRule="auto"/>
        <w:ind w:left="50" w:firstLine="482" w:firstLineChars="200"/>
        <w:rPr>
          <w:rFonts w:hint="eastAsia"/>
          <w:b/>
          <w:bCs/>
        </w:rPr>
      </w:pPr>
    </w:p>
    <w:p>
      <w:pPr>
        <w:pStyle w:val="13"/>
        <w:ind w:left="0" w:leftChars="0"/>
        <w:rPr>
          <w:rFonts w:hint="eastAsia" w:ascii="宋体" w:hAnsi="宋体" w:eastAsia="宋体" w:cs="宋体"/>
          <w:b/>
          <w:bCs/>
        </w:rPr>
      </w:pPr>
      <w:bookmarkStart w:id="0" w:name="_Toc25898_WPSOffice_Level2"/>
      <w:bookmarkStart w:id="1" w:name="_Toc8379"/>
      <w:r>
        <w:rPr>
          <w:rFonts w:hint="eastAsia" w:ascii="宋体" w:hAnsi="宋体" w:eastAsia="宋体" w:cs="宋体"/>
          <w:b/>
          <w:bCs/>
        </w:rPr>
        <w:t>（一）强制性标准</w:t>
      </w:r>
      <w:bookmarkEnd w:id="0"/>
      <w:bookmarkEnd w:id="1"/>
    </w:p>
    <w:p>
      <w:pPr>
        <w:pStyle w:val="13"/>
        <w:ind w:left="0" w:leftChars="0" w:firstLine="480" w:firstLineChars="200"/>
        <w:rPr>
          <w:rFonts w:hint="eastAsia" w:ascii="宋体" w:hAnsi="宋体" w:eastAsia="宋体" w:cs="宋体"/>
        </w:rPr>
      </w:pPr>
      <w:r>
        <w:rPr>
          <w:rFonts w:hint="eastAsia" w:ascii="宋体" w:hAnsi="宋体" w:eastAsia="宋体" w:cs="宋体"/>
        </w:rPr>
        <w:t>GB 18584-2024《家具中有害物质限量》；</w:t>
      </w:r>
    </w:p>
    <w:p>
      <w:pPr>
        <w:pStyle w:val="13"/>
        <w:ind w:left="0" w:leftChars="0" w:firstLine="480" w:firstLineChars="200"/>
        <w:rPr>
          <w:rFonts w:hint="eastAsia" w:ascii="宋体" w:hAnsi="宋体" w:eastAsia="宋体" w:cs="宋体"/>
        </w:rPr>
      </w:pPr>
      <w:r>
        <w:rPr>
          <w:rFonts w:hint="eastAsia" w:ascii="宋体" w:hAnsi="宋体" w:eastAsia="宋体" w:cs="宋体"/>
        </w:rPr>
        <w:t>GB 28008-2024《家具结构安全技术规范》；</w:t>
      </w:r>
    </w:p>
    <w:p>
      <w:pPr>
        <w:pStyle w:val="13"/>
        <w:ind w:left="0" w:leftChars="0" w:firstLine="480" w:firstLineChars="200"/>
        <w:rPr>
          <w:rFonts w:hint="eastAsia" w:ascii="宋体" w:hAnsi="宋体" w:eastAsia="宋体" w:cs="宋体"/>
          <w:highlight w:val="yellow"/>
        </w:rPr>
      </w:pPr>
      <w:r>
        <w:rPr>
          <w:rFonts w:hint="eastAsia" w:ascii="宋体" w:hAnsi="宋体" w:eastAsia="宋体" w:cs="宋体"/>
        </w:rPr>
        <w:t>GB 17927-2024《家具阻燃性能安全技术规范》；</w:t>
      </w:r>
    </w:p>
    <w:p>
      <w:pPr>
        <w:pStyle w:val="13"/>
        <w:ind w:left="0" w:leftChars="0" w:firstLine="480" w:firstLineChars="200"/>
        <w:rPr>
          <w:rFonts w:hint="eastAsia" w:ascii="宋体" w:hAnsi="宋体" w:eastAsia="宋体" w:cs="宋体"/>
        </w:rPr>
      </w:pPr>
      <w:r>
        <w:rPr>
          <w:rFonts w:hint="eastAsia" w:ascii="宋体" w:hAnsi="宋体" w:eastAsia="宋体" w:cs="宋体"/>
        </w:rPr>
        <w:t>GB 18583-2008 《室内装饰装修材料 胶粘剂中有害物质限量》；</w:t>
      </w:r>
    </w:p>
    <w:p>
      <w:pPr>
        <w:pStyle w:val="13"/>
        <w:ind w:left="0" w:leftChars="0" w:firstLine="480" w:firstLineChars="200"/>
        <w:rPr>
          <w:rFonts w:hint="eastAsia" w:ascii="宋体" w:hAnsi="宋体" w:eastAsia="宋体" w:cs="宋体"/>
        </w:rPr>
      </w:pPr>
      <w:r>
        <w:rPr>
          <w:rFonts w:hint="eastAsia" w:ascii="宋体" w:hAnsi="宋体" w:eastAsia="宋体" w:cs="宋体"/>
        </w:rPr>
        <w:t>GB 6566-2010 《建筑材料放射性核素限量》；</w:t>
      </w:r>
    </w:p>
    <w:p>
      <w:pPr>
        <w:pStyle w:val="13"/>
        <w:ind w:left="0" w:leftChars="0" w:firstLine="480" w:firstLineChars="200"/>
        <w:rPr>
          <w:rFonts w:hint="eastAsia" w:ascii="宋体" w:hAnsi="宋体" w:eastAsia="宋体" w:cs="宋体"/>
        </w:rPr>
      </w:pPr>
      <w:r>
        <w:rPr>
          <w:rFonts w:hint="eastAsia" w:ascii="宋体" w:hAnsi="宋体" w:eastAsia="宋体" w:cs="宋体"/>
        </w:rPr>
        <w:t>GB 18584-2001《室内装饰装修材料木家具中有害物质限量》；</w:t>
      </w:r>
    </w:p>
    <w:p>
      <w:pPr>
        <w:pStyle w:val="13"/>
        <w:ind w:left="0" w:leftChars="0" w:firstLine="480" w:firstLineChars="200"/>
        <w:rPr>
          <w:rFonts w:hint="eastAsia" w:ascii="宋体" w:hAnsi="宋体" w:eastAsia="宋体" w:cs="宋体"/>
        </w:rPr>
      </w:pPr>
      <w:r>
        <w:rPr>
          <w:rFonts w:hint="eastAsia" w:ascii="宋体" w:hAnsi="宋体" w:eastAsia="宋体" w:cs="宋体"/>
        </w:rPr>
        <w:t>GB 18580-2017 《室内装饰装修材料人造板及其制品中甲醛释放限量》；</w:t>
      </w:r>
    </w:p>
    <w:p>
      <w:pPr>
        <w:pStyle w:val="13"/>
        <w:ind w:left="0" w:leftChars="0" w:firstLine="480" w:firstLineChars="200"/>
        <w:rPr>
          <w:rFonts w:hint="eastAsia" w:ascii="宋体" w:hAnsi="宋体" w:eastAsia="宋体" w:cs="宋体"/>
        </w:rPr>
      </w:pPr>
      <w:r>
        <w:rPr>
          <w:rFonts w:hint="eastAsia" w:ascii="宋体" w:hAnsi="宋体" w:eastAsia="宋体" w:cs="宋体"/>
        </w:rPr>
        <w:t>GB 18581-2020《木器涂料中有害物质限量》；</w:t>
      </w:r>
    </w:p>
    <w:p>
      <w:pPr>
        <w:pStyle w:val="13"/>
        <w:ind w:left="0" w:leftChars="0" w:firstLine="480" w:firstLineChars="200"/>
        <w:rPr>
          <w:rFonts w:hint="eastAsia" w:ascii="宋体" w:hAnsi="宋体" w:eastAsia="宋体" w:cs="宋体"/>
        </w:rPr>
      </w:pPr>
      <w:r>
        <w:rPr>
          <w:rFonts w:hint="eastAsia" w:ascii="宋体" w:hAnsi="宋体" w:eastAsia="宋体" w:cs="宋体"/>
        </w:rPr>
        <w:t>GB18581-2009《室内装饰装修材料溶剂型木器涂料中有害物质限量》；</w:t>
      </w:r>
    </w:p>
    <w:p>
      <w:pPr>
        <w:pStyle w:val="13"/>
        <w:ind w:left="0" w:leftChars="0" w:firstLine="480" w:firstLineChars="200"/>
        <w:rPr>
          <w:rFonts w:hint="eastAsia" w:ascii="宋体" w:hAnsi="宋体" w:eastAsia="宋体" w:cs="宋体"/>
        </w:rPr>
      </w:pPr>
      <w:r>
        <w:rPr>
          <w:rFonts w:hint="eastAsia" w:ascii="宋体" w:hAnsi="宋体" w:eastAsia="宋体" w:cs="宋体"/>
        </w:rPr>
        <w:t>GB 18401-2010《国家纺织产品基本安全技术规范》；</w:t>
      </w:r>
    </w:p>
    <w:p>
      <w:pPr>
        <w:pStyle w:val="13"/>
        <w:ind w:left="0" w:leftChars="0" w:firstLine="480" w:firstLineChars="200"/>
        <w:rPr>
          <w:rFonts w:hint="eastAsia" w:ascii="宋体" w:hAnsi="宋体" w:eastAsia="宋体" w:cs="宋体"/>
        </w:rPr>
      </w:pPr>
      <w:r>
        <w:rPr>
          <w:rFonts w:hint="eastAsia" w:ascii="宋体" w:hAnsi="宋体" w:eastAsia="宋体" w:cs="宋体"/>
        </w:rPr>
        <w:t>GB 16799-2018《家具用皮革》；</w:t>
      </w:r>
    </w:p>
    <w:p/>
    <w:p>
      <w:pPr>
        <w:pStyle w:val="13"/>
        <w:ind w:left="0" w:leftChars="0"/>
        <w:rPr>
          <w:rFonts w:hint="eastAsia" w:ascii="宋体" w:hAnsi="宋体" w:eastAsia="宋体" w:cs="宋体"/>
          <w:b/>
          <w:bCs/>
        </w:rPr>
      </w:pPr>
      <w:bookmarkStart w:id="2" w:name="_Toc16007"/>
      <w:bookmarkStart w:id="3" w:name="_Toc227555682"/>
      <w:bookmarkStart w:id="4" w:name="_Toc25730_WPSOffice_Level2"/>
      <w:r>
        <w:rPr>
          <w:rFonts w:hint="eastAsia" w:ascii="宋体" w:hAnsi="宋体" w:eastAsia="宋体" w:cs="宋体"/>
          <w:b/>
          <w:bCs/>
        </w:rPr>
        <w:t>（二）质量及技术标准</w:t>
      </w:r>
      <w:bookmarkEnd w:id="2"/>
      <w:bookmarkEnd w:id="3"/>
      <w:bookmarkEnd w:id="4"/>
    </w:p>
    <w:p>
      <w:pPr>
        <w:pStyle w:val="13"/>
        <w:ind w:left="0" w:leftChars="0" w:firstLine="480" w:firstLineChars="200"/>
        <w:rPr>
          <w:rFonts w:hint="eastAsia" w:ascii="宋体" w:hAnsi="宋体" w:eastAsia="宋体" w:cs="宋体"/>
        </w:rPr>
      </w:pPr>
      <w:r>
        <w:rPr>
          <w:rFonts w:hint="eastAsia" w:ascii="宋体" w:hAnsi="宋体" w:eastAsia="宋体" w:cs="宋体"/>
        </w:rPr>
        <w:t>重要标准：</w:t>
      </w:r>
    </w:p>
    <w:p>
      <w:pPr>
        <w:pStyle w:val="13"/>
        <w:ind w:left="0" w:leftChars="0" w:firstLine="480" w:firstLineChars="200"/>
        <w:rPr>
          <w:rFonts w:hint="eastAsia" w:ascii="宋体" w:hAnsi="宋体" w:eastAsia="宋体" w:cs="宋体"/>
        </w:rPr>
      </w:pPr>
      <w:r>
        <w:rPr>
          <w:rFonts w:hint="eastAsia" w:ascii="宋体" w:hAnsi="宋体" w:eastAsia="宋体" w:cs="宋体"/>
        </w:rPr>
        <w:t>GB/T 35607-2024《绿色产品评价家具》；</w:t>
      </w:r>
    </w:p>
    <w:p>
      <w:pPr>
        <w:pStyle w:val="13"/>
        <w:ind w:left="0" w:leftChars="0" w:firstLine="480" w:firstLineChars="200"/>
        <w:rPr>
          <w:rFonts w:hint="eastAsia" w:ascii="宋体" w:hAnsi="宋体" w:eastAsia="宋体" w:cs="宋体"/>
        </w:rPr>
      </w:pPr>
      <w:r>
        <w:rPr>
          <w:rFonts w:hint="eastAsia" w:ascii="宋体" w:hAnsi="宋体" w:eastAsia="宋体" w:cs="宋体"/>
        </w:rPr>
        <w:t>GB/T 3325-2024《金属家具通用技术条件》；</w:t>
      </w:r>
    </w:p>
    <w:p>
      <w:pPr>
        <w:pStyle w:val="13"/>
        <w:ind w:left="0" w:leftChars="0" w:firstLine="480" w:firstLineChars="200"/>
        <w:rPr>
          <w:rFonts w:hint="eastAsia" w:ascii="宋体" w:hAnsi="宋体" w:eastAsia="宋体" w:cs="宋体"/>
        </w:rPr>
      </w:pPr>
      <w:r>
        <w:rPr>
          <w:rFonts w:hint="eastAsia" w:ascii="宋体" w:hAnsi="宋体" w:eastAsia="宋体" w:cs="宋体"/>
        </w:rPr>
        <w:t>GB/T 3324-2024《木家具通用技术条件》；</w:t>
      </w:r>
    </w:p>
    <w:p>
      <w:pPr>
        <w:pStyle w:val="13"/>
        <w:ind w:left="0" w:leftChars="0" w:firstLine="480" w:firstLineChars="200"/>
        <w:rPr>
          <w:rFonts w:hint="eastAsia" w:ascii="宋体" w:hAnsi="宋体" w:eastAsia="宋体" w:cs="宋体"/>
        </w:rPr>
      </w:pPr>
      <w:r>
        <w:rPr>
          <w:rFonts w:hint="eastAsia" w:ascii="宋体" w:hAnsi="宋体" w:eastAsia="宋体" w:cs="宋体"/>
        </w:rPr>
        <w:t>其他标准：</w:t>
      </w:r>
    </w:p>
    <w:p>
      <w:pPr>
        <w:pStyle w:val="13"/>
        <w:ind w:left="0" w:leftChars="0" w:firstLine="480" w:firstLineChars="200"/>
        <w:rPr>
          <w:rFonts w:hint="eastAsia" w:ascii="宋体" w:hAnsi="宋体" w:eastAsia="宋体" w:cs="宋体"/>
        </w:rPr>
      </w:pPr>
      <w:r>
        <w:rPr>
          <w:rFonts w:hint="eastAsia" w:ascii="宋体" w:hAnsi="宋体" w:eastAsia="宋体" w:cs="宋体"/>
        </w:rPr>
        <w:t>GB/T 15102-2017《浸渍胶膜纸饰面纤维板和刨花板》；</w:t>
      </w:r>
    </w:p>
    <w:p>
      <w:pPr>
        <w:pStyle w:val="13"/>
        <w:ind w:left="0" w:leftChars="0" w:firstLine="480" w:firstLineChars="200"/>
        <w:rPr>
          <w:rFonts w:hint="eastAsia" w:ascii="宋体" w:hAnsi="宋体" w:eastAsia="宋体" w:cs="宋体"/>
        </w:rPr>
      </w:pPr>
      <w:r>
        <w:rPr>
          <w:rFonts w:hint="eastAsia" w:ascii="宋体" w:hAnsi="宋体" w:eastAsia="宋体" w:cs="宋体"/>
        </w:rPr>
        <w:t>GB/T 29525-2013《座椅升降气弹簧 技术条件》；</w:t>
      </w:r>
    </w:p>
    <w:p>
      <w:pPr>
        <w:pStyle w:val="13"/>
        <w:ind w:left="0" w:leftChars="0" w:firstLine="480" w:firstLineChars="200"/>
        <w:rPr>
          <w:rFonts w:hint="eastAsia" w:ascii="宋体" w:hAnsi="宋体" w:eastAsia="宋体" w:cs="宋体"/>
        </w:rPr>
      </w:pPr>
      <w:r>
        <w:rPr>
          <w:rFonts w:hint="eastAsia" w:ascii="宋体" w:hAnsi="宋体" w:eastAsia="宋体" w:cs="宋体"/>
        </w:rPr>
        <w:t>GB/T 10802-2023《通用软质聚氨酯泡沫塑料》；</w:t>
      </w:r>
    </w:p>
    <w:p>
      <w:pPr>
        <w:pStyle w:val="13"/>
        <w:ind w:left="0" w:leftChars="0" w:firstLine="480" w:firstLineChars="200"/>
        <w:rPr>
          <w:rFonts w:hint="eastAsia" w:ascii="宋体" w:hAnsi="宋体" w:eastAsia="宋体" w:cs="宋体"/>
        </w:rPr>
      </w:pPr>
      <w:r>
        <w:rPr>
          <w:rFonts w:hint="eastAsia" w:ascii="宋体" w:hAnsi="宋体" w:eastAsia="宋体" w:cs="宋体"/>
        </w:rPr>
        <w:t>GB/T 35601-2024《绿色产品评价 人造板和木质地板》；</w:t>
      </w:r>
    </w:p>
    <w:p>
      <w:pPr>
        <w:pStyle w:val="13"/>
        <w:ind w:left="0" w:leftChars="0" w:firstLine="480" w:firstLineChars="200"/>
        <w:rPr>
          <w:rFonts w:hint="eastAsia" w:ascii="宋体" w:hAnsi="宋体" w:eastAsia="宋体" w:cs="宋体"/>
        </w:rPr>
      </w:pPr>
      <w:r>
        <w:rPr>
          <w:rFonts w:hint="eastAsia" w:ascii="宋体" w:hAnsi="宋体" w:eastAsia="宋体" w:cs="宋体"/>
        </w:rPr>
        <w:t>QB/T 2189-2013《家具五金 杯状暗铰链》；</w:t>
      </w:r>
    </w:p>
    <w:p>
      <w:pPr>
        <w:pStyle w:val="13"/>
        <w:ind w:left="0" w:leftChars="0" w:firstLine="480" w:firstLineChars="200"/>
        <w:rPr>
          <w:rFonts w:hint="eastAsia" w:ascii="宋体" w:hAnsi="宋体" w:eastAsia="宋体" w:cs="宋体"/>
        </w:rPr>
      </w:pPr>
      <w:r>
        <w:rPr>
          <w:rFonts w:hint="eastAsia" w:ascii="宋体" w:hAnsi="宋体" w:eastAsia="宋体" w:cs="宋体"/>
        </w:rPr>
        <w:t>GB/T 11718-2021 《中密度纤维板》；</w:t>
      </w:r>
    </w:p>
    <w:p>
      <w:pPr>
        <w:pStyle w:val="13"/>
        <w:ind w:left="0" w:leftChars="0" w:firstLine="480" w:firstLineChars="200"/>
        <w:rPr>
          <w:rFonts w:hint="eastAsia" w:ascii="宋体" w:hAnsi="宋体" w:eastAsia="宋体" w:cs="宋体"/>
        </w:rPr>
      </w:pPr>
      <w:r>
        <w:rPr>
          <w:rFonts w:hint="eastAsia" w:ascii="宋体" w:hAnsi="宋体" w:eastAsia="宋体" w:cs="宋体"/>
        </w:rPr>
        <w:t>QB/T 1621-2015 《家具锁》；</w:t>
      </w:r>
    </w:p>
    <w:p>
      <w:pPr>
        <w:pStyle w:val="13"/>
        <w:ind w:left="0" w:leftChars="0" w:firstLine="480" w:firstLineChars="200"/>
        <w:rPr>
          <w:rFonts w:hint="eastAsia" w:ascii="宋体" w:hAnsi="宋体" w:eastAsia="宋体" w:cs="宋体"/>
        </w:rPr>
      </w:pPr>
      <w:r>
        <w:rPr>
          <w:rFonts w:hint="eastAsia" w:ascii="宋体" w:hAnsi="宋体" w:eastAsia="宋体" w:cs="宋体"/>
        </w:rPr>
        <w:t>GB/T 2454-2013 《家具五金 抽屉导轨》；</w:t>
      </w:r>
    </w:p>
    <w:p>
      <w:pPr>
        <w:pStyle w:val="13"/>
        <w:ind w:left="0" w:leftChars="0" w:firstLine="480" w:firstLineChars="200"/>
        <w:rPr>
          <w:rFonts w:hint="eastAsia" w:ascii="宋体" w:hAnsi="宋体" w:eastAsia="宋体" w:cs="宋体"/>
        </w:rPr>
      </w:pPr>
      <w:r>
        <w:rPr>
          <w:rFonts w:hint="eastAsia" w:ascii="宋体" w:hAnsi="宋体" w:eastAsia="宋体" w:cs="宋体"/>
        </w:rPr>
        <w:t>GB/T 4765-2014 《家具用脚轮》；</w:t>
      </w:r>
    </w:p>
    <w:p>
      <w:pPr>
        <w:pStyle w:val="13"/>
        <w:ind w:left="0" w:leftChars="0" w:firstLine="480" w:firstLineChars="200"/>
        <w:rPr>
          <w:rFonts w:hint="eastAsia" w:ascii="宋体" w:hAnsi="宋体" w:eastAsia="宋体" w:cs="宋体"/>
        </w:rPr>
      </w:pPr>
      <w:r>
        <w:rPr>
          <w:rFonts w:hint="eastAsia" w:ascii="宋体" w:hAnsi="宋体" w:eastAsia="宋体" w:cs="宋体"/>
        </w:rPr>
        <w:t>QB/T 2280-2016《办公家具 办公椅》；</w:t>
      </w:r>
    </w:p>
    <w:p>
      <w:pPr>
        <w:pStyle w:val="13"/>
        <w:ind w:left="0" w:leftChars="0" w:firstLine="480" w:firstLineChars="200"/>
        <w:rPr>
          <w:rFonts w:hint="eastAsia" w:ascii="宋体" w:hAnsi="宋体" w:eastAsia="宋体" w:cs="宋体"/>
        </w:rPr>
      </w:pPr>
      <w:r>
        <w:rPr>
          <w:rFonts w:hint="eastAsia" w:ascii="宋体" w:hAnsi="宋体" w:eastAsia="宋体" w:cs="宋体"/>
        </w:rPr>
        <w:t>QB/T 1952.1-2023《软体家具 沙发》。</w:t>
      </w:r>
    </w:p>
    <w:p>
      <w:pPr>
        <w:pStyle w:val="13"/>
        <w:ind w:left="0" w:leftChars="0" w:firstLine="482" w:firstLineChars="200"/>
        <w:rPr>
          <w:rFonts w:hint="eastAsia" w:ascii="宋体" w:hAnsi="宋体" w:eastAsia="宋体" w:cs="宋体"/>
          <w:b/>
          <w:bCs/>
          <w:color w:val="FF0000"/>
        </w:rPr>
      </w:pPr>
      <w:r>
        <w:rPr>
          <w:rFonts w:hint="eastAsia" w:ascii="宋体" w:hAnsi="宋体" w:eastAsia="宋体" w:cs="宋体"/>
          <w:b/>
          <w:bCs/>
        </w:rPr>
        <w:t>及其他与本次采购的家具相关的现行最新标准</w:t>
      </w:r>
    </w:p>
    <w:p/>
    <w:p>
      <w:pPr>
        <w:spacing w:before="120" w:line="360" w:lineRule="auto"/>
        <w:outlineLvl w:val="6"/>
        <w:rPr>
          <w:rFonts w:hint="eastAsia" w:ascii="宋体" w:hAnsi="宋体" w:eastAsia="宋体" w:cs="宋体"/>
          <w:b/>
          <w:bCs/>
          <w:color w:val="FF0000"/>
          <w:sz w:val="24"/>
        </w:rPr>
      </w:pPr>
      <w:r>
        <w:rPr>
          <w:rFonts w:hint="eastAsia" w:ascii="宋体" w:hAnsi="宋体" w:eastAsia="宋体" w:cs="宋体"/>
          <w:b/>
          <w:bCs/>
          <w:spacing w:val="-2"/>
          <w:sz w:val="24"/>
        </w:rPr>
        <w:t>三、</w:t>
      </w:r>
      <w:r>
        <w:rPr>
          <w:rFonts w:hint="eastAsia" w:ascii="宋体" w:hAnsi="宋体" w:eastAsia="宋体" w:cs="宋体"/>
          <w:b/>
          <w:bCs/>
          <w:sz w:val="24"/>
        </w:rPr>
        <w:t>采购清单及技术参数</w:t>
      </w:r>
      <w:r>
        <w:rPr>
          <w:rFonts w:hint="eastAsia" w:ascii="宋体" w:hAnsi="宋体" w:eastAsia="宋体" w:cs="宋体"/>
          <w:b/>
          <w:bCs/>
          <w:spacing w:val="-2"/>
          <w:sz w:val="24"/>
        </w:rPr>
        <w:t>要求</w:t>
      </w:r>
    </w:p>
    <w:p>
      <w:pPr>
        <w:spacing w:line="480" w:lineRule="auto"/>
        <w:ind w:firstLine="630" w:firstLineChars="300"/>
      </w:pPr>
      <w:r>
        <w:rPr>
          <w:rFonts w:hint="eastAsia"/>
        </w:rPr>
        <w:t>注：详见下页文......</w:t>
      </w:r>
      <w:r>
        <w:br w:type="page"/>
      </w:r>
    </w:p>
    <w:p>
      <w:pPr>
        <w:sectPr>
          <w:headerReference r:id="rId3" w:type="default"/>
          <w:footerReference r:id="rId4" w:type="default"/>
          <w:pgSz w:w="11906" w:h="16838"/>
          <w:pgMar w:top="1247" w:right="1247" w:bottom="1247" w:left="1247" w:header="765" w:footer="765" w:gutter="0"/>
          <w:pgNumType w:start="1"/>
          <w:cols w:space="425" w:num="1"/>
          <w:docGrid w:type="lines" w:linePitch="312" w:charSpace="0"/>
        </w:sectPr>
      </w:pPr>
    </w:p>
    <w:p>
      <w:pPr>
        <w:pStyle w:val="3"/>
        <w:rPr>
          <w:rFonts w:hint="eastAsia" w:ascii="宋体" w:hAnsi="宋体" w:cs="宋体"/>
          <w:bCs/>
          <w:spacing w:val="-2"/>
        </w:rPr>
      </w:pPr>
      <w:r>
        <w:rPr>
          <w:rFonts w:hint="eastAsia" w:ascii="宋体" w:hAnsi="宋体" w:cs="宋体"/>
          <w:bCs/>
        </w:rPr>
        <w:t>采购清单及技术参数</w:t>
      </w:r>
      <w:r>
        <w:rPr>
          <w:rFonts w:hint="eastAsia" w:ascii="宋体" w:hAnsi="宋体" w:cs="宋体"/>
          <w:bCs/>
          <w:spacing w:val="-2"/>
        </w:rPr>
        <w:t>要求</w:t>
      </w:r>
    </w:p>
    <w:tbl>
      <w:tblPr>
        <w:tblStyle w:val="17"/>
        <w:tblW w:w="4995" w:type="pct"/>
        <w:tblInd w:w="0" w:type="dxa"/>
        <w:tblLayout w:type="fixed"/>
        <w:tblCellMar>
          <w:top w:w="0" w:type="dxa"/>
          <w:left w:w="108" w:type="dxa"/>
          <w:bottom w:w="0" w:type="dxa"/>
          <w:right w:w="108" w:type="dxa"/>
        </w:tblCellMar>
      </w:tblPr>
      <w:tblGrid>
        <w:gridCol w:w="455"/>
        <w:gridCol w:w="696"/>
        <w:gridCol w:w="728"/>
        <w:gridCol w:w="2328"/>
        <w:gridCol w:w="1819"/>
        <w:gridCol w:w="976"/>
        <w:gridCol w:w="975"/>
        <w:gridCol w:w="1524"/>
        <w:gridCol w:w="4590"/>
        <w:gridCol w:w="454"/>
      </w:tblGrid>
      <w:tr>
        <w:tblPrEx>
          <w:tblCellMar>
            <w:top w:w="0" w:type="dxa"/>
            <w:left w:w="108" w:type="dxa"/>
            <w:bottom w:w="0" w:type="dxa"/>
            <w:right w:w="108" w:type="dxa"/>
          </w:tblCellMar>
        </w:tblPrEx>
        <w:trPr>
          <w:trHeight w:val="624"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BFBFBF"/>
            <w:vAlign w:val="center"/>
          </w:tcPr>
          <w:p>
            <w:pPr>
              <w:widowControl/>
              <w:jc w:val="center"/>
              <w:textAlignment w:val="center"/>
              <w:rPr>
                <w:rFonts w:hint="eastAsia" w:ascii="微软雅黑" w:hAnsi="微软雅黑" w:eastAsia="微软雅黑" w:cs="微软雅黑"/>
                <w:color w:val="000000"/>
                <w:sz w:val="24"/>
              </w:rPr>
            </w:pPr>
            <w:r>
              <w:rPr>
                <w:rFonts w:hint="eastAsia" w:ascii="微软雅黑" w:hAnsi="微软雅黑" w:eastAsia="微软雅黑" w:cs="微软雅黑"/>
                <w:color w:val="000000"/>
                <w:kern w:val="0"/>
                <w:sz w:val="24"/>
                <w:lang w:bidi="ar"/>
              </w:rPr>
              <w:t>序号</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BFBFBF"/>
            <w:vAlign w:val="center"/>
          </w:tcPr>
          <w:p>
            <w:pPr>
              <w:widowControl/>
              <w:jc w:val="center"/>
              <w:textAlignment w:val="center"/>
              <w:rPr>
                <w:rFonts w:hint="eastAsia" w:ascii="微软雅黑" w:hAnsi="微软雅黑" w:eastAsia="微软雅黑" w:cs="微软雅黑"/>
                <w:color w:val="000000"/>
                <w:sz w:val="24"/>
              </w:rPr>
            </w:pPr>
            <w:r>
              <w:rPr>
                <w:rFonts w:hint="eastAsia" w:ascii="微软雅黑" w:hAnsi="微软雅黑" w:eastAsia="微软雅黑" w:cs="微软雅黑"/>
                <w:color w:val="000000"/>
                <w:kern w:val="0"/>
                <w:sz w:val="24"/>
                <w:lang w:bidi="ar"/>
              </w:rPr>
              <w:t>产品名称</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BFBFBF"/>
            <w:vAlign w:val="center"/>
          </w:tcPr>
          <w:p>
            <w:pPr>
              <w:widowControl/>
              <w:jc w:val="center"/>
              <w:textAlignment w:val="center"/>
              <w:rPr>
                <w:rFonts w:hint="eastAsia" w:ascii="微软雅黑" w:hAnsi="微软雅黑" w:eastAsia="微软雅黑" w:cs="微软雅黑"/>
                <w:color w:val="000000"/>
                <w:sz w:val="24"/>
              </w:rPr>
            </w:pPr>
            <w:r>
              <w:rPr>
                <w:rFonts w:hint="eastAsia" w:ascii="微软雅黑" w:hAnsi="微软雅黑" w:eastAsia="微软雅黑" w:cs="微软雅黑"/>
                <w:color w:val="000000"/>
                <w:kern w:val="0"/>
                <w:sz w:val="24"/>
                <w:lang w:bidi="ar"/>
              </w:rPr>
              <w:t>基本分类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BFBFBF"/>
            <w:vAlign w:val="center"/>
          </w:tcPr>
          <w:p>
            <w:pPr>
              <w:widowControl/>
              <w:jc w:val="center"/>
              <w:textAlignment w:val="center"/>
              <w:rPr>
                <w:rFonts w:hint="eastAsia" w:ascii="微软雅黑" w:hAnsi="微软雅黑" w:eastAsia="微软雅黑" w:cs="微软雅黑"/>
                <w:color w:val="000000"/>
                <w:sz w:val="24"/>
              </w:rPr>
            </w:pPr>
            <w:r>
              <w:rPr>
                <w:rFonts w:hint="eastAsia" w:ascii="微软雅黑" w:hAnsi="微软雅黑" w:eastAsia="微软雅黑" w:cs="微软雅黑"/>
                <w:color w:val="000000"/>
                <w:kern w:val="0"/>
                <w:sz w:val="24"/>
                <w:lang w:bidi="ar"/>
              </w:rPr>
              <w:t>参考样式</w:t>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BFBFBF"/>
            <w:vAlign w:val="center"/>
          </w:tcPr>
          <w:p>
            <w:pPr>
              <w:widowControl/>
              <w:jc w:val="center"/>
              <w:textAlignment w:val="center"/>
              <w:rPr>
                <w:rFonts w:hint="eastAsia" w:ascii="微软雅黑" w:hAnsi="微软雅黑" w:eastAsia="微软雅黑" w:cs="微软雅黑"/>
                <w:color w:val="000000"/>
                <w:sz w:val="24"/>
              </w:rPr>
            </w:pPr>
            <w:r>
              <w:rPr>
                <w:rFonts w:hint="eastAsia" w:ascii="微软雅黑" w:hAnsi="微软雅黑" w:eastAsia="微软雅黑" w:cs="微软雅黑"/>
                <w:color w:val="000000"/>
                <w:kern w:val="0"/>
                <w:sz w:val="24"/>
                <w:lang w:bidi="ar"/>
              </w:rPr>
              <w:t>参考规格</w:t>
            </w:r>
            <w:r>
              <w:rPr>
                <w:rFonts w:hint="eastAsia" w:ascii="微软雅黑" w:hAnsi="微软雅黑" w:eastAsia="微软雅黑" w:cs="微软雅黑"/>
                <w:color w:val="000000"/>
                <w:kern w:val="0"/>
                <w:sz w:val="24"/>
                <w:lang w:bidi="ar"/>
              </w:rPr>
              <w:br w:type="textWrapping"/>
            </w:r>
            <w:r>
              <w:rPr>
                <w:rFonts w:hint="eastAsia" w:ascii="微软雅黑" w:hAnsi="微软雅黑" w:eastAsia="微软雅黑" w:cs="微软雅黑"/>
                <w:color w:val="000000"/>
                <w:kern w:val="0"/>
                <w:sz w:val="24"/>
                <w:lang w:bidi="ar"/>
              </w:rPr>
              <w:t>(长×宽×高)mm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BFBFBF"/>
            <w:vAlign w:val="center"/>
          </w:tcPr>
          <w:p>
            <w:pPr>
              <w:widowControl/>
              <w:jc w:val="center"/>
              <w:textAlignment w:val="center"/>
              <w:rPr>
                <w:rFonts w:hint="eastAsia" w:ascii="微软雅黑" w:hAnsi="微软雅黑" w:eastAsia="微软雅黑" w:cs="微软雅黑"/>
                <w:color w:val="000000"/>
                <w:sz w:val="24"/>
              </w:rPr>
            </w:pPr>
            <w:r>
              <w:rPr>
                <w:rFonts w:hint="eastAsia" w:ascii="微软雅黑" w:hAnsi="微软雅黑" w:eastAsia="微软雅黑" w:cs="微软雅黑"/>
                <w:color w:val="000000"/>
                <w:kern w:val="0"/>
                <w:sz w:val="24"/>
                <w:lang w:bidi="ar"/>
              </w:rPr>
              <w:t>数量</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BFBFBF"/>
            <w:vAlign w:val="center"/>
          </w:tcPr>
          <w:p>
            <w:pPr>
              <w:widowControl/>
              <w:jc w:val="center"/>
              <w:textAlignment w:val="center"/>
              <w:rPr>
                <w:rFonts w:hint="eastAsia" w:ascii="微软雅黑" w:hAnsi="微软雅黑" w:eastAsia="微软雅黑" w:cs="微软雅黑"/>
                <w:color w:val="000000"/>
                <w:kern w:val="0"/>
                <w:sz w:val="24"/>
                <w:lang w:bidi="ar"/>
              </w:rPr>
            </w:pPr>
            <w:r>
              <w:rPr>
                <w:rFonts w:hint="eastAsia" w:ascii="微软雅黑" w:hAnsi="微软雅黑" w:eastAsia="微软雅黑" w:cs="微软雅黑"/>
                <w:color w:val="000000"/>
                <w:kern w:val="0"/>
                <w:sz w:val="24"/>
                <w:lang w:bidi="ar"/>
              </w:rPr>
              <w:t>基本</w:t>
            </w:r>
          </w:p>
          <w:p>
            <w:pPr>
              <w:widowControl/>
              <w:jc w:val="center"/>
              <w:textAlignment w:val="center"/>
              <w:rPr>
                <w:rFonts w:hint="eastAsia" w:ascii="微软雅黑" w:hAnsi="微软雅黑" w:eastAsia="微软雅黑" w:cs="微软雅黑"/>
                <w:color w:val="000000"/>
                <w:sz w:val="24"/>
              </w:rPr>
            </w:pPr>
            <w:r>
              <w:rPr>
                <w:rFonts w:hint="eastAsia" w:ascii="微软雅黑" w:hAnsi="微软雅黑" w:eastAsia="微软雅黑" w:cs="微软雅黑"/>
                <w:color w:val="000000"/>
                <w:kern w:val="0"/>
                <w:sz w:val="24"/>
                <w:lang w:bidi="ar"/>
              </w:rPr>
              <w:t>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BFBFBF"/>
            <w:vAlign w:val="center"/>
          </w:tcPr>
          <w:p>
            <w:pPr>
              <w:widowControl/>
              <w:jc w:val="center"/>
              <w:textAlignment w:val="center"/>
              <w:rPr>
                <w:rFonts w:hint="eastAsia" w:ascii="微软雅黑" w:hAnsi="微软雅黑" w:eastAsia="微软雅黑" w:cs="微软雅黑"/>
                <w:color w:val="000000"/>
                <w:sz w:val="24"/>
              </w:rPr>
            </w:pPr>
            <w:r>
              <w:rPr>
                <w:rFonts w:hint="eastAsia" w:ascii="微软雅黑" w:hAnsi="微软雅黑" w:eastAsia="微软雅黑" w:cs="微软雅黑"/>
                <w:color w:val="000000"/>
                <w:kern w:val="0"/>
                <w:sz w:val="24"/>
                <w:lang w:bidi="ar"/>
              </w:rPr>
              <w:t>基本材质</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BFBFBF"/>
            <w:vAlign w:val="center"/>
          </w:tcPr>
          <w:p>
            <w:pPr>
              <w:widowControl/>
              <w:jc w:val="center"/>
              <w:textAlignment w:val="center"/>
              <w:rPr>
                <w:rFonts w:hint="eastAsia" w:ascii="微软雅黑" w:hAnsi="微软雅黑" w:eastAsia="微软雅黑" w:cs="微软雅黑"/>
                <w:color w:val="000000"/>
                <w:sz w:val="24"/>
              </w:rPr>
            </w:pPr>
            <w:r>
              <w:rPr>
                <w:rFonts w:hint="eastAsia" w:ascii="微软雅黑" w:hAnsi="微软雅黑" w:eastAsia="微软雅黑" w:cs="微软雅黑"/>
                <w:color w:val="000000"/>
                <w:kern w:val="0"/>
                <w:sz w:val="24"/>
                <w:lang w:bidi="ar"/>
              </w:rPr>
              <w:t>技术参数</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BFBFBF"/>
            <w:vAlign w:val="center"/>
          </w:tcPr>
          <w:p>
            <w:pPr>
              <w:widowControl/>
              <w:jc w:val="center"/>
              <w:textAlignment w:val="center"/>
              <w:rPr>
                <w:rFonts w:hint="eastAsia" w:ascii="微软雅黑" w:hAnsi="微软雅黑" w:eastAsia="微软雅黑" w:cs="微软雅黑"/>
                <w:color w:val="000000"/>
                <w:sz w:val="24"/>
              </w:rPr>
            </w:pPr>
            <w:r>
              <w:rPr>
                <w:rFonts w:hint="eastAsia" w:ascii="微软雅黑" w:hAnsi="微软雅黑" w:eastAsia="微软雅黑" w:cs="微软雅黑"/>
                <w:color w:val="000000"/>
                <w:kern w:val="0"/>
                <w:sz w:val="24"/>
                <w:lang w:bidi="ar"/>
              </w:rPr>
              <w:t>备注</w:t>
            </w:r>
          </w:p>
        </w:tc>
      </w:tr>
      <w:tr>
        <w:tblPrEx>
          <w:tblCellMar>
            <w:top w:w="0" w:type="dxa"/>
            <w:left w:w="108" w:type="dxa"/>
            <w:bottom w:w="0" w:type="dxa"/>
            <w:right w:w="108" w:type="dxa"/>
          </w:tblCellMar>
        </w:tblPrEx>
        <w:trPr>
          <w:trHeight w:val="1631"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BFBFBF"/>
            <w:vAlign w:val="center"/>
          </w:tcPr>
          <w:p>
            <w:pPr>
              <w:jc w:val="center"/>
              <w:rPr>
                <w:rFonts w:hint="eastAsia" w:ascii="微软雅黑" w:hAnsi="微软雅黑" w:eastAsia="微软雅黑" w:cs="微软雅黑"/>
                <w:color w:val="000000"/>
                <w:sz w:val="24"/>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BFBFBF"/>
            <w:vAlign w:val="center"/>
          </w:tcPr>
          <w:p>
            <w:pPr>
              <w:jc w:val="center"/>
              <w:rPr>
                <w:rFonts w:hint="eastAsia" w:ascii="微软雅黑" w:hAnsi="微软雅黑" w:eastAsia="微软雅黑" w:cs="微软雅黑"/>
                <w:color w:val="000000"/>
                <w:sz w:val="24"/>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BFBFBF"/>
            <w:vAlign w:val="center"/>
          </w:tcPr>
          <w:p>
            <w:pPr>
              <w:jc w:val="center"/>
              <w:rPr>
                <w:rFonts w:hint="eastAsia" w:ascii="微软雅黑" w:hAnsi="微软雅黑" w:eastAsia="微软雅黑" w:cs="微软雅黑"/>
                <w:color w:val="000000"/>
                <w:sz w:val="24"/>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BFBFBF"/>
            <w:vAlign w:val="center"/>
          </w:tcPr>
          <w:p>
            <w:pPr>
              <w:jc w:val="center"/>
              <w:rPr>
                <w:rFonts w:hint="eastAsia" w:ascii="微软雅黑" w:hAnsi="微软雅黑" w:eastAsia="微软雅黑" w:cs="微软雅黑"/>
                <w:color w:val="000000"/>
                <w:sz w:val="24"/>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BFBFBF"/>
            <w:vAlign w:val="center"/>
          </w:tcPr>
          <w:p>
            <w:pPr>
              <w:jc w:val="center"/>
              <w:rPr>
                <w:rFonts w:hint="eastAsia" w:ascii="微软雅黑" w:hAnsi="微软雅黑" w:eastAsia="微软雅黑" w:cs="微软雅黑"/>
                <w:color w:val="000000"/>
                <w:sz w:val="24"/>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BFBFBF"/>
            <w:vAlign w:val="center"/>
          </w:tcPr>
          <w:p>
            <w:pPr>
              <w:jc w:val="center"/>
              <w:rPr>
                <w:rFonts w:hint="eastAsia" w:ascii="微软雅黑" w:hAnsi="微软雅黑" w:eastAsia="微软雅黑" w:cs="微软雅黑"/>
                <w:color w:val="000000"/>
                <w:sz w:val="24"/>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BFBFBF"/>
            <w:vAlign w:val="center"/>
          </w:tcPr>
          <w:p>
            <w:pPr>
              <w:jc w:val="center"/>
              <w:rPr>
                <w:rFonts w:hint="eastAsia" w:ascii="微软雅黑" w:hAnsi="微软雅黑" w:eastAsia="微软雅黑" w:cs="微软雅黑"/>
                <w:color w:val="000000"/>
                <w:sz w:val="24"/>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BFBFBF"/>
            <w:vAlign w:val="center"/>
          </w:tcPr>
          <w:p>
            <w:pPr>
              <w:jc w:val="center"/>
              <w:rPr>
                <w:rFonts w:hint="eastAsia" w:ascii="微软雅黑" w:hAnsi="微软雅黑" w:eastAsia="微软雅黑" w:cs="微软雅黑"/>
                <w:color w:val="000000"/>
                <w:sz w:val="24"/>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BFBFBF"/>
            <w:vAlign w:val="center"/>
          </w:tcPr>
          <w:p>
            <w:pPr>
              <w:jc w:val="center"/>
              <w:rPr>
                <w:rFonts w:hint="eastAsia" w:ascii="微软雅黑" w:hAnsi="微软雅黑" w:eastAsia="微软雅黑" w:cs="微软雅黑"/>
                <w:color w:val="000000"/>
                <w:sz w:val="24"/>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BFBFBF"/>
            <w:vAlign w:val="center"/>
          </w:tcPr>
          <w:p>
            <w:pPr>
              <w:jc w:val="center"/>
              <w:rPr>
                <w:rFonts w:hint="eastAsia" w:ascii="微软雅黑" w:hAnsi="微软雅黑" w:eastAsia="微软雅黑" w:cs="微软雅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1</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餐桌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035685" cy="805815"/>
                  <wp:effectExtent l="0" t="0" r="5715" b="6985"/>
                  <wp:docPr id="5" name="图片 9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6" descr="IMG_256"/>
                          <pic:cNvPicPr>
                            <a:picLocks noChangeAspect="1"/>
                          </pic:cNvPicPr>
                        </pic:nvPicPr>
                        <pic:blipFill>
                          <a:blip r:embed="rId6"/>
                          <a:stretch>
                            <a:fillRect/>
                          </a:stretch>
                        </pic:blipFill>
                        <pic:spPr>
                          <a:xfrm>
                            <a:off x="0" y="0"/>
                            <a:ext cx="1035685" cy="805870"/>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W1500*D700*H750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8</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由桌面、桌脚构成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4、桌脚：不锈钢</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pPr>
              <w:rPr>
                <w:rFonts w:hint="eastAsia" w:ascii="微软雅黑" w:hAnsi="微软雅黑" w:eastAsia="微软雅黑" w:cs="微软雅黑"/>
                <w:color w:val="000000"/>
                <w:kern w:val="0"/>
                <w:sz w:val="16"/>
                <w:szCs w:val="16"/>
                <w:lang w:bidi="ar"/>
              </w:rPr>
            </w:pPr>
          </w:p>
          <w:p>
            <w:pPr>
              <w:ind w:left="1050" w:hanging="1050" w:hangingChars="500"/>
            </w:pPr>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材料名称：木皮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材料厚度：0.6mm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29894-2013 《木材鉴别方法通则》、GB/T 18513-2001《中国主要进口木材名称》、GB/T 16734-1997《中国主要木材名称》、GB/T 18107-2017《红木》、GB/T17657-2013 《人造板及饰面人造板理化性能试验方法》、GB/T </w:t>
            </w:r>
            <w:r>
              <w:rPr>
                <w:rFonts w:hint="eastAsia" w:ascii="微软雅黑" w:hAnsi="微软雅黑" w:eastAsia="微软雅黑" w:cs="微软雅黑"/>
                <w:color w:val="000000"/>
                <w:kern w:val="0"/>
                <w:sz w:val="16"/>
                <w:szCs w:val="16"/>
                <w:lang w:eastAsia="zh-CN" w:bidi="ar"/>
              </w:rPr>
              <w:t>332</w:t>
            </w:r>
            <w:r>
              <w:rPr>
                <w:rFonts w:hint="eastAsia" w:ascii="微软雅黑" w:hAnsi="微软雅黑" w:eastAsia="微软雅黑" w:cs="微软雅黑"/>
                <w:color w:val="000000"/>
                <w:kern w:val="0"/>
                <w:sz w:val="16"/>
                <w:szCs w:val="16"/>
                <w:lang w:val="en-US" w:eastAsia="zh-CN" w:bidi="ar"/>
              </w:rPr>
              <w:t>4</w:t>
            </w:r>
            <w:r>
              <w:rPr>
                <w:rFonts w:hint="eastAsia" w:ascii="微软雅黑" w:hAnsi="微软雅黑" w:eastAsia="微软雅黑" w:cs="微软雅黑"/>
                <w:color w:val="000000"/>
                <w:kern w:val="0"/>
                <w:sz w:val="16"/>
                <w:szCs w:val="16"/>
                <w:lang w:eastAsia="zh-CN" w:bidi="ar"/>
              </w:rPr>
              <w:t>-2024</w:t>
            </w:r>
            <w:r>
              <w:rPr>
                <w:rFonts w:hint="eastAsia" w:ascii="微软雅黑" w:hAnsi="微软雅黑" w:eastAsia="微软雅黑" w:cs="微软雅黑"/>
                <w:color w:val="000000"/>
                <w:kern w:val="0"/>
                <w:sz w:val="16"/>
                <w:szCs w:val="16"/>
                <w:lang w:bidi="ar"/>
              </w:rPr>
              <w:t xml:space="preserve"> 《木家具通用技术条件》、GB/T 13010-2020 《木材工业用单板》。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含水率达到9.0-9.9%，甲醛释放量≤0.1mg/L，材色花纹具有装饰效果，无死节、孔洞、夹皮、树脂道。无半活节，无死节、虫洞、孔洞，无夹皮，无树脂道、树胶道，无变色，无腐朽，无裂缝，无毛刺沟痕、刀痕、划痕，无缺损。</w:t>
            </w:r>
          </w:p>
          <w:p>
            <w:r>
              <w:rPr>
                <w:rFonts w:hint="eastAsia" w:ascii="微软雅黑" w:hAnsi="微软雅黑" w:eastAsia="微软雅黑" w:cs="微软雅黑"/>
                <w:color w:val="000000"/>
                <w:kern w:val="0"/>
                <w:sz w:val="16"/>
                <w:szCs w:val="16"/>
                <w:lang w:bidi="ar"/>
              </w:rPr>
              <w:br w:type="textWrapping"/>
            </w:r>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r>
              <w:rPr>
                <w:rFonts w:hint="eastAsia" w:ascii="微软雅黑" w:hAnsi="微软雅黑" w:eastAsia="微软雅黑" w:cs="微软雅黑"/>
                <w:color w:val="000000"/>
                <w:kern w:val="0"/>
                <w:sz w:val="16"/>
                <w:szCs w:val="16"/>
                <w:lang w:bidi="ar"/>
              </w:rPr>
              <w:br w:type="textWrapping"/>
            </w: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材料名称：不锈钢</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 xml:space="preserve"> 《金属家具通用技术条件》、QB/T 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无裂缝、叠缝，外漏管口端面封闭，乙酸盐雾试验600h检测后，镀(涂层对基体的保护等级达到10级，镀(涂)层本身耐腐蚀等级达到10级，各种管材或异型管材，其受力部件的管壁厚度不应小于1.5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84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2</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餐桌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kern w:val="0"/>
                <w:sz w:val="16"/>
                <w:szCs w:val="16"/>
                <w:lang w:bidi="ar"/>
              </w:rPr>
            </w:pPr>
          </w:p>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035685" cy="805815"/>
                  <wp:effectExtent l="0" t="0" r="5715" b="6985"/>
                  <wp:docPr id="9" name="图片 97"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7" descr="IMG_257"/>
                          <pic:cNvPicPr>
                            <a:picLocks noChangeAspect="1"/>
                          </pic:cNvPicPr>
                        </pic:nvPicPr>
                        <pic:blipFill>
                          <a:blip r:embed="rId6"/>
                          <a:stretch>
                            <a:fillRect/>
                          </a:stretch>
                        </pic:blipFill>
                        <pic:spPr>
                          <a:xfrm>
                            <a:off x="0" y="0"/>
                            <a:ext cx="1035685" cy="805870"/>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W2100*D700*H750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9</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由桌面、桌脚构成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4、桌脚：不锈钢</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pPr>
              <w:ind w:left="1050" w:hanging="1050" w:hangingChars="500"/>
            </w:pPr>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材料名称：木皮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材料厚度：0.6mm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29894-2013 《木材鉴别方法通则》、GB/T 18513-2001《中国主要进口木材名称》、GB/T 16734-1997《中国主要木材名称》、GB/T 18107-2017《红木》、GB/T17657-2013 《人造板及饰面人造板理化性能试验方法》、</w:t>
            </w:r>
            <w:r>
              <w:rPr>
                <w:rFonts w:hint="eastAsia" w:ascii="微软雅黑" w:hAnsi="微软雅黑" w:eastAsia="微软雅黑" w:cs="微软雅黑"/>
                <w:color w:val="000000"/>
                <w:kern w:val="0"/>
                <w:sz w:val="16"/>
                <w:szCs w:val="16"/>
                <w:lang w:eastAsia="zh-CN" w:bidi="ar"/>
              </w:rPr>
              <w:t>GB/T 3324-2024 《木家具通用技术条件》</w:t>
            </w:r>
            <w:r>
              <w:rPr>
                <w:rFonts w:hint="eastAsia" w:ascii="微软雅黑" w:hAnsi="微软雅黑" w:eastAsia="微软雅黑" w:cs="微软雅黑"/>
                <w:color w:val="000000"/>
                <w:kern w:val="0"/>
                <w:sz w:val="16"/>
                <w:szCs w:val="16"/>
                <w:lang w:bidi="ar"/>
              </w:rPr>
              <w:t>、GB/T 13010-2020 《木材工业用单板》。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含水率达到9.0-9.9%，甲醛释放量≤0.1mg/L，材色花纹具有装饰效果，无死节、孔洞、夹皮、树脂道。无半活节，无死节、虫洞、孔洞，无夹皮，无树脂道、树胶道，无变色，无腐朽，无裂缝，无毛刺沟痕、刀痕、划痕，无缺损。</w:t>
            </w:r>
          </w:p>
          <w:p>
            <w:r>
              <w:rPr>
                <w:rFonts w:hint="eastAsia" w:ascii="微软雅黑" w:hAnsi="微软雅黑" w:eastAsia="微软雅黑" w:cs="微软雅黑"/>
                <w:color w:val="000000"/>
                <w:kern w:val="0"/>
                <w:sz w:val="16"/>
                <w:szCs w:val="16"/>
                <w:lang w:bidi="ar"/>
              </w:rPr>
              <w:br w:type="textWrapping"/>
            </w:r>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r>
              <w:rPr>
                <w:rFonts w:hint="eastAsia" w:ascii="微软雅黑" w:hAnsi="微软雅黑" w:eastAsia="微软雅黑" w:cs="微软雅黑"/>
                <w:color w:val="000000"/>
                <w:kern w:val="0"/>
                <w:sz w:val="16"/>
                <w:szCs w:val="16"/>
                <w:lang w:bidi="ar"/>
              </w:rPr>
              <w:br w:type="textWrapping"/>
            </w: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材料名称：不锈钢</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 xml:space="preserve"> 《金属家具通用技术条件》、QB/T 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无裂缝、叠缝，外漏管口端面封闭，乙酸盐雾试验600h检测后，镀(涂层对基体的保护等级达到10级，镀(涂)层本身耐腐蚀等级达到10级，各种管材或异型管材，其受力部件的管壁厚度不应小于1.5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840"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3</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圆形餐桌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295400" cy="1343660"/>
                  <wp:effectExtent l="0" t="0" r="0" b="2540"/>
                  <wp:docPr id="10" name="图片 98"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8" descr="IMG_258"/>
                          <pic:cNvPicPr>
                            <a:picLocks noChangeAspect="1"/>
                          </pic:cNvPicPr>
                        </pic:nvPicPr>
                        <pic:blipFill>
                          <a:blip r:embed="rId7"/>
                          <a:stretch>
                            <a:fillRect/>
                          </a:stretch>
                        </pic:blipFill>
                        <pic:spPr>
                          <a:xfrm>
                            <a:off x="0" y="0"/>
                            <a:ext cx="1295400" cy="134337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R900*H750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25</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由桌面、桌脚构成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4、桌脚：不锈钢</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pPr>
              <w:ind w:left="1050" w:hanging="1050" w:hangingChars="500"/>
            </w:pPr>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材料名称：木皮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材料厚度：0.6mm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29894-2013 《木材鉴别方法通则》、GB/T 18513-2001《中国主要进口木材名称》、GB/T 16734-1997《中国主要木材名称》、GB/T 18107-2017《红木》、GB/T17657-2013 《人造板及饰面人造板理化性能试验方法》、</w:t>
            </w:r>
            <w:r>
              <w:rPr>
                <w:rFonts w:hint="eastAsia" w:ascii="微软雅黑" w:hAnsi="微软雅黑" w:eastAsia="微软雅黑" w:cs="微软雅黑"/>
                <w:color w:val="000000"/>
                <w:kern w:val="0"/>
                <w:sz w:val="16"/>
                <w:szCs w:val="16"/>
                <w:lang w:eastAsia="zh-CN" w:bidi="ar"/>
              </w:rPr>
              <w:t>GB/T 3324-2024 《木家具通用技术条件》</w:t>
            </w:r>
            <w:r>
              <w:rPr>
                <w:rFonts w:hint="eastAsia" w:ascii="微软雅黑" w:hAnsi="微软雅黑" w:eastAsia="微软雅黑" w:cs="微软雅黑"/>
                <w:color w:val="000000"/>
                <w:kern w:val="0"/>
                <w:sz w:val="16"/>
                <w:szCs w:val="16"/>
                <w:lang w:bidi="ar"/>
              </w:rPr>
              <w:t>、GB/T 13010-2020 《木材工业用单板》。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含水率达到9.0-9.9%，甲醛释放量≤0.1mg/L，材色花纹具有装饰效果，无死节、孔洞、夹皮、树脂道。无半活节，无死节、虫洞、孔洞，无夹皮，无树脂道、树胶道，无变色，无腐朽，无裂缝，无毛刺沟痕、刀痕、划痕，无缺损。</w:t>
            </w:r>
          </w:p>
          <w:p>
            <w:pPr>
              <w:ind w:left="1050" w:hanging="1050" w:hangingChars="500"/>
            </w:pPr>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r>
              <w:rPr>
                <w:rFonts w:hint="eastAsia" w:ascii="微软雅黑" w:hAnsi="微软雅黑" w:eastAsia="微软雅黑" w:cs="微软雅黑"/>
                <w:color w:val="000000"/>
                <w:kern w:val="0"/>
                <w:sz w:val="16"/>
                <w:szCs w:val="16"/>
                <w:lang w:bidi="ar"/>
              </w:rPr>
              <w:br w:type="textWrapping"/>
            </w: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材料名称：不锈钢</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 xml:space="preserve"> 《金属家具通用技术条件》、QB/T 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技术指标：金属件无裂缝、叠缝，外漏管口端面封闭，乙酸盐雾试验600h检测后，镀(涂层对基体的保护等级达到10级，镀(涂)层本身耐腐蚀等级达到10级，各种管材或异型管材，其受力部件的管壁厚度不应小于1.5mm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246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4</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休闲桌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875665" cy="574675"/>
                  <wp:effectExtent l="0" t="0" r="0" b="8255"/>
                  <wp:docPr id="11" name="图片 99"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9" descr="IMG_259"/>
                          <pic:cNvPicPr>
                            <a:picLocks noChangeAspect="1"/>
                          </pic:cNvPicPr>
                        </pic:nvPicPr>
                        <pic:blipFill>
                          <a:blip r:embed="rId8"/>
                          <a:stretch>
                            <a:fillRect/>
                          </a:stretch>
                        </pic:blipFill>
                        <pic:spPr>
                          <a:xfrm>
                            <a:off x="0" y="0"/>
                            <a:ext cx="875665" cy="574775"/>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W2000*D1000*H750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由桌面、桌脚构成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4、桌脚：铝合金</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pPr>
              <w:rPr>
                <w:rFonts w:hint="eastAsia" w:ascii="微软雅黑" w:hAnsi="微软雅黑" w:eastAsia="微软雅黑" w:cs="微软雅黑"/>
                <w:color w:val="000000"/>
                <w:kern w:val="0"/>
                <w:sz w:val="16"/>
                <w:szCs w:val="16"/>
                <w:lang w:bidi="ar"/>
              </w:rPr>
            </w:pPr>
          </w:p>
          <w:p>
            <w:pPr>
              <w:ind w:left="1050" w:hanging="1050" w:hangingChars="500"/>
            </w:pPr>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材料名称：木皮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材料厚度：0.6mm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29894-2013 《木材鉴别方法通则》、GB/T 18513-2001《中国主要进口木材名称》、GB/T 16734-1997《中国主要木材名称》、GB/T 18107-2017《红木》、GB/T17657-2013 《人造板及饰面人造板理化性能试验方法》、</w:t>
            </w:r>
            <w:r>
              <w:rPr>
                <w:rFonts w:hint="eastAsia" w:ascii="微软雅黑" w:hAnsi="微软雅黑" w:eastAsia="微软雅黑" w:cs="微软雅黑"/>
                <w:color w:val="000000"/>
                <w:kern w:val="0"/>
                <w:sz w:val="16"/>
                <w:szCs w:val="16"/>
                <w:lang w:eastAsia="zh-CN" w:bidi="ar"/>
              </w:rPr>
              <w:t>GB/T 3324-2024 《木家具通用技术条件》</w:t>
            </w:r>
            <w:r>
              <w:rPr>
                <w:rFonts w:hint="eastAsia" w:ascii="微软雅黑" w:hAnsi="微软雅黑" w:eastAsia="微软雅黑" w:cs="微软雅黑"/>
                <w:color w:val="000000"/>
                <w:kern w:val="0"/>
                <w:sz w:val="16"/>
                <w:szCs w:val="16"/>
                <w:lang w:bidi="ar"/>
              </w:rPr>
              <w:t>、GB/T 13010-2020 《木材工业用单板》。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含水率达到9.0-9.9%，甲醛释放量≤0.1mg/L，材色花纹具有装饰效果，无死节、孔洞、夹皮、树脂道。无半活节，无死节、虫洞、孔洞，无夹皮，无树脂道、树胶道，无变色，无腐朽，无裂缝，无毛刺沟痕、刀痕、划痕，无缺损。</w:t>
            </w:r>
          </w:p>
          <w:p>
            <w:r>
              <w:rPr>
                <w:rFonts w:hint="eastAsia" w:ascii="微软雅黑" w:hAnsi="微软雅黑" w:eastAsia="微软雅黑" w:cs="微软雅黑"/>
                <w:color w:val="000000"/>
                <w:kern w:val="0"/>
                <w:sz w:val="16"/>
                <w:szCs w:val="16"/>
                <w:lang w:bidi="ar"/>
              </w:rPr>
              <w:br w:type="textWrapping"/>
            </w:r>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r>
              <w:rPr>
                <w:rFonts w:hint="eastAsia" w:ascii="微软雅黑" w:hAnsi="微软雅黑" w:eastAsia="微软雅黑" w:cs="微软雅黑"/>
                <w:color w:val="000000"/>
                <w:kern w:val="0"/>
                <w:sz w:val="16"/>
                <w:szCs w:val="16"/>
                <w:lang w:bidi="ar"/>
              </w:rPr>
              <w:br w:type="textWrapping"/>
            </w: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材料名称：铝合金</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‌《金属家具通用技术条件》、‌GB/T 10125-2021‌《人造气氛腐蚀试验 盐雾试验》、‌QB/T 3832-1999‌《轻工产品金属镀层和化学处理层的耐腐蚀试验方法 中性盐雾试验（NSS）法》、‌QB/T 3827-1999‌《轻工产品金属镀层和化学处理层的耐腐蚀试验方法 乙酸盐雾试验（ASS）法》、‌QB/T 3828-1999‌《轻工产品金属镀层和化学处理层的耐腐蚀试验方法 铜加速乙酸盐雾试验（CASS）法》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外观冲压件无脱层、裂缝，涂层无漏喷、锈蚀和脱色、掉色现象。涂层应光滑均匀、色泽一致，应无流挂、疙瘩、皱皮、飞漆等缺陷，铜加速乙酸盐雾24h，乙酸盐雾试验1200h，等级10级，无锈点，铜盐加速乙酸盐雾试验100h，等级10级，无锈点。</w:t>
            </w:r>
          </w:p>
          <w:p>
            <w:pPr>
              <w:ind w:left="800" w:hanging="800" w:hangingChars="500"/>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2835"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023"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5</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弧形办公桌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582295" cy="252730"/>
                  <wp:effectExtent l="0" t="0" r="1905" b="0"/>
                  <wp:docPr id="12" name="图片 100"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0" descr="IMG_260"/>
                          <pic:cNvPicPr>
                            <a:picLocks noChangeAspect="1"/>
                          </pic:cNvPicPr>
                        </pic:nvPicPr>
                        <pic:blipFill>
                          <a:blip r:embed="rId9"/>
                          <a:stretch>
                            <a:fillRect/>
                          </a:stretch>
                        </pic:blipFill>
                        <pic:spPr>
                          <a:xfrm>
                            <a:off x="0" y="0"/>
                            <a:ext cx="582295" cy="252906"/>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W8000*D800*H1050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由桌面、桌脚构成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3、封边：环保油漆封边</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4、涂料：环保水性油漆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5、桌脚：304不锈钢</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pPr>
              <w:rPr>
                <w:rFonts w:hint="eastAsia" w:ascii="微软雅黑" w:hAnsi="微软雅黑" w:eastAsia="微软雅黑" w:cs="微软雅黑"/>
                <w:color w:val="000000"/>
                <w:kern w:val="0"/>
                <w:sz w:val="16"/>
                <w:szCs w:val="16"/>
                <w:lang w:bidi="ar"/>
              </w:rPr>
            </w:pPr>
          </w:p>
          <w:p>
            <w:pPr>
              <w:ind w:left="1050" w:hanging="1050" w:hangingChars="500"/>
            </w:pPr>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材料名称：木皮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材料厚度：0.6mm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29894-2013 《木材鉴别方法通则》、GB/T 18513-2001《中国主要进口木材名称》、GB/T 16734-1997《中国主要木材名称》、GB/T 18107-2017《红木》、GB/T17657-2013 《人造板及饰面人造板理化性能试验方法》、</w:t>
            </w:r>
            <w:r>
              <w:rPr>
                <w:rFonts w:hint="eastAsia" w:ascii="微软雅黑" w:hAnsi="微软雅黑" w:eastAsia="微软雅黑" w:cs="微软雅黑"/>
                <w:color w:val="000000"/>
                <w:kern w:val="0"/>
                <w:sz w:val="16"/>
                <w:szCs w:val="16"/>
                <w:lang w:eastAsia="zh-CN" w:bidi="ar"/>
              </w:rPr>
              <w:t>GB/T 3324-2024 《木家具通用技术条件》</w:t>
            </w:r>
            <w:r>
              <w:rPr>
                <w:rFonts w:hint="eastAsia" w:ascii="微软雅黑" w:hAnsi="微软雅黑" w:eastAsia="微软雅黑" w:cs="微软雅黑"/>
                <w:color w:val="000000"/>
                <w:kern w:val="0"/>
                <w:sz w:val="16"/>
                <w:szCs w:val="16"/>
                <w:lang w:bidi="ar"/>
              </w:rPr>
              <w:t>、GB/T 13010-2020 《木材工业用单板》。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含水率达到9.0-9.9%，甲醛释放量≤0.1mg/L，材色花纹具有装饰效果，无死节、孔洞、夹皮、树脂道。无半活节，无死节、虫洞、孔洞，无夹皮，无树脂道、树胶道，无变色，无腐朽，无裂缝，无毛刺沟痕、刀痕、划痕，无缺损。</w:t>
            </w:r>
          </w:p>
          <w:p>
            <w:r>
              <w:rPr>
                <w:rFonts w:hint="eastAsia" w:ascii="微软雅黑" w:hAnsi="微软雅黑" w:eastAsia="微软雅黑" w:cs="微软雅黑"/>
                <w:color w:val="000000"/>
                <w:kern w:val="0"/>
                <w:sz w:val="16"/>
                <w:szCs w:val="16"/>
                <w:lang w:bidi="ar"/>
              </w:rPr>
              <w:br w:type="textWrapping"/>
            </w:r>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r>
              <w:rPr>
                <w:rFonts w:hint="eastAsia" w:ascii="微软雅黑" w:hAnsi="微软雅黑" w:eastAsia="微软雅黑" w:cs="微软雅黑"/>
                <w:color w:val="000000"/>
                <w:kern w:val="0"/>
                <w:sz w:val="16"/>
                <w:szCs w:val="16"/>
                <w:lang w:bidi="ar"/>
              </w:rPr>
              <w:br w:type="textWrapping"/>
            </w: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材料名称：不锈钢</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 xml:space="preserve"> 《金属家具通用技术条件》、QB/T 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无裂缝、叠缝，外漏管口端面封闭，乙酸盐雾试验600h检测后，镀(涂层对基体的保护等级达到10级，镀(涂)层本身耐腐蚀等级达到10级，各种管材或异型管材，其受力部件的管壁厚度不应小于1.5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84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1110"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6</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餐边柜</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588010" cy="258445"/>
                  <wp:effectExtent l="0" t="0" r="21590" b="20955"/>
                  <wp:docPr id="13" name="图片 101"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1" descr="IMG_261"/>
                          <pic:cNvPicPr>
                            <a:picLocks noChangeAspect="1"/>
                          </pic:cNvPicPr>
                        </pic:nvPicPr>
                        <pic:blipFill>
                          <a:blip r:embed="rId10"/>
                          <a:stretch>
                            <a:fillRect/>
                          </a:stretch>
                        </pic:blipFill>
                        <pic:spPr>
                          <a:xfrm>
                            <a:off x="0" y="0"/>
                            <a:ext cx="588010" cy="258386"/>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W3000*D2000*H750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由桌面和餐柜组成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4、五金配件：优质五金配件。</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材料名称：木皮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29894-2013 《木材鉴别方法通则》、GB/T 18513-2001《中国主要进口木材名称》、GB/T 16734-1997《中国主要木材名称》、GB/T 18107-2017《红木》、GB/T17657-2013 《人造板及饰面人造板理化性能试验方法》、</w:t>
            </w:r>
            <w:r>
              <w:rPr>
                <w:rFonts w:hint="eastAsia" w:ascii="微软雅黑" w:hAnsi="微软雅黑" w:eastAsia="微软雅黑" w:cs="微软雅黑"/>
                <w:color w:val="000000"/>
                <w:kern w:val="0"/>
                <w:sz w:val="16"/>
                <w:szCs w:val="16"/>
                <w:lang w:eastAsia="zh-CN" w:bidi="ar"/>
              </w:rPr>
              <w:t>GB/T 3324-2024 《木家具通用技术条件》</w:t>
            </w:r>
            <w:r>
              <w:rPr>
                <w:rFonts w:hint="eastAsia" w:ascii="微软雅黑" w:hAnsi="微软雅黑" w:eastAsia="微软雅黑" w:cs="微软雅黑"/>
                <w:color w:val="000000"/>
                <w:kern w:val="0"/>
                <w:sz w:val="16"/>
                <w:szCs w:val="16"/>
                <w:lang w:bidi="ar"/>
              </w:rPr>
              <w:t>、GB/T 13010-2020 《木材工业用单板》。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含水率达到9.0-9.9%，甲醛释放量≤0.1mg/L，材色花纹具有装饰效果，无死节、孔洞、夹皮、树脂道。无半活节，无死节、虫洞、孔洞，无夹皮，无树脂道、树胶道，无变色，无腐朽，无裂缝，无毛刺沟痕、刀痕、划痕，无缺损。</w:t>
            </w:r>
          </w:p>
          <w:p>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材料名称：滑轨</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2454-2013《家具五金 抽屉导轨》GB/T 10125-2021《人造气氛腐蚀试验 盐雾试验》QB/T 3832-1999《轻工产品金属镀层腐蚀试验 结果的评价》QB/T 3827-1999《轻工产品金属镀层和化学处理层的耐腐蚀试验方法 乙酸盐雾试验(ASS)法》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技术指标：耐腐蚀性实验经过18小时检测后无锈点。乙酸盐雾试验、铜盐加速乙酸盐雾试验经过650个小时检测后无锈点，达到10级标准。</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9077"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7</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圆桌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206500" cy="1092200"/>
                  <wp:effectExtent l="0" t="0" r="12700" b="0"/>
                  <wp:docPr id="14" name="图片 102"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2" descr="IMG_262"/>
                          <pic:cNvPicPr>
                            <a:picLocks noChangeAspect="1"/>
                          </pic:cNvPicPr>
                        </pic:nvPicPr>
                        <pic:blipFill>
                          <a:blip r:embed="rId11"/>
                          <a:stretch>
                            <a:fillRect/>
                          </a:stretch>
                        </pic:blipFill>
                        <pic:spPr>
                          <a:xfrm>
                            <a:off x="0" y="0"/>
                            <a:ext cx="1206500" cy="1091931"/>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R600*H750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6</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由桌面、桌脚构成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材料名称：木皮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材料厚度：0.6mm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29894-2013 《木材鉴别方法通则》、GB/T 18513-2001《中国主要进口木材名称》、GB/T 16734-1997《中国主要木材名称》、GB/T 18107-2017《红木》、GB/T17657-2013 《人造板及饰面人造板理化性能试验方法》、</w:t>
            </w:r>
            <w:r>
              <w:rPr>
                <w:rFonts w:hint="eastAsia" w:ascii="微软雅黑" w:hAnsi="微软雅黑" w:eastAsia="微软雅黑" w:cs="微软雅黑"/>
                <w:color w:val="000000"/>
                <w:kern w:val="0"/>
                <w:sz w:val="16"/>
                <w:szCs w:val="16"/>
                <w:lang w:eastAsia="zh-CN" w:bidi="ar"/>
              </w:rPr>
              <w:t>GB/T 3324-2024 《木家具通用技术条件》</w:t>
            </w:r>
            <w:r>
              <w:rPr>
                <w:rFonts w:hint="eastAsia" w:ascii="微软雅黑" w:hAnsi="微软雅黑" w:eastAsia="微软雅黑" w:cs="微软雅黑"/>
                <w:color w:val="000000"/>
                <w:kern w:val="0"/>
                <w:sz w:val="16"/>
                <w:szCs w:val="16"/>
                <w:lang w:bidi="ar"/>
              </w:rPr>
              <w:t>、GB/T 13010-2020 《木材工业用单板》。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含水率达到9.0-9.9%，甲醛释放量≤0.1mg/L，材色花纹具有装饰效果，无死节、孔洞、夹皮、树脂道。无半活节，无死节、虫洞、孔洞，无夹皮，无树脂道、树胶道，无变色，无腐朽，无裂缝，无毛刺沟痕、刀痕、划痕，无缺损。</w:t>
            </w:r>
          </w:p>
          <w:p>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84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8</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等候椅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193165" cy="1067435"/>
                  <wp:effectExtent l="0" t="0" r="0" b="24765"/>
                  <wp:docPr id="15" name="图片 103"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3" descr="IMG_263"/>
                          <pic:cNvPicPr>
                            <a:picLocks noChangeAspect="1"/>
                          </pic:cNvPicPr>
                        </pic:nvPicPr>
                        <pic:blipFill>
                          <a:blip r:embed="rId12"/>
                          <a:stretch>
                            <a:fillRect/>
                          </a:stretch>
                        </pic:blipFill>
                        <pic:spPr>
                          <a:xfrm>
                            <a:off x="0" y="0"/>
                            <a:ext cx="1193165" cy="1067207"/>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W1200*D660*H820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34</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由椅座、椅背、椅架、连接部件等构成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椅座与椅背：PU聚氨酯棉发。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椅脚：铝合金压铸成型。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扶手：PU聚氨酯棉发泡成型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 横梁：五边形不锈钢</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 xml:space="preserve">    材料名称：高密度PU聚氨酯棉发泡成型（座面、座背、扶手）。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 xml:space="preserve">    内置结构：内部嵌入高强度钢架结构，承重≥150kg</w:t>
            </w:r>
            <w:r>
              <w:rPr>
                <w:rFonts w:hint="eastAsia" w:ascii="微软雅黑" w:hAnsi="微软雅黑" w:eastAsia="微软雅黑" w:cs="微软雅黑"/>
                <w:color w:val="000000"/>
                <w:kern w:val="0"/>
                <w:sz w:val="16"/>
                <w:szCs w:val="16"/>
                <w:lang w:bidi="ar"/>
              </w:rPr>
              <w:br w:type="textWrapping"/>
            </w: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材料名称：铝合金（椅脚）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‌《金属家具通用技术条件》、‌GB/T 10125-2021‌《人造气氛腐蚀试验 盐雾试验》、‌QB/T 3832-1999‌《轻工产品金属镀层和化学处理层的耐腐蚀试验方法 中性盐雾试验（NSS）法》、‌QB/T 3827-1999‌《轻工产品金属镀层和化学处理层的耐腐蚀试验方法 乙酸盐雾试验（ASS）法》、‌QB/T 3828-1999‌《轻工产品金属镀层和化学处理层的耐腐蚀试验方法 铜加速乙酸盐雾试验（CASS）法》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外观冲压件无脱层、裂缝，涂层无漏喷、锈蚀和脱色、掉色现象。涂层应光滑均匀、色泽一致，应无流挂、疙瘩、皱皮、飞漆等缺陷，铜加速乙酸盐雾24h，乙酸盐雾试验1200h，等级10级，无锈点，铜盐加速乙酸盐雾试验100h，等级10级，无锈点。</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57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840"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9</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等候椅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897890" cy="603250"/>
                  <wp:effectExtent l="0" t="0" r="16510" b="6350"/>
                  <wp:docPr id="16" name="图片 104"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4" descr="IMG_264"/>
                          <pic:cNvPicPr>
                            <a:picLocks noChangeAspect="1"/>
                          </pic:cNvPicPr>
                        </pic:nvPicPr>
                        <pic:blipFill>
                          <a:blip r:embed="rId13"/>
                          <a:stretch>
                            <a:fillRect/>
                          </a:stretch>
                        </pic:blipFill>
                        <pic:spPr>
                          <a:xfrm>
                            <a:off x="0" y="0"/>
                            <a:ext cx="897890" cy="603362"/>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W1800*D660*H820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348</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由椅座、椅背、椅架、连接部件等构成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椅座与椅背：PU聚氨酯棉发。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椅脚：铝合金压铸成型。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扶手：PU聚氨酯棉发泡成型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 横梁：五边形钢管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 xml:space="preserve">    材料名称：高密度PU聚氨酯棉发泡成型（座面、座背、扶手）。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 xml:space="preserve">    内置结构：内部嵌入高强度钢架结构，承重≥150kg</w:t>
            </w:r>
            <w:r>
              <w:rPr>
                <w:rFonts w:hint="eastAsia" w:ascii="微软雅黑" w:hAnsi="微软雅黑" w:eastAsia="微软雅黑" w:cs="微软雅黑"/>
                <w:color w:val="000000"/>
                <w:kern w:val="0"/>
                <w:sz w:val="16"/>
                <w:szCs w:val="16"/>
                <w:lang w:bidi="ar"/>
              </w:rPr>
              <w:br w:type="textWrapping"/>
            </w: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材料名称：铝合金（椅脚）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‌《金属家具通用技术条件》、‌GB/T 10125-2021‌《人造气氛腐蚀试验 盐雾试验》、‌QB/T 3832-1999‌《轻工产品金属镀层和化学处理层的耐腐蚀试验方法 中性盐雾试验（NSS）法》、‌QB/T 3827-1999‌《轻工产品金属镀层和化学处理层的耐腐蚀试验方法 乙酸盐雾试验（ASS）法》、‌QB/T 3828-1999‌《轻工产品金属镀层和化学处理层的耐腐蚀试验方法 铜加速乙酸盐雾试验（CASS）法》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外观冲压件无脱层、裂缝，涂层无漏喷、锈蚀和脱色、掉色现象。涂层应光滑均匀、色泽一致，应无流挂、疙瘩、皱皮、飞漆等缺陷，铜加速乙酸盐雾24h，乙酸盐雾试验1200h，等级10级，无锈点，铜盐加速乙酸盐雾试验100h，等级10级，无锈点。</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10</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等候椅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898525" cy="603885"/>
                  <wp:effectExtent l="0" t="0" r="0" b="0"/>
                  <wp:docPr id="17" name="图片 105"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5" descr="IMG_265"/>
                          <pic:cNvPicPr>
                            <a:picLocks noChangeAspect="1"/>
                          </pic:cNvPicPr>
                        </pic:nvPicPr>
                        <pic:blipFill>
                          <a:blip r:embed="rId14"/>
                          <a:stretch>
                            <a:fillRect/>
                          </a:stretch>
                        </pic:blipFill>
                        <pic:spPr>
                          <a:xfrm>
                            <a:off x="0" y="0"/>
                            <a:ext cx="898525" cy="603771"/>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W2400*D660*H820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276</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由椅座、椅背、椅架、连接部件等构成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椅座与椅背：PU聚氨酯棉发。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椅脚：铝合金压铸成型。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扶手：PU聚氨酯棉发泡成型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 横梁：五边形钢管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 xml:space="preserve">    材料名称：高密度PU聚氨酯棉发泡成型（座面、座背、扶手）。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 xml:space="preserve">    内置结构：内部嵌入高强度钢架结构，承重≥150kg</w:t>
            </w:r>
            <w:r>
              <w:rPr>
                <w:rFonts w:hint="eastAsia" w:ascii="微软雅黑" w:hAnsi="微软雅黑" w:eastAsia="微软雅黑" w:cs="微软雅黑"/>
                <w:color w:val="000000"/>
                <w:kern w:val="0"/>
                <w:sz w:val="16"/>
                <w:szCs w:val="16"/>
                <w:lang w:bidi="ar"/>
              </w:rPr>
              <w:br w:type="textWrapping"/>
            </w: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材料名称：铝合金（椅脚）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‌《金属家具通用技术条件》、‌GB/T 10125-2021‌《人造气氛腐蚀试验 盐雾试验》、‌QB/T 3832-1999‌《轻工产品金属镀层和化学处理层的耐腐蚀试验方法 中性盐雾试验（NSS）法》、‌QB/T 3827-1999‌《轻工产品金属镀层和化学处理层的耐腐蚀试验方法 乙酸盐雾试验（ASS）法》、‌QB/T 3828-1999‌《轻工产品金属镀层和化学处理层的耐腐蚀试验方法 铜加速乙酸盐雾试验（CASS）法》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外观冲压件无脱层、裂缝，涂层无漏喷、锈蚀和脱色、掉色现象。涂层应光滑均匀、色泽一致，应无流挂、疙瘩、皱皮、飞漆等缺陷，铜加速乙酸盐雾24h，乙酸盐雾试验1200h，等级10级，无锈点，铜盐加速乙酸盐雾试验100h，等级10级，无锈点。</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570"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11</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等候椅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996315" cy="743585"/>
                  <wp:effectExtent l="0" t="0" r="19685" b="18415"/>
                  <wp:docPr id="18" name="图片 106"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6" descr="IMG_266"/>
                          <pic:cNvPicPr>
                            <a:picLocks noChangeAspect="1"/>
                          </pic:cNvPicPr>
                        </pic:nvPicPr>
                        <pic:blipFill>
                          <a:blip r:embed="rId15"/>
                          <a:stretch>
                            <a:fillRect/>
                          </a:stretch>
                        </pic:blipFill>
                        <pic:spPr>
                          <a:xfrm>
                            <a:off x="0" y="0"/>
                            <a:ext cx="996315" cy="743756"/>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W2380*D620*H450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8</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由木架、泡棉、牛皮部件等构成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框架工艺：硬木框架。</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面料工艺：头层牛皮覆面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填充工艺：高密度高回弹海绵填充。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材料名称：牛皮</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材料厚度：≥1.4mm。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折牢度50000次，无裂纹，耐磨性无明显损伤、剥落，摩擦色牢度干擦(500次)≥4/5，湿擦(250次)≥4/5，碱性汗液(80次)≥4/5，涂层粘着牢度≥16.8N/10mm，撕裂力≥45.8N，pH≥5.85，禁用偶氮染料含量≤30mg/kg，游离甲醛含量(分光光度法)≤1.5mg/kg，气味≤3级，可萃取的重金属铅≤1.0mg/kg,镉≤2.5mg/kg，挥发性有机物(VOC)≤10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7094"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12</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休息椅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908685" cy="620395"/>
                  <wp:effectExtent l="0" t="0" r="0" b="15240"/>
                  <wp:docPr id="19" name="图片 107"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7" descr="IMG_267"/>
                          <pic:cNvPicPr>
                            <a:picLocks noChangeAspect="1"/>
                          </pic:cNvPicPr>
                        </pic:nvPicPr>
                        <pic:blipFill>
                          <a:blip r:embed="rId16"/>
                          <a:stretch>
                            <a:fillRect/>
                          </a:stretch>
                        </pic:blipFill>
                        <pic:spPr>
                          <a:xfrm>
                            <a:off x="0" y="0"/>
                            <a:ext cx="908685" cy="620284"/>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W645*D705*H830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119</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由椅座、椅背、椅架、连接部件等构成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框架工艺：硬木框架、多层板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面料工艺：头层牛皮覆面。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填充工艺：高密度高回弹海绵。</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材料名称：牛皮</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材料厚度：≥1.4mm。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折牢度50000次，无裂纹，耐磨性无明显损伤、剥落，摩擦色牢度干擦(500次)≥4/5，湿擦(250次)≥4/5，碱性汗液(80次)≥4/5，涂层粘着牢度≥16.8N/10mm，撕裂力≥45.8N，pH≥5.85，禁用偶氮染料含量≤30mg/kg，游离甲醛含量(分光光度法)≤1.5mg/kg，气味≤3级，可萃取的重金属铅≤1.0mg/kg,镉≤2.5mg/kg，挥发性有机物(VOC)≤10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分层设计：填充采用多层复合结构，底层为高密度支撑海绵，中层为高回弹海绵，表层为超柔软海绵，确保坐感舒适且不易塌陷。</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13</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休闲沙发</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沙发类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295400" cy="1329690"/>
                  <wp:effectExtent l="0" t="0" r="0" b="0"/>
                  <wp:docPr id="20" name="图片 108"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8" descr="IMG_268"/>
                          <pic:cNvPicPr>
                            <a:picLocks noChangeAspect="1"/>
                          </pic:cNvPicPr>
                        </pic:nvPicPr>
                        <pic:blipFill>
                          <a:blip r:embed="rId17"/>
                          <a:stretch>
                            <a:fillRect/>
                          </a:stretch>
                        </pic:blipFill>
                        <pic:spPr>
                          <a:xfrm>
                            <a:off x="0" y="0"/>
                            <a:ext cx="1295400" cy="1329670"/>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W680*D770*H870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4</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由沙发座、沙发背、沙发脚架、连接部件等构成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框架工艺：硬木框架、多层板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面料工艺：头层牛皮覆面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填充工艺：高密度高回弹海绵填充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材料名称：牛皮</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材料厚度：≥1.4mm。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折牢度50000次，无裂纹，耐磨性无明显损伤、剥落，摩擦色牢度干擦(500次)≥4/5，湿擦(250次)≥4/5，碱性汗液(80次)≥4/5，涂层粘着牢度≥16.8N/10mm，撕裂力≥45.8N，pH≥5.85，禁用偶氮染料含量≤30mg/kg，游离甲醛含量(分光光度法)≤1.5mg/kg，气味≤3级，可萃取的重金属铅≤1.0mg/kg,镉≤2.5mg/kg，挥发性有机物(VOC)≤10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材料名称：钢管（沙发脚）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84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14</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休闲沙发</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沙发类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295400" cy="1377950"/>
                  <wp:effectExtent l="0" t="0" r="0" b="19685"/>
                  <wp:docPr id="21" name="图片 109"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9" descr="IMG_269"/>
                          <pic:cNvPicPr>
                            <a:picLocks noChangeAspect="1"/>
                          </pic:cNvPicPr>
                        </pic:nvPicPr>
                        <pic:blipFill>
                          <a:blip r:embed="rId18"/>
                          <a:stretch>
                            <a:fillRect/>
                          </a:stretch>
                        </pic:blipFill>
                        <pic:spPr>
                          <a:xfrm>
                            <a:off x="0" y="0"/>
                            <a:ext cx="1295400" cy="137764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W770*D930*H1100</w:t>
            </w:r>
          </w:p>
          <w:p>
            <w:pPr>
              <w:widowControl/>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由沙发座、沙发背、沙发脚架、连接部件等构成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框架工艺：硬木框架、多层板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面料工艺：头层牛皮覆面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填充工艺：高密度高回弹海绵填充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材料名称：牛皮</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材料厚度：≥1.4mm。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折牢度50000次，无裂纹，耐磨性无明显损伤、剥落，摩擦色牢度干擦(500次)≥4/5，湿擦(250次)≥4/5，碱性汗液(80次)≥4/5，涂层粘着牢度≥16.8N/10mm，撕裂力≥45.8N，pH≥5.85，禁用偶氮染料含量≤30mg/kg，游离甲醛含量(分光光度法)≤1.5mg/kg，气味≤3级，可萃取的重金属铅≤1.0mg/kg,镉≤2.5mg/kg，挥发性有机物(VOC)≤10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材料名称：钢管（沙发脚）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9019"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15</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休闲椅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295400" cy="1377950"/>
                  <wp:effectExtent l="0" t="0" r="0" b="0"/>
                  <wp:docPr id="22" name="图片 110"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0" descr="IMG_270"/>
                          <pic:cNvPicPr>
                            <a:picLocks noChangeAspect="1"/>
                          </pic:cNvPicPr>
                        </pic:nvPicPr>
                        <pic:blipFill>
                          <a:blip r:embed="rId19"/>
                          <a:stretch>
                            <a:fillRect/>
                          </a:stretch>
                        </pic:blipFill>
                        <pic:spPr>
                          <a:xfrm>
                            <a:off x="0" y="0"/>
                            <a:ext cx="1295400" cy="137764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W615*D570*H810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20</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由椅座、椅背、椅架、连接部件等构成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框架工艺：硬木框架、多层板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面料工艺：头层牛皮覆面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填充工艺：高密度高回弹海绵填充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材料名称：牛皮</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材料厚度：≥1.4mm。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折牢度50000次，无裂纹，耐磨性无明显损伤、剥落，摩擦色牢度干擦(500次)≥4/5，湿擦(250次)≥4/5，碱性汗液(80次)≥4/5，涂层粘着牢度≥16.8N/10mm，撕裂力≥45.8N，pH≥5.85，禁用偶氮染料含量≤30mg/kg，游离甲醛含量(分光光度法)≤1.5mg/kg，气味≤3级，可萃取的重金属铅≤1.0mg/kg,镉≤2.5mg/kg，挥发性有机物(VOC)≤10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材料名称：钢管（沙发脚）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16</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休闲沙发</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沙发类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295400" cy="1288415"/>
                  <wp:effectExtent l="0" t="0" r="0" b="6985"/>
                  <wp:docPr id="23" name="图片 111"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1" descr="IMG_271"/>
                          <pic:cNvPicPr>
                            <a:picLocks noChangeAspect="1"/>
                          </pic:cNvPicPr>
                        </pic:nvPicPr>
                        <pic:blipFill>
                          <a:blip r:embed="rId20"/>
                          <a:stretch>
                            <a:fillRect/>
                          </a:stretch>
                        </pic:blipFill>
                        <pic:spPr>
                          <a:xfrm>
                            <a:off x="0" y="0"/>
                            <a:ext cx="1295400" cy="1288546"/>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W590*D650*H7905</w:t>
            </w:r>
          </w:p>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5</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由椅座、椅背、椅架、连接部件等构成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框架工艺：硬木框架、多层板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面料工艺：头层牛皮覆面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填充工艺：高密度高回弹海绵填充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材料名称：牛皮</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材料厚度：≥1.4mm。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折牢度50000次，无裂纹，耐磨性无明显损伤、剥落，摩擦色牢度干擦(500次)≥4/5，湿擦(250次)≥4/5，碱性汗液(80次)≥4/5，涂层粘着牢度≥16.8N/10mm，撕裂力≥45.8N，pH≥5.85，禁用偶氮染料含量≤30mg/kg，游离甲醛含量(分光光度法)≤1.5mg/kg，气味≤3级，可萃取的重金属铅≤1.0mg/kg,镉≤2.5mg/kg，挥发性有机物(VOC)≤10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材料名称：钢管（沙发脚）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57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570"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17</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高脚椅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981710" cy="721995"/>
                  <wp:effectExtent l="0" t="0" r="8890" b="14605"/>
                  <wp:docPr id="24" name="图片 112"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2" descr="IMG_272"/>
                          <pic:cNvPicPr>
                            <a:picLocks noChangeAspect="1"/>
                          </pic:cNvPicPr>
                        </pic:nvPicPr>
                        <pic:blipFill>
                          <a:blip r:embed="rId21"/>
                          <a:stretch>
                            <a:fillRect/>
                          </a:stretch>
                        </pic:blipFill>
                        <pic:spPr>
                          <a:xfrm>
                            <a:off x="0" y="0"/>
                            <a:ext cx="981710" cy="72227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W480*D465*H930</w:t>
            </w:r>
          </w:p>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20</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由椅座、椅背、椅架、连接部件等构成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框架工艺：硬木框架、多层板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面料工艺：头层牛皮覆面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填充工艺：高密度高回弹海绵填充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材料名称：牛皮</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材料厚度：≥1.4mm。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折牢度50000次，无裂纹，耐磨性无明显损伤、剥落，摩擦色牢度干擦(500次)≥4/5，湿擦(250次)≥4/5，碱性汗液(80次)≥4/5，涂层粘着牢度≥16.8N/10mm，撕裂力≥45.8N，pH≥5.85，禁用偶氮染料含量≤30mg/kg，游离甲醛含量(分光光度法)≤1.5mg/kg，气味≤3级，可萃取的重金属铅≤1.0mg/kg,镉≤2.5mg/kg，挥发性有机物(VOC)≤10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材料名称：钢管（沙发脚）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57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84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18</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异形沙发</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沙发类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026160" cy="412750"/>
                  <wp:effectExtent l="0" t="0" r="15240" b="19050"/>
                  <wp:docPr id="25" name="图片 113"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3" descr="IMG_273"/>
                          <pic:cNvPicPr>
                            <a:picLocks noChangeAspect="1"/>
                          </pic:cNvPicPr>
                        </pic:nvPicPr>
                        <pic:blipFill>
                          <a:blip r:embed="rId22"/>
                          <a:stretch>
                            <a:fillRect/>
                          </a:stretch>
                        </pic:blipFill>
                        <pic:spPr>
                          <a:xfrm>
                            <a:off x="0" y="0"/>
                            <a:ext cx="1026160" cy="412750"/>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W853*D878*H850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10</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由沙发座、沙发背、沙发脚架、连接部件等构成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框架工艺：硬木框架、多层板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面料工艺：头层牛皮覆面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填充工艺：高密度高回弹海绵填充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材料名称：牛皮</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材料厚度：≥1.4mm。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折牢度50000次，无裂纹，耐磨性无明显损伤、剥落，摩擦色牢度干擦(500次)≥4/5，湿擦(250次)≥4/5，碱性汗液(80次)≥4/5，涂层粘着牢度≥16.8N/10mm，撕裂力≥45.8N，pH≥5.85，禁用偶氮染料含量≤30mg/kg，游离甲醛含量(分光光度法)≤1.5mg/kg，气味≤3级，可萃取的重金属铅≤1.0mg/kg,镉≤2.5mg/kg，挥发性有机物(VOC)≤10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材料名称：钢管（沙发脚）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19</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休闲沙发</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沙发类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295400" cy="1624330"/>
                  <wp:effectExtent l="0" t="0" r="0" b="1270"/>
                  <wp:docPr id="26" name="图片 114"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4" descr="IMG_274"/>
                          <pic:cNvPicPr>
                            <a:picLocks noChangeAspect="1"/>
                          </pic:cNvPicPr>
                        </pic:nvPicPr>
                        <pic:blipFill>
                          <a:blip r:embed="rId23"/>
                          <a:stretch>
                            <a:fillRect/>
                          </a:stretch>
                        </pic:blipFill>
                        <pic:spPr>
                          <a:xfrm>
                            <a:off x="0" y="0"/>
                            <a:ext cx="1295400" cy="1624391"/>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W830*D820*H990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4</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由沙发座、沙发背、沙发脚架、连接部件等构成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框架工艺：硬木框架、多层板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面料工艺：头层牛皮覆面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填充工艺：高密度高回弹海绵填充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材料名称：牛皮</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材料厚度：≥1.4mm。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折牢度50000次，无裂纹，耐磨性无明显损伤、剥落，摩擦色牢度干擦(500次)≥4/5，湿擦(250次)≥4/5，碱性汗液(80次)≥4/5，涂层粘着牢度≥16.8N/10mm，撕裂力≥45.8N，pH≥5.85，禁用偶氮染料含量≤30mg/kg，游离甲醛含量(分光光度法)≤1.5mg/kg，气味≤3级，可萃取的重金属铅≤1.0mg/kg,镉≤2.5mg/kg，挥发性有机物(VOC)≤10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材料名称：钢管（沙发脚）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20</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弧形沙发</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沙发类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101090" cy="617855"/>
                  <wp:effectExtent l="0" t="0" r="16510" b="17145"/>
                  <wp:docPr id="27" name="图片 115"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5" descr="IMG_275"/>
                          <pic:cNvPicPr>
                            <a:picLocks noChangeAspect="1"/>
                          </pic:cNvPicPr>
                        </pic:nvPicPr>
                        <pic:blipFill>
                          <a:blip r:embed="rId24"/>
                          <a:stretch>
                            <a:fillRect/>
                          </a:stretch>
                        </pic:blipFill>
                        <pic:spPr>
                          <a:xfrm>
                            <a:off x="0" y="0"/>
                            <a:ext cx="1101090" cy="617855"/>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W2800*D845*H850</w:t>
            </w:r>
          </w:p>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由沙发座、沙发背、沙发脚架、连接部件等构成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框架工艺：硬木框架、多层板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面料工艺：头层牛皮覆面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填充工艺：高密度高回弹海绵填充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材料名称：牛皮</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材料厚度：≥1.4mm。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折牢度50000次，无裂纹，耐磨性无明显损伤、剥落，摩擦色牢度干擦(500次)≥4/5，湿擦(250次)≥4/5，碱性汗液(80次)≥4/5，涂层粘着牢度≥16.8N/10mm，撕裂力≥45.8N，pH≥5.85，禁用偶氮染料含量≤30mg/kg，游离甲醛含量(分光光度法)≤1.5mg/kg，气味≤3级，可萃取的重金属铅≤1.0mg/kg,镉≤2.5mg/kg，挥发性有机物(VOC)≤10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材料名称：钢管（沙发脚）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7347"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21</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交流桌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130935" cy="497840"/>
                  <wp:effectExtent l="0" t="0" r="0" b="10160"/>
                  <wp:docPr id="28" name="图片 116"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6" descr="IMG_276"/>
                          <pic:cNvPicPr>
                            <a:picLocks noChangeAspect="1"/>
                          </pic:cNvPicPr>
                        </pic:nvPicPr>
                        <pic:blipFill>
                          <a:blip r:embed="rId25"/>
                          <a:stretch>
                            <a:fillRect/>
                          </a:stretch>
                        </pic:blipFill>
                        <pic:spPr>
                          <a:xfrm>
                            <a:off x="0" y="0"/>
                            <a:ext cx="1130935" cy="497840"/>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W3000*D2000*H750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4</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由桌面、桌脚构成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4、桌脚：不锈钢管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材料名称：木皮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材料厚度：0.6mm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29894-2013 《木材鉴别方法通则》、GB/T 18513-2001《中国主要进口木材名称》、GB/T 16734-1997《中国主要木材名称》、GB/T 18107-2017《红木》、GB/T17657-2013 《人造板及饰面人造板理化性能试验方法》、</w:t>
            </w:r>
            <w:r>
              <w:rPr>
                <w:rFonts w:hint="eastAsia" w:ascii="微软雅黑" w:hAnsi="微软雅黑" w:eastAsia="微软雅黑" w:cs="微软雅黑"/>
                <w:color w:val="000000"/>
                <w:kern w:val="0"/>
                <w:sz w:val="16"/>
                <w:szCs w:val="16"/>
                <w:lang w:eastAsia="zh-CN" w:bidi="ar"/>
              </w:rPr>
              <w:t>GB/T 3324-2024 《木家具通用技术条件》</w:t>
            </w:r>
            <w:r>
              <w:rPr>
                <w:rFonts w:hint="eastAsia" w:ascii="微软雅黑" w:hAnsi="微软雅黑" w:eastAsia="微软雅黑" w:cs="微软雅黑"/>
                <w:color w:val="000000"/>
                <w:kern w:val="0"/>
                <w:sz w:val="16"/>
                <w:szCs w:val="16"/>
                <w:lang w:bidi="ar"/>
              </w:rPr>
              <w:t>、GB/T 13010-2020 《木材工业用单板》。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含水率达到9.0-9.9%，甲醛释放量≤0.1mg/L，材色花纹具有装饰效果，无死节、孔洞、夹皮、树脂道。无半活节，无死节、虫洞、孔洞，无夹皮，无树脂道、树胶道，无变色，无腐朽，无裂缝，无毛刺沟痕、刀痕、划痕，无缺损。</w:t>
            </w:r>
          </w:p>
          <w:p>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22</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服务台</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pPr>
          </w:p>
          <w:p>
            <w:pPr>
              <w:widowControl/>
              <w:jc w:val="center"/>
              <w:textAlignment w:val="center"/>
              <w:rPr>
                <w:rFonts w:hint="eastAsia" w:ascii="微软雅黑" w:hAnsi="微软雅黑" w:eastAsia="微软雅黑" w:cs="微软雅黑"/>
                <w:color w:val="000000"/>
                <w:sz w:val="16"/>
                <w:szCs w:val="16"/>
              </w:rPr>
            </w:pPr>
            <w:r>
              <w:drawing>
                <wp:inline distT="0" distB="0" distL="114300" distR="114300">
                  <wp:extent cx="1295400" cy="825500"/>
                  <wp:effectExtent l="0" t="0" r="0" b="12700"/>
                  <wp:docPr id="14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9"/>
                          <pic:cNvPicPr>
                            <a:picLocks noChangeAspect="1"/>
                          </pic:cNvPicPr>
                        </pic:nvPicPr>
                        <pic:blipFill>
                          <a:blip r:embed="rId26"/>
                          <a:stretch>
                            <a:fillRect/>
                          </a:stretch>
                        </pic:blipFill>
                        <pic:spPr>
                          <a:xfrm>
                            <a:off x="0" y="0"/>
                            <a:ext cx="1295400" cy="825500"/>
                          </a:xfrm>
                          <a:prstGeom prst="rect">
                            <a:avLst/>
                          </a:prstGeom>
                          <a:noFill/>
                          <a:ln>
                            <a:noFill/>
                          </a:ln>
                        </pic:spPr>
                      </pic:pic>
                    </a:graphicData>
                  </a:graphic>
                </wp:inline>
              </w:drawing>
            </w:r>
            <w:r>
              <w:rPr>
                <w:rFonts w:ascii="微软雅黑" w:hAnsi="微软雅黑" w:eastAsia="微软雅黑" w:cs="微软雅黑"/>
                <w:color w:val="808080"/>
                <w:kern w:val="0"/>
                <w:sz w:val="16"/>
                <w:szCs w:val="16"/>
                <w:lang w:bidi="ar"/>
              </w:rPr>
              <w:t>、</w:t>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W4770/2200*D800*H750/1050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由桌面和三抽柜、连接五金、滑轨组成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4、五金配件：优质五金配件</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u w:val="single"/>
                <w:lang w:val="en-US" w:eastAsia="zh-CN" w:bidi="ar"/>
              </w:rPr>
            </w:pPr>
            <w:r>
              <w:rPr>
                <w:rFonts w:hint="eastAsia" w:ascii="微软雅黑" w:hAnsi="微软雅黑" w:eastAsia="微软雅黑" w:cs="微软雅黑"/>
                <w:color w:val="000000"/>
                <w:kern w:val="0"/>
                <w:sz w:val="16"/>
                <w:szCs w:val="16"/>
                <w:lang w:bidi="ar"/>
              </w:rPr>
              <w:t>材料名称：</w:t>
            </w:r>
            <w:r>
              <w:rPr>
                <w:rFonts w:hint="eastAsia" w:ascii="微软雅黑" w:hAnsi="微软雅黑" w:eastAsia="微软雅黑" w:cs="微软雅黑"/>
                <w:color w:val="000000"/>
                <w:kern w:val="0"/>
                <w:sz w:val="16"/>
                <w:szCs w:val="16"/>
                <w:lang w:val="en-US" w:eastAsia="zh-CN" w:bidi="ar"/>
              </w:rPr>
              <w:t>防火</w:t>
            </w:r>
            <w:r>
              <w:rPr>
                <w:rFonts w:hint="eastAsia" w:ascii="微软雅黑" w:hAnsi="微软雅黑" w:eastAsia="微软雅黑" w:cs="微软雅黑"/>
                <w:color w:val="000000"/>
                <w:kern w:val="0"/>
                <w:sz w:val="16"/>
                <w:szCs w:val="16"/>
                <w:u w:val="none"/>
                <w:lang w:val="en-US" w:eastAsia="zh-CN" w:bidi="ar"/>
              </w:rPr>
              <w:t>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18584-2001《室内装饰装修材料 木家具中有害物质限量》GB/T 7911-2013《热固性树脂浸渍纸高压装饰层积板(HPL)》</w:t>
            </w:r>
          </w:p>
          <w:p>
            <w:pPr>
              <w:rPr>
                <w:rFonts w:hint="eastAsia" w:ascii="微软雅黑" w:hAnsi="微软雅黑" w:eastAsia="微软雅黑" w:cs="微软雅黑"/>
                <w:color w:val="000000"/>
                <w:kern w:val="0"/>
                <w:sz w:val="16"/>
                <w:szCs w:val="16"/>
                <w:lang w:val="en-US" w:eastAsia="zh-CN" w:bidi="ar"/>
              </w:rPr>
            </w:pPr>
            <w:r>
              <w:rPr>
                <w:rFonts w:hint="eastAsia" w:ascii="微软雅黑" w:hAnsi="微软雅黑" w:eastAsia="微软雅黑" w:cs="微软雅黑"/>
                <w:color w:val="000000"/>
                <w:kern w:val="0"/>
                <w:sz w:val="16"/>
                <w:szCs w:val="16"/>
                <w:lang w:bidi="ar"/>
              </w:rPr>
              <w:t>技术指标：</w:t>
            </w:r>
            <w:r>
              <w:rPr>
                <w:rFonts w:hint="eastAsia" w:ascii="微软雅黑" w:hAnsi="微软雅黑" w:eastAsia="微软雅黑" w:cs="微软雅黑"/>
                <w:color w:val="000000"/>
                <w:kern w:val="0"/>
                <w:sz w:val="16"/>
                <w:szCs w:val="16"/>
                <w:lang w:val="en-US" w:eastAsia="zh-CN" w:bidi="ar"/>
              </w:rPr>
              <w:t>厚度≥0.7mm，耐磨性能达到4级，甲醛释放量≤0.1mg/L</w:t>
            </w:r>
          </w:p>
          <w:p>
            <w:pPr>
              <w:widowControl/>
              <w:jc w:val="left"/>
              <w:textAlignment w:val="center"/>
              <w:rPr>
                <w:rFonts w:hint="eastAsia" w:ascii="微软雅黑" w:hAnsi="微软雅黑" w:eastAsia="微软雅黑" w:cs="微软雅黑"/>
                <w:color w:val="000000"/>
                <w:kern w:val="0"/>
                <w:sz w:val="16"/>
                <w:szCs w:val="16"/>
                <w:lang w:eastAsia="zh-CN" w:bidi="ar"/>
              </w:rPr>
            </w:pP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材料名称：滑轨</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2454-2013《家具五金 抽屉导轨》GB/T 10125-2021《人造气氛腐蚀试验 盐雾试验》QB/T 3832-1999《轻工产品金属镀层腐蚀试验 结果的评价》QB/T 3827-1999《轻工产品金属镀层和化学处理层的耐腐蚀试验方法 乙酸盐雾试验(ASS)法》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技术指标：耐腐蚀性实验经过18小时检测后无锈点。乙酸盐雾试验、铜盐加速乙酸盐雾试验经过650个小时检测后无锈点，达到10级标准。</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材料名称：拉手</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84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57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7684"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23</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展示台</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pPr>
          </w:p>
          <w:p>
            <w:pPr>
              <w:widowControl/>
              <w:jc w:val="center"/>
              <w:textAlignment w:val="center"/>
              <w:rPr>
                <w:rFonts w:hint="eastAsia" w:ascii="微软雅黑" w:hAnsi="微软雅黑" w:eastAsia="微软雅黑" w:cs="微软雅黑"/>
                <w:color w:val="000000"/>
                <w:sz w:val="16"/>
                <w:szCs w:val="16"/>
              </w:rPr>
            </w:pPr>
            <w:r>
              <w:drawing>
                <wp:inline distT="0" distB="0" distL="114300" distR="114300">
                  <wp:extent cx="1381760" cy="539115"/>
                  <wp:effectExtent l="0" t="0" r="15240" b="19685"/>
                  <wp:docPr id="1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6"/>
                          <pic:cNvPicPr>
                            <a:picLocks noChangeAspect="1"/>
                          </pic:cNvPicPr>
                        </pic:nvPicPr>
                        <pic:blipFill>
                          <a:blip r:embed="rId27"/>
                          <a:stretch>
                            <a:fillRect/>
                          </a:stretch>
                        </pic:blipFill>
                        <pic:spPr>
                          <a:xfrm>
                            <a:off x="0" y="0"/>
                            <a:ext cx="1381760" cy="539115"/>
                          </a:xfrm>
                          <a:prstGeom prst="rect">
                            <a:avLst/>
                          </a:prstGeom>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W6000*D800*H750/1050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由桌面和三抽柜、连接五金、滑轨组成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4、五金配件：优质五金配件</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u w:val="single"/>
                <w:lang w:val="en-US" w:eastAsia="zh-CN" w:bidi="ar"/>
              </w:rPr>
            </w:pPr>
            <w:r>
              <w:rPr>
                <w:rFonts w:hint="eastAsia" w:ascii="微软雅黑" w:hAnsi="微软雅黑" w:eastAsia="微软雅黑" w:cs="微软雅黑"/>
                <w:color w:val="000000"/>
                <w:kern w:val="0"/>
                <w:sz w:val="16"/>
                <w:szCs w:val="16"/>
                <w:lang w:bidi="ar"/>
              </w:rPr>
              <w:t>材料名称：</w:t>
            </w:r>
            <w:r>
              <w:rPr>
                <w:rFonts w:hint="eastAsia" w:ascii="微软雅黑" w:hAnsi="微软雅黑" w:eastAsia="微软雅黑" w:cs="微软雅黑"/>
                <w:color w:val="000000"/>
                <w:kern w:val="0"/>
                <w:sz w:val="16"/>
                <w:szCs w:val="16"/>
                <w:lang w:val="en-US" w:eastAsia="zh-CN" w:bidi="ar"/>
              </w:rPr>
              <w:t>防火</w:t>
            </w:r>
            <w:r>
              <w:rPr>
                <w:rFonts w:hint="eastAsia" w:ascii="微软雅黑" w:hAnsi="微软雅黑" w:eastAsia="微软雅黑" w:cs="微软雅黑"/>
                <w:color w:val="000000"/>
                <w:kern w:val="0"/>
                <w:sz w:val="16"/>
                <w:szCs w:val="16"/>
                <w:u w:val="none"/>
                <w:lang w:val="en-US" w:eastAsia="zh-CN" w:bidi="ar"/>
              </w:rPr>
              <w:t>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18584-2001《室内装饰装修材料 木家具中有害物质限量》GB/T 7911-2013《热固性树脂浸渍纸高压装饰层积板(HPL)》</w:t>
            </w:r>
          </w:p>
          <w:p>
            <w:pPr>
              <w:rPr>
                <w:rFonts w:hint="eastAsia" w:ascii="微软雅黑" w:hAnsi="微软雅黑" w:eastAsia="微软雅黑" w:cs="微软雅黑"/>
                <w:color w:val="000000"/>
                <w:kern w:val="0"/>
                <w:sz w:val="16"/>
                <w:szCs w:val="16"/>
                <w:lang w:val="en-US" w:eastAsia="zh-CN" w:bidi="ar"/>
              </w:rPr>
            </w:pPr>
            <w:r>
              <w:rPr>
                <w:rFonts w:hint="eastAsia" w:ascii="微软雅黑" w:hAnsi="微软雅黑" w:eastAsia="微软雅黑" w:cs="微软雅黑"/>
                <w:color w:val="000000"/>
                <w:kern w:val="0"/>
                <w:sz w:val="16"/>
                <w:szCs w:val="16"/>
                <w:lang w:bidi="ar"/>
              </w:rPr>
              <w:t>技术指标：</w:t>
            </w:r>
            <w:r>
              <w:rPr>
                <w:rFonts w:hint="eastAsia" w:ascii="微软雅黑" w:hAnsi="微软雅黑" w:eastAsia="微软雅黑" w:cs="微软雅黑"/>
                <w:color w:val="000000"/>
                <w:kern w:val="0"/>
                <w:sz w:val="16"/>
                <w:szCs w:val="16"/>
                <w:lang w:val="en-US" w:eastAsia="zh-CN" w:bidi="ar"/>
              </w:rPr>
              <w:t>厚度≥0.7mm，耐磨性能达到4级，甲醛释放量≤0.1mg/L</w:t>
            </w:r>
          </w:p>
          <w:p>
            <w:pPr>
              <w:rPr>
                <w:rFonts w:hint="eastAsia"/>
              </w:rPr>
            </w:pP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材料名称：滑轨</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2454-2013《家具五金 抽屉导轨》GB/T 10125-2021《人造气氛腐蚀试验 盐雾试验》QB/T 3832-1999《轻工产品金属镀层腐蚀试验 结果的评价》QB/T 3827-1999《轻工产品金属镀层和化学处理层的耐腐蚀试验方法 乙酸盐雾试验(ASS)法》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技术指标：耐腐蚀性实验经过18小时检测后无锈点。乙酸盐雾试验、铜盐加速乙酸盐雾试验经过650个小时检测后无锈点，达到10级标准。</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材料名称：拉手</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1095"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24</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双面货架（含水槽水龙头）</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drawing>
                <wp:inline distT="0" distB="0" distL="114300" distR="114300">
                  <wp:extent cx="1340485" cy="201930"/>
                  <wp:effectExtent l="0" t="0" r="5715" b="1270"/>
                  <wp:docPr id="146" name="图片 146" descr="175220391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1752203911263"/>
                          <pic:cNvPicPr>
                            <a:picLocks noChangeAspect="1"/>
                          </pic:cNvPicPr>
                        </pic:nvPicPr>
                        <pic:blipFill>
                          <a:blip r:embed="rId28"/>
                          <a:stretch>
                            <a:fillRect/>
                          </a:stretch>
                        </pic:blipFill>
                        <pic:spPr>
                          <a:xfrm>
                            <a:off x="0" y="0"/>
                            <a:ext cx="1340485" cy="201930"/>
                          </a:xfrm>
                          <a:prstGeom prst="rect">
                            <a:avLst/>
                          </a:prstGeom>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W7590*D1050*H2800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由货架、矮柜、高柜、吊柜、洗手池、装饰墙等组成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4、矮柜含304不锈钢水槽，水龙头。</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u w:val="single"/>
                <w:lang w:val="en-US" w:eastAsia="zh-CN" w:bidi="ar"/>
              </w:rPr>
            </w:pPr>
            <w:r>
              <w:rPr>
                <w:rFonts w:hint="eastAsia" w:ascii="微软雅黑" w:hAnsi="微软雅黑" w:eastAsia="微软雅黑" w:cs="微软雅黑"/>
                <w:color w:val="000000"/>
                <w:kern w:val="0"/>
                <w:sz w:val="16"/>
                <w:szCs w:val="16"/>
                <w:lang w:bidi="ar"/>
              </w:rPr>
              <w:t>材料名称：</w:t>
            </w:r>
            <w:r>
              <w:rPr>
                <w:rFonts w:hint="eastAsia" w:ascii="微软雅黑" w:hAnsi="微软雅黑" w:eastAsia="微软雅黑" w:cs="微软雅黑"/>
                <w:color w:val="000000"/>
                <w:kern w:val="0"/>
                <w:sz w:val="16"/>
                <w:szCs w:val="16"/>
                <w:lang w:val="en-US" w:eastAsia="zh-CN" w:bidi="ar"/>
              </w:rPr>
              <w:t>防火</w:t>
            </w:r>
            <w:r>
              <w:rPr>
                <w:rFonts w:hint="eastAsia" w:ascii="微软雅黑" w:hAnsi="微软雅黑" w:eastAsia="微软雅黑" w:cs="微软雅黑"/>
                <w:color w:val="000000"/>
                <w:kern w:val="0"/>
                <w:sz w:val="16"/>
                <w:szCs w:val="16"/>
                <w:u w:val="none"/>
                <w:lang w:val="en-US" w:eastAsia="zh-CN" w:bidi="ar"/>
              </w:rPr>
              <w:t>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18584-2001《室内装饰装修材料 木家具中有害物质限量》GB/T 7911-2013《热固性树脂浸渍纸高压装饰层积板(HPL)》</w:t>
            </w:r>
          </w:p>
          <w:p>
            <w:pPr>
              <w:rPr>
                <w:rFonts w:hint="eastAsia" w:ascii="微软雅黑" w:hAnsi="微软雅黑" w:eastAsia="微软雅黑" w:cs="微软雅黑"/>
                <w:color w:val="000000"/>
                <w:kern w:val="0"/>
                <w:sz w:val="16"/>
                <w:szCs w:val="16"/>
                <w:lang w:val="en-US" w:eastAsia="zh-CN" w:bidi="ar"/>
              </w:rPr>
            </w:pPr>
            <w:r>
              <w:rPr>
                <w:rFonts w:hint="eastAsia" w:ascii="微软雅黑" w:hAnsi="微软雅黑" w:eastAsia="微软雅黑" w:cs="微软雅黑"/>
                <w:color w:val="000000"/>
                <w:kern w:val="0"/>
                <w:sz w:val="16"/>
                <w:szCs w:val="16"/>
                <w:lang w:bidi="ar"/>
              </w:rPr>
              <w:t>技术指标：</w:t>
            </w:r>
            <w:r>
              <w:rPr>
                <w:rFonts w:hint="eastAsia" w:ascii="微软雅黑" w:hAnsi="微软雅黑" w:eastAsia="微软雅黑" w:cs="微软雅黑"/>
                <w:color w:val="000000"/>
                <w:kern w:val="0"/>
                <w:sz w:val="16"/>
                <w:szCs w:val="16"/>
                <w:lang w:val="en-US" w:eastAsia="zh-CN" w:bidi="ar"/>
              </w:rPr>
              <w:t>厚度≥0.7mm，耐磨性能达到4级，甲醛释放量≤0.1mg/L</w:t>
            </w:r>
          </w:p>
          <w:p>
            <w:pPr>
              <w:rPr>
                <w:rFonts w:hint="eastAsia"/>
              </w:rPr>
            </w:pP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材料名称：滑轨</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2454-2013《家具五金 抽屉导轨》GB/T 10125-2021《人造气氛腐蚀试验 盐雾试验》QB/T 3832-1999《轻工产品金属镀层腐蚀试验 结果的评价》QB/T 3827-1999《轻工产品金属镀层和化学处理层的耐腐蚀试验方法 乙酸盐雾试验(ASS)法》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技术指标：耐腐蚀性实验经过18小时检测后无锈点。乙酸盐雾试验、铜盐加速乙酸盐雾试验经过650个小时检测后无锈点，达到10级标准。</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材料名称：拉手</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25</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转角台</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textAlignment w:val="center"/>
              <w:rPr>
                <w:rFonts w:hint="eastAsia" w:ascii="微软雅黑" w:hAnsi="微软雅黑" w:eastAsia="微软雅黑" w:cs="微软雅黑"/>
                <w:color w:val="000000"/>
                <w:sz w:val="16"/>
                <w:szCs w:val="16"/>
              </w:rPr>
            </w:pPr>
            <w:r>
              <w:drawing>
                <wp:inline distT="0" distB="0" distL="114300" distR="114300">
                  <wp:extent cx="1341755" cy="643890"/>
                  <wp:effectExtent l="0" t="0" r="4445" b="16510"/>
                  <wp:docPr id="140" name="图片 140" descr="175220380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1752203800082"/>
                          <pic:cNvPicPr>
                            <a:picLocks noChangeAspect="1"/>
                          </pic:cNvPicPr>
                        </pic:nvPicPr>
                        <pic:blipFill>
                          <a:blip r:embed="rId29"/>
                          <a:stretch>
                            <a:fillRect/>
                          </a:stretch>
                        </pic:blipFill>
                        <pic:spPr>
                          <a:xfrm>
                            <a:off x="0" y="0"/>
                            <a:ext cx="1341755" cy="643890"/>
                          </a:xfrm>
                          <a:prstGeom prst="rect">
                            <a:avLst/>
                          </a:prstGeom>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W4695/W7024/W3170*D800*H750/1050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由桌面和三抽柜、连接五金、滑轨组成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4、五金配件：优质五金配件</w:t>
            </w:r>
          </w:p>
          <w:p>
            <w:pPr>
              <w:widowControl/>
              <w:jc w:val="center"/>
              <w:textAlignment w:val="center"/>
              <w:rPr>
                <w:rFonts w:hint="eastAsia" w:ascii="微软雅黑" w:hAnsi="微软雅黑" w:eastAsia="微软雅黑" w:cs="微软雅黑"/>
                <w:color w:val="000000"/>
                <w:sz w:val="16"/>
                <w:szCs w:val="16"/>
              </w:rPr>
            </w:pP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u w:val="single"/>
                <w:lang w:val="en-US" w:eastAsia="zh-CN" w:bidi="ar"/>
              </w:rPr>
            </w:pPr>
            <w:r>
              <w:rPr>
                <w:rFonts w:hint="eastAsia" w:ascii="微软雅黑" w:hAnsi="微软雅黑" w:eastAsia="微软雅黑" w:cs="微软雅黑"/>
                <w:color w:val="000000"/>
                <w:kern w:val="0"/>
                <w:sz w:val="16"/>
                <w:szCs w:val="16"/>
                <w:lang w:bidi="ar"/>
              </w:rPr>
              <w:t>材料名称：</w:t>
            </w:r>
            <w:r>
              <w:rPr>
                <w:rFonts w:hint="eastAsia" w:ascii="微软雅黑" w:hAnsi="微软雅黑" w:eastAsia="微软雅黑" w:cs="微软雅黑"/>
                <w:color w:val="000000"/>
                <w:kern w:val="0"/>
                <w:sz w:val="16"/>
                <w:szCs w:val="16"/>
                <w:lang w:val="en-US" w:eastAsia="zh-CN" w:bidi="ar"/>
              </w:rPr>
              <w:t>防火</w:t>
            </w:r>
            <w:r>
              <w:rPr>
                <w:rFonts w:hint="eastAsia" w:ascii="微软雅黑" w:hAnsi="微软雅黑" w:eastAsia="微软雅黑" w:cs="微软雅黑"/>
                <w:color w:val="000000"/>
                <w:kern w:val="0"/>
                <w:sz w:val="16"/>
                <w:szCs w:val="16"/>
                <w:u w:val="none"/>
                <w:lang w:val="en-US" w:eastAsia="zh-CN" w:bidi="ar"/>
              </w:rPr>
              <w:t>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18584-2001《室内装饰装修材料 木家具中有害物质限量》GB/T 7911-2013《热固性树脂浸渍纸高压装饰层积板(HPL)》</w:t>
            </w:r>
          </w:p>
          <w:p>
            <w:pPr>
              <w:rPr>
                <w:rFonts w:hint="eastAsia" w:ascii="微软雅黑" w:hAnsi="微软雅黑" w:eastAsia="微软雅黑" w:cs="微软雅黑"/>
                <w:color w:val="000000"/>
                <w:kern w:val="0"/>
                <w:sz w:val="16"/>
                <w:szCs w:val="16"/>
                <w:lang w:val="en-US" w:eastAsia="zh-CN" w:bidi="ar"/>
              </w:rPr>
            </w:pPr>
            <w:r>
              <w:rPr>
                <w:rFonts w:hint="eastAsia" w:ascii="微软雅黑" w:hAnsi="微软雅黑" w:eastAsia="微软雅黑" w:cs="微软雅黑"/>
                <w:color w:val="000000"/>
                <w:kern w:val="0"/>
                <w:sz w:val="16"/>
                <w:szCs w:val="16"/>
                <w:lang w:bidi="ar"/>
              </w:rPr>
              <w:t>技术指标：</w:t>
            </w:r>
            <w:r>
              <w:rPr>
                <w:rFonts w:hint="eastAsia" w:ascii="微软雅黑" w:hAnsi="微软雅黑" w:eastAsia="微软雅黑" w:cs="微软雅黑"/>
                <w:color w:val="000000"/>
                <w:kern w:val="0"/>
                <w:sz w:val="16"/>
                <w:szCs w:val="16"/>
                <w:lang w:val="en-US" w:eastAsia="zh-CN" w:bidi="ar"/>
              </w:rPr>
              <w:t>厚度≥0.7mm，耐磨性能达到4级，甲醛释放量≤0.1mg/L</w:t>
            </w:r>
          </w:p>
          <w:p>
            <w:pPr>
              <w:widowControl/>
              <w:jc w:val="left"/>
              <w:textAlignment w:val="auto"/>
              <w:rPr>
                <w:rFonts w:hint="eastAsia" w:ascii="微软雅黑" w:hAnsi="微软雅黑" w:eastAsia="微软雅黑" w:cs="微软雅黑"/>
                <w:color w:val="000000"/>
                <w:kern w:val="0"/>
                <w:sz w:val="16"/>
                <w:szCs w:val="16"/>
                <w:lang w:bidi="ar"/>
              </w:rPr>
            </w:pP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材料名称：滑轨</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2454-2013《家具五金 抽屉导轨》GB/T 10125-2021《人造气氛腐蚀试验 盐雾试验》QB/T 3832-1999《轻工产品金属镀层腐蚀试验 结果的评价》QB/T 3827-1999《轻工产品金属镀层和化学处理层的耐腐蚀试验方法 乙酸盐雾试验(ASS)法》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技术指标：耐腐蚀性实验经过18小时检测后无锈点。乙酸盐雾试验、铜盐加速乙酸盐雾试验经过650个小时检测后无锈点，达到10级标准。</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材料名称：拉手</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widowControl/>
              <w:jc w:val="left"/>
              <w:textAlignment w:val="center"/>
              <w:rPr>
                <w:rFonts w:hint="eastAsia" w:ascii="微软雅黑" w:hAnsi="微软雅黑" w:eastAsia="微软雅黑" w:cs="微软雅黑"/>
                <w:color w:val="000000"/>
                <w:sz w:val="16"/>
                <w:szCs w:val="16"/>
              </w:rPr>
            </w:pP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84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26</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椭圆桌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033145" cy="797560"/>
                  <wp:effectExtent l="0" t="0" r="8255" b="15240"/>
                  <wp:docPr id="29" name="图片 118"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8" descr="IMG_278"/>
                          <pic:cNvPicPr>
                            <a:picLocks noChangeAspect="1"/>
                          </pic:cNvPicPr>
                        </pic:nvPicPr>
                        <pic:blipFill>
                          <a:blip r:embed="rId30"/>
                          <a:stretch>
                            <a:fillRect/>
                          </a:stretch>
                        </pic:blipFill>
                        <pic:spPr>
                          <a:xfrm>
                            <a:off x="0" y="0"/>
                            <a:ext cx="1033209" cy="797560"/>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W900*D600*H450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3</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由桌面、桌脚构成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r>
              <w:rPr>
                <w:rFonts w:hint="eastAsia" w:ascii="微软雅黑" w:hAnsi="微软雅黑" w:eastAsia="微软雅黑" w:cs="微软雅黑"/>
                <w:color w:val="000000"/>
                <w:kern w:val="0"/>
                <w:sz w:val="16"/>
                <w:szCs w:val="16"/>
                <w:lang w:bidi="ar"/>
              </w:rPr>
              <w:br w:type="textWrapping"/>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材料名称：木皮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材料厚度：0.6mm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29894-2013 《木材鉴别方法通则》、GB/T 18513-2001《中国主要进口木材名称》、GB/T 16734-1997《中国主要木材名称》、GB/T 18107-2017《红木》、GB/T17657-2013 《人造板及饰面人造板理化性能试验方法》、</w:t>
            </w:r>
            <w:r>
              <w:rPr>
                <w:rFonts w:hint="eastAsia" w:ascii="微软雅黑" w:hAnsi="微软雅黑" w:eastAsia="微软雅黑" w:cs="微软雅黑"/>
                <w:color w:val="000000"/>
                <w:kern w:val="0"/>
                <w:sz w:val="16"/>
                <w:szCs w:val="16"/>
                <w:lang w:eastAsia="zh-CN" w:bidi="ar"/>
              </w:rPr>
              <w:t>GB/T 3324-2024 《木家具通用技术条件》</w:t>
            </w:r>
            <w:r>
              <w:rPr>
                <w:rFonts w:hint="eastAsia" w:ascii="微软雅黑" w:hAnsi="微软雅黑" w:eastAsia="微软雅黑" w:cs="微软雅黑"/>
                <w:color w:val="000000"/>
                <w:kern w:val="0"/>
                <w:sz w:val="16"/>
                <w:szCs w:val="16"/>
                <w:lang w:bidi="ar"/>
              </w:rPr>
              <w:t>、GB/T 13010-2020 《木材工业用单板》。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含水率达到9.0-9.9%，甲醛释放量≤0.1mg/L，材色花纹具有装饰效果，无死节、孔洞、夹皮、树脂道。无半活节，无死节、虫洞、孔洞，无夹皮，无树脂道、树胶道，无变色，无腐朽，无裂缝，无毛刺沟痕、刀痕、划痕，无缺损。</w:t>
            </w:r>
          </w:p>
          <w:p>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84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24"/>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27</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椭圆桌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kern w:val="0"/>
                <w:sz w:val="16"/>
                <w:szCs w:val="16"/>
                <w:lang w:bidi="ar"/>
              </w:rPr>
            </w:pPr>
          </w:p>
          <w:p>
            <w:pPr>
              <w:widowControl/>
              <w:jc w:val="center"/>
              <w:textAlignment w:val="center"/>
              <w:rPr>
                <w:rFonts w:hint="eastAsia" w:ascii="微软雅黑" w:hAnsi="微软雅黑" w:eastAsia="微软雅黑" w:cs="微软雅黑"/>
                <w:color w:val="808080"/>
                <w:kern w:val="0"/>
                <w:sz w:val="16"/>
                <w:szCs w:val="16"/>
                <w:lang w:bidi="ar"/>
              </w:rPr>
            </w:pPr>
          </w:p>
          <w:p>
            <w:pPr>
              <w:widowControl/>
              <w:jc w:val="center"/>
              <w:textAlignment w:val="center"/>
              <w:rPr>
                <w:rFonts w:hint="eastAsia" w:ascii="微软雅黑" w:hAnsi="微软雅黑" w:eastAsia="微软雅黑" w:cs="微软雅黑"/>
                <w:color w:val="000000"/>
                <w:sz w:val="16"/>
                <w:szCs w:val="16"/>
              </w:rPr>
            </w:pPr>
            <w:r>
              <w:rPr>
                <w:rFonts w:ascii="微软雅黑" w:hAnsi="微软雅黑" w:eastAsia="微软雅黑" w:cs="微软雅黑"/>
                <w:color w:val="808080"/>
                <w:kern w:val="0"/>
                <w:sz w:val="16"/>
                <w:szCs w:val="16"/>
                <w:lang w:bidi="ar"/>
              </w:rPr>
              <w:drawing>
                <wp:inline distT="0" distB="0" distL="114300" distR="114300">
                  <wp:extent cx="1303020" cy="869315"/>
                  <wp:effectExtent l="0" t="0" r="17780" b="19685"/>
                  <wp:docPr id="30" name="图片 119"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19" descr="IMG_279"/>
                          <pic:cNvPicPr>
                            <a:picLocks noChangeAspect="1"/>
                          </pic:cNvPicPr>
                        </pic:nvPicPr>
                        <pic:blipFill>
                          <a:blip r:embed="rId31"/>
                          <a:stretch>
                            <a:fillRect/>
                          </a:stretch>
                        </pic:blipFill>
                        <pic:spPr>
                          <a:xfrm>
                            <a:off x="0" y="0"/>
                            <a:ext cx="1303020" cy="869315"/>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W1200*D850*H450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6</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由桌面、桌脚构成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r>
              <w:rPr>
                <w:rFonts w:hint="eastAsia" w:ascii="微软雅黑" w:hAnsi="微软雅黑" w:eastAsia="微软雅黑" w:cs="微软雅黑"/>
                <w:color w:val="000000"/>
                <w:kern w:val="0"/>
                <w:sz w:val="16"/>
                <w:szCs w:val="16"/>
                <w:lang w:bidi="ar"/>
              </w:rPr>
              <w:br w:type="textWrapping"/>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材料名称：木皮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材料厚度：0.6mm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29894-2013 《木材鉴别方法通则》、GB/T 18513-2001《中国主要进口木材名称》、GB/T 16734-1997《中国主要木材名称》、GB/T 18107-2017《红木》、GB/T17657-2013 《人造板及饰面人造板理化性能试验方法》、</w:t>
            </w:r>
            <w:r>
              <w:rPr>
                <w:rFonts w:hint="eastAsia" w:ascii="微软雅黑" w:hAnsi="微软雅黑" w:eastAsia="微软雅黑" w:cs="微软雅黑"/>
                <w:color w:val="000000"/>
                <w:kern w:val="0"/>
                <w:sz w:val="16"/>
                <w:szCs w:val="16"/>
                <w:lang w:eastAsia="zh-CN" w:bidi="ar"/>
              </w:rPr>
              <w:t>GB/T 3324-2024 《木家具通用技术条件》</w:t>
            </w:r>
            <w:r>
              <w:rPr>
                <w:rFonts w:hint="eastAsia" w:ascii="微软雅黑" w:hAnsi="微软雅黑" w:eastAsia="微软雅黑" w:cs="微软雅黑"/>
                <w:color w:val="000000"/>
                <w:kern w:val="0"/>
                <w:sz w:val="16"/>
                <w:szCs w:val="16"/>
                <w:lang w:bidi="ar"/>
              </w:rPr>
              <w:t>、GB/T 13010-2020 《木材工业用单板》。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含水率达到9.0-9.9%，甲醛释放量≤0.1mg/L，材色花纹具有装饰效果，无死节、孔洞、夹皮、树脂道。无半活节，无死节、虫洞、孔洞，无夹皮，无树脂道、树胶道，无变色，无腐朽，无裂缝，无毛刺沟痕、刀痕、划痕，无缺损。</w:t>
            </w:r>
          </w:p>
          <w:p>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28</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办公桌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14400" cy="624205"/>
                  <wp:effectExtent l="0" t="0" r="0" b="10795"/>
                  <wp:docPr id="31" name="图片 120"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20" descr="IMG_280"/>
                          <pic:cNvPicPr>
                            <a:picLocks noChangeAspect="1"/>
                          </pic:cNvPicPr>
                        </pic:nvPicPr>
                        <pic:blipFill>
                          <a:blip r:embed="rId32"/>
                          <a:stretch>
                            <a:fillRect/>
                          </a:stretch>
                        </pic:blipFill>
                        <pic:spPr>
                          <a:xfrm>
                            <a:off x="0" y="0"/>
                            <a:ext cx="914400" cy="624114"/>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主台W1800*D800*H750副台W1600*D400*H750（尺寸偏差±5mm）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由桌面、桌架、副台等组成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脚架工艺：铝合金</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材料名称：滑轨</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2454-2013《家具五金 抽屉导轨》GB/T 10125-2021《人造气氛腐蚀试验 盐雾试验》QB/T 3832-1999《轻工产品金属镀层腐蚀试验 结果的评价》QB/T 3827-1999《轻工产品金属镀层和化学处理层的耐腐蚀试验方法 乙酸盐雾试验(ASS)法》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技术指标：耐腐蚀性实验经过18小时检测后无锈点。乙酸盐雾试验、铜盐加速乙酸盐雾试验经过650个小时检测后无锈点，达到10级标准。</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材料名称：拉手</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16"/>
                <w:szCs w:val="16"/>
                <w:u w:val="none"/>
                <w:lang w:val="en-US" w:eastAsia="zh-CN" w:bidi="ar"/>
              </w:rPr>
            </w:pPr>
            <w:r>
              <w:rPr>
                <w:rFonts w:hint="eastAsia" w:ascii="微软雅黑" w:hAnsi="微软雅黑" w:eastAsia="微软雅黑" w:cs="微软雅黑"/>
                <w:color w:val="000000"/>
                <w:kern w:val="0"/>
                <w:sz w:val="16"/>
                <w:szCs w:val="16"/>
                <w:lang w:bidi="ar"/>
              </w:rPr>
              <w:t>材料名称：</w:t>
            </w:r>
            <w:r>
              <w:rPr>
                <w:rFonts w:hint="eastAsia" w:ascii="微软雅黑" w:hAnsi="微软雅黑" w:eastAsia="微软雅黑" w:cs="微软雅黑"/>
                <w:i w:val="0"/>
                <w:iCs w:val="0"/>
                <w:color w:val="000000"/>
                <w:kern w:val="0"/>
                <w:sz w:val="16"/>
                <w:szCs w:val="16"/>
                <w:u w:val="none"/>
                <w:lang w:val="en-US" w:eastAsia="zh-CN" w:bidi="ar"/>
              </w:rPr>
              <w:t>桌腿采用钢制钢脚，壁厚1.2mm，正面上部61*42mm扇形，下部管径31*31mm正方形。整体成扇形锥状，高725mm</w:t>
            </w:r>
            <w:r>
              <w:drawing>
                <wp:inline distT="0" distB="0" distL="114300" distR="114300">
                  <wp:extent cx="2775585" cy="5262245"/>
                  <wp:effectExtent l="0" t="0" r="18415" b="20955"/>
                  <wp:docPr id="4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4"/>
                          <pic:cNvPicPr>
                            <a:picLocks noChangeAspect="1"/>
                          </pic:cNvPicPr>
                        </pic:nvPicPr>
                        <pic:blipFill>
                          <a:blip r:embed="rId33"/>
                          <a:stretch>
                            <a:fillRect/>
                          </a:stretch>
                        </pic:blipFill>
                        <pic:spPr>
                          <a:xfrm>
                            <a:off x="0" y="0"/>
                            <a:ext cx="2775585" cy="5262245"/>
                          </a:xfrm>
                          <a:prstGeom prst="rect">
                            <a:avLst/>
                          </a:prstGeom>
                          <a:noFill/>
                          <a:ln>
                            <a:noFill/>
                          </a:ln>
                        </pic:spPr>
                      </pic:pic>
                    </a:graphicData>
                  </a:graphic>
                </wp:inline>
              </w:drawing>
            </w:r>
          </w:p>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16"/>
                <w:szCs w:val="16"/>
                <w:u w:val="none"/>
                <w:lang w:val="en-US" w:eastAsia="zh-CN" w:bidi="ar"/>
              </w:rPr>
            </w:pPr>
          </w:p>
          <w:p>
            <w:pPr>
              <w:rPr>
                <w:rFonts w:hint="eastAsia" w:ascii="微软雅黑" w:hAnsi="微软雅黑" w:eastAsia="微软雅黑" w:cs="微软雅黑"/>
                <w:color w:val="000000"/>
                <w:kern w:val="0"/>
                <w:sz w:val="16"/>
                <w:szCs w:val="16"/>
                <w:lang w:bidi="ar"/>
              </w:rPr>
            </w:pP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‌《金属家具通用技术条件》、‌GB/T 10125-2021‌《人造气氛腐蚀试验 盐雾试验》、‌QB/T 3832-1999‌《轻工产品金属镀层和化学处理层的耐腐蚀试验方法 中性盐雾试验（NSS）法》、‌QB/T 3827-1999‌《轻工产品金属镀层和化学处理层的耐腐蚀试验方法 乙酸盐雾试验（ASS）法》、‌QB/T 3828-1999‌《轻工产品金属镀层和化学处理层的耐腐蚀试验方法 铜加速乙酸盐雾试验（CASS）法》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外观冲压件无脱层、裂缝，涂层无漏喷、锈蚀和脱色、掉色现象。涂层应光滑均匀、色泽一致，应无流挂、疙瘩、皱皮、飞漆等缺陷，铜加速乙酸盐雾24h，乙酸盐雾试验1200h，等级10级，无锈点，铜盐加速乙酸盐雾试验100h，等级10级，无锈点。</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84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29</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条桌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816610" cy="501650"/>
                  <wp:effectExtent l="0" t="0" r="21590" b="6350"/>
                  <wp:docPr id="36" name="图片 121"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21" descr="IMG_281"/>
                          <pic:cNvPicPr>
                            <a:picLocks noChangeAspect="1"/>
                          </pic:cNvPicPr>
                        </pic:nvPicPr>
                        <pic:blipFill>
                          <a:blip r:embed="rId34"/>
                          <a:stretch>
                            <a:fillRect/>
                          </a:stretch>
                        </pic:blipFill>
                        <pic:spPr>
                          <a:xfrm>
                            <a:off x="0" y="0"/>
                            <a:ext cx="816610" cy="501547"/>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W1400*D700*H750（尺寸偏差±5mm）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8</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脚架工艺：铝合金</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16"/>
                <w:szCs w:val="16"/>
                <w:u w:val="none"/>
                <w:lang w:val="en-US" w:eastAsia="zh-CN" w:bidi="ar"/>
              </w:rPr>
            </w:pPr>
            <w:r>
              <w:rPr>
                <w:rFonts w:hint="eastAsia" w:ascii="微软雅黑" w:hAnsi="微软雅黑" w:eastAsia="微软雅黑" w:cs="微软雅黑"/>
                <w:color w:val="000000"/>
                <w:kern w:val="0"/>
                <w:sz w:val="16"/>
                <w:szCs w:val="16"/>
                <w:lang w:bidi="ar"/>
              </w:rPr>
              <w:t>材料名称：</w:t>
            </w:r>
            <w:r>
              <w:rPr>
                <w:rFonts w:hint="eastAsia" w:ascii="微软雅黑" w:hAnsi="微软雅黑" w:eastAsia="微软雅黑" w:cs="微软雅黑"/>
                <w:i w:val="0"/>
                <w:iCs w:val="0"/>
                <w:color w:val="000000"/>
                <w:kern w:val="0"/>
                <w:sz w:val="16"/>
                <w:szCs w:val="16"/>
                <w:u w:val="none"/>
                <w:lang w:val="en-US" w:eastAsia="zh-CN" w:bidi="ar"/>
              </w:rPr>
              <w:t>桌腿采用钢制钢脚，壁厚1.2mm，正面上部61*42mm扇形，下部管径31*31mm正方形。整体成扇形锥状，高725mm</w:t>
            </w:r>
            <w:r>
              <w:drawing>
                <wp:inline distT="0" distB="0" distL="114300" distR="114300">
                  <wp:extent cx="2775585" cy="5262245"/>
                  <wp:effectExtent l="0" t="0" r="18415" b="20955"/>
                  <wp:docPr id="4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4"/>
                          <pic:cNvPicPr>
                            <a:picLocks noChangeAspect="1"/>
                          </pic:cNvPicPr>
                        </pic:nvPicPr>
                        <pic:blipFill>
                          <a:blip r:embed="rId33"/>
                          <a:stretch>
                            <a:fillRect/>
                          </a:stretch>
                        </pic:blipFill>
                        <pic:spPr>
                          <a:xfrm>
                            <a:off x="0" y="0"/>
                            <a:ext cx="2775585" cy="5262245"/>
                          </a:xfrm>
                          <a:prstGeom prst="rect">
                            <a:avLst/>
                          </a:prstGeom>
                          <a:noFill/>
                          <a:ln>
                            <a:noFill/>
                          </a:ln>
                        </pic:spPr>
                      </pic:pic>
                    </a:graphicData>
                  </a:graphic>
                </wp:inline>
              </w:drawing>
            </w:r>
          </w:p>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16"/>
                <w:szCs w:val="16"/>
                <w:u w:val="none"/>
                <w:lang w:val="en-US" w:eastAsia="zh-CN" w:bidi="ar"/>
              </w:rPr>
            </w:pPr>
          </w:p>
          <w:p>
            <w:pPr>
              <w:rPr>
                <w:rFonts w:hint="eastAsia" w:ascii="微软雅黑" w:hAnsi="微软雅黑" w:eastAsia="微软雅黑" w:cs="微软雅黑"/>
                <w:color w:val="000000"/>
                <w:kern w:val="0"/>
                <w:sz w:val="16"/>
                <w:szCs w:val="16"/>
                <w:lang w:bidi="ar"/>
              </w:rPr>
            </w:pPr>
          </w:p>
          <w:p>
            <w:pPr>
              <w:widowControl/>
              <w:jc w:val="left"/>
              <w:textAlignment w:val="center"/>
            </w:pPr>
          </w:p>
          <w:p>
            <w:pPr>
              <w:rPr>
                <w:rFonts w:hint="eastAsia" w:ascii="微软雅黑" w:hAnsi="微软雅黑" w:eastAsia="微软雅黑" w:cs="微软雅黑"/>
                <w:color w:val="000000"/>
                <w:kern w:val="0"/>
                <w:sz w:val="16"/>
                <w:szCs w:val="16"/>
                <w:lang w:bidi="ar"/>
              </w:rPr>
            </w:pP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‌《金属家具通用技术条件》、‌GB/T 10125-2021‌《人造气氛腐蚀试验 盐雾试验》、‌QB/T 3832-1999‌《轻工产品金属镀层和化学处理层的耐腐蚀试验方法 中性盐雾试验（NSS）法》、‌QB/T 3827-1999‌《轻工产品金属镀层和化学处理层的耐腐蚀试验方法 乙酸盐雾试验（ASS）法》、‌QB/T 3828-1999‌《轻工产品金属镀层和化学处理层的耐腐蚀试验方法 铜加速乙酸盐雾试验（CASS）法》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外观冲压件无脱层、裂缝，涂层无漏喷、锈蚀和脱色、掉色现象。涂层应光滑均匀、色泽一致，应无流挂、疙瘩、皱皮、飞漆等缺陷，铜加速乙酸盐雾24h，乙酸盐雾试验1200h，等级10级，无锈点，铜盐加速乙酸盐雾试验100h，等级10级，无锈点。</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30</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办公桌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70915" cy="703580"/>
                  <wp:effectExtent l="0" t="0" r="19685" b="7620"/>
                  <wp:docPr id="41" name="图片 122"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22" descr="IMG_282"/>
                          <pic:cNvPicPr>
                            <a:picLocks noChangeAspect="1"/>
                          </pic:cNvPicPr>
                        </pic:nvPicPr>
                        <pic:blipFill>
                          <a:blip r:embed="rId35"/>
                          <a:stretch>
                            <a:fillRect/>
                          </a:stretch>
                        </pic:blipFill>
                        <pic:spPr>
                          <a:xfrm>
                            <a:off x="0" y="0"/>
                            <a:ext cx="970715" cy="703580"/>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W1400*D700*H750（尺寸偏差±5mm）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87</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由桌面、桌架、推柜等组成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脚架工艺：铝合金</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材料名称：滑轨</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2454-2013《家具五金 抽屉导轨》GB/T 10125-2021《人造气氛腐蚀试验 盐雾试验》QB/T 3832-1999《轻工产品金属镀层腐蚀试验 结果的评价》QB/T 3827-1999《轻工产品金属镀层和化学处理层的耐腐蚀试验方法 乙酸盐雾试验(ASS)法》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技术指标：耐腐蚀性实验经过18小时检测后无锈点。乙酸盐雾试验、铜盐加速乙酸盐雾试验经过650个小时检测后无锈点，达到10级标准。</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材料名称：拉手</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16"/>
                <w:szCs w:val="16"/>
                <w:u w:val="none"/>
                <w:lang w:val="en-US" w:eastAsia="zh-CN" w:bidi="ar"/>
              </w:rPr>
            </w:pPr>
            <w:r>
              <w:rPr>
                <w:rFonts w:hint="eastAsia" w:ascii="微软雅黑" w:hAnsi="微软雅黑" w:eastAsia="微软雅黑" w:cs="微软雅黑"/>
                <w:color w:val="000000"/>
                <w:kern w:val="0"/>
                <w:sz w:val="16"/>
                <w:szCs w:val="16"/>
                <w:lang w:bidi="ar"/>
              </w:rPr>
              <w:t>材料名称：</w:t>
            </w:r>
            <w:r>
              <w:rPr>
                <w:rFonts w:hint="eastAsia" w:ascii="微软雅黑" w:hAnsi="微软雅黑" w:eastAsia="微软雅黑" w:cs="微软雅黑"/>
                <w:i w:val="0"/>
                <w:iCs w:val="0"/>
                <w:color w:val="000000"/>
                <w:kern w:val="0"/>
                <w:sz w:val="16"/>
                <w:szCs w:val="16"/>
                <w:u w:val="none"/>
                <w:lang w:val="en-US" w:eastAsia="zh-CN" w:bidi="ar"/>
              </w:rPr>
              <w:t>桌腿采用钢制钢脚，壁厚1.2mm，正面上部61*42mm扇形，下部管径31*31mm正方形。整体成扇形锥状，高725mm</w:t>
            </w:r>
            <w:r>
              <w:drawing>
                <wp:inline distT="0" distB="0" distL="114300" distR="114300">
                  <wp:extent cx="2775585" cy="5262245"/>
                  <wp:effectExtent l="0" t="0" r="18415" b="20955"/>
                  <wp:docPr id="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4"/>
                          <pic:cNvPicPr>
                            <a:picLocks noChangeAspect="1"/>
                          </pic:cNvPicPr>
                        </pic:nvPicPr>
                        <pic:blipFill>
                          <a:blip r:embed="rId33"/>
                          <a:stretch>
                            <a:fillRect/>
                          </a:stretch>
                        </pic:blipFill>
                        <pic:spPr>
                          <a:xfrm>
                            <a:off x="0" y="0"/>
                            <a:ext cx="2775585" cy="5262245"/>
                          </a:xfrm>
                          <a:prstGeom prst="rect">
                            <a:avLst/>
                          </a:prstGeom>
                          <a:noFill/>
                          <a:ln>
                            <a:noFill/>
                          </a:ln>
                        </pic:spPr>
                      </pic:pic>
                    </a:graphicData>
                  </a:graphic>
                </wp:inline>
              </w:drawing>
            </w:r>
          </w:p>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16"/>
                <w:szCs w:val="16"/>
                <w:u w:val="none"/>
                <w:lang w:val="en-US" w:eastAsia="zh-CN" w:bidi="ar"/>
              </w:rPr>
            </w:pPr>
          </w:p>
          <w:p>
            <w:pPr>
              <w:rPr>
                <w:rFonts w:hint="eastAsia" w:ascii="微软雅黑" w:hAnsi="微软雅黑" w:eastAsia="微软雅黑" w:cs="微软雅黑"/>
                <w:color w:val="000000"/>
                <w:kern w:val="0"/>
                <w:sz w:val="16"/>
                <w:szCs w:val="16"/>
                <w:lang w:bidi="ar"/>
              </w:rPr>
            </w:pPr>
          </w:p>
          <w:p>
            <w:pPr>
              <w:rPr>
                <w:rFonts w:hint="eastAsia" w:ascii="微软雅黑" w:hAnsi="微软雅黑" w:eastAsia="微软雅黑" w:cs="微软雅黑"/>
                <w:color w:val="000000"/>
                <w:kern w:val="0"/>
                <w:sz w:val="16"/>
                <w:szCs w:val="16"/>
                <w:lang w:bidi="ar"/>
              </w:rPr>
            </w:pP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‌《金属家具通用技术条件》、‌GB/T 10125-2021‌《人造气氛腐蚀试验 盐雾试验》、‌QB/T 3832-1999‌《轻工产品金属镀层和化学处理层的耐腐蚀试验方法 中性盐雾试验（NSS）法》、‌QB/T 3827-1999‌《轻工产品金属镀层和化学处理层的耐腐蚀试验方法 乙酸盐雾试验（ASS）法》、‌QB/T 3828-1999‌《轻工产品金属镀层和化学处理层的耐腐蚀试验方法 铜加速乙酸盐雾试验（CASS）法》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外观冲压件无脱层、裂缝，涂层无漏喷、锈蚀和脱色、掉色现象。涂层应光滑均匀、色泽一致，应无流挂、疙瘩、皱皮、飞漆等缺陷，铜加速乙酸盐雾24h，乙酸盐雾试验1200h，等级10级，无锈点，铜盐加速乙酸盐雾试验100h，等级10级，无锈点。</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31</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办公桌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93775" cy="741680"/>
                  <wp:effectExtent l="0" t="0" r="22225" b="20320"/>
                  <wp:docPr id="46" name="图片 123"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23" descr="IMG_283"/>
                          <pic:cNvPicPr>
                            <a:picLocks noChangeAspect="1"/>
                          </pic:cNvPicPr>
                        </pic:nvPicPr>
                        <pic:blipFill>
                          <a:blip r:embed="rId36"/>
                          <a:stretch>
                            <a:fillRect/>
                          </a:stretch>
                        </pic:blipFill>
                        <pic:spPr>
                          <a:xfrm>
                            <a:off x="0" y="0"/>
                            <a:ext cx="993775" cy="74138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W2000*D800*H750（尺寸偏差±5mm）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脚架工艺：铝合金</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16"/>
                <w:szCs w:val="16"/>
                <w:u w:val="none"/>
                <w:lang w:val="en-US" w:eastAsia="zh-CN" w:bidi="ar"/>
              </w:rPr>
            </w:pPr>
            <w:r>
              <w:rPr>
                <w:rFonts w:hint="eastAsia" w:ascii="微软雅黑" w:hAnsi="微软雅黑" w:eastAsia="微软雅黑" w:cs="微软雅黑"/>
                <w:color w:val="000000"/>
                <w:kern w:val="0"/>
                <w:sz w:val="16"/>
                <w:szCs w:val="16"/>
                <w:lang w:bidi="ar"/>
              </w:rPr>
              <w:t>材料名称：</w:t>
            </w:r>
            <w:r>
              <w:rPr>
                <w:rFonts w:hint="eastAsia" w:ascii="微软雅黑" w:hAnsi="微软雅黑" w:eastAsia="微软雅黑" w:cs="微软雅黑"/>
                <w:i w:val="0"/>
                <w:iCs w:val="0"/>
                <w:color w:val="000000"/>
                <w:kern w:val="0"/>
                <w:sz w:val="16"/>
                <w:szCs w:val="16"/>
                <w:u w:val="none"/>
                <w:lang w:val="en-US" w:eastAsia="zh-CN" w:bidi="ar"/>
              </w:rPr>
              <w:t>桌腿采用钢制钢脚，壁厚1.2mm，正面上部61*42mm扇形，下部管径31*31mm正方形。整体成扇形锥状，高725mm</w:t>
            </w:r>
            <w:r>
              <w:drawing>
                <wp:inline distT="0" distB="0" distL="114300" distR="114300">
                  <wp:extent cx="2775585" cy="5262245"/>
                  <wp:effectExtent l="0" t="0" r="18415" b="20955"/>
                  <wp:docPr id="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4"/>
                          <pic:cNvPicPr>
                            <a:picLocks noChangeAspect="1"/>
                          </pic:cNvPicPr>
                        </pic:nvPicPr>
                        <pic:blipFill>
                          <a:blip r:embed="rId33"/>
                          <a:stretch>
                            <a:fillRect/>
                          </a:stretch>
                        </pic:blipFill>
                        <pic:spPr>
                          <a:xfrm>
                            <a:off x="0" y="0"/>
                            <a:ext cx="2775585" cy="5262245"/>
                          </a:xfrm>
                          <a:prstGeom prst="rect">
                            <a:avLst/>
                          </a:prstGeom>
                          <a:noFill/>
                          <a:ln>
                            <a:noFill/>
                          </a:ln>
                        </pic:spPr>
                      </pic:pic>
                    </a:graphicData>
                  </a:graphic>
                </wp:inline>
              </w:drawing>
            </w:r>
          </w:p>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16"/>
                <w:szCs w:val="16"/>
                <w:u w:val="none"/>
                <w:lang w:val="en-US" w:eastAsia="zh-CN" w:bidi="ar"/>
              </w:rPr>
            </w:pPr>
          </w:p>
          <w:p>
            <w:pPr>
              <w:rPr>
                <w:rFonts w:hint="eastAsia" w:ascii="微软雅黑" w:hAnsi="微软雅黑" w:eastAsia="微软雅黑" w:cs="微软雅黑"/>
                <w:color w:val="000000"/>
                <w:kern w:val="0"/>
                <w:sz w:val="16"/>
                <w:szCs w:val="16"/>
                <w:lang w:bidi="ar"/>
              </w:rPr>
            </w:pP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‌《金属家具通用技术条件》、‌GB/T 10125-2021‌《人造气氛腐蚀试验 盐雾试验》、‌QB/T 3832-1999‌《轻工产品金属镀层和化学处理层的耐腐蚀试验方法 中性盐雾试验（NSS）法》、‌QB/T 3827-1999‌《轻工产品金属镀层和化学处理层的耐腐蚀试验方法 乙酸盐雾试验（ASS）法》、‌QB/T 3828-1999‌《轻工产品金属镀层和化学处理层的耐腐蚀试验方法 铜加速乙酸盐雾试验（CASS）法》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外观冲压件无脱层、裂缝，涂层无漏喷、锈蚀和脱色、掉色现象。涂层应光滑均匀、色泽一致，应无流挂、疙瘩、皱皮、飞漆等缺陷，铜加速乙酸盐雾24h，乙酸盐雾试验1200h，等级10级，无锈点，铜盐加速乙酸盐雾试验100h，等级10级，无锈点。</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57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57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32</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办公桌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kern w:val="0"/>
                <w:sz w:val="16"/>
                <w:szCs w:val="16"/>
                <w:lang w:bidi="ar"/>
              </w:rPr>
            </w:pPr>
          </w:p>
          <w:p>
            <w:pPr>
              <w:widowControl/>
              <w:jc w:val="center"/>
              <w:textAlignment w:val="center"/>
              <w:rPr>
                <w:rFonts w:hint="eastAsia" w:ascii="微软雅黑" w:hAnsi="微软雅黑" w:eastAsia="微软雅黑" w:cs="微软雅黑"/>
                <w:color w:val="808080"/>
                <w:kern w:val="0"/>
                <w:sz w:val="16"/>
                <w:szCs w:val="16"/>
                <w:lang w:bidi="ar"/>
              </w:rPr>
            </w:pPr>
          </w:p>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93775" cy="741680"/>
                  <wp:effectExtent l="0" t="0" r="22225" b="20320"/>
                  <wp:docPr id="51" name="图片 124"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24" descr="IMG_284"/>
                          <pic:cNvPicPr>
                            <a:picLocks noChangeAspect="1"/>
                          </pic:cNvPicPr>
                        </pic:nvPicPr>
                        <pic:blipFill>
                          <a:blip r:embed="rId36"/>
                          <a:stretch>
                            <a:fillRect/>
                          </a:stretch>
                        </pic:blipFill>
                        <pic:spPr>
                          <a:xfrm>
                            <a:off x="0" y="0"/>
                            <a:ext cx="993775" cy="74138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W1200*D600*H750（尺寸偏差±5mm）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20</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脚架工艺：铝合金</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16"/>
                <w:szCs w:val="16"/>
                <w:u w:val="none"/>
                <w:lang w:val="en-US" w:eastAsia="zh-CN" w:bidi="ar"/>
              </w:rPr>
            </w:pPr>
            <w:r>
              <w:rPr>
                <w:rFonts w:hint="eastAsia" w:ascii="微软雅黑" w:hAnsi="微软雅黑" w:eastAsia="微软雅黑" w:cs="微软雅黑"/>
                <w:color w:val="000000"/>
                <w:kern w:val="0"/>
                <w:sz w:val="16"/>
                <w:szCs w:val="16"/>
                <w:lang w:bidi="ar"/>
              </w:rPr>
              <w:t>材料名称：</w:t>
            </w:r>
            <w:r>
              <w:rPr>
                <w:rFonts w:hint="eastAsia" w:ascii="微软雅黑" w:hAnsi="微软雅黑" w:eastAsia="微软雅黑" w:cs="微软雅黑"/>
                <w:i w:val="0"/>
                <w:iCs w:val="0"/>
                <w:color w:val="000000"/>
                <w:kern w:val="0"/>
                <w:sz w:val="16"/>
                <w:szCs w:val="16"/>
                <w:u w:val="none"/>
                <w:lang w:val="en-US" w:eastAsia="zh-CN" w:bidi="ar"/>
              </w:rPr>
              <w:t>桌腿采用钢制钢脚，壁厚1.2mm，正面上部61*42mm扇形，下部管径31*31mm正方形。整体成扇形锥状，高725mm</w:t>
            </w:r>
            <w:r>
              <w:drawing>
                <wp:inline distT="0" distB="0" distL="114300" distR="114300">
                  <wp:extent cx="2775585" cy="5262245"/>
                  <wp:effectExtent l="0" t="0" r="18415" b="20955"/>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4"/>
                          <pic:cNvPicPr>
                            <a:picLocks noChangeAspect="1"/>
                          </pic:cNvPicPr>
                        </pic:nvPicPr>
                        <pic:blipFill>
                          <a:blip r:embed="rId33"/>
                          <a:stretch>
                            <a:fillRect/>
                          </a:stretch>
                        </pic:blipFill>
                        <pic:spPr>
                          <a:xfrm>
                            <a:off x="0" y="0"/>
                            <a:ext cx="2775585" cy="5262245"/>
                          </a:xfrm>
                          <a:prstGeom prst="rect">
                            <a:avLst/>
                          </a:prstGeom>
                          <a:noFill/>
                          <a:ln>
                            <a:noFill/>
                          </a:ln>
                        </pic:spPr>
                      </pic:pic>
                    </a:graphicData>
                  </a:graphic>
                </wp:inline>
              </w:drawing>
            </w:r>
          </w:p>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16"/>
                <w:szCs w:val="16"/>
                <w:u w:val="none"/>
                <w:lang w:val="en-US" w:eastAsia="zh-CN" w:bidi="ar"/>
              </w:rPr>
            </w:pPr>
          </w:p>
          <w:p>
            <w:pPr>
              <w:rPr>
                <w:rFonts w:hint="eastAsia" w:ascii="微软雅黑" w:hAnsi="微软雅黑" w:eastAsia="微软雅黑" w:cs="微软雅黑"/>
                <w:color w:val="000000"/>
                <w:kern w:val="0"/>
                <w:sz w:val="16"/>
                <w:szCs w:val="16"/>
                <w:lang w:bidi="ar"/>
              </w:rPr>
            </w:pPr>
          </w:p>
          <w:p>
            <w:pPr>
              <w:rPr>
                <w:rFonts w:hint="eastAsia" w:ascii="微软雅黑" w:hAnsi="微软雅黑" w:eastAsia="微软雅黑" w:cs="微软雅黑"/>
                <w:color w:val="000000"/>
                <w:kern w:val="0"/>
                <w:sz w:val="16"/>
                <w:szCs w:val="16"/>
                <w:lang w:bidi="ar"/>
              </w:rPr>
            </w:pP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‌《金属家具通用技术条件》、‌GB/T 10125-2021‌《人造气氛腐蚀试验 盐雾试验》、‌QB/T 3832-1999‌《轻工产品金属镀层和化学处理层的耐腐蚀试验方法 中性盐雾试验（NSS）法》、‌QB/T 3827-1999‌《轻工产品金属镀层和化学处理层的耐腐蚀试验方法 乙酸盐雾试验（ASS）法》、‌QB/T 3828-1999‌《轻工产品金属镀层和化学处理层的耐腐蚀试验方法 铜加速乙酸盐雾试验（CASS）法》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外观冲压件无脱层、裂缝，涂层无漏喷、锈蚀和脱色、掉色现象。涂层应光滑均匀、色泽一致，应无流挂、疙瘩、皱皮、飞漆等缺陷，铜加速乙酸盐雾24h，乙酸盐雾试验1200h，等级10级，无锈点，铜盐加速乙酸盐雾试验100h，等级10级，无锈点。</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57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57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840"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33</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办公桌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93775" cy="741680"/>
                  <wp:effectExtent l="0" t="0" r="22225" b="20320"/>
                  <wp:docPr id="56" name="图片 125"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25" descr="IMG_285"/>
                          <pic:cNvPicPr>
                            <a:picLocks noChangeAspect="1"/>
                          </pic:cNvPicPr>
                        </pic:nvPicPr>
                        <pic:blipFill>
                          <a:blip r:embed="rId36"/>
                          <a:stretch>
                            <a:fillRect/>
                          </a:stretch>
                        </pic:blipFill>
                        <pic:spPr>
                          <a:xfrm>
                            <a:off x="0" y="0"/>
                            <a:ext cx="993775" cy="74138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W1600*D600*H750（尺寸偏差±5mm）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脚架工艺：铝合金</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16"/>
                <w:szCs w:val="16"/>
                <w:u w:val="none"/>
                <w:lang w:val="en-US" w:eastAsia="zh-CN" w:bidi="ar"/>
              </w:rPr>
            </w:pPr>
            <w:r>
              <w:rPr>
                <w:rFonts w:hint="eastAsia" w:ascii="微软雅黑" w:hAnsi="微软雅黑" w:eastAsia="微软雅黑" w:cs="微软雅黑"/>
                <w:color w:val="000000"/>
                <w:kern w:val="0"/>
                <w:sz w:val="16"/>
                <w:szCs w:val="16"/>
                <w:lang w:bidi="ar"/>
              </w:rPr>
              <w:t>材料名称：</w:t>
            </w:r>
            <w:r>
              <w:rPr>
                <w:rFonts w:hint="eastAsia" w:ascii="微软雅黑" w:hAnsi="微软雅黑" w:eastAsia="微软雅黑" w:cs="微软雅黑"/>
                <w:i w:val="0"/>
                <w:iCs w:val="0"/>
                <w:color w:val="000000"/>
                <w:kern w:val="0"/>
                <w:sz w:val="16"/>
                <w:szCs w:val="16"/>
                <w:u w:val="none"/>
                <w:lang w:val="en-US" w:eastAsia="zh-CN" w:bidi="ar"/>
              </w:rPr>
              <w:t>桌腿采用钢制钢脚，壁厚1.2mm，正面上部61*42mm扇形，下部管径31*31mm正方形。整体成扇形锥状，高725mm</w:t>
            </w:r>
            <w:r>
              <w:drawing>
                <wp:inline distT="0" distB="0" distL="114300" distR="114300">
                  <wp:extent cx="2775585" cy="5262245"/>
                  <wp:effectExtent l="0" t="0" r="18415" b="20955"/>
                  <wp:docPr id="5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4"/>
                          <pic:cNvPicPr>
                            <a:picLocks noChangeAspect="1"/>
                          </pic:cNvPicPr>
                        </pic:nvPicPr>
                        <pic:blipFill>
                          <a:blip r:embed="rId33"/>
                          <a:stretch>
                            <a:fillRect/>
                          </a:stretch>
                        </pic:blipFill>
                        <pic:spPr>
                          <a:xfrm>
                            <a:off x="0" y="0"/>
                            <a:ext cx="2775585" cy="5262245"/>
                          </a:xfrm>
                          <a:prstGeom prst="rect">
                            <a:avLst/>
                          </a:prstGeom>
                          <a:noFill/>
                          <a:ln>
                            <a:noFill/>
                          </a:ln>
                        </pic:spPr>
                      </pic:pic>
                    </a:graphicData>
                  </a:graphic>
                </wp:inline>
              </w:drawing>
            </w:r>
          </w:p>
          <w:p>
            <w:pPr>
              <w:keepNext w:val="0"/>
              <w:keepLines w:val="0"/>
              <w:widowControl/>
              <w:suppressLineNumbers w:val="0"/>
              <w:jc w:val="left"/>
              <w:textAlignment w:val="center"/>
              <w:rPr>
                <w:rFonts w:hint="eastAsia" w:ascii="微软雅黑" w:hAnsi="微软雅黑" w:eastAsia="微软雅黑" w:cs="微软雅黑"/>
                <w:i w:val="0"/>
                <w:iCs w:val="0"/>
                <w:color w:val="000000"/>
                <w:kern w:val="0"/>
                <w:sz w:val="16"/>
                <w:szCs w:val="16"/>
                <w:u w:val="none"/>
                <w:lang w:val="en-US" w:eastAsia="zh-CN" w:bidi="ar"/>
              </w:rPr>
            </w:pPr>
          </w:p>
          <w:p>
            <w:pPr>
              <w:rPr>
                <w:rFonts w:hint="eastAsia" w:ascii="微软雅黑" w:hAnsi="微软雅黑" w:eastAsia="微软雅黑" w:cs="微软雅黑"/>
                <w:color w:val="000000"/>
                <w:kern w:val="0"/>
                <w:sz w:val="16"/>
                <w:szCs w:val="16"/>
                <w:lang w:bidi="ar"/>
              </w:rPr>
            </w:pPr>
          </w:p>
          <w:p>
            <w:pPr>
              <w:rPr>
                <w:rFonts w:hint="eastAsia" w:ascii="微软雅黑" w:hAnsi="微软雅黑" w:eastAsia="微软雅黑" w:cs="微软雅黑"/>
                <w:color w:val="000000"/>
                <w:kern w:val="0"/>
                <w:sz w:val="16"/>
                <w:szCs w:val="16"/>
                <w:lang w:bidi="ar"/>
              </w:rPr>
            </w:pP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‌《金属家具通用技术条件》、‌GB/T 10125-2021‌《人造气氛腐蚀试验 盐雾试验》、‌QB/T 3832-1999‌《轻工产品金属镀层和化学处理层的耐腐蚀试验方法 中性盐雾试验（NSS）法》、‌QB/T 3827-1999‌《轻工产品金属镀层和化学处理层的耐腐蚀试验方法 乙酸盐雾试验（ASS）法》、‌QB/T 3828-1999‌《轻工产品金属镀层和化学处理层的耐腐蚀试验方法 铜加速乙酸盐雾试验（CASS）法》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外观冲压件无脱层、裂缝，涂层无漏喷、锈蚀和脱色、掉色现象。涂层应光滑均匀、色泽一致，应无流挂、疙瘩、皱皮、飞漆等缺陷，铜加速乙酸盐雾24h，乙酸盐雾试验1200h，等级10级，无锈点，铜盐加速乙酸盐雾试验100h，等级10级，无锈点。</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57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34</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休息桌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071245" cy="861695"/>
                  <wp:effectExtent l="0" t="0" r="20955" b="1905"/>
                  <wp:docPr id="63" name="图片 126"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26" descr="IMG_286"/>
                          <pic:cNvPicPr>
                            <a:picLocks noChangeAspect="1"/>
                          </pic:cNvPicPr>
                        </pic:nvPicPr>
                        <pic:blipFill>
                          <a:blip r:embed="rId37"/>
                          <a:stretch>
                            <a:fillRect/>
                          </a:stretch>
                        </pic:blipFill>
                        <pic:spPr>
                          <a:xfrm>
                            <a:off x="0" y="0"/>
                            <a:ext cx="1071245" cy="86168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W1800*D1200*H750（尺寸偏差±5mm）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4</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脚架工艺：钢制方管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7907"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35</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休息桌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071245" cy="861695"/>
                  <wp:effectExtent l="0" t="0" r="20955" b="1905"/>
                  <wp:docPr id="64" name="图片 127"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27" descr="IMG_287"/>
                          <pic:cNvPicPr>
                            <a:picLocks noChangeAspect="1"/>
                          </pic:cNvPicPr>
                        </pic:nvPicPr>
                        <pic:blipFill>
                          <a:blip r:embed="rId37"/>
                          <a:stretch>
                            <a:fillRect/>
                          </a:stretch>
                        </pic:blipFill>
                        <pic:spPr>
                          <a:xfrm>
                            <a:off x="0" y="0"/>
                            <a:ext cx="1071245" cy="86168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W2000*D800*H750（尺寸偏差±5mm）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脚架工艺：钢制方管</w:t>
            </w:r>
          </w:p>
          <w:p>
            <w:pPr>
              <w:widowControl/>
              <w:jc w:val="center"/>
              <w:textAlignment w:val="center"/>
              <w:rPr>
                <w:rFonts w:hint="eastAsia" w:ascii="微软雅黑" w:hAnsi="微软雅黑" w:eastAsia="微软雅黑" w:cs="微软雅黑"/>
                <w:color w:val="000000"/>
                <w:sz w:val="16"/>
                <w:szCs w:val="16"/>
              </w:rPr>
            </w:pP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36</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休息桌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kern w:val="0"/>
                <w:sz w:val="16"/>
                <w:szCs w:val="16"/>
                <w:lang w:bidi="ar"/>
              </w:rPr>
            </w:pPr>
          </w:p>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071245" cy="861695"/>
                  <wp:effectExtent l="0" t="0" r="20955" b="1905"/>
                  <wp:docPr id="65" name="图片 128"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28" descr="IMG_288"/>
                          <pic:cNvPicPr>
                            <a:picLocks noChangeAspect="1"/>
                          </pic:cNvPicPr>
                        </pic:nvPicPr>
                        <pic:blipFill>
                          <a:blip r:embed="rId37"/>
                          <a:stretch>
                            <a:fillRect/>
                          </a:stretch>
                        </pic:blipFill>
                        <pic:spPr>
                          <a:xfrm>
                            <a:off x="0" y="0"/>
                            <a:ext cx="1071245" cy="86168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W1400*D700*H750（尺寸偏差±5mm）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5</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脚架工艺：钢制方管</w:t>
            </w:r>
          </w:p>
          <w:p>
            <w:pPr>
              <w:widowControl/>
              <w:jc w:val="center"/>
              <w:textAlignment w:val="center"/>
              <w:rPr>
                <w:rFonts w:hint="eastAsia" w:ascii="微软雅黑" w:hAnsi="微软雅黑" w:eastAsia="微软雅黑" w:cs="微软雅黑"/>
                <w:color w:val="000000"/>
                <w:sz w:val="16"/>
                <w:szCs w:val="16"/>
              </w:rPr>
            </w:pP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37</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休息桌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071245" cy="861695"/>
                  <wp:effectExtent l="0" t="0" r="20955" b="1905"/>
                  <wp:docPr id="66" name="图片 129"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descr="IMG_289"/>
                          <pic:cNvPicPr>
                            <a:picLocks noChangeAspect="1"/>
                          </pic:cNvPicPr>
                        </pic:nvPicPr>
                        <pic:blipFill>
                          <a:blip r:embed="rId37"/>
                          <a:stretch>
                            <a:fillRect/>
                          </a:stretch>
                        </pic:blipFill>
                        <pic:spPr>
                          <a:xfrm>
                            <a:off x="0" y="0"/>
                            <a:ext cx="1071245" cy="86168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W1200*D500*H750（尺寸偏差±5mm）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8</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脚架工艺：钢制方管</w:t>
            </w:r>
          </w:p>
          <w:p>
            <w:pPr>
              <w:widowControl/>
              <w:jc w:val="center"/>
              <w:textAlignment w:val="center"/>
              <w:rPr>
                <w:rFonts w:hint="eastAsia" w:ascii="微软雅黑" w:hAnsi="微软雅黑" w:eastAsia="微软雅黑" w:cs="微软雅黑"/>
                <w:color w:val="000000"/>
                <w:sz w:val="16"/>
                <w:szCs w:val="16"/>
              </w:rPr>
            </w:pP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57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38</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办公桌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63295" cy="693420"/>
                  <wp:effectExtent l="0" t="0" r="1905" b="17780"/>
                  <wp:docPr id="67" name="图片 130"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30" descr="IMG_290"/>
                          <pic:cNvPicPr>
                            <a:picLocks noChangeAspect="1"/>
                          </pic:cNvPicPr>
                        </pic:nvPicPr>
                        <pic:blipFill>
                          <a:blip r:embed="rId38"/>
                          <a:stretch>
                            <a:fillRect/>
                          </a:stretch>
                        </pic:blipFill>
                        <pic:spPr>
                          <a:xfrm>
                            <a:off x="0" y="0"/>
                            <a:ext cx="963295" cy="693196"/>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W1200*D600*H750（尺寸偏差±5mm）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p>
          <w:p>
            <w:pPr>
              <w:widowControl/>
              <w:jc w:val="center"/>
              <w:textAlignment w:val="center"/>
              <w:rPr>
                <w:rFonts w:hint="eastAsia" w:ascii="微软雅黑" w:hAnsi="微软雅黑" w:eastAsia="微软雅黑" w:cs="微软雅黑"/>
                <w:color w:val="000000"/>
                <w:sz w:val="16"/>
                <w:szCs w:val="16"/>
              </w:rPr>
            </w:pP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39</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会议桌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86510" cy="1239520"/>
                  <wp:effectExtent l="0" t="0" r="8890" b="5080"/>
                  <wp:docPr id="68" name="图片 131"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31" descr="IMG_291"/>
                          <pic:cNvPicPr>
                            <a:picLocks noChangeAspect="1"/>
                          </pic:cNvPicPr>
                        </pic:nvPicPr>
                        <pic:blipFill>
                          <a:blip r:embed="rId39"/>
                          <a:stretch>
                            <a:fillRect/>
                          </a:stretch>
                        </pic:blipFill>
                        <pic:spPr>
                          <a:xfrm>
                            <a:off x="0" y="0"/>
                            <a:ext cx="1286510" cy="1239412"/>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W2400*D1200*H750（尺寸偏差±5mm）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4</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脚架工艺：钢制方管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40</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洽谈桌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514475"/>
                  <wp:effectExtent l="0" t="0" r="0" b="9525"/>
                  <wp:docPr id="69" name="图片 132"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32" descr="IMG_292"/>
                          <pic:cNvPicPr>
                            <a:picLocks noChangeAspect="1"/>
                          </pic:cNvPicPr>
                        </pic:nvPicPr>
                        <pic:blipFill>
                          <a:blip r:embed="rId40"/>
                          <a:stretch>
                            <a:fillRect/>
                          </a:stretch>
                        </pic:blipFill>
                        <pic:spPr>
                          <a:xfrm>
                            <a:off x="0" y="0"/>
                            <a:ext cx="1295400" cy="1514727"/>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W800*D800*H750（尺寸偏差±5mm）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4</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脚架工艺：不锈钢</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84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41</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洽谈桌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48410" cy="1169670"/>
                  <wp:effectExtent l="0" t="0" r="21590" b="24130"/>
                  <wp:docPr id="70" name="图片 133"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33" descr="IMG_293"/>
                          <pic:cNvPicPr>
                            <a:picLocks noChangeAspect="1"/>
                          </pic:cNvPicPr>
                        </pic:nvPicPr>
                        <pic:blipFill>
                          <a:blip r:embed="rId41"/>
                          <a:stretch>
                            <a:fillRect/>
                          </a:stretch>
                        </pic:blipFill>
                        <pic:spPr>
                          <a:xfrm>
                            <a:off x="0" y="0"/>
                            <a:ext cx="1248410" cy="1169444"/>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W800*D800*H750（尺寸偏差±5mm）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脚架工艺：不锈钢</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570"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42</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办公椅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kern w:val="0"/>
                <w:sz w:val="16"/>
                <w:szCs w:val="16"/>
                <w:lang w:bidi="ar"/>
              </w:rPr>
            </w:pPr>
          </w:p>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624330"/>
                  <wp:effectExtent l="0" t="0" r="0" b="1270"/>
                  <wp:docPr id="71" name="图片 134"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34" descr="IMG_294"/>
                          <pic:cNvPicPr>
                            <a:picLocks noChangeAspect="1"/>
                          </pic:cNvPicPr>
                        </pic:nvPicPr>
                        <pic:blipFill>
                          <a:blip r:embed="rId42"/>
                          <a:stretch>
                            <a:fillRect/>
                          </a:stretch>
                        </pic:blipFill>
                        <pic:spPr>
                          <a:xfrm>
                            <a:off x="0" y="0"/>
                            <a:ext cx="1295400" cy="1624391"/>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W730*D710*H1090</w:t>
            </w:r>
          </w:p>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128</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由椅座、椅背、扶手、底盘、气压棒、五星脚、脚轮等组成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背框与网布：采用黑色全新料加纤背框，优质品牌加厚优质网布。</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扶手：黑色全新料加纤材质</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座包：高弹性透气弹力布，优质环保型高密度定型棉</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 底盘：原位锁定底盘</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5. 气杆：三级气杆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6. 脚架：黑色尼龙材质</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7. 脚轮：备60mm尼龙+PU静音脚轮</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材料名称：面料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18401-2010《国家纺织产品基本安全技术规范》;GB/T 27717-2011《家具中富马酸二甲酯含量的测定》。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技术指标：甲醛含量≤0.1mg/L，染色牢度耐水、耐酸汗渍、耐碱汗渍达到A类，耐干摩擦、耐唾液打到A类，富马酸二甲酯含量≤0.05mg/kg。</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材料名称：网布</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18401-2010-《国家纺织产品基本安全技术规范》。</w:t>
            </w:r>
          </w:p>
          <w:p>
            <w:pPr>
              <w:ind w:left="840" w:hanging="840" w:hangingChars="525"/>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技术指标：甲醛含量≤0.1mg/L，PH值5.5~6.0之间，染色定度达到4-5级，可分解致癌芳香胺染料≤5mg/kg。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材料名称：气压棒</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材料等级：三级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29525-2013 《座椅升降气弹簧 技术条件》QB/T 2280-2016《办公家具 办公椅》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技术指标：抗压强度10万次力特性不变</w:t>
            </w:r>
          </w:p>
          <w:p>
            <w:pPr>
              <w:rPr>
                <w:rFonts w:hint="eastAsia" w:ascii="微软雅黑" w:hAnsi="微软雅黑" w:eastAsia="微软雅黑" w:cs="微软雅黑"/>
                <w:color w:val="000000"/>
                <w:kern w:val="0"/>
                <w:sz w:val="16"/>
                <w:szCs w:val="16"/>
                <w:lang w:bidi="ar"/>
              </w:rPr>
            </w:pP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材料名称：转移底盘</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3832-1999《轻工产品金属镀层腐蚀试验 结果的评价》、QB/T 3827-1999《轻工产品金属镀层和化学处理层的耐腐蚀试验方法 乙酸盐雾试验(ASS)法》、GB/T 10125-2021《人造气氛腐蚀试验 盐雾试验》</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技术指标：冲压件无脱层、裂缝，涂层无漏喷、锈蚀，无流挂、疙瘩飞漆皱皮，乙酸盐雾试验650h无锈点，检测等级达到10级，铜盐加速乙酸盐雾试验100h无锈点，实验等级达到10级。</w:t>
            </w:r>
          </w:p>
          <w:p>
            <w:pPr>
              <w:rPr>
                <w:rFonts w:hint="eastAsia" w:ascii="微软雅黑" w:hAnsi="微软雅黑" w:eastAsia="微软雅黑" w:cs="微软雅黑"/>
                <w:color w:val="000000"/>
                <w:kern w:val="0"/>
                <w:sz w:val="16"/>
                <w:szCs w:val="16"/>
                <w:lang w:bidi="ar"/>
              </w:rPr>
            </w:pP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材料名称：五星脚</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2280-2016《办公家具办公椅》</w:t>
            </w:r>
          </w:p>
          <w:p>
            <w:r>
              <w:rPr>
                <w:rFonts w:hint="eastAsia" w:ascii="微软雅黑" w:hAnsi="微软雅黑" w:eastAsia="微软雅黑" w:cs="微软雅黑"/>
                <w:color w:val="000000"/>
                <w:kern w:val="0"/>
                <w:sz w:val="16"/>
                <w:szCs w:val="16"/>
                <w:lang w:bidi="ar"/>
              </w:rPr>
              <w:t>技术指标：外观无裂纹，无明显变形，无明显缩孔、气泡、杂质、伤痕，表面光洁，无划不痕，无污渍，无明显色差，底座静载荷7560N,1min,2次底座的结构完整性应无破坏，应无突然的明显的形变。</w:t>
            </w:r>
          </w:p>
          <w:p/>
          <w:p/>
          <w:p/>
          <w:p/>
          <w:p/>
          <w:p/>
          <w:p/>
          <w:p>
            <w:pPr>
              <w:ind w:left="800" w:hanging="800" w:hangingChars="500"/>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43</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办公椅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kern w:val="0"/>
                <w:sz w:val="16"/>
                <w:szCs w:val="16"/>
                <w:lang w:bidi="ar"/>
              </w:rPr>
            </w:pPr>
          </w:p>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508125"/>
                  <wp:effectExtent l="0" t="0" r="0" b="15875"/>
                  <wp:docPr id="72" name="图片 135" descr="IMG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35" descr="IMG_295"/>
                          <pic:cNvPicPr>
                            <a:picLocks noChangeAspect="1"/>
                          </pic:cNvPicPr>
                        </pic:nvPicPr>
                        <pic:blipFill>
                          <a:blip r:embed="rId43"/>
                          <a:stretch>
                            <a:fillRect/>
                          </a:stretch>
                        </pic:blipFill>
                        <pic:spPr>
                          <a:xfrm>
                            <a:off x="0" y="0"/>
                            <a:ext cx="1295400" cy="1507873"/>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W650*D595*H1050（尺寸偏差±5mm）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由椅座、椅背、扶手、底盘、气压棒、五星脚、脚轮等组成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背框与网布：采用黑色全新料加纤背框，优质品牌加厚优质网布。</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扶手：黑色全新料加纤材质</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座包：高弹性透气弹力布，优质环保型高密度定型棉</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 底盘：原位锁定底盘</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5. 气杆：四级气杆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6. 脚架：黑色尼龙材质</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7. 脚轮：备60mm尼龙+PU静音脚轮</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材料名称：面料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18401-2010《国家纺织产品基本安全技术规范》;GB/T 27717-2011《家具中富马酸二甲酯含量的测定》。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技术指标：甲醛含量≤0.1mg/L，染色牢度耐水、耐酸汗渍、耐碱汗渍达到A类，耐干摩擦、耐唾液打到A类，富马酸二甲酯含量≤0.05mg/kg。</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材料名称：网布</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18401-2010-《国家纺织产品基本安全技术规范》。</w:t>
            </w:r>
          </w:p>
          <w:p>
            <w:pPr>
              <w:ind w:left="840" w:hanging="840" w:hangingChars="525"/>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技术指标：甲醛含量≤0.1mg/L，PH值5.5~6.0之间，染色定度达到4-5级，可分解致癌芳香胺染料≤5mg/kg。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材料名称：气压棒</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材料等级：三级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29525-2013 《座椅升降气弹簧 技术条件》QB/T 2280-2016《办公家具 办公椅》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技术指标：抗压强度10万次力特性不变</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材料名称：转移底盘</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3832-1999《轻工产品金属镀层腐蚀试验 结果的评价》、QB/T 3827-1999《轻工产品金属镀层和化学处理层的耐腐蚀试验方法 乙酸盐雾试验(ASS)法》、GB/T 10125-2021《人造气氛腐蚀试验 盐雾试验》</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技术指标：冲压件无脱层、裂缝，涂层无漏喷、锈蚀，无流挂、疙瘩飞漆皱皮，乙酸盐雾试验650h无锈点，检测等级达到10级，铜盐加速乙酸盐雾试验100h无锈点，实验等级达到10级。</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材料名称：五星脚</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2280-2016《办公家具办公椅》</w:t>
            </w:r>
          </w:p>
          <w:p>
            <w:pPr>
              <w:ind w:left="840" w:hanging="840" w:hangingChars="525"/>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技术指标：外观无裂纹，无明显变形，无明显缩孔、气泡、杂质、伤痕，表面光洁，无划不痕，无污渍，无明显色差，底座静载荷7560N,1min,2次底座的结构完整性应无破坏，应无突然的明显的形变。</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44</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高脚椅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kern w:val="0"/>
                <w:sz w:val="16"/>
                <w:szCs w:val="16"/>
                <w:lang w:bidi="ar"/>
              </w:rPr>
            </w:pPr>
          </w:p>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027430" cy="788670"/>
                  <wp:effectExtent l="0" t="0" r="13970" b="24130"/>
                  <wp:docPr id="73" name="图片 136" descr="IMG_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36" descr="IMG_296"/>
                          <pic:cNvPicPr>
                            <a:picLocks noChangeAspect="1"/>
                          </pic:cNvPicPr>
                        </pic:nvPicPr>
                        <pic:blipFill>
                          <a:blip r:embed="rId44"/>
                          <a:stretch>
                            <a:fillRect/>
                          </a:stretch>
                        </pic:blipFill>
                        <pic:spPr>
                          <a:xfrm>
                            <a:off x="0" y="0"/>
                            <a:ext cx="1027430" cy="788354"/>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W410*D400*H1150（尺寸偏差±5mm）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由椅座、椅背、椅架等组成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1、座板：采用环保PP材料</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2、椅架：实心钢架脚</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left"/>
              <w:textAlignment w:val="center"/>
            </w:pPr>
            <w:r>
              <w:rPr>
                <w:rFonts w:hint="eastAsia"/>
              </w:rPr>
              <w:t>基材：</w:t>
            </w:r>
          </w:p>
          <w:p>
            <w:r>
              <w:rPr>
                <w:rFonts w:hint="eastAsia" w:ascii="微软雅黑" w:hAnsi="微软雅黑" w:eastAsia="微软雅黑" w:cs="微软雅黑"/>
                <w:color w:val="000000"/>
                <w:kern w:val="0"/>
                <w:sz w:val="16"/>
                <w:szCs w:val="16"/>
                <w:lang w:bidi="ar"/>
              </w:rPr>
              <w:t>采用环保PP材料，一次注塑成型，防污易打理。</w:t>
            </w:r>
            <w:r>
              <w:rPr>
                <w:rFonts w:hint="eastAsia" w:ascii="微软雅黑" w:hAnsi="微软雅黑" w:eastAsia="微软雅黑" w:cs="微软雅黑"/>
                <w:color w:val="000000"/>
                <w:kern w:val="0"/>
                <w:sz w:val="16"/>
                <w:szCs w:val="16"/>
                <w:lang w:bidi="ar"/>
              </w:rPr>
              <w:br w:type="textWrapping"/>
            </w: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材料名称：钢管(椅架）</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45</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办公椅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678940"/>
                  <wp:effectExtent l="0" t="0" r="0" b="22860"/>
                  <wp:docPr id="74" name="图片 137" descr="IMG_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37" descr="IMG_297"/>
                          <pic:cNvPicPr>
                            <a:picLocks noChangeAspect="1"/>
                          </pic:cNvPicPr>
                        </pic:nvPicPr>
                        <pic:blipFill>
                          <a:blip r:embed="rId45"/>
                          <a:stretch>
                            <a:fillRect/>
                          </a:stretch>
                        </pic:blipFill>
                        <pic:spPr>
                          <a:xfrm>
                            <a:off x="0" y="0"/>
                            <a:ext cx="1295400" cy="1679222"/>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W500*D500*H800.</w:t>
            </w:r>
          </w:p>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41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由椅座、椅背、椅架等组成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1、座板：采用环保PP材料</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2、椅架：实心钢架脚</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left"/>
              <w:textAlignment w:val="center"/>
            </w:pPr>
            <w:r>
              <w:rPr>
                <w:rFonts w:hint="eastAsia"/>
              </w:rPr>
              <w:t>基材：</w:t>
            </w:r>
          </w:p>
          <w:p>
            <w:r>
              <w:rPr>
                <w:rFonts w:hint="eastAsia" w:ascii="微软雅黑" w:hAnsi="微软雅黑" w:eastAsia="微软雅黑" w:cs="微软雅黑"/>
                <w:color w:val="000000"/>
                <w:kern w:val="0"/>
                <w:sz w:val="16"/>
                <w:szCs w:val="16"/>
                <w:lang w:bidi="ar"/>
              </w:rPr>
              <w:t>采用环保PP材料，一次注塑成型，防污易打理。</w:t>
            </w:r>
            <w:r>
              <w:rPr>
                <w:rFonts w:hint="eastAsia" w:ascii="微软雅黑" w:hAnsi="微软雅黑" w:eastAsia="微软雅黑" w:cs="微软雅黑"/>
                <w:color w:val="000000"/>
                <w:kern w:val="0"/>
                <w:sz w:val="16"/>
                <w:szCs w:val="16"/>
                <w:lang w:bidi="ar"/>
              </w:rPr>
              <w:br w:type="textWrapping"/>
            </w: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材料名称：钢管(椅架）</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46</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等候椅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026160" cy="787400"/>
                  <wp:effectExtent l="0" t="0" r="15240" b="0"/>
                  <wp:docPr id="75" name="图片 138" descr="IMG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38" descr="IMG_298"/>
                          <pic:cNvPicPr>
                            <a:picLocks noChangeAspect="1"/>
                          </pic:cNvPicPr>
                        </pic:nvPicPr>
                        <pic:blipFill>
                          <a:blip r:embed="rId46"/>
                          <a:stretch>
                            <a:fillRect/>
                          </a:stretch>
                        </pic:blipFill>
                        <pic:spPr>
                          <a:xfrm>
                            <a:off x="0" y="0"/>
                            <a:ext cx="1026160" cy="787335"/>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W1800*D660*H820（尺寸偏差±5mm）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由椅座、椅背、椅架等组成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椅座与椅背：PU聚氨酯棉发泡成型。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 xml:space="preserve"> 2. 椅脚：铝合金压铸成型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 xml:space="preserve"> 3. 扶手：高密度PU聚氨酯棉发泡成型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 xml:space="preserve"> 4. 横梁：不锈钢</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ascii="微软雅黑" w:hAnsi="微软雅黑" w:eastAsia="微软雅黑" w:cs="微软雅黑"/>
                <w:color w:val="000000"/>
                <w:kern w:val="0"/>
                <w:sz w:val="16"/>
                <w:szCs w:val="16"/>
                <w:lang w:bidi="ar"/>
              </w:rPr>
              <w:t xml:space="preserve"> </w:t>
            </w:r>
            <w:r>
              <w:rPr>
                <w:rFonts w:hint="eastAsia"/>
              </w:rPr>
              <w:t>基材</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 xml:space="preserve">    材料名称：高密度PU聚氨酯棉发泡成型（座面、座背、扶手）。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 xml:space="preserve">    内置结构：内部嵌入高强度钢架结构，承重≥150kg</w:t>
            </w:r>
            <w:r>
              <w:rPr>
                <w:rFonts w:hint="eastAsia" w:ascii="微软雅黑" w:hAnsi="微软雅黑" w:eastAsia="微软雅黑" w:cs="微软雅黑"/>
                <w:color w:val="000000"/>
                <w:kern w:val="0"/>
                <w:sz w:val="16"/>
                <w:szCs w:val="16"/>
                <w:lang w:bidi="ar"/>
              </w:rPr>
              <w:br w:type="textWrapping"/>
            </w: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材料名称：铝合金（椅脚）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‌《金属家具通用技术条件》、‌GB/T 10125-2021‌《人造气氛腐蚀试验 盐雾试验》、‌QB/T 3832-1999‌《轻工产品金属镀层和化学处理层的耐腐蚀试验方法 中性盐雾试验（NSS）法》、‌QB/T 3827-1999‌《轻工产品金属镀层和化学处理层的耐腐蚀试验方法 乙酸盐雾试验（ASS）法》、‌QB/T 3828-1999‌《轻工产品金属镀层和化学处理层的耐腐蚀试验方法 铜加速乙酸盐雾试验（CASS）法》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外观冲压件无脱层、裂缝，涂层无漏喷、锈蚀和脱色、掉色现象。涂层应光滑均匀、色泽一致，应无流挂、疙瘩、皱皮、飞漆等缺陷，铜加速乙酸盐雾24h，乙酸盐雾试验1200h，等级10级，无锈点，铜盐加速乙酸盐雾试验100h，等级10级，无锈点。</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47</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资料柜</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336675"/>
                  <wp:effectExtent l="0" t="0" r="0" b="0"/>
                  <wp:docPr id="76" name="图片 139" descr="IMG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39" descr="IMG_299"/>
                          <pic:cNvPicPr>
                            <a:picLocks noChangeAspect="1"/>
                          </pic:cNvPicPr>
                        </pic:nvPicPr>
                        <pic:blipFill>
                          <a:blip r:embed="rId47"/>
                          <a:stretch>
                            <a:fillRect/>
                          </a:stretch>
                        </pic:blipFill>
                        <pic:spPr>
                          <a:xfrm>
                            <a:off x="0" y="0"/>
                            <a:ext cx="1295400" cy="1336524"/>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W1800*D500*H2000（尺寸偏差±5mm）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五金配件：优质品牌五金</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材料名称：滑轨</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2454-2013《家具五金 抽屉导轨》GB/T 10125-2021《人造气氛腐蚀试验 盐雾试验》QB/T 3832-1999《轻工产品金属镀层腐蚀试验 结果的评价》QB/T 3827-1999《轻工产品金属镀层和化学处理层的耐腐蚀试验方法 乙酸盐雾试验(ASS)法》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技术指标：耐腐蚀性实验经过18小时检测后无锈点。乙酸盐雾试验、铜盐加速乙酸盐雾试验经过650个小时检测后无锈点，达到10级标准。</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材料名称：拉手</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p>
            <w:pPr>
              <w:ind w:left="800" w:hanging="800" w:hangingChars="500"/>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48</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更衣柜</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2529205"/>
                  <wp:effectExtent l="0" t="0" r="0" b="10795"/>
                  <wp:docPr id="77" name="图片 140" descr="IMG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40" descr="IMG_300"/>
                          <pic:cNvPicPr>
                            <a:picLocks noChangeAspect="1"/>
                          </pic:cNvPicPr>
                        </pic:nvPicPr>
                        <pic:blipFill>
                          <a:blip r:embed="rId48"/>
                          <a:stretch>
                            <a:fillRect/>
                          </a:stretch>
                        </pic:blipFill>
                        <pic:spPr>
                          <a:xfrm>
                            <a:off x="0" y="0"/>
                            <a:ext cx="1295400" cy="2529114"/>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W900*D500*H2000（尺寸偏差±5mm）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五金配件：优质品牌五金</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材料名称：拉手</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49</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更衣柜</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2357755"/>
                  <wp:effectExtent l="0" t="0" r="0" b="4445"/>
                  <wp:docPr id="78" name="图片 141" descr="IMG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41" descr="IMG_301"/>
                          <pic:cNvPicPr>
                            <a:picLocks noChangeAspect="1"/>
                          </pic:cNvPicPr>
                        </pic:nvPicPr>
                        <pic:blipFill>
                          <a:blip r:embed="rId49"/>
                          <a:stretch>
                            <a:fillRect/>
                          </a:stretch>
                        </pic:blipFill>
                        <pic:spPr>
                          <a:xfrm>
                            <a:off x="0" y="0"/>
                            <a:ext cx="1295400" cy="2357765"/>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W900*D500*H2000（尺寸偏差±5mm）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五金配件：优质品牌五金</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材料名称：拉手</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p>
            <w:pPr>
              <w:ind w:left="800" w:hanging="800" w:hangingChars="500"/>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50</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茶几</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几类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85520" cy="730250"/>
                  <wp:effectExtent l="0" t="0" r="5080" b="6350"/>
                  <wp:docPr id="79" name="图片 142" descr="IMG_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42" descr="IMG_302"/>
                          <pic:cNvPicPr>
                            <a:picLocks noChangeAspect="1"/>
                          </pic:cNvPicPr>
                        </pic:nvPicPr>
                        <pic:blipFill>
                          <a:blip r:embed="rId50"/>
                          <a:stretch>
                            <a:fillRect/>
                          </a:stretch>
                        </pic:blipFill>
                        <pic:spPr>
                          <a:xfrm>
                            <a:off x="0" y="0"/>
                            <a:ext cx="985520" cy="730374"/>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W600*D450*H650（尺寸偏差±5mm）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由几面、几架等组成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五金配件：优质品牌五金</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材料名称：拉手</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p>
            <w:pPr>
              <w:ind w:left="800" w:hanging="800" w:hangingChars="500"/>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51</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茶水柜</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kern w:val="0"/>
                <w:sz w:val="16"/>
                <w:szCs w:val="16"/>
                <w:lang w:bidi="ar"/>
              </w:rPr>
            </w:pPr>
          </w:p>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2460625"/>
                  <wp:effectExtent l="0" t="0" r="0" b="3175"/>
                  <wp:docPr id="80" name="图片 143" descr="IMG_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43" descr="IMG_303"/>
                          <pic:cNvPicPr>
                            <a:picLocks noChangeAspect="1"/>
                          </pic:cNvPicPr>
                        </pic:nvPicPr>
                        <pic:blipFill>
                          <a:blip r:embed="rId51"/>
                          <a:stretch>
                            <a:fillRect/>
                          </a:stretch>
                        </pic:blipFill>
                        <pic:spPr>
                          <a:xfrm>
                            <a:off x="0" y="0"/>
                            <a:ext cx="1295400" cy="2460575"/>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W1500*D600*H850/W1500*D300*H600（尺寸偏差±5mm）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五金配件：优质品牌五金</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材料名称：拉手</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p>
            <w:pPr>
              <w:ind w:left="800" w:hanging="800" w:hangingChars="500"/>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52</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储物柜</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ascii="微软雅黑" w:hAnsi="微软雅黑" w:eastAsia="微软雅黑" w:cs="微软雅黑"/>
                <w:color w:val="808080"/>
                <w:kern w:val="0"/>
                <w:sz w:val="16"/>
                <w:szCs w:val="16"/>
                <w:lang w:bidi="ar"/>
              </w:rPr>
              <w:drawing>
                <wp:inline distT="0" distB="0" distL="114300" distR="114300">
                  <wp:extent cx="1295400" cy="2145030"/>
                  <wp:effectExtent l="0" t="0" r="0" b="13970"/>
                  <wp:docPr id="81" name="图片 144" descr="IMG_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44" descr="IMG_304"/>
                          <pic:cNvPicPr>
                            <a:picLocks noChangeAspect="1"/>
                          </pic:cNvPicPr>
                        </pic:nvPicPr>
                        <pic:blipFill>
                          <a:blip r:embed="rId52"/>
                          <a:stretch>
                            <a:fillRect/>
                          </a:stretch>
                        </pic:blipFill>
                        <pic:spPr>
                          <a:xfrm>
                            <a:off x="0" y="0"/>
                            <a:ext cx="1295400" cy="2145292"/>
                          </a:xfrm>
                          <a:prstGeom prst="rect">
                            <a:avLst/>
                          </a:prstGeom>
                          <a:noFill/>
                          <a:ln w="9525">
                            <a:noFill/>
                          </a:ln>
                        </pic:spPr>
                      </pic:pic>
                    </a:graphicData>
                  </a:graphic>
                </wp:inline>
              </w:drawing>
            </w:r>
          </w:p>
          <w:p>
            <w:pPr>
              <w:widowControl/>
              <w:jc w:val="center"/>
              <w:textAlignment w:val="center"/>
              <w:rPr>
                <w:rFonts w:hint="eastAsia" w:ascii="微软雅黑" w:hAnsi="微软雅黑" w:eastAsia="微软雅黑" w:cs="微软雅黑"/>
                <w:color w:val="808080"/>
                <w:sz w:val="16"/>
                <w:szCs w:val="16"/>
              </w:rPr>
            </w:pP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W1000*D500*H2200（尺寸偏差±5mm）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五金配件：优质品牌五金</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1852" w:hRule="atLeast"/>
        </w:trPr>
        <w:tc>
          <w:tcPr>
            <w:tcW w:w="15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53</w:t>
            </w:r>
          </w:p>
        </w:tc>
        <w:tc>
          <w:tcPr>
            <w:tcW w:w="239"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活动柜</w:t>
            </w:r>
          </w:p>
        </w:tc>
        <w:tc>
          <w:tcPr>
            <w:tcW w:w="2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336675"/>
                  <wp:effectExtent l="0" t="0" r="0" b="9525"/>
                  <wp:docPr id="82" name="图片 145" descr="IMG_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45" descr="IMG_305"/>
                          <pic:cNvPicPr>
                            <a:picLocks noChangeAspect="1"/>
                          </pic:cNvPicPr>
                        </pic:nvPicPr>
                        <pic:blipFill>
                          <a:blip r:embed="rId53"/>
                          <a:stretch>
                            <a:fillRect/>
                          </a:stretch>
                        </pic:blipFill>
                        <pic:spPr>
                          <a:xfrm>
                            <a:off x="0" y="0"/>
                            <a:ext cx="1295400" cy="1336524"/>
                          </a:xfrm>
                          <a:prstGeom prst="rect">
                            <a:avLst/>
                          </a:prstGeom>
                          <a:noFill/>
                          <a:ln w="9525">
                            <a:noFill/>
                          </a:ln>
                        </pic:spPr>
                      </pic:pic>
                    </a:graphicData>
                  </a:graphic>
                </wp:inline>
              </w:drawing>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W390*D520*H600（尺寸偏差±5mm）</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145</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1.柜体材质:采用冷轧钢板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2、优质五金滑轨</w:t>
            </w:r>
          </w:p>
        </w:tc>
        <w:tc>
          <w:tcPr>
            <w:tcW w:w="1577" w:type="pc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 xml:space="preserve"> 《金属家具通用技术条件》、QB/T 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技术指标：金属件无裂缝、叠缝，外漏管口端面封闭，乙酸盐雾试验600h检测后，镀(涂层对基体的保护等级达到10级，镀(涂)层本身耐腐蚀等级达到10级，各种管材或异型管材，其受力部件的管壁厚度不应小于1.5mm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材料名称：滑轨</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2454-2013《家具五金 抽屉导轨》GB/T 10125-2021《人造气氛腐蚀试验 盐雾试验》QB/T 3832-1999《轻工产品金属镀层腐蚀试验 结果的评价》QB/T 3827-1999《轻工产品金属镀层和化学处理层的耐腐蚀试验方法 乙酸盐雾试验(ASS)法》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技术指标：耐腐蚀性实验经过18小时检测后无锈点。乙酸盐雾试验、铜盐加速乙酸盐雾试验经过650个小时检测后无锈点，达到10级标准。</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r>
              <w:rPr>
                <w:rFonts w:hint="eastAsia" w:ascii="微软雅黑" w:hAnsi="微软雅黑" w:eastAsia="微软雅黑" w:cs="微软雅黑"/>
                <w:color w:val="000000"/>
                <w:kern w:val="0"/>
                <w:sz w:val="16"/>
                <w:szCs w:val="16"/>
                <w:lang w:bidi="ar"/>
              </w:rPr>
              <w:t>工艺：顶板尺寸：390*520，前侧两端圆弧角 R8，刹车脚轮。</w:t>
            </w:r>
          </w:p>
          <w:p/>
          <w:p>
            <w:pPr>
              <w:ind w:left="800" w:hanging="800" w:hangingChars="500"/>
              <w:rPr>
                <w:rFonts w:hint="eastAsia" w:ascii="微软雅黑" w:hAnsi="微软雅黑" w:eastAsia="微软雅黑" w:cs="微软雅黑"/>
                <w:color w:val="000000"/>
                <w:kern w:val="0"/>
                <w:sz w:val="16"/>
                <w:szCs w:val="16"/>
                <w:lang w:bidi="ar"/>
              </w:rPr>
            </w:pPr>
          </w:p>
        </w:tc>
        <w:tc>
          <w:tcPr>
            <w:tcW w:w="1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54</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文件柜</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hint="eastAsia" w:ascii="宋体" w:hAnsi="宋体" w:eastAsia="宋体" w:cs="宋体"/>
                <w:sz w:val="24"/>
              </w:rPr>
              <w:drawing>
                <wp:inline distT="0" distB="0" distL="0" distR="0">
                  <wp:extent cx="785495" cy="1741170"/>
                  <wp:effectExtent l="0" t="0" r="1905" b="11430"/>
                  <wp:docPr id="83" name="IM 65"/>
                  <wp:cNvGraphicFramePr/>
                  <a:graphic xmlns:a="http://schemas.openxmlformats.org/drawingml/2006/main">
                    <a:graphicData uri="http://schemas.openxmlformats.org/drawingml/2006/picture">
                      <pic:pic xmlns:pic="http://schemas.openxmlformats.org/drawingml/2006/picture">
                        <pic:nvPicPr>
                          <pic:cNvPr id="83" name="IM 65"/>
                          <pic:cNvPicPr/>
                        </pic:nvPicPr>
                        <pic:blipFill>
                          <a:blip r:embed="rId54"/>
                          <a:stretch>
                            <a:fillRect/>
                          </a:stretch>
                        </pic:blipFill>
                        <pic:spPr>
                          <a:xfrm>
                            <a:off x="0" y="0"/>
                            <a:ext cx="785495" cy="1741092"/>
                          </a:xfrm>
                          <a:prstGeom prst="rect">
                            <a:avLst/>
                          </a:prstGeom>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W950*D400*H1930（尺寸偏差±5mm）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79</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1.柜体材质:采用冷轧钢板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2、优质五金滑轨和铰链</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 xml:space="preserve"> 《金属家具通用技术条件》、QB/T 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技术指标：金属件无裂缝、叠缝，外漏管口端面封闭，乙酸盐雾试验600h检测后，镀(涂层对基体的保护等级达到10级，镀(涂)层本身耐腐蚀等级达到10级，各种管材或异型管材，其受力部件的管壁厚度不应小于1.5mm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材料名称：滑轨</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2454-2013《家具五金 抽屉导轨》GB/T 10125-2021《人造气氛腐蚀试验 盐雾试验》QB/T 3832-1999《轻工产品金属镀层腐蚀试验 结果的评价》QB/T 3827-1999《轻工产品金属镀层和化学处理层的耐腐蚀试验方法 乙酸盐雾试验(ASS)法》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技术指标：耐腐蚀性实验经过18小时检测后无锈点。乙酸盐雾试验、铜盐加速乙酸盐雾试验经过650个小时检测后无锈点，达到10级标准。</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内嵌式钢制拉手可选色，压型弧度玻璃封边更安全，抽屉采用高配三节托底导轨，锁可抽换锁芯，配备万能钥匙，千把不互开。</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55</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更衣柜</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kern w:val="0"/>
                <w:sz w:val="16"/>
                <w:szCs w:val="16"/>
                <w:lang w:bidi="ar"/>
              </w:rPr>
            </w:pPr>
          </w:p>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2268855"/>
                  <wp:effectExtent l="0" t="0" r="0" b="17145"/>
                  <wp:docPr id="84" name="图片 147" descr="IMG_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47" descr="IMG_307"/>
                          <pic:cNvPicPr>
                            <a:picLocks noChangeAspect="1"/>
                          </pic:cNvPicPr>
                        </pic:nvPicPr>
                        <pic:blipFill>
                          <a:blip r:embed="rId55"/>
                          <a:stretch>
                            <a:fillRect/>
                          </a:stretch>
                        </pic:blipFill>
                        <pic:spPr>
                          <a:xfrm>
                            <a:off x="0" y="0"/>
                            <a:ext cx="1295400" cy="2268664"/>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W900*D500*H1850（尺寸偏差±5mm）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9</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1.柜体材质:采用冷轧钢板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2、优质五金铰链</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 xml:space="preserve"> 《金属家具通用技术条件》、QB/T 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技术指标：金属件无裂缝、叠缝，外漏管口端面封闭，乙酸盐雾试验600h检测后，镀(涂层对基体的保护等级达到10级，镀(涂)层本身耐腐蚀等级达到10级，各种管材或异型管材，其受力部件的管壁厚度不应小于1.5mm</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56</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更衣柜</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2220595"/>
                  <wp:effectExtent l="0" t="0" r="0" b="14605"/>
                  <wp:docPr id="85" name="图片 148" descr="IMG_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48" descr="IMG_308"/>
                          <pic:cNvPicPr>
                            <a:picLocks noChangeAspect="1"/>
                          </pic:cNvPicPr>
                        </pic:nvPicPr>
                        <pic:blipFill>
                          <a:blip r:embed="rId56"/>
                          <a:stretch>
                            <a:fillRect/>
                          </a:stretch>
                        </pic:blipFill>
                        <pic:spPr>
                          <a:xfrm>
                            <a:off x="0" y="0"/>
                            <a:ext cx="1295400" cy="2220686"/>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W900*D500*H1850（尺寸偏差±5mm）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16</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1.柜体材质:采用冷轧钢板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2、优质五金铰链</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 xml:space="preserve"> 《金属家具通用技术条件》、QB/T 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技术指标：金属件无裂缝、叠缝，外漏管口端面封闭，乙酸盐雾试验600h检测后，镀(涂层对基体的保护等级达到10级，镀(涂)层本身耐腐蚀等级达到10级，各种管材或异型管材，其受力部件的管壁厚度不应小于1.5mm</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57</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更衣柜</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2165985"/>
                  <wp:effectExtent l="0" t="0" r="0" b="18415"/>
                  <wp:docPr id="86" name="图片 149" descr="IMG_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49" descr="IMG_309"/>
                          <pic:cNvPicPr>
                            <a:picLocks noChangeAspect="1"/>
                          </pic:cNvPicPr>
                        </pic:nvPicPr>
                        <pic:blipFill>
                          <a:blip r:embed="rId57"/>
                          <a:stretch>
                            <a:fillRect/>
                          </a:stretch>
                        </pic:blipFill>
                        <pic:spPr>
                          <a:xfrm>
                            <a:off x="0" y="0"/>
                            <a:ext cx="1295400" cy="216609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W900*D500*H1850（尺寸偏差±5mm）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8</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1.柜体材质:采用冷轧钢板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2、优质五金铰链</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 xml:space="preserve"> 《金属家具通用技术条件》、QB/T 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技术指标：金属件无裂缝、叠缝，外漏管口端面封闭，乙酸盐雾试验600h检测后，镀(涂层对基体的保护等级达到10级，镀(涂)层本身耐腐蚀等级达到10级，各种管材或异型管材，其受力部件的管壁厚度不应小于1.5mm</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58</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更衣柜</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2399030"/>
                  <wp:effectExtent l="0" t="0" r="0" b="13970"/>
                  <wp:docPr id="87" name="图片 150" descr="IMG_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50" descr="IMG_310"/>
                          <pic:cNvPicPr>
                            <a:picLocks noChangeAspect="1"/>
                          </pic:cNvPicPr>
                        </pic:nvPicPr>
                        <pic:blipFill>
                          <a:blip r:embed="rId58"/>
                          <a:stretch>
                            <a:fillRect/>
                          </a:stretch>
                        </pic:blipFill>
                        <pic:spPr>
                          <a:xfrm>
                            <a:off x="0" y="0"/>
                            <a:ext cx="1295400" cy="2398889"/>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W900*D500*H1850（尺寸偏差±5mm）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58</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1.柜体材质:采用冷轧钢板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2、优质五金铰链</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 xml:space="preserve"> 《金属家具通用技术条件》、QB/T 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技术指标：金属件无裂缝、叠缝，外漏管口端面封闭，乙酸盐雾试验600h检测后，镀(涂层对基体的保护等级达到10级，镀(涂)层本身耐腐蚀等级达到10级，各种管材或异型管材，其受力部件的管壁厚度不应小于1.5mm</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57"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59</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钥匙箱</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97585" cy="744220"/>
                  <wp:effectExtent l="0" t="0" r="18415" b="17780"/>
                  <wp:docPr id="88" name="图片 151" descr="IMG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51" descr="IMG_311"/>
                          <pic:cNvPicPr>
                            <a:picLocks noChangeAspect="1"/>
                          </pic:cNvPicPr>
                        </pic:nvPicPr>
                        <pic:blipFill>
                          <a:blip r:embed="rId59"/>
                          <a:stretch>
                            <a:fillRect/>
                          </a:stretch>
                        </pic:blipFill>
                        <pic:spPr>
                          <a:xfrm>
                            <a:off x="0" y="0"/>
                            <a:ext cx="997585" cy="744349"/>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W800*D220*H600（尺寸偏差±5mm）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6</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全钢结构:柜体采用1.0mm优质冷轧钢板构造</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材料厚度：1.0mm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 xml:space="preserve"> 《金属家具通用技术条件》、QB/T 3832-1999《轻工产品金属镀层腐蚀试验结果的评价》、QB/T 3827-1999《轻工产品金属镀层和化学处理层的耐腐蚀试验方法 乙酸盐雾试验(ASS)法。</w:t>
            </w:r>
          </w:p>
          <w:p>
            <w:pPr>
              <w:ind w:left="800" w:hanging="800" w:hangingChars="500"/>
            </w:pPr>
            <w:r>
              <w:rPr>
                <w:rFonts w:hint="eastAsia" w:ascii="微软雅黑" w:hAnsi="微软雅黑" w:eastAsia="微软雅黑" w:cs="微软雅黑"/>
                <w:color w:val="000000"/>
                <w:kern w:val="0"/>
                <w:sz w:val="16"/>
                <w:szCs w:val="16"/>
                <w:lang w:bidi="ar"/>
              </w:rPr>
              <w:t>技术指标：金属件无裂缝、叠缝，外漏管口端面封闭，乙酸盐雾试验600h检测后，镀(涂层对基体的保护等级达到10级，镀(涂)层本身耐腐蚀等级达到10级，各种管材或异型管材，其受力部件的管壁厚度不应小于1.5mm</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功能：带身份认证（人脸识别、指纹、刷卡）、日志记录、数据上传、rfid识别。</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1427"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60</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钥匙箱</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62660" cy="1100455"/>
                  <wp:effectExtent l="0" t="0" r="2540" b="17145"/>
                  <wp:docPr id="89" name="图片 152" descr="IMG_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52" descr="IMG_312"/>
                          <pic:cNvPicPr>
                            <a:picLocks noChangeAspect="1"/>
                          </pic:cNvPicPr>
                        </pic:nvPicPr>
                        <pic:blipFill>
                          <a:blip r:embed="rId60"/>
                          <a:stretch>
                            <a:fillRect/>
                          </a:stretch>
                        </pic:blipFill>
                        <pic:spPr>
                          <a:xfrm>
                            <a:off x="0" y="0"/>
                            <a:ext cx="962660" cy="1100455"/>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W800*D220*H950（尺寸偏差±5mm）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4</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全钢结构:柜体采用1.0mm优质冷轧钢板构造</w:t>
            </w: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61</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更衣柜</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007745" cy="762635"/>
                  <wp:effectExtent l="0" t="0" r="8255" b="24765"/>
                  <wp:docPr id="90" name="图片 153" descr="IMG_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53" descr="IMG_313"/>
                          <pic:cNvPicPr>
                            <a:picLocks noChangeAspect="1"/>
                          </pic:cNvPicPr>
                        </pic:nvPicPr>
                        <pic:blipFill>
                          <a:blip r:embed="rId61"/>
                          <a:stretch>
                            <a:fillRect/>
                          </a:stretch>
                        </pic:blipFill>
                        <pic:spPr>
                          <a:xfrm>
                            <a:off x="0" y="0"/>
                            <a:ext cx="1007745" cy="762929"/>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W1930*D500*H1155（尺寸偏差±5mm）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4</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由柜体、五金等组成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采用优质ABS工程塑料一次成型模压制作</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材料名称：ABS塑料</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28481-2012《塑料家具中有害物质限量》</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技术指标：重金属可溶性铅、可溶性镉、可溶性铬、可溶性汞≤0.02mg/kg。</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p>
            <w:pPr>
              <w:widowControl/>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1080" w:hRule="atLeast"/>
        </w:trPr>
        <w:tc>
          <w:tcPr>
            <w:tcW w:w="15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62</w:t>
            </w:r>
          </w:p>
        </w:tc>
        <w:tc>
          <w:tcPr>
            <w:tcW w:w="23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货架</w:t>
            </w:r>
          </w:p>
        </w:tc>
        <w:tc>
          <w:tcPr>
            <w:tcW w:w="2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架类</w:t>
            </w:r>
          </w:p>
        </w:tc>
        <w:tc>
          <w:tcPr>
            <w:tcW w:w="8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706880"/>
                  <wp:effectExtent l="0" t="0" r="0" b="20320"/>
                  <wp:docPr id="91" name="图片 154" descr="IMG_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54" descr="IMG_314"/>
                          <pic:cNvPicPr>
                            <a:picLocks noChangeAspect="1"/>
                          </pic:cNvPicPr>
                        </pic:nvPicPr>
                        <pic:blipFill>
                          <a:blip r:embed="rId62"/>
                          <a:stretch>
                            <a:fillRect/>
                          </a:stretch>
                        </pic:blipFill>
                        <pic:spPr>
                          <a:xfrm>
                            <a:off x="0" y="0"/>
                            <a:ext cx="1295400" cy="1706638"/>
                          </a:xfrm>
                          <a:prstGeom prst="rect">
                            <a:avLst/>
                          </a:prstGeom>
                          <a:noFill/>
                          <a:ln w="9525">
                            <a:noFill/>
                          </a:ln>
                        </pic:spPr>
                      </pic:pic>
                    </a:graphicData>
                  </a:graphic>
                </wp:inline>
              </w:drawing>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W1200*D500*H2000（尺寸偏差±5mm）</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188</w:t>
            </w:r>
          </w:p>
        </w:tc>
        <w:tc>
          <w:tcPr>
            <w:tcW w:w="3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由钢架组成</w:t>
            </w:r>
          </w:p>
        </w:tc>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全钢结构:立柱采用2.0mm优质冷轧钢板构造</w:t>
            </w:r>
          </w:p>
        </w:tc>
        <w:tc>
          <w:tcPr>
            <w:tcW w:w="1577" w:type="pc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材料厚度：2.0mm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 xml:space="preserve"> 《金属家具通用技术条件》、QB/T 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技术指标：金属件无裂缝、叠缝，外漏管口端面封闭，乙酸盐雾试验600h检测后，镀(涂层对基体的保护等级达到10级，镀(涂)层本身耐腐蚀等级达到10级，各种管材或异型管材，其受力部件的管壁厚度不应小于1.5mm</w:t>
            </w:r>
          </w:p>
          <w:p>
            <w:pPr>
              <w:widowControl/>
              <w:textAlignment w:val="center"/>
              <w:rPr>
                <w:rFonts w:hint="eastAsia" w:ascii="微软雅黑" w:hAnsi="微软雅黑" w:eastAsia="微软雅黑" w:cs="微软雅黑"/>
                <w:color w:val="000000"/>
                <w:sz w:val="16"/>
                <w:szCs w:val="16"/>
              </w:rPr>
            </w:pPr>
          </w:p>
        </w:tc>
        <w:tc>
          <w:tcPr>
            <w:tcW w:w="1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63</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货架</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架类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kern w:val="0"/>
                <w:sz w:val="16"/>
                <w:szCs w:val="16"/>
                <w:lang w:bidi="ar"/>
              </w:rPr>
            </w:pPr>
          </w:p>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706880"/>
                  <wp:effectExtent l="0" t="0" r="0" b="20320"/>
                  <wp:docPr id="92" name="图片 155" descr="IMG_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55" descr="IMG_315"/>
                          <pic:cNvPicPr>
                            <a:picLocks noChangeAspect="1"/>
                          </pic:cNvPicPr>
                        </pic:nvPicPr>
                        <pic:blipFill>
                          <a:blip r:embed="rId62"/>
                          <a:stretch>
                            <a:fillRect/>
                          </a:stretch>
                        </pic:blipFill>
                        <pic:spPr>
                          <a:xfrm>
                            <a:off x="0" y="0"/>
                            <a:ext cx="1295400" cy="170663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W1200*D500*H2000（尺寸偏差±5mm）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由钢架组成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全钢结构:立柱采用2.3mm优质钢管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材料厚度：2.0mm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 xml:space="preserve"> 《金属家具通用技术条件》、QB/T 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技术指标：金属件无裂缝、叠缝，外漏管口端面封闭，乙酸盐雾试验600h检测后，镀(涂层对基体的保护等级达到10级，镀(涂)层本身耐腐蚀等级达到10级，各种管材或异型管材，其受力部件的管壁厚度不应小于1.5mm</w:t>
            </w:r>
          </w:p>
          <w:p>
            <w:pPr>
              <w:ind w:left="800" w:hanging="800" w:hangingChars="500"/>
              <w:rPr>
                <w:rFonts w:hint="eastAsia" w:ascii="微软雅黑" w:hAnsi="微软雅黑" w:eastAsia="微软雅黑" w:cs="微软雅黑"/>
                <w:color w:val="000000"/>
                <w:kern w:val="0"/>
                <w:sz w:val="16"/>
                <w:szCs w:val="16"/>
                <w:lang w:bidi="ar"/>
              </w:rPr>
            </w:pPr>
          </w:p>
          <w:p>
            <w:pPr>
              <w:widowControl/>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64</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沙发</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沙发类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701675" cy="367665"/>
                  <wp:effectExtent l="0" t="0" r="0" b="13335"/>
                  <wp:docPr id="93" name="图片 156" descr="IMG_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56" descr="IMG_316"/>
                          <pic:cNvPicPr>
                            <a:picLocks noChangeAspect="1"/>
                          </pic:cNvPicPr>
                        </pic:nvPicPr>
                        <pic:blipFill>
                          <a:blip r:embed="rId63"/>
                          <a:stretch>
                            <a:fillRect/>
                          </a:stretch>
                        </pic:blipFill>
                        <pic:spPr>
                          <a:xfrm>
                            <a:off x="0" y="0"/>
                            <a:ext cx="701675" cy="367866"/>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W1500*D790*H820（尺寸偏差±5mm）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由木架、泡棉、皮革、沙发脚等组成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框架：硬木框架</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面料：环保皮覆面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材料名称：环保皮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材料厚度：≥1.3mm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 《家具用皮革》、QB/T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摩擦色牢度干擦(500次)≥4/5，湿擦(250次)≥4/5，碱性汗液(80次)≥4/5。pH≥5.20，禁用偶氮染料含量≤30mg/kg，游离甲醛含量(分光光度法)≤1.5mg/kg，气味≤3级，可萃取的重金属铅≤1.0mg/kg,镉≤2.5mg/kg，挥发性有机物(VOC)≤10mg/kg。</w:t>
            </w:r>
          </w:p>
          <w:p>
            <w:pPr>
              <w:ind w:left="800" w:hanging="800" w:hangingChars="500"/>
              <w:rPr>
                <w:rFonts w:hint="eastAsia" w:ascii="微软雅黑" w:hAnsi="微软雅黑" w:eastAsia="微软雅黑" w:cs="微软雅黑"/>
                <w:color w:val="000000"/>
                <w:kern w:val="0"/>
                <w:sz w:val="16"/>
                <w:szCs w:val="16"/>
                <w:lang w:bidi="ar"/>
              </w:rPr>
            </w:pP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材料名称：钢管（沙发脚）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p>
            <w:pPr>
              <w:widowControl/>
              <w:jc w:val="left"/>
              <w:textAlignment w:val="center"/>
              <w:rPr>
                <w:rFonts w:hint="eastAsia" w:ascii="微软雅黑" w:hAnsi="微软雅黑" w:eastAsia="微软雅黑" w:cs="微软雅黑"/>
                <w:color w:val="000000"/>
                <w:kern w:val="0"/>
                <w:sz w:val="16"/>
                <w:szCs w:val="16"/>
                <w:lang w:bidi="ar"/>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65</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单人沙发</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沙发类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295400"/>
                  <wp:effectExtent l="0" t="0" r="0" b="0"/>
                  <wp:docPr id="94" name="图片 157" descr="IMG_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57" descr="IMG_317"/>
                          <pic:cNvPicPr>
                            <a:picLocks noChangeAspect="1"/>
                          </pic:cNvPicPr>
                        </pic:nvPicPr>
                        <pic:blipFill>
                          <a:blip r:embed="rId64"/>
                          <a:stretch>
                            <a:fillRect/>
                          </a:stretch>
                        </pic:blipFill>
                        <pic:spPr>
                          <a:xfrm>
                            <a:off x="0" y="0"/>
                            <a:ext cx="1295400" cy="1295400"/>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W800*D800*H750（尺寸偏差±5mm）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由木架、泡棉、皮革、沙发脚等组成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框架：硬木框架</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面料：环保皮覆面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材料名称：环保皮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材料厚度：≥1.3mm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 《家具用皮革》、QB/T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摩擦色牢度干擦(500次)≥4/5，湿擦(250次)≥4/5，碱性汗液(80次)≥4/5。pH≥5.20，禁用偶氮染料含量≤30mg/kg，游离甲醛含量(分光光度法)≤1.5mg/kg，气味≤3级，可萃取的重金属铅≤1.0mg/kg,镉≤2.5mg/kg，挥发性有机物(VOC)≤10mg/kg。</w:t>
            </w:r>
          </w:p>
          <w:p>
            <w:pPr>
              <w:ind w:left="800" w:hanging="800" w:hangingChars="500"/>
              <w:rPr>
                <w:rFonts w:hint="eastAsia" w:ascii="微软雅黑" w:hAnsi="微软雅黑" w:eastAsia="微软雅黑" w:cs="微软雅黑"/>
                <w:color w:val="000000"/>
                <w:kern w:val="0"/>
                <w:sz w:val="16"/>
                <w:szCs w:val="16"/>
                <w:lang w:bidi="ar"/>
              </w:rPr>
            </w:pP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材料名称：钢管（沙发脚）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66</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沙发</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沙发类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70915" cy="703580"/>
                  <wp:effectExtent l="0" t="0" r="19685" b="7620"/>
                  <wp:docPr id="95" name="图片 158" descr="IMG_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58" descr="IMG_318"/>
                          <pic:cNvPicPr>
                            <a:picLocks noChangeAspect="1"/>
                          </pic:cNvPicPr>
                        </pic:nvPicPr>
                        <pic:blipFill>
                          <a:blip r:embed="rId65"/>
                          <a:stretch>
                            <a:fillRect/>
                          </a:stretch>
                        </pic:blipFill>
                        <pic:spPr>
                          <a:xfrm>
                            <a:off x="0" y="0"/>
                            <a:ext cx="970715" cy="703580"/>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W2000*D550*H550（尺寸偏差±5mm）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4</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由木架、泡棉、皮革、沙发脚等组成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框架：硬木框架</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面料：环保皮覆面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材料名称：环保皮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材料厚度：≥1.3mm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 《家具用皮革》、QB/T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摩擦色牢度干擦(500次)≥4/5，湿擦(250次)≥4/5，碱性汗液(80次)≥4/5。pH≥5.20，禁用偶氮染料含量≤30mg/kg，游离甲醛含量(分光光度法)≤1.5mg/kg，气味≤3级，可萃取的重金属铅≤1.0mg/kg,镉≤2.5mg/kg，挥发性有机物(VOC)≤10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67</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休闲沙发</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沙发类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590040"/>
                  <wp:effectExtent l="0" t="0" r="0" b="10160"/>
                  <wp:docPr id="96" name="图片 159" descr="IMG_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59" descr="IMG_319"/>
                          <pic:cNvPicPr>
                            <a:picLocks noChangeAspect="1"/>
                          </pic:cNvPicPr>
                        </pic:nvPicPr>
                        <pic:blipFill>
                          <a:blip r:embed="rId66"/>
                          <a:stretch>
                            <a:fillRect/>
                          </a:stretch>
                        </pic:blipFill>
                        <pic:spPr>
                          <a:xfrm>
                            <a:off x="0" y="0"/>
                            <a:ext cx="1295400" cy="1590121"/>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W860*D800*H950（尺寸偏差±5mm）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3</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由木架、泡棉、皮革、沙发脚等组成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框架：硬木框架</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面料：环保皮覆面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材料名称：环保皮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材料厚度：≥1.3mm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 《家具用皮革》、QB/T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摩擦色牢度干擦(500次)≥4/5，湿擦(250次)≥4/5，碱性汗液(80次)≥4/5。pH≥5.20，禁用偶氮染料含量≤30mg/kg，游离甲醛含量(分光光度法)≤1.5mg/kg，气味≤3级，可萃取的重金属铅≤1.0mg/kg,镉≤2.5mg/kg，挥发性有机物(VOC)≤10mg/kg。</w:t>
            </w:r>
          </w:p>
          <w:p>
            <w:pPr>
              <w:ind w:left="800" w:hanging="800" w:hangingChars="500"/>
              <w:rPr>
                <w:rFonts w:hint="eastAsia" w:ascii="微软雅黑" w:hAnsi="微软雅黑" w:eastAsia="微软雅黑" w:cs="微软雅黑"/>
                <w:color w:val="000000"/>
                <w:kern w:val="0"/>
                <w:sz w:val="16"/>
                <w:szCs w:val="16"/>
                <w:lang w:bidi="ar"/>
              </w:rPr>
            </w:pP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材料名称：钢管（沙发脚）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68</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弧形沙发</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沙发类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384300"/>
                  <wp:effectExtent l="0" t="0" r="0" b="12700"/>
                  <wp:docPr id="97" name="图片 160" descr="IMG_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60" descr="IMG_320"/>
                          <pic:cNvPicPr>
                            <a:picLocks noChangeAspect="1"/>
                          </pic:cNvPicPr>
                        </pic:nvPicPr>
                        <pic:blipFill>
                          <a:blip r:embed="rId67"/>
                          <a:stretch>
                            <a:fillRect/>
                          </a:stretch>
                        </pic:blipFill>
                        <pic:spPr>
                          <a:xfrm>
                            <a:off x="0" y="0"/>
                            <a:ext cx="1295400" cy="1384502"/>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W2800*D850*H850（尺寸偏差±5mm）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由木架、泡棉、皮革、沙发脚等组成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框架：硬木框架</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面料：环保皮覆面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材料名称：环保皮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材料厚度：≥1.3mm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 《家具用皮革》、QB/T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摩擦色牢度干擦(500次)≥4/5，湿擦(250次)≥4/5，碱性汗液(80次)≥4/5。pH≥5.20，禁用偶氮染料含量≤30mg/kg，游离甲醛含量(分光光度法)≤1.5mg/kg，气味≤3级，可萃取的重金属铅≤1.0mg/kg,镉≤2.5mg/kg，挥发性有机物(VOC)≤10mg/kg。</w:t>
            </w:r>
          </w:p>
          <w:p>
            <w:pPr>
              <w:ind w:left="800" w:hanging="800" w:hangingChars="500"/>
              <w:rPr>
                <w:rFonts w:hint="eastAsia" w:ascii="微软雅黑" w:hAnsi="微软雅黑" w:eastAsia="微软雅黑" w:cs="微软雅黑"/>
                <w:color w:val="000000"/>
                <w:kern w:val="0"/>
                <w:sz w:val="16"/>
                <w:szCs w:val="16"/>
                <w:lang w:bidi="ar"/>
              </w:rPr>
            </w:pP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材料名称：钢管（沙发脚）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69</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床垫</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软体类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857885" cy="549275"/>
                  <wp:effectExtent l="0" t="0" r="5715" b="9525"/>
                  <wp:docPr id="98" name="图片 161" descr="IMG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61" descr="IMG_321"/>
                          <pic:cNvPicPr>
                            <a:picLocks noChangeAspect="1"/>
                          </pic:cNvPicPr>
                        </pic:nvPicPr>
                        <pic:blipFill>
                          <a:blip r:embed="rId68"/>
                          <a:stretch>
                            <a:fillRect/>
                          </a:stretch>
                        </pic:blipFill>
                        <pic:spPr>
                          <a:xfrm>
                            <a:off x="0" y="0"/>
                            <a:ext cx="857885" cy="549383"/>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W2000*D900*50（尺寸偏差±5mm）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由面料、填充物等组成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1.面料：品牌绒布面料覆面。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填充：高密度棕垫填充。</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缝制:面料缝制采用高强涤纶线</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材料名称：面料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18401-2010《国家纺织产品基本安全技术规范》;GB/T 27717-2011《家具中富马酸二甲酯含量的测定》。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技术指标：甲醛含量≤0.1mg/L，染色牢度耐水、耐酸汗渍、耐碱汗渍达到A类，耐干摩擦、耐唾液打到A类，富马酸二甲酯含量≤0.05mg/kg。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材料名称：天然椰棕</w:t>
            </w:r>
          </w:p>
          <w:p>
            <w:r>
              <w:rPr>
                <w:rFonts w:hint="eastAsia" w:ascii="微软雅黑" w:hAnsi="微软雅黑" w:eastAsia="微软雅黑" w:cs="微软雅黑"/>
                <w:color w:val="000000"/>
                <w:kern w:val="0"/>
                <w:sz w:val="16"/>
                <w:szCs w:val="16"/>
                <w:lang w:bidi="ar"/>
              </w:rPr>
              <w:t>材料等级：Enf</w:t>
            </w:r>
          </w:p>
          <w:p/>
          <w:p/>
          <w:p/>
          <w:p>
            <w:pPr>
              <w:ind w:left="800" w:hanging="800" w:hangingChars="500"/>
              <w:rPr>
                <w:rFonts w:hint="eastAsia" w:ascii="微软雅黑" w:hAnsi="微软雅黑" w:eastAsia="微软雅黑" w:cs="微软雅黑"/>
                <w:color w:val="000000"/>
                <w:kern w:val="0"/>
                <w:sz w:val="16"/>
                <w:szCs w:val="16"/>
                <w:lang w:bidi="ar"/>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2979"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70</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沙发</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沙发类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614680" cy="283210"/>
                  <wp:effectExtent l="0" t="0" r="20320" b="21590"/>
                  <wp:docPr id="99" name="图片 162" descr="IMG_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62" descr="IMG_322"/>
                          <pic:cNvPicPr>
                            <a:picLocks noChangeAspect="1"/>
                          </pic:cNvPicPr>
                        </pic:nvPicPr>
                        <pic:blipFill>
                          <a:blip r:embed="rId69"/>
                          <a:stretch>
                            <a:fillRect/>
                          </a:stretch>
                        </pic:blipFill>
                        <pic:spPr>
                          <a:xfrm>
                            <a:off x="0" y="0"/>
                            <a:ext cx="614680" cy="282979"/>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W2000*D800*H850（尺寸偏差±5mm）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由木架、泡棉、皮革、沙发脚等组成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框架：硬木框架</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面料：环保皮覆面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填充：高密度高回弹海绵填充。</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框架：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材料名称：硬木实木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材料名称：环保皮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材料厚度：≥1.3mm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 《家具用皮革》、QB/T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摩擦色牢度干擦(500次)≥4/5，湿擦(250次)≥4/5，碱性汗液(80次)≥4/5。pH≥5.20，禁用偶氮染料含量≤30mg/kg，游离甲醛含量(分光光度法)≤1.5mg/kg，气味≤3级，可萃取的重金属铅≤1.0mg/kg,镉≤2.5mg/kg，挥发性有机物(VOC)≤10mg/kg。</w:t>
            </w:r>
          </w:p>
          <w:p>
            <w:pPr>
              <w:ind w:left="800" w:hanging="800" w:hangingChars="500"/>
              <w:rPr>
                <w:rFonts w:hint="eastAsia" w:ascii="微软雅黑" w:hAnsi="微软雅黑" w:eastAsia="微软雅黑" w:cs="微软雅黑"/>
                <w:color w:val="000000"/>
                <w:kern w:val="0"/>
                <w:sz w:val="16"/>
                <w:szCs w:val="16"/>
                <w:lang w:bidi="ar"/>
              </w:rPr>
            </w:pP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71</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接待台</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bdr w:val="single" w:color="000000" w:sz="4" w:space="0"/>
                <w:lang w:bidi="ar"/>
              </w:rPr>
              <w:drawing>
                <wp:anchor distT="0" distB="0" distL="114300" distR="114300" simplePos="0" relativeHeight="251664384" behindDoc="0" locked="0" layoutInCell="1" allowOverlap="1">
                  <wp:simplePos x="0" y="0"/>
                  <wp:positionH relativeFrom="column">
                    <wp:posOffset>113030</wp:posOffset>
                  </wp:positionH>
                  <wp:positionV relativeFrom="paragraph">
                    <wp:posOffset>493395</wp:posOffset>
                  </wp:positionV>
                  <wp:extent cx="1200150" cy="1162050"/>
                  <wp:effectExtent l="0" t="0" r="19050" b="6350"/>
                  <wp:wrapNone/>
                  <wp:docPr id="100" name="图片_105"/>
                  <wp:cNvGraphicFramePr/>
                  <a:graphic xmlns:a="http://schemas.openxmlformats.org/drawingml/2006/main">
                    <a:graphicData uri="http://schemas.openxmlformats.org/drawingml/2006/picture">
                      <pic:pic xmlns:pic="http://schemas.openxmlformats.org/drawingml/2006/picture">
                        <pic:nvPicPr>
                          <pic:cNvPr id="100" name="图片_105"/>
                          <pic:cNvPicPr/>
                        </pic:nvPicPr>
                        <pic:blipFill>
                          <a:blip r:embed="rId70"/>
                          <a:stretch>
                            <a:fillRect/>
                          </a:stretch>
                        </pic:blipFill>
                        <pic:spPr>
                          <a:xfrm>
                            <a:off x="0" y="0"/>
                            <a:ext cx="1200150" cy="1161814"/>
                          </a:xfrm>
                          <a:prstGeom prst="rect">
                            <a:avLst/>
                          </a:prstGeom>
                          <a:noFill/>
                          <a:ln>
                            <a:noFill/>
                          </a:ln>
                        </pic:spPr>
                      </pic:pic>
                    </a:graphicData>
                  </a:graphic>
                </wp:anchor>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W3600*D800*H1050（尺寸偏差±5mm）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由桌面，柜体组成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3、涂料：环保水性油漆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4、五金配件：优质五金配件</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材料名称：木皮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材料厚度：0.6mm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29894-2013 《木材鉴别方法通则》、GB/T 18513-2001《中国主要进口木材名称》、GB/T 16734-1997《中国主要木材名称》、GB/T 18107-2017《红木》、GB/T17657-2013 《人造板及饰面人造板理化性能试验方法》、</w:t>
            </w:r>
            <w:r>
              <w:rPr>
                <w:rFonts w:hint="eastAsia" w:ascii="微软雅黑" w:hAnsi="微软雅黑" w:eastAsia="微软雅黑" w:cs="微软雅黑"/>
                <w:color w:val="000000"/>
                <w:kern w:val="0"/>
                <w:sz w:val="16"/>
                <w:szCs w:val="16"/>
                <w:lang w:eastAsia="zh-CN" w:bidi="ar"/>
              </w:rPr>
              <w:t>GB/T 3324-2024 《木家具通用技术条件》</w:t>
            </w:r>
            <w:r>
              <w:rPr>
                <w:rFonts w:hint="eastAsia" w:ascii="微软雅黑" w:hAnsi="微软雅黑" w:eastAsia="微软雅黑" w:cs="微软雅黑"/>
                <w:color w:val="000000"/>
                <w:kern w:val="0"/>
                <w:sz w:val="16"/>
                <w:szCs w:val="16"/>
                <w:lang w:bidi="ar"/>
              </w:rPr>
              <w:t>、GB/T 13010-2020 《木材工业用单板》。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含水率达到9.0-9.9%，甲醛释放量≤0.1mg/L，材色花纹具有装饰效果，无死节、孔洞、夹皮、树脂道。无半活节，无死节、虫洞、孔洞，无夹皮，无树脂道、树胶道，无变色，无腐朽，无裂缝，无毛刺沟痕、刀痕、划痕，无缺损。</w:t>
            </w:r>
          </w:p>
          <w:p>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材料名称：滑轨</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2454-2013《家具五金 抽屉导轨》GB/T 10125-2021《人造气氛腐蚀试验 盐雾试验》QB/T 3832-1999《轻工产品金属镀层腐蚀试验 结果的评价》QB/T 3827-1999《轻工产品金属镀层和化学处理层的耐腐蚀试验方法 乙酸盐雾试验(ASS)法》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技术指标：耐腐蚀性实验经过18小时检测后无锈点。乙酸盐雾试验、铜盐加速乙酸盐雾试验经过650个小时检测后无锈点，达到10级标准。</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材料名称：拉手</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p>
            <w:pPr>
              <w:widowControl/>
              <w:jc w:val="left"/>
              <w:textAlignment w:val="center"/>
              <w:rPr>
                <w:rFonts w:hint="eastAsia" w:ascii="微软雅黑" w:hAnsi="微软雅黑" w:eastAsia="微软雅黑" w:cs="微软雅黑"/>
                <w:color w:val="000000"/>
                <w:kern w:val="0"/>
                <w:sz w:val="16"/>
                <w:szCs w:val="16"/>
                <w:lang w:bidi="ar"/>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72</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值班床</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床类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38250" cy="1146810"/>
                  <wp:effectExtent l="0" t="0" r="6350" b="21590"/>
                  <wp:docPr id="101" name="图片 163" descr="IMG_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63" descr="IMG_323"/>
                          <pic:cNvPicPr>
                            <a:picLocks noChangeAspect="1"/>
                          </pic:cNvPicPr>
                        </pic:nvPicPr>
                        <pic:blipFill>
                          <a:blip r:embed="rId71"/>
                          <a:stretch>
                            <a:fillRect/>
                          </a:stretch>
                        </pic:blipFill>
                        <pic:spPr>
                          <a:xfrm>
                            <a:off x="0" y="0"/>
                            <a:ext cx="1238250" cy="1146832"/>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W2000*D900*H1850（尺寸偏差±5mm）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由实木、连接件等组成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1、基材：采用章子松优质实木板</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材料名称：樟子松实木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widowControl/>
              <w:jc w:val="center"/>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73</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条桌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268095"/>
                  <wp:effectExtent l="0" t="0" r="0" b="1905"/>
                  <wp:docPr id="102" name="图片 164" descr="IMG_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64" descr="IMG_324"/>
                          <pic:cNvPicPr>
                            <a:picLocks noChangeAspect="1"/>
                          </pic:cNvPicPr>
                        </pic:nvPicPr>
                        <pic:blipFill>
                          <a:blip r:embed="rId72"/>
                          <a:stretch>
                            <a:fillRect/>
                          </a:stretch>
                        </pic:blipFill>
                        <pic:spPr>
                          <a:xfrm>
                            <a:off x="0" y="0"/>
                            <a:ext cx="1295400" cy="1267984"/>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W3600*D800*H1050（尺寸偏差±5mm）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由桌面，桌腿组成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2、涂料：环保水性油漆</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74</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茶几</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几类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80440" cy="721360"/>
                  <wp:effectExtent l="0" t="0" r="10160" b="15240"/>
                  <wp:docPr id="103" name="图片 165" descr="IMG_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65" descr="IMG_325"/>
                          <pic:cNvPicPr>
                            <a:picLocks noChangeAspect="1"/>
                          </pic:cNvPicPr>
                        </pic:nvPicPr>
                        <pic:blipFill>
                          <a:blip r:embed="rId73"/>
                          <a:stretch>
                            <a:fillRect/>
                          </a:stretch>
                        </pic:blipFill>
                        <pic:spPr>
                          <a:xfrm>
                            <a:off x="0" y="0"/>
                            <a:ext cx="980440" cy="721386"/>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R700*H750（尺寸偏差±5mm）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由几面、几架等组成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基材为：中密度纤维板，混水油漆。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胶粘剂：采用优质环保白乳胶，粘合力强，无毒无味，要求家具结构稳固。</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材料名称：中密度纤维板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11718-2021《中密度纤维板》、QB/T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9110" w:hRule="atLeast"/>
        </w:trPr>
        <w:tc>
          <w:tcPr>
            <w:tcW w:w="15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75</w:t>
            </w:r>
          </w:p>
        </w:tc>
        <w:tc>
          <w:tcPr>
            <w:tcW w:w="239"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存放架</w:t>
            </w:r>
          </w:p>
        </w:tc>
        <w:tc>
          <w:tcPr>
            <w:tcW w:w="2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架类</w:t>
            </w:r>
          </w:p>
        </w:tc>
        <w:tc>
          <w:tcPr>
            <w:tcW w:w="8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481330" cy="173355"/>
                  <wp:effectExtent l="0" t="0" r="1270" b="3810"/>
                  <wp:docPr id="105" name="图片 166" descr="IMG_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66" descr="IMG_326"/>
                          <pic:cNvPicPr>
                            <a:picLocks noChangeAspect="1"/>
                          </pic:cNvPicPr>
                        </pic:nvPicPr>
                        <pic:blipFill>
                          <a:blip r:embed="rId74"/>
                          <a:stretch>
                            <a:fillRect/>
                          </a:stretch>
                        </pic:blipFill>
                        <pic:spPr>
                          <a:xfrm>
                            <a:off x="0" y="0"/>
                            <a:ext cx="481330" cy="173183"/>
                          </a:xfrm>
                          <a:prstGeom prst="rect">
                            <a:avLst/>
                          </a:prstGeom>
                          <a:noFill/>
                          <a:ln w="9525">
                            <a:noFill/>
                          </a:ln>
                        </pic:spPr>
                      </pic:pic>
                    </a:graphicData>
                  </a:graphic>
                </wp:inline>
              </w:drawing>
            </w:r>
          </w:p>
        </w:tc>
        <w:tc>
          <w:tcPr>
            <w:tcW w:w="62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W1900*D500*T30（尺寸偏差±5mm）</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w:t>
            </w:r>
          </w:p>
        </w:tc>
        <w:tc>
          <w:tcPr>
            <w:tcW w:w="335"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由架子面及五金组成</w:t>
            </w:r>
          </w:p>
        </w:tc>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五金配件：优质品牌五金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支架：钢管制作</w:t>
            </w:r>
          </w:p>
        </w:tc>
        <w:tc>
          <w:tcPr>
            <w:tcW w:w="1577" w:type="pc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ind w:left="840" w:hanging="840" w:hangingChars="525"/>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ind w:left="840" w:hanging="840" w:hangingChars="525"/>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p>
            <w:pPr>
              <w:widowControl/>
              <w:jc w:val="left"/>
              <w:textAlignment w:val="center"/>
              <w:rPr>
                <w:rFonts w:hint="eastAsia" w:ascii="微软雅黑" w:hAnsi="微软雅黑" w:eastAsia="微软雅黑" w:cs="微软雅黑"/>
                <w:color w:val="000000"/>
                <w:sz w:val="16"/>
                <w:szCs w:val="16"/>
              </w:rPr>
            </w:pPr>
          </w:p>
        </w:tc>
        <w:tc>
          <w:tcPr>
            <w:tcW w:w="1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76</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条桌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70915" cy="703580"/>
                  <wp:effectExtent l="0" t="0" r="19685" b="7620"/>
                  <wp:docPr id="106" name="图片 167" descr="IMG_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67" descr="IMG_327"/>
                          <pic:cNvPicPr>
                            <a:picLocks noChangeAspect="1"/>
                          </pic:cNvPicPr>
                        </pic:nvPicPr>
                        <pic:blipFill>
                          <a:blip r:embed="rId65"/>
                          <a:stretch>
                            <a:fillRect/>
                          </a:stretch>
                        </pic:blipFill>
                        <pic:spPr>
                          <a:xfrm>
                            <a:off x="0" y="0"/>
                            <a:ext cx="970715" cy="703580"/>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W2000*D600*H750（尺寸偏差±5mm）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由桌面，桌腿组成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五金配件：优质品牌五金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脚架：钢管制作</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ind w:left="840" w:hanging="840" w:hangingChars="525"/>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ind w:left="840" w:hanging="840" w:hangingChars="525"/>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4737"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77</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白板</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架类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65555" cy="1198880"/>
                  <wp:effectExtent l="0" t="0" r="4445" b="20320"/>
                  <wp:docPr id="107" name="图片 168" descr="IMG_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68" descr="IMG_328"/>
                          <pic:cNvPicPr>
                            <a:picLocks noChangeAspect="1"/>
                          </pic:cNvPicPr>
                        </pic:nvPicPr>
                        <pic:blipFill>
                          <a:blip r:embed="rId75"/>
                          <a:stretch>
                            <a:fillRect/>
                          </a:stretch>
                        </pic:blipFill>
                        <pic:spPr>
                          <a:xfrm>
                            <a:off x="0" y="0"/>
                            <a:ext cx="1265555" cy="1198632"/>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W800*H2000（尺寸偏差±5mm）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8</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可双面书写，底部带脚轮，结构稳定，带磁吸功能可吸附板擦。</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可双面书写，底部带脚轮，结构稳定，带磁吸功能可吸附板擦。</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78</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值班床</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床类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80160" cy="1226185"/>
                  <wp:effectExtent l="0" t="0" r="15240" b="18415"/>
                  <wp:docPr id="108" name="图片 169" descr="IMG_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69" descr="IMG_329"/>
                          <pic:cNvPicPr>
                            <a:picLocks noChangeAspect="1"/>
                          </pic:cNvPicPr>
                        </pic:nvPicPr>
                        <pic:blipFill>
                          <a:blip r:embed="rId76"/>
                          <a:stretch>
                            <a:fillRect/>
                          </a:stretch>
                        </pic:blipFill>
                        <pic:spPr>
                          <a:xfrm>
                            <a:off x="0" y="0"/>
                            <a:ext cx="1280160" cy="1226429"/>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W2000*D900*H1800（尺寸偏差±5mm）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有钢材组成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全钢结构:立柱采用2.3mm优质钢管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材料厚度：2.3mm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 xml:space="preserve"> </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79</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矮凳</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凳类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10590" cy="621665"/>
                  <wp:effectExtent l="0" t="0" r="3810" b="13335"/>
                  <wp:docPr id="109" name="图片 170" descr="IMG_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70" descr="IMG_330"/>
                          <pic:cNvPicPr>
                            <a:picLocks noChangeAspect="1"/>
                          </pic:cNvPicPr>
                        </pic:nvPicPr>
                        <pic:blipFill>
                          <a:blip r:embed="rId77"/>
                          <a:stretch>
                            <a:fillRect/>
                          </a:stretch>
                        </pic:blipFill>
                        <pic:spPr>
                          <a:xfrm>
                            <a:off x="0" y="0"/>
                            <a:ext cx="910590" cy="621782"/>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W900*D400*H450（尺寸偏差±5mm）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由凳面、凳腿组成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热熔胶：品牌热熔胶。</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五金配件：优质品牌五金。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 脚架：钢管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ind w:left="840" w:hanging="840" w:hangingChars="525"/>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ind w:left="840" w:hanging="840" w:hangingChars="525"/>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脚架采用优质品牌50mm*50mm钢管制作</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8769"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color w:val="000000"/>
                <w:sz w:val="22"/>
                <w:szCs w:val="22"/>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80</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长方形会议桌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888365" cy="592455"/>
                  <wp:effectExtent l="0" t="0" r="635" b="17145"/>
                  <wp:docPr id="110" name="图片 171" descr="IMG_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71" descr="IMG_331"/>
                          <pic:cNvPicPr>
                            <a:picLocks noChangeAspect="1"/>
                          </pic:cNvPicPr>
                        </pic:nvPicPr>
                        <pic:blipFill>
                          <a:blip r:embed="rId78"/>
                          <a:stretch>
                            <a:fillRect/>
                          </a:stretch>
                        </pic:blipFill>
                        <pic:spPr>
                          <a:xfrm>
                            <a:off x="0" y="0"/>
                            <a:ext cx="888365" cy="592265"/>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W3600*D1200*H760（尺寸偏差±5mm）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由桌面、桌架几连接件组成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5、胶粘剂：环保白乳胶。</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材料名称：木皮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材料厚度：0.6mm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29894-2013 《木材鉴别方法通则》、GB/T 18513-2001《中国主要进口木材名称》、GB/T 16734-1997《中国主要木材名称》、GB/T 18107-2017《红木》、GB/T17657-2013 《人造板及饰面人造板理化性能试验方法》、</w:t>
            </w:r>
            <w:r>
              <w:rPr>
                <w:rFonts w:hint="eastAsia" w:ascii="微软雅黑" w:hAnsi="微软雅黑" w:eastAsia="微软雅黑" w:cs="微软雅黑"/>
                <w:color w:val="000000"/>
                <w:kern w:val="0"/>
                <w:sz w:val="16"/>
                <w:szCs w:val="16"/>
                <w:lang w:eastAsia="zh-CN" w:bidi="ar"/>
              </w:rPr>
              <w:t>GB/T 3324-2024 《木家具通用技术条件》</w:t>
            </w:r>
            <w:r>
              <w:rPr>
                <w:rFonts w:hint="eastAsia" w:ascii="微软雅黑" w:hAnsi="微软雅黑" w:eastAsia="微软雅黑" w:cs="微软雅黑"/>
                <w:color w:val="000000"/>
                <w:kern w:val="0"/>
                <w:sz w:val="16"/>
                <w:szCs w:val="16"/>
                <w:lang w:bidi="ar"/>
              </w:rPr>
              <w:t>、GB/T 13010-2020 《木材工业用单板》。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含水率达到9.0-9.9%，甲醛释放量≤0.1mg/L，材色花纹具有装饰效果，无死节、孔洞、夹皮、树脂道。无半活节，无死节、虫洞、孔洞，无夹皮，无树脂道、树胶道，无变色，无腐朽，无裂缝，无毛刺沟痕、刀痕、划痕，无缺损。</w:t>
            </w:r>
          </w:p>
          <w:p>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材料名称：滑轨</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2454-2013《家具五金 抽屉导轨》GB/T 10125-2021《人造气氛腐蚀试验 盐雾试验》QB/T 3832-1999《轻工产品金属镀层腐蚀试验 结果的评价》QB/T 3827-1999《轻工产品金属镀层和化学处理层的耐腐蚀试验方法 乙酸盐雾试验(ASS)法》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技术指标：耐腐蚀性实验经过18小时检测后无锈点。乙酸盐雾试验、铜盐加速乙酸盐雾试验经过650个小时检测后无锈点，达到10级标准。</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材料名称：锁具</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53832-1999《轻工产品金属镀层腐蚀试验结果的评价》:QB/T 3827-1999《轻工产品金属镀层和化学处理层的耐腐蚀试验方法 乙酸盐雾试验(ASS)法》</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金属件电镀层饭无剥落、返锈、毛刺，无烧焦、起泡、针孔、裂纹、花斑(不包括镀彩锌)和划痕。抗盐雾18h无锈点，乙酸盐雾试验(ASS)镀(涂)层本身耐腐蚀等级达到10级，镀(涂)层对基体的保护等级达到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9324"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81</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会议桌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17930" cy="1115060"/>
                  <wp:effectExtent l="0" t="0" r="1270" b="2540"/>
                  <wp:docPr id="111" name="图片 172" descr="IMG_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72" descr="IMG_332"/>
                          <pic:cNvPicPr>
                            <a:picLocks noChangeAspect="1"/>
                          </pic:cNvPicPr>
                        </pic:nvPicPr>
                        <pic:blipFill>
                          <a:blip r:embed="rId79"/>
                          <a:stretch>
                            <a:fillRect/>
                          </a:stretch>
                        </pic:blipFill>
                        <pic:spPr>
                          <a:xfrm>
                            <a:off x="0" y="0"/>
                            <a:ext cx="1217930" cy="1115320"/>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W6000*D1200*H750（尺寸偏差±5mm）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由桌面、桌架几连接件组成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2.五金配件：优质品牌五金。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4786"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82</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会议桌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17930" cy="1115060"/>
                  <wp:effectExtent l="0" t="0" r="1270" b="2540"/>
                  <wp:docPr id="112" name="图片 173" descr="IMG_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73" descr="IMG_333"/>
                          <pic:cNvPicPr>
                            <a:picLocks noChangeAspect="1"/>
                          </pic:cNvPicPr>
                        </pic:nvPicPr>
                        <pic:blipFill>
                          <a:blip r:embed="rId79"/>
                          <a:stretch>
                            <a:fillRect/>
                          </a:stretch>
                        </pic:blipFill>
                        <pic:spPr>
                          <a:xfrm>
                            <a:off x="0" y="0"/>
                            <a:ext cx="1217930" cy="1115320"/>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W2000*D1200*H750（尺寸偏差±5mm）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由桌面、桌架几连接件组成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2.五金配件：优质品牌五金。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ind w:left="800" w:hanging="800" w:hangingChars="500"/>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4801"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83</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会议桌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17930" cy="1115060"/>
                  <wp:effectExtent l="0" t="0" r="1270" b="2540"/>
                  <wp:docPr id="113" name="图片 174" descr="IMG_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74" descr="IMG_334"/>
                          <pic:cNvPicPr>
                            <a:picLocks noChangeAspect="1"/>
                          </pic:cNvPicPr>
                        </pic:nvPicPr>
                        <pic:blipFill>
                          <a:blip r:embed="rId79"/>
                          <a:stretch>
                            <a:fillRect/>
                          </a:stretch>
                        </pic:blipFill>
                        <pic:spPr>
                          <a:xfrm>
                            <a:off x="0" y="0"/>
                            <a:ext cx="1217930" cy="1115320"/>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W4200*D1400*H750（尺寸偏差±5mm）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由桌面、桌架几连接件组成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2.五金配件：优质品牌五金。</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脚架：钢管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4328"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84</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折叠会议桌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drawing>
                <wp:inline distT="0" distB="0" distL="114300" distR="114300">
                  <wp:extent cx="962660" cy="720090"/>
                  <wp:effectExtent l="0" t="0" r="2540" b="16510"/>
                  <wp:docPr id="114" name="ID_C02EB67C5D5C4AC7BF7C49EF66D9B5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D_C02EB67C5D5C4AC7BF7C49EF66D9B5A5"/>
                          <pic:cNvPicPr>
                            <a:picLocks noChangeAspect="1"/>
                          </pic:cNvPicPr>
                        </pic:nvPicPr>
                        <pic:blipFill>
                          <a:blip r:embed="rId80"/>
                          <a:stretch>
                            <a:fillRect/>
                          </a:stretch>
                        </pic:blipFill>
                        <pic:spPr>
                          <a:xfrm>
                            <a:off x="0" y="0"/>
                            <a:ext cx="962660" cy="720090"/>
                          </a:xfrm>
                          <a:prstGeom prst="rect">
                            <a:avLst/>
                          </a:prstGeom>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W1500*D600*H750（尺寸偏差±5mm）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45</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由桌面、桌架几连接件组成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脚架：钢管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配备ABS双功能书包水杯挂钩，外观尺寸35*44*124mm。</w:t>
            </w:r>
          </w:p>
          <w:p>
            <w:pPr>
              <w:widowControl/>
              <w:jc w:val="left"/>
              <w:textAlignment w:val="center"/>
            </w:pPr>
            <w:r>
              <w:drawing>
                <wp:inline distT="0" distB="0" distL="114300" distR="114300">
                  <wp:extent cx="1200150" cy="730250"/>
                  <wp:effectExtent l="0" t="0" r="19050" b="6350"/>
                  <wp:docPr id="1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
                          <pic:cNvPicPr>
                            <a:picLocks noChangeAspect="1"/>
                          </pic:cNvPicPr>
                        </pic:nvPicPr>
                        <pic:blipFill>
                          <a:blip r:embed="rId81"/>
                          <a:stretch>
                            <a:fillRect/>
                          </a:stretch>
                        </pic:blipFill>
                        <pic:spPr>
                          <a:xfrm>
                            <a:off x="0" y="0"/>
                            <a:ext cx="1200150" cy="730250"/>
                          </a:xfrm>
                          <a:prstGeom prst="rect">
                            <a:avLst/>
                          </a:prstGeom>
                          <a:noFill/>
                          <a:ln>
                            <a:noFill/>
                          </a:ln>
                        </pic:spPr>
                      </pic:pic>
                    </a:graphicData>
                  </a:graphic>
                </wp:inline>
              </w:drawing>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配备ABS书网拖，外观尺寸160*120*35mm，</w:t>
            </w:r>
          </w:p>
          <w:p>
            <w:pPr>
              <w:widowControl/>
              <w:jc w:val="left"/>
              <w:textAlignment w:val="center"/>
              <w:rPr>
                <w:rFonts w:hint="eastAsia" w:ascii="微软雅黑" w:hAnsi="微软雅黑" w:eastAsia="微软雅黑" w:cs="微软雅黑"/>
                <w:color w:val="000000"/>
                <w:kern w:val="0"/>
                <w:sz w:val="16"/>
                <w:szCs w:val="16"/>
                <w:lang w:bidi="ar"/>
              </w:rPr>
            </w:pPr>
            <w:r>
              <w:drawing>
                <wp:inline distT="0" distB="0" distL="114300" distR="114300">
                  <wp:extent cx="1200150" cy="831850"/>
                  <wp:effectExtent l="0" t="0" r="19050" b="6350"/>
                  <wp:docPr id="1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3"/>
                          <pic:cNvPicPr>
                            <a:picLocks noChangeAspect="1"/>
                          </pic:cNvPicPr>
                        </pic:nvPicPr>
                        <pic:blipFill>
                          <a:blip r:embed="rId82"/>
                          <a:stretch>
                            <a:fillRect/>
                          </a:stretch>
                        </pic:blipFill>
                        <pic:spPr>
                          <a:xfrm>
                            <a:off x="0" y="0"/>
                            <a:ext cx="1200150" cy="831850"/>
                          </a:xfrm>
                          <a:prstGeom prst="rect">
                            <a:avLst/>
                          </a:prstGeom>
                          <a:noFill/>
                          <a:ln>
                            <a:noFill/>
                          </a:ln>
                        </pic:spPr>
                      </pic:pic>
                    </a:graphicData>
                  </a:graphic>
                </wp:inline>
              </w:drawing>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配备ABS挡板吊码，外观尺寸100*40*214mm，其中与桌底连接板位100*40mm，挡板连接挂柄为30*12mm。</w:t>
            </w:r>
          </w:p>
          <w:p>
            <w:r>
              <w:drawing>
                <wp:inline distT="0" distB="0" distL="114300" distR="114300">
                  <wp:extent cx="1200150" cy="1625600"/>
                  <wp:effectExtent l="0" t="0" r="19050" b="0"/>
                  <wp:docPr id="1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
                          <pic:cNvPicPr>
                            <a:picLocks noChangeAspect="1"/>
                          </pic:cNvPicPr>
                        </pic:nvPicPr>
                        <pic:blipFill>
                          <a:blip r:embed="rId83"/>
                          <a:stretch>
                            <a:fillRect/>
                          </a:stretch>
                        </pic:blipFill>
                        <pic:spPr>
                          <a:xfrm>
                            <a:off x="0" y="0"/>
                            <a:ext cx="1200150" cy="1625600"/>
                          </a:xfrm>
                          <a:prstGeom prst="rect">
                            <a:avLst/>
                          </a:prstGeom>
                          <a:noFill/>
                          <a:ln>
                            <a:noFill/>
                          </a:ln>
                        </pic:spPr>
                      </pic:pic>
                    </a:graphicData>
                  </a:graphic>
                </wp:inline>
              </w:drawing>
            </w:r>
          </w:p>
          <w:p/>
          <w:p/>
          <w:p/>
          <w:p/>
          <w:p/>
          <w:p/>
          <w:p>
            <w:pPr>
              <w:widowControl/>
              <w:jc w:val="left"/>
              <w:textAlignment w:val="center"/>
              <w:rPr>
                <w:rFonts w:hint="eastAsia" w:ascii="微软雅黑" w:hAnsi="微软雅黑" w:eastAsia="微软雅黑" w:cs="微软雅黑"/>
                <w:color w:val="000000"/>
                <w:kern w:val="0"/>
                <w:sz w:val="16"/>
                <w:szCs w:val="16"/>
                <w:lang w:bidi="ar"/>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8943"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85</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折叠会议桌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kern w:val="0"/>
                <w:sz w:val="16"/>
                <w:szCs w:val="16"/>
                <w:lang w:bidi="ar"/>
              </w:rPr>
            </w:pPr>
          </w:p>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996315" cy="743585"/>
                  <wp:effectExtent l="0" t="0" r="19685" b="18415"/>
                  <wp:docPr id="141" name="图片 176" descr="IMG_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76" descr="IMG_336"/>
                          <pic:cNvPicPr>
                            <a:picLocks noChangeAspect="1"/>
                          </pic:cNvPicPr>
                        </pic:nvPicPr>
                        <pic:blipFill>
                          <a:blip r:embed="rId84"/>
                          <a:stretch>
                            <a:fillRect/>
                          </a:stretch>
                        </pic:blipFill>
                        <pic:spPr>
                          <a:xfrm>
                            <a:off x="0" y="0"/>
                            <a:ext cx="996315" cy="743316"/>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W1200*D600*H750（尺寸偏差±5mm）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10</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由桌面、桌架几连接件组成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脚架：钢管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配备ABS双功能书包水杯挂钩，外观尺寸35*44*124mm。</w:t>
            </w:r>
          </w:p>
          <w:p>
            <w:pPr>
              <w:widowControl/>
              <w:jc w:val="left"/>
              <w:textAlignment w:val="center"/>
            </w:pPr>
            <w:r>
              <w:drawing>
                <wp:inline distT="0" distB="0" distL="114300" distR="114300">
                  <wp:extent cx="1200150" cy="730250"/>
                  <wp:effectExtent l="0" t="0" r="19050" b="6350"/>
                  <wp:docPr id="1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
                          <pic:cNvPicPr>
                            <a:picLocks noChangeAspect="1"/>
                          </pic:cNvPicPr>
                        </pic:nvPicPr>
                        <pic:blipFill>
                          <a:blip r:embed="rId81"/>
                          <a:stretch>
                            <a:fillRect/>
                          </a:stretch>
                        </pic:blipFill>
                        <pic:spPr>
                          <a:xfrm>
                            <a:off x="0" y="0"/>
                            <a:ext cx="1200150" cy="730250"/>
                          </a:xfrm>
                          <a:prstGeom prst="rect">
                            <a:avLst/>
                          </a:prstGeom>
                          <a:noFill/>
                          <a:ln>
                            <a:noFill/>
                          </a:ln>
                        </pic:spPr>
                      </pic:pic>
                    </a:graphicData>
                  </a:graphic>
                </wp:inline>
              </w:drawing>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配备ABS书网拖，外观尺寸160*120*35mm，</w:t>
            </w:r>
          </w:p>
          <w:p>
            <w:pPr>
              <w:widowControl/>
              <w:jc w:val="left"/>
              <w:textAlignment w:val="center"/>
              <w:rPr>
                <w:rFonts w:hint="eastAsia" w:ascii="微软雅黑" w:hAnsi="微软雅黑" w:eastAsia="微软雅黑" w:cs="微软雅黑"/>
                <w:color w:val="000000"/>
                <w:kern w:val="0"/>
                <w:sz w:val="16"/>
                <w:szCs w:val="16"/>
                <w:lang w:bidi="ar"/>
              </w:rPr>
            </w:pPr>
            <w:r>
              <w:drawing>
                <wp:inline distT="0" distB="0" distL="114300" distR="114300">
                  <wp:extent cx="1200150" cy="831850"/>
                  <wp:effectExtent l="0" t="0" r="19050" b="6350"/>
                  <wp:docPr id="1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3"/>
                          <pic:cNvPicPr>
                            <a:picLocks noChangeAspect="1"/>
                          </pic:cNvPicPr>
                        </pic:nvPicPr>
                        <pic:blipFill>
                          <a:blip r:embed="rId82"/>
                          <a:stretch>
                            <a:fillRect/>
                          </a:stretch>
                        </pic:blipFill>
                        <pic:spPr>
                          <a:xfrm>
                            <a:off x="0" y="0"/>
                            <a:ext cx="1200150" cy="831850"/>
                          </a:xfrm>
                          <a:prstGeom prst="rect">
                            <a:avLst/>
                          </a:prstGeom>
                          <a:noFill/>
                          <a:ln>
                            <a:noFill/>
                          </a:ln>
                        </pic:spPr>
                      </pic:pic>
                    </a:graphicData>
                  </a:graphic>
                </wp:inline>
              </w:drawing>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配备ABS挡板吊码，外观尺寸100*40*214mm，其中与桌底连接板位100*40mm，挡板连接挂柄为30*12mm。</w:t>
            </w:r>
          </w:p>
          <w:p>
            <w:r>
              <w:drawing>
                <wp:inline distT="0" distB="0" distL="114300" distR="114300">
                  <wp:extent cx="1200150" cy="1625600"/>
                  <wp:effectExtent l="0" t="0" r="19050" b="0"/>
                  <wp:docPr id="1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4"/>
                          <pic:cNvPicPr>
                            <a:picLocks noChangeAspect="1"/>
                          </pic:cNvPicPr>
                        </pic:nvPicPr>
                        <pic:blipFill>
                          <a:blip r:embed="rId83"/>
                          <a:stretch>
                            <a:fillRect/>
                          </a:stretch>
                        </pic:blipFill>
                        <pic:spPr>
                          <a:xfrm>
                            <a:off x="0" y="0"/>
                            <a:ext cx="1200150" cy="1625600"/>
                          </a:xfrm>
                          <a:prstGeom prst="rect">
                            <a:avLst/>
                          </a:prstGeom>
                          <a:noFill/>
                          <a:ln>
                            <a:noFill/>
                          </a:ln>
                        </pic:spPr>
                      </pic:pic>
                    </a:graphicData>
                  </a:graphic>
                </wp:inline>
              </w:drawing>
            </w:r>
          </w:p>
          <w:p/>
          <w:p/>
          <w:p/>
          <w:p/>
          <w:p/>
          <w:p/>
          <w:p>
            <w:pPr>
              <w:widowControl/>
              <w:jc w:val="left"/>
              <w:textAlignment w:val="center"/>
              <w:rPr>
                <w:rFonts w:hint="eastAsia" w:ascii="微软雅黑" w:hAnsi="微软雅黑" w:eastAsia="微软雅黑" w:cs="微软雅黑"/>
                <w:color w:val="000000"/>
                <w:kern w:val="0"/>
                <w:sz w:val="16"/>
                <w:szCs w:val="16"/>
                <w:lang w:bidi="ar"/>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9256"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86</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圆桌</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514475"/>
                  <wp:effectExtent l="0" t="0" r="0" b="9525"/>
                  <wp:docPr id="156" name="图片 177" descr="IMG_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77" descr="IMG_337"/>
                          <pic:cNvPicPr>
                            <a:picLocks noChangeAspect="1"/>
                          </pic:cNvPicPr>
                        </pic:nvPicPr>
                        <pic:blipFill>
                          <a:blip r:embed="rId40"/>
                          <a:stretch>
                            <a:fillRect/>
                          </a:stretch>
                        </pic:blipFill>
                        <pic:spPr>
                          <a:xfrm>
                            <a:off x="0" y="0"/>
                            <a:ext cx="1295400" cy="1514727"/>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φ800*H750（尺寸偏差±5mm）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4</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由桌面、桌架几连接件组成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基材：三聚氰胺浸渍胶膜纸饰面刨花板。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脚架：钢管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材料名称：刨花板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材料名称：三聚氰胺胶膜纸</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标准依据：LY/T 1831-2009《人造板饰面专用装饰纸》、GB/T 15102-2017《浸渍胶膜纸饰面纤维板和创花板》；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技术指标：甲醛释放量≤0.1mg/L。表面耐香烟灼烧、表面耐干热、表面耐龟裂达到5级。</w:t>
            </w:r>
          </w:p>
          <w:p>
            <w:pPr>
              <w:rPr>
                <w:rFonts w:hint="eastAsia" w:ascii="微软雅黑" w:hAnsi="微软雅黑" w:eastAsia="微软雅黑" w:cs="微软雅黑"/>
                <w:color w:val="000000"/>
                <w:kern w:val="0"/>
                <w:sz w:val="16"/>
                <w:szCs w:val="16"/>
                <w:lang w:bidi="ar"/>
              </w:rPr>
            </w:pPr>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87</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茶几</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508125"/>
                  <wp:effectExtent l="0" t="0" r="0" b="15875"/>
                  <wp:docPr id="157" name="图片 178" descr="IMG_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78" descr="IMG_338"/>
                          <pic:cNvPicPr>
                            <a:picLocks noChangeAspect="1"/>
                          </pic:cNvPicPr>
                        </pic:nvPicPr>
                        <pic:blipFill>
                          <a:blip r:embed="rId85"/>
                          <a:stretch>
                            <a:fillRect/>
                          </a:stretch>
                        </pic:blipFill>
                        <pic:spPr>
                          <a:xfrm>
                            <a:off x="0" y="0"/>
                            <a:ext cx="1295400" cy="1507873"/>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W6000*D600*H450（尺寸偏差±5mm）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9</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由桌面、桌架几连接件组成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1.主材采用实木；</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2.桌面开放式清漆；</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材料名称：胡桃木实木</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标准依据：GB/T1927.4-2021《无疵小试样木材物理力学性质试验方法 第 4 部分:含水率测定》、GB/T1927.5-2021《无疵小试样木材物理力学性质试验方法第5 部分:密度测定》、GB/T 18107-2017《红木》、GB/T 29894-2013《木材鉴别方法通则》、GB/T 18513-2001《中国主要进口材名称》、GB/T 16734-1997《中国主要木材称》。</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技术指标：木材含水率控制在9-10%，气干密度在0.79-0.80g/cm³之间，含水率为 12%时的气干密度在0.81-0.82g/cm³³之间，绝干密度在0.77-0.78g/cm³之间。</w:t>
            </w:r>
          </w:p>
          <w:p>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88</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报告厅讲台</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桌类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074420" cy="1536065"/>
                  <wp:effectExtent l="0" t="0" r="17780" b="13335"/>
                  <wp:docPr id="160" name="图片 179" descr="IMG_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79" descr="IMG_339"/>
                          <pic:cNvPicPr>
                            <a:picLocks noChangeAspect="1"/>
                          </pic:cNvPicPr>
                        </pic:nvPicPr>
                        <pic:blipFill>
                          <a:blip r:embed="rId86"/>
                          <a:stretch>
                            <a:fillRect/>
                          </a:stretch>
                        </pic:blipFill>
                        <pic:spPr>
                          <a:xfrm>
                            <a:off x="0" y="0"/>
                            <a:ext cx="1074420" cy="1536065"/>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W850*D600*H1050（尺寸偏差±5mm）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由桌面、桌架几连接件组成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1、基材：ENF级优质实木多层板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2、饰面：天然实木皮</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3、涂料：环保水性漆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4、五金配件：优质五金配件</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材料名称：多层板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18580-2017《室内装饰装修材料人造板及其制品中甲醛释放限量》、GB/T 39600-2021《人造板及其制品甲醛释放量分级》、QB/T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技术指标：甲醛释放量（气候箱法）≤0.005mg/m³。金黄色葡萄球菌抑菌率&gt;99.8%(培养24h)，大肠埃希氏菌（大肠杆菌）抑菌率&gt;99.8%(培养24h)。黑曲霉、黄曲霉耐霉菌性等级达到0级(不生长，显微镜放大50倍观察)；</w:t>
            </w:r>
          </w:p>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材料名称：木皮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材料厚度：0.6mm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29894-2013 《木材鉴别方法通则》、GB/T 18513-2001《中国主要进口木材名称》、GB/T 16734-1997《中国主要木材名称》、GB/T 18107-2017《红木》、GB/T17657-2013 《人造板及饰面人造板理化性能试验方法》、</w:t>
            </w:r>
            <w:r>
              <w:rPr>
                <w:rFonts w:hint="eastAsia" w:ascii="微软雅黑" w:hAnsi="微软雅黑" w:eastAsia="微软雅黑" w:cs="微软雅黑"/>
                <w:color w:val="000000"/>
                <w:kern w:val="0"/>
                <w:sz w:val="16"/>
                <w:szCs w:val="16"/>
                <w:lang w:eastAsia="zh-CN" w:bidi="ar"/>
              </w:rPr>
              <w:t>GB/T 3324-2024 《木家具通用技术条件》</w:t>
            </w:r>
            <w:r>
              <w:rPr>
                <w:rFonts w:hint="eastAsia" w:ascii="微软雅黑" w:hAnsi="微软雅黑" w:eastAsia="微软雅黑" w:cs="微软雅黑"/>
                <w:color w:val="000000"/>
                <w:kern w:val="0"/>
                <w:sz w:val="16"/>
                <w:szCs w:val="16"/>
                <w:lang w:bidi="ar"/>
              </w:rPr>
              <w:t>、GB/T 13010-2020 《木材工业用单板》。</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含水率达到9.0-9.9%，甲醛释放量≤0.1mg/L，材色花纹具有装饰效果，无死节、孔洞、夹皮、树脂道。无半活节，无死节、虫洞、孔洞，无夹皮，无树脂道、树胶道，无变色，无腐朽，无裂缝，无毛刺沟痕、刀痕、划痕，无缺损。</w:t>
            </w:r>
          </w:p>
          <w:p>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9053"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89</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会议椅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ascii="微软雅黑" w:hAnsi="微软雅黑" w:eastAsia="微软雅黑" w:cs="微软雅黑"/>
                <w:color w:val="808080"/>
                <w:kern w:val="0"/>
                <w:sz w:val="16"/>
                <w:szCs w:val="16"/>
                <w:lang w:bidi="ar"/>
              </w:rPr>
              <w:drawing>
                <wp:inline distT="0" distB="0" distL="114300" distR="114300">
                  <wp:extent cx="1295400" cy="1411605"/>
                  <wp:effectExtent l="0" t="0" r="0" b="10795"/>
                  <wp:docPr id="161" name="图片 180" descr="IMG_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80" descr="IMG_340"/>
                          <pic:cNvPicPr>
                            <a:picLocks noChangeAspect="1"/>
                          </pic:cNvPicPr>
                        </pic:nvPicPr>
                        <pic:blipFill>
                          <a:blip r:embed="rId87"/>
                          <a:stretch>
                            <a:fillRect/>
                          </a:stretch>
                        </pic:blipFill>
                        <pic:spPr>
                          <a:xfrm>
                            <a:off x="0" y="0"/>
                            <a:ext cx="1295400" cy="1411918"/>
                          </a:xfrm>
                          <a:prstGeom prst="rect">
                            <a:avLst/>
                          </a:prstGeom>
                          <a:noFill/>
                          <a:ln w="9525">
                            <a:noFill/>
                          </a:ln>
                        </pic:spPr>
                      </pic:pic>
                    </a:graphicData>
                  </a:graphic>
                </wp:inline>
              </w:drawing>
            </w:r>
          </w:p>
          <w:p>
            <w:pPr>
              <w:widowControl/>
              <w:jc w:val="center"/>
              <w:textAlignment w:val="center"/>
              <w:rPr>
                <w:rFonts w:hint="eastAsia" w:ascii="微软雅黑" w:hAnsi="微软雅黑" w:eastAsia="微软雅黑" w:cs="微软雅黑"/>
                <w:color w:val="808080"/>
                <w:sz w:val="16"/>
                <w:szCs w:val="16"/>
              </w:rPr>
            </w:pP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W630*D620*H1130（尺寸偏差±5mm）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28</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由椅座、椅背、扶手、底盘、气压棒、五星脚、脚轮等组成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面料与坐垫：采用环保皮革</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底盘：优质钢材</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气杆与脚架：四级气杆，尼龙星脚</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 脚轮：尼龙+PU静音脚轮</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材料名称：环保皮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材料厚度：1.3mm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 《家具用皮革》、QB/T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摩擦色牢度干擦(500次)≥4/5，湿擦(250次)≥4/5，碱性汗液(80次)≥4/5。pH≥5.20，禁用偶氮染料含量≤30mg/kg，游离甲醛含量(分光光度法)≤1.5mg/kg，气味≤3级，可萃取的重金属铅≤1.0mg/kg,镉≤2.5mg/kg，挥发性有机物(VOC)≤10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材料名称：气压棒</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材料等级：四级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29525-2013 《座椅升降气弹簧 技术条件》QB/T 2280-2016《办公家具 办公椅》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技术指标：抗压强度10万次力特性不变</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材料名称：转移底盘</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3832-1999《轻工产品金属镀层腐蚀试验 结果的评价》、QB/T 3827-1999《轻工产品金属镀层和化学处理层的耐腐蚀试验方法 乙酸盐雾试验(ASS)法》、GB/T 10125-2021《人造气氛腐蚀试验 盐雾试验》</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技术指标：冲压件无脱层、裂缝，涂层无漏喷、锈蚀，无流挂、疙瘩飞漆皱皮，乙酸盐雾试验650h无锈点，检测等级达到10级，铜盐加速乙酸盐雾试验100h无锈点，实验等级达到10级。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材料名称：五星脚</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2280-2016《办公家具办公椅》</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技术指标：外观无裂纹，无明显变形，无明显缩孔、气泡、杂质、伤痕，表面光洁，无划不痕，无污渍，无明显色差，底座静载荷7560N,1min,2次底座的结构完整性应无破坏，应无突然的明显的形变。</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9207"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90</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会议椅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548765"/>
                  <wp:effectExtent l="0" t="0" r="0" b="635"/>
                  <wp:docPr id="162" name="图片 181" descr="IMG_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81" descr="IMG_341"/>
                          <pic:cNvPicPr>
                            <a:picLocks noChangeAspect="1"/>
                          </pic:cNvPicPr>
                        </pic:nvPicPr>
                        <pic:blipFill>
                          <a:blip r:embed="rId88"/>
                          <a:stretch>
                            <a:fillRect/>
                          </a:stretch>
                        </pic:blipFill>
                        <pic:spPr>
                          <a:xfrm>
                            <a:off x="0" y="0"/>
                            <a:ext cx="1295400" cy="1548997"/>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W650*D620*H930（尺寸偏差±5mm）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32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由椅座、椅背、扶手、底盘、气压棒、五星脚、脚轮等组成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面料与坐垫：采用环保皮革</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底盘：优质钢材</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气杆与脚架：四级气杆，尼龙星脚</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 脚轮：尼龙+PU静音脚轮</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材料名称：环保皮</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材料厚度：1.3mm</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16799-2018 《家具用皮革》、QB/T 2709-2005 《皮革 物理和机械试验 厚度的测定》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摩擦色牢度干擦(500次)≥4/5，湿擦(250次)≥4/5，碱性汗液(80次)≥4/5。pH≥5.20，禁用偶氮染料含量≤30mg/kg，游离甲醛含量(分光光度法)≤1.5mg/kg，气味≤3级，可萃取的重金属铅≤1.0mg/kg,镉≤2.5mg/kg，挥发性有机物(VOC)≤10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材料名称：气压棒</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材料等级：四级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29525-2013 《座椅升降气弹簧 技术条件》QB/T 2280-2016《办公家具 办公椅》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技术指标：抗压强度10万次力特性不变</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材料名称：转移底盘</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 xml:space="preserve">标准依据：GB/T </w:t>
            </w:r>
            <w:r>
              <w:rPr>
                <w:rFonts w:hint="eastAsia" w:ascii="微软雅黑" w:hAnsi="微软雅黑" w:eastAsia="微软雅黑" w:cs="微软雅黑"/>
                <w:color w:val="000000"/>
                <w:kern w:val="0"/>
                <w:sz w:val="16"/>
                <w:szCs w:val="16"/>
                <w:lang w:eastAsia="zh-CN" w:bidi="ar"/>
              </w:rPr>
              <w:t>3325-2024</w:t>
            </w:r>
            <w:r>
              <w:rPr>
                <w:rFonts w:hint="eastAsia" w:ascii="微软雅黑" w:hAnsi="微软雅黑" w:eastAsia="微软雅黑" w:cs="微软雅黑"/>
                <w:color w:val="000000"/>
                <w:kern w:val="0"/>
                <w:sz w:val="16"/>
                <w:szCs w:val="16"/>
                <w:lang w:bidi="ar"/>
              </w:rPr>
              <w:t>《金属家具通用技术条件》、QB/T 3832-1999《轻工产品金属镀层腐蚀试验 结果的评价》、QB/T 3827-1999《轻工产品金属镀层和化学处理层的耐腐蚀试验方法 乙酸盐雾试验(ASS)法》、GB/T 10125-2021《人造气氛腐蚀试验 盐雾试验》</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技术指标：冲压件无脱层、裂缝，涂层无漏喷、锈蚀，无流挂、疙瘩飞漆皱皮，乙酸盐雾试验650h无锈点，检测等级达到10级，铜盐加速乙酸盐雾试验100h无锈点，实验等级达到10级。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材料名称：五星脚</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2280-2016《办公家具办公椅》</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技术指标：外观无裂纹，无明显变形，无明显缩孔、气泡、杂质、伤痕，表面光洁，无划不痕，无污渍，无明显色差，底座静载荷7560N,1min,2次底座的结构完整性应无破坏，应无突然的明显的形变。</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9237"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91</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示教椅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6670" cy="1770380"/>
                  <wp:effectExtent l="0" t="0" r="24130" b="7620"/>
                  <wp:docPr id="163" name="图片 182" descr="IMG_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82" descr="IMG_342"/>
                          <pic:cNvPicPr>
                            <a:picLocks noChangeAspect="1"/>
                          </pic:cNvPicPr>
                        </pic:nvPicPr>
                        <pic:blipFill>
                          <a:blip r:embed="rId89"/>
                          <a:stretch>
                            <a:fillRect/>
                          </a:stretch>
                        </pic:blipFill>
                        <pic:spPr>
                          <a:xfrm>
                            <a:off x="0" y="0"/>
                            <a:ext cx="1296670" cy="177054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W580*D523*H850（尺寸偏差±5mm）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282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由椅座、椅背、扶手、椅架等组成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面料：网布、高级耐磨弹力绒布座饰面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填充：高密度定型棉、高回弹定型棉。</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背筐与扶手：背筐采用全新PP+纤一体成型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 脚架：钢管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材料名称：面料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18401-2010《国家纺织产品基本安全技术规范》;GB/T 27717-2011《家具中富马酸二甲酯含量的测定》。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技术指标：甲醛含量≤0.1mg/L，染色牢度耐水、耐酸汗渍、耐碱汗渍达到A类，耐干摩擦、耐唾液打到A类，富马酸二甲酯含量≤0.05mg/kg。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全折叠功能：椅子整体可完全折叠，节省空间，便于收纳和携带，适合家庭、办公室、户外等多种场景使用。</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9007"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92</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折叠椅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95400" cy="1315720"/>
                  <wp:effectExtent l="0" t="0" r="0" b="5080"/>
                  <wp:docPr id="164" name="图片 183" descr="IMG_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83" descr="IMG_343"/>
                          <pic:cNvPicPr>
                            <a:picLocks noChangeAspect="1"/>
                          </pic:cNvPicPr>
                        </pic:nvPicPr>
                        <pic:blipFill>
                          <a:blip r:embed="rId90"/>
                          <a:stretch>
                            <a:fillRect/>
                          </a:stretch>
                        </pic:blipFill>
                        <pic:spPr>
                          <a:xfrm>
                            <a:off x="0" y="0"/>
                            <a:ext cx="1295400" cy="1315962"/>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W500*D570*H820（尺寸偏差±5mm）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20</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由椅座、椅背、扶手、椅架等组成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 面料：网布、高级耐磨弹力绒布座饰面</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 填充：高密度定型棉、高回弹定型棉。</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 背筐与扶手：背筐采用全新PP+纤一体成型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4. 脚架：钢管</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面材：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材料名称：面料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18401-2010《国家纺织产品基本安全技术规范》;GB/T 27717-2011《家具中富马酸二甲酯含量的测定》。</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技术指标：甲醛含量≤0.1mg/L，染色牢度耐水、耐酸汗渍、耐碱汗渍达到A类，耐干摩擦、耐唾液打到A类，富马酸二甲酯含量≤0.05mg/kg。</w:t>
            </w:r>
          </w:p>
          <w:p>
            <w:r>
              <w:rPr>
                <w:rFonts w:hint="eastAsia"/>
              </w:rPr>
              <w:t>填充：</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材料名称：泡棉</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10802-2006《通用软质聚醚型聚氨酯泡沫塑料》;QB/T 1952.1-2012《软体家具 沙发》;GB/T 6343-2009《泡沫塑料及橡胶 表观密度的测定》、QB/T 2280-2016《办公家具 办公椅》;GB 8624-2012《建筑材料及制品燃烧性能分级》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25%压陷硬度达到120N，65%/25%压陷比≥3.7，75%压缩永久变形≤4%，回弹率≥53%，拉伸强度≥137KPa，伸长率≥143%，撕裂强度≥3.4N/cm，于热老化后拉伸强度≥133KPa，干热老化后拉伸强度变化率为±3%之间，湿热老化后拉伸强度≥144KPa，湿热老化后拉伸强度变化率为±5%之间，座面表观密度≥55kg/m³，其他部位表观密度≥55kg/m³，甲醛释放量≤0.005mg/m³，燃烧性能等级达到B1等级，单位面积热释放速率峰值≤371.9kW㎡，平均燃烧时间≤22.7s，平均燃烧高度≤233.3mm。</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材料名称：钢管</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标准依据：QB/T3827-1999‌《轻工产品金属镀层和化学处理层的耐腐蚀试验方法 乙酸盐雾试验（ASS）法》、QB/T3832-1999‌《轻工产品金属镀层和化学处理层的耐腐蚀试验方法 中性盐雾试验（NSS）法》</w:t>
            </w:r>
          </w:p>
          <w:p>
            <w:pP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技术指标：乙酸盐雾试验1200h、镀层对基体的保护等级10级、镀层本身的耐腐蚀等级10级。</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全折叠功能：椅子整体可完全折叠，节省空间，便于收纳和携带，适合家庭、办公室、户外等多种场景使用。</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93</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报告厅椅</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椅类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r>
              <w:rPr>
                <w:rFonts w:ascii="微软雅黑" w:hAnsi="微软雅黑" w:eastAsia="微软雅黑" w:cs="微软雅黑"/>
                <w:color w:val="808080"/>
                <w:kern w:val="0"/>
                <w:sz w:val="16"/>
                <w:szCs w:val="16"/>
                <w:lang w:bidi="ar"/>
              </w:rPr>
              <w:drawing>
                <wp:inline distT="0" distB="0" distL="114300" distR="114300">
                  <wp:extent cx="1295400" cy="1275080"/>
                  <wp:effectExtent l="0" t="0" r="0" b="20320"/>
                  <wp:docPr id="165" name="图片 184" descr="IMG_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84" descr="IMG_344"/>
                          <pic:cNvPicPr>
                            <a:picLocks noChangeAspect="1"/>
                          </pic:cNvPicPr>
                        </pic:nvPicPr>
                        <pic:blipFill>
                          <a:blip r:embed="rId91"/>
                          <a:stretch>
                            <a:fillRect/>
                          </a:stretch>
                        </pic:blipFill>
                        <pic:spPr>
                          <a:xfrm>
                            <a:off x="0" y="0"/>
                            <a:ext cx="1295400" cy="1274838"/>
                          </a:xfrm>
                          <a:prstGeom prst="rect">
                            <a:avLst/>
                          </a:prstGeom>
                          <a:noFill/>
                          <a:ln w="9525">
                            <a:noFill/>
                          </a:ln>
                        </pic:spPr>
                      </pic:pic>
                    </a:graphicData>
                  </a:graphic>
                </wp:inline>
              </w:drawing>
            </w:r>
          </w:p>
          <w:p>
            <w:pPr>
              <w:widowControl/>
              <w:jc w:val="center"/>
              <w:textAlignment w:val="center"/>
              <w:rPr>
                <w:rFonts w:hint="eastAsia" w:ascii="微软雅黑" w:hAnsi="微软雅黑" w:eastAsia="微软雅黑" w:cs="微软雅黑"/>
                <w:color w:val="808080"/>
                <w:sz w:val="16"/>
                <w:szCs w:val="16"/>
              </w:rPr>
            </w:pP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W610（中心距）*D760*H1030（尺寸偏差±5mm）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332</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由椅座、椅背、扶手等组成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背海绵： 高密度冷发泡PU定型海棉。</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背内板：优质夹板经模具压注成型。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背外板：优质高密度硬木多层板。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座海绵：高密度冷发泡PU定型海棉。</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座框架：优质冷轧钢板经模具冲压加工成型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座外板：采高密度硬木多层板经模具压注成型</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高级优质工程面料</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优质铝合金经模具压注成型。</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整体规格：W610（中心距）*D760*H1030。</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背海绵： 采用高密度冷发泡PU定型海棉。背海棉长度为710mm，宽度为450mm，高度为90mm,海棉密度为45-55KG/M3。</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背内板：采用优质夹板经模具压注成型。外型成弧型，美观大方，具有曲线美。尺寸规格：长度为660 mm，宽度为410mm，厚度为6mm。</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背外板：采用优质高密度硬木多层板，经模具冷压注成型，不褪色，抗变型。背外板规格：长度为760 mm，宽度为500mm，厚度为15mm。</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座海绵：采用高密度冷发泡PU定型海棉（符合GB/T10802-2006的标准）。座海棉长度为485mm，宽度为455mm，高度为150mm,海棉密度为60KG/M3。</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座框架：采用厚度1.5mm优质冷轧钢板经模具冲压加工成型，座包内附1.5mm厚铁框，5条s型弹簧，弹簧直径不小于2.0mm，坚固耐用。</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座外板：采用优质高密度硬木多层板经模具压注成型，尺寸规格：长度为465mm，宽度为425 mm，厚度为15mm。外板具有121个∮10吸音孔与排气孔，吸音孔与排气孔中心距30mm，排气孔与板的最高点为76mm,自此室内的噪音有效降低，板面经六次以上喷油、打磨</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座面：采用高级优质工程面料</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椅脚：采用优质铝合金经模具压注成型。脚架高度：240mm±2mm、脚掌宽60mm±2mm、脚掌长518±2mmmm，脚架与扶手框连接处，尺寸为长230mm*60mm±2mm，有4孔固定上扶手框架，前后孔距为123mm±2mm，左右方向孔距为40mm。地胶螺丝前后孔距离460mm，脚掌两面带有加强筋两面加起来12条，站脚中间处有4个30*10mm±2mm的消音孔每个孔位相距42mm±2mm，每个孔都是可以美化现场音质。配优质PP多元素复合材料经模具压注成型的脚盖；脚架采用地爆螺丝固定在地面，形状侧看为H,正看为工字型。脚底架长方形抓地牢固，优美大气。</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val="en-US" w:eastAsia="zh-CN" w:bidi="ar"/>
              </w:rPr>
              <w:t>扶手及坐板底部透气板：</w:t>
            </w:r>
            <w:r>
              <w:rPr>
                <w:rFonts w:hint="eastAsia" w:ascii="微软雅黑" w:hAnsi="微软雅黑" w:eastAsia="微软雅黑" w:cs="微软雅黑"/>
                <w:color w:val="000000"/>
                <w:kern w:val="0"/>
                <w:sz w:val="16"/>
                <w:szCs w:val="16"/>
                <w:lang w:bidi="ar"/>
              </w:rPr>
              <w:t>采用橡木或榉木，经6次油漆工艺精制而成</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小桌板：采用ABS加厚写字板(长475x宽285x厚25mm), 黑色ABS塑料写字板。写字板收藏于扶手脚旁边，美观方便。</w:t>
            </w:r>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ABS</w:t>
            </w:r>
            <w:r>
              <w:rPr>
                <w:rFonts w:hint="eastAsia" w:ascii="微软雅黑" w:hAnsi="微软雅黑" w:eastAsia="微软雅黑" w:cs="微软雅黑"/>
                <w:color w:val="000000"/>
                <w:kern w:val="0"/>
                <w:sz w:val="16"/>
                <w:szCs w:val="16"/>
                <w:lang w:val="en-US" w:eastAsia="zh-CN" w:bidi="ar"/>
              </w:rPr>
              <w:t>小桌板</w:t>
            </w:r>
            <w:r>
              <w:rPr>
                <w:rFonts w:hint="eastAsia" w:ascii="微软雅黑" w:hAnsi="微软雅黑" w:eastAsia="微软雅黑" w:cs="微软雅黑"/>
                <w:color w:val="000000"/>
                <w:kern w:val="0"/>
                <w:sz w:val="16"/>
                <w:szCs w:val="16"/>
                <w:lang w:bidi="ar"/>
              </w:rPr>
              <w:t>符合GB/T32487-2016-邻苯二甲酸酯：邻苯二甲酸二丁酯(DBP)、邻苯二甲酸丁苄酯(BBP)、邻苯二甲酸二（2-乙基己基）酯(DEHP)、邻苯二甲酸二正辛酯(DNOP)、邻苯二甲酸二异壬酯(DINP)、邻苯二甲酸二异癸酯(DIDP)≤0.015%。重金属4项：可溶性铅≤0.071mg/kg、可溶性镉≤0.03mg/kg、可溶性铬≤0.087mg/kg、可溶性汞均≤0.004mg/kg。</w:t>
            </w:r>
          </w:p>
          <w:p>
            <w:pPr>
              <w:widowControl/>
              <w:jc w:val="left"/>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val="en-US" w:eastAsia="zh-CN" w:bidi="ar"/>
              </w:rPr>
              <w:t>椅座</w:t>
            </w:r>
            <w:r>
              <w:rPr>
                <w:rFonts w:hint="eastAsia" w:ascii="微软雅黑" w:hAnsi="微软雅黑" w:eastAsia="微软雅黑" w:cs="微软雅黑"/>
                <w:color w:val="000000"/>
                <w:kern w:val="0"/>
                <w:sz w:val="16"/>
                <w:szCs w:val="16"/>
                <w:lang w:bidi="ar"/>
              </w:rPr>
              <w:t>采用弹簧自动回复装置，使椅座能精准自动复位，回位轻盈，无杂音，零故障。</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中心距：610mm； 座内宽：530mm；座深：460mm；座高：450mm；扶手高：610mm；</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扶手宽：80mm；全高：1030mm；整体深度：760mm（座包打开）；误差：±5。</w:t>
            </w: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9257"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宋体" w:hAnsi="宋体" w:eastAsia="宋体" w:cs="宋体"/>
                <w:color w:val="000000"/>
                <w:kern w:val="0"/>
                <w:sz w:val="22"/>
                <w:szCs w:val="22"/>
                <w:lang w:bidi="ar"/>
              </w:rPr>
              <w:t>94</w:t>
            </w:r>
          </w:p>
        </w:tc>
        <w:tc>
          <w:tcPr>
            <w:tcW w:w="23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矮柜</w:t>
            </w:r>
          </w:p>
        </w:tc>
        <w:tc>
          <w:tcPr>
            <w:tcW w:w="25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int="eastAsia" w:ascii="华文细黑" w:hAnsi="华文细黑" w:eastAsia="华文细黑" w:cs="华文细黑"/>
                <w:color w:val="000000"/>
                <w:sz w:val="16"/>
                <w:szCs w:val="16"/>
              </w:rPr>
            </w:pPr>
            <w:r>
              <w:rPr>
                <w:rFonts w:ascii="华文细黑" w:hAnsi="华文细黑" w:eastAsia="华文细黑" w:cs="华文细黑"/>
                <w:color w:val="000000"/>
                <w:kern w:val="0"/>
                <w:sz w:val="16"/>
                <w:szCs w:val="16"/>
                <w:lang w:bidi="ar"/>
              </w:rPr>
              <w:t>柜类</w:t>
            </w:r>
          </w:p>
        </w:tc>
        <w:tc>
          <w:tcPr>
            <w:tcW w:w="8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808080"/>
                <w:sz w:val="16"/>
                <w:szCs w:val="16"/>
              </w:rPr>
            </w:pPr>
            <w:r>
              <w:rPr>
                <w:rFonts w:ascii="微软雅黑" w:hAnsi="微软雅黑" w:eastAsia="微软雅黑" w:cs="微软雅黑"/>
                <w:color w:val="808080"/>
                <w:kern w:val="0"/>
                <w:sz w:val="16"/>
                <w:szCs w:val="16"/>
                <w:lang w:bidi="ar"/>
              </w:rPr>
              <w:drawing>
                <wp:inline distT="0" distB="0" distL="114300" distR="114300">
                  <wp:extent cx="1276985" cy="1439545"/>
                  <wp:effectExtent l="0" t="0" r="18415" b="8255"/>
                  <wp:docPr id="166" name="图片 185" descr="IMG_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85" descr="IMG_345"/>
                          <pic:cNvPicPr>
                            <a:picLocks noChangeAspect="1"/>
                          </pic:cNvPicPr>
                        </pic:nvPicPr>
                        <pic:blipFill>
                          <a:blip r:embed="rId92"/>
                          <a:stretch>
                            <a:fillRect/>
                          </a:stretch>
                        </pic:blipFill>
                        <pic:spPr>
                          <a:xfrm>
                            <a:off x="0" y="0"/>
                            <a:ext cx="1276985" cy="1439458"/>
                          </a:xfrm>
                          <a:prstGeom prst="rect">
                            <a:avLst/>
                          </a:prstGeom>
                          <a:noFill/>
                          <a:ln w="9525">
                            <a:noFill/>
                          </a:ln>
                        </pic:spPr>
                      </pic:pic>
                    </a:graphicData>
                  </a:graphic>
                </wp:inline>
              </w:drawing>
            </w:r>
          </w:p>
        </w:tc>
        <w:tc>
          <w:tcPr>
            <w:tcW w:w="6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1000*400*900（尺寸偏差±5mm）</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w:t>
            </w:r>
          </w:p>
        </w:tc>
        <w:tc>
          <w:tcPr>
            <w:tcW w:w="3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由柜体、铰链、滑轨及链接五金组成</w:t>
            </w:r>
          </w:p>
        </w:tc>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微软雅黑" w:hAnsi="微软雅黑" w:eastAsia="微软雅黑" w:cs="微软雅黑"/>
                <w:color w:val="000000"/>
                <w:sz w:val="16"/>
                <w:szCs w:val="16"/>
              </w:rPr>
            </w:pPr>
            <w:r>
              <w:rPr>
                <w:rFonts w:hint="eastAsia" w:ascii="微软雅黑" w:hAnsi="微软雅黑" w:eastAsia="微软雅黑" w:cs="微软雅黑"/>
                <w:color w:val="000000"/>
                <w:kern w:val="0"/>
                <w:sz w:val="16"/>
                <w:szCs w:val="16"/>
                <w:lang w:bidi="ar"/>
              </w:rPr>
              <w:t>1、基材：ENF级优质中密度纤维板。</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2、涂料：环保水性漆</w:t>
            </w:r>
            <w:r>
              <w:rPr>
                <w:rFonts w:hint="eastAsia" w:ascii="微软雅黑" w:hAnsi="微软雅黑" w:eastAsia="微软雅黑" w:cs="微软雅黑"/>
                <w:color w:val="000000"/>
                <w:kern w:val="0"/>
                <w:sz w:val="16"/>
                <w:szCs w:val="16"/>
                <w:lang w:bidi="ar"/>
              </w:rPr>
              <w:br w:type="textWrapping"/>
            </w:r>
            <w:r>
              <w:rPr>
                <w:rFonts w:hint="eastAsia" w:ascii="微软雅黑" w:hAnsi="微软雅黑" w:eastAsia="微软雅黑" w:cs="微软雅黑"/>
                <w:color w:val="000000"/>
                <w:kern w:val="0"/>
                <w:sz w:val="16"/>
                <w:szCs w:val="16"/>
                <w:lang w:bidi="ar"/>
              </w:rPr>
              <w:t>3、五金配件：优质五金配件</w:t>
            </w:r>
          </w:p>
        </w:tc>
        <w:tc>
          <w:tcPr>
            <w:tcW w:w="157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r>
              <w:rPr>
                <w:rFonts w:hint="eastAsia"/>
              </w:rPr>
              <w:t>基材：</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材料名称：中密度纤维板</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材料厚度：25mm、18mm</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标准依据：GB/T 11718-2021《中密度纤维板》、QB/T 4371-2012《家具抗菌性能的评价》、GB/T 1741-2020《漆膜耐霉菌性测定法》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技术指标：甲醛释放量（气候箱法）≤0.005mg/m³。金黄色葡萄球菌、抑菌率＞99.6%、大肠杆菌(大肠埃希氏菌)、抑菌率≥99.6%，耐霉菌性：黄曲霉、黑曲霉、耐霉菌性等级(抗霉菌性等级)0级。</w:t>
            </w:r>
          </w:p>
          <w:p>
            <w:r>
              <w:rPr>
                <w:rFonts w:hint="eastAsia"/>
              </w:rPr>
              <w:t>涂层：</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材料名称：水性底漆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18581-2020《木器涂料中有害物质限量》、GB/T 23999-2009 《室内装饰装修用水性木器涂料》。</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材料名称：水性面漆</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材料等级：Enf级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标准依据：GB 18581-2020 《木器涂料中有害物质限量》、GB/T 23999-2009 《室内装饰装修用水性木器涂料》。</w:t>
            </w:r>
          </w:p>
          <w:p>
            <w:pPr>
              <w:ind w:left="840" w:hanging="840" w:hangingChars="525"/>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VOC含量(涂料)≤2g/L，甲醛含量≤0.005mg/m³，苯系物总和含量[限苯、甲苯、二甲苯(含乙苯)]≤50mg/kg，乙二醇醚及醚酯总和含量(限乙二醇甲醚、乙二醇甲醚醋酸酯、乙二醇乙醚、乙二醇乙醚醋酸酯、乙二醇二甲醚、乙二醇二乙醚、二乙二醇二甲醚、三乙二醇二甲醚)、烷基酚聚氧乙烯醚总和含量≤50mg/kg，不挥发物含量≥30%。</w:t>
            </w:r>
          </w:p>
          <w:p>
            <w:r>
              <w:rPr>
                <w:rFonts w:hint="eastAsia"/>
              </w:rPr>
              <w:t>配件：</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材料名称：铰链</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3827-1999《轻工产品金属镀层和化学处理层的耐腐蚀试验方法 乙酸盐雾试验(ASS)法》、QB/T 3832-1999《轻工产品金属镀层腐蚀试验结果的评价》;QB/T 2189-2013《家具五金 杯状暗铰链》</w:t>
            </w:r>
          </w:p>
          <w:p>
            <w:pPr>
              <w:ind w:left="800" w:hanging="800" w:hangingChars="500"/>
            </w:pPr>
            <w:r>
              <w:rPr>
                <w:rFonts w:hint="eastAsia" w:ascii="微软雅黑" w:hAnsi="微软雅黑" w:eastAsia="微软雅黑" w:cs="微软雅黑"/>
                <w:color w:val="000000"/>
                <w:kern w:val="0"/>
                <w:sz w:val="16"/>
                <w:szCs w:val="16"/>
                <w:lang w:bidi="ar"/>
              </w:rPr>
              <w:t>技术指标：耐腐蚀性实验经过18小时检测后无锈点，乙酸盐雾试验(ASS)连续喷雾600h，镀(涂)层对基体的保护等级、镀(涂)层本身耐腐蚀等级都达到10级。</w:t>
            </w:r>
          </w:p>
          <w:p>
            <w:pP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材料名称：滑轨</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标准依据：QB/T 2454-2013《家具五金 抽屉导轨》GB/T 10125-2021《人造气氛腐蚀试验 盐雾试验》QB/T 3832-1999《轻工产品金属镀层腐蚀试验 结果的评价》QB/T 3827-1999《轻工产品金属镀层和化学处理层的耐腐蚀试验方法 乙酸盐雾试验(ASS)法》</w:t>
            </w:r>
          </w:p>
          <w:p>
            <w:pPr>
              <w:ind w:left="800" w:hanging="800" w:hangingChars="500"/>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技术指标：耐腐蚀性实验经过18小时检测后无锈点。乙酸盐雾试验、铜盐加速乙酸盐雾试验经过650个小时检测后无锈点，达到10级标准。</w:t>
            </w:r>
          </w:p>
          <w:p>
            <w:pPr>
              <w:widowControl/>
              <w:jc w:val="left"/>
              <w:textAlignment w:val="center"/>
              <w:rPr>
                <w:rFonts w:hint="eastAsia" w:ascii="微软雅黑" w:hAnsi="微软雅黑" w:eastAsia="微软雅黑" w:cs="微软雅黑"/>
                <w:color w:val="000000"/>
                <w:sz w:val="16"/>
                <w:szCs w:val="16"/>
              </w:rPr>
            </w:pPr>
          </w:p>
        </w:tc>
        <w:tc>
          <w:tcPr>
            <w:tcW w:w="15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r>
        <w:tblPrEx>
          <w:tblCellMar>
            <w:top w:w="0" w:type="dxa"/>
            <w:left w:w="108" w:type="dxa"/>
            <w:bottom w:w="0" w:type="dxa"/>
            <w:right w:w="108" w:type="dxa"/>
          </w:tblCellMar>
        </w:tblPrEx>
        <w:trPr>
          <w:trHeight w:val="312" w:hRule="atLeast"/>
        </w:trPr>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3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25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left"/>
              <w:rPr>
                <w:rFonts w:hint="eastAsia" w:ascii="华文细黑" w:hAnsi="华文细黑" w:eastAsia="华文细黑" w:cs="华文细黑"/>
                <w:color w:val="000000"/>
                <w:sz w:val="16"/>
                <w:szCs w:val="16"/>
              </w:rPr>
            </w:pPr>
          </w:p>
        </w:tc>
        <w:tc>
          <w:tcPr>
            <w:tcW w:w="8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808080"/>
                <w:sz w:val="16"/>
                <w:szCs w:val="16"/>
              </w:rPr>
            </w:pPr>
          </w:p>
        </w:tc>
        <w:tc>
          <w:tcPr>
            <w:tcW w:w="6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3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微软雅黑" w:hAnsi="微软雅黑" w:eastAsia="微软雅黑" w:cs="微软雅黑"/>
                <w:color w:val="000000"/>
                <w:sz w:val="16"/>
                <w:szCs w:val="16"/>
              </w:rPr>
            </w:pPr>
          </w:p>
        </w:tc>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微软雅黑" w:hAnsi="微软雅黑" w:eastAsia="微软雅黑" w:cs="微软雅黑"/>
                <w:color w:val="000000"/>
                <w:sz w:val="16"/>
                <w:szCs w:val="16"/>
              </w:rPr>
            </w:pPr>
          </w:p>
        </w:tc>
        <w:tc>
          <w:tcPr>
            <w:tcW w:w="157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left"/>
              <w:rPr>
                <w:rFonts w:hint="eastAsia" w:ascii="微软雅黑" w:hAnsi="微软雅黑" w:eastAsia="微软雅黑" w:cs="微软雅黑"/>
                <w:color w:val="000000"/>
                <w:sz w:val="16"/>
                <w:szCs w:val="16"/>
              </w:rPr>
            </w:pPr>
          </w:p>
        </w:tc>
        <w:tc>
          <w:tcPr>
            <w:tcW w:w="15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华文细黑" w:hAnsi="华文细黑" w:eastAsia="华文细黑" w:cs="华文细黑"/>
                <w:color w:val="000000"/>
                <w:sz w:val="16"/>
                <w:szCs w:val="16"/>
              </w:rPr>
            </w:pPr>
          </w:p>
        </w:tc>
      </w:tr>
    </w:tbl>
    <w:p/>
    <w:p/>
    <w:p>
      <w:r>
        <w:rPr>
          <w:rFonts w:hint="eastAsia"/>
        </w:rPr>
        <w:t>注：</w:t>
      </w:r>
    </w:p>
    <w:p>
      <w:r>
        <w:rPr>
          <w:rFonts w:hint="eastAsia"/>
        </w:rPr>
        <w:t>1）投标方应对投标货物品牌、尺寸规格、颜色、材料、质量、性能等作出说明，提供所投产品的技术参数偏离表，按实际情况注明以上清单产品各项技术参数偏离情况（正偏离/满足/负偏离），技术要求偏离表不能违背真实的参数和指标。</w:t>
      </w:r>
    </w:p>
    <w:p>
      <w:r>
        <w:rPr>
          <w:rFonts w:hint="eastAsia"/>
        </w:rPr>
        <w:t>2）项目需求中指出的技术标准与规范如有更新，应以最新的标准规范实施。</w:t>
      </w:r>
    </w:p>
    <w:p>
      <w:r>
        <w:rPr>
          <w:rFonts w:hint="eastAsia"/>
        </w:rPr>
        <w:t>3）本包件核心产品为：93 报告厅椅</w:t>
      </w:r>
    </w:p>
    <w:p>
      <w:pPr>
        <w:sectPr>
          <w:pgSz w:w="16838" w:h="11906" w:orient="landscape"/>
          <w:pgMar w:top="1247" w:right="1247" w:bottom="1417" w:left="1247" w:header="851" w:footer="992" w:gutter="0"/>
          <w:cols w:space="425" w:num="1"/>
          <w:docGrid w:type="lines" w:linePitch="312" w:charSpace="0"/>
        </w:sectPr>
      </w:pPr>
    </w:p>
    <w:p>
      <w:pPr>
        <w:spacing w:before="123" w:line="360" w:lineRule="auto"/>
        <w:ind w:firstLine="422" w:firstLineChars="200"/>
        <w:outlineLvl w:val="6"/>
        <w:rPr>
          <w:rFonts w:hint="eastAsia" w:ascii="宋体" w:hAnsi="宋体" w:eastAsia="宋体" w:cs="宋体"/>
        </w:rPr>
      </w:pPr>
      <w:r>
        <w:rPr>
          <w:rFonts w:hint="eastAsia" w:ascii="宋体" w:hAnsi="宋体" w:eastAsia="宋体" w:cs="宋体"/>
          <w:b/>
          <w:bCs/>
        </w:rPr>
        <w:t>四、材料要求</w:t>
      </w:r>
    </w:p>
    <w:p>
      <w:pPr>
        <w:pStyle w:val="12"/>
        <w:spacing w:before="315" w:line="360" w:lineRule="auto"/>
        <w:ind w:firstLine="420" w:firstLineChars="200"/>
        <w:rPr>
          <w:rFonts w:hint="eastAsia"/>
          <w:sz w:val="21"/>
          <w:szCs w:val="21"/>
        </w:rPr>
      </w:pPr>
      <w:r>
        <w:rPr>
          <w:rFonts w:hint="eastAsia"/>
          <w:sz w:val="21"/>
          <w:szCs w:val="21"/>
        </w:rPr>
        <w:t>本项目（包件）采用的材料需符合以下要求：</w:t>
      </w:r>
    </w:p>
    <w:p>
      <w:pPr>
        <w:spacing w:line="360" w:lineRule="auto"/>
        <w:rPr>
          <w:rFonts w:hint="eastAsia" w:ascii="宋体" w:hAnsi="宋体" w:eastAsia="宋体" w:cs="宋体"/>
          <w:b/>
          <w:bCs/>
        </w:rPr>
      </w:pPr>
    </w:p>
    <w:p>
      <w:pPr>
        <w:spacing w:line="360" w:lineRule="auto"/>
        <w:ind w:firstLine="420" w:firstLineChars="200"/>
        <w:rPr>
          <w:rFonts w:hint="eastAsia" w:ascii="宋体" w:hAnsi="宋体" w:eastAsia="宋体" w:cs="宋体"/>
        </w:rPr>
      </w:pPr>
      <w:r>
        <w:rPr>
          <w:rFonts w:hint="eastAsia" w:ascii="宋体" w:hAnsi="宋体" w:eastAsia="宋体" w:cs="宋体"/>
        </w:rPr>
        <w:t>（一） 实木多层板：符合GB 18580-2017、GB/T 39600-2021、QB/T 4371-2012、GB/T 1741-2020，甲醛释放量（气候箱法）≤0.005mg/m³。金黄色葡萄球菌抑菌率&gt;99.8%(培养24h)，大肠埃希氏菌（大肠杆菌）抑菌率&gt;99.8%(培养24h)。黑曲霉、黄曲霉耐霉菌性等级达到0级(不生长，显微镜放大50倍观察)；</w:t>
      </w:r>
    </w:p>
    <w:p>
      <w:pPr>
        <w:spacing w:line="360" w:lineRule="auto"/>
        <w:ind w:firstLine="420" w:firstLineChars="200"/>
        <w:rPr>
          <w:rFonts w:hint="eastAsia" w:ascii="宋体" w:hAnsi="宋体" w:eastAsia="宋体" w:cs="宋体"/>
        </w:rPr>
      </w:pPr>
      <w:r>
        <w:rPr>
          <w:rFonts w:hint="eastAsia" w:ascii="宋体" w:hAnsi="宋体" w:eastAsia="宋体" w:cs="宋体"/>
        </w:rPr>
        <w:t xml:space="preserve">（二）钢管：符合QB/T3827-1999、QB/T3832-1999-乙酸盐雾试验、1200h、镀层对基体的保护等级10级、镀层本身的耐腐蚀等级10级。。 </w:t>
      </w:r>
    </w:p>
    <w:p>
      <w:pPr>
        <w:spacing w:line="360" w:lineRule="auto"/>
        <w:ind w:firstLine="420" w:firstLineChars="200"/>
        <w:rPr>
          <w:rFonts w:hint="eastAsia" w:ascii="宋体" w:hAnsi="宋体" w:eastAsia="宋体" w:cs="宋体"/>
        </w:rPr>
      </w:pPr>
      <w:r>
        <w:rPr>
          <w:rFonts w:hint="eastAsia" w:ascii="宋体" w:hAnsi="宋体" w:eastAsia="宋体" w:cs="宋体"/>
        </w:rPr>
        <w:t>（三）浸渍胶膜纸饰面刨花板：符合GB/T 39600-2021、QB/T 4371-2012、GB/T 1741-2020，甲醛释放量（气候箱法）≤0.005mg/m³。金黄色葡萄球菌、抑菌率＞99.6%、大肠杆菌(大肠埃希氏菌)、抑菌率≥99.6%、耐霉菌性：黄曲霉、黑曲霉、耐霉菌性等级(抗霉菌性等级)0级。</w:t>
      </w:r>
    </w:p>
    <w:p>
      <w:pPr>
        <w:spacing w:line="360" w:lineRule="auto"/>
        <w:ind w:firstLine="420" w:firstLineChars="200"/>
        <w:rPr>
          <w:rFonts w:hint="eastAsia" w:ascii="宋体" w:hAnsi="宋体" w:eastAsia="宋体" w:cs="宋体"/>
          <w:highlight w:val="none"/>
        </w:rPr>
      </w:pPr>
      <w:r>
        <w:rPr>
          <w:rFonts w:hint="eastAsia" w:ascii="宋体" w:hAnsi="宋体" w:eastAsia="宋体" w:cs="宋体"/>
          <w:color w:val="auto"/>
          <w:highlight w:val="none"/>
          <w:lang w:eastAsia="zh-CN"/>
        </w:rPr>
        <w:t>（四）ABS小桌板：符合GB/T32487-2016-邻苯二甲酸酯：邻苯二甲酸二丁酯(DBP)、邻苯二甲酸丁苄酯(BBP)、邻苯二甲酸二（2-乙基己基）酯(DEHP)、邻苯二甲酸二正辛酯(DNOP)、邻苯二甲酸二异壬酯(DINP)、邻苯二甲酸二异癸酯(DIDP)≤0.015%。重金属4项：可溶性铅≤0.071mg/kg、可溶性镉≤0.03mg/kg、可溶性铬≤0.087mg/kg、可溶性汞均≤0.004mg/kg。</w:t>
      </w:r>
    </w:p>
    <w:p>
      <w:pPr>
        <w:spacing w:line="360" w:lineRule="auto"/>
        <w:ind w:firstLine="420" w:firstLineChars="200"/>
        <w:rPr>
          <w:rFonts w:hint="eastAsia" w:ascii="宋体" w:hAnsi="宋体" w:eastAsia="宋体" w:cs="宋体"/>
        </w:rPr>
      </w:pPr>
      <w:r>
        <w:rPr>
          <w:rFonts w:hint="eastAsia" w:ascii="宋体" w:hAnsi="宋体" w:eastAsia="宋体" w:cs="宋体"/>
        </w:rPr>
        <w:t>（五）中密度纤维板：符合GB/T 39600-2021、QB/T 4371-2012、GB/T 1741-2020-甲醛释放量（气候箱法）≤0.005mg/m³。金黄色葡萄球菌、抑菌率＞99.6%、大肠杆菌(大肠埃希氏菌)</w:t>
      </w:r>
      <w:bookmarkStart w:id="8" w:name="_GoBack"/>
      <w:bookmarkEnd w:id="8"/>
      <w:r>
        <w:rPr>
          <w:rFonts w:hint="eastAsia" w:ascii="宋体" w:hAnsi="宋体" w:eastAsia="宋体" w:cs="宋体"/>
        </w:rPr>
        <w:t>、抑菌率≥99.6%，耐霉菌性：黄曲霉、黑曲霉、耐霉菌性等级(抗霉菌性等级)0级。</w:t>
      </w:r>
    </w:p>
    <w:p>
      <w:pPr>
        <w:spacing w:line="360" w:lineRule="auto"/>
        <w:ind w:firstLine="420" w:firstLineChars="200"/>
        <w:rPr>
          <w:rFonts w:hint="eastAsia" w:ascii="宋体" w:hAnsi="宋体" w:eastAsia="宋体" w:cs="宋体"/>
        </w:rPr>
      </w:pPr>
      <w:r>
        <w:rPr>
          <w:rFonts w:hint="eastAsia" w:ascii="宋体" w:hAnsi="宋体" w:eastAsia="宋体" w:cs="宋体"/>
        </w:rPr>
        <w:t>（六）铝合金：符合 GB</w:t>
      </w:r>
      <w:r>
        <w:rPr>
          <w:rFonts w:hint="eastAsia" w:ascii="宋体" w:hAnsi="宋体" w:eastAsia="宋体" w:cs="宋体"/>
          <w:lang w:val="en-US" w:eastAsia="zh-CN"/>
        </w:rPr>
        <w:t>/</w:t>
      </w:r>
      <w:r>
        <w:rPr>
          <w:rFonts w:hint="eastAsia" w:ascii="宋体" w:hAnsi="宋体" w:eastAsia="宋体" w:cs="宋体"/>
        </w:rPr>
        <w:t>T 3325-20</w:t>
      </w:r>
      <w:r>
        <w:rPr>
          <w:rFonts w:hint="eastAsia" w:ascii="宋体" w:hAnsi="宋体" w:eastAsia="宋体" w:cs="宋体"/>
          <w:lang w:val="en-US" w:eastAsia="zh-CN"/>
        </w:rPr>
        <w:t>24</w:t>
      </w:r>
      <w:r>
        <w:rPr>
          <w:rFonts w:hint="eastAsia" w:ascii="宋体" w:hAnsi="宋体" w:eastAsia="宋体" w:cs="宋体"/>
        </w:rPr>
        <w:t>、GB/T 10125-2021、QB/T 3832-1999、QB/T 3827-1999、QB/T 3828-1999：外观性能要求-金属件-冲压件无脱层、裂缝喷涂层-涂层应无漏喷、锈蚀和脱色、掉色现象。涂层应光滑均匀、色泽一致，应无流挂、疙瘩、皱皮、飞漆等缺陷，铜加速乙酸盐雾24h，乙酸盐雾试验1200h，等级10级，无锈点，铜盐加速乙酸盐雾试验100h，等级10级，无锈点</w:t>
      </w:r>
    </w:p>
    <w:p>
      <w:pPr>
        <w:spacing w:line="360" w:lineRule="auto"/>
        <w:ind w:firstLine="638" w:firstLineChars="304"/>
        <w:rPr>
          <w:rFonts w:hint="eastAsia" w:ascii="宋体" w:hAnsi="宋体" w:eastAsia="宋体" w:cs="宋体"/>
        </w:rPr>
      </w:pPr>
      <w:r>
        <w:rPr>
          <w:rFonts w:hint="eastAsia" w:ascii="宋体" w:hAnsi="宋体" w:eastAsia="宋体" w:cs="宋体"/>
        </w:rPr>
        <w:t>说明（1）本项目提供的检测报告签发日期不早于</w:t>
      </w:r>
      <w:bookmarkStart w:id="5" w:name="_Hlk203035747"/>
      <w:r>
        <w:rPr>
          <w:rFonts w:hint="eastAsia" w:ascii="宋体" w:hAnsi="宋体" w:eastAsia="宋体" w:cs="宋体"/>
        </w:rPr>
        <w:t>该项目开标之日前一年</w:t>
      </w:r>
      <w:bookmarkEnd w:id="5"/>
      <w:r>
        <w:rPr>
          <w:rFonts w:hint="eastAsia" w:ascii="宋体" w:hAnsi="宋体" w:eastAsia="宋体" w:cs="宋体"/>
        </w:rPr>
        <w:t>，由具备CMA资质的专业计量检测单位出具</w:t>
      </w:r>
      <w:bookmarkStart w:id="6" w:name="_Hlk203035563"/>
      <w:r>
        <w:rPr>
          <w:rFonts w:hint="eastAsia" w:ascii="宋体" w:hAnsi="宋体" w:eastAsia="宋体" w:cs="宋体"/>
        </w:rPr>
        <w:t>。（中标单位在产品交付验收时，提供投标文件的检测报告原件，作为验收材料一并提交</w:t>
      </w:r>
      <w:bookmarkStart w:id="7" w:name="_Hlk203469208"/>
      <w:r>
        <w:rPr>
          <w:rFonts w:hint="eastAsia" w:ascii="宋体" w:hAnsi="宋体" w:eastAsia="宋体" w:cs="宋体"/>
        </w:rPr>
        <w:t>，验收完成后予以返还</w:t>
      </w:r>
      <w:bookmarkEnd w:id="7"/>
      <w:r>
        <w:rPr>
          <w:rFonts w:hint="eastAsia" w:ascii="宋体" w:hAnsi="宋体" w:eastAsia="宋体" w:cs="宋体"/>
        </w:rPr>
        <w:t>）；</w:t>
      </w:r>
      <w:bookmarkEnd w:id="6"/>
    </w:p>
    <w:p>
      <w:pPr>
        <w:numPr>
          <w:ilvl w:val="0"/>
          <w:numId w:val="2"/>
        </w:numPr>
        <w:spacing w:line="360" w:lineRule="auto"/>
        <w:ind w:firstLine="638" w:firstLineChars="304"/>
        <w:rPr>
          <w:rFonts w:hint="eastAsia" w:ascii="宋体" w:hAnsi="宋体" w:eastAsia="宋体" w:cs="宋体"/>
        </w:rPr>
      </w:pPr>
      <w:r>
        <w:rPr>
          <w:rFonts w:hint="eastAsia" w:ascii="宋体" w:hAnsi="宋体" w:eastAsia="宋体" w:cs="宋体"/>
        </w:rPr>
        <w:t>上述原材料要求如与“</w:t>
      </w:r>
      <w:r>
        <w:rPr>
          <w:rFonts w:hint="eastAsia" w:ascii="宋体" w:hAnsi="宋体" w:eastAsia="宋体" w:cs="宋体"/>
          <w:b/>
          <w:bCs/>
          <w:spacing w:val="-2"/>
        </w:rPr>
        <w:t>三、</w:t>
      </w:r>
      <w:r>
        <w:rPr>
          <w:rFonts w:hint="eastAsia" w:ascii="宋体" w:hAnsi="宋体" w:eastAsia="宋体" w:cs="宋体"/>
          <w:b/>
          <w:bCs/>
        </w:rPr>
        <w:t>采购清单及技术参数</w:t>
      </w:r>
      <w:r>
        <w:rPr>
          <w:rFonts w:hint="eastAsia" w:ascii="宋体" w:hAnsi="宋体" w:eastAsia="宋体" w:cs="宋体"/>
          <w:b/>
          <w:bCs/>
          <w:spacing w:val="-2"/>
        </w:rPr>
        <w:t>要求</w:t>
      </w:r>
      <w:r>
        <w:rPr>
          <w:rFonts w:hint="eastAsia" w:ascii="宋体" w:hAnsi="宋体" w:eastAsia="宋体" w:cs="宋体"/>
        </w:rPr>
        <w:t>”不一致，以上述要求为准，检测报告原件备查；</w:t>
      </w:r>
    </w:p>
    <w:p>
      <w:pPr>
        <w:numPr>
          <w:ilvl w:val="0"/>
          <w:numId w:val="2"/>
        </w:numPr>
        <w:spacing w:line="360" w:lineRule="auto"/>
        <w:ind w:firstLine="638" w:firstLineChars="304"/>
        <w:rPr>
          <w:rFonts w:hint="eastAsia" w:ascii="宋体" w:hAnsi="宋体" w:eastAsia="宋体" w:cs="宋体"/>
        </w:rPr>
      </w:pPr>
      <w:r>
        <w:rPr>
          <w:rFonts w:hint="eastAsia" w:ascii="宋体" w:hAnsi="宋体" w:eastAsia="宋体" w:cs="宋体"/>
        </w:rPr>
        <w:t>针对不同叫法的同一原材料，其检测报告均予认可（如名称不一致，需注明需求中对应的原材料名称）；</w:t>
      </w:r>
    </w:p>
    <w:p>
      <w:pPr>
        <w:numPr>
          <w:ilvl w:val="0"/>
          <w:numId w:val="2"/>
        </w:numPr>
        <w:spacing w:line="360" w:lineRule="auto"/>
        <w:ind w:firstLine="420" w:firstLineChars="200"/>
        <w:rPr>
          <w:rFonts w:hint="eastAsia" w:ascii="宋体" w:hAnsi="宋体" w:eastAsia="宋体" w:cs="宋体"/>
        </w:rPr>
      </w:pPr>
      <w:r>
        <w:rPr>
          <w:rFonts w:hint="eastAsia" w:ascii="宋体" w:hAnsi="宋体" w:eastAsia="宋体" w:cs="宋体"/>
        </w:rPr>
        <w:t>投标人需提供承诺函，承诺货物生产过程中，拟投入的原材料的参数不低于所提供的检测报告结果；</w:t>
      </w:r>
      <w:r>
        <w:rPr>
          <w:rFonts w:hint="eastAsia" w:ascii="宋体" w:hAnsi="宋体" w:eastAsia="宋体" w:cs="宋体"/>
          <w:color w:val="auto"/>
          <w:lang w:eastAsia="zh-CN"/>
        </w:rPr>
        <w:t>受检单位要求：检测报告上的委托单位(受检单位)名称必须与投标人或投标产品的制造商或原材料的生产厂家名称一致，否则不予认可</w:t>
      </w:r>
      <w:r>
        <w:rPr>
          <w:rFonts w:hint="eastAsia" w:ascii="宋体" w:hAnsi="宋体" w:eastAsia="宋体" w:cs="宋体"/>
        </w:rPr>
        <w:t>。</w:t>
      </w:r>
    </w:p>
    <w:p>
      <w:pPr>
        <w:rPr>
          <w:rFonts w:hint="eastAsia" w:ascii="宋体" w:hAnsi="宋体" w:eastAsia="宋体" w:cs="宋体"/>
        </w:rPr>
      </w:pPr>
      <w:r>
        <w:rPr>
          <w:rFonts w:hint="eastAsia" w:ascii="宋体" w:hAnsi="宋体" w:eastAsia="宋体" w:cs="宋体"/>
        </w:rPr>
        <w:br w:type="page"/>
      </w:r>
    </w:p>
    <w:p>
      <w:pPr>
        <w:spacing w:before="121" w:line="360" w:lineRule="auto"/>
        <w:ind w:firstLine="402" w:firstLineChars="200"/>
        <w:rPr>
          <w:rFonts w:hint="eastAsia" w:ascii="宋体" w:hAnsi="宋体" w:eastAsia="宋体" w:cs="宋体"/>
          <w:b/>
          <w:bCs/>
        </w:rPr>
      </w:pPr>
      <w:r>
        <w:rPr>
          <w:rFonts w:hint="eastAsia" w:ascii="宋体" w:hAnsi="宋体" w:eastAsia="宋体" w:cs="宋体"/>
          <w:b/>
          <w:bCs/>
          <w:spacing w:val="-5"/>
        </w:rPr>
        <w:t>五、颜色要求</w:t>
      </w:r>
    </w:p>
    <w:tbl>
      <w:tblPr>
        <w:tblStyle w:val="23"/>
        <w:tblpPr w:leftFromText="180" w:rightFromText="180" w:vertAnchor="text" w:horzAnchor="page" w:tblpX="1534" w:tblpY="110"/>
        <w:tblOverlap w:val="never"/>
        <w:tblW w:w="500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822"/>
        <w:gridCol w:w="743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3" w:hRule="atLeast"/>
        </w:trPr>
        <w:tc>
          <w:tcPr>
            <w:tcW w:w="984" w:type="pct"/>
          </w:tcPr>
          <w:p>
            <w:pPr>
              <w:pStyle w:val="22"/>
              <w:spacing w:before="237" w:line="360" w:lineRule="auto"/>
              <w:jc w:val="center"/>
              <w:rPr>
                <w:rFonts w:hint="eastAsia"/>
                <w:b/>
                <w:bCs/>
                <w:sz w:val="21"/>
                <w:szCs w:val="21"/>
              </w:rPr>
            </w:pPr>
            <w:r>
              <w:rPr>
                <w:rFonts w:hint="eastAsia"/>
                <w:b/>
                <w:bCs/>
                <w:spacing w:val="-8"/>
                <w:sz w:val="21"/>
                <w:szCs w:val="21"/>
              </w:rPr>
              <w:t>分类</w:t>
            </w:r>
          </w:p>
        </w:tc>
        <w:tc>
          <w:tcPr>
            <w:tcW w:w="4015" w:type="pct"/>
          </w:tcPr>
          <w:p>
            <w:pPr>
              <w:pStyle w:val="22"/>
              <w:spacing w:before="238" w:line="360" w:lineRule="auto"/>
              <w:ind w:left="152"/>
              <w:jc w:val="center"/>
              <w:rPr>
                <w:rFonts w:hint="eastAsia"/>
                <w:b/>
                <w:bCs/>
                <w:sz w:val="21"/>
                <w:szCs w:val="21"/>
              </w:rPr>
            </w:pPr>
            <w:r>
              <w:rPr>
                <w:rFonts w:hint="eastAsia"/>
                <w:b/>
                <w:bCs/>
                <w:spacing w:val="3"/>
                <w:sz w:val="21"/>
                <w:szCs w:val="21"/>
              </w:rPr>
              <w:t>主体颜色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56" w:hRule="atLeast"/>
        </w:trPr>
        <w:tc>
          <w:tcPr>
            <w:tcW w:w="984" w:type="pct"/>
            <w:vAlign w:val="center"/>
          </w:tcPr>
          <w:p>
            <w:pPr>
              <w:pStyle w:val="22"/>
              <w:spacing w:before="94" w:line="360" w:lineRule="auto"/>
              <w:jc w:val="center"/>
              <w:rPr>
                <w:rFonts w:hint="eastAsia"/>
                <w:sz w:val="21"/>
                <w:szCs w:val="21"/>
              </w:rPr>
            </w:pPr>
            <w:r>
              <w:rPr>
                <w:rFonts w:hint="eastAsia"/>
                <w:spacing w:val="-7"/>
                <w:sz w:val="21"/>
                <w:szCs w:val="21"/>
              </w:rPr>
              <w:t>木制</w:t>
            </w:r>
          </w:p>
        </w:tc>
        <w:tc>
          <w:tcPr>
            <w:tcW w:w="4015" w:type="pct"/>
            <w:vAlign w:val="center"/>
          </w:tcPr>
          <w:p>
            <w:pPr>
              <w:pStyle w:val="22"/>
              <w:spacing w:before="54" w:line="360" w:lineRule="auto"/>
              <w:jc w:val="center"/>
              <w:rPr>
                <w:rFonts w:hint="eastAsia"/>
                <w:sz w:val="21"/>
                <w:szCs w:val="21"/>
              </w:rPr>
            </w:pPr>
            <w:r>
              <w:rPr>
                <w:rFonts w:hint="eastAsia"/>
                <w:spacing w:val="-1"/>
                <w:sz w:val="21"/>
                <w:szCs w:val="21"/>
              </w:rPr>
              <w:t>纹路：木皮保留天然纹路感。</w:t>
            </w:r>
          </w:p>
          <w:p>
            <w:pPr>
              <w:pStyle w:val="22"/>
              <w:spacing w:before="86" w:line="360" w:lineRule="auto"/>
              <w:jc w:val="center"/>
              <w:rPr>
                <w:rFonts w:hint="eastAsia"/>
                <w:sz w:val="21"/>
                <w:szCs w:val="21"/>
              </w:rPr>
            </w:pPr>
            <w:r>
              <w:rPr>
                <w:rFonts w:hint="eastAsia"/>
                <w:spacing w:val="-1"/>
                <w:sz w:val="21"/>
                <w:szCs w:val="21"/>
              </w:rPr>
              <w:t>颜色：胡桃木色</w:t>
            </w:r>
            <w:r>
              <w:rPr>
                <w:rFonts w:hint="eastAsia"/>
                <w:spacing w:val="-1"/>
                <w:sz w:val="21"/>
                <w:szCs w:val="21"/>
                <w:lang w:eastAsia="zh-CN"/>
              </w:rPr>
              <w:t>、</w:t>
            </w:r>
            <w:r>
              <w:rPr>
                <w:rFonts w:hint="eastAsia"/>
                <w:spacing w:val="-1"/>
                <w:sz w:val="21"/>
                <w:szCs w:val="21"/>
                <w:lang w:val="en-US" w:eastAsia="zh-CN"/>
              </w:rPr>
              <w:t>白色等</w:t>
            </w:r>
            <w:r>
              <w:rPr>
                <w:rFonts w:hint="eastAsia"/>
                <w:spacing w:val="-1"/>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8" w:hRule="atLeast"/>
        </w:trPr>
        <w:tc>
          <w:tcPr>
            <w:tcW w:w="984" w:type="pct"/>
            <w:vAlign w:val="center"/>
          </w:tcPr>
          <w:p>
            <w:pPr>
              <w:pStyle w:val="22"/>
              <w:spacing w:before="268" w:line="360" w:lineRule="auto"/>
              <w:jc w:val="center"/>
              <w:rPr>
                <w:rFonts w:hint="eastAsia"/>
                <w:sz w:val="21"/>
                <w:szCs w:val="21"/>
              </w:rPr>
            </w:pPr>
            <w:r>
              <w:rPr>
                <w:rFonts w:hint="eastAsia"/>
                <w:spacing w:val="-5"/>
                <w:sz w:val="21"/>
                <w:szCs w:val="21"/>
              </w:rPr>
              <w:t>钢制</w:t>
            </w:r>
          </w:p>
        </w:tc>
        <w:tc>
          <w:tcPr>
            <w:tcW w:w="4015" w:type="pct"/>
            <w:vAlign w:val="center"/>
          </w:tcPr>
          <w:p>
            <w:pPr>
              <w:pStyle w:val="22"/>
              <w:spacing w:before="127" w:line="360" w:lineRule="auto"/>
              <w:jc w:val="center"/>
              <w:rPr>
                <w:rFonts w:hint="eastAsia"/>
                <w:sz w:val="21"/>
                <w:szCs w:val="21"/>
              </w:rPr>
            </w:pPr>
            <w:r>
              <w:rPr>
                <w:rFonts w:hint="eastAsia"/>
                <w:spacing w:val="-1"/>
                <w:sz w:val="21"/>
                <w:szCs w:val="21"/>
              </w:rPr>
              <w:t>颜色：砂纹白</w:t>
            </w:r>
            <w:r>
              <w:rPr>
                <w:rFonts w:hint="eastAsia"/>
                <w:spacing w:val="-1"/>
                <w:sz w:val="21"/>
                <w:szCs w:val="21"/>
                <w:lang w:eastAsia="zh-CN"/>
              </w:rPr>
              <w:t>、</w:t>
            </w:r>
            <w:r>
              <w:rPr>
                <w:rFonts w:hint="eastAsia"/>
                <w:spacing w:val="-1"/>
                <w:sz w:val="21"/>
                <w:szCs w:val="21"/>
                <w:lang w:val="en-US" w:eastAsia="zh-CN"/>
              </w:rPr>
              <w:t>浅灰白等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2" w:hRule="atLeast"/>
        </w:trPr>
        <w:tc>
          <w:tcPr>
            <w:tcW w:w="984" w:type="pct"/>
            <w:vAlign w:val="center"/>
          </w:tcPr>
          <w:p>
            <w:pPr>
              <w:pStyle w:val="22"/>
              <w:spacing w:before="250" w:line="360" w:lineRule="auto"/>
              <w:jc w:val="center"/>
              <w:rPr>
                <w:rFonts w:hint="eastAsia"/>
                <w:sz w:val="21"/>
                <w:szCs w:val="21"/>
              </w:rPr>
            </w:pPr>
            <w:r>
              <w:rPr>
                <w:rFonts w:hint="eastAsia"/>
                <w:spacing w:val="2"/>
                <w:sz w:val="21"/>
                <w:szCs w:val="21"/>
              </w:rPr>
              <w:t>椅子、沙发</w:t>
            </w:r>
          </w:p>
        </w:tc>
        <w:tc>
          <w:tcPr>
            <w:tcW w:w="4015" w:type="pct"/>
            <w:vAlign w:val="center"/>
          </w:tcPr>
          <w:p>
            <w:pPr>
              <w:pStyle w:val="22"/>
              <w:spacing w:before="127" w:line="360" w:lineRule="auto"/>
              <w:jc w:val="center"/>
              <w:rPr>
                <w:rFonts w:hint="eastAsia"/>
                <w:sz w:val="21"/>
                <w:szCs w:val="21"/>
              </w:rPr>
            </w:pPr>
            <w:r>
              <w:rPr>
                <w:rFonts w:hint="eastAsia"/>
                <w:sz w:val="21"/>
                <w:szCs w:val="21"/>
              </w:rPr>
              <w:t>颜色：黑色、棕色</w:t>
            </w:r>
            <w:r>
              <w:rPr>
                <w:rFonts w:hint="eastAsia"/>
                <w:sz w:val="21"/>
                <w:szCs w:val="21"/>
                <w:lang w:eastAsia="zh-CN"/>
              </w:rPr>
              <w:t>、</w:t>
            </w:r>
            <w:r>
              <w:rPr>
                <w:rFonts w:hint="eastAsia"/>
                <w:sz w:val="21"/>
                <w:szCs w:val="21"/>
                <w:lang w:val="en-US" w:eastAsia="zh-CN"/>
              </w:rPr>
              <w:t>橙色、灰色、蓝色、绿色</w:t>
            </w:r>
            <w:r>
              <w:rPr>
                <w:rFonts w:hint="eastAsia"/>
                <w:spacing w:val="-1"/>
                <w:sz w:val="21"/>
                <w:szCs w:val="21"/>
                <w:lang w:val="en-US" w:eastAsia="zh-CN"/>
              </w:rPr>
              <w:t>等</w:t>
            </w:r>
          </w:p>
        </w:tc>
      </w:tr>
    </w:tbl>
    <w:p>
      <w:pPr>
        <w:spacing w:line="360" w:lineRule="auto"/>
        <w:rPr>
          <w:rFonts w:hint="eastAsia" w:ascii="宋体" w:hAnsi="宋体" w:eastAsia="宋体" w:cs="宋体"/>
        </w:rPr>
      </w:pPr>
    </w:p>
    <w:p>
      <w:pPr>
        <w:spacing w:line="360" w:lineRule="auto"/>
        <w:rPr>
          <w:rFonts w:hint="eastAsia" w:ascii="宋体" w:hAnsi="宋体" w:eastAsia="宋体" w:cs="宋体"/>
        </w:rPr>
      </w:pPr>
    </w:p>
    <w:p>
      <w:pPr>
        <w:spacing w:before="311" w:line="360" w:lineRule="auto"/>
        <w:ind w:firstLine="420" w:firstLineChars="200"/>
        <w:rPr>
          <w:rFonts w:hint="eastAsia" w:ascii="宋体" w:hAnsi="宋体" w:eastAsia="宋体" w:cs="宋体"/>
        </w:rPr>
      </w:pPr>
      <w:r>
        <w:rPr>
          <w:rFonts w:hint="eastAsia" w:ascii="宋体" w:hAnsi="宋体" w:eastAsia="宋体" w:cs="宋体"/>
        </w:rPr>
        <w:t>说明：1.家具颜色应与建筑内装饰风格相适应，配色有逻辑、有理念，风格合理，主体颜色投标时暂按以上要求考虑</w:t>
      </w:r>
      <w:r>
        <w:rPr>
          <w:rFonts w:hint="eastAsia" w:ascii="宋体" w:hAnsi="宋体" w:eastAsia="宋体" w:cs="宋体"/>
          <w:lang w:eastAsia="zh-CN"/>
        </w:rPr>
        <w:t>。</w:t>
      </w:r>
      <w:r>
        <w:rPr>
          <w:rFonts w:hint="eastAsia" w:ascii="宋体" w:hAnsi="宋体" w:eastAsia="宋体" w:cs="宋体"/>
        </w:rPr>
        <w:t>中标后具体颜色须待采购人明确后方可下单制作</w:t>
      </w:r>
      <w:r>
        <w:rPr>
          <w:rFonts w:hint="eastAsia" w:ascii="宋体" w:hAnsi="宋体" w:eastAsia="宋体" w:cs="宋体"/>
          <w:lang w:eastAsia="zh-CN"/>
        </w:rPr>
        <w:t>（提供承诺函，加盖投标人及生产厂商公章）</w:t>
      </w:r>
      <w:r>
        <w:rPr>
          <w:rFonts w:hint="eastAsia" w:ascii="宋体" w:hAnsi="宋体" w:eastAsia="宋体" w:cs="宋体"/>
        </w:rPr>
        <w:t>。</w:t>
      </w:r>
    </w:p>
    <w:p>
      <w:pPr>
        <w:ind w:left="420" w:firstLine="630" w:firstLineChars="300"/>
        <w:rPr>
          <w:rFonts w:hint="eastAsia" w:ascii="宋体" w:hAnsi="宋体" w:eastAsia="宋体" w:cs="宋体"/>
        </w:rPr>
      </w:pPr>
      <w:r>
        <w:rPr>
          <w:rFonts w:hint="eastAsia" w:ascii="宋体" w:hAnsi="宋体" w:eastAsia="宋体" w:cs="宋体"/>
        </w:rPr>
        <w:t>2.请投标人注意，中标后价格不因具体颜色的调整而改变，报价时应综合考虑该因素。</w:t>
      </w:r>
    </w:p>
    <w:p>
      <w:pPr>
        <w:rPr>
          <w:rFonts w:hint="eastAsia" w:ascii="宋体" w:hAnsi="宋体" w:eastAsia="宋体" w:cs="宋体"/>
        </w:rPr>
      </w:pPr>
      <w:r>
        <w:rPr>
          <w:rFonts w:hint="eastAsia" w:ascii="宋体" w:hAnsi="宋体" w:eastAsia="宋体" w:cs="宋体"/>
        </w:rPr>
        <w:br w:type="page"/>
      </w:r>
    </w:p>
    <w:p>
      <w:pPr>
        <w:spacing w:before="130" w:line="360" w:lineRule="auto"/>
        <w:ind w:firstLine="422" w:firstLineChars="200"/>
        <w:rPr>
          <w:rFonts w:hint="eastAsia" w:ascii="宋体" w:hAnsi="宋体" w:eastAsia="宋体" w:cs="宋体"/>
          <w:b/>
          <w:bCs/>
        </w:rPr>
      </w:pPr>
      <w:r>
        <w:rPr>
          <w:rFonts w:hint="eastAsia" w:ascii="宋体" w:hAnsi="宋体" w:eastAsia="宋体" w:cs="宋体"/>
          <w:b/>
          <w:bCs/>
        </w:rPr>
        <w:t>六、样品要求</w:t>
      </w:r>
    </w:p>
    <w:tbl>
      <w:tblPr>
        <w:tblStyle w:val="23"/>
        <w:tblW w:w="501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946"/>
        <w:gridCol w:w="2246"/>
        <w:gridCol w:w="2023"/>
        <w:gridCol w:w="1672"/>
        <w:gridCol w:w="239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restart"/>
            <w:vAlign w:val="center"/>
          </w:tcPr>
          <w:p>
            <w:pPr>
              <w:spacing w:line="360" w:lineRule="auto"/>
              <w:jc w:val="center"/>
              <w:rPr>
                <w:b/>
                <w:bCs/>
              </w:rPr>
            </w:pPr>
            <w:r>
              <w:rPr>
                <w:rFonts w:hint="eastAsia"/>
                <w:b/>
                <w:bCs/>
              </w:rPr>
              <w:t>成品</w:t>
            </w:r>
          </w:p>
        </w:tc>
        <w:tc>
          <w:tcPr>
            <w:tcW w:w="1209" w:type="pct"/>
            <w:vAlign w:val="center"/>
          </w:tcPr>
          <w:p>
            <w:pPr>
              <w:spacing w:line="360" w:lineRule="auto"/>
              <w:jc w:val="center"/>
              <w:rPr>
                <w:b/>
                <w:bCs/>
              </w:rPr>
            </w:pPr>
            <w:r>
              <w:rPr>
                <w:rFonts w:hint="eastAsia"/>
                <w:b/>
                <w:bCs/>
              </w:rPr>
              <w:t>名称</w:t>
            </w:r>
          </w:p>
        </w:tc>
        <w:tc>
          <w:tcPr>
            <w:tcW w:w="1089" w:type="pct"/>
            <w:vAlign w:val="center"/>
          </w:tcPr>
          <w:p>
            <w:pPr>
              <w:spacing w:line="360" w:lineRule="auto"/>
              <w:jc w:val="center"/>
              <w:rPr>
                <w:b/>
                <w:bCs/>
              </w:rPr>
            </w:pPr>
            <w:r>
              <w:rPr>
                <w:rFonts w:hint="eastAsia"/>
                <w:b/>
                <w:bCs/>
              </w:rPr>
              <w:t>序号</w:t>
            </w:r>
          </w:p>
        </w:tc>
        <w:tc>
          <w:tcPr>
            <w:tcW w:w="900" w:type="pct"/>
            <w:vAlign w:val="center"/>
          </w:tcPr>
          <w:p>
            <w:pPr>
              <w:spacing w:line="360" w:lineRule="auto"/>
              <w:jc w:val="center"/>
              <w:rPr>
                <w:b/>
                <w:bCs/>
              </w:rPr>
            </w:pPr>
            <w:r>
              <w:rPr>
                <w:rFonts w:hint="eastAsia"/>
                <w:b/>
                <w:bCs/>
              </w:rPr>
              <w:t>数量（件）</w:t>
            </w:r>
          </w:p>
        </w:tc>
        <w:tc>
          <w:tcPr>
            <w:tcW w:w="1291" w:type="pct"/>
            <w:vAlign w:val="center"/>
          </w:tcPr>
          <w:p>
            <w:pPr>
              <w:spacing w:line="360" w:lineRule="auto"/>
              <w:jc w:val="center"/>
              <w:rPr>
                <w:b/>
                <w:bCs/>
              </w:rPr>
            </w:pPr>
            <w:r>
              <w:rPr>
                <w:rFonts w:hint="eastAsia"/>
                <w:b/>
                <w:bCs/>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continue"/>
            <w:shd w:val="clear" w:color="auto" w:fill="auto"/>
            <w:vAlign w:val="center"/>
          </w:tcPr>
          <w:p>
            <w:pPr>
              <w:pStyle w:val="22"/>
              <w:spacing w:before="91"/>
              <w:jc w:val="center"/>
              <w:rPr>
                <w:rFonts w:hint="eastAsia"/>
                <w:sz w:val="21"/>
                <w:szCs w:val="21"/>
              </w:rPr>
            </w:pPr>
          </w:p>
        </w:tc>
        <w:tc>
          <w:tcPr>
            <w:tcW w:w="1209" w:type="pct"/>
            <w:shd w:val="clear" w:color="auto" w:fill="auto"/>
            <w:vAlign w:val="center"/>
          </w:tcPr>
          <w:p>
            <w:pPr>
              <w:pStyle w:val="22"/>
              <w:spacing w:before="91"/>
              <w:jc w:val="center"/>
              <w:rPr>
                <w:rFonts w:hint="eastAsia"/>
                <w:sz w:val="21"/>
                <w:szCs w:val="21"/>
              </w:rPr>
            </w:pPr>
            <w:r>
              <w:rPr>
                <w:rFonts w:hint="eastAsia"/>
                <w:sz w:val="21"/>
                <w:szCs w:val="21"/>
              </w:rPr>
              <w:t>休息椅</w:t>
            </w:r>
          </w:p>
        </w:tc>
        <w:tc>
          <w:tcPr>
            <w:tcW w:w="1089" w:type="pct"/>
            <w:vAlign w:val="center"/>
          </w:tcPr>
          <w:p>
            <w:pPr>
              <w:spacing w:line="360" w:lineRule="auto"/>
              <w:jc w:val="center"/>
              <w:rPr>
                <w:b/>
                <w:bCs/>
              </w:rPr>
            </w:pPr>
            <w:r>
              <w:rPr>
                <w:rFonts w:hint="eastAsia"/>
                <w:b/>
                <w:bCs/>
              </w:rPr>
              <w:t>12</w:t>
            </w:r>
          </w:p>
        </w:tc>
        <w:tc>
          <w:tcPr>
            <w:tcW w:w="900" w:type="pct"/>
            <w:vAlign w:val="center"/>
          </w:tcPr>
          <w:p>
            <w:pPr>
              <w:spacing w:line="360" w:lineRule="auto"/>
              <w:jc w:val="center"/>
              <w:rPr>
                <w:b/>
                <w:bCs/>
              </w:rPr>
            </w:pPr>
            <w:r>
              <w:rPr>
                <w:rFonts w:hint="eastAsia"/>
                <w:b/>
                <w:bCs/>
              </w:rPr>
              <w:t>1</w:t>
            </w:r>
          </w:p>
        </w:tc>
        <w:tc>
          <w:tcPr>
            <w:tcW w:w="1291" w:type="pct"/>
            <w:vMerge w:val="restart"/>
            <w:vAlign w:val="center"/>
          </w:tcPr>
          <w:p>
            <w:pPr>
              <w:spacing w:line="360" w:lineRule="auto"/>
              <w:jc w:val="center"/>
              <w:rPr>
                <w:b/>
                <w:bCs/>
              </w:rPr>
            </w:pPr>
            <w:r>
              <w:rPr>
                <w:rFonts w:hint="eastAsia"/>
                <w:b/>
                <w:bCs/>
              </w:rPr>
              <w:t>具体样式、规格尺寸和技术要求详见招标文件“采购清单及技术参数要求”对应序号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continue"/>
            <w:shd w:val="clear" w:color="auto" w:fill="auto"/>
            <w:vAlign w:val="center"/>
          </w:tcPr>
          <w:p>
            <w:pPr>
              <w:pStyle w:val="22"/>
              <w:spacing w:before="257"/>
              <w:jc w:val="center"/>
              <w:rPr>
                <w:rFonts w:hint="eastAsia"/>
                <w:sz w:val="21"/>
                <w:szCs w:val="21"/>
              </w:rPr>
            </w:pPr>
          </w:p>
        </w:tc>
        <w:tc>
          <w:tcPr>
            <w:tcW w:w="1209" w:type="pct"/>
            <w:shd w:val="clear" w:color="auto" w:fill="auto"/>
            <w:vAlign w:val="center"/>
          </w:tcPr>
          <w:p>
            <w:pPr>
              <w:pStyle w:val="22"/>
              <w:spacing w:before="257"/>
              <w:jc w:val="center"/>
              <w:rPr>
                <w:rFonts w:hint="eastAsia"/>
                <w:sz w:val="21"/>
                <w:szCs w:val="21"/>
              </w:rPr>
            </w:pPr>
            <w:r>
              <w:rPr>
                <w:rFonts w:hint="eastAsia"/>
                <w:sz w:val="21"/>
                <w:szCs w:val="21"/>
              </w:rPr>
              <w:t>服务台</w:t>
            </w:r>
          </w:p>
        </w:tc>
        <w:tc>
          <w:tcPr>
            <w:tcW w:w="1089" w:type="pct"/>
            <w:vAlign w:val="center"/>
          </w:tcPr>
          <w:p>
            <w:pPr>
              <w:spacing w:line="360" w:lineRule="auto"/>
              <w:jc w:val="center"/>
              <w:rPr>
                <w:b/>
                <w:bCs/>
              </w:rPr>
            </w:pPr>
            <w:r>
              <w:rPr>
                <w:rFonts w:hint="eastAsia"/>
                <w:b/>
                <w:bCs/>
              </w:rPr>
              <w:t>22</w:t>
            </w:r>
          </w:p>
        </w:tc>
        <w:tc>
          <w:tcPr>
            <w:tcW w:w="900" w:type="pct"/>
            <w:vAlign w:val="center"/>
          </w:tcPr>
          <w:p>
            <w:pPr>
              <w:spacing w:line="360" w:lineRule="auto"/>
              <w:jc w:val="center"/>
              <w:rPr>
                <w:b/>
                <w:bCs/>
              </w:rPr>
            </w:pPr>
            <w:r>
              <w:rPr>
                <w:rFonts w:hint="eastAsia"/>
                <w:b/>
                <w:bCs/>
              </w:rPr>
              <w:t>1</w:t>
            </w:r>
          </w:p>
        </w:tc>
        <w:tc>
          <w:tcPr>
            <w:tcW w:w="1291" w:type="pct"/>
            <w:vMerge w:val="continue"/>
            <w:vAlign w:val="center"/>
          </w:tcPr>
          <w:p>
            <w:pPr>
              <w:spacing w:line="360" w:lineRule="auto"/>
              <w:jc w:val="center"/>
              <w:rPr>
                <w:b/>
                <w:bC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continue"/>
            <w:shd w:val="clear" w:color="auto" w:fill="auto"/>
            <w:vAlign w:val="center"/>
          </w:tcPr>
          <w:p>
            <w:pPr>
              <w:pStyle w:val="22"/>
              <w:spacing w:before="279"/>
              <w:jc w:val="center"/>
              <w:rPr>
                <w:rFonts w:hint="eastAsia"/>
                <w:sz w:val="21"/>
                <w:szCs w:val="21"/>
              </w:rPr>
            </w:pPr>
          </w:p>
        </w:tc>
        <w:tc>
          <w:tcPr>
            <w:tcW w:w="1209" w:type="pct"/>
            <w:shd w:val="clear" w:color="auto" w:fill="auto"/>
            <w:vAlign w:val="center"/>
          </w:tcPr>
          <w:p>
            <w:pPr>
              <w:pStyle w:val="22"/>
              <w:spacing w:before="279"/>
              <w:jc w:val="center"/>
              <w:rPr>
                <w:rFonts w:hint="eastAsia"/>
                <w:sz w:val="21"/>
                <w:szCs w:val="21"/>
              </w:rPr>
            </w:pPr>
            <w:r>
              <w:rPr>
                <w:rFonts w:hint="eastAsia"/>
                <w:sz w:val="21"/>
                <w:szCs w:val="21"/>
              </w:rPr>
              <w:t>办公桌</w:t>
            </w:r>
          </w:p>
        </w:tc>
        <w:tc>
          <w:tcPr>
            <w:tcW w:w="1089" w:type="pct"/>
            <w:vAlign w:val="center"/>
          </w:tcPr>
          <w:p>
            <w:pPr>
              <w:spacing w:line="360" w:lineRule="auto"/>
              <w:jc w:val="center"/>
              <w:rPr>
                <w:b/>
                <w:bCs/>
              </w:rPr>
            </w:pPr>
            <w:r>
              <w:rPr>
                <w:rFonts w:hint="eastAsia"/>
                <w:b/>
                <w:bCs/>
              </w:rPr>
              <w:t>30</w:t>
            </w:r>
          </w:p>
        </w:tc>
        <w:tc>
          <w:tcPr>
            <w:tcW w:w="900" w:type="pct"/>
            <w:vAlign w:val="center"/>
          </w:tcPr>
          <w:p>
            <w:pPr>
              <w:spacing w:line="360" w:lineRule="auto"/>
              <w:jc w:val="center"/>
              <w:rPr>
                <w:b/>
                <w:bCs/>
              </w:rPr>
            </w:pPr>
            <w:r>
              <w:rPr>
                <w:rFonts w:hint="eastAsia"/>
                <w:b/>
                <w:bCs/>
              </w:rPr>
              <w:t>1</w:t>
            </w:r>
          </w:p>
        </w:tc>
        <w:tc>
          <w:tcPr>
            <w:tcW w:w="1291" w:type="pct"/>
            <w:vMerge w:val="continue"/>
            <w:vAlign w:val="center"/>
          </w:tcPr>
          <w:p>
            <w:pPr>
              <w:spacing w:line="360" w:lineRule="auto"/>
              <w:jc w:val="center"/>
              <w:rPr>
                <w:b/>
                <w:bC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continue"/>
            <w:shd w:val="clear" w:color="auto" w:fill="auto"/>
            <w:vAlign w:val="center"/>
          </w:tcPr>
          <w:p>
            <w:pPr>
              <w:pStyle w:val="22"/>
              <w:spacing w:before="260"/>
              <w:jc w:val="center"/>
              <w:rPr>
                <w:rFonts w:hint="eastAsia"/>
                <w:sz w:val="21"/>
                <w:szCs w:val="21"/>
              </w:rPr>
            </w:pPr>
          </w:p>
        </w:tc>
        <w:tc>
          <w:tcPr>
            <w:tcW w:w="1209" w:type="pct"/>
            <w:shd w:val="clear" w:color="auto" w:fill="auto"/>
            <w:vAlign w:val="center"/>
          </w:tcPr>
          <w:p>
            <w:pPr>
              <w:pStyle w:val="22"/>
              <w:spacing w:before="260"/>
              <w:jc w:val="center"/>
              <w:rPr>
                <w:rFonts w:hint="eastAsia"/>
                <w:sz w:val="21"/>
                <w:szCs w:val="21"/>
              </w:rPr>
            </w:pPr>
            <w:r>
              <w:rPr>
                <w:rFonts w:hint="eastAsia"/>
                <w:sz w:val="21"/>
                <w:szCs w:val="21"/>
              </w:rPr>
              <w:t>办公椅</w:t>
            </w:r>
          </w:p>
        </w:tc>
        <w:tc>
          <w:tcPr>
            <w:tcW w:w="1089" w:type="pct"/>
          </w:tcPr>
          <w:p>
            <w:pPr>
              <w:spacing w:line="360" w:lineRule="auto"/>
              <w:jc w:val="center"/>
              <w:rPr>
                <w:b/>
                <w:bCs/>
              </w:rPr>
            </w:pPr>
            <w:r>
              <w:rPr>
                <w:rFonts w:hint="eastAsia"/>
                <w:b/>
                <w:bCs/>
              </w:rPr>
              <w:t>42</w:t>
            </w:r>
          </w:p>
        </w:tc>
        <w:tc>
          <w:tcPr>
            <w:tcW w:w="900" w:type="pct"/>
          </w:tcPr>
          <w:p>
            <w:pPr>
              <w:spacing w:line="360" w:lineRule="auto"/>
              <w:jc w:val="center"/>
              <w:rPr>
                <w:b/>
                <w:bCs/>
              </w:rPr>
            </w:pPr>
            <w:r>
              <w:rPr>
                <w:rFonts w:hint="eastAsia"/>
                <w:b/>
                <w:bCs/>
              </w:rPr>
              <w:t>1</w:t>
            </w:r>
          </w:p>
        </w:tc>
        <w:tc>
          <w:tcPr>
            <w:tcW w:w="1291" w:type="pct"/>
            <w:vMerge w:val="continue"/>
          </w:tcPr>
          <w:p>
            <w:pPr>
              <w:spacing w:line="360" w:lineRule="auto"/>
              <w:jc w:val="center"/>
              <w:rPr>
                <w:b/>
                <w:bC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continue"/>
            <w:shd w:val="clear" w:color="auto" w:fill="auto"/>
            <w:vAlign w:val="center"/>
          </w:tcPr>
          <w:p>
            <w:pPr>
              <w:pStyle w:val="22"/>
              <w:spacing w:before="260"/>
              <w:jc w:val="center"/>
              <w:rPr>
                <w:rFonts w:hint="eastAsia"/>
                <w:sz w:val="21"/>
                <w:szCs w:val="21"/>
              </w:rPr>
            </w:pPr>
          </w:p>
        </w:tc>
        <w:tc>
          <w:tcPr>
            <w:tcW w:w="1209" w:type="pct"/>
            <w:shd w:val="clear" w:color="auto" w:fill="auto"/>
            <w:vAlign w:val="center"/>
          </w:tcPr>
          <w:p>
            <w:pPr>
              <w:pStyle w:val="22"/>
              <w:spacing w:before="260"/>
              <w:jc w:val="center"/>
              <w:rPr>
                <w:rFonts w:hint="eastAsia"/>
                <w:sz w:val="21"/>
                <w:szCs w:val="21"/>
              </w:rPr>
            </w:pPr>
            <w:r>
              <w:rPr>
                <w:rFonts w:hint="eastAsia"/>
                <w:sz w:val="21"/>
                <w:szCs w:val="21"/>
              </w:rPr>
              <w:t>活动柜</w:t>
            </w:r>
          </w:p>
        </w:tc>
        <w:tc>
          <w:tcPr>
            <w:tcW w:w="1089" w:type="pct"/>
          </w:tcPr>
          <w:p>
            <w:pPr>
              <w:spacing w:line="360" w:lineRule="auto"/>
              <w:jc w:val="center"/>
              <w:rPr>
                <w:b/>
                <w:bCs/>
              </w:rPr>
            </w:pPr>
            <w:r>
              <w:rPr>
                <w:rFonts w:hint="eastAsia"/>
                <w:b/>
                <w:bCs/>
              </w:rPr>
              <w:t>53</w:t>
            </w:r>
          </w:p>
        </w:tc>
        <w:tc>
          <w:tcPr>
            <w:tcW w:w="900" w:type="pct"/>
          </w:tcPr>
          <w:p>
            <w:pPr>
              <w:spacing w:line="360" w:lineRule="auto"/>
              <w:jc w:val="center"/>
              <w:rPr>
                <w:b/>
                <w:bCs/>
              </w:rPr>
            </w:pPr>
            <w:r>
              <w:rPr>
                <w:rFonts w:hint="eastAsia"/>
                <w:b/>
                <w:bCs/>
              </w:rPr>
              <w:t>1</w:t>
            </w:r>
          </w:p>
        </w:tc>
        <w:tc>
          <w:tcPr>
            <w:tcW w:w="1291" w:type="pct"/>
            <w:vMerge w:val="continue"/>
            <w:vAlign w:val="center"/>
          </w:tcPr>
          <w:p>
            <w:pPr>
              <w:widowControl/>
              <w:jc w:val="center"/>
              <w:textAlignment w:val="center"/>
              <w:rPr>
                <w:b/>
                <w:bC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continue"/>
            <w:shd w:val="clear" w:color="auto" w:fill="auto"/>
            <w:vAlign w:val="center"/>
          </w:tcPr>
          <w:p>
            <w:pPr>
              <w:pStyle w:val="22"/>
              <w:spacing w:before="260"/>
              <w:jc w:val="center"/>
              <w:rPr>
                <w:rFonts w:hint="eastAsia"/>
                <w:spacing w:val="4"/>
                <w:sz w:val="21"/>
                <w:szCs w:val="21"/>
              </w:rPr>
            </w:pPr>
          </w:p>
        </w:tc>
        <w:tc>
          <w:tcPr>
            <w:tcW w:w="1209" w:type="pct"/>
            <w:shd w:val="clear" w:color="auto" w:fill="auto"/>
            <w:vAlign w:val="center"/>
          </w:tcPr>
          <w:p>
            <w:pPr>
              <w:pStyle w:val="22"/>
              <w:spacing w:before="260"/>
              <w:jc w:val="center"/>
              <w:rPr>
                <w:rFonts w:hint="eastAsia"/>
                <w:spacing w:val="4"/>
                <w:sz w:val="21"/>
                <w:szCs w:val="21"/>
              </w:rPr>
            </w:pPr>
            <w:r>
              <w:rPr>
                <w:spacing w:val="4"/>
                <w:sz w:val="21"/>
                <w:szCs w:val="21"/>
              </w:rPr>
              <w:t>文件柜</w:t>
            </w:r>
          </w:p>
        </w:tc>
        <w:tc>
          <w:tcPr>
            <w:tcW w:w="1089" w:type="pct"/>
          </w:tcPr>
          <w:p>
            <w:pPr>
              <w:spacing w:line="360" w:lineRule="auto"/>
              <w:jc w:val="center"/>
              <w:rPr>
                <w:b/>
                <w:bCs/>
              </w:rPr>
            </w:pPr>
            <w:r>
              <w:rPr>
                <w:rFonts w:hint="eastAsia"/>
                <w:b/>
                <w:bCs/>
              </w:rPr>
              <w:t>54</w:t>
            </w:r>
          </w:p>
        </w:tc>
        <w:tc>
          <w:tcPr>
            <w:tcW w:w="900" w:type="pct"/>
          </w:tcPr>
          <w:p>
            <w:pPr>
              <w:spacing w:line="360" w:lineRule="auto"/>
              <w:jc w:val="center"/>
              <w:rPr>
                <w:b/>
                <w:bCs/>
              </w:rPr>
            </w:pPr>
            <w:r>
              <w:rPr>
                <w:rFonts w:hint="eastAsia"/>
                <w:b/>
                <w:bCs/>
              </w:rPr>
              <w:t>1</w:t>
            </w:r>
          </w:p>
        </w:tc>
        <w:tc>
          <w:tcPr>
            <w:tcW w:w="1291" w:type="pct"/>
            <w:vMerge w:val="continue"/>
            <w:vAlign w:val="center"/>
          </w:tcPr>
          <w:p>
            <w:pPr>
              <w:widowControl/>
              <w:jc w:val="center"/>
              <w:textAlignment w:val="center"/>
              <w:rPr>
                <w:b/>
                <w:bC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continue"/>
            <w:shd w:val="clear" w:color="auto" w:fill="auto"/>
            <w:vAlign w:val="center"/>
          </w:tcPr>
          <w:p>
            <w:pPr>
              <w:jc w:val="center"/>
            </w:pPr>
          </w:p>
        </w:tc>
        <w:tc>
          <w:tcPr>
            <w:tcW w:w="1209" w:type="pct"/>
            <w:shd w:val="clear" w:color="auto" w:fill="auto"/>
            <w:vAlign w:val="center"/>
          </w:tcPr>
          <w:p>
            <w:pPr>
              <w:jc w:val="center"/>
            </w:pPr>
            <w:r>
              <w:t>报告厅椅</w:t>
            </w:r>
          </w:p>
        </w:tc>
        <w:tc>
          <w:tcPr>
            <w:tcW w:w="1089" w:type="pct"/>
          </w:tcPr>
          <w:p>
            <w:pPr>
              <w:spacing w:line="360" w:lineRule="auto"/>
              <w:jc w:val="center"/>
              <w:rPr>
                <w:b/>
                <w:bCs/>
              </w:rPr>
            </w:pPr>
            <w:r>
              <w:rPr>
                <w:rFonts w:hint="eastAsia"/>
                <w:b/>
                <w:bCs/>
              </w:rPr>
              <w:t>93</w:t>
            </w:r>
          </w:p>
        </w:tc>
        <w:tc>
          <w:tcPr>
            <w:tcW w:w="900" w:type="pct"/>
          </w:tcPr>
          <w:p>
            <w:pPr>
              <w:spacing w:line="360" w:lineRule="auto"/>
              <w:jc w:val="center"/>
              <w:rPr>
                <w:b/>
                <w:bCs/>
              </w:rPr>
            </w:pPr>
            <w:r>
              <w:rPr>
                <w:rFonts w:hint="eastAsia"/>
                <w:b/>
                <w:bCs/>
              </w:rPr>
              <w:t>1</w:t>
            </w:r>
          </w:p>
        </w:tc>
        <w:tc>
          <w:tcPr>
            <w:tcW w:w="1291" w:type="pct"/>
            <w:vMerge w:val="continue"/>
            <w:vAlign w:val="center"/>
          </w:tcPr>
          <w:p>
            <w:pPr>
              <w:widowControl/>
              <w:jc w:val="center"/>
              <w:textAlignment w:val="center"/>
              <w:rPr>
                <w:b/>
                <w:bC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restart"/>
            <w:shd w:val="clear" w:color="auto" w:fill="auto"/>
            <w:vAlign w:val="center"/>
          </w:tcPr>
          <w:p>
            <w:pPr>
              <w:jc w:val="center"/>
              <w:rPr>
                <w:rFonts w:hint="eastAsia" w:eastAsiaTheme="minorEastAsia"/>
                <w:lang w:eastAsia="zh-CN"/>
              </w:rPr>
            </w:pPr>
            <w:r>
              <w:rPr>
                <w:rFonts w:hint="eastAsia"/>
                <w:lang w:eastAsia="zh-CN"/>
              </w:rPr>
              <w:t>其它</w:t>
            </w:r>
          </w:p>
        </w:tc>
        <w:tc>
          <w:tcPr>
            <w:tcW w:w="1209" w:type="pct"/>
            <w:shd w:val="clear" w:color="auto" w:fill="auto"/>
            <w:vAlign w:val="center"/>
          </w:tcPr>
          <w:p>
            <w:pPr>
              <w:jc w:val="center"/>
            </w:pPr>
            <w:r>
              <w:rPr>
                <w:rFonts w:hint="eastAsia"/>
              </w:rPr>
              <w:t>多层板</w:t>
            </w:r>
          </w:p>
        </w:tc>
        <w:tc>
          <w:tcPr>
            <w:tcW w:w="1089" w:type="pct"/>
          </w:tcPr>
          <w:p>
            <w:pPr>
              <w:spacing w:line="360" w:lineRule="auto"/>
              <w:jc w:val="center"/>
              <w:rPr>
                <w:b/>
                <w:bCs/>
              </w:rPr>
            </w:pPr>
            <w:r>
              <w:rPr>
                <w:rFonts w:hint="eastAsia"/>
                <w:b/>
                <w:bCs/>
              </w:rPr>
              <w:t>/</w:t>
            </w:r>
          </w:p>
        </w:tc>
        <w:tc>
          <w:tcPr>
            <w:tcW w:w="900" w:type="pct"/>
          </w:tcPr>
          <w:p>
            <w:pPr>
              <w:spacing w:line="360" w:lineRule="auto"/>
              <w:jc w:val="center"/>
              <w:rPr>
                <w:b/>
                <w:bCs/>
              </w:rPr>
            </w:pPr>
            <w:r>
              <w:rPr>
                <w:rFonts w:hint="eastAsia"/>
                <w:b/>
                <w:bCs/>
              </w:rPr>
              <w:t>1</w:t>
            </w:r>
          </w:p>
        </w:tc>
        <w:tc>
          <w:tcPr>
            <w:tcW w:w="1291" w:type="pct"/>
          </w:tcPr>
          <w:p>
            <w:pPr>
              <w:spacing w:line="360" w:lineRule="auto"/>
              <w:jc w:val="center"/>
              <w:rPr>
                <w:b/>
                <w:bCs/>
              </w:rPr>
            </w:pPr>
            <w:r>
              <w:rPr>
                <w:rFonts w:hint="eastAsia"/>
                <w:b/>
                <w:bCs/>
              </w:rPr>
              <w:t>200*200*25mm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continue"/>
            <w:shd w:val="clear" w:color="auto" w:fill="auto"/>
            <w:vAlign w:val="center"/>
          </w:tcPr>
          <w:p>
            <w:pPr>
              <w:jc w:val="center"/>
            </w:pPr>
          </w:p>
        </w:tc>
        <w:tc>
          <w:tcPr>
            <w:tcW w:w="1209" w:type="pct"/>
            <w:shd w:val="clear" w:color="auto" w:fill="auto"/>
            <w:vAlign w:val="center"/>
          </w:tcPr>
          <w:p>
            <w:pPr>
              <w:jc w:val="center"/>
            </w:pPr>
            <w:r>
              <w:t>三聚氰胺胶膜纸</w:t>
            </w:r>
          </w:p>
        </w:tc>
        <w:tc>
          <w:tcPr>
            <w:tcW w:w="1089" w:type="pct"/>
          </w:tcPr>
          <w:p>
            <w:pPr>
              <w:spacing w:line="360" w:lineRule="auto"/>
              <w:jc w:val="center"/>
              <w:rPr>
                <w:b/>
                <w:bCs/>
              </w:rPr>
            </w:pPr>
            <w:r>
              <w:rPr>
                <w:rFonts w:hint="eastAsia"/>
                <w:b/>
                <w:bCs/>
              </w:rPr>
              <w:t>/</w:t>
            </w:r>
          </w:p>
        </w:tc>
        <w:tc>
          <w:tcPr>
            <w:tcW w:w="900" w:type="pct"/>
          </w:tcPr>
          <w:p>
            <w:pPr>
              <w:spacing w:line="360" w:lineRule="auto"/>
              <w:jc w:val="center"/>
              <w:rPr>
                <w:b/>
                <w:bCs/>
              </w:rPr>
            </w:pPr>
            <w:r>
              <w:rPr>
                <w:rFonts w:hint="eastAsia"/>
                <w:b/>
                <w:bCs/>
              </w:rPr>
              <w:t>1</w:t>
            </w:r>
          </w:p>
        </w:tc>
        <w:tc>
          <w:tcPr>
            <w:tcW w:w="1291" w:type="pct"/>
          </w:tcPr>
          <w:p>
            <w:pPr>
              <w:spacing w:line="360" w:lineRule="auto"/>
              <w:jc w:val="center"/>
              <w:rPr>
                <w:b/>
                <w:bCs/>
              </w:rPr>
            </w:pPr>
            <w:r>
              <w:rPr>
                <w:rFonts w:hint="eastAsia"/>
                <w:b/>
                <w:bCs/>
              </w:rPr>
              <w:t>200*200*25mm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continue"/>
            <w:shd w:val="clear" w:color="auto" w:fill="auto"/>
            <w:vAlign w:val="center"/>
          </w:tcPr>
          <w:p>
            <w:pPr>
              <w:jc w:val="center"/>
            </w:pPr>
          </w:p>
        </w:tc>
        <w:tc>
          <w:tcPr>
            <w:tcW w:w="1209" w:type="pct"/>
            <w:shd w:val="clear" w:color="auto" w:fill="auto"/>
            <w:vAlign w:val="center"/>
          </w:tcPr>
          <w:p>
            <w:pPr>
              <w:jc w:val="center"/>
            </w:pPr>
            <w:r>
              <w:rPr>
                <w:rFonts w:hint="eastAsia"/>
              </w:rPr>
              <w:t>中密度纤维板</w:t>
            </w:r>
          </w:p>
        </w:tc>
        <w:tc>
          <w:tcPr>
            <w:tcW w:w="1089" w:type="pct"/>
          </w:tcPr>
          <w:p>
            <w:pPr>
              <w:spacing w:line="360" w:lineRule="auto"/>
              <w:jc w:val="center"/>
              <w:rPr>
                <w:b/>
                <w:bCs/>
              </w:rPr>
            </w:pPr>
            <w:r>
              <w:rPr>
                <w:rFonts w:hint="eastAsia"/>
                <w:b/>
                <w:bCs/>
              </w:rPr>
              <w:t>/</w:t>
            </w:r>
          </w:p>
        </w:tc>
        <w:tc>
          <w:tcPr>
            <w:tcW w:w="900" w:type="pct"/>
          </w:tcPr>
          <w:p>
            <w:pPr>
              <w:spacing w:line="360" w:lineRule="auto"/>
              <w:jc w:val="center"/>
              <w:rPr>
                <w:b/>
                <w:bCs/>
              </w:rPr>
            </w:pPr>
            <w:r>
              <w:rPr>
                <w:rFonts w:hint="eastAsia"/>
                <w:b/>
                <w:bCs/>
              </w:rPr>
              <w:t>1</w:t>
            </w:r>
          </w:p>
        </w:tc>
        <w:tc>
          <w:tcPr>
            <w:tcW w:w="1291" w:type="pct"/>
          </w:tcPr>
          <w:p>
            <w:pPr>
              <w:spacing w:line="360" w:lineRule="auto"/>
              <w:jc w:val="center"/>
              <w:rPr>
                <w:b/>
                <w:bCs/>
              </w:rPr>
            </w:pPr>
            <w:r>
              <w:rPr>
                <w:rFonts w:hint="eastAsia"/>
                <w:b/>
                <w:bCs/>
              </w:rPr>
              <w:t>200*200*25mm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continue"/>
            <w:shd w:val="clear" w:color="auto" w:fill="auto"/>
            <w:vAlign w:val="center"/>
          </w:tcPr>
          <w:p>
            <w:pPr>
              <w:jc w:val="center"/>
            </w:pPr>
          </w:p>
        </w:tc>
        <w:tc>
          <w:tcPr>
            <w:tcW w:w="1209" w:type="pct"/>
            <w:shd w:val="clear" w:color="auto" w:fill="auto"/>
            <w:vAlign w:val="center"/>
          </w:tcPr>
          <w:p>
            <w:pPr>
              <w:jc w:val="center"/>
            </w:pPr>
            <w:r>
              <w:t>报告厅椅</w:t>
            </w:r>
            <w:r>
              <w:rPr>
                <w:rFonts w:hint="eastAsia"/>
              </w:rPr>
              <w:t>铝合金脚</w:t>
            </w:r>
          </w:p>
        </w:tc>
        <w:tc>
          <w:tcPr>
            <w:tcW w:w="1089" w:type="pct"/>
            <w:vAlign w:val="top"/>
          </w:tcPr>
          <w:p>
            <w:pPr>
              <w:spacing w:line="360" w:lineRule="auto"/>
              <w:jc w:val="center"/>
              <w:rPr>
                <w:b/>
                <w:bCs/>
              </w:rPr>
            </w:pPr>
            <w:r>
              <w:rPr>
                <w:rFonts w:hint="eastAsia"/>
                <w:b/>
                <w:bCs/>
              </w:rPr>
              <w:t>/</w:t>
            </w:r>
          </w:p>
        </w:tc>
        <w:tc>
          <w:tcPr>
            <w:tcW w:w="900" w:type="pct"/>
            <w:vAlign w:val="top"/>
          </w:tcPr>
          <w:p>
            <w:pPr>
              <w:spacing w:line="360" w:lineRule="auto"/>
              <w:jc w:val="center"/>
              <w:rPr>
                <w:b/>
                <w:bCs/>
              </w:rPr>
            </w:pPr>
            <w:r>
              <w:rPr>
                <w:rFonts w:hint="eastAsia"/>
                <w:b/>
                <w:bCs/>
              </w:rPr>
              <w:t>1</w:t>
            </w:r>
          </w:p>
        </w:tc>
        <w:tc>
          <w:tcPr>
            <w:tcW w:w="1291" w:type="pct"/>
            <w:vAlign w:val="top"/>
          </w:tcPr>
          <w:p>
            <w:pPr>
              <w:spacing w:line="360" w:lineRule="auto"/>
              <w:jc w:val="center"/>
              <w:rPr>
                <w:b/>
                <w:bCs/>
              </w:rPr>
            </w:pPr>
            <w:r>
              <w:rPr>
                <w:rFonts w:hint="eastAsia" w:ascii="微软雅黑" w:hAnsi="微软雅黑" w:eastAsia="微软雅黑" w:cs="微软雅黑"/>
                <w:color w:val="000000"/>
                <w:kern w:val="0"/>
                <w:sz w:val="16"/>
                <w:szCs w:val="16"/>
                <w:lang w:bidi="ar"/>
              </w:rPr>
              <w:t>采用优质铝合金经模具压注成型。脚架高度：240mm±2mm、脚掌宽60mm±2mm、脚掌长518±2mmmm，脚架与扶手框连接处，尺寸为长230mm*60mm±2mm，有4孔固定上扶手框架，前后孔距为123mm±2mm，左右方向孔距为40mm。地胶螺丝前后孔距离460mm，脚掌两面带有加强筋两面加起来12条，站脚中间处有4个30*10mm±2mm的消音孔每个孔位相距42mm±2mm。配优质PP多元素复合材料经模具压注成型的脚盖；脚架形状侧看为H,正看为工字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continue"/>
            <w:shd w:val="clear" w:color="auto" w:fill="auto"/>
            <w:vAlign w:val="center"/>
          </w:tcPr>
          <w:p>
            <w:pPr>
              <w:jc w:val="center"/>
            </w:pPr>
          </w:p>
        </w:tc>
        <w:tc>
          <w:tcPr>
            <w:tcW w:w="1209" w:type="pct"/>
            <w:shd w:val="clear" w:color="auto" w:fill="auto"/>
            <w:vAlign w:val="center"/>
          </w:tcPr>
          <w:p>
            <w:pPr>
              <w:jc w:val="center"/>
            </w:pPr>
            <w:r>
              <w:rPr>
                <w:rFonts w:hint="eastAsia"/>
              </w:rPr>
              <w:t>折叠会议桌双功能书包水杯挂钩</w:t>
            </w:r>
          </w:p>
        </w:tc>
        <w:tc>
          <w:tcPr>
            <w:tcW w:w="1089" w:type="pct"/>
            <w:vAlign w:val="top"/>
          </w:tcPr>
          <w:p>
            <w:pPr>
              <w:spacing w:line="360" w:lineRule="auto"/>
              <w:jc w:val="center"/>
              <w:rPr>
                <w:b/>
                <w:bCs/>
              </w:rPr>
            </w:pPr>
            <w:r>
              <w:rPr>
                <w:rFonts w:hint="eastAsia"/>
                <w:b/>
                <w:bCs/>
                <w:lang w:bidi="ar"/>
              </w:rPr>
              <w:t>/</w:t>
            </w:r>
          </w:p>
        </w:tc>
        <w:tc>
          <w:tcPr>
            <w:tcW w:w="900" w:type="pct"/>
            <w:vAlign w:val="top"/>
          </w:tcPr>
          <w:p>
            <w:pPr>
              <w:spacing w:line="360" w:lineRule="auto"/>
              <w:jc w:val="center"/>
              <w:rPr>
                <w:b/>
                <w:bCs/>
              </w:rPr>
            </w:pPr>
            <w:r>
              <w:rPr>
                <w:rFonts w:hint="eastAsia"/>
                <w:b/>
                <w:bCs/>
              </w:rPr>
              <w:t>1</w:t>
            </w:r>
          </w:p>
        </w:tc>
        <w:tc>
          <w:tcPr>
            <w:tcW w:w="1291" w:type="pct"/>
            <w:vAlign w:val="top"/>
          </w:tcPr>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外观尺寸35*44*124mm。</w:t>
            </w:r>
          </w:p>
          <w:p>
            <w:pPr>
              <w:widowControl/>
              <w:jc w:val="left"/>
              <w:textAlignment w:val="center"/>
            </w:pPr>
            <w:r>
              <w:drawing>
                <wp:inline distT="0" distB="0" distL="114300" distR="114300">
                  <wp:extent cx="1200150" cy="730250"/>
                  <wp:effectExtent l="0" t="0" r="3810" b="127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81"/>
                          <a:stretch>
                            <a:fillRect/>
                          </a:stretch>
                        </pic:blipFill>
                        <pic:spPr>
                          <a:xfrm>
                            <a:off x="0" y="0"/>
                            <a:ext cx="1200150" cy="730250"/>
                          </a:xfrm>
                          <a:prstGeom prst="rect">
                            <a:avLst/>
                          </a:prstGeom>
                          <a:noFill/>
                          <a:ln>
                            <a:noFill/>
                          </a:ln>
                        </pic:spPr>
                      </pic:pic>
                    </a:graphicData>
                  </a:graphic>
                </wp:inline>
              </w:drawing>
            </w:r>
          </w:p>
          <w:p/>
          <w:p>
            <w:pPr>
              <w:widowControl/>
              <w:jc w:val="left"/>
              <w:textAlignment w:val="center"/>
              <w:rPr>
                <w:b/>
                <w:bC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continue"/>
            <w:shd w:val="clear" w:color="auto" w:fill="auto"/>
            <w:vAlign w:val="center"/>
          </w:tcPr>
          <w:p>
            <w:pPr>
              <w:jc w:val="center"/>
            </w:pPr>
          </w:p>
        </w:tc>
        <w:tc>
          <w:tcPr>
            <w:tcW w:w="1209" w:type="pct"/>
            <w:shd w:val="clear" w:color="auto" w:fill="auto"/>
            <w:vAlign w:val="center"/>
          </w:tcPr>
          <w:p>
            <w:pPr>
              <w:jc w:val="center"/>
            </w:pPr>
            <w:r>
              <w:rPr>
                <w:rFonts w:hint="eastAsia"/>
              </w:rPr>
              <w:t>折叠会议桌书网拖</w:t>
            </w:r>
          </w:p>
        </w:tc>
        <w:tc>
          <w:tcPr>
            <w:tcW w:w="1089" w:type="pct"/>
            <w:vAlign w:val="top"/>
          </w:tcPr>
          <w:p>
            <w:pPr>
              <w:spacing w:line="360" w:lineRule="auto"/>
              <w:jc w:val="center"/>
              <w:rPr>
                <w:b/>
                <w:bCs/>
              </w:rPr>
            </w:pPr>
            <w:r>
              <w:rPr>
                <w:rFonts w:hint="eastAsia"/>
                <w:b/>
                <w:bCs/>
                <w:lang w:bidi="ar"/>
              </w:rPr>
              <w:t>/</w:t>
            </w:r>
          </w:p>
        </w:tc>
        <w:tc>
          <w:tcPr>
            <w:tcW w:w="900" w:type="pct"/>
            <w:vAlign w:val="top"/>
          </w:tcPr>
          <w:p>
            <w:pPr>
              <w:spacing w:line="360" w:lineRule="auto"/>
              <w:jc w:val="center"/>
              <w:rPr>
                <w:b/>
                <w:bCs/>
              </w:rPr>
            </w:pPr>
            <w:r>
              <w:rPr>
                <w:rFonts w:hint="eastAsia"/>
                <w:b/>
                <w:bCs/>
              </w:rPr>
              <w:t>1</w:t>
            </w:r>
          </w:p>
        </w:tc>
        <w:tc>
          <w:tcPr>
            <w:tcW w:w="1291" w:type="pct"/>
            <w:vAlign w:val="top"/>
          </w:tcPr>
          <w:p/>
          <w:p/>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配备ABS书网拖，外观尺寸160*120*35mm，</w:t>
            </w:r>
          </w:p>
          <w:p>
            <w:pPr>
              <w:widowControl/>
              <w:spacing w:line="240" w:lineRule="auto"/>
              <w:jc w:val="left"/>
              <w:textAlignment w:val="center"/>
              <w:rPr>
                <w:b/>
                <w:bCs/>
              </w:rPr>
            </w:pPr>
            <w:r>
              <w:drawing>
                <wp:inline distT="0" distB="0" distL="114300" distR="114300">
                  <wp:extent cx="1200150" cy="831850"/>
                  <wp:effectExtent l="0" t="0" r="3810" b="635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82"/>
                          <a:stretch>
                            <a:fillRect/>
                          </a:stretch>
                        </pic:blipFill>
                        <pic:spPr>
                          <a:xfrm>
                            <a:off x="0" y="0"/>
                            <a:ext cx="1200150" cy="831850"/>
                          </a:xfrm>
                          <a:prstGeom prst="rect">
                            <a:avLst/>
                          </a:prstGeom>
                          <a:noFill/>
                          <a:ln>
                            <a:noFill/>
                          </a:ln>
                        </pic:spPr>
                      </pic:pic>
                    </a:graphicData>
                  </a:graphic>
                </wp:inline>
              </w:drawing>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jc w:val="center"/>
        </w:trPr>
        <w:tc>
          <w:tcPr>
            <w:tcW w:w="509" w:type="pct"/>
            <w:vMerge w:val="continue"/>
            <w:shd w:val="clear" w:color="auto" w:fill="auto"/>
            <w:vAlign w:val="center"/>
          </w:tcPr>
          <w:p>
            <w:pPr>
              <w:jc w:val="center"/>
            </w:pPr>
          </w:p>
        </w:tc>
        <w:tc>
          <w:tcPr>
            <w:tcW w:w="1209" w:type="pct"/>
            <w:shd w:val="clear" w:color="auto" w:fill="auto"/>
            <w:vAlign w:val="center"/>
          </w:tcPr>
          <w:p>
            <w:pPr>
              <w:jc w:val="center"/>
            </w:pPr>
            <w:r>
              <w:rPr>
                <w:rFonts w:hint="eastAsia"/>
              </w:rPr>
              <w:t>折叠会议桌挡板吊码</w:t>
            </w:r>
          </w:p>
        </w:tc>
        <w:tc>
          <w:tcPr>
            <w:tcW w:w="1089" w:type="pct"/>
            <w:vAlign w:val="top"/>
          </w:tcPr>
          <w:p>
            <w:pPr>
              <w:spacing w:line="360" w:lineRule="auto"/>
              <w:jc w:val="center"/>
              <w:rPr>
                <w:b/>
                <w:bCs/>
              </w:rPr>
            </w:pPr>
            <w:r>
              <w:rPr>
                <w:rFonts w:hint="eastAsia"/>
                <w:b/>
                <w:bCs/>
                <w:lang w:bidi="ar"/>
              </w:rPr>
              <w:t>/</w:t>
            </w:r>
          </w:p>
        </w:tc>
        <w:tc>
          <w:tcPr>
            <w:tcW w:w="900" w:type="pct"/>
            <w:vAlign w:val="top"/>
          </w:tcPr>
          <w:p>
            <w:pPr>
              <w:spacing w:line="360" w:lineRule="auto"/>
              <w:jc w:val="center"/>
              <w:rPr>
                <w:b/>
                <w:bCs/>
              </w:rPr>
            </w:pPr>
            <w:r>
              <w:rPr>
                <w:rFonts w:hint="eastAsia"/>
                <w:b/>
                <w:bCs/>
              </w:rPr>
              <w:t>1</w:t>
            </w:r>
          </w:p>
        </w:tc>
        <w:tc>
          <w:tcPr>
            <w:tcW w:w="1291" w:type="pct"/>
            <w:vAlign w:val="top"/>
          </w:tcPr>
          <w:p>
            <w:pPr>
              <w:widowControl/>
              <w:jc w:val="left"/>
              <w:textAlignment w:val="center"/>
              <w:rPr>
                <w:rFonts w:hint="eastAsia" w:ascii="微软雅黑" w:hAnsi="微软雅黑" w:eastAsia="微软雅黑" w:cs="微软雅黑"/>
                <w:color w:val="000000"/>
                <w:kern w:val="0"/>
                <w:sz w:val="16"/>
                <w:szCs w:val="16"/>
                <w:lang w:bidi="ar"/>
              </w:rPr>
            </w:pPr>
            <w:r>
              <w:rPr>
                <w:rFonts w:hint="eastAsia" w:ascii="微软雅黑" w:hAnsi="微软雅黑" w:eastAsia="微软雅黑" w:cs="微软雅黑"/>
                <w:color w:val="000000"/>
                <w:kern w:val="0"/>
                <w:sz w:val="16"/>
                <w:szCs w:val="16"/>
                <w:lang w:bidi="ar"/>
              </w:rPr>
              <w:t>配备ABS挡板吊码，外观尺寸100*40*214mm，其中与桌底连接板位100*40mm，挡板连接挂柄为30*12mm。</w:t>
            </w:r>
          </w:p>
          <w:p>
            <w:r>
              <w:drawing>
                <wp:inline distT="0" distB="0" distL="114300" distR="114300">
                  <wp:extent cx="1200150" cy="1625600"/>
                  <wp:effectExtent l="0" t="0" r="3810" b="508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83"/>
                          <a:stretch>
                            <a:fillRect/>
                          </a:stretch>
                        </pic:blipFill>
                        <pic:spPr>
                          <a:xfrm>
                            <a:off x="0" y="0"/>
                            <a:ext cx="1200150" cy="1625600"/>
                          </a:xfrm>
                          <a:prstGeom prst="rect">
                            <a:avLst/>
                          </a:prstGeom>
                          <a:noFill/>
                          <a:ln>
                            <a:noFill/>
                          </a:ln>
                        </pic:spPr>
                      </pic:pic>
                    </a:graphicData>
                  </a:graphic>
                </wp:inline>
              </w:drawing>
            </w:r>
          </w:p>
          <w:p>
            <w:pPr>
              <w:spacing w:line="360" w:lineRule="auto"/>
              <w:jc w:val="center"/>
              <w:rPr>
                <w:b/>
                <w:bCs/>
              </w:rPr>
            </w:pPr>
          </w:p>
        </w:tc>
      </w:tr>
    </w:tbl>
    <w:p>
      <w:pPr>
        <w:spacing w:line="360" w:lineRule="auto"/>
        <w:rPr>
          <w:rFonts w:hint="eastAsia" w:ascii="宋体" w:hAnsi="宋体" w:eastAsia="宋体" w:cs="宋体"/>
        </w:rPr>
      </w:pPr>
    </w:p>
    <w:p>
      <w:pPr>
        <w:spacing w:line="360" w:lineRule="auto"/>
        <w:rPr>
          <w:rFonts w:hint="eastAsia" w:ascii="宋体" w:hAnsi="宋体" w:eastAsia="宋体" w:cs="宋体"/>
        </w:rPr>
      </w:pPr>
      <w:r>
        <w:rPr>
          <w:rFonts w:hint="eastAsia" w:ascii="宋体" w:hAnsi="宋体" w:eastAsia="宋体" w:cs="宋体"/>
        </w:rPr>
        <w:t>说明：</w:t>
      </w:r>
    </w:p>
    <w:p>
      <w:pPr>
        <w:spacing w:before="1" w:line="360" w:lineRule="auto"/>
        <w:rPr>
          <w:rFonts w:hint="eastAsia" w:ascii="宋体" w:hAnsi="宋体" w:eastAsia="宋体" w:cs="宋体"/>
        </w:rPr>
      </w:pPr>
      <w:r>
        <w:rPr>
          <w:rFonts w:hint="eastAsia" w:ascii="宋体" w:hAnsi="宋体" w:eastAsia="宋体" w:cs="宋体"/>
        </w:rPr>
        <w:t>1.投标人需要按以上要求提交样品，中标样品交由采购人作为履约验收参考，最终产品使用的原辅材料不得低于样品的标准。</w:t>
      </w:r>
    </w:p>
    <w:p>
      <w:pPr>
        <w:spacing w:line="360" w:lineRule="auto"/>
        <w:rPr>
          <w:rFonts w:hint="eastAsia" w:ascii="宋体" w:hAnsi="宋体" w:eastAsia="宋体" w:cs="宋体"/>
        </w:rPr>
      </w:pPr>
      <w:r>
        <w:rPr>
          <w:rFonts w:hint="eastAsia" w:ascii="宋体" w:hAnsi="宋体" w:eastAsia="宋体" w:cs="宋体"/>
        </w:rPr>
        <w:t>2.允许样品的规格尺寸与上述要求有合理偏差，但投标人中标后必须按照采购需求中规定的规格尺寸生产供货，不得影响交付正常使用。</w:t>
      </w:r>
    </w:p>
    <w:p>
      <w:pPr>
        <w:rPr>
          <w:rFonts w:hint="eastAsia" w:ascii="宋体" w:hAnsi="宋体" w:eastAsia="宋体" w:cs="宋体"/>
        </w:rPr>
      </w:pPr>
      <w:r>
        <w:rPr>
          <w:rFonts w:hint="eastAsia" w:ascii="宋体" w:hAnsi="宋体" w:eastAsia="宋体" w:cs="宋体"/>
        </w:rPr>
        <w:br w:type="page"/>
      </w:r>
    </w:p>
    <w:p>
      <w:pPr>
        <w:pStyle w:val="12"/>
        <w:spacing w:before="120" w:line="360" w:lineRule="auto"/>
        <w:ind w:left="160" w:firstLine="406" w:firstLineChars="200"/>
        <w:outlineLvl w:val="6"/>
        <w:rPr>
          <w:rFonts w:hint="eastAsia"/>
          <w:sz w:val="21"/>
          <w:szCs w:val="21"/>
        </w:rPr>
      </w:pPr>
      <w:r>
        <w:rPr>
          <w:rFonts w:hint="eastAsia"/>
          <w:b/>
          <w:bCs/>
          <w:spacing w:val="-4"/>
          <w:sz w:val="21"/>
          <w:szCs w:val="21"/>
        </w:rPr>
        <w:t>七、供货及验收</w:t>
      </w:r>
    </w:p>
    <w:p>
      <w:pPr>
        <w:spacing w:line="360" w:lineRule="auto"/>
        <w:rPr>
          <w:rFonts w:hint="eastAsia" w:ascii="宋体" w:hAnsi="宋体" w:eastAsia="宋体" w:cs="宋体"/>
        </w:rPr>
      </w:pPr>
    </w:p>
    <w:tbl>
      <w:tblPr>
        <w:tblStyle w:val="23"/>
        <w:tblW w:w="925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904"/>
        <w:gridCol w:w="835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9" w:hRule="atLeast"/>
        </w:trPr>
        <w:tc>
          <w:tcPr>
            <w:tcW w:w="904" w:type="dxa"/>
          </w:tcPr>
          <w:p>
            <w:pPr>
              <w:pStyle w:val="22"/>
              <w:spacing w:before="190"/>
              <w:jc w:val="center"/>
              <w:rPr>
                <w:rFonts w:hint="eastAsia"/>
                <w:b/>
                <w:bCs/>
                <w:sz w:val="21"/>
                <w:szCs w:val="21"/>
              </w:rPr>
            </w:pPr>
            <w:r>
              <w:rPr>
                <w:rFonts w:hint="eastAsia"/>
                <w:b/>
                <w:bCs/>
                <w:spacing w:val="-10"/>
                <w:sz w:val="21"/>
                <w:szCs w:val="21"/>
              </w:rPr>
              <w:t>分类</w:t>
            </w:r>
          </w:p>
        </w:tc>
        <w:tc>
          <w:tcPr>
            <w:tcW w:w="8355" w:type="dxa"/>
          </w:tcPr>
          <w:p>
            <w:pPr>
              <w:pStyle w:val="22"/>
              <w:spacing w:before="190"/>
              <w:jc w:val="center"/>
              <w:rPr>
                <w:rFonts w:hint="eastAsia"/>
                <w:b/>
                <w:bCs/>
                <w:sz w:val="21"/>
                <w:szCs w:val="21"/>
              </w:rPr>
            </w:pPr>
            <w:r>
              <w:rPr>
                <w:rFonts w:hint="eastAsia"/>
                <w:b/>
                <w:bCs/>
                <w:spacing w:val="-30"/>
                <w:sz w:val="21"/>
                <w:szCs w:val="21"/>
              </w:rPr>
              <w:t>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atLeast"/>
        </w:trPr>
        <w:tc>
          <w:tcPr>
            <w:tcW w:w="904" w:type="dxa"/>
          </w:tcPr>
          <w:p>
            <w:pPr>
              <w:pStyle w:val="22"/>
              <w:spacing w:before="120"/>
              <w:jc w:val="center"/>
              <w:rPr>
                <w:rFonts w:hint="eastAsia"/>
                <w:spacing w:val="4"/>
                <w:sz w:val="21"/>
                <w:szCs w:val="21"/>
              </w:rPr>
            </w:pPr>
          </w:p>
          <w:p>
            <w:pPr>
              <w:pStyle w:val="22"/>
              <w:spacing w:before="120"/>
              <w:jc w:val="center"/>
              <w:rPr>
                <w:rFonts w:hint="eastAsia"/>
                <w:sz w:val="21"/>
                <w:szCs w:val="21"/>
              </w:rPr>
            </w:pPr>
            <w:r>
              <w:rPr>
                <w:rFonts w:hint="eastAsia"/>
                <w:spacing w:val="4"/>
                <w:sz w:val="21"/>
                <w:szCs w:val="21"/>
              </w:rPr>
              <w:t>供货要求</w:t>
            </w:r>
          </w:p>
        </w:tc>
        <w:tc>
          <w:tcPr>
            <w:tcW w:w="8355" w:type="dxa"/>
          </w:tcPr>
          <w:p>
            <w:pPr>
              <w:pStyle w:val="22"/>
              <w:spacing w:before="191"/>
              <w:ind w:left="152" w:right="180" w:hanging="10"/>
              <w:rPr>
                <w:rFonts w:hint="eastAsia"/>
                <w:sz w:val="21"/>
                <w:szCs w:val="21"/>
              </w:rPr>
            </w:pPr>
            <w:r>
              <w:rPr>
                <w:rFonts w:hint="eastAsia"/>
                <w:sz w:val="21"/>
                <w:szCs w:val="21"/>
              </w:rPr>
              <w:t>供应商应当在合同签订后不少于90个自然日内供货及安装完毕。供应商</w:t>
            </w:r>
            <w:r>
              <w:rPr>
                <w:rFonts w:hint="eastAsia"/>
                <w:spacing w:val="6"/>
                <w:sz w:val="21"/>
                <w:szCs w:val="21"/>
              </w:rPr>
              <w:t>所提供的货物应符合国家相关质量标准；货物名称、型号规格、数</w:t>
            </w:r>
            <w:r>
              <w:rPr>
                <w:rFonts w:hint="eastAsia"/>
                <w:spacing w:val="5"/>
                <w:sz w:val="21"/>
                <w:szCs w:val="21"/>
              </w:rPr>
              <w:t>量、</w:t>
            </w:r>
            <w:r>
              <w:rPr>
                <w:rFonts w:hint="eastAsia"/>
                <w:spacing w:val="-1"/>
                <w:sz w:val="21"/>
                <w:szCs w:val="21"/>
              </w:rPr>
              <w:t>颜色、外观等符合采购人要求，不得有损毁或损坏。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04" w:type="dxa"/>
          </w:tcPr>
          <w:p>
            <w:pPr>
              <w:pStyle w:val="22"/>
              <w:spacing w:before="201"/>
              <w:ind w:left="1225"/>
              <w:jc w:val="center"/>
              <w:rPr>
                <w:rFonts w:hint="eastAsia"/>
                <w:spacing w:val="4"/>
                <w:sz w:val="21"/>
                <w:szCs w:val="21"/>
              </w:rPr>
            </w:pPr>
          </w:p>
          <w:p>
            <w:pPr>
              <w:pStyle w:val="22"/>
              <w:spacing w:before="201"/>
              <w:jc w:val="center"/>
              <w:rPr>
                <w:rFonts w:hint="eastAsia"/>
                <w:sz w:val="21"/>
                <w:szCs w:val="21"/>
              </w:rPr>
            </w:pPr>
            <w:r>
              <w:rPr>
                <w:rFonts w:hint="eastAsia"/>
                <w:spacing w:val="4"/>
                <w:sz w:val="21"/>
                <w:szCs w:val="21"/>
              </w:rPr>
              <w:t>包装要求</w:t>
            </w:r>
          </w:p>
        </w:tc>
        <w:tc>
          <w:tcPr>
            <w:tcW w:w="8355" w:type="dxa"/>
          </w:tcPr>
          <w:p>
            <w:pPr>
              <w:pStyle w:val="22"/>
              <w:spacing w:before="191"/>
              <w:ind w:left="152" w:right="180" w:hanging="10"/>
              <w:rPr>
                <w:rFonts w:hint="eastAsia"/>
                <w:sz w:val="21"/>
                <w:szCs w:val="21"/>
              </w:rPr>
            </w:pPr>
            <w:r>
              <w:rPr>
                <w:rFonts w:hint="eastAsia"/>
                <w:sz w:val="21"/>
                <w:szCs w:val="21"/>
              </w:rPr>
              <w:t>采购中如涉及商品包装和快递包装的，其包装需求标准应不低于《关于印发&lt;商品包装政府采购需求标准(试行)&gt;、&lt;快递包装政府采购需求标准(试行)&gt;的通知》(财办库〔2020〕123号)规定的包装要求。采购人、供应商双方签订合同及验收环节，应包含上述包装要求的条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3" w:hRule="atLeast"/>
        </w:trPr>
        <w:tc>
          <w:tcPr>
            <w:tcW w:w="904" w:type="dxa"/>
          </w:tcPr>
          <w:p>
            <w:pPr>
              <w:pStyle w:val="22"/>
              <w:spacing w:before="185"/>
              <w:jc w:val="center"/>
              <w:rPr>
                <w:rFonts w:hint="eastAsia"/>
                <w:spacing w:val="4"/>
                <w:sz w:val="21"/>
                <w:szCs w:val="21"/>
              </w:rPr>
            </w:pPr>
            <w:r>
              <w:rPr>
                <w:rFonts w:hint="eastAsia"/>
                <w:spacing w:val="4"/>
                <w:sz w:val="21"/>
                <w:szCs w:val="21"/>
              </w:rPr>
              <w:t>检测要求</w:t>
            </w:r>
          </w:p>
        </w:tc>
        <w:tc>
          <w:tcPr>
            <w:tcW w:w="8355" w:type="dxa"/>
          </w:tcPr>
          <w:p>
            <w:pPr>
              <w:ind w:firstLine="422" w:firstLineChars="200"/>
              <w:rPr>
                <w:rFonts w:hint="eastAsia" w:ascii="宋体" w:hAnsi="宋体" w:eastAsia="宋体" w:cs="宋体"/>
                <w:b/>
                <w:bCs/>
                <w:szCs w:val="21"/>
              </w:rPr>
            </w:pPr>
            <w:r>
              <w:rPr>
                <w:rFonts w:hint="eastAsia" w:ascii="宋体" w:hAnsi="宋体" w:eastAsia="宋体" w:cs="宋体"/>
                <w:b/>
                <w:bCs/>
                <w:szCs w:val="21"/>
              </w:rPr>
              <w:t>(一)出厂检验</w:t>
            </w:r>
          </w:p>
          <w:p>
            <w:pPr>
              <w:ind w:firstLine="420" w:firstLineChars="200"/>
              <w:rPr>
                <w:rFonts w:hint="eastAsia" w:ascii="宋体" w:hAnsi="宋体" w:eastAsia="宋体" w:cs="宋体"/>
                <w:szCs w:val="21"/>
              </w:rPr>
            </w:pPr>
            <w:r>
              <w:rPr>
                <w:rFonts w:hint="eastAsia" w:ascii="宋体" w:hAnsi="宋体" w:eastAsia="宋体" w:cs="宋体"/>
                <w:szCs w:val="21"/>
              </w:rPr>
              <w:t>1、物资在出厂前，乙方按合同约定的标准和事项自行对其质量进行检验出厂检验合格，乙方出具质量合格证，或质量合格证明文件，交付的同时向甲方提交。</w:t>
            </w:r>
          </w:p>
          <w:p>
            <w:pPr>
              <w:ind w:firstLine="420" w:firstLineChars="200"/>
              <w:rPr>
                <w:rFonts w:hint="eastAsia" w:ascii="宋体" w:hAnsi="宋体" w:eastAsia="宋体" w:cs="宋体"/>
                <w:szCs w:val="21"/>
              </w:rPr>
            </w:pPr>
            <w:r>
              <w:rPr>
                <w:rFonts w:hint="eastAsia" w:ascii="宋体" w:hAnsi="宋体" w:eastAsia="宋体" w:cs="宋体"/>
                <w:szCs w:val="21"/>
              </w:rPr>
              <w:t>2、物资在出厂前，双方根据合同约定，共同对其质量进行检验并出具出厂检验记录。甲方应当自费派遣代表到场参加出厂检验，乙方应提供必要的临时办公场所、技术资料、检测工具和出入许可等。</w:t>
            </w:r>
          </w:p>
          <w:p>
            <w:pPr>
              <w:ind w:firstLine="420" w:firstLineChars="200"/>
              <w:rPr>
                <w:rFonts w:hint="eastAsia" w:ascii="宋体" w:hAnsi="宋体" w:eastAsia="宋体" w:cs="宋体"/>
                <w:szCs w:val="21"/>
              </w:rPr>
            </w:pPr>
            <w:r>
              <w:rPr>
                <w:rFonts w:hint="eastAsia" w:ascii="宋体" w:hAnsi="宋体" w:eastAsia="宋体" w:cs="宋体"/>
                <w:szCs w:val="21"/>
              </w:rPr>
              <w:t>3、甲方代表在检验中如发现物资不符合合同约定的标准，有权提出质疑。乙方应当予以整改，由此增加的费用或造成的延误由乙方负责。</w:t>
            </w:r>
          </w:p>
          <w:p>
            <w:pPr>
              <w:ind w:firstLine="420" w:firstLineChars="200"/>
              <w:rPr>
                <w:rFonts w:hint="eastAsia" w:ascii="宋体" w:hAnsi="宋体" w:eastAsia="宋体" w:cs="宋体"/>
                <w:szCs w:val="21"/>
              </w:rPr>
            </w:pPr>
            <w:r>
              <w:rPr>
                <w:rFonts w:hint="eastAsia" w:ascii="宋体" w:hAnsi="宋体" w:eastAsia="宋体" w:cs="宋体"/>
                <w:szCs w:val="21"/>
              </w:rPr>
              <w:t>4、甲方代表参与出厂检验及签署出厂检验记录的行为，不视为对物资质量的确认,不影响乙方交付后甲方依照合同约定对物资提出质量异议或退货的权利，亦不免除乙方依照合同约定对物资所应当承担的任何义务或责任。</w:t>
            </w:r>
          </w:p>
          <w:p>
            <w:pPr>
              <w:ind w:firstLine="422" w:firstLineChars="200"/>
              <w:rPr>
                <w:rFonts w:hint="eastAsia" w:ascii="宋体" w:hAnsi="宋体" w:eastAsia="宋体" w:cs="宋体"/>
                <w:b/>
                <w:bCs/>
                <w:szCs w:val="21"/>
              </w:rPr>
            </w:pPr>
            <w:r>
              <w:rPr>
                <w:rFonts w:hint="eastAsia" w:ascii="宋体" w:hAnsi="宋体" w:eastAsia="宋体" w:cs="宋体"/>
                <w:b/>
                <w:bCs/>
                <w:szCs w:val="21"/>
              </w:rPr>
              <w:t>(二)到货检验</w:t>
            </w:r>
          </w:p>
          <w:p>
            <w:pPr>
              <w:ind w:firstLine="420" w:firstLineChars="200"/>
              <w:rPr>
                <w:rFonts w:hint="eastAsia" w:ascii="宋体" w:hAnsi="宋体" w:eastAsia="宋体" w:cs="宋体"/>
                <w:szCs w:val="21"/>
              </w:rPr>
            </w:pPr>
            <w:r>
              <w:rPr>
                <w:rFonts w:hint="eastAsia" w:ascii="宋体" w:hAnsi="宋体" w:eastAsia="宋体" w:cs="宋体"/>
                <w:szCs w:val="21"/>
              </w:rPr>
              <w:t>1、物资交货后，甲方应当在现场检验，包括但不限于外包装、合同号箱件数、收货单位名称、品名、货号、批次及相关资料等;检验物资品名型号规格、数量、外观、产品合格证、质量保证书、技术资料、出厂日期、出厂编号、物资编目编码等。</w:t>
            </w:r>
          </w:p>
          <w:p>
            <w:pPr>
              <w:ind w:firstLine="420" w:firstLineChars="200"/>
              <w:rPr>
                <w:rFonts w:hint="eastAsia" w:ascii="宋体" w:hAnsi="宋体" w:eastAsia="宋体" w:cs="宋体"/>
                <w:szCs w:val="21"/>
              </w:rPr>
            </w:pPr>
            <w:r>
              <w:rPr>
                <w:rFonts w:hint="eastAsia" w:ascii="宋体" w:hAnsi="宋体" w:eastAsia="宋体" w:cs="宋体"/>
                <w:szCs w:val="21"/>
              </w:rPr>
              <w:t>2、到货检验由双方共同进行</w:t>
            </w:r>
            <w:r>
              <w:rPr>
                <w:rFonts w:hint="eastAsia" w:ascii="宋体" w:hAnsi="宋体" w:eastAsia="宋体" w:cs="宋体"/>
                <w:szCs w:val="21"/>
                <w:lang w:eastAsia="zh-CN"/>
              </w:rPr>
              <w:t>，</w:t>
            </w:r>
            <w:r>
              <w:rPr>
                <w:rFonts w:hint="eastAsia" w:ascii="宋体" w:hAnsi="宋体" w:eastAsia="宋体" w:cs="宋体"/>
                <w:szCs w:val="21"/>
              </w:rPr>
              <w:t>乙方应当自费派遣代表到场参加到货检验，甲方应予提供必要的临时办公场所和出入许可等。</w:t>
            </w:r>
          </w:p>
          <w:p>
            <w:pPr>
              <w:ind w:firstLine="420" w:firstLineChars="200"/>
              <w:rPr>
                <w:rFonts w:hint="eastAsia" w:ascii="宋体" w:hAnsi="宋体" w:eastAsia="宋体" w:cs="宋体"/>
                <w:szCs w:val="21"/>
              </w:rPr>
            </w:pPr>
            <w:r>
              <w:rPr>
                <w:rFonts w:hint="eastAsia" w:ascii="宋体" w:hAnsi="宋体" w:eastAsia="宋体" w:cs="宋体"/>
                <w:szCs w:val="21"/>
              </w:rPr>
              <w:t>3、在到货检验中发现物资短缺、损坏或其它与合同约定不符的情形由乙方负责，乙方应当补齐、更换及采取其他补救措施。</w:t>
            </w:r>
          </w:p>
          <w:p>
            <w:pPr>
              <w:ind w:firstLine="420" w:firstLineChars="200"/>
              <w:rPr>
                <w:rFonts w:hint="eastAsia" w:ascii="宋体" w:hAnsi="宋体" w:eastAsia="宋体" w:cs="宋体"/>
                <w:szCs w:val="21"/>
              </w:rPr>
            </w:pPr>
            <w:r>
              <w:rPr>
                <w:rFonts w:hint="eastAsia" w:ascii="宋体" w:hAnsi="宋体" w:eastAsia="宋体" w:cs="宋体"/>
                <w:szCs w:val="21"/>
              </w:rPr>
              <w:t>4、在到货检验中，双方应当共同签署检验报告，列明检验结果，包括检验合格或发现的任何短缺、损坏或其它与合同约定不符的情形。</w:t>
            </w:r>
          </w:p>
          <w:p>
            <w:pPr>
              <w:ind w:firstLine="420" w:firstLineChars="200"/>
              <w:rPr>
                <w:rFonts w:hint="eastAsia" w:ascii="宋体" w:hAnsi="宋体" w:eastAsia="宋体" w:cs="宋体"/>
                <w:szCs w:val="21"/>
              </w:rPr>
            </w:pPr>
            <w:r>
              <w:rPr>
                <w:rFonts w:hint="eastAsia" w:ascii="宋体" w:hAnsi="宋体" w:eastAsia="宋体" w:cs="宋体"/>
                <w:szCs w:val="21"/>
              </w:rPr>
              <w:t>5、到货检验的检验结果不能对抗在物资的安装、调试、检测、验收中及质量保证期内发现的物资质量问题，亦不能免除或影响乙方依照合同约定对甲方负有的包括物资质量在内的任何义务或责任。</w:t>
            </w:r>
          </w:p>
          <w:p>
            <w:pPr>
              <w:ind w:firstLine="420" w:firstLineChars="200"/>
              <w:rPr>
                <w:rFonts w:hint="eastAsia" w:ascii="宋体" w:hAnsi="宋体" w:eastAsia="宋体" w:cs="宋体"/>
                <w:szCs w:val="21"/>
              </w:rPr>
            </w:pPr>
            <w:r>
              <w:rPr>
                <w:rFonts w:hint="eastAsia" w:ascii="宋体" w:hAnsi="宋体" w:eastAsia="宋体" w:cs="宋体"/>
                <w:szCs w:val="21"/>
              </w:rPr>
              <w:t>6、到货检验的时间为:交货后</w:t>
            </w:r>
            <w:r>
              <w:rPr>
                <w:rFonts w:hint="eastAsia" w:ascii="宋体" w:hAnsi="宋体" w:eastAsia="宋体" w:cs="宋体"/>
                <w:szCs w:val="21"/>
                <w:u w:val="single"/>
              </w:rPr>
              <w:t xml:space="preserve"> 3 </w:t>
            </w:r>
            <w:r>
              <w:rPr>
                <w:rFonts w:hint="eastAsia" w:ascii="宋体" w:hAnsi="宋体" w:eastAsia="宋体" w:cs="宋体"/>
                <w:szCs w:val="21"/>
              </w:rPr>
              <w:t>日内</w:t>
            </w:r>
          </w:p>
          <w:p>
            <w:pPr>
              <w:ind w:firstLine="420" w:firstLineChars="200"/>
              <w:rPr>
                <w:rFonts w:hint="eastAsia" w:ascii="宋体" w:hAnsi="宋体" w:eastAsia="宋体" w:cs="宋体"/>
                <w:szCs w:val="21"/>
              </w:rPr>
            </w:pPr>
            <w:r>
              <w:rPr>
                <w:rFonts w:hint="eastAsia" w:ascii="宋体" w:hAnsi="宋体" w:eastAsia="宋体" w:cs="宋体"/>
                <w:szCs w:val="21"/>
              </w:rPr>
              <w:t>7、到货检验的其他要求:无</w:t>
            </w:r>
          </w:p>
          <w:p>
            <w:pPr>
              <w:ind w:firstLine="422" w:firstLineChars="200"/>
              <w:rPr>
                <w:rFonts w:hint="eastAsia" w:ascii="宋体" w:hAnsi="宋体" w:eastAsia="宋体" w:cs="宋体"/>
                <w:b/>
                <w:bCs/>
                <w:szCs w:val="21"/>
              </w:rPr>
            </w:pPr>
            <w:r>
              <w:rPr>
                <w:rFonts w:hint="eastAsia" w:ascii="宋体" w:hAnsi="宋体" w:eastAsia="宋体" w:cs="宋体"/>
                <w:b/>
                <w:bCs/>
                <w:szCs w:val="21"/>
              </w:rPr>
              <w:t>(三)安装、调试</w:t>
            </w:r>
          </w:p>
          <w:p>
            <w:pPr>
              <w:ind w:firstLine="420" w:firstLineChars="200"/>
              <w:rPr>
                <w:rFonts w:hint="eastAsia" w:ascii="宋体" w:hAnsi="宋体" w:eastAsia="宋体" w:cs="宋体"/>
                <w:szCs w:val="21"/>
              </w:rPr>
            </w:pPr>
            <w:r>
              <w:rPr>
                <w:rFonts w:hint="eastAsia" w:ascii="宋体" w:hAnsi="宋体" w:eastAsia="宋体" w:cs="宋体"/>
                <w:szCs w:val="21"/>
              </w:rPr>
              <w:t>1、到货检验完成后，乙方应当按合同约定对物资进行安装、调试</w:t>
            </w:r>
          </w:p>
          <w:p>
            <w:pPr>
              <w:ind w:firstLine="420" w:firstLineChars="200"/>
              <w:rPr>
                <w:rFonts w:hint="eastAsia" w:ascii="宋体" w:hAnsi="宋体" w:eastAsia="宋体" w:cs="宋体"/>
                <w:szCs w:val="21"/>
              </w:rPr>
            </w:pPr>
            <w:r>
              <w:rPr>
                <w:rFonts w:hint="eastAsia" w:ascii="宋体" w:hAnsi="宋体" w:eastAsia="宋体" w:cs="宋体"/>
                <w:szCs w:val="21"/>
              </w:rPr>
              <w:t>2、在安装、调试过程中，如出现安装、调试不成功或造成物资损坏的情况，乙方应当承担责任。</w:t>
            </w:r>
          </w:p>
          <w:p>
            <w:pPr>
              <w:ind w:firstLine="420" w:firstLineChars="200"/>
              <w:rPr>
                <w:rFonts w:hint="eastAsia" w:ascii="宋体" w:hAnsi="宋体" w:eastAsia="宋体" w:cs="宋体"/>
                <w:szCs w:val="21"/>
              </w:rPr>
            </w:pPr>
            <w:r>
              <w:rPr>
                <w:rFonts w:hint="eastAsia" w:ascii="宋体" w:hAnsi="宋体" w:eastAsia="宋体" w:cs="宋体"/>
                <w:szCs w:val="21"/>
              </w:rPr>
              <w:t>3、双方应当对物资的安装、调试情况共同进行记录。</w:t>
            </w:r>
          </w:p>
          <w:p>
            <w:pPr>
              <w:ind w:firstLine="420" w:firstLineChars="200"/>
              <w:rPr>
                <w:rFonts w:hint="eastAsia" w:ascii="宋体" w:hAnsi="宋体" w:eastAsia="宋体" w:cs="宋体"/>
                <w:szCs w:val="21"/>
              </w:rPr>
            </w:pPr>
            <w:r>
              <w:rPr>
                <w:rFonts w:hint="eastAsia" w:ascii="宋体" w:hAnsi="宋体" w:eastAsia="宋体" w:cs="宋体"/>
                <w:szCs w:val="21"/>
              </w:rPr>
              <w:t>4、物资到货后，乙方应当在接到甲方通知后7日内完成安装调试。</w:t>
            </w:r>
          </w:p>
          <w:p>
            <w:pPr>
              <w:spacing w:before="0"/>
              <w:ind w:firstLine="422" w:firstLineChars="200"/>
              <w:rPr>
                <w:rFonts w:hint="eastAsia"/>
                <w:b/>
                <w:bCs/>
                <w:szCs w:val="21"/>
              </w:rPr>
            </w:pPr>
            <w:r>
              <w:rPr>
                <w:rFonts w:hint="eastAsia" w:ascii="宋体" w:hAnsi="宋体" w:eastAsia="宋体" w:cs="宋体"/>
                <w:b/>
                <w:bCs/>
                <w:szCs w:val="21"/>
              </w:rPr>
              <w:t>（四）、其他检验要求</w:t>
            </w:r>
          </w:p>
          <w:p>
            <w:pPr>
              <w:spacing w:before="0"/>
              <w:ind w:firstLine="420" w:firstLineChars="200"/>
              <w:rPr>
                <w:rFonts w:hint="eastAsia"/>
                <w:szCs w:val="21"/>
              </w:rPr>
            </w:pPr>
            <w:r>
              <w:rPr>
                <w:rFonts w:hint="eastAsia" w:ascii="宋体" w:hAnsi="宋体" w:eastAsia="宋体" w:cs="宋体"/>
                <w:szCs w:val="21"/>
              </w:rPr>
              <w:t>1、招标人有权对中标人提供的成品抽样送至第三方机构进行检测，（以及对室内环境污染物浓度是否符合国家规定标准进行检测）所有费用由中标人承担，若检测结果不合格，无论是否已送货或安装，招标人有权要求中标人退货并赔偿相关损失，因退回产生的运输费、仓储费等一切费用由中标人承担。</w:t>
            </w:r>
          </w:p>
          <w:p>
            <w:pPr>
              <w:spacing w:before="0"/>
              <w:ind w:firstLine="420" w:firstLineChars="200"/>
              <w:rPr>
                <w:rFonts w:hint="eastAsia"/>
                <w:szCs w:val="21"/>
              </w:rPr>
            </w:pPr>
            <w:r>
              <w:rPr>
                <w:rFonts w:hint="eastAsia" w:ascii="宋体" w:hAnsi="宋体" w:eastAsia="宋体" w:cs="宋体"/>
                <w:szCs w:val="21"/>
              </w:rPr>
              <w:t>2、中标供应商样品打样完成后，采购人将委托第三方机构进行检测，根据强制标准进行全项检测。检测费用由中标供应商承担。如检测不合格，中标供应商须按照合同约定的违约责任整改至合格并承担相应的违约责任。</w:t>
            </w:r>
          </w:p>
          <w:p>
            <w:pPr>
              <w:ind w:firstLine="420" w:firstLineChars="200"/>
              <w:rPr>
                <w:rFonts w:hint="eastAsia" w:ascii="宋体" w:hAnsi="宋体" w:eastAsia="宋体" w:cs="宋体"/>
                <w:szCs w:val="21"/>
              </w:rPr>
            </w:pPr>
            <w:r>
              <w:rPr>
                <w:rFonts w:hint="eastAsia" w:ascii="宋体" w:hAnsi="宋体" w:eastAsia="宋体" w:cs="宋体"/>
                <w:szCs w:val="21"/>
              </w:rPr>
              <w:t>3、由于非甲方原因物资在检测中未能达到合同约定的技术性能指标，则乙方应当在双方同意的期限内采取措施消除物资中存在的缺陷，并在缺陷消除以后，再次进行检测。</w:t>
            </w:r>
          </w:p>
          <w:p>
            <w:pPr>
              <w:ind w:firstLine="420" w:firstLineChars="200"/>
              <w:rPr>
                <w:rFonts w:hint="eastAsia" w:ascii="宋体" w:hAnsi="宋体" w:eastAsia="宋体" w:cs="宋体"/>
                <w:szCs w:val="21"/>
              </w:rPr>
            </w:pPr>
            <w:r>
              <w:rPr>
                <w:rFonts w:hint="eastAsia" w:ascii="宋体" w:hAnsi="宋体" w:eastAsia="宋体" w:cs="宋体"/>
                <w:szCs w:val="21"/>
              </w:rPr>
              <w:t>4、由于非甲方原因物资未能达到合同约定的技术性能指标时</w:t>
            </w:r>
            <w:r>
              <w:rPr>
                <w:rFonts w:hint="eastAsia" w:ascii="宋体" w:hAnsi="宋体" w:eastAsia="宋体" w:cs="宋体"/>
                <w:szCs w:val="21"/>
                <w:lang w:eastAsia="zh-CN"/>
              </w:rPr>
              <w:t>，</w:t>
            </w:r>
            <w:r>
              <w:rPr>
                <w:rFonts w:hint="eastAsia" w:ascii="宋体" w:hAnsi="宋体" w:eastAsia="宋体" w:cs="宋体"/>
                <w:szCs w:val="21"/>
              </w:rPr>
              <w:t>为乙方进行检测的机会不超过 2次，仍不满足合同约定的，甲方有权终止合同，由此带来的一切损失由乙方承担。</w:t>
            </w:r>
          </w:p>
          <w:p>
            <w:pPr>
              <w:spacing w:before="0"/>
              <w:ind w:left="0" w:firstLine="420" w:firstLineChars="200"/>
              <w:rPr>
                <w:rFonts w:hint="eastAsia"/>
                <w:szCs w:val="21"/>
              </w:rPr>
            </w:pPr>
            <w:r>
              <w:rPr>
                <w:rFonts w:hint="eastAsia" w:ascii="宋体" w:hAnsi="宋体" w:eastAsia="宋体" w:cs="宋体"/>
                <w:szCs w:val="21"/>
              </w:rPr>
              <w:t>5、双方应当共同记录物资检测情况，对于未达到技术性能指标的，应当如实记录原因及处理情况等。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8" w:hRule="atLeast"/>
        </w:trPr>
        <w:tc>
          <w:tcPr>
            <w:tcW w:w="904" w:type="dxa"/>
          </w:tcPr>
          <w:p>
            <w:pPr>
              <w:pStyle w:val="22"/>
              <w:spacing w:before="185"/>
              <w:jc w:val="center"/>
              <w:rPr>
                <w:rFonts w:hint="eastAsia"/>
                <w:spacing w:val="4"/>
                <w:sz w:val="21"/>
                <w:szCs w:val="21"/>
              </w:rPr>
            </w:pPr>
            <w:r>
              <w:rPr>
                <w:rFonts w:hint="eastAsia"/>
                <w:spacing w:val="4"/>
                <w:sz w:val="21"/>
                <w:szCs w:val="21"/>
              </w:rPr>
              <w:t>验收要求</w:t>
            </w:r>
          </w:p>
        </w:tc>
        <w:tc>
          <w:tcPr>
            <w:tcW w:w="8355" w:type="dxa"/>
          </w:tcPr>
          <w:p>
            <w:pPr>
              <w:spacing w:line="240" w:lineRule="auto"/>
              <w:ind w:firstLine="420" w:firstLineChars="200"/>
              <w:rPr>
                <w:rFonts w:hint="eastAsia" w:ascii="宋体" w:hAnsi="宋体" w:eastAsia="宋体" w:cs="宋体"/>
                <w:szCs w:val="21"/>
              </w:rPr>
            </w:pPr>
            <w:r>
              <w:rPr>
                <w:rFonts w:hint="eastAsia" w:ascii="宋体" w:hAnsi="宋体" w:eastAsia="宋体" w:cs="宋体"/>
                <w:szCs w:val="21"/>
              </w:rPr>
              <w:t>1、符合下列情形，双方签署物资验收报告:</w:t>
            </w:r>
          </w:p>
          <w:p>
            <w:pPr>
              <w:spacing w:line="240" w:lineRule="auto"/>
              <w:ind w:firstLine="420" w:firstLineChars="200"/>
              <w:rPr>
                <w:rFonts w:hint="eastAsia" w:ascii="宋体" w:hAnsi="宋体" w:eastAsia="宋体" w:cs="宋体"/>
                <w:szCs w:val="21"/>
              </w:rPr>
            </w:pPr>
            <w:r>
              <w:rPr>
                <w:rFonts w:hint="eastAsia" w:ascii="宋体" w:hAnsi="宋体" w:eastAsia="宋体" w:cs="宋体"/>
                <w:szCs w:val="21"/>
              </w:rPr>
              <w:t>乙方按照合同约定应当承接的配套服务或伴随服务，经甲方确认已经完成。</w:t>
            </w:r>
          </w:p>
          <w:p>
            <w:pPr>
              <w:numPr>
                <w:ilvl w:val="-1"/>
                <w:numId w:val="0"/>
              </w:numPr>
              <w:spacing w:line="240" w:lineRule="auto"/>
              <w:ind w:firstLine="420" w:firstLineChars="200"/>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双方应当签署物资验收报告一式二份，各持一份。验收日期为签署物资验收报告的日期。物资验收报告分批次签署的，最后一批物资验收报告签署日期为验收合格日期。</w:t>
            </w:r>
          </w:p>
          <w:p>
            <w:pPr>
              <w:spacing w:before="0"/>
              <w:ind w:left="0" w:firstLine="420" w:firstLineChars="200"/>
              <w:rPr>
                <w:rFonts w:hint="eastAsia" w:ascii="宋体" w:hAnsi="宋体" w:eastAsia="宋体" w:cs="宋体"/>
                <w:szCs w:val="21"/>
              </w:rPr>
            </w:pPr>
            <w:r>
              <w:rPr>
                <w:rFonts w:hint="eastAsia" w:ascii="宋体" w:hAnsi="宋体" w:eastAsia="宋体" w:cs="宋体"/>
                <w:szCs w:val="21"/>
              </w:rPr>
              <w:t>3、物资验收合格后，乙方应当向甲方办理物资交接手续，物资转入运行、使用、维护阶段。</w:t>
            </w:r>
          </w:p>
          <w:p>
            <w:pPr>
              <w:spacing w:before="0"/>
              <w:ind w:left="0" w:firstLine="420" w:firstLineChars="200"/>
              <w:rPr>
                <w:rFonts w:hint="eastAsia"/>
                <w:szCs w:val="21"/>
              </w:rPr>
            </w:pPr>
            <w:r>
              <w:rPr>
                <w:rFonts w:hint="eastAsia" w:ascii="宋体" w:hAnsi="宋体" w:eastAsia="宋体" w:cs="宋体"/>
                <w:szCs w:val="21"/>
                <w:lang w:val="en-US" w:eastAsia="zh-CN"/>
              </w:rPr>
              <w:t>4、</w:t>
            </w:r>
            <w:r>
              <w:rPr>
                <w:rFonts w:hint="eastAsia" w:ascii="宋体" w:hAnsi="宋体" w:eastAsia="宋体" w:cs="宋体"/>
                <w:szCs w:val="21"/>
              </w:rPr>
              <w:t>验收的其他要求:开箱检验、安装、测试及调试结束后，中标供应商提交验收申请，用户方组织最终验收，给出最终的验收意见并出具《验收报告》(验收事项包括按招标文件、投标文件和合同要求核对全部</w:t>
            </w:r>
            <w:r>
              <w:rPr>
                <w:rFonts w:hint="eastAsia" w:ascii="宋体" w:hAnsi="宋体" w:eastAsia="宋体" w:cs="宋体"/>
                <w:szCs w:val="21"/>
                <w:lang w:eastAsia="zh-CN"/>
              </w:rPr>
              <w:t>货物</w:t>
            </w:r>
            <w:r>
              <w:rPr>
                <w:rFonts w:hint="eastAsia" w:ascii="宋体" w:hAnsi="宋体" w:eastAsia="宋体" w:cs="宋体"/>
                <w:szCs w:val="21"/>
              </w:rPr>
              <w:t>的规格、型号、数量及资料文件:如用户说明书、保修单等)家具交货及安装调试后的检测:家具进场前，对某1个(或某几个)安装房间进行1次室内空气环保检测,家具进场后再进行1次相同检测环境条件下的空气环保检测，前后2次检测的数据差值应满足《室内空气质量检测》的标准要求:中标供应商应负责检测工作的组织安排、检测单位(或机构)的联系联络等工作并承当相关检测费用。</w:t>
            </w:r>
          </w:p>
        </w:tc>
      </w:tr>
    </w:tbl>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br w:type="page"/>
      </w:r>
    </w:p>
    <w:p>
      <w:pPr>
        <w:pStyle w:val="12"/>
        <w:spacing w:before="120" w:line="360" w:lineRule="auto"/>
        <w:ind w:left="150" w:firstLine="410" w:firstLineChars="200"/>
        <w:rPr>
          <w:rFonts w:hint="eastAsia"/>
          <w:sz w:val="21"/>
          <w:szCs w:val="21"/>
        </w:rPr>
      </w:pPr>
      <w:r>
        <w:rPr>
          <w:rFonts w:hint="eastAsia"/>
          <w:b/>
          <w:bCs/>
          <w:spacing w:val="-3"/>
          <w:sz w:val="21"/>
          <w:szCs w:val="21"/>
        </w:rPr>
        <w:t>八、设计要求</w:t>
      </w:r>
    </w:p>
    <w:p>
      <w:pPr>
        <w:pStyle w:val="12"/>
        <w:spacing w:before="120" w:line="360" w:lineRule="auto"/>
        <w:ind w:left="150" w:firstLine="410" w:firstLineChars="200"/>
        <w:rPr>
          <w:rFonts w:hint="eastAsia"/>
          <w:b/>
          <w:bCs/>
          <w:spacing w:val="-3"/>
          <w:sz w:val="21"/>
          <w:szCs w:val="21"/>
        </w:rPr>
      </w:pPr>
      <w:r>
        <w:rPr>
          <w:rFonts w:hint="eastAsia"/>
          <w:b/>
          <w:bCs/>
          <w:spacing w:val="-3"/>
          <w:sz w:val="21"/>
          <w:szCs w:val="21"/>
        </w:rPr>
        <w:t>投标人提供以下5个区域的家具平面设计和指定视角的空间立体效果图</w:t>
      </w:r>
      <w:r>
        <w:rPr>
          <w:rFonts w:hint="eastAsia"/>
          <w:b/>
          <w:bCs/>
          <w:spacing w:val="-3"/>
          <w:sz w:val="21"/>
          <w:szCs w:val="21"/>
          <w:lang w:eastAsia="zh-CN"/>
        </w:rPr>
        <w:t>；</w:t>
      </w:r>
      <w:r>
        <w:rPr>
          <w:rFonts w:hint="eastAsia"/>
          <w:b/>
          <w:bCs/>
          <w:spacing w:val="-3"/>
          <w:sz w:val="21"/>
          <w:szCs w:val="21"/>
        </w:rPr>
        <w:t>要求家具组合搭配、布局合理，并将要求的家具全部落位到对应区域。</w:t>
      </w:r>
    </w:p>
    <w:p>
      <w:pPr>
        <w:pStyle w:val="12"/>
        <w:spacing w:before="120" w:line="360" w:lineRule="auto"/>
        <w:rPr>
          <w:rFonts w:hint="eastAsia"/>
          <w:b/>
          <w:bCs/>
          <w:spacing w:val="-3"/>
          <w:sz w:val="21"/>
          <w:szCs w:val="21"/>
        </w:rPr>
      </w:pPr>
    </w:p>
    <w:p>
      <w:pPr>
        <w:pStyle w:val="12"/>
        <w:spacing w:before="120" w:line="360" w:lineRule="auto"/>
        <w:ind w:left="150" w:firstLine="410" w:firstLineChars="200"/>
        <w:rPr>
          <w:rFonts w:hint="eastAsia"/>
          <w:b/>
          <w:bCs/>
          <w:spacing w:val="-3"/>
          <w:sz w:val="21"/>
          <w:szCs w:val="21"/>
        </w:rPr>
      </w:pPr>
    </w:p>
    <w:p>
      <w:pPr>
        <w:spacing w:line="360" w:lineRule="auto"/>
        <w:ind w:left="4117" w:leftChars="400" w:hanging="3277" w:hangingChars="1600"/>
        <w:rPr>
          <w:rFonts w:hint="eastAsia"/>
          <w:b/>
          <w:bCs/>
          <w:spacing w:val="-3"/>
          <w:sz w:val="21"/>
          <w:szCs w:val="21"/>
          <w:lang w:val="en-US" w:eastAsia="zh-CN"/>
        </w:rPr>
      </w:pPr>
      <w:r>
        <w:rPr>
          <w:rFonts w:hint="eastAsia"/>
          <w:b/>
          <w:bCs/>
          <w:spacing w:val="-3"/>
          <w:sz w:val="21"/>
          <w:szCs w:val="21"/>
        </w:rPr>
        <w:drawing>
          <wp:inline distT="0" distB="0" distL="114300" distR="114300">
            <wp:extent cx="5857875" cy="4142105"/>
            <wp:effectExtent l="0" t="0" r="9525" b="23495"/>
            <wp:docPr id="53" name="图片 53" descr="/Users/jijie/Library/Containers/com.kingsoft.wpsoffice.mac/Data/tmp/photoeditapp/20250717195900/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Users/jijie/Library/Containers/com.kingsoft.wpsoffice.mac/Data/tmp/photoeditapp/20250717195900/temp.pngtemp"/>
                    <pic:cNvPicPr>
                      <a:picLocks noChangeAspect="1"/>
                    </pic:cNvPicPr>
                  </pic:nvPicPr>
                  <pic:blipFill>
                    <a:blip r:embed="rId93"/>
                    <a:stretch>
                      <a:fillRect/>
                    </a:stretch>
                  </pic:blipFill>
                  <pic:spPr>
                    <a:xfrm>
                      <a:off x="0" y="0"/>
                      <a:ext cx="5857875" cy="4142105"/>
                    </a:xfrm>
                    <a:prstGeom prst="rect">
                      <a:avLst/>
                    </a:prstGeom>
                  </pic:spPr>
                </pic:pic>
              </a:graphicData>
            </a:graphic>
          </wp:inline>
        </w:drawing>
      </w:r>
      <w:r>
        <w:rPr>
          <w:rFonts w:hint="eastAsia"/>
          <w:b/>
          <w:bCs/>
          <w:spacing w:val="-3"/>
          <w:sz w:val="21"/>
          <w:szCs w:val="21"/>
        </w:rPr>
        <w:t>序号</w:t>
      </w:r>
      <w:r>
        <w:rPr>
          <w:rFonts w:hint="eastAsia"/>
          <w:b/>
          <w:bCs/>
          <w:spacing w:val="-3"/>
          <w:sz w:val="21"/>
          <w:szCs w:val="21"/>
          <w:lang w:val="en-US" w:eastAsia="zh-CN"/>
        </w:rPr>
        <w:t>1</w:t>
      </w:r>
      <w:r>
        <w:rPr>
          <w:rFonts w:hint="eastAsia"/>
          <w:b/>
          <w:bCs/>
          <w:spacing w:val="-3"/>
          <w:sz w:val="21"/>
          <w:szCs w:val="21"/>
        </w:rPr>
        <w:t>-2F</w:t>
      </w:r>
      <w:r>
        <w:rPr>
          <w:rFonts w:hint="eastAsia"/>
          <w:b/>
          <w:bCs/>
          <w:spacing w:val="-3"/>
          <w:sz w:val="21"/>
          <w:szCs w:val="21"/>
          <w:lang w:val="en-US" w:eastAsia="zh-CN"/>
        </w:rPr>
        <w:t>报告厅</w:t>
      </w:r>
    </w:p>
    <w:p>
      <w:pPr>
        <w:spacing w:line="360" w:lineRule="auto"/>
        <w:ind w:firstLine="960" w:firstLineChars="400"/>
        <w:rPr>
          <w:rFonts w:hint="eastAsia" w:ascii="宋体" w:hAnsi="宋体" w:eastAsia="宋体" w:cs="宋体"/>
          <w:b/>
          <w:bCs/>
          <w:spacing w:val="-5"/>
          <w:lang w:eastAsia="zh-CN"/>
        </w:rPr>
      </w:pPr>
      <w:r>
        <w:rPr>
          <w:rFonts w:hint="eastAsia" w:ascii="宋体" w:hAnsi="宋体" w:eastAsia="宋体" w:cs="宋体"/>
          <w:color w:val="auto"/>
          <w:sz w:val="24"/>
          <w:szCs w:val="24"/>
          <w:lang w:val="en-US" w:eastAsia="zh-CN"/>
        </w:rPr>
        <w:t>序号1-2F报告厅</w:t>
      </w:r>
      <w:r>
        <w:rPr>
          <w:rFonts w:hint="eastAsia" w:ascii="宋体" w:hAnsi="宋体" w:eastAsia="宋体" w:cs="宋体"/>
          <w:color w:val="auto"/>
          <w:sz w:val="24"/>
          <w:szCs w:val="24"/>
          <w:lang w:eastAsia="zh-CN"/>
        </w:rPr>
        <w:t>包含家具</w:t>
      </w:r>
      <w:r>
        <w:rPr>
          <w:rFonts w:hint="eastAsia" w:ascii="宋体" w:hAnsi="宋体" w:eastAsia="宋体" w:cs="宋体"/>
          <w:color w:val="auto"/>
          <w:sz w:val="24"/>
          <w:szCs w:val="24"/>
          <w:lang w:val="en-US" w:eastAsia="zh-CN"/>
        </w:rPr>
        <w:t>1款</w:t>
      </w:r>
      <w:r>
        <w:rPr>
          <w:rFonts w:hint="eastAsia" w:ascii="宋体" w:hAnsi="宋体" w:eastAsia="宋体" w:cs="宋体"/>
          <w:color w:val="auto"/>
          <w:sz w:val="24"/>
          <w:szCs w:val="24"/>
          <w:lang w:eastAsia="zh-CN"/>
        </w:rPr>
        <w:t>：序号</w:t>
      </w:r>
      <w:r>
        <w:rPr>
          <w:rFonts w:hint="eastAsia" w:ascii="宋体" w:hAnsi="宋体" w:eastAsia="宋体" w:cs="宋体"/>
          <w:color w:val="auto"/>
          <w:sz w:val="24"/>
          <w:szCs w:val="24"/>
          <w:lang w:val="en-US" w:eastAsia="zh-CN"/>
        </w:rPr>
        <w:t>93报告厅椅332张</w:t>
      </w:r>
      <w:r>
        <w:rPr>
          <w:rFonts w:hint="eastAsia" w:ascii="宋体" w:hAnsi="宋体" w:eastAsia="宋体" w:cs="宋体"/>
          <w:color w:val="auto"/>
          <w:sz w:val="24"/>
          <w:szCs w:val="24"/>
          <w:lang w:eastAsia="zh-CN"/>
        </w:rPr>
        <w:t>。</w:t>
      </w:r>
    </w:p>
    <w:p>
      <w:pPr>
        <w:pStyle w:val="12"/>
        <w:spacing w:before="120" w:line="360" w:lineRule="auto"/>
        <w:ind w:left="154" w:hanging="150" w:hangingChars="73"/>
        <w:jc w:val="center"/>
        <w:rPr>
          <w:rFonts w:hint="eastAsia"/>
          <w:b/>
          <w:bCs/>
          <w:spacing w:val="-3"/>
          <w:sz w:val="21"/>
          <w:szCs w:val="21"/>
        </w:rPr>
      </w:pPr>
      <w:r>
        <w:rPr>
          <w:rFonts w:hint="eastAsia"/>
          <w:b/>
          <w:bCs/>
          <w:spacing w:val="-3"/>
          <w:sz w:val="21"/>
          <w:szCs w:val="21"/>
        </w:rPr>
        <w:drawing>
          <wp:inline distT="0" distB="0" distL="114300" distR="114300">
            <wp:extent cx="4739005" cy="3352165"/>
            <wp:effectExtent l="0" t="0" r="10795" b="635"/>
            <wp:docPr id="203" name="图片 203" descr="/Users/jijie/Library/Containers/com.kingsoft.wpsoffice.mac/Data/tmp/photoeditapp/20250717200041/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descr="/Users/jijie/Library/Containers/com.kingsoft.wpsoffice.mac/Data/tmp/photoeditapp/20250717200041/temp.pngtemp"/>
                    <pic:cNvPicPr>
                      <a:picLocks noChangeAspect="1"/>
                    </pic:cNvPicPr>
                  </pic:nvPicPr>
                  <pic:blipFill>
                    <a:blip r:embed="rId94"/>
                    <a:stretch>
                      <a:fillRect/>
                    </a:stretch>
                  </pic:blipFill>
                  <pic:spPr>
                    <a:xfrm>
                      <a:off x="0" y="0"/>
                      <a:ext cx="4739005" cy="3352165"/>
                    </a:xfrm>
                    <a:prstGeom prst="rect">
                      <a:avLst/>
                    </a:prstGeom>
                  </pic:spPr>
                </pic:pic>
              </a:graphicData>
            </a:graphic>
          </wp:inline>
        </w:drawing>
      </w:r>
    </w:p>
    <w:p>
      <w:pPr>
        <w:pStyle w:val="12"/>
        <w:spacing w:before="120" w:line="360" w:lineRule="auto"/>
        <w:ind w:left="154" w:hanging="150" w:hangingChars="73"/>
        <w:jc w:val="center"/>
        <w:rPr>
          <w:rFonts w:hint="eastAsia"/>
          <w:b/>
          <w:bCs/>
          <w:spacing w:val="-3"/>
          <w:sz w:val="21"/>
          <w:szCs w:val="21"/>
        </w:rPr>
      </w:pPr>
      <w:r>
        <w:rPr>
          <w:rFonts w:hint="eastAsia"/>
          <w:b/>
          <w:bCs/>
          <w:spacing w:val="-3"/>
          <w:sz w:val="21"/>
          <w:szCs w:val="21"/>
        </w:rPr>
        <w:t>序号</w:t>
      </w:r>
      <w:r>
        <w:rPr>
          <w:rFonts w:hint="eastAsia"/>
          <w:b/>
          <w:bCs/>
          <w:spacing w:val="-3"/>
          <w:sz w:val="21"/>
          <w:szCs w:val="21"/>
          <w:lang w:val="en-US" w:eastAsia="zh-CN"/>
        </w:rPr>
        <w:t>2</w:t>
      </w:r>
      <w:r>
        <w:rPr>
          <w:rFonts w:hint="eastAsia"/>
          <w:b/>
          <w:bCs/>
          <w:spacing w:val="-3"/>
          <w:sz w:val="21"/>
          <w:szCs w:val="21"/>
        </w:rPr>
        <w:t>-</w:t>
      </w:r>
      <w:r>
        <w:rPr>
          <w:rFonts w:hint="eastAsia"/>
          <w:b/>
          <w:bCs/>
          <w:spacing w:val="-3"/>
          <w:sz w:val="21"/>
          <w:szCs w:val="21"/>
          <w:lang w:val="en-US" w:eastAsia="zh-CN"/>
        </w:rPr>
        <w:t>6</w:t>
      </w:r>
      <w:r>
        <w:rPr>
          <w:rFonts w:hint="eastAsia"/>
          <w:b/>
          <w:bCs/>
          <w:spacing w:val="-3"/>
          <w:sz w:val="21"/>
          <w:szCs w:val="21"/>
        </w:rPr>
        <w:t>F</w:t>
      </w:r>
      <w:r>
        <w:rPr>
          <w:rFonts w:hint="eastAsia"/>
          <w:b/>
          <w:bCs/>
          <w:spacing w:val="-3"/>
          <w:sz w:val="21"/>
          <w:szCs w:val="21"/>
          <w:lang w:val="en-US" w:eastAsia="zh-CN"/>
        </w:rPr>
        <w:t>天环</w:t>
      </w:r>
    </w:p>
    <w:p>
      <w:pPr>
        <w:pStyle w:val="12"/>
        <w:spacing w:before="120" w:line="360" w:lineRule="auto"/>
        <w:ind w:left="154" w:hanging="175" w:hangingChars="73"/>
        <w:jc w:val="center"/>
        <w:rPr>
          <w:rFonts w:hint="eastAsia"/>
          <w:b/>
          <w:bCs/>
          <w:spacing w:val="-3"/>
          <w:sz w:val="21"/>
          <w:szCs w:val="21"/>
        </w:rPr>
      </w:pPr>
      <w:r>
        <w:rPr>
          <w:rFonts w:hint="eastAsia" w:ascii="宋体" w:hAnsi="宋体" w:eastAsia="宋体" w:cs="宋体"/>
          <w:color w:val="auto"/>
          <w:sz w:val="24"/>
          <w:szCs w:val="24"/>
          <w:lang w:val="en-US" w:eastAsia="zh-CN"/>
        </w:rPr>
        <w:t>序号</w:t>
      </w:r>
      <w:r>
        <w:rPr>
          <w:rFonts w:hint="eastAsia" w:cs="宋体"/>
          <w:color w:val="auto"/>
          <w:sz w:val="24"/>
          <w:szCs w:val="24"/>
          <w:lang w:val="en-US" w:eastAsia="zh-CN"/>
        </w:rPr>
        <w:t>2</w:t>
      </w:r>
      <w:r>
        <w:rPr>
          <w:rFonts w:hint="eastAsia" w:ascii="宋体" w:hAnsi="宋体" w:eastAsia="宋体" w:cs="宋体"/>
          <w:color w:val="auto"/>
          <w:sz w:val="24"/>
          <w:szCs w:val="24"/>
          <w:lang w:val="en-US" w:eastAsia="zh-CN"/>
        </w:rPr>
        <w:t>-</w:t>
      </w:r>
      <w:r>
        <w:rPr>
          <w:rFonts w:hint="eastAsia" w:cs="宋体"/>
          <w:color w:val="auto"/>
          <w:sz w:val="24"/>
          <w:szCs w:val="24"/>
          <w:lang w:val="en-US" w:eastAsia="zh-CN"/>
        </w:rPr>
        <w:t>6</w:t>
      </w:r>
      <w:r>
        <w:rPr>
          <w:rFonts w:hint="eastAsia" w:ascii="宋体" w:hAnsi="宋体" w:eastAsia="宋体" w:cs="宋体"/>
          <w:color w:val="auto"/>
          <w:sz w:val="24"/>
          <w:szCs w:val="24"/>
          <w:lang w:val="en-US" w:eastAsia="zh-CN"/>
        </w:rPr>
        <w:t>F</w:t>
      </w:r>
      <w:r>
        <w:rPr>
          <w:rFonts w:hint="eastAsia" w:cs="宋体"/>
          <w:color w:val="auto"/>
          <w:sz w:val="24"/>
          <w:szCs w:val="24"/>
          <w:lang w:val="en-US" w:eastAsia="zh-CN"/>
        </w:rPr>
        <w:t>天环箭头视角效果图</w:t>
      </w:r>
      <w:r>
        <w:rPr>
          <w:rFonts w:hint="eastAsia" w:ascii="宋体" w:hAnsi="宋体" w:eastAsia="宋体" w:cs="宋体"/>
          <w:color w:val="auto"/>
          <w:sz w:val="24"/>
          <w:szCs w:val="24"/>
          <w:lang w:eastAsia="zh-CN"/>
        </w:rPr>
        <w:t>包含家具</w:t>
      </w:r>
      <w:r>
        <w:rPr>
          <w:rFonts w:hint="eastAsia" w:cs="宋体"/>
          <w:color w:val="auto"/>
          <w:sz w:val="24"/>
          <w:szCs w:val="24"/>
          <w:lang w:val="en-US" w:eastAsia="zh-CN"/>
        </w:rPr>
        <w:t>4</w:t>
      </w:r>
      <w:r>
        <w:rPr>
          <w:rFonts w:hint="eastAsia" w:ascii="宋体" w:hAnsi="宋体" w:eastAsia="宋体" w:cs="宋体"/>
          <w:color w:val="auto"/>
          <w:sz w:val="24"/>
          <w:szCs w:val="24"/>
          <w:lang w:val="en-US" w:eastAsia="zh-CN"/>
        </w:rPr>
        <w:t>款</w:t>
      </w:r>
      <w:r>
        <w:rPr>
          <w:rFonts w:hint="eastAsia" w:ascii="宋体" w:hAnsi="宋体" w:eastAsia="宋体" w:cs="宋体"/>
          <w:color w:val="auto"/>
          <w:sz w:val="24"/>
          <w:szCs w:val="24"/>
          <w:lang w:eastAsia="zh-CN"/>
        </w:rPr>
        <w:t>：序号</w:t>
      </w:r>
      <w:r>
        <w:rPr>
          <w:rFonts w:hint="eastAsia" w:cs="宋体"/>
          <w:color w:val="auto"/>
          <w:sz w:val="24"/>
          <w:szCs w:val="24"/>
          <w:lang w:val="en-US" w:eastAsia="zh-CN"/>
        </w:rPr>
        <w:t>17高脚</w:t>
      </w:r>
      <w:r>
        <w:rPr>
          <w:rFonts w:hint="eastAsia" w:ascii="宋体" w:hAnsi="宋体" w:eastAsia="宋体" w:cs="宋体"/>
          <w:color w:val="auto"/>
          <w:sz w:val="24"/>
          <w:szCs w:val="24"/>
          <w:lang w:val="en-US" w:eastAsia="zh-CN"/>
        </w:rPr>
        <w:t>椅</w:t>
      </w:r>
      <w:r>
        <w:rPr>
          <w:rFonts w:hint="eastAsia" w:cs="宋体"/>
          <w:color w:val="auto"/>
          <w:sz w:val="24"/>
          <w:szCs w:val="24"/>
          <w:lang w:val="en-US" w:eastAsia="zh-CN"/>
        </w:rPr>
        <w:t>12</w:t>
      </w:r>
      <w:r>
        <w:rPr>
          <w:rFonts w:hint="eastAsia" w:ascii="宋体" w:hAnsi="宋体" w:eastAsia="宋体" w:cs="宋体"/>
          <w:color w:val="auto"/>
          <w:sz w:val="24"/>
          <w:szCs w:val="24"/>
          <w:lang w:val="en-US" w:eastAsia="zh-CN"/>
        </w:rPr>
        <w:t>张</w:t>
      </w:r>
      <w:r>
        <w:rPr>
          <w:rFonts w:hint="eastAsia" w:cs="宋体"/>
          <w:color w:val="auto"/>
          <w:sz w:val="24"/>
          <w:szCs w:val="24"/>
          <w:lang w:val="en-US" w:eastAsia="zh-CN"/>
        </w:rPr>
        <w:t>，序号19休闲沙发2张，序号20弧形沙发1张，序号27椭圆桌1张</w:t>
      </w:r>
      <w:r>
        <w:rPr>
          <w:rFonts w:hint="eastAsia" w:ascii="宋体" w:hAnsi="宋体" w:eastAsia="宋体" w:cs="宋体"/>
          <w:color w:val="auto"/>
          <w:sz w:val="24"/>
          <w:szCs w:val="24"/>
          <w:lang w:eastAsia="zh-CN"/>
        </w:rPr>
        <w:t>。</w:t>
      </w:r>
    </w:p>
    <w:p>
      <w:pPr>
        <w:pStyle w:val="12"/>
        <w:spacing w:before="120" w:line="360" w:lineRule="auto"/>
        <w:ind w:left="154" w:hanging="150" w:hangingChars="73"/>
        <w:jc w:val="center"/>
        <w:rPr>
          <w:rFonts w:hint="eastAsia"/>
          <w:b/>
          <w:bCs/>
          <w:spacing w:val="-3"/>
          <w:sz w:val="21"/>
          <w:szCs w:val="21"/>
        </w:rPr>
      </w:pPr>
    </w:p>
    <w:p>
      <w:pPr>
        <w:pStyle w:val="12"/>
        <w:spacing w:before="120" w:line="360" w:lineRule="auto"/>
        <w:ind w:left="154" w:hanging="150" w:hangingChars="73"/>
        <w:jc w:val="center"/>
        <w:rPr>
          <w:rFonts w:hint="eastAsia"/>
          <w:b/>
          <w:bCs/>
          <w:spacing w:val="-3"/>
          <w:sz w:val="21"/>
          <w:szCs w:val="21"/>
        </w:rPr>
      </w:pPr>
    </w:p>
    <w:p>
      <w:pPr>
        <w:pStyle w:val="12"/>
        <w:spacing w:before="120" w:line="360" w:lineRule="auto"/>
        <w:ind w:left="154" w:hanging="150" w:hangingChars="73"/>
        <w:jc w:val="center"/>
        <w:rPr>
          <w:rFonts w:hint="eastAsia"/>
          <w:b/>
          <w:bCs/>
          <w:spacing w:val="-3"/>
          <w:sz w:val="21"/>
          <w:szCs w:val="21"/>
        </w:rPr>
      </w:pPr>
      <w:r>
        <w:rPr>
          <w:rFonts w:hint="eastAsia"/>
          <w:b/>
          <w:bCs/>
          <w:spacing w:val="-3"/>
          <w:sz w:val="21"/>
          <w:szCs w:val="21"/>
        </w:rPr>
        <w:drawing>
          <wp:inline distT="0" distB="0" distL="114300" distR="114300">
            <wp:extent cx="5857875" cy="4142105"/>
            <wp:effectExtent l="0" t="0" r="9525" b="23495"/>
            <wp:docPr id="204" name="图片 204" descr="/Users/jijie/Library/Containers/com.kingsoft.wpsoffice.mac/Data/tmp/photoeditapp/20250717200118/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Users/jijie/Library/Containers/com.kingsoft.wpsoffice.mac/Data/tmp/photoeditapp/20250717200118/temp.pngtemp"/>
                    <pic:cNvPicPr>
                      <a:picLocks noChangeAspect="1"/>
                    </pic:cNvPicPr>
                  </pic:nvPicPr>
                  <pic:blipFill>
                    <a:blip r:embed="rId95"/>
                    <a:stretch>
                      <a:fillRect/>
                    </a:stretch>
                  </pic:blipFill>
                  <pic:spPr>
                    <a:xfrm>
                      <a:off x="0" y="0"/>
                      <a:ext cx="5857875" cy="4142105"/>
                    </a:xfrm>
                    <a:prstGeom prst="rect">
                      <a:avLst/>
                    </a:prstGeom>
                  </pic:spPr>
                </pic:pic>
              </a:graphicData>
            </a:graphic>
          </wp:inline>
        </w:drawing>
      </w:r>
    </w:p>
    <w:p>
      <w:pPr>
        <w:pStyle w:val="12"/>
        <w:spacing w:before="120" w:line="360" w:lineRule="auto"/>
        <w:ind w:left="154" w:hanging="150" w:hangingChars="73"/>
        <w:jc w:val="center"/>
        <w:rPr>
          <w:rFonts w:hint="default"/>
          <w:b/>
          <w:bCs/>
          <w:spacing w:val="-3"/>
          <w:sz w:val="21"/>
          <w:szCs w:val="21"/>
          <w:lang w:val="en-US"/>
        </w:rPr>
      </w:pPr>
      <w:r>
        <w:rPr>
          <w:rFonts w:hint="eastAsia"/>
          <w:b/>
          <w:bCs/>
          <w:spacing w:val="-3"/>
          <w:sz w:val="21"/>
          <w:szCs w:val="21"/>
        </w:rPr>
        <w:t>序号</w:t>
      </w:r>
      <w:r>
        <w:rPr>
          <w:rFonts w:hint="eastAsia"/>
          <w:b/>
          <w:bCs/>
          <w:spacing w:val="-3"/>
          <w:sz w:val="21"/>
          <w:szCs w:val="21"/>
          <w:lang w:val="en-US" w:eastAsia="zh-CN"/>
        </w:rPr>
        <w:t>3</w:t>
      </w:r>
      <w:r>
        <w:rPr>
          <w:rFonts w:hint="eastAsia"/>
          <w:b/>
          <w:bCs/>
          <w:spacing w:val="-3"/>
          <w:sz w:val="21"/>
          <w:szCs w:val="21"/>
        </w:rPr>
        <w:t>-</w:t>
      </w:r>
      <w:r>
        <w:rPr>
          <w:rFonts w:hint="eastAsia"/>
          <w:b/>
          <w:bCs/>
          <w:spacing w:val="-3"/>
          <w:sz w:val="21"/>
          <w:szCs w:val="21"/>
          <w:lang w:val="en-US" w:eastAsia="zh-CN"/>
        </w:rPr>
        <w:t>1</w:t>
      </w:r>
      <w:r>
        <w:rPr>
          <w:rFonts w:hint="eastAsia"/>
          <w:b/>
          <w:bCs/>
          <w:spacing w:val="-3"/>
          <w:sz w:val="21"/>
          <w:szCs w:val="21"/>
        </w:rPr>
        <w:t>F</w:t>
      </w:r>
      <w:r>
        <w:rPr>
          <w:rFonts w:hint="eastAsia"/>
          <w:b/>
          <w:bCs/>
          <w:spacing w:val="-3"/>
          <w:sz w:val="21"/>
          <w:szCs w:val="21"/>
          <w:lang w:val="en-US" w:eastAsia="zh-CN"/>
        </w:rPr>
        <w:t>多功能厅</w:t>
      </w:r>
    </w:p>
    <w:p>
      <w:pPr>
        <w:pStyle w:val="12"/>
        <w:spacing w:before="120" w:line="360" w:lineRule="auto"/>
        <w:ind w:left="154" w:hanging="175" w:hangingChars="73"/>
        <w:jc w:val="center"/>
        <w:rPr>
          <w:rFonts w:hint="eastAsia"/>
          <w:b/>
          <w:bCs/>
          <w:spacing w:val="-3"/>
          <w:sz w:val="21"/>
          <w:szCs w:val="21"/>
        </w:rPr>
      </w:pPr>
      <w:r>
        <w:rPr>
          <w:rFonts w:hint="eastAsia" w:ascii="宋体" w:hAnsi="宋体" w:eastAsia="宋体" w:cs="宋体"/>
          <w:color w:val="auto"/>
          <w:sz w:val="24"/>
          <w:szCs w:val="24"/>
          <w:lang w:val="en-US" w:eastAsia="zh-CN"/>
        </w:rPr>
        <w:t>序号</w:t>
      </w:r>
      <w:r>
        <w:rPr>
          <w:rFonts w:hint="eastAsia" w:cs="宋体"/>
          <w:color w:val="auto"/>
          <w:sz w:val="24"/>
          <w:szCs w:val="24"/>
          <w:lang w:val="en-US" w:eastAsia="zh-CN"/>
        </w:rPr>
        <w:t>3</w:t>
      </w:r>
      <w:r>
        <w:rPr>
          <w:rFonts w:hint="eastAsia" w:ascii="宋体" w:hAnsi="宋体" w:eastAsia="宋体" w:cs="宋体"/>
          <w:color w:val="auto"/>
          <w:sz w:val="24"/>
          <w:szCs w:val="24"/>
          <w:lang w:val="en-US" w:eastAsia="zh-CN"/>
        </w:rPr>
        <w:t>-</w:t>
      </w:r>
      <w:r>
        <w:rPr>
          <w:rFonts w:hint="eastAsia" w:cs="宋体"/>
          <w:color w:val="auto"/>
          <w:sz w:val="24"/>
          <w:szCs w:val="24"/>
          <w:lang w:val="en-US" w:eastAsia="zh-CN"/>
        </w:rPr>
        <w:t>1</w:t>
      </w:r>
      <w:r>
        <w:rPr>
          <w:rFonts w:hint="eastAsia" w:ascii="宋体" w:hAnsi="宋体" w:eastAsia="宋体" w:cs="宋体"/>
          <w:color w:val="auto"/>
          <w:sz w:val="24"/>
          <w:szCs w:val="24"/>
          <w:lang w:val="en-US" w:eastAsia="zh-CN"/>
        </w:rPr>
        <w:t>F</w:t>
      </w:r>
      <w:r>
        <w:rPr>
          <w:rFonts w:hint="eastAsia" w:cs="宋体"/>
          <w:color w:val="auto"/>
          <w:sz w:val="24"/>
          <w:szCs w:val="24"/>
          <w:lang w:val="en-US" w:eastAsia="zh-CN"/>
        </w:rPr>
        <w:t>多功能厅箭头视角效果图</w:t>
      </w:r>
      <w:r>
        <w:rPr>
          <w:rFonts w:hint="eastAsia" w:ascii="宋体" w:hAnsi="宋体" w:eastAsia="宋体" w:cs="宋体"/>
          <w:color w:val="auto"/>
          <w:sz w:val="24"/>
          <w:szCs w:val="24"/>
          <w:lang w:eastAsia="zh-CN"/>
        </w:rPr>
        <w:t>包含家具</w:t>
      </w:r>
      <w:r>
        <w:rPr>
          <w:rFonts w:hint="eastAsia" w:cs="宋体"/>
          <w:color w:val="auto"/>
          <w:sz w:val="24"/>
          <w:szCs w:val="24"/>
          <w:lang w:val="en-US" w:eastAsia="zh-CN"/>
        </w:rPr>
        <w:t>4</w:t>
      </w:r>
      <w:r>
        <w:rPr>
          <w:rFonts w:hint="eastAsia" w:ascii="宋体" w:hAnsi="宋体" w:eastAsia="宋体" w:cs="宋体"/>
          <w:color w:val="auto"/>
          <w:sz w:val="24"/>
          <w:szCs w:val="24"/>
          <w:lang w:val="en-US" w:eastAsia="zh-CN"/>
        </w:rPr>
        <w:t>款</w:t>
      </w:r>
      <w:r>
        <w:rPr>
          <w:rFonts w:hint="eastAsia" w:ascii="宋体" w:hAnsi="宋体" w:eastAsia="宋体" w:cs="宋体"/>
          <w:color w:val="auto"/>
          <w:sz w:val="24"/>
          <w:szCs w:val="24"/>
          <w:lang w:eastAsia="zh-CN"/>
        </w:rPr>
        <w:t>：序号</w:t>
      </w:r>
      <w:r>
        <w:rPr>
          <w:rFonts w:hint="eastAsia" w:cs="宋体"/>
          <w:color w:val="auto"/>
          <w:sz w:val="24"/>
          <w:szCs w:val="24"/>
          <w:lang w:val="en-US" w:eastAsia="zh-CN"/>
        </w:rPr>
        <w:t>1餐桌4</w:t>
      </w:r>
      <w:r>
        <w:rPr>
          <w:rFonts w:hint="eastAsia" w:ascii="宋体" w:hAnsi="宋体" w:eastAsia="宋体" w:cs="宋体"/>
          <w:color w:val="auto"/>
          <w:sz w:val="24"/>
          <w:szCs w:val="24"/>
          <w:lang w:val="en-US" w:eastAsia="zh-CN"/>
        </w:rPr>
        <w:t>张</w:t>
      </w:r>
      <w:r>
        <w:rPr>
          <w:rFonts w:hint="eastAsia" w:cs="宋体"/>
          <w:color w:val="auto"/>
          <w:sz w:val="24"/>
          <w:szCs w:val="24"/>
          <w:lang w:val="en-US" w:eastAsia="zh-CN"/>
        </w:rPr>
        <w:t>，序号2餐桌4张，序号3圆形餐桌25张，序号12休闲椅69张</w:t>
      </w:r>
      <w:r>
        <w:rPr>
          <w:rFonts w:hint="eastAsia" w:ascii="宋体" w:hAnsi="宋体" w:eastAsia="宋体" w:cs="宋体"/>
          <w:color w:val="auto"/>
          <w:sz w:val="24"/>
          <w:szCs w:val="24"/>
          <w:lang w:eastAsia="zh-CN"/>
        </w:rPr>
        <w:t>。</w:t>
      </w:r>
    </w:p>
    <w:p>
      <w:pPr>
        <w:pStyle w:val="12"/>
        <w:spacing w:before="120" w:line="360" w:lineRule="auto"/>
        <w:ind w:left="154" w:hanging="150" w:hangingChars="73"/>
        <w:jc w:val="center"/>
        <w:rPr>
          <w:rFonts w:hint="eastAsia"/>
          <w:b/>
          <w:bCs/>
          <w:spacing w:val="-3"/>
          <w:sz w:val="21"/>
          <w:szCs w:val="21"/>
        </w:rPr>
      </w:pPr>
    </w:p>
    <w:p>
      <w:pPr>
        <w:pStyle w:val="12"/>
        <w:spacing w:before="120" w:line="360" w:lineRule="auto"/>
        <w:ind w:left="154" w:hanging="150" w:hangingChars="73"/>
        <w:jc w:val="center"/>
        <w:rPr>
          <w:rFonts w:hint="eastAsia"/>
          <w:b/>
          <w:bCs/>
          <w:spacing w:val="-3"/>
          <w:sz w:val="21"/>
          <w:szCs w:val="21"/>
        </w:rPr>
      </w:pPr>
    </w:p>
    <w:p>
      <w:pPr>
        <w:pStyle w:val="12"/>
        <w:spacing w:before="120" w:line="360" w:lineRule="auto"/>
        <w:ind w:left="154" w:hanging="150" w:hangingChars="73"/>
        <w:jc w:val="center"/>
        <w:rPr>
          <w:rFonts w:hint="eastAsia"/>
          <w:b/>
          <w:bCs/>
          <w:spacing w:val="-3"/>
          <w:sz w:val="21"/>
          <w:szCs w:val="21"/>
        </w:rPr>
      </w:pPr>
    </w:p>
    <w:p>
      <w:pPr>
        <w:pStyle w:val="12"/>
        <w:spacing w:before="120" w:line="360" w:lineRule="auto"/>
        <w:ind w:left="154" w:hanging="150" w:hangingChars="73"/>
        <w:jc w:val="center"/>
        <w:rPr>
          <w:rFonts w:hint="default"/>
          <w:b/>
          <w:bCs/>
          <w:spacing w:val="-3"/>
          <w:sz w:val="21"/>
          <w:szCs w:val="21"/>
          <w:lang w:val="en-US"/>
        </w:rPr>
      </w:pPr>
      <w:r>
        <w:rPr>
          <w:rFonts w:hint="eastAsia"/>
          <w:b/>
          <w:bCs/>
          <w:spacing w:val="-3"/>
          <w:sz w:val="21"/>
          <w:szCs w:val="21"/>
        </w:rPr>
        <w:drawing>
          <wp:inline distT="0" distB="0" distL="114300" distR="114300">
            <wp:extent cx="5857875" cy="4142105"/>
            <wp:effectExtent l="0" t="0" r="9525" b="23495"/>
            <wp:docPr id="205" name="图片 205" descr="/Users/jijie/Library/Containers/com.kingsoft.wpsoffice.mac/Data/tmp/photoeditapp/20250717200140/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Users/jijie/Library/Containers/com.kingsoft.wpsoffice.mac/Data/tmp/photoeditapp/20250717200140/temp.pngtemp"/>
                    <pic:cNvPicPr>
                      <a:picLocks noChangeAspect="1"/>
                    </pic:cNvPicPr>
                  </pic:nvPicPr>
                  <pic:blipFill>
                    <a:blip r:embed="rId96"/>
                    <a:stretch>
                      <a:fillRect/>
                    </a:stretch>
                  </pic:blipFill>
                  <pic:spPr>
                    <a:xfrm>
                      <a:off x="0" y="0"/>
                      <a:ext cx="5857875" cy="4142105"/>
                    </a:xfrm>
                    <a:prstGeom prst="rect">
                      <a:avLst/>
                    </a:prstGeom>
                  </pic:spPr>
                </pic:pic>
              </a:graphicData>
            </a:graphic>
          </wp:inline>
        </w:drawing>
      </w:r>
      <w:r>
        <w:rPr>
          <w:rFonts w:hint="eastAsia"/>
          <w:b/>
          <w:bCs/>
          <w:spacing w:val="-3"/>
          <w:sz w:val="21"/>
          <w:szCs w:val="21"/>
        </w:rPr>
        <w:t>序号</w:t>
      </w:r>
      <w:r>
        <w:rPr>
          <w:rFonts w:hint="eastAsia"/>
          <w:b/>
          <w:bCs/>
          <w:spacing w:val="-3"/>
          <w:sz w:val="21"/>
          <w:szCs w:val="21"/>
          <w:lang w:val="en-US" w:eastAsia="zh-CN"/>
        </w:rPr>
        <w:t>4</w:t>
      </w:r>
      <w:r>
        <w:rPr>
          <w:rFonts w:hint="eastAsia"/>
          <w:b/>
          <w:bCs/>
          <w:spacing w:val="-3"/>
          <w:sz w:val="21"/>
          <w:szCs w:val="21"/>
        </w:rPr>
        <w:t>-</w:t>
      </w:r>
      <w:r>
        <w:rPr>
          <w:rFonts w:hint="eastAsia"/>
          <w:b/>
          <w:bCs/>
          <w:spacing w:val="-3"/>
          <w:sz w:val="21"/>
          <w:szCs w:val="21"/>
          <w:lang w:val="en-US" w:eastAsia="zh-CN"/>
        </w:rPr>
        <w:t>1</w:t>
      </w:r>
      <w:r>
        <w:rPr>
          <w:rFonts w:hint="eastAsia"/>
          <w:b/>
          <w:bCs/>
          <w:spacing w:val="-3"/>
          <w:sz w:val="21"/>
          <w:szCs w:val="21"/>
        </w:rPr>
        <w:t>F</w:t>
      </w:r>
      <w:r>
        <w:rPr>
          <w:rFonts w:hint="eastAsia"/>
          <w:b/>
          <w:bCs/>
          <w:spacing w:val="-3"/>
          <w:sz w:val="21"/>
          <w:szCs w:val="21"/>
          <w:lang w:val="en-US" w:eastAsia="zh-CN"/>
        </w:rPr>
        <w:t>员工餐厅</w:t>
      </w:r>
    </w:p>
    <w:p>
      <w:pPr>
        <w:pStyle w:val="12"/>
        <w:spacing w:before="120" w:line="360" w:lineRule="auto"/>
        <w:ind w:left="154" w:hanging="175" w:hangingChars="73"/>
        <w:jc w:val="center"/>
        <w:rPr>
          <w:rFonts w:hint="eastAsia"/>
          <w:b/>
          <w:bCs/>
          <w:spacing w:val="-3"/>
          <w:sz w:val="21"/>
          <w:szCs w:val="21"/>
        </w:rPr>
      </w:pPr>
      <w:r>
        <w:rPr>
          <w:rFonts w:hint="eastAsia" w:ascii="宋体" w:hAnsi="宋体" w:eastAsia="宋体" w:cs="宋体"/>
          <w:color w:val="auto"/>
          <w:sz w:val="24"/>
          <w:szCs w:val="24"/>
          <w:lang w:val="en-US" w:eastAsia="zh-CN"/>
        </w:rPr>
        <w:t>序号</w:t>
      </w:r>
      <w:r>
        <w:rPr>
          <w:rFonts w:hint="eastAsia" w:cs="宋体"/>
          <w:color w:val="auto"/>
          <w:sz w:val="24"/>
          <w:szCs w:val="24"/>
          <w:lang w:val="en-US" w:eastAsia="zh-CN"/>
        </w:rPr>
        <w:t>4</w:t>
      </w:r>
      <w:r>
        <w:rPr>
          <w:rFonts w:hint="eastAsia" w:ascii="宋体" w:hAnsi="宋体" w:eastAsia="宋体" w:cs="宋体"/>
          <w:color w:val="auto"/>
          <w:sz w:val="24"/>
          <w:szCs w:val="24"/>
          <w:lang w:val="en-US" w:eastAsia="zh-CN"/>
        </w:rPr>
        <w:t>-</w:t>
      </w:r>
      <w:r>
        <w:rPr>
          <w:rFonts w:hint="eastAsia" w:cs="宋体"/>
          <w:color w:val="auto"/>
          <w:sz w:val="24"/>
          <w:szCs w:val="24"/>
          <w:lang w:val="en-US" w:eastAsia="zh-CN"/>
        </w:rPr>
        <w:t>1</w:t>
      </w:r>
      <w:r>
        <w:rPr>
          <w:rFonts w:hint="eastAsia" w:ascii="宋体" w:hAnsi="宋体" w:eastAsia="宋体" w:cs="宋体"/>
          <w:color w:val="auto"/>
          <w:sz w:val="24"/>
          <w:szCs w:val="24"/>
          <w:lang w:val="en-US" w:eastAsia="zh-CN"/>
        </w:rPr>
        <w:t>F</w:t>
      </w:r>
      <w:r>
        <w:rPr>
          <w:rFonts w:hint="eastAsia" w:cs="宋体"/>
          <w:color w:val="auto"/>
          <w:sz w:val="24"/>
          <w:szCs w:val="24"/>
          <w:lang w:val="en-US" w:eastAsia="zh-CN"/>
        </w:rPr>
        <w:t>员工餐厅箭头视角效果图</w:t>
      </w:r>
      <w:r>
        <w:rPr>
          <w:rFonts w:hint="eastAsia" w:ascii="宋体" w:hAnsi="宋体" w:eastAsia="宋体" w:cs="宋体"/>
          <w:color w:val="auto"/>
          <w:sz w:val="24"/>
          <w:szCs w:val="24"/>
          <w:lang w:eastAsia="zh-CN"/>
        </w:rPr>
        <w:t>包含家具</w:t>
      </w:r>
      <w:r>
        <w:rPr>
          <w:rFonts w:hint="eastAsia" w:cs="宋体"/>
          <w:color w:val="auto"/>
          <w:sz w:val="24"/>
          <w:szCs w:val="24"/>
          <w:lang w:val="en-US" w:eastAsia="zh-CN"/>
        </w:rPr>
        <w:t>3</w:t>
      </w:r>
      <w:r>
        <w:rPr>
          <w:rFonts w:hint="eastAsia" w:ascii="宋体" w:hAnsi="宋体" w:eastAsia="宋体" w:cs="宋体"/>
          <w:color w:val="auto"/>
          <w:sz w:val="24"/>
          <w:szCs w:val="24"/>
          <w:lang w:val="en-US" w:eastAsia="zh-CN"/>
        </w:rPr>
        <w:t>款</w:t>
      </w:r>
      <w:r>
        <w:rPr>
          <w:rFonts w:hint="eastAsia" w:ascii="宋体" w:hAnsi="宋体" w:eastAsia="宋体" w:cs="宋体"/>
          <w:color w:val="auto"/>
          <w:sz w:val="24"/>
          <w:szCs w:val="24"/>
          <w:lang w:eastAsia="zh-CN"/>
        </w:rPr>
        <w:t>：序号</w:t>
      </w:r>
      <w:r>
        <w:rPr>
          <w:rFonts w:hint="eastAsia" w:cs="宋体"/>
          <w:color w:val="auto"/>
          <w:sz w:val="24"/>
          <w:szCs w:val="24"/>
          <w:lang w:val="en-US" w:eastAsia="zh-CN"/>
        </w:rPr>
        <w:t>1餐桌4</w:t>
      </w:r>
      <w:r>
        <w:rPr>
          <w:rFonts w:hint="eastAsia" w:ascii="宋体" w:hAnsi="宋体" w:eastAsia="宋体" w:cs="宋体"/>
          <w:color w:val="auto"/>
          <w:sz w:val="24"/>
          <w:szCs w:val="24"/>
          <w:lang w:val="en-US" w:eastAsia="zh-CN"/>
        </w:rPr>
        <w:t>张</w:t>
      </w:r>
      <w:r>
        <w:rPr>
          <w:rFonts w:hint="eastAsia" w:cs="宋体"/>
          <w:color w:val="auto"/>
          <w:sz w:val="24"/>
          <w:szCs w:val="24"/>
          <w:lang w:val="en-US" w:eastAsia="zh-CN"/>
        </w:rPr>
        <w:t>，序号2餐桌5张，序号3圆形餐桌42张</w:t>
      </w:r>
      <w:r>
        <w:rPr>
          <w:rFonts w:hint="eastAsia" w:ascii="宋体" w:hAnsi="宋体" w:eastAsia="宋体" w:cs="宋体"/>
          <w:color w:val="auto"/>
          <w:sz w:val="24"/>
          <w:szCs w:val="24"/>
          <w:lang w:eastAsia="zh-CN"/>
        </w:rPr>
        <w:t>。</w:t>
      </w:r>
    </w:p>
    <w:p>
      <w:pPr>
        <w:pStyle w:val="12"/>
        <w:spacing w:before="120" w:line="360" w:lineRule="auto"/>
        <w:ind w:left="154" w:hanging="150" w:hangingChars="73"/>
        <w:jc w:val="center"/>
        <w:rPr>
          <w:rFonts w:hint="eastAsia"/>
          <w:b/>
          <w:bCs/>
          <w:spacing w:val="-3"/>
          <w:sz w:val="21"/>
          <w:szCs w:val="21"/>
        </w:rPr>
      </w:pPr>
    </w:p>
    <w:p>
      <w:pPr>
        <w:pStyle w:val="12"/>
        <w:spacing w:before="120" w:line="360" w:lineRule="auto"/>
        <w:ind w:left="154" w:hanging="150" w:hangingChars="73"/>
        <w:jc w:val="center"/>
        <w:rPr>
          <w:rFonts w:hint="eastAsia"/>
          <w:b/>
          <w:bCs/>
          <w:spacing w:val="-3"/>
          <w:sz w:val="21"/>
          <w:szCs w:val="21"/>
        </w:rPr>
      </w:pPr>
    </w:p>
    <w:p>
      <w:pPr>
        <w:pStyle w:val="12"/>
        <w:spacing w:before="120" w:line="360" w:lineRule="auto"/>
        <w:ind w:left="154" w:hanging="150" w:hangingChars="73"/>
        <w:jc w:val="center"/>
        <w:rPr>
          <w:rFonts w:hint="eastAsia"/>
          <w:b/>
          <w:bCs/>
          <w:spacing w:val="-3"/>
          <w:szCs w:val="21"/>
        </w:rPr>
      </w:pPr>
      <w:r>
        <w:rPr>
          <w:rFonts w:hint="eastAsia"/>
          <w:b/>
          <w:bCs/>
          <w:spacing w:val="-3"/>
          <w:sz w:val="21"/>
          <w:szCs w:val="21"/>
        </w:rPr>
        <w:drawing>
          <wp:inline distT="0" distB="0" distL="114300" distR="114300">
            <wp:extent cx="5730875" cy="4052570"/>
            <wp:effectExtent l="0" t="0" r="9525" b="11430"/>
            <wp:docPr id="206" name="图片 206" descr="/Users/jijie/Library/Containers/com.kingsoft.wpsoffice.mac/Data/tmp/photoeditapp/20250717200204/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Users/jijie/Library/Containers/com.kingsoft.wpsoffice.mac/Data/tmp/photoeditapp/20250717200204/temp.pngtemp"/>
                    <pic:cNvPicPr>
                      <a:picLocks noChangeAspect="1"/>
                    </pic:cNvPicPr>
                  </pic:nvPicPr>
                  <pic:blipFill>
                    <a:blip r:embed="rId97"/>
                    <a:stretch>
                      <a:fillRect/>
                    </a:stretch>
                  </pic:blipFill>
                  <pic:spPr>
                    <a:xfrm>
                      <a:off x="0" y="0"/>
                      <a:ext cx="5730875" cy="4052570"/>
                    </a:xfrm>
                    <a:prstGeom prst="rect">
                      <a:avLst/>
                    </a:prstGeom>
                  </pic:spPr>
                </pic:pic>
              </a:graphicData>
            </a:graphic>
          </wp:inline>
        </w:drawing>
      </w:r>
    </w:p>
    <w:p>
      <w:pPr>
        <w:spacing w:before="120"/>
        <w:ind w:left="154" w:hangingChars="73"/>
        <w:jc w:val="center"/>
        <w:rPr>
          <w:rFonts w:hint="eastAsia"/>
          <w:b/>
          <w:bCs/>
          <w:spacing w:val="-3"/>
          <w:szCs w:val="21"/>
        </w:rPr>
      </w:pPr>
    </w:p>
    <w:p>
      <w:pPr>
        <w:spacing w:before="120"/>
        <w:ind w:left="154" w:hangingChars="73"/>
        <w:jc w:val="center"/>
        <w:rPr>
          <w:rFonts w:hint="eastAsia"/>
          <w:b/>
          <w:bCs/>
          <w:spacing w:val="-3"/>
          <w:szCs w:val="21"/>
        </w:rPr>
      </w:pPr>
    </w:p>
    <w:p>
      <w:pPr>
        <w:pStyle w:val="12"/>
        <w:spacing w:before="120" w:line="360" w:lineRule="auto"/>
        <w:ind w:left="154" w:hanging="150" w:hangingChars="73"/>
        <w:jc w:val="center"/>
        <w:rPr>
          <w:rFonts w:hint="default"/>
          <w:b/>
          <w:bCs/>
          <w:spacing w:val="-3"/>
          <w:sz w:val="21"/>
          <w:szCs w:val="21"/>
          <w:lang w:val="en-US"/>
        </w:rPr>
      </w:pPr>
      <w:r>
        <w:rPr>
          <w:rFonts w:hint="eastAsia"/>
          <w:b/>
          <w:bCs/>
          <w:spacing w:val="-3"/>
          <w:sz w:val="21"/>
          <w:szCs w:val="21"/>
        </w:rPr>
        <w:t>序号</w:t>
      </w:r>
      <w:r>
        <w:rPr>
          <w:rFonts w:hint="eastAsia"/>
          <w:b/>
          <w:bCs/>
          <w:spacing w:val="-3"/>
          <w:sz w:val="21"/>
          <w:szCs w:val="21"/>
          <w:lang w:val="en-US" w:eastAsia="zh-CN"/>
        </w:rPr>
        <w:t>5</w:t>
      </w:r>
      <w:r>
        <w:rPr>
          <w:rFonts w:hint="eastAsia"/>
          <w:b/>
          <w:bCs/>
          <w:spacing w:val="-3"/>
          <w:sz w:val="21"/>
          <w:szCs w:val="21"/>
        </w:rPr>
        <w:t>-</w:t>
      </w:r>
      <w:r>
        <w:rPr>
          <w:rFonts w:hint="eastAsia"/>
          <w:b/>
          <w:bCs/>
          <w:spacing w:val="-3"/>
          <w:sz w:val="21"/>
          <w:szCs w:val="21"/>
          <w:lang w:val="en-US" w:eastAsia="zh-CN"/>
        </w:rPr>
        <w:t>B1F中庭综合服务区</w:t>
      </w:r>
    </w:p>
    <w:p>
      <w:pPr>
        <w:pStyle w:val="12"/>
        <w:spacing w:before="120" w:line="360" w:lineRule="auto"/>
        <w:ind w:left="154" w:hanging="175" w:hangingChars="73"/>
        <w:jc w:val="center"/>
        <w:rPr>
          <w:rFonts w:hint="eastAsia"/>
          <w:b/>
          <w:bCs/>
          <w:spacing w:val="-3"/>
          <w:sz w:val="21"/>
          <w:szCs w:val="21"/>
        </w:rPr>
      </w:pPr>
      <w:r>
        <w:rPr>
          <w:rFonts w:hint="eastAsia" w:ascii="宋体" w:hAnsi="宋体" w:eastAsia="宋体" w:cs="宋体"/>
          <w:color w:val="auto"/>
          <w:sz w:val="24"/>
          <w:szCs w:val="24"/>
          <w:lang w:val="en-US" w:eastAsia="zh-CN"/>
        </w:rPr>
        <w:t>序号</w:t>
      </w:r>
      <w:r>
        <w:rPr>
          <w:rFonts w:hint="eastAsia" w:cs="宋体"/>
          <w:color w:val="auto"/>
          <w:sz w:val="24"/>
          <w:szCs w:val="24"/>
          <w:lang w:val="en-US" w:eastAsia="zh-CN"/>
        </w:rPr>
        <w:t>5</w:t>
      </w:r>
      <w:r>
        <w:rPr>
          <w:rFonts w:hint="eastAsia" w:ascii="宋体" w:hAnsi="宋体" w:eastAsia="宋体" w:cs="宋体"/>
          <w:color w:val="auto"/>
          <w:sz w:val="24"/>
          <w:szCs w:val="24"/>
          <w:lang w:val="en-US" w:eastAsia="zh-CN"/>
        </w:rPr>
        <w:t>-</w:t>
      </w:r>
      <w:r>
        <w:rPr>
          <w:rFonts w:hint="eastAsia" w:cs="宋体"/>
          <w:color w:val="auto"/>
          <w:sz w:val="24"/>
          <w:szCs w:val="24"/>
          <w:lang w:val="en-US" w:eastAsia="zh-CN"/>
        </w:rPr>
        <w:t>B1</w:t>
      </w:r>
      <w:r>
        <w:rPr>
          <w:rFonts w:hint="eastAsia" w:ascii="宋体" w:hAnsi="宋体" w:eastAsia="宋体" w:cs="宋体"/>
          <w:color w:val="auto"/>
          <w:sz w:val="24"/>
          <w:szCs w:val="24"/>
          <w:lang w:val="en-US" w:eastAsia="zh-CN"/>
        </w:rPr>
        <w:t>F</w:t>
      </w:r>
      <w:r>
        <w:rPr>
          <w:rFonts w:hint="eastAsia" w:cs="宋体"/>
          <w:color w:val="auto"/>
          <w:sz w:val="24"/>
          <w:szCs w:val="24"/>
          <w:lang w:val="en-US" w:eastAsia="zh-CN"/>
        </w:rPr>
        <w:t>综合服务区箭头视角效果图</w:t>
      </w:r>
      <w:r>
        <w:rPr>
          <w:rFonts w:hint="eastAsia" w:ascii="宋体" w:hAnsi="宋体" w:eastAsia="宋体" w:cs="宋体"/>
          <w:color w:val="auto"/>
          <w:sz w:val="24"/>
          <w:szCs w:val="24"/>
          <w:lang w:eastAsia="zh-CN"/>
        </w:rPr>
        <w:t>包含家具</w:t>
      </w:r>
      <w:r>
        <w:rPr>
          <w:rFonts w:hint="eastAsia" w:cs="宋体"/>
          <w:color w:val="auto"/>
          <w:sz w:val="24"/>
          <w:szCs w:val="24"/>
          <w:lang w:val="en-US" w:eastAsia="zh-CN"/>
        </w:rPr>
        <w:t>2</w:t>
      </w:r>
      <w:r>
        <w:rPr>
          <w:rFonts w:hint="eastAsia" w:ascii="宋体" w:hAnsi="宋体" w:eastAsia="宋体" w:cs="宋体"/>
          <w:color w:val="auto"/>
          <w:sz w:val="24"/>
          <w:szCs w:val="24"/>
          <w:lang w:val="en-US" w:eastAsia="zh-CN"/>
        </w:rPr>
        <w:t>款</w:t>
      </w:r>
      <w:r>
        <w:rPr>
          <w:rFonts w:hint="eastAsia" w:ascii="宋体" w:hAnsi="宋体" w:eastAsia="宋体" w:cs="宋体"/>
          <w:color w:val="auto"/>
          <w:sz w:val="24"/>
          <w:szCs w:val="24"/>
          <w:lang w:eastAsia="zh-CN"/>
        </w:rPr>
        <w:t>：序号</w:t>
      </w:r>
      <w:r>
        <w:rPr>
          <w:rFonts w:hint="eastAsia" w:cs="宋体"/>
          <w:color w:val="auto"/>
          <w:sz w:val="24"/>
          <w:szCs w:val="24"/>
          <w:lang w:val="en-US" w:eastAsia="zh-CN"/>
        </w:rPr>
        <w:t>24双面货架1组，序号25转角台1张</w:t>
      </w:r>
      <w:r>
        <w:rPr>
          <w:rFonts w:hint="eastAsia" w:ascii="宋体" w:hAnsi="宋体" w:eastAsia="宋体" w:cs="宋体"/>
          <w:color w:val="auto"/>
          <w:sz w:val="24"/>
          <w:szCs w:val="24"/>
          <w:lang w:eastAsia="zh-CN"/>
        </w:rPr>
        <w:t>。</w:t>
      </w:r>
    </w:p>
    <w:p>
      <w:pPr>
        <w:pStyle w:val="12"/>
        <w:spacing w:before="120" w:line="360" w:lineRule="auto"/>
        <w:ind w:left="154" w:hanging="172" w:hangingChars="73"/>
        <w:jc w:val="center"/>
        <w:rPr>
          <w:rFonts w:hint="eastAsia"/>
          <w:b/>
          <w:bCs/>
          <w:spacing w:val="-3"/>
          <w:sz w:val="21"/>
          <w:szCs w:val="21"/>
        </w:rPr>
      </w:pPr>
      <w:r>
        <w:rPr>
          <w:rFonts w:hint="eastAsia"/>
          <w:b/>
          <w:bCs/>
          <w:spacing w:val="-3"/>
          <w:szCs w:val="21"/>
        </w:rPr>
        <w:br w:type="page"/>
      </w:r>
    </w:p>
    <w:p>
      <w:pPr>
        <w:spacing w:before="120"/>
        <w:ind w:left="150" w:firstLine="410" w:firstLineChars="200"/>
        <w:rPr>
          <w:b/>
          <w:bCs/>
          <w:spacing w:val="-3"/>
          <w:szCs w:val="21"/>
        </w:rPr>
      </w:pPr>
    </w:p>
    <w:p>
      <w:pPr>
        <w:pStyle w:val="12"/>
        <w:spacing w:before="120" w:line="360" w:lineRule="auto"/>
        <w:ind w:left="150" w:firstLine="410" w:firstLineChars="200"/>
        <w:rPr>
          <w:rFonts w:hint="eastAsia"/>
          <w:b/>
          <w:bCs/>
          <w:spacing w:val="-3"/>
          <w:sz w:val="21"/>
          <w:szCs w:val="21"/>
        </w:rPr>
      </w:pPr>
    </w:p>
    <w:p>
      <w:pPr>
        <w:pStyle w:val="12"/>
        <w:spacing w:before="120" w:line="360" w:lineRule="auto"/>
        <w:ind w:left="150" w:firstLine="410" w:firstLineChars="200"/>
        <w:rPr>
          <w:rFonts w:hint="eastAsia"/>
          <w:sz w:val="21"/>
          <w:szCs w:val="21"/>
        </w:rPr>
      </w:pPr>
      <w:r>
        <w:rPr>
          <w:rFonts w:hint="eastAsia"/>
          <w:b/>
          <w:bCs/>
          <w:spacing w:val="-3"/>
          <w:sz w:val="21"/>
          <w:szCs w:val="21"/>
        </w:rPr>
        <w:t>九、其他要求</w:t>
      </w:r>
    </w:p>
    <w:tbl>
      <w:tblPr>
        <w:tblStyle w:val="23"/>
        <w:tblW w:w="501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290"/>
        <w:gridCol w:w="698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3" w:hRule="atLeast"/>
        </w:trPr>
        <w:tc>
          <w:tcPr>
            <w:tcW w:w="1234" w:type="pct"/>
          </w:tcPr>
          <w:p>
            <w:pPr>
              <w:pStyle w:val="22"/>
              <w:spacing w:before="180" w:line="360" w:lineRule="auto"/>
              <w:jc w:val="center"/>
              <w:rPr>
                <w:rFonts w:hint="eastAsia"/>
                <w:b/>
                <w:bCs/>
                <w:sz w:val="21"/>
                <w:szCs w:val="21"/>
              </w:rPr>
            </w:pPr>
            <w:r>
              <w:rPr>
                <w:rFonts w:hint="eastAsia"/>
                <w:b/>
                <w:bCs/>
                <w:spacing w:val="-10"/>
                <w:sz w:val="21"/>
                <w:szCs w:val="21"/>
              </w:rPr>
              <w:t>分类</w:t>
            </w:r>
          </w:p>
        </w:tc>
        <w:tc>
          <w:tcPr>
            <w:tcW w:w="3765" w:type="pct"/>
          </w:tcPr>
          <w:p>
            <w:pPr>
              <w:pStyle w:val="22"/>
              <w:spacing w:before="180" w:line="360" w:lineRule="auto"/>
              <w:jc w:val="center"/>
              <w:rPr>
                <w:rFonts w:hint="eastAsia"/>
                <w:b/>
                <w:bCs/>
                <w:sz w:val="21"/>
                <w:szCs w:val="21"/>
              </w:rPr>
            </w:pPr>
            <w:r>
              <w:rPr>
                <w:rFonts w:hint="eastAsia"/>
                <w:b/>
                <w:bCs/>
                <w:spacing w:val="-29"/>
                <w:sz w:val="21"/>
                <w:szCs w:val="21"/>
              </w:rPr>
              <w:t>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26" w:hRule="atLeast"/>
        </w:trPr>
        <w:tc>
          <w:tcPr>
            <w:tcW w:w="1234" w:type="pct"/>
            <w:vAlign w:val="center"/>
          </w:tcPr>
          <w:p>
            <w:pPr>
              <w:pStyle w:val="22"/>
              <w:spacing w:before="182" w:line="360" w:lineRule="auto"/>
              <w:jc w:val="center"/>
              <w:rPr>
                <w:rFonts w:hint="eastAsia"/>
                <w:sz w:val="21"/>
                <w:szCs w:val="21"/>
              </w:rPr>
            </w:pPr>
            <w:r>
              <w:rPr>
                <w:rFonts w:hint="eastAsia"/>
                <w:sz w:val="21"/>
                <w:szCs w:val="21"/>
              </w:rPr>
              <w:t>保修服务</w:t>
            </w:r>
          </w:p>
        </w:tc>
        <w:tc>
          <w:tcPr>
            <w:tcW w:w="3765" w:type="pct"/>
          </w:tcPr>
          <w:p>
            <w:pPr>
              <w:spacing w:before="182" w:line="360" w:lineRule="auto"/>
              <w:ind w:left="152"/>
              <w:rPr>
                <w:szCs w:val="21"/>
              </w:rPr>
            </w:pPr>
            <w:r>
              <w:rPr>
                <w:rFonts w:hint="eastAsia" w:ascii="宋体" w:hAnsi="宋体" w:eastAsia="宋体" w:cs="宋体"/>
              </w:rPr>
              <w:t>供应商提供的售后服务应符合GB/T37652-2019《家具售后服务要求》。</w:t>
            </w:r>
            <w:r>
              <w:rPr>
                <w:rFonts w:hint="eastAsia"/>
                <w:szCs w:val="21"/>
              </w:rPr>
              <w:t>免费保修期应当至少不低于</w:t>
            </w:r>
            <w:r>
              <w:rPr>
                <w:rFonts w:hint="eastAsia"/>
                <w:b/>
                <w:bCs/>
                <w:szCs w:val="21"/>
                <w:u w:val="single"/>
              </w:rPr>
              <w:t xml:space="preserve"> 5 </w:t>
            </w:r>
            <w:r>
              <w:rPr>
                <w:rFonts w:hint="eastAsia"/>
                <w:szCs w:val="21"/>
              </w:rPr>
              <w:t>年。免费保修期内，除采购人因非正常使用造成家具损坏外，损坏维修以及所涉及的零部件更换，应当由供应商免费提供，供应商应当承诺每年对所供家具进行巡检。免费保修期满后，供应商保证以优惠价格提供家具所需零配件和维修服务。</w:t>
            </w:r>
          </w:p>
          <w:p>
            <w:pPr>
              <w:spacing w:before="182" w:line="360" w:lineRule="auto"/>
              <w:ind w:left="152"/>
              <w:rPr>
                <w:szCs w:val="21"/>
              </w:rPr>
            </w:pPr>
            <w:r>
              <w:rPr>
                <w:rFonts w:hint="eastAsia"/>
                <w:sz w:val="21"/>
                <w:szCs w:val="21"/>
                <w:lang w:eastAsia="zh-CN"/>
              </w:rPr>
              <w:t>供应商应当在采购人单位所在区域拥有维修服务能力，提供售后服务支持。如遇质量问题，供应商应当在接到通知2小时内予以响应，并于12小时内解决完毕或提供代用产品或退货</w:t>
            </w:r>
            <w:r>
              <w:rPr>
                <w:rFonts w:hint="eastAsia"/>
                <w:szCs w:val="21"/>
              </w:rPr>
              <w:t>，费用由投标人负责。如投标人在接到通知后24小时内没有答复或处理问题，则视为投标人承认质量问题并承担由此而发生的一切费用。保修期内因家具本身质量原因造成的经济损失应全部由投标人负责。</w:t>
            </w:r>
          </w:p>
          <w:p>
            <w:pPr>
              <w:spacing w:before="182" w:line="360" w:lineRule="auto"/>
              <w:ind w:left="152"/>
              <w:rPr>
                <w:szCs w:val="21"/>
              </w:rPr>
            </w:pPr>
            <w:r>
              <w:rPr>
                <w:rFonts w:hint="eastAsia"/>
                <w:szCs w:val="21"/>
              </w:rPr>
              <w:t>若因投标人未能按约定执行保修条例，采购人有权另请其他服务商进行保修，因此发生的费用由投标人承担。对采购人造成损失者，投标人应按实际发生的损失向采购人无条件赔偿。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1234" w:type="pct"/>
            <w:vAlign w:val="center"/>
          </w:tcPr>
          <w:p>
            <w:pPr>
              <w:pStyle w:val="22"/>
              <w:spacing w:before="203" w:line="360" w:lineRule="auto"/>
              <w:jc w:val="center"/>
              <w:rPr>
                <w:rFonts w:hint="eastAsia"/>
                <w:spacing w:val="7"/>
                <w:sz w:val="21"/>
                <w:szCs w:val="21"/>
              </w:rPr>
            </w:pPr>
            <w:r>
              <w:rPr>
                <w:rFonts w:hint="eastAsia"/>
                <w:sz w:val="21"/>
                <w:szCs w:val="21"/>
              </w:rPr>
              <w:t>项目（包件）团队</w:t>
            </w:r>
          </w:p>
        </w:tc>
        <w:tc>
          <w:tcPr>
            <w:tcW w:w="3765" w:type="pct"/>
            <w:vAlign w:val="center"/>
          </w:tcPr>
          <w:p>
            <w:pPr>
              <w:spacing w:line="360" w:lineRule="auto"/>
              <w:rPr>
                <w:rFonts w:hint="eastAsia" w:ascii="宋体" w:hAnsi="宋体" w:eastAsia="宋体" w:cs="宋体"/>
              </w:rPr>
            </w:pPr>
          </w:p>
          <w:p>
            <w:pPr>
              <w:spacing w:line="360" w:lineRule="auto"/>
              <w:rPr>
                <w:rFonts w:hint="eastAsia" w:ascii="宋体" w:hAnsi="宋体" w:eastAsia="宋体" w:cs="宋体"/>
              </w:rPr>
            </w:pPr>
            <w:r>
              <w:rPr>
                <w:rFonts w:hint="eastAsia" w:ascii="宋体" w:hAnsi="宋体" w:eastAsia="宋体" w:cs="宋体"/>
              </w:rPr>
              <w:t>供应商提供项目（包件）技术团队及其能力说明，提供人员清单、履历、专业技术能力等资料。</w:t>
            </w:r>
          </w:p>
          <w:p>
            <w:pPr>
              <w:pStyle w:val="22"/>
              <w:spacing w:before="182" w:line="360" w:lineRule="auto"/>
              <w:ind w:left="152"/>
              <w:rPr>
                <w:rFonts w:hint="eastAsia"/>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1234" w:type="pct"/>
            <w:vAlign w:val="center"/>
          </w:tcPr>
          <w:p>
            <w:pPr>
              <w:pStyle w:val="22"/>
              <w:spacing w:before="203" w:line="360" w:lineRule="auto"/>
              <w:jc w:val="center"/>
              <w:rPr>
                <w:rFonts w:hint="eastAsia"/>
                <w:sz w:val="21"/>
                <w:szCs w:val="21"/>
              </w:rPr>
            </w:pPr>
            <w:r>
              <w:rPr>
                <w:rFonts w:hint="eastAsia"/>
                <w:sz w:val="21"/>
                <w:szCs w:val="21"/>
              </w:rPr>
              <w:t>生产能力</w:t>
            </w:r>
          </w:p>
        </w:tc>
        <w:tc>
          <w:tcPr>
            <w:tcW w:w="3765" w:type="pct"/>
            <w:vAlign w:val="center"/>
          </w:tcPr>
          <w:p>
            <w:pPr>
              <w:pStyle w:val="22"/>
              <w:spacing w:before="182" w:line="360" w:lineRule="auto"/>
              <w:ind w:left="152"/>
              <w:rPr>
                <w:rFonts w:hint="eastAsia"/>
                <w:sz w:val="21"/>
                <w:szCs w:val="21"/>
              </w:rPr>
            </w:pPr>
            <w:r>
              <w:rPr>
                <w:rFonts w:hint="eastAsia"/>
                <w:sz w:val="21"/>
                <w:szCs w:val="21"/>
              </w:rPr>
              <w:t>1.生产厂商针对生产过程中可能产生的大气污染、水污染及其他环境污染应当具有有效的环保措施，制定科学的环保治理方案。</w:t>
            </w:r>
          </w:p>
          <w:p>
            <w:pPr>
              <w:pStyle w:val="22"/>
              <w:spacing w:before="182" w:line="360" w:lineRule="auto"/>
              <w:ind w:left="152"/>
              <w:rPr>
                <w:rFonts w:hint="eastAsia"/>
                <w:sz w:val="21"/>
                <w:szCs w:val="21"/>
              </w:rPr>
            </w:pPr>
            <w:r>
              <w:rPr>
                <w:rFonts w:hint="eastAsia"/>
                <w:sz w:val="21"/>
                <w:szCs w:val="21"/>
              </w:rPr>
              <w:t>2.生产厂商应当具备完善的管理体系；详细阐述生产工艺技术原理、流程、关键技术点及优势，证明其在精度、质量、效率等方面的竞争力；制定科学合理的生产进度计划，明确各阶段时间节点、交付成果，提供进度保障措施，确保生产进度可控且能按时完成；生产设备配置需完备且先进，提供设备清单信息，说明设备的先进性与适用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1234" w:type="pct"/>
            <w:shd w:val="clear" w:color="auto" w:fill="auto"/>
            <w:vAlign w:val="center"/>
          </w:tcPr>
          <w:p>
            <w:pPr>
              <w:pStyle w:val="22"/>
              <w:spacing w:before="203" w:line="360" w:lineRule="auto"/>
              <w:jc w:val="center"/>
              <w:rPr>
                <w:rFonts w:hint="eastAsia"/>
                <w:sz w:val="21"/>
                <w:szCs w:val="21"/>
              </w:rPr>
            </w:pPr>
            <w:r>
              <w:rPr>
                <w:rFonts w:hint="eastAsia"/>
                <w:sz w:val="21"/>
                <w:szCs w:val="21"/>
              </w:rPr>
              <w:t>供应商能力</w:t>
            </w:r>
          </w:p>
        </w:tc>
        <w:tc>
          <w:tcPr>
            <w:tcW w:w="3765" w:type="pct"/>
            <w:shd w:val="clear" w:color="auto" w:fill="auto"/>
            <w:vAlign w:val="center"/>
          </w:tcPr>
          <w:p>
            <w:pPr>
              <w:pStyle w:val="22"/>
              <w:spacing w:before="182" w:line="360" w:lineRule="auto"/>
              <w:ind w:left="152"/>
              <w:rPr>
                <w:rFonts w:hint="eastAsia"/>
                <w:sz w:val="21"/>
                <w:szCs w:val="21"/>
              </w:rPr>
            </w:pPr>
            <w:r>
              <w:rPr>
                <w:rFonts w:hint="eastAsia"/>
                <w:sz w:val="21"/>
                <w:szCs w:val="21"/>
              </w:rPr>
              <w:t>具备类似项目业绩；</w:t>
            </w:r>
          </w:p>
          <w:p>
            <w:pPr>
              <w:pStyle w:val="22"/>
              <w:spacing w:before="182" w:line="360" w:lineRule="auto"/>
              <w:ind w:left="152"/>
              <w:rPr>
                <w:rFonts w:hint="eastAsia"/>
                <w:sz w:val="21"/>
                <w:szCs w:val="21"/>
              </w:rPr>
            </w:pPr>
            <w:r>
              <w:rPr>
                <w:rFonts w:hint="eastAsia"/>
                <w:sz w:val="21"/>
                <w:szCs w:val="21"/>
              </w:rPr>
              <w:t>具备质量管理体系(IS09001或GB/T19001)、环境管理体系(IS014001或GB/T24001)、职业健康安全管理体系(IS045001或GB/T45001)、商品售后服务认证（GB/T27922)。</w:t>
            </w:r>
          </w:p>
          <w:p>
            <w:pPr>
              <w:pStyle w:val="22"/>
              <w:spacing w:before="182" w:line="360" w:lineRule="auto"/>
              <w:ind w:left="152"/>
              <w:rPr>
                <w:rFonts w:hint="eastAsia"/>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1234" w:type="pct"/>
            <w:shd w:val="clear" w:color="auto" w:fill="auto"/>
            <w:vAlign w:val="center"/>
          </w:tcPr>
          <w:p>
            <w:pPr>
              <w:pStyle w:val="22"/>
              <w:spacing w:before="203" w:line="360" w:lineRule="auto"/>
              <w:jc w:val="center"/>
              <w:rPr>
                <w:rFonts w:hint="eastAsia"/>
                <w:sz w:val="21"/>
                <w:szCs w:val="21"/>
              </w:rPr>
            </w:pPr>
            <w:r>
              <w:rPr>
                <w:rFonts w:hint="eastAsia"/>
                <w:sz w:val="21"/>
                <w:szCs w:val="21"/>
              </w:rPr>
              <w:t>其他要求</w:t>
            </w:r>
          </w:p>
        </w:tc>
        <w:tc>
          <w:tcPr>
            <w:tcW w:w="3765" w:type="pct"/>
            <w:shd w:val="clear" w:color="auto" w:fill="auto"/>
            <w:vAlign w:val="center"/>
          </w:tcPr>
          <w:p>
            <w:pPr>
              <w:pStyle w:val="22"/>
              <w:spacing w:before="182" w:line="360" w:lineRule="auto"/>
              <w:ind w:left="152"/>
              <w:rPr>
                <w:rFonts w:hint="eastAsia"/>
                <w:sz w:val="21"/>
                <w:szCs w:val="21"/>
              </w:rPr>
            </w:pPr>
            <w:r>
              <w:rPr>
                <w:rFonts w:hint="eastAsia"/>
                <w:sz w:val="21"/>
                <w:szCs w:val="21"/>
              </w:rPr>
              <w:t>1、投标人必须在投标文件中提供“主要材料及配件明细表”，列明投标货物所使用的主要材料及配件的名称、品牌，并提供相应的技术性能说明。同时，投标人必须承诺其投标样品及若中标后实际供货的产品所使用的主要材料及配件，与其投标文件中列明的主要材料及配件的品牌型号及性能均保持一致</w:t>
            </w:r>
            <w:r>
              <w:rPr>
                <w:rFonts w:hint="eastAsia"/>
                <w:sz w:val="21"/>
                <w:szCs w:val="21"/>
                <w:lang w:eastAsia="zh-CN"/>
              </w:rPr>
              <w:t>或</w:t>
            </w:r>
            <w:r>
              <w:rPr>
                <w:rFonts w:hint="eastAsia"/>
                <w:sz w:val="21"/>
                <w:szCs w:val="21"/>
              </w:rPr>
              <w:t>性能</w:t>
            </w:r>
            <w:r>
              <w:rPr>
                <w:rFonts w:hint="eastAsia"/>
                <w:sz w:val="21"/>
                <w:szCs w:val="21"/>
                <w:lang w:eastAsia="zh-CN"/>
              </w:rPr>
              <w:t>高于投标文件所列</w:t>
            </w:r>
            <w:r>
              <w:rPr>
                <w:rFonts w:hint="eastAsia"/>
                <w:sz w:val="21"/>
                <w:szCs w:val="21"/>
              </w:rPr>
              <w:t>。</w:t>
            </w:r>
          </w:p>
          <w:p>
            <w:pPr>
              <w:pStyle w:val="22"/>
              <w:spacing w:before="182" w:line="360" w:lineRule="auto"/>
              <w:ind w:left="152"/>
              <w:rPr>
                <w:rFonts w:hint="eastAsia"/>
                <w:sz w:val="21"/>
                <w:szCs w:val="21"/>
              </w:rPr>
            </w:pPr>
            <w:r>
              <w:rPr>
                <w:rFonts w:hint="eastAsia"/>
                <w:sz w:val="21"/>
                <w:szCs w:val="21"/>
              </w:rPr>
              <w:t>2、本项目产品中采用所有材料及成品，均应严格符合现行最新国家规定的产品环保标准，并且满足本标书提出的各项规定和要求。</w:t>
            </w:r>
          </w:p>
          <w:p>
            <w:pPr>
              <w:pStyle w:val="22"/>
              <w:spacing w:before="182" w:line="360" w:lineRule="auto"/>
              <w:ind w:left="152"/>
              <w:rPr>
                <w:rFonts w:hint="eastAsia"/>
                <w:sz w:val="21"/>
                <w:szCs w:val="21"/>
              </w:rPr>
            </w:pPr>
            <w:r>
              <w:rPr>
                <w:rFonts w:hint="eastAsia"/>
                <w:sz w:val="21"/>
                <w:szCs w:val="21"/>
              </w:rPr>
              <w:t>3、供货产品须为全新的未曾使用过的，且均应有铭牌和相应保修单。</w:t>
            </w:r>
          </w:p>
          <w:p>
            <w:pPr>
              <w:pStyle w:val="22"/>
              <w:spacing w:before="182" w:line="360" w:lineRule="auto"/>
              <w:ind w:left="152"/>
              <w:rPr>
                <w:rFonts w:hint="eastAsia"/>
                <w:sz w:val="21"/>
                <w:szCs w:val="21"/>
              </w:rPr>
            </w:pPr>
            <w:r>
              <w:rPr>
                <w:rFonts w:hint="eastAsia"/>
                <w:sz w:val="21"/>
                <w:szCs w:val="21"/>
              </w:rPr>
              <w:t>4、产品的包装，必须满足货物长途运输，多次搬运的带来的损伤。若发生损坏须立即保修或更换。</w:t>
            </w:r>
          </w:p>
          <w:p>
            <w:pPr>
              <w:pStyle w:val="22"/>
              <w:spacing w:before="182" w:line="360" w:lineRule="auto"/>
              <w:ind w:left="152"/>
              <w:rPr>
                <w:rFonts w:hint="eastAsia"/>
                <w:sz w:val="21"/>
                <w:szCs w:val="21"/>
              </w:rPr>
            </w:pPr>
            <w:r>
              <w:rPr>
                <w:rFonts w:hint="eastAsia"/>
                <w:sz w:val="21"/>
                <w:szCs w:val="21"/>
              </w:rPr>
              <w:t>5、在评标阶段，如招标人或评标委员会对投标样品的材料或质量存有疑问，有权对投标样品进行破坏性检测。若经检测后确认投标样品与其投标文件中描述内容不一致的，则以检测结果为准认定其投标响应情况。破坏性检测所导致的物品损耗，均由投标人承担。</w:t>
            </w:r>
          </w:p>
          <w:p>
            <w:pPr>
              <w:pStyle w:val="22"/>
              <w:spacing w:before="182" w:line="360" w:lineRule="auto"/>
              <w:ind w:left="152"/>
              <w:rPr>
                <w:rFonts w:hint="eastAsia"/>
                <w:sz w:val="21"/>
                <w:szCs w:val="21"/>
              </w:rPr>
            </w:pPr>
            <w:r>
              <w:rPr>
                <w:rFonts w:hint="eastAsia"/>
                <w:sz w:val="21"/>
                <w:szCs w:val="21"/>
              </w:rPr>
              <w:t>6、招标人有权在定标后对中标人的样品进行全性能复验，也有权在中标方生产过程中进行随机抽样，送至具有相应资质的第三方检测机构进行全性能检验(相关检测费用由中标人承担)。检验结果须满足国标、招标文件要求及投标人投标文件响应情况，如有不符，中标人必须立即整改直至符合要求，整改所需物资损耗及相关费用、相应的工期延误和由中标人导致的招标人的经济损失，均由中标人承担。</w:t>
            </w:r>
          </w:p>
          <w:p>
            <w:pPr>
              <w:pStyle w:val="22"/>
              <w:spacing w:before="182" w:line="360" w:lineRule="auto"/>
              <w:ind w:left="152"/>
              <w:rPr>
                <w:rFonts w:hint="eastAsia"/>
                <w:sz w:val="21"/>
                <w:szCs w:val="21"/>
              </w:rPr>
            </w:pPr>
            <w:r>
              <w:rPr>
                <w:rFonts w:hint="eastAsia"/>
                <w:sz w:val="21"/>
                <w:szCs w:val="21"/>
              </w:rPr>
              <w:t>7、招标人有权在定标后对中标人的样品进行全性能复验，也有权在中标方生产过程中进行随机抽样，送至具有相应资质的第三方检测机构进行全性能检验(相关检测费用由中标人承担)。检验结果须满足国标、招标文件要求及投标人投标文件响应情况，如有不符，中标人必须立即整改直至符合要求，整改所需物资损耗及相关费用、相应的工期延误和由中标人导致的招标人的经济损失，均由中标人承担。</w:t>
            </w:r>
          </w:p>
          <w:p>
            <w:pPr>
              <w:pStyle w:val="22"/>
              <w:spacing w:before="182" w:line="360" w:lineRule="auto"/>
              <w:ind w:left="152"/>
              <w:rPr>
                <w:rFonts w:hint="eastAsia"/>
                <w:sz w:val="21"/>
                <w:szCs w:val="21"/>
              </w:rPr>
            </w:pPr>
            <w:r>
              <w:rPr>
                <w:rFonts w:hint="eastAsia"/>
                <w:sz w:val="21"/>
                <w:szCs w:val="21"/>
              </w:rPr>
              <w:t>8、交货后，如招标人对中标人提供材料或产品的质量存有疑问，有权对该材料或产品的质量进行复验，复验由招标人认可的具有相应资质的质量检验机构承担。经复验检测后，该材料或产品的质量如不符合本项目合同约定，由中标人负责在招标人规定期限内清运出招标人的区域，同时按工期进度要求尽快重新完成合格产品的供货安装，而复验所需的材料或产品损耗及相关检测费用、相应的工期延误和由中标人导致的招标人的经济损失，均由中标人承担。如复验后符合本招标文件及有关规定的要求，中标人需承诺会无偿补全被经过破坏性复验的材料或产品。</w:t>
            </w:r>
          </w:p>
          <w:p>
            <w:pPr>
              <w:pStyle w:val="22"/>
              <w:spacing w:before="182" w:line="360" w:lineRule="auto"/>
              <w:ind w:left="0"/>
              <w:rPr>
                <w:rFonts w:hint="eastAsia"/>
                <w:sz w:val="21"/>
                <w:szCs w:val="21"/>
              </w:rPr>
            </w:pPr>
          </w:p>
        </w:tc>
      </w:tr>
    </w:tbl>
    <w:p/>
    <w:p/>
    <w:p/>
    <w:p/>
    <w:p/>
    <w:sectPr>
      <w:pgSz w:w="11906" w:h="16838"/>
      <w:pgMar w:top="1247" w:right="1417" w:bottom="1247" w:left="124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DejaVu Sans"/>
    <w:panose1 w:val="02020503050405090304"/>
    <w:charset w:val="7A"/>
    <w:family w:val="auto"/>
    <w:pitch w:val="default"/>
    <w:sig w:usb0="00000000" w:usb1="00000000" w:usb2="00000001" w:usb3="00000000" w:csb0="400001BF" w:csb1="DFF7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方正黑体_GBK">
    <w:panose1 w:val="02000000000000000000"/>
    <w:charset w:val="86"/>
    <w:family w:val="auto"/>
    <w:pitch w:val="default"/>
    <w:sig w:usb0="00000001" w:usb1="08000000" w:usb2="00000000" w:usb3="00000000" w:csb0="00040000" w:csb1="00000000"/>
  </w:font>
  <w:font w:name="微软雅黑">
    <w:altName w:val="方正黑体_GBK"/>
    <w:panose1 w:val="020B0503020204020204"/>
    <w:charset w:val="86"/>
    <w:family w:val="swiss"/>
    <w:pitch w:val="default"/>
    <w:sig w:usb0="00000000" w:usb1="00000000" w:usb2="00000016" w:usb3="00000000" w:csb0="0004001F" w:csb1="00000000"/>
  </w:font>
  <w:font w:name="汉仪雅酷黑 75W">
    <w:altName w:val="方正黑体_GBK"/>
    <w:panose1 w:val="00000000000000000000"/>
    <w:charset w:val="86"/>
    <w:family w:val="auto"/>
    <w:pitch w:val="default"/>
    <w:sig w:usb0="00000000" w:usb1="00000000" w:usb2="00000016" w:usb3="00000000" w:csb0="2004000F" w:csb1="00000000"/>
  </w:font>
  <w:font w:name="华文细黑">
    <w:altName w:val="文泉驿微米黑"/>
    <w:panose1 w:val="02010600040101010101"/>
    <w:charset w:val="86"/>
    <w:family w:val="auto"/>
    <w:pitch w:val="default"/>
    <w:sig w:usb0="00000000" w:usb1="00000000" w:usb2="00000010" w:usb3="00000000" w:csb0="0004009F" w:csb1="00000000"/>
  </w:font>
  <w:font w:name="文泉驿微米黑">
    <w:panose1 w:val="020B0606030804020204"/>
    <w:charset w:val="86"/>
    <w:family w:val="auto"/>
    <w:pitch w:val="default"/>
    <w:sig w:usb0="E10002EF" w:usb1="6BDFFCFB" w:usb2="00800036" w:usb3="00000000" w:csb0="603E01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7" name="文本框 1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BYA&#10;AABkcnMvUEsBAhQAFAAAAAgAh07iQLNJWO7QAAAABQEAAA8AAAAAAAAAAQAgAAAAOAAAAGRycy9k&#10;b3ducmV2LnhtbFBLAQIUABQAAAAIAIdO4kA7OkpOLQIAAFkEAAAOAAAAAAAAAAEAIAAAADUBAABk&#10;cnMvZTJvRG9jLnhtbFBLBQYAAAAABgAGAFkBAADUBQAAAAA=&#10;">
              <v:fill on="f" focussize="0,0"/>
              <v:stroke on="f" weight="0.5pt"/>
              <v:imagedata o:title=""/>
              <o:lock v:ext="edit" aspectratio="f"/>
              <v:textbox inset="0mm,0mm,0mm,0mm" style="mso-fit-shape-to-text:t;">
                <w:txbxContent>
                  <w:p>
                    <w:pPr>
                      <w:pStyle w:val="14"/>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bottomMargin">
                <wp:align>top</wp:align>
              </wp:positionV>
              <wp:extent cx="5314950" cy="0"/>
              <wp:effectExtent l="0" t="4445" r="0" b="5080"/>
              <wp:wrapNone/>
              <wp:docPr id="8" name="直接连接符 8"/>
              <wp:cNvGraphicFramePr/>
              <a:graphic xmlns:a="http://schemas.openxmlformats.org/drawingml/2006/main">
                <a:graphicData uri="http://schemas.microsoft.com/office/word/2010/wordprocessingShape">
                  <wps:wsp>
                    <wps:cNvCnPr/>
                    <wps:spPr>
                      <a:xfrm>
                        <a:off x="0" y="0"/>
                        <a:ext cx="531495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100000</wp14:pctWidth>
              </wp14:sizeRelH>
              <wp14:sizeRelV relativeFrom="page">
                <wp14:pctHeight>0</wp14:pctHeight>
              </wp14:sizeRelV>
            </wp:anchor>
          </w:drawing>
        </mc:Choice>
        <mc:Fallback>
          <w:pict>
            <v:line id="_x0000_s1026" o:spid="_x0000_s1026" o:spt="20" style="position:absolute;left:0pt;margin-left:62.35pt;margin-top:779.9pt;height:0pt;width:418.5pt;mso-position-horizontal-relative:page;mso-position-vertical-relative:page;z-index:251661312;mso-width-relative:margin;mso-height-relative:page;mso-width-percent:1000;" filled="f" stroked="t" coordsize="21600,21600" o:gfxdata="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BYAAABkcnMvUEsBAhQAFAAA&#10;AAgAh07iQId54tfTAAAAAgEAAA8AAAAAAAAAAQAgAAAAOAAAAGRycy9kb3ducmV2LnhtbFBLAQIU&#10;ABQAAAAIAIdO4kB/QWpR4gEAALEDAAAOAAAAAAAAAAEAIAAAADgBAABkcnMvZTJvRG9jLnhtbFBL&#10;BQYAAAAABgAGAFkBAACMBQAAAAA=&#10;">
              <v:fill on="f" focussize="0,0"/>
              <v:stroke color="#000000 [3213]" miterlimit="8" joinstyle="miter"/>
              <v:imagedata o:title=""/>
              <o:lock v:ext="edit" aspectratio="f"/>
            </v:line>
          </w:pict>
        </mc:Fallback>
      </mc:AlternateContent>
    </w:r>
    <w:r>
      <mc:AlternateContent>
        <mc:Choice Requires="wpg">
          <w:drawing>
            <wp:anchor distT="0" distB="0" distL="114300" distR="114300" simplePos="0" relativeHeight="251662336" behindDoc="0" locked="0" layoutInCell="1" allowOverlap="1">
              <wp:simplePos x="0" y="0"/>
              <wp:positionH relativeFrom="margin">
                <wp:align>center</wp:align>
              </wp:positionH>
              <wp:positionV relativeFrom="bottomMargin">
                <wp:align>top</wp:align>
              </wp:positionV>
              <wp:extent cx="1117600" cy="303530"/>
              <wp:effectExtent l="0" t="0" r="0" b="0"/>
              <wp:wrapNone/>
              <wp:docPr id="126" name="组合 126"/>
              <wp:cNvGraphicFramePr/>
              <a:graphic xmlns:a="http://schemas.openxmlformats.org/drawingml/2006/main">
                <a:graphicData uri="http://schemas.microsoft.com/office/word/2010/wordprocessingGroup">
                  <wpg:wgp>
                    <wpg:cNvGrpSpPr/>
                    <wpg:grpSpPr>
                      <a:xfrm>
                        <a:off x="0" y="0"/>
                        <a:ext cx="1117600" cy="303530"/>
                        <a:chOff x="4728" y="1163"/>
                        <a:chExt cx="1760" cy="478"/>
                      </a:xfrm>
                    </wpg:grpSpPr>
                    <wps:wsp>
                      <wps:cNvPr id="6" name="矩形 2"/>
                      <wps:cNvSpPr/>
                      <wps:spPr>
                        <a:xfrm>
                          <a:off x="4728" y="1163"/>
                          <a:ext cx="1760" cy="47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文本框 3"/>
                      <wps:cNvSpPr txBox="1"/>
                      <wps:spPr>
                        <a:xfrm>
                          <a:off x="4748" y="1171"/>
                          <a:ext cx="1719" cy="46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汉仪雅酷黑 75W" w:hAnsi="汉仪雅酷黑 75W" w:eastAsia="汉仪雅酷黑 75W" w:cs="汉仪雅酷黑 75W"/>
                              </w:rPr>
                            </w:pP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249.4pt;margin-top:779.55pt;height:23.9pt;width:88pt;mso-position-horizontal-relative:page;mso-position-vertical-relative:page;z-index:251662336;mso-width-relative:page;mso-height-relative:page;" coordorigin="4728,1163" coordsize="1760,478" o:gfxdata="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">
              <o:lock v:ext="edit" aspectratio="f"/>
              <v:rect id="矩形 2" o:spid="_x0000_s1026" o:spt="1" style="position:absolute;left:4728;top:1163;height:478;width:1760;v-text-anchor:middle;" fillcolor="#FFFFFF [3212]" filled="t" stroked="f" coordsize="21600,21600" o:gfxdata="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vN457L0AAADaAAAADwAAAAAAAAABACAAAAA4AAAAZHJzL2Rvd25yZXYu&#10;eG1sUEsBAhQAFAAAAAgAh07iQDMvBZ47AAAAOQAAABAAAAAAAAAAAQAgAAAAIgEAAGRycy9zaGFw&#10;ZXhtbC54bWxQSwUGAAAAAAYABgBbAQAAzAMAAAAA&#10;">
                <v:fill on="t" opacity="0f" focussize="0,0"/>
                <v:stroke on="f" weight="1pt" miterlimit="8" joinstyle="miter"/>
                <v:imagedata o:title=""/>
                <o:lock v:ext="edit" aspectratio="f"/>
              </v:rect>
              <v:shape id="文本框 3" o:spid="_x0000_s1026" o:spt="202" type="#_x0000_t202" style="position:absolute;left:4748;top:1171;height:461;width:1719;" filled="f" stroked="f" coordsize="21600,21600" o:gfxdata="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Aj1xLwvwAAANoAAAAPAAAAAAAAAAEAIAAAADgAAABkcnMvZG93bnJl&#10;di54bWxQSwECFAAUAAAACACHTuJAMy8FnjsAAAA5AAAAEAAAAAAAAAABACAAAAAkAQAAZHJzL3No&#10;YXBleG1sLnhtbFBLBQYAAAAABgAGAFsBAADOAwAAAAA=&#10;">
                <v:fill on="f" focussize="0,0"/>
                <v:stroke on="f" weight="0.5pt"/>
                <v:imagedata o:title=""/>
                <o:lock v:ext="edit" aspectratio="f"/>
                <v:textbox>
                  <w:txbxContent>
                    <w:p>
                      <w:pPr>
                        <w:jc w:val="center"/>
                        <w:rPr>
                          <w:rFonts w:hint="eastAsia" w:ascii="汉仪雅酷黑 75W" w:hAnsi="汉仪雅酷黑 75W" w:eastAsia="汉仪雅酷黑 75W" w:cs="汉仪雅酷黑 75W"/>
                        </w:rPr>
                      </w:pPr>
                    </w:p>
                  </w:txbxContent>
                </v:textbox>
              </v:shape>
            </v:group>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r>
      <mc:AlternateContent>
        <mc:Choice Requires="wpg">
          <w:drawing>
            <wp:anchor distT="0" distB="0" distL="114300" distR="114300" simplePos="0" relativeHeight="251660288" behindDoc="0" locked="0" layoutInCell="1" allowOverlap="1">
              <wp:simplePos x="0" y="0"/>
              <wp:positionH relativeFrom="margin">
                <wp:align>center</wp:align>
              </wp:positionH>
              <wp:positionV relativeFrom="topMargin">
                <wp:align>bottom</wp:align>
              </wp:positionV>
              <wp:extent cx="1117600" cy="303530"/>
              <wp:effectExtent l="0" t="0" r="0" b="0"/>
              <wp:wrapNone/>
              <wp:docPr id="4" name="组合 4"/>
              <wp:cNvGraphicFramePr/>
              <a:graphic xmlns:a="http://schemas.openxmlformats.org/drawingml/2006/main">
                <a:graphicData uri="http://schemas.microsoft.com/office/word/2010/wordprocessingGroup">
                  <wpg:wgp>
                    <wpg:cNvGrpSpPr/>
                    <wpg:grpSpPr>
                      <a:xfrm>
                        <a:off x="0" y="0"/>
                        <a:ext cx="1117600" cy="303530"/>
                        <a:chOff x="4728" y="1163"/>
                        <a:chExt cx="1760" cy="478"/>
                      </a:xfrm>
                    </wpg:grpSpPr>
                    <wps:wsp>
                      <wps:cNvPr id="2" name="矩形 2"/>
                      <wps:cNvSpPr/>
                      <wps:spPr>
                        <a:xfrm>
                          <a:off x="4728" y="1163"/>
                          <a:ext cx="1760" cy="47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 name="文本框 3"/>
                      <wps:cNvSpPr txBox="1"/>
                      <wps:spPr>
                        <a:xfrm>
                          <a:off x="4748" y="1171"/>
                          <a:ext cx="1719" cy="46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汉仪雅酷黑 75W" w:hAnsi="汉仪雅酷黑 75W" w:eastAsia="汉仪雅酷黑 75W" w:cs="汉仪雅酷黑 75W"/>
                              </w:rPr>
                            </w:pP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249.4pt;margin-top:38.45pt;height:23.9pt;width:88pt;mso-position-horizontal-relative:page;mso-position-vertical-relative:page;z-index:251660288;mso-width-relative:page;mso-height-relative:page;" coordorigin="4728,1163" coordsize="1760,478" o:gfxdata="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">
              <o:lock v:ext="edit" aspectratio="f"/>
              <v:rect id="_x0000_s1026" o:spid="_x0000_s1026" o:spt="1" style="position:absolute;left:4728;top:1163;height:478;width:1760;v-text-anchor:middle;" fillcolor="#FFFFFF [3212]" filled="t" stroked="f" coordsize="21600,21600" o:gfxdata="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w+U/770AAADaAAAADwAAAAAAAAABACAAAAA4AAAAZHJzL2Rvd25yZXYu&#10;eG1sUEsBAhQAFAAAAAgAh07iQDMvBZ47AAAAOQAAABAAAAAAAAAAAQAgAAAAIgEAAGRycy9zaGFw&#10;ZXhtbC54bWxQSwUGAAAAAAYABgBbAQAAzAMAAAAA&#10;">
                <v:fill on="t" opacity="0f" focussize="0,0"/>
                <v:stroke on="f" weight="1pt" miterlimit="8" joinstyle="miter"/>
                <v:imagedata o:title=""/>
                <o:lock v:ext="edit" aspectratio="f"/>
              </v:rect>
              <v:shape id="_x0000_s1026" o:spid="_x0000_s1026" o:spt="202" type="#_x0000_t202" style="position:absolute;left:4748;top:1171;height:461;width:1719;" filled="f" stroked="f" coordsize="21600,21600" o:gfxdata="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Bc7BTzvwAAANoAAAAPAAAAAAAAAAEAIAAAADgAAABkcnMvZG93bnJl&#10;di54bWxQSwECFAAUAAAACACHTuJAMy8FnjsAAAA5AAAAEAAAAAAAAAABACAAAAAkAQAAZHJzL3No&#10;YXBleG1sLnhtbFBLBQYAAAAABgAGAFsBAADOAwAAAAA=&#10;">
                <v:fill on="f" focussize="0,0"/>
                <v:stroke on="f" weight="0.5pt"/>
                <v:imagedata o:title=""/>
                <o:lock v:ext="edit" aspectratio="f"/>
                <v:textbox>
                  <w:txbxContent>
                    <w:p>
                      <w:pPr>
                        <w:rPr>
                          <w:rFonts w:hint="eastAsia" w:ascii="汉仪雅酷黑 75W" w:hAnsi="汉仪雅酷黑 75W" w:eastAsia="汉仪雅酷黑 75W" w:cs="汉仪雅酷黑 75W"/>
                        </w:rPr>
                      </w:pPr>
                    </w:p>
                  </w:txbxContent>
                </v:textbox>
              </v:shape>
            </v:group>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topMargin">
                <wp:align>bottom</wp:align>
              </wp:positionV>
              <wp:extent cx="5314950" cy="0"/>
              <wp:effectExtent l="0" t="4445" r="0" b="5080"/>
              <wp:wrapNone/>
              <wp:docPr id="1" name="直接连接符 1"/>
              <wp:cNvGraphicFramePr/>
              <a:graphic xmlns:a="http://schemas.openxmlformats.org/drawingml/2006/main">
                <a:graphicData uri="http://schemas.microsoft.com/office/word/2010/wordprocessingShape">
                  <wps:wsp>
                    <wps:cNvCnPr/>
                    <wps:spPr>
                      <a:xfrm>
                        <a:off x="1159510" y="897890"/>
                        <a:ext cx="531495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100000</wp14:pctWidth>
              </wp14:sizeRelH>
              <wp14:sizeRelV relativeFrom="page">
                <wp14:pctHeight>0</wp14:pctHeight>
              </wp14:sizeRelV>
            </wp:anchor>
          </w:drawing>
        </mc:Choice>
        <mc:Fallback>
          <w:pict>
            <v:line id="_x0000_s1026" o:spid="_x0000_s1026" o:spt="20" style="position:absolute;left:0pt;margin-left:62.35pt;margin-top:61.95pt;height:0pt;width:418.5pt;mso-position-horizontal-relative:page;mso-position-vertical-relative:page;z-index:251659264;mso-width-relative:margin;mso-height-relative:page;mso-width-percent:1000;" filled="f" stroked="t" coordsize="21600,21600" o:gfxdata="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FgAAAGRy&#10;cy9QSwECFAAUAAAACACHTuJAh3ni19MAAAACAQAADwAAAAAAAAABACAAAAA4AAAAZHJzL2Rvd25y&#10;ZXYueG1sUEsBAhQAFAAAAAgAh07iQIXIQtjtAQAAvAMAAA4AAAAAAAAAAQAgAAAAOAEAAGRycy9l&#10;Mm9Eb2MueG1sUEsFBgAAAAAGAAYAWQEAAJcFAAAAAA==&#10;">
              <v:fill on="f" focussize="0,0"/>
              <v:stroke color="#000000 [3213]" miterlimit="8" joinstyle="miter"/>
              <v:imagedata o:title=""/>
              <o:lock v:ext="edit" aspectratio="f"/>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80BD12F"/>
    <w:multiLevelType w:val="multilevel"/>
    <w:tmpl w:val="B80BD12F"/>
    <w:lvl w:ilvl="0" w:tentative="0">
      <w:start w:val="1"/>
      <w:numFmt w:val="chineseCounting"/>
      <w:pStyle w:val="2"/>
      <w:suff w:val="nothing"/>
      <w:lvlText w:val="%1、"/>
      <w:lvlJc w:val="left"/>
      <w:pPr>
        <w:ind w:left="0" w:firstLine="0"/>
      </w:pPr>
      <w:rPr>
        <w:rFonts w:hint="eastAsia"/>
      </w:rPr>
    </w:lvl>
    <w:lvl w:ilvl="1" w:tentative="0">
      <w:start w:val="1"/>
      <w:numFmt w:val="chineseCounting"/>
      <w:pStyle w:val="3"/>
      <w:suff w:val="nothing"/>
      <w:lvlText w:val="（%2）"/>
      <w:lvlJc w:val="left"/>
      <w:pPr>
        <w:ind w:left="0" w:firstLine="0"/>
      </w:pPr>
      <w:rPr>
        <w:rFonts w:hint="eastAsia"/>
      </w:rPr>
    </w:lvl>
    <w:lvl w:ilvl="2" w:tentative="0">
      <w:start w:val="1"/>
      <w:numFmt w:val="decimal"/>
      <w:pStyle w:val="4"/>
      <w:suff w:val="nothing"/>
      <w:lvlText w:val="%3．"/>
      <w:lvlJc w:val="left"/>
      <w:pPr>
        <w:ind w:left="0" w:firstLine="400"/>
      </w:pPr>
      <w:rPr>
        <w:rFonts w:hint="eastAsia"/>
      </w:rPr>
    </w:lvl>
    <w:lvl w:ilvl="3" w:tentative="0">
      <w:start w:val="1"/>
      <w:numFmt w:val="decimal"/>
      <w:pStyle w:val="5"/>
      <w:suff w:val="nothing"/>
      <w:lvlText w:val="（%4）"/>
      <w:lvlJc w:val="left"/>
      <w:pPr>
        <w:ind w:left="0" w:firstLine="402"/>
      </w:pPr>
      <w:rPr>
        <w:rFonts w:hint="eastAsia"/>
      </w:rPr>
    </w:lvl>
    <w:lvl w:ilvl="4" w:tentative="0">
      <w:start w:val="1"/>
      <w:numFmt w:val="decimalEnclosedCircleChinese"/>
      <w:pStyle w:val="6"/>
      <w:suff w:val="nothing"/>
      <w:lvlText w:val="%5"/>
      <w:lvlJc w:val="left"/>
      <w:pPr>
        <w:ind w:left="0" w:firstLine="402"/>
      </w:pPr>
      <w:rPr>
        <w:rFonts w:hint="eastAsia"/>
      </w:rPr>
    </w:lvl>
    <w:lvl w:ilvl="5" w:tentative="0">
      <w:start w:val="1"/>
      <w:numFmt w:val="decimal"/>
      <w:pStyle w:val="7"/>
      <w:suff w:val="nothing"/>
      <w:lvlText w:val="%6）"/>
      <w:lvlJc w:val="left"/>
      <w:pPr>
        <w:ind w:left="0" w:firstLine="402"/>
      </w:pPr>
      <w:rPr>
        <w:rFonts w:hint="eastAsia"/>
      </w:rPr>
    </w:lvl>
    <w:lvl w:ilvl="6" w:tentative="0">
      <w:start w:val="1"/>
      <w:numFmt w:val="lowerLetter"/>
      <w:pStyle w:val="8"/>
      <w:suff w:val="nothing"/>
      <w:lvlText w:val="%7．"/>
      <w:lvlJc w:val="left"/>
      <w:pPr>
        <w:ind w:left="0" w:firstLine="402"/>
      </w:pPr>
      <w:rPr>
        <w:rFonts w:hint="eastAsia"/>
      </w:rPr>
    </w:lvl>
    <w:lvl w:ilvl="7" w:tentative="0">
      <w:start w:val="1"/>
      <w:numFmt w:val="lowerLetter"/>
      <w:pStyle w:val="9"/>
      <w:suff w:val="nothing"/>
      <w:lvlText w:val="%8）"/>
      <w:lvlJc w:val="left"/>
      <w:pPr>
        <w:ind w:left="0" w:firstLine="402"/>
      </w:pPr>
      <w:rPr>
        <w:rFonts w:hint="eastAsia"/>
      </w:rPr>
    </w:lvl>
    <w:lvl w:ilvl="8" w:tentative="0">
      <w:start w:val="1"/>
      <w:numFmt w:val="lowerRoman"/>
      <w:pStyle w:val="10"/>
      <w:suff w:val="nothing"/>
      <w:lvlText w:val="%9 "/>
      <w:lvlJc w:val="left"/>
      <w:pPr>
        <w:ind w:left="0" w:firstLine="402"/>
      </w:pPr>
      <w:rPr>
        <w:rFonts w:hint="eastAsia"/>
      </w:rPr>
    </w:lvl>
  </w:abstractNum>
  <w:abstractNum w:abstractNumId="1">
    <w:nsid w:val="FB7D99AA"/>
    <w:multiLevelType w:val="singleLevel"/>
    <w:tmpl w:val="FB7D99AA"/>
    <w:lvl w:ilvl="0" w:tentative="0">
      <w:start w:val="2"/>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ED150A4"/>
    <w:rsid w:val="000A3413"/>
    <w:rsid w:val="001A4B2D"/>
    <w:rsid w:val="0021723F"/>
    <w:rsid w:val="00256DFA"/>
    <w:rsid w:val="0027370B"/>
    <w:rsid w:val="002E2CCB"/>
    <w:rsid w:val="00304F3A"/>
    <w:rsid w:val="003C2E98"/>
    <w:rsid w:val="003C456A"/>
    <w:rsid w:val="003D12B3"/>
    <w:rsid w:val="004353DB"/>
    <w:rsid w:val="004B73F6"/>
    <w:rsid w:val="004F03CC"/>
    <w:rsid w:val="004F3D4D"/>
    <w:rsid w:val="005A7029"/>
    <w:rsid w:val="00616D21"/>
    <w:rsid w:val="0074173D"/>
    <w:rsid w:val="007B250A"/>
    <w:rsid w:val="007B2F0C"/>
    <w:rsid w:val="007E14DF"/>
    <w:rsid w:val="008548B4"/>
    <w:rsid w:val="00863FA0"/>
    <w:rsid w:val="0095285C"/>
    <w:rsid w:val="00995035"/>
    <w:rsid w:val="00996A0B"/>
    <w:rsid w:val="00A01DC1"/>
    <w:rsid w:val="00AE4BB7"/>
    <w:rsid w:val="00AF4AB2"/>
    <w:rsid w:val="00D401C4"/>
    <w:rsid w:val="00DD1A5E"/>
    <w:rsid w:val="00E20AB4"/>
    <w:rsid w:val="00E33B50"/>
    <w:rsid w:val="00EA4269"/>
    <w:rsid w:val="00F32095"/>
    <w:rsid w:val="00F67C0E"/>
    <w:rsid w:val="00FD0680"/>
    <w:rsid w:val="01772A72"/>
    <w:rsid w:val="02175E3E"/>
    <w:rsid w:val="032E50FD"/>
    <w:rsid w:val="078C79ED"/>
    <w:rsid w:val="0AF61763"/>
    <w:rsid w:val="0CA05804"/>
    <w:rsid w:val="0DE46363"/>
    <w:rsid w:val="0ED150A4"/>
    <w:rsid w:val="0F3A26DF"/>
    <w:rsid w:val="0FA97FA3"/>
    <w:rsid w:val="0FAE59A0"/>
    <w:rsid w:val="10991687"/>
    <w:rsid w:val="11E903EC"/>
    <w:rsid w:val="13AE7D5A"/>
    <w:rsid w:val="146604C8"/>
    <w:rsid w:val="14717A98"/>
    <w:rsid w:val="1A562397"/>
    <w:rsid w:val="1A9E7ED9"/>
    <w:rsid w:val="1C2269D4"/>
    <w:rsid w:val="1EBFDC30"/>
    <w:rsid w:val="1EDA6FE6"/>
    <w:rsid w:val="20CE32DF"/>
    <w:rsid w:val="24D80578"/>
    <w:rsid w:val="25F8166F"/>
    <w:rsid w:val="2677791D"/>
    <w:rsid w:val="28F837A7"/>
    <w:rsid w:val="29F049F0"/>
    <w:rsid w:val="2A687324"/>
    <w:rsid w:val="2E4647A4"/>
    <w:rsid w:val="2F9C4C07"/>
    <w:rsid w:val="2FF40230"/>
    <w:rsid w:val="30AF0948"/>
    <w:rsid w:val="31AD6854"/>
    <w:rsid w:val="327F1C25"/>
    <w:rsid w:val="33FDC529"/>
    <w:rsid w:val="343A43BC"/>
    <w:rsid w:val="34EB1C02"/>
    <w:rsid w:val="36987B67"/>
    <w:rsid w:val="377C2FE5"/>
    <w:rsid w:val="396EDFD9"/>
    <w:rsid w:val="3B6E0EA9"/>
    <w:rsid w:val="3BF5BAE7"/>
    <w:rsid w:val="3C123F18"/>
    <w:rsid w:val="3C7D17C4"/>
    <w:rsid w:val="3D332398"/>
    <w:rsid w:val="3F278519"/>
    <w:rsid w:val="40BD36C6"/>
    <w:rsid w:val="41C45CB4"/>
    <w:rsid w:val="42F02ADA"/>
    <w:rsid w:val="44A05A90"/>
    <w:rsid w:val="44DF3D8B"/>
    <w:rsid w:val="454809AA"/>
    <w:rsid w:val="45DF2A4D"/>
    <w:rsid w:val="468A0B4E"/>
    <w:rsid w:val="46FF887B"/>
    <w:rsid w:val="47133629"/>
    <w:rsid w:val="4BFB6E7D"/>
    <w:rsid w:val="4DFB28E2"/>
    <w:rsid w:val="4EBB99FD"/>
    <w:rsid w:val="4ED67027"/>
    <w:rsid w:val="4FC8172F"/>
    <w:rsid w:val="4FD688C9"/>
    <w:rsid w:val="4FFAE3AA"/>
    <w:rsid w:val="4FFFBB76"/>
    <w:rsid w:val="557B4F58"/>
    <w:rsid w:val="5A9164F8"/>
    <w:rsid w:val="5B5FA9A2"/>
    <w:rsid w:val="5B694FA5"/>
    <w:rsid w:val="5D5F7BB8"/>
    <w:rsid w:val="5DFC15E3"/>
    <w:rsid w:val="5EEE394A"/>
    <w:rsid w:val="5F5F8406"/>
    <w:rsid w:val="5F677885"/>
    <w:rsid w:val="5FBFD74E"/>
    <w:rsid w:val="5FBFD7E2"/>
    <w:rsid w:val="5FCEC4F4"/>
    <w:rsid w:val="5FDDA744"/>
    <w:rsid w:val="5FFFD062"/>
    <w:rsid w:val="611A4CB7"/>
    <w:rsid w:val="61B6967A"/>
    <w:rsid w:val="626725D1"/>
    <w:rsid w:val="62913539"/>
    <w:rsid w:val="64EF9B89"/>
    <w:rsid w:val="65FB626A"/>
    <w:rsid w:val="67D62118"/>
    <w:rsid w:val="69B65AB4"/>
    <w:rsid w:val="69DA95DE"/>
    <w:rsid w:val="6A520C98"/>
    <w:rsid w:val="6AE578CD"/>
    <w:rsid w:val="6BE1B33B"/>
    <w:rsid w:val="6BEA33A6"/>
    <w:rsid w:val="6D2B546A"/>
    <w:rsid w:val="6D7E2584"/>
    <w:rsid w:val="6E7A0133"/>
    <w:rsid w:val="6EF383ED"/>
    <w:rsid w:val="6F75C4F7"/>
    <w:rsid w:val="74F7944A"/>
    <w:rsid w:val="7544156C"/>
    <w:rsid w:val="7630676D"/>
    <w:rsid w:val="76581835"/>
    <w:rsid w:val="76724FD8"/>
    <w:rsid w:val="774A385E"/>
    <w:rsid w:val="77771E81"/>
    <w:rsid w:val="77FB14F8"/>
    <w:rsid w:val="79EE0082"/>
    <w:rsid w:val="7A284DE9"/>
    <w:rsid w:val="7B3779A2"/>
    <w:rsid w:val="7B7F61CD"/>
    <w:rsid w:val="7C090DE1"/>
    <w:rsid w:val="7C156B31"/>
    <w:rsid w:val="7D221505"/>
    <w:rsid w:val="7DF194BC"/>
    <w:rsid w:val="7E791925"/>
    <w:rsid w:val="7EBD4E34"/>
    <w:rsid w:val="7ED94E8E"/>
    <w:rsid w:val="7EEB5C76"/>
    <w:rsid w:val="7EF64CD0"/>
    <w:rsid w:val="7F569E51"/>
    <w:rsid w:val="7FD55736"/>
    <w:rsid w:val="7FF15C1C"/>
    <w:rsid w:val="87FFCA47"/>
    <w:rsid w:val="8F65D3B1"/>
    <w:rsid w:val="A7FD5E30"/>
    <w:rsid w:val="ABFEDA63"/>
    <w:rsid w:val="AC9C5EF1"/>
    <w:rsid w:val="ADDE7403"/>
    <w:rsid w:val="B37C4966"/>
    <w:rsid w:val="B5F1614D"/>
    <w:rsid w:val="B5FAF48C"/>
    <w:rsid w:val="BB7B0D99"/>
    <w:rsid w:val="BBCFBF34"/>
    <w:rsid w:val="BBFB7C36"/>
    <w:rsid w:val="BC97B352"/>
    <w:rsid w:val="BF67F233"/>
    <w:rsid w:val="C4EFC4ED"/>
    <w:rsid w:val="D16FF280"/>
    <w:rsid w:val="D3FF5B89"/>
    <w:rsid w:val="D56D3EF9"/>
    <w:rsid w:val="DD0BB539"/>
    <w:rsid w:val="DEDF96FD"/>
    <w:rsid w:val="DEEF9762"/>
    <w:rsid w:val="DEFF8E5E"/>
    <w:rsid w:val="DF5F672D"/>
    <w:rsid w:val="DFC9495D"/>
    <w:rsid w:val="E7F71168"/>
    <w:rsid w:val="EDFF6A62"/>
    <w:rsid w:val="EDFFF27F"/>
    <w:rsid w:val="EF7B42E3"/>
    <w:rsid w:val="EFCED50B"/>
    <w:rsid w:val="F4F98587"/>
    <w:rsid w:val="F5EF9256"/>
    <w:rsid w:val="F6DAB290"/>
    <w:rsid w:val="F7D328CB"/>
    <w:rsid w:val="F8DDBE01"/>
    <w:rsid w:val="F9BFA804"/>
    <w:rsid w:val="F9F52A3F"/>
    <w:rsid w:val="FAA5927E"/>
    <w:rsid w:val="FB75C955"/>
    <w:rsid w:val="FD87F592"/>
    <w:rsid w:val="FDBA3598"/>
    <w:rsid w:val="FDEF9FC1"/>
    <w:rsid w:val="FDF7E995"/>
    <w:rsid w:val="FDFD734A"/>
    <w:rsid w:val="FE7B885B"/>
    <w:rsid w:val="FEBF3B82"/>
    <w:rsid w:val="FECFB7BC"/>
    <w:rsid w:val="FEDEE496"/>
    <w:rsid w:val="FF7DDCDF"/>
    <w:rsid w:val="FFB5E4E9"/>
    <w:rsid w:val="FFCA7C28"/>
    <w:rsid w:val="FFCF7202"/>
    <w:rsid w:val="FFEB0E8E"/>
    <w:rsid w:val="FFEE07AF"/>
    <w:rsid w:val="FFF6EEC4"/>
    <w:rsid w:val="FFFF99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numPr>
        <w:ilvl w:val="0"/>
        <w:numId w:val="1"/>
      </w:numPr>
      <w:spacing w:before="20" w:after="330" w:line="576" w:lineRule="auto"/>
      <w:jc w:val="center"/>
      <w:outlineLvl w:val="0"/>
    </w:pPr>
    <w:rPr>
      <w:rFonts w:eastAsia="宋体"/>
      <w:b/>
      <w:kern w:val="44"/>
      <w:sz w:val="32"/>
    </w:rPr>
  </w:style>
  <w:style w:type="paragraph" w:styleId="3">
    <w:name w:val="heading 2"/>
    <w:basedOn w:val="1"/>
    <w:next w:val="1"/>
    <w:unhideWhenUsed/>
    <w:qFormat/>
    <w:uiPriority w:val="0"/>
    <w:pPr>
      <w:keepNext/>
      <w:keepLines/>
      <w:numPr>
        <w:ilvl w:val="1"/>
        <w:numId w:val="1"/>
      </w:numPr>
      <w:spacing w:before="20" w:after="260" w:line="413" w:lineRule="auto"/>
      <w:jc w:val="center"/>
      <w:outlineLvl w:val="1"/>
    </w:pPr>
    <w:rPr>
      <w:rFonts w:ascii="Arial" w:hAnsi="Arial" w:eastAsia="宋体"/>
      <w:b/>
      <w:sz w:val="30"/>
    </w:rPr>
  </w:style>
  <w:style w:type="paragraph" w:styleId="4">
    <w:name w:val="heading 3"/>
    <w:basedOn w:val="1"/>
    <w:next w:val="1"/>
    <w:semiHidden/>
    <w:unhideWhenUsed/>
    <w:qFormat/>
    <w:uiPriority w:val="0"/>
    <w:pPr>
      <w:keepNext/>
      <w:keepLines/>
      <w:numPr>
        <w:ilvl w:val="2"/>
        <w:numId w:val="1"/>
      </w:numPr>
      <w:spacing w:before="20" w:after="260" w:line="413" w:lineRule="auto"/>
      <w:jc w:val="center"/>
      <w:outlineLvl w:val="2"/>
    </w:pPr>
    <w:rPr>
      <w:rFonts w:eastAsia="宋体"/>
      <w:b/>
      <w:sz w:val="28"/>
    </w:rPr>
  </w:style>
  <w:style w:type="paragraph" w:styleId="5">
    <w:name w:val="heading 4"/>
    <w:basedOn w:val="1"/>
    <w:next w:val="1"/>
    <w:semiHidden/>
    <w:unhideWhenUsed/>
    <w:qFormat/>
    <w:uiPriority w:val="0"/>
    <w:pPr>
      <w:keepNext/>
      <w:keepLines/>
      <w:numPr>
        <w:ilvl w:val="3"/>
        <w:numId w:val="1"/>
      </w:numPr>
      <w:spacing w:before="20" w:after="290" w:line="372" w:lineRule="auto"/>
      <w:jc w:val="center"/>
      <w:outlineLvl w:val="3"/>
    </w:pPr>
    <w:rPr>
      <w:rFonts w:ascii="Arial" w:hAnsi="Arial" w:eastAsia="宋体"/>
      <w:b/>
      <w:sz w:val="24"/>
    </w:rPr>
  </w:style>
  <w:style w:type="paragraph" w:styleId="6">
    <w:name w:val="heading 5"/>
    <w:basedOn w:val="1"/>
    <w:next w:val="1"/>
    <w:semiHidden/>
    <w:unhideWhenUsed/>
    <w:qFormat/>
    <w:uiPriority w:val="0"/>
    <w:pPr>
      <w:keepNext/>
      <w:keepLines/>
      <w:numPr>
        <w:ilvl w:val="4"/>
        <w:numId w:val="1"/>
      </w:numPr>
      <w:spacing w:before="280" w:after="290" w:line="372" w:lineRule="auto"/>
      <w:outlineLvl w:val="4"/>
    </w:pPr>
    <w:rPr>
      <w:b/>
      <w:sz w:val="28"/>
    </w:rPr>
  </w:style>
  <w:style w:type="paragraph" w:styleId="7">
    <w:name w:val="heading 6"/>
    <w:basedOn w:val="1"/>
    <w:next w:val="1"/>
    <w:semiHidden/>
    <w:unhideWhenUsed/>
    <w:qFormat/>
    <w:uiPriority w:val="0"/>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after="64" w:line="317" w:lineRule="auto"/>
      <w:outlineLvl w:val="6"/>
    </w:pPr>
    <w:rPr>
      <w:b/>
      <w:sz w:val="24"/>
    </w:rPr>
  </w:style>
  <w:style w:type="paragraph" w:styleId="9">
    <w:name w:val="heading 8"/>
    <w:basedOn w:val="1"/>
    <w:next w:val="1"/>
    <w:semiHidden/>
    <w:unhideWhenUsed/>
    <w:qFormat/>
    <w:uiPriority w:val="0"/>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after="64" w:line="317" w:lineRule="auto"/>
      <w:outlineLvl w:val="8"/>
    </w:pPr>
    <w:rPr>
      <w:rFonts w:ascii="Arial" w:hAnsi="Arial" w:eastAsia="黑体"/>
    </w:rPr>
  </w:style>
  <w:style w:type="character" w:default="1" w:styleId="18">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link w:val="25"/>
    <w:qFormat/>
    <w:uiPriority w:val="0"/>
    <w:pPr>
      <w:jc w:val="left"/>
    </w:pPr>
  </w:style>
  <w:style w:type="paragraph" w:styleId="12">
    <w:name w:val="Body Text"/>
    <w:basedOn w:val="1"/>
    <w:semiHidden/>
    <w:qFormat/>
    <w:uiPriority w:val="0"/>
    <w:rPr>
      <w:rFonts w:ascii="宋体" w:hAnsi="宋体" w:eastAsia="宋体" w:cs="宋体"/>
      <w:sz w:val="24"/>
    </w:rPr>
  </w:style>
  <w:style w:type="paragraph" w:styleId="13">
    <w:name w:val="index 4"/>
    <w:basedOn w:val="1"/>
    <w:next w:val="1"/>
    <w:qFormat/>
    <w:uiPriority w:val="0"/>
    <w:pPr>
      <w:spacing w:line="360" w:lineRule="auto"/>
      <w:ind w:left="600" w:leftChars="600"/>
    </w:pPr>
    <w:rPr>
      <w:sz w:val="24"/>
    </w:rPr>
  </w:style>
  <w:style w:type="paragraph" w:styleId="14">
    <w:name w:val="footer"/>
    <w:basedOn w:val="1"/>
    <w:qFormat/>
    <w:uiPriority w:val="0"/>
    <w:pPr>
      <w:tabs>
        <w:tab w:val="center" w:pos="4153"/>
        <w:tab w:val="right" w:pos="8306"/>
      </w:tabs>
      <w:snapToGrid w:val="0"/>
      <w:jc w:val="left"/>
    </w:pPr>
    <w:rPr>
      <w:sz w:val="18"/>
    </w:rPr>
  </w:style>
  <w:style w:type="paragraph" w:styleId="1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6">
    <w:name w:val="annotation subject"/>
    <w:basedOn w:val="11"/>
    <w:next w:val="11"/>
    <w:link w:val="26"/>
    <w:qFormat/>
    <w:uiPriority w:val="0"/>
    <w:rPr>
      <w:b/>
      <w:bCs/>
    </w:rPr>
  </w:style>
  <w:style w:type="character" w:styleId="19">
    <w:name w:val="annotation reference"/>
    <w:basedOn w:val="18"/>
    <w:qFormat/>
    <w:uiPriority w:val="0"/>
    <w:rPr>
      <w:sz w:val="21"/>
      <w:szCs w:val="21"/>
    </w:rPr>
  </w:style>
  <w:style w:type="character" w:customStyle="1" w:styleId="20">
    <w:name w:val="font41"/>
    <w:basedOn w:val="18"/>
    <w:qFormat/>
    <w:uiPriority w:val="0"/>
    <w:rPr>
      <w:rFonts w:hint="eastAsia" w:ascii="微软雅黑" w:hAnsi="微软雅黑" w:eastAsia="微软雅黑" w:cs="微软雅黑"/>
      <w:color w:val="000000"/>
      <w:sz w:val="16"/>
      <w:szCs w:val="16"/>
      <w:u w:val="none"/>
    </w:rPr>
  </w:style>
  <w:style w:type="character" w:customStyle="1" w:styleId="21">
    <w:name w:val="font21"/>
    <w:basedOn w:val="18"/>
    <w:qFormat/>
    <w:uiPriority w:val="0"/>
    <w:rPr>
      <w:rFonts w:hint="eastAsia" w:ascii="微软雅黑" w:hAnsi="微软雅黑" w:eastAsia="微软雅黑" w:cs="微软雅黑"/>
      <w:color w:val="000000"/>
      <w:sz w:val="16"/>
      <w:szCs w:val="16"/>
      <w:u w:val="none"/>
    </w:rPr>
  </w:style>
  <w:style w:type="paragraph" w:customStyle="1" w:styleId="22">
    <w:name w:val="Table Text"/>
    <w:basedOn w:val="1"/>
    <w:autoRedefine/>
    <w:semiHidden/>
    <w:qFormat/>
    <w:uiPriority w:val="0"/>
    <w:rPr>
      <w:rFonts w:ascii="宋体" w:hAnsi="宋体" w:eastAsia="宋体" w:cs="宋体"/>
      <w:sz w:val="28"/>
      <w:szCs w:val="28"/>
    </w:rPr>
  </w:style>
  <w:style w:type="table" w:customStyle="1" w:styleId="23">
    <w:name w:val="Table Normal"/>
    <w:autoRedefine/>
    <w:semiHidden/>
    <w:unhideWhenUsed/>
    <w:qFormat/>
    <w:uiPriority w:val="0"/>
    <w:tblPr>
      <w:tblCellMar>
        <w:top w:w="0" w:type="dxa"/>
        <w:left w:w="0" w:type="dxa"/>
        <w:bottom w:w="0" w:type="dxa"/>
        <w:right w:w="0" w:type="dxa"/>
      </w:tblCellMar>
    </w:tblPr>
  </w:style>
  <w:style w:type="paragraph" w:customStyle="1" w:styleId="24">
    <w:name w:val="修订1"/>
    <w:hidden/>
    <w:unhideWhenUsed/>
    <w:qFormat/>
    <w:uiPriority w:val="99"/>
    <w:rPr>
      <w:rFonts w:asciiTheme="minorHAnsi" w:hAnsiTheme="minorHAnsi" w:eastAsiaTheme="minorEastAsia" w:cstheme="minorBidi"/>
      <w:kern w:val="2"/>
      <w:sz w:val="21"/>
      <w:szCs w:val="24"/>
      <w:lang w:val="en-US" w:eastAsia="zh-CN" w:bidi="ar-SA"/>
    </w:rPr>
  </w:style>
  <w:style w:type="character" w:customStyle="1" w:styleId="25">
    <w:name w:val="批注文字 字符"/>
    <w:basedOn w:val="18"/>
    <w:link w:val="11"/>
    <w:qFormat/>
    <w:uiPriority w:val="0"/>
    <w:rPr>
      <w:rFonts w:asciiTheme="minorHAnsi" w:hAnsiTheme="minorHAnsi" w:eastAsiaTheme="minorEastAsia" w:cstheme="minorBidi"/>
      <w:kern w:val="2"/>
      <w:sz w:val="21"/>
      <w:szCs w:val="24"/>
    </w:rPr>
  </w:style>
  <w:style w:type="character" w:customStyle="1" w:styleId="26">
    <w:name w:val="批注主题 字符"/>
    <w:basedOn w:val="25"/>
    <w:link w:val="16"/>
    <w:qFormat/>
    <w:uiPriority w:val="0"/>
    <w:rPr>
      <w:rFonts w:asciiTheme="minorHAnsi" w:hAnsiTheme="minorHAnsi" w:eastAsiaTheme="minorEastAsia" w:cstheme="minorBidi"/>
      <w:b/>
      <w:bCs/>
      <w:kern w:val="2"/>
      <w:sz w:val="21"/>
      <w:szCs w:val="24"/>
    </w:rPr>
  </w:style>
  <w:style w:type="paragraph" w:customStyle="1" w:styleId="27">
    <w:name w:val="修订2"/>
    <w:hidden/>
    <w:unhideWhenUsed/>
    <w:qFormat/>
    <w:uiPriority w:val="99"/>
    <w:rPr>
      <w:rFonts w:asciiTheme="minorHAnsi" w:hAnsiTheme="minorHAnsi" w:eastAsiaTheme="minorEastAsia" w:cstheme="minorBidi"/>
      <w:kern w:val="2"/>
      <w:sz w:val="21"/>
      <w:szCs w:val="24"/>
      <w:lang w:val="en-US" w:eastAsia="zh-CN" w:bidi="ar-SA"/>
    </w:rPr>
  </w:style>
  <w:style w:type="paragraph" w:customStyle="1" w:styleId="28">
    <w:name w:val="修订3"/>
    <w:hidden/>
    <w:unhideWhenUsed/>
    <w:qFormat/>
    <w:uiPriority w:val="99"/>
    <w:rPr>
      <w:rFonts w:asciiTheme="minorHAnsi" w:hAnsiTheme="minorHAnsi" w:eastAsiaTheme="minorEastAsia" w:cstheme="minorBidi"/>
      <w:kern w:val="2"/>
      <w:sz w:val="21"/>
      <w:szCs w:val="24"/>
      <w:lang w:val="en-US" w:eastAsia="zh-CN" w:bidi="ar-SA"/>
    </w:rPr>
  </w:style>
  <w:style w:type="paragraph" w:customStyle="1" w:styleId="29">
    <w:name w:val="Revision"/>
    <w:hidden/>
    <w:unhideWhenUsed/>
    <w:qFormat/>
    <w:uiPriority w:val="99"/>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numbering" Target="numbering.xml"/><Relationship Id="rId98" Type="http://schemas.openxmlformats.org/officeDocument/2006/relationships/customXml" Target="../customXml/item1.xml"/><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jpe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0" Type="http://schemas.openxmlformats.org/officeDocument/2006/relationships/fontTable" Target="fontTable.xml"/><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177</Pages>
  <Words>581</Words>
  <Characters>860</Characters>
  <Lines>848</Lines>
  <Paragraphs>239</Paragraphs>
  <TotalTime>65</TotalTime>
  <ScaleCrop>false</ScaleCrop>
  <LinksUpToDate>false</LinksUpToDate>
  <CharactersWithSpaces>898</CharactersWithSpaces>
  <Application>WPS Office_12.8.2.17008_F1E327BC-269C-435d-A152-05C5408002CA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2025-06-28T17:34:00Z</dcterms:created>
  <dc:creator>~响阳</dc:creator>
  <cp:lastModifiedBy>lxy</cp:lastModifiedBy>
  <dcterms:modified xsi:type="dcterms:W3CDTF">2025-07-23T15:18:04Z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2052-12.8.2.17008</vt:lpwstr>
  </property>
  <property fmtid="{D5CDD505-2E9C-101B-9397-08002B2CF9AE}" pid="3" name="ICV">
    <vt:lpwstr>DC6C8E41BEE0FA605E7480685616F438_43</vt:lpwstr>
  </property>
  <property fmtid="{D5CDD505-2E9C-101B-9397-08002B2CF9AE}" pid="4" name="KSOTemplateDocerSaveRecord">
    <vt:lpwstr>eyJoZGlkIjoiYTk5YTg5ZWQ4NDU4ZjRlOWEzODZmNjZiNmY2MmY1MWYiLCJ1c2VySWQiOiI1MDUyOTI3MzEifQ==</vt:lpwstr>
  </property>
</Properties>
</file>