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B58EB">
      <w:pPr>
        <w:ind w:firstLine="0" w:firstLineChars="0"/>
        <w:jc w:val="center"/>
        <w:rPr>
          <w:rFonts w:hint="eastAsia" w:ascii="黑体" w:hAnsi="黑体" w:eastAsia="黑体"/>
          <w:sz w:val="48"/>
          <w:szCs w:val="48"/>
        </w:rPr>
      </w:pPr>
    </w:p>
    <w:p w14:paraId="5C6D319D">
      <w:pPr>
        <w:ind w:firstLine="0" w:firstLineChars="0"/>
        <w:jc w:val="center"/>
        <w:rPr>
          <w:rFonts w:hint="eastAsia" w:ascii="黑体" w:hAnsi="黑体" w:eastAsia="黑体"/>
          <w:sz w:val="48"/>
          <w:szCs w:val="48"/>
        </w:rPr>
      </w:pPr>
    </w:p>
    <w:p w14:paraId="66AE0AD4">
      <w:pPr>
        <w:ind w:firstLine="0" w:firstLineChars="0"/>
        <w:jc w:val="center"/>
        <w:rPr>
          <w:rFonts w:hint="eastAsia" w:ascii="黑体" w:hAnsi="黑体" w:eastAsia="黑体"/>
          <w:sz w:val="52"/>
          <w:szCs w:val="52"/>
        </w:rPr>
      </w:pPr>
      <w:r>
        <w:rPr>
          <w:rFonts w:hint="eastAsia" w:ascii="黑体" w:hAnsi="黑体" w:eastAsia="黑体"/>
          <w:sz w:val="52"/>
          <w:szCs w:val="52"/>
        </w:rPr>
        <w:t>进博会指挥部办公信息系统建设</w:t>
      </w:r>
    </w:p>
    <w:p w14:paraId="064FECEF">
      <w:pPr>
        <w:ind w:firstLine="0" w:firstLineChars="0"/>
        <w:jc w:val="center"/>
        <w:rPr>
          <w:rFonts w:hint="eastAsia" w:ascii="黑体" w:hAnsi="黑体" w:eastAsia="黑体"/>
          <w:sz w:val="52"/>
          <w:szCs w:val="52"/>
        </w:rPr>
      </w:pPr>
      <w:r>
        <w:rPr>
          <w:rFonts w:hint="eastAsia" w:ascii="黑体" w:hAnsi="黑体" w:eastAsia="黑体"/>
          <w:sz w:val="52"/>
          <w:szCs w:val="52"/>
        </w:rPr>
        <w:t>(2025年升级改造)项目采购需求</w:t>
      </w:r>
    </w:p>
    <w:p w14:paraId="02D77BEB">
      <w:pPr>
        <w:ind w:firstLine="0" w:firstLineChars="0"/>
        <w:jc w:val="center"/>
        <w:rPr>
          <w:rFonts w:hint="eastAsia" w:ascii="黑体" w:hAnsi="黑体" w:eastAsia="黑体"/>
          <w:sz w:val="48"/>
          <w:szCs w:val="48"/>
        </w:rPr>
      </w:pPr>
    </w:p>
    <w:p w14:paraId="112F387D">
      <w:pPr>
        <w:ind w:firstLine="0" w:firstLineChars="0"/>
        <w:jc w:val="center"/>
        <w:rPr>
          <w:rFonts w:hint="eastAsia" w:ascii="黑体" w:hAnsi="黑体" w:eastAsia="黑体"/>
          <w:sz w:val="52"/>
          <w:szCs w:val="52"/>
        </w:rPr>
      </w:pPr>
    </w:p>
    <w:p w14:paraId="51EC8544">
      <w:pPr>
        <w:ind w:firstLine="1040"/>
        <w:rPr>
          <w:rFonts w:hint="eastAsia" w:ascii="黑体" w:hAnsi="黑体" w:eastAsia="黑体"/>
          <w:sz w:val="52"/>
          <w:szCs w:val="52"/>
        </w:rPr>
      </w:pPr>
    </w:p>
    <w:p w14:paraId="6F1E346F">
      <w:pPr>
        <w:rPr>
          <w:rFonts w:hint="eastAsia"/>
        </w:rPr>
      </w:pPr>
    </w:p>
    <w:p w14:paraId="25E2F1E8">
      <w:pPr>
        <w:rPr>
          <w:rFonts w:hint="eastAsia"/>
        </w:rPr>
      </w:pPr>
    </w:p>
    <w:p w14:paraId="3140F1B2">
      <w:pPr>
        <w:rPr>
          <w:rFonts w:hint="eastAsia"/>
        </w:rPr>
      </w:pPr>
    </w:p>
    <w:p w14:paraId="2E8DED51">
      <w:pPr>
        <w:rPr>
          <w:rFonts w:hint="eastAsia"/>
        </w:rPr>
      </w:pPr>
    </w:p>
    <w:p w14:paraId="4C451CBF">
      <w:pPr>
        <w:rPr>
          <w:rFonts w:hint="eastAsia"/>
        </w:rPr>
      </w:pPr>
    </w:p>
    <w:p w14:paraId="1FB54E70">
      <w:pPr>
        <w:ind w:firstLine="1040"/>
        <w:rPr>
          <w:rFonts w:hint="eastAsia" w:ascii="黑体" w:hAnsi="黑体" w:eastAsia="黑体"/>
          <w:sz w:val="52"/>
          <w:szCs w:val="52"/>
        </w:rPr>
      </w:pPr>
    </w:p>
    <w:p w14:paraId="3DEA4B54">
      <w:pPr>
        <w:jc w:val="center"/>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6EE4A3CF">
      <w:pPr>
        <w:pStyle w:val="2"/>
        <w:rPr>
          <w:rFonts w:hint="eastAsia"/>
        </w:rPr>
      </w:pPr>
      <w:bookmarkStart w:id="0" w:name="_Toc63785461"/>
      <w:r>
        <w:rPr>
          <w:rFonts w:hint="eastAsia"/>
        </w:rPr>
        <w:t>项目概况</w:t>
      </w:r>
      <w:bookmarkEnd w:id="0"/>
    </w:p>
    <w:p w14:paraId="0E1BDCCD">
      <w:pPr>
        <w:spacing w:line="560" w:lineRule="exact"/>
        <w:rPr>
          <w:rFonts w:hint="eastAsia"/>
        </w:rPr>
      </w:pPr>
      <w:r>
        <w:rPr>
          <w:rFonts w:hint="eastAsia"/>
        </w:rPr>
        <w:t>为贯彻落实《中华人民共和国网络安全法》、《信息安全等级保护管理办法》以及等级保护制度中规定的网络经营者应当履行的义务，建立健全本单位网络安全防护体系，切实保护上海市商务委员会进博会指挥部办公信息系统内信息资产安全，支撑上海市商务委员会进博会指挥部信息化以及未来业务的发展。</w:t>
      </w:r>
    </w:p>
    <w:p w14:paraId="464FB335">
      <w:pPr>
        <w:spacing w:line="560" w:lineRule="exact"/>
        <w:rPr>
          <w:rFonts w:hint="eastAsia"/>
        </w:rPr>
      </w:pPr>
      <w:r>
        <w:rPr>
          <w:rFonts w:hint="eastAsia"/>
        </w:rPr>
        <w:t>进博会指挥部办公信息系统在2019年建设，安全防护措施主要部署防火墙、防毒墙、入侵防御系统、上网行为管理系统、日志审计系统、终端安全管理系统和域控服务器都是单台</w:t>
      </w:r>
      <w:r>
        <w:rPr>
          <w:rFonts w:hint="eastAsia"/>
          <w:lang w:val="en-US" w:eastAsia="zh-CN"/>
        </w:rPr>
        <w:t xml:space="preserve"> </w:t>
      </w:r>
      <w:r>
        <w:rPr>
          <w:rFonts w:hint="eastAsia"/>
        </w:rPr>
        <w:t>独立运行，核心网络采用2台华为S7706核心交换机。根据等保三级标准要求出口安全部分（防火墙、防毒墙、入侵防御系统、上网行为管理系统）需采用双联互为冗余部署，因此在该部分设备缺失，同时由于项目建设为2019年，部分设备（防火墙、防毒墙、入侵防御系统）与现有的设备无法实现HA双机热备功能，无法利旧。因此出口安全区域的防火墙、防毒墙、入侵防御系统、上网行为管理设备需要重新购置。</w:t>
      </w:r>
    </w:p>
    <w:p w14:paraId="498F3D06">
      <w:pPr>
        <w:spacing w:line="560" w:lineRule="exact"/>
        <w:rPr>
          <w:rFonts w:hint="eastAsia"/>
        </w:rPr>
      </w:pPr>
      <w:r>
        <w:rPr>
          <w:rFonts w:hint="eastAsia"/>
        </w:rPr>
        <w:t>建设期限：2026年6月30日前完成</w:t>
      </w:r>
    </w:p>
    <w:p w14:paraId="3E4D51FF">
      <w:pPr>
        <w:spacing w:line="560" w:lineRule="exact"/>
        <w:rPr>
          <w:rFonts w:hint="eastAsia"/>
        </w:rPr>
      </w:pPr>
      <w:r>
        <w:rPr>
          <w:rFonts w:hint="eastAsia"/>
        </w:rPr>
        <w:t>建设地点：</w:t>
      </w:r>
      <w:r>
        <w:rPr>
          <w:rFonts w:hint="eastAsia" w:cs="宋体"/>
        </w:rPr>
        <w:t>青浦区徐民路168弄6号楼15楼</w:t>
      </w:r>
    </w:p>
    <w:p w14:paraId="20FFF476">
      <w:pPr>
        <w:spacing w:line="560" w:lineRule="exact"/>
        <w:rPr>
          <w:rFonts w:hint="eastAsia"/>
        </w:rPr>
      </w:pPr>
      <w:r>
        <w:rPr>
          <w:rFonts w:hint="eastAsia"/>
        </w:rPr>
        <w:t>预算金额：3191430元</w:t>
      </w:r>
    </w:p>
    <w:p w14:paraId="5E59FCDE">
      <w:pPr>
        <w:spacing w:line="560" w:lineRule="exact"/>
        <w:rPr>
          <w:rFonts w:hint="eastAsia"/>
        </w:rPr>
      </w:pPr>
      <w:r>
        <w:rPr>
          <w:rFonts w:hint="eastAsia"/>
        </w:rPr>
        <w:t>采购金额（最高限价）：3191430元</w:t>
      </w:r>
    </w:p>
    <w:p w14:paraId="0851C0D8">
      <w:pPr>
        <w:rPr>
          <w:rFonts w:hint="eastAsia"/>
        </w:rPr>
      </w:pPr>
      <w:r>
        <w:rPr>
          <w:rFonts w:hint="eastAsia"/>
        </w:rPr>
        <w:t>组织形式：集中采购</w:t>
      </w:r>
    </w:p>
    <w:p w14:paraId="0121C575">
      <w:pPr>
        <w:rPr>
          <w:rFonts w:hint="eastAsia"/>
        </w:rPr>
      </w:pPr>
      <w:r>
        <w:rPr>
          <w:rFonts w:hint="eastAsia"/>
        </w:rPr>
        <w:t>采购方式：竞争性磋商</w:t>
      </w:r>
    </w:p>
    <w:p w14:paraId="1A162B12">
      <w:pPr>
        <w:rPr>
          <w:rFonts w:hint="eastAsia"/>
        </w:rPr>
      </w:pPr>
      <w:r>
        <w:rPr>
          <w:rFonts w:hint="eastAsia"/>
        </w:rPr>
        <w:t>是否接受联合体：否</w:t>
      </w:r>
    </w:p>
    <w:p w14:paraId="6CEF1F7D">
      <w:pPr>
        <w:rPr>
          <w:rFonts w:hint="eastAsia"/>
        </w:rPr>
      </w:pPr>
      <w:r>
        <w:t>是否按信</w:t>
      </w:r>
      <w:r>
        <w:rPr>
          <w:rFonts w:hint="eastAsia"/>
          <w:lang w:val="en-US" w:eastAsia="zh-CN"/>
        </w:rPr>
        <w:t xml:space="preserve"> </w:t>
      </w:r>
      <w:r>
        <w:t>创要求建设：是</w:t>
      </w:r>
    </w:p>
    <w:p w14:paraId="4C683FA2">
      <w:pPr>
        <w:rPr>
          <w:rFonts w:hint="eastAsia"/>
        </w:rPr>
      </w:pPr>
      <w:r>
        <w:rPr>
          <w:rFonts w:hint="eastAsia"/>
        </w:rPr>
        <w:t>运维后所属大系统：基础设施大系统</w:t>
      </w:r>
    </w:p>
    <w:p w14:paraId="5D33831A">
      <w:pPr>
        <w:pStyle w:val="2"/>
        <w:rPr>
          <w:rFonts w:hint="eastAsia"/>
        </w:rPr>
      </w:pPr>
      <w:bookmarkStart w:id="1" w:name="_Toc47536644"/>
      <w:bookmarkEnd w:id="1"/>
      <w:bookmarkStart w:id="2" w:name="_Toc47532891"/>
      <w:bookmarkEnd w:id="2"/>
      <w:bookmarkStart w:id="3" w:name="_Toc47539070"/>
      <w:bookmarkEnd w:id="3"/>
      <w:bookmarkStart w:id="4" w:name="_Toc47536272"/>
      <w:bookmarkEnd w:id="4"/>
      <w:bookmarkStart w:id="5" w:name="_Toc47531634"/>
      <w:bookmarkEnd w:id="5"/>
      <w:bookmarkStart w:id="6" w:name="_Toc47532255"/>
      <w:bookmarkEnd w:id="6"/>
      <w:bookmarkStart w:id="7" w:name="_Toc47533256"/>
      <w:bookmarkEnd w:id="7"/>
      <w:bookmarkStart w:id="8" w:name="_Toc47537134"/>
      <w:bookmarkEnd w:id="8"/>
      <w:bookmarkStart w:id="9" w:name="_Toc48223882"/>
      <w:bookmarkStart w:id="10" w:name="_Toc63785463"/>
      <w:r>
        <w:rPr>
          <w:rFonts w:hint="eastAsia"/>
        </w:rPr>
        <w:t>建设目标</w:t>
      </w:r>
      <w:bookmarkEnd w:id="9"/>
      <w:bookmarkEnd w:id="10"/>
    </w:p>
    <w:p w14:paraId="3BB70EA5">
      <w:pPr>
        <w:spacing w:line="560" w:lineRule="exact"/>
        <w:ind w:firstLine="482"/>
        <w:rPr>
          <w:rFonts w:hint="eastAsia"/>
        </w:rPr>
      </w:pPr>
      <w:r>
        <w:rPr>
          <w:b/>
        </w:rPr>
        <w:t></w:t>
      </w:r>
      <w:r>
        <w:rPr>
          <w:b/>
        </w:rPr>
        <w:tab/>
      </w:r>
      <w:r>
        <w:t>完善基础安全防护整体架构，开展并完成网络安全等级保护建设工作，使之基本符合网络安全等级保护基本要求。</w:t>
      </w:r>
    </w:p>
    <w:p w14:paraId="4A0EDC5F">
      <w:pPr>
        <w:spacing w:line="560" w:lineRule="exact"/>
        <w:rPr>
          <w:rFonts w:hint="eastAsia"/>
        </w:rPr>
      </w:pPr>
      <w:r>
        <w:t></w:t>
      </w:r>
      <w:r>
        <w:tab/>
      </w:r>
      <w:r>
        <w:t>加强信息安全管理工作，制订科学合理的信息安全工作方针、政策，进一步完善信息安全管理制度体系，实现管理制度的标准化、规范化和流程化。</w:t>
      </w:r>
    </w:p>
    <w:p w14:paraId="531330FE">
      <w:pPr>
        <w:spacing w:line="560" w:lineRule="exact"/>
        <w:rPr>
          <w:rFonts w:hint="eastAsia"/>
        </w:rPr>
      </w:pPr>
      <w:r>
        <w:t></w:t>
      </w:r>
      <w:r>
        <w:tab/>
      </w:r>
      <w:r>
        <w:t>建立科学、完备的安全管理体系，实现信息安全事件的全程全周期管理，切实保障信息系统安全、稳定运行。</w:t>
      </w:r>
    </w:p>
    <w:p w14:paraId="33CFB13C">
      <w:pPr>
        <w:pStyle w:val="2"/>
        <w:rPr>
          <w:rFonts w:hint="eastAsia"/>
        </w:rPr>
      </w:pPr>
      <w:bookmarkStart w:id="11" w:name="_Toc47536676"/>
      <w:bookmarkEnd w:id="11"/>
      <w:bookmarkStart w:id="12" w:name="_Toc47536304"/>
      <w:bookmarkEnd w:id="12"/>
      <w:bookmarkStart w:id="13" w:name="_Toc47539102"/>
      <w:bookmarkEnd w:id="13"/>
      <w:bookmarkStart w:id="14" w:name="_Toc47533288"/>
      <w:bookmarkEnd w:id="14"/>
      <w:bookmarkStart w:id="15" w:name="_Toc47537166"/>
      <w:bookmarkEnd w:id="15"/>
      <w:bookmarkStart w:id="16" w:name="_Toc47532923"/>
      <w:bookmarkEnd w:id="16"/>
      <w:r>
        <w:rPr>
          <w:rFonts w:hint="eastAsia"/>
        </w:rPr>
        <w:t>项目建设内容</w:t>
      </w:r>
    </w:p>
    <w:p w14:paraId="5F386822">
      <w:pPr>
        <w:widowControl/>
        <w:snapToGrid w:val="0"/>
        <w:spacing w:line="440" w:lineRule="exact"/>
        <w:jc w:val="left"/>
        <w:rPr>
          <w:rFonts w:hint="eastAsia"/>
        </w:rPr>
      </w:pPr>
      <w:r>
        <w:rPr>
          <w:rFonts w:hint="eastAsia"/>
        </w:rPr>
        <w:t>按照《信息安全技术网络安全等级保护基本要求》(GB/T22239-2019)标准第三级的安全保护能力，结合系统的业务安全需求特点，对进博会指挥部办公信息系统进行升级改造，具体内容如下：</w:t>
      </w:r>
    </w:p>
    <w:p w14:paraId="466FD6D6">
      <w:pPr>
        <w:widowControl/>
        <w:snapToGrid w:val="0"/>
        <w:spacing w:line="440" w:lineRule="exact"/>
        <w:jc w:val="left"/>
        <w:rPr>
          <w:rFonts w:hint="eastAsia"/>
        </w:rPr>
      </w:pPr>
      <w:r>
        <w:rPr>
          <w:rFonts w:hint="eastAsia"/>
        </w:rPr>
        <w:t>(一)</w:t>
      </w:r>
      <w:r>
        <w:rPr>
          <w:rFonts w:hint="eastAsia"/>
        </w:rPr>
        <w:tab/>
      </w:r>
      <w:r>
        <w:rPr>
          <w:rFonts w:hint="eastAsia"/>
        </w:rPr>
        <w:t>网络安全加固</w:t>
      </w:r>
    </w:p>
    <w:p w14:paraId="17E64B11">
      <w:pPr>
        <w:widowControl/>
        <w:snapToGrid w:val="0"/>
        <w:spacing w:line="440" w:lineRule="exact"/>
        <w:jc w:val="left"/>
        <w:rPr>
          <w:rFonts w:hint="eastAsia"/>
        </w:rPr>
      </w:pPr>
      <w:r>
        <w:rPr>
          <w:rFonts w:hint="eastAsia"/>
        </w:rPr>
        <w:t>进博会指挥部办公信息系统需要接入政务外网和互联网，按等保三级要求需要增加防火墙、入侵防御(IPS)、上网行为管理、网络审计、日志审计、网络准入控制、堡垒机以及终端防护系统等安全设备。</w:t>
      </w:r>
    </w:p>
    <w:p w14:paraId="5824657C">
      <w:pPr>
        <w:widowControl/>
        <w:snapToGrid w:val="0"/>
        <w:spacing w:line="440" w:lineRule="exact"/>
        <w:jc w:val="left"/>
        <w:rPr>
          <w:rFonts w:hint="eastAsia"/>
        </w:rPr>
      </w:pPr>
      <w:r>
        <w:rPr>
          <w:rFonts w:hint="eastAsia"/>
        </w:rPr>
        <w:t>由于进博会指挥部办公信息系统建设于2019年，部分设备（防火墙、防毒墙、入侵防御系统）与现有的设备无法实现HA双机热备功能，无法利旧。因此出口安全区域的防火墙、防毒墙、入侵防御系统、上网行为管理设备需要重新购置。</w:t>
      </w:r>
    </w:p>
    <w:p w14:paraId="0C381999">
      <w:pPr>
        <w:widowControl/>
        <w:snapToGrid w:val="0"/>
        <w:spacing w:line="440" w:lineRule="exact"/>
        <w:jc w:val="left"/>
        <w:rPr>
          <w:rFonts w:hint="eastAsia"/>
        </w:rPr>
      </w:pPr>
      <w:r>
        <w:rPr>
          <w:rFonts w:hint="eastAsia"/>
        </w:rPr>
        <w:t>(二)</w:t>
      </w:r>
      <w:r>
        <w:rPr>
          <w:rFonts w:hint="eastAsia"/>
        </w:rPr>
        <w:tab/>
      </w:r>
      <w:r>
        <w:rPr>
          <w:rFonts w:hint="eastAsia"/>
        </w:rPr>
        <w:t>机房整改</w:t>
      </w:r>
    </w:p>
    <w:p w14:paraId="782ED44C">
      <w:pPr>
        <w:widowControl/>
        <w:snapToGrid w:val="0"/>
        <w:spacing w:line="440" w:lineRule="exact"/>
        <w:jc w:val="left"/>
        <w:rPr>
          <w:rFonts w:hint="eastAsia"/>
        </w:rPr>
      </w:pPr>
      <w:r>
        <w:rPr>
          <w:rFonts w:hint="eastAsia"/>
        </w:rPr>
        <w:t>改造现有机房用于放置核心交换机、出口安全设备、安全管理设备，保留综合布线系统，替换原有物业的楼层接入交换机设备。2个机房之间敷设2根48芯多模万兆光缆，用于接入交换机和核心交换机的连接。具体内容包括机房装饰装修、UPS系统、精密空调、环境监控（含视频监控和门禁系统）以及消防系统等建设。</w:t>
      </w:r>
    </w:p>
    <w:p w14:paraId="33B2EE73">
      <w:pPr>
        <w:widowControl/>
        <w:snapToGrid w:val="0"/>
        <w:spacing w:line="440" w:lineRule="exact"/>
        <w:jc w:val="left"/>
        <w:rPr>
          <w:rFonts w:hint="eastAsia"/>
        </w:rPr>
      </w:pPr>
    </w:p>
    <w:p w14:paraId="7E9F7DE0">
      <w:pPr>
        <w:widowControl/>
        <w:snapToGrid w:val="0"/>
        <w:spacing w:line="440" w:lineRule="exact"/>
        <w:jc w:val="left"/>
        <w:rPr>
          <w:rFonts w:hint="eastAsia"/>
        </w:rPr>
      </w:pPr>
    </w:p>
    <w:p w14:paraId="5AC26164">
      <w:pPr>
        <w:widowControl/>
        <w:snapToGrid w:val="0"/>
        <w:spacing w:line="440" w:lineRule="exact"/>
        <w:jc w:val="left"/>
        <w:rPr>
          <w:rFonts w:hint="eastAsia"/>
        </w:rPr>
      </w:pPr>
    </w:p>
    <w:p w14:paraId="1A8FB9F0">
      <w:pPr>
        <w:widowControl/>
        <w:snapToGrid w:val="0"/>
        <w:spacing w:line="440" w:lineRule="exact"/>
        <w:jc w:val="left"/>
        <w:rPr>
          <w:rFonts w:hint="eastAsia"/>
        </w:rPr>
      </w:pPr>
    </w:p>
    <w:p w14:paraId="6C071DAA">
      <w:pPr>
        <w:pStyle w:val="3"/>
        <w:rPr>
          <w:rFonts w:hint="eastAsia"/>
        </w:rPr>
      </w:pPr>
      <w:r>
        <w:rPr>
          <w:rFonts w:hint="eastAsia"/>
        </w:rPr>
        <w:t>软硬件清单</w:t>
      </w:r>
    </w:p>
    <w:p w14:paraId="16555842">
      <w:pPr>
        <w:pStyle w:val="4"/>
        <w:rPr>
          <w:rFonts w:hint="eastAsia"/>
        </w:rPr>
      </w:pPr>
      <w:r>
        <w:rPr>
          <w:rFonts w:hint="eastAsia"/>
        </w:rPr>
        <w:t>软硬件产品清单</w:t>
      </w:r>
    </w:p>
    <w:tbl>
      <w:tblPr>
        <w:tblStyle w:val="38"/>
        <w:tblW w:w="5000" w:type="pct"/>
        <w:tblInd w:w="0" w:type="dxa"/>
        <w:tblLayout w:type="autofit"/>
        <w:tblCellMar>
          <w:top w:w="0" w:type="dxa"/>
          <w:left w:w="108" w:type="dxa"/>
          <w:bottom w:w="0" w:type="dxa"/>
          <w:right w:w="108" w:type="dxa"/>
        </w:tblCellMar>
      </w:tblPr>
      <w:tblGrid>
        <w:gridCol w:w="972"/>
        <w:gridCol w:w="1208"/>
        <w:gridCol w:w="1602"/>
        <w:gridCol w:w="2855"/>
        <w:gridCol w:w="1023"/>
        <w:gridCol w:w="868"/>
      </w:tblGrid>
      <w:tr w14:paraId="6EDE77D3">
        <w:tblPrEx>
          <w:tblCellMar>
            <w:top w:w="0" w:type="dxa"/>
            <w:left w:w="108" w:type="dxa"/>
            <w:bottom w:w="0" w:type="dxa"/>
            <w:right w:w="108" w:type="dxa"/>
          </w:tblCellMar>
        </w:tblPrEx>
        <w:trPr>
          <w:trHeight w:val="920" w:hRule="atLeast"/>
          <w:tblHeader/>
        </w:trPr>
        <w:tc>
          <w:tcPr>
            <w:tcW w:w="57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F67C9B">
            <w:pPr>
              <w:widowControl/>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序号</w:t>
            </w:r>
          </w:p>
        </w:tc>
        <w:tc>
          <w:tcPr>
            <w:tcW w:w="7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B2B51D">
            <w:pPr>
              <w:widowControl/>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产品大类</w:t>
            </w:r>
          </w:p>
        </w:tc>
        <w:tc>
          <w:tcPr>
            <w:tcW w:w="93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F887A1">
            <w:pPr>
              <w:widowControl/>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产品小类</w:t>
            </w:r>
          </w:p>
        </w:tc>
        <w:tc>
          <w:tcPr>
            <w:tcW w:w="167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2FC9896">
            <w:pPr>
              <w:widowControl/>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产品配置</w:t>
            </w:r>
          </w:p>
        </w:tc>
        <w:tc>
          <w:tcPr>
            <w:tcW w:w="60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64A98F">
            <w:pPr>
              <w:widowControl/>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数量</w:t>
            </w:r>
          </w:p>
        </w:tc>
        <w:tc>
          <w:tcPr>
            <w:tcW w:w="50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B37133A">
            <w:pPr>
              <w:widowControl/>
              <w:ind w:firstLine="0" w:firstLineChars="0"/>
              <w:jc w:val="center"/>
              <w:textAlignment w:val="center"/>
              <w:rPr>
                <w:rFonts w:hint="eastAsia" w:cs="宋体"/>
                <w:b/>
                <w:bCs/>
                <w:color w:val="000000"/>
                <w:sz w:val="21"/>
                <w:szCs w:val="21"/>
              </w:rPr>
            </w:pPr>
            <w:r>
              <w:rPr>
                <w:rFonts w:hint="eastAsia" w:cs="宋体"/>
                <w:b/>
                <w:bCs/>
                <w:color w:val="000000"/>
                <w:kern w:val="0"/>
                <w:sz w:val="21"/>
                <w:szCs w:val="21"/>
                <w:lang w:bidi="ar"/>
              </w:rPr>
              <w:t>单位</w:t>
            </w:r>
          </w:p>
        </w:tc>
      </w:tr>
      <w:tr w14:paraId="03A90780">
        <w:tblPrEx>
          <w:tblCellMar>
            <w:top w:w="0" w:type="dxa"/>
            <w:left w:w="108" w:type="dxa"/>
            <w:bottom w:w="0" w:type="dxa"/>
            <w:right w:w="108" w:type="dxa"/>
          </w:tblCellMar>
        </w:tblPrEx>
        <w:trPr>
          <w:trHeight w:val="1320" w:hRule="atLeast"/>
        </w:trPr>
        <w:tc>
          <w:tcPr>
            <w:tcW w:w="570" w:type="pct"/>
            <w:tcBorders>
              <w:top w:val="single" w:color="000000" w:sz="4" w:space="0"/>
              <w:left w:val="single" w:color="000000" w:sz="4" w:space="0"/>
              <w:bottom w:val="single" w:color="000000" w:sz="4" w:space="0"/>
              <w:right w:val="single" w:color="000000" w:sz="4" w:space="0"/>
            </w:tcBorders>
            <w:vAlign w:val="center"/>
          </w:tcPr>
          <w:p w14:paraId="118B27F3">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w:t>
            </w:r>
          </w:p>
        </w:tc>
        <w:tc>
          <w:tcPr>
            <w:tcW w:w="708" w:type="pct"/>
            <w:tcBorders>
              <w:top w:val="single" w:color="000000" w:sz="4" w:space="0"/>
              <w:left w:val="single" w:color="000000" w:sz="4" w:space="0"/>
              <w:bottom w:val="single" w:color="000000" w:sz="4" w:space="0"/>
              <w:right w:val="single" w:color="000000" w:sz="4" w:space="0"/>
            </w:tcBorders>
            <w:vAlign w:val="center"/>
          </w:tcPr>
          <w:p w14:paraId="02855E0B">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主机</w:t>
            </w:r>
          </w:p>
        </w:tc>
        <w:tc>
          <w:tcPr>
            <w:tcW w:w="939" w:type="pct"/>
            <w:tcBorders>
              <w:top w:val="single" w:color="000000" w:sz="4" w:space="0"/>
              <w:left w:val="single" w:color="000000" w:sz="4" w:space="0"/>
              <w:bottom w:val="single" w:color="000000" w:sz="4" w:space="0"/>
              <w:right w:val="single" w:color="000000" w:sz="4" w:space="0"/>
            </w:tcBorders>
            <w:vAlign w:val="center"/>
          </w:tcPr>
          <w:p w14:paraId="2880BC6E">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PC服务器</w:t>
            </w:r>
          </w:p>
        </w:tc>
        <w:tc>
          <w:tcPr>
            <w:tcW w:w="1674" w:type="pct"/>
            <w:tcBorders>
              <w:top w:val="single" w:color="000000" w:sz="4" w:space="0"/>
              <w:left w:val="single" w:color="000000" w:sz="4" w:space="0"/>
              <w:bottom w:val="single" w:color="000000" w:sz="4" w:space="0"/>
              <w:right w:val="single" w:color="000000" w:sz="4" w:space="0"/>
            </w:tcBorders>
            <w:vAlign w:val="center"/>
          </w:tcPr>
          <w:p w14:paraId="70BF931A">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CPU：国产CPU 频率≧2.5GHz，内存：≧32G ,硬盘:≧SSD800G *2+机械硬盘4T*3,2GRAID卡，≧双千兆电口网卡、≧双电源</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6D27F3F0">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6</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6AB8D493">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台</w:t>
            </w:r>
          </w:p>
        </w:tc>
      </w:tr>
      <w:tr w14:paraId="400945CA">
        <w:tblPrEx>
          <w:tblCellMar>
            <w:top w:w="0" w:type="dxa"/>
            <w:left w:w="108" w:type="dxa"/>
            <w:bottom w:w="0" w:type="dxa"/>
            <w:right w:w="108" w:type="dxa"/>
          </w:tblCellMar>
        </w:tblPrEx>
        <w:trPr>
          <w:trHeight w:val="920" w:hRule="atLeast"/>
        </w:trPr>
        <w:tc>
          <w:tcPr>
            <w:tcW w:w="570" w:type="pct"/>
            <w:tcBorders>
              <w:top w:val="single" w:color="000000" w:sz="4" w:space="0"/>
              <w:left w:val="single" w:color="000000" w:sz="4" w:space="0"/>
              <w:bottom w:val="single" w:color="000000" w:sz="4" w:space="0"/>
              <w:right w:val="single" w:color="000000" w:sz="4" w:space="0"/>
            </w:tcBorders>
            <w:vAlign w:val="center"/>
          </w:tcPr>
          <w:p w14:paraId="21136F8D">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2</w:t>
            </w:r>
          </w:p>
        </w:tc>
        <w:tc>
          <w:tcPr>
            <w:tcW w:w="708" w:type="pct"/>
            <w:tcBorders>
              <w:top w:val="single" w:color="000000" w:sz="4" w:space="0"/>
              <w:left w:val="single" w:color="000000" w:sz="4" w:space="0"/>
              <w:bottom w:val="single" w:color="000000" w:sz="4" w:space="0"/>
              <w:right w:val="single" w:color="000000" w:sz="4" w:space="0"/>
            </w:tcBorders>
            <w:vAlign w:val="center"/>
          </w:tcPr>
          <w:p w14:paraId="407D482C">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网络设备</w:t>
            </w:r>
          </w:p>
        </w:tc>
        <w:tc>
          <w:tcPr>
            <w:tcW w:w="939" w:type="pct"/>
            <w:tcBorders>
              <w:top w:val="single" w:color="000000" w:sz="4" w:space="0"/>
              <w:left w:val="single" w:color="000000" w:sz="4" w:space="0"/>
              <w:bottom w:val="single" w:color="000000" w:sz="4" w:space="0"/>
              <w:right w:val="single" w:color="000000" w:sz="4" w:space="0"/>
            </w:tcBorders>
            <w:vAlign w:val="center"/>
          </w:tcPr>
          <w:p w14:paraId="169F36FF">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交换机</w:t>
            </w:r>
          </w:p>
        </w:tc>
        <w:tc>
          <w:tcPr>
            <w:tcW w:w="1674" w:type="pct"/>
            <w:tcBorders>
              <w:top w:val="single" w:color="000000" w:sz="4" w:space="0"/>
              <w:left w:val="single" w:color="000000" w:sz="4" w:space="0"/>
              <w:bottom w:val="single" w:color="000000" w:sz="4" w:space="0"/>
              <w:right w:val="single" w:color="000000" w:sz="4" w:space="0"/>
            </w:tcBorders>
            <w:vAlign w:val="center"/>
          </w:tcPr>
          <w:p w14:paraId="25461D22">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≧48千兆电，≧4万兆光</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1C07C463">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14</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2A0A9148">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台</w:t>
            </w:r>
          </w:p>
        </w:tc>
      </w:tr>
      <w:tr w14:paraId="6798D2F4">
        <w:tblPrEx>
          <w:tblCellMar>
            <w:top w:w="0" w:type="dxa"/>
            <w:left w:w="108" w:type="dxa"/>
            <w:bottom w:w="0" w:type="dxa"/>
            <w:right w:w="108" w:type="dxa"/>
          </w:tblCellMar>
        </w:tblPrEx>
        <w:trPr>
          <w:trHeight w:val="920" w:hRule="atLeast"/>
        </w:trPr>
        <w:tc>
          <w:tcPr>
            <w:tcW w:w="570" w:type="pct"/>
            <w:tcBorders>
              <w:top w:val="single" w:color="000000" w:sz="4" w:space="0"/>
              <w:left w:val="single" w:color="000000" w:sz="4" w:space="0"/>
              <w:bottom w:val="single" w:color="000000" w:sz="4" w:space="0"/>
              <w:right w:val="single" w:color="000000" w:sz="4" w:space="0"/>
            </w:tcBorders>
            <w:vAlign w:val="center"/>
          </w:tcPr>
          <w:p w14:paraId="664B8BA9">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3</w:t>
            </w:r>
          </w:p>
        </w:tc>
        <w:tc>
          <w:tcPr>
            <w:tcW w:w="708" w:type="pct"/>
            <w:tcBorders>
              <w:top w:val="single" w:color="000000" w:sz="4" w:space="0"/>
              <w:left w:val="single" w:color="000000" w:sz="4" w:space="0"/>
              <w:bottom w:val="single" w:color="000000" w:sz="4" w:space="0"/>
              <w:right w:val="single" w:color="000000" w:sz="4" w:space="0"/>
            </w:tcBorders>
            <w:vAlign w:val="center"/>
          </w:tcPr>
          <w:p w14:paraId="38E94964">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网络设备</w:t>
            </w:r>
          </w:p>
        </w:tc>
        <w:tc>
          <w:tcPr>
            <w:tcW w:w="939" w:type="pct"/>
            <w:tcBorders>
              <w:top w:val="single" w:color="000000" w:sz="4" w:space="0"/>
              <w:left w:val="single" w:color="000000" w:sz="4" w:space="0"/>
              <w:bottom w:val="single" w:color="000000" w:sz="4" w:space="0"/>
              <w:right w:val="single" w:color="000000" w:sz="4" w:space="0"/>
            </w:tcBorders>
            <w:vAlign w:val="center"/>
          </w:tcPr>
          <w:p w14:paraId="7089496C">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交换机</w:t>
            </w:r>
          </w:p>
        </w:tc>
        <w:tc>
          <w:tcPr>
            <w:tcW w:w="1674" w:type="pct"/>
            <w:tcBorders>
              <w:top w:val="single" w:color="000000" w:sz="4" w:space="0"/>
              <w:left w:val="single" w:color="000000" w:sz="4" w:space="0"/>
              <w:bottom w:val="single" w:color="000000" w:sz="4" w:space="0"/>
              <w:right w:val="single" w:color="000000" w:sz="4" w:space="0"/>
            </w:tcBorders>
            <w:vAlign w:val="center"/>
          </w:tcPr>
          <w:p w14:paraId="7602D03E">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br w:type="textWrapping"/>
            </w:r>
            <w:r>
              <w:rPr>
                <w:rFonts w:hint="eastAsia" w:cs="宋体"/>
                <w:color w:val="000000"/>
                <w:kern w:val="0"/>
                <w:sz w:val="21"/>
                <w:szCs w:val="21"/>
                <w:lang w:bidi="ar"/>
              </w:rPr>
              <w:t>≧24个10/100/1000Base-T以太网端口，≧4个万兆SFP。"</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3C8B02F6">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4</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03E8073C">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台</w:t>
            </w:r>
          </w:p>
        </w:tc>
      </w:tr>
      <w:tr w14:paraId="237BF186">
        <w:tblPrEx>
          <w:tblCellMar>
            <w:top w:w="0" w:type="dxa"/>
            <w:left w:w="108" w:type="dxa"/>
            <w:bottom w:w="0" w:type="dxa"/>
            <w:right w:w="108" w:type="dxa"/>
          </w:tblCellMar>
        </w:tblPrEx>
        <w:trPr>
          <w:trHeight w:val="920" w:hRule="atLeast"/>
        </w:trPr>
        <w:tc>
          <w:tcPr>
            <w:tcW w:w="570" w:type="pct"/>
            <w:tcBorders>
              <w:top w:val="single" w:color="000000" w:sz="4" w:space="0"/>
              <w:left w:val="single" w:color="000000" w:sz="4" w:space="0"/>
              <w:bottom w:val="single" w:color="000000" w:sz="4" w:space="0"/>
              <w:right w:val="single" w:color="000000" w:sz="4" w:space="0"/>
            </w:tcBorders>
            <w:vAlign w:val="center"/>
          </w:tcPr>
          <w:p w14:paraId="1B87C5FF">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4</w:t>
            </w:r>
          </w:p>
        </w:tc>
        <w:tc>
          <w:tcPr>
            <w:tcW w:w="708" w:type="pct"/>
            <w:tcBorders>
              <w:top w:val="single" w:color="000000" w:sz="4" w:space="0"/>
              <w:left w:val="single" w:color="000000" w:sz="4" w:space="0"/>
              <w:bottom w:val="single" w:color="000000" w:sz="4" w:space="0"/>
              <w:right w:val="single" w:color="000000" w:sz="4" w:space="0"/>
            </w:tcBorders>
            <w:vAlign w:val="center"/>
          </w:tcPr>
          <w:p w14:paraId="56F1F8DB">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网络设备</w:t>
            </w:r>
          </w:p>
        </w:tc>
        <w:tc>
          <w:tcPr>
            <w:tcW w:w="939" w:type="pct"/>
            <w:tcBorders>
              <w:top w:val="single" w:color="000000" w:sz="4" w:space="0"/>
              <w:left w:val="single" w:color="000000" w:sz="4" w:space="0"/>
              <w:bottom w:val="single" w:color="000000" w:sz="4" w:space="0"/>
              <w:right w:val="single" w:color="000000" w:sz="4" w:space="0"/>
            </w:tcBorders>
            <w:vAlign w:val="center"/>
          </w:tcPr>
          <w:p w14:paraId="45A91D34">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交换机配件</w:t>
            </w:r>
          </w:p>
        </w:tc>
        <w:tc>
          <w:tcPr>
            <w:tcW w:w="1674" w:type="pct"/>
            <w:tcBorders>
              <w:top w:val="single" w:color="000000" w:sz="4" w:space="0"/>
              <w:left w:val="single" w:color="000000" w:sz="4" w:space="0"/>
              <w:bottom w:val="single" w:color="000000" w:sz="4" w:space="0"/>
              <w:right w:val="single" w:color="000000" w:sz="4" w:space="0"/>
            </w:tcBorders>
            <w:vAlign w:val="center"/>
          </w:tcPr>
          <w:p w14:paraId="6F8C704E">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≧48口万兆光纤板卡（S7706)</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0600D6B0">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2</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54AD86A0">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套</w:t>
            </w:r>
          </w:p>
        </w:tc>
      </w:tr>
      <w:tr w14:paraId="7887080A">
        <w:tblPrEx>
          <w:tblCellMar>
            <w:top w:w="0" w:type="dxa"/>
            <w:left w:w="108" w:type="dxa"/>
            <w:bottom w:w="0" w:type="dxa"/>
            <w:right w:w="108" w:type="dxa"/>
          </w:tblCellMar>
        </w:tblPrEx>
        <w:trPr>
          <w:trHeight w:val="920" w:hRule="atLeast"/>
        </w:trPr>
        <w:tc>
          <w:tcPr>
            <w:tcW w:w="570" w:type="pct"/>
            <w:tcBorders>
              <w:top w:val="single" w:color="000000" w:sz="4" w:space="0"/>
              <w:left w:val="single" w:color="000000" w:sz="4" w:space="0"/>
              <w:bottom w:val="single" w:color="000000" w:sz="4" w:space="0"/>
              <w:right w:val="single" w:color="000000" w:sz="4" w:space="0"/>
            </w:tcBorders>
            <w:vAlign w:val="center"/>
          </w:tcPr>
          <w:p w14:paraId="3CC6AED2">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5</w:t>
            </w:r>
          </w:p>
        </w:tc>
        <w:tc>
          <w:tcPr>
            <w:tcW w:w="708" w:type="pct"/>
            <w:tcBorders>
              <w:top w:val="single" w:color="000000" w:sz="4" w:space="0"/>
              <w:left w:val="single" w:color="000000" w:sz="4" w:space="0"/>
              <w:bottom w:val="single" w:color="000000" w:sz="4" w:space="0"/>
              <w:right w:val="single" w:color="000000" w:sz="4" w:space="0"/>
            </w:tcBorders>
            <w:vAlign w:val="center"/>
          </w:tcPr>
          <w:p w14:paraId="28E6AAEE">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网络设备</w:t>
            </w:r>
          </w:p>
        </w:tc>
        <w:tc>
          <w:tcPr>
            <w:tcW w:w="939" w:type="pct"/>
            <w:tcBorders>
              <w:top w:val="single" w:color="000000" w:sz="4" w:space="0"/>
              <w:left w:val="single" w:color="000000" w:sz="4" w:space="0"/>
              <w:bottom w:val="single" w:color="000000" w:sz="4" w:space="0"/>
              <w:right w:val="single" w:color="000000" w:sz="4" w:space="0"/>
            </w:tcBorders>
            <w:vAlign w:val="center"/>
          </w:tcPr>
          <w:p w14:paraId="3218DB36">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交换机配件</w:t>
            </w:r>
          </w:p>
        </w:tc>
        <w:tc>
          <w:tcPr>
            <w:tcW w:w="1674" w:type="pct"/>
            <w:tcBorders>
              <w:top w:val="single" w:color="000000" w:sz="4" w:space="0"/>
              <w:left w:val="single" w:color="000000" w:sz="4" w:space="0"/>
              <w:bottom w:val="single" w:color="000000" w:sz="4" w:space="0"/>
              <w:right w:val="single" w:color="000000" w:sz="4" w:space="0"/>
            </w:tcBorders>
            <w:vAlign w:val="center"/>
          </w:tcPr>
          <w:p w14:paraId="5C667B3D">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光模块-SFP-10G，多模模模块</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1B9DC74F">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72</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0EFA3F0B">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个</w:t>
            </w:r>
          </w:p>
        </w:tc>
      </w:tr>
      <w:tr w14:paraId="01230717">
        <w:tblPrEx>
          <w:tblCellMar>
            <w:top w:w="0" w:type="dxa"/>
            <w:left w:w="108" w:type="dxa"/>
            <w:bottom w:w="0" w:type="dxa"/>
            <w:right w:w="108" w:type="dxa"/>
          </w:tblCellMar>
        </w:tblPrEx>
        <w:trPr>
          <w:trHeight w:val="920" w:hRule="atLeast"/>
        </w:trPr>
        <w:tc>
          <w:tcPr>
            <w:tcW w:w="570" w:type="pct"/>
            <w:tcBorders>
              <w:top w:val="single" w:color="000000" w:sz="4" w:space="0"/>
              <w:left w:val="single" w:color="000000" w:sz="4" w:space="0"/>
              <w:bottom w:val="single" w:color="000000" w:sz="4" w:space="0"/>
              <w:right w:val="single" w:color="000000" w:sz="4" w:space="0"/>
            </w:tcBorders>
            <w:vAlign w:val="center"/>
          </w:tcPr>
          <w:p w14:paraId="4C938600">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6</w:t>
            </w:r>
          </w:p>
        </w:tc>
        <w:tc>
          <w:tcPr>
            <w:tcW w:w="708" w:type="pct"/>
            <w:tcBorders>
              <w:top w:val="single" w:color="000000" w:sz="4" w:space="0"/>
              <w:left w:val="single" w:color="000000" w:sz="4" w:space="0"/>
              <w:bottom w:val="single" w:color="000000" w:sz="4" w:space="0"/>
              <w:right w:val="single" w:color="000000" w:sz="4" w:space="0"/>
            </w:tcBorders>
            <w:vAlign w:val="center"/>
          </w:tcPr>
          <w:p w14:paraId="4B5B9CC1">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机房建设</w:t>
            </w:r>
          </w:p>
        </w:tc>
        <w:tc>
          <w:tcPr>
            <w:tcW w:w="939" w:type="pct"/>
            <w:tcBorders>
              <w:top w:val="single" w:color="000000" w:sz="4" w:space="0"/>
              <w:left w:val="single" w:color="000000" w:sz="4" w:space="0"/>
              <w:bottom w:val="single" w:color="000000" w:sz="4" w:space="0"/>
              <w:right w:val="single" w:color="000000" w:sz="4" w:space="0"/>
            </w:tcBorders>
            <w:vAlign w:val="center"/>
          </w:tcPr>
          <w:p w14:paraId="62C65EB5">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精密空调</w:t>
            </w:r>
          </w:p>
        </w:tc>
        <w:tc>
          <w:tcPr>
            <w:tcW w:w="1674" w:type="pct"/>
            <w:tcBorders>
              <w:top w:val="single" w:color="000000" w:sz="4" w:space="0"/>
              <w:left w:val="single" w:color="000000" w:sz="4" w:space="0"/>
              <w:bottom w:val="single" w:color="000000" w:sz="4" w:space="0"/>
              <w:right w:val="single" w:color="000000" w:sz="4" w:space="0"/>
            </w:tcBorders>
            <w:vAlign w:val="center"/>
          </w:tcPr>
          <w:p w14:paraId="6496B649">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≧13KW制冷量</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77E6911D">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710E4606">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套</w:t>
            </w:r>
          </w:p>
        </w:tc>
      </w:tr>
      <w:tr w14:paraId="2B395C8C">
        <w:tblPrEx>
          <w:tblCellMar>
            <w:top w:w="0" w:type="dxa"/>
            <w:left w:w="108" w:type="dxa"/>
            <w:bottom w:w="0" w:type="dxa"/>
            <w:right w:w="108" w:type="dxa"/>
          </w:tblCellMar>
        </w:tblPrEx>
        <w:trPr>
          <w:trHeight w:val="920" w:hRule="atLeast"/>
        </w:trPr>
        <w:tc>
          <w:tcPr>
            <w:tcW w:w="570" w:type="pct"/>
            <w:tcBorders>
              <w:top w:val="single" w:color="000000" w:sz="4" w:space="0"/>
              <w:left w:val="single" w:color="000000" w:sz="4" w:space="0"/>
              <w:bottom w:val="single" w:color="000000" w:sz="4" w:space="0"/>
              <w:right w:val="single" w:color="000000" w:sz="4" w:space="0"/>
            </w:tcBorders>
            <w:vAlign w:val="center"/>
          </w:tcPr>
          <w:p w14:paraId="52971591">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7</w:t>
            </w:r>
          </w:p>
        </w:tc>
        <w:tc>
          <w:tcPr>
            <w:tcW w:w="708" w:type="pct"/>
            <w:tcBorders>
              <w:top w:val="single" w:color="000000" w:sz="4" w:space="0"/>
              <w:left w:val="single" w:color="000000" w:sz="4" w:space="0"/>
              <w:bottom w:val="single" w:color="000000" w:sz="4" w:space="0"/>
              <w:right w:val="single" w:color="000000" w:sz="4" w:space="0"/>
            </w:tcBorders>
            <w:vAlign w:val="center"/>
          </w:tcPr>
          <w:p w14:paraId="34D4000E">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机房建设</w:t>
            </w:r>
          </w:p>
        </w:tc>
        <w:tc>
          <w:tcPr>
            <w:tcW w:w="939" w:type="pct"/>
            <w:tcBorders>
              <w:top w:val="single" w:color="000000" w:sz="4" w:space="0"/>
              <w:left w:val="single" w:color="000000" w:sz="4" w:space="0"/>
              <w:bottom w:val="single" w:color="000000" w:sz="4" w:space="0"/>
              <w:right w:val="single" w:color="000000" w:sz="4" w:space="0"/>
            </w:tcBorders>
            <w:vAlign w:val="center"/>
          </w:tcPr>
          <w:p w14:paraId="3BAE6525">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防静电地板</w:t>
            </w:r>
          </w:p>
        </w:tc>
        <w:tc>
          <w:tcPr>
            <w:tcW w:w="1674" w:type="pct"/>
            <w:tcBorders>
              <w:top w:val="single" w:color="000000" w:sz="4" w:space="0"/>
              <w:left w:val="single" w:color="000000" w:sz="4" w:space="0"/>
              <w:bottom w:val="single" w:color="000000" w:sz="4" w:space="0"/>
              <w:right w:val="single" w:color="000000" w:sz="4" w:space="0"/>
            </w:tcBorders>
            <w:vAlign w:val="center"/>
          </w:tcPr>
          <w:p w14:paraId="06861662">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包括原有地板拆除和新地板安装</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02404B53">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12</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000737DD">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平米</w:t>
            </w:r>
          </w:p>
        </w:tc>
      </w:tr>
      <w:tr w14:paraId="08448B7C">
        <w:tblPrEx>
          <w:tblCellMar>
            <w:top w:w="0" w:type="dxa"/>
            <w:left w:w="108" w:type="dxa"/>
            <w:bottom w:w="0" w:type="dxa"/>
            <w:right w:w="108" w:type="dxa"/>
          </w:tblCellMar>
        </w:tblPrEx>
        <w:trPr>
          <w:trHeight w:val="920" w:hRule="atLeast"/>
        </w:trPr>
        <w:tc>
          <w:tcPr>
            <w:tcW w:w="570" w:type="pct"/>
            <w:tcBorders>
              <w:top w:val="single" w:color="000000" w:sz="4" w:space="0"/>
              <w:left w:val="single" w:color="000000" w:sz="4" w:space="0"/>
              <w:bottom w:val="single" w:color="000000" w:sz="4" w:space="0"/>
              <w:right w:val="single" w:color="000000" w:sz="4" w:space="0"/>
            </w:tcBorders>
            <w:vAlign w:val="center"/>
          </w:tcPr>
          <w:p w14:paraId="58B292A9">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8</w:t>
            </w:r>
          </w:p>
        </w:tc>
        <w:tc>
          <w:tcPr>
            <w:tcW w:w="708" w:type="pct"/>
            <w:tcBorders>
              <w:top w:val="single" w:color="000000" w:sz="4" w:space="0"/>
              <w:left w:val="single" w:color="000000" w:sz="4" w:space="0"/>
              <w:bottom w:val="single" w:color="000000" w:sz="4" w:space="0"/>
              <w:right w:val="single" w:color="000000" w:sz="4" w:space="0"/>
            </w:tcBorders>
            <w:vAlign w:val="center"/>
          </w:tcPr>
          <w:p w14:paraId="16AD46A1">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机房建设</w:t>
            </w:r>
          </w:p>
        </w:tc>
        <w:tc>
          <w:tcPr>
            <w:tcW w:w="939" w:type="pct"/>
            <w:tcBorders>
              <w:top w:val="single" w:color="000000" w:sz="4" w:space="0"/>
              <w:left w:val="single" w:color="000000" w:sz="4" w:space="0"/>
              <w:bottom w:val="single" w:color="000000" w:sz="4" w:space="0"/>
              <w:right w:val="single" w:color="000000" w:sz="4" w:space="0"/>
            </w:tcBorders>
            <w:vAlign w:val="center"/>
          </w:tcPr>
          <w:p w14:paraId="201C5F6C">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防静电地板</w:t>
            </w:r>
          </w:p>
        </w:tc>
        <w:tc>
          <w:tcPr>
            <w:tcW w:w="1674" w:type="pct"/>
            <w:tcBorders>
              <w:top w:val="single" w:color="000000" w:sz="4" w:space="0"/>
              <w:left w:val="single" w:color="000000" w:sz="4" w:space="0"/>
              <w:bottom w:val="single" w:color="000000" w:sz="4" w:space="0"/>
              <w:right w:val="single" w:color="000000" w:sz="4" w:space="0"/>
            </w:tcBorders>
            <w:vAlign w:val="center"/>
          </w:tcPr>
          <w:p w14:paraId="77B47E89">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包括原有天花拆除和新天花安装</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1BD5BD87">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12</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0B23C295">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平米</w:t>
            </w:r>
          </w:p>
        </w:tc>
      </w:tr>
      <w:tr w14:paraId="681A93F2">
        <w:tblPrEx>
          <w:tblCellMar>
            <w:top w:w="0" w:type="dxa"/>
            <w:left w:w="108" w:type="dxa"/>
            <w:bottom w:w="0" w:type="dxa"/>
            <w:right w:w="108" w:type="dxa"/>
          </w:tblCellMar>
        </w:tblPrEx>
        <w:trPr>
          <w:trHeight w:val="920" w:hRule="atLeast"/>
        </w:trPr>
        <w:tc>
          <w:tcPr>
            <w:tcW w:w="570" w:type="pct"/>
            <w:tcBorders>
              <w:top w:val="single" w:color="000000" w:sz="4" w:space="0"/>
              <w:left w:val="single" w:color="000000" w:sz="4" w:space="0"/>
              <w:bottom w:val="single" w:color="000000" w:sz="4" w:space="0"/>
              <w:right w:val="single" w:color="000000" w:sz="4" w:space="0"/>
            </w:tcBorders>
            <w:vAlign w:val="center"/>
          </w:tcPr>
          <w:p w14:paraId="1FA00210">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9</w:t>
            </w:r>
          </w:p>
        </w:tc>
        <w:tc>
          <w:tcPr>
            <w:tcW w:w="708" w:type="pct"/>
            <w:tcBorders>
              <w:top w:val="single" w:color="000000" w:sz="4" w:space="0"/>
              <w:left w:val="single" w:color="000000" w:sz="4" w:space="0"/>
              <w:bottom w:val="single" w:color="000000" w:sz="4" w:space="0"/>
              <w:right w:val="single" w:color="000000" w:sz="4" w:space="0"/>
            </w:tcBorders>
            <w:vAlign w:val="center"/>
          </w:tcPr>
          <w:p w14:paraId="7F7AFF6E">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机房建设</w:t>
            </w:r>
          </w:p>
        </w:tc>
        <w:tc>
          <w:tcPr>
            <w:tcW w:w="939" w:type="pct"/>
            <w:tcBorders>
              <w:top w:val="single" w:color="000000" w:sz="4" w:space="0"/>
              <w:left w:val="single" w:color="000000" w:sz="4" w:space="0"/>
              <w:bottom w:val="single" w:color="000000" w:sz="4" w:space="0"/>
              <w:right w:val="single" w:color="000000" w:sz="4" w:space="0"/>
            </w:tcBorders>
            <w:vAlign w:val="center"/>
          </w:tcPr>
          <w:p w14:paraId="31181640">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消防系统</w:t>
            </w:r>
          </w:p>
        </w:tc>
        <w:tc>
          <w:tcPr>
            <w:tcW w:w="1674" w:type="pct"/>
            <w:tcBorders>
              <w:top w:val="single" w:color="000000" w:sz="4" w:space="0"/>
              <w:left w:val="single" w:color="000000" w:sz="4" w:space="0"/>
              <w:bottom w:val="single" w:color="000000" w:sz="4" w:space="0"/>
              <w:right w:val="single" w:color="000000" w:sz="4" w:space="0"/>
            </w:tcBorders>
            <w:vAlign w:val="center"/>
          </w:tcPr>
          <w:p w14:paraId="49213CFE">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配置控制器，配置烟感和温感探测器、悬吊式气体钢瓶，配置≧10KG七氟丙烷气体</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3BCC32AF">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6136559A">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套</w:t>
            </w:r>
          </w:p>
        </w:tc>
      </w:tr>
      <w:tr w14:paraId="31917256">
        <w:tblPrEx>
          <w:tblCellMar>
            <w:top w:w="0" w:type="dxa"/>
            <w:left w:w="108" w:type="dxa"/>
            <w:bottom w:w="0" w:type="dxa"/>
            <w:right w:w="108" w:type="dxa"/>
          </w:tblCellMar>
        </w:tblPrEx>
        <w:trPr>
          <w:trHeight w:val="920" w:hRule="atLeast"/>
        </w:trPr>
        <w:tc>
          <w:tcPr>
            <w:tcW w:w="570" w:type="pct"/>
            <w:tcBorders>
              <w:top w:val="single" w:color="000000" w:sz="4" w:space="0"/>
              <w:left w:val="single" w:color="000000" w:sz="4" w:space="0"/>
              <w:bottom w:val="single" w:color="000000" w:sz="4" w:space="0"/>
              <w:right w:val="single" w:color="000000" w:sz="4" w:space="0"/>
            </w:tcBorders>
            <w:vAlign w:val="center"/>
          </w:tcPr>
          <w:p w14:paraId="64514C73">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10</w:t>
            </w:r>
          </w:p>
        </w:tc>
        <w:tc>
          <w:tcPr>
            <w:tcW w:w="708" w:type="pct"/>
            <w:tcBorders>
              <w:top w:val="single" w:color="000000" w:sz="4" w:space="0"/>
              <w:left w:val="single" w:color="000000" w:sz="4" w:space="0"/>
              <w:bottom w:val="single" w:color="000000" w:sz="4" w:space="0"/>
              <w:right w:val="single" w:color="000000" w:sz="4" w:space="0"/>
            </w:tcBorders>
            <w:vAlign w:val="center"/>
          </w:tcPr>
          <w:p w14:paraId="4295FA1F">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机房建设</w:t>
            </w:r>
          </w:p>
        </w:tc>
        <w:tc>
          <w:tcPr>
            <w:tcW w:w="939" w:type="pct"/>
            <w:tcBorders>
              <w:top w:val="single" w:color="000000" w:sz="4" w:space="0"/>
              <w:left w:val="single" w:color="000000" w:sz="4" w:space="0"/>
              <w:bottom w:val="single" w:color="000000" w:sz="4" w:space="0"/>
              <w:right w:val="single" w:color="000000" w:sz="4" w:space="0"/>
            </w:tcBorders>
            <w:vAlign w:val="center"/>
          </w:tcPr>
          <w:p w14:paraId="39343532">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机柜</w:t>
            </w:r>
          </w:p>
        </w:tc>
        <w:tc>
          <w:tcPr>
            <w:tcW w:w="1674" w:type="pct"/>
            <w:tcBorders>
              <w:top w:val="single" w:color="000000" w:sz="4" w:space="0"/>
              <w:left w:val="single" w:color="000000" w:sz="4" w:space="0"/>
              <w:bottom w:val="single" w:color="000000" w:sz="4" w:space="0"/>
              <w:right w:val="single" w:color="000000" w:sz="4" w:space="0"/>
            </w:tcBorders>
            <w:vAlign w:val="center"/>
          </w:tcPr>
          <w:p w14:paraId="16705D2A">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600*800*2000mm</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635B62E4">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2</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00699E7E">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套</w:t>
            </w:r>
          </w:p>
        </w:tc>
      </w:tr>
      <w:tr w14:paraId="44C94646">
        <w:tblPrEx>
          <w:tblCellMar>
            <w:top w:w="0" w:type="dxa"/>
            <w:left w:w="108" w:type="dxa"/>
            <w:bottom w:w="0" w:type="dxa"/>
            <w:right w:w="108" w:type="dxa"/>
          </w:tblCellMar>
        </w:tblPrEx>
        <w:trPr>
          <w:trHeight w:val="920" w:hRule="atLeast"/>
        </w:trPr>
        <w:tc>
          <w:tcPr>
            <w:tcW w:w="570" w:type="pct"/>
            <w:tcBorders>
              <w:top w:val="single" w:color="000000" w:sz="4" w:space="0"/>
              <w:left w:val="single" w:color="000000" w:sz="4" w:space="0"/>
              <w:bottom w:val="single" w:color="000000" w:sz="4" w:space="0"/>
              <w:right w:val="single" w:color="000000" w:sz="4" w:space="0"/>
            </w:tcBorders>
            <w:vAlign w:val="center"/>
          </w:tcPr>
          <w:p w14:paraId="500705A5">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11</w:t>
            </w:r>
          </w:p>
        </w:tc>
        <w:tc>
          <w:tcPr>
            <w:tcW w:w="708" w:type="pct"/>
            <w:tcBorders>
              <w:top w:val="single" w:color="000000" w:sz="4" w:space="0"/>
              <w:left w:val="single" w:color="000000" w:sz="4" w:space="0"/>
              <w:bottom w:val="single" w:color="000000" w:sz="4" w:space="0"/>
              <w:right w:val="single" w:color="000000" w:sz="4" w:space="0"/>
            </w:tcBorders>
            <w:vAlign w:val="center"/>
          </w:tcPr>
          <w:p w14:paraId="192C25B3">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动力设备</w:t>
            </w:r>
          </w:p>
        </w:tc>
        <w:tc>
          <w:tcPr>
            <w:tcW w:w="939" w:type="pct"/>
            <w:tcBorders>
              <w:top w:val="single" w:color="000000" w:sz="4" w:space="0"/>
              <w:left w:val="single" w:color="000000" w:sz="4" w:space="0"/>
              <w:bottom w:val="single" w:color="000000" w:sz="4" w:space="0"/>
              <w:right w:val="single" w:color="000000" w:sz="4" w:space="0"/>
            </w:tcBorders>
            <w:vAlign w:val="center"/>
          </w:tcPr>
          <w:p w14:paraId="7A0C21C7">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UPS</w:t>
            </w:r>
          </w:p>
        </w:tc>
        <w:tc>
          <w:tcPr>
            <w:tcW w:w="1674" w:type="pct"/>
            <w:tcBorders>
              <w:top w:val="single" w:color="000000" w:sz="4" w:space="0"/>
              <w:left w:val="single" w:color="000000" w:sz="4" w:space="0"/>
              <w:bottom w:val="single" w:color="000000" w:sz="4" w:space="0"/>
              <w:right w:val="single" w:color="000000" w:sz="4" w:space="0"/>
            </w:tcBorders>
            <w:vAlign w:val="center"/>
          </w:tcPr>
          <w:p w14:paraId="7815EF1B">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≧20KVA，满足≧0.5小时延时</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55D60A26">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2BC45774">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套</w:t>
            </w:r>
          </w:p>
        </w:tc>
      </w:tr>
      <w:tr w14:paraId="7DC05C28">
        <w:tblPrEx>
          <w:tblCellMar>
            <w:top w:w="0" w:type="dxa"/>
            <w:left w:w="108" w:type="dxa"/>
            <w:bottom w:w="0" w:type="dxa"/>
            <w:right w:w="108" w:type="dxa"/>
          </w:tblCellMar>
        </w:tblPrEx>
        <w:trPr>
          <w:trHeight w:val="920" w:hRule="atLeast"/>
        </w:trPr>
        <w:tc>
          <w:tcPr>
            <w:tcW w:w="570" w:type="pct"/>
            <w:tcBorders>
              <w:top w:val="single" w:color="000000" w:sz="4" w:space="0"/>
              <w:left w:val="single" w:color="000000" w:sz="4" w:space="0"/>
              <w:bottom w:val="single" w:color="000000" w:sz="4" w:space="0"/>
              <w:right w:val="single" w:color="000000" w:sz="4" w:space="0"/>
            </w:tcBorders>
            <w:vAlign w:val="center"/>
          </w:tcPr>
          <w:p w14:paraId="2567E6CF">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12</w:t>
            </w:r>
          </w:p>
        </w:tc>
        <w:tc>
          <w:tcPr>
            <w:tcW w:w="708" w:type="pct"/>
            <w:tcBorders>
              <w:top w:val="single" w:color="000000" w:sz="4" w:space="0"/>
              <w:left w:val="single" w:color="000000" w:sz="4" w:space="0"/>
              <w:bottom w:val="single" w:color="000000" w:sz="4" w:space="0"/>
              <w:right w:val="single" w:color="000000" w:sz="4" w:space="0"/>
            </w:tcBorders>
            <w:vAlign w:val="center"/>
          </w:tcPr>
          <w:p w14:paraId="329357A4">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动力设备</w:t>
            </w:r>
          </w:p>
        </w:tc>
        <w:tc>
          <w:tcPr>
            <w:tcW w:w="939" w:type="pct"/>
            <w:tcBorders>
              <w:top w:val="single" w:color="000000" w:sz="4" w:space="0"/>
              <w:left w:val="single" w:color="000000" w:sz="4" w:space="0"/>
              <w:bottom w:val="single" w:color="000000" w:sz="4" w:space="0"/>
              <w:right w:val="single" w:color="000000" w:sz="4" w:space="0"/>
            </w:tcBorders>
            <w:vAlign w:val="center"/>
          </w:tcPr>
          <w:p w14:paraId="315BC7B6">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UPS配电柜</w:t>
            </w:r>
          </w:p>
        </w:tc>
        <w:tc>
          <w:tcPr>
            <w:tcW w:w="1674" w:type="pct"/>
            <w:tcBorders>
              <w:top w:val="single" w:color="000000" w:sz="4" w:space="0"/>
              <w:left w:val="single" w:color="000000" w:sz="4" w:space="0"/>
              <w:bottom w:val="single" w:color="000000" w:sz="4" w:space="0"/>
              <w:right w:val="single" w:color="000000" w:sz="4" w:space="0"/>
            </w:tcBorders>
            <w:vAlign w:val="center"/>
          </w:tcPr>
          <w:p w14:paraId="5FE0256B">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配置3P63A市电输入,3P63AUPS输出开关、12个16A分支开关</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448F515A">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37398AB9">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套</w:t>
            </w:r>
          </w:p>
        </w:tc>
      </w:tr>
      <w:tr w14:paraId="40BA79C7">
        <w:tblPrEx>
          <w:tblCellMar>
            <w:top w:w="0" w:type="dxa"/>
            <w:left w:w="108" w:type="dxa"/>
            <w:bottom w:w="0" w:type="dxa"/>
            <w:right w:w="108" w:type="dxa"/>
          </w:tblCellMar>
        </w:tblPrEx>
        <w:trPr>
          <w:trHeight w:val="920" w:hRule="atLeast"/>
        </w:trPr>
        <w:tc>
          <w:tcPr>
            <w:tcW w:w="570" w:type="pct"/>
            <w:tcBorders>
              <w:top w:val="single" w:color="000000" w:sz="4" w:space="0"/>
              <w:left w:val="single" w:color="000000" w:sz="4" w:space="0"/>
              <w:bottom w:val="single" w:color="000000" w:sz="4" w:space="0"/>
              <w:right w:val="single" w:color="000000" w:sz="4" w:space="0"/>
            </w:tcBorders>
            <w:vAlign w:val="center"/>
          </w:tcPr>
          <w:p w14:paraId="4BADBC82">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13</w:t>
            </w:r>
          </w:p>
        </w:tc>
        <w:tc>
          <w:tcPr>
            <w:tcW w:w="708" w:type="pct"/>
            <w:tcBorders>
              <w:top w:val="single" w:color="000000" w:sz="4" w:space="0"/>
              <w:left w:val="single" w:color="000000" w:sz="4" w:space="0"/>
              <w:bottom w:val="single" w:color="000000" w:sz="4" w:space="0"/>
              <w:right w:val="single" w:color="000000" w:sz="4" w:space="0"/>
            </w:tcBorders>
            <w:vAlign w:val="center"/>
          </w:tcPr>
          <w:p w14:paraId="75C46879">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综合布线</w:t>
            </w:r>
          </w:p>
        </w:tc>
        <w:tc>
          <w:tcPr>
            <w:tcW w:w="939" w:type="pct"/>
            <w:tcBorders>
              <w:top w:val="single" w:color="000000" w:sz="4" w:space="0"/>
              <w:left w:val="single" w:color="000000" w:sz="4" w:space="0"/>
              <w:bottom w:val="single" w:color="000000" w:sz="4" w:space="0"/>
              <w:right w:val="single" w:color="000000" w:sz="4" w:space="0"/>
            </w:tcBorders>
            <w:vAlign w:val="center"/>
          </w:tcPr>
          <w:p w14:paraId="05F45D8C">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光纤配线架</w:t>
            </w:r>
          </w:p>
        </w:tc>
        <w:tc>
          <w:tcPr>
            <w:tcW w:w="1674" w:type="pct"/>
            <w:tcBorders>
              <w:top w:val="single" w:color="000000" w:sz="4" w:space="0"/>
              <w:left w:val="single" w:color="000000" w:sz="4" w:space="0"/>
              <w:bottom w:val="single" w:color="000000" w:sz="4" w:space="0"/>
              <w:right w:val="single" w:color="000000" w:sz="4" w:space="0"/>
            </w:tcBorders>
            <w:vAlign w:val="center"/>
          </w:tcPr>
          <w:p w14:paraId="29C4A02C">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48芯光配架（包括24个LC双工耦合器、48根万兆LC尾纤和光纤熔接）</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7DB42BB7">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2</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4C3ECC41">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套</w:t>
            </w:r>
          </w:p>
        </w:tc>
      </w:tr>
      <w:tr w14:paraId="56A575F5">
        <w:tblPrEx>
          <w:tblCellMar>
            <w:top w:w="0" w:type="dxa"/>
            <w:left w:w="108" w:type="dxa"/>
            <w:bottom w:w="0" w:type="dxa"/>
            <w:right w:w="108" w:type="dxa"/>
          </w:tblCellMar>
        </w:tblPrEx>
        <w:trPr>
          <w:trHeight w:val="920" w:hRule="atLeast"/>
        </w:trPr>
        <w:tc>
          <w:tcPr>
            <w:tcW w:w="570" w:type="pct"/>
            <w:tcBorders>
              <w:top w:val="single" w:color="000000" w:sz="4" w:space="0"/>
              <w:left w:val="single" w:color="000000" w:sz="4" w:space="0"/>
              <w:bottom w:val="single" w:color="000000" w:sz="4" w:space="0"/>
              <w:right w:val="single" w:color="000000" w:sz="4" w:space="0"/>
            </w:tcBorders>
            <w:vAlign w:val="center"/>
          </w:tcPr>
          <w:p w14:paraId="74CE7640">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14</w:t>
            </w:r>
          </w:p>
        </w:tc>
        <w:tc>
          <w:tcPr>
            <w:tcW w:w="708" w:type="pct"/>
            <w:tcBorders>
              <w:top w:val="single" w:color="000000" w:sz="4" w:space="0"/>
              <w:left w:val="single" w:color="000000" w:sz="4" w:space="0"/>
              <w:bottom w:val="single" w:color="000000" w:sz="4" w:space="0"/>
              <w:right w:val="single" w:color="000000" w:sz="4" w:space="0"/>
            </w:tcBorders>
            <w:vAlign w:val="center"/>
          </w:tcPr>
          <w:p w14:paraId="71580B26">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综合布线</w:t>
            </w:r>
          </w:p>
        </w:tc>
        <w:tc>
          <w:tcPr>
            <w:tcW w:w="939" w:type="pct"/>
            <w:tcBorders>
              <w:top w:val="single" w:color="000000" w:sz="4" w:space="0"/>
              <w:left w:val="single" w:color="000000" w:sz="4" w:space="0"/>
              <w:bottom w:val="single" w:color="000000" w:sz="4" w:space="0"/>
              <w:right w:val="single" w:color="000000" w:sz="4" w:space="0"/>
            </w:tcBorders>
            <w:vAlign w:val="center"/>
          </w:tcPr>
          <w:p w14:paraId="2214797B">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光纤配线架</w:t>
            </w:r>
          </w:p>
        </w:tc>
        <w:tc>
          <w:tcPr>
            <w:tcW w:w="1674" w:type="pct"/>
            <w:tcBorders>
              <w:top w:val="single" w:color="000000" w:sz="4" w:space="0"/>
              <w:left w:val="single" w:color="000000" w:sz="4" w:space="0"/>
              <w:bottom w:val="single" w:color="000000" w:sz="4" w:space="0"/>
              <w:right w:val="single" w:color="000000" w:sz="4" w:space="0"/>
            </w:tcBorders>
            <w:vAlign w:val="center"/>
          </w:tcPr>
          <w:p w14:paraId="3C42AA2E">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24芯光配架（（包括12个LC双工耦合器、24根万兆LC尾纤和光纤熔接）</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173C7126">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4</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3101F4FE">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套</w:t>
            </w:r>
          </w:p>
        </w:tc>
      </w:tr>
      <w:tr w14:paraId="7DB79550">
        <w:tblPrEx>
          <w:tblCellMar>
            <w:top w:w="0" w:type="dxa"/>
            <w:left w:w="108" w:type="dxa"/>
            <w:bottom w:w="0" w:type="dxa"/>
            <w:right w:w="108" w:type="dxa"/>
          </w:tblCellMar>
        </w:tblPrEx>
        <w:trPr>
          <w:trHeight w:val="920" w:hRule="atLeast"/>
        </w:trPr>
        <w:tc>
          <w:tcPr>
            <w:tcW w:w="570" w:type="pct"/>
            <w:tcBorders>
              <w:top w:val="single" w:color="000000" w:sz="4" w:space="0"/>
              <w:left w:val="single" w:color="000000" w:sz="4" w:space="0"/>
              <w:bottom w:val="single" w:color="000000" w:sz="4" w:space="0"/>
              <w:right w:val="single" w:color="000000" w:sz="4" w:space="0"/>
            </w:tcBorders>
            <w:vAlign w:val="center"/>
          </w:tcPr>
          <w:p w14:paraId="31F474C5">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15</w:t>
            </w:r>
          </w:p>
        </w:tc>
        <w:tc>
          <w:tcPr>
            <w:tcW w:w="708" w:type="pct"/>
            <w:tcBorders>
              <w:top w:val="single" w:color="000000" w:sz="4" w:space="0"/>
              <w:left w:val="single" w:color="000000" w:sz="4" w:space="0"/>
              <w:bottom w:val="single" w:color="000000" w:sz="4" w:space="0"/>
              <w:right w:val="single" w:color="000000" w:sz="4" w:space="0"/>
            </w:tcBorders>
            <w:vAlign w:val="center"/>
          </w:tcPr>
          <w:p w14:paraId="1AB679CA">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综合布线</w:t>
            </w:r>
          </w:p>
        </w:tc>
        <w:tc>
          <w:tcPr>
            <w:tcW w:w="939" w:type="pct"/>
            <w:tcBorders>
              <w:top w:val="single" w:color="000000" w:sz="4" w:space="0"/>
              <w:left w:val="single" w:color="000000" w:sz="4" w:space="0"/>
              <w:bottom w:val="single" w:color="000000" w:sz="4" w:space="0"/>
              <w:right w:val="single" w:color="000000" w:sz="4" w:space="0"/>
            </w:tcBorders>
            <w:vAlign w:val="center"/>
          </w:tcPr>
          <w:p w14:paraId="0A220B34">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镀锌桥架</w:t>
            </w:r>
          </w:p>
        </w:tc>
        <w:tc>
          <w:tcPr>
            <w:tcW w:w="1674" w:type="pct"/>
            <w:tcBorders>
              <w:top w:val="single" w:color="000000" w:sz="4" w:space="0"/>
              <w:left w:val="single" w:color="000000" w:sz="4" w:space="0"/>
              <w:bottom w:val="single" w:color="000000" w:sz="4" w:space="0"/>
              <w:right w:val="single" w:color="000000" w:sz="4" w:space="0"/>
            </w:tcBorders>
            <w:vAlign w:val="center"/>
          </w:tcPr>
          <w:p w14:paraId="1AAC745B">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强电金属槽式桥架 200*100 ≧10米；</w:t>
            </w:r>
            <w:r>
              <w:rPr>
                <w:rFonts w:hint="eastAsia" w:cs="宋体"/>
                <w:color w:val="000000"/>
                <w:kern w:val="0"/>
                <w:sz w:val="21"/>
                <w:szCs w:val="21"/>
                <w:lang w:bidi="ar"/>
              </w:rPr>
              <w:br w:type="textWrapping"/>
            </w:r>
            <w:r>
              <w:rPr>
                <w:rFonts w:hint="eastAsia" w:cs="宋体"/>
                <w:color w:val="000000"/>
                <w:kern w:val="0"/>
                <w:sz w:val="21"/>
                <w:szCs w:val="21"/>
                <w:lang w:bidi="ar"/>
              </w:rPr>
              <w:t>弱电金属网格桥架 300*100 ≧4米。</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73106EC8">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4E59D25F">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项</w:t>
            </w:r>
          </w:p>
        </w:tc>
      </w:tr>
      <w:tr w14:paraId="4C445943">
        <w:tblPrEx>
          <w:tblCellMar>
            <w:top w:w="0" w:type="dxa"/>
            <w:left w:w="108" w:type="dxa"/>
            <w:bottom w:w="0" w:type="dxa"/>
            <w:right w:w="108" w:type="dxa"/>
          </w:tblCellMar>
        </w:tblPrEx>
        <w:trPr>
          <w:trHeight w:val="2220" w:hRule="atLeast"/>
        </w:trPr>
        <w:tc>
          <w:tcPr>
            <w:tcW w:w="570" w:type="pct"/>
            <w:tcBorders>
              <w:top w:val="single" w:color="000000" w:sz="4" w:space="0"/>
              <w:left w:val="single" w:color="000000" w:sz="4" w:space="0"/>
              <w:bottom w:val="single" w:color="000000" w:sz="4" w:space="0"/>
              <w:right w:val="single" w:color="000000" w:sz="4" w:space="0"/>
            </w:tcBorders>
            <w:vAlign w:val="center"/>
          </w:tcPr>
          <w:p w14:paraId="42E8945A">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16</w:t>
            </w:r>
          </w:p>
        </w:tc>
        <w:tc>
          <w:tcPr>
            <w:tcW w:w="708" w:type="pct"/>
            <w:tcBorders>
              <w:top w:val="single" w:color="000000" w:sz="4" w:space="0"/>
              <w:left w:val="single" w:color="000000" w:sz="4" w:space="0"/>
              <w:bottom w:val="single" w:color="000000" w:sz="4" w:space="0"/>
              <w:right w:val="single" w:color="000000" w:sz="4" w:space="0"/>
            </w:tcBorders>
            <w:vAlign w:val="center"/>
          </w:tcPr>
          <w:p w14:paraId="4C9367DD">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综合布线</w:t>
            </w:r>
          </w:p>
        </w:tc>
        <w:tc>
          <w:tcPr>
            <w:tcW w:w="939" w:type="pct"/>
            <w:tcBorders>
              <w:top w:val="single" w:color="000000" w:sz="4" w:space="0"/>
              <w:left w:val="single" w:color="000000" w:sz="4" w:space="0"/>
              <w:bottom w:val="single" w:color="000000" w:sz="4" w:space="0"/>
              <w:right w:val="single" w:color="000000" w:sz="4" w:space="0"/>
            </w:tcBorders>
            <w:vAlign w:val="center"/>
          </w:tcPr>
          <w:p w14:paraId="6D156DA5">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线缆</w:t>
            </w:r>
          </w:p>
        </w:tc>
        <w:tc>
          <w:tcPr>
            <w:tcW w:w="1674" w:type="pct"/>
            <w:tcBorders>
              <w:top w:val="single" w:color="000000" w:sz="4" w:space="0"/>
              <w:left w:val="single" w:color="000000" w:sz="4" w:space="0"/>
              <w:bottom w:val="single" w:color="000000" w:sz="4" w:space="0"/>
              <w:right w:val="single" w:color="000000" w:sz="4" w:space="0"/>
            </w:tcBorders>
            <w:vAlign w:val="center"/>
          </w:tcPr>
          <w:p w14:paraId="041287C6">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市电输入电缆 YJV-4*50+1*25mm²≧3米</w:t>
            </w:r>
            <w:r>
              <w:rPr>
                <w:rFonts w:hint="eastAsia" w:cs="宋体"/>
                <w:color w:val="000000"/>
                <w:kern w:val="0"/>
                <w:sz w:val="21"/>
                <w:szCs w:val="21"/>
                <w:lang w:bidi="ar"/>
              </w:rPr>
              <w:br w:type="textWrapping"/>
            </w:r>
            <w:r>
              <w:rPr>
                <w:rFonts w:hint="eastAsia" w:cs="宋体"/>
                <w:color w:val="000000"/>
                <w:kern w:val="0"/>
                <w:sz w:val="21"/>
                <w:szCs w:val="21"/>
                <w:lang w:bidi="ar"/>
              </w:rPr>
              <w:t>UPS输入电缆 YJV-5*10mm²≧20米</w:t>
            </w:r>
            <w:r>
              <w:rPr>
                <w:rFonts w:hint="eastAsia" w:cs="宋体"/>
                <w:color w:val="000000"/>
                <w:kern w:val="0"/>
                <w:sz w:val="21"/>
                <w:szCs w:val="21"/>
                <w:lang w:bidi="ar"/>
              </w:rPr>
              <w:br w:type="textWrapping"/>
            </w:r>
            <w:r>
              <w:rPr>
                <w:rFonts w:hint="eastAsia" w:cs="宋体"/>
                <w:color w:val="000000"/>
                <w:kern w:val="0"/>
                <w:sz w:val="21"/>
                <w:szCs w:val="21"/>
                <w:lang w:bidi="ar"/>
              </w:rPr>
              <w:t>空调输入电缆 YJV-5*6mm²≧50米</w:t>
            </w:r>
            <w:r>
              <w:rPr>
                <w:rFonts w:hint="eastAsia" w:cs="宋体"/>
                <w:color w:val="000000"/>
                <w:kern w:val="0"/>
                <w:sz w:val="21"/>
                <w:szCs w:val="21"/>
                <w:lang w:bidi="ar"/>
              </w:rPr>
              <w:br w:type="textWrapping"/>
            </w:r>
            <w:r>
              <w:rPr>
                <w:rFonts w:hint="eastAsia" w:cs="宋体"/>
                <w:color w:val="000000"/>
                <w:kern w:val="0"/>
                <w:sz w:val="21"/>
                <w:szCs w:val="21"/>
                <w:lang w:bidi="ar"/>
              </w:rPr>
              <w:t>PDU输入电缆 RVV-3*4mm²≧50米</w:t>
            </w:r>
            <w:r>
              <w:rPr>
                <w:rFonts w:hint="eastAsia" w:cs="宋体"/>
                <w:color w:val="000000"/>
                <w:kern w:val="0"/>
                <w:sz w:val="21"/>
                <w:szCs w:val="21"/>
                <w:lang w:bidi="ar"/>
              </w:rPr>
              <w:br w:type="textWrapping"/>
            </w:r>
            <w:r>
              <w:rPr>
                <w:rFonts w:hint="eastAsia" w:cs="宋体"/>
                <w:color w:val="000000"/>
                <w:kern w:val="0"/>
                <w:sz w:val="21"/>
                <w:szCs w:val="21"/>
                <w:lang w:bidi="ar"/>
              </w:rPr>
              <w:t>万兆多模光缆 12芯多模万兆光缆≧200米</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2180933D">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2135A296">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项</w:t>
            </w:r>
          </w:p>
        </w:tc>
      </w:tr>
      <w:tr w14:paraId="3C192EEB">
        <w:tblPrEx>
          <w:tblCellMar>
            <w:top w:w="0" w:type="dxa"/>
            <w:left w:w="108" w:type="dxa"/>
            <w:bottom w:w="0" w:type="dxa"/>
            <w:right w:w="108" w:type="dxa"/>
          </w:tblCellMar>
        </w:tblPrEx>
        <w:trPr>
          <w:trHeight w:val="920" w:hRule="atLeast"/>
        </w:trPr>
        <w:tc>
          <w:tcPr>
            <w:tcW w:w="570" w:type="pct"/>
            <w:tcBorders>
              <w:top w:val="single" w:color="000000" w:sz="4" w:space="0"/>
              <w:left w:val="single" w:color="000000" w:sz="4" w:space="0"/>
              <w:bottom w:val="single" w:color="000000" w:sz="4" w:space="0"/>
              <w:right w:val="single" w:color="000000" w:sz="4" w:space="0"/>
            </w:tcBorders>
            <w:vAlign w:val="center"/>
          </w:tcPr>
          <w:p w14:paraId="4007B151">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17</w:t>
            </w:r>
          </w:p>
        </w:tc>
        <w:tc>
          <w:tcPr>
            <w:tcW w:w="708" w:type="pct"/>
            <w:tcBorders>
              <w:top w:val="single" w:color="000000" w:sz="4" w:space="0"/>
              <w:left w:val="single" w:color="000000" w:sz="4" w:space="0"/>
              <w:bottom w:val="single" w:color="000000" w:sz="4" w:space="0"/>
              <w:right w:val="single" w:color="000000" w:sz="4" w:space="0"/>
            </w:tcBorders>
            <w:vAlign w:val="center"/>
          </w:tcPr>
          <w:p w14:paraId="0AFDF073">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机房建设</w:t>
            </w:r>
          </w:p>
        </w:tc>
        <w:tc>
          <w:tcPr>
            <w:tcW w:w="939" w:type="pct"/>
            <w:tcBorders>
              <w:top w:val="single" w:color="000000" w:sz="4" w:space="0"/>
              <w:left w:val="single" w:color="000000" w:sz="4" w:space="0"/>
              <w:bottom w:val="single" w:color="000000" w:sz="4" w:space="0"/>
              <w:right w:val="single" w:color="000000" w:sz="4" w:space="0"/>
            </w:tcBorders>
            <w:vAlign w:val="center"/>
          </w:tcPr>
          <w:p w14:paraId="36749CC1">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门禁系统</w:t>
            </w:r>
          </w:p>
        </w:tc>
        <w:tc>
          <w:tcPr>
            <w:tcW w:w="1674" w:type="pct"/>
            <w:tcBorders>
              <w:top w:val="single" w:color="000000" w:sz="4" w:space="0"/>
              <w:left w:val="single" w:color="000000" w:sz="4" w:space="0"/>
              <w:bottom w:val="single" w:color="000000" w:sz="4" w:space="0"/>
              <w:right w:val="single" w:color="000000" w:sz="4" w:space="0"/>
            </w:tcBorders>
            <w:vAlign w:val="center"/>
          </w:tcPr>
          <w:p w14:paraId="21AC5C92">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防火门 100*2400mm*1</w:t>
            </w:r>
            <w:r>
              <w:rPr>
                <w:rFonts w:hint="eastAsia" w:cs="宋体"/>
                <w:color w:val="000000"/>
                <w:kern w:val="0"/>
                <w:sz w:val="21"/>
                <w:szCs w:val="21"/>
                <w:lang w:bidi="ar"/>
              </w:rPr>
              <w:br w:type="textWrapping"/>
            </w:r>
            <w:r>
              <w:rPr>
                <w:rFonts w:hint="eastAsia" w:cs="宋体"/>
                <w:color w:val="000000"/>
                <w:kern w:val="0"/>
                <w:sz w:val="21"/>
                <w:szCs w:val="21"/>
                <w:lang w:bidi="ar"/>
              </w:rPr>
              <w:t>PDU 16A输入：10*10A,带输入线缆*10</w:t>
            </w:r>
            <w:r>
              <w:rPr>
                <w:rFonts w:hint="eastAsia" w:cs="宋体"/>
                <w:color w:val="000000"/>
                <w:kern w:val="0"/>
                <w:sz w:val="21"/>
                <w:szCs w:val="21"/>
                <w:lang w:bidi="ar"/>
              </w:rPr>
              <w:br w:type="textWrapping"/>
            </w:r>
            <w:r>
              <w:rPr>
                <w:rFonts w:hint="eastAsia" w:cs="宋体"/>
                <w:color w:val="000000"/>
                <w:kern w:val="0"/>
                <w:sz w:val="21"/>
                <w:szCs w:val="21"/>
                <w:lang w:bidi="ar"/>
              </w:rPr>
              <w:t>工业连结器 16A三孔工业连接器，*10</w:t>
            </w:r>
            <w:r>
              <w:rPr>
                <w:rFonts w:hint="eastAsia" w:cs="宋体"/>
                <w:color w:val="000000"/>
                <w:kern w:val="0"/>
                <w:sz w:val="21"/>
                <w:szCs w:val="21"/>
                <w:lang w:bidi="ar"/>
              </w:rPr>
              <w:br w:type="textWrapping"/>
            </w:r>
            <w:r>
              <w:rPr>
                <w:rFonts w:hint="eastAsia" w:cs="宋体"/>
                <w:color w:val="000000"/>
                <w:kern w:val="0"/>
                <w:sz w:val="21"/>
                <w:szCs w:val="21"/>
                <w:lang w:bidi="ar"/>
              </w:rPr>
              <w:t>事故排风 排烟风机、管道、排烟防火阀*1套</w:t>
            </w:r>
            <w:r>
              <w:rPr>
                <w:rFonts w:hint="eastAsia" w:cs="宋体"/>
                <w:color w:val="000000"/>
                <w:kern w:val="0"/>
                <w:sz w:val="21"/>
                <w:szCs w:val="21"/>
                <w:lang w:bidi="ar"/>
              </w:rPr>
              <w:br w:type="textWrapping"/>
            </w:r>
            <w:r>
              <w:rPr>
                <w:rFonts w:hint="eastAsia" w:cs="宋体"/>
                <w:color w:val="000000"/>
                <w:kern w:val="0"/>
                <w:sz w:val="21"/>
                <w:szCs w:val="21"/>
                <w:lang w:bidi="ar"/>
              </w:rPr>
              <w:t>UPS电池散力架 6号槽钢定制*1套</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2F86376A">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1FB1B087">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套</w:t>
            </w:r>
          </w:p>
        </w:tc>
      </w:tr>
      <w:tr w14:paraId="37F4E573">
        <w:tblPrEx>
          <w:tblCellMar>
            <w:top w:w="0" w:type="dxa"/>
            <w:left w:w="108" w:type="dxa"/>
            <w:bottom w:w="0" w:type="dxa"/>
            <w:right w:w="108" w:type="dxa"/>
          </w:tblCellMar>
        </w:tblPrEx>
        <w:trPr>
          <w:trHeight w:val="920" w:hRule="atLeast"/>
        </w:trPr>
        <w:tc>
          <w:tcPr>
            <w:tcW w:w="570" w:type="pct"/>
            <w:tcBorders>
              <w:top w:val="single" w:color="000000" w:sz="4" w:space="0"/>
              <w:left w:val="single" w:color="000000" w:sz="4" w:space="0"/>
              <w:bottom w:val="single" w:color="000000" w:sz="4" w:space="0"/>
              <w:right w:val="single" w:color="000000" w:sz="4" w:space="0"/>
            </w:tcBorders>
            <w:vAlign w:val="center"/>
          </w:tcPr>
          <w:p w14:paraId="797FB832">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18</w:t>
            </w:r>
          </w:p>
        </w:tc>
        <w:tc>
          <w:tcPr>
            <w:tcW w:w="708" w:type="pct"/>
            <w:tcBorders>
              <w:top w:val="single" w:color="000000" w:sz="4" w:space="0"/>
              <w:left w:val="single" w:color="000000" w:sz="4" w:space="0"/>
              <w:bottom w:val="single" w:color="000000" w:sz="4" w:space="0"/>
              <w:right w:val="single" w:color="000000" w:sz="4" w:space="0"/>
            </w:tcBorders>
            <w:vAlign w:val="center"/>
          </w:tcPr>
          <w:p w14:paraId="3D77598A">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机房建设</w:t>
            </w:r>
          </w:p>
        </w:tc>
        <w:tc>
          <w:tcPr>
            <w:tcW w:w="939" w:type="pct"/>
            <w:tcBorders>
              <w:top w:val="single" w:color="000000" w:sz="4" w:space="0"/>
              <w:left w:val="single" w:color="000000" w:sz="4" w:space="0"/>
              <w:bottom w:val="single" w:color="000000" w:sz="4" w:space="0"/>
              <w:right w:val="single" w:color="000000" w:sz="4" w:space="0"/>
            </w:tcBorders>
            <w:vAlign w:val="center"/>
          </w:tcPr>
          <w:p w14:paraId="62863934">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环境监控系统</w:t>
            </w:r>
          </w:p>
        </w:tc>
        <w:tc>
          <w:tcPr>
            <w:tcW w:w="1674" w:type="pct"/>
            <w:tcBorders>
              <w:top w:val="single" w:color="000000" w:sz="4" w:space="0"/>
              <w:left w:val="single" w:color="000000" w:sz="4" w:space="0"/>
              <w:bottom w:val="single" w:color="000000" w:sz="4" w:space="0"/>
              <w:right w:val="single" w:color="000000" w:sz="4" w:space="0"/>
            </w:tcBorders>
            <w:vAlign w:val="center"/>
          </w:tcPr>
          <w:p w14:paraId="068D709C">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动环监控配置，≧2个温湿度液晶探测器、完成对空调、UPS、空调漏水等监控</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7C70E7EF">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41EC6F31">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套</w:t>
            </w:r>
          </w:p>
        </w:tc>
      </w:tr>
      <w:tr w14:paraId="2FDB05FE">
        <w:tblPrEx>
          <w:tblCellMar>
            <w:top w:w="0" w:type="dxa"/>
            <w:left w:w="108" w:type="dxa"/>
            <w:bottom w:w="0" w:type="dxa"/>
            <w:right w:w="108" w:type="dxa"/>
          </w:tblCellMar>
        </w:tblPrEx>
        <w:trPr>
          <w:trHeight w:val="920" w:hRule="atLeast"/>
        </w:trPr>
        <w:tc>
          <w:tcPr>
            <w:tcW w:w="570" w:type="pct"/>
            <w:tcBorders>
              <w:top w:val="single" w:color="000000" w:sz="4" w:space="0"/>
              <w:left w:val="single" w:color="000000" w:sz="4" w:space="0"/>
              <w:bottom w:val="single" w:color="000000" w:sz="4" w:space="0"/>
              <w:right w:val="single" w:color="000000" w:sz="4" w:space="0"/>
            </w:tcBorders>
            <w:vAlign w:val="center"/>
          </w:tcPr>
          <w:p w14:paraId="56EBA33C">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19</w:t>
            </w:r>
          </w:p>
        </w:tc>
        <w:tc>
          <w:tcPr>
            <w:tcW w:w="708" w:type="pct"/>
            <w:tcBorders>
              <w:top w:val="single" w:color="000000" w:sz="4" w:space="0"/>
              <w:left w:val="single" w:color="000000" w:sz="4" w:space="0"/>
              <w:bottom w:val="single" w:color="000000" w:sz="4" w:space="0"/>
              <w:right w:val="single" w:color="000000" w:sz="4" w:space="0"/>
            </w:tcBorders>
            <w:vAlign w:val="center"/>
          </w:tcPr>
          <w:p w14:paraId="161A47B8">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机房建设</w:t>
            </w:r>
          </w:p>
        </w:tc>
        <w:tc>
          <w:tcPr>
            <w:tcW w:w="939" w:type="pct"/>
            <w:tcBorders>
              <w:top w:val="single" w:color="000000" w:sz="4" w:space="0"/>
              <w:left w:val="single" w:color="000000" w:sz="4" w:space="0"/>
              <w:bottom w:val="single" w:color="000000" w:sz="4" w:space="0"/>
              <w:right w:val="single" w:color="000000" w:sz="4" w:space="0"/>
            </w:tcBorders>
            <w:vAlign w:val="center"/>
          </w:tcPr>
          <w:p w14:paraId="2EA6B78D">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报警系统</w:t>
            </w:r>
          </w:p>
        </w:tc>
        <w:tc>
          <w:tcPr>
            <w:tcW w:w="1674" w:type="pct"/>
            <w:tcBorders>
              <w:top w:val="single" w:color="000000" w:sz="4" w:space="0"/>
              <w:left w:val="single" w:color="000000" w:sz="4" w:space="0"/>
              <w:bottom w:val="single" w:color="000000" w:sz="4" w:space="0"/>
              <w:right w:val="single" w:color="000000" w:sz="4" w:space="0"/>
            </w:tcBorders>
            <w:vAlign w:val="center"/>
          </w:tcPr>
          <w:p w14:paraId="69AC527E">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安防系统配置，配置1套红外报警系统、4个监控摄像机、后套存储≧3个月</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469A7511">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09471BEA">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套</w:t>
            </w:r>
          </w:p>
        </w:tc>
      </w:tr>
      <w:tr w14:paraId="07E49D50">
        <w:tblPrEx>
          <w:tblCellMar>
            <w:top w:w="0" w:type="dxa"/>
            <w:left w:w="108" w:type="dxa"/>
            <w:bottom w:w="0" w:type="dxa"/>
            <w:right w:w="108" w:type="dxa"/>
          </w:tblCellMar>
        </w:tblPrEx>
        <w:trPr>
          <w:trHeight w:val="920" w:hRule="atLeast"/>
        </w:trPr>
        <w:tc>
          <w:tcPr>
            <w:tcW w:w="570" w:type="pct"/>
            <w:tcBorders>
              <w:top w:val="single" w:color="000000" w:sz="4" w:space="0"/>
              <w:left w:val="single" w:color="000000" w:sz="4" w:space="0"/>
              <w:bottom w:val="single" w:color="000000" w:sz="4" w:space="0"/>
              <w:right w:val="single" w:color="000000" w:sz="4" w:space="0"/>
            </w:tcBorders>
            <w:vAlign w:val="center"/>
          </w:tcPr>
          <w:p w14:paraId="3EC50434">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20</w:t>
            </w:r>
          </w:p>
        </w:tc>
        <w:tc>
          <w:tcPr>
            <w:tcW w:w="708" w:type="pct"/>
            <w:tcBorders>
              <w:top w:val="single" w:color="000000" w:sz="4" w:space="0"/>
              <w:left w:val="single" w:color="000000" w:sz="4" w:space="0"/>
              <w:bottom w:val="single" w:color="000000" w:sz="4" w:space="0"/>
              <w:right w:val="single" w:color="000000" w:sz="4" w:space="0"/>
            </w:tcBorders>
            <w:vAlign w:val="center"/>
          </w:tcPr>
          <w:p w14:paraId="73C9871F">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机房建设</w:t>
            </w:r>
          </w:p>
        </w:tc>
        <w:tc>
          <w:tcPr>
            <w:tcW w:w="939" w:type="pct"/>
            <w:tcBorders>
              <w:top w:val="single" w:color="000000" w:sz="4" w:space="0"/>
              <w:left w:val="single" w:color="000000" w:sz="4" w:space="0"/>
              <w:bottom w:val="single" w:color="000000" w:sz="4" w:space="0"/>
              <w:right w:val="single" w:color="000000" w:sz="4" w:space="0"/>
            </w:tcBorders>
            <w:vAlign w:val="center"/>
          </w:tcPr>
          <w:p w14:paraId="214CF7CB">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环境监控系统</w:t>
            </w:r>
          </w:p>
        </w:tc>
        <w:tc>
          <w:tcPr>
            <w:tcW w:w="1674" w:type="pct"/>
            <w:tcBorders>
              <w:top w:val="single" w:color="000000" w:sz="4" w:space="0"/>
              <w:left w:val="single" w:color="000000" w:sz="4" w:space="0"/>
              <w:bottom w:val="single" w:color="000000" w:sz="4" w:space="0"/>
              <w:right w:val="single" w:color="000000" w:sz="4" w:space="0"/>
            </w:tcBorders>
            <w:vAlign w:val="center"/>
          </w:tcPr>
          <w:p w14:paraId="43C1A3BF">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1套监控主机、1套客户端直接、声光报警器、1套人脸识别门禁系统</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02BD3C33">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6CC24257">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套</w:t>
            </w:r>
          </w:p>
        </w:tc>
      </w:tr>
      <w:tr w14:paraId="2B3CACBA">
        <w:tblPrEx>
          <w:tblCellMar>
            <w:top w:w="0" w:type="dxa"/>
            <w:left w:w="108" w:type="dxa"/>
            <w:bottom w:w="0" w:type="dxa"/>
            <w:right w:w="108" w:type="dxa"/>
          </w:tblCellMar>
        </w:tblPrEx>
        <w:trPr>
          <w:trHeight w:val="920" w:hRule="atLeast"/>
        </w:trPr>
        <w:tc>
          <w:tcPr>
            <w:tcW w:w="570" w:type="pct"/>
            <w:tcBorders>
              <w:top w:val="single" w:color="000000" w:sz="4" w:space="0"/>
              <w:left w:val="single" w:color="000000" w:sz="4" w:space="0"/>
              <w:bottom w:val="single" w:color="000000" w:sz="4" w:space="0"/>
              <w:right w:val="single" w:color="000000" w:sz="4" w:space="0"/>
            </w:tcBorders>
            <w:vAlign w:val="center"/>
          </w:tcPr>
          <w:p w14:paraId="333A8D8C">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21</w:t>
            </w:r>
          </w:p>
        </w:tc>
        <w:tc>
          <w:tcPr>
            <w:tcW w:w="708" w:type="pct"/>
            <w:tcBorders>
              <w:top w:val="single" w:color="000000" w:sz="4" w:space="0"/>
              <w:left w:val="single" w:color="000000" w:sz="4" w:space="0"/>
              <w:bottom w:val="single" w:color="000000" w:sz="4" w:space="0"/>
              <w:right w:val="single" w:color="000000" w:sz="4" w:space="0"/>
            </w:tcBorders>
            <w:vAlign w:val="center"/>
          </w:tcPr>
          <w:p w14:paraId="23792203">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机房建设</w:t>
            </w:r>
          </w:p>
        </w:tc>
        <w:tc>
          <w:tcPr>
            <w:tcW w:w="939" w:type="pct"/>
            <w:tcBorders>
              <w:top w:val="single" w:color="000000" w:sz="4" w:space="0"/>
              <w:left w:val="single" w:color="000000" w:sz="4" w:space="0"/>
              <w:bottom w:val="single" w:color="000000" w:sz="4" w:space="0"/>
              <w:right w:val="single" w:color="000000" w:sz="4" w:space="0"/>
            </w:tcBorders>
            <w:vAlign w:val="center"/>
          </w:tcPr>
          <w:p w14:paraId="739743AE">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环境监控系统</w:t>
            </w:r>
          </w:p>
        </w:tc>
        <w:tc>
          <w:tcPr>
            <w:tcW w:w="1674" w:type="pct"/>
            <w:tcBorders>
              <w:top w:val="single" w:color="000000" w:sz="4" w:space="0"/>
              <w:left w:val="single" w:color="000000" w:sz="4" w:space="0"/>
              <w:bottom w:val="single" w:color="000000" w:sz="4" w:space="0"/>
              <w:right w:val="single" w:color="000000" w:sz="4" w:space="0"/>
            </w:tcBorders>
            <w:vAlign w:val="center"/>
          </w:tcPr>
          <w:p w14:paraId="2E67BEDD">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管线材</w:t>
            </w:r>
          </w:p>
        </w:tc>
        <w:tc>
          <w:tcPr>
            <w:tcW w:w="600" w:type="pct"/>
            <w:tcBorders>
              <w:top w:val="single" w:color="000000" w:sz="4" w:space="0"/>
              <w:left w:val="single" w:color="000000" w:sz="4" w:space="0"/>
              <w:bottom w:val="single" w:color="000000" w:sz="4" w:space="0"/>
              <w:right w:val="single" w:color="000000" w:sz="4" w:space="0"/>
            </w:tcBorders>
            <w:noWrap/>
            <w:vAlign w:val="center"/>
          </w:tcPr>
          <w:p w14:paraId="6A017D34">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1</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7B9C4F44">
            <w:pPr>
              <w:widowControl/>
              <w:ind w:firstLine="0" w:firstLineChars="0"/>
              <w:jc w:val="center"/>
              <w:textAlignment w:val="center"/>
              <w:rPr>
                <w:rFonts w:hint="eastAsia" w:cs="宋体"/>
                <w:color w:val="000000"/>
                <w:sz w:val="21"/>
                <w:szCs w:val="21"/>
              </w:rPr>
            </w:pPr>
            <w:r>
              <w:rPr>
                <w:rFonts w:hint="eastAsia" w:cs="宋体"/>
                <w:color w:val="000000"/>
                <w:kern w:val="0"/>
                <w:sz w:val="21"/>
                <w:szCs w:val="21"/>
                <w:lang w:bidi="ar"/>
              </w:rPr>
              <w:t>套</w:t>
            </w:r>
          </w:p>
        </w:tc>
      </w:tr>
    </w:tbl>
    <w:p w14:paraId="1E511DE9">
      <w:pPr>
        <w:widowControl/>
        <w:snapToGrid w:val="0"/>
        <w:spacing w:line="440" w:lineRule="exact"/>
        <w:jc w:val="left"/>
        <w:rPr>
          <w:rFonts w:hint="eastAsia" w:cs="宋体"/>
        </w:rPr>
      </w:pPr>
    </w:p>
    <w:p w14:paraId="3B3C6716">
      <w:pPr>
        <w:widowControl/>
        <w:snapToGrid w:val="0"/>
        <w:spacing w:line="440" w:lineRule="exact"/>
        <w:jc w:val="left"/>
        <w:rPr>
          <w:rFonts w:hint="eastAsia" w:cs="宋体"/>
        </w:rPr>
      </w:pPr>
    </w:p>
    <w:p w14:paraId="62E6F4EF">
      <w:pPr>
        <w:pStyle w:val="4"/>
        <w:rPr>
          <w:rFonts w:hint="eastAsia" w:cs="宋体"/>
        </w:rPr>
      </w:pPr>
      <w:r>
        <w:rPr>
          <w:rFonts w:hint="eastAsia" w:cs="宋体"/>
        </w:rPr>
        <w:t>产品软件清单</w:t>
      </w:r>
    </w:p>
    <w:tbl>
      <w:tblPr>
        <w:tblStyle w:val="38"/>
        <w:tblW w:w="5000" w:type="pct"/>
        <w:tblInd w:w="0" w:type="dxa"/>
        <w:tblLayout w:type="autofit"/>
        <w:tblCellMar>
          <w:top w:w="0" w:type="dxa"/>
          <w:left w:w="108" w:type="dxa"/>
          <w:bottom w:w="0" w:type="dxa"/>
          <w:right w:w="108" w:type="dxa"/>
        </w:tblCellMar>
      </w:tblPr>
      <w:tblGrid>
        <w:gridCol w:w="1149"/>
        <w:gridCol w:w="2246"/>
        <w:gridCol w:w="2835"/>
        <w:gridCol w:w="1150"/>
        <w:gridCol w:w="1148"/>
      </w:tblGrid>
      <w:tr w14:paraId="4BDF7491">
        <w:tblPrEx>
          <w:tblCellMar>
            <w:top w:w="0" w:type="dxa"/>
            <w:left w:w="108" w:type="dxa"/>
            <w:bottom w:w="0" w:type="dxa"/>
            <w:right w:w="108" w:type="dxa"/>
          </w:tblCellMar>
        </w:tblPrEx>
        <w:trPr>
          <w:trHeight w:val="276" w:hRule="atLeast"/>
        </w:trPr>
        <w:tc>
          <w:tcPr>
            <w:tcW w:w="67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5A6CB9B">
            <w:pPr>
              <w:widowControl/>
              <w:spacing w:line="240" w:lineRule="auto"/>
              <w:ind w:firstLine="0" w:firstLineChars="0"/>
              <w:jc w:val="center"/>
              <w:textAlignment w:val="center"/>
              <w:rPr>
                <w:rFonts w:hint="eastAsia" w:cs="宋体"/>
                <w:b/>
                <w:bCs/>
                <w:color w:val="000000"/>
                <w:kern w:val="0"/>
                <w:lang w:bidi="ar"/>
              </w:rPr>
            </w:pPr>
            <w:r>
              <w:rPr>
                <w:rFonts w:hint="eastAsia" w:cs="宋体"/>
                <w:b/>
                <w:bCs/>
                <w:color w:val="000000"/>
                <w:kern w:val="0"/>
                <w:lang w:bidi="ar"/>
              </w:rPr>
              <w:t>序号</w:t>
            </w:r>
          </w:p>
        </w:tc>
        <w:tc>
          <w:tcPr>
            <w:tcW w:w="131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6922AD">
            <w:pPr>
              <w:widowControl/>
              <w:spacing w:line="240" w:lineRule="auto"/>
              <w:ind w:firstLine="0" w:firstLineChars="0"/>
              <w:jc w:val="center"/>
              <w:textAlignment w:val="center"/>
              <w:rPr>
                <w:rFonts w:hint="eastAsia" w:cs="宋体"/>
                <w:b/>
                <w:bCs/>
                <w:color w:val="000000"/>
                <w:kern w:val="0"/>
                <w:lang w:bidi="ar"/>
              </w:rPr>
            </w:pPr>
            <w:r>
              <w:rPr>
                <w:rFonts w:hint="eastAsia" w:cs="宋体"/>
                <w:b/>
                <w:bCs/>
                <w:color w:val="000000"/>
                <w:kern w:val="0"/>
                <w:lang w:bidi="ar"/>
              </w:rPr>
              <w:t>产品小类</w:t>
            </w:r>
          </w:p>
        </w:tc>
        <w:tc>
          <w:tcPr>
            <w:tcW w:w="166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A06E6F">
            <w:pPr>
              <w:widowControl/>
              <w:spacing w:line="240" w:lineRule="auto"/>
              <w:ind w:firstLine="0" w:firstLineChars="0"/>
              <w:jc w:val="center"/>
              <w:textAlignment w:val="center"/>
              <w:rPr>
                <w:rFonts w:hint="eastAsia" w:cs="宋体"/>
                <w:b/>
                <w:bCs/>
                <w:color w:val="000000"/>
                <w:kern w:val="0"/>
                <w:lang w:bidi="ar"/>
              </w:rPr>
            </w:pPr>
            <w:r>
              <w:rPr>
                <w:rFonts w:hint="eastAsia" w:cs="宋体"/>
                <w:b/>
                <w:bCs/>
                <w:color w:val="000000"/>
                <w:kern w:val="0"/>
                <w:lang w:bidi="ar"/>
              </w:rPr>
              <w:t>产品型号</w:t>
            </w:r>
          </w:p>
        </w:tc>
        <w:tc>
          <w:tcPr>
            <w:tcW w:w="67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96D0F3">
            <w:pPr>
              <w:widowControl/>
              <w:spacing w:line="240" w:lineRule="auto"/>
              <w:ind w:firstLine="0" w:firstLineChars="0"/>
              <w:jc w:val="center"/>
              <w:textAlignment w:val="center"/>
              <w:rPr>
                <w:rFonts w:hint="eastAsia" w:cs="宋体"/>
                <w:b/>
                <w:bCs/>
                <w:color w:val="000000"/>
                <w:kern w:val="0"/>
                <w:lang w:bidi="ar"/>
              </w:rPr>
            </w:pPr>
            <w:r>
              <w:rPr>
                <w:rFonts w:hint="eastAsia" w:cs="宋体"/>
                <w:b/>
                <w:bCs/>
                <w:color w:val="000000"/>
                <w:kern w:val="0"/>
                <w:lang w:bidi="ar"/>
              </w:rPr>
              <w:t>数量</w:t>
            </w:r>
          </w:p>
        </w:tc>
        <w:tc>
          <w:tcPr>
            <w:tcW w:w="67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04F297">
            <w:pPr>
              <w:widowControl/>
              <w:spacing w:line="240" w:lineRule="auto"/>
              <w:ind w:firstLine="0" w:firstLineChars="0"/>
              <w:jc w:val="center"/>
              <w:textAlignment w:val="center"/>
              <w:rPr>
                <w:rFonts w:hint="eastAsia" w:cs="宋体"/>
                <w:b/>
                <w:bCs/>
                <w:color w:val="000000"/>
                <w:kern w:val="0"/>
                <w:lang w:bidi="ar"/>
              </w:rPr>
            </w:pPr>
            <w:r>
              <w:rPr>
                <w:rFonts w:hint="eastAsia" w:cs="宋体"/>
                <w:b/>
                <w:bCs/>
                <w:color w:val="000000"/>
                <w:kern w:val="0"/>
                <w:lang w:bidi="ar"/>
              </w:rPr>
              <w:t>单位</w:t>
            </w:r>
          </w:p>
        </w:tc>
      </w:tr>
      <w:tr w14:paraId="64CD1EAB">
        <w:tblPrEx>
          <w:tblCellMar>
            <w:top w:w="0" w:type="dxa"/>
            <w:left w:w="108" w:type="dxa"/>
            <w:bottom w:w="0" w:type="dxa"/>
            <w:right w:w="108" w:type="dxa"/>
          </w:tblCellMar>
        </w:tblPrEx>
        <w:trPr>
          <w:trHeight w:val="552" w:hRule="atLeast"/>
        </w:trPr>
        <w:tc>
          <w:tcPr>
            <w:tcW w:w="674" w:type="pct"/>
            <w:tcBorders>
              <w:top w:val="single" w:color="000000" w:sz="4" w:space="0"/>
              <w:left w:val="single" w:color="000000" w:sz="4" w:space="0"/>
              <w:bottom w:val="single" w:color="000000" w:sz="4" w:space="0"/>
              <w:right w:val="single" w:color="000000" w:sz="4" w:space="0"/>
            </w:tcBorders>
            <w:noWrap/>
            <w:vAlign w:val="center"/>
          </w:tcPr>
          <w:p w14:paraId="4D8F3882">
            <w:pPr>
              <w:widowControl/>
              <w:spacing w:line="240" w:lineRule="auto"/>
              <w:ind w:firstLine="0" w:firstLineChars="0"/>
              <w:jc w:val="center"/>
              <w:textAlignment w:val="center"/>
              <w:rPr>
                <w:rFonts w:hint="eastAsia" w:cs="宋体"/>
                <w:color w:val="000000"/>
                <w:kern w:val="0"/>
                <w:lang w:bidi="ar"/>
              </w:rPr>
            </w:pPr>
            <w:r>
              <w:rPr>
                <w:rFonts w:hint="eastAsia" w:cs="宋体"/>
                <w:color w:val="000000"/>
                <w:kern w:val="0"/>
                <w:lang w:bidi="ar"/>
              </w:rPr>
              <w:t>1</w:t>
            </w:r>
          </w:p>
        </w:tc>
        <w:tc>
          <w:tcPr>
            <w:tcW w:w="1317" w:type="pct"/>
            <w:tcBorders>
              <w:top w:val="single" w:color="000000" w:sz="4" w:space="0"/>
              <w:left w:val="single" w:color="000000" w:sz="4" w:space="0"/>
              <w:bottom w:val="single" w:color="000000" w:sz="4" w:space="0"/>
              <w:right w:val="single" w:color="000000" w:sz="4" w:space="0"/>
            </w:tcBorders>
            <w:vAlign w:val="center"/>
          </w:tcPr>
          <w:p w14:paraId="696E9284">
            <w:pPr>
              <w:widowControl/>
              <w:spacing w:line="240" w:lineRule="auto"/>
              <w:ind w:firstLine="0" w:firstLineChars="0"/>
              <w:jc w:val="center"/>
              <w:textAlignment w:val="center"/>
              <w:rPr>
                <w:rFonts w:hint="eastAsia" w:cs="宋体"/>
                <w:color w:val="000000"/>
                <w:kern w:val="0"/>
                <w:lang w:bidi="ar"/>
              </w:rPr>
            </w:pPr>
            <w:r>
              <w:rPr>
                <w:rFonts w:hint="eastAsia" w:cs="宋体"/>
                <w:color w:val="000000"/>
                <w:kern w:val="0"/>
                <w:lang w:bidi="ar"/>
              </w:rPr>
              <w:t>服务器操作系统</w:t>
            </w:r>
          </w:p>
        </w:tc>
        <w:tc>
          <w:tcPr>
            <w:tcW w:w="1662" w:type="pct"/>
            <w:tcBorders>
              <w:top w:val="single" w:color="000000" w:sz="4" w:space="0"/>
              <w:left w:val="single" w:color="000000" w:sz="4" w:space="0"/>
              <w:bottom w:val="single" w:color="000000" w:sz="4" w:space="0"/>
              <w:right w:val="single" w:color="000000" w:sz="4" w:space="0"/>
            </w:tcBorders>
            <w:vAlign w:val="center"/>
          </w:tcPr>
          <w:p w14:paraId="0DA404A7">
            <w:pPr>
              <w:widowControl/>
              <w:spacing w:line="240" w:lineRule="auto"/>
              <w:ind w:firstLine="0" w:firstLineChars="0"/>
              <w:jc w:val="center"/>
              <w:textAlignment w:val="center"/>
              <w:rPr>
                <w:rFonts w:hint="eastAsia" w:cs="宋体"/>
                <w:color w:val="000000"/>
                <w:kern w:val="0"/>
                <w:lang w:bidi="ar"/>
              </w:rPr>
            </w:pPr>
            <w:r>
              <w:rPr>
                <w:rFonts w:hint="eastAsia" w:cs="宋体"/>
                <w:color w:val="000000"/>
                <w:kern w:val="0"/>
                <w:lang w:bidi="ar"/>
              </w:rPr>
              <w:t>服务器操作系统</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1D129E2B">
            <w:pPr>
              <w:widowControl/>
              <w:spacing w:line="240" w:lineRule="auto"/>
              <w:ind w:firstLine="0" w:firstLineChars="0"/>
              <w:jc w:val="center"/>
              <w:textAlignment w:val="center"/>
              <w:rPr>
                <w:rFonts w:hint="eastAsia" w:cs="宋体"/>
                <w:color w:val="000000"/>
                <w:kern w:val="0"/>
                <w:lang w:bidi="ar"/>
              </w:rPr>
            </w:pPr>
            <w:r>
              <w:rPr>
                <w:rFonts w:hint="eastAsia" w:cs="宋体"/>
                <w:color w:val="000000"/>
                <w:kern w:val="0"/>
                <w:lang w:bidi="ar"/>
              </w:rPr>
              <w:t>6</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0E5C5F03">
            <w:pPr>
              <w:widowControl/>
              <w:spacing w:line="240" w:lineRule="auto"/>
              <w:ind w:firstLine="0" w:firstLineChars="0"/>
              <w:jc w:val="center"/>
              <w:textAlignment w:val="center"/>
              <w:rPr>
                <w:rFonts w:hint="eastAsia" w:cs="宋体"/>
                <w:color w:val="000000"/>
                <w:kern w:val="0"/>
                <w:lang w:bidi="ar"/>
              </w:rPr>
            </w:pPr>
            <w:r>
              <w:rPr>
                <w:rFonts w:hint="eastAsia" w:cs="宋体"/>
                <w:color w:val="000000"/>
                <w:kern w:val="0"/>
                <w:lang w:bidi="ar"/>
              </w:rPr>
              <w:t>套</w:t>
            </w:r>
          </w:p>
        </w:tc>
      </w:tr>
      <w:tr w14:paraId="3AE652C0">
        <w:tblPrEx>
          <w:tblCellMar>
            <w:top w:w="0" w:type="dxa"/>
            <w:left w:w="108" w:type="dxa"/>
            <w:bottom w:w="0" w:type="dxa"/>
            <w:right w:w="108" w:type="dxa"/>
          </w:tblCellMar>
        </w:tblPrEx>
        <w:trPr>
          <w:trHeight w:val="552" w:hRule="atLeast"/>
        </w:trPr>
        <w:tc>
          <w:tcPr>
            <w:tcW w:w="674" w:type="pct"/>
            <w:tcBorders>
              <w:top w:val="single" w:color="000000" w:sz="4" w:space="0"/>
              <w:left w:val="single" w:color="000000" w:sz="4" w:space="0"/>
              <w:bottom w:val="single" w:color="000000" w:sz="4" w:space="0"/>
              <w:right w:val="single" w:color="000000" w:sz="4" w:space="0"/>
            </w:tcBorders>
            <w:noWrap/>
            <w:vAlign w:val="center"/>
          </w:tcPr>
          <w:p w14:paraId="2E10BFFE">
            <w:pPr>
              <w:widowControl/>
              <w:spacing w:line="240" w:lineRule="auto"/>
              <w:ind w:firstLine="0" w:firstLineChars="0"/>
              <w:jc w:val="center"/>
              <w:textAlignment w:val="center"/>
              <w:rPr>
                <w:rFonts w:hint="eastAsia" w:cs="宋体"/>
                <w:color w:val="000000"/>
                <w:kern w:val="0"/>
                <w:lang w:bidi="ar"/>
              </w:rPr>
            </w:pPr>
            <w:r>
              <w:rPr>
                <w:rFonts w:hint="eastAsia" w:cs="宋体"/>
                <w:color w:val="000000"/>
                <w:kern w:val="0"/>
                <w:lang w:bidi="ar"/>
              </w:rPr>
              <w:t>2</w:t>
            </w:r>
          </w:p>
        </w:tc>
        <w:tc>
          <w:tcPr>
            <w:tcW w:w="1317" w:type="pct"/>
            <w:tcBorders>
              <w:top w:val="single" w:color="000000" w:sz="4" w:space="0"/>
              <w:left w:val="single" w:color="000000" w:sz="4" w:space="0"/>
              <w:bottom w:val="single" w:color="000000" w:sz="4" w:space="0"/>
              <w:right w:val="single" w:color="000000" w:sz="4" w:space="0"/>
            </w:tcBorders>
            <w:vAlign w:val="center"/>
          </w:tcPr>
          <w:p w14:paraId="7F2AB25C">
            <w:pPr>
              <w:widowControl/>
              <w:spacing w:line="240" w:lineRule="auto"/>
              <w:ind w:firstLine="0" w:firstLineChars="0"/>
              <w:jc w:val="center"/>
              <w:textAlignment w:val="center"/>
              <w:rPr>
                <w:rFonts w:hint="eastAsia" w:cs="宋体"/>
                <w:color w:val="000000"/>
                <w:kern w:val="0"/>
                <w:lang w:bidi="ar"/>
              </w:rPr>
            </w:pPr>
            <w:r>
              <w:rPr>
                <w:rFonts w:hint="eastAsia" w:cs="宋体"/>
                <w:color w:val="000000"/>
                <w:kern w:val="0"/>
                <w:lang w:bidi="ar"/>
              </w:rPr>
              <w:t>集中式数据库</w:t>
            </w:r>
          </w:p>
        </w:tc>
        <w:tc>
          <w:tcPr>
            <w:tcW w:w="1662" w:type="pct"/>
            <w:tcBorders>
              <w:top w:val="single" w:color="000000" w:sz="4" w:space="0"/>
              <w:left w:val="single" w:color="000000" w:sz="4" w:space="0"/>
              <w:bottom w:val="single" w:color="000000" w:sz="4" w:space="0"/>
              <w:right w:val="single" w:color="000000" w:sz="4" w:space="0"/>
            </w:tcBorders>
            <w:vAlign w:val="center"/>
          </w:tcPr>
          <w:p w14:paraId="2F0B3962">
            <w:pPr>
              <w:widowControl/>
              <w:spacing w:line="240" w:lineRule="auto"/>
              <w:ind w:firstLine="0" w:firstLineChars="0"/>
              <w:jc w:val="center"/>
              <w:textAlignment w:val="center"/>
              <w:rPr>
                <w:rFonts w:hint="eastAsia" w:cs="宋体"/>
                <w:color w:val="000000"/>
                <w:kern w:val="0"/>
                <w:lang w:bidi="ar"/>
              </w:rPr>
            </w:pPr>
            <w:r>
              <w:rPr>
                <w:rFonts w:hint="eastAsia" w:cs="宋体"/>
                <w:color w:val="000000"/>
                <w:kern w:val="0"/>
                <w:lang w:bidi="ar"/>
              </w:rPr>
              <w:t>服务器数据库</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089B89AF">
            <w:pPr>
              <w:widowControl/>
              <w:spacing w:line="240" w:lineRule="auto"/>
              <w:ind w:firstLine="0" w:firstLineChars="0"/>
              <w:jc w:val="center"/>
              <w:textAlignment w:val="center"/>
              <w:rPr>
                <w:rFonts w:hint="eastAsia" w:cs="宋体"/>
                <w:color w:val="000000"/>
                <w:kern w:val="0"/>
                <w:lang w:bidi="ar"/>
              </w:rPr>
            </w:pPr>
            <w:r>
              <w:rPr>
                <w:rFonts w:hint="eastAsia" w:cs="宋体"/>
                <w:color w:val="000000"/>
                <w:kern w:val="0"/>
                <w:lang w:bidi="ar"/>
              </w:rPr>
              <w:t>2</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38EC8CB1">
            <w:pPr>
              <w:widowControl/>
              <w:spacing w:line="240" w:lineRule="auto"/>
              <w:ind w:firstLine="0" w:firstLineChars="0"/>
              <w:jc w:val="center"/>
              <w:textAlignment w:val="center"/>
              <w:rPr>
                <w:rFonts w:hint="eastAsia" w:cs="宋体"/>
                <w:color w:val="000000"/>
                <w:kern w:val="0"/>
                <w:lang w:bidi="ar"/>
              </w:rPr>
            </w:pPr>
            <w:r>
              <w:rPr>
                <w:rFonts w:hint="eastAsia" w:cs="宋体"/>
                <w:color w:val="000000"/>
                <w:kern w:val="0"/>
                <w:lang w:bidi="ar"/>
              </w:rPr>
              <w:t>套</w:t>
            </w:r>
          </w:p>
        </w:tc>
      </w:tr>
      <w:tr w14:paraId="2419D405">
        <w:tblPrEx>
          <w:tblCellMar>
            <w:top w:w="0" w:type="dxa"/>
            <w:left w:w="108" w:type="dxa"/>
            <w:bottom w:w="0" w:type="dxa"/>
            <w:right w:w="108" w:type="dxa"/>
          </w:tblCellMar>
        </w:tblPrEx>
        <w:trPr>
          <w:trHeight w:val="552" w:hRule="atLeast"/>
        </w:trPr>
        <w:tc>
          <w:tcPr>
            <w:tcW w:w="674" w:type="pct"/>
            <w:tcBorders>
              <w:top w:val="single" w:color="000000" w:sz="4" w:space="0"/>
              <w:left w:val="single" w:color="000000" w:sz="4" w:space="0"/>
              <w:bottom w:val="single" w:color="000000" w:sz="4" w:space="0"/>
              <w:right w:val="single" w:color="000000" w:sz="4" w:space="0"/>
            </w:tcBorders>
            <w:noWrap/>
            <w:vAlign w:val="center"/>
          </w:tcPr>
          <w:p w14:paraId="42EC1A59">
            <w:pPr>
              <w:widowControl/>
              <w:spacing w:line="240" w:lineRule="auto"/>
              <w:ind w:firstLine="0" w:firstLineChars="0"/>
              <w:jc w:val="center"/>
              <w:textAlignment w:val="center"/>
              <w:rPr>
                <w:rFonts w:hint="eastAsia" w:cs="宋体"/>
                <w:color w:val="000000"/>
                <w:kern w:val="0"/>
                <w:lang w:bidi="ar"/>
              </w:rPr>
            </w:pPr>
            <w:r>
              <w:rPr>
                <w:rFonts w:hint="eastAsia" w:cs="宋体"/>
                <w:color w:val="000000"/>
                <w:kern w:val="0"/>
                <w:lang w:bidi="ar"/>
              </w:rPr>
              <w:t>3</w:t>
            </w:r>
          </w:p>
        </w:tc>
        <w:tc>
          <w:tcPr>
            <w:tcW w:w="1317" w:type="pct"/>
            <w:tcBorders>
              <w:top w:val="single" w:color="000000" w:sz="4" w:space="0"/>
              <w:left w:val="single" w:color="000000" w:sz="4" w:space="0"/>
              <w:bottom w:val="single" w:color="000000" w:sz="4" w:space="0"/>
              <w:right w:val="single" w:color="000000" w:sz="4" w:space="0"/>
            </w:tcBorders>
            <w:vAlign w:val="center"/>
          </w:tcPr>
          <w:p w14:paraId="4FB53D45">
            <w:pPr>
              <w:widowControl/>
              <w:spacing w:line="240" w:lineRule="auto"/>
              <w:ind w:firstLine="0" w:firstLineChars="0"/>
              <w:jc w:val="center"/>
              <w:textAlignment w:val="center"/>
              <w:rPr>
                <w:rFonts w:hint="eastAsia" w:cs="宋体"/>
                <w:color w:val="000000"/>
                <w:kern w:val="0"/>
                <w:lang w:bidi="ar"/>
              </w:rPr>
            </w:pPr>
            <w:r>
              <w:rPr>
                <w:rFonts w:hint="eastAsia" w:cs="宋体"/>
                <w:color w:val="000000"/>
                <w:kern w:val="0"/>
                <w:lang w:bidi="ar"/>
              </w:rPr>
              <w:t>服务器中间件</w:t>
            </w:r>
          </w:p>
        </w:tc>
        <w:tc>
          <w:tcPr>
            <w:tcW w:w="1662" w:type="pct"/>
            <w:tcBorders>
              <w:top w:val="single" w:color="000000" w:sz="4" w:space="0"/>
              <w:left w:val="single" w:color="000000" w:sz="4" w:space="0"/>
              <w:bottom w:val="single" w:color="000000" w:sz="4" w:space="0"/>
              <w:right w:val="single" w:color="000000" w:sz="4" w:space="0"/>
            </w:tcBorders>
            <w:vAlign w:val="center"/>
          </w:tcPr>
          <w:p w14:paraId="24318436">
            <w:pPr>
              <w:widowControl/>
              <w:spacing w:line="240" w:lineRule="auto"/>
              <w:ind w:firstLine="0" w:firstLineChars="0"/>
              <w:jc w:val="center"/>
              <w:textAlignment w:val="center"/>
              <w:rPr>
                <w:rFonts w:hint="eastAsia" w:cs="宋体"/>
                <w:color w:val="000000"/>
                <w:kern w:val="0"/>
                <w:lang w:bidi="ar"/>
              </w:rPr>
            </w:pPr>
            <w:r>
              <w:rPr>
                <w:rFonts w:hint="eastAsia" w:cs="宋体"/>
                <w:color w:val="000000"/>
                <w:kern w:val="0"/>
                <w:lang w:bidi="ar"/>
              </w:rPr>
              <w:t>服务器中间件</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1A92B56E">
            <w:pPr>
              <w:widowControl/>
              <w:spacing w:line="240" w:lineRule="auto"/>
              <w:ind w:firstLine="0" w:firstLineChars="0"/>
              <w:jc w:val="center"/>
              <w:textAlignment w:val="center"/>
              <w:rPr>
                <w:rFonts w:hint="eastAsia" w:cs="宋体"/>
                <w:color w:val="000000"/>
                <w:kern w:val="0"/>
                <w:lang w:bidi="ar"/>
              </w:rPr>
            </w:pPr>
            <w:r>
              <w:rPr>
                <w:rFonts w:hint="eastAsia" w:cs="宋体"/>
                <w:color w:val="000000"/>
                <w:kern w:val="0"/>
                <w:lang w:bidi="ar"/>
              </w:rPr>
              <w:t>2</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4B9B0879">
            <w:pPr>
              <w:widowControl/>
              <w:spacing w:line="240" w:lineRule="auto"/>
              <w:ind w:firstLine="0" w:firstLineChars="0"/>
              <w:jc w:val="center"/>
              <w:textAlignment w:val="center"/>
              <w:rPr>
                <w:rFonts w:hint="eastAsia" w:cs="宋体"/>
                <w:color w:val="000000"/>
                <w:kern w:val="0"/>
                <w:lang w:bidi="ar"/>
              </w:rPr>
            </w:pPr>
            <w:r>
              <w:rPr>
                <w:rFonts w:hint="eastAsia" w:cs="宋体"/>
                <w:color w:val="000000"/>
                <w:kern w:val="0"/>
                <w:lang w:bidi="ar"/>
              </w:rPr>
              <w:t>套</w:t>
            </w:r>
          </w:p>
        </w:tc>
      </w:tr>
    </w:tbl>
    <w:p w14:paraId="5F0311F6">
      <w:pPr>
        <w:pStyle w:val="4"/>
        <w:rPr>
          <w:rFonts w:hint="eastAsia" w:cs="宋体"/>
        </w:rPr>
      </w:pPr>
      <w:r>
        <w:rPr>
          <w:rFonts w:hint="eastAsia" w:cs="宋体"/>
        </w:rPr>
        <w:t>安全产品清单</w:t>
      </w:r>
    </w:p>
    <w:tbl>
      <w:tblPr>
        <w:tblStyle w:val="38"/>
        <w:tblW w:w="5000" w:type="pct"/>
        <w:tblInd w:w="0" w:type="dxa"/>
        <w:tblLayout w:type="autofit"/>
        <w:tblCellMar>
          <w:top w:w="0" w:type="dxa"/>
          <w:left w:w="108" w:type="dxa"/>
          <w:bottom w:w="0" w:type="dxa"/>
          <w:right w:w="108" w:type="dxa"/>
        </w:tblCellMar>
      </w:tblPr>
      <w:tblGrid>
        <w:gridCol w:w="1071"/>
        <w:gridCol w:w="2333"/>
        <w:gridCol w:w="2981"/>
        <w:gridCol w:w="1071"/>
        <w:gridCol w:w="1072"/>
      </w:tblGrid>
      <w:tr w14:paraId="667AEA44">
        <w:tblPrEx>
          <w:tblCellMar>
            <w:top w:w="0" w:type="dxa"/>
            <w:left w:w="108" w:type="dxa"/>
            <w:bottom w:w="0" w:type="dxa"/>
            <w:right w:w="108" w:type="dxa"/>
          </w:tblCellMar>
        </w:tblPrEx>
        <w:trPr>
          <w:trHeight w:val="288" w:hRule="atLeast"/>
        </w:trPr>
        <w:tc>
          <w:tcPr>
            <w:tcW w:w="62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FC7AE63">
            <w:pPr>
              <w:widowControl/>
              <w:ind w:firstLine="0" w:firstLineChars="0"/>
              <w:jc w:val="center"/>
              <w:textAlignment w:val="center"/>
              <w:rPr>
                <w:rFonts w:hint="eastAsia" w:cs="宋体"/>
                <w:b/>
                <w:bCs/>
                <w:color w:val="000000"/>
              </w:rPr>
            </w:pPr>
            <w:r>
              <w:rPr>
                <w:rFonts w:hint="eastAsia" w:cs="宋体"/>
                <w:b/>
                <w:bCs/>
                <w:color w:val="000000"/>
                <w:kern w:val="0"/>
                <w:lang w:bidi="ar"/>
              </w:rPr>
              <w:t>序号</w:t>
            </w:r>
          </w:p>
        </w:tc>
        <w:tc>
          <w:tcPr>
            <w:tcW w:w="136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F17DFE8">
            <w:pPr>
              <w:widowControl/>
              <w:ind w:firstLine="0" w:firstLineChars="0"/>
              <w:jc w:val="center"/>
              <w:textAlignment w:val="center"/>
              <w:rPr>
                <w:rFonts w:hint="eastAsia" w:cs="宋体"/>
                <w:b/>
                <w:bCs/>
                <w:color w:val="000000"/>
              </w:rPr>
            </w:pPr>
            <w:r>
              <w:rPr>
                <w:rFonts w:hint="eastAsia" w:cs="宋体"/>
                <w:b/>
                <w:bCs/>
                <w:color w:val="000000"/>
                <w:kern w:val="0"/>
                <w:lang w:bidi="ar"/>
              </w:rPr>
              <w:t>名称</w:t>
            </w:r>
          </w:p>
        </w:tc>
        <w:tc>
          <w:tcPr>
            <w:tcW w:w="174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DA89BFE">
            <w:pPr>
              <w:widowControl/>
              <w:ind w:firstLine="0" w:firstLineChars="0"/>
              <w:jc w:val="center"/>
              <w:textAlignment w:val="center"/>
              <w:rPr>
                <w:rFonts w:hint="eastAsia" w:cs="宋体"/>
                <w:b/>
                <w:bCs/>
                <w:color w:val="000000"/>
              </w:rPr>
            </w:pPr>
            <w:r>
              <w:rPr>
                <w:rFonts w:hint="eastAsia" w:cs="宋体"/>
                <w:b/>
                <w:bCs/>
                <w:color w:val="000000"/>
                <w:kern w:val="0"/>
                <w:lang w:bidi="ar"/>
              </w:rPr>
              <w:t>类别</w:t>
            </w:r>
          </w:p>
        </w:tc>
        <w:tc>
          <w:tcPr>
            <w:tcW w:w="62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69A014F">
            <w:pPr>
              <w:widowControl/>
              <w:ind w:firstLine="0" w:firstLineChars="0"/>
              <w:jc w:val="center"/>
              <w:textAlignment w:val="center"/>
              <w:rPr>
                <w:rFonts w:hint="eastAsia" w:cs="宋体"/>
                <w:b/>
                <w:bCs/>
                <w:color w:val="000000"/>
              </w:rPr>
            </w:pPr>
            <w:r>
              <w:rPr>
                <w:rFonts w:hint="eastAsia" w:cs="宋体"/>
                <w:b/>
                <w:bCs/>
                <w:color w:val="000000"/>
                <w:kern w:val="0"/>
                <w:lang w:bidi="ar"/>
              </w:rPr>
              <w:t>数量</w:t>
            </w:r>
          </w:p>
        </w:tc>
        <w:tc>
          <w:tcPr>
            <w:tcW w:w="62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B0BCCB5">
            <w:pPr>
              <w:widowControl/>
              <w:ind w:firstLine="0" w:firstLineChars="0"/>
              <w:jc w:val="center"/>
              <w:textAlignment w:val="center"/>
              <w:rPr>
                <w:rFonts w:hint="eastAsia" w:cs="宋体"/>
                <w:b/>
                <w:bCs/>
                <w:color w:val="000000"/>
              </w:rPr>
            </w:pPr>
            <w:r>
              <w:rPr>
                <w:rFonts w:hint="eastAsia" w:cs="宋体"/>
                <w:b/>
                <w:bCs/>
                <w:color w:val="000000"/>
                <w:kern w:val="0"/>
                <w:lang w:bidi="ar"/>
              </w:rPr>
              <w:t>单位</w:t>
            </w:r>
          </w:p>
        </w:tc>
      </w:tr>
      <w:tr w14:paraId="500B4D2C">
        <w:tblPrEx>
          <w:tblCellMar>
            <w:top w:w="0" w:type="dxa"/>
            <w:left w:w="108" w:type="dxa"/>
            <w:bottom w:w="0" w:type="dxa"/>
            <w:right w:w="108" w:type="dxa"/>
          </w:tblCellMar>
        </w:tblPrEx>
        <w:trPr>
          <w:trHeight w:val="433" w:hRule="atLeast"/>
        </w:trPr>
        <w:tc>
          <w:tcPr>
            <w:tcW w:w="628" w:type="pct"/>
            <w:tcBorders>
              <w:top w:val="single" w:color="000000" w:sz="4" w:space="0"/>
              <w:left w:val="single" w:color="000000" w:sz="4" w:space="0"/>
              <w:bottom w:val="single" w:color="000000" w:sz="4" w:space="0"/>
              <w:right w:val="single" w:color="000000" w:sz="4" w:space="0"/>
            </w:tcBorders>
            <w:noWrap/>
            <w:vAlign w:val="center"/>
          </w:tcPr>
          <w:p w14:paraId="12446EF6">
            <w:pPr>
              <w:widowControl/>
              <w:ind w:firstLine="0" w:firstLineChars="0"/>
              <w:jc w:val="center"/>
              <w:textAlignment w:val="center"/>
              <w:rPr>
                <w:rFonts w:hint="eastAsia" w:cs="宋体"/>
                <w:color w:val="000000"/>
              </w:rPr>
            </w:pPr>
            <w:r>
              <w:rPr>
                <w:rFonts w:hint="eastAsia" w:cs="宋体"/>
                <w:color w:val="000000"/>
                <w:kern w:val="0"/>
                <w:lang w:bidi="ar"/>
              </w:rPr>
              <w:t>1</w:t>
            </w:r>
          </w:p>
        </w:tc>
        <w:tc>
          <w:tcPr>
            <w:tcW w:w="1368" w:type="pct"/>
            <w:tcBorders>
              <w:top w:val="single" w:color="000000" w:sz="4" w:space="0"/>
              <w:left w:val="single" w:color="000000" w:sz="4" w:space="0"/>
              <w:bottom w:val="single" w:color="000000" w:sz="4" w:space="0"/>
              <w:right w:val="single" w:color="000000" w:sz="4" w:space="0"/>
            </w:tcBorders>
            <w:vAlign w:val="center"/>
          </w:tcPr>
          <w:p w14:paraId="320703F8">
            <w:pPr>
              <w:widowControl/>
              <w:ind w:firstLine="0" w:firstLineChars="0"/>
              <w:jc w:val="left"/>
              <w:textAlignment w:val="center"/>
              <w:rPr>
                <w:rFonts w:hint="eastAsia" w:cs="宋体"/>
                <w:color w:val="000000"/>
              </w:rPr>
            </w:pPr>
            <w:r>
              <w:rPr>
                <w:rFonts w:hint="eastAsia" w:cs="宋体"/>
                <w:color w:val="000000"/>
                <w:kern w:val="0"/>
                <w:lang w:bidi="ar"/>
              </w:rPr>
              <w:t>边界安全</w:t>
            </w:r>
          </w:p>
        </w:tc>
        <w:tc>
          <w:tcPr>
            <w:tcW w:w="1748" w:type="pct"/>
            <w:tcBorders>
              <w:top w:val="single" w:color="000000" w:sz="4" w:space="0"/>
              <w:left w:val="single" w:color="000000" w:sz="4" w:space="0"/>
              <w:bottom w:val="single" w:color="000000" w:sz="4" w:space="0"/>
              <w:right w:val="single" w:color="000000" w:sz="4" w:space="0"/>
            </w:tcBorders>
            <w:noWrap/>
            <w:vAlign w:val="center"/>
          </w:tcPr>
          <w:p w14:paraId="466764D3">
            <w:pPr>
              <w:widowControl/>
              <w:ind w:firstLine="0" w:firstLineChars="0"/>
              <w:jc w:val="left"/>
              <w:textAlignment w:val="center"/>
              <w:rPr>
                <w:rFonts w:hint="eastAsia" w:cs="宋体"/>
                <w:color w:val="000000"/>
              </w:rPr>
            </w:pPr>
            <w:r>
              <w:rPr>
                <w:rFonts w:hint="eastAsia" w:cs="宋体"/>
                <w:color w:val="000000"/>
                <w:kern w:val="0"/>
                <w:lang w:bidi="ar"/>
              </w:rPr>
              <w:t xml:space="preserve">防火墙  </w:t>
            </w:r>
          </w:p>
        </w:tc>
        <w:tc>
          <w:tcPr>
            <w:tcW w:w="628" w:type="pct"/>
            <w:tcBorders>
              <w:top w:val="single" w:color="000000" w:sz="4" w:space="0"/>
              <w:left w:val="single" w:color="000000" w:sz="4" w:space="0"/>
              <w:bottom w:val="single" w:color="000000" w:sz="4" w:space="0"/>
              <w:right w:val="single" w:color="000000" w:sz="4" w:space="0"/>
            </w:tcBorders>
            <w:vAlign w:val="center"/>
          </w:tcPr>
          <w:p w14:paraId="23BCEE11">
            <w:pPr>
              <w:widowControl/>
              <w:ind w:firstLine="0" w:firstLineChars="0"/>
              <w:jc w:val="center"/>
              <w:textAlignment w:val="center"/>
              <w:rPr>
                <w:rFonts w:hint="eastAsia" w:cs="宋体"/>
                <w:color w:val="000000"/>
              </w:rPr>
            </w:pPr>
            <w:r>
              <w:rPr>
                <w:rFonts w:hint="eastAsia" w:cs="宋体"/>
                <w:color w:val="000000"/>
                <w:kern w:val="0"/>
                <w:lang w:bidi="ar"/>
              </w:rPr>
              <w:t>2</w:t>
            </w:r>
          </w:p>
        </w:tc>
        <w:tc>
          <w:tcPr>
            <w:tcW w:w="628" w:type="pct"/>
            <w:tcBorders>
              <w:top w:val="single" w:color="000000" w:sz="4" w:space="0"/>
              <w:left w:val="single" w:color="000000" w:sz="4" w:space="0"/>
              <w:bottom w:val="single" w:color="000000" w:sz="4" w:space="0"/>
              <w:right w:val="single" w:color="000000" w:sz="4" w:space="0"/>
            </w:tcBorders>
            <w:vAlign w:val="center"/>
          </w:tcPr>
          <w:p w14:paraId="1EE3DF78">
            <w:pPr>
              <w:widowControl/>
              <w:ind w:firstLine="0" w:firstLineChars="0"/>
              <w:jc w:val="center"/>
              <w:textAlignment w:val="center"/>
              <w:rPr>
                <w:rFonts w:hint="eastAsia" w:cs="宋体"/>
                <w:color w:val="000000"/>
              </w:rPr>
            </w:pPr>
            <w:r>
              <w:rPr>
                <w:rFonts w:hint="eastAsia" w:cs="宋体"/>
                <w:color w:val="000000"/>
                <w:kern w:val="0"/>
                <w:lang w:bidi="ar"/>
              </w:rPr>
              <w:t>台</w:t>
            </w:r>
          </w:p>
        </w:tc>
      </w:tr>
      <w:tr w14:paraId="6343F095">
        <w:tblPrEx>
          <w:tblCellMar>
            <w:top w:w="0" w:type="dxa"/>
            <w:left w:w="108" w:type="dxa"/>
            <w:bottom w:w="0" w:type="dxa"/>
            <w:right w:w="108" w:type="dxa"/>
          </w:tblCellMar>
        </w:tblPrEx>
        <w:trPr>
          <w:trHeight w:val="698" w:hRule="atLeast"/>
        </w:trPr>
        <w:tc>
          <w:tcPr>
            <w:tcW w:w="628" w:type="pct"/>
            <w:tcBorders>
              <w:top w:val="single" w:color="000000" w:sz="4" w:space="0"/>
              <w:left w:val="single" w:color="000000" w:sz="4" w:space="0"/>
              <w:bottom w:val="single" w:color="000000" w:sz="4" w:space="0"/>
              <w:right w:val="single" w:color="000000" w:sz="4" w:space="0"/>
            </w:tcBorders>
            <w:noWrap/>
            <w:vAlign w:val="center"/>
          </w:tcPr>
          <w:p w14:paraId="474EDA92">
            <w:pPr>
              <w:widowControl/>
              <w:ind w:firstLine="0" w:firstLineChars="0"/>
              <w:jc w:val="center"/>
              <w:textAlignment w:val="center"/>
              <w:rPr>
                <w:rFonts w:hint="eastAsia" w:cs="宋体"/>
                <w:color w:val="000000"/>
              </w:rPr>
            </w:pPr>
            <w:r>
              <w:rPr>
                <w:rFonts w:hint="eastAsia" w:cs="宋体"/>
                <w:color w:val="000000"/>
                <w:kern w:val="0"/>
                <w:lang w:bidi="ar"/>
              </w:rPr>
              <w:t>2</w:t>
            </w:r>
          </w:p>
        </w:tc>
        <w:tc>
          <w:tcPr>
            <w:tcW w:w="1368" w:type="pct"/>
            <w:tcBorders>
              <w:top w:val="single" w:color="000000" w:sz="4" w:space="0"/>
              <w:left w:val="single" w:color="000000" w:sz="4" w:space="0"/>
              <w:bottom w:val="single" w:color="000000" w:sz="4" w:space="0"/>
              <w:right w:val="single" w:color="000000" w:sz="4" w:space="0"/>
            </w:tcBorders>
            <w:vAlign w:val="center"/>
          </w:tcPr>
          <w:p w14:paraId="69B71C5B">
            <w:pPr>
              <w:widowControl/>
              <w:ind w:firstLine="0" w:firstLineChars="0"/>
              <w:jc w:val="left"/>
              <w:textAlignment w:val="center"/>
              <w:rPr>
                <w:rFonts w:hint="eastAsia" w:cs="宋体"/>
                <w:color w:val="000000"/>
              </w:rPr>
            </w:pPr>
            <w:r>
              <w:rPr>
                <w:rFonts w:hint="eastAsia" w:cs="宋体"/>
                <w:color w:val="000000"/>
                <w:kern w:val="0"/>
                <w:lang w:bidi="ar"/>
              </w:rPr>
              <w:t>边界安全</w:t>
            </w:r>
          </w:p>
        </w:tc>
        <w:tc>
          <w:tcPr>
            <w:tcW w:w="1748" w:type="pct"/>
            <w:tcBorders>
              <w:top w:val="single" w:color="000000" w:sz="4" w:space="0"/>
              <w:left w:val="single" w:color="000000" w:sz="4" w:space="0"/>
              <w:bottom w:val="single" w:color="000000" w:sz="4" w:space="0"/>
              <w:right w:val="single" w:color="000000" w:sz="4" w:space="0"/>
            </w:tcBorders>
            <w:noWrap/>
            <w:vAlign w:val="center"/>
          </w:tcPr>
          <w:p w14:paraId="76C36D43">
            <w:pPr>
              <w:widowControl/>
              <w:ind w:firstLine="0" w:firstLineChars="0"/>
              <w:jc w:val="left"/>
              <w:textAlignment w:val="center"/>
              <w:rPr>
                <w:rFonts w:hint="eastAsia" w:cs="宋体"/>
                <w:color w:val="000000"/>
              </w:rPr>
            </w:pPr>
            <w:r>
              <w:rPr>
                <w:rFonts w:hint="eastAsia" w:cs="宋体"/>
                <w:color w:val="000000"/>
                <w:kern w:val="0"/>
                <w:lang w:bidi="ar"/>
              </w:rPr>
              <w:t>入侵防御产品（IPS）</w:t>
            </w:r>
          </w:p>
        </w:tc>
        <w:tc>
          <w:tcPr>
            <w:tcW w:w="628" w:type="pct"/>
            <w:tcBorders>
              <w:top w:val="single" w:color="000000" w:sz="4" w:space="0"/>
              <w:left w:val="single" w:color="000000" w:sz="4" w:space="0"/>
              <w:bottom w:val="single" w:color="000000" w:sz="4" w:space="0"/>
              <w:right w:val="single" w:color="000000" w:sz="4" w:space="0"/>
            </w:tcBorders>
            <w:vAlign w:val="center"/>
          </w:tcPr>
          <w:p w14:paraId="592BC28B">
            <w:pPr>
              <w:widowControl/>
              <w:ind w:firstLine="0" w:firstLineChars="0"/>
              <w:jc w:val="center"/>
              <w:textAlignment w:val="center"/>
              <w:rPr>
                <w:rFonts w:hint="eastAsia" w:cs="宋体"/>
                <w:color w:val="000000"/>
              </w:rPr>
            </w:pPr>
            <w:r>
              <w:rPr>
                <w:rFonts w:hint="eastAsia" w:cs="宋体"/>
                <w:color w:val="000000"/>
                <w:kern w:val="0"/>
                <w:lang w:bidi="ar"/>
              </w:rPr>
              <w:t>2</w:t>
            </w:r>
          </w:p>
        </w:tc>
        <w:tc>
          <w:tcPr>
            <w:tcW w:w="628" w:type="pct"/>
            <w:tcBorders>
              <w:top w:val="single" w:color="000000" w:sz="4" w:space="0"/>
              <w:left w:val="single" w:color="000000" w:sz="4" w:space="0"/>
              <w:bottom w:val="single" w:color="000000" w:sz="4" w:space="0"/>
              <w:right w:val="single" w:color="000000" w:sz="4" w:space="0"/>
            </w:tcBorders>
            <w:vAlign w:val="center"/>
          </w:tcPr>
          <w:p w14:paraId="26393123">
            <w:pPr>
              <w:widowControl/>
              <w:ind w:firstLine="0" w:firstLineChars="0"/>
              <w:jc w:val="center"/>
              <w:textAlignment w:val="center"/>
              <w:rPr>
                <w:rFonts w:hint="eastAsia" w:cs="宋体"/>
                <w:color w:val="000000"/>
              </w:rPr>
            </w:pPr>
            <w:r>
              <w:rPr>
                <w:rFonts w:hint="eastAsia" w:cs="宋体"/>
                <w:color w:val="000000"/>
                <w:kern w:val="0"/>
                <w:lang w:bidi="ar"/>
              </w:rPr>
              <w:t>台</w:t>
            </w:r>
          </w:p>
        </w:tc>
      </w:tr>
      <w:tr w14:paraId="2BE14780">
        <w:tblPrEx>
          <w:tblCellMar>
            <w:top w:w="0" w:type="dxa"/>
            <w:left w:w="108" w:type="dxa"/>
            <w:bottom w:w="0" w:type="dxa"/>
            <w:right w:w="108" w:type="dxa"/>
          </w:tblCellMar>
        </w:tblPrEx>
        <w:trPr>
          <w:trHeight w:val="431" w:hRule="atLeast"/>
        </w:trPr>
        <w:tc>
          <w:tcPr>
            <w:tcW w:w="628" w:type="pct"/>
            <w:tcBorders>
              <w:top w:val="single" w:color="000000" w:sz="4" w:space="0"/>
              <w:left w:val="single" w:color="000000" w:sz="4" w:space="0"/>
              <w:bottom w:val="single" w:color="000000" w:sz="4" w:space="0"/>
              <w:right w:val="single" w:color="000000" w:sz="4" w:space="0"/>
            </w:tcBorders>
            <w:noWrap/>
            <w:vAlign w:val="center"/>
          </w:tcPr>
          <w:p w14:paraId="35A62F81">
            <w:pPr>
              <w:widowControl/>
              <w:ind w:firstLine="0" w:firstLineChars="0"/>
              <w:jc w:val="center"/>
              <w:textAlignment w:val="center"/>
              <w:rPr>
                <w:rFonts w:hint="eastAsia" w:cs="宋体"/>
                <w:color w:val="000000"/>
              </w:rPr>
            </w:pPr>
            <w:r>
              <w:rPr>
                <w:rFonts w:hint="eastAsia" w:cs="宋体"/>
                <w:color w:val="000000"/>
                <w:kern w:val="0"/>
                <w:lang w:bidi="ar"/>
              </w:rPr>
              <w:t>3</w:t>
            </w:r>
          </w:p>
        </w:tc>
        <w:tc>
          <w:tcPr>
            <w:tcW w:w="1368" w:type="pct"/>
            <w:tcBorders>
              <w:top w:val="single" w:color="000000" w:sz="4" w:space="0"/>
              <w:left w:val="single" w:color="000000" w:sz="4" w:space="0"/>
              <w:bottom w:val="single" w:color="000000" w:sz="4" w:space="0"/>
              <w:right w:val="single" w:color="000000" w:sz="4" w:space="0"/>
            </w:tcBorders>
            <w:vAlign w:val="center"/>
          </w:tcPr>
          <w:p w14:paraId="3500ABE3">
            <w:pPr>
              <w:widowControl/>
              <w:ind w:firstLine="0" w:firstLineChars="0"/>
              <w:jc w:val="left"/>
              <w:textAlignment w:val="center"/>
              <w:rPr>
                <w:rFonts w:hint="eastAsia" w:cs="宋体"/>
                <w:color w:val="000000"/>
              </w:rPr>
            </w:pPr>
            <w:r>
              <w:rPr>
                <w:rFonts w:hint="eastAsia" w:cs="宋体"/>
                <w:color w:val="000000"/>
                <w:kern w:val="0"/>
                <w:lang w:bidi="ar"/>
              </w:rPr>
              <w:t>防病毒</w:t>
            </w:r>
          </w:p>
        </w:tc>
        <w:tc>
          <w:tcPr>
            <w:tcW w:w="1748" w:type="pct"/>
            <w:tcBorders>
              <w:top w:val="single" w:color="000000" w:sz="4" w:space="0"/>
              <w:left w:val="single" w:color="000000" w:sz="4" w:space="0"/>
              <w:bottom w:val="single" w:color="000000" w:sz="4" w:space="0"/>
              <w:right w:val="single" w:color="000000" w:sz="4" w:space="0"/>
            </w:tcBorders>
            <w:noWrap/>
            <w:vAlign w:val="center"/>
          </w:tcPr>
          <w:p w14:paraId="71F0754B">
            <w:pPr>
              <w:widowControl/>
              <w:ind w:firstLine="0" w:firstLineChars="0"/>
              <w:jc w:val="left"/>
              <w:textAlignment w:val="center"/>
              <w:rPr>
                <w:rFonts w:hint="eastAsia" w:cs="宋体"/>
                <w:color w:val="000000"/>
              </w:rPr>
            </w:pPr>
            <w:r>
              <w:rPr>
                <w:rFonts w:hint="eastAsia" w:cs="宋体"/>
                <w:color w:val="000000"/>
                <w:kern w:val="0"/>
                <w:lang w:bidi="ar"/>
              </w:rPr>
              <w:t>防毒墙</w:t>
            </w:r>
          </w:p>
        </w:tc>
        <w:tc>
          <w:tcPr>
            <w:tcW w:w="628" w:type="pct"/>
            <w:tcBorders>
              <w:top w:val="single" w:color="000000" w:sz="4" w:space="0"/>
              <w:left w:val="single" w:color="000000" w:sz="4" w:space="0"/>
              <w:bottom w:val="single" w:color="000000" w:sz="4" w:space="0"/>
              <w:right w:val="single" w:color="000000" w:sz="4" w:space="0"/>
            </w:tcBorders>
            <w:vAlign w:val="center"/>
          </w:tcPr>
          <w:p w14:paraId="428C397F">
            <w:pPr>
              <w:widowControl/>
              <w:ind w:firstLine="0" w:firstLineChars="0"/>
              <w:jc w:val="center"/>
              <w:textAlignment w:val="center"/>
              <w:rPr>
                <w:rFonts w:hint="eastAsia" w:cs="宋体"/>
                <w:color w:val="000000"/>
              </w:rPr>
            </w:pPr>
            <w:r>
              <w:rPr>
                <w:rFonts w:hint="eastAsia" w:cs="宋体"/>
                <w:color w:val="000000"/>
                <w:kern w:val="0"/>
                <w:lang w:bidi="ar"/>
              </w:rPr>
              <w:t>2</w:t>
            </w:r>
          </w:p>
        </w:tc>
        <w:tc>
          <w:tcPr>
            <w:tcW w:w="628" w:type="pct"/>
            <w:tcBorders>
              <w:top w:val="single" w:color="000000" w:sz="4" w:space="0"/>
              <w:left w:val="single" w:color="000000" w:sz="4" w:space="0"/>
              <w:bottom w:val="single" w:color="000000" w:sz="4" w:space="0"/>
              <w:right w:val="single" w:color="000000" w:sz="4" w:space="0"/>
            </w:tcBorders>
            <w:vAlign w:val="center"/>
          </w:tcPr>
          <w:p w14:paraId="77D19A07">
            <w:pPr>
              <w:widowControl/>
              <w:ind w:firstLine="0" w:firstLineChars="0"/>
              <w:jc w:val="center"/>
              <w:textAlignment w:val="center"/>
              <w:rPr>
                <w:rFonts w:hint="eastAsia" w:cs="宋体"/>
                <w:color w:val="000000"/>
              </w:rPr>
            </w:pPr>
            <w:r>
              <w:rPr>
                <w:rFonts w:hint="eastAsia" w:cs="宋体"/>
                <w:color w:val="000000"/>
                <w:kern w:val="0"/>
                <w:lang w:bidi="ar"/>
              </w:rPr>
              <w:t>台</w:t>
            </w:r>
          </w:p>
        </w:tc>
      </w:tr>
      <w:tr w14:paraId="100EC529">
        <w:tblPrEx>
          <w:tblCellMar>
            <w:top w:w="0" w:type="dxa"/>
            <w:left w:w="108" w:type="dxa"/>
            <w:bottom w:w="0" w:type="dxa"/>
            <w:right w:w="108" w:type="dxa"/>
          </w:tblCellMar>
        </w:tblPrEx>
        <w:trPr>
          <w:trHeight w:val="813" w:hRule="atLeast"/>
        </w:trPr>
        <w:tc>
          <w:tcPr>
            <w:tcW w:w="628" w:type="pct"/>
            <w:tcBorders>
              <w:top w:val="single" w:color="000000" w:sz="4" w:space="0"/>
              <w:left w:val="single" w:color="000000" w:sz="4" w:space="0"/>
              <w:bottom w:val="single" w:color="000000" w:sz="4" w:space="0"/>
              <w:right w:val="single" w:color="000000" w:sz="4" w:space="0"/>
            </w:tcBorders>
            <w:noWrap/>
            <w:vAlign w:val="center"/>
          </w:tcPr>
          <w:p w14:paraId="2A8EBF77">
            <w:pPr>
              <w:widowControl/>
              <w:ind w:firstLine="0" w:firstLineChars="0"/>
              <w:jc w:val="center"/>
              <w:textAlignment w:val="center"/>
              <w:rPr>
                <w:rFonts w:hint="eastAsia" w:cs="宋体"/>
                <w:color w:val="000000"/>
              </w:rPr>
            </w:pPr>
            <w:r>
              <w:rPr>
                <w:rFonts w:hint="eastAsia" w:cs="宋体"/>
                <w:color w:val="000000"/>
                <w:kern w:val="0"/>
                <w:lang w:bidi="ar"/>
              </w:rPr>
              <w:t>4</w:t>
            </w:r>
          </w:p>
        </w:tc>
        <w:tc>
          <w:tcPr>
            <w:tcW w:w="1368" w:type="pct"/>
            <w:tcBorders>
              <w:top w:val="single" w:color="000000" w:sz="4" w:space="0"/>
              <w:left w:val="single" w:color="000000" w:sz="4" w:space="0"/>
              <w:bottom w:val="single" w:color="000000" w:sz="4" w:space="0"/>
              <w:right w:val="single" w:color="000000" w:sz="4" w:space="0"/>
            </w:tcBorders>
            <w:vAlign w:val="center"/>
          </w:tcPr>
          <w:p w14:paraId="4E35F2A8">
            <w:pPr>
              <w:widowControl/>
              <w:ind w:firstLine="0" w:firstLineChars="0"/>
              <w:jc w:val="left"/>
              <w:textAlignment w:val="center"/>
              <w:rPr>
                <w:rFonts w:hint="eastAsia" w:cs="宋体"/>
                <w:color w:val="000000"/>
              </w:rPr>
            </w:pPr>
            <w:r>
              <w:rPr>
                <w:rFonts w:hint="eastAsia" w:cs="宋体"/>
                <w:color w:val="000000"/>
                <w:kern w:val="0"/>
                <w:lang w:bidi="ar"/>
              </w:rPr>
              <w:t>安全管理与支持</w:t>
            </w:r>
          </w:p>
        </w:tc>
        <w:tc>
          <w:tcPr>
            <w:tcW w:w="1748" w:type="pct"/>
            <w:tcBorders>
              <w:top w:val="single" w:color="000000" w:sz="4" w:space="0"/>
              <w:left w:val="single" w:color="000000" w:sz="4" w:space="0"/>
              <w:bottom w:val="single" w:color="000000" w:sz="4" w:space="0"/>
              <w:right w:val="single" w:color="000000" w:sz="4" w:space="0"/>
            </w:tcBorders>
            <w:noWrap/>
            <w:vAlign w:val="center"/>
          </w:tcPr>
          <w:p w14:paraId="06DDE942">
            <w:pPr>
              <w:widowControl/>
              <w:ind w:firstLine="0" w:firstLineChars="0"/>
              <w:jc w:val="left"/>
              <w:textAlignment w:val="center"/>
              <w:rPr>
                <w:rFonts w:hint="eastAsia" w:cs="宋体"/>
                <w:color w:val="000000"/>
              </w:rPr>
            </w:pPr>
            <w:r>
              <w:rPr>
                <w:rFonts w:hint="eastAsia" w:cs="宋体"/>
                <w:color w:val="000000"/>
                <w:kern w:val="0"/>
                <w:lang w:bidi="ar"/>
              </w:rPr>
              <w:t>上网行为管理器</w:t>
            </w:r>
          </w:p>
        </w:tc>
        <w:tc>
          <w:tcPr>
            <w:tcW w:w="628" w:type="pct"/>
            <w:tcBorders>
              <w:top w:val="single" w:color="000000" w:sz="4" w:space="0"/>
              <w:left w:val="single" w:color="000000" w:sz="4" w:space="0"/>
              <w:bottom w:val="single" w:color="000000" w:sz="4" w:space="0"/>
              <w:right w:val="single" w:color="000000" w:sz="4" w:space="0"/>
            </w:tcBorders>
            <w:vAlign w:val="center"/>
          </w:tcPr>
          <w:p w14:paraId="2A9318E7">
            <w:pPr>
              <w:widowControl/>
              <w:ind w:firstLine="0" w:firstLineChars="0"/>
              <w:jc w:val="center"/>
              <w:textAlignment w:val="center"/>
              <w:rPr>
                <w:rFonts w:hint="eastAsia" w:cs="宋体"/>
                <w:color w:val="000000"/>
              </w:rPr>
            </w:pPr>
            <w:r>
              <w:rPr>
                <w:rFonts w:hint="eastAsia" w:cs="宋体"/>
                <w:color w:val="000000"/>
                <w:kern w:val="0"/>
                <w:lang w:bidi="ar"/>
              </w:rPr>
              <w:t>1</w:t>
            </w:r>
          </w:p>
        </w:tc>
        <w:tc>
          <w:tcPr>
            <w:tcW w:w="628" w:type="pct"/>
            <w:tcBorders>
              <w:top w:val="single" w:color="000000" w:sz="4" w:space="0"/>
              <w:left w:val="single" w:color="000000" w:sz="4" w:space="0"/>
              <w:bottom w:val="single" w:color="000000" w:sz="4" w:space="0"/>
              <w:right w:val="single" w:color="000000" w:sz="4" w:space="0"/>
            </w:tcBorders>
            <w:vAlign w:val="center"/>
          </w:tcPr>
          <w:p w14:paraId="20871F87">
            <w:pPr>
              <w:widowControl/>
              <w:ind w:firstLine="0" w:firstLineChars="0"/>
              <w:jc w:val="center"/>
              <w:textAlignment w:val="center"/>
              <w:rPr>
                <w:rFonts w:hint="eastAsia" w:cs="宋体"/>
                <w:color w:val="000000"/>
              </w:rPr>
            </w:pPr>
            <w:r>
              <w:rPr>
                <w:rFonts w:hint="eastAsia" w:cs="宋体"/>
                <w:color w:val="000000"/>
                <w:kern w:val="0"/>
                <w:lang w:bidi="ar"/>
              </w:rPr>
              <w:t>台</w:t>
            </w:r>
          </w:p>
        </w:tc>
      </w:tr>
      <w:tr w14:paraId="5DE74EC2">
        <w:tblPrEx>
          <w:tblCellMar>
            <w:top w:w="0" w:type="dxa"/>
            <w:left w:w="108" w:type="dxa"/>
            <w:bottom w:w="0" w:type="dxa"/>
            <w:right w:w="108" w:type="dxa"/>
          </w:tblCellMar>
        </w:tblPrEx>
        <w:trPr>
          <w:trHeight w:val="734" w:hRule="atLeast"/>
        </w:trPr>
        <w:tc>
          <w:tcPr>
            <w:tcW w:w="628" w:type="pct"/>
            <w:tcBorders>
              <w:top w:val="single" w:color="000000" w:sz="4" w:space="0"/>
              <w:left w:val="single" w:color="000000" w:sz="4" w:space="0"/>
              <w:bottom w:val="single" w:color="000000" w:sz="4" w:space="0"/>
              <w:right w:val="single" w:color="000000" w:sz="4" w:space="0"/>
            </w:tcBorders>
            <w:noWrap/>
            <w:vAlign w:val="center"/>
          </w:tcPr>
          <w:p w14:paraId="303865B7">
            <w:pPr>
              <w:widowControl/>
              <w:ind w:firstLine="0" w:firstLineChars="0"/>
              <w:jc w:val="center"/>
              <w:textAlignment w:val="center"/>
              <w:rPr>
                <w:rFonts w:hint="eastAsia" w:cs="宋体"/>
                <w:color w:val="000000"/>
              </w:rPr>
            </w:pPr>
            <w:r>
              <w:rPr>
                <w:rFonts w:hint="eastAsia" w:cs="宋体"/>
                <w:color w:val="000000"/>
                <w:kern w:val="0"/>
                <w:lang w:bidi="ar"/>
              </w:rPr>
              <w:t>5</w:t>
            </w:r>
          </w:p>
        </w:tc>
        <w:tc>
          <w:tcPr>
            <w:tcW w:w="1368" w:type="pct"/>
            <w:tcBorders>
              <w:top w:val="single" w:color="000000" w:sz="4" w:space="0"/>
              <w:left w:val="single" w:color="000000" w:sz="4" w:space="0"/>
              <w:bottom w:val="single" w:color="000000" w:sz="4" w:space="0"/>
              <w:right w:val="single" w:color="000000" w:sz="4" w:space="0"/>
            </w:tcBorders>
            <w:vAlign w:val="center"/>
          </w:tcPr>
          <w:p w14:paraId="6121B604">
            <w:pPr>
              <w:widowControl/>
              <w:ind w:firstLine="0" w:firstLineChars="0"/>
              <w:jc w:val="left"/>
              <w:textAlignment w:val="center"/>
              <w:rPr>
                <w:rFonts w:hint="eastAsia" w:cs="宋体"/>
                <w:color w:val="000000"/>
              </w:rPr>
            </w:pPr>
            <w:r>
              <w:rPr>
                <w:rFonts w:hint="eastAsia" w:cs="宋体"/>
                <w:color w:val="000000"/>
                <w:kern w:val="0"/>
                <w:lang w:bidi="ar"/>
              </w:rPr>
              <w:t>安全管理与支持</w:t>
            </w:r>
          </w:p>
        </w:tc>
        <w:tc>
          <w:tcPr>
            <w:tcW w:w="1748" w:type="pct"/>
            <w:tcBorders>
              <w:top w:val="single" w:color="000000" w:sz="4" w:space="0"/>
              <w:left w:val="single" w:color="000000" w:sz="4" w:space="0"/>
              <w:bottom w:val="single" w:color="000000" w:sz="4" w:space="0"/>
              <w:right w:val="single" w:color="000000" w:sz="4" w:space="0"/>
            </w:tcBorders>
            <w:noWrap/>
            <w:vAlign w:val="center"/>
          </w:tcPr>
          <w:p w14:paraId="6C0D186F">
            <w:pPr>
              <w:widowControl/>
              <w:ind w:firstLine="0" w:firstLineChars="0"/>
              <w:jc w:val="left"/>
              <w:textAlignment w:val="center"/>
              <w:rPr>
                <w:rFonts w:hint="eastAsia" w:cs="宋体"/>
                <w:color w:val="000000"/>
              </w:rPr>
            </w:pPr>
            <w:r>
              <w:rPr>
                <w:rFonts w:hint="eastAsia" w:cs="宋体"/>
                <w:color w:val="000000"/>
                <w:kern w:val="0"/>
                <w:lang w:bidi="ar"/>
              </w:rPr>
              <w:t>终端防护系统</w:t>
            </w:r>
          </w:p>
        </w:tc>
        <w:tc>
          <w:tcPr>
            <w:tcW w:w="628" w:type="pct"/>
            <w:tcBorders>
              <w:top w:val="single" w:color="000000" w:sz="4" w:space="0"/>
              <w:left w:val="single" w:color="000000" w:sz="4" w:space="0"/>
              <w:bottom w:val="single" w:color="000000" w:sz="4" w:space="0"/>
              <w:right w:val="single" w:color="000000" w:sz="4" w:space="0"/>
            </w:tcBorders>
            <w:vAlign w:val="center"/>
          </w:tcPr>
          <w:p w14:paraId="11D25114">
            <w:pPr>
              <w:widowControl/>
              <w:ind w:firstLine="0" w:firstLineChars="0"/>
              <w:jc w:val="center"/>
              <w:textAlignment w:val="center"/>
              <w:rPr>
                <w:rFonts w:hint="eastAsia" w:cs="宋体"/>
                <w:color w:val="000000"/>
              </w:rPr>
            </w:pPr>
            <w:r>
              <w:rPr>
                <w:rFonts w:hint="eastAsia" w:cs="宋体"/>
                <w:color w:val="000000"/>
                <w:kern w:val="0"/>
                <w:lang w:bidi="ar"/>
              </w:rPr>
              <w:t>1</w:t>
            </w:r>
          </w:p>
        </w:tc>
        <w:tc>
          <w:tcPr>
            <w:tcW w:w="628" w:type="pct"/>
            <w:tcBorders>
              <w:top w:val="single" w:color="000000" w:sz="4" w:space="0"/>
              <w:left w:val="single" w:color="000000" w:sz="4" w:space="0"/>
              <w:bottom w:val="single" w:color="000000" w:sz="4" w:space="0"/>
              <w:right w:val="single" w:color="000000" w:sz="4" w:space="0"/>
            </w:tcBorders>
            <w:vAlign w:val="center"/>
          </w:tcPr>
          <w:p w14:paraId="7FB4E631">
            <w:pPr>
              <w:widowControl/>
              <w:ind w:firstLine="0" w:firstLineChars="0"/>
              <w:jc w:val="center"/>
              <w:textAlignment w:val="center"/>
              <w:rPr>
                <w:rFonts w:hint="eastAsia" w:cs="宋体"/>
                <w:color w:val="000000"/>
              </w:rPr>
            </w:pPr>
            <w:r>
              <w:rPr>
                <w:rFonts w:hint="eastAsia" w:cs="宋体"/>
                <w:color w:val="000000"/>
                <w:kern w:val="0"/>
                <w:lang w:bidi="ar"/>
              </w:rPr>
              <w:t>套</w:t>
            </w:r>
          </w:p>
        </w:tc>
      </w:tr>
      <w:tr w14:paraId="40E16BFA">
        <w:tblPrEx>
          <w:tblCellMar>
            <w:top w:w="0" w:type="dxa"/>
            <w:left w:w="108" w:type="dxa"/>
            <w:bottom w:w="0" w:type="dxa"/>
            <w:right w:w="108" w:type="dxa"/>
          </w:tblCellMar>
        </w:tblPrEx>
        <w:trPr>
          <w:trHeight w:val="515" w:hRule="atLeast"/>
        </w:trPr>
        <w:tc>
          <w:tcPr>
            <w:tcW w:w="628" w:type="pct"/>
            <w:tcBorders>
              <w:top w:val="single" w:color="000000" w:sz="4" w:space="0"/>
              <w:left w:val="single" w:color="000000" w:sz="4" w:space="0"/>
              <w:bottom w:val="single" w:color="000000" w:sz="4" w:space="0"/>
              <w:right w:val="single" w:color="000000" w:sz="4" w:space="0"/>
            </w:tcBorders>
            <w:noWrap/>
            <w:vAlign w:val="center"/>
          </w:tcPr>
          <w:p w14:paraId="7E4D3563">
            <w:pPr>
              <w:widowControl/>
              <w:ind w:firstLine="0" w:firstLineChars="0"/>
              <w:jc w:val="center"/>
              <w:textAlignment w:val="center"/>
              <w:rPr>
                <w:rFonts w:hint="eastAsia" w:cs="宋体"/>
                <w:color w:val="000000"/>
              </w:rPr>
            </w:pPr>
            <w:r>
              <w:rPr>
                <w:rFonts w:hint="eastAsia" w:cs="宋体"/>
                <w:color w:val="000000"/>
                <w:kern w:val="0"/>
                <w:lang w:bidi="ar"/>
              </w:rPr>
              <w:t>6</w:t>
            </w:r>
          </w:p>
        </w:tc>
        <w:tc>
          <w:tcPr>
            <w:tcW w:w="1368" w:type="pct"/>
            <w:tcBorders>
              <w:top w:val="single" w:color="000000" w:sz="4" w:space="0"/>
              <w:left w:val="single" w:color="000000" w:sz="4" w:space="0"/>
              <w:bottom w:val="single" w:color="000000" w:sz="4" w:space="0"/>
              <w:right w:val="single" w:color="000000" w:sz="4" w:space="0"/>
            </w:tcBorders>
            <w:vAlign w:val="center"/>
          </w:tcPr>
          <w:p w14:paraId="02DB5FDE">
            <w:pPr>
              <w:widowControl/>
              <w:ind w:firstLine="0" w:firstLineChars="0"/>
              <w:jc w:val="left"/>
              <w:textAlignment w:val="center"/>
              <w:rPr>
                <w:rFonts w:hint="eastAsia" w:cs="宋体"/>
                <w:color w:val="000000"/>
              </w:rPr>
            </w:pPr>
            <w:r>
              <w:rPr>
                <w:rFonts w:hint="eastAsia" w:cs="宋体"/>
                <w:color w:val="000000"/>
                <w:kern w:val="0"/>
                <w:lang w:bidi="ar"/>
              </w:rPr>
              <w:t>安全管理与支持</w:t>
            </w:r>
          </w:p>
        </w:tc>
        <w:tc>
          <w:tcPr>
            <w:tcW w:w="1748" w:type="pct"/>
            <w:tcBorders>
              <w:top w:val="single" w:color="000000" w:sz="4" w:space="0"/>
              <w:left w:val="single" w:color="000000" w:sz="4" w:space="0"/>
              <w:bottom w:val="single" w:color="000000" w:sz="4" w:space="0"/>
              <w:right w:val="single" w:color="000000" w:sz="4" w:space="0"/>
            </w:tcBorders>
            <w:noWrap/>
            <w:vAlign w:val="center"/>
          </w:tcPr>
          <w:p w14:paraId="783AAD29">
            <w:pPr>
              <w:widowControl/>
              <w:ind w:firstLine="0" w:firstLineChars="0"/>
              <w:jc w:val="left"/>
              <w:textAlignment w:val="center"/>
              <w:rPr>
                <w:rFonts w:hint="eastAsia" w:cs="宋体"/>
                <w:color w:val="000000"/>
              </w:rPr>
            </w:pPr>
            <w:r>
              <w:rPr>
                <w:rFonts w:hint="eastAsia" w:cs="宋体"/>
                <w:color w:val="000000"/>
                <w:kern w:val="0"/>
                <w:lang w:bidi="ar"/>
              </w:rPr>
              <w:t>网络审计</w:t>
            </w:r>
          </w:p>
        </w:tc>
        <w:tc>
          <w:tcPr>
            <w:tcW w:w="628" w:type="pct"/>
            <w:tcBorders>
              <w:top w:val="single" w:color="000000" w:sz="4" w:space="0"/>
              <w:left w:val="single" w:color="000000" w:sz="4" w:space="0"/>
              <w:bottom w:val="single" w:color="000000" w:sz="4" w:space="0"/>
              <w:right w:val="single" w:color="000000" w:sz="4" w:space="0"/>
            </w:tcBorders>
            <w:vAlign w:val="center"/>
          </w:tcPr>
          <w:p w14:paraId="52165C8A">
            <w:pPr>
              <w:widowControl/>
              <w:ind w:firstLine="0" w:firstLineChars="0"/>
              <w:jc w:val="center"/>
              <w:textAlignment w:val="center"/>
              <w:rPr>
                <w:rFonts w:hint="eastAsia" w:cs="宋体"/>
                <w:color w:val="000000"/>
              </w:rPr>
            </w:pPr>
            <w:r>
              <w:rPr>
                <w:rFonts w:hint="eastAsia" w:cs="宋体"/>
                <w:color w:val="000000"/>
                <w:kern w:val="0"/>
                <w:lang w:bidi="ar"/>
              </w:rPr>
              <w:t>1</w:t>
            </w:r>
          </w:p>
        </w:tc>
        <w:tc>
          <w:tcPr>
            <w:tcW w:w="628" w:type="pct"/>
            <w:tcBorders>
              <w:top w:val="single" w:color="000000" w:sz="4" w:space="0"/>
              <w:left w:val="single" w:color="000000" w:sz="4" w:space="0"/>
              <w:bottom w:val="single" w:color="000000" w:sz="4" w:space="0"/>
              <w:right w:val="single" w:color="000000" w:sz="4" w:space="0"/>
            </w:tcBorders>
            <w:vAlign w:val="center"/>
          </w:tcPr>
          <w:p w14:paraId="6A2089FA">
            <w:pPr>
              <w:widowControl/>
              <w:ind w:firstLine="0" w:firstLineChars="0"/>
              <w:jc w:val="center"/>
              <w:textAlignment w:val="center"/>
              <w:rPr>
                <w:rFonts w:hint="eastAsia" w:cs="宋体"/>
                <w:color w:val="000000"/>
              </w:rPr>
            </w:pPr>
            <w:r>
              <w:rPr>
                <w:rFonts w:hint="eastAsia" w:cs="宋体"/>
                <w:color w:val="000000"/>
                <w:kern w:val="0"/>
                <w:lang w:bidi="ar"/>
              </w:rPr>
              <w:t>台</w:t>
            </w:r>
          </w:p>
        </w:tc>
      </w:tr>
      <w:tr w14:paraId="16E876C4">
        <w:tblPrEx>
          <w:tblCellMar>
            <w:top w:w="0" w:type="dxa"/>
            <w:left w:w="108" w:type="dxa"/>
            <w:bottom w:w="0" w:type="dxa"/>
            <w:right w:w="108" w:type="dxa"/>
          </w:tblCellMar>
        </w:tblPrEx>
        <w:trPr>
          <w:trHeight w:val="864" w:hRule="atLeast"/>
        </w:trPr>
        <w:tc>
          <w:tcPr>
            <w:tcW w:w="628" w:type="pct"/>
            <w:tcBorders>
              <w:top w:val="single" w:color="000000" w:sz="4" w:space="0"/>
              <w:left w:val="single" w:color="000000" w:sz="4" w:space="0"/>
              <w:bottom w:val="single" w:color="000000" w:sz="4" w:space="0"/>
              <w:right w:val="single" w:color="000000" w:sz="4" w:space="0"/>
            </w:tcBorders>
            <w:noWrap/>
            <w:vAlign w:val="center"/>
          </w:tcPr>
          <w:p w14:paraId="47EB08C5">
            <w:pPr>
              <w:widowControl/>
              <w:ind w:firstLine="0" w:firstLineChars="0"/>
              <w:jc w:val="center"/>
              <w:textAlignment w:val="center"/>
              <w:rPr>
                <w:rFonts w:hint="eastAsia" w:cs="宋体"/>
                <w:color w:val="000000"/>
              </w:rPr>
            </w:pPr>
            <w:r>
              <w:rPr>
                <w:rFonts w:hint="eastAsia" w:cs="宋体"/>
                <w:color w:val="000000"/>
                <w:kern w:val="0"/>
                <w:lang w:bidi="ar"/>
              </w:rPr>
              <w:t>7</w:t>
            </w:r>
          </w:p>
        </w:tc>
        <w:tc>
          <w:tcPr>
            <w:tcW w:w="1368" w:type="pct"/>
            <w:tcBorders>
              <w:top w:val="single" w:color="000000" w:sz="4" w:space="0"/>
              <w:left w:val="single" w:color="000000" w:sz="4" w:space="0"/>
              <w:bottom w:val="single" w:color="000000" w:sz="4" w:space="0"/>
              <w:right w:val="single" w:color="000000" w:sz="4" w:space="0"/>
            </w:tcBorders>
            <w:vAlign w:val="center"/>
          </w:tcPr>
          <w:p w14:paraId="229651C1">
            <w:pPr>
              <w:widowControl/>
              <w:ind w:firstLine="0" w:firstLineChars="0"/>
              <w:jc w:val="left"/>
              <w:textAlignment w:val="center"/>
              <w:rPr>
                <w:rFonts w:hint="eastAsia" w:cs="宋体"/>
                <w:color w:val="000000"/>
              </w:rPr>
            </w:pPr>
            <w:r>
              <w:rPr>
                <w:rFonts w:hint="eastAsia" w:cs="宋体"/>
                <w:color w:val="000000"/>
                <w:kern w:val="0"/>
                <w:lang w:bidi="ar"/>
              </w:rPr>
              <w:t>安全管理与支持</w:t>
            </w:r>
          </w:p>
        </w:tc>
        <w:tc>
          <w:tcPr>
            <w:tcW w:w="1748" w:type="pct"/>
            <w:tcBorders>
              <w:top w:val="single" w:color="000000" w:sz="4" w:space="0"/>
              <w:left w:val="single" w:color="000000" w:sz="4" w:space="0"/>
              <w:bottom w:val="single" w:color="000000" w:sz="4" w:space="0"/>
              <w:right w:val="single" w:color="000000" w:sz="4" w:space="0"/>
            </w:tcBorders>
            <w:noWrap/>
            <w:vAlign w:val="center"/>
          </w:tcPr>
          <w:p w14:paraId="0829591F">
            <w:pPr>
              <w:widowControl/>
              <w:ind w:firstLine="0" w:firstLineChars="0"/>
              <w:jc w:val="left"/>
              <w:textAlignment w:val="center"/>
              <w:rPr>
                <w:rFonts w:hint="eastAsia" w:cs="宋体"/>
                <w:color w:val="000000"/>
              </w:rPr>
            </w:pPr>
            <w:r>
              <w:rPr>
                <w:rFonts w:hint="eastAsia" w:cs="宋体"/>
                <w:color w:val="000000"/>
                <w:kern w:val="0"/>
                <w:lang w:bidi="ar"/>
              </w:rPr>
              <w:t>堡垒机</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5B0772F6">
            <w:pPr>
              <w:widowControl/>
              <w:ind w:firstLine="0" w:firstLineChars="0"/>
              <w:jc w:val="center"/>
              <w:textAlignment w:val="center"/>
              <w:rPr>
                <w:rFonts w:hint="eastAsia" w:cs="宋体"/>
                <w:color w:val="000000"/>
              </w:rPr>
            </w:pPr>
            <w:r>
              <w:rPr>
                <w:rFonts w:hint="eastAsia" w:cs="宋体"/>
                <w:color w:val="000000"/>
                <w:kern w:val="0"/>
                <w:lang w:bidi="ar"/>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62FBD7F8">
            <w:pPr>
              <w:widowControl/>
              <w:ind w:firstLine="0" w:firstLineChars="0"/>
              <w:jc w:val="center"/>
              <w:textAlignment w:val="center"/>
              <w:rPr>
                <w:rFonts w:hint="eastAsia" w:cs="宋体"/>
                <w:color w:val="000000"/>
              </w:rPr>
            </w:pPr>
            <w:r>
              <w:rPr>
                <w:rFonts w:hint="eastAsia" w:cs="宋体"/>
                <w:color w:val="000000"/>
                <w:kern w:val="0"/>
                <w:lang w:bidi="ar"/>
              </w:rPr>
              <w:t>台</w:t>
            </w:r>
          </w:p>
        </w:tc>
      </w:tr>
      <w:tr w14:paraId="29C56439">
        <w:tblPrEx>
          <w:tblCellMar>
            <w:top w:w="0" w:type="dxa"/>
            <w:left w:w="108" w:type="dxa"/>
            <w:bottom w:w="0" w:type="dxa"/>
            <w:right w:w="108" w:type="dxa"/>
          </w:tblCellMar>
        </w:tblPrEx>
        <w:trPr>
          <w:trHeight w:val="306" w:hRule="atLeast"/>
        </w:trPr>
        <w:tc>
          <w:tcPr>
            <w:tcW w:w="628" w:type="pct"/>
            <w:tcBorders>
              <w:top w:val="single" w:color="000000" w:sz="4" w:space="0"/>
              <w:left w:val="single" w:color="000000" w:sz="4" w:space="0"/>
              <w:bottom w:val="single" w:color="000000" w:sz="4" w:space="0"/>
              <w:right w:val="single" w:color="000000" w:sz="4" w:space="0"/>
            </w:tcBorders>
            <w:noWrap/>
            <w:vAlign w:val="center"/>
          </w:tcPr>
          <w:p w14:paraId="2ED42FF0">
            <w:pPr>
              <w:widowControl/>
              <w:ind w:firstLine="0" w:firstLineChars="0"/>
              <w:jc w:val="center"/>
              <w:textAlignment w:val="center"/>
              <w:rPr>
                <w:rFonts w:hint="eastAsia" w:cs="宋体"/>
                <w:color w:val="000000"/>
              </w:rPr>
            </w:pPr>
            <w:r>
              <w:rPr>
                <w:rFonts w:hint="eastAsia" w:cs="宋体"/>
                <w:color w:val="000000"/>
                <w:kern w:val="0"/>
                <w:lang w:bidi="ar"/>
              </w:rPr>
              <w:t>8</w:t>
            </w:r>
          </w:p>
        </w:tc>
        <w:tc>
          <w:tcPr>
            <w:tcW w:w="1368" w:type="pct"/>
            <w:tcBorders>
              <w:top w:val="single" w:color="000000" w:sz="4" w:space="0"/>
              <w:left w:val="single" w:color="000000" w:sz="4" w:space="0"/>
              <w:bottom w:val="single" w:color="000000" w:sz="4" w:space="0"/>
              <w:right w:val="single" w:color="000000" w:sz="4" w:space="0"/>
            </w:tcBorders>
            <w:vAlign w:val="center"/>
          </w:tcPr>
          <w:p w14:paraId="2D877F4D">
            <w:pPr>
              <w:widowControl/>
              <w:ind w:firstLine="0" w:firstLineChars="0"/>
              <w:jc w:val="left"/>
              <w:textAlignment w:val="center"/>
              <w:rPr>
                <w:rFonts w:hint="eastAsia" w:cs="宋体"/>
                <w:color w:val="000000"/>
              </w:rPr>
            </w:pPr>
            <w:r>
              <w:rPr>
                <w:rFonts w:hint="eastAsia" w:cs="宋体"/>
                <w:color w:val="000000"/>
                <w:kern w:val="0"/>
                <w:lang w:bidi="ar"/>
              </w:rPr>
              <w:t>安全管理与支持</w:t>
            </w:r>
          </w:p>
        </w:tc>
        <w:tc>
          <w:tcPr>
            <w:tcW w:w="1748" w:type="pct"/>
            <w:tcBorders>
              <w:top w:val="single" w:color="000000" w:sz="4" w:space="0"/>
              <w:left w:val="single" w:color="000000" w:sz="4" w:space="0"/>
              <w:bottom w:val="single" w:color="000000" w:sz="4" w:space="0"/>
              <w:right w:val="single" w:color="000000" w:sz="4" w:space="0"/>
            </w:tcBorders>
            <w:noWrap/>
            <w:vAlign w:val="center"/>
          </w:tcPr>
          <w:p w14:paraId="0314D60B">
            <w:pPr>
              <w:widowControl/>
              <w:ind w:firstLine="0" w:firstLineChars="0"/>
              <w:jc w:val="left"/>
              <w:textAlignment w:val="center"/>
              <w:rPr>
                <w:rFonts w:hint="eastAsia" w:cs="宋体"/>
                <w:color w:val="000000"/>
              </w:rPr>
            </w:pPr>
            <w:r>
              <w:rPr>
                <w:rFonts w:hint="eastAsia" w:cs="宋体"/>
                <w:color w:val="000000"/>
                <w:kern w:val="0"/>
                <w:lang w:bidi="ar"/>
              </w:rPr>
              <w:t>SOC管理平台</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4521D806">
            <w:pPr>
              <w:widowControl/>
              <w:ind w:firstLine="0" w:firstLineChars="0"/>
              <w:jc w:val="center"/>
              <w:textAlignment w:val="center"/>
              <w:rPr>
                <w:rFonts w:hint="eastAsia" w:cs="宋体"/>
                <w:color w:val="000000"/>
              </w:rPr>
            </w:pPr>
            <w:r>
              <w:rPr>
                <w:rFonts w:hint="eastAsia" w:cs="宋体"/>
                <w:color w:val="000000"/>
                <w:kern w:val="0"/>
                <w:lang w:bidi="ar"/>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7E869298">
            <w:pPr>
              <w:widowControl/>
              <w:ind w:firstLine="0" w:firstLineChars="0"/>
              <w:jc w:val="center"/>
              <w:textAlignment w:val="center"/>
              <w:rPr>
                <w:rFonts w:hint="eastAsia" w:cs="宋体"/>
                <w:color w:val="000000"/>
              </w:rPr>
            </w:pPr>
            <w:r>
              <w:rPr>
                <w:rFonts w:hint="eastAsia" w:cs="宋体"/>
                <w:color w:val="000000"/>
                <w:kern w:val="0"/>
                <w:lang w:bidi="ar"/>
              </w:rPr>
              <w:t>套</w:t>
            </w:r>
          </w:p>
        </w:tc>
      </w:tr>
      <w:tr w14:paraId="4CBBBF67">
        <w:tblPrEx>
          <w:tblCellMar>
            <w:top w:w="0" w:type="dxa"/>
            <w:left w:w="108" w:type="dxa"/>
            <w:bottom w:w="0" w:type="dxa"/>
            <w:right w:w="108" w:type="dxa"/>
          </w:tblCellMar>
        </w:tblPrEx>
        <w:trPr>
          <w:trHeight w:val="432" w:hRule="atLeast"/>
        </w:trPr>
        <w:tc>
          <w:tcPr>
            <w:tcW w:w="628" w:type="pct"/>
            <w:tcBorders>
              <w:top w:val="single" w:color="000000" w:sz="4" w:space="0"/>
              <w:left w:val="single" w:color="000000" w:sz="4" w:space="0"/>
              <w:bottom w:val="single" w:color="000000" w:sz="4" w:space="0"/>
              <w:right w:val="single" w:color="000000" w:sz="4" w:space="0"/>
            </w:tcBorders>
            <w:noWrap/>
            <w:vAlign w:val="center"/>
          </w:tcPr>
          <w:p w14:paraId="2FEE6BE9">
            <w:pPr>
              <w:widowControl/>
              <w:ind w:firstLine="0" w:firstLineChars="0"/>
              <w:jc w:val="center"/>
              <w:textAlignment w:val="center"/>
              <w:rPr>
                <w:rFonts w:hint="eastAsia" w:cs="宋体"/>
                <w:color w:val="000000"/>
              </w:rPr>
            </w:pPr>
            <w:r>
              <w:rPr>
                <w:rFonts w:hint="eastAsia" w:cs="宋体"/>
                <w:color w:val="000000"/>
                <w:kern w:val="0"/>
                <w:lang w:bidi="ar"/>
              </w:rPr>
              <w:t>9</w:t>
            </w:r>
          </w:p>
        </w:tc>
        <w:tc>
          <w:tcPr>
            <w:tcW w:w="1368" w:type="pct"/>
            <w:tcBorders>
              <w:top w:val="single" w:color="000000" w:sz="4" w:space="0"/>
              <w:left w:val="single" w:color="000000" w:sz="4" w:space="0"/>
              <w:bottom w:val="single" w:color="000000" w:sz="4" w:space="0"/>
              <w:right w:val="single" w:color="000000" w:sz="4" w:space="0"/>
            </w:tcBorders>
            <w:vAlign w:val="center"/>
          </w:tcPr>
          <w:p w14:paraId="719002CC">
            <w:pPr>
              <w:widowControl/>
              <w:ind w:firstLine="0" w:firstLineChars="0"/>
              <w:jc w:val="left"/>
              <w:textAlignment w:val="center"/>
              <w:rPr>
                <w:rFonts w:hint="eastAsia" w:cs="宋体"/>
                <w:color w:val="000000"/>
              </w:rPr>
            </w:pPr>
            <w:r>
              <w:rPr>
                <w:rFonts w:hint="eastAsia" w:cs="宋体"/>
                <w:color w:val="000000"/>
                <w:kern w:val="0"/>
                <w:lang w:bidi="ar"/>
              </w:rPr>
              <w:t>安全管理与支持</w:t>
            </w:r>
          </w:p>
        </w:tc>
        <w:tc>
          <w:tcPr>
            <w:tcW w:w="1748" w:type="pct"/>
            <w:tcBorders>
              <w:top w:val="single" w:color="000000" w:sz="4" w:space="0"/>
              <w:left w:val="single" w:color="000000" w:sz="4" w:space="0"/>
              <w:bottom w:val="single" w:color="000000" w:sz="4" w:space="0"/>
              <w:right w:val="single" w:color="000000" w:sz="4" w:space="0"/>
            </w:tcBorders>
            <w:noWrap/>
            <w:vAlign w:val="center"/>
          </w:tcPr>
          <w:p w14:paraId="3CDA0A97">
            <w:pPr>
              <w:widowControl/>
              <w:ind w:firstLine="0" w:firstLineChars="0"/>
              <w:jc w:val="left"/>
              <w:textAlignment w:val="center"/>
              <w:rPr>
                <w:rFonts w:hint="eastAsia" w:cs="宋体"/>
                <w:color w:val="000000"/>
              </w:rPr>
            </w:pPr>
            <w:r>
              <w:rPr>
                <w:rFonts w:hint="eastAsia" w:cs="宋体"/>
                <w:color w:val="000000"/>
                <w:kern w:val="0"/>
                <w:lang w:bidi="ar"/>
              </w:rPr>
              <w:t>网络准入控制</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00C06103">
            <w:pPr>
              <w:widowControl/>
              <w:ind w:firstLine="0" w:firstLineChars="0"/>
              <w:jc w:val="center"/>
              <w:textAlignment w:val="center"/>
              <w:rPr>
                <w:rFonts w:hint="eastAsia" w:cs="宋体"/>
                <w:color w:val="000000"/>
              </w:rPr>
            </w:pPr>
            <w:r>
              <w:rPr>
                <w:rFonts w:hint="eastAsia" w:cs="宋体"/>
                <w:color w:val="000000"/>
                <w:kern w:val="0"/>
                <w:lang w:bidi="ar"/>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645351CF">
            <w:pPr>
              <w:widowControl/>
              <w:ind w:firstLine="0" w:firstLineChars="0"/>
              <w:jc w:val="center"/>
              <w:textAlignment w:val="center"/>
              <w:rPr>
                <w:rFonts w:hint="eastAsia" w:cs="宋体"/>
                <w:color w:val="000000"/>
              </w:rPr>
            </w:pPr>
            <w:r>
              <w:rPr>
                <w:rFonts w:hint="eastAsia" w:cs="宋体"/>
                <w:color w:val="000000"/>
                <w:kern w:val="0"/>
                <w:lang w:bidi="ar"/>
              </w:rPr>
              <w:t>套</w:t>
            </w:r>
          </w:p>
        </w:tc>
      </w:tr>
      <w:tr w14:paraId="3D2ACCA0">
        <w:tblPrEx>
          <w:tblCellMar>
            <w:top w:w="0" w:type="dxa"/>
            <w:left w:w="108" w:type="dxa"/>
            <w:bottom w:w="0" w:type="dxa"/>
            <w:right w:w="108" w:type="dxa"/>
          </w:tblCellMar>
        </w:tblPrEx>
        <w:trPr>
          <w:trHeight w:val="432" w:hRule="atLeast"/>
        </w:trPr>
        <w:tc>
          <w:tcPr>
            <w:tcW w:w="628" w:type="pct"/>
            <w:tcBorders>
              <w:top w:val="single" w:color="000000" w:sz="4" w:space="0"/>
              <w:left w:val="single" w:color="000000" w:sz="4" w:space="0"/>
              <w:bottom w:val="single" w:color="000000" w:sz="4" w:space="0"/>
              <w:right w:val="single" w:color="000000" w:sz="4" w:space="0"/>
            </w:tcBorders>
            <w:noWrap/>
            <w:vAlign w:val="center"/>
          </w:tcPr>
          <w:p w14:paraId="5D31DBEF">
            <w:pPr>
              <w:widowControl/>
              <w:ind w:firstLine="0" w:firstLineChars="0"/>
              <w:jc w:val="center"/>
              <w:textAlignment w:val="center"/>
              <w:rPr>
                <w:rFonts w:hint="eastAsia" w:cs="宋体"/>
                <w:color w:val="000000"/>
              </w:rPr>
            </w:pPr>
            <w:r>
              <w:rPr>
                <w:rFonts w:hint="eastAsia" w:cs="宋体"/>
                <w:color w:val="000000"/>
                <w:kern w:val="0"/>
                <w:lang w:bidi="ar"/>
              </w:rPr>
              <w:t>10</w:t>
            </w:r>
          </w:p>
        </w:tc>
        <w:tc>
          <w:tcPr>
            <w:tcW w:w="1368" w:type="pct"/>
            <w:tcBorders>
              <w:top w:val="single" w:color="000000" w:sz="4" w:space="0"/>
              <w:left w:val="single" w:color="000000" w:sz="4" w:space="0"/>
              <w:bottom w:val="single" w:color="000000" w:sz="4" w:space="0"/>
              <w:right w:val="single" w:color="000000" w:sz="4" w:space="0"/>
            </w:tcBorders>
            <w:vAlign w:val="center"/>
          </w:tcPr>
          <w:p w14:paraId="08149016">
            <w:pPr>
              <w:widowControl/>
              <w:ind w:firstLine="0" w:firstLineChars="0"/>
              <w:jc w:val="left"/>
              <w:textAlignment w:val="center"/>
              <w:rPr>
                <w:rFonts w:hint="eastAsia" w:cs="宋体"/>
                <w:color w:val="000000"/>
              </w:rPr>
            </w:pPr>
            <w:r>
              <w:rPr>
                <w:rFonts w:hint="eastAsia" w:cs="宋体"/>
                <w:color w:val="000000"/>
                <w:kern w:val="0"/>
                <w:lang w:bidi="ar"/>
              </w:rPr>
              <w:t>安全管理与支持</w:t>
            </w:r>
          </w:p>
        </w:tc>
        <w:tc>
          <w:tcPr>
            <w:tcW w:w="1748" w:type="pct"/>
            <w:tcBorders>
              <w:top w:val="single" w:color="000000" w:sz="4" w:space="0"/>
              <w:left w:val="single" w:color="000000" w:sz="4" w:space="0"/>
              <w:bottom w:val="single" w:color="000000" w:sz="4" w:space="0"/>
              <w:right w:val="single" w:color="000000" w:sz="4" w:space="0"/>
            </w:tcBorders>
            <w:noWrap/>
            <w:vAlign w:val="center"/>
          </w:tcPr>
          <w:p w14:paraId="2682011B">
            <w:pPr>
              <w:widowControl/>
              <w:ind w:firstLine="0" w:firstLineChars="0"/>
              <w:jc w:val="left"/>
              <w:textAlignment w:val="center"/>
              <w:rPr>
                <w:rFonts w:hint="eastAsia" w:cs="宋体"/>
                <w:color w:val="000000"/>
              </w:rPr>
            </w:pPr>
            <w:r>
              <w:rPr>
                <w:rFonts w:hint="eastAsia" w:cs="宋体"/>
                <w:color w:val="000000"/>
                <w:kern w:val="0"/>
                <w:lang w:bidi="ar"/>
              </w:rPr>
              <w:t>数据泄露防护系统</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4F409A15">
            <w:pPr>
              <w:widowControl/>
              <w:ind w:firstLine="0" w:firstLineChars="0"/>
              <w:jc w:val="center"/>
              <w:textAlignment w:val="center"/>
              <w:rPr>
                <w:rFonts w:hint="eastAsia" w:cs="宋体"/>
                <w:color w:val="000000"/>
              </w:rPr>
            </w:pPr>
            <w:r>
              <w:rPr>
                <w:rFonts w:hint="eastAsia" w:cs="宋体"/>
                <w:color w:val="000000"/>
                <w:kern w:val="0"/>
                <w:lang w:bidi="ar"/>
              </w:rPr>
              <w:t>1</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5F7BE96C">
            <w:pPr>
              <w:widowControl/>
              <w:ind w:firstLine="0" w:firstLineChars="0"/>
              <w:jc w:val="center"/>
              <w:textAlignment w:val="center"/>
              <w:rPr>
                <w:rFonts w:hint="eastAsia" w:cs="宋体"/>
                <w:color w:val="000000"/>
              </w:rPr>
            </w:pPr>
            <w:r>
              <w:rPr>
                <w:rFonts w:hint="eastAsia" w:cs="宋体"/>
                <w:color w:val="000000"/>
                <w:kern w:val="0"/>
                <w:lang w:bidi="ar"/>
              </w:rPr>
              <w:t>套</w:t>
            </w:r>
          </w:p>
        </w:tc>
      </w:tr>
      <w:tr w14:paraId="1542A647">
        <w:tblPrEx>
          <w:tblCellMar>
            <w:top w:w="0" w:type="dxa"/>
            <w:left w:w="108" w:type="dxa"/>
            <w:bottom w:w="0" w:type="dxa"/>
            <w:right w:w="108" w:type="dxa"/>
          </w:tblCellMar>
        </w:tblPrEx>
        <w:trPr>
          <w:trHeight w:val="288" w:hRule="atLeast"/>
        </w:trPr>
        <w:tc>
          <w:tcPr>
            <w:tcW w:w="628" w:type="pct"/>
            <w:tcBorders>
              <w:top w:val="single" w:color="000000" w:sz="4" w:space="0"/>
              <w:left w:val="single" w:color="000000" w:sz="4" w:space="0"/>
              <w:bottom w:val="single" w:color="000000" w:sz="4" w:space="0"/>
              <w:right w:val="single" w:color="000000" w:sz="4" w:space="0"/>
            </w:tcBorders>
            <w:noWrap/>
            <w:vAlign w:val="center"/>
          </w:tcPr>
          <w:p w14:paraId="66DAE8C9">
            <w:pPr>
              <w:widowControl/>
              <w:ind w:firstLine="0" w:firstLineChars="0"/>
              <w:jc w:val="center"/>
              <w:textAlignment w:val="center"/>
              <w:rPr>
                <w:rFonts w:hint="eastAsia" w:cs="宋体"/>
                <w:color w:val="000000"/>
              </w:rPr>
            </w:pPr>
            <w:r>
              <w:rPr>
                <w:rFonts w:hint="eastAsia" w:cs="宋体"/>
                <w:color w:val="000000"/>
                <w:kern w:val="0"/>
                <w:lang w:bidi="ar"/>
              </w:rPr>
              <w:t>11</w:t>
            </w:r>
          </w:p>
        </w:tc>
        <w:tc>
          <w:tcPr>
            <w:tcW w:w="1368" w:type="pct"/>
            <w:tcBorders>
              <w:top w:val="single" w:color="000000" w:sz="4" w:space="0"/>
              <w:left w:val="single" w:color="000000" w:sz="4" w:space="0"/>
              <w:bottom w:val="single" w:color="000000" w:sz="4" w:space="0"/>
              <w:right w:val="single" w:color="000000" w:sz="4" w:space="0"/>
            </w:tcBorders>
            <w:noWrap/>
            <w:vAlign w:val="center"/>
          </w:tcPr>
          <w:p w14:paraId="0FFBD9C9">
            <w:pPr>
              <w:widowControl/>
              <w:ind w:firstLine="0" w:firstLineChars="0"/>
              <w:jc w:val="left"/>
              <w:textAlignment w:val="center"/>
              <w:rPr>
                <w:rFonts w:hint="eastAsia" w:cs="宋体"/>
                <w:color w:val="000000"/>
              </w:rPr>
            </w:pPr>
            <w:r>
              <w:rPr>
                <w:rFonts w:hint="eastAsia" w:cs="宋体"/>
                <w:color w:val="000000"/>
                <w:kern w:val="0"/>
                <w:lang w:bidi="ar"/>
              </w:rPr>
              <w:t>防病毒</w:t>
            </w:r>
          </w:p>
        </w:tc>
        <w:tc>
          <w:tcPr>
            <w:tcW w:w="1748" w:type="pct"/>
            <w:tcBorders>
              <w:top w:val="single" w:color="000000" w:sz="4" w:space="0"/>
              <w:left w:val="single" w:color="000000" w:sz="4" w:space="0"/>
              <w:bottom w:val="single" w:color="000000" w:sz="4" w:space="0"/>
              <w:right w:val="single" w:color="000000" w:sz="4" w:space="0"/>
            </w:tcBorders>
            <w:noWrap/>
            <w:vAlign w:val="center"/>
          </w:tcPr>
          <w:p w14:paraId="4BF0CBFD">
            <w:pPr>
              <w:widowControl/>
              <w:ind w:firstLine="0" w:firstLineChars="0"/>
              <w:jc w:val="left"/>
              <w:textAlignment w:val="center"/>
              <w:rPr>
                <w:rFonts w:hint="eastAsia" w:cs="宋体"/>
                <w:color w:val="000000"/>
              </w:rPr>
            </w:pPr>
            <w:r>
              <w:rPr>
                <w:rFonts w:hint="eastAsia" w:cs="宋体"/>
                <w:color w:val="000000"/>
                <w:kern w:val="0"/>
                <w:lang w:bidi="ar"/>
              </w:rPr>
              <w:t>杀毒软件</w:t>
            </w:r>
          </w:p>
        </w:tc>
        <w:tc>
          <w:tcPr>
            <w:tcW w:w="628" w:type="pct"/>
            <w:tcBorders>
              <w:top w:val="single" w:color="000000" w:sz="4" w:space="0"/>
              <w:left w:val="single" w:color="000000" w:sz="4" w:space="0"/>
              <w:bottom w:val="single" w:color="000000" w:sz="4" w:space="0"/>
              <w:right w:val="single" w:color="000000" w:sz="4" w:space="0"/>
            </w:tcBorders>
            <w:noWrap/>
            <w:vAlign w:val="center"/>
          </w:tcPr>
          <w:p w14:paraId="154254B9">
            <w:pPr>
              <w:widowControl/>
              <w:ind w:firstLine="0" w:firstLineChars="0"/>
              <w:jc w:val="center"/>
              <w:textAlignment w:val="center"/>
              <w:rPr>
                <w:rFonts w:hint="eastAsia" w:cs="宋体"/>
                <w:color w:val="000000"/>
              </w:rPr>
            </w:pPr>
            <w:r>
              <w:rPr>
                <w:rFonts w:hint="eastAsia" w:cs="宋体"/>
                <w:color w:val="000000"/>
                <w:kern w:val="0"/>
                <w:lang w:bidi="ar"/>
              </w:rPr>
              <w:t>1</w:t>
            </w:r>
          </w:p>
        </w:tc>
        <w:tc>
          <w:tcPr>
            <w:tcW w:w="628" w:type="pct"/>
            <w:tcBorders>
              <w:top w:val="single" w:color="000000" w:sz="4" w:space="0"/>
              <w:left w:val="single" w:color="000000" w:sz="4" w:space="0"/>
              <w:bottom w:val="single" w:color="000000" w:sz="4" w:space="0"/>
              <w:right w:val="single" w:color="000000" w:sz="4" w:space="0"/>
            </w:tcBorders>
            <w:vAlign w:val="center"/>
          </w:tcPr>
          <w:p w14:paraId="04F5F087">
            <w:pPr>
              <w:widowControl/>
              <w:ind w:firstLine="0" w:firstLineChars="0"/>
              <w:jc w:val="center"/>
              <w:textAlignment w:val="center"/>
              <w:rPr>
                <w:rFonts w:hint="eastAsia" w:cs="宋体"/>
                <w:color w:val="000000"/>
              </w:rPr>
            </w:pPr>
            <w:r>
              <w:rPr>
                <w:rFonts w:hint="eastAsia" w:cs="宋体"/>
                <w:color w:val="000000"/>
                <w:kern w:val="0"/>
                <w:lang w:bidi="ar"/>
              </w:rPr>
              <w:t>套</w:t>
            </w:r>
          </w:p>
        </w:tc>
      </w:tr>
    </w:tbl>
    <w:p w14:paraId="610295CA">
      <w:pPr>
        <w:pStyle w:val="139"/>
        <w:ind w:firstLine="0" w:firstLineChars="0"/>
        <w:rPr>
          <w:rFonts w:hint="eastAsia" w:hAnsi="宋体" w:cs="宋体"/>
        </w:rPr>
      </w:pPr>
    </w:p>
    <w:p w14:paraId="453DDA14">
      <w:pPr>
        <w:pStyle w:val="139"/>
        <w:ind w:firstLine="0" w:firstLineChars="0"/>
        <w:rPr>
          <w:rFonts w:hint="eastAsia" w:hAnsi="宋体" w:cs="宋体"/>
        </w:rPr>
      </w:pPr>
    </w:p>
    <w:p w14:paraId="30218E88">
      <w:pPr>
        <w:pStyle w:val="4"/>
        <w:rPr>
          <w:rFonts w:hint="eastAsia" w:cs="宋体"/>
        </w:rPr>
      </w:pPr>
      <w:r>
        <w:rPr>
          <w:rFonts w:hint="eastAsia" w:cs="宋体"/>
        </w:rPr>
        <w:t>安全产品技术参数要求</w:t>
      </w:r>
    </w:p>
    <w:p w14:paraId="28A45400">
      <w:pPr>
        <w:pStyle w:val="5"/>
        <w:ind w:left="960"/>
        <w:rPr>
          <w:rFonts w:hint="eastAsia" w:cs="宋体"/>
        </w:rPr>
      </w:pPr>
      <w:r>
        <w:rPr>
          <w:rFonts w:hint="eastAsia" w:cs="宋体"/>
        </w:rPr>
        <w:t>防火墙</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7143"/>
      </w:tblGrid>
      <w:tr w14:paraId="1DA0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812" w:type="pct"/>
            <w:shd w:val="clear" w:color="auto" w:fill="BEBEBE" w:themeFill="background1" w:themeFillShade="BF"/>
            <w:vAlign w:val="center"/>
          </w:tcPr>
          <w:p w14:paraId="2DA9027B">
            <w:pPr>
              <w:widowControl/>
              <w:spacing w:line="240" w:lineRule="auto"/>
              <w:ind w:firstLine="0" w:firstLineChars="0"/>
              <w:jc w:val="center"/>
              <w:rPr>
                <w:rFonts w:hint="eastAsia" w:cs="宋体"/>
                <w:b/>
                <w:bCs/>
                <w:color w:val="000000" w:themeColor="text1"/>
                <w:kern w:val="0"/>
                <w14:textFill>
                  <w14:solidFill>
                    <w14:schemeClr w14:val="tx1"/>
                  </w14:solidFill>
                </w14:textFill>
              </w:rPr>
            </w:pPr>
            <w:r>
              <w:rPr>
                <w:rFonts w:hint="eastAsia" w:cs="宋体"/>
                <w:b/>
                <w:bCs/>
                <w:color w:val="000000" w:themeColor="text1"/>
                <w:kern w:val="0"/>
                <w14:textFill>
                  <w14:solidFill>
                    <w14:schemeClr w14:val="tx1"/>
                  </w14:solidFill>
                </w14:textFill>
              </w:rPr>
              <w:t>参数项</w:t>
            </w:r>
          </w:p>
        </w:tc>
        <w:tc>
          <w:tcPr>
            <w:tcW w:w="4188" w:type="pct"/>
            <w:shd w:val="clear" w:color="auto" w:fill="BEBEBE" w:themeFill="background1" w:themeFillShade="BF"/>
            <w:vAlign w:val="center"/>
          </w:tcPr>
          <w:p w14:paraId="1144DD1A">
            <w:pPr>
              <w:widowControl/>
              <w:spacing w:line="240" w:lineRule="auto"/>
              <w:ind w:firstLine="0" w:firstLineChars="0"/>
              <w:jc w:val="center"/>
              <w:rPr>
                <w:rFonts w:hint="eastAsia" w:cs="宋体"/>
                <w:b/>
                <w:bCs/>
                <w:color w:val="000000" w:themeColor="text1"/>
                <w:kern w:val="0"/>
                <w14:textFill>
                  <w14:solidFill>
                    <w14:schemeClr w14:val="tx1"/>
                  </w14:solidFill>
                </w14:textFill>
              </w:rPr>
            </w:pPr>
            <w:r>
              <w:rPr>
                <w:rFonts w:hint="eastAsia" w:cs="宋体"/>
                <w:b/>
                <w:bCs/>
                <w:color w:val="000000" w:themeColor="text1"/>
                <w:kern w:val="0"/>
                <w14:textFill>
                  <w14:solidFill>
                    <w14:schemeClr w14:val="tx1"/>
                  </w14:solidFill>
                </w14:textFill>
              </w:rPr>
              <w:t>描述</w:t>
            </w:r>
          </w:p>
        </w:tc>
      </w:tr>
      <w:tr w14:paraId="19B1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Align w:val="center"/>
          </w:tcPr>
          <w:p w14:paraId="02D7A928">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接口配置</w:t>
            </w:r>
          </w:p>
        </w:tc>
        <w:tc>
          <w:tcPr>
            <w:tcW w:w="4188" w:type="pct"/>
            <w:vAlign w:val="center"/>
          </w:tcPr>
          <w:p w14:paraId="28875D9F">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kern w:val="0"/>
              </w:rPr>
              <w:t>≧8个千兆电口、≧8个千兆光口</w:t>
            </w:r>
          </w:p>
        </w:tc>
      </w:tr>
      <w:tr w14:paraId="32C1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Align w:val="center"/>
          </w:tcPr>
          <w:p w14:paraId="361F69DD">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性能指标</w:t>
            </w:r>
          </w:p>
        </w:tc>
        <w:tc>
          <w:tcPr>
            <w:tcW w:w="4188" w:type="pct"/>
            <w:vAlign w:val="center"/>
          </w:tcPr>
          <w:p w14:paraId="6DD18A94">
            <w:pPr>
              <w:widowControl/>
              <w:spacing w:line="240" w:lineRule="auto"/>
              <w:ind w:firstLine="0" w:firstLineChars="0"/>
              <w:jc w:val="left"/>
              <w:rPr>
                <w:rFonts w:hint="eastAsia" w:cs="宋体"/>
                <w:kern w:val="0"/>
              </w:rPr>
            </w:pPr>
            <w:r>
              <w:rPr>
                <w:rFonts w:hint="eastAsia" w:cs="宋体"/>
                <w:kern w:val="0"/>
              </w:rPr>
              <w:t>整机网络层吞吐量(双向)：</w:t>
            </w:r>
          </w:p>
          <w:p w14:paraId="6CE1F4A5">
            <w:pPr>
              <w:widowControl/>
              <w:spacing w:line="240" w:lineRule="auto"/>
              <w:ind w:firstLine="0" w:firstLineChars="0"/>
              <w:jc w:val="left"/>
              <w:rPr>
                <w:rFonts w:hint="eastAsia" w:cs="宋体"/>
                <w:kern w:val="0"/>
              </w:rPr>
            </w:pPr>
            <w:r>
              <w:rPr>
                <w:rFonts w:hint="eastAsia" w:cs="宋体"/>
                <w:kern w:val="0"/>
              </w:rPr>
              <w:t>≧7800Mbps</w:t>
            </w:r>
          </w:p>
          <w:p w14:paraId="38429C87">
            <w:pPr>
              <w:widowControl/>
              <w:spacing w:line="240" w:lineRule="auto"/>
              <w:ind w:firstLine="0" w:firstLineChars="0"/>
              <w:jc w:val="left"/>
              <w:rPr>
                <w:rFonts w:hint="eastAsia" w:cs="宋体"/>
                <w:kern w:val="0"/>
              </w:rPr>
            </w:pPr>
            <w:r>
              <w:rPr>
                <w:rFonts w:hint="eastAsia" w:cs="宋体"/>
                <w:kern w:val="0"/>
              </w:rPr>
              <w:t>整机TCP新建：</w:t>
            </w:r>
          </w:p>
          <w:p w14:paraId="6DEC1BE1">
            <w:pPr>
              <w:widowControl/>
              <w:spacing w:line="240" w:lineRule="auto"/>
              <w:ind w:firstLine="0" w:firstLineChars="0"/>
              <w:jc w:val="left"/>
              <w:rPr>
                <w:rFonts w:hint="eastAsia" w:cs="宋体"/>
                <w:kern w:val="0"/>
              </w:rPr>
            </w:pPr>
            <w:r>
              <w:rPr>
                <w:rFonts w:hint="eastAsia" w:cs="宋体"/>
                <w:kern w:val="0"/>
              </w:rPr>
              <w:t>≧11万/秒</w:t>
            </w:r>
          </w:p>
          <w:p w14:paraId="6E009B55">
            <w:pPr>
              <w:widowControl/>
              <w:spacing w:line="240" w:lineRule="auto"/>
              <w:ind w:firstLine="0" w:firstLineChars="0"/>
              <w:jc w:val="left"/>
              <w:rPr>
                <w:rFonts w:hint="eastAsia" w:cs="宋体"/>
                <w:kern w:val="0"/>
              </w:rPr>
            </w:pPr>
            <w:r>
              <w:rPr>
                <w:rFonts w:hint="eastAsia" w:cs="宋体"/>
                <w:kern w:val="0"/>
              </w:rPr>
              <w:t>整机TCP并发：</w:t>
            </w:r>
          </w:p>
          <w:p w14:paraId="276F92D8">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kern w:val="0"/>
              </w:rPr>
              <w:t>≧500.万</w:t>
            </w:r>
          </w:p>
        </w:tc>
      </w:tr>
      <w:tr w14:paraId="6402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restart"/>
            <w:vAlign w:val="center"/>
          </w:tcPr>
          <w:p w14:paraId="64A8E0A9">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操作系统</w:t>
            </w:r>
          </w:p>
        </w:tc>
        <w:tc>
          <w:tcPr>
            <w:tcW w:w="4188" w:type="pct"/>
            <w:vAlign w:val="center"/>
          </w:tcPr>
          <w:p w14:paraId="7244E99D">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支持多系统设置可在Web界面上完成全部操作。</w:t>
            </w:r>
          </w:p>
        </w:tc>
      </w:tr>
      <w:tr w14:paraId="714E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812" w:type="pct"/>
            <w:vMerge w:val="continue"/>
            <w:vAlign w:val="center"/>
          </w:tcPr>
          <w:p w14:paraId="5EAA193F">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1EA05887">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支持按功能模块的配置导入导出功能。</w:t>
            </w:r>
          </w:p>
        </w:tc>
      </w:tr>
      <w:tr w14:paraId="601D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12" w:type="pct"/>
            <w:vMerge w:val="restart"/>
            <w:vAlign w:val="center"/>
          </w:tcPr>
          <w:p w14:paraId="6291D26E">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IPv6</w:t>
            </w:r>
          </w:p>
        </w:tc>
        <w:tc>
          <w:tcPr>
            <w:tcW w:w="4188" w:type="pct"/>
            <w:vAlign w:val="center"/>
          </w:tcPr>
          <w:p w14:paraId="7B60F290">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支持IPv6地址、地址组配置。</w:t>
            </w:r>
          </w:p>
        </w:tc>
      </w:tr>
      <w:tr w14:paraId="279E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7583BB0A">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41186F0F">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支持IPv6安全控制策略设置，能针对IPV6的目的/源地址、目的/源服务端口、服务、扩展头属性等条件进行安全访问规则的设置。</w:t>
            </w:r>
          </w:p>
        </w:tc>
      </w:tr>
      <w:tr w14:paraId="5C6A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restart"/>
            <w:vAlign w:val="center"/>
          </w:tcPr>
          <w:p w14:paraId="63F0C792">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网络适应性</w:t>
            </w:r>
          </w:p>
        </w:tc>
        <w:tc>
          <w:tcPr>
            <w:tcW w:w="4188" w:type="pct"/>
            <w:vAlign w:val="center"/>
          </w:tcPr>
          <w:p w14:paraId="50FFCE9B">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支持静态路由，动态路由（OSPF、RIP、BGP、ISIS等），VLAN间路由，单臂路由，组播路由等。</w:t>
            </w:r>
          </w:p>
        </w:tc>
      </w:tr>
      <w:tr w14:paraId="1666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2CBB03A0">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34C69F63">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必需支持基于应用的策略路由，可实现为不同的应用类型智能选择相应的链路。</w:t>
            </w:r>
          </w:p>
        </w:tc>
      </w:tr>
      <w:tr w14:paraId="5777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75755049">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2DB50C25">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必需支持基于 WEB地址URL的策略路由，可实现将不同类型的网站流量智能分配到不同的链路。</w:t>
            </w:r>
          </w:p>
        </w:tc>
      </w:tr>
      <w:tr w14:paraId="4FFD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00CECC4C">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2A81F375">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必需支持基于文件类型的策略路由，可实现将预定义或者自定义的文件按照不同的分类进行智能选路。</w:t>
            </w:r>
          </w:p>
        </w:tc>
      </w:tr>
      <w:tr w14:paraId="330A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28BAEE56">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58898C75">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可支持多出口路由情况下的默认路由备份、负载均衡。</w:t>
            </w:r>
          </w:p>
        </w:tc>
      </w:tr>
      <w:tr w14:paraId="2469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4D184CDE">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13B7178C">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支持区域地址所属查询，能针对国外地址进行有效防护和管理。</w:t>
            </w:r>
          </w:p>
        </w:tc>
      </w:tr>
      <w:tr w14:paraId="331C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restart"/>
            <w:vAlign w:val="center"/>
          </w:tcPr>
          <w:p w14:paraId="0C48B11F">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网络管理</w:t>
            </w:r>
          </w:p>
        </w:tc>
        <w:tc>
          <w:tcPr>
            <w:tcW w:w="4188" w:type="pct"/>
            <w:vAlign w:val="center"/>
          </w:tcPr>
          <w:p w14:paraId="3D6F4735">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要求支持将任意接口数据完全镜像到设备自身的其他接口，用于抓包分析。</w:t>
            </w:r>
          </w:p>
        </w:tc>
      </w:tr>
      <w:tr w14:paraId="28F8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5F15664D">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222838D9">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支持对虚拟环境的数据流进行全策略控制。</w:t>
            </w:r>
          </w:p>
        </w:tc>
      </w:tr>
      <w:tr w14:paraId="4504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438A6E27">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4E75671E">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支持链路聚合功能，支持802.3ad和静态轮询、热备等多种模式，MAC、MAC&amp;IP、IP&amp;Port多种聚合负载算法。 </w:t>
            </w:r>
          </w:p>
        </w:tc>
      </w:tr>
      <w:tr w14:paraId="6F2E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7F93716D">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330E29FC">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支持无线设备接入的MAC地址认证，可设置默认接收或拒绝MAC地址。</w:t>
            </w:r>
          </w:p>
        </w:tc>
      </w:tr>
      <w:tr w14:paraId="2380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4987A68F">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1E32CDE5">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 xml:space="preserve">除本地有线链路接入外，必需可提供至少一种其他媒介的灾备链路接入方案支持，如3G广域网、VSAT卫星网、海事卫星网。 </w:t>
            </w:r>
          </w:p>
        </w:tc>
      </w:tr>
      <w:tr w14:paraId="4B9A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Align w:val="center"/>
          </w:tcPr>
          <w:p w14:paraId="2B5FE99C">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服务器负载均衡</w:t>
            </w:r>
          </w:p>
        </w:tc>
        <w:tc>
          <w:tcPr>
            <w:tcW w:w="4188" w:type="pct"/>
            <w:vAlign w:val="center"/>
          </w:tcPr>
          <w:p w14:paraId="6FB9D8C7">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服务器负载均衡支持10种算法。</w:t>
            </w:r>
          </w:p>
        </w:tc>
      </w:tr>
      <w:tr w14:paraId="6DEA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restart"/>
            <w:vAlign w:val="center"/>
          </w:tcPr>
          <w:p w14:paraId="13611C8D">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抗拒绝服务攻击</w:t>
            </w:r>
          </w:p>
        </w:tc>
        <w:tc>
          <w:tcPr>
            <w:tcW w:w="4188" w:type="pct"/>
            <w:vAlign w:val="center"/>
          </w:tcPr>
          <w:p w14:paraId="4708BD0F">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b/>
                <w:bCs/>
                <w:color w:val="000000" w:themeColor="text1"/>
                <w:kern w:val="0"/>
                <w14:textFill>
                  <w14:solidFill>
                    <w14:schemeClr w14:val="tx1"/>
                  </w14:solidFill>
                </w14:textFill>
              </w:rPr>
              <w:t>▲</w:t>
            </w:r>
            <w:r>
              <w:rPr>
                <w:rFonts w:hint="eastAsia" w:cs="宋体"/>
                <w:color w:val="000000" w:themeColor="text1"/>
                <w:kern w:val="0"/>
                <w14:textFill>
                  <w14:solidFill>
                    <w14:schemeClr w14:val="tx1"/>
                  </w14:solidFill>
                </w14:textFill>
              </w:rPr>
              <w:t>支持主流ICMPFLOOD\SYNFLOOD\ACKFLOOD\SYNACKFLOOD\UDPFLOOD攻击防护，采用专业高效攻击防护算法，非采用简单的阈值进行攻击防护。（需提供有效证明材料，包括但不限于加盖公章的技术白皮书、加盖公章的产品官网截图、产品功能截图、产品界面截图、国家权威机构出具的检测报告等）;</w:t>
            </w:r>
          </w:p>
        </w:tc>
      </w:tr>
      <w:tr w14:paraId="6C31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5399607C">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5D89AA8E">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以上主流的功能，支持基于源IP限速、基于特征过滤系数、聚类限速系数、重传检测、自学习白名单等多种防御机制。</w:t>
            </w:r>
          </w:p>
        </w:tc>
      </w:tr>
      <w:tr w14:paraId="6D67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496AC6F5">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2C0DF975">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支持专业的DNSflood攻击防护，具有高级的基于聚类限速、聚类分析、重传检测等多种高级防护算法。</w:t>
            </w:r>
          </w:p>
        </w:tc>
      </w:tr>
      <w:tr w14:paraId="4E41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restart"/>
            <w:vAlign w:val="center"/>
          </w:tcPr>
          <w:p w14:paraId="73893D22">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流量控制与优化</w:t>
            </w:r>
          </w:p>
        </w:tc>
        <w:tc>
          <w:tcPr>
            <w:tcW w:w="4188" w:type="pct"/>
            <w:vAlign w:val="center"/>
          </w:tcPr>
          <w:p w14:paraId="32D1FC91">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针对文件类型进行流量管理，至少支持6类如：电影类、音乐类、图片类、文本类、压缩类、应用程序类等。可以针对不同类型的文件配置不同的流量管理规则。必需支持自定义分类，并可以手动添加文件类型到分类组中 。包括针对文件类型单独设置最大带宽、保证带宽、协议流量优先级等 。</w:t>
            </w:r>
          </w:p>
        </w:tc>
      </w:tr>
      <w:tr w14:paraId="17B5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40F1383A">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3C599C05">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支持针对URL类型进行流量管理，至少支持：旅游出行、美体美容、web代理、报刊杂志等。可以针对不同类型的URL配置不同的流量管理规则,包括最大带宽、保证带宽、协议流量优先级等。</w:t>
            </w:r>
          </w:p>
        </w:tc>
      </w:tr>
      <w:tr w14:paraId="4266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Align w:val="center"/>
          </w:tcPr>
          <w:p w14:paraId="440ACF97">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资产风险评估</w:t>
            </w:r>
          </w:p>
        </w:tc>
        <w:tc>
          <w:tcPr>
            <w:tcW w:w="4188" w:type="pct"/>
            <w:vAlign w:val="center"/>
          </w:tcPr>
          <w:p w14:paraId="4A445BD7">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全方位、多角度的风险趋势呈现。支持以曲线图形的方式呈现全网和核心资产的风险变化趋势。支持以柱状堆叠图形（按安全事件分类）的方式呈现全网和核心资产安全事件的趋势统计，每类安全事件是否参与统计可调节。支持以处理动作（如阻断/放行）的趋势统计。</w:t>
            </w:r>
          </w:p>
        </w:tc>
      </w:tr>
      <w:tr w14:paraId="3203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restart"/>
            <w:vAlign w:val="center"/>
          </w:tcPr>
          <w:p w14:paraId="20B48C37">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高可用性</w:t>
            </w:r>
          </w:p>
        </w:tc>
        <w:tc>
          <w:tcPr>
            <w:tcW w:w="4188" w:type="pct"/>
            <w:vAlign w:val="center"/>
          </w:tcPr>
          <w:p w14:paraId="3A11B6E5">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支持端口联动，支持上下行端口组的联动，可以实现单端口决定同组中的任意接口失效启动链路切换。</w:t>
            </w:r>
          </w:p>
        </w:tc>
      </w:tr>
      <w:tr w14:paraId="46DF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0BB12FF7">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261B8CB1">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自动同步、心跳接口多级（≥2级）物理备份。</w:t>
            </w:r>
          </w:p>
        </w:tc>
      </w:tr>
      <w:tr w14:paraId="447F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Align w:val="center"/>
          </w:tcPr>
          <w:p w14:paraId="5EB4DE86">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特征库升级</w:t>
            </w:r>
          </w:p>
        </w:tc>
        <w:tc>
          <w:tcPr>
            <w:tcW w:w="4188" w:type="pct"/>
            <w:vAlign w:val="center"/>
          </w:tcPr>
          <w:p w14:paraId="6B9F6991">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支持本地和远程特征库升级，支持用户自定义升级服务器及服务器地址配置</w:t>
            </w:r>
          </w:p>
        </w:tc>
      </w:tr>
      <w:tr w14:paraId="6237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Align w:val="center"/>
          </w:tcPr>
          <w:p w14:paraId="6F2B6F59">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产品资质</w:t>
            </w:r>
          </w:p>
        </w:tc>
        <w:tc>
          <w:tcPr>
            <w:tcW w:w="4188" w:type="pct"/>
            <w:vAlign w:val="center"/>
          </w:tcPr>
          <w:p w14:paraId="0B7ECE06">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1、具备公安部网络安全保卫局颁发的《计算机信息系统安全专用产品销售许可证》(增强级）或网络安全专用产品证书。</w:t>
            </w:r>
          </w:p>
        </w:tc>
      </w:tr>
    </w:tbl>
    <w:p w14:paraId="6E8C016C">
      <w:pPr>
        <w:rPr>
          <w:rFonts w:hint="eastAsia" w:cs="宋体"/>
        </w:rPr>
      </w:pPr>
    </w:p>
    <w:p w14:paraId="3E4279C3">
      <w:pPr>
        <w:rPr>
          <w:rFonts w:hint="eastAsia" w:cs="宋体"/>
        </w:rPr>
      </w:pPr>
    </w:p>
    <w:p w14:paraId="617F452B">
      <w:pPr>
        <w:pStyle w:val="5"/>
        <w:ind w:left="960"/>
        <w:rPr>
          <w:rFonts w:hint="eastAsia" w:cs="宋体"/>
        </w:rPr>
      </w:pPr>
      <w:r>
        <w:rPr>
          <w:rFonts w:hint="eastAsia" w:cs="宋体"/>
        </w:rPr>
        <w:t>入侵防御系统</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138"/>
      </w:tblGrid>
      <w:tr w14:paraId="2FDB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384" w:type="dxa"/>
            <w:shd w:val="clear" w:color="auto" w:fill="BEBEBE" w:themeFill="background1" w:themeFillShade="BF"/>
            <w:vAlign w:val="center"/>
          </w:tcPr>
          <w:p w14:paraId="09452FBF">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参数项</w:t>
            </w:r>
          </w:p>
        </w:tc>
        <w:tc>
          <w:tcPr>
            <w:tcW w:w="7138" w:type="dxa"/>
            <w:shd w:val="clear" w:color="auto" w:fill="BEBEBE" w:themeFill="background1" w:themeFillShade="BF"/>
            <w:vAlign w:val="center"/>
          </w:tcPr>
          <w:p w14:paraId="789B7A9F">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描述</w:t>
            </w:r>
          </w:p>
        </w:tc>
      </w:tr>
      <w:tr w14:paraId="7693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Align w:val="center"/>
          </w:tcPr>
          <w:p w14:paraId="1EE1D09C">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接口配置</w:t>
            </w:r>
          </w:p>
        </w:tc>
        <w:tc>
          <w:tcPr>
            <w:tcW w:w="7138" w:type="dxa"/>
            <w:vAlign w:val="center"/>
          </w:tcPr>
          <w:p w14:paraId="4637046F">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kern w:val="0"/>
              </w:rPr>
              <w:t>≧</w:t>
            </w:r>
            <w:r>
              <w:rPr>
                <w:rFonts w:hint="eastAsia" w:cs="宋体"/>
                <w:color w:val="000000" w:themeColor="text1"/>
                <w:kern w:val="0"/>
                <w14:textFill>
                  <w14:solidFill>
                    <w14:schemeClr w14:val="tx1"/>
                  </w14:solidFill>
                </w14:textFill>
              </w:rPr>
              <w:t>12个千兆电口、</w:t>
            </w:r>
            <w:r>
              <w:rPr>
                <w:rFonts w:hint="eastAsia" w:cs="宋体"/>
                <w:kern w:val="0"/>
              </w:rPr>
              <w:t>≧</w:t>
            </w:r>
            <w:r>
              <w:rPr>
                <w:rFonts w:hint="eastAsia" w:cs="宋体"/>
                <w:color w:val="000000" w:themeColor="text1"/>
                <w:kern w:val="0"/>
                <w14:textFill>
                  <w14:solidFill>
                    <w14:schemeClr w14:val="tx1"/>
                  </w14:solidFill>
                </w14:textFill>
              </w:rPr>
              <w:t>6个千兆光口</w:t>
            </w:r>
          </w:p>
        </w:tc>
      </w:tr>
      <w:tr w14:paraId="3FCF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Align w:val="center"/>
          </w:tcPr>
          <w:p w14:paraId="67A14925">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性能指标</w:t>
            </w:r>
          </w:p>
        </w:tc>
        <w:tc>
          <w:tcPr>
            <w:tcW w:w="7138" w:type="dxa"/>
            <w:vAlign w:val="center"/>
          </w:tcPr>
          <w:p w14:paraId="0E679A64">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满检速率：</w:t>
            </w:r>
            <w:r>
              <w:rPr>
                <w:rFonts w:hint="eastAsia" w:cs="宋体"/>
                <w:kern w:val="0"/>
              </w:rPr>
              <w:t>≧</w:t>
            </w:r>
            <w:r>
              <w:rPr>
                <w:rFonts w:hint="eastAsia" w:cs="宋体"/>
                <w:color w:val="000000" w:themeColor="text1"/>
                <w:kern w:val="0"/>
                <w14:textFill>
                  <w14:solidFill>
                    <w14:schemeClr w14:val="tx1"/>
                  </w14:solidFill>
                </w14:textFill>
              </w:rPr>
              <w:t>11000Mbps</w:t>
            </w:r>
          </w:p>
          <w:p w14:paraId="7FA79DEA">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TCP最大并发连接数：</w:t>
            </w:r>
            <w:r>
              <w:rPr>
                <w:rFonts w:hint="eastAsia" w:cs="宋体"/>
                <w:kern w:val="0"/>
              </w:rPr>
              <w:t>≧</w:t>
            </w:r>
            <w:r>
              <w:rPr>
                <w:rFonts w:hint="eastAsia" w:cs="宋体"/>
                <w:color w:val="000000" w:themeColor="text1"/>
                <w:kern w:val="0"/>
                <w14:textFill>
                  <w14:solidFill>
                    <w14:schemeClr w14:val="tx1"/>
                  </w14:solidFill>
                </w14:textFill>
              </w:rPr>
              <w:t>1000万</w:t>
            </w:r>
          </w:p>
        </w:tc>
      </w:tr>
      <w:tr w14:paraId="543C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restart"/>
            <w:vAlign w:val="center"/>
          </w:tcPr>
          <w:p w14:paraId="057D1B58">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操作系统</w:t>
            </w:r>
          </w:p>
        </w:tc>
        <w:tc>
          <w:tcPr>
            <w:tcW w:w="7138" w:type="dxa"/>
            <w:vAlign w:val="center"/>
          </w:tcPr>
          <w:p w14:paraId="41EE148D">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多系统设置可在Web界面上完成全部操作。</w:t>
            </w:r>
          </w:p>
        </w:tc>
      </w:tr>
      <w:tr w14:paraId="016E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1384" w:type="dxa"/>
            <w:vMerge w:val="continue"/>
            <w:vAlign w:val="center"/>
          </w:tcPr>
          <w:p w14:paraId="2A56ED01">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7138" w:type="dxa"/>
            <w:vAlign w:val="center"/>
          </w:tcPr>
          <w:p w14:paraId="55976F8A">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支持按功能模块的配置导入导出功能。</w:t>
            </w:r>
          </w:p>
        </w:tc>
      </w:tr>
      <w:tr w14:paraId="63A1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384" w:type="dxa"/>
            <w:vMerge w:val="restart"/>
            <w:vAlign w:val="center"/>
          </w:tcPr>
          <w:p w14:paraId="0B5EE0A6">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IPv6</w:t>
            </w:r>
          </w:p>
        </w:tc>
        <w:tc>
          <w:tcPr>
            <w:tcW w:w="7138" w:type="dxa"/>
            <w:vAlign w:val="center"/>
          </w:tcPr>
          <w:p w14:paraId="0BD4B89B">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支持IPv6地址、地址组配置。</w:t>
            </w:r>
          </w:p>
        </w:tc>
      </w:tr>
      <w:tr w14:paraId="5305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continue"/>
            <w:vAlign w:val="center"/>
          </w:tcPr>
          <w:p w14:paraId="6038362E">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7138" w:type="dxa"/>
            <w:vAlign w:val="center"/>
          </w:tcPr>
          <w:p w14:paraId="5437767F">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支持IPv6安全控制策略设置，能针对IPV6的目的/源地址、目的/源服务端口、服务、扩展头属性等条件进行安全访问规则的设置。</w:t>
            </w:r>
          </w:p>
        </w:tc>
      </w:tr>
      <w:tr w14:paraId="5909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restart"/>
            <w:vAlign w:val="center"/>
          </w:tcPr>
          <w:p w14:paraId="5ABF3CBA">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网络适应性</w:t>
            </w:r>
          </w:p>
        </w:tc>
        <w:tc>
          <w:tcPr>
            <w:tcW w:w="7138" w:type="dxa"/>
            <w:vAlign w:val="center"/>
          </w:tcPr>
          <w:p w14:paraId="726B843B">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支持静态路由，动态路由（OSPF、RIP、BGP、ISIS等），VLAN间路由，单臂路由，组播路由等。</w:t>
            </w:r>
          </w:p>
        </w:tc>
      </w:tr>
      <w:tr w14:paraId="2788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continue"/>
            <w:vAlign w:val="center"/>
          </w:tcPr>
          <w:p w14:paraId="1B21312B">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7138" w:type="dxa"/>
            <w:vAlign w:val="center"/>
          </w:tcPr>
          <w:p w14:paraId="5134720C">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必需支持基于应用的策略路由，可实现为不同的应用类型智能选择相应的链路。</w:t>
            </w:r>
          </w:p>
        </w:tc>
      </w:tr>
      <w:tr w14:paraId="2C82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continue"/>
            <w:vAlign w:val="center"/>
          </w:tcPr>
          <w:p w14:paraId="4DA9EC2C">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7138" w:type="dxa"/>
            <w:vAlign w:val="center"/>
          </w:tcPr>
          <w:p w14:paraId="58EF7CDC">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必需支持基于 WEB地址URL的策略路由，可实现将不同类型的网站流量智能分配到不同的链路。</w:t>
            </w:r>
          </w:p>
        </w:tc>
      </w:tr>
      <w:tr w14:paraId="1D23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continue"/>
            <w:vAlign w:val="center"/>
          </w:tcPr>
          <w:p w14:paraId="1D8C8E40">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7138" w:type="dxa"/>
            <w:vAlign w:val="center"/>
          </w:tcPr>
          <w:p w14:paraId="4CA05822">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必需支持基于文件类型的策略路由，可实现将预定义或者自定义的文件按照不同的分类进行智能选路。</w:t>
            </w:r>
          </w:p>
        </w:tc>
      </w:tr>
      <w:tr w14:paraId="7EB8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continue"/>
            <w:vAlign w:val="center"/>
          </w:tcPr>
          <w:p w14:paraId="2F07308D">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7138" w:type="dxa"/>
            <w:vAlign w:val="center"/>
          </w:tcPr>
          <w:p w14:paraId="5EBBF88C">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可支持多出口路由情况下的默认路由备份、负载均衡。</w:t>
            </w:r>
          </w:p>
        </w:tc>
      </w:tr>
      <w:tr w14:paraId="2A7D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continue"/>
            <w:vAlign w:val="center"/>
          </w:tcPr>
          <w:p w14:paraId="2701FCE3">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7138" w:type="dxa"/>
            <w:vAlign w:val="center"/>
          </w:tcPr>
          <w:p w14:paraId="50039AE9">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支持ISP路由，支持联通、电信、教育网、移动等ISP服务商地址列表，列表可导出及导入，可通过Web界面选择不同的ISP服务商实现快速切换。</w:t>
            </w:r>
          </w:p>
        </w:tc>
      </w:tr>
      <w:tr w14:paraId="0F4B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continue"/>
            <w:vAlign w:val="center"/>
          </w:tcPr>
          <w:p w14:paraId="58CE0499">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7138" w:type="dxa"/>
            <w:vAlign w:val="center"/>
          </w:tcPr>
          <w:p w14:paraId="26461546">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支持区域地址所属查询，能针对国外地址进行有效防护和管理。</w:t>
            </w:r>
          </w:p>
        </w:tc>
      </w:tr>
      <w:tr w14:paraId="5592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restart"/>
            <w:vAlign w:val="center"/>
          </w:tcPr>
          <w:p w14:paraId="40E4DA9B">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网络管理</w:t>
            </w:r>
          </w:p>
        </w:tc>
        <w:tc>
          <w:tcPr>
            <w:tcW w:w="7138" w:type="dxa"/>
            <w:vAlign w:val="center"/>
          </w:tcPr>
          <w:p w14:paraId="3315D52A">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要求支持将任意接口数据完全镜像到设备自身的其他接口，用于抓包分析。</w:t>
            </w:r>
          </w:p>
        </w:tc>
      </w:tr>
      <w:tr w14:paraId="7DEB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continue"/>
            <w:vAlign w:val="center"/>
          </w:tcPr>
          <w:p w14:paraId="71ACB643">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7138" w:type="dxa"/>
            <w:vAlign w:val="center"/>
          </w:tcPr>
          <w:p w14:paraId="7B3CDA58">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支持对虚拟环境的数据流进行全策略控制。</w:t>
            </w:r>
          </w:p>
        </w:tc>
      </w:tr>
      <w:tr w14:paraId="0AF7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continue"/>
            <w:vAlign w:val="center"/>
          </w:tcPr>
          <w:p w14:paraId="50D8C599">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7138" w:type="dxa"/>
            <w:vAlign w:val="center"/>
          </w:tcPr>
          <w:p w14:paraId="11C3EE3E">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支持链路聚合功能，支持802.3ad和静态轮询、热备等多种模式，MAC、MAC&amp;IP、IP&amp;Port多种聚合负载算法。 </w:t>
            </w:r>
          </w:p>
        </w:tc>
      </w:tr>
      <w:tr w14:paraId="08F9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continue"/>
            <w:vAlign w:val="center"/>
          </w:tcPr>
          <w:p w14:paraId="65C3F433">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7138" w:type="dxa"/>
            <w:vAlign w:val="center"/>
          </w:tcPr>
          <w:p w14:paraId="6916560E">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支持无线设备接入的MAC地址认证，可设置默认接收或拒绝MAC地址。</w:t>
            </w:r>
          </w:p>
        </w:tc>
      </w:tr>
      <w:tr w14:paraId="7378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continue"/>
            <w:vAlign w:val="center"/>
          </w:tcPr>
          <w:p w14:paraId="481CB370">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7138" w:type="dxa"/>
            <w:vAlign w:val="center"/>
          </w:tcPr>
          <w:p w14:paraId="49DDED4D">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 xml:space="preserve">除本地有线链路接入外，必需可提供至少一种其他媒介的灾备链路接入方案支持，如3G广域网、VSAT卫星网、海事卫星网。 </w:t>
            </w:r>
          </w:p>
        </w:tc>
      </w:tr>
      <w:tr w14:paraId="2E6D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Align w:val="center"/>
          </w:tcPr>
          <w:p w14:paraId="100DD383">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服务器负载均衡</w:t>
            </w:r>
          </w:p>
        </w:tc>
        <w:tc>
          <w:tcPr>
            <w:tcW w:w="7138" w:type="dxa"/>
            <w:vAlign w:val="center"/>
          </w:tcPr>
          <w:p w14:paraId="0B5D1805">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服务器负载均衡支持10种算法。</w:t>
            </w:r>
          </w:p>
        </w:tc>
      </w:tr>
      <w:tr w14:paraId="27E9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restart"/>
            <w:vAlign w:val="center"/>
          </w:tcPr>
          <w:p w14:paraId="73DAC0A2">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抗拒绝服务攻击</w:t>
            </w:r>
          </w:p>
        </w:tc>
        <w:tc>
          <w:tcPr>
            <w:tcW w:w="7138" w:type="dxa"/>
            <w:vAlign w:val="center"/>
          </w:tcPr>
          <w:p w14:paraId="4DE12B78">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支持主流ICMPFLOOD\SYNFLOOD\ACKFLOOD\SYNACKFLOOD\UDPFLOOD攻击防护，采用专业高效攻击防护算法，非采用简单的阈值进行攻击防护。</w:t>
            </w:r>
          </w:p>
        </w:tc>
      </w:tr>
      <w:tr w14:paraId="2893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continue"/>
            <w:vAlign w:val="center"/>
          </w:tcPr>
          <w:p w14:paraId="664DCE8E">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7138" w:type="dxa"/>
            <w:vAlign w:val="center"/>
          </w:tcPr>
          <w:p w14:paraId="101F6FA5">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以上主流的功能，支持基于源IP限速、基于特征过滤系数、聚类限速系数、重传检测、自学习白名单等多种防御机制。</w:t>
            </w:r>
          </w:p>
        </w:tc>
      </w:tr>
      <w:tr w14:paraId="19AD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continue"/>
            <w:vAlign w:val="center"/>
          </w:tcPr>
          <w:p w14:paraId="3C1EB1AF">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7138" w:type="dxa"/>
            <w:vAlign w:val="center"/>
          </w:tcPr>
          <w:p w14:paraId="48D079E8">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支持专业的DNSflood攻击防护，具有高级的基于聚类限速、聚类分析、重传检测等多种高级防护算法。</w:t>
            </w:r>
          </w:p>
        </w:tc>
      </w:tr>
      <w:tr w14:paraId="7EA0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restart"/>
            <w:vAlign w:val="center"/>
          </w:tcPr>
          <w:p w14:paraId="44C7378F">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流量控制与优化</w:t>
            </w:r>
          </w:p>
        </w:tc>
        <w:tc>
          <w:tcPr>
            <w:tcW w:w="7138" w:type="dxa"/>
            <w:vAlign w:val="center"/>
          </w:tcPr>
          <w:p w14:paraId="1168AE8B">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针对文件类型进行流量管理，至少支持6类如：电影类、音乐类、图片类、文本类、压缩类、应用程序类等。可以针对不同类型的文件配置不同的流量管理规则。必需支持自定义分类，并可以手动添加文件类型到分类组中 。包括针对文件类型单独设置最大带宽、保证带宽、协议流量优先级等 。</w:t>
            </w:r>
          </w:p>
        </w:tc>
      </w:tr>
      <w:tr w14:paraId="7C12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continue"/>
            <w:vAlign w:val="center"/>
          </w:tcPr>
          <w:p w14:paraId="52782226">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7138" w:type="dxa"/>
            <w:vAlign w:val="center"/>
          </w:tcPr>
          <w:p w14:paraId="0BEE70F7">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支持针对URL类型进行流量管理，至少支持：旅游出行、美体美容、web代理、报刊杂志等。可以针对不同类型的URL配置不同的流量管理规则,包括最大带宽、保证带宽、协议流量优先级等。</w:t>
            </w:r>
          </w:p>
        </w:tc>
      </w:tr>
      <w:tr w14:paraId="3946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Align w:val="center"/>
          </w:tcPr>
          <w:p w14:paraId="30E210DB">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资产风险评估</w:t>
            </w:r>
          </w:p>
        </w:tc>
        <w:tc>
          <w:tcPr>
            <w:tcW w:w="7138" w:type="dxa"/>
            <w:vAlign w:val="center"/>
          </w:tcPr>
          <w:p w14:paraId="7A16FD46">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全方位、多角度的风险趋势呈现。支持以曲线图形的方式呈现全网和核心资产的风险变化趋势。支持以柱状堆叠图形（按安全事件分类）的方式呈现全网和核心资产安全事件的趋势统计，每类安全事件是否参与统计可调节。支持以处理动作（如阻断/放行）的趋势统计。</w:t>
            </w:r>
          </w:p>
        </w:tc>
      </w:tr>
      <w:tr w14:paraId="3F1C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restart"/>
            <w:vAlign w:val="center"/>
          </w:tcPr>
          <w:p w14:paraId="62516565">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高可用性</w:t>
            </w:r>
          </w:p>
        </w:tc>
        <w:tc>
          <w:tcPr>
            <w:tcW w:w="7138" w:type="dxa"/>
            <w:vAlign w:val="center"/>
          </w:tcPr>
          <w:p w14:paraId="551CA17C">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支持端口联动，支持上下行端口组的联动，可以实现单端口决定同组中的任意接口失效启动链路切换。</w:t>
            </w:r>
          </w:p>
        </w:tc>
      </w:tr>
      <w:tr w14:paraId="4AF0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Merge w:val="continue"/>
            <w:vAlign w:val="center"/>
          </w:tcPr>
          <w:p w14:paraId="11D096CE">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7138" w:type="dxa"/>
            <w:vAlign w:val="center"/>
          </w:tcPr>
          <w:p w14:paraId="5E1F40B3">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自动同步、心跳接口多级（≥2级）物理备份。</w:t>
            </w:r>
          </w:p>
        </w:tc>
      </w:tr>
      <w:tr w14:paraId="4012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Align w:val="center"/>
          </w:tcPr>
          <w:p w14:paraId="278B578E">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特征库升级</w:t>
            </w:r>
          </w:p>
        </w:tc>
        <w:tc>
          <w:tcPr>
            <w:tcW w:w="7138" w:type="dxa"/>
            <w:vAlign w:val="center"/>
          </w:tcPr>
          <w:p w14:paraId="14F151CB">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支持本地和远程特征库升级，支持用户自定义升级服务器及服务器地址配置</w:t>
            </w:r>
          </w:p>
        </w:tc>
      </w:tr>
      <w:tr w14:paraId="7F0E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84" w:type="dxa"/>
            <w:vAlign w:val="center"/>
          </w:tcPr>
          <w:p w14:paraId="48E27C33">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产品资质</w:t>
            </w:r>
          </w:p>
        </w:tc>
        <w:tc>
          <w:tcPr>
            <w:tcW w:w="7138" w:type="dxa"/>
            <w:vAlign w:val="center"/>
          </w:tcPr>
          <w:p w14:paraId="25D9E727">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1、具备公安部网络安全保卫局颁发的《计算机信息系统安全专用产品销售许可证》(增强级）或网络安全专用产品证书。</w:t>
            </w:r>
          </w:p>
        </w:tc>
      </w:tr>
    </w:tbl>
    <w:p w14:paraId="5694A6DB">
      <w:pPr>
        <w:rPr>
          <w:rFonts w:hint="eastAsia" w:cs="宋体"/>
        </w:rPr>
      </w:pPr>
    </w:p>
    <w:p w14:paraId="7BBC6CEB">
      <w:pPr>
        <w:pStyle w:val="5"/>
        <w:ind w:left="960"/>
        <w:rPr>
          <w:rFonts w:hint="eastAsia" w:cs="宋体"/>
        </w:rPr>
      </w:pPr>
      <w:r>
        <w:rPr>
          <w:rFonts w:hint="eastAsia" w:cs="宋体"/>
        </w:rPr>
        <w:t>防毒墙</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5"/>
        <w:gridCol w:w="7143"/>
      </w:tblGrid>
      <w:tr w14:paraId="3460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812" w:type="pct"/>
            <w:shd w:val="clear" w:color="auto" w:fill="BEBEBE" w:themeFill="background1" w:themeFillShade="BF"/>
            <w:vAlign w:val="center"/>
          </w:tcPr>
          <w:p w14:paraId="3EADC0D6">
            <w:pPr>
              <w:widowControl/>
              <w:spacing w:line="240" w:lineRule="auto"/>
              <w:ind w:firstLine="0" w:firstLineChars="0"/>
              <w:jc w:val="center"/>
              <w:rPr>
                <w:rFonts w:hint="eastAsia" w:cs="宋体"/>
                <w:b/>
                <w:bCs/>
                <w:color w:val="000000" w:themeColor="text1"/>
                <w:kern w:val="0"/>
                <w14:textFill>
                  <w14:solidFill>
                    <w14:schemeClr w14:val="tx1"/>
                  </w14:solidFill>
                </w14:textFill>
              </w:rPr>
            </w:pPr>
            <w:r>
              <w:rPr>
                <w:rFonts w:hint="eastAsia" w:cs="宋体"/>
                <w:b/>
                <w:bCs/>
                <w:color w:val="000000" w:themeColor="text1"/>
                <w:kern w:val="0"/>
                <w14:textFill>
                  <w14:solidFill>
                    <w14:schemeClr w14:val="tx1"/>
                  </w14:solidFill>
                </w14:textFill>
              </w:rPr>
              <w:t>参数项</w:t>
            </w:r>
          </w:p>
        </w:tc>
        <w:tc>
          <w:tcPr>
            <w:tcW w:w="4188" w:type="pct"/>
            <w:shd w:val="clear" w:color="auto" w:fill="BEBEBE" w:themeFill="background1" w:themeFillShade="BF"/>
            <w:vAlign w:val="center"/>
          </w:tcPr>
          <w:p w14:paraId="0B0DF233">
            <w:pPr>
              <w:widowControl/>
              <w:spacing w:line="240" w:lineRule="auto"/>
              <w:ind w:firstLine="0" w:firstLineChars="0"/>
              <w:jc w:val="center"/>
              <w:rPr>
                <w:rFonts w:hint="eastAsia" w:cs="宋体"/>
                <w:b/>
                <w:bCs/>
                <w:color w:val="000000" w:themeColor="text1"/>
                <w:kern w:val="0"/>
                <w14:textFill>
                  <w14:solidFill>
                    <w14:schemeClr w14:val="tx1"/>
                  </w14:solidFill>
                </w14:textFill>
              </w:rPr>
            </w:pPr>
            <w:r>
              <w:rPr>
                <w:rFonts w:hint="eastAsia" w:cs="宋体"/>
                <w:b/>
                <w:bCs/>
                <w:color w:val="000000" w:themeColor="text1"/>
                <w:kern w:val="0"/>
                <w14:textFill>
                  <w14:solidFill>
                    <w14:schemeClr w14:val="tx1"/>
                  </w14:solidFill>
                </w14:textFill>
              </w:rPr>
              <w:t>描述</w:t>
            </w:r>
          </w:p>
        </w:tc>
      </w:tr>
      <w:tr w14:paraId="381C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Align w:val="center"/>
          </w:tcPr>
          <w:p w14:paraId="1C057521">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接口配置</w:t>
            </w:r>
          </w:p>
        </w:tc>
        <w:tc>
          <w:tcPr>
            <w:tcW w:w="4188" w:type="pct"/>
            <w:vAlign w:val="center"/>
          </w:tcPr>
          <w:p w14:paraId="5CECC11F">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kern w:val="0"/>
              </w:rPr>
              <w:t>≧</w:t>
            </w:r>
            <w:r>
              <w:rPr>
                <w:rFonts w:hint="eastAsia" w:cs="宋体"/>
                <w:color w:val="000000" w:themeColor="text1"/>
                <w:kern w:val="0"/>
                <w14:textFill>
                  <w14:solidFill>
                    <w14:schemeClr w14:val="tx1"/>
                  </w14:solidFill>
                </w14:textFill>
              </w:rPr>
              <w:t>4个10/100/1000M Base-TX；</w:t>
            </w:r>
            <w:r>
              <w:rPr>
                <w:rFonts w:hint="eastAsia" w:cs="宋体"/>
                <w:kern w:val="0"/>
              </w:rPr>
              <w:t>≧</w:t>
            </w:r>
            <w:r>
              <w:rPr>
                <w:rFonts w:hint="eastAsia" w:cs="宋体"/>
                <w:color w:val="000000" w:themeColor="text1"/>
                <w:kern w:val="0"/>
                <w14:textFill>
                  <w14:solidFill>
                    <w14:schemeClr w14:val="tx1"/>
                  </w14:solidFill>
                </w14:textFill>
              </w:rPr>
              <w:t>4个千兆光口</w:t>
            </w:r>
          </w:p>
        </w:tc>
      </w:tr>
      <w:tr w14:paraId="5639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Align w:val="center"/>
          </w:tcPr>
          <w:p w14:paraId="2993F729">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性能指标</w:t>
            </w:r>
          </w:p>
        </w:tc>
        <w:tc>
          <w:tcPr>
            <w:tcW w:w="4188" w:type="pct"/>
            <w:vAlign w:val="center"/>
          </w:tcPr>
          <w:p w14:paraId="65AF032B">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整机网络层吞吐量(双向)：</w:t>
            </w:r>
            <w:r>
              <w:rPr>
                <w:rFonts w:hint="eastAsia" w:cs="宋体"/>
                <w:kern w:val="0"/>
              </w:rPr>
              <w:t>≧</w:t>
            </w:r>
            <w:r>
              <w:rPr>
                <w:rFonts w:hint="eastAsia" w:cs="宋体"/>
                <w:color w:val="000000" w:themeColor="text1"/>
                <w:kern w:val="0"/>
                <w14:textFill>
                  <w14:solidFill>
                    <w14:schemeClr w14:val="tx1"/>
                  </w14:solidFill>
                </w14:textFill>
              </w:rPr>
              <w:t>8G</w:t>
            </w:r>
          </w:p>
          <w:p w14:paraId="414E3812">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防病毒吞吐：</w:t>
            </w:r>
            <w:r>
              <w:rPr>
                <w:rFonts w:hint="eastAsia" w:cs="宋体"/>
                <w:kern w:val="0"/>
              </w:rPr>
              <w:t>≧</w:t>
            </w:r>
            <w:r>
              <w:rPr>
                <w:rFonts w:hint="eastAsia" w:cs="宋体"/>
                <w:color w:val="000000" w:themeColor="text1"/>
                <w:kern w:val="0"/>
                <w14:textFill>
                  <w14:solidFill>
                    <w14:schemeClr w14:val="tx1"/>
                  </w14:solidFill>
                </w14:textFill>
              </w:rPr>
              <w:t>1G</w:t>
            </w:r>
          </w:p>
        </w:tc>
      </w:tr>
      <w:tr w14:paraId="532B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restart"/>
            <w:vAlign w:val="center"/>
          </w:tcPr>
          <w:p w14:paraId="49770BA3">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操作系统</w:t>
            </w:r>
          </w:p>
        </w:tc>
        <w:tc>
          <w:tcPr>
            <w:tcW w:w="4188" w:type="pct"/>
            <w:vAlign w:val="center"/>
          </w:tcPr>
          <w:p w14:paraId="47FCEBE5">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多系统设置可在Web界面上完成全部操作。</w:t>
            </w:r>
          </w:p>
        </w:tc>
      </w:tr>
      <w:tr w14:paraId="089A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812" w:type="pct"/>
            <w:vMerge w:val="continue"/>
            <w:vAlign w:val="center"/>
          </w:tcPr>
          <w:p w14:paraId="31E22E7B">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7442B420">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支持按功能模块的配置导入导出功能。</w:t>
            </w:r>
          </w:p>
        </w:tc>
      </w:tr>
      <w:tr w14:paraId="498D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12" w:type="pct"/>
            <w:vMerge w:val="restart"/>
            <w:vAlign w:val="center"/>
          </w:tcPr>
          <w:p w14:paraId="5F454B35">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IPv6</w:t>
            </w:r>
          </w:p>
        </w:tc>
        <w:tc>
          <w:tcPr>
            <w:tcW w:w="4188" w:type="pct"/>
            <w:vAlign w:val="center"/>
          </w:tcPr>
          <w:p w14:paraId="5DE00CBA">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支持IPv6地址、地址组配置。</w:t>
            </w:r>
          </w:p>
        </w:tc>
      </w:tr>
      <w:tr w14:paraId="5AEA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3D48E916">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0123B97D">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支持IPv6安全控制策略设置，能针对IPV6的目的/源地址、目的/源服务端口、服务、扩展头属性等条件进行安全访问规则的设置。</w:t>
            </w:r>
          </w:p>
        </w:tc>
      </w:tr>
      <w:tr w14:paraId="3AF2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restart"/>
            <w:vAlign w:val="center"/>
          </w:tcPr>
          <w:p w14:paraId="3DD30FEB">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网络适应性</w:t>
            </w:r>
          </w:p>
        </w:tc>
        <w:tc>
          <w:tcPr>
            <w:tcW w:w="4188" w:type="pct"/>
            <w:vAlign w:val="center"/>
          </w:tcPr>
          <w:p w14:paraId="10C2937A">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支持静态路由，动态路由（OSPF、RIP、BGP、ISIS等），VLAN间路由，单臂路由，组播路由等。</w:t>
            </w:r>
          </w:p>
        </w:tc>
      </w:tr>
      <w:tr w14:paraId="277E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6A66B114">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23D98EBE">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必需支持基于应用的策略路由，可实现为不同的应用类型智能选择相应的链路。</w:t>
            </w:r>
          </w:p>
        </w:tc>
      </w:tr>
      <w:tr w14:paraId="0687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39A0D22C">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09A50D11">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支持基于 WEB地址URL的策略路由，可实现将不同类型的网站流量智能分配到不同的链路。</w:t>
            </w:r>
          </w:p>
        </w:tc>
      </w:tr>
      <w:tr w14:paraId="7ECA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59DA573F">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61D6B7DF">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必需支持基于文件类型的策略路由，可实现将预定义或者自定义的文件按照不同的分类进行智能选路。</w:t>
            </w:r>
          </w:p>
        </w:tc>
      </w:tr>
      <w:tr w14:paraId="33F8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6F848A51">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4D4626E8">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可支持多出口路由情况下的默认路由备份、负载均衡。</w:t>
            </w:r>
          </w:p>
        </w:tc>
      </w:tr>
      <w:tr w14:paraId="4898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49366939">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142FB88C">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支持区域地址所属查询，能针对国外地址进行有效防护和管理。</w:t>
            </w:r>
          </w:p>
        </w:tc>
      </w:tr>
      <w:tr w14:paraId="65B5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restart"/>
            <w:vAlign w:val="center"/>
          </w:tcPr>
          <w:p w14:paraId="14820C35">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网络管理</w:t>
            </w:r>
          </w:p>
        </w:tc>
        <w:tc>
          <w:tcPr>
            <w:tcW w:w="4188" w:type="pct"/>
            <w:vAlign w:val="center"/>
          </w:tcPr>
          <w:p w14:paraId="79C48E35">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要求支持将任意接口数据完全镜像到设备自身的其他接口，用于抓包分析。</w:t>
            </w:r>
          </w:p>
        </w:tc>
      </w:tr>
      <w:tr w14:paraId="4B82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08C07EAA">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0FD5A5CB">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支持对虚拟环境的数据流进行全策略控制。</w:t>
            </w:r>
          </w:p>
        </w:tc>
      </w:tr>
      <w:tr w14:paraId="2EF7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05DEB5DB">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151F434B">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支持链路聚合功能，支持802.3ad和静态轮询、热备等多种模式，MAC、MAC&amp;IP、IP&amp;Port多种聚合负载算法。 </w:t>
            </w:r>
          </w:p>
        </w:tc>
      </w:tr>
      <w:tr w14:paraId="7B22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6473837C">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4D5365A4">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支持无线设备接入的MAC地址认证，可设置默认接收或拒绝MAC地址。</w:t>
            </w:r>
          </w:p>
        </w:tc>
      </w:tr>
      <w:tr w14:paraId="2BE7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28D503C1">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3EF217B8">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 xml:space="preserve">除本地有线链路接入外，必需可提供至少一种其他媒介的灾备链路接入方案支持，如3G广域网、VSAT卫星网、海事卫星网。 </w:t>
            </w:r>
          </w:p>
        </w:tc>
      </w:tr>
      <w:tr w14:paraId="2412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restart"/>
            <w:vAlign w:val="center"/>
          </w:tcPr>
          <w:p w14:paraId="7765A9B1">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防病毒</w:t>
            </w:r>
          </w:p>
        </w:tc>
        <w:tc>
          <w:tcPr>
            <w:tcW w:w="4188" w:type="pct"/>
            <w:vAlign w:val="center"/>
          </w:tcPr>
          <w:p w14:paraId="5AE83364">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支持基于策略的病毒扫描与防护，可针对不同的源目IP地址、源MAC地址、服务、时间、安全域、用户等，采用不同的病毒防护策略。</w:t>
            </w:r>
          </w:p>
        </w:tc>
      </w:tr>
      <w:tr w14:paraId="7CD9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369F591E">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25273F41">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支持HTTP,SMTP,FTP,POP3,IMAP,FTP,WEBMAIL多种应用协议下的病毒防护，支持自定义非标准端口下应用协议的病毒防护。支持应用协议自识别，防止更改协议端口从而绕过病毒查杀的事件发生。</w:t>
            </w:r>
          </w:p>
        </w:tc>
      </w:tr>
      <w:tr w14:paraId="1C17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Align w:val="center"/>
          </w:tcPr>
          <w:p w14:paraId="6AF592B4">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服务器负载均衡</w:t>
            </w:r>
          </w:p>
        </w:tc>
        <w:tc>
          <w:tcPr>
            <w:tcW w:w="4188" w:type="pct"/>
            <w:vAlign w:val="center"/>
          </w:tcPr>
          <w:p w14:paraId="445E4AC4">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服务器负载均衡支持10种算法。</w:t>
            </w:r>
          </w:p>
        </w:tc>
      </w:tr>
      <w:tr w14:paraId="456F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restart"/>
            <w:vAlign w:val="center"/>
          </w:tcPr>
          <w:p w14:paraId="07D294CD">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抗拒绝服务攻击</w:t>
            </w:r>
          </w:p>
        </w:tc>
        <w:tc>
          <w:tcPr>
            <w:tcW w:w="4188" w:type="pct"/>
            <w:vAlign w:val="center"/>
          </w:tcPr>
          <w:p w14:paraId="783D9DD7">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支持主流ICMPFLOOD\SYNFLOOD\ACKFLOOD\SYNACKFLOOD\UDPFLOOD攻击防护，采用专业高效攻击防护算法，非采用简单的阈值进行攻击防护。</w:t>
            </w:r>
          </w:p>
        </w:tc>
      </w:tr>
      <w:tr w14:paraId="0453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7FBDC94B">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21B8F861">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以上主流的功能，支持基于源IP限速、基于特征过滤系数、聚类限速系数、重传检测、自学习白名单等多种防御机制。</w:t>
            </w:r>
          </w:p>
        </w:tc>
      </w:tr>
      <w:tr w14:paraId="4196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01D84BC7">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76F43BFB">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支持专业的DNSflood攻击防护，具有高级的基于聚类限速、聚类分析、重传检测等多种高级防护算法。</w:t>
            </w:r>
          </w:p>
        </w:tc>
      </w:tr>
      <w:tr w14:paraId="046E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restart"/>
            <w:vAlign w:val="center"/>
          </w:tcPr>
          <w:p w14:paraId="1A8FD1E1">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流量控制与优化</w:t>
            </w:r>
          </w:p>
        </w:tc>
        <w:tc>
          <w:tcPr>
            <w:tcW w:w="4188" w:type="pct"/>
            <w:vAlign w:val="center"/>
          </w:tcPr>
          <w:p w14:paraId="2E9F9E4E">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针对文件类型进行流量管理，至少支持6类如：电影类、音乐类、图片类、文本类、压缩类、应用程序类等。可以针对不同类型的文件配置不同的流量管理规则。必需支持自定义分类，并可以手动添加文件类型到分类组中 。包括针对文件类型单独设置最大带宽、保证带宽、协议流量优先级等 。</w:t>
            </w:r>
          </w:p>
        </w:tc>
      </w:tr>
      <w:tr w14:paraId="38C9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51EB916E">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1A7F0FA9">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支持针对URL类型进行流量管理，至少支持：旅游出行、美体美容、web代理、报刊杂志等。可以针对不同类型的URL配置不同的流量管理规则,包括最大带宽、保证带宽、协议流量优先级等。</w:t>
            </w:r>
          </w:p>
        </w:tc>
      </w:tr>
      <w:tr w14:paraId="787B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Align w:val="center"/>
          </w:tcPr>
          <w:p w14:paraId="4BC5B49B">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资产风险评估</w:t>
            </w:r>
          </w:p>
        </w:tc>
        <w:tc>
          <w:tcPr>
            <w:tcW w:w="4188" w:type="pct"/>
            <w:vAlign w:val="center"/>
          </w:tcPr>
          <w:p w14:paraId="72217659">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全方位、多角度的风险趋势呈现。支持以曲线图形的方式呈现全网和核心资产的风险变化趋势。支持以柱状堆叠图形（按安全事件分类）的方式呈现全网和核心资产安全事件的趋势统计，每类安全事件是否参与统计可调节。支持以处理动作（如阻断/放行）的趋势统计。</w:t>
            </w:r>
          </w:p>
        </w:tc>
      </w:tr>
      <w:tr w14:paraId="2952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restart"/>
            <w:vAlign w:val="center"/>
          </w:tcPr>
          <w:p w14:paraId="0E517B82">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高可用性</w:t>
            </w:r>
          </w:p>
        </w:tc>
        <w:tc>
          <w:tcPr>
            <w:tcW w:w="4188" w:type="pct"/>
            <w:vAlign w:val="center"/>
          </w:tcPr>
          <w:p w14:paraId="53C4FA9B">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支持端口联动，支持上下行端口组的联动，可以实现单端口决定同组中的任意接口失效启动链路切换。</w:t>
            </w:r>
          </w:p>
        </w:tc>
      </w:tr>
      <w:tr w14:paraId="66D1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Merge w:val="continue"/>
            <w:vAlign w:val="center"/>
          </w:tcPr>
          <w:p w14:paraId="160FC819">
            <w:pPr>
              <w:widowControl/>
              <w:spacing w:line="240" w:lineRule="auto"/>
              <w:ind w:firstLine="0" w:firstLineChars="0"/>
              <w:jc w:val="left"/>
              <w:rPr>
                <w:rFonts w:hint="eastAsia" w:cs="宋体"/>
                <w:color w:val="000000" w:themeColor="text1"/>
                <w:kern w:val="0"/>
                <w14:textFill>
                  <w14:solidFill>
                    <w14:schemeClr w14:val="tx1"/>
                  </w14:solidFill>
                </w14:textFill>
              </w:rPr>
            </w:pPr>
          </w:p>
        </w:tc>
        <w:tc>
          <w:tcPr>
            <w:tcW w:w="4188" w:type="pct"/>
            <w:vAlign w:val="center"/>
          </w:tcPr>
          <w:p w14:paraId="2CD9C6D8">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自动同步、心跳接口多级（≥2级）物理备份。</w:t>
            </w:r>
          </w:p>
        </w:tc>
      </w:tr>
      <w:tr w14:paraId="089E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Align w:val="center"/>
          </w:tcPr>
          <w:p w14:paraId="4AB30546">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特征库升级</w:t>
            </w:r>
          </w:p>
        </w:tc>
        <w:tc>
          <w:tcPr>
            <w:tcW w:w="4188" w:type="pct"/>
            <w:vAlign w:val="center"/>
          </w:tcPr>
          <w:p w14:paraId="11F80EAC">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支持本地和远程特征库升级，支持用户自定义升级服务器及服务器地址配置</w:t>
            </w:r>
          </w:p>
        </w:tc>
      </w:tr>
      <w:tr w14:paraId="4B54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12" w:type="pct"/>
            <w:vAlign w:val="center"/>
          </w:tcPr>
          <w:p w14:paraId="56F733CC">
            <w:pPr>
              <w:widowControl/>
              <w:spacing w:line="240" w:lineRule="auto"/>
              <w:ind w:firstLine="0" w:firstLineChars="0"/>
              <w:jc w:val="center"/>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产品资质</w:t>
            </w:r>
          </w:p>
        </w:tc>
        <w:tc>
          <w:tcPr>
            <w:tcW w:w="4188" w:type="pct"/>
            <w:vAlign w:val="center"/>
          </w:tcPr>
          <w:p w14:paraId="178C9A3C">
            <w:pPr>
              <w:widowControl/>
              <w:spacing w:line="240" w:lineRule="auto"/>
              <w:ind w:firstLine="0" w:firstLineChars="0"/>
              <w:jc w:val="left"/>
              <w:rPr>
                <w:rFonts w:hint="eastAsia"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1、具备公安部网络安全保卫局颁发的《计算机信息系统安全专用产品销售许可证》(增强级）或网络安全专用产品证书。</w:t>
            </w:r>
          </w:p>
        </w:tc>
      </w:tr>
    </w:tbl>
    <w:p w14:paraId="1683BF2A">
      <w:pPr>
        <w:ind w:firstLine="0" w:firstLineChars="0"/>
        <w:rPr>
          <w:rFonts w:hint="eastAsia" w:cs="宋体"/>
        </w:rPr>
      </w:pPr>
    </w:p>
    <w:p w14:paraId="1C233A36">
      <w:pPr>
        <w:pStyle w:val="5"/>
        <w:ind w:left="960"/>
        <w:rPr>
          <w:rFonts w:hint="eastAsia" w:cs="宋体"/>
        </w:rPr>
      </w:pPr>
      <w:r>
        <w:rPr>
          <w:rFonts w:hint="eastAsia" w:cs="宋体"/>
        </w:rPr>
        <w:t>上网行为管理</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871"/>
        <w:gridCol w:w="6657"/>
      </w:tblGrid>
      <w:tr w14:paraId="4627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blHeader/>
        </w:trPr>
        <w:tc>
          <w:tcPr>
            <w:tcW w:w="1097" w:type="pct"/>
            <w:shd w:val="clear" w:color="auto" w:fill="BEBEBE" w:themeFill="background1" w:themeFillShade="BF"/>
            <w:tcMar>
              <w:top w:w="0" w:type="dxa"/>
              <w:left w:w="108" w:type="dxa"/>
              <w:bottom w:w="0" w:type="dxa"/>
              <w:right w:w="108" w:type="dxa"/>
            </w:tcMar>
            <w:vAlign w:val="center"/>
          </w:tcPr>
          <w:p w14:paraId="126682BE">
            <w:pPr>
              <w:spacing w:line="360" w:lineRule="atLeast"/>
              <w:ind w:firstLine="482"/>
              <w:jc w:val="center"/>
              <w:rPr>
                <w:rFonts w:hint="eastAsia" w:cs="宋体"/>
                <w:b/>
                <w:bCs/>
              </w:rPr>
            </w:pPr>
            <w:r>
              <w:rPr>
                <w:rFonts w:hint="eastAsia" w:cs="宋体"/>
                <w:b/>
                <w:bCs/>
              </w:rPr>
              <w:t>指标项</w:t>
            </w:r>
          </w:p>
        </w:tc>
        <w:tc>
          <w:tcPr>
            <w:tcW w:w="3903" w:type="pct"/>
            <w:shd w:val="clear" w:color="auto" w:fill="BEBEBE" w:themeFill="background1" w:themeFillShade="BF"/>
            <w:tcMar>
              <w:top w:w="0" w:type="dxa"/>
              <w:left w:w="108" w:type="dxa"/>
              <w:bottom w:w="0" w:type="dxa"/>
              <w:right w:w="108" w:type="dxa"/>
            </w:tcMar>
            <w:vAlign w:val="center"/>
          </w:tcPr>
          <w:p w14:paraId="396A708B">
            <w:pPr>
              <w:spacing w:line="360" w:lineRule="atLeast"/>
              <w:ind w:firstLine="482"/>
              <w:jc w:val="center"/>
              <w:rPr>
                <w:rFonts w:hint="eastAsia" w:cs="宋体"/>
                <w:b/>
                <w:bCs/>
              </w:rPr>
            </w:pPr>
            <w:r>
              <w:rPr>
                <w:rFonts w:hint="eastAsia" w:cs="宋体"/>
                <w:b/>
                <w:bCs/>
              </w:rPr>
              <w:t>参数要求</w:t>
            </w:r>
          </w:p>
        </w:tc>
      </w:tr>
      <w:tr w14:paraId="5680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shd w:val="clear" w:color="auto" w:fill="FFFFFF"/>
            <w:tcMar>
              <w:top w:w="0" w:type="dxa"/>
              <w:left w:w="108" w:type="dxa"/>
              <w:bottom w:w="0" w:type="dxa"/>
              <w:right w:w="108" w:type="dxa"/>
            </w:tcMar>
            <w:vAlign w:val="center"/>
          </w:tcPr>
          <w:p w14:paraId="1DDDB55D">
            <w:pPr>
              <w:spacing w:line="360" w:lineRule="atLeast"/>
              <w:rPr>
                <w:rFonts w:hint="eastAsia" w:cs="宋体"/>
                <w:b/>
                <w:bCs/>
              </w:rPr>
            </w:pPr>
            <w:r>
              <w:rPr>
                <w:rFonts w:hint="eastAsia" w:cs="宋体"/>
              </w:rPr>
              <w:t>系统架构</w:t>
            </w:r>
          </w:p>
        </w:tc>
        <w:tc>
          <w:tcPr>
            <w:tcW w:w="3903" w:type="pct"/>
            <w:shd w:val="clear" w:color="auto" w:fill="FFFFFF"/>
            <w:tcMar>
              <w:top w:w="0" w:type="dxa"/>
              <w:left w:w="108" w:type="dxa"/>
              <w:bottom w:w="0" w:type="dxa"/>
              <w:right w:w="108" w:type="dxa"/>
            </w:tcMar>
            <w:vAlign w:val="center"/>
          </w:tcPr>
          <w:p w14:paraId="29BE9FAC">
            <w:pPr>
              <w:spacing w:line="360" w:lineRule="atLeast"/>
              <w:ind w:firstLine="482"/>
              <w:rPr>
                <w:rFonts w:hint="eastAsia" w:cs="宋体"/>
              </w:rPr>
            </w:pPr>
            <w:r>
              <w:rPr>
                <w:rFonts w:hint="eastAsia" w:cs="宋体"/>
                <w:b/>
                <w:bCs/>
                <w:color w:val="000000" w:themeColor="text1"/>
                <w:kern w:val="0"/>
                <w14:textFill>
                  <w14:solidFill>
                    <w14:schemeClr w14:val="tx1"/>
                  </w14:solidFill>
                </w14:textFill>
              </w:rPr>
              <w:t>▲</w:t>
            </w:r>
            <w:r>
              <w:rPr>
                <w:rFonts w:hint="eastAsia" w:cs="宋体"/>
              </w:rPr>
              <w:t>采用高性能ASIC加速技术，需提供AAOS加速操作系统证书复印件</w:t>
            </w:r>
          </w:p>
        </w:tc>
      </w:tr>
      <w:tr w14:paraId="22B1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shd w:val="clear" w:color="auto" w:fill="FFFFFF"/>
            <w:tcMar>
              <w:top w:w="0" w:type="dxa"/>
              <w:left w:w="108" w:type="dxa"/>
              <w:bottom w:w="0" w:type="dxa"/>
              <w:right w:w="108" w:type="dxa"/>
            </w:tcMar>
            <w:vAlign w:val="center"/>
          </w:tcPr>
          <w:p w14:paraId="2CB80ADD">
            <w:pPr>
              <w:spacing w:line="360" w:lineRule="atLeast"/>
              <w:rPr>
                <w:rFonts w:hint="eastAsia" w:cs="宋体"/>
              </w:rPr>
            </w:pPr>
            <w:r>
              <w:rPr>
                <w:rFonts w:hint="eastAsia" w:cs="宋体"/>
              </w:rPr>
              <w:t>设备配置</w:t>
            </w:r>
          </w:p>
        </w:tc>
        <w:tc>
          <w:tcPr>
            <w:tcW w:w="3903" w:type="pct"/>
            <w:shd w:val="clear" w:color="auto" w:fill="FFFFFF"/>
            <w:tcMar>
              <w:top w:w="0" w:type="dxa"/>
              <w:left w:w="108" w:type="dxa"/>
              <w:bottom w:w="0" w:type="dxa"/>
              <w:right w:w="108" w:type="dxa"/>
            </w:tcMar>
            <w:vAlign w:val="center"/>
          </w:tcPr>
          <w:p w14:paraId="0C046190">
            <w:pPr>
              <w:spacing w:line="360" w:lineRule="atLeast"/>
              <w:rPr>
                <w:rFonts w:hint="eastAsia" w:cs="宋体"/>
              </w:rPr>
            </w:pPr>
            <w:r>
              <w:rPr>
                <w:rFonts w:hint="eastAsia" w:cs="宋体"/>
              </w:rPr>
              <w:t>标准1U设备，冗余电源，最大支持带宽</w:t>
            </w:r>
            <w:r>
              <w:rPr>
                <w:rFonts w:hint="eastAsia" w:cs="宋体"/>
                <w:kern w:val="0"/>
              </w:rPr>
              <w:t>≧</w:t>
            </w:r>
            <w:r>
              <w:rPr>
                <w:rFonts w:hint="eastAsia" w:cs="宋体"/>
              </w:rPr>
              <w:t>350M，内置</w:t>
            </w:r>
            <w:r>
              <w:rPr>
                <w:rFonts w:hint="eastAsia" w:cs="宋体"/>
                <w:kern w:val="0"/>
              </w:rPr>
              <w:t>≧</w:t>
            </w:r>
            <w:r>
              <w:rPr>
                <w:rFonts w:hint="eastAsia" w:cs="宋体"/>
              </w:rPr>
              <w:t>2T硬盘，</w:t>
            </w:r>
            <w:r>
              <w:rPr>
                <w:rFonts w:hint="eastAsia" w:cs="宋体"/>
                <w:kern w:val="0"/>
              </w:rPr>
              <w:t>≧</w:t>
            </w:r>
            <w:r>
              <w:rPr>
                <w:rFonts w:hint="eastAsia" w:cs="宋体"/>
              </w:rPr>
              <w:t>12个千兆电口，</w:t>
            </w:r>
            <w:r>
              <w:rPr>
                <w:rFonts w:hint="eastAsia" w:cs="宋体"/>
                <w:kern w:val="0"/>
              </w:rPr>
              <w:t>≧</w:t>
            </w:r>
            <w:r>
              <w:rPr>
                <w:rFonts w:hint="eastAsia" w:cs="宋体"/>
              </w:rPr>
              <w:t>12个千兆光口。</w:t>
            </w:r>
          </w:p>
        </w:tc>
      </w:tr>
      <w:tr w14:paraId="49FA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vMerge w:val="restart"/>
            <w:shd w:val="clear" w:color="auto" w:fill="FFFFFF"/>
            <w:tcMar>
              <w:top w:w="0" w:type="dxa"/>
              <w:left w:w="108" w:type="dxa"/>
              <w:bottom w:w="0" w:type="dxa"/>
              <w:right w:w="108" w:type="dxa"/>
            </w:tcMar>
            <w:vAlign w:val="center"/>
          </w:tcPr>
          <w:p w14:paraId="06A41C38">
            <w:pPr>
              <w:spacing w:line="360" w:lineRule="atLeast"/>
              <w:rPr>
                <w:rFonts w:hint="eastAsia" w:cs="宋体"/>
              </w:rPr>
            </w:pPr>
            <w:r>
              <w:rPr>
                <w:rFonts w:hint="eastAsia" w:cs="宋体"/>
              </w:rPr>
              <w:t>产品功能</w:t>
            </w:r>
          </w:p>
        </w:tc>
        <w:tc>
          <w:tcPr>
            <w:tcW w:w="3903" w:type="pct"/>
            <w:shd w:val="clear" w:color="auto" w:fill="FFFFFF"/>
            <w:tcMar>
              <w:top w:w="0" w:type="dxa"/>
              <w:left w:w="108" w:type="dxa"/>
              <w:bottom w:w="0" w:type="dxa"/>
              <w:right w:w="108" w:type="dxa"/>
            </w:tcMar>
            <w:vAlign w:val="center"/>
          </w:tcPr>
          <w:p w14:paraId="1E38D0DC">
            <w:pPr>
              <w:spacing w:line="360" w:lineRule="atLeast"/>
              <w:rPr>
                <w:rFonts w:hint="eastAsia" w:cs="宋体"/>
              </w:rPr>
            </w:pPr>
            <w:r>
              <w:rPr>
                <w:rFonts w:hint="eastAsia" w:cs="宋体"/>
              </w:rPr>
              <w:t>支持路由模式、透明（网桥）模式、混合模式，支持镜像接口，部署模式切换无需重启设备</w:t>
            </w:r>
          </w:p>
        </w:tc>
      </w:tr>
      <w:tr w14:paraId="47B9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vMerge w:val="continue"/>
            <w:shd w:val="clear" w:color="auto" w:fill="FFFFFF"/>
            <w:vAlign w:val="center"/>
          </w:tcPr>
          <w:p w14:paraId="29B4C92F">
            <w:pPr>
              <w:jc w:val="right"/>
              <w:rPr>
                <w:rFonts w:hint="eastAsia" w:cs="宋体"/>
              </w:rPr>
            </w:pPr>
          </w:p>
        </w:tc>
        <w:tc>
          <w:tcPr>
            <w:tcW w:w="3903" w:type="pct"/>
            <w:shd w:val="clear" w:color="auto" w:fill="FFFFFF"/>
            <w:tcMar>
              <w:top w:w="0" w:type="dxa"/>
              <w:left w:w="108" w:type="dxa"/>
              <w:bottom w:w="0" w:type="dxa"/>
              <w:right w:w="108" w:type="dxa"/>
            </w:tcMar>
            <w:vAlign w:val="center"/>
          </w:tcPr>
          <w:p w14:paraId="1E9A9C2E">
            <w:pPr>
              <w:spacing w:line="360" w:lineRule="atLeast"/>
              <w:rPr>
                <w:rFonts w:hint="eastAsia" w:cs="宋体"/>
              </w:rPr>
            </w:pPr>
            <w:r>
              <w:rPr>
                <w:rFonts w:hint="eastAsia" w:cs="宋体"/>
              </w:rPr>
              <w:t>支持源地址转换、目的地址转换、双向地址转换、NAT44</w:t>
            </w:r>
          </w:p>
        </w:tc>
      </w:tr>
      <w:tr w14:paraId="21E4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vMerge w:val="continue"/>
            <w:shd w:val="clear" w:color="auto" w:fill="FFFFFF"/>
            <w:vAlign w:val="center"/>
          </w:tcPr>
          <w:p w14:paraId="4D7CA647">
            <w:pPr>
              <w:jc w:val="right"/>
              <w:rPr>
                <w:rFonts w:hint="eastAsia" w:cs="宋体"/>
              </w:rPr>
            </w:pPr>
          </w:p>
        </w:tc>
        <w:tc>
          <w:tcPr>
            <w:tcW w:w="3903" w:type="pct"/>
            <w:shd w:val="clear" w:color="auto" w:fill="FFFFFF"/>
            <w:tcMar>
              <w:top w:w="0" w:type="dxa"/>
              <w:left w:w="108" w:type="dxa"/>
              <w:bottom w:w="0" w:type="dxa"/>
              <w:right w:w="108" w:type="dxa"/>
            </w:tcMar>
            <w:vAlign w:val="center"/>
          </w:tcPr>
          <w:p w14:paraId="1E2D8017">
            <w:pPr>
              <w:spacing w:line="360" w:lineRule="atLeast"/>
              <w:rPr>
                <w:rFonts w:hint="eastAsia" w:cs="宋体"/>
              </w:rPr>
            </w:pPr>
            <w:r>
              <w:rPr>
                <w:rFonts w:hint="eastAsia" w:cs="宋体"/>
              </w:rPr>
              <w:t>支持动态域名绑定功能</w:t>
            </w:r>
          </w:p>
        </w:tc>
      </w:tr>
      <w:tr w14:paraId="39BE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vMerge w:val="continue"/>
            <w:shd w:val="clear" w:color="auto" w:fill="FFFFFF"/>
            <w:vAlign w:val="center"/>
          </w:tcPr>
          <w:p w14:paraId="4E75108F">
            <w:pPr>
              <w:jc w:val="right"/>
              <w:rPr>
                <w:rFonts w:hint="eastAsia" w:cs="宋体"/>
              </w:rPr>
            </w:pPr>
          </w:p>
        </w:tc>
        <w:tc>
          <w:tcPr>
            <w:tcW w:w="3903" w:type="pct"/>
            <w:shd w:val="clear" w:color="auto" w:fill="FFFFFF"/>
            <w:tcMar>
              <w:top w:w="0" w:type="dxa"/>
              <w:left w:w="108" w:type="dxa"/>
              <w:bottom w:w="0" w:type="dxa"/>
              <w:right w:w="108" w:type="dxa"/>
            </w:tcMar>
            <w:vAlign w:val="center"/>
          </w:tcPr>
          <w:p w14:paraId="7DE42067">
            <w:pPr>
              <w:spacing w:line="360" w:lineRule="atLeast"/>
              <w:rPr>
                <w:rFonts w:hint="eastAsia" w:cs="宋体"/>
              </w:rPr>
            </w:pPr>
            <w:r>
              <w:rPr>
                <w:rFonts w:hint="eastAsia" w:cs="宋体"/>
              </w:rPr>
              <w:t>支持静态路由、策略路由、动态路由、ISP路由；策略路由支持七元组策略；动态路由支持RIP、OSPF等；ISP路由支持运营商地址自定义。</w:t>
            </w:r>
          </w:p>
        </w:tc>
      </w:tr>
      <w:tr w14:paraId="6728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vMerge w:val="continue"/>
            <w:shd w:val="clear" w:color="auto" w:fill="FFFFFF"/>
            <w:vAlign w:val="center"/>
          </w:tcPr>
          <w:p w14:paraId="3C270D3C">
            <w:pPr>
              <w:jc w:val="right"/>
              <w:rPr>
                <w:rFonts w:hint="eastAsia" w:cs="宋体"/>
              </w:rPr>
            </w:pPr>
          </w:p>
        </w:tc>
        <w:tc>
          <w:tcPr>
            <w:tcW w:w="3903" w:type="pct"/>
            <w:shd w:val="clear" w:color="auto" w:fill="FFFFFF"/>
            <w:tcMar>
              <w:top w:w="0" w:type="dxa"/>
              <w:left w:w="108" w:type="dxa"/>
              <w:bottom w:w="0" w:type="dxa"/>
              <w:right w:w="108" w:type="dxa"/>
            </w:tcMar>
            <w:vAlign w:val="center"/>
          </w:tcPr>
          <w:p w14:paraId="5FE68175">
            <w:pPr>
              <w:spacing w:line="360" w:lineRule="atLeast"/>
              <w:rPr>
                <w:rFonts w:hint="eastAsia" w:cs="宋体"/>
              </w:rPr>
            </w:pPr>
            <w:r>
              <w:rPr>
                <w:rFonts w:hint="eastAsia" w:cs="宋体"/>
              </w:rPr>
              <w:t>支持IPV6网络</w:t>
            </w:r>
          </w:p>
        </w:tc>
      </w:tr>
      <w:tr w14:paraId="4F8A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vMerge w:val="continue"/>
            <w:shd w:val="clear" w:color="auto" w:fill="FFFFFF"/>
            <w:vAlign w:val="center"/>
          </w:tcPr>
          <w:p w14:paraId="6B43E9A9">
            <w:pPr>
              <w:jc w:val="right"/>
              <w:rPr>
                <w:rFonts w:hint="eastAsia" w:cs="宋体"/>
              </w:rPr>
            </w:pPr>
          </w:p>
        </w:tc>
        <w:tc>
          <w:tcPr>
            <w:tcW w:w="3903" w:type="pct"/>
            <w:shd w:val="clear" w:color="auto" w:fill="FFFFFF"/>
            <w:tcMar>
              <w:top w:w="0" w:type="dxa"/>
              <w:left w:w="108" w:type="dxa"/>
              <w:bottom w:w="0" w:type="dxa"/>
              <w:right w:w="108" w:type="dxa"/>
            </w:tcMar>
            <w:vAlign w:val="center"/>
          </w:tcPr>
          <w:p w14:paraId="0E0A09CA">
            <w:pPr>
              <w:spacing w:line="360" w:lineRule="atLeast"/>
              <w:rPr>
                <w:rFonts w:hint="eastAsia" w:cs="宋体"/>
              </w:rPr>
            </w:pPr>
            <w:r>
              <w:rPr>
                <w:rFonts w:hint="eastAsia" w:cs="宋体"/>
              </w:rPr>
              <w:t>可广泛识别恶意网站、违法网站</w:t>
            </w:r>
          </w:p>
        </w:tc>
      </w:tr>
      <w:tr w14:paraId="5E22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vMerge w:val="continue"/>
            <w:shd w:val="clear" w:color="auto" w:fill="FFFFFF"/>
            <w:vAlign w:val="center"/>
          </w:tcPr>
          <w:p w14:paraId="49D33783">
            <w:pPr>
              <w:jc w:val="right"/>
              <w:rPr>
                <w:rFonts w:hint="eastAsia" w:cs="宋体"/>
              </w:rPr>
            </w:pPr>
          </w:p>
        </w:tc>
        <w:tc>
          <w:tcPr>
            <w:tcW w:w="3903" w:type="pct"/>
            <w:shd w:val="clear" w:color="auto" w:fill="FFFFFF"/>
            <w:tcMar>
              <w:top w:w="0" w:type="dxa"/>
              <w:left w:w="108" w:type="dxa"/>
              <w:bottom w:w="0" w:type="dxa"/>
              <w:right w:w="108" w:type="dxa"/>
            </w:tcMar>
            <w:vAlign w:val="center"/>
          </w:tcPr>
          <w:p w14:paraId="404FC8A9">
            <w:pPr>
              <w:spacing w:line="360" w:lineRule="atLeast"/>
              <w:rPr>
                <w:rFonts w:hint="eastAsia" w:cs="宋体"/>
              </w:rPr>
            </w:pPr>
            <w:r>
              <w:rPr>
                <w:rFonts w:hint="eastAsia" w:cs="宋体"/>
              </w:rPr>
              <w:t>支持自定义关键字对象，在应用控制的时候匹配类型包含关键字和数字</w:t>
            </w:r>
          </w:p>
        </w:tc>
      </w:tr>
      <w:tr w14:paraId="3E9D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vMerge w:val="continue"/>
            <w:shd w:val="clear" w:color="auto" w:fill="FFFFFF"/>
            <w:vAlign w:val="center"/>
          </w:tcPr>
          <w:p w14:paraId="19FFA3DB">
            <w:pPr>
              <w:jc w:val="right"/>
              <w:rPr>
                <w:rFonts w:hint="eastAsia" w:cs="宋体"/>
              </w:rPr>
            </w:pPr>
          </w:p>
        </w:tc>
        <w:tc>
          <w:tcPr>
            <w:tcW w:w="3903" w:type="pct"/>
            <w:shd w:val="clear" w:color="auto" w:fill="FFFFFF"/>
            <w:tcMar>
              <w:top w:w="0" w:type="dxa"/>
              <w:left w:w="108" w:type="dxa"/>
              <w:bottom w:w="0" w:type="dxa"/>
              <w:right w:w="108" w:type="dxa"/>
            </w:tcMar>
            <w:vAlign w:val="center"/>
          </w:tcPr>
          <w:p w14:paraId="4990CD99">
            <w:pPr>
              <w:spacing w:line="360" w:lineRule="atLeast"/>
              <w:rPr>
                <w:rFonts w:hint="eastAsia" w:cs="宋体"/>
              </w:rPr>
            </w:pPr>
            <w:r>
              <w:rPr>
                <w:rFonts w:hint="eastAsia" w:cs="宋体"/>
              </w:rPr>
              <w:t>支持HTTPS解密功能，支持页面及命令行配置解密策略，包括入接口、源地址对象、目的地址对象、https对象、域名排除等。支持针对HTTPS网站、HTTPS搜索记录、HTTPS邮箱等内容进行审计；HTTPS邮箱支持审计主题、内容、附件等；支持HTTPS域名库，预定义域名以及自定义域名；</w:t>
            </w:r>
          </w:p>
        </w:tc>
      </w:tr>
      <w:tr w14:paraId="2FF6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vMerge w:val="continue"/>
            <w:shd w:val="clear" w:color="auto" w:fill="FFFFFF"/>
            <w:vAlign w:val="center"/>
          </w:tcPr>
          <w:p w14:paraId="4AC7101A">
            <w:pPr>
              <w:jc w:val="right"/>
              <w:rPr>
                <w:rFonts w:hint="eastAsia" w:cs="宋体"/>
              </w:rPr>
            </w:pPr>
          </w:p>
        </w:tc>
        <w:tc>
          <w:tcPr>
            <w:tcW w:w="3903" w:type="pct"/>
            <w:shd w:val="clear" w:color="auto" w:fill="FFFFFF"/>
            <w:tcMar>
              <w:top w:w="0" w:type="dxa"/>
              <w:left w:w="108" w:type="dxa"/>
              <w:bottom w:w="0" w:type="dxa"/>
              <w:right w:w="108" w:type="dxa"/>
            </w:tcMar>
            <w:vAlign w:val="center"/>
          </w:tcPr>
          <w:p w14:paraId="1E498483">
            <w:pPr>
              <w:spacing w:line="360" w:lineRule="atLeast"/>
              <w:rPr>
                <w:rFonts w:hint="eastAsia" w:cs="宋体"/>
              </w:rPr>
            </w:pPr>
            <w:r>
              <w:rPr>
                <w:rFonts w:hint="eastAsia" w:cs="宋体"/>
              </w:rPr>
              <w:t>支持层次化QoS、支持多级用户/用户组嵌套。</w:t>
            </w:r>
          </w:p>
        </w:tc>
      </w:tr>
      <w:tr w14:paraId="0AD9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vMerge w:val="continue"/>
            <w:shd w:val="clear" w:color="auto" w:fill="FFFFFF"/>
            <w:vAlign w:val="center"/>
          </w:tcPr>
          <w:p w14:paraId="7E71B808">
            <w:pPr>
              <w:jc w:val="right"/>
              <w:rPr>
                <w:rFonts w:hint="eastAsia" w:cs="宋体"/>
              </w:rPr>
            </w:pPr>
          </w:p>
        </w:tc>
        <w:tc>
          <w:tcPr>
            <w:tcW w:w="3903" w:type="pct"/>
            <w:shd w:val="clear" w:color="auto" w:fill="FFFFFF"/>
            <w:tcMar>
              <w:top w:w="0" w:type="dxa"/>
              <w:left w:w="108" w:type="dxa"/>
              <w:bottom w:w="0" w:type="dxa"/>
              <w:right w:w="108" w:type="dxa"/>
            </w:tcMar>
            <w:vAlign w:val="center"/>
          </w:tcPr>
          <w:p w14:paraId="0312C3C4">
            <w:pPr>
              <w:spacing w:line="360" w:lineRule="atLeast"/>
              <w:rPr>
                <w:rFonts w:hint="eastAsia" w:cs="宋体"/>
              </w:rPr>
            </w:pPr>
            <w:r>
              <w:rPr>
                <w:rFonts w:hint="eastAsia" w:cs="宋体"/>
              </w:rPr>
              <w:t>支持用户（用户组）+应用（应用组）+时间等条件的组合进行多线路带宽管理；</w:t>
            </w:r>
          </w:p>
        </w:tc>
      </w:tr>
      <w:tr w14:paraId="5799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vMerge w:val="continue"/>
            <w:shd w:val="clear" w:color="auto" w:fill="FFFFFF"/>
            <w:vAlign w:val="center"/>
          </w:tcPr>
          <w:p w14:paraId="5F874837">
            <w:pPr>
              <w:jc w:val="right"/>
              <w:rPr>
                <w:rFonts w:hint="eastAsia" w:cs="宋体"/>
              </w:rPr>
            </w:pPr>
          </w:p>
        </w:tc>
        <w:tc>
          <w:tcPr>
            <w:tcW w:w="3903" w:type="pct"/>
            <w:shd w:val="clear" w:color="auto" w:fill="FFFFFF"/>
            <w:tcMar>
              <w:top w:w="0" w:type="dxa"/>
              <w:left w:w="108" w:type="dxa"/>
              <w:bottom w:w="0" w:type="dxa"/>
              <w:right w:w="108" w:type="dxa"/>
            </w:tcMar>
            <w:vAlign w:val="center"/>
          </w:tcPr>
          <w:p w14:paraId="2E179322">
            <w:pPr>
              <w:spacing w:line="360" w:lineRule="atLeast"/>
              <w:rPr>
                <w:rFonts w:hint="eastAsia" w:cs="宋体"/>
              </w:rPr>
            </w:pPr>
            <w:r>
              <w:rPr>
                <w:rFonts w:hint="eastAsia" w:cs="宋体"/>
              </w:rPr>
              <w:t>支持进行IP、整机会话限制。</w:t>
            </w:r>
          </w:p>
        </w:tc>
      </w:tr>
      <w:tr w14:paraId="24B5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vMerge w:val="continue"/>
            <w:shd w:val="clear" w:color="auto" w:fill="FFFFFF"/>
            <w:vAlign w:val="center"/>
          </w:tcPr>
          <w:p w14:paraId="0AF9CEF8">
            <w:pPr>
              <w:jc w:val="right"/>
              <w:rPr>
                <w:rFonts w:hint="eastAsia" w:cs="宋体"/>
              </w:rPr>
            </w:pPr>
          </w:p>
        </w:tc>
        <w:tc>
          <w:tcPr>
            <w:tcW w:w="3903" w:type="pct"/>
            <w:shd w:val="clear" w:color="auto" w:fill="FFFFFF"/>
            <w:tcMar>
              <w:top w:w="0" w:type="dxa"/>
              <w:left w:w="108" w:type="dxa"/>
              <w:bottom w:w="0" w:type="dxa"/>
              <w:right w:w="108" w:type="dxa"/>
            </w:tcMar>
            <w:vAlign w:val="center"/>
          </w:tcPr>
          <w:p w14:paraId="2C23DC9F">
            <w:pPr>
              <w:spacing w:line="360" w:lineRule="atLeast"/>
              <w:rPr>
                <w:rFonts w:hint="eastAsia" w:cs="宋体"/>
              </w:rPr>
            </w:pPr>
            <w:r>
              <w:rPr>
                <w:rFonts w:hint="eastAsia" w:cs="宋体"/>
              </w:rPr>
              <w:t>支持应用、用户流量统计，应用流量支持趋势图、饼状图呈现，可查看某一应用的流量趋势图和其Top流量用户。</w:t>
            </w:r>
          </w:p>
        </w:tc>
      </w:tr>
      <w:tr w14:paraId="0223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vMerge w:val="continue"/>
            <w:shd w:val="clear" w:color="auto" w:fill="FFFFFF"/>
            <w:vAlign w:val="center"/>
          </w:tcPr>
          <w:p w14:paraId="5B16ECB8">
            <w:pPr>
              <w:jc w:val="right"/>
              <w:rPr>
                <w:rFonts w:hint="eastAsia" w:cs="宋体"/>
              </w:rPr>
            </w:pPr>
          </w:p>
        </w:tc>
        <w:tc>
          <w:tcPr>
            <w:tcW w:w="3903" w:type="pct"/>
            <w:shd w:val="clear" w:color="auto" w:fill="FFFFFF"/>
            <w:tcMar>
              <w:top w:w="0" w:type="dxa"/>
              <w:left w:w="108" w:type="dxa"/>
              <w:bottom w:w="0" w:type="dxa"/>
              <w:right w:w="108" w:type="dxa"/>
            </w:tcMar>
            <w:vAlign w:val="center"/>
          </w:tcPr>
          <w:p w14:paraId="276C4C2E">
            <w:pPr>
              <w:spacing w:line="360" w:lineRule="atLeast"/>
              <w:rPr>
                <w:rFonts w:hint="eastAsia" w:cs="宋体"/>
              </w:rPr>
            </w:pPr>
            <w:r>
              <w:rPr>
                <w:rFonts w:hint="eastAsia" w:cs="宋体"/>
              </w:rPr>
              <w:t>可识别私接主机个数，并可制定策略分别设置私接终端类型个数为阀值进行封堵，支持自定义阻断时间，同时支持基于IP及IP段配置白名单。</w:t>
            </w:r>
          </w:p>
        </w:tc>
      </w:tr>
      <w:tr w14:paraId="250D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vMerge w:val="continue"/>
            <w:shd w:val="clear" w:color="auto" w:fill="FFFFFF"/>
            <w:vAlign w:val="center"/>
          </w:tcPr>
          <w:p w14:paraId="4E781B80">
            <w:pPr>
              <w:jc w:val="right"/>
              <w:rPr>
                <w:rFonts w:hint="eastAsia" w:cs="宋体"/>
              </w:rPr>
            </w:pPr>
          </w:p>
        </w:tc>
        <w:tc>
          <w:tcPr>
            <w:tcW w:w="3903" w:type="pct"/>
            <w:shd w:val="clear" w:color="auto" w:fill="FFFFFF"/>
            <w:tcMar>
              <w:top w:w="0" w:type="dxa"/>
              <w:left w:w="108" w:type="dxa"/>
              <w:bottom w:w="0" w:type="dxa"/>
              <w:right w:w="108" w:type="dxa"/>
            </w:tcMar>
            <w:vAlign w:val="center"/>
          </w:tcPr>
          <w:p w14:paraId="158FDEE7">
            <w:pPr>
              <w:spacing w:line="360" w:lineRule="atLeast"/>
              <w:rPr>
                <w:rFonts w:hint="eastAsia" w:cs="宋体"/>
              </w:rPr>
            </w:pPr>
            <w:r>
              <w:rPr>
                <w:rFonts w:hint="eastAsia" w:cs="宋体"/>
              </w:rPr>
              <w:t>支持私接用户的PPPoE账号展现。</w:t>
            </w:r>
          </w:p>
        </w:tc>
      </w:tr>
      <w:tr w14:paraId="4AA0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vMerge w:val="continue"/>
            <w:shd w:val="clear" w:color="auto" w:fill="FFFFFF"/>
            <w:vAlign w:val="center"/>
          </w:tcPr>
          <w:p w14:paraId="6E1E5B22">
            <w:pPr>
              <w:jc w:val="right"/>
              <w:rPr>
                <w:rFonts w:hint="eastAsia" w:cs="宋体"/>
              </w:rPr>
            </w:pPr>
          </w:p>
        </w:tc>
        <w:tc>
          <w:tcPr>
            <w:tcW w:w="3903" w:type="pct"/>
            <w:shd w:val="clear" w:color="auto" w:fill="FFFFFF"/>
            <w:tcMar>
              <w:top w:w="0" w:type="dxa"/>
              <w:left w:w="108" w:type="dxa"/>
              <w:bottom w:w="0" w:type="dxa"/>
              <w:right w:w="108" w:type="dxa"/>
            </w:tcMar>
            <w:vAlign w:val="center"/>
          </w:tcPr>
          <w:p w14:paraId="22A00B93">
            <w:pPr>
              <w:spacing w:line="360" w:lineRule="atLeast"/>
              <w:rPr>
                <w:rFonts w:hint="eastAsia" w:cs="宋体"/>
              </w:rPr>
            </w:pPr>
            <w:r>
              <w:rPr>
                <w:rFonts w:hint="eastAsia" w:cs="宋体"/>
              </w:rPr>
              <w:t>支持状态监控、解锁操作</w:t>
            </w:r>
          </w:p>
        </w:tc>
      </w:tr>
      <w:tr w14:paraId="2908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vMerge w:val="continue"/>
            <w:shd w:val="clear" w:color="auto" w:fill="FFFFFF"/>
            <w:vAlign w:val="center"/>
          </w:tcPr>
          <w:p w14:paraId="5D9B4989">
            <w:pPr>
              <w:jc w:val="right"/>
              <w:rPr>
                <w:rFonts w:hint="eastAsia" w:cs="宋体"/>
              </w:rPr>
            </w:pPr>
          </w:p>
        </w:tc>
        <w:tc>
          <w:tcPr>
            <w:tcW w:w="3903" w:type="pct"/>
            <w:shd w:val="clear" w:color="auto" w:fill="FFFFFF"/>
            <w:tcMar>
              <w:top w:w="0" w:type="dxa"/>
              <w:left w:w="108" w:type="dxa"/>
              <w:bottom w:w="0" w:type="dxa"/>
              <w:right w:w="108" w:type="dxa"/>
            </w:tcMar>
            <w:vAlign w:val="center"/>
          </w:tcPr>
          <w:p w14:paraId="34BCAEFA">
            <w:pPr>
              <w:spacing w:line="360" w:lineRule="atLeast"/>
              <w:rPr>
                <w:rFonts w:hint="eastAsia" w:cs="宋体"/>
              </w:rPr>
            </w:pPr>
            <w:r>
              <w:rPr>
                <w:rFonts w:hint="eastAsia" w:cs="宋体"/>
              </w:rPr>
              <w:t>支持WEB Portal认证功能，支持本地认证、Radius认证、LDAP认证 和LDAP用户同步，支持对接IMC、SAM等常见AAA服务器，支持配置强制重新认证间隔，支持配置认证通过后重定向URL，要求本机自身支持短信认证功能。</w:t>
            </w:r>
          </w:p>
        </w:tc>
      </w:tr>
      <w:tr w14:paraId="6F6F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vMerge w:val="continue"/>
            <w:shd w:val="clear" w:color="auto" w:fill="FFFFFF"/>
            <w:vAlign w:val="center"/>
          </w:tcPr>
          <w:p w14:paraId="5B27F109">
            <w:pPr>
              <w:jc w:val="right"/>
              <w:rPr>
                <w:rFonts w:hint="eastAsia" w:cs="宋体"/>
              </w:rPr>
            </w:pPr>
          </w:p>
        </w:tc>
        <w:tc>
          <w:tcPr>
            <w:tcW w:w="3903" w:type="pct"/>
            <w:shd w:val="clear" w:color="auto" w:fill="FFFFFF"/>
            <w:tcMar>
              <w:top w:w="0" w:type="dxa"/>
              <w:left w:w="108" w:type="dxa"/>
              <w:bottom w:w="0" w:type="dxa"/>
              <w:right w:w="108" w:type="dxa"/>
            </w:tcMar>
            <w:vAlign w:val="center"/>
          </w:tcPr>
          <w:p w14:paraId="09D3738F">
            <w:pPr>
              <w:spacing w:line="360" w:lineRule="atLeast"/>
              <w:rPr>
                <w:rFonts w:hint="eastAsia" w:cs="宋体"/>
              </w:rPr>
            </w:pPr>
            <w:r>
              <w:rPr>
                <w:rFonts w:hint="eastAsia" w:cs="宋体"/>
              </w:rPr>
              <w:t>支持认证页面自定义</w:t>
            </w:r>
          </w:p>
        </w:tc>
      </w:tr>
      <w:tr w14:paraId="7163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vMerge w:val="continue"/>
            <w:shd w:val="clear" w:color="auto" w:fill="FFFFFF"/>
            <w:vAlign w:val="center"/>
          </w:tcPr>
          <w:p w14:paraId="0408B2CF">
            <w:pPr>
              <w:jc w:val="right"/>
              <w:rPr>
                <w:rFonts w:hint="eastAsia" w:cs="宋体"/>
              </w:rPr>
            </w:pPr>
          </w:p>
        </w:tc>
        <w:tc>
          <w:tcPr>
            <w:tcW w:w="3903" w:type="pct"/>
            <w:shd w:val="clear" w:color="auto" w:fill="FFFFFF"/>
            <w:tcMar>
              <w:top w:w="0" w:type="dxa"/>
              <w:left w:w="108" w:type="dxa"/>
              <w:bottom w:w="0" w:type="dxa"/>
              <w:right w:w="108" w:type="dxa"/>
            </w:tcMar>
            <w:vAlign w:val="center"/>
          </w:tcPr>
          <w:p w14:paraId="43E3A49B">
            <w:pPr>
              <w:spacing w:line="360" w:lineRule="atLeast"/>
              <w:rPr>
                <w:rFonts w:hint="eastAsia" w:cs="宋体"/>
              </w:rPr>
            </w:pPr>
            <w:r>
              <w:rPr>
                <w:rFonts w:hint="eastAsia" w:cs="宋体"/>
              </w:rPr>
              <w:t>支持双机热备，支持主主模式、主备模式，支持同步配置、会话、运行状态、VPN状态、特征库，支持配置抢占模式和抢占延时，支持配置HA监控接口</w:t>
            </w:r>
          </w:p>
        </w:tc>
      </w:tr>
      <w:tr w14:paraId="3BF4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vMerge w:val="continue"/>
            <w:shd w:val="clear" w:color="auto" w:fill="FFFFFF"/>
            <w:vAlign w:val="center"/>
          </w:tcPr>
          <w:p w14:paraId="7FE811CF">
            <w:pPr>
              <w:jc w:val="right"/>
              <w:rPr>
                <w:rFonts w:hint="eastAsia" w:cs="宋体"/>
              </w:rPr>
            </w:pPr>
          </w:p>
        </w:tc>
        <w:tc>
          <w:tcPr>
            <w:tcW w:w="3903" w:type="pct"/>
            <w:shd w:val="clear" w:color="auto" w:fill="FFFFFF"/>
            <w:tcMar>
              <w:top w:w="0" w:type="dxa"/>
              <w:left w:w="108" w:type="dxa"/>
              <w:bottom w:w="0" w:type="dxa"/>
              <w:right w:w="108" w:type="dxa"/>
            </w:tcMar>
            <w:vAlign w:val="center"/>
          </w:tcPr>
          <w:p w14:paraId="5FDA2584">
            <w:pPr>
              <w:spacing w:line="360" w:lineRule="atLeast"/>
              <w:rPr>
                <w:rFonts w:hint="eastAsia" w:cs="宋体"/>
              </w:rPr>
            </w:pPr>
            <w:r>
              <w:rPr>
                <w:rFonts w:hint="eastAsia" w:cs="宋体"/>
              </w:rPr>
              <w:t>web管理界面支持Ping、Traceroute、TCP Syn诊断工具，可支持基于接口、协议、IP地址、端口、应用进行网络抓包，并可下载导出分析。</w:t>
            </w:r>
          </w:p>
        </w:tc>
      </w:tr>
      <w:tr w14:paraId="4124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vMerge w:val="continue"/>
            <w:shd w:val="clear" w:color="auto" w:fill="FFFFFF"/>
            <w:vAlign w:val="center"/>
          </w:tcPr>
          <w:p w14:paraId="690265C2">
            <w:pPr>
              <w:jc w:val="right"/>
              <w:rPr>
                <w:rFonts w:hint="eastAsia" w:cs="宋体"/>
              </w:rPr>
            </w:pPr>
          </w:p>
        </w:tc>
        <w:tc>
          <w:tcPr>
            <w:tcW w:w="3903" w:type="pct"/>
            <w:shd w:val="clear" w:color="auto" w:fill="FFFFFF"/>
            <w:tcMar>
              <w:top w:w="0" w:type="dxa"/>
              <w:left w:w="108" w:type="dxa"/>
              <w:bottom w:w="0" w:type="dxa"/>
              <w:right w:w="108" w:type="dxa"/>
            </w:tcMar>
            <w:vAlign w:val="center"/>
          </w:tcPr>
          <w:p w14:paraId="2B3B1531">
            <w:pPr>
              <w:spacing w:line="360" w:lineRule="atLeast"/>
              <w:rPr>
                <w:rFonts w:hint="eastAsia" w:cs="宋体"/>
              </w:rPr>
            </w:pPr>
            <w:r>
              <w:rPr>
                <w:rFonts w:hint="eastAsia" w:cs="宋体"/>
              </w:rPr>
              <w:t>支持命令行、界面管理端口的修改</w:t>
            </w:r>
          </w:p>
        </w:tc>
      </w:tr>
      <w:tr w14:paraId="633B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vMerge w:val="continue"/>
            <w:shd w:val="clear" w:color="auto" w:fill="FFFFFF"/>
            <w:vAlign w:val="center"/>
          </w:tcPr>
          <w:p w14:paraId="610275DC">
            <w:pPr>
              <w:jc w:val="right"/>
              <w:rPr>
                <w:rFonts w:hint="eastAsia" w:cs="宋体"/>
              </w:rPr>
            </w:pPr>
          </w:p>
        </w:tc>
        <w:tc>
          <w:tcPr>
            <w:tcW w:w="3903" w:type="pct"/>
            <w:shd w:val="clear" w:color="auto" w:fill="FFFFFF"/>
            <w:tcMar>
              <w:top w:w="0" w:type="dxa"/>
              <w:left w:w="108" w:type="dxa"/>
              <w:bottom w:w="0" w:type="dxa"/>
              <w:right w:w="108" w:type="dxa"/>
            </w:tcMar>
            <w:vAlign w:val="center"/>
          </w:tcPr>
          <w:p w14:paraId="373DBFF7">
            <w:pPr>
              <w:spacing w:line="360" w:lineRule="atLeast"/>
              <w:rPr>
                <w:rFonts w:hint="eastAsia" w:cs="宋体"/>
              </w:rPr>
            </w:pPr>
            <w:r>
              <w:rPr>
                <w:rFonts w:hint="eastAsia" w:cs="宋体"/>
              </w:rPr>
              <w:t>支持本地日志记录和远程日志输出；支持专用的日志审计管理软件</w:t>
            </w:r>
          </w:p>
        </w:tc>
      </w:tr>
      <w:tr w14:paraId="3B95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0" w:hRule="atLeast"/>
        </w:trPr>
        <w:tc>
          <w:tcPr>
            <w:tcW w:w="1097" w:type="pct"/>
            <w:shd w:val="clear" w:color="auto" w:fill="FFFFFF"/>
            <w:tcMar>
              <w:top w:w="0" w:type="dxa"/>
              <w:left w:w="108" w:type="dxa"/>
              <w:bottom w:w="0" w:type="dxa"/>
              <w:right w:w="108" w:type="dxa"/>
            </w:tcMar>
            <w:vAlign w:val="center"/>
          </w:tcPr>
          <w:p w14:paraId="2B6C84B5">
            <w:pPr>
              <w:spacing w:line="360" w:lineRule="atLeast"/>
              <w:rPr>
                <w:rFonts w:hint="eastAsia" w:cs="宋体"/>
              </w:rPr>
            </w:pPr>
            <w:r>
              <w:rPr>
                <w:rFonts w:hint="eastAsia" w:cs="宋体"/>
              </w:rPr>
              <w:t>证书要求</w:t>
            </w:r>
          </w:p>
        </w:tc>
        <w:tc>
          <w:tcPr>
            <w:tcW w:w="3903" w:type="pct"/>
            <w:shd w:val="clear" w:color="auto" w:fill="FFFFFF"/>
            <w:tcMar>
              <w:top w:w="0" w:type="dxa"/>
              <w:left w:w="108" w:type="dxa"/>
              <w:bottom w:w="0" w:type="dxa"/>
              <w:right w:w="108" w:type="dxa"/>
            </w:tcMar>
            <w:vAlign w:val="center"/>
          </w:tcPr>
          <w:p w14:paraId="304DA25F">
            <w:pPr>
              <w:spacing w:line="360" w:lineRule="atLeast"/>
              <w:rPr>
                <w:rFonts w:hint="eastAsia" w:cs="宋体"/>
              </w:rPr>
            </w:pPr>
            <w:r>
              <w:rPr>
                <w:rFonts w:hint="eastAsia" w:cs="宋体"/>
              </w:rPr>
              <w:t>《计算机信息系统安全专用产品销售许可证》或者网专认证证书</w:t>
            </w:r>
          </w:p>
        </w:tc>
      </w:tr>
    </w:tbl>
    <w:p w14:paraId="0C10E28F">
      <w:pPr>
        <w:pStyle w:val="5"/>
        <w:ind w:left="960"/>
        <w:rPr>
          <w:rFonts w:hint="eastAsia" w:cs="宋体"/>
        </w:rPr>
      </w:pPr>
      <w:r>
        <w:rPr>
          <w:rFonts w:hint="eastAsia" w:cs="宋体"/>
        </w:rPr>
        <w:t>网络审计系统</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2"/>
        <w:gridCol w:w="6846"/>
      </w:tblGrid>
      <w:tr w14:paraId="736C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986" w:type="pct"/>
            <w:shd w:val="clear" w:color="auto" w:fill="A6A6A6"/>
            <w:vAlign w:val="center"/>
          </w:tcPr>
          <w:p w14:paraId="210FB69A">
            <w:pPr>
              <w:spacing w:line="240" w:lineRule="auto"/>
              <w:ind w:firstLine="0" w:firstLineChars="0"/>
              <w:jc w:val="center"/>
              <w:rPr>
                <w:rFonts w:hint="eastAsia" w:cs="宋体"/>
                <w:b/>
              </w:rPr>
            </w:pPr>
            <w:r>
              <w:rPr>
                <w:rFonts w:hint="eastAsia" w:cs="宋体"/>
                <w:b/>
              </w:rPr>
              <w:t>技术指标</w:t>
            </w:r>
          </w:p>
        </w:tc>
        <w:tc>
          <w:tcPr>
            <w:tcW w:w="4013" w:type="pct"/>
            <w:shd w:val="clear" w:color="auto" w:fill="A6A6A6"/>
            <w:vAlign w:val="center"/>
          </w:tcPr>
          <w:p w14:paraId="0B043128">
            <w:pPr>
              <w:spacing w:line="240" w:lineRule="auto"/>
              <w:ind w:firstLine="0" w:firstLineChars="0"/>
              <w:jc w:val="center"/>
              <w:rPr>
                <w:rFonts w:hint="eastAsia" w:cs="宋体"/>
                <w:b/>
              </w:rPr>
            </w:pPr>
            <w:r>
              <w:rPr>
                <w:rFonts w:hint="eastAsia" w:cs="宋体"/>
                <w:b/>
              </w:rPr>
              <w:t>指标要求</w:t>
            </w:r>
          </w:p>
        </w:tc>
      </w:tr>
      <w:tr w14:paraId="0A11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pct"/>
            <w:vAlign w:val="center"/>
          </w:tcPr>
          <w:p w14:paraId="3B93239C">
            <w:pPr>
              <w:spacing w:line="240" w:lineRule="auto"/>
              <w:ind w:firstLine="0" w:firstLineChars="0"/>
              <w:jc w:val="center"/>
              <w:rPr>
                <w:rFonts w:hint="eastAsia" w:cs="宋体"/>
                <w:b/>
              </w:rPr>
            </w:pPr>
            <w:r>
              <w:rPr>
                <w:rFonts w:hint="eastAsia" w:cs="宋体"/>
                <w:b/>
              </w:rPr>
              <w:t>硬件规格</w:t>
            </w:r>
          </w:p>
        </w:tc>
        <w:tc>
          <w:tcPr>
            <w:tcW w:w="4013" w:type="pct"/>
            <w:vAlign w:val="center"/>
          </w:tcPr>
          <w:p w14:paraId="1E877684">
            <w:pPr>
              <w:spacing w:line="240" w:lineRule="auto"/>
              <w:ind w:firstLine="0" w:firstLineChars="0"/>
              <w:rPr>
                <w:rFonts w:hint="eastAsia" w:cs="宋体"/>
              </w:rPr>
            </w:pPr>
            <w:r>
              <w:rPr>
                <w:rFonts w:hint="eastAsia" w:cs="宋体"/>
              </w:rPr>
              <w:t>2U上架专用设备，</w:t>
            </w:r>
            <w:r>
              <w:rPr>
                <w:rFonts w:hint="eastAsia" w:cs="宋体"/>
                <w:kern w:val="0"/>
              </w:rPr>
              <w:t>≧</w:t>
            </w:r>
            <w:r>
              <w:rPr>
                <w:rFonts w:hint="eastAsia" w:cs="宋体"/>
              </w:rPr>
              <w:t>6个千兆电口，</w:t>
            </w:r>
            <w:r>
              <w:rPr>
                <w:rFonts w:hint="eastAsia" w:cs="宋体"/>
                <w:kern w:val="0"/>
              </w:rPr>
              <w:t>≧</w:t>
            </w:r>
            <w:r>
              <w:rPr>
                <w:rFonts w:hint="eastAsia" w:cs="宋体"/>
              </w:rPr>
              <w:t>4个千兆SFP光口插槽，</w:t>
            </w:r>
            <w:r>
              <w:rPr>
                <w:rFonts w:hint="eastAsia" w:cs="宋体"/>
                <w:kern w:val="0"/>
              </w:rPr>
              <w:t>≧</w:t>
            </w:r>
            <w:r>
              <w:rPr>
                <w:rFonts w:hint="eastAsia" w:cs="宋体"/>
              </w:rPr>
              <w:t>4个万兆SFP+光口插槽，硬盘</w:t>
            </w:r>
            <w:r>
              <w:rPr>
                <w:rFonts w:hint="eastAsia" w:cs="宋体"/>
                <w:kern w:val="0"/>
              </w:rPr>
              <w:t>≧</w:t>
            </w:r>
            <w:r>
              <w:rPr>
                <w:rFonts w:hint="eastAsia" w:cs="宋体"/>
              </w:rPr>
              <w:t>3*4T，默认RAID5，存储空间</w:t>
            </w:r>
            <w:r>
              <w:rPr>
                <w:rFonts w:hint="eastAsia" w:cs="宋体"/>
                <w:kern w:val="0"/>
              </w:rPr>
              <w:t>≧</w:t>
            </w:r>
            <w:r>
              <w:rPr>
                <w:rFonts w:hint="eastAsia" w:cs="宋体"/>
              </w:rPr>
              <w:t>8T，双电源。</w:t>
            </w:r>
          </w:p>
        </w:tc>
      </w:tr>
      <w:tr w14:paraId="4D0F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86" w:type="pct"/>
            <w:vAlign w:val="center"/>
          </w:tcPr>
          <w:p w14:paraId="58160E86">
            <w:pPr>
              <w:spacing w:line="240" w:lineRule="auto"/>
              <w:ind w:firstLine="0" w:firstLineChars="0"/>
              <w:jc w:val="center"/>
              <w:rPr>
                <w:rFonts w:hint="eastAsia" w:cs="宋体"/>
                <w:b/>
              </w:rPr>
            </w:pPr>
            <w:r>
              <w:rPr>
                <w:rFonts w:hint="eastAsia" w:cs="宋体"/>
                <w:b/>
              </w:rPr>
              <w:t>性能要求</w:t>
            </w:r>
          </w:p>
        </w:tc>
        <w:tc>
          <w:tcPr>
            <w:tcW w:w="4013" w:type="pct"/>
            <w:vAlign w:val="center"/>
          </w:tcPr>
          <w:p w14:paraId="7C12E0AA">
            <w:pPr>
              <w:spacing w:line="240" w:lineRule="auto"/>
              <w:ind w:firstLine="0" w:firstLineChars="0"/>
              <w:rPr>
                <w:rFonts w:hint="eastAsia" w:cs="宋体"/>
              </w:rPr>
            </w:pPr>
            <w:r>
              <w:rPr>
                <w:rFonts w:hint="eastAsia" w:cs="宋体"/>
              </w:rPr>
              <w:t>抓包速率：</w:t>
            </w:r>
            <w:r>
              <w:rPr>
                <w:rFonts w:hint="eastAsia" w:cs="宋体"/>
                <w:kern w:val="0"/>
              </w:rPr>
              <w:t>≧</w:t>
            </w:r>
            <w:r>
              <w:rPr>
                <w:rFonts w:hint="eastAsia" w:cs="宋体"/>
              </w:rPr>
              <w:t>3000Mbps</w:t>
            </w:r>
          </w:p>
          <w:p w14:paraId="1D9C3B68">
            <w:pPr>
              <w:spacing w:line="240" w:lineRule="auto"/>
              <w:ind w:firstLine="0" w:firstLineChars="0"/>
              <w:rPr>
                <w:rFonts w:hint="eastAsia" w:cs="宋体"/>
                <w:b/>
              </w:rPr>
            </w:pPr>
            <w:r>
              <w:rPr>
                <w:rFonts w:hint="eastAsia" w:cs="宋体"/>
              </w:rPr>
              <w:t>记录事件能力：</w:t>
            </w:r>
            <w:r>
              <w:rPr>
                <w:rFonts w:hint="eastAsia" w:cs="宋体"/>
                <w:kern w:val="0"/>
              </w:rPr>
              <w:t>≧</w:t>
            </w:r>
            <w:r>
              <w:rPr>
                <w:rFonts w:hint="eastAsia" w:cs="宋体"/>
              </w:rPr>
              <w:t>30000条/秒</w:t>
            </w:r>
          </w:p>
        </w:tc>
      </w:tr>
      <w:tr w14:paraId="574B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pct"/>
            <w:vMerge w:val="restart"/>
            <w:vAlign w:val="center"/>
          </w:tcPr>
          <w:p w14:paraId="5EC28BC3">
            <w:pPr>
              <w:spacing w:line="240" w:lineRule="auto"/>
              <w:ind w:firstLine="0" w:firstLineChars="0"/>
              <w:jc w:val="center"/>
              <w:rPr>
                <w:rFonts w:hint="eastAsia" w:cs="宋体"/>
                <w:b/>
              </w:rPr>
            </w:pPr>
            <w:r>
              <w:rPr>
                <w:rFonts w:hint="eastAsia" w:cs="宋体"/>
                <w:b/>
              </w:rPr>
              <w:t>部署管理</w:t>
            </w:r>
          </w:p>
        </w:tc>
        <w:tc>
          <w:tcPr>
            <w:tcW w:w="4013" w:type="pct"/>
            <w:vAlign w:val="center"/>
          </w:tcPr>
          <w:p w14:paraId="4845E88E">
            <w:pPr>
              <w:spacing w:line="240" w:lineRule="auto"/>
              <w:ind w:firstLine="0" w:firstLineChars="0"/>
              <w:rPr>
                <w:rFonts w:hint="eastAsia" w:cs="宋体"/>
              </w:rPr>
            </w:pPr>
            <w:r>
              <w:rPr>
                <w:rFonts w:hint="eastAsia" w:cs="宋体"/>
              </w:rPr>
              <w:t>支持旁路部署方式对原有网络不造成影响，审计产品的故障不影响被审计系统的正常运行</w:t>
            </w:r>
          </w:p>
        </w:tc>
      </w:tr>
      <w:tr w14:paraId="41BE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86" w:type="pct"/>
            <w:vMerge w:val="continue"/>
            <w:vAlign w:val="center"/>
          </w:tcPr>
          <w:p w14:paraId="4E96821B">
            <w:pPr>
              <w:spacing w:line="240" w:lineRule="auto"/>
              <w:ind w:firstLine="0" w:firstLineChars="0"/>
              <w:jc w:val="center"/>
              <w:rPr>
                <w:rFonts w:hint="eastAsia" w:cs="宋体"/>
                <w:b/>
              </w:rPr>
            </w:pPr>
          </w:p>
        </w:tc>
        <w:tc>
          <w:tcPr>
            <w:tcW w:w="4013" w:type="pct"/>
            <w:vAlign w:val="center"/>
          </w:tcPr>
          <w:p w14:paraId="215A4A97">
            <w:pPr>
              <w:spacing w:line="240" w:lineRule="auto"/>
              <w:ind w:firstLine="0" w:firstLineChars="0"/>
              <w:rPr>
                <w:rFonts w:hint="eastAsia" w:cs="宋体"/>
              </w:rPr>
            </w:pPr>
            <w:r>
              <w:rPr>
                <w:rFonts w:hint="eastAsia" w:cs="宋体"/>
              </w:rPr>
              <w:t>采用B/S管理方式</w:t>
            </w:r>
          </w:p>
        </w:tc>
      </w:tr>
      <w:tr w14:paraId="0B35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86" w:type="pct"/>
            <w:vMerge w:val="restart"/>
            <w:vAlign w:val="center"/>
          </w:tcPr>
          <w:p w14:paraId="7110920A">
            <w:pPr>
              <w:spacing w:line="240" w:lineRule="auto"/>
              <w:ind w:firstLine="0" w:firstLineChars="0"/>
              <w:jc w:val="center"/>
              <w:rPr>
                <w:rFonts w:hint="eastAsia" w:cs="宋体"/>
                <w:b/>
              </w:rPr>
            </w:pPr>
            <w:r>
              <w:rPr>
                <w:rFonts w:hint="eastAsia" w:cs="宋体"/>
                <w:b/>
              </w:rPr>
              <w:t>审计协议</w:t>
            </w:r>
          </w:p>
        </w:tc>
        <w:tc>
          <w:tcPr>
            <w:tcW w:w="4013" w:type="pct"/>
            <w:vAlign w:val="center"/>
          </w:tcPr>
          <w:p w14:paraId="552A5CD6">
            <w:pPr>
              <w:spacing w:line="240" w:lineRule="auto"/>
              <w:ind w:firstLine="0" w:firstLineChars="0"/>
              <w:rPr>
                <w:rFonts w:hint="eastAsia" w:cs="宋体"/>
                <w:b/>
                <w:bCs/>
                <w:color w:val="000000" w:themeColor="text1"/>
                <w:kern w:val="0"/>
                <w14:textFill>
                  <w14:solidFill>
                    <w14:schemeClr w14:val="tx1"/>
                  </w14:solidFill>
                </w14:textFill>
              </w:rPr>
            </w:pPr>
            <w:r>
              <w:rPr>
                <w:rFonts w:hint="eastAsia" w:cs="宋体"/>
                <w:b/>
                <w:bCs/>
                <w:color w:val="000000" w:themeColor="text1"/>
                <w:kern w:val="0"/>
                <w14:textFill>
                  <w14:solidFill>
                    <w14:schemeClr w14:val="tx1"/>
                  </w14:solidFill>
                </w14:textFill>
              </w:rPr>
              <w:t>支持市场上主流、通用数据库进行审计</w:t>
            </w:r>
          </w:p>
          <w:p w14:paraId="1C2348E9">
            <w:pPr>
              <w:spacing w:line="240" w:lineRule="auto"/>
              <w:ind w:firstLine="0" w:firstLineChars="0"/>
              <w:rPr>
                <w:rFonts w:hint="eastAsia" w:cs="宋体"/>
              </w:rPr>
            </w:pPr>
            <w:r>
              <w:rPr>
                <w:rFonts w:hint="eastAsia" w:cs="宋体"/>
                <w:b/>
                <w:bCs/>
                <w:color w:val="000000" w:themeColor="text1"/>
                <w:kern w:val="0"/>
                <w14:textFill>
                  <w14:solidFill>
                    <w14:schemeClr w14:val="tx1"/>
                  </w14:solidFill>
                </w14:textFill>
              </w:rPr>
              <w:t>支持对通用协议进行审计，包括FTP、RLogin、Radius、NFS、X11等。</w:t>
            </w:r>
          </w:p>
        </w:tc>
      </w:tr>
      <w:tr w14:paraId="7F06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86" w:type="pct"/>
            <w:vMerge w:val="continue"/>
            <w:vAlign w:val="center"/>
          </w:tcPr>
          <w:p w14:paraId="5400BD9A">
            <w:pPr>
              <w:spacing w:line="240" w:lineRule="auto"/>
              <w:ind w:firstLine="0" w:firstLineChars="0"/>
              <w:jc w:val="center"/>
              <w:rPr>
                <w:rFonts w:hint="eastAsia" w:cs="宋体"/>
                <w:b/>
              </w:rPr>
            </w:pPr>
          </w:p>
        </w:tc>
        <w:tc>
          <w:tcPr>
            <w:tcW w:w="4013" w:type="pct"/>
            <w:vAlign w:val="center"/>
          </w:tcPr>
          <w:p w14:paraId="0F24362A">
            <w:pPr>
              <w:spacing w:line="240" w:lineRule="auto"/>
              <w:ind w:firstLine="0" w:firstLineChars="0"/>
              <w:rPr>
                <w:rFonts w:hint="eastAsia" w:cs="宋体"/>
              </w:rPr>
            </w:pPr>
            <w:r>
              <w:rPr>
                <w:rFonts w:hint="eastAsia" w:cs="宋体"/>
              </w:rPr>
              <w:t>支持对邮件协议的审计，包括pop3、smtp及IMAP等</w:t>
            </w:r>
          </w:p>
        </w:tc>
      </w:tr>
      <w:tr w14:paraId="3E96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86" w:type="pct"/>
            <w:vMerge w:val="restart"/>
            <w:vAlign w:val="center"/>
          </w:tcPr>
          <w:p w14:paraId="5037608D">
            <w:pPr>
              <w:spacing w:line="240" w:lineRule="auto"/>
              <w:ind w:firstLine="0" w:firstLineChars="0"/>
              <w:jc w:val="center"/>
              <w:rPr>
                <w:rFonts w:hint="eastAsia" w:cs="宋体"/>
                <w:b/>
              </w:rPr>
            </w:pPr>
            <w:r>
              <w:rPr>
                <w:rFonts w:hint="eastAsia" w:cs="宋体"/>
                <w:b/>
              </w:rPr>
              <w:t>审计能力与效果</w:t>
            </w:r>
          </w:p>
        </w:tc>
        <w:tc>
          <w:tcPr>
            <w:tcW w:w="4013" w:type="pct"/>
            <w:vAlign w:val="center"/>
          </w:tcPr>
          <w:p w14:paraId="31FD202B">
            <w:pPr>
              <w:spacing w:line="240" w:lineRule="auto"/>
              <w:ind w:firstLine="0" w:firstLineChars="0"/>
              <w:jc w:val="left"/>
              <w:rPr>
                <w:rFonts w:hint="eastAsia" w:cs="宋体"/>
              </w:rPr>
            </w:pPr>
            <w:r>
              <w:rPr>
                <w:rFonts w:hint="eastAsia" w:cs="宋体"/>
                <w:b/>
                <w:bCs/>
                <w:color w:val="000000" w:themeColor="text1"/>
                <w:kern w:val="0"/>
                <w14:textFill>
                  <w14:solidFill>
                    <w14:schemeClr w14:val="tx1"/>
                  </w14:solidFill>
                </w14:textFill>
              </w:rPr>
              <w:t>▲</w:t>
            </w:r>
            <w:r>
              <w:rPr>
                <w:rFonts w:hint="eastAsia" w:cs="宋体"/>
              </w:rPr>
              <w:t>系统应内置规则集，对数据库DML、DCL、DDL等语句及FTP、Telnet等协议中的命令进行归类，便于用户定制审计策略。（需提供有效证明材料，包括但不限于加盖公章的技术白皮书、加盖公章的产品官网截图、产品功能截图、产品界面截图、国家权威机构出具的检测报告等）</w:t>
            </w:r>
          </w:p>
        </w:tc>
      </w:tr>
      <w:tr w14:paraId="1200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6" w:type="pct"/>
            <w:vMerge w:val="continue"/>
            <w:vAlign w:val="center"/>
          </w:tcPr>
          <w:p w14:paraId="4AF5B6F0">
            <w:pPr>
              <w:spacing w:line="240" w:lineRule="auto"/>
              <w:ind w:firstLine="0" w:firstLineChars="0"/>
              <w:jc w:val="center"/>
              <w:rPr>
                <w:rFonts w:hint="eastAsia" w:cs="宋体"/>
                <w:b/>
              </w:rPr>
            </w:pPr>
          </w:p>
        </w:tc>
        <w:tc>
          <w:tcPr>
            <w:tcW w:w="4013" w:type="pct"/>
            <w:vAlign w:val="center"/>
          </w:tcPr>
          <w:p w14:paraId="14485BC4">
            <w:pPr>
              <w:widowControl/>
              <w:spacing w:line="240" w:lineRule="auto"/>
              <w:ind w:firstLine="0" w:firstLineChars="0"/>
              <w:jc w:val="left"/>
              <w:rPr>
                <w:rFonts w:hint="eastAsia" w:cs="宋体"/>
              </w:rPr>
            </w:pPr>
            <w:r>
              <w:rPr>
                <w:rFonts w:hint="eastAsia" w:cs="宋体"/>
              </w:rPr>
              <w:t>审计策略支持时间、源IP、目的IP、协议、端口、登陆账号、命令作为响应条件。</w:t>
            </w:r>
          </w:p>
        </w:tc>
      </w:tr>
      <w:tr w14:paraId="2781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6" w:type="pct"/>
            <w:vMerge w:val="continue"/>
            <w:vAlign w:val="center"/>
          </w:tcPr>
          <w:p w14:paraId="35F28C13">
            <w:pPr>
              <w:spacing w:line="240" w:lineRule="auto"/>
              <w:ind w:firstLine="0" w:firstLineChars="0"/>
              <w:jc w:val="center"/>
              <w:rPr>
                <w:rFonts w:hint="eastAsia" w:cs="宋体"/>
                <w:b/>
              </w:rPr>
            </w:pPr>
          </w:p>
        </w:tc>
        <w:tc>
          <w:tcPr>
            <w:tcW w:w="4013" w:type="pct"/>
            <w:vAlign w:val="center"/>
          </w:tcPr>
          <w:p w14:paraId="3AE191BE">
            <w:pPr>
              <w:spacing w:line="240" w:lineRule="auto"/>
              <w:ind w:firstLine="0" w:firstLineChars="0"/>
              <w:jc w:val="left"/>
              <w:rPr>
                <w:rFonts w:hint="eastAsia" w:cs="宋体"/>
                <w:kern w:val="0"/>
              </w:rPr>
            </w:pPr>
            <w:r>
              <w:rPr>
                <w:rFonts w:hint="eastAsia" w:cs="宋体"/>
              </w:rPr>
              <w:t>审计策略支持数据库客户端软件名称、数据库名、数据库表名、数据库字段名、数据库返回码作为响应条件（非正则表达式方式）</w:t>
            </w:r>
          </w:p>
        </w:tc>
      </w:tr>
      <w:tr w14:paraId="7BD7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6" w:type="pct"/>
            <w:vMerge w:val="continue"/>
            <w:vAlign w:val="center"/>
          </w:tcPr>
          <w:p w14:paraId="5A2B72E5">
            <w:pPr>
              <w:spacing w:line="240" w:lineRule="auto"/>
              <w:ind w:firstLine="0" w:firstLineChars="0"/>
              <w:jc w:val="center"/>
              <w:rPr>
                <w:rFonts w:hint="eastAsia" w:cs="宋体"/>
                <w:b/>
              </w:rPr>
            </w:pPr>
          </w:p>
        </w:tc>
        <w:tc>
          <w:tcPr>
            <w:tcW w:w="4013" w:type="pct"/>
            <w:vAlign w:val="center"/>
          </w:tcPr>
          <w:p w14:paraId="257CCDAC">
            <w:pPr>
              <w:spacing w:line="240" w:lineRule="auto"/>
              <w:ind w:firstLine="0" w:firstLineChars="0"/>
              <w:jc w:val="left"/>
              <w:rPr>
                <w:rFonts w:hint="eastAsia" w:eastAsia="宋体" w:cs="宋体"/>
                <w:lang w:eastAsia="zh-CN"/>
              </w:rPr>
            </w:pPr>
            <w:r>
              <w:rPr>
                <w:rFonts w:hint="eastAsia" w:cs="宋体"/>
              </w:rPr>
              <w:t>提供对数据库返回码的实时说明，帮助管理员快速对返回码进行识别</w:t>
            </w:r>
            <w:r>
              <w:rPr>
                <w:rFonts w:hint="eastAsia" w:cs="宋体"/>
                <w:lang w:eastAsia="zh-CN"/>
              </w:rPr>
              <w:t>。</w:t>
            </w:r>
          </w:p>
        </w:tc>
      </w:tr>
      <w:tr w14:paraId="5364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6" w:type="pct"/>
            <w:vMerge w:val="continue"/>
            <w:vAlign w:val="center"/>
          </w:tcPr>
          <w:p w14:paraId="2BDE4709">
            <w:pPr>
              <w:spacing w:line="240" w:lineRule="auto"/>
              <w:ind w:firstLine="0" w:firstLineChars="0"/>
              <w:jc w:val="center"/>
              <w:rPr>
                <w:rFonts w:hint="eastAsia" w:cs="宋体"/>
                <w:b/>
              </w:rPr>
            </w:pPr>
          </w:p>
        </w:tc>
        <w:tc>
          <w:tcPr>
            <w:tcW w:w="4013" w:type="pct"/>
            <w:vAlign w:val="center"/>
          </w:tcPr>
          <w:p w14:paraId="2EC25620">
            <w:pPr>
              <w:spacing w:line="240" w:lineRule="auto"/>
              <w:ind w:firstLine="0" w:firstLineChars="0"/>
              <w:rPr>
                <w:rFonts w:hint="eastAsia" w:cs="宋体"/>
              </w:rPr>
            </w:pPr>
            <w:r>
              <w:rPr>
                <w:rFonts w:hint="eastAsia" w:cs="宋体"/>
              </w:rPr>
              <w:t>支持对数据库DML、DCL、DDL语句的审计</w:t>
            </w:r>
          </w:p>
        </w:tc>
      </w:tr>
      <w:tr w14:paraId="17A1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6" w:type="pct"/>
            <w:vMerge w:val="continue"/>
            <w:vAlign w:val="center"/>
          </w:tcPr>
          <w:p w14:paraId="69ED0851">
            <w:pPr>
              <w:spacing w:line="240" w:lineRule="auto"/>
              <w:ind w:firstLine="0" w:firstLineChars="0"/>
              <w:jc w:val="center"/>
              <w:rPr>
                <w:rFonts w:hint="eastAsia" w:cs="宋体"/>
                <w:b/>
              </w:rPr>
            </w:pPr>
          </w:p>
        </w:tc>
        <w:tc>
          <w:tcPr>
            <w:tcW w:w="4013" w:type="pct"/>
            <w:vAlign w:val="center"/>
          </w:tcPr>
          <w:p w14:paraId="66A4645F">
            <w:pPr>
              <w:spacing w:line="240" w:lineRule="auto"/>
              <w:ind w:firstLine="0" w:firstLineChars="0"/>
              <w:rPr>
                <w:rFonts w:hint="eastAsia" w:eastAsia="宋体" w:cs="宋体"/>
                <w:lang w:eastAsia="zh-CN"/>
              </w:rPr>
            </w:pPr>
            <w:r>
              <w:rPr>
                <w:rFonts w:hint="eastAsia" w:cs="宋体"/>
              </w:rPr>
              <w:t>审计策略支持数据库客户端软件名称、数据库名、数据库表名、数据库字段名、数据库返回码作为响应条件</w:t>
            </w:r>
            <w:r>
              <w:rPr>
                <w:rFonts w:hint="eastAsia" w:cs="宋体"/>
                <w:lang w:eastAsia="zh-CN"/>
              </w:rPr>
              <w:t>。</w:t>
            </w:r>
          </w:p>
        </w:tc>
      </w:tr>
      <w:tr w14:paraId="2DF4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6" w:type="pct"/>
            <w:vMerge w:val="continue"/>
            <w:vAlign w:val="center"/>
          </w:tcPr>
          <w:p w14:paraId="4462C295">
            <w:pPr>
              <w:spacing w:line="240" w:lineRule="auto"/>
              <w:ind w:firstLine="0" w:firstLineChars="0"/>
              <w:jc w:val="center"/>
              <w:rPr>
                <w:rFonts w:hint="eastAsia" w:cs="宋体"/>
                <w:b/>
              </w:rPr>
            </w:pPr>
          </w:p>
        </w:tc>
        <w:tc>
          <w:tcPr>
            <w:tcW w:w="4013" w:type="pct"/>
            <w:vAlign w:val="center"/>
          </w:tcPr>
          <w:p w14:paraId="58AF84F5">
            <w:pPr>
              <w:spacing w:line="240" w:lineRule="auto"/>
              <w:ind w:firstLine="0" w:firstLineChars="0"/>
              <w:rPr>
                <w:rFonts w:hint="eastAsia" w:cs="宋体"/>
              </w:rPr>
            </w:pPr>
            <w:r>
              <w:rPr>
                <w:rFonts w:hint="eastAsia" w:cs="宋体"/>
              </w:rPr>
              <w:t>审计策略支持时间、源IP、目的IP、协议、端口、登陆账号、命令作为响应条件</w:t>
            </w:r>
          </w:p>
        </w:tc>
      </w:tr>
      <w:tr w14:paraId="741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6" w:type="pct"/>
            <w:vMerge w:val="continue"/>
            <w:vAlign w:val="center"/>
          </w:tcPr>
          <w:p w14:paraId="07889C8A">
            <w:pPr>
              <w:spacing w:line="240" w:lineRule="auto"/>
              <w:ind w:firstLine="0" w:firstLineChars="0"/>
              <w:jc w:val="center"/>
              <w:rPr>
                <w:rFonts w:hint="eastAsia" w:cs="宋体"/>
                <w:b/>
              </w:rPr>
            </w:pPr>
          </w:p>
        </w:tc>
        <w:tc>
          <w:tcPr>
            <w:tcW w:w="4013" w:type="pct"/>
            <w:vAlign w:val="center"/>
          </w:tcPr>
          <w:p w14:paraId="750B9CCD">
            <w:pPr>
              <w:spacing w:line="240" w:lineRule="auto"/>
              <w:ind w:firstLine="0" w:firstLineChars="0"/>
              <w:rPr>
                <w:rFonts w:hint="eastAsia" w:cs="宋体"/>
              </w:rPr>
            </w:pPr>
            <w:r>
              <w:rPr>
                <w:rFonts w:hint="eastAsia" w:cs="宋体"/>
              </w:rPr>
              <w:t>支持对数据库绑定变量方式访问的审计</w:t>
            </w:r>
          </w:p>
        </w:tc>
      </w:tr>
      <w:tr w14:paraId="3ECD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6" w:type="pct"/>
            <w:vMerge w:val="continue"/>
            <w:vAlign w:val="center"/>
          </w:tcPr>
          <w:p w14:paraId="106E4215">
            <w:pPr>
              <w:spacing w:line="240" w:lineRule="auto"/>
              <w:ind w:firstLine="0" w:firstLineChars="0"/>
              <w:jc w:val="center"/>
              <w:rPr>
                <w:rFonts w:hint="eastAsia" w:cs="宋体"/>
                <w:b/>
              </w:rPr>
            </w:pPr>
          </w:p>
        </w:tc>
        <w:tc>
          <w:tcPr>
            <w:tcW w:w="4013" w:type="pct"/>
            <w:vAlign w:val="center"/>
          </w:tcPr>
          <w:p w14:paraId="4B81067C">
            <w:pPr>
              <w:spacing w:line="240" w:lineRule="auto"/>
              <w:ind w:firstLine="0" w:firstLineChars="0"/>
              <w:rPr>
                <w:rFonts w:hint="eastAsia" w:cs="宋体"/>
              </w:rPr>
            </w:pPr>
            <w:r>
              <w:rPr>
                <w:rFonts w:hint="eastAsia" w:cs="宋体"/>
              </w:rPr>
              <w:t>支持访问数据库的源主机名、源主机用户的审计</w:t>
            </w:r>
          </w:p>
        </w:tc>
      </w:tr>
      <w:tr w14:paraId="43B0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6" w:type="pct"/>
            <w:vMerge w:val="continue"/>
            <w:vAlign w:val="center"/>
          </w:tcPr>
          <w:p w14:paraId="643518D1">
            <w:pPr>
              <w:spacing w:line="240" w:lineRule="auto"/>
              <w:ind w:firstLine="0" w:firstLineChars="0"/>
              <w:jc w:val="center"/>
              <w:rPr>
                <w:rFonts w:hint="eastAsia" w:cs="宋体"/>
                <w:b/>
              </w:rPr>
            </w:pPr>
          </w:p>
        </w:tc>
        <w:tc>
          <w:tcPr>
            <w:tcW w:w="4013" w:type="pct"/>
            <w:vAlign w:val="center"/>
          </w:tcPr>
          <w:p w14:paraId="23534D8A">
            <w:pPr>
              <w:spacing w:line="240" w:lineRule="auto"/>
              <w:ind w:firstLine="0" w:firstLineChars="0"/>
              <w:rPr>
                <w:rFonts w:hint="eastAsia" w:cs="宋体"/>
              </w:rPr>
            </w:pPr>
            <w:r>
              <w:rPr>
                <w:rFonts w:hint="eastAsia" w:cs="宋体"/>
              </w:rPr>
              <w:t>支持SQL操作响应时间的审计</w:t>
            </w:r>
          </w:p>
        </w:tc>
      </w:tr>
      <w:tr w14:paraId="4C7B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6" w:type="pct"/>
            <w:vMerge w:val="continue"/>
            <w:vAlign w:val="center"/>
          </w:tcPr>
          <w:p w14:paraId="45AED0C4">
            <w:pPr>
              <w:spacing w:line="240" w:lineRule="auto"/>
              <w:ind w:firstLine="0" w:firstLineChars="0"/>
              <w:jc w:val="center"/>
              <w:rPr>
                <w:rFonts w:hint="eastAsia" w:cs="宋体"/>
                <w:b/>
              </w:rPr>
            </w:pPr>
          </w:p>
        </w:tc>
        <w:tc>
          <w:tcPr>
            <w:tcW w:w="4013" w:type="pct"/>
            <w:vAlign w:val="center"/>
          </w:tcPr>
          <w:p w14:paraId="28BEA1FE">
            <w:pPr>
              <w:spacing w:line="240" w:lineRule="auto"/>
              <w:ind w:firstLine="0" w:firstLineChars="0"/>
              <w:rPr>
                <w:rFonts w:hint="eastAsia" w:cs="宋体"/>
              </w:rPr>
            </w:pPr>
            <w:r>
              <w:rPr>
                <w:rFonts w:hint="eastAsia" w:cs="宋体"/>
              </w:rPr>
              <w:t>支持Select操作返回行数和返回内容的审计</w:t>
            </w:r>
          </w:p>
        </w:tc>
      </w:tr>
      <w:tr w14:paraId="1CED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986" w:type="pct"/>
            <w:vMerge w:val="continue"/>
            <w:vAlign w:val="center"/>
          </w:tcPr>
          <w:p w14:paraId="770F98D3">
            <w:pPr>
              <w:spacing w:line="240" w:lineRule="auto"/>
              <w:ind w:firstLine="0" w:firstLineChars="0"/>
              <w:jc w:val="center"/>
              <w:rPr>
                <w:rFonts w:hint="eastAsia" w:cs="宋体"/>
                <w:b/>
              </w:rPr>
            </w:pPr>
          </w:p>
        </w:tc>
        <w:tc>
          <w:tcPr>
            <w:tcW w:w="4013" w:type="pct"/>
            <w:vAlign w:val="center"/>
          </w:tcPr>
          <w:p w14:paraId="614FDB9A">
            <w:pPr>
              <w:spacing w:line="240" w:lineRule="auto"/>
              <w:ind w:firstLine="0" w:firstLineChars="0"/>
              <w:rPr>
                <w:rFonts w:hint="eastAsia" w:cs="宋体"/>
              </w:rPr>
            </w:pPr>
            <w:r>
              <w:rPr>
                <w:rFonts w:hint="eastAsia" w:cs="宋体"/>
              </w:rPr>
              <w:t>支持对超长SQL语句的审计</w:t>
            </w:r>
          </w:p>
        </w:tc>
      </w:tr>
      <w:tr w14:paraId="6567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6" w:type="pct"/>
            <w:vMerge w:val="continue"/>
            <w:vAlign w:val="center"/>
          </w:tcPr>
          <w:p w14:paraId="2595F9B9">
            <w:pPr>
              <w:spacing w:line="240" w:lineRule="auto"/>
              <w:ind w:firstLine="0" w:firstLineChars="0"/>
              <w:jc w:val="center"/>
              <w:rPr>
                <w:rFonts w:hint="eastAsia" w:cs="宋体"/>
                <w:b/>
              </w:rPr>
            </w:pPr>
          </w:p>
        </w:tc>
        <w:tc>
          <w:tcPr>
            <w:tcW w:w="4013" w:type="pct"/>
            <w:vAlign w:val="center"/>
          </w:tcPr>
          <w:p w14:paraId="5A13FB9A">
            <w:pPr>
              <w:spacing w:line="240" w:lineRule="auto"/>
              <w:ind w:firstLine="0" w:firstLineChars="0"/>
              <w:rPr>
                <w:rFonts w:hint="eastAsia" w:cs="宋体"/>
              </w:rPr>
            </w:pPr>
            <w:r>
              <w:rPr>
                <w:rFonts w:hint="eastAsia" w:cs="宋体"/>
              </w:rPr>
              <w:t>支持访问数据库的源主机名、源主机用户、SQL操作响应时间、数据库操作成功、失败的审计；</w:t>
            </w:r>
          </w:p>
        </w:tc>
      </w:tr>
      <w:tr w14:paraId="220C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6" w:type="pct"/>
            <w:vMerge w:val="continue"/>
            <w:vAlign w:val="center"/>
          </w:tcPr>
          <w:p w14:paraId="52CD89C1">
            <w:pPr>
              <w:spacing w:line="240" w:lineRule="auto"/>
              <w:ind w:firstLine="0" w:firstLineChars="0"/>
              <w:jc w:val="center"/>
              <w:rPr>
                <w:rFonts w:hint="eastAsia" w:cs="宋体"/>
                <w:b/>
              </w:rPr>
            </w:pPr>
          </w:p>
        </w:tc>
        <w:tc>
          <w:tcPr>
            <w:tcW w:w="4013" w:type="pct"/>
            <w:vAlign w:val="center"/>
          </w:tcPr>
          <w:p w14:paraId="2ED76F83">
            <w:pPr>
              <w:spacing w:line="240" w:lineRule="auto"/>
              <w:ind w:firstLine="0" w:firstLineChars="0"/>
              <w:rPr>
                <w:rFonts w:hint="eastAsia" w:eastAsia="宋体" w:cs="宋体"/>
                <w:lang w:eastAsia="zh-CN"/>
              </w:rPr>
            </w:pPr>
            <w:r>
              <w:rPr>
                <w:rFonts w:hint="eastAsia" w:cs="宋体"/>
              </w:rPr>
              <w:t>支持频次告警，某一操作在周期时间内达到设定的次数阀值即可告警，周期事件和次数可按需配置</w:t>
            </w:r>
            <w:r>
              <w:rPr>
                <w:rFonts w:hint="eastAsia" w:cs="宋体"/>
                <w:lang w:eastAsia="zh-CN"/>
              </w:rPr>
              <w:t>。</w:t>
            </w:r>
          </w:p>
        </w:tc>
      </w:tr>
      <w:tr w14:paraId="6F4E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6" w:type="pct"/>
            <w:vMerge w:val="continue"/>
            <w:vAlign w:val="center"/>
          </w:tcPr>
          <w:p w14:paraId="0D178B33">
            <w:pPr>
              <w:spacing w:line="240" w:lineRule="auto"/>
              <w:ind w:firstLine="0" w:firstLineChars="0"/>
              <w:jc w:val="center"/>
              <w:rPr>
                <w:rFonts w:hint="eastAsia" w:cs="宋体"/>
                <w:b/>
              </w:rPr>
            </w:pPr>
          </w:p>
        </w:tc>
        <w:tc>
          <w:tcPr>
            <w:tcW w:w="4013" w:type="pct"/>
            <w:vAlign w:val="center"/>
          </w:tcPr>
          <w:p w14:paraId="38689F6A">
            <w:pPr>
              <w:spacing w:line="240" w:lineRule="auto"/>
              <w:ind w:firstLine="0" w:firstLineChars="0"/>
              <w:rPr>
                <w:rFonts w:hint="eastAsia" w:eastAsia="宋体" w:cs="宋体"/>
                <w:lang w:eastAsia="zh-CN"/>
              </w:rPr>
            </w:pPr>
            <w:r>
              <w:rPr>
                <w:rFonts w:hint="eastAsia" w:cs="宋体"/>
              </w:rPr>
              <w:t xml:space="preserve">支持数据库并发会话数、并发进程数、并发用户数、并发游标数、并发事务数、数据库锁等超过限制的审计 </w:t>
            </w:r>
            <w:r>
              <w:rPr>
                <w:rFonts w:hint="eastAsia" w:cs="宋体"/>
                <w:lang w:eastAsia="zh-CN"/>
              </w:rPr>
              <w:t>；</w:t>
            </w:r>
          </w:p>
        </w:tc>
      </w:tr>
      <w:tr w14:paraId="1E43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6" w:type="pct"/>
            <w:vMerge w:val="continue"/>
            <w:vAlign w:val="center"/>
          </w:tcPr>
          <w:p w14:paraId="06A252B0">
            <w:pPr>
              <w:spacing w:line="240" w:lineRule="auto"/>
              <w:ind w:firstLine="0" w:firstLineChars="0"/>
              <w:jc w:val="center"/>
              <w:rPr>
                <w:rFonts w:hint="eastAsia" w:cs="宋体"/>
                <w:b/>
              </w:rPr>
            </w:pPr>
          </w:p>
        </w:tc>
        <w:tc>
          <w:tcPr>
            <w:tcW w:w="4013" w:type="pct"/>
            <w:vAlign w:val="center"/>
          </w:tcPr>
          <w:p w14:paraId="0355C139">
            <w:pPr>
              <w:spacing w:line="240" w:lineRule="auto"/>
              <w:ind w:firstLine="0" w:firstLineChars="0"/>
              <w:rPr>
                <w:rFonts w:hint="eastAsia" w:cs="宋体"/>
              </w:rPr>
            </w:pPr>
            <w:r>
              <w:rPr>
                <w:rFonts w:hint="eastAsia" w:cs="宋体"/>
              </w:rPr>
              <w:t>支持数据库操作类、表、视图、索引、触发器、存储过程、域、Schema、游标、事物等各种对象的SQL操作审计。</w:t>
            </w:r>
          </w:p>
        </w:tc>
      </w:tr>
      <w:tr w14:paraId="27B4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6" w:type="pct"/>
            <w:vMerge w:val="continue"/>
            <w:vAlign w:val="center"/>
          </w:tcPr>
          <w:p w14:paraId="7B23F399">
            <w:pPr>
              <w:spacing w:line="240" w:lineRule="auto"/>
              <w:ind w:firstLine="0" w:firstLineChars="0"/>
              <w:jc w:val="center"/>
              <w:rPr>
                <w:rFonts w:hint="eastAsia" w:cs="宋体"/>
                <w:b/>
              </w:rPr>
            </w:pPr>
          </w:p>
        </w:tc>
        <w:tc>
          <w:tcPr>
            <w:tcW w:w="4013" w:type="pct"/>
            <w:vAlign w:val="center"/>
          </w:tcPr>
          <w:p w14:paraId="23378BC5">
            <w:pPr>
              <w:spacing w:line="240" w:lineRule="auto"/>
              <w:ind w:firstLine="0" w:firstLineChars="0"/>
              <w:rPr>
                <w:rFonts w:hint="eastAsia" w:cs="宋体"/>
              </w:rPr>
            </w:pPr>
            <w:r>
              <w:rPr>
                <w:rFonts w:hint="eastAsia" w:cs="宋体"/>
              </w:rPr>
              <w:t>支持Telnet协议的审计，能够审计用户名、操作命令、命令响应时间、返回码等；</w:t>
            </w:r>
          </w:p>
        </w:tc>
      </w:tr>
      <w:tr w14:paraId="701E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6" w:type="pct"/>
            <w:vMerge w:val="continue"/>
            <w:vAlign w:val="center"/>
          </w:tcPr>
          <w:p w14:paraId="5AC7FD87">
            <w:pPr>
              <w:spacing w:line="240" w:lineRule="auto"/>
              <w:ind w:firstLine="0" w:firstLineChars="0"/>
              <w:jc w:val="center"/>
              <w:rPr>
                <w:rFonts w:hint="eastAsia" w:cs="宋体"/>
                <w:b/>
              </w:rPr>
            </w:pPr>
          </w:p>
        </w:tc>
        <w:tc>
          <w:tcPr>
            <w:tcW w:w="4013" w:type="pct"/>
            <w:vAlign w:val="center"/>
          </w:tcPr>
          <w:p w14:paraId="71824A2F">
            <w:pPr>
              <w:spacing w:line="240" w:lineRule="auto"/>
              <w:ind w:firstLine="0" w:firstLineChars="0"/>
              <w:rPr>
                <w:rFonts w:hint="eastAsia" w:cs="宋体"/>
              </w:rPr>
            </w:pPr>
            <w:r>
              <w:rPr>
                <w:rFonts w:hint="eastAsia" w:cs="宋体"/>
              </w:rPr>
              <w:t>支持对FTP协议的审计，能够审计用户名、命令、文件、命令响应时间、返回码等</w:t>
            </w:r>
          </w:p>
        </w:tc>
      </w:tr>
      <w:tr w14:paraId="4C56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pct"/>
            <w:vMerge w:val="restart"/>
            <w:vAlign w:val="center"/>
          </w:tcPr>
          <w:p w14:paraId="6EF4D57D">
            <w:pPr>
              <w:spacing w:line="240" w:lineRule="auto"/>
              <w:ind w:firstLine="0" w:firstLineChars="0"/>
              <w:jc w:val="center"/>
              <w:rPr>
                <w:rFonts w:hint="eastAsia" w:cs="宋体"/>
                <w:b/>
              </w:rPr>
            </w:pPr>
            <w:r>
              <w:rPr>
                <w:rFonts w:hint="eastAsia" w:cs="宋体"/>
                <w:b/>
              </w:rPr>
              <w:t>自身管理</w:t>
            </w:r>
          </w:p>
        </w:tc>
        <w:tc>
          <w:tcPr>
            <w:tcW w:w="4013" w:type="pct"/>
            <w:vAlign w:val="center"/>
          </w:tcPr>
          <w:p w14:paraId="7804CEE7">
            <w:pPr>
              <w:spacing w:line="240" w:lineRule="auto"/>
              <w:ind w:firstLine="0" w:firstLineChars="0"/>
              <w:rPr>
                <w:rFonts w:hint="eastAsia" w:cs="宋体"/>
                <w:kern w:val="0"/>
              </w:rPr>
            </w:pPr>
            <w:r>
              <w:rPr>
                <w:rFonts w:hint="eastAsia" w:cs="宋体"/>
              </w:rPr>
              <w:t>提供管理员权限设置和分权管理，提供三权分立功能，系统可以对使用人员的操作进行审计记录，可以由审计员进行查询，具有自身安全审计功能</w:t>
            </w:r>
          </w:p>
        </w:tc>
      </w:tr>
      <w:tr w14:paraId="0551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pct"/>
            <w:vMerge w:val="continue"/>
            <w:vAlign w:val="center"/>
          </w:tcPr>
          <w:p w14:paraId="3706C254">
            <w:pPr>
              <w:spacing w:line="240" w:lineRule="auto"/>
              <w:ind w:firstLine="0" w:firstLineChars="0"/>
              <w:jc w:val="center"/>
              <w:rPr>
                <w:rFonts w:hint="eastAsia" w:cs="宋体"/>
                <w:b/>
              </w:rPr>
            </w:pPr>
          </w:p>
        </w:tc>
        <w:tc>
          <w:tcPr>
            <w:tcW w:w="4013" w:type="pct"/>
            <w:vAlign w:val="center"/>
          </w:tcPr>
          <w:p w14:paraId="688C72E5">
            <w:pPr>
              <w:adjustRightInd w:val="0"/>
              <w:snapToGrid w:val="0"/>
              <w:spacing w:line="240" w:lineRule="auto"/>
              <w:ind w:firstLine="0" w:firstLineChars="0"/>
              <w:rPr>
                <w:rFonts w:hint="eastAsia" w:cs="宋体"/>
              </w:rPr>
            </w:pPr>
            <w:r>
              <w:rPr>
                <w:rFonts w:hint="eastAsia" w:cs="宋体"/>
              </w:rPr>
              <w:t>管理员登陆支持静态口令认证，支持密码的复杂性管理，比如大小写、数字、特殊字符、长度等</w:t>
            </w:r>
          </w:p>
        </w:tc>
      </w:tr>
      <w:tr w14:paraId="2D8C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pct"/>
            <w:vMerge w:val="continue"/>
            <w:vAlign w:val="center"/>
          </w:tcPr>
          <w:p w14:paraId="06627279">
            <w:pPr>
              <w:spacing w:line="240" w:lineRule="auto"/>
              <w:ind w:firstLine="0" w:firstLineChars="0"/>
              <w:jc w:val="center"/>
              <w:rPr>
                <w:rFonts w:hint="eastAsia" w:cs="宋体"/>
                <w:b/>
              </w:rPr>
            </w:pPr>
          </w:p>
        </w:tc>
        <w:tc>
          <w:tcPr>
            <w:tcW w:w="4013" w:type="pct"/>
            <w:vAlign w:val="center"/>
          </w:tcPr>
          <w:p w14:paraId="7F8AF909">
            <w:pPr>
              <w:adjustRightInd w:val="0"/>
              <w:snapToGrid w:val="0"/>
              <w:spacing w:line="240" w:lineRule="auto"/>
              <w:ind w:firstLine="0" w:firstLineChars="0"/>
              <w:rPr>
                <w:rFonts w:hint="eastAsia" w:cs="宋体"/>
              </w:rPr>
            </w:pPr>
            <w:r>
              <w:rPr>
                <w:rFonts w:hint="eastAsia" w:cs="宋体"/>
              </w:rPr>
              <w:t>能够对连续失败登陆进行自动锁定，锁定时间可设置</w:t>
            </w:r>
          </w:p>
        </w:tc>
      </w:tr>
      <w:tr w14:paraId="4BBE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pct"/>
            <w:vMerge w:val="continue"/>
            <w:vAlign w:val="center"/>
          </w:tcPr>
          <w:p w14:paraId="080DF65A">
            <w:pPr>
              <w:spacing w:line="240" w:lineRule="auto"/>
              <w:ind w:firstLine="0" w:firstLineChars="0"/>
              <w:jc w:val="center"/>
              <w:rPr>
                <w:rFonts w:hint="eastAsia" w:cs="宋体"/>
                <w:b/>
              </w:rPr>
            </w:pPr>
          </w:p>
        </w:tc>
        <w:tc>
          <w:tcPr>
            <w:tcW w:w="4013" w:type="pct"/>
            <w:vAlign w:val="center"/>
          </w:tcPr>
          <w:p w14:paraId="2DC01810">
            <w:pPr>
              <w:spacing w:line="240" w:lineRule="auto"/>
              <w:ind w:firstLine="0" w:firstLineChars="0"/>
              <w:rPr>
                <w:rFonts w:hint="eastAsia" w:cs="宋体"/>
              </w:rPr>
            </w:pPr>
            <w:r>
              <w:rPr>
                <w:rFonts w:hint="eastAsia" w:cs="宋体"/>
              </w:rPr>
              <w:t>提供审计数据管理功能，能够实现对审计数据的自动备份、删除</w:t>
            </w:r>
          </w:p>
        </w:tc>
      </w:tr>
      <w:tr w14:paraId="3C1C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pct"/>
            <w:vMerge w:val="continue"/>
            <w:vAlign w:val="center"/>
          </w:tcPr>
          <w:p w14:paraId="5EE70552">
            <w:pPr>
              <w:spacing w:line="240" w:lineRule="auto"/>
              <w:ind w:firstLine="0" w:firstLineChars="0"/>
              <w:jc w:val="center"/>
              <w:rPr>
                <w:rFonts w:hint="eastAsia" w:cs="宋体"/>
                <w:b/>
              </w:rPr>
            </w:pPr>
          </w:p>
        </w:tc>
        <w:tc>
          <w:tcPr>
            <w:tcW w:w="4013" w:type="pct"/>
            <w:vAlign w:val="center"/>
          </w:tcPr>
          <w:p w14:paraId="54332FFC">
            <w:pPr>
              <w:spacing w:line="240" w:lineRule="auto"/>
              <w:ind w:firstLine="0" w:firstLineChars="0"/>
              <w:rPr>
                <w:rFonts w:hint="eastAsia" w:cs="宋体"/>
              </w:rPr>
            </w:pPr>
            <w:r>
              <w:rPr>
                <w:rFonts w:hint="eastAsia" w:cs="宋体"/>
              </w:rPr>
              <w:t>提供系统升级功能，能够通过升级包的方式实现升级</w:t>
            </w:r>
          </w:p>
        </w:tc>
      </w:tr>
      <w:tr w14:paraId="7E0F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pct"/>
            <w:vMerge w:val="continue"/>
            <w:vAlign w:val="center"/>
          </w:tcPr>
          <w:p w14:paraId="64BC3A2E">
            <w:pPr>
              <w:spacing w:line="240" w:lineRule="auto"/>
              <w:ind w:firstLine="0" w:firstLineChars="0"/>
              <w:jc w:val="center"/>
              <w:rPr>
                <w:rFonts w:hint="eastAsia" w:cs="宋体"/>
                <w:b/>
              </w:rPr>
            </w:pPr>
          </w:p>
        </w:tc>
        <w:tc>
          <w:tcPr>
            <w:tcW w:w="4013" w:type="pct"/>
            <w:vAlign w:val="center"/>
          </w:tcPr>
          <w:p w14:paraId="76443568">
            <w:pPr>
              <w:spacing w:line="240" w:lineRule="auto"/>
              <w:ind w:firstLine="0" w:firstLineChars="0"/>
              <w:rPr>
                <w:rFonts w:hint="eastAsia" w:cs="宋体"/>
              </w:rPr>
            </w:pPr>
            <w:r>
              <w:rPr>
                <w:rFonts w:hint="eastAsia" w:cs="宋体"/>
              </w:rPr>
              <w:t>提供磁盘存储容量不足、磁盘Raid故障等自动邮件报警</w:t>
            </w:r>
          </w:p>
        </w:tc>
      </w:tr>
      <w:tr w14:paraId="20BB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pct"/>
            <w:vMerge w:val="continue"/>
            <w:vAlign w:val="center"/>
          </w:tcPr>
          <w:p w14:paraId="5D8BEC6F">
            <w:pPr>
              <w:spacing w:line="240" w:lineRule="auto"/>
              <w:ind w:firstLine="0" w:firstLineChars="0"/>
              <w:jc w:val="center"/>
              <w:rPr>
                <w:rFonts w:hint="eastAsia" w:cs="宋体"/>
                <w:b/>
              </w:rPr>
            </w:pPr>
          </w:p>
        </w:tc>
        <w:tc>
          <w:tcPr>
            <w:tcW w:w="4013" w:type="pct"/>
            <w:vAlign w:val="center"/>
          </w:tcPr>
          <w:p w14:paraId="4E9CD388">
            <w:pPr>
              <w:adjustRightInd w:val="0"/>
              <w:snapToGrid w:val="0"/>
              <w:spacing w:line="240" w:lineRule="auto"/>
              <w:ind w:firstLine="0" w:firstLineChars="0"/>
              <w:rPr>
                <w:rFonts w:hint="eastAsia" w:cs="宋体"/>
              </w:rPr>
            </w:pPr>
            <w:r>
              <w:rPr>
                <w:rFonts w:hint="eastAsia" w:cs="宋体"/>
              </w:rPr>
              <w:t>审计系统上存在大量敏感信息，必需对审计管理员进行强度更高的认证，管理员登陆支持硬件令牌认证</w:t>
            </w:r>
          </w:p>
        </w:tc>
      </w:tr>
      <w:tr w14:paraId="0031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pct"/>
            <w:vMerge w:val="continue"/>
            <w:vAlign w:val="center"/>
          </w:tcPr>
          <w:p w14:paraId="1B1A99F2">
            <w:pPr>
              <w:spacing w:line="240" w:lineRule="auto"/>
              <w:ind w:firstLine="0" w:firstLineChars="0"/>
              <w:jc w:val="center"/>
              <w:rPr>
                <w:rFonts w:hint="eastAsia" w:cs="宋体"/>
                <w:b/>
              </w:rPr>
            </w:pPr>
          </w:p>
        </w:tc>
        <w:tc>
          <w:tcPr>
            <w:tcW w:w="4013" w:type="pct"/>
            <w:vAlign w:val="center"/>
          </w:tcPr>
          <w:p w14:paraId="582E0440">
            <w:pPr>
              <w:spacing w:line="240" w:lineRule="auto"/>
              <w:ind w:firstLine="0" w:firstLineChars="0"/>
              <w:rPr>
                <w:rFonts w:hint="eastAsia" w:cs="宋体"/>
              </w:rPr>
            </w:pPr>
            <w:r>
              <w:rPr>
                <w:rFonts w:hint="eastAsia" w:cs="宋体"/>
              </w:rPr>
              <w:t>提供CPU、内存、磁盘、网口、运行时间、运行状态等信息的监视功能</w:t>
            </w:r>
          </w:p>
        </w:tc>
      </w:tr>
      <w:tr w14:paraId="3595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986" w:type="pct"/>
            <w:vMerge w:val="continue"/>
            <w:vAlign w:val="center"/>
          </w:tcPr>
          <w:p w14:paraId="36258BFC">
            <w:pPr>
              <w:spacing w:line="240" w:lineRule="auto"/>
              <w:ind w:firstLine="0" w:firstLineChars="0"/>
              <w:jc w:val="center"/>
              <w:rPr>
                <w:rFonts w:hint="eastAsia" w:cs="宋体"/>
                <w:b/>
              </w:rPr>
            </w:pPr>
          </w:p>
        </w:tc>
        <w:tc>
          <w:tcPr>
            <w:tcW w:w="4013" w:type="pct"/>
            <w:vAlign w:val="center"/>
          </w:tcPr>
          <w:p w14:paraId="39019B13">
            <w:pPr>
              <w:adjustRightInd w:val="0"/>
              <w:snapToGrid w:val="0"/>
              <w:spacing w:line="240" w:lineRule="auto"/>
              <w:ind w:firstLine="0" w:firstLineChars="0"/>
              <w:jc w:val="left"/>
              <w:rPr>
                <w:rFonts w:hint="eastAsia" w:cs="宋体"/>
              </w:rPr>
            </w:pPr>
            <w:r>
              <w:rPr>
                <w:rFonts w:hint="eastAsia" w:cs="宋体"/>
              </w:rPr>
              <w:t>系统支持一键自检功能，可以检查系统当前运行状态，检查内容包括：系统信息、进程信息、数据库信息、授权信息、用户信息等17项内容，协助管理员迅速定位系统异常，减少日常维护工作量。</w:t>
            </w:r>
          </w:p>
        </w:tc>
      </w:tr>
      <w:tr w14:paraId="5E82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pct"/>
            <w:vMerge w:val="continue"/>
            <w:vAlign w:val="center"/>
          </w:tcPr>
          <w:p w14:paraId="72BAD6D7">
            <w:pPr>
              <w:spacing w:line="240" w:lineRule="auto"/>
              <w:ind w:firstLine="0" w:firstLineChars="0"/>
              <w:jc w:val="center"/>
              <w:rPr>
                <w:rFonts w:hint="eastAsia" w:cs="宋体"/>
                <w:b/>
              </w:rPr>
            </w:pPr>
          </w:p>
        </w:tc>
        <w:tc>
          <w:tcPr>
            <w:tcW w:w="4013" w:type="pct"/>
            <w:vAlign w:val="center"/>
          </w:tcPr>
          <w:p w14:paraId="5CF15E37">
            <w:pPr>
              <w:spacing w:line="240" w:lineRule="auto"/>
              <w:ind w:firstLine="0" w:firstLineChars="0"/>
              <w:rPr>
                <w:rFonts w:hint="eastAsia" w:cs="宋体"/>
              </w:rPr>
            </w:pPr>
            <w:r>
              <w:rPr>
                <w:rFonts w:hint="eastAsia" w:cs="宋体"/>
              </w:rPr>
              <w:t>提供审计策略和配置的导入导出</w:t>
            </w:r>
          </w:p>
        </w:tc>
      </w:tr>
      <w:tr w14:paraId="707B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pct"/>
            <w:vMerge w:val="continue"/>
            <w:vAlign w:val="center"/>
          </w:tcPr>
          <w:p w14:paraId="5760A62E">
            <w:pPr>
              <w:spacing w:line="240" w:lineRule="auto"/>
              <w:ind w:firstLine="0" w:firstLineChars="0"/>
              <w:jc w:val="center"/>
              <w:rPr>
                <w:rFonts w:hint="eastAsia" w:cs="宋体"/>
                <w:b/>
              </w:rPr>
            </w:pPr>
          </w:p>
        </w:tc>
        <w:tc>
          <w:tcPr>
            <w:tcW w:w="4013" w:type="pct"/>
            <w:vAlign w:val="center"/>
          </w:tcPr>
          <w:p w14:paraId="5B31ABBC">
            <w:pPr>
              <w:adjustRightInd w:val="0"/>
              <w:snapToGrid w:val="0"/>
              <w:spacing w:line="240" w:lineRule="auto"/>
              <w:ind w:firstLine="0" w:firstLineChars="0"/>
              <w:jc w:val="left"/>
              <w:rPr>
                <w:rFonts w:hint="eastAsia" w:cs="宋体"/>
              </w:rPr>
            </w:pPr>
            <w:r>
              <w:rPr>
                <w:rFonts w:hint="eastAsia" w:cs="宋体"/>
              </w:rPr>
              <w:t>系统告警，系统可以针对引擎状态变化、关键进程异常、登录异常、权限异常、系统资源超限、流量超限、HA状态变化、磁盘空间不足等各类系统自身异常进行实时页面告警，帮助管理员及时发现系统异常。</w:t>
            </w:r>
          </w:p>
        </w:tc>
      </w:tr>
      <w:tr w14:paraId="1EC8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pct"/>
            <w:vAlign w:val="center"/>
          </w:tcPr>
          <w:p w14:paraId="512B84CB">
            <w:pPr>
              <w:spacing w:line="240" w:lineRule="auto"/>
              <w:ind w:firstLine="0" w:firstLineChars="0"/>
              <w:jc w:val="center"/>
              <w:rPr>
                <w:rFonts w:hint="eastAsia" w:cs="宋体"/>
                <w:b/>
              </w:rPr>
            </w:pPr>
            <w:r>
              <w:rPr>
                <w:rFonts w:hint="eastAsia" w:cs="宋体"/>
                <w:b/>
              </w:rPr>
              <w:t>响应方式</w:t>
            </w:r>
          </w:p>
        </w:tc>
        <w:tc>
          <w:tcPr>
            <w:tcW w:w="4013" w:type="pct"/>
            <w:vAlign w:val="center"/>
          </w:tcPr>
          <w:p w14:paraId="35D255F7">
            <w:pPr>
              <w:spacing w:line="240" w:lineRule="auto"/>
              <w:ind w:firstLine="0" w:firstLineChars="0"/>
              <w:rPr>
                <w:rFonts w:hint="eastAsia" w:cs="宋体"/>
              </w:rPr>
            </w:pPr>
            <w:r>
              <w:rPr>
                <w:rFonts w:hint="eastAsia" w:cs="宋体"/>
              </w:rPr>
              <w:t>记录审计事件、界面告警、Syslog告警、SNMP trap告警、邮件告警、短信告警等多种响应方式</w:t>
            </w:r>
          </w:p>
        </w:tc>
      </w:tr>
      <w:tr w14:paraId="7E9D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6" w:type="pct"/>
            <w:vMerge w:val="restart"/>
            <w:vAlign w:val="center"/>
          </w:tcPr>
          <w:p w14:paraId="1C22EECD">
            <w:pPr>
              <w:spacing w:line="240" w:lineRule="auto"/>
              <w:ind w:firstLine="0" w:firstLineChars="0"/>
              <w:jc w:val="center"/>
              <w:rPr>
                <w:rFonts w:hint="eastAsia" w:cs="宋体"/>
                <w:b/>
              </w:rPr>
            </w:pPr>
            <w:r>
              <w:rPr>
                <w:rFonts w:hint="eastAsia" w:cs="宋体"/>
                <w:b/>
              </w:rPr>
              <w:t>资质相关</w:t>
            </w:r>
          </w:p>
        </w:tc>
        <w:tc>
          <w:tcPr>
            <w:tcW w:w="4013" w:type="pct"/>
            <w:vAlign w:val="center"/>
          </w:tcPr>
          <w:p w14:paraId="0BD685AE">
            <w:pPr>
              <w:spacing w:line="240" w:lineRule="auto"/>
              <w:ind w:firstLine="0" w:firstLineChars="0"/>
              <w:rPr>
                <w:rFonts w:hint="eastAsia" w:cs="宋体"/>
                <w:kern w:val="0"/>
              </w:rPr>
            </w:pPr>
            <w:r>
              <w:rPr>
                <w:rFonts w:hint="eastAsia" w:cs="宋体"/>
                <w:bCs/>
                <w:kern w:val="0"/>
              </w:rPr>
              <w:t>具备</w:t>
            </w:r>
            <w:r>
              <w:rPr>
                <w:rFonts w:hint="eastAsia" w:cs="宋体"/>
                <w:kern w:val="0"/>
              </w:rPr>
              <w:t>中国网络安全审查技术与认证中心颁发</w:t>
            </w:r>
            <w:r>
              <w:rPr>
                <w:rFonts w:hint="eastAsia" w:cs="宋体"/>
                <w:bCs/>
                <w:kern w:val="0"/>
              </w:rPr>
              <w:t>《网络关键设备和网络安全专用产品认证证书》</w:t>
            </w:r>
          </w:p>
        </w:tc>
      </w:tr>
      <w:tr w14:paraId="36FD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6" w:type="pct"/>
            <w:vMerge w:val="continue"/>
            <w:vAlign w:val="center"/>
          </w:tcPr>
          <w:p w14:paraId="3DCCFD2C">
            <w:pPr>
              <w:spacing w:line="240" w:lineRule="auto"/>
              <w:ind w:firstLine="0" w:firstLineChars="0"/>
              <w:jc w:val="center"/>
              <w:rPr>
                <w:rFonts w:hint="eastAsia" w:cs="宋体"/>
                <w:b/>
              </w:rPr>
            </w:pPr>
          </w:p>
        </w:tc>
        <w:tc>
          <w:tcPr>
            <w:tcW w:w="4013" w:type="pct"/>
            <w:vAlign w:val="center"/>
          </w:tcPr>
          <w:p w14:paraId="33D98031">
            <w:pPr>
              <w:spacing w:line="240" w:lineRule="auto"/>
              <w:ind w:firstLine="0" w:firstLineChars="0"/>
              <w:rPr>
                <w:rFonts w:hint="eastAsia" w:cs="宋体"/>
                <w:bCs/>
                <w:kern w:val="0"/>
              </w:rPr>
            </w:pPr>
            <w:r>
              <w:rPr>
                <w:rFonts w:hint="eastAsia" w:cs="宋体"/>
                <w:kern w:val="0"/>
              </w:rPr>
              <w:t>产品具有国家版权局颁发的《计算机软件著作权登记证书》</w:t>
            </w:r>
          </w:p>
        </w:tc>
      </w:tr>
    </w:tbl>
    <w:p w14:paraId="1BE5FADC">
      <w:pPr>
        <w:rPr>
          <w:rFonts w:hint="eastAsia" w:cs="宋体"/>
        </w:rPr>
      </w:pPr>
    </w:p>
    <w:p w14:paraId="6DCC448E">
      <w:pPr>
        <w:pStyle w:val="5"/>
        <w:ind w:left="960"/>
        <w:rPr>
          <w:rFonts w:hint="eastAsia" w:cs="宋体"/>
        </w:rPr>
      </w:pPr>
      <w:r>
        <w:rPr>
          <w:rFonts w:hint="eastAsia" w:cs="宋体"/>
        </w:rPr>
        <w:t>堡垒机</w:t>
      </w:r>
    </w:p>
    <w:tbl>
      <w:tblPr>
        <w:tblStyle w:val="38"/>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6873"/>
      </w:tblGrid>
      <w:tr w14:paraId="094D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971" w:type="pct"/>
            <w:shd w:val="clear" w:color="auto" w:fill="BEBEBE" w:themeFill="background1" w:themeFillShade="BF"/>
            <w:vAlign w:val="center"/>
          </w:tcPr>
          <w:p w14:paraId="1EAE66AE">
            <w:pPr>
              <w:spacing w:line="240" w:lineRule="auto"/>
              <w:ind w:firstLine="0" w:firstLineChars="0"/>
              <w:jc w:val="center"/>
              <w:rPr>
                <w:rFonts w:hint="eastAsia" w:cs="宋体"/>
                <w:b/>
                <w:color w:val="000000" w:themeColor="text1"/>
                <w:szCs w:val="21"/>
                <w14:textFill>
                  <w14:solidFill>
                    <w14:schemeClr w14:val="tx1"/>
                  </w14:solidFill>
                </w14:textFill>
              </w:rPr>
            </w:pPr>
            <w:r>
              <w:rPr>
                <w:rFonts w:hint="eastAsia" w:cs="宋体"/>
                <w:b/>
                <w:color w:val="000000" w:themeColor="text1"/>
                <w:szCs w:val="21"/>
                <w14:textFill>
                  <w14:solidFill>
                    <w14:schemeClr w14:val="tx1"/>
                  </w14:solidFill>
                </w14:textFill>
              </w:rPr>
              <w:t>指标项</w:t>
            </w:r>
          </w:p>
        </w:tc>
        <w:tc>
          <w:tcPr>
            <w:tcW w:w="4029" w:type="pct"/>
            <w:shd w:val="clear" w:color="auto" w:fill="BEBEBE" w:themeFill="background1" w:themeFillShade="BF"/>
            <w:vAlign w:val="center"/>
          </w:tcPr>
          <w:p w14:paraId="65580AFD">
            <w:pPr>
              <w:spacing w:line="240" w:lineRule="auto"/>
              <w:ind w:firstLine="0" w:firstLineChars="0"/>
              <w:jc w:val="center"/>
              <w:rPr>
                <w:rFonts w:hint="eastAsia" w:cs="宋体"/>
                <w:b/>
                <w:color w:val="000000" w:themeColor="text1"/>
                <w:szCs w:val="21"/>
                <w14:textFill>
                  <w14:solidFill>
                    <w14:schemeClr w14:val="tx1"/>
                  </w14:solidFill>
                </w14:textFill>
              </w:rPr>
            </w:pPr>
            <w:r>
              <w:rPr>
                <w:rFonts w:hint="eastAsia" w:cs="宋体"/>
                <w:b/>
                <w:color w:val="000000" w:themeColor="text1"/>
                <w:szCs w:val="21"/>
                <w14:textFill>
                  <w14:solidFill>
                    <w14:schemeClr w14:val="tx1"/>
                  </w14:solidFill>
                </w14:textFill>
              </w:rPr>
              <w:t>指标描述</w:t>
            </w:r>
          </w:p>
        </w:tc>
      </w:tr>
      <w:tr w14:paraId="4F60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tcPr>
          <w:p w14:paraId="79FA3DDA">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并发会话数</w:t>
            </w:r>
          </w:p>
        </w:tc>
        <w:tc>
          <w:tcPr>
            <w:tcW w:w="4029" w:type="pct"/>
          </w:tcPr>
          <w:p w14:paraId="6A3D5B41">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字符协议不低于3000个</w:t>
            </w:r>
          </w:p>
          <w:p w14:paraId="7D4BC0DC">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图形协议不低于1500个</w:t>
            </w:r>
          </w:p>
        </w:tc>
      </w:tr>
      <w:tr w14:paraId="2821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tcPr>
          <w:p w14:paraId="765986B3">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产品形态</w:t>
            </w:r>
          </w:p>
        </w:tc>
        <w:tc>
          <w:tcPr>
            <w:tcW w:w="4029" w:type="pct"/>
          </w:tcPr>
          <w:p w14:paraId="5ABE9E65">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1U机架式软硬一体设备，双电源180W</w:t>
            </w:r>
          </w:p>
        </w:tc>
      </w:tr>
      <w:tr w14:paraId="5503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tcPr>
          <w:p w14:paraId="335FCFA6">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CPU</w:t>
            </w:r>
          </w:p>
        </w:tc>
        <w:tc>
          <w:tcPr>
            <w:tcW w:w="4029" w:type="pct"/>
          </w:tcPr>
          <w:p w14:paraId="6AB358AF">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国产化CPU</w:t>
            </w:r>
          </w:p>
        </w:tc>
      </w:tr>
      <w:tr w14:paraId="23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tcPr>
          <w:p w14:paraId="00B4F9E3">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内存</w:t>
            </w:r>
          </w:p>
        </w:tc>
        <w:tc>
          <w:tcPr>
            <w:tcW w:w="4029" w:type="pct"/>
          </w:tcPr>
          <w:p w14:paraId="5F39A157">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kern w:val="0"/>
              </w:rPr>
              <w:t>≧</w:t>
            </w:r>
            <w:r>
              <w:rPr>
                <w:rFonts w:hint="eastAsia" w:cs="宋体"/>
                <w:color w:val="000000" w:themeColor="text1"/>
                <w:szCs w:val="21"/>
                <w14:textFill>
                  <w14:solidFill>
                    <w14:schemeClr w14:val="tx1"/>
                  </w14:solidFill>
                </w14:textFill>
              </w:rPr>
              <w:t>16G</w:t>
            </w:r>
          </w:p>
        </w:tc>
      </w:tr>
      <w:tr w14:paraId="2FE7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tcPr>
          <w:p w14:paraId="66613EFF">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硬盘容量</w:t>
            </w:r>
          </w:p>
        </w:tc>
        <w:tc>
          <w:tcPr>
            <w:tcW w:w="4029" w:type="pct"/>
          </w:tcPr>
          <w:p w14:paraId="7DC0A077">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物理存储</w:t>
            </w:r>
            <w:r>
              <w:rPr>
                <w:rFonts w:hint="eastAsia" w:cs="宋体"/>
                <w:kern w:val="0"/>
              </w:rPr>
              <w:t>≧</w:t>
            </w:r>
            <w:r>
              <w:rPr>
                <w:rFonts w:hint="eastAsia" w:cs="宋体"/>
                <w:color w:val="000000" w:themeColor="text1"/>
                <w:szCs w:val="21"/>
                <w14:textFill>
                  <w14:solidFill>
                    <w14:schemeClr w14:val="tx1"/>
                  </w14:solidFill>
                </w14:textFill>
              </w:rPr>
              <w:t>8TB</w:t>
            </w:r>
          </w:p>
        </w:tc>
      </w:tr>
      <w:tr w14:paraId="4F8A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tcPr>
          <w:p w14:paraId="2AC32E6D">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液晶屏</w:t>
            </w:r>
          </w:p>
        </w:tc>
        <w:tc>
          <w:tcPr>
            <w:tcW w:w="4029" w:type="pct"/>
          </w:tcPr>
          <w:p w14:paraId="0A246B20">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具备液晶屏</w:t>
            </w:r>
          </w:p>
        </w:tc>
      </w:tr>
      <w:tr w14:paraId="72C5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tcPr>
          <w:p w14:paraId="403151EC">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网络接口</w:t>
            </w:r>
          </w:p>
        </w:tc>
        <w:tc>
          <w:tcPr>
            <w:tcW w:w="4029" w:type="pct"/>
          </w:tcPr>
          <w:p w14:paraId="5905EF29">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kern w:val="0"/>
                <w:szCs w:val="21"/>
                <w14:textFill>
                  <w14:solidFill>
                    <w14:schemeClr w14:val="tx1"/>
                  </w14:solidFill>
                </w14:textFill>
              </w:rPr>
              <w:t>至少支持6个千兆电口4个千兆光口</w:t>
            </w:r>
          </w:p>
        </w:tc>
      </w:tr>
      <w:tr w14:paraId="4B7D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tcPr>
          <w:p w14:paraId="6EF9BBBE">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IPV4/IPV6</w:t>
            </w:r>
          </w:p>
        </w:tc>
        <w:tc>
          <w:tcPr>
            <w:tcW w:w="4029" w:type="pct"/>
          </w:tcPr>
          <w:p w14:paraId="71FA1152">
            <w:pPr>
              <w:spacing w:line="240" w:lineRule="auto"/>
              <w:ind w:firstLine="0" w:firstLineChars="0"/>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支持在IPV4,IPV6，IPV4与IPV6网络环境下部署</w:t>
            </w:r>
          </w:p>
        </w:tc>
      </w:tr>
      <w:tr w14:paraId="6606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Merge w:val="restart"/>
            <w:vAlign w:val="center"/>
          </w:tcPr>
          <w:p w14:paraId="0BDD3289">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部署方式</w:t>
            </w:r>
          </w:p>
        </w:tc>
        <w:tc>
          <w:tcPr>
            <w:tcW w:w="4029" w:type="pct"/>
          </w:tcPr>
          <w:p w14:paraId="3392B444">
            <w:pPr>
              <w:spacing w:line="240" w:lineRule="auto"/>
              <w:ind w:firstLine="0" w:firstLineChars="0"/>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物理旁路，逻辑串联模式，无需镜像、无需改造现有网络结构</w:t>
            </w:r>
          </w:p>
        </w:tc>
      </w:tr>
      <w:tr w14:paraId="5623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Merge w:val="continue"/>
            <w:vAlign w:val="center"/>
          </w:tcPr>
          <w:p w14:paraId="6438EA64">
            <w:pPr>
              <w:spacing w:line="240" w:lineRule="auto"/>
              <w:ind w:firstLine="0" w:firstLineChars="0"/>
              <w:rPr>
                <w:rFonts w:hint="eastAsia" w:cs="宋体"/>
                <w:b/>
                <w:bCs/>
                <w:color w:val="000000" w:themeColor="text1"/>
                <w:kern w:val="0"/>
                <w:szCs w:val="21"/>
                <w14:textFill>
                  <w14:solidFill>
                    <w14:schemeClr w14:val="tx1"/>
                  </w14:solidFill>
                </w14:textFill>
              </w:rPr>
            </w:pPr>
          </w:p>
        </w:tc>
        <w:tc>
          <w:tcPr>
            <w:tcW w:w="4029" w:type="pct"/>
          </w:tcPr>
          <w:p w14:paraId="26BFECDF">
            <w:pPr>
              <w:spacing w:line="240" w:lineRule="auto"/>
              <w:ind w:firstLine="0" w:firstLineChars="0"/>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单机部署、双机热备（HA)部署</w:t>
            </w:r>
          </w:p>
        </w:tc>
      </w:tr>
      <w:tr w14:paraId="139F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Merge w:val="continue"/>
            <w:vAlign w:val="center"/>
          </w:tcPr>
          <w:p w14:paraId="1A76A117">
            <w:pPr>
              <w:spacing w:line="240" w:lineRule="auto"/>
              <w:ind w:firstLine="0" w:firstLineChars="0"/>
              <w:rPr>
                <w:rFonts w:hint="eastAsia" w:cs="宋体"/>
                <w:b/>
                <w:bCs/>
                <w:color w:val="000000" w:themeColor="text1"/>
                <w:kern w:val="0"/>
                <w:szCs w:val="21"/>
                <w14:textFill>
                  <w14:solidFill>
                    <w14:schemeClr w14:val="tx1"/>
                  </w14:solidFill>
                </w14:textFill>
              </w:rPr>
            </w:pPr>
          </w:p>
        </w:tc>
        <w:tc>
          <w:tcPr>
            <w:tcW w:w="4029" w:type="pct"/>
          </w:tcPr>
          <w:p w14:paraId="280E19A4">
            <w:pPr>
              <w:spacing w:line="240" w:lineRule="auto"/>
              <w:ind w:firstLine="0" w:firstLineChars="0"/>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支持NAT地址映射部署，通过映射后的IP地址访问堡垒机进行管理和运维操作，支持从多个映射地址访问，适用于内外网隔离的复杂网络环境</w:t>
            </w:r>
          </w:p>
        </w:tc>
      </w:tr>
      <w:tr w14:paraId="54CE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Align w:val="center"/>
          </w:tcPr>
          <w:p w14:paraId="39675E65">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分权分域</w:t>
            </w:r>
          </w:p>
        </w:tc>
        <w:tc>
          <w:tcPr>
            <w:tcW w:w="4029" w:type="pct"/>
          </w:tcPr>
          <w:p w14:paraId="4B5C6266">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系统内置系统管理员、审计管理员、安全管理员三种角色，系统管理员可针对不同用户指定不同的管理权限，可设定用户（组）和资源（组）的管理范围</w:t>
            </w:r>
          </w:p>
        </w:tc>
      </w:tr>
      <w:tr w14:paraId="5F6A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Merge w:val="restart"/>
            <w:vAlign w:val="center"/>
          </w:tcPr>
          <w:p w14:paraId="67EA54F3">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用户管理</w:t>
            </w:r>
          </w:p>
        </w:tc>
        <w:tc>
          <w:tcPr>
            <w:tcW w:w="4029" w:type="pct"/>
          </w:tcPr>
          <w:p w14:paraId="378B637B">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支持用户管理，包括添加、删除、启用、禁用、移动、修改功能</w:t>
            </w:r>
          </w:p>
        </w:tc>
      </w:tr>
      <w:tr w14:paraId="385A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Merge w:val="continue"/>
            <w:vAlign w:val="center"/>
          </w:tcPr>
          <w:p w14:paraId="4C91E66E">
            <w:pPr>
              <w:spacing w:line="240" w:lineRule="auto"/>
              <w:ind w:firstLine="0" w:firstLineChars="0"/>
              <w:rPr>
                <w:rFonts w:hint="eastAsia" w:cs="宋体"/>
                <w:b/>
                <w:bCs/>
                <w:color w:val="000000" w:themeColor="text1"/>
                <w:kern w:val="0"/>
                <w:szCs w:val="21"/>
                <w14:textFill>
                  <w14:solidFill>
                    <w14:schemeClr w14:val="tx1"/>
                  </w14:solidFill>
                </w14:textFill>
              </w:rPr>
            </w:pPr>
          </w:p>
        </w:tc>
        <w:tc>
          <w:tcPr>
            <w:tcW w:w="4029" w:type="pct"/>
          </w:tcPr>
          <w:p w14:paraId="509AF8D8">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支持用户组管理，包括添加、删除、修改功能</w:t>
            </w:r>
          </w:p>
        </w:tc>
      </w:tr>
      <w:tr w14:paraId="2B5B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Merge w:val="continue"/>
            <w:vAlign w:val="center"/>
          </w:tcPr>
          <w:p w14:paraId="0424C267">
            <w:pPr>
              <w:spacing w:line="240" w:lineRule="auto"/>
              <w:ind w:firstLine="0" w:firstLineChars="0"/>
              <w:rPr>
                <w:rFonts w:hint="eastAsia" w:cs="宋体"/>
                <w:b/>
                <w:bCs/>
                <w:color w:val="000000" w:themeColor="text1"/>
                <w:kern w:val="0"/>
                <w:szCs w:val="21"/>
                <w14:textFill>
                  <w14:solidFill>
                    <w14:schemeClr w14:val="tx1"/>
                  </w14:solidFill>
                </w14:textFill>
              </w:rPr>
            </w:pPr>
          </w:p>
        </w:tc>
        <w:tc>
          <w:tcPr>
            <w:tcW w:w="4029" w:type="pct"/>
          </w:tcPr>
          <w:p w14:paraId="5066D804">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支持用户帐号的批量导入导出功能</w:t>
            </w:r>
          </w:p>
        </w:tc>
      </w:tr>
      <w:tr w14:paraId="482E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Merge w:val="continue"/>
            <w:vAlign w:val="center"/>
          </w:tcPr>
          <w:p w14:paraId="27EA0FC7">
            <w:pPr>
              <w:spacing w:line="240" w:lineRule="auto"/>
              <w:ind w:firstLine="0" w:firstLineChars="0"/>
              <w:rPr>
                <w:rFonts w:hint="eastAsia" w:cs="宋体"/>
                <w:b/>
                <w:bCs/>
                <w:color w:val="000000" w:themeColor="text1"/>
                <w:kern w:val="0"/>
                <w:szCs w:val="21"/>
                <w14:textFill>
                  <w14:solidFill>
                    <w14:schemeClr w14:val="tx1"/>
                  </w14:solidFill>
                </w14:textFill>
              </w:rPr>
            </w:pPr>
          </w:p>
        </w:tc>
        <w:tc>
          <w:tcPr>
            <w:tcW w:w="4029" w:type="pct"/>
          </w:tcPr>
          <w:p w14:paraId="5763EBFE">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支持用户帐号有效期配置</w:t>
            </w:r>
          </w:p>
        </w:tc>
      </w:tr>
      <w:tr w14:paraId="0CF7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Align w:val="center"/>
          </w:tcPr>
          <w:p w14:paraId="3815CA77">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AD、LDAP用户抽取</w:t>
            </w:r>
          </w:p>
        </w:tc>
        <w:tc>
          <w:tcPr>
            <w:tcW w:w="4029" w:type="pct"/>
          </w:tcPr>
          <w:p w14:paraId="708A8CB7">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支持从AD、LDAP抽取组织机构和用户帐号，方便快速建立组织机构和用户帐号</w:t>
            </w:r>
          </w:p>
        </w:tc>
      </w:tr>
      <w:tr w14:paraId="7AD6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Merge w:val="restart"/>
            <w:vAlign w:val="center"/>
          </w:tcPr>
          <w:p w14:paraId="1B79EBD5">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资源管理</w:t>
            </w:r>
          </w:p>
        </w:tc>
        <w:tc>
          <w:tcPr>
            <w:tcW w:w="4029" w:type="pct"/>
          </w:tcPr>
          <w:p w14:paraId="71C43570">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支持资源管理功能，包括添加、删除、启用、禁用、移动、修改功能</w:t>
            </w:r>
          </w:p>
        </w:tc>
      </w:tr>
      <w:tr w14:paraId="09DA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Merge w:val="continue"/>
            <w:vAlign w:val="center"/>
          </w:tcPr>
          <w:p w14:paraId="1D47638C">
            <w:pPr>
              <w:spacing w:line="240" w:lineRule="auto"/>
              <w:ind w:firstLine="0" w:firstLineChars="0"/>
              <w:rPr>
                <w:rFonts w:hint="eastAsia" w:cs="宋体"/>
                <w:b/>
                <w:bCs/>
                <w:color w:val="000000" w:themeColor="text1"/>
                <w:kern w:val="0"/>
                <w:szCs w:val="21"/>
                <w14:textFill>
                  <w14:solidFill>
                    <w14:schemeClr w14:val="tx1"/>
                  </w14:solidFill>
                </w14:textFill>
              </w:rPr>
            </w:pPr>
          </w:p>
        </w:tc>
        <w:tc>
          <w:tcPr>
            <w:tcW w:w="4029" w:type="pct"/>
          </w:tcPr>
          <w:p w14:paraId="5A430790">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支持资源组管理功能，包括添加、删除、修改功能</w:t>
            </w:r>
          </w:p>
        </w:tc>
      </w:tr>
      <w:tr w14:paraId="0AB6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Align w:val="center"/>
          </w:tcPr>
          <w:p w14:paraId="73386621">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资源自动发现</w:t>
            </w:r>
          </w:p>
        </w:tc>
        <w:tc>
          <w:tcPr>
            <w:tcW w:w="4029" w:type="pct"/>
          </w:tcPr>
          <w:p w14:paraId="286107C1">
            <w:pPr>
              <w:widowControl/>
              <w:spacing w:line="240" w:lineRule="auto"/>
              <w:ind w:firstLine="0" w:firstLineChars="0"/>
              <w:jc w:val="left"/>
              <w:rPr>
                <w:rFonts w:hint="eastAsia" w:eastAsia="宋体" w:cs="宋体"/>
                <w:color w:val="000000" w:themeColor="text1"/>
                <w:kern w:val="0"/>
                <w:szCs w:val="21"/>
                <w:lang w:eastAsia="zh-CN"/>
                <w14:textFill>
                  <w14:solidFill>
                    <w14:schemeClr w14:val="tx1"/>
                  </w14:solidFill>
                </w14:textFill>
              </w:rPr>
            </w:pPr>
            <w:r>
              <w:rPr>
                <w:rFonts w:hint="eastAsia" w:cs="宋体"/>
                <w:b/>
                <w:color w:val="000000" w:themeColor="text1"/>
                <w:szCs w:val="21"/>
                <w14:textFill>
                  <w14:solidFill>
                    <w14:schemeClr w14:val="tx1"/>
                  </w14:solidFill>
                </w14:textFill>
              </w:rPr>
              <w:t>▲</w:t>
            </w:r>
            <w:r>
              <w:rPr>
                <w:rFonts w:hint="eastAsia" w:cs="宋体"/>
                <w:color w:val="000000" w:themeColor="text1"/>
                <w:kern w:val="0"/>
                <w:szCs w:val="21"/>
                <w14:textFill>
                  <w14:solidFill>
                    <w14:schemeClr w14:val="tx1"/>
                  </w14:solidFill>
                </w14:textFill>
              </w:rPr>
              <w:t>支持资源自动发现和添加，便于快速添加资源（需提供有效证明材料，包括但不限于加盖公章的技术白皮书、加盖公章的产品官网截图、产品功能截图、产品界面截图、国家权威机构出具的检测报告等）</w:t>
            </w:r>
            <w:r>
              <w:rPr>
                <w:rFonts w:hint="eastAsia" w:cs="宋体"/>
                <w:color w:val="000000" w:themeColor="text1"/>
                <w:kern w:val="0"/>
                <w:szCs w:val="21"/>
                <w:lang w:eastAsia="zh-CN"/>
                <w14:textFill>
                  <w14:solidFill>
                    <w14:schemeClr w14:val="tx1"/>
                  </w14:solidFill>
                </w14:textFill>
              </w:rPr>
              <w:t>。</w:t>
            </w:r>
          </w:p>
        </w:tc>
      </w:tr>
      <w:tr w14:paraId="14DD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Align w:val="center"/>
          </w:tcPr>
          <w:p w14:paraId="43DD884B">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规则管理</w:t>
            </w:r>
          </w:p>
        </w:tc>
        <w:tc>
          <w:tcPr>
            <w:tcW w:w="4029" w:type="pct"/>
          </w:tcPr>
          <w:p w14:paraId="064EC7A9">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1、支持字符、传输、数据库协议的命令规则定义</w:t>
            </w:r>
            <w:r>
              <w:rPr>
                <w:rFonts w:hint="eastAsia" w:cs="宋体"/>
                <w:color w:val="000000" w:themeColor="text1"/>
                <w:kern w:val="0"/>
                <w:szCs w:val="21"/>
                <w14:textFill>
                  <w14:solidFill>
                    <w14:schemeClr w14:val="tx1"/>
                  </w14:solidFill>
                </w14:textFill>
              </w:rPr>
              <w:br w:type="textWrapping"/>
            </w:r>
            <w:r>
              <w:rPr>
                <w:rFonts w:hint="eastAsia" w:cs="宋体"/>
                <w:color w:val="000000" w:themeColor="text1"/>
                <w:kern w:val="0"/>
                <w:szCs w:val="21"/>
                <w14:textFill>
                  <w14:solidFill>
                    <w14:schemeClr w14:val="tx1"/>
                  </w14:solidFill>
                </w14:textFill>
              </w:rPr>
              <w:t>2、支持时间规则定义</w:t>
            </w:r>
            <w:r>
              <w:rPr>
                <w:rFonts w:hint="eastAsia" w:cs="宋体"/>
                <w:color w:val="000000" w:themeColor="text1"/>
                <w:kern w:val="0"/>
                <w:szCs w:val="21"/>
                <w14:textFill>
                  <w14:solidFill>
                    <w14:schemeClr w14:val="tx1"/>
                  </w14:solidFill>
                </w14:textFill>
              </w:rPr>
              <w:br w:type="textWrapping"/>
            </w:r>
            <w:r>
              <w:rPr>
                <w:rFonts w:hint="eastAsia" w:cs="宋体"/>
                <w:color w:val="000000" w:themeColor="text1"/>
                <w:kern w:val="0"/>
                <w:szCs w:val="21"/>
                <w14:textFill>
                  <w14:solidFill>
                    <w14:schemeClr w14:val="tx1"/>
                  </w14:solidFill>
                </w14:textFill>
              </w:rPr>
              <w:t>3、支持审批规则定义</w:t>
            </w:r>
          </w:p>
        </w:tc>
      </w:tr>
      <w:tr w14:paraId="407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Merge w:val="restart"/>
            <w:vAlign w:val="center"/>
          </w:tcPr>
          <w:p w14:paraId="14490D51">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帐号托管</w:t>
            </w:r>
          </w:p>
        </w:tc>
        <w:tc>
          <w:tcPr>
            <w:tcW w:w="4029" w:type="pct"/>
          </w:tcPr>
          <w:p w14:paraId="41A9F1AD">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支持资源制定不同改密分组，执行周期性、手动改密操作</w:t>
            </w:r>
          </w:p>
        </w:tc>
      </w:tr>
      <w:tr w14:paraId="338E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Merge w:val="continue"/>
            <w:vAlign w:val="center"/>
          </w:tcPr>
          <w:p w14:paraId="5E80CE2B">
            <w:pPr>
              <w:spacing w:line="240" w:lineRule="auto"/>
              <w:ind w:firstLine="0" w:firstLineChars="0"/>
              <w:rPr>
                <w:rFonts w:hint="eastAsia" w:cs="宋体"/>
                <w:b/>
                <w:bCs/>
                <w:color w:val="000000" w:themeColor="text1"/>
                <w:kern w:val="0"/>
                <w:szCs w:val="21"/>
                <w14:textFill>
                  <w14:solidFill>
                    <w14:schemeClr w14:val="tx1"/>
                  </w14:solidFill>
                </w14:textFill>
              </w:rPr>
            </w:pPr>
          </w:p>
        </w:tc>
        <w:tc>
          <w:tcPr>
            <w:tcW w:w="4029" w:type="pct"/>
          </w:tcPr>
          <w:p w14:paraId="42C0DB03">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自动改密密码策略支持随机生成不同密码 、随机生成相同密码 、手工指定相同密码，随机密码支持自定义密码强度</w:t>
            </w:r>
          </w:p>
        </w:tc>
      </w:tr>
      <w:tr w14:paraId="67CF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Merge w:val="continue"/>
            <w:vAlign w:val="center"/>
          </w:tcPr>
          <w:p w14:paraId="54C3C7ED">
            <w:pPr>
              <w:spacing w:line="240" w:lineRule="auto"/>
              <w:ind w:firstLine="0" w:firstLineChars="0"/>
              <w:rPr>
                <w:rFonts w:hint="eastAsia" w:cs="宋体"/>
                <w:b/>
                <w:bCs/>
                <w:color w:val="000000" w:themeColor="text1"/>
                <w:kern w:val="0"/>
                <w:szCs w:val="21"/>
                <w14:textFill>
                  <w14:solidFill>
                    <w14:schemeClr w14:val="tx1"/>
                  </w14:solidFill>
                </w14:textFill>
              </w:rPr>
            </w:pPr>
          </w:p>
        </w:tc>
        <w:tc>
          <w:tcPr>
            <w:tcW w:w="4029" w:type="pct"/>
            <w:vAlign w:val="center"/>
          </w:tcPr>
          <w:p w14:paraId="1F295BD1">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支持改密结果自动发送到指定改密计划的管理员邮箱或发送到FTP服务器；密码文件加密保存，需要专用查看工具查看，以保证安全性</w:t>
            </w:r>
          </w:p>
        </w:tc>
      </w:tr>
      <w:tr w14:paraId="130A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Align w:val="center"/>
          </w:tcPr>
          <w:p w14:paraId="0047BCC8">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帐号稽核</w:t>
            </w:r>
          </w:p>
        </w:tc>
        <w:tc>
          <w:tcPr>
            <w:tcW w:w="4029" w:type="pct"/>
          </w:tcPr>
          <w:p w14:paraId="50726F9F">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支持僵尸、幽灵、孤儿帐号稽核功能，并可以导出异常账号稽核情况报告，方便管理员统计异常账号情况。</w:t>
            </w:r>
          </w:p>
          <w:p w14:paraId="225F71D1">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僵尸帐号：周期内登录次数低于3次的用户帐号和资源帐号；</w:t>
            </w:r>
            <w:r>
              <w:rPr>
                <w:rFonts w:hint="eastAsia" w:cs="宋体"/>
                <w:color w:val="000000" w:themeColor="text1"/>
                <w:kern w:val="0"/>
                <w:szCs w:val="21"/>
                <w14:textFill>
                  <w14:solidFill>
                    <w14:schemeClr w14:val="tx1"/>
                  </w14:solidFill>
                </w14:textFill>
              </w:rPr>
              <w:br w:type="textWrapping"/>
            </w:r>
            <w:r>
              <w:rPr>
                <w:rFonts w:hint="eastAsia" w:cs="宋体"/>
                <w:color w:val="000000" w:themeColor="text1"/>
                <w:kern w:val="0"/>
                <w:szCs w:val="21"/>
                <w14:textFill>
                  <w14:solidFill>
                    <w14:schemeClr w14:val="tx1"/>
                  </w14:solidFill>
                </w14:textFill>
              </w:rPr>
              <w:t>幽灵帐户：堡垒机中未托管但又真实存在的的资源帐号；</w:t>
            </w:r>
            <w:r>
              <w:rPr>
                <w:rFonts w:hint="eastAsia" w:cs="宋体"/>
                <w:color w:val="000000" w:themeColor="text1"/>
                <w:kern w:val="0"/>
                <w:szCs w:val="21"/>
                <w14:textFill>
                  <w14:solidFill>
                    <w14:schemeClr w14:val="tx1"/>
                  </w14:solidFill>
                </w14:textFill>
              </w:rPr>
              <w:br w:type="textWrapping"/>
            </w:r>
            <w:r>
              <w:rPr>
                <w:rFonts w:hint="eastAsia" w:cs="宋体"/>
                <w:color w:val="000000" w:themeColor="text1"/>
                <w:kern w:val="0"/>
                <w:szCs w:val="21"/>
                <w14:textFill>
                  <w14:solidFill>
                    <w14:schemeClr w14:val="tx1"/>
                  </w14:solidFill>
                </w14:textFill>
              </w:rPr>
              <w:t>孤儿帐户：没有建立授权关系的用户帐号和资源帐号。</w:t>
            </w:r>
          </w:p>
        </w:tc>
      </w:tr>
      <w:tr w14:paraId="039B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tcPr>
          <w:p w14:paraId="1DFF7B3B">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系统检查工具</w:t>
            </w:r>
          </w:p>
        </w:tc>
        <w:tc>
          <w:tcPr>
            <w:tcW w:w="4029" w:type="pct"/>
          </w:tcPr>
          <w:p w14:paraId="5D178899">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系统界面可进行Ping、tracetroute等诊断，并可一键导出诊断信息</w:t>
            </w:r>
          </w:p>
        </w:tc>
      </w:tr>
      <w:tr w14:paraId="7896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Align w:val="center"/>
          </w:tcPr>
          <w:p w14:paraId="35CBC7BF">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字符、文件传输协议审计</w:t>
            </w:r>
          </w:p>
        </w:tc>
        <w:tc>
          <w:tcPr>
            <w:tcW w:w="4029" w:type="pct"/>
          </w:tcPr>
          <w:p w14:paraId="426AB8DE">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支持SSH协议服务端启用强加密算法hmac-sha2-256,hmac-sha2-512，提升SSH协议安全性</w:t>
            </w:r>
          </w:p>
        </w:tc>
      </w:tr>
      <w:tr w14:paraId="48B2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Merge w:val="restart"/>
            <w:vAlign w:val="center"/>
          </w:tcPr>
          <w:p w14:paraId="4CA48B9B">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图形协议审计</w:t>
            </w:r>
          </w:p>
        </w:tc>
        <w:tc>
          <w:tcPr>
            <w:tcW w:w="4029" w:type="pct"/>
          </w:tcPr>
          <w:p w14:paraId="0AAF8827">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支持RDP、VNC图形操作行为的审计，图形回放形式还原真实操作过程</w:t>
            </w:r>
          </w:p>
        </w:tc>
      </w:tr>
      <w:tr w14:paraId="2E2F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Merge w:val="continue"/>
            <w:vAlign w:val="center"/>
          </w:tcPr>
          <w:p w14:paraId="76DEAEC7">
            <w:pPr>
              <w:spacing w:line="240" w:lineRule="auto"/>
              <w:ind w:firstLine="0" w:firstLineChars="0"/>
              <w:rPr>
                <w:rFonts w:hint="eastAsia" w:cs="宋体"/>
                <w:b/>
                <w:bCs/>
                <w:color w:val="000000" w:themeColor="text1"/>
                <w:kern w:val="0"/>
                <w:szCs w:val="21"/>
                <w14:textFill>
                  <w14:solidFill>
                    <w14:schemeClr w14:val="tx1"/>
                  </w14:solidFill>
                </w14:textFill>
              </w:rPr>
            </w:pPr>
          </w:p>
        </w:tc>
        <w:tc>
          <w:tcPr>
            <w:tcW w:w="4029" w:type="pct"/>
          </w:tcPr>
          <w:p w14:paraId="61811569">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支持RDP、VNC图形操作过程中键盘输入操作记录和鼠标点击行为记录，并支持开启或关闭键盘输入审计功能</w:t>
            </w:r>
          </w:p>
        </w:tc>
      </w:tr>
      <w:tr w14:paraId="0154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Align w:val="center"/>
          </w:tcPr>
          <w:p w14:paraId="26917BF4">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协议扩展</w:t>
            </w:r>
          </w:p>
        </w:tc>
        <w:tc>
          <w:tcPr>
            <w:tcW w:w="4029" w:type="pct"/>
          </w:tcPr>
          <w:p w14:paraId="7CFC1B40">
            <w:pPr>
              <w:widowControl/>
              <w:spacing w:line="240" w:lineRule="auto"/>
              <w:ind w:firstLine="0" w:firstLineChars="0"/>
              <w:jc w:val="left"/>
              <w:rPr>
                <w:rFonts w:hint="eastAsia" w:cs="宋体"/>
                <w:color w:val="000000" w:themeColor="text1"/>
                <w:szCs w:val="21"/>
                <w14:textFill>
                  <w14:solidFill>
                    <w14:schemeClr w14:val="tx1"/>
                  </w14:solidFill>
                </w14:textFill>
              </w:rPr>
            </w:pPr>
            <w:r>
              <w:rPr>
                <w:rFonts w:hint="eastAsia" w:cs="宋体"/>
                <w:color w:val="000000" w:themeColor="text1"/>
                <w:kern w:val="0"/>
                <w:szCs w:val="21"/>
                <w14:textFill>
                  <w14:solidFill>
                    <w14:schemeClr w14:val="tx1"/>
                  </w14:solidFill>
                </w14:textFill>
              </w:rPr>
              <w:t>支持通过应用发布进行协议扩展，支持http/https协议、X11协议、VMware vSphere Client、Radmin等第三方客户端工具，并支持模拟帐号密码代填登录；应用发布调用只能推送应用工具窗口，不得推送windows桌面，以提升用户体验</w:t>
            </w:r>
          </w:p>
        </w:tc>
      </w:tr>
      <w:tr w14:paraId="7623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Align w:val="center"/>
          </w:tcPr>
          <w:p w14:paraId="0B50969F">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实时监控</w:t>
            </w:r>
          </w:p>
        </w:tc>
        <w:tc>
          <w:tcPr>
            <w:tcW w:w="4029" w:type="pct"/>
          </w:tcPr>
          <w:p w14:paraId="67775ABF">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实时监控当前连接发生的所有会话信息，发现高危操作可实时切断会话</w:t>
            </w:r>
          </w:p>
        </w:tc>
      </w:tr>
      <w:tr w14:paraId="35AF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Merge w:val="restart"/>
            <w:vAlign w:val="center"/>
          </w:tcPr>
          <w:p w14:paraId="34F6E5D9">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会话回放</w:t>
            </w:r>
          </w:p>
        </w:tc>
        <w:tc>
          <w:tcPr>
            <w:tcW w:w="4029" w:type="pct"/>
          </w:tcPr>
          <w:p w14:paraId="024501A2">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WEB在线视频回放方式重现维护人员对服务器的所有操作过程</w:t>
            </w:r>
          </w:p>
        </w:tc>
      </w:tr>
      <w:tr w14:paraId="3DF7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Merge w:val="continue"/>
            <w:vAlign w:val="center"/>
          </w:tcPr>
          <w:p w14:paraId="08A53CC1">
            <w:pPr>
              <w:spacing w:line="240" w:lineRule="auto"/>
              <w:ind w:firstLine="0" w:firstLineChars="0"/>
              <w:rPr>
                <w:rFonts w:hint="eastAsia" w:cs="宋体"/>
                <w:b/>
                <w:bCs/>
                <w:color w:val="000000" w:themeColor="text1"/>
                <w:kern w:val="0"/>
                <w:szCs w:val="21"/>
                <w14:textFill>
                  <w14:solidFill>
                    <w14:schemeClr w14:val="tx1"/>
                  </w14:solidFill>
                </w14:textFill>
              </w:rPr>
            </w:pPr>
          </w:p>
        </w:tc>
        <w:tc>
          <w:tcPr>
            <w:tcW w:w="4029" w:type="pct"/>
          </w:tcPr>
          <w:p w14:paraId="5D580EB0">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离线回放重现维护人员对服务器的所有操作过程（回放文件下载到本地播放）</w:t>
            </w:r>
          </w:p>
        </w:tc>
      </w:tr>
      <w:tr w14:paraId="3791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Merge w:val="restart"/>
            <w:vAlign w:val="center"/>
          </w:tcPr>
          <w:p w14:paraId="4F22D953">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审计查询和报表</w:t>
            </w:r>
          </w:p>
        </w:tc>
        <w:tc>
          <w:tcPr>
            <w:tcW w:w="4029" w:type="pct"/>
          </w:tcPr>
          <w:p w14:paraId="5A4B43C7">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自定义审计查询条件，包括：时间范围、用户与用户IP、资源IP、资源服务、命令关键字条件</w:t>
            </w:r>
          </w:p>
        </w:tc>
      </w:tr>
      <w:tr w14:paraId="1A52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Merge w:val="continue"/>
            <w:vAlign w:val="center"/>
          </w:tcPr>
          <w:p w14:paraId="7A508E66">
            <w:pPr>
              <w:spacing w:line="240" w:lineRule="auto"/>
              <w:ind w:firstLine="0" w:firstLineChars="0"/>
              <w:rPr>
                <w:rFonts w:hint="eastAsia" w:cs="宋体"/>
                <w:b/>
                <w:bCs/>
                <w:color w:val="000000" w:themeColor="text1"/>
                <w:kern w:val="0"/>
                <w:szCs w:val="21"/>
                <w14:textFill>
                  <w14:solidFill>
                    <w14:schemeClr w14:val="tx1"/>
                  </w14:solidFill>
                </w14:textFill>
              </w:rPr>
            </w:pPr>
          </w:p>
        </w:tc>
        <w:tc>
          <w:tcPr>
            <w:tcW w:w="4029" w:type="pct"/>
          </w:tcPr>
          <w:p w14:paraId="3570682F">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提供用户统计报表和系统运行报表，支持Word，Excel，PDF，HTML方式导出</w:t>
            </w:r>
          </w:p>
        </w:tc>
      </w:tr>
      <w:tr w14:paraId="293B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Align w:val="center"/>
          </w:tcPr>
          <w:p w14:paraId="078830C0">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身份认证</w:t>
            </w:r>
          </w:p>
        </w:tc>
        <w:tc>
          <w:tcPr>
            <w:tcW w:w="4029" w:type="pct"/>
          </w:tcPr>
          <w:p w14:paraId="33CC625B">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1、支持以下身份认证方式：</w:t>
            </w:r>
            <w:r>
              <w:rPr>
                <w:rFonts w:hint="eastAsia" w:cs="宋体"/>
                <w:color w:val="000000" w:themeColor="text1"/>
                <w:kern w:val="0"/>
                <w:szCs w:val="21"/>
                <w14:textFill>
                  <w14:solidFill>
                    <w14:schemeClr w14:val="tx1"/>
                  </w14:solidFill>
                </w14:textFill>
              </w:rPr>
              <w:br w:type="textWrapping"/>
            </w:r>
            <w:r>
              <w:rPr>
                <w:rFonts w:hint="eastAsia" w:cs="宋体"/>
                <w:color w:val="000000" w:themeColor="text1"/>
                <w:kern w:val="0"/>
                <w:szCs w:val="21"/>
                <w14:textFill>
                  <w14:solidFill>
                    <w14:schemeClr w14:val="tx1"/>
                  </w14:solidFill>
                </w14:textFill>
              </w:rPr>
              <w:t>基本认证：本地帐号+密码认证</w:t>
            </w:r>
            <w:r>
              <w:rPr>
                <w:rFonts w:hint="eastAsia" w:cs="宋体"/>
                <w:color w:val="000000" w:themeColor="text1"/>
                <w:kern w:val="0"/>
                <w:szCs w:val="21"/>
                <w14:textFill>
                  <w14:solidFill>
                    <w14:schemeClr w14:val="tx1"/>
                  </w14:solidFill>
                </w14:textFill>
              </w:rPr>
              <w:br w:type="textWrapping"/>
            </w:r>
            <w:r>
              <w:rPr>
                <w:rFonts w:hint="eastAsia" w:cs="宋体"/>
                <w:color w:val="000000" w:themeColor="text1"/>
                <w:kern w:val="0"/>
                <w:szCs w:val="21"/>
                <w14:textFill>
                  <w14:solidFill>
                    <w14:schemeClr w14:val="tx1"/>
                  </w14:solidFill>
                </w14:textFill>
              </w:rPr>
              <w:t>支持内置USB-KEY认证、动态口令认证、国密动态口令认证、手机令牌认证，无需额外增加认证服务器</w:t>
            </w:r>
            <w:r>
              <w:rPr>
                <w:rFonts w:hint="eastAsia" w:cs="宋体"/>
                <w:color w:val="000000" w:themeColor="text1"/>
                <w:kern w:val="0"/>
                <w:szCs w:val="21"/>
                <w14:textFill>
                  <w14:solidFill>
                    <w14:schemeClr w14:val="tx1"/>
                  </w14:solidFill>
                </w14:textFill>
              </w:rPr>
              <w:br w:type="textWrapping"/>
            </w:r>
            <w:r>
              <w:rPr>
                <w:rFonts w:hint="eastAsia" w:cs="宋体"/>
                <w:color w:val="000000" w:themeColor="text1"/>
                <w:kern w:val="0"/>
                <w:szCs w:val="21"/>
                <w14:textFill>
                  <w14:solidFill>
                    <w14:schemeClr w14:val="tx1"/>
                  </w14:solidFill>
                </w14:textFill>
              </w:rPr>
              <w:t>2、可集成其它外部认证协议： Windows AD、RADIUS、LDAP、短信、北京CA、吉大正元等主流第三方认证。</w:t>
            </w:r>
          </w:p>
        </w:tc>
      </w:tr>
      <w:tr w14:paraId="3195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Align w:val="center"/>
          </w:tcPr>
          <w:p w14:paraId="1DE77ACF">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网络设备配置备份</w:t>
            </w:r>
          </w:p>
        </w:tc>
        <w:tc>
          <w:tcPr>
            <w:tcW w:w="4029" w:type="pct"/>
          </w:tcPr>
          <w:p w14:paraId="575103DA">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b/>
                <w:color w:val="000000" w:themeColor="text1"/>
                <w:szCs w:val="21"/>
                <w14:textFill>
                  <w14:solidFill>
                    <w14:schemeClr w14:val="tx1"/>
                  </w14:solidFill>
                </w14:textFill>
              </w:rPr>
              <w:t>▲</w:t>
            </w:r>
            <w:r>
              <w:rPr>
                <w:rFonts w:hint="eastAsia" w:cs="宋体"/>
                <w:color w:val="000000" w:themeColor="text1"/>
                <w:kern w:val="0"/>
                <w:szCs w:val="21"/>
                <w14:textFill>
                  <w14:solidFill>
                    <w14:schemeClr w14:val="tx1"/>
                  </w14:solidFill>
                </w14:textFill>
              </w:rPr>
              <w:t>运维用户可以设置自动运维操作定时/周期执行，实现网络设备配置的自动备份、供用户查看、下载(（需提供有效证明材料，包括但不限于加盖公章的技术白皮书、加盖公章的产品官网截图、产品功能截图、产品界面截图、国家权威机构出具的检测报告等）)</w:t>
            </w:r>
          </w:p>
        </w:tc>
      </w:tr>
      <w:tr w14:paraId="029E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Align w:val="center"/>
          </w:tcPr>
          <w:p w14:paraId="786A3BD6">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命令自动执行</w:t>
            </w:r>
          </w:p>
        </w:tc>
        <w:tc>
          <w:tcPr>
            <w:tcW w:w="4029" w:type="pct"/>
          </w:tcPr>
          <w:p w14:paraId="591D1CCC">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b/>
                <w:color w:val="000000" w:themeColor="text1"/>
                <w:szCs w:val="21"/>
                <w14:textFill>
                  <w14:solidFill>
                    <w14:schemeClr w14:val="tx1"/>
                  </w14:solidFill>
                </w14:textFill>
              </w:rPr>
              <w:t>▲</w:t>
            </w:r>
            <w:r>
              <w:rPr>
                <w:rFonts w:hint="eastAsia" w:cs="宋体"/>
                <w:color w:val="000000" w:themeColor="text1"/>
                <w:kern w:val="0"/>
                <w:szCs w:val="21"/>
                <w14:textFill>
                  <w14:solidFill>
                    <w14:schemeClr w14:val="tx1"/>
                  </w14:solidFill>
                </w14:textFill>
              </w:rPr>
              <w:t>运维用户设置运维命令，在Linux类主机和网络设备自动执行并返回结果，供用户查看、下载(（需提供有效证明材料，包括但不限于加盖公章的技术白皮书、加盖公章的产品官网截图、产品功能截图、产品界面截图、国家权威机构出具的检测报告等）)</w:t>
            </w:r>
          </w:p>
        </w:tc>
      </w:tr>
      <w:tr w14:paraId="2E2D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Align w:val="center"/>
          </w:tcPr>
          <w:p w14:paraId="133A04DF">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批量登录</w:t>
            </w:r>
          </w:p>
        </w:tc>
        <w:tc>
          <w:tcPr>
            <w:tcW w:w="4029" w:type="pct"/>
          </w:tcPr>
          <w:p w14:paraId="4C60D26D">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支持多种工具批量登录设备</w:t>
            </w:r>
          </w:p>
        </w:tc>
      </w:tr>
      <w:tr w14:paraId="3097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Align w:val="center"/>
          </w:tcPr>
          <w:p w14:paraId="0F656777">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特权切换</w:t>
            </w:r>
          </w:p>
        </w:tc>
        <w:tc>
          <w:tcPr>
            <w:tcW w:w="4029" w:type="pct"/>
          </w:tcPr>
          <w:p w14:paraId="62BA0DEB">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支持以普通管理模式登录网络设备或主机并自动切换到特权模式</w:t>
            </w:r>
          </w:p>
        </w:tc>
      </w:tr>
      <w:tr w14:paraId="5C13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tcPr>
          <w:p w14:paraId="55C09EC5">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工单管理</w:t>
            </w:r>
          </w:p>
        </w:tc>
        <w:tc>
          <w:tcPr>
            <w:tcW w:w="4029" w:type="pct"/>
          </w:tcPr>
          <w:p w14:paraId="45615120">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支持管理员下发工单，授权运维人员有权限在指定时间内访问指定的资源</w:t>
            </w:r>
          </w:p>
        </w:tc>
      </w:tr>
      <w:tr w14:paraId="20B0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Align w:val="center"/>
          </w:tcPr>
          <w:p w14:paraId="462DACF6">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通讯安全性</w:t>
            </w:r>
          </w:p>
        </w:tc>
        <w:tc>
          <w:tcPr>
            <w:tcW w:w="4029" w:type="pct"/>
            <w:vAlign w:val="center"/>
          </w:tcPr>
          <w:p w14:paraId="04B12894">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管理模式 B/S，采用HTTPS方式远程安全管理</w:t>
            </w:r>
          </w:p>
        </w:tc>
      </w:tr>
      <w:tr w14:paraId="16CB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Align w:val="center"/>
          </w:tcPr>
          <w:p w14:paraId="5A2EA0C6">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空间管理</w:t>
            </w:r>
          </w:p>
        </w:tc>
        <w:tc>
          <w:tcPr>
            <w:tcW w:w="4029" w:type="pct"/>
          </w:tcPr>
          <w:p w14:paraId="7A57BDA6">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空间自管理功能，存储空间不足时能够自动清理历史数据，并支持设置触发清理的存储空间阈值</w:t>
            </w:r>
          </w:p>
        </w:tc>
      </w:tr>
      <w:tr w14:paraId="66F1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Align w:val="center"/>
          </w:tcPr>
          <w:p w14:paraId="7F64C9C4">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数据外发</w:t>
            </w:r>
          </w:p>
        </w:tc>
        <w:tc>
          <w:tcPr>
            <w:tcW w:w="4029" w:type="pct"/>
          </w:tcPr>
          <w:p w14:paraId="68BB0D8B">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支持系统配置与审计日志通过FTP或SFTP方式异地备份</w:t>
            </w:r>
          </w:p>
        </w:tc>
      </w:tr>
      <w:tr w14:paraId="54F7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Align w:val="center"/>
          </w:tcPr>
          <w:p w14:paraId="1F6B599D">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自动备份</w:t>
            </w:r>
          </w:p>
        </w:tc>
        <w:tc>
          <w:tcPr>
            <w:tcW w:w="4029" w:type="pct"/>
          </w:tcPr>
          <w:p w14:paraId="65CFBD11">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支持系统配置自动备份、审计日志自动、手动备份</w:t>
            </w:r>
          </w:p>
        </w:tc>
      </w:tr>
      <w:tr w14:paraId="59A9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tcPr>
          <w:p w14:paraId="000775BB">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SNMP</w:t>
            </w:r>
          </w:p>
        </w:tc>
        <w:tc>
          <w:tcPr>
            <w:tcW w:w="4029" w:type="pct"/>
          </w:tcPr>
          <w:p w14:paraId="76663316">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支持SNMP Agent方式对外提供设备基础信息（支持SNMP v2c和v3）</w:t>
            </w:r>
          </w:p>
        </w:tc>
      </w:tr>
      <w:tr w14:paraId="64B0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tcPr>
          <w:p w14:paraId="4058BCB9">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b/>
                <w:bCs/>
                <w:color w:val="000000" w:themeColor="text1"/>
                <w:kern w:val="0"/>
                <w:szCs w:val="21"/>
                <w14:textFill>
                  <w14:solidFill>
                    <w14:schemeClr w14:val="tx1"/>
                  </w14:solidFill>
                </w14:textFill>
              </w:rPr>
              <w:t>日志外发</w:t>
            </w:r>
          </w:p>
        </w:tc>
        <w:tc>
          <w:tcPr>
            <w:tcW w:w="4029" w:type="pct"/>
          </w:tcPr>
          <w:p w14:paraId="21BD1763">
            <w:pPr>
              <w:spacing w:line="240" w:lineRule="auto"/>
              <w:ind w:firstLine="0" w:firstLineChars="0"/>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支持以Syslog对外发送运维审计日志</w:t>
            </w:r>
          </w:p>
        </w:tc>
      </w:tr>
      <w:tr w14:paraId="30B2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Merge w:val="restart"/>
            <w:vAlign w:val="center"/>
          </w:tcPr>
          <w:p w14:paraId="1AF6AE08">
            <w:pPr>
              <w:spacing w:line="240" w:lineRule="auto"/>
              <w:ind w:firstLine="0" w:firstLineChars="0"/>
              <w:rPr>
                <w:rFonts w:hint="eastAsia" w:cs="宋体"/>
                <w:b/>
                <w:bCs/>
                <w:color w:val="000000" w:themeColor="text1"/>
                <w:kern w:val="0"/>
                <w:szCs w:val="21"/>
                <w14:textFill>
                  <w14:solidFill>
                    <w14:schemeClr w14:val="tx1"/>
                  </w14:solidFill>
                </w14:textFill>
              </w:rPr>
            </w:pPr>
            <w:r>
              <w:rPr>
                <w:rFonts w:hint="eastAsia" w:cs="宋体"/>
                <w:color w:val="000000" w:themeColor="text1"/>
                <w:szCs w:val="21"/>
                <w14:textFill>
                  <w14:solidFill>
                    <w14:schemeClr w14:val="tx1"/>
                  </w14:solidFill>
                </w14:textFill>
              </w:rPr>
              <w:t>产品资质</w:t>
            </w:r>
          </w:p>
        </w:tc>
        <w:tc>
          <w:tcPr>
            <w:tcW w:w="4029" w:type="pct"/>
            <w:vAlign w:val="center"/>
          </w:tcPr>
          <w:p w14:paraId="3243313D">
            <w:pPr>
              <w:widowControl/>
              <w:spacing w:line="240" w:lineRule="auto"/>
              <w:ind w:firstLine="0" w:firstLineChars="0"/>
              <w:jc w:val="left"/>
              <w:rPr>
                <w:rFonts w:hint="eastAsia" w:cs="宋体"/>
                <w:color w:val="000000" w:themeColor="text1"/>
                <w:kern w:val="0"/>
                <w:szCs w:val="21"/>
                <w14:textFill>
                  <w14:solidFill>
                    <w14:schemeClr w14:val="tx1"/>
                  </w14:solidFill>
                </w14:textFill>
              </w:rPr>
            </w:pPr>
            <w:r>
              <w:rPr>
                <w:rFonts w:hint="eastAsia" w:cs="宋体"/>
                <w:color w:val="000000" w:themeColor="text1"/>
                <w:szCs w:val="21"/>
                <w14:textFill>
                  <w14:solidFill>
                    <w14:schemeClr w14:val="tx1"/>
                  </w14:solidFill>
                </w14:textFill>
              </w:rPr>
              <w:t>国家版权局计算机软件著作权登记证书</w:t>
            </w:r>
          </w:p>
        </w:tc>
      </w:tr>
      <w:tr w14:paraId="69A4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Merge w:val="continue"/>
          </w:tcPr>
          <w:p w14:paraId="244F6EF5">
            <w:pPr>
              <w:spacing w:line="240" w:lineRule="auto"/>
              <w:ind w:firstLine="0" w:firstLineChars="0"/>
              <w:rPr>
                <w:rFonts w:hint="eastAsia" w:cs="宋体"/>
                <w:color w:val="000000" w:themeColor="text1"/>
                <w:szCs w:val="21"/>
                <w14:textFill>
                  <w14:solidFill>
                    <w14:schemeClr w14:val="tx1"/>
                  </w14:solidFill>
                </w14:textFill>
              </w:rPr>
            </w:pPr>
          </w:p>
        </w:tc>
        <w:tc>
          <w:tcPr>
            <w:tcW w:w="4029" w:type="pct"/>
            <w:vAlign w:val="center"/>
          </w:tcPr>
          <w:p w14:paraId="1E592027">
            <w:pPr>
              <w:widowControl/>
              <w:spacing w:line="240" w:lineRule="auto"/>
              <w:ind w:firstLine="0" w:firstLineChars="0"/>
              <w:jc w:val="left"/>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具备计算机信息系统安全专用产品销售许可证或网专证书。</w:t>
            </w:r>
          </w:p>
        </w:tc>
      </w:tr>
      <w:tr w14:paraId="1076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1" w:type="pct"/>
            <w:vMerge w:val="continue"/>
          </w:tcPr>
          <w:p w14:paraId="490B3793">
            <w:pPr>
              <w:spacing w:line="240" w:lineRule="auto"/>
              <w:ind w:firstLine="0" w:firstLineChars="0"/>
              <w:rPr>
                <w:rFonts w:hint="eastAsia" w:cs="宋体"/>
                <w:color w:val="000000" w:themeColor="text1"/>
                <w:szCs w:val="21"/>
                <w14:textFill>
                  <w14:solidFill>
                    <w14:schemeClr w14:val="tx1"/>
                  </w14:solidFill>
                </w14:textFill>
              </w:rPr>
            </w:pPr>
          </w:p>
        </w:tc>
        <w:tc>
          <w:tcPr>
            <w:tcW w:w="4029" w:type="pct"/>
            <w:vAlign w:val="center"/>
          </w:tcPr>
          <w:p w14:paraId="2BD269F7">
            <w:pPr>
              <w:widowControl/>
              <w:spacing w:line="240" w:lineRule="auto"/>
              <w:ind w:firstLine="0" w:firstLineChars="0"/>
              <w:jc w:val="left"/>
              <w:rPr>
                <w:rFonts w:hint="eastAsia"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中国信息安全认证中心： IT信息产品认证证书</w:t>
            </w:r>
          </w:p>
        </w:tc>
      </w:tr>
    </w:tbl>
    <w:p w14:paraId="585F8FB4">
      <w:pPr>
        <w:pStyle w:val="5"/>
        <w:ind w:left="960"/>
        <w:rPr>
          <w:rFonts w:hint="eastAsia" w:cs="宋体"/>
        </w:rPr>
      </w:pPr>
      <w:r>
        <w:rPr>
          <w:rFonts w:hint="eastAsia" w:cs="宋体"/>
        </w:rPr>
        <w:t>SOC管理平台</w:t>
      </w:r>
    </w:p>
    <w:tbl>
      <w:tblPr>
        <w:tblStyle w:val="3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6730"/>
      </w:tblGrid>
      <w:tr w14:paraId="4066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792" w:type="dxa"/>
            <w:shd w:val="clear" w:color="auto" w:fill="BEBEBE" w:themeFill="background1" w:themeFillShade="BF"/>
          </w:tcPr>
          <w:p w14:paraId="7FBA791A">
            <w:pPr>
              <w:spacing w:line="240" w:lineRule="auto"/>
              <w:ind w:firstLine="0" w:firstLineChars="0"/>
              <w:jc w:val="center"/>
              <w:rPr>
                <w:rFonts w:hint="eastAsia" w:cs="宋体"/>
                <w:b/>
                <w:bCs/>
              </w:rPr>
            </w:pPr>
            <w:r>
              <w:rPr>
                <w:rFonts w:hint="eastAsia" w:cs="宋体"/>
                <w:b/>
                <w:bCs/>
              </w:rPr>
              <w:t>产品指标项</w:t>
            </w:r>
          </w:p>
        </w:tc>
        <w:tc>
          <w:tcPr>
            <w:tcW w:w="6730" w:type="dxa"/>
            <w:shd w:val="clear" w:color="auto" w:fill="BEBEBE" w:themeFill="background1" w:themeFillShade="BF"/>
          </w:tcPr>
          <w:p w14:paraId="0E7086BE">
            <w:pPr>
              <w:spacing w:line="240" w:lineRule="auto"/>
              <w:ind w:firstLine="0" w:firstLineChars="0"/>
              <w:jc w:val="center"/>
              <w:rPr>
                <w:rFonts w:hint="eastAsia" w:cs="宋体"/>
                <w:b/>
                <w:bCs/>
              </w:rPr>
            </w:pPr>
            <w:r>
              <w:rPr>
                <w:rFonts w:hint="eastAsia" w:cs="宋体"/>
                <w:b/>
                <w:bCs/>
              </w:rPr>
              <w:t>产品性能参数和要求</w:t>
            </w:r>
          </w:p>
        </w:tc>
      </w:tr>
      <w:tr w14:paraId="3BB8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92" w:type="dxa"/>
          </w:tcPr>
          <w:p w14:paraId="0AA68082">
            <w:pPr>
              <w:spacing w:line="240" w:lineRule="auto"/>
              <w:ind w:firstLine="0" w:firstLineChars="0"/>
              <w:rPr>
                <w:rFonts w:hint="eastAsia" w:cs="宋体"/>
              </w:rPr>
            </w:pPr>
            <w:r>
              <w:rPr>
                <w:rFonts w:hint="eastAsia" w:cs="宋体"/>
              </w:rPr>
              <w:t>产品资质</w:t>
            </w:r>
          </w:p>
        </w:tc>
        <w:tc>
          <w:tcPr>
            <w:tcW w:w="6730" w:type="dxa"/>
          </w:tcPr>
          <w:p w14:paraId="2EFBB8E2">
            <w:pPr>
              <w:spacing w:line="240" w:lineRule="auto"/>
              <w:ind w:firstLine="0" w:firstLineChars="0"/>
              <w:rPr>
                <w:rFonts w:hint="eastAsia" w:cs="宋体"/>
              </w:rPr>
            </w:pPr>
            <w:r>
              <w:rPr>
                <w:rFonts w:hint="eastAsia" w:cs="宋体"/>
              </w:rPr>
              <w:t>网络安全专用产品证书</w:t>
            </w:r>
          </w:p>
        </w:tc>
      </w:tr>
      <w:tr w14:paraId="31B6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92" w:type="dxa"/>
          </w:tcPr>
          <w:p w14:paraId="18530EFD">
            <w:pPr>
              <w:spacing w:line="240" w:lineRule="auto"/>
              <w:ind w:firstLine="0" w:firstLineChars="0"/>
              <w:rPr>
                <w:rFonts w:hint="eastAsia" w:cs="宋体"/>
              </w:rPr>
            </w:pPr>
            <w:r>
              <w:rPr>
                <w:rFonts w:hint="eastAsia" w:cs="宋体"/>
              </w:rPr>
              <w:t>软件性能</w:t>
            </w:r>
          </w:p>
        </w:tc>
        <w:tc>
          <w:tcPr>
            <w:tcW w:w="6730" w:type="dxa"/>
          </w:tcPr>
          <w:p w14:paraId="18A8C41C">
            <w:pPr>
              <w:spacing w:line="240" w:lineRule="auto"/>
              <w:ind w:firstLine="0" w:firstLineChars="0"/>
              <w:rPr>
                <w:rFonts w:hint="eastAsia" w:cs="宋体"/>
              </w:rPr>
            </w:pPr>
            <w:r>
              <w:rPr>
                <w:rFonts w:hint="eastAsia" w:cs="宋体"/>
              </w:rPr>
              <w:t>管理中心的事件处理性能最大可达到平均每秒15000~20000条事件</w:t>
            </w:r>
          </w:p>
          <w:p w14:paraId="0B15A248">
            <w:pPr>
              <w:spacing w:line="240" w:lineRule="auto"/>
              <w:ind w:firstLine="0" w:firstLineChars="0"/>
              <w:rPr>
                <w:rFonts w:hint="eastAsia" w:cs="宋体"/>
              </w:rPr>
            </w:pPr>
            <w:r>
              <w:rPr>
                <w:rFonts w:hint="eastAsia" w:cs="宋体"/>
              </w:rPr>
              <w:t>管理中心的并发监控任务个数可以达到500个</w:t>
            </w:r>
          </w:p>
        </w:tc>
      </w:tr>
      <w:tr w14:paraId="24BC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92" w:type="dxa"/>
          </w:tcPr>
          <w:p w14:paraId="40BB8DB5">
            <w:pPr>
              <w:spacing w:line="240" w:lineRule="auto"/>
              <w:ind w:firstLine="0" w:firstLineChars="0"/>
              <w:rPr>
                <w:rFonts w:hint="eastAsia" w:cs="宋体"/>
              </w:rPr>
            </w:pPr>
            <w:r>
              <w:rPr>
                <w:rFonts w:hint="eastAsia" w:cs="宋体"/>
              </w:rPr>
              <w:t>运行环境</w:t>
            </w:r>
          </w:p>
        </w:tc>
        <w:tc>
          <w:tcPr>
            <w:tcW w:w="6730" w:type="dxa"/>
          </w:tcPr>
          <w:p w14:paraId="52915E73">
            <w:pPr>
              <w:spacing w:line="240" w:lineRule="auto"/>
              <w:ind w:firstLine="0" w:firstLineChars="0"/>
              <w:rPr>
                <w:rFonts w:hint="eastAsia" w:cs="宋体"/>
              </w:rPr>
            </w:pPr>
            <w:r>
              <w:rPr>
                <w:rFonts w:hint="eastAsia" w:cs="宋体"/>
              </w:rPr>
              <w:t>1）系统必需采用B/S架构，管理员只需浏览器即可连接到系统进行各种操作。</w:t>
            </w:r>
          </w:p>
          <w:p w14:paraId="24CBA96F">
            <w:pPr>
              <w:spacing w:line="240" w:lineRule="auto"/>
              <w:ind w:firstLine="0" w:firstLineChars="0"/>
              <w:rPr>
                <w:rFonts w:hint="eastAsia" w:cs="宋体"/>
              </w:rPr>
            </w:pPr>
            <w:r>
              <w:rPr>
                <w:rFonts w:hint="eastAsia" w:cs="宋体"/>
              </w:rPr>
              <w:t>2）产品要求集成数据库，无需再独立安装数据库系统，亦无需对数据库进行专门的维护。</w:t>
            </w:r>
          </w:p>
        </w:tc>
      </w:tr>
      <w:tr w14:paraId="61CF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92" w:type="dxa"/>
          </w:tcPr>
          <w:p w14:paraId="13E75D7C">
            <w:pPr>
              <w:spacing w:line="240" w:lineRule="auto"/>
              <w:ind w:firstLine="0" w:firstLineChars="0"/>
              <w:rPr>
                <w:rFonts w:hint="eastAsia" w:cs="宋体"/>
              </w:rPr>
            </w:pPr>
            <w:r>
              <w:rPr>
                <w:rFonts w:hint="eastAsia" w:cs="宋体"/>
              </w:rPr>
              <w:t>使用界面</w:t>
            </w:r>
          </w:p>
        </w:tc>
        <w:tc>
          <w:tcPr>
            <w:tcW w:w="6730" w:type="dxa"/>
          </w:tcPr>
          <w:p w14:paraId="5EFF0CB6">
            <w:pPr>
              <w:spacing w:line="240" w:lineRule="auto"/>
              <w:ind w:firstLine="0" w:firstLineChars="0"/>
              <w:rPr>
                <w:rFonts w:hint="eastAsia" w:cs="宋体"/>
              </w:rPr>
            </w:pPr>
            <w:r>
              <w:rPr>
                <w:rFonts w:hint="eastAsia" w:cs="宋体"/>
              </w:rPr>
              <w:t xml:space="preserve">系统必需采用基于浏览器的用户界面，至少支持IE与Firefox。为了适应不同用途。 </w:t>
            </w:r>
          </w:p>
        </w:tc>
      </w:tr>
      <w:tr w14:paraId="2F8D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92" w:type="dxa"/>
          </w:tcPr>
          <w:p w14:paraId="10088316">
            <w:pPr>
              <w:spacing w:line="240" w:lineRule="auto"/>
              <w:ind w:firstLine="0" w:firstLineChars="0"/>
              <w:rPr>
                <w:rFonts w:hint="eastAsia" w:cs="宋体"/>
              </w:rPr>
            </w:pPr>
            <w:r>
              <w:rPr>
                <w:rFonts w:hint="eastAsia" w:cs="宋体"/>
              </w:rPr>
              <w:t>管理范围</w:t>
            </w:r>
          </w:p>
        </w:tc>
        <w:tc>
          <w:tcPr>
            <w:tcW w:w="6730" w:type="dxa"/>
          </w:tcPr>
          <w:p w14:paraId="7F4DBB25">
            <w:pPr>
              <w:spacing w:line="240" w:lineRule="auto"/>
              <w:ind w:firstLine="0" w:firstLineChars="0"/>
              <w:rPr>
                <w:rFonts w:hint="eastAsia" w:cs="宋体"/>
              </w:rPr>
            </w:pPr>
            <w:r>
              <w:rPr>
                <w:rFonts w:hint="eastAsia" w:cs="宋体"/>
              </w:rPr>
              <w:t>涵盖网络设备、安全设备、主机、数据库、中间件以及各种应用系统</w:t>
            </w:r>
          </w:p>
        </w:tc>
      </w:tr>
      <w:tr w14:paraId="1533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92" w:type="dxa"/>
          </w:tcPr>
          <w:p w14:paraId="68317640">
            <w:pPr>
              <w:spacing w:line="240" w:lineRule="auto"/>
              <w:ind w:firstLine="0" w:firstLineChars="0"/>
              <w:rPr>
                <w:rFonts w:hint="eastAsia" w:cs="宋体"/>
              </w:rPr>
            </w:pPr>
            <w:r>
              <w:rPr>
                <w:rFonts w:hint="eastAsia" w:cs="宋体"/>
              </w:rPr>
              <w:t>部署方式</w:t>
            </w:r>
          </w:p>
        </w:tc>
        <w:tc>
          <w:tcPr>
            <w:tcW w:w="6730" w:type="dxa"/>
          </w:tcPr>
          <w:p w14:paraId="18F78398">
            <w:pPr>
              <w:spacing w:line="240" w:lineRule="auto"/>
              <w:ind w:firstLine="0" w:firstLineChars="0"/>
              <w:rPr>
                <w:rFonts w:hint="eastAsia" w:cs="宋体"/>
              </w:rPr>
            </w:pPr>
            <w:r>
              <w:rPr>
                <w:rFonts w:hint="eastAsia" w:cs="宋体"/>
              </w:rPr>
              <w:t>支持单级部署和级联部署，支持分布式部署。</w:t>
            </w:r>
          </w:p>
          <w:p w14:paraId="69B88CC0">
            <w:pPr>
              <w:spacing w:line="240" w:lineRule="auto"/>
              <w:ind w:firstLine="0" w:firstLineChars="0"/>
              <w:rPr>
                <w:rFonts w:hint="eastAsia" w:cs="宋体"/>
              </w:rPr>
            </w:pPr>
            <w:r>
              <w:rPr>
                <w:rFonts w:hint="eastAsia" w:cs="宋体"/>
              </w:rPr>
              <w:t>1）单级部署：无需安装任何其他软件和组件，用户只需要安装管理中心即可实现对全网资源的安全管理；</w:t>
            </w:r>
          </w:p>
          <w:p w14:paraId="259DD264">
            <w:pPr>
              <w:spacing w:line="240" w:lineRule="auto"/>
              <w:ind w:firstLine="0" w:firstLineChars="0"/>
              <w:rPr>
                <w:rFonts w:hint="eastAsia" w:cs="宋体"/>
              </w:rPr>
            </w:pPr>
            <w:r>
              <w:rPr>
                <w:rFonts w:hint="eastAsia" w:cs="宋体"/>
              </w:rPr>
              <w:t>2）级联部署：两个管理中心之间可以进行级联，形成大规模统一管理；</w:t>
            </w:r>
          </w:p>
          <w:p w14:paraId="32014194">
            <w:pPr>
              <w:spacing w:line="240" w:lineRule="auto"/>
              <w:ind w:firstLine="0" w:firstLineChars="0"/>
              <w:rPr>
                <w:rFonts w:hint="eastAsia" w:cs="宋体"/>
              </w:rPr>
            </w:pPr>
            <w:r>
              <w:rPr>
                <w:rFonts w:hint="eastAsia" w:cs="宋体"/>
              </w:rPr>
              <w:t>3）分布式部署：一个管理中心可以连接多个分布式事件及性能采集器或者日志代理，实现对全网分散IT资源的统一管理</w:t>
            </w:r>
          </w:p>
        </w:tc>
      </w:tr>
      <w:tr w14:paraId="01FB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92" w:type="dxa"/>
          </w:tcPr>
          <w:p w14:paraId="0AC878F9">
            <w:pPr>
              <w:spacing w:line="240" w:lineRule="auto"/>
              <w:ind w:firstLine="0" w:firstLineChars="0"/>
              <w:rPr>
                <w:rFonts w:hint="eastAsia" w:cs="宋体"/>
              </w:rPr>
            </w:pPr>
            <w:r>
              <w:rPr>
                <w:rFonts w:hint="eastAsia" w:cs="宋体"/>
              </w:rPr>
              <w:t>综合展示</w:t>
            </w:r>
          </w:p>
        </w:tc>
        <w:tc>
          <w:tcPr>
            <w:tcW w:w="6730" w:type="dxa"/>
          </w:tcPr>
          <w:p w14:paraId="21900A15">
            <w:pPr>
              <w:spacing w:line="240" w:lineRule="auto"/>
              <w:ind w:firstLine="0" w:firstLineChars="0"/>
              <w:rPr>
                <w:rFonts w:hint="eastAsia" w:cs="宋体"/>
              </w:rPr>
            </w:pPr>
            <w:r>
              <w:rPr>
                <w:rFonts w:hint="eastAsia" w:cs="宋体"/>
              </w:rPr>
              <w:t>用户登录即可进入综合展示界面。通过该界面，能够快速的导航到各个功能；</w:t>
            </w:r>
          </w:p>
          <w:p w14:paraId="4266516F">
            <w:pPr>
              <w:spacing w:line="240" w:lineRule="auto"/>
              <w:ind w:firstLine="0" w:firstLineChars="0"/>
              <w:rPr>
                <w:rFonts w:hint="eastAsia" w:cs="宋体"/>
              </w:rPr>
            </w:pPr>
            <w:r>
              <w:rPr>
                <w:rFonts w:hint="eastAsia" w:cs="宋体"/>
              </w:rPr>
              <w:t>用户可以自定义一级功能菜单，可以根据自身需要调整一级功能菜单的顺序；</w:t>
            </w:r>
          </w:p>
          <w:p w14:paraId="49B138D7">
            <w:pPr>
              <w:spacing w:line="240" w:lineRule="auto"/>
              <w:ind w:firstLine="0" w:firstLineChars="0"/>
              <w:rPr>
                <w:rFonts w:hint="eastAsia" w:cs="宋体"/>
              </w:rPr>
            </w:pPr>
            <w:r>
              <w:rPr>
                <w:rFonts w:hint="eastAsia" w:cs="宋体"/>
              </w:rPr>
              <w:t>在综合展示界面中能够显示系统的环境状态信息（至少包含CPU、内存、磁盘信息）、基本管理信息，包括最近24小时资产告警排行、最近10条告警、最近1小时事件类型TOP、最近24小时告警分布。</w:t>
            </w:r>
          </w:p>
          <w:p w14:paraId="4828DED4">
            <w:pPr>
              <w:spacing w:line="240" w:lineRule="auto"/>
              <w:ind w:firstLine="0" w:firstLineChars="0"/>
              <w:rPr>
                <w:rFonts w:hint="eastAsia" w:cs="宋体"/>
              </w:rPr>
            </w:pPr>
            <w:r>
              <w:rPr>
                <w:rFonts w:hint="eastAsia" w:cs="宋体"/>
                <w:b/>
                <w:color w:val="000000" w:themeColor="text1"/>
                <w:szCs w:val="21"/>
                <w14:textFill>
                  <w14:solidFill>
                    <w14:schemeClr w14:val="tx1"/>
                  </w14:solidFill>
                </w14:textFill>
              </w:rPr>
              <w:t>▲</w:t>
            </w:r>
            <w:r>
              <w:rPr>
                <w:rFonts w:hint="eastAsia" w:cs="宋体"/>
              </w:rPr>
              <w:t>可展示最近1小时和1天的事件趋势曲线和告警趋势图，事件总数和采集事件数同比前1个小时的变化量及百分比，可展示最新1小时内各等级事件数量</w:t>
            </w:r>
            <w:r>
              <w:rPr>
                <w:rFonts w:hint="eastAsia" w:cs="宋体"/>
                <w:lang w:eastAsia="zh-CN"/>
              </w:rPr>
              <w:t>，</w:t>
            </w:r>
            <w:r>
              <w:rPr>
                <w:rFonts w:hint="eastAsia" w:cs="宋体"/>
              </w:rPr>
              <w:t>可展示最近24小时活跃日志源TOP、最近24小时活跃设备类型TOP（需提供有效证明材料，包括但不限于加盖公章的技术白皮书、加盖公章的产品官网截图、产品功能截图、产品界面截图、国家权威机构出具的检测报告等）</w:t>
            </w:r>
          </w:p>
        </w:tc>
      </w:tr>
      <w:tr w14:paraId="1F16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92" w:type="dxa"/>
          </w:tcPr>
          <w:p w14:paraId="390C0293">
            <w:pPr>
              <w:spacing w:line="240" w:lineRule="auto"/>
              <w:ind w:firstLine="0" w:firstLineChars="0"/>
              <w:rPr>
                <w:rFonts w:hint="eastAsia" w:cs="宋体"/>
              </w:rPr>
            </w:pPr>
            <w:r>
              <w:rPr>
                <w:rFonts w:hint="eastAsia" w:cs="宋体"/>
              </w:rPr>
              <w:t>资产管理</w:t>
            </w:r>
          </w:p>
        </w:tc>
        <w:tc>
          <w:tcPr>
            <w:tcW w:w="6730" w:type="dxa"/>
          </w:tcPr>
          <w:p w14:paraId="409DE45A">
            <w:pPr>
              <w:spacing w:line="240" w:lineRule="auto"/>
              <w:ind w:firstLine="0" w:firstLineChars="0"/>
              <w:rPr>
                <w:rFonts w:hint="eastAsia" w:cs="宋体"/>
              </w:rPr>
            </w:pPr>
            <w:r>
              <w:rPr>
                <w:rFonts w:hint="eastAsia" w:cs="宋体"/>
              </w:rPr>
              <w:t>系统具有资产管理的功能，能够将被管理IT资产进行分组、分域的统一维护，支持对资产增删改查以及批量导入导出。</w:t>
            </w:r>
          </w:p>
          <w:p w14:paraId="72CF6DDC">
            <w:pPr>
              <w:spacing w:line="240" w:lineRule="auto"/>
              <w:ind w:firstLine="0" w:firstLineChars="0"/>
              <w:rPr>
                <w:rFonts w:hint="eastAsia" w:cs="宋体"/>
              </w:rPr>
            </w:pPr>
            <w:r>
              <w:rPr>
                <w:rFonts w:hint="eastAsia" w:cs="宋体"/>
              </w:rPr>
              <w:t>系统提供基于资产的拓扑视图，可以显示资产之间的逻辑连接关系。系统可以按列表和拓扑两种模式显示资产拓扑节点，且支持一键切换；</w:t>
            </w:r>
          </w:p>
          <w:p w14:paraId="13B33107">
            <w:pPr>
              <w:spacing w:line="240" w:lineRule="auto"/>
              <w:ind w:firstLine="0" w:firstLineChars="0"/>
              <w:rPr>
                <w:rFonts w:hint="eastAsia" w:cs="宋体"/>
              </w:rPr>
            </w:pPr>
            <w:r>
              <w:rPr>
                <w:rFonts w:hint="eastAsia" w:cs="宋体"/>
              </w:rPr>
              <w:t>用户可以手工编辑资产拓扑，包括添加节点，添加/编辑连线，任意拖动节点，可以对拓扑图进行缩放，可以更换拓扑图背景；</w:t>
            </w:r>
          </w:p>
          <w:p w14:paraId="71BEE69C">
            <w:pPr>
              <w:spacing w:line="240" w:lineRule="auto"/>
              <w:ind w:firstLine="0" w:firstLineChars="0"/>
              <w:rPr>
                <w:rFonts w:hint="eastAsia" w:cs="宋体"/>
              </w:rPr>
            </w:pPr>
            <w:r>
              <w:rPr>
                <w:rFonts w:hint="eastAsia" w:cs="宋体"/>
              </w:rPr>
              <w:t>在资产拓扑上和列表上选择每个资产节点，可查看该资产的相关属性、事件信息、核查信息、告警信息、性能信息、漏洞信息和风险信息等，并且支持向下钻取，直接进入事件列表、关联告警列表</w:t>
            </w:r>
          </w:p>
          <w:p w14:paraId="3CD2D51C">
            <w:pPr>
              <w:spacing w:line="240" w:lineRule="auto"/>
              <w:ind w:firstLine="0" w:firstLineChars="0"/>
              <w:rPr>
                <w:rFonts w:hint="eastAsia" w:cs="宋体"/>
              </w:rPr>
            </w:pPr>
            <w:r>
              <w:rPr>
                <w:rFonts w:hint="eastAsia" w:cs="宋体"/>
              </w:rPr>
              <w:t>支持资产多个数据维度的图形化展示能力，包括基于资产的漏洞趋势、事件趋势、告警趋势、性能趋势图</w:t>
            </w:r>
          </w:p>
          <w:p w14:paraId="6F46E428">
            <w:pPr>
              <w:spacing w:line="240" w:lineRule="auto"/>
              <w:ind w:firstLine="0" w:firstLineChars="0"/>
              <w:rPr>
                <w:rFonts w:hint="eastAsia" w:cs="宋体"/>
              </w:rPr>
            </w:pPr>
            <w:r>
              <w:rPr>
                <w:rFonts w:hint="eastAsia" w:cs="宋体"/>
              </w:rPr>
              <w:t>可展示资产的CPU、内存、磁盘使用率信息，安全属性信息（包括机密性、完整性、可用性性、资产价值、等保级别等），可对资产进行安全评分。</w:t>
            </w:r>
          </w:p>
          <w:p w14:paraId="1C826655">
            <w:pPr>
              <w:spacing w:line="240" w:lineRule="auto"/>
              <w:ind w:firstLine="0" w:firstLineChars="0"/>
              <w:rPr>
                <w:rFonts w:hint="eastAsia" w:cs="宋体"/>
              </w:rPr>
            </w:pPr>
            <w:r>
              <w:rPr>
                <w:rFonts w:hint="eastAsia" w:cs="宋体"/>
              </w:rPr>
              <w:t>支持根据日志信息和漏扫信息进行自动识别新的资产，并支持自动添加到资产清单中去；</w:t>
            </w:r>
          </w:p>
          <w:p w14:paraId="6AA03C27">
            <w:pPr>
              <w:spacing w:line="240" w:lineRule="auto"/>
              <w:ind w:firstLine="0" w:firstLineChars="0"/>
              <w:rPr>
                <w:rFonts w:hint="eastAsia" w:cs="宋体"/>
              </w:rPr>
            </w:pPr>
            <w:r>
              <w:rPr>
                <w:rFonts w:hint="eastAsia" w:cs="宋体"/>
              </w:rPr>
              <w:t>用户可以对资产定义标签，实现对资产属性的动态扩展。</w:t>
            </w:r>
          </w:p>
        </w:tc>
      </w:tr>
      <w:tr w14:paraId="706B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92" w:type="dxa"/>
          </w:tcPr>
          <w:p w14:paraId="6BA2913F">
            <w:pPr>
              <w:spacing w:line="240" w:lineRule="auto"/>
              <w:ind w:firstLine="0" w:firstLineChars="0"/>
              <w:rPr>
                <w:rFonts w:hint="eastAsia" w:cs="宋体"/>
              </w:rPr>
            </w:pPr>
            <w:r>
              <w:rPr>
                <w:rFonts w:hint="eastAsia" w:cs="宋体"/>
              </w:rPr>
              <w:t>日志采集</w:t>
            </w:r>
          </w:p>
        </w:tc>
        <w:tc>
          <w:tcPr>
            <w:tcW w:w="6730" w:type="dxa"/>
          </w:tcPr>
          <w:p w14:paraId="007B7782">
            <w:pPr>
              <w:spacing w:line="240" w:lineRule="auto"/>
              <w:ind w:firstLine="0" w:firstLineChars="0"/>
              <w:rPr>
                <w:rFonts w:hint="eastAsia" w:cs="宋体"/>
              </w:rPr>
            </w:pPr>
            <w:r>
              <w:rPr>
                <w:rFonts w:hint="eastAsia" w:cs="宋体"/>
              </w:rPr>
              <w:t>无需另外安装软件组件，管理中心即可通过 SNMP Trap、Syslog、ODBC\JDBC、文件\文件夹、WMI、FTP、SFTP、NetBIOS、OPSEC等多种方式完成日志收集功能；可灵活定制不支持的数据源采集，而无需改动代码。</w:t>
            </w:r>
          </w:p>
          <w:p w14:paraId="2DEDEA11">
            <w:pPr>
              <w:spacing w:line="240" w:lineRule="auto"/>
              <w:ind w:firstLine="0" w:firstLineChars="0"/>
              <w:rPr>
                <w:rFonts w:hint="eastAsia" w:cs="宋体"/>
              </w:rPr>
            </w:pPr>
            <w:r>
              <w:rPr>
                <w:rFonts w:hint="eastAsia" w:cs="宋体"/>
              </w:rPr>
              <w:t>支持对es、kafka、http/https、国产化数据库、内存数据库、VMWare应用日志的采集。支持转存kafka日志</w:t>
            </w:r>
          </w:p>
        </w:tc>
      </w:tr>
      <w:tr w14:paraId="3FD1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92" w:type="dxa"/>
          </w:tcPr>
          <w:p w14:paraId="273EF652">
            <w:pPr>
              <w:spacing w:line="240" w:lineRule="auto"/>
              <w:ind w:firstLine="0" w:firstLineChars="0"/>
              <w:rPr>
                <w:rFonts w:hint="eastAsia" w:cs="宋体"/>
              </w:rPr>
            </w:pPr>
            <w:r>
              <w:rPr>
                <w:rFonts w:hint="eastAsia" w:cs="宋体"/>
              </w:rPr>
              <w:t>日志范式化</w:t>
            </w:r>
          </w:p>
        </w:tc>
        <w:tc>
          <w:tcPr>
            <w:tcW w:w="6730" w:type="dxa"/>
          </w:tcPr>
          <w:p w14:paraId="370D7542">
            <w:pPr>
              <w:spacing w:line="240" w:lineRule="auto"/>
              <w:ind w:firstLine="0" w:firstLineChars="0"/>
              <w:rPr>
                <w:rFonts w:hint="eastAsia" w:cs="宋体"/>
              </w:rPr>
            </w:pPr>
            <w:r>
              <w:rPr>
                <w:rFonts w:hint="eastAsia" w:cs="宋体"/>
              </w:rPr>
              <w:t>系统必需具备日志范式化功能，实现对异构日志格式的统一化；范式化字段至少应包括事件接收时间 、事件产生时间、事件持续时间、用户名称、源地址、源MAC地址、源端口、操作、目的地址 、目的MAC地址、目的端口、事件名称、事件摘要  、等级、原始等级、原始类型、网络协议、网络应用协议、设备地址、设备名称、设备类型等；</w:t>
            </w:r>
          </w:p>
          <w:p w14:paraId="5EA6F476">
            <w:pPr>
              <w:spacing w:line="240" w:lineRule="auto"/>
              <w:ind w:firstLine="0" w:firstLineChars="0"/>
              <w:rPr>
                <w:rFonts w:hint="eastAsia" w:cs="宋体"/>
              </w:rPr>
            </w:pPr>
            <w:r>
              <w:rPr>
                <w:rFonts w:hint="eastAsia" w:cs="宋体"/>
              </w:rPr>
              <w:t>产品界面支持范式化文件的导入导出功能</w:t>
            </w:r>
          </w:p>
          <w:p w14:paraId="46451F5A">
            <w:pPr>
              <w:spacing w:line="240" w:lineRule="auto"/>
              <w:ind w:firstLine="0" w:firstLineChars="0"/>
              <w:rPr>
                <w:rFonts w:cs="宋体"/>
              </w:rPr>
            </w:pPr>
            <w:r>
              <w:rPr>
                <w:rFonts w:hint="eastAsia" w:cs="宋体"/>
              </w:rPr>
              <w:t>支持智能范式化，可自动对日志字段进行解析识别、图形化编辑配置</w:t>
            </w:r>
          </w:p>
          <w:p w14:paraId="466E4BEB">
            <w:pPr>
              <w:spacing w:line="240" w:lineRule="auto"/>
              <w:ind w:firstLine="0" w:firstLineChars="0"/>
              <w:rPr>
                <w:rFonts w:hint="eastAsia" w:cs="宋体"/>
              </w:rPr>
            </w:pPr>
            <w:r>
              <w:rPr>
                <w:rFonts w:hint="eastAsia" w:cs="宋体"/>
              </w:rPr>
              <w:t>可对配置文件进行管理，界面展示每个解析文件中的所有解析规则，并可编辑调整</w:t>
            </w:r>
          </w:p>
        </w:tc>
      </w:tr>
      <w:tr w14:paraId="3676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92" w:type="dxa"/>
          </w:tcPr>
          <w:p w14:paraId="25CF7C35">
            <w:pPr>
              <w:spacing w:line="240" w:lineRule="auto"/>
              <w:ind w:firstLine="0" w:firstLineChars="0"/>
              <w:rPr>
                <w:rFonts w:hint="eastAsia" w:cs="宋体"/>
              </w:rPr>
            </w:pPr>
            <w:r>
              <w:rPr>
                <w:rFonts w:hint="eastAsia" w:cs="宋体"/>
              </w:rPr>
              <w:t>日志转发</w:t>
            </w:r>
          </w:p>
        </w:tc>
        <w:tc>
          <w:tcPr>
            <w:tcW w:w="6730" w:type="dxa"/>
          </w:tcPr>
          <w:p w14:paraId="00856299">
            <w:pPr>
              <w:spacing w:line="240" w:lineRule="auto"/>
              <w:ind w:firstLine="0" w:firstLineChars="0"/>
              <w:rPr>
                <w:rFonts w:hint="eastAsia" w:cs="宋体"/>
              </w:rPr>
            </w:pPr>
            <w:r>
              <w:rPr>
                <w:rFonts w:hint="eastAsia" w:cs="宋体"/>
              </w:rPr>
              <w:t>支持加密压缩方式转发，定时转发</w:t>
            </w:r>
          </w:p>
        </w:tc>
      </w:tr>
      <w:tr w14:paraId="3F6C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792" w:type="dxa"/>
          </w:tcPr>
          <w:p w14:paraId="376A3AA2">
            <w:pPr>
              <w:spacing w:line="240" w:lineRule="auto"/>
              <w:ind w:firstLine="0" w:firstLineChars="0"/>
              <w:rPr>
                <w:rFonts w:hint="eastAsia" w:cs="宋体"/>
              </w:rPr>
            </w:pPr>
            <w:r>
              <w:rPr>
                <w:rFonts w:hint="eastAsia" w:cs="宋体"/>
              </w:rPr>
              <w:t>日志过滤和合并</w:t>
            </w:r>
          </w:p>
        </w:tc>
        <w:tc>
          <w:tcPr>
            <w:tcW w:w="6730" w:type="dxa"/>
          </w:tcPr>
          <w:p w14:paraId="4DD3D1E5">
            <w:pPr>
              <w:spacing w:line="240" w:lineRule="auto"/>
              <w:ind w:firstLine="0" w:firstLineChars="0"/>
              <w:rPr>
                <w:rFonts w:hint="eastAsia" w:cs="宋体"/>
              </w:rPr>
            </w:pPr>
            <w:r>
              <w:rPr>
                <w:rFonts w:hint="eastAsia" w:cs="宋体"/>
              </w:rPr>
              <w:t>支持对无用日志的进行自动过滤和合并，减少垃圾数据数量；</w:t>
            </w:r>
          </w:p>
          <w:p w14:paraId="3B808962">
            <w:pPr>
              <w:spacing w:line="240" w:lineRule="auto"/>
              <w:ind w:firstLine="0" w:firstLineChars="0"/>
              <w:rPr>
                <w:rFonts w:hint="eastAsia" w:cs="宋体"/>
              </w:rPr>
            </w:pPr>
            <w:r>
              <w:rPr>
                <w:rFonts w:hint="eastAsia" w:cs="宋体"/>
              </w:rPr>
              <w:t>过滤条件可以按照所有范式化后的字段属性来定义。</w:t>
            </w:r>
          </w:p>
          <w:p w14:paraId="3D5AB0F5">
            <w:pPr>
              <w:spacing w:line="240" w:lineRule="auto"/>
              <w:ind w:firstLine="0" w:firstLineChars="0"/>
              <w:rPr>
                <w:rFonts w:hint="eastAsia" w:cs="宋体"/>
              </w:rPr>
            </w:pPr>
            <w:r>
              <w:rPr>
                <w:rFonts w:hint="eastAsia" w:cs="宋体"/>
              </w:rPr>
              <w:t>支持建立日志合并规则，支持自定义合并的时间范围</w:t>
            </w:r>
          </w:p>
        </w:tc>
      </w:tr>
      <w:tr w14:paraId="48FE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92" w:type="dxa"/>
          </w:tcPr>
          <w:p w14:paraId="2BEBDABF">
            <w:pPr>
              <w:spacing w:line="240" w:lineRule="auto"/>
              <w:ind w:firstLine="0" w:firstLineChars="0"/>
              <w:rPr>
                <w:rFonts w:hint="eastAsia" w:cs="宋体"/>
              </w:rPr>
            </w:pPr>
            <w:r>
              <w:rPr>
                <w:rFonts w:hint="eastAsia" w:cs="宋体"/>
              </w:rPr>
              <w:t>日志源管理</w:t>
            </w:r>
          </w:p>
        </w:tc>
        <w:tc>
          <w:tcPr>
            <w:tcW w:w="6730" w:type="dxa"/>
          </w:tcPr>
          <w:p w14:paraId="5F696402">
            <w:pPr>
              <w:spacing w:line="240" w:lineRule="auto"/>
              <w:ind w:firstLine="0" w:firstLineChars="0"/>
              <w:rPr>
                <w:rFonts w:hint="eastAsia" w:cs="宋体"/>
              </w:rPr>
            </w:pPr>
            <w:r>
              <w:rPr>
                <w:rFonts w:hint="eastAsia" w:cs="宋体"/>
              </w:rPr>
              <w:t xml:space="preserve">系统可以统计不同采集器和不同安全域下的设备个数并以饼图展示，统计采集器或安全域中事件量Top10以柱图展示，配以统计列表； </w:t>
            </w:r>
          </w:p>
          <w:p w14:paraId="237C72A0">
            <w:pPr>
              <w:spacing w:line="240" w:lineRule="auto"/>
              <w:ind w:firstLine="0" w:firstLineChars="0"/>
              <w:rPr>
                <w:rFonts w:cs="宋体"/>
              </w:rPr>
            </w:pPr>
            <w:r>
              <w:rPr>
                <w:rFonts w:hint="eastAsia" w:cs="宋体"/>
              </w:rPr>
              <w:t>系统可以统计不同采集器和不同安全域下周期</w:t>
            </w:r>
          </w:p>
          <w:p w14:paraId="504E6357">
            <w:pPr>
              <w:spacing w:line="240" w:lineRule="auto"/>
              <w:ind w:firstLine="0" w:firstLineChars="0"/>
              <w:rPr>
                <w:rFonts w:hint="eastAsia" w:cs="宋体"/>
              </w:rPr>
            </w:pPr>
            <w:r>
              <w:rPr>
                <w:rFonts w:hint="eastAsia" w:cs="宋体"/>
              </w:rPr>
              <w:t>可以根据日志源断点时间进行配置，并生成告警</w:t>
            </w:r>
          </w:p>
        </w:tc>
      </w:tr>
      <w:tr w14:paraId="025F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92" w:type="dxa"/>
          </w:tcPr>
          <w:p w14:paraId="667FE8E1">
            <w:pPr>
              <w:spacing w:line="240" w:lineRule="auto"/>
              <w:ind w:firstLine="0" w:firstLineChars="0"/>
              <w:rPr>
                <w:rFonts w:hint="eastAsia" w:cs="宋体"/>
              </w:rPr>
            </w:pPr>
            <w:r>
              <w:rPr>
                <w:rFonts w:hint="eastAsia" w:cs="宋体"/>
              </w:rPr>
              <w:t>事件查询</w:t>
            </w:r>
          </w:p>
        </w:tc>
        <w:tc>
          <w:tcPr>
            <w:tcW w:w="6730" w:type="dxa"/>
          </w:tcPr>
          <w:p w14:paraId="773AC9C1">
            <w:pPr>
              <w:spacing w:line="240" w:lineRule="auto"/>
              <w:ind w:firstLine="0" w:firstLineChars="0"/>
              <w:rPr>
                <w:rFonts w:hint="eastAsia" w:cs="宋体"/>
              </w:rPr>
            </w:pPr>
            <w:r>
              <w:rPr>
                <w:rFonts w:hint="eastAsia" w:cs="宋体"/>
              </w:rPr>
              <w:t>可对安全事件进行模糊搜索查询；</w:t>
            </w:r>
          </w:p>
          <w:p w14:paraId="0EFA95F0">
            <w:pPr>
              <w:spacing w:line="240" w:lineRule="auto"/>
              <w:ind w:firstLine="0" w:firstLineChars="0"/>
              <w:rPr>
                <w:rFonts w:cs="宋体"/>
              </w:rPr>
            </w:pPr>
            <w:r>
              <w:rPr>
                <w:rFonts w:hint="eastAsia" w:cs="宋体"/>
              </w:rPr>
              <w:t>自定义事件查询策略，基于事件分类的查询条件不少于10大项50小项</w:t>
            </w:r>
          </w:p>
          <w:p w14:paraId="63B0B212">
            <w:pPr>
              <w:spacing w:line="240" w:lineRule="auto"/>
              <w:ind w:firstLine="0" w:firstLineChars="0"/>
              <w:rPr>
                <w:rFonts w:hint="eastAsia" w:cs="宋体"/>
              </w:rPr>
            </w:pPr>
            <w:r>
              <w:rPr>
                <w:rFonts w:hint="eastAsia" w:cs="宋体"/>
              </w:rPr>
              <w:t>自定义事件查询策略，基于操作方式的查询条件不少于6大类50小项</w:t>
            </w:r>
          </w:p>
        </w:tc>
      </w:tr>
      <w:tr w14:paraId="3AEC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92" w:type="dxa"/>
          </w:tcPr>
          <w:p w14:paraId="72D05E2D">
            <w:pPr>
              <w:spacing w:line="240" w:lineRule="auto"/>
              <w:ind w:firstLine="0" w:firstLineChars="0"/>
              <w:rPr>
                <w:rFonts w:hint="eastAsia" w:cs="宋体"/>
              </w:rPr>
            </w:pPr>
            <w:r>
              <w:rPr>
                <w:rFonts w:hint="eastAsia" w:cs="宋体"/>
              </w:rPr>
              <w:t>告警管理</w:t>
            </w:r>
          </w:p>
        </w:tc>
        <w:tc>
          <w:tcPr>
            <w:tcW w:w="6730" w:type="dxa"/>
          </w:tcPr>
          <w:p w14:paraId="6150B611">
            <w:pPr>
              <w:spacing w:line="240" w:lineRule="auto"/>
              <w:ind w:firstLine="0" w:firstLineChars="0"/>
              <w:rPr>
                <w:rFonts w:hint="eastAsia" w:cs="宋体"/>
              </w:rPr>
            </w:pPr>
            <w:r>
              <w:rPr>
                <w:rFonts w:hint="eastAsia" w:cs="宋体"/>
              </w:rPr>
              <w:t>告警动作支持告警重定义、弹出提示框、播放警示音、发送邮件、发送SNMP Trap、发送短信、执行命令脚本、设备联动、发送飞鸽传书、光告警、发送Syslog、设置观察列表等方式；支持设备联动，执行命令行脚本。</w:t>
            </w:r>
          </w:p>
          <w:p w14:paraId="35D04827">
            <w:pPr>
              <w:spacing w:line="240" w:lineRule="auto"/>
              <w:ind w:firstLine="0" w:firstLineChars="0"/>
              <w:rPr>
                <w:rFonts w:hint="eastAsia" w:cs="宋体"/>
              </w:rPr>
            </w:pPr>
            <w:r>
              <w:rPr>
                <w:rFonts w:hint="eastAsia" w:cs="宋体"/>
              </w:rPr>
              <w:t>告警内容可以自定义，可以根据日志的实际情况将参数（即预定义变量）传递给命令行脚本；</w:t>
            </w:r>
          </w:p>
          <w:p w14:paraId="56CBE169">
            <w:pPr>
              <w:spacing w:line="240" w:lineRule="auto"/>
              <w:ind w:firstLine="0" w:firstLineChars="0"/>
              <w:rPr>
                <w:rFonts w:hint="eastAsia" w:cs="宋体"/>
              </w:rPr>
            </w:pPr>
            <w:r>
              <w:rPr>
                <w:rFonts w:hint="eastAsia" w:cs="宋体"/>
              </w:rPr>
              <w:t>用户可以对告警进行查询，导出查询结果；支持根据关联规则进行告警信息查询</w:t>
            </w:r>
          </w:p>
          <w:p w14:paraId="3341FC1C">
            <w:pPr>
              <w:spacing w:line="240" w:lineRule="auto"/>
              <w:ind w:firstLine="0" w:firstLineChars="0"/>
              <w:rPr>
                <w:rFonts w:hint="eastAsia" w:cs="宋体"/>
              </w:rPr>
            </w:pPr>
            <w:r>
              <w:rPr>
                <w:rFonts w:hint="eastAsia" w:cs="宋体"/>
              </w:rPr>
              <w:t>具备告警抑制功能，可以把同一时间内相同的告警合并成一条事件进行展示；告警抑制规则中的时间范围与合并数目可以手动进行配置，告警抑制规则可实时启用和停用。</w:t>
            </w:r>
          </w:p>
          <w:p w14:paraId="0F1FE3CF">
            <w:pPr>
              <w:spacing w:line="240" w:lineRule="auto"/>
              <w:ind w:firstLine="0" w:firstLineChars="0"/>
              <w:rPr>
                <w:rFonts w:hint="eastAsia" w:cs="宋体"/>
              </w:rPr>
            </w:pPr>
            <w:r>
              <w:rPr>
                <w:rFonts w:hint="eastAsia" w:cs="宋体"/>
              </w:rPr>
              <w:t>可对告警进行分级统计展示，并支持分类查询。具备告警的批处理能力，追溯能力。</w:t>
            </w:r>
          </w:p>
          <w:p w14:paraId="354B2781">
            <w:pPr>
              <w:spacing w:line="240" w:lineRule="auto"/>
              <w:ind w:firstLine="0" w:firstLineChars="0"/>
              <w:rPr>
                <w:rFonts w:hint="eastAsia" w:cs="宋体"/>
              </w:rPr>
            </w:pPr>
            <w:r>
              <w:rPr>
                <w:rFonts w:hint="eastAsia" w:cs="宋体"/>
              </w:rPr>
              <w:t>支持告警的生命周期管理，可对每条告警事件从告警来源、中间处理过程到最终响应进行图形化流程展示</w:t>
            </w:r>
          </w:p>
          <w:p w14:paraId="00B4DDD3">
            <w:pPr>
              <w:spacing w:line="240" w:lineRule="auto"/>
              <w:ind w:firstLine="0" w:firstLineChars="0"/>
              <w:rPr>
                <w:rFonts w:hint="eastAsia" w:cs="宋体"/>
              </w:rPr>
            </w:pPr>
            <w:r>
              <w:rPr>
                <w:rFonts w:hint="eastAsia" w:cs="宋体"/>
              </w:rPr>
              <w:t>支持告警处置建议的配置</w:t>
            </w:r>
          </w:p>
          <w:p w14:paraId="78E30A91">
            <w:pPr>
              <w:spacing w:line="240" w:lineRule="auto"/>
              <w:ind w:firstLine="0" w:firstLineChars="0"/>
              <w:rPr>
                <w:rFonts w:hint="eastAsia" w:cs="宋体"/>
              </w:rPr>
            </w:pPr>
            <w:r>
              <w:rPr>
                <w:rFonts w:hint="eastAsia" w:cs="宋体"/>
              </w:rPr>
              <w:t>支持通过文本采集、目录采集的方式进行告警采集</w:t>
            </w:r>
          </w:p>
          <w:p w14:paraId="1B7DAAE1">
            <w:pPr>
              <w:spacing w:line="240" w:lineRule="auto"/>
              <w:ind w:firstLine="0" w:firstLineChars="0"/>
              <w:rPr>
                <w:rFonts w:hint="eastAsia" w:cs="宋体"/>
              </w:rPr>
            </w:pPr>
            <w:r>
              <w:rPr>
                <w:rFonts w:hint="eastAsia" w:cs="宋体"/>
              </w:rPr>
              <w:t>支持以派发工单的形式进行告警响应；【必需购买工单管理模块】</w:t>
            </w:r>
          </w:p>
          <w:p w14:paraId="419FF6FE">
            <w:pPr>
              <w:spacing w:line="240" w:lineRule="auto"/>
              <w:ind w:firstLine="0" w:firstLineChars="0"/>
              <w:rPr>
                <w:rFonts w:hint="eastAsia" w:cs="宋体"/>
              </w:rPr>
            </w:pPr>
            <w:r>
              <w:rPr>
                <w:rFonts w:hint="eastAsia" w:cs="宋体"/>
              </w:rPr>
              <w:t>系统允许管理员以告警统计策略的形式从各个维度进行告警信息进行统计分析；</w:t>
            </w:r>
          </w:p>
          <w:p w14:paraId="3E292E46">
            <w:pPr>
              <w:spacing w:line="240" w:lineRule="auto"/>
              <w:ind w:firstLine="0" w:firstLineChars="0"/>
              <w:rPr>
                <w:rFonts w:cs="宋体"/>
              </w:rPr>
            </w:pPr>
            <w:r>
              <w:rPr>
                <w:rFonts w:hint="eastAsia" w:cs="宋体"/>
              </w:rPr>
              <w:t>用户可自定义告警统计策略，并以树形结构进行组织，形成一棵告警统计策略树</w:t>
            </w:r>
          </w:p>
          <w:p w14:paraId="3E615EF9">
            <w:pPr>
              <w:spacing w:line="240" w:lineRule="auto"/>
              <w:ind w:firstLine="0" w:firstLineChars="0"/>
              <w:rPr>
                <w:rFonts w:hint="eastAsia" w:cs="宋体"/>
              </w:rPr>
            </w:pPr>
          </w:p>
        </w:tc>
      </w:tr>
    </w:tbl>
    <w:p w14:paraId="7C5B60D8">
      <w:pPr>
        <w:pStyle w:val="5"/>
        <w:ind w:left="960"/>
        <w:rPr>
          <w:rFonts w:hint="eastAsia" w:cs="宋体"/>
        </w:rPr>
      </w:pPr>
      <w:r>
        <w:rPr>
          <w:rFonts w:hint="eastAsia" w:cs="宋体"/>
        </w:rPr>
        <w:t>网络准入控制</w:t>
      </w:r>
    </w:p>
    <w:tbl>
      <w:tblPr>
        <w:tblStyle w:val="38"/>
        <w:tblW w:w="0" w:type="auto"/>
        <w:tblInd w:w="0" w:type="dxa"/>
        <w:tblLayout w:type="fixed"/>
        <w:tblCellMar>
          <w:top w:w="0" w:type="dxa"/>
          <w:left w:w="108" w:type="dxa"/>
          <w:bottom w:w="0" w:type="dxa"/>
          <w:right w:w="108" w:type="dxa"/>
        </w:tblCellMar>
      </w:tblPr>
      <w:tblGrid>
        <w:gridCol w:w="1555"/>
        <w:gridCol w:w="6741"/>
      </w:tblGrid>
      <w:tr w14:paraId="62E8A592">
        <w:tblPrEx>
          <w:tblCellMar>
            <w:top w:w="0" w:type="dxa"/>
            <w:left w:w="108" w:type="dxa"/>
            <w:bottom w:w="0" w:type="dxa"/>
            <w:right w:w="108" w:type="dxa"/>
          </w:tblCellMar>
        </w:tblPrEx>
        <w:trPr>
          <w:trHeight w:val="20" w:hRule="atLeast"/>
          <w:tblHeader/>
        </w:trPr>
        <w:tc>
          <w:tcPr>
            <w:tcW w:w="1555"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7E0F01D">
            <w:pPr>
              <w:widowControl/>
              <w:spacing w:line="240" w:lineRule="auto"/>
              <w:ind w:firstLine="0" w:firstLineChars="0"/>
              <w:jc w:val="center"/>
              <w:rPr>
                <w:rFonts w:hint="eastAsia" w:cs="宋体"/>
                <w:b/>
                <w:bCs/>
                <w:color w:val="000000"/>
                <w:kern w:val="0"/>
              </w:rPr>
            </w:pPr>
            <w:r>
              <w:rPr>
                <w:rFonts w:hint="eastAsia" w:cs="宋体"/>
                <w:b/>
                <w:bCs/>
                <w:color w:val="000000"/>
                <w:kern w:val="0"/>
              </w:rPr>
              <w:t>指标</w:t>
            </w:r>
          </w:p>
        </w:tc>
        <w:tc>
          <w:tcPr>
            <w:tcW w:w="6741"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31E23981">
            <w:pPr>
              <w:widowControl/>
              <w:spacing w:line="240" w:lineRule="auto"/>
              <w:ind w:firstLine="0" w:firstLineChars="0"/>
              <w:jc w:val="center"/>
              <w:rPr>
                <w:rFonts w:hint="eastAsia" w:cs="宋体"/>
                <w:b/>
                <w:bCs/>
                <w:color w:val="000000"/>
                <w:kern w:val="0"/>
              </w:rPr>
            </w:pPr>
            <w:r>
              <w:rPr>
                <w:rFonts w:hint="eastAsia" w:cs="宋体"/>
                <w:b/>
                <w:bCs/>
                <w:color w:val="000000"/>
                <w:kern w:val="0"/>
              </w:rPr>
              <w:t>指标参数</w:t>
            </w:r>
          </w:p>
        </w:tc>
      </w:tr>
      <w:tr w14:paraId="4008F94D">
        <w:tblPrEx>
          <w:tblCellMar>
            <w:top w:w="0" w:type="dxa"/>
            <w:left w:w="108" w:type="dxa"/>
            <w:bottom w:w="0" w:type="dxa"/>
            <w:right w:w="108" w:type="dxa"/>
          </w:tblCellMar>
        </w:tblPrEx>
        <w:trPr>
          <w:trHeight w:val="20" w:hRule="atLeast"/>
        </w:trPr>
        <w:tc>
          <w:tcPr>
            <w:tcW w:w="1555" w:type="dxa"/>
            <w:tcBorders>
              <w:top w:val="single" w:color="auto" w:sz="4" w:space="0"/>
              <w:left w:val="single" w:color="auto" w:sz="4" w:space="0"/>
              <w:bottom w:val="single" w:color="auto" w:sz="4" w:space="0"/>
              <w:right w:val="single" w:color="auto" w:sz="4" w:space="0"/>
            </w:tcBorders>
            <w:noWrap/>
            <w:vAlign w:val="center"/>
          </w:tcPr>
          <w:p w14:paraId="34772497">
            <w:pPr>
              <w:widowControl/>
              <w:spacing w:line="240" w:lineRule="auto"/>
              <w:ind w:firstLine="0" w:firstLineChars="0"/>
              <w:jc w:val="left"/>
              <w:rPr>
                <w:rFonts w:hint="eastAsia" w:cs="宋体"/>
                <w:color w:val="000000"/>
                <w:kern w:val="0"/>
              </w:rPr>
            </w:pPr>
            <w:r>
              <w:rPr>
                <w:rFonts w:hint="eastAsia" w:cs="宋体"/>
                <w:color w:val="000000"/>
                <w:kern w:val="0"/>
              </w:rPr>
              <w:t>硬件规格</w:t>
            </w:r>
          </w:p>
        </w:tc>
        <w:tc>
          <w:tcPr>
            <w:tcW w:w="6741" w:type="dxa"/>
            <w:tcBorders>
              <w:top w:val="single" w:color="auto" w:sz="4" w:space="0"/>
              <w:left w:val="nil"/>
              <w:bottom w:val="single" w:color="auto" w:sz="4" w:space="0"/>
              <w:right w:val="single" w:color="auto" w:sz="4" w:space="0"/>
            </w:tcBorders>
            <w:noWrap/>
            <w:vAlign w:val="center"/>
          </w:tcPr>
          <w:p w14:paraId="7EF072D1">
            <w:pPr>
              <w:widowControl/>
              <w:spacing w:line="240" w:lineRule="auto"/>
              <w:ind w:firstLine="0" w:firstLineChars="0"/>
              <w:jc w:val="left"/>
              <w:rPr>
                <w:rFonts w:hint="eastAsia" w:cs="宋体"/>
                <w:color w:val="000000"/>
                <w:kern w:val="0"/>
              </w:rPr>
            </w:pPr>
            <w:r>
              <w:rPr>
                <w:rFonts w:hint="eastAsia" w:cs="宋体"/>
                <w:color w:val="000000"/>
                <w:kern w:val="0"/>
              </w:rPr>
              <w:t>2U机架结构；双电源；标准配置≥6个千兆电接口,≥4个千兆光口，2个网络接口扩展槽位，最大吞吐量：≥15Gbps；最大支持≥1000个终端设备的准入；</w:t>
            </w:r>
          </w:p>
        </w:tc>
      </w:tr>
      <w:tr w14:paraId="69BF59F2">
        <w:tblPrEx>
          <w:tblCellMar>
            <w:top w:w="0" w:type="dxa"/>
            <w:left w:w="108" w:type="dxa"/>
            <w:bottom w:w="0" w:type="dxa"/>
            <w:right w:w="108" w:type="dxa"/>
          </w:tblCellMar>
        </w:tblPrEx>
        <w:trPr>
          <w:trHeight w:val="20" w:hRule="atLeast"/>
        </w:trPr>
        <w:tc>
          <w:tcPr>
            <w:tcW w:w="1555" w:type="dxa"/>
            <w:tcBorders>
              <w:top w:val="nil"/>
              <w:left w:val="single" w:color="auto" w:sz="4" w:space="0"/>
              <w:bottom w:val="single" w:color="auto" w:sz="4" w:space="0"/>
              <w:right w:val="single" w:color="auto" w:sz="4" w:space="0"/>
            </w:tcBorders>
            <w:noWrap/>
            <w:vAlign w:val="center"/>
          </w:tcPr>
          <w:p w14:paraId="6189D64E">
            <w:pPr>
              <w:widowControl/>
              <w:spacing w:line="240" w:lineRule="auto"/>
              <w:ind w:firstLine="0" w:firstLineChars="0"/>
              <w:rPr>
                <w:rFonts w:hint="eastAsia" w:cs="宋体"/>
                <w:color w:val="000000"/>
                <w:kern w:val="0"/>
              </w:rPr>
            </w:pPr>
            <w:r>
              <w:rPr>
                <w:rFonts w:hint="eastAsia" w:cs="宋体"/>
                <w:color w:val="000000"/>
                <w:kern w:val="0"/>
              </w:rPr>
              <w:t>部署模式</w:t>
            </w:r>
          </w:p>
        </w:tc>
        <w:tc>
          <w:tcPr>
            <w:tcW w:w="6741" w:type="dxa"/>
            <w:tcBorders>
              <w:top w:val="nil"/>
              <w:left w:val="nil"/>
              <w:bottom w:val="single" w:color="auto" w:sz="4" w:space="0"/>
              <w:right w:val="single" w:color="auto" w:sz="4" w:space="0"/>
            </w:tcBorders>
            <w:noWrap/>
            <w:vAlign w:val="center"/>
          </w:tcPr>
          <w:p w14:paraId="2E1FFEC5">
            <w:pPr>
              <w:widowControl/>
              <w:spacing w:line="240" w:lineRule="auto"/>
              <w:ind w:firstLine="0" w:firstLineChars="0"/>
              <w:rPr>
                <w:rFonts w:hint="eastAsia" w:cs="宋体"/>
                <w:color w:val="000000"/>
                <w:kern w:val="0"/>
              </w:rPr>
            </w:pPr>
            <w:r>
              <w:rPr>
                <w:rFonts w:hint="eastAsia" w:cs="宋体"/>
                <w:color w:val="000000"/>
                <w:kern w:val="0"/>
              </w:rPr>
              <w:t>支持分级部署，支持10万级终端规模</w:t>
            </w:r>
          </w:p>
        </w:tc>
      </w:tr>
      <w:tr w14:paraId="3215FE0B">
        <w:trPr>
          <w:trHeight w:val="20" w:hRule="atLeast"/>
        </w:trPr>
        <w:tc>
          <w:tcPr>
            <w:tcW w:w="1555" w:type="dxa"/>
            <w:vMerge w:val="restart"/>
            <w:tcBorders>
              <w:top w:val="nil"/>
              <w:left w:val="single" w:color="auto" w:sz="4" w:space="0"/>
              <w:right w:val="single" w:color="auto" w:sz="4" w:space="0"/>
            </w:tcBorders>
            <w:noWrap/>
            <w:vAlign w:val="center"/>
          </w:tcPr>
          <w:p w14:paraId="544305D7">
            <w:pPr>
              <w:widowControl/>
              <w:spacing w:line="240" w:lineRule="auto"/>
              <w:ind w:firstLine="0" w:firstLineChars="0"/>
              <w:rPr>
                <w:rFonts w:hint="eastAsia" w:cs="宋体"/>
                <w:color w:val="000000"/>
                <w:kern w:val="0"/>
              </w:rPr>
            </w:pPr>
            <w:r>
              <w:rPr>
                <w:rFonts w:hint="eastAsia" w:cs="宋体"/>
                <w:color w:val="000000"/>
                <w:kern w:val="0"/>
              </w:rPr>
              <w:t>高可用性</w:t>
            </w:r>
          </w:p>
        </w:tc>
        <w:tc>
          <w:tcPr>
            <w:tcW w:w="6741" w:type="dxa"/>
            <w:tcBorders>
              <w:top w:val="nil"/>
              <w:left w:val="nil"/>
              <w:bottom w:val="single" w:color="auto" w:sz="4" w:space="0"/>
              <w:right w:val="single" w:color="auto" w:sz="4" w:space="0"/>
            </w:tcBorders>
            <w:noWrap/>
            <w:vAlign w:val="center"/>
          </w:tcPr>
          <w:p w14:paraId="6483AFD6">
            <w:pPr>
              <w:widowControl/>
              <w:spacing w:line="240" w:lineRule="auto"/>
              <w:ind w:firstLine="0" w:firstLineChars="0"/>
              <w:rPr>
                <w:rFonts w:hint="eastAsia" w:cs="宋体"/>
                <w:color w:val="000000"/>
                <w:kern w:val="0"/>
              </w:rPr>
            </w:pPr>
            <w:r>
              <w:rPr>
                <w:rFonts w:hint="eastAsia" w:cs="宋体"/>
                <w:color w:val="000000"/>
                <w:kern w:val="0"/>
              </w:rPr>
              <w:t>设备支持HA双机热备模式，可自动进行主/备模式切换；系统基于Linux内核自主开发的OS安全操作系统，并且支持双操作系统冷备，当常用系统出现故障，可以切换使用备用系统恢复业务。</w:t>
            </w:r>
          </w:p>
        </w:tc>
      </w:tr>
      <w:tr w14:paraId="4795A61A">
        <w:tblPrEx>
          <w:tblCellMar>
            <w:top w:w="0" w:type="dxa"/>
            <w:left w:w="108" w:type="dxa"/>
            <w:bottom w:w="0" w:type="dxa"/>
            <w:right w:w="108" w:type="dxa"/>
          </w:tblCellMar>
        </w:tblPrEx>
        <w:trPr>
          <w:trHeight w:val="20" w:hRule="atLeast"/>
        </w:trPr>
        <w:tc>
          <w:tcPr>
            <w:tcW w:w="1555" w:type="dxa"/>
            <w:vMerge w:val="continue"/>
            <w:tcBorders>
              <w:left w:val="single" w:color="auto" w:sz="4" w:space="0"/>
              <w:right w:val="single" w:color="auto" w:sz="4" w:space="0"/>
            </w:tcBorders>
            <w:noWrap/>
            <w:vAlign w:val="center"/>
          </w:tcPr>
          <w:p w14:paraId="2C77A947">
            <w:pPr>
              <w:spacing w:line="240" w:lineRule="auto"/>
              <w:ind w:firstLine="0" w:firstLineChars="0"/>
              <w:jc w:val="left"/>
              <w:rPr>
                <w:rFonts w:hint="eastAsia" w:cs="宋体"/>
                <w:color w:val="000000"/>
                <w:kern w:val="0"/>
              </w:rPr>
            </w:pPr>
          </w:p>
        </w:tc>
        <w:tc>
          <w:tcPr>
            <w:tcW w:w="6741" w:type="dxa"/>
            <w:tcBorders>
              <w:top w:val="nil"/>
              <w:left w:val="nil"/>
              <w:bottom w:val="single" w:color="auto" w:sz="4" w:space="0"/>
              <w:right w:val="single" w:color="auto" w:sz="4" w:space="0"/>
            </w:tcBorders>
            <w:noWrap/>
            <w:vAlign w:val="center"/>
          </w:tcPr>
          <w:p w14:paraId="4471450F">
            <w:pPr>
              <w:widowControl/>
              <w:spacing w:line="240" w:lineRule="auto"/>
              <w:ind w:firstLine="0" w:firstLineChars="0"/>
              <w:rPr>
                <w:rFonts w:hint="eastAsia" w:cs="宋体"/>
                <w:color w:val="000000"/>
                <w:kern w:val="0"/>
              </w:rPr>
            </w:pPr>
            <w:r>
              <w:rPr>
                <w:rFonts w:hint="eastAsia" w:cs="宋体"/>
                <w:color w:val="000000"/>
                <w:kern w:val="0"/>
              </w:rPr>
              <w:t>提供第三方监控平台，在出现重大异常情况时能及时通知网络设备放开网络。</w:t>
            </w:r>
          </w:p>
        </w:tc>
      </w:tr>
      <w:tr w14:paraId="6911599E">
        <w:tblPrEx>
          <w:tblCellMar>
            <w:top w:w="0" w:type="dxa"/>
            <w:left w:w="108" w:type="dxa"/>
            <w:bottom w:w="0" w:type="dxa"/>
            <w:right w:w="108" w:type="dxa"/>
          </w:tblCellMar>
        </w:tblPrEx>
        <w:trPr>
          <w:trHeight w:val="20" w:hRule="atLeast"/>
        </w:trPr>
        <w:tc>
          <w:tcPr>
            <w:tcW w:w="1555" w:type="dxa"/>
            <w:vMerge w:val="continue"/>
            <w:tcBorders>
              <w:left w:val="single" w:color="auto" w:sz="4" w:space="0"/>
              <w:bottom w:val="single" w:color="auto" w:sz="4" w:space="0"/>
              <w:right w:val="single" w:color="auto" w:sz="4" w:space="0"/>
            </w:tcBorders>
            <w:noWrap/>
            <w:vAlign w:val="center"/>
          </w:tcPr>
          <w:p w14:paraId="52B45931">
            <w:pPr>
              <w:widowControl/>
              <w:spacing w:line="240" w:lineRule="auto"/>
              <w:ind w:firstLine="0" w:firstLineChars="0"/>
              <w:jc w:val="left"/>
              <w:rPr>
                <w:rFonts w:hint="eastAsia" w:cs="宋体"/>
                <w:color w:val="000000"/>
                <w:kern w:val="0"/>
              </w:rPr>
            </w:pPr>
          </w:p>
        </w:tc>
        <w:tc>
          <w:tcPr>
            <w:tcW w:w="6741" w:type="dxa"/>
            <w:tcBorders>
              <w:top w:val="nil"/>
              <w:left w:val="nil"/>
              <w:bottom w:val="single" w:color="auto" w:sz="4" w:space="0"/>
              <w:right w:val="single" w:color="auto" w:sz="4" w:space="0"/>
            </w:tcBorders>
            <w:noWrap/>
            <w:vAlign w:val="center"/>
          </w:tcPr>
          <w:p w14:paraId="2C89BBA8">
            <w:pPr>
              <w:widowControl/>
              <w:spacing w:line="240" w:lineRule="auto"/>
              <w:ind w:firstLine="0" w:firstLineChars="0"/>
              <w:rPr>
                <w:rFonts w:hint="eastAsia" w:cs="宋体"/>
                <w:color w:val="000000"/>
                <w:kern w:val="0"/>
              </w:rPr>
            </w:pPr>
            <w:r>
              <w:rPr>
                <w:rFonts w:hint="eastAsia" w:cs="宋体"/>
                <w:color w:val="000000"/>
                <w:kern w:val="0"/>
              </w:rPr>
              <w:t>可定义离线设备阀值、在线用户的异常、核心服务的异常，进入自动逃生</w:t>
            </w:r>
          </w:p>
        </w:tc>
      </w:tr>
      <w:tr w14:paraId="50A95D16">
        <w:tblPrEx>
          <w:tblCellMar>
            <w:top w:w="0" w:type="dxa"/>
            <w:left w:w="108" w:type="dxa"/>
            <w:bottom w:w="0" w:type="dxa"/>
            <w:right w:w="108" w:type="dxa"/>
          </w:tblCellMar>
        </w:tblPrEx>
        <w:trPr>
          <w:trHeight w:val="20" w:hRule="atLeast"/>
        </w:trPr>
        <w:tc>
          <w:tcPr>
            <w:tcW w:w="1555" w:type="dxa"/>
            <w:tcBorders>
              <w:top w:val="nil"/>
              <w:left w:val="single" w:color="auto" w:sz="4" w:space="0"/>
              <w:bottom w:val="single" w:color="auto" w:sz="4" w:space="0"/>
              <w:right w:val="single" w:color="auto" w:sz="4" w:space="0"/>
            </w:tcBorders>
            <w:noWrap/>
            <w:vAlign w:val="center"/>
          </w:tcPr>
          <w:p w14:paraId="372C45FF">
            <w:pPr>
              <w:widowControl/>
              <w:spacing w:line="240" w:lineRule="auto"/>
              <w:ind w:firstLine="0" w:firstLineChars="0"/>
              <w:rPr>
                <w:rFonts w:hint="eastAsia" w:cs="宋体"/>
                <w:color w:val="000000"/>
                <w:kern w:val="0"/>
              </w:rPr>
            </w:pPr>
            <w:r>
              <w:rPr>
                <w:rFonts w:hint="eastAsia" w:cs="宋体"/>
                <w:color w:val="000000"/>
                <w:kern w:val="0"/>
              </w:rPr>
              <w:t>IPv6支持</w:t>
            </w:r>
          </w:p>
        </w:tc>
        <w:tc>
          <w:tcPr>
            <w:tcW w:w="6741" w:type="dxa"/>
            <w:tcBorders>
              <w:top w:val="nil"/>
              <w:left w:val="nil"/>
              <w:bottom w:val="single" w:color="auto" w:sz="4" w:space="0"/>
              <w:right w:val="single" w:color="auto" w:sz="4" w:space="0"/>
            </w:tcBorders>
            <w:noWrap/>
            <w:vAlign w:val="center"/>
          </w:tcPr>
          <w:p w14:paraId="199610F2">
            <w:pPr>
              <w:widowControl/>
              <w:spacing w:line="240" w:lineRule="auto"/>
              <w:ind w:firstLine="0" w:firstLineChars="0"/>
              <w:rPr>
                <w:rFonts w:hint="eastAsia" w:cs="宋体"/>
                <w:color w:val="000000"/>
                <w:kern w:val="0"/>
              </w:rPr>
            </w:pPr>
            <w:r>
              <w:rPr>
                <w:rFonts w:hint="eastAsia" w:cs="宋体"/>
                <w:color w:val="000000"/>
                <w:kern w:val="0"/>
              </w:rPr>
              <w:t>支持在IPv4和IPv6双栈环境下的终端准入控制。</w:t>
            </w:r>
          </w:p>
        </w:tc>
      </w:tr>
      <w:tr w14:paraId="6702867D">
        <w:trPr>
          <w:trHeight w:val="20" w:hRule="atLeast"/>
        </w:trPr>
        <w:tc>
          <w:tcPr>
            <w:tcW w:w="1555" w:type="dxa"/>
            <w:tcBorders>
              <w:top w:val="nil"/>
              <w:left w:val="single" w:color="auto" w:sz="4" w:space="0"/>
              <w:bottom w:val="single" w:color="auto" w:sz="4" w:space="0"/>
              <w:right w:val="single" w:color="auto" w:sz="4" w:space="0"/>
            </w:tcBorders>
            <w:noWrap/>
            <w:vAlign w:val="center"/>
          </w:tcPr>
          <w:p w14:paraId="686CA092">
            <w:pPr>
              <w:widowControl/>
              <w:spacing w:line="240" w:lineRule="auto"/>
              <w:ind w:firstLine="0" w:firstLineChars="0"/>
              <w:rPr>
                <w:rFonts w:hint="eastAsia" w:cs="宋体"/>
                <w:color w:val="000000"/>
                <w:kern w:val="0"/>
              </w:rPr>
            </w:pPr>
            <w:r>
              <w:rPr>
                <w:rFonts w:hint="eastAsia" w:cs="宋体"/>
                <w:color w:val="000000"/>
                <w:kern w:val="0"/>
              </w:rPr>
              <w:t>攻击威胁检测</w:t>
            </w:r>
          </w:p>
        </w:tc>
        <w:tc>
          <w:tcPr>
            <w:tcW w:w="6741" w:type="dxa"/>
            <w:tcBorders>
              <w:top w:val="nil"/>
              <w:left w:val="nil"/>
              <w:bottom w:val="single" w:color="auto" w:sz="4" w:space="0"/>
              <w:right w:val="single" w:color="auto" w:sz="4" w:space="0"/>
            </w:tcBorders>
            <w:noWrap/>
            <w:vAlign w:val="center"/>
          </w:tcPr>
          <w:p w14:paraId="53C94C2E">
            <w:pPr>
              <w:widowControl/>
              <w:spacing w:line="240" w:lineRule="auto"/>
              <w:ind w:firstLine="0" w:firstLineChars="0"/>
              <w:rPr>
                <w:rFonts w:hint="eastAsia" w:cs="宋体"/>
                <w:color w:val="000000"/>
                <w:kern w:val="0"/>
              </w:rPr>
            </w:pPr>
            <w:r>
              <w:rPr>
                <w:rFonts w:hint="eastAsia" w:cs="宋体"/>
                <w:b/>
                <w:bCs/>
                <w:color w:val="000000" w:themeColor="text1"/>
                <w:kern w:val="0"/>
                <w14:textFill>
                  <w14:solidFill>
                    <w14:schemeClr w14:val="tx1"/>
                  </w14:solidFill>
                </w14:textFill>
              </w:rPr>
              <w:t>▲</w:t>
            </w:r>
            <w:r>
              <w:rPr>
                <w:rFonts w:hint="eastAsia" w:cs="宋体"/>
                <w:color w:val="000000"/>
                <w:kern w:val="0"/>
              </w:rPr>
              <w:t>支持对网络攻击行为，如Smurf入侵、LAND攻击、WINNUK攻击等，支持对攻击行为的发现和告警。（（需提供有效证明材料，包括但不限于加盖公章的技术白皮书、加盖公章的产品官网截图、产品功能截图、产品界面截图、国家权威机构出具的检测报告等））</w:t>
            </w:r>
          </w:p>
        </w:tc>
      </w:tr>
      <w:tr w14:paraId="03DEFC1A">
        <w:tblPrEx>
          <w:tblCellMar>
            <w:top w:w="0" w:type="dxa"/>
            <w:left w:w="108" w:type="dxa"/>
            <w:bottom w:w="0" w:type="dxa"/>
            <w:right w:w="108" w:type="dxa"/>
          </w:tblCellMar>
        </w:tblPrEx>
        <w:trPr>
          <w:trHeight w:val="20" w:hRule="atLeast"/>
        </w:trPr>
        <w:tc>
          <w:tcPr>
            <w:tcW w:w="1555" w:type="dxa"/>
            <w:tcBorders>
              <w:top w:val="nil"/>
              <w:left w:val="single" w:color="auto" w:sz="4" w:space="0"/>
              <w:bottom w:val="single" w:color="auto" w:sz="4" w:space="0"/>
              <w:right w:val="single" w:color="auto" w:sz="4" w:space="0"/>
            </w:tcBorders>
            <w:noWrap/>
            <w:vAlign w:val="center"/>
          </w:tcPr>
          <w:p w14:paraId="72573E5A">
            <w:pPr>
              <w:widowControl/>
              <w:spacing w:line="240" w:lineRule="auto"/>
              <w:ind w:firstLine="0" w:firstLineChars="0"/>
              <w:rPr>
                <w:rFonts w:hint="eastAsia" w:cs="宋体"/>
                <w:color w:val="000000"/>
                <w:kern w:val="0"/>
              </w:rPr>
            </w:pPr>
            <w:r>
              <w:rPr>
                <w:rFonts w:hint="eastAsia" w:cs="宋体"/>
                <w:color w:val="000000"/>
                <w:kern w:val="0"/>
              </w:rPr>
              <w:t>准入技术</w:t>
            </w:r>
          </w:p>
        </w:tc>
        <w:tc>
          <w:tcPr>
            <w:tcW w:w="6741" w:type="dxa"/>
            <w:tcBorders>
              <w:top w:val="nil"/>
              <w:left w:val="nil"/>
              <w:bottom w:val="single" w:color="auto" w:sz="4" w:space="0"/>
              <w:right w:val="single" w:color="auto" w:sz="4" w:space="0"/>
            </w:tcBorders>
            <w:noWrap/>
            <w:vAlign w:val="center"/>
          </w:tcPr>
          <w:p w14:paraId="5DC52AA2">
            <w:pPr>
              <w:widowControl/>
              <w:spacing w:line="240" w:lineRule="auto"/>
              <w:ind w:firstLine="0" w:firstLineChars="0"/>
              <w:rPr>
                <w:rFonts w:hint="eastAsia" w:cs="宋体"/>
                <w:color w:val="000000"/>
                <w:kern w:val="0"/>
              </w:rPr>
            </w:pPr>
            <w:r>
              <w:rPr>
                <w:rFonts w:hint="eastAsia" w:cs="宋体"/>
                <w:color w:val="000000"/>
                <w:kern w:val="0"/>
              </w:rPr>
              <w:t>支持多种准入控制技术（802.1X、EVG、DHCP、ARP、SNMP、端口镜像、策略路由、透明网桥），并10、且支持至少四种以上准入技术的复用，如802.1x、DHCP、端口镜像、策略路由混合部署。</w:t>
            </w:r>
          </w:p>
        </w:tc>
      </w:tr>
      <w:tr w14:paraId="31058F90">
        <w:tblPrEx>
          <w:tblCellMar>
            <w:top w:w="0" w:type="dxa"/>
            <w:left w:w="108" w:type="dxa"/>
            <w:bottom w:w="0" w:type="dxa"/>
            <w:right w:w="108" w:type="dxa"/>
          </w:tblCellMar>
        </w:tblPrEx>
        <w:trPr>
          <w:trHeight w:val="20" w:hRule="atLeast"/>
        </w:trPr>
        <w:tc>
          <w:tcPr>
            <w:tcW w:w="1555" w:type="dxa"/>
            <w:tcBorders>
              <w:top w:val="nil"/>
              <w:left w:val="single" w:color="auto" w:sz="4" w:space="0"/>
              <w:bottom w:val="single" w:color="auto" w:sz="4" w:space="0"/>
              <w:right w:val="single" w:color="auto" w:sz="4" w:space="0"/>
            </w:tcBorders>
            <w:noWrap/>
            <w:vAlign w:val="center"/>
          </w:tcPr>
          <w:p w14:paraId="32ECF27C">
            <w:pPr>
              <w:widowControl/>
              <w:spacing w:line="240" w:lineRule="auto"/>
              <w:ind w:firstLine="0" w:firstLineChars="0"/>
              <w:rPr>
                <w:rFonts w:hint="eastAsia" w:cs="宋体"/>
                <w:color w:val="000000"/>
                <w:kern w:val="0"/>
              </w:rPr>
            </w:pPr>
            <w:r>
              <w:rPr>
                <w:rFonts w:hint="eastAsia" w:cs="宋体"/>
                <w:color w:val="000000"/>
                <w:kern w:val="0"/>
              </w:rPr>
              <w:t>资产管理</w:t>
            </w:r>
          </w:p>
        </w:tc>
        <w:tc>
          <w:tcPr>
            <w:tcW w:w="6741" w:type="dxa"/>
            <w:tcBorders>
              <w:top w:val="nil"/>
              <w:left w:val="nil"/>
              <w:bottom w:val="single" w:color="auto" w:sz="4" w:space="0"/>
              <w:right w:val="single" w:color="auto" w:sz="4" w:space="0"/>
            </w:tcBorders>
            <w:noWrap/>
            <w:vAlign w:val="center"/>
          </w:tcPr>
          <w:p w14:paraId="00B887AB">
            <w:pPr>
              <w:widowControl/>
              <w:spacing w:line="240" w:lineRule="auto"/>
              <w:ind w:firstLine="0" w:firstLineChars="0"/>
              <w:rPr>
                <w:rFonts w:hint="eastAsia" w:cs="宋体"/>
                <w:color w:val="000000"/>
                <w:kern w:val="0"/>
              </w:rPr>
            </w:pPr>
            <w:r>
              <w:rPr>
                <w:rFonts w:hint="eastAsia" w:cs="宋体"/>
                <w:color w:val="000000"/>
                <w:kern w:val="0"/>
              </w:rPr>
              <w:t>支持网络资产自动采集功能，并能够自动分类网络中的接入设备，如交换路由设备、PC设备、服务器、IP电话、网络打印机等，同时能够及时发现网络中出现的新设备，对外来终端的接入行为进行告警</w:t>
            </w:r>
          </w:p>
        </w:tc>
      </w:tr>
      <w:tr w14:paraId="5A7C3154">
        <w:tblPrEx>
          <w:tblCellMar>
            <w:top w:w="0" w:type="dxa"/>
            <w:left w:w="108" w:type="dxa"/>
            <w:bottom w:w="0" w:type="dxa"/>
            <w:right w:w="108" w:type="dxa"/>
          </w:tblCellMar>
        </w:tblPrEx>
        <w:trPr>
          <w:trHeight w:val="20" w:hRule="atLeast"/>
        </w:trPr>
        <w:tc>
          <w:tcPr>
            <w:tcW w:w="1555" w:type="dxa"/>
            <w:tcBorders>
              <w:top w:val="nil"/>
              <w:left w:val="single" w:color="auto" w:sz="4" w:space="0"/>
              <w:bottom w:val="single" w:color="auto" w:sz="4" w:space="0"/>
              <w:right w:val="single" w:color="auto" w:sz="4" w:space="0"/>
            </w:tcBorders>
            <w:noWrap/>
            <w:vAlign w:val="center"/>
          </w:tcPr>
          <w:p w14:paraId="353E6C8F">
            <w:pPr>
              <w:widowControl/>
              <w:spacing w:line="240" w:lineRule="auto"/>
              <w:ind w:firstLine="0" w:firstLineChars="0"/>
              <w:rPr>
                <w:rFonts w:hint="eastAsia" w:cs="宋体"/>
                <w:color w:val="000000"/>
                <w:kern w:val="0"/>
              </w:rPr>
            </w:pPr>
            <w:r>
              <w:rPr>
                <w:rFonts w:hint="eastAsia" w:cs="宋体"/>
                <w:color w:val="000000"/>
                <w:kern w:val="0"/>
              </w:rPr>
              <w:t>边界设备管控</w:t>
            </w:r>
          </w:p>
        </w:tc>
        <w:tc>
          <w:tcPr>
            <w:tcW w:w="6741" w:type="dxa"/>
            <w:tcBorders>
              <w:top w:val="nil"/>
              <w:left w:val="nil"/>
              <w:bottom w:val="single" w:color="auto" w:sz="4" w:space="0"/>
              <w:right w:val="single" w:color="auto" w:sz="4" w:space="0"/>
            </w:tcBorders>
            <w:noWrap/>
            <w:vAlign w:val="center"/>
          </w:tcPr>
          <w:p w14:paraId="217D673A">
            <w:pPr>
              <w:widowControl/>
              <w:spacing w:line="240" w:lineRule="auto"/>
              <w:ind w:firstLine="0" w:firstLineChars="0"/>
              <w:rPr>
                <w:rFonts w:hint="eastAsia" w:cs="宋体"/>
                <w:color w:val="000000"/>
                <w:kern w:val="0"/>
              </w:rPr>
            </w:pPr>
            <w:r>
              <w:rPr>
                <w:rFonts w:hint="eastAsia" w:cs="宋体"/>
                <w:color w:val="000000"/>
                <w:kern w:val="0"/>
              </w:rPr>
              <w:t>支持网络内部NAT设备探测发现、告警、阻断，并可以针对NAT设备下接终端进行准入控制，可设为可信、隔离、禁用端口操作。支持发现内网私接hub、非网管交换机等，能够及时产生告警并阻断接入设备入网；支持Hub下多个终端需分别认证才能入网。</w:t>
            </w:r>
          </w:p>
        </w:tc>
      </w:tr>
      <w:tr w14:paraId="6EB8E5DF">
        <w:tblPrEx>
          <w:tblCellMar>
            <w:top w:w="0" w:type="dxa"/>
            <w:left w:w="108" w:type="dxa"/>
            <w:bottom w:w="0" w:type="dxa"/>
            <w:right w:w="108" w:type="dxa"/>
          </w:tblCellMar>
        </w:tblPrEx>
        <w:trPr>
          <w:trHeight w:val="20" w:hRule="atLeast"/>
        </w:trPr>
        <w:tc>
          <w:tcPr>
            <w:tcW w:w="1555" w:type="dxa"/>
            <w:tcBorders>
              <w:top w:val="nil"/>
              <w:left w:val="single" w:color="auto" w:sz="4" w:space="0"/>
              <w:bottom w:val="single" w:color="auto" w:sz="4" w:space="0"/>
              <w:right w:val="single" w:color="auto" w:sz="4" w:space="0"/>
            </w:tcBorders>
            <w:noWrap/>
            <w:vAlign w:val="center"/>
          </w:tcPr>
          <w:p w14:paraId="687C1399">
            <w:pPr>
              <w:widowControl/>
              <w:spacing w:line="240" w:lineRule="auto"/>
              <w:ind w:firstLine="0" w:firstLineChars="0"/>
              <w:rPr>
                <w:rFonts w:hint="eastAsia" w:cs="宋体"/>
                <w:color w:val="000000"/>
                <w:kern w:val="0"/>
              </w:rPr>
            </w:pPr>
            <w:r>
              <w:rPr>
                <w:rFonts w:hint="eastAsia" w:cs="宋体"/>
                <w:color w:val="000000"/>
                <w:kern w:val="0"/>
              </w:rPr>
              <w:t xml:space="preserve">一机多网管控 </w:t>
            </w:r>
          </w:p>
        </w:tc>
        <w:tc>
          <w:tcPr>
            <w:tcW w:w="6741" w:type="dxa"/>
            <w:tcBorders>
              <w:top w:val="nil"/>
              <w:left w:val="nil"/>
              <w:bottom w:val="single" w:color="auto" w:sz="4" w:space="0"/>
              <w:right w:val="single" w:color="auto" w:sz="4" w:space="0"/>
            </w:tcBorders>
            <w:noWrap/>
            <w:vAlign w:val="center"/>
          </w:tcPr>
          <w:p w14:paraId="4B47E2CE">
            <w:pPr>
              <w:widowControl/>
              <w:spacing w:line="240" w:lineRule="auto"/>
              <w:ind w:firstLine="0" w:firstLineChars="0"/>
              <w:rPr>
                <w:rFonts w:hint="eastAsia" w:cs="宋体"/>
                <w:color w:val="000000"/>
                <w:kern w:val="0"/>
              </w:rPr>
            </w:pPr>
            <w:r>
              <w:rPr>
                <w:rFonts w:hint="eastAsia" w:cs="宋体"/>
                <w:color w:val="000000"/>
                <w:kern w:val="0"/>
              </w:rPr>
              <w:t>支持一机多网管控，根据终端所访问的目标地址，自动判断所属安全域，无需安装客户端，即可实现对目标网络的访问控制规则，在同一时间，只能访问一个网络，实现多网互斥访问。</w:t>
            </w:r>
          </w:p>
        </w:tc>
      </w:tr>
      <w:tr w14:paraId="7D32525D">
        <w:tblPrEx>
          <w:tblCellMar>
            <w:top w:w="0" w:type="dxa"/>
            <w:left w:w="108" w:type="dxa"/>
            <w:bottom w:w="0" w:type="dxa"/>
            <w:right w:w="108" w:type="dxa"/>
          </w:tblCellMar>
        </w:tblPrEx>
        <w:trPr>
          <w:trHeight w:val="20" w:hRule="atLeast"/>
        </w:trPr>
        <w:tc>
          <w:tcPr>
            <w:tcW w:w="1555" w:type="dxa"/>
            <w:tcBorders>
              <w:top w:val="nil"/>
              <w:left w:val="single" w:color="auto" w:sz="4" w:space="0"/>
              <w:bottom w:val="single" w:color="auto" w:sz="4" w:space="0"/>
              <w:right w:val="single" w:color="auto" w:sz="4" w:space="0"/>
            </w:tcBorders>
            <w:noWrap/>
            <w:vAlign w:val="center"/>
          </w:tcPr>
          <w:p w14:paraId="4D750D7D">
            <w:pPr>
              <w:widowControl/>
              <w:spacing w:line="240" w:lineRule="auto"/>
              <w:ind w:firstLine="0" w:firstLineChars="0"/>
              <w:rPr>
                <w:rFonts w:hint="eastAsia" w:cs="宋体"/>
                <w:color w:val="000000"/>
                <w:kern w:val="0"/>
              </w:rPr>
            </w:pPr>
            <w:r>
              <w:rPr>
                <w:rFonts w:hint="eastAsia" w:cs="宋体"/>
                <w:color w:val="000000"/>
                <w:kern w:val="0"/>
              </w:rPr>
              <w:t>动态安全域</w:t>
            </w:r>
          </w:p>
        </w:tc>
        <w:tc>
          <w:tcPr>
            <w:tcW w:w="6741" w:type="dxa"/>
            <w:tcBorders>
              <w:top w:val="nil"/>
              <w:left w:val="nil"/>
              <w:bottom w:val="single" w:color="auto" w:sz="4" w:space="0"/>
              <w:right w:val="single" w:color="auto" w:sz="4" w:space="0"/>
            </w:tcBorders>
            <w:noWrap/>
            <w:vAlign w:val="center"/>
          </w:tcPr>
          <w:p w14:paraId="0E6492DA">
            <w:pPr>
              <w:widowControl/>
              <w:spacing w:line="240" w:lineRule="auto"/>
              <w:ind w:firstLine="0" w:firstLineChars="0"/>
              <w:rPr>
                <w:rFonts w:hint="eastAsia" w:cs="宋体"/>
                <w:color w:val="000000"/>
                <w:kern w:val="0"/>
              </w:rPr>
            </w:pPr>
            <w:r>
              <w:rPr>
                <w:rFonts w:hint="eastAsia" w:cs="宋体"/>
                <w:color w:val="000000"/>
                <w:kern w:val="0"/>
              </w:rPr>
              <w:t>支持对终端的安全状态动态调整安全域的访问控制规则，如认证通过，安检未通过终端，只以访问OA业务系统，只有认证和安检全部通过后，才可以访问所有业务系统。</w:t>
            </w:r>
          </w:p>
        </w:tc>
      </w:tr>
      <w:tr w14:paraId="34355724">
        <w:tblPrEx>
          <w:tblCellMar>
            <w:top w:w="0" w:type="dxa"/>
            <w:left w:w="108" w:type="dxa"/>
            <w:bottom w:w="0" w:type="dxa"/>
            <w:right w:w="108" w:type="dxa"/>
          </w:tblCellMar>
        </w:tblPrEx>
        <w:trPr>
          <w:trHeight w:val="20" w:hRule="atLeast"/>
        </w:trPr>
        <w:tc>
          <w:tcPr>
            <w:tcW w:w="1555" w:type="dxa"/>
            <w:vMerge w:val="restart"/>
            <w:tcBorders>
              <w:top w:val="nil"/>
              <w:left w:val="single" w:color="auto" w:sz="4" w:space="0"/>
              <w:right w:val="single" w:color="auto" w:sz="4" w:space="0"/>
            </w:tcBorders>
            <w:noWrap/>
            <w:vAlign w:val="center"/>
          </w:tcPr>
          <w:p w14:paraId="4BB6E1DC">
            <w:pPr>
              <w:widowControl/>
              <w:spacing w:line="240" w:lineRule="auto"/>
              <w:ind w:firstLine="0" w:firstLineChars="0"/>
              <w:rPr>
                <w:rFonts w:hint="eastAsia" w:cs="宋体"/>
                <w:color w:val="000000"/>
                <w:kern w:val="0"/>
              </w:rPr>
            </w:pPr>
            <w:r>
              <w:rPr>
                <w:rFonts w:hint="eastAsia" w:cs="宋体"/>
                <w:color w:val="000000"/>
                <w:kern w:val="0"/>
              </w:rPr>
              <w:t>身份认证</w:t>
            </w:r>
          </w:p>
        </w:tc>
        <w:tc>
          <w:tcPr>
            <w:tcW w:w="6741" w:type="dxa"/>
            <w:tcBorders>
              <w:top w:val="nil"/>
              <w:left w:val="nil"/>
              <w:bottom w:val="single" w:color="auto" w:sz="4" w:space="0"/>
              <w:right w:val="single" w:color="auto" w:sz="4" w:space="0"/>
            </w:tcBorders>
            <w:noWrap/>
            <w:vAlign w:val="center"/>
          </w:tcPr>
          <w:p w14:paraId="60EE4B01">
            <w:pPr>
              <w:widowControl/>
              <w:spacing w:line="240" w:lineRule="auto"/>
              <w:ind w:firstLine="0" w:firstLineChars="0"/>
              <w:rPr>
                <w:rFonts w:hint="eastAsia" w:cs="宋体"/>
                <w:color w:val="000000"/>
                <w:kern w:val="0"/>
              </w:rPr>
            </w:pPr>
            <w:r>
              <w:rPr>
                <w:rFonts w:hint="eastAsia" w:cs="宋体"/>
                <w:color w:val="000000"/>
                <w:kern w:val="0"/>
              </w:rPr>
              <w:t>支持系统内置账号认证、Radius认证、AD域账号认证、LDAP账号认证、证书认证、短信认证、OAuth认证、动态令牌认证等多种身份认证方式，并且支持多种认证方式组合使用。支持证书本地管理和发放，实现数字证书的签发、审核、验证、吊销等全生命周期管理和维护。</w:t>
            </w:r>
          </w:p>
        </w:tc>
      </w:tr>
      <w:tr w14:paraId="7A949A53">
        <w:tblPrEx>
          <w:tblCellMar>
            <w:top w:w="0" w:type="dxa"/>
            <w:left w:w="108" w:type="dxa"/>
            <w:bottom w:w="0" w:type="dxa"/>
            <w:right w:w="108" w:type="dxa"/>
          </w:tblCellMar>
        </w:tblPrEx>
        <w:trPr>
          <w:trHeight w:val="20" w:hRule="atLeast"/>
        </w:trPr>
        <w:tc>
          <w:tcPr>
            <w:tcW w:w="1555" w:type="dxa"/>
            <w:vMerge w:val="continue"/>
            <w:tcBorders>
              <w:left w:val="single" w:color="auto" w:sz="4" w:space="0"/>
              <w:bottom w:val="single" w:color="auto" w:sz="4" w:space="0"/>
              <w:right w:val="single" w:color="auto" w:sz="4" w:space="0"/>
            </w:tcBorders>
            <w:noWrap/>
            <w:vAlign w:val="center"/>
          </w:tcPr>
          <w:p w14:paraId="6E1661F6">
            <w:pPr>
              <w:widowControl/>
              <w:spacing w:line="240" w:lineRule="auto"/>
              <w:ind w:firstLine="0" w:firstLineChars="0"/>
              <w:jc w:val="left"/>
              <w:rPr>
                <w:rFonts w:hint="eastAsia" w:cs="宋体"/>
                <w:color w:val="000000"/>
                <w:kern w:val="0"/>
              </w:rPr>
            </w:pPr>
          </w:p>
        </w:tc>
        <w:tc>
          <w:tcPr>
            <w:tcW w:w="6741" w:type="dxa"/>
            <w:tcBorders>
              <w:top w:val="nil"/>
              <w:left w:val="nil"/>
              <w:bottom w:val="single" w:color="auto" w:sz="4" w:space="0"/>
              <w:right w:val="single" w:color="auto" w:sz="4" w:space="0"/>
            </w:tcBorders>
            <w:noWrap/>
            <w:vAlign w:val="center"/>
          </w:tcPr>
          <w:p w14:paraId="6EEEE245">
            <w:pPr>
              <w:widowControl/>
              <w:spacing w:line="240" w:lineRule="auto"/>
              <w:ind w:firstLine="0" w:firstLineChars="0"/>
              <w:rPr>
                <w:rFonts w:hint="eastAsia" w:cs="宋体"/>
                <w:color w:val="000000"/>
                <w:kern w:val="0"/>
              </w:rPr>
            </w:pPr>
            <w:r>
              <w:rPr>
                <w:rFonts w:hint="eastAsia" w:cs="宋体"/>
                <w:color w:val="000000"/>
                <w:kern w:val="0"/>
              </w:rPr>
              <w:t>支持B/S认证模式和C/S认证模式。</w:t>
            </w:r>
          </w:p>
        </w:tc>
      </w:tr>
      <w:tr w14:paraId="2AE54346">
        <w:tblPrEx>
          <w:tblCellMar>
            <w:top w:w="0" w:type="dxa"/>
            <w:left w:w="108" w:type="dxa"/>
            <w:bottom w:w="0" w:type="dxa"/>
            <w:right w:w="108" w:type="dxa"/>
          </w:tblCellMar>
        </w:tblPrEx>
        <w:trPr>
          <w:trHeight w:val="20" w:hRule="atLeast"/>
        </w:trPr>
        <w:tc>
          <w:tcPr>
            <w:tcW w:w="1555" w:type="dxa"/>
            <w:tcBorders>
              <w:top w:val="nil"/>
              <w:left w:val="single" w:color="auto" w:sz="4" w:space="0"/>
              <w:bottom w:val="single" w:color="auto" w:sz="4" w:space="0"/>
              <w:right w:val="single" w:color="auto" w:sz="4" w:space="0"/>
            </w:tcBorders>
            <w:noWrap/>
            <w:vAlign w:val="center"/>
          </w:tcPr>
          <w:p w14:paraId="12839EF7">
            <w:pPr>
              <w:widowControl/>
              <w:spacing w:line="240" w:lineRule="auto"/>
              <w:ind w:firstLine="0" w:firstLineChars="0"/>
              <w:rPr>
                <w:rFonts w:hint="eastAsia" w:cs="宋体"/>
                <w:color w:val="000000"/>
                <w:kern w:val="0"/>
              </w:rPr>
            </w:pPr>
            <w:r>
              <w:rPr>
                <w:rFonts w:hint="eastAsia" w:cs="宋体"/>
                <w:color w:val="000000"/>
                <w:kern w:val="0"/>
              </w:rPr>
              <w:t>产品资质</w:t>
            </w:r>
          </w:p>
        </w:tc>
        <w:tc>
          <w:tcPr>
            <w:tcW w:w="6741" w:type="dxa"/>
            <w:tcBorders>
              <w:top w:val="nil"/>
              <w:left w:val="nil"/>
              <w:bottom w:val="single" w:color="auto" w:sz="4" w:space="0"/>
              <w:right w:val="single" w:color="auto" w:sz="4" w:space="0"/>
            </w:tcBorders>
            <w:noWrap/>
            <w:vAlign w:val="center"/>
          </w:tcPr>
          <w:p w14:paraId="44DB0186">
            <w:pPr>
              <w:widowControl/>
              <w:spacing w:line="240" w:lineRule="auto"/>
              <w:ind w:firstLine="0" w:firstLineChars="0"/>
              <w:rPr>
                <w:rFonts w:hint="eastAsia" w:cs="宋体"/>
                <w:color w:val="000000"/>
                <w:kern w:val="0"/>
              </w:rPr>
            </w:pPr>
            <w:r>
              <w:rPr>
                <w:rFonts w:hint="eastAsia" w:cs="宋体"/>
                <w:color w:val="000000"/>
                <w:kern w:val="0"/>
              </w:rPr>
              <w:t>需提供销售许可证或网专证书</w:t>
            </w:r>
          </w:p>
        </w:tc>
      </w:tr>
    </w:tbl>
    <w:p w14:paraId="1CDAD75A">
      <w:pPr>
        <w:rPr>
          <w:rFonts w:hint="eastAsia" w:cs="宋体"/>
        </w:rPr>
      </w:pPr>
    </w:p>
    <w:p w14:paraId="731D47B8">
      <w:pPr>
        <w:pStyle w:val="5"/>
        <w:ind w:left="960"/>
        <w:rPr>
          <w:rFonts w:cs="宋体"/>
        </w:rPr>
      </w:pPr>
      <w:r>
        <w:rPr>
          <w:rFonts w:hint="eastAsia" w:cs="宋体"/>
        </w:rPr>
        <w:t>终端防护系统</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7111"/>
      </w:tblGrid>
      <w:tr w14:paraId="1B1E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31" w:type="pct"/>
            <w:shd w:val="clear" w:color="auto" w:fill="BEBEBE" w:themeFill="background1" w:themeFillShade="BF"/>
            <w:vAlign w:val="center"/>
          </w:tcPr>
          <w:p w14:paraId="7D1CBCEF">
            <w:pPr>
              <w:spacing w:line="240" w:lineRule="auto"/>
              <w:ind w:firstLine="0" w:firstLineChars="0"/>
              <w:jc w:val="center"/>
              <w:rPr>
                <w:rFonts w:cs="宋体"/>
                <w:b/>
                <w:bCs/>
                <w:kern w:val="0"/>
              </w:rPr>
            </w:pPr>
            <w:r>
              <w:rPr>
                <w:rFonts w:hint="eastAsia" w:cs="宋体"/>
                <w:b/>
                <w:bCs/>
                <w:kern w:val="0"/>
              </w:rPr>
              <w:t>指标项</w:t>
            </w:r>
          </w:p>
        </w:tc>
        <w:tc>
          <w:tcPr>
            <w:tcW w:w="4169" w:type="pct"/>
            <w:shd w:val="clear" w:color="auto" w:fill="BEBEBE" w:themeFill="background1" w:themeFillShade="BF"/>
            <w:vAlign w:val="center"/>
          </w:tcPr>
          <w:p w14:paraId="04D207B9">
            <w:pPr>
              <w:spacing w:line="240" w:lineRule="auto"/>
              <w:ind w:firstLine="0" w:firstLineChars="0"/>
              <w:jc w:val="center"/>
              <w:rPr>
                <w:rFonts w:cs="宋体"/>
                <w:b/>
                <w:bCs/>
                <w:kern w:val="0"/>
              </w:rPr>
            </w:pPr>
            <w:r>
              <w:rPr>
                <w:rFonts w:hint="eastAsia" w:cs="宋体"/>
                <w:b/>
                <w:bCs/>
                <w:kern w:val="0"/>
              </w:rPr>
              <w:t>技术参数</w:t>
            </w:r>
          </w:p>
        </w:tc>
      </w:tr>
      <w:tr w14:paraId="1BFA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Align w:val="center"/>
          </w:tcPr>
          <w:p w14:paraId="5C2D417C">
            <w:pPr>
              <w:widowControl/>
              <w:spacing w:line="240" w:lineRule="auto"/>
              <w:ind w:firstLine="0" w:firstLineChars="0"/>
              <w:jc w:val="center"/>
              <w:rPr>
                <w:rFonts w:cs="宋体"/>
                <w:bCs/>
                <w:color w:val="000000"/>
                <w:kern w:val="0"/>
              </w:rPr>
            </w:pPr>
            <w:r>
              <w:rPr>
                <w:rFonts w:hint="eastAsia" w:cs="宋体"/>
                <w:bCs/>
                <w:color w:val="000000"/>
                <w:kern w:val="0"/>
                <w:lang w:eastAsia="zh-Hans"/>
              </w:rPr>
              <w:t>产品资质</w:t>
            </w:r>
          </w:p>
        </w:tc>
        <w:tc>
          <w:tcPr>
            <w:tcW w:w="4169" w:type="pct"/>
            <w:vAlign w:val="center"/>
          </w:tcPr>
          <w:p w14:paraId="6ECBD9B8">
            <w:pPr>
              <w:widowControl/>
              <w:spacing w:line="240" w:lineRule="auto"/>
              <w:ind w:firstLine="0" w:firstLineChars="0"/>
              <w:jc w:val="left"/>
              <w:rPr>
                <w:rFonts w:cs="宋体"/>
                <w:color w:val="353535"/>
                <w:kern w:val="0"/>
              </w:rPr>
            </w:pPr>
            <w:r>
              <w:rPr>
                <w:rFonts w:hint="eastAsia" w:cs="宋体"/>
                <w:color w:val="353535"/>
                <w:kern w:val="0"/>
                <w:lang w:eastAsia="zh-CN"/>
              </w:rPr>
              <w:t>所提供的</w:t>
            </w:r>
            <w:r>
              <w:rPr>
                <w:rFonts w:hint="eastAsia" w:cs="宋体"/>
                <w:color w:val="353535"/>
                <w:kern w:val="0"/>
              </w:rPr>
              <w:t>需具备软件著作权证书。</w:t>
            </w:r>
          </w:p>
        </w:tc>
      </w:tr>
      <w:tr w14:paraId="24C6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Align w:val="center"/>
          </w:tcPr>
          <w:p w14:paraId="505A8CBF">
            <w:pPr>
              <w:widowControl/>
              <w:spacing w:line="240" w:lineRule="auto"/>
              <w:ind w:firstLine="0" w:firstLineChars="0"/>
              <w:jc w:val="center"/>
              <w:rPr>
                <w:rFonts w:cs="宋体"/>
                <w:bCs/>
                <w:color w:val="000000"/>
                <w:kern w:val="0"/>
              </w:rPr>
            </w:pPr>
            <w:r>
              <w:rPr>
                <w:rFonts w:hint="eastAsia" w:cs="宋体"/>
                <w:bCs/>
                <w:color w:val="000000"/>
                <w:kern w:val="0"/>
              </w:rPr>
              <w:t>性能要求</w:t>
            </w:r>
          </w:p>
        </w:tc>
        <w:tc>
          <w:tcPr>
            <w:tcW w:w="4169" w:type="pct"/>
            <w:vAlign w:val="center"/>
          </w:tcPr>
          <w:p w14:paraId="0ADFAA12">
            <w:pPr>
              <w:widowControl/>
              <w:spacing w:line="240" w:lineRule="auto"/>
              <w:ind w:firstLine="0" w:firstLineChars="0"/>
              <w:jc w:val="left"/>
              <w:rPr>
                <w:rFonts w:cs="宋体"/>
                <w:color w:val="353535"/>
                <w:kern w:val="0"/>
              </w:rPr>
            </w:pPr>
            <w:r>
              <w:rPr>
                <w:rFonts w:hint="eastAsia" w:cs="宋体"/>
                <w:color w:val="353535"/>
                <w:kern w:val="0"/>
              </w:rPr>
              <w:t>支持国产化终端系统，包含500个终端授权许可、5个服务器授权许可。质保期3年。</w:t>
            </w:r>
          </w:p>
        </w:tc>
      </w:tr>
      <w:tr w14:paraId="5C05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1" w:type="pct"/>
            <w:vAlign w:val="center"/>
          </w:tcPr>
          <w:p w14:paraId="2AE990F6">
            <w:pPr>
              <w:spacing w:line="240" w:lineRule="auto"/>
              <w:ind w:firstLine="0" w:firstLineChars="0"/>
              <w:jc w:val="center"/>
              <w:rPr>
                <w:rFonts w:cs="宋体"/>
                <w:kern w:val="0"/>
              </w:rPr>
            </w:pPr>
            <w:r>
              <w:rPr>
                <w:rFonts w:hint="eastAsia" w:cs="宋体"/>
                <w:kern w:val="0"/>
              </w:rPr>
              <w:t>弹窗防护</w:t>
            </w:r>
          </w:p>
        </w:tc>
        <w:tc>
          <w:tcPr>
            <w:tcW w:w="4169" w:type="pct"/>
            <w:vAlign w:val="center"/>
          </w:tcPr>
          <w:p w14:paraId="12442C96">
            <w:pPr>
              <w:spacing w:line="240" w:lineRule="auto"/>
              <w:ind w:firstLine="0" w:firstLineChars="0"/>
              <w:jc w:val="left"/>
              <w:rPr>
                <w:rFonts w:cs="宋体"/>
                <w:kern w:val="0"/>
              </w:rPr>
            </w:pPr>
            <w:r>
              <w:rPr>
                <w:rFonts w:hint="eastAsia" w:cs="宋体"/>
                <w:kern w:val="0"/>
              </w:rPr>
              <w:t>支持自动识别并拦截终端上的广告弹窗，覆盖输入法、压缩类、杀毒软件、视频播放、浏览器、游戏助手、模拟器、装机下载、桌面管理、办公学习、聊天通讯、图片编辑、网络工具等 15 大类软件、100+ 款软件，500+ 种广告弹窗。支持弹窗防护时，强制停止弹窗进程。支持用户自定义配置弹窗防护白名单，支持配置的内容包括但不限于应用名称、进程路径、窗口名称、窗口类名等。支持用户自定义配置弹窗防护规则，支持配置的内容包括但不限于应用名称、进程路径、窗口名称、窗口类名等。</w:t>
            </w:r>
          </w:p>
        </w:tc>
      </w:tr>
      <w:tr w14:paraId="0724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Align w:val="center"/>
          </w:tcPr>
          <w:p w14:paraId="7A61DE82">
            <w:pPr>
              <w:spacing w:line="240" w:lineRule="auto"/>
              <w:ind w:firstLine="0" w:firstLineChars="0"/>
              <w:jc w:val="center"/>
              <w:rPr>
                <w:rFonts w:cs="宋体"/>
                <w:kern w:val="0"/>
              </w:rPr>
            </w:pPr>
            <w:r>
              <w:rPr>
                <w:rFonts w:hint="eastAsia" w:cs="宋体"/>
                <w:kern w:val="0"/>
              </w:rPr>
              <w:t>移动存储管理</w:t>
            </w:r>
          </w:p>
        </w:tc>
        <w:tc>
          <w:tcPr>
            <w:tcW w:w="4169" w:type="pct"/>
            <w:vAlign w:val="center"/>
          </w:tcPr>
          <w:p w14:paraId="6230C0B8">
            <w:pPr>
              <w:spacing w:line="240" w:lineRule="auto"/>
              <w:ind w:firstLine="0" w:firstLineChars="0"/>
              <w:jc w:val="left"/>
              <w:rPr>
                <w:rFonts w:cs="宋体"/>
                <w:kern w:val="0"/>
              </w:rPr>
            </w:pPr>
            <w:r>
              <w:rPr>
                <w:rFonts w:hint="eastAsia" w:cs="宋体"/>
                <w:kern w:val="0"/>
              </w:rPr>
              <w:t>移动存储审计，支持对移动存储设备的使用及文件操作行为进行审计，确保管理员可查看企业内终端移动存储设备的使用情况。移动存储设备管控，支持移动存储设备管控，可对插入的移动存储设备进行权限控制，支持配置的权限包括：读写权限、只读权限、拒绝访问。支持移动存储设备管控例外设置，针对例外设置内的移动存储设备可自行配置管控权限，支持配置的权限包括：读写权限、只读权限、拒绝访问。移动存储设备审批，支持移动存储设备审批，可对插入的移动存储设备进行权限申请，支持申请的权限包括：读写权限、只读权限、拒绝访问。支持移动存储设备配置自动审批权限，管理员可对自动审批进行权限配置，支持配置的权限包括：读写权限、只读权限、拒绝访问。</w:t>
            </w:r>
          </w:p>
        </w:tc>
      </w:tr>
      <w:tr w14:paraId="36D2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Align w:val="center"/>
          </w:tcPr>
          <w:p w14:paraId="6EE78062">
            <w:pPr>
              <w:spacing w:line="240" w:lineRule="auto"/>
              <w:ind w:firstLine="0" w:firstLineChars="0"/>
              <w:jc w:val="center"/>
              <w:rPr>
                <w:rFonts w:cs="宋体"/>
                <w:kern w:val="0"/>
              </w:rPr>
            </w:pPr>
            <w:r>
              <w:rPr>
                <w:rFonts w:hint="eastAsia" w:cs="宋体"/>
                <w:kern w:val="0"/>
              </w:rPr>
              <w:t>外设管控</w:t>
            </w:r>
          </w:p>
        </w:tc>
        <w:tc>
          <w:tcPr>
            <w:tcW w:w="4169" w:type="pct"/>
            <w:vAlign w:val="center"/>
          </w:tcPr>
          <w:p w14:paraId="0E9A6670">
            <w:pPr>
              <w:spacing w:line="240" w:lineRule="auto"/>
              <w:ind w:firstLine="0" w:firstLineChars="0"/>
              <w:jc w:val="left"/>
              <w:rPr>
                <w:rFonts w:cs="宋体"/>
                <w:kern w:val="0"/>
              </w:rPr>
            </w:pPr>
            <w:r>
              <w:rPr>
                <w:rFonts w:hint="eastAsia" w:cs="宋体"/>
                <w:kern w:val="0"/>
              </w:rPr>
              <w:t>支持外设设备的启用与禁用，支持的设备类型包括但不限于无线网卡、USB有线网卡、光驱、打印机、蓝牙适配器、摄像头、手机/数码设备等。</w:t>
            </w:r>
          </w:p>
        </w:tc>
      </w:tr>
      <w:tr w14:paraId="467E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Align w:val="center"/>
          </w:tcPr>
          <w:p w14:paraId="3487CBB7">
            <w:pPr>
              <w:spacing w:line="240" w:lineRule="auto"/>
              <w:ind w:firstLine="0" w:firstLineChars="0"/>
              <w:jc w:val="center"/>
              <w:rPr>
                <w:rFonts w:cs="宋体"/>
                <w:kern w:val="0"/>
              </w:rPr>
            </w:pPr>
            <w:r>
              <w:rPr>
                <w:rFonts w:hint="eastAsia" w:cs="宋体"/>
                <w:kern w:val="0"/>
              </w:rPr>
              <w:t>浏览器上网记录</w:t>
            </w:r>
          </w:p>
        </w:tc>
        <w:tc>
          <w:tcPr>
            <w:tcW w:w="4169" w:type="pct"/>
            <w:vAlign w:val="center"/>
          </w:tcPr>
          <w:p w14:paraId="6FE09DC9">
            <w:pPr>
              <w:spacing w:line="240" w:lineRule="auto"/>
              <w:ind w:firstLine="0" w:firstLineChars="0"/>
              <w:jc w:val="left"/>
              <w:rPr>
                <w:rFonts w:cs="宋体"/>
                <w:kern w:val="0"/>
              </w:rPr>
            </w:pPr>
            <w:r>
              <w:rPr>
                <w:rFonts w:hint="eastAsia" w:cs="宋体"/>
                <w:kern w:val="0"/>
              </w:rPr>
              <w:t>支持浏览器上网记录，管理终端用户上网行为，可记录访问的域名、URL、请求类型及请求内容。</w:t>
            </w:r>
          </w:p>
        </w:tc>
      </w:tr>
      <w:tr w14:paraId="1F7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1" w:type="pct"/>
            <w:vAlign w:val="center"/>
          </w:tcPr>
          <w:p w14:paraId="27478396">
            <w:pPr>
              <w:spacing w:line="240" w:lineRule="auto"/>
              <w:ind w:firstLine="0" w:firstLineChars="0"/>
              <w:jc w:val="center"/>
              <w:rPr>
                <w:rFonts w:cs="宋体"/>
                <w:kern w:val="0"/>
              </w:rPr>
            </w:pPr>
            <w:r>
              <w:rPr>
                <w:rFonts w:hint="eastAsia" w:cs="宋体"/>
                <w:kern w:val="0"/>
              </w:rPr>
              <w:t>主机防火墙</w:t>
            </w:r>
          </w:p>
        </w:tc>
        <w:tc>
          <w:tcPr>
            <w:tcW w:w="4169" w:type="pct"/>
            <w:vAlign w:val="center"/>
          </w:tcPr>
          <w:p w14:paraId="6EFF7AFE">
            <w:pPr>
              <w:spacing w:line="240" w:lineRule="auto"/>
              <w:ind w:firstLine="0" w:firstLineChars="0"/>
              <w:jc w:val="left"/>
              <w:rPr>
                <w:rFonts w:cs="宋体"/>
                <w:kern w:val="0"/>
              </w:rPr>
            </w:pPr>
            <w:r>
              <w:rPr>
                <w:rFonts w:hint="eastAsia" w:cs="宋体"/>
                <w:kern w:val="0"/>
              </w:rPr>
              <w:t>支持按照IP五元组配置防火墙规则，包括远程IP、本地端口、协议、入站、出站等细粒度权限控制。支持TCP、UDP、ICMP协议。支持对连接进行审计、阻止、放行。支持添加防火墙域名规则，可配置域名、动作，动作包含阻止、放行和审计。</w:t>
            </w:r>
          </w:p>
          <w:p w14:paraId="77FBDE76">
            <w:pPr>
              <w:spacing w:line="240" w:lineRule="auto"/>
              <w:ind w:firstLine="0" w:firstLineChars="0"/>
              <w:jc w:val="left"/>
              <w:rPr>
                <w:rFonts w:cs="宋体"/>
                <w:kern w:val="0"/>
              </w:rPr>
            </w:pPr>
            <w:r>
              <w:rPr>
                <w:rFonts w:hint="eastAsia" w:cs="宋体"/>
                <w:kern w:val="0"/>
              </w:rPr>
              <w:t>支持接管系统防火墙。防火墙网络访问日志。记录终端上的访问记录，支持展示终端名称、规则名称、本地地址、本地端口、远程IP、远程端口、协议、方向、动作、进程路径、域名等字段。</w:t>
            </w:r>
          </w:p>
        </w:tc>
      </w:tr>
      <w:tr w14:paraId="5E00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Merge w:val="restart"/>
            <w:vAlign w:val="center"/>
          </w:tcPr>
          <w:p w14:paraId="6044589C">
            <w:pPr>
              <w:spacing w:line="240" w:lineRule="auto"/>
              <w:ind w:firstLine="0" w:firstLineChars="0"/>
              <w:jc w:val="center"/>
              <w:rPr>
                <w:rFonts w:cs="宋体"/>
                <w:kern w:val="0"/>
              </w:rPr>
            </w:pPr>
            <w:r>
              <w:rPr>
                <w:rFonts w:hint="eastAsia" w:cs="宋体"/>
                <w:kern w:val="0"/>
              </w:rPr>
              <w:t>数据采集</w:t>
            </w:r>
          </w:p>
        </w:tc>
        <w:tc>
          <w:tcPr>
            <w:tcW w:w="4169" w:type="pct"/>
            <w:vAlign w:val="center"/>
          </w:tcPr>
          <w:p w14:paraId="09ADA4B9">
            <w:pPr>
              <w:spacing w:line="240" w:lineRule="auto"/>
              <w:ind w:firstLine="0" w:firstLineChars="0"/>
              <w:jc w:val="left"/>
              <w:rPr>
                <w:rFonts w:cs="宋体"/>
                <w:kern w:val="0"/>
              </w:rPr>
            </w:pPr>
            <w:r>
              <w:rPr>
                <w:rFonts w:hint="eastAsia" w:cs="宋体"/>
                <w:kern w:val="0"/>
              </w:rPr>
              <w:t>支持对主机进行详细信息展示，包括网卡信息、环境信息及终端信息。支持对账户信息进行采集；支持采集主机的账户信息，包括账户名称、用户ID、所属用户组、是否启用、账户类型、账户主目录、是否为域账号。支持对软件信息进行采集；支持采集主机的软件信息，包括软件名称、软件版本、软件公司、软件运行路径、软件大小、软件安装时间。支持对硬件信息进行采集；支持采集主机的硬件信息，包括显示器、光驱、系统信息、主板信息、显卡信息、音频、PC信息、内存信息、鼠标、键盘、处理器、硬盘信息、网卡。支持对服务信息进行设采集；支持采集主机的服务信息，包括服务名称、显示名称、服务版本号、服务公司、服务运行路径、服务描述、服务启动类型。</w:t>
            </w:r>
          </w:p>
        </w:tc>
      </w:tr>
      <w:tr w14:paraId="5F48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Merge w:val="continue"/>
            <w:vAlign w:val="center"/>
          </w:tcPr>
          <w:p w14:paraId="6D730FEC">
            <w:pPr>
              <w:spacing w:line="240" w:lineRule="auto"/>
              <w:ind w:firstLine="0" w:firstLineChars="0"/>
              <w:jc w:val="center"/>
              <w:rPr>
                <w:rFonts w:cs="宋体"/>
                <w:kern w:val="0"/>
              </w:rPr>
            </w:pPr>
          </w:p>
        </w:tc>
        <w:tc>
          <w:tcPr>
            <w:tcW w:w="4169" w:type="pct"/>
            <w:vAlign w:val="center"/>
          </w:tcPr>
          <w:p w14:paraId="4E6705FA">
            <w:pPr>
              <w:spacing w:line="240" w:lineRule="auto"/>
              <w:ind w:firstLine="0" w:firstLineChars="0"/>
              <w:jc w:val="left"/>
              <w:rPr>
                <w:rFonts w:cs="宋体"/>
                <w:kern w:val="0"/>
              </w:rPr>
            </w:pPr>
            <w:r>
              <w:rPr>
                <w:rFonts w:hint="eastAsia" w:cs="宋体"/>
                <w:kern w:val="0"/>
              </w:rPr>
              <w:t>▲支持对启动项信息进行采集；支持采集主机的启动项信息，包括启动项名称、启动项类型、启动项状态、描述。</w:t>
            </w:r>
            <w:r>
              <w:rPr>
                <w:rFonts w:hint="eastAsia" w:cs="宋体"/>
                <w:b/>
                <w:bCs/>
                <w:color w:val="000000"/>
                <w:kern w:val="0"/>
                <w:lang w:bidi="ar"/>
              </w:rPr>
              <w:t>（需</w:t>
            </w:r>
            <w:r>
              <w:rPr>
                <w:rFonts w:hint="eastAsia" w:cs="等线"/>
                <w:b/>
                <w:bCs/>
                <w:color w:val="000000"/>
                <w:szCs w:val="21"/>
                <w:lang w:bidi="ar"/>
              </w:rPr>
              <w:t>提供相关证明材料并加盖</w:t>
            </w:r>
            <w:r>
              <w:rPr>
                <w:rFonts w:hint="eastAsia" w:cs="等线"/>
                <w:b/>
                <w:bCs/>
                <w:color w:val="000000"/>
                <w:szCs w:val="21"/>
                <w:lang w:eastAsia="zh-CN" w:bidi="ar"/>
              </w:rPr>
              <w:t>响应供应商</w:t>
            </w:r>
            <w:r>
              <w:rPr>
                <w:rFonts w:hint="eastAsia" w:cs="等线"/>
                <w:b/>
                <w:bCs/>
                <w:color w:val="000000"/>
                <w:szCs w:val="21"/>
                <w:lang w:bidi="ar"/>
              </w:rPr>
              <w:t>公章</w:t>
            </w:r>
            <w:r>
              <w:rPr>
                <w:rFonts w:hint="eastAsia" w:cs="宋体"/>
                <w:b/>
                <w:bCs/>
                <w:color w:val="000000"/>
                <w:kern w:val="0"/>
                <w:lang w:bidi="ar"/>
              </w:rPr>
              <w:t>）</w:t>
            </w:r>
          </w:p>
        </w:tc>
      </w:tr>
      <w:tr w14:paraId="0EF1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31" w:type="pct"/>
            <w:vMerge w:val="continue"/>
            <w:vAlign w:val="center"/>
          </w:tcPr>
          <w:p w14:paraId="4DE56926">
            <w:pPr>
              <w:spacing w:line="240" w:lineRule="auto"/>
              <w:ind w:firstLine="0" w:firstLineChars="0"/>
              <w:jc w:val="center"/>
              <w:rPr>
                <w:rFonts w:cs="宋体"/>
                <w:kern w:val="0"/>
              </w:rPr>
            </w:pPr>
          </w:p>
        </w:tc>
        <w:tc>
          <w:tcPr>
            <w:tcW w:w="4169" w:type="pct"/>
            <w:vAlign w:val="center"/>
          </w:tcPr>
          <w:p w14:paraId="35603E53">
            <w:pPr>
              <w:spacing w:line="240" w:lineRule="auto"/>
              <w:ind w:firstLine="0" w:firstLineChars="0"/>
              <w:jc w:val="left"/>
              <w:rPr>
                <w:rFonts w:cs="宋体"/>
                <w:kern w:val="0"/>
              </w:rPr>
            </w:pPr>
            <w:r>
              <w:rPr>
                <w:rFonts w:hint="eastAsia" w:cs="宋体"/>
                <w:kern w:val="0"/>
              </w:rPr>
              <w:t>支持采集的启动项位置有：系统的注册表启动项（包括各类系统插件、Run项、右键菜单）、应用层服务、驱动、计划任务、WMI等。支持对补丁信息进行采集；支持显示主机的补丁信息，包括补丁号、安全等级、影响等级、补丁类型、补丁文件大小、语言、补丁发布日期、补丁MD5值、补丁对应的系统、补丁对应的软件、安装状态、操作项；支持实时刷新获取最新信息；支持导出补丁列表。支持对主机使用者信息进行登记采集，可配置单位、部门、责任人等信息。</w:t>
            </w:r>
          </w:p>
        </w:tc>
      </w:tr>
      <w:tr w14:paraId="6C92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831" w:type="pct"/>
            <w:vMerge w:val="restart"/>
            <w:vAlign w:val="center"/>
          </w:tcPr>
          <w:p w14:paraId="7209C5A6">
            <w:pPr>
              <w:spacing w:line="240" w:lineRule="auto"/>
              <w:ind w:firstLine="0" w:firstLineChars="0"/>
              <w:jc w:val="center"/>
              <w:rPr>
                <w:rFonts w:cs="宋体"/>
                <w:kern w:val="0"/>
              </w:rPr>
            </w:pPr>
            <w:r>
              <w:rPr>
                <w:rFonts w:hint="eastAsia" w:cs="宋体"/>
                <w:kern w:val="0"/>
              </w:rPr>
              <w:t>主机事件审计</w:t>
            </w:r>
          </w:p>
        </w:tc>
        <w:tc>
          <w:tcPr>
            <w:tcW w:w="4169" w:type="pct"/>
            <w:vAlign w:val="center"/>
          </w:tcPr>
          <w:p w14:paraId="1FE1BC46">
            <w:pPr>
              <w:spacing w:line="240" w:lineRule="auto"/>
              <w:ind w:firstLine="0" w:firstLineChars="0"/>
              <w:jc w:val="left"/>
              <w:rPr>
                <w:rFonts w:cs="宋体"/>
                <w:kern w:val="0"/>
              </w:rPr>
            </w:pPr>
            <w:r>
              <w:rPr>
                <w:rFonts w:hint="eastAsia" w:cs="宋体"/>
                <w:kern w:val="0"/>
              </w:rPr>
              <w:t>支持对主机启动和关闭状态进行审计，并将审计记录计入审计日志。支持对主机操作系统日志进行审计，并将审计记录计入审计日志。支持对主机的硬件配置变化、软件安装信息变化、启动项信息变化、账户信息进行审计，并将审计记录计入审计日志。支持对主机上的进程进行审计，通过策略设置对指定的进程审计，并将审计记录计入审计日志。对主机上的网络连接行为进行审计，通过策略设置对指定的网络连接行为审计、阻止，并将审计记录计入审计日志。</w:t>
            </w:r>
          </w:p>
        </w:tc>
      </w:tr>
      <w:tr w14:paraId="14FF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Merge w:val="continue"/>
            <w:vAlign w:val="center"/>
          </w:tcPr>
          <w:p w14:paraId="70A89F15">
            <w:pPr>
              <w:spacing w:line="240" w:lineRule="auto"/>
              <w:ind w:firstLine="0" w:firstLineChars="0"/>
              <w:jc w:val="center"/>
              <w:rPr>
                <w:rFonts w:cs="宋体"/>
                <w:kern w:val="0"/>
              </w:rPr>
            </w:pPr>
          </w:p>
        </w:tc>
        <w:tc>
          <w:tcPr>
            <w:tcW w:w="4169" w:type="pct"/>
            <w:vAlign w:val="center"/>
          </w:tcPr>
          <w:p w14:paraId="7CF3E4F2">
            <w:pPr>
              <w:spacing w:line="240" w:lineRule="auto"/>
              <w:ind w:firstLine="0" w:firstLineChars="0"/>
              <w:jc w:val="left"/>
              <w:rPr>
                <w:rFonts w:cs="宋体"/>
                <w:kern w:val="0"/>
              </w:rPr>
            </w:pPr>
            <w:r>
              <w:rPr>
                <w:rFonts w:hint="eastAsia" w:cs="宋体"/>
                <w:kern w:val="0"/>
              </w:rPr>
              <w:t>支持对打印输出设备的行为和结果进行监控和审计，通过策略设置对指定的打印设备进行审计、阻止，并将审计记录计入审计日志。</w:t>
            </w:r>
          </w:p>
        </w:tc>
      </w:tr>
      <w:tr w14:paraId="1835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Merge w:val="continue"/>
            <w:vAlign w:val="center"/>
          </w:tcPr>
          <w:p w14:paraId="18C01532">
            <w:pPr>
              <w:spacing w:line="240" w:lineRule="auto"/>
              <w:ind w:firstLine="0" w:firstLineChars="0"/>
              <w:jc w:val="center"/>
              <w:rPr>
                <w:rFonts w:cs="宋体"/>
                <w:kern w:val="0"/>
              </w:rPr>
            </w:pPr>
          </w:p>
        </w:tc>
        <w:tc>
          <w:tcPr>
            <w:tcW w:w="4169" w:type="pct"/>
            <w:vAlign w:val="center"/>
          </w:tcPr>
          <w:p w14:paraId="55E651A6">
            <w:pPr>
              <w:spacing w:line="240" w:lineRule="auto"/>
              <w:ind w:firstLine="0" w:firstLineChars="0"/>
              <w:jc w:val="left"/>
              <w:rPr>
                <w:rFonts w:cs="宋体"/>
                <w:kern w:val="0"/>
              </w:rPr>
            </w:pPr>
            <w:r>
              <w:rPr>
                <w:rFonts w:hint="eastAsia" w:cs="宋体"/>
                <w:kern w:val="0"/>
              </w:rPr>
              <w:t>支持对共享采用授权管理，通过策略设置，对主机上的共享创建与访问行为进行审计，并将审计记录计入审计日志。</w:t>
            </w:r>
          </w:p>
        </w:tc>
      </w:tr>
      <w:tr w14:paraId="5947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jc w:val="center"/>
        </w:trPr>
        <w:tc>
          <w:tcPr>
            <w:tcW w:w="831" w:type="pct"/>
            <w:vMerge w:val="continue"/>
            <w:vAlign w:val="center"/>
          </w:tcPr>
          <w:p w14:paraId="15DE2548">
            <w:pPr>
              <w:spacing w:line="240" w:lineRule="auto"/>
              <w:ind w:firstLine="0" w:firstLineChars="0"/>
              <w:jc w:val="center"/>
              <w:rPr>
                <w:rFonts w:cs="宋体"/>
                <w:kern w:val="0"/>
              </w:rPr>
            </w:pPr>
          </w:p>
        </w:tc>
        <w:tc>
          <w:tcPr>
            <w:tcW w:w="4169" w:type="pct"/>
            <w:vAlign w:val="center"/>
          </w:tcPr>
          <w:p w14:paraId="57A9B3A5">
            <w:pPr>
              <w:spacing w:line="240" w:lineRule="auto"/>
              <w:ind w:firstLine="0" w:firstLineChars="0"/>
              <w:jc w:val="left"/>
              <w:rPr>
                <w:rFonts w:cs="宋体"/>
                <w:kern w:val="0"/>
              </w:rPr>
            </w:pPr>
            <w:r>
              <w:rPr>
                <w:rFonts w:hint="eastAsia" w:cs="宋体"/>
                <w:kern w:val="0"/>
              </w:rPr>
              <w:t>支持对全部终端的补丁信息进行统计，支持展示补丁号、安全等级、影响等级、补丁类型、补丁文件大小、语言、平台下载状态、发布日期、MD5值、对应系统、对应软件、影响主机数、操作项等。支持对主机的USB移动存储设备的使用和文件操作进行管控及审计。支持对主机上产生的数据流量进行监控和审计，并将审计记录计入审计日志。支持识别主机上的多个操作系统及虚拟机软件，并将审计记录计入审计日志。</w:t>
            </w:r>
          </w:p>
        </w:tc>
      </w:tr>
      <w:tr w14:paraId="04F7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831" w:type="pct"/>
            <w:vAlign w:val="center"/>
          </w:tcPr>
          <w:p w14:paraId="7AEC1A6D">
            <w:pPr>
              <w:spacing w:line="240" w:lineRule="auto"/>
              <w:ind w:firstLine="0" w:firstLineChars="0"/>
              <w:jc w:val="center"/>
              <w:rPr>
                <w:rFonts w:cs="宋体"/>
                <w:kern w:val="0"/>
              </w:rPr>
            </w:pPr>
            <w:r>
              <w:rPr>
                <w:rFonts w:hint="eastAsia" w:cs="宋体"/>
                <w:kern w:val="0"/>
              </w:rPr>
              <w:t>信息处理</w:t>
            </w:r>
          </w:p>
        </w:tc>
        <w:tc>
          <w:tcPr>
            <w:tcW w:w="4169" w:type="pct"/>
            <w:vAlign w:val="center"/>
          </w:tcPr>
          <w:p w14:paraId="2E050B88">
            <w:pPr>
              <w:spacing w:line="240" w:lineRule="auto"/>
              <w:ind w:firstLine="0" w:firstLineChars="0"/>
              <w:jc w:val="left"/>
              <w:rPr>
                <w:rFonts w:cs="宋体"/>
                <w:kern w:val="0"/>
              </w:rPr>
            </w:pPr>
            <w:r>
              <w:rPr>
                <w:rFonts w:hint="eastAsia" w:cs="宋体"/>
                <w:kern w:val="0"/>
              </w:rPr>
              <w:t>支持生成主机审计日志，区分日志级别为一般行为、违规行为、异常行为，并支持通过时间、日志级别、主机信息等关键信息进行搜索查询。支持生成主机审计综合报表；报表支持pdf、word、html格式的导出。</w:t>
            </w:r>
          </w:p>
        </w:tc>
      </w:tr>
    </w:tbl>
    <w:p w14:paraId="25C438CB">
      <w:pPr>
        <w:ind w:firstLine="571"/>
        <w:rPr>
          <w:rFonts w:cs="宋体"/>
          <w:b/>
          <w:bCs/>
          <w:sz w:val="28"/>
          <w:szCs w:val="28"/>
        </w:rPr>
      </w:pPr>
    </w:p>
    <w:p w14:paraId="23FD8F3E">
      <w:pPr>
        <w:pStyle w:val="5"/>
        <w:ind w:left="960"/>
        <w:rPr>
          <w:rFonts w:cs="宋体"/>
        </w:rPr>
      </w:pPr>
      <w:r>
        <w:rPr>
          <w:rFonts w:hint="eastAsia" w:cs="宋体"/>
        </w:rPr>
        <w:t>杀毒软件</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7111"/>
      </w:tblGrid>
      <w:tr w14:paraId="2B24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31" w:type="pct"/>
            <w:shd w:val="clear" w:color="auto" w:fill="BEBEBE" w:themeFill="background1" w:themeFillShade="BF"/>
            <w:vAlign w:val="center"/>
          </w:tcPr>
          <w:p w14:paraId="5A9766F7">
            <w:pPr>
              <w:spacing w:line="240" w:lineRule="auto"/>
              <w:ind w:firstLine="0" w:firstLineChars="0"/>
              <w:jc w:val="center"/>
              <w:rPr>
                <w:rFonts w:cs="宋体"/>
                <w:b/>
                <w:bCs/>
                <w:kern w:val="0"/>
              </w:rPr>
            </w:pPr>
            <w:r>
              <w:rPr>
                <w:rFonts w:hint="eastAsia" w:cs="宋体"/>
                <w:b/>
                <w:bCs/>
                <w:kern w:val="0"/>
              </w:rPr>
              <w:t>指标项</w:t>
            </w:r>
          </w:p>
        </w:tc>
        <w:tc>
          <w:tcPr>
            <w:tcW w:w="4169" w:type="pct"/>
            <w:shd w:val="clear" w:color="auto" w:fill="BEBEBE" w:themeFill="background1" w:themeFillShade="BF"/>
            <w:vAlign w:val="center"/>
          </w:tcPr>
          <w:p w14:paraId="42DF962E">
            <w:pPr>
              <w:spacing w:line="240" w:lineRule="auto"/>
              <w:ind w:firstLine="0" w:firstLineChars="0"/>
              <w:jc w:val="center"/>
              <w:rPr>
                <w:rFonts w:cs="宋体"/>
                <w:b/>
                <w:bCs/>
                <w:kern w:val="0"/>
              </w:rPr>
            </w:pPr>
            <w:r>
              <w:rPr>
                <w:rFonts w:hint="eastAsia" w:cs="宋体"/>
                <w:b/>
                <w:bCs/>
                <w:kern w:val="0"/>
              </w:rPr>
              <w:t>技术参数</w:t>
            </w:r>
          </w:p>
        </w:tc>
      </w:tr>
      <w:tr w14:paraId="01E9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Align w:val="center"/>
          </w:tcPr>
          <w:p w14:paraId="501EC85D">
            <w:pPr>
              <w:widowControl/>
              <w:spacing w:line="240" w:lineRule="auto"/>
              <w:ind w:firstLine="0" w:firstLineChars="0"/>
              <w:jc w:val="center"/>
              <w:rPr>
                <w:rFonts w:cs="宋体"/>
                <w:bCs/>
                <w:color w:val="000000"/>
                <w:kern w:val="0"/>
              </w:rPr>
            </w:pPr>
            <w:r>
              <w:rPr>
                <w:rFonts w:hint="eastAsia" w:cs="宋体"/>
                <w:bCs/>
                <w:color w:val="000000"/>
                <w:kern w:val="0"/>
                <w:lang w:eastAsia="zh-Hans"/>
              </w:rPr>
              <w:t>产品资质</w:t>
            </w:r>
          </w:p>
        </w:tc>
        <w:tc>
          <w:tcPr>
            <w:tcW w:w="4169" w:type="pct"/>
            <w:vAlign w:val="center"/>
          </w:tcPr>
          <w:p w14:paraId="1DD58F8C">
            <w:pPr>
              <w:widowControl/>
              <w:spacing w:line="240" w:lineRule="auto"/>
              <w:ind w:firstLine="0" w:firstLineChars="0"/>
              <w:jc w:val="left"/>
              <w:rPr>
                <w:rFonts w:cs="宋体"/>
                <w:color w:val="353535"/>
                <w:kern w:val="0"/>
              </w:rPr>
            </w:pPr>
            <w:r>
              <w:rPr>
                <w:rFonts w:hint="eastAsia" w:cs="宋体"/>
                <w:color w:val="353535"/>
                <w:kern w:val="0"/>
                <w:lang w:eastAsia="zh-CN"/>
              </w:rPr>
              <w:t>所提供的</w:t>
            </w:r>
            <w:r>
              <w:rPr>
                <w:rFonts w:hint="eastAsia" w:cs="宋体"/>
                <w:color w:val="353535"/>
                <w:kern w:val="0"/>
              </w:rPr>
              <w:t>需具备网络安全专用产品安全检测证书。</w:t>
            </w:r>
          </w:p>
        </w:tc>
      </w:tr>
      <w:tr w14:paraId="2C16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Align w:val="center"/>
          </w:tcPr>
          <w:p w14:paraId="581CAEF7">
            <w:pPr>
              <w:widowControl/>
              <w:spacing w:line="240" w:lineRule="auto"/>
              <w:ind w:firstLine="0" w:firstLineChars="0"/>
              <w:jc w:val="center"/>
              <w:rPr>
                <w:rFonts w:cs="宋体"/>
                <w:bCs/>
                <w:color w:val="000000"/>
                <w:kern w:val="0"/>
              </w:rPr>
            </w:pPr>
            <w:r>
              <w:rPr>
                <w:rFonts w:hint="eastAsia" w:cs="宋体"/>
                <w:bCs/>
                <w:color w:val="000000"/>
                <w:kern w:val="0"/>
              </w:rPr>
              <w:t>性能要求</w:t>
            </w:r>
          </w:p>
        </w:tc>
        <w:tc>
          <w:tcPr>
            <w:tcW w:w="4169" w:type="pct"/>
            <w:vAlign w:val="center"/>
          </w:tcPr>
          <w:p w14:paraId="1EE807DE">
            <w:pPr>
              <w:widowControl/>
              <w:spacing w:line="240" w:lineRule="auto"/>
              <w:ind w:firstLine="0" w:firstLineChars="0"/>
              <w:jc w:val="left"/>
              <w:rPr>
                <w:rFonts w:cs="宋体"/>
                <w:color w:val="353535"/>
                <w:kern w:val="0"/>
              </w:rPr>
            </w:pPr>
            <w:r>
              <w:rPr>
                <w:rFonts w:hint="eastAsia" w:cs="宋体"/>
                <w:color w:val="353535"/>
                <w:kern w:val="0"/>
              </w:rPr>
              <w:t>支持国产化终端系统，包含500个终端授权许可。质保期3年。</w:t>
            </w:r>
          </w:p>
        </w:tc>
      </w:tr>
      <w:tr w14:paraId="5EB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1" w:type="pct"/>
            <w:vAlign w:val="center"/>
          </w:tcPr>
          <w:p w14:paraId="712F5A8E">
            <w:pPr>
              <w:spacing w:line="240" w:lineRule="auto"/>
              <w:ind w:firstLine="0" w:firstLineChars="0"/>
              <w:jc w:val="center"/>
              <w:rPr>
                <w:rFonts w:cs="宋体"/>
                <w:kern w:val="0"/>
              </w:rPr>
            </w:pPr>
            <w:r>
              <w:rPr>
                <w:rFonts w:hint="eastAsia" w:cs="宋体"/>
                <w:kern w:val="0"/>
              </w:rPr>
              <w:t>病毒扫描</w:t>
            </w:r>
          </w:p>
        </w:tc>
        <w:tc>
          <w:tcPr>
            <w:tcW w:w="4169" w:type="pct"/>
            <w:vAlign w:val="center"/>
          </w:tcPr>
          <w:p w14:paraId="3960BD24">
            <w:pPr>
              <w:spacing w:line="240" w:lineRule="auto"/>
              <w:ind w:firstLine="0" w:firstLineChars="0"/>
              <w:jc w:val="left"/>
              <w:rPr>
                <w:rFonts w:cs="宋体"/>
                <w:kern w:val="0"/>
              </w:rPr>
            </w:pPr>
            <w:r>
              <w:rPr>
                <w:rFonts w:hint="eastAsia" w:cs="宋体"/>
                <w:kern w:val="0"/>
              </w:rPr>
              <w:t>▲支持对全部文件、程序和文档或者指定的类型进行病毒扫描和实时监控，及时发现病毒威胁。支持设置对资产进行快速查杀、全盘查杀、自定义查杀，查杀模式支持极速模式、自适应模式，且低资源占用模式可自定义CPU使用率。支持多引擎设置，包括默认引擎、深度扫描引擎、网马查杀引擎等。支持自定义病毒实时监控能力，包括设置监控时机、处理方式等，并支持浏览器下载保护、office文档保护。支持对压缩包扫描及压缩级层进行设置，默认9层深度。</w:t>
            </w:r>
            <w:r>
              <w:rPr>
                <w:rFonts w:hint="eastAsia" w:cs="宋体"/>
                <w:b/>
                <w:bCs/>
                <w:color w:val="000000"/>
                <w:kern w:val="0"/>
                <w:lang w:bidi="ar"/>
              </w:rPr>
              <w:t>（需</w:t>
            </w:r>
            <w:r>
              <w:rPr>
                <w:rFonts w:hint="eastAsia" w:cs="等线"/>
                <w:b/>
                <w:bCs/>
                <w:color w:val="000000"/>
                <w:szCs w:val="21"/>
                <w:lang w:bidi="ar"/>
              </w:rPr>
              <w:t>提供相关证明材料并加盖</w:t>
            </w:r>
            <w:r>
              <w:rPr>
                <w:rFonts w:hint="eastAsia" w:cs="等线"/>
                <w:b/>
                <w:bCs/>
                <w:color w:val="000000"/>
                <w:szCs w:val="21"/>
                <w:lang w:eastAsia="zh-CN" w:bidi="ar"/>
              </w:rPr>
              <w:t>响应供应商</w:t>
            </w:r>
            <w:r>
              <w:rPr>
                <w:rFonts w:hint="eastAsia" w:cs="等线"/>
                <w:b/>
                <w:bCs/>
                <w:color w:val="000000"/>
                <w:szCs w:val="21"/>
                <w:lang w:bidi="ar"/>
              </w:rPr>
              <w:t>公章</w:t>
            </w:r>
            <w:r>
              <w:rPr>
                <w:rFonts w:hint="eastAsia" w:cs="宋体"/>
                <w:b/>
                <w:bCs/>
                <w:color w:val="000000"/>
                <w:kern w:val="0"/>
                <w:lang w:bidi="ar"/>
              </w:rPr>
              <w:t>）</w:t>
            </w:r>
          </w:p>
        </w:tc>
      </w:tr>
      <w:tr w14:paraId="6758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Align w:val="center"/>
          </w:tcPr>
          <w:p w14:paraId="179384E5">
            <w:pPr>
              <w:spacing w:line="240" w:lineRule="auto"/>
              <w:ind w:firstLine="0" w:firstLineChars="0"/>
              <w:jc w:val="center"/>
              <w:rPr>
                <w:rFonts w:cs="宋体"/>
                <w:kern w:val="0"/>
              </w:rPr>
            </w:pPr>
            <w:r>
              <w:rPr>
                <w:rFonts w:hint="eastAsia" w:cs="宋体"/>
                <w:kern w:val="0"/>
              </w:rPr>
              <w:t>病毒处理</w:t>
            </w:r>
          </w:p>
        </w:tc>
        <w:tc>
          <w:tcPr>
            <w:tcW w:w="4169" w:type="pct"/>
            <w:vAlign w:val="center"/>
          </w:tcPr>
          <w:p w14:paraId="300FEF7D">
            <w:pPr>
              <w:spacing w:line="240" w:lineRule="auto"/>
              <w:ind w:firstLine="0" w:firstLineChars="0"/>
              <w:jc w:val="left"/>
              <w:rPr>
                <w:rFonts w:cs="宋体"/>
                <w:kern w:val="0"/>
              </w:rPr>
            </w:pPr>
            <w:r>
              <w:rPr>
                <w:rFonts w:hint="eastAsia" w:cs="宋体"/>
                <w:kern w:val="0"/>
              </w:rPr>
              <w:t>支持病毒手动处理、自动处理、不处理等多种处理方式。处理后会将病毒文件备份至隔离区，支持设置隔离区大小，超出后会循环覆盖。</w:t>
            </w:r>
          </w:p>
        </w:tc>
      </w:tr>
      <w:tr w14:paraId="0F89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1" w:type="pct"/>
            <w:vAlign w:val="center"/>
          </w:tcPr>
          <w:p w14:paraId="71CCB219">
            <w:pPr>
              <w:spacing w:line="240" w:lineRule="auto"/>
              <w:ind w:firstLine="0" w:firstLineChars="0"/>
              <w:jc w:val="center"/>
              <w:rPr>
                <w:rFonts w:cs="宋体"/>
                <w:kern w:val="0"/>
              </w:rPr>
            </w:pPr>
            <w:r>
              <w:rPr>
                <w:rFonts w:hint="eastAsia" w:cs="宋体"/>
                <w:kern w:val="0"/>
              </w:rPr>
              <w:t>病毒免疫</w:t>
            </w:r>
          </w:p>
        </w:tc>
        <w:tc>
          <w:tcPr>
            <w:tcW w:w="4169" w:type="pct"/>
            <w:vAlign w:val="center"/>
          </w:tcPr>
          <w:p w14:paraId="66D3C0B4">
            <w:pPr>
              <w:spacing w:line="240" w:lineRule="auto"/>
              <w:ind w:firstLine="0" w:firstLineChars="0"/>
              <w:jc w:val="left"/>
              <w:rPr>
                <w:rFonts w:cs="宋体"/>
                <w:kern w:val="0"/>
              </w:rPr>
            </w:pPr>
            <w:r>
              <w:rPr>
                <w:rFonts w:hint="eastAsia" w:cs="宋体"/>
                <w:kern w:val="0"/>
              </w:rPr>
              <w:t>基于系统访问控制能力防止恶意病毒程序的执行，包括ARK工具拦截、移动存储运行保护、移动存储自动播放保护、系统DLL劫持防护、文件系统防护、进程防护、Powershell安全防护、远程脚本执行等。</w:t>
            </w:r>
          </w:p>
        </w:tc>
      </w:tr>
      <w:tr w14:paraId="515B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Align w:val="center"/>
          </w:tcPr>
          <w:p w14:paraId="525B91C7">
            <w:pPr>
              <w:spacing w:line="240" w:lineRule="auto"/>
              <w:ind w:firstLine="0" w:firstLineChars="0"/>
              <w:jc w:val="center"/>
              <w:rPr>
                <w:rFonts w:cs="宋体"/>
                <w:kern w:val="0"/>
              </w:rPr>
            </w:pPr>
            <w:r>
              <w:rPr>
                <w:rFonts w:hint="eastAsia" w:cs="宋体"/>
                <w:kern w:val="0"/>
              </w:rPr>
              <w:t>系统行为管控</w:t>
            </w:r>
          </w:p>
        </w:tc>
        <w:tc>
          <w:tcPr>
            <w:tcW w:w="4169" w:type="pct"/>
            <w:vAlign w:val="center"/>
          </w:tcPr>
          <w:p w14:paraId="25186B09">
            <w:pPr>
              <w:spacing w:line="240" w:lineRule="auto"/>
              <w:ind w:firstLine="0" w:firstLineChars="0"/>
              <w:jc w:val="left"/>
              <w:rPr>
                <w:rFonts w:cs="宋体"/>
                <w:kern w:val="0"/>
              </w:rPr>
            </w:pPr>
            <w:r>
              <w:rPr>
                <w:rFonts w:hint="eastAsia" w:cs="宋体"/>
                <w:kern w:val="0"/>
              </w:rPr>
              <w:t>支持注册表行为管控，防止注册表被恶意进程写入键值、重命名键、删除键/键值等。支持进程行为管控，防止恶意进程创建行为。</w:t>
            </w:r>
          </w:p>
        </w:tc>
      </w:tr>
      <w:tr w14:paraId="2CF2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Align w:val="center"/>
          </w:tcPr>
          <w:p w14:paraId="188710CD">
            <w:pPr>
              <w:spacing w:line="240" w:lineRule="auto"/>
              <w:ind w:firstLine="0" w:firstLineChars="0"/>
              <w:jc w:val="center"/>
              <w:rPr>
                <w:rFonts w:cs="宋体"/>
                <w:kern w:val="0"/>
              </w:rPr>
            </w:pPr>
            <w:r>
              <w:rPr>
                <w:rFonts w:hint="eastAsia" w:cs="宋体"/>
                <w:kern w:val="0"/>
              </w:rPr>
              <w:t>系统、应用防护</w:t>
            </w:r>
          </w:p>
        </w:tc>
        <w:tc>
          <w:tcPr>
            <w:tcW w:w="4169" w:type="pct"/>
            <w:vAlign w:val="center"/>
          </w:tcPr>
          <w:p w14:paraId="580A19B3">
            <w:pPr>
              <w:spacing w:line="240" w:lineRule="auto"/>
              <w:ind w:firstLine="0" w:firstLineChars="0"/>
              <w:jc w:val="left"/>
              <w:rPr>
                <w:rFonts w:cs="宋体"/>
                <w:kern w:val="0"/>
              </w:rPr>
            </w:pPr>
            <w:r>
              <w:rPr>
                <w:rFonts w:hint="eastAsia" w:cs="宋体"/>
                <w:kern w:val="0"/>
              </w:rPr>
              <w:t>支持启动项防护，包括启动目录保护、系统计划保护，防止启动项及计划任务被恶意感染。支持高危程序行为管控，包括恶意文件下载防护、恶意用户账号创建保护。支持关键配置保护，包括Autorun配置文件、Hosts文件保护等类型文件，拦截相关文件的篡改及利用行为。支持应用防护，防护易被攻击的程序软件，支持办公软件、浏览器脚本运行、浏览器可执行文件防护。</w:t>
            </w:r>
          </w:p>
        </w:tc>
      </w:tr>
      <w:tr w14:paraId="336D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Align w:val="center"/>
          </w:tcPr>
          <w:p w14:paraId="50C3437E">
            <w:pPr>
              <w:spacing w:line="240" w:lineRule="auto"/>
              <w:ind w:firstLine="0" w:firstLineChars="0"/>
              <w:jc w:val="center"/>
              <w:rPr>
                <w:rFonts w:cs="宋体"/>
                <w:kern w:val="0"/>
              </w:rPr>
            </w:pPr>
            <w:r>
              <w:rPr>
                <w:rFonts w:hint="eastAsia" w:cs="宋体"/>
                <w:kern w:val="0"/>
              </w:rPr>
              <w:t>勒索防御</w:t>
            </w:r>
          </w:p>
        </w:tc>
        <w:tc>
          <w:tcPr>
            <w:tcW w:w="4169" w:type="pct"/>
            <w:vAlign w:val="center"/>
          </w:tcPr>
          <w:p w14:paraId="4F728C4B">
            <w:pPr>
              <w:spacing w:line="240" w:lineRule="auto"/>
              <w:ind w:firstLine="0" w:firstLineChars="0"/>
              <w:jc w:val="left"/>
              <w:rPr>
                <w:rFonts w:cs="宋体"/>
                <w:kern w:val="0"/>
              </w:rPr>
            </w:pPr>
            <w:r>
              <w:rPr>
                <w:rFonts w:hint="eastAsia" w:cs="宋体"/>
                <w:kern w:val="0"/>
              </w:rPr>
              <w:t>提供针对未知勒索病毒的诱饵防护引擎，通过自动生成的高仿真文件诱捕未知勒索病毒的攻击，并进行实时阻断。支持在不依赖文件扫描的情况下，支持对主流的勒索家族（如wannacry、Locky）病毒进程进行感知和拦截。</w:t>
            </w:r>
          </w:p>
          <w:p w14:paraId="596F992F">
            <w:pPr>
              <w:spacing w:line="240" w:lineRule="auto"/>
              <w:ind w:firstLine="0" w:firstLineChars="0"/>
              <w:jc w:val="left"/>
              <w:rPr>
                <w:rFonts w:cs="宋体"/>
                <w:kern w:val="0"/>
              </w:rPr>
            </w:pPr>
            <w:r>
              <w:rPr>
                <w:rFonts w:hint="eastAsia" w:cs="宋体"/>
                <w:kern w:val="0"/>
              </w:rPr>
              <w:t>提供专门的针对未知勒索病毒的行为防护引擎，基于文件读写、进程、命令、网络、注册表修改等行为对于未知勒索病毒进行发现和阻断。提供文件保险柜，保护文件不被勒索软件或其他病毒程序恶意修改、加密等，可自定义配置保护的文件及目录，支持设置例外进程。支持勒索加密文件恢复，持续监控勒索软件可疑行为，抢先在加密前备份目标文件，便于事后恢复文件。支持设置备份路径、备份空间大小、存储天数。</w:t>
            </w:r>
          </w:p>
        </w:tc>
      </w:tr>
      <w:tr w14:paraId="29E6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1" w:type="pct"/>
            <w:vAlign w:val="center"/>
          </w:tcPr>
          <w:p w14:paraId="28449E10">
            <w:pPr>
              <w:spacing w:line="240" w:lineRule="auto"/>
              <w:ind w:firstLine="0" w:firstLineChars="0"/>
              <w:jc w:val="center"/>
              <w:rPr>
                <w:rFonts w:cs="宋体"/>
                <w:kern w:val="0"/>
              </w:rPr>
            </w:pPr>
            <w:r>
              <w:rPr>
                <w:rFonts w:hint="eastAsia" w:cs="宋体"/>
                <w:kern w:val="0"/>
              </w:rPr>
              <w:t>防病毒日志</w:t>
            </w:r>
          </w:p>
        </w:tc>
        <w:tc>
          <w:tcPr>
            <w:tcW w:w="4169" w:type="pct"/>
            <w:vAlign w:val="center"/>
          </w:tcPr>
          <w:p w14:paraId="37EA5362">
            <w:pPr>
              <w:spacing w:line="240" w:lineRule="auto"/>
              <w:ind w:firstLine="0" w:firstLineChars="0"/>
              <w:jc w:val="left"/>
              <w:rPr>
                <w:rFonts w:cs="宋体"/>
                <w:kern w:val="0"/>
              </w:rPr>
            </w:pPr>
            <w:r>
              <w:rPr>
                <w:rFonts w:hint="eastAsia" w:cs="宋体"/>
                <w:kern w:val="0"/>
              </w:rPr>
              <w:t>记录终端上的病毒扫描、病毒处理、实时监控、病毒免疫、系统防护、应用防护、勒索防护、挖矿防护、行为控制日志。</w:t>
            </w:r>
          </w:p>
          <w:p w14:paraId="28191E1E">
            <w:pPr>
              <w:spacing w:line="240" w:lineRule="auto"/>
              <w:ind w:firstLine="0" w:firstLineChars="0"/>
              <w:jc w:val="left"/>
              <w:rPr>
                <w:rFonts w:cs="宋体"/>
                <w:kern w:val="0"/>
              </w:rPr>
            </w:pPr>
            <w:r>
              <w:rPr>
                <w:rFonts w:hint="eastAsia" w:cs="宋体"/>
                <w:kern w:val="0"/>
              </w:rPr>
              <w:t>病毒文件提取，支持从管理平台提取终端隔离区中的样本。</w:t>
            </w:r>
          </w:p>
        </w:tc>
      </w:tr>
    </w:tbl>
    <w:p w14:paraId="69EC30F4">
      <w:pPr>
        <w:rPr>
          <w:rFonts w:cs="宋体"/>
        </w:rPr>
      </w:pPr>
    </w:p>
    <w:p w14:paraId="67EB96DF">
      <w:pPr>
        <w:pStyle w:val="5"/>
        <w:ind w:left="960"/>
        <w:rPr>
          <w:rFonts w:cs="宋体"/>
        </w:rPr>
      </w:pPr>
      <w:r>
        <w:rPr>
          <w:rFonts w:hint="eastAsia" w:cs="宋体"/>
        </w:rPr>
        <w:t>数据防泄漏系统</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7111"/>
      </w:tblGrid>
      <w:tr w14:paraId="4085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31" w:type="pct"/>
            <w:shd w:val="clear" w:color="auto" w:fill="BEBEBE" w:themeFill="background1" w:themeFillShade="BF"/>
            <w:vAlign w:val="center"/>
          </w:tcPr>
          <w:p w14:paraId="507B92F6">
            <w:pPr>
              <w:spacing w:line="240" w:lineRule="auto"/>
              <w:ind w:firstLine="0" w:firstLineChars="0"/>
              <w:jc w:val="center"/>
              <w:rPr>
                <w:rFonts w:cs="宋体"/>
                <w:b/>
                <w:bCs/>
                <w:kern w:val="0"/>
              </w:rPr>
            </w:pPr>
            <w:r>
              <w:rPr>
                <w:rFonts w:hint="eastAsia" w:cs="宋体"/>
                <w:b/>
                <w:bCs/>
                <w:kern w:val="0"/>
              </w:rPr>
              <w:t>指标项</w:t>
            </w:r>
          </w:p>
        </w:tc>
        <w:tc>
          <w:tcPr>
            <w:tcW w:w="4169" w:type="pct"/>
            <w:shd w:val="clear" w:color="auto" w:fill="BEBEBE" w:themeFill="background1" w:themeFillShade="BF"/>
            <w:vAlign w:val="center"/>
          </w:tcPr>
          <w:p w14:paraId="3CF6F01D">
            <w:pPr>
              <w:spacing w:line="240" w:lineRule="auto"/>
              <w:ind w:firstLine="0" w:firstLineChars="0"/>
              <w:jc w:val="center"/>
              <w:rPr>
                <w:rFonts w:cs="宋体"/>
                <w:b/>
                <w:bCs/>
                <w:kern w:val="0"/>
              </w:rPr>
            </w:pPr>
            <w:r>
              <w:rPr>
                <w:rFonts w:hint="eastAsia" w:cs="宋体"/>
                <w:b/>
                <w:bCs/>
                <w:kern w:val="0"/>
              </w:rPr>
              <w:t>技术参数</w:t>
            </w:r>
          </w:p>
        </w:tc>
      </w:tr>
      <w:tr w14:paraId="4D70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Align w:val="center"/>
          </w:tcPr>
          <w:p w14:paraId="28F99E67">
            <w:pPr>
              <w:widowControl/>
              <w:spacing w:line="240" w:lineRule="auto"/>
              <w:ind w:firstLine="0" w:firstLineChars="0"/>
              <w:jc w:val="center"/>
              <w:rPr>
                <w:rFonts w:cs="宋体"/>
                <w:bCs/>
                <w:color w:val="000000"/>
                <w:kern w:val="0"/>
              </w:rPr>
            </w:pPr>
            <w:r>
              <w:rPr>
                <w:rFonts w:hint="eastAsia" w:cs="宋体"/>
                <w:bCs/>
                <w:color w:val="000000"/>
                <w:kern w:val="0"/>
                <w:lang w:eastAsia="zh-Hans"/>
              </w:rPr>
              <w:t>产品资质</w:t>
            </w:r>
          </w:p>
        </w:tc>
        <w:tc>
          <w:tcPr>
            <w:tcW w:w="4169" w:type="pct"/>
            <w:vAlign w:val="center"/>
          </w:tcPr>
          <w:p w14:paraId="5774A85F">
            <w:pPr>
              <w:widowControl/>
              <w:spacing w:line="240" w:lineRule="auto"/>
              <w:ind w:firstLine="0" w:firstLineChars="0"/>
              <w:jc w:val="left"/>
              <w:rPr>
                <w:rFonts w:cs="宋体"/>
                <w:color w:val="353535"/>
                <w:kern w:val="0"/>
              </w:rPr>
            </w:pPr>
            <w:r>
              <w:rPr>
                <w:rFonts w:hint="eastAsia" w:cs="宋体"/>
                <w:color w:val="353535"/>
                <w:kern w:val="0"/>
                <w:lang w:eastAsia="zh-CN"/>
              </w:rPr>
              <w:t>所提供的</w:t>
            </w:r>
            <w:r>
              <w:rPr>
                <w:rFonts w:hint="eastAsia" w:cs="宋体"/>
                <w:color w:val="353535"/>
                <w:kern w:val="0"/>
              </w:rPr>
              <w:t>需具备网络安全专用产品安全检测证书。</w:t>
            </w:r>
          </w:p>
        </w:tc>
      </w:tr>
      <w:tr w14:paraId="47AE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Align w:val="center"/>
          </w:tcPr>
          <w:p w14:paraId="152B6ABC">
            <w:pPr>
              <w:widowControl/>
              <w:spacing w:line="240" w:lineRule="auto"/>
              <w:ind w:firstLine="0" w:firstLineChars="0"/>
              <w:jc w:val="center"/>
              <w:rPr>
                <w:rFonts w:cs="宋体"/>
                <w:bCs/>
                <w:color w:val="000000"/>
                <w:kern w:val="0"/>
              </w:rPr>
            </w:pPr>
            <w:r>
              <w:rPr>
                <w:rFonts w:hint="eastAsia" w:cs="宋体"/>
                <w:bCs/>
                <w:color w:val="000000"/>
                <w:kern w:val="0"/>
              </w:rPr>
              <w:t>性能要求</w:t>
            </w:r>
          </w:p>
        </w:tc>
        <w:tc>
          <w:tcPr>
            <w:tcW w:w="4169" w:type="pct"/>
            <w:vAlign w:val="center"/>
          </w:tcPr>
          <w:p w14:paraId="1F25D653">
            <w:pPr>
              <w:widowControl/>
              <w:spacing w:line="240" w:lineRule="auto"/>
              <w:ind w:firstLine="0" w:firstLineChars="0"/>
              <w:jc w:val="left"/>
              <w:rPr>
                <w:rFonts w:cs="宋体"/>
                <w:color w:val="353535"/>
                <w:kern w:val="0"/>
              </w:rPr>
            </w:pPr>
            <w:r>
              <w:rPr>
                <w:rFonts w:hint="eastAsia" w:cs="宋体"/>
                <w:color w:val="353535"/>
                <w:kern w:val="0"/>
              </w:rPr>
              <w:t>支持国产化终端系统，包含500个终端授权许可。质保期3年。</w:t>
            </w:r>
          </w:p>
        </w:tc>
      </w:tr>
      <w:tr w14:paraId="2E84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1" w:type="pct"/>
            <w:vAlign w:val="center"/>
          </w:tcPr>
          <w:p w14:paraId="2E836441">
            <w:pPr>
              <w:spacing w:line="240" w:lineRule="auto"/>
              <w:ind w:firstLine="0" w:firstLineChars="0"/>
              <w:jc w:val="center"/>
              <w:rPr>
                <w:rFonts w:cs="宋体"/>
                <w:kern w:val="0"/>
              </w:rPr>
            </w:pPr>
            <w:r>
              <w:rPr>
                <w:rFonts w:hint="eastAsia" w:cs="宋体"/>
                <w:kern w:val="0"/>
              </w:rPr>
              <w:t>检测因子</w:t>
            </w:r>
          </w:p>
        </w:tc>
        <w:tc>
          <w:tcPr>
            <w:tcW w:w="4169" w:type="pct"/>
            <w:vAlign w:val="center"/>
          </w:tcPr>
          <w:p w14:paraId="28DD3D10">
            <w:pPr>
              <w:spacing w:line="240" w:lineRule="auto"/>
              <w:ind w:left="240" w:hanging="240" w:hangingChars="100"/>
              <w:jc w:val="left"/>
              <w:rPr>
                <w:rFonts w:cs="宋体"/>
                <w:kern w:val="0"/>
              </w:rPr>
            </w:pPr>
            <w:r>
              <w:rPr>
                <w:rFonts w:hint="eastAsia" w:cs="宋体"/>
                <w:kern w:val="0"/>
              </w:rPr>
              <w:t>支持关键字检测内容，关键字支持核心商密、秘密、普通商密、</w:t>
            </w:r>
          </w:p>
          <w:p w14:paraId="587AA1AE">
            <w:pPr>
              <w:spacing w:line="240" w:lineRule="auto"/>
              <w:ind w:left="240" w:hanging="240" w:hangingChars="100"/>
              <w:jc w:val="left"/>
              <w:rPr>
                <w:rFonts w:cs="宋体"/>
                <w:kern w:val="0"/>
              </w:rPr>
            </w:pPr>
            <w:r>
              <w:rPr>
                <w:rFonts w:hint="eastAsia" w:cs="宋体"/>
                <w:kern w:val="0"/>
              </w:rPr>
              <w:t>绝 密、机密、内部公开。</w:t>
            </w:r>
          </w:p>
        </w:tc>
      </w:tr>
      <w:tr w14:paraId="3D5C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Align w:val="center"/>
          </w:tcPr>
          <w:p w14:paraId="05E4DADB">
            <w:pPr>
              <w:spacing w:line="240" w:lineRule="auto"/>
              <w:ind w:firstLine="0" w:firstLineChars="0"/>
              <w:jc w:val="center"/>
              <w:rPr>
                <w:rFonts w:cs="宋体"/>
                <w:kern w:val="0"/>
              </w:rPr>
            </w:pPr>
            <w:r>
              <w:rPr>
                <w:rFonts w:hint="eastAsia" w:cs="宋体"/>
                <w:kern w:val="0"/>
              </w:rPr>
              <w:t>正则表达式</w:t>
            </w:r>
          </w:p>
        </w:tc>
        <w:tc>
          <w:tcPr>
            <w:tcW w:w="4169" w:type="pct"/>
            <w:vAlign w:val="center"/>
          </w:tcPr>
          <w:p w14:paraId="13243DD0">
            <w:pPr>
              <w:spacing w:line="240" w:lineRule="auto"/>
              <w:ind w:firstLine="0" w:firstLineChars="0"/>
              <w:jc w:val="left"/>
              <w:rPr>
                <w:rFonts w:cs="宋体"/>
                <w:kern w:val="0"/>
              </w:rPr>
            </w:pPr>
            <w:r>
              <w:rPr>
                <w:rFonts w:hint="eastAsia" w:cs="宋体"/>
                <w:kern w:val="0"/>
              </w:rPr>
              <w:t>正则表达式：系统内置了IPV4、IPV6、手机序列号、移动用户识别码、社会信用代码、中国公民身份证号、车辆识别码、详细地址、航班号、移动电话号码、银行卡、营业执照等常见的格式化数据的正则表达式检测因子，同时也支持手动新增正则表达式检测因子。</w:t>
            </w:r>
          </w:p>
        </w:tc>
      </w:tr>
      <w:tr w14:paraId="7F58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Align w:val="center"/>
          </w:tcPr>
          <w:p w14:paraId="1EA9FD4C">
            <w:pPr>
              <w:spacing w:line="240" w:lineRule="auto"/>
              <w:ind w:firstLine="0" w:firstLineChars="0"/>
              <w:jc w:val="center"/>
              <w:rPr>
                <w:rFonts w:cs="宋体"/>
                <w:kern w:val="0"/>
              </w:rPr>
            </w:pPr>
            <w:r>
              <w:rPr>
                <w:rFonts w:hint="eastAsia" w:cs="宋体"/>
                <w:kern w:val="0"/>
              </w:rPr>
              <w:t>字典</w:t>
            </w:r>
          </w:p>
        </w:tc>
        <w:tc>
          <w:tcPr>
            <w:tcW w:w="4169" w:type="pct"/>
            <w:vAlign w:val="center"/>
          </w:tcPr>
          <w:p w14:paraId="109B46D2">
            <w:pPr>
              <w:spacing w:line="240" w:lineRule="auto"/>
              <w:ind w:firstLine="0" w:firstLineChars="0"/>
              <w:jc w:val="left"/>
              <w:rPr>
                <w:rFonts w:cs="宋体"/>
                <w:kern w:val="0"/>
              </w:rPr>
            </w:pPr>
            <w:r>
              <w:rPr>
                <w:rFonts w:hint="eastAsia" w:cs="宋体"/>
                <w:kern w:val="0"/>
              </w:rPr>
              <w:t>字典是一个或多个关键字或者正则表达式的合集，支持航班号前缀、货币代码、货币、学科代码、学科、国家或地区代码等。</w:t>
            </w:r>
          </w:p>
        </w:tc>
      </w:tr>
      <w:tr w14:paraId="3FF1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Align w:val="center"/>
          </w:tcPr>
          <w:p w14:paraId="7CCC870F">
            <w:pPr>
              <w:spacing w:line="240" w:lineRule="auto"/>
              <w:ind w:firstLine="0" w:firstLineChars="0"/>
              <w:jc w:val="center"/>
              <w:rPr>
                <w:rFonts w:cs="宋体"/>
                <w:kern w:val="0"/>
              </w:rPr>
            </w:pPr>
            <w:r>
              <w:rPr>
                <w:rFonts w:hint="eastAsia" w:cs="宋体"/>
                <w:kern w:val="0"/>
              </w:rPr>
              <w:t>数据库指纹</w:t>
            </w:r>
          </w:p>
        </w:tc>
        <w:tc>
          <w:tcPr>
            <w:tcW w:w="4169" w:type="pct"/>
            <w:vAlign w:val="center"/>
          </w:tcPr>
          <w:p w14:paraId="1FA67311">
            <w:pPr>
              <w:spacing w:line="240" w:lineRule="auto"/>
              <w:ind w:firstLine="0" w:firstLineChars="0"/>
              <w:jc w:val="left"/>
              <w:rPr>
                <w:rFonts w:cs="宋体"/>
                <w:kern w:val="0"/>
              </w:rPr>
            </w:pPr>
            <w:r>
              <w:rPr>
                <w:rFonts w:hint="eastAsia" w:cs="宋体"/>
                <w:kern w:val="0"/>
              </w:rPr>
              <w:t>支持用户自定义配置文档指纹，支持配置名称并上传文档指纹。</w:t>
            </w:r>
          </w:p>
        </w:tc>
      </w:tr>
      <w:tr w14:paraId="4E90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1" w:type="pct"/>
            <w:vAlign w:val="center"/>
          </w:tcPr>
          <w:p w14:paraId="78F71BE5">
            <w:pPr>
              <w:spacing w:line="240" w:lineRule="auto"/>
              <w:ind w:firstLine="0" w:firstLineChars="0"/>
              <w:jc w:val="center"/>
              <w:rPr>
                <w:rFonts w:cs="宋体"/>
                <w:kern w:val="0"/>
              </w:rPr>
            </w:pPr>
            <w:r>
              <w:rPr>
                <w:rFonts w:hint="eastAsia" w:cs="宋体"/>
                <w:kern w:val="0"/>
              </w:rPr>
              <w:t>文档指纹</w:t>
            </w:r>
          </w:p>
        </w:tc>
        <w:tc>
          <w:tcPr>
            <w:tcW w:w="4169" w:type="pct"/>
            <w:vAlign w:val="center"/>
          </w:tcPr>
          <w:p w14:paraId="50316DF9">
            <w:pPr>
              <w:spacing w:line="240" w:lineRule="auto"/>
              <w:ind w:firstLine="0" w:firstLineChars="0"/>
              <w:jc w:val="left"/>
              <w:rPr>
                <w:rFonts w:cs="宋体"/>
                <w:kern w:val="0"/>
              </w:rPr>
            </w:pPr>
            <w:r>
              <w:rPr>
                <w:rFonts w:hint="eastAsia" w:cs="宋体"/>
                <w:kern w:val="0"/>
              </w:rPr>
              <w:t>文档指纹将待检测的内容或文档，与Word文件、PPT文件、PDF文件、各种源程序文件等非结构化储存的样本文档进行匹配，获得相似度，并以此判断其是否源自样本文档库。</w:t>
            </w:r>
          </w:p>
        </w:tc>
      </w:tr>
      <w:tr w14:paraId="3638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Align w:val="center"/>
          </w:tcPr>
          <w:p w14:paraId="62872E9B">
            <w:pPr>
              <w:spacing w:line="240" w:lineRule="auto"/>
              <w:ind w:firstLine="0" w:firstLineChars="0"/>
              <w:jc w:val="center"/>
              <w:rPr>
                <w:rFonts w:cs="宋体"/>
                <w:kern w:val="0"/>
              </w:rPr>
            </w:pPr>
            <w:r>
              <w:rPr>
                <w:rFonts w:hint="eastAsia" w:cs="宋体"/>
                <w:kern w:val="0"/>
              </w:rPr>
              <w:t>语义模型</w:t>
            </w:r>
          </w:p>
        </w:tc>
        <w:tc>
          <w:tcPr>
            <w:tcW w:w="4169" w:type="pct"/>
            <w:vAlign w:val="center"/>
          </w:tcPr>
          <w:p w14:paraId="45E02CE0">
            <w:pPr>
              <w:spacing w:line="240" w:lineRule="auto"/>
              <w:ind w:firstLine="0" w:firstLineChars="0"/>
              <w:jc w:val="left"/>
              <w:rPr>
                <w:rFonts w:cs="宋体"/>
                <w:kern w:val="0"/>
              </w:rPr>
            </w:pPr>
            <w:r>
              <w:rPr>
                <w:rFonts w:hint="eastAsia" w:cs="宋体"/>
                <w:kern w:val="0"/>
              </w:rPr>
              <w:t>支持用户自定义配置语义模型，支持配置语义模型名称并可上传语义模型。</w:t>
            </w:r>
          </w:p>
        </w:tc>
      </w:tr>
      <w:tr w14:paraId="4DE2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Align w:val="center"/>
          </w:tcPr>
          <w:p w14:paraId="5F9E3961">
            <w:pPr>
              <w:spacing w:line="240" w:lineRule="auto"/>
              <w:ind w:firstLine="0" w:firstLineChars="0"/>
              <w:jc w:val="center"/>
              <w:rPr>
                <w:rFonts w:cs="宋体"/>
                <w:kern w:val="0"/>
              </w:rPr>
            </w:pPr>
            <w:r>
              <w:rPr>
                <w:rFonts w:hint="eastAsia" w:cs="宋体"/>
                <w:kern w:val="0"/>
              </w:rPr>
              <w:t>文件类型</w:t>
            </w:r>
          </w:p>
        </w:tc>
        <w:tc>
          <w:tcPr>
            <w:tcW w:w="4169" w:type="pct"/>
            <w:vAlign w:val="center"/>
          </w:tcPr>
          <w:p w14:paraId="1D03DD13">
            <w:pPr>
              <w:spacing w:line="240" w:lineRule="auto"/>
              <w:ind w:firstLine="0" w:firstLineChars="0"/>
              <w:jc w:val="left"/>
              <w:rPr>
                <w:rFonts w:cs="宋体"/>
                <w:kern w:val="0"/>
              </w:rPr>
            </w:pPr>
            <w:r>
              <w:rPr>
                <w:rFonts w:hint="eastAsia" w:cs="宋体"/>
                <w:kern w:val="0"/>
              </w:rPr>
              <w:t>支持的文件类型包括文字处理、电子表格、演示文稿、PDF、压缩包、可执行程序、图片、视频、音频、图形、设计图纸、项目管理等，同时支持手动新增文件类型检测因子，支持配置文件类型名称及后缀。</w:t>
            </w:r>
          </w:p>
        </w:tc>
      </w:tr>
      <w:tr w14:paraId="7E50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Merge w:val="restart"/>
            <w:vAlign w:val="center"/>
          </w:tcPr>
          <w:p w14:paraId="048B7CB2">
            <w:pPr>
              <w:spacing w:line="240" w:lineRule="auto"/>
              <w:ind w:firstLine="0" w:firstLineChars="0"/>
              <w:jc w:val="center"/>
              <w:rPr>
                <w:rFonts w:cs="宋体"/>
                <w:kern w:val="0"/>
              </w:rPr>
            </w:pPr>
            <w:r>
              <w:rPr>
                <w:rFonts w:hint="eastAsia" w:cs="宋体"/>
                <w:kern w:val="0"/>
              </w:rPr>
              <w:t>数据分类分级</w:t>
            </w:r>
          </w:p>
        </w:tc>
        <w:tc>
          <w:tcPr>
            <w:tcW w:w="4169" w:type="pct"/>
            <w:vAlign w:val="center"/>
          </w:tcPr>
          <w:p w14:paraId="66F036FE">
            <w:pPr>
              <w:spacing w:line="240" w:lineRule="auto"/>
              <w:ind w:firstLine="0" w:firstLineChars="0"/>
              <w:jc w:val="left"/>
              <w:rPr>
                <w:rFonts w:cs="宋体"/>
                <w:kern w:val="0"/>
              </w:rPr>
            </w:pPr>
            <w:r>
              <w:rPr>
                <w:rFonts w:hint="eastAsia" w:cs="宋体"/>
                <w:kern w:val="0"/>
              </w:rPr>
              <w:t>系统内置5个数据严重性等级，同时支持自定义数据严重性等级，支持配置分级名称、敏感度、颜色、是否敏感数据等。</w:t>
            </w:r>
          </w:p>
        </w:tc>
      </w:tr>
      <w:tr w14:paraId="0459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1" w:type="pct"/>
            <w:vMerge w:val="continue"/>
            <w:vAlign w:val="center"/>
          </w:tcPr>
          <w:p w14:paraId="7A91E94D">
            <w:pPr>
              <w:spacing w:line="240" w:lineRule="auto"/>
              <w:ind w:firstLine="0" w:firstLineChars="0"/>
              <w:jc w:val="center"/>
              <w:rPr>
                <w:rFonts w:cs="宋体"/>
                <w:kern w:val="0"/>
              </w:rPr>
            </w:pPr>
          </w:p>
        </w:tc>
        <w:tc>
          <w:tcPr>
            <w:tcW w:w="4169" w:type="pct"/>
            <w:vAlign w:val="center"/>
          </w:tcPr>
          <w:p w14:paraId="16853CF1">
            <w:pPr>
              <w:spacing w:line="240" w:lineRule="auto"/>
              <w:ind w:firstLine="0" w:firstLineChars="0"/>
              <w:jc w:val="left"/>
              <w:rPr>
                <w:rFonts w:cs="宋体"/>
                <w:kern w:val="0"/>
              </w:rPr>
            </w:pPr>
            <w:r>
              <w:rPr>
                <w:rFonts w:hint="eastAsia" w:cs="宋体"/>
                <w:kern w:val="0"/>
              </w:rPr>
              <w:t>系统内置不少于14个分类模板，包括但不限于网络安全法、网约车、疫情、CCPA、GDPR、等保、电信、个人信息、工业互联网、公安、金融、数据安全法、通用等系统内置了14个分类模板（如公安、疫情、等保、证券等），同时也支持自定义内置分类模板，清晰划分数据分类。</w:t>
            </w:r>
          </w:p>
        </w:tc>
      </w:tr>
      <w:tr w14:paraId="5F65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Merge w:val="restart"/>
            <w:vAlign w:val="center"/>
          </w:tcPr>
          <w:p w14:paraId="26B51BD9">
            <w:pPr>
              <w:spacing w:line="240" w:lineRule="auto"/>
              <w:ind w:firstLine="0" w:firstLineChars="0"/>
              <w:jc w:val="center"/>
              <w:rPr>
                <w:rFonts w:cs="宋体"/>
                <w:kern w:val="0"/>
              </w:rPr>
            </w:pPr>
            <w:r>
              <w:rPr>
                <w:rFonts w:hint="eastAsia" w:cs="宋体"/>
                <w:kern w:val="0"/>
              </w:rPr>
              <w:t>响应动作</w:t>
            </w:r>
          </w:p>
        </w:tc>
        <w:tc>
          <w:tcPr>
            <w:tcW w:w="4169" w:type="pct"/>
            <w:vAlign w:val="center"/>
          </w:tcPr>
          <w:p w14:paraId="2F1408BD">
            <w:pPr>
              <w:spacing w:line="240" w:lineRule="auto"/>
              <w:ind w:firstLine="0" w:firstLineChars="0"/>
              <w:jc w:val="left"/>
              <w:rPr>
                <w:rFonts w:cs="宋体"/>
                <w:kern w:val="0"/>
              </w:rPr>
            </w:pPr>
            <w:r>
              <w:rPr>
                <w:rFonts w:hint="eastAsia" w:cs="宋体"/>
                <w:kern w:val="0"/>
              </w:rPr>
              <w:t>可根据数据的严重性：信息、低、中、高（并可自定义严重性）执行不同的响应动作，如（提醒、询问、阻止、上传文件等），形成阶梯式响应强度。</w:t>
            </w:r>
          </w:p>
        </w:tc>
      </w:tr>
      <w:tr w14:paraId="0AAD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Merge w:val="continue"/>
            <w:vAlign w:val="center"/>
          </w:tcPr>
          <w:p w14:paraId="2422742F">
            <w:pPr>
              <w:spacing w:line="240" w:lineRule="auto"/>
              <w:ind w:firstLine="0" w:firstLineChars="0"/>
              <w:jc w:val="center"/>
              <w:rPr>
                <w:rFonts w:cs="宋体"/>
                <w:kern w:val="0"/>
              </w:rPr>
            </w:pPr>
          </w:p>
        </w:tc>
        <w:tc>
          <w:tcPr>
            <w:tcW w:w="4169" w:type="pct"/>
            <w:vAlign w:val="center"/>
          </w:tcPr>
          <w:p w14:paraId="4E387E49">
            <w:pPr>
              <w:spacing w:line="240" w:lineRule="auto"/>
              <w:ind w:firstLine="0" w:firstLineChars="0"/>
              <w:jc w:val="left"/>
              <w:rPr>
                <w:rFonts w:cs="宋体"/>
                <w:kern w:val="0"/>
              </w:rPr>
            </w:pPr>
            <w:r>
              <w:rPr>
                <w:rFonts w:hint="eastAsia" w:cs="宋体"/>
                <w:kern w:val="0"/>
              </w:rPr>
              <w:t>可对在线终端与离线终端分别执行不同的响应动作，如（提醒、询问、阻止、上传文件等）；可以自定义设置匹配次数区间，并自定义达到区间的响应动作，如（提醒、询问、阻止、上传文件等）。</w:t>
            </w:r>
          </w:p>
        </w:tc>
      </w:tr>
      <w:tr w14:paraId="7944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pct"/>
            <w:vMerge w:val="restart"/>
            <w:vAlign w:val="center"/>
          </w:tcPr>
          <w:p w14:paraId="0D1918A2">
            <w:pPr>
              <w:spacing w:line="240" w:lineRule="auto"/>
              <w:ind w:firstLine="0" w:firstLineChars="0"/>
              <w:jc w:val="center"/>
              <w:rPr>
                <w:rFonts w:cs="宋体"/>
                <w:kern w:val="0"/>
              </w:rPr>
            </w:pPr>
            <w:r>
              <w:rPr>
                <w:rFonts w:hint="eastAsia" w:cs="宋体"/>
                <w:kern w:val="0"/>
              </w:rPr>
              <w:t>识别配置</w:t>
            </w:r>
          </w:p>
        </w:tc>
        <w:tc>
          <w:tcPr>
            <w:tcW w:w="4169" w:type="pct"/>
            <w:vAlign w:val="center"/>
          </w:tcPr>
          <w:p w14:paraId="142ECD9B">
            <w:pPr>
              <w:spacing w:line="240" w:lineRule="auto"/>
              <w:ind w:firstLine="0" w:firstLineChars="0"/>
              <w:jc w:val="left"/>
              <w:rPr>
                <w:rFonts w:cs="宋体"/>
                <w:kern w:val="0"/>
              </w:rPr>
            </w:pPr>
            <w:r>
              <w:rPr>
                <w:rFonts w:hint="eastAsia" w:cs="宋体"/>
                <w:kern w:val="0"/>
              </w:rPr>
              <w:t>支持图片中文字信息识别检测（OCR技术）。</w:t>
            </w:r>
          </w:p>
        </w:tc>
      </w:tr>
      <w:tr w14:paraId="1234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831" w:type="pct"/>
            <w:vMerge w:val="continue"/>
            <w:vAlign w:val="center"/>
          </w:tcPr>
          <w:p w14:paraId="16242602">
            <w:pPr>
              <w:spacing w:line="240" w:lineRule="auto"/>
              <w:ind w:firstLine="0" w:firstLineChars="0"/>
              <w:jc w:val="center"/>
              <w:rPr>
                <w:rFonts w:cs="宋体"/>
                <w:kern w:val="0"/>
              </w:rPr>
            </w:pPr>
          </w:p>
        </w:tc>
        <w:tc>
          <w:tcPr>
            <w:tcW w:w="4169" w:type="pct"/>
            <w:vAlign w:val="center"/>
          </w:tcPr>
          <w:p w14:paraId="0D18F478">
            <w:pPr>
              <w:spacing w:line="240" w:lineRule="auto"/>
              <w:ind w:firstLine="0" w:firstLineChars="0"/>
              <w:jc w:val="left"/>
              <w:rPr>
                <w:rFonts w:cs="宋体"/>
                <w:kern w:val="0"/>
              </w:rPr>
            </w:pPr>
            <w:r>
              <w:rPr>
                <w:rFonts w:hint="eastAsia" w:cs="宋体"/>
                <w:kern w:val="0"/>
              </w:rPr>
              <w:t>支持对压缩包内容进行穿透检测，并支持自定义穿透层数。支持自定义设置识别的文件大小限制与识别超时时间。支持自定义设置文件内容检测的最大匹配次数及日志匹配详情最大上传数量。</w:t>
            </w:r>
          </w:p>
        </w:tc>
      </w:tr>
      <w:tr w14:paraId="65EF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831" w:type="pct"/>
            <w:vAlign w:val="center"/>
          </w:tcPr>
          <w:p w14:paraId="5DD0FC1C">
            <w:pPr>
              <w:spacing w:line="240" w:lineRule="auto"/>
              <w:ind w:firstLine="0" w:firstLineChars="0"/>
              <w:jc w:val="center"/>
              <w:rPr>
                <w:rFonts w:cs="宋体"/>
                <w:kern w:val="0"/>
              </w:rPr>
            </w:pPr>
            <w:r>
              <w:rPr>
                <w:rFonts w:hint="eastAsia" w:cs="宋体"/>
                <w:kern w:val="0"/>
              </w:rPr>
              <w:t>扫描配置</w:t>
            </w:r>
          </w:p>
        </w:tc>
        <w:tc>
          <w:tcPr>
            <w:tcW w:w="4169" w:type="pct"/>
            <w:vAlign w:val="center"/>
          </w:tcPr>
          <w:p w14:paraId="5BE0DA80">
            <w:pPr>
              <w:spacing w:line="240" w:lineRule="auto"/>
              <w:ind w:firstLine="0" w:firstLineChars="0"/>
              <w:jc w:val="left"/>
              <w:rPr>
                <w:rFonts w:cs="宋体"/>
                <w:kern w:val="0"/>
              </w:rPr>
            </w:pPr>
            <w:r>
              <w:rPr>
                <w:rFonts w:hint="eastAsia" w:cs="宋体"/>
                <w:kern w:val="0"/>
              </w:rPr>
              <w:t>支持自定义扫描时间周期（每天、每周、每月）；可自定义扫描目录、排除指定目录。支持在开机、进程启动、账户登录时触发扫描任务。具备极速扫描、自适应扫描、低资源占用扫描三种扫描模式，可自定义设置扫描占用的CPU资源。支持记录扫描任务的历史信息，包含终端名称、所属分组、任务名称、创建时间、任务类型、执行状态、完成原因、当前进度/耗时、操作项。支持对邮件发送者/接收者进行检测，对匹配或者不匹配校验规则的发送者/接收者进行检测或者免检。支持设置进程白名单，白名单内的进程将不做任何监控。</w:t>
            </w:r>
          </w:p>
        </w:tc>
      </w:tr>
      <w:tr w14:paraId="5C35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831" w:type="pct"/>
            <w:vAlign w:val="center"/>
          </w:tcPr>
          <w:p w14:paraId="1F7F293B">
            <w:pPr>
              <w:spacing w:line="240" w:lineRule="auto"/>
              <w:ind w:firstLine="0" w:firstLineChars="0"/>
              <w:jc w:val="center"/>
              <w:rPr>
                <w:rFonts w:cs="宋体"/>
                <w:kern w:val="0"/>
              </w:rPr>
            </w:pPr>
            <w:r>
              <w:rPr>
                <w:rFonts w:hint="eastAsia" w:cs="宋体"/>
                <w:kern w:val="0"/>
              </w:rPr>
              <w:t>防泄漏日志</w:t>
            </w:r>
          </w:p>
        </w:tc>
        <w:tc>
          <w:tcPr>
            <w:tcW w:w="4169" w:type="pct"/>
            <w:vAlign w:val="center"/>
          </w:tcPr>
          <w:p w14:paraId="1186DCB8">
            <w:pPr>
              <w:spacing w:line="240" w:lineRule="auto"/>
              <w:ind w:firstLine="0" w:firstLineChars="0"/>
              <w:jc w:val="left"/>
              <w:rPr>
                <w:rFonts w:cs="宋体"/>
                <w:kern w:val="0"/>
              </w:rPr>
            </w:pPr>
            <w:r>
              <w:rPr>
                <w:rFonts w:hint="eastAsia" w:cs="宋体"/>
                <w:kern w:val="0"/>
              </w:rPr>
              <w:t>支持在一个页面对所有的日志进行统一查询；并显示隐藏日志。支持对所有的日志进行精确查询，支持按终端名称、所属分组、文件名称、IP地址、资产责任人、资产责任人账号、数据类型、日志ID等字段进行查询。支持在审计日志中对所筛选出的日志进行导出。</w:t>
            </w:r>
          </w:p>
        </w:tc>
      </w:tr>
    </w:tbl>
    <w:p w14:paraId="352D885B">
      <w:pPr>
        <w:ind w:firstLine="0" w:firstLineChars="0"/>
      </w:pPr>
    </w:p>
    <w:p w14:paraId="7581A333">
      <w:pPr>
        <w:ind w:firstLine="0" w:firstLineChars="0"/>
        <w:rPr>
          <w:rFonts w:hint="eastAsia"/>
        </w:rPr>
      </w:pPr>
    </w:p>
    <w:p w14:paraId="1DE5C939">
      <w:pPr>
        <w:pStyle w:val="2"/>
        <w:rPr>
          <w:rFonts w:hint="eastAsia"/>
        </w:rPr>
      </w:pPr>
      <w:bookmarkStart w:id="17" w:name="_Toc63785502"/>
      <w:r>
        <w:rPr>
          <w:rFonts w:hint="eastAsia"/>
        </w:rPr>
        <w:t>电子政务云资源需求</w:t>
      </w:r>
      <w:bookmarkEnd w:id="17"/>
    </w:p>
    <w:p w14:paraId="493A51E8">
      <w:pPr>
        <w:pStyle w:val="110"/>
        <w:snapToGrid w:val="0"/>
        <w:spacing w:line="360" w:lineRule="auto"/>
        <w:ind w:firstLine="480"/>
        <w:rPr>
          <w:rFonts w:hint="eastAsia" w:ascii="宋体" w:hAnsi="宋体"/>
          <w:sz w:val="24"/>
          <w:szCs w:val="24"/>
        </w:rPr>
      </w:pPr>
      <w:r>
        <w:rPr>
          <w:rFonts w:hint="eastAsia" w:ascii="宋体" w:hAnsi="宋体"/>
          <w:sz w:val="24"/>
          <w:szCs w:val="24"/>
        </w:rPr>
        <w:t>本项目属于基础设施建设，未涉及。</w:t>
      </w:r>
    </w:p>
    <w:p w14:paraId="3B8758AF">
      <w:pPr>
        <w:pStyle w:val="2"/>
        <w:rPr>
          <w:rFonts w:hint="eastAsia"/>
        </w:rPr>
      </w:pPr>
      <w:bookmarkStart w:id="18" w:name="_Toc63785503"/>
      <w:r>
        <w:rPr>
          <w:rFonts w:hint="eastAsia"/>
        </w:rPr>
        <w:t>其他工作要求</w:t>
      </w:r>
      <w:bookmarkEnd w:id="18"/>
    </w:p>
    <w:p w14:paraId="630FC3EA">
      <w:pPr>
        <w:pStyle w:val="110"/>
        <w:snapToGrid w:val="0"/>
        <w:spacing w:line="360" w:lineRule="auto"/>
        <w:ind w:firstLine="480"/>
        <w:rPr>
          <w:rFonts w:hint="eastAsia" w:ascii="宋体" w:hAnsi="宋体"/>
          <w:sz w:val="24"/>
          <w:szCs w:val="24"/>
        </w:rPr>
      </w:pPr>
      <w:r>
        <w:rPr>
          <w:rFonts w:hint="eastAsia" w:ascii="宋体" w:hAnsi="宋体"/>
          <w:sz w:val="24"/>
          <w:szCs w:val="24"/>
        </w:rPr>
        <w:t>本项目网络安全等级按照第三级进行设计和建设。系统建设完成后，将由采购人委托第三方安全测评机构对本项目进行安全测评，测评费用不包含在本次报价中。</w:t>
      </w:r>
      <w:r>
        <w:rPr>
          <w:rFonts w:hint="eastAsia" w:ascii="宋体" w:hAnsi="宋体"/>
          <w:sz w:val="24"/>
          <w:szCs w:val="24"/>
          <w:lang w:eastAsia="zh-CN"/>
        </w:rPr>
        <w:t>响应供应商</w:t>
      </w:r>
      <w:r>
        <w:rPr>
          <w:rFonts w:hint="eastAsia" w:ascii="宋体" w:hAnsi="宋体"/>
          <w:sz w:val="24"/>
          <w:szCs w:val="24"/>
        </w:rPr>
        <w:t>需配合安全测评，超出采购人提供的安全服务由</w:t>
      </w:r>
      <w:r>
        <w:rPr>
          <w:rFonts w:hint="eastAsia" w:ascii="宋体" w:hAnsi="宋体"/>
          <w:sz w:val="24"/>
          <w:szCs w:val="24"/>
          <w:lang w:eastAsia="zh-CN"/>
        </w:rPr>
        <w:t>响应供应商</w:t>
      </w:r>
      <w:r>
        <w:rPr>
          <w:rFonts w:hint="eastAsia" w:ascii="宋体" w:hAnsi="宋体"/>
          <w:sz w:val="24"/>
          <w:szCs w:val="24"/>
        </w:rPr>
        <w:t>自理，测评通过后方可验收。</w:t>
      </w:r>
    </w:p>
    <w:p w14:paraId="4E601D5D">
      <w:pPr>
        <w:keepNext/>
        <w:keepLines/>
        <w:numPr>
          <w:ilvl w:val="1"/>
          <w:numId w:val="3"/>
        </w:numPr>
        <w:tabs>
          <w:tab w:val="left" w:pos="360"/>
        </w:tabs>
        <w:spacing w:before="120" w:line="240" w:lineRule="auto"/>
        <w:ind w:left="0" w:firstLine="0" w:firstLineChars="0"/>
        <w:outlineLvl w:val="1"/>
        <w:rPr>
          <w:rFonts w:hint="eastAsia" w:ascii="仿宋" w:hAnsi="仿宋" w:eastAsia="仿宋"/>
          <w:b/>
          <w:vanish/>
          <w:color w:val="000000"/>
          <w:sz w:val="28"/>
          <w:szCs w:val="20"/>
        </w:rPr>
      </w:pPr>
      <w:bookmarkStart w:id="19" w:name="_Toc63585480"/>
      <w:bookmarkEnd w:id="19"/>
      <w:bookmarkStart w:id="20" w:name="_Toc63762370"/>
      <w:bookmarkEnd w:id="20"/>
      <w:bookmarkStart w:id="21" w:name="_Toc63785504"/>
      <w:bookmarkEnd w:id="21"/>
      <w:bookmarkStart w:id="22" w:name="_Toc63785439"/>
      <w:bookmarkEnd w:id="22"/>
      <w:bookmarkStart w:id="23" w:name="_Toc62209488"/>
      <w:bookmarkEnd w:id="23"/>
      <w:bookmarkStart w:id="24" w:name="_Toc61968111"/>
      <w:bookmarkEnd w:id="24"/>
      <w:bookmarkStart w:id="25" w:name="_Toc63151871"/>
      <w:bookmarkEnd w:id="25"/>
      <w:bookmarkStart w:id="26" w:name="_Toc62219358"/>
      <w:bookmarkEnd w:id="26"/>
    </w:p>
    <w:p w14:paraId="7B510C5D">
      <w:pPr>
        <w:pStyle w:val="3"/>
        <w:rPr>
          <w:rFonts w:hint="eastAsia"/>
        </w:rPr>
      </w:pPr>
      <w:bookmarkStart w:id="27" w:name="_Toc63785505"/>
      <w:r>
        <w:rPr>
          <w:rFonts w:hint="eastAsia"/>
        </w:rPr>
        <w:t>售后服务要求</w:t>
      </w:r>
      <w:bookmarkEnd w:id="27"/>
    </w:p>
    <w:p w14:paraId="17B19EBE">
      <w:pPr>
        <w:pStyle w:val="110"/>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本项目从系统验收通过之日起，供应商提供设备3年质保。并提供1年7*24小时免费技术需支持，1年后进入有偿维护期。</w:t>
      </w:r>
    </w:p>
    <w:p w14:paraId="6FB3323E">
      <w:pPr>
        <w:pStyle w:val="110"/>
        <w:snapToGrid w:val="0"/>
        <w:spacing w:line="360" w:lineRule="auto"/>
        <w:ind w:firstLine="480"/>
        <w:rPr>
          <w:rFonts w:hint="eastAsia" w:ascii="宋体" w:hAnsi="宋体"/>
          <w:sz w:val="24"/>
          <w:szCs w:val="24"/>
        </w:rPr>
      </w:pPr>
      <w:r>
        <w:rPr>
          <w:rFonts w:hint="eastAsia" w:ascii="宋体" w:hAnsi="宋体"/>
          <w:sz w:val="24"/>
          <w:szCs w:val="24"/>
        </w:rPr>
        <w:t>在质量保证期内，供应商将按照售后服务的承诺提供保修和运行维护服务，如果</w:t>
      </w:r>
      <w:r>
        <w:rPr>
          <w:rFonts w:hint="eastAsia" w:ascii="宋体" w:hAnsi="宋体"/>
          <w:sz w:val="24"/>
          <w:szCs w:val="24"/>
          <w:lang w:eastAsia="zh-CN"/>
        </w:rPr>
        <w:t>供应商</w:t>
      </w:r>
      <w:r>
        <w:rPr>
          <w:rFonts w:hint="eastAsia" w:ascii="宋体" w:hAnsi="宋体"/>
          <w:sz w:val="24"/>
          <w:szCs w:val="24"/>
        </w:rPr>
        <w:t>对信息系统中软、硬件设备等产品中的部分保修期超过上述期限的，则按照</w:t>
      </w:r>
      <w:r>
        <w:rPr>
          <w:rFonts w:hint="eastAsia" w:ascii="宋体" w:hAnsi="宋体"/>
          <w:sz w:val="24"/>
          <w:szCs w:val="24"/>
          <w:lang w:eastAsia="zh-CN"/>
        </w:rPr>
        <w:t>供应商</w:t>
      </w:r>
      <w:r>
        <w:rPr>
          <w:rFonts w:hint="eastAsia" w:ascii="宋体" w:hAnsi="宋体"/>
          <w:sz w:val="24"/>
          <w:szCs w:val="24"/>
        </w:rPr>
        <w:t>的规定进行免费保修。</w:t>
      </w:r>
    </w:p>
    <w:p w14:paraId="67822A9E">
      <w:pPr>
        <w:pStyle w:val="110"/>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项目系中综合布线、门禁系统、会议系统、安防系统、网络系统、安全产品、安全产品等的正常稳定运行。</w:t>
      </w:r>
    </w:p>
    <w:p w14:paraId="6D40CEC3">
      <w:pPr>
        <w:pStyle w:val="3"/>
        <w:rPr>
          <w:rFonts w:hint="eastAsia"/>
        </w:rPr>
      </w:pPr>
      <w:bookmarkStart w:id="28" w:name="_Toc63785506"/>
      <w:r>
        <w:rPr>
          <w:rFonts w:hint="eastAsia"/>
        </w:rPr>
        <w:t>应急响应要求</w:t>
      </w:r>
      <w:bookmarkEnd w:id="28"/>
    </w:p>
    <w:p w14:paraId="0C0AA818">
      <w:pPr>
        <w:pStyle w:val="110"/>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供应商对系统故障应能够实时响应，对于发现的应用故障按照严重级别分为常规（IV级）、一般（III级）、较大（II级）、重大（I级）四个等级，具体处置标准如下：</w:t>
      </w:r>
    </w:p>
    <w:p w14:paraId="1FDA237F">
      <w:pPr>
        <w:pStyle w:val="110"/>
        <w:snapToGrid w:val="0"/>
        <w:spacing w:line="360" w:lineRule="auto"/>
        <w:ind w:firstLine="480"/>
        <w:rPr>
          <w:rFonts w:hint="eastAsia" w:ascii="宋体" w:hAnsi="宋体"/>
          <w:sz w:val="24"/>
          <w:szCs w:val="24"/>
        </w:rPr>
      </w:pPr>
      <w:r>
        <w:rPr>
          <w:rFonts w:hint="eastAsia" w:ascii="宋体" w:hAnsi="宋体"/>
          <w:sz w:val="24"/>
          <w:szCs w:val="24"/>
        </w:rPr>
        <w:t>针对重大（I级）事件，造成如平台业务中断，短期内系统无法恢复（业务中断超过12小时）的，供应商应在5分钟内响应，并在2小时内完成修复。</w:t>
      </w:r>
    </w:p>
    <w:p w14:paraId="7C7345AE">
      <w:pPr>
        <w:pStyle w:val="110"/>
        <w:snapToGrid w:val="0"/>
        <w:spacing w:line="360" w:lineRule="auto"/>
        <w:ind w:firstLine="480"/>
        <w:rPr>
          <w:rFonts w:hint="eastAsia" w:ascii="宋体" w:hAnsi="宋体"/>
          <w:sz w:val="24"/>
          <w:szCs w:val="24"/>
        </w:rPr>
      </w:pPr>
      <w:r>
        <w:rPr>
          <w:rFonts w:hint="eastAsia" w:ascii="宋体" w:hAnsi="宋体"/>
          <w:sz w:val="24"/>
          <w:szCs w:val="24"/>
        </w:rPr>
        <w:t>针对较大（II级）事件，造成较大范围出现的网络延时或故障，大部分应用功能缺陷或短暂不可用，导致超过平台20%用户受影响的，供应商应在15分钟内响应，并在24小时内完成修复。</w:t>
      </w:r>
    </w:p>
    <w:p w14:paraId="64B731F7">
      <w:pPr>
        <w:pStyle w:val="110"/>
        <w:snapToGrid w:val="0"/>
        <w:spacing w:line="360" w:lineRule="auto"/>
        <w:ind w:firstLine="480"/>
        <w:rPr>
          <w:rFonts w:hint="eastAsia" w:ascii="宋体" w:hAnsi="宋体"/>
          <w:sz w:val="24"/>
          <w:szCs w:val="24"/>
        </w:rPr>
      </w:pPr>
      <w:r>
        <w:rPr>
          <w:rFonts w:hint="eastAsia" w:ascii="宋体" w:hAnsi="宋体"/>
          <w:sz w:val="24"/>
          <w:szCs w:val="24"/>
        </w:rPr>
        <w:t>针对一般（III级）事件，造成小范围出现的网络延时或故障，小部分应用功能缺陷或短暂不可用，导致个别用户受影响的，供应商应在30分钟内响应，并在48小时内完成修复。</w:t>
      </w:r>
    </w:p>
    <w:p w14:paraId="43FC80A5">
      <w:pPr>
        <w:pStyle w:val="110"/>
        <w:snapToGrid w:val="0"/>
        <w:spacing w:line="360" w:lineRule="auto"/>
        <w:ind w:firstLine="480"/>
        <w:rPr>
          <w:rFonts w:hint="eastAsia" w:ascii="宋体" w:hAnsi="宋体"/>
          <w:sz w:val="24"/>
          <w:szCs w:val="24"/>
        </w:rPr>
      </w:pPr>
      <w:r>
        <w:rPr>
          <w:rFonts w:hint="eastAsia" w:ascii="宋体" w:hAnsi="宋体"/>
          <w:sz w:val="24"/>
          <w:szCs w:val="24"/>
        </w:rPr>
        <w:t>针对常规（IV级）事件，如常规用户服务、咨询、配置、调整、应用上下架等工作，供应商应在60分钟内响应，并在72小时内进行处理。</w:t>
      </w:r>
    </w:p>
    <w:p w14:paraId="776CCB07">
      <w:pPr>
        <w:pStyle w:val="3"/>
        <w:rPr>
          <w:rFonts w:hint="eastAsia"/>
        </w:rPr>
      </w:pPr>
      <w:bookmarkStart w:id="29" w:name="_Toc63785507"/>
      <w:r>
        <w:rPr>
          <w:rFonts w:hint="eastAsia"/>
        </w:rPr>
        <w:t>培训要求</w:t>
      </w:r>
      <w:bookmarkEnd w:id="29"/>
    </w:p>
    <w:p w14:paraId="0B18C71A">
      <w:pPr>
        <w:rPr>
          <w:rFonts w:hint="eastAsia"/>
        </w:rPr>
      </w:pPr>
      <w:r>
        <w:rPr>
          <w:rFonts w:hint="eastAsia"/>
        </w:rPr>
        <w:t>对系统使用单位提供网络和安全设备操作培训，应提供详细培训方案。</w:t>
      </w:r>
    </w:p>
    <w:p w14:paraId="6D5C157D">
      <w:pPr>
        <w:rPr>
          <w:rFonts w:hint="eastAsia"/>
        </w:rPr>
      </w:pPr>
      <w:r>
        <w:rPr>
          <w:rFonts w:hint="eastAsia"/>
        </w:rPr>
        <w:t>1、在质量保证期内提供与项目相关的必要培训。</w:t>
      </w:r>
    </w:p>
    <w:p w14:paraId="48610892">
      <w:pPr>
        <w:rPr>
          <w:rFonts w:hint="eastAsia"/>
        </w:rPr>
      </w:pPr>
      <w:r>
        <w:rPr>
          <w:rFonts w:hint="eastAsia"/>
        </w:rPr>
        <w:t>2、供应商需要开展分层次的人员培训工作，培训应具有培训教材、培训环境和高水平的培训讲师。</w:t>
      </w:r>
    </w:p>
    <w:p w14:paraId="63132BC8">
      <w:pPr>
        <w:rPr>
          <w:rFonts w:hint="eastAsia"/>
        </w:rPr>
      </w:pPr>
      <w:r>
        <w:rPr>
          <w:rFonts w:hint="eastAsia"/>
        </w:rPr>
        <w:t>3、供应商应提供一般用户的基础操作培训和信息管理员的日常应用维护的培训，确保用户对象能够掌握对应的操作技能。</w:t>
      </w:r>
    </w:p>
    <w:p w14:paraId="577DBB76">
      <w:pPr>
        <w:pStyle w:val="3"/>
        <w:rPr>
          <w:rFonts w:hint="eastAsia"/>
        </w:rPr>
      </w:pPr>
      <w:bookmarkStart w:id="30" w:name="_Toc63785508"/>
      <w:r>
        <w:rPr>
          <w:rFonts w:hint="eastAsia"/>
        </w:rPr>
        <w:t>验收要求</w:t>
      </w:r>
      <w:bookmarkEnd w:id="30"/>
    </w:p>
    <w:p w14:paraId="399D8F4C">
      <w:pPr>
        <w:rPr>
          <w:rFonts w:hint="eastAsia"/>
          <w:szCs w:val="21"/>
        </w:rPr>
      </w:pPr>
      <w:r>
        <w:rPr>
          <w:rFonts w:hint="eastAsia"/>
          <w:szCs w:val="21"/>
        </w:rPr>
        <w:t>本项目按下述方式开展验收。</w:t>
      </w:r>
    </w:p>
    <w:p w14:paraId="7A913E68">
      <w:pPr>
        <w:rPr>
          <w:rFonts w:hint="eastAsia"/>
          <w:szCs w:val="21"/>
        </w:rPr>
      </w:pPr>
      <w:r>
        <w:rPr>
          <w:rFonts w:hint="eastAsia"/>
          <w:szCs w:val="21"/>
        </w:rPr>
        <w:t>（</w:t>
      </w:r>
      <w:r>
        <w:rPr>
          <w:szCs w:val="21"/>
        </w:rPr>
        <w:t>1）</w:t>
      </w:r>
      <w:r>
        <w:rPr>
          <w:rFonts w:hint="eastAsia"/>
          <w:szCs w:val="21"/>
        </w:rPr>
        <w:t>验收分初验和终验。</w:t>
      </w:r>
    </w:p>
    <w:p w14:paraId="461C995E">
      <w:pPr>
        <w:rPr>
          <w:rFonts w:hint="eastAsia"/>
          <w:szCs w:val="21"/>
        </w:rPr>
      </w:pPr>
      <w:r>
        <w:rPr>
          <w:rFonts w:hint="eastAsia"/>
          <w:szCs w:val="21"/>
        </w:rPr>
        <w:t>（</w:t>
      </w:r>
      <w:r>
        <w:rPr>
          <w:szCs w:val="21"/>
        </w:rPr>
        <w:t>2）</w:t>
      </w:r>
      <w:r>
        <w:rPr>
          <w:rFonts w:hint="eastAsia"/>
          <w:szCs w:val="21"/>
        </w:rPr>
        <w:t>初验前，供应商</w:t>
      </w:r>
      <w:r>
        <w:rPr>
          <w:rFonts w:hint="eastAsia"/>
          <w:szCs w:val="21"/>
          <w:lang w:eastAsia="zh-CN"/>
        </w:rPr>
        <w:t>需</w:t>
      </w:r>
      <w:r>
        <w:rPr>
          <w:rFonts w:hint="eastAsia"/>
          <w:szCs w:val="21"/>
        </w:rPr>
        <w:t>完成机房系统、网络系统、安全系统的软硬件安装和调试等，并对本项目进行功能和运行检测，确保所有信息系统功能模块能够正常运行且已达到本项目约定的各类标准要求。供应商应以书面形式向</w:t>
      </w:r>
      <w:r>
        <w:rPr>
          <w:rFonts w:hint="eastAsia"/>
          <w:szCs w:val="21"/>
          <w:lang w:eastAsia="zh-CN"/>
        </w:rPr>
        <w:t>采购</w:t>
      </w:r>
      <w:r>
        <w:rPr>
          <w:rFonts w:hint="eastAsia"/>
          <w:szCs w:val="21"/>
        </w:rPr>
        <w:t>方递交初验通知书。</w:t>
      </w:r>
      <w:r>
        <w:rPr>
          <w:rFonts w:hint="eastAsia"/>
          <w:szCs w:val="21"/>
          <w:lang w:eastAsia="zh-CN"/>
        </w:rPr>
        <w:t>采购</w:t>
      </w:r>
      <w:r>
        <w:rPr>
          <w:rFonts w:hint="eastAsia"/>
          <w:szCs w:val="21"/>
        </w:rPr>
        <w:t>方应当在接到通知后的5个工作日内确定初验的具体日期，由双方按照本项目的约定完成本项目的初验。</w:t>
      </w:r>
      <w:r>
        <w:rPr>
          <w:rFonts w:hint="eastAsia"/>
          <w:szCs w:val="21"/>
          <w:lang w:eastAsia="zh-CN"/>
        </w:rPr>
        <w:t>采购</w:t>
      </w:r>
      <w:r>
        <w:rPr>
          <w:rFonts w:hint="eastAsia"/>
          <w:szCs w:val="21"/>
        </w:rPr>
        <w:t>方有权委托第三方检测机构进行验收，对此供应商应当配合。</w:t>
      </w:r>
    </w:p>
    <w:p w14:paraId="3D10BB5A">
      <w:pPr>
        <w:rPr>
          <w:rFonts w:hint="eastAsia"/>
          <w:szCs w:val="21"/>
        </w:rPr>
      </w:pPr>
      <w:r>
        <w:rPr>
          <w:rFonts w:hint="eastAsia"/>
          <w:szCs w:val="21"/>
        </w:rPr>
        <w:t>（</w:t>
      </w:r>
      <w:r>
        <w:rPr>
          <w:szCs w:val="21"/>
        </w:rPr>
        <w:t>3）</w:t>
      </w:r>
      <w:r>
        <w:rPr>
          <w:rFonts w:hint="eastAsia"/>
          <w:szCs w:val="21"/>
        </w:rPr>
        <w:t>初验时，供应商</w:t>
      </w:r>
      <w:r>
        <w:rPr>
          <w:rFonts w:hint="eastAsia"/>
          <w:szCs w:val="21"/>
          <w:lang w:eastAsia="zh-CN"/>
        </w:rPr>
        <w:t>需</w:t>
      </w:r>
      <w:r>
        <w:rPr>
          <w:rFonts w:hint="eastAsia"/>
          <w:szCs w:val="21"/>
        </w:rPr>
        <w:t>提供软件文档包括《网络与安全系统设计方案》、《网络与安全系统功能测试报告》等文件。所交付的文档与文件应当是可供自然人阅读的书面和电子文档。</w:t>
      </w:r>
    </w:p>
    <w:p w14:paraId="660E187B">
      <w:pPr>
        <w:rPr>
          <w:rFonts w:hint="eastAsia"/>
          <w:szCs w:val="21"/>
        </w:rPr>
      </w:pPr>
      <w:r>
        <w:rPr>
          <w:rFonts w:hint="eastAsia"/>
          <w:szCs w:val="21"/>
        </w:rPr>
        <w:t>（</w:t>
      </w:r>
      <w:r>
        <w:rPr>
          <w:szCs w:val="21"/>
        </w:rPr>
        <w:t>4）</w:t>
      </w:r>
      <w:r>
        <w:rPr>
          <w:rFonts w:hint="eastAsia"/>
          <w:szCs w:val="21"/>
        </w:rPr>
        <w:t>自初验通过之日起，</w:t>
      </w:r>
      <w:r>
        <w:rPr>
          <w:rFonts w:hint="eastAsia"/>
          <w:szCs w:val="21"/>
          <w:lang w:eastAsia="zh-CN"/>
        </w:rPr>
        <w:t>采购</w:t>
      </w:r>
      <w:r>
        <w:rPr>
          <w:rFonts w:hint="eastAsia"/>
          <w:szCs w:val="21"/>
        </w:rPr>
        <w:t>方享有供应商免费提供30天的信息系统试运行现场驻场服务期。该期间内，供应商应当按照</w:t>
      </w:r>
      <w:r>
        <w:rPr>
          <w:rFonts w:hint="eastAsia"/>
          <w:szCs w:val="21"/>
          <w:lang w:eastAsia="zh-CN"/>
        </w:rPr>
        <w:t>采购</w:t>
      </w:r>
      <w:r>
        <w:rPr>
          <w:rFonts w:hint="eastAsia"/>
          <w:szCs w:val="21"/>
        </w:rPr>
        <w:t>方的要求提供现场技术需支持服务，解决信息系统试运行期间可能出现的各类问题，或进一步提高与完善信息系统运行水平。</w:t>
      </w:r>
    </w:p>
    <w:p w14:paraId="7FD56833">
      <w:pPr>
        <w:rPr>
          <w:rFonts w:hint="eastAsia"/>
          <w:szCs w:val="21"/>
        </w:rPr>
      </w:pPr>
      <w:r>
        <w:rPr>
          <w:rFonts w:hint="eastAsia"/>
          <w:szCs w:val="21"/>
        </w:rPr>
        <w:t>（</w:t>
      </w:r>
      <w:r>
        <w:rPr>
          <w:szCs w:val="21"/>
        </w:rPr>
        <w:t>5）</w:t>
      </w:r>
      <w:r>
        <w:rPr>
          <w:rFonts w:hint="eastAsia"/>
          <w:szCs w:val="21"/>
        </w:rPr>
        <w:t>初验通过且信息系统试运行期已经达到本项目约定的时间，经供应商确认信息系统具备正常运行条件，且信息系统通过安全测评，供应商应以书面形式通知</w:t>
      </w:r>
      <w:r>
        <w:rPr>
          <w:rFonts w:hint="eastAsia"/>
          <w:szCs w:val="21"/>
          <w:lang w:eastAsia="zh-CN"/>
        </w:rPr>
        <w:t>采购</w:t>
      </w:r>
      <w:r>
        <w:rPr>
          <w:rFonts w:hint="eastAsia"/>
          <w:szCs w:val="21"/>
        </w:rPr>
        <w:t>方信息系统已准备就绪等待终验。</w:t>
      </w:r>
      <w:r>
        <w:rPr>
          <w:rFonts w:hint="eastAsia"/>
          <w:szCs w:val="21"/>
          <w:lang w:eastAsia="zh-CN"/>
        </w:rPr>
        <w:t>采购</w:t>
      </w:r>
      <w:r>
        <w:rPr>
          <w:rFonts w:hint="eastAsia"/>
          <w:szCs w:val="21"/>
        </w:rPr>
        <w:t>方在收到终验通知30个工作日内发起组织专家验收会。</w:t>
      </w:r>
    </w:p>
    <w:p w14:paraId="6FBAFE9D">
      <w:pPr>
        <w:rPr>
          <w:rFonts w:hint="eastAsia"/>
          <w:szCs w:val="21"/>
        </w:rPr>
      </w:pPr>
      <w:r>
        <w:rPr>
          <w:rFonts w:hint="eastAsia"/>
          <w:szCs w:val="21"/>
        </w:rPr>
        <w:t>（6</w:t>
      </w:r>
      <w:r>
        <w:rPr>
          <w:szCs w:val="21"/>
        </w:rPr>
        <w:t>）</w:t>
      </w:r>
      <w:r>
        <w:rPr>
          <w:rFonts w:hint="eastAsia"/>
          <w:szCs w:val="21"/>
        </w:rPr>
        <w:t>如果属于供应商原因致使本项目未能通过终验，供应商应当排除缺陷，直至本项目完全符合验收标准，由上述情形而产生的相关费用应由供应商自行承担。</w:t>
      </w:r>
    </w:p>
    <w:p w14:paraId="53D5ECC5">
      <w:pPr>
        <w:rPr>
          <w:rFonts w:hint="eastAsia"/>
          <w:szCs w:val="21"/>
        </w:rPr>
      </w:pPr>
      <w:r>
        <w:rPr>
          <w:rFonts w:hint="eastAsia"/>
          <w:szCs w:val="21"/>
        </w:rPr>
        <w:t>（7</w:t>
      </w:r>
      <w:r>
        <w:rPr>
          <w:szCs w:val="21"/>
        </w:rPr>
        <w:t>）</w:t>
      </w:r>
      <w:r>
        <w:rPr>
          <w:rFonts w:hint="eastAsia"/>
          <w:szCs w:val="21"/>
        </w:rPr>
        <w:t>如果由于</w:t>
      </w:r>
      <w:r>
        <w:rPr>
          <w:rFonts w:hint="eastAsia"/>
          <w:szCs w:val="21"/>
          <w:lang w:eastAsia="zh-CN"/>
        </w:rPr>
        <w:t>采购</w:t>
      </w:r>
      <w:r>
        <w:rPr>
          <w:rFonts w:hint="eastAsia"/>
          <w:szCs w:val="21"/>
        </w:rPr>
        <w:t>方原因导致本项目在终验通过前出现故障或问题，供应商应及时配合排除该方面的故障或问题。</w:t>
      </w:r>
    </w:p>
    <w:p w14:paraId="7A9D93C3">
      <w:pPr>
        <w:rPr>
          <w:rFonts w:hint="eastAsia"/>
          <w:szCs w:val="21"/>
        </w:rPr>
      </w:pPr>
      <w:r>
        <w:rPr>
          <w:rFonts w:hint="eastAsia"/>
          <w:szCs w:val="21"/>
        </w:rPr>
        <w:t>（8</w:t>
      </w:r>
      <w:r>
        <w:rPr>
          <w:szCs w:val="21"/>
        </w:rPr>
        <w:t>）</w:t>
      </w:r>
      <w:r>
        <w:rPr>
          <w:rFonts w:hint="eastAsia"/>
          <w:szCs w:val="21"/>
        </w:rPr>
        <w:t>如本项目连续3次验收未通过（含初验未通过或终验未通过），</w:t>
      </w:r>
      <w:r>
        <w:rPr>
          <w:rFonts w:hint="eastAsia"/>
          <w:szCs w:val="21"/>
          <w:lang w:eastAsia="zh-CN"/>
        </w:rPr>
        <w:t>采购</w:t>
      </w:r>
      <w:r>
        <w:rPr>
          <w:rFonts w:hint="eastAsia"/>
          <w:szCs w:val="21"/>
        </w:rPr>
        <w:t>方有权解除项目，并有权依照本项目约定的违约条款追究</w:t>
      </w:r>
      <w:r>
        <w:rPr>
          <w:rFonts w:hint="eastAsia"/>
          <w:szCs w:val="21"/>
          <w:lang w:eastAsia="zh-CN"/>
        </w:rPr>
        <w:t>响应供应商</w:t>
      </w:r>
      <w:r>
        <w:rPr>
          <w:rFonts w:hint="eastAsia"/>
          <w:szCs w:val="21"/>
        </w:rPr>
        <w:t>的违约责任。</w:t>
      </w:r>
    </w:p>
    <w:p w14:paraId="7540F930">
      <w:pPr>
        <w:pStyle w:val="3"/>
        <w:rPr>
          <w:rFonts w:hint="eastAsia"/>
        </w:rPr>
      </w:pPr>
      <w:bookmarkStart w:id="31" w:name="_Toc63785509"/>
      <w:r>
        <w:rPr>
          <w:rFonts w:hint="eastAsia"/>
        </w:rPr>
        <w:t>进度要求</w:t>
      </w:r>
      <w:bookmarkEnd w:id="31"/>
    </w:p>
    <w:p w14:paraId="2B653511">
      <w:pPr>
        <w:rPr>
          <w:rFonts w:hint="eastAsia"/>
        </w:rPr>
      </w:pPr>
      <w:r>
        <w:rPr>
          <w:rFonts w:hint="eastAsia"/>
          <w:lang w:eastAsia="zh-CN"/>
        </w:rPr>
        <w:t>响应供应商</w:t>
      </w:r>
      <w:r>
        <w:rPr>
          <w:rFonts w:hint="eastAsia"/>
        </w:rPr>
        <w:t>应根据建设内容，分阶段制定合理的时间进度，并且应根据</w:t>
      </w:r>
      <w:r>
        <w:rPr>
          <w:rFonts w:hint="eastAsia"/>
          <w:lang w:eastAsia="zh-CN"/>
        </w:rPr>
        <w:t>采购</w:t>
      </w:r>
      <w:r>
        <w:rPr>
          <w:rFonts w:hint="eastAsia"/>
        </w:rPr>
        <w:t>方要求进行调整和细化。</w:t>
      </w:r>
    </w:p>
    <w:p w14:paraId="5DF600AB">
      <w:pPr>
        <w:rPr>
          <w:rFonts w:hint="eastAsia"/>
        </w:rPr>
      </w:pPr>
      <w:r>
        <w:rPr>
          <w:rFonts w:hint="eastAsia"/>
        </w:rPr>
        <w:t>本项目应在2026年6月30日前完成建设。总体进度可分为五个阶段。</w:t>
      </w:r>
    </w:p>
    <w:p w14:paraId="5B14987B">
      <w:pPr>
        <w:rPr>
          <w:rFonts w:hint="eastAsia"/>
        </w:rPr>
      </w:pPr>
      <w:r>
        <w:rPr>
          <w:rFonts w:hint="eastAsia"/>
        </w:rPr>
        <w:t>第一阶段主要完成项目总体设计方案，完成网络架构、安全设备部署的详细设计。</w:t>
      </w:r>
    </w:p>
    <w:p w14:paraId="1B329A29">
      <w:pPr>
        <w:rPr>
          <w:rFonts w:hint="eastAsia"/>
        </w:rPr>
      </w:pPr>
      <w:r>
        <w:rPr>
          <w:rFonts w:hint="eastAsia"/>
        </w:rPr>
        <w:t>第二阶段完成相关网络设备、安全设备、门禁系统、安防系统、程控电话系统的安装和调试。</w:t>
      </w:r>
    </w:p>
    <w:p w14:paraId="60726683">
      <w:pPr>
        <w:rPr>
          <w:rFonts w:hint="eastAsia"/>
        </w:rPr>
      </w:pPr>
      <w:r>
        <w:rPr>
          <w:rFonts w:hint="eastAsia"/>
        </w:rPr>
        <w:t>第三阶段主要进行项目功能试运行，修正各系统联调中出现的问题，完成设备功能和测试。</w:t>
      </w:r>
    </w:p>
    <w:p w14:paraId="213C04CF">
      <w:pPr>
        <w:rPr>
          <w:rFonts w:hint="eastAsia"/>
        </w:rPr>
      </w:pPr>
      <w:r>
        <w:rPr>
          <w:rFonts w:hint="eastAsia"/>
        </w:rPr>
        <w:t>第四阶段完成网络系统等保三级测评工作，修正各系统测评中出现的问题。</w:t>
      </w:r>
    </w:p>
    <w:p w14:paraId="2AF73A6E">
      <w:pPr>
        <w:rPr>
          <w:rFonts w:hint="eastAsia"/>
        </w:rPr>
      </w:pPr>
      <w:r>
        <w:rPr>
          <w:rFonts w:hint="eastAsia"/>
        </w:rPr>
        <w:t>第五阶段主要实施项目验收并启动项目的正式运行，根据项目运行情况和验收要求开展项目测评、功能优化和绩效评价等工作。</w:t>
      </w:r>
    </w:p>
    <w:p w14:paraId="3DD8A1D3">
      <w:pPr>
        <w:pStyle w:val="3"/>
        <w:rPr>
          <w:rFonts w:hint="eastAsia"/>
        </w:rPr>
      </w:pPr>
      <w:bookmarkStart w:id="32" w:name="_Toc63785510"/>
      <w:r>
        <w:rPr>
          <w:rFonts w:hint="eastAsia"/>
        </w:rPr>
        <w:t>项目团队及驻场人员要求</w:t>
      </w:r>
      <w:bookmarkEnd w:id="32"/>
    </w:p>
    <w:p w14:paraId="70DEDD68">
      <w:pPr>
        <w:rPr>
          <w:rFonts w:hint="eastAsia" w:eastAsia="宋体"/>
          <w:szCs w:val="21"/>
          <w:lang w:eastAsia="zh-CN"/>
        </w:rPr>
      </w:pPr>
      <w:r>
        <w:rPr>
          <w:rFonts w:hint="eastAsia"/>
          <w:szCs w:val="21"/>
          <w:lang w:eastAsia="zh-CN"/>
        </w:rPr>
        <w:t>响应供应商</w:t>
      </w:r>
      <w:r>
        <w:rPr>
          <w:rFonts w:hint="eastAsia"/>
          <w:szCs w:val="21"/>
        </w:rPr>
        <w:t>必</w:t>
      </w:r>
      <w:r>
        <w:rPr>
          <w:rFonts w:hint="eastAsia"/>
          <w:szCs w:val="21"/>
          <w:lang w:eastAsia="zh-CN"/>
        </w:rPr>
        <w:t>需</w:t>
      </w:r>
      <w:r>
        <w:rPr>
          <w:rFonts w:hint="eastAsia"/>
          <w:szCs w:val="21"/>
        </w:rPr>
        <w:t>具有稳定的在职技术保障力量，能够提供及时的技术支援或服务。</w:t>
      </w:r>
      <w:r>
        <w:rPr>
          <w:rFonts w:hint="eastAsia"/>
          <w:szCs w:val="21"/>
          <w:lang w:eastAsia="zh-CN"/>
        </w:rPr>
        <w:t>（具有ISO90001证书的优先考虑）</w:t>
      </w:r>
    </w:p>
    <w:p w14:paraId="32436A55">
      <w:pPr>
        <w:rPr>
          <w:rFonts w:hint="eastAsia"/>
          <w:szCs w:val="21"/>
        </w:rPr>
      </w:pPr>
      <w:r>
        <w:rPr>
          <w:rFonts w:hint="eastAsia"/>
          <w:szCs w:val="21"/>
        </w:rPr>
        <w:t>1、项目建设期间应针对本项目提供不少于6人的项目服务团队（包括项目经理、技术负责人、实施、测试等）。</w:t>
      </w:r>
    </w:p>
    <w:p w14:paraId="6EBF720F">
      <w:pPr>
        <w:rPr>
          <w:rFonts w:hint="eastAsia"/>
          <w:szCs w:val="21"/>
        </w:rPr>
      </w:pPr>
      <w:r>
        <w:rPr>
          <w:rFonts w:hint="eastAsia"/>
          <w:szCs w:val="21"/>
        </w:rPr>
        <w:t>的相关服务人员需具备相应的服务能力，需提供相关证明（最近一个季度任意一个月依法缴纳社保费的证明）。</w:t>
      </w:r>
    </w:p>
    <w:p w14:paraId="47CD0392">
      <w:pPr>
        <w:rPr>
          <w:rFonts w:hint="eastAsia"/>
          <w:szCs w:val="21"/>
        </w:rPr>
      </w:pP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600"/>
        <w:gridCol w:w="1603"/>
        <w:gridCol w:w="2619"/>
        <w:gridCol w:w="1399"/>
      </w:tblGrid>
      <w:tr w14:paraId="5B7B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5" w:type="pct"/>
            <w:shd w:val="clear" w:color="auto" w:fill="BEBEBE" w:themeFill="background1" w:themeFillShade="BF"/>
            <w:noWrap/>
            <w:vAlign w:val="center"/>
          </w:tcPr>
          <w:p w14:paraId="2C093A3F">
            <w:pPr>
              <w:widowControl/>
              <w:spacing w:line="240" w:lineRule="auto"/>
              <w:ind w:firstLine="0" w:firstLineChars="0"/>
              <w:jc w:val="center"/>
              <w:rPr>
                <w:rFonts w:hint="eastAsia" w:cs="宋体"/>
                <w:b/>
                <w:sz w:val="21"/>
                <w:szCs w:val="21"/>
              </w:rPr>
            </w:pPr>
            <w:r>
              <w:rPr>
                <w:rFonts w:hint="eastAsia" w:cs="宋体"/>
                <w:b/>
                <w:sz w:val="21"/>
                <w:szCs w:val="21"/>
              </w:rPr>
              <w:t>角色</w:t>
            </w:r>
          </w:p>
        </w:tc>
        <w:tc>
          <w:tcPr>
            <w:tcW w:w="938" w:type="pct"/>
            <w:shd w:val="clear" w:color="auto" w:fill="BEBEBE" w:themeFill="background1" w:themeFillShade="BF"/>
            <w:noWrap/>
            <w:vAlign w:val="center"/>
          </w:tcPr>
          <w:p w14:paraId="324CB076">
            <w:pPr>
              <w:widowControl/>
              <w:spacing w:line="240" w:lineRule="auto"/>
              <w:ind w:firstLine="0" w:firstLineChars="0"/>
              <w:jc w:val="center"/>
              <w:rPr>
                <w:rFonts w:hint="eastAsia" w:cs="宋体"/>
                <w:b/>
                <w:sz w:val="21"/>
                <w:szCs w:val="21"/>
              </w:rPr>
            </w:pPr>
            <w:r>
              <w:rPr>
                <w:rFonts w:hint="eastAsia" w:cs="宋体"/>
                <w:b/>
                <w:sz w:val="21"/>
                <w:szCs w:val="21"/>
              </w:rPr>
              <w:t>主要职责</w:t>
            </w:r>
          </w:p>
        </w:tc>
        <w:tc>
          <w:tcPr>
            <w:tcW w:w="940" w:type="pct"/>
            <w:shd w:val="clear" w:color="auto" w:fill="BEBEBE" w:themeFill="background1" w:themeFillShade="BF"/>
            <w:noWrap/>
            <w:vAlign w:val="center"/>
          </w:tcPr>
          <w:p w14:paraId="67E45E87">
            <w:pPr>
              <w:widowControl/>
              <w:spacing w:line="240" w:lineRule="auto"/>
              <w:ind w:firstLine="0" w:firstLineChars="0"/>
              <w:jc w:val="left"/>
              <w:rPr>
                <w:rFonts w:hint="eastAsia" w:cs="宋体"/>
                <w:b/>
                <w:sz w:val="21"/>
                <w:szCs w:val="21"/>
              </w:rPr>
            </w:pPr>
            <w:r>
              <w:rPr>
                <w:rFonts w:hint="eastAsia" w:cs="宋体"/>
                <w:b/>
                <w:sz w:val="21"/>
                <w:szCs w:val="21"/>
              </w:rPr>
              <w:t>人员数量下限</w:t>
            </w:r>
          </w:p>
        </w:tc>
        <w:tc>
          <w:tcPr>
            <w:tcW w:w="1536" w:type="pct"/>
            <w:shd w:val="clear" w:color="auto" w:fill="BEBEBE" w:themeFill="background1" w:themeFillShade="BF"/>
            <w:vAlign w:val="center"/>
          </w:tcPr>
          <w:p w14:paraId="4A2D54CB">
            <w:pPr>
              <w:widowControl/>
              <w:spacing w:line="240" w:lineRule="auto"/>
              <w:ind w:firstLine="0" w:firstLineChars="0"/>
              <w:jc w:val="center"/>
              <w:rPr>
                <w:rFonts w:hint="eastAsia" w:cs="宋体"/>
                <w:b/>
                <w:sz w:val="21"/>
                <w:szCs w:val="21"/>
              </w:rPr>
            </w:pPr>
            <w:r>
              <w:rPr>
                <w:rFonts w:hint="eastAsia" w:cs="宋体"/>
                <w:b/>
                <w:sz w:val="21"/>
                <w:szCs w:val="21"/>
              </w:rPr>
              <w:t>人员要求</w:t>
            </w:r>
          </w:p>
        </w:tc>
        <w:tc>
          <w:tcPr>
            <w:tcW w:w="820" w:type="pct"/>
            <w:shd w:val="clear" w:color="auto" w:fill="BEBEBE" w:themeFill="background1" w:themeFillShade="BF"/>
            <w:noWrap/>
            <w:vAlign w:val="center"/>
          </w:tcPr>
          <w:p w14:paraId="779DD9D0">
            <w:pPr>
              <w:widowControl/>
              <w:spacing w:line="240" w:lineRule="auto"/>
              <w:ind w:firstLine="0" w:firstLineChars="0"/>
              <w:jc w:val="center"/>
              <w:rPr>
                <w:rFonts w:hint="eastAsia" w:cs="宋体"/>
                <w:b/>
                <w:sz w:val="21"/>
                <w:szCs w:val="21"/>
              </w:rPr>
            </w:pPr>
            <w:r>
              <w:rPr>
                <w:rFonts w:hint="eastAsia" w:cs="宋体"/>
                <w:b/>
                <w:sz w:val="21"/>
                <w:szCs w:val="21"/>
              </w:rPr>
              <w:t>驻场要求</w:t>
            </w:r>
          </w:p>
        </w:tc>
      </w:tr>
      <w:tr w14:paraId="62C2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5" w:type="pct"/>
            <w:noWrap/>
            <w:vAlign w:val="center"/>
          </w:tcPr>
          <w:p w14:paraId="1A5F6153">
            <w:pPr>
              <w:widowControl/>
              <w:spacing w:line="240" w:lineRule="auto"/>
              <w:ind w:firstLine="0" w:firstLineChars="0"/>
              <w:jc w:val="left"/>
              <w:rPr>
                <w:rFonts w:hint="eastAsia" w:cs="宋体"/>
                <w:sz w:val="21"/>
                <w:szCs w:val="21"/>
              </w:rPr>
            </w:pPr>
            <w:r>
              <w:rPr>
                <w:rFonts w:hint="eastAsia" w:cs="宋体"/>
                <w:sz w:val="21"/>
                <w:szCs w:val="21"/>
              </w:rPr>
              <w:t>项目经理</w:t>
            </w:r>
          </w:p>
        </w:tc>
        <w:tc>
          <w:tcPr>
            <w:tcW w:w="938" w:type="pct"/>
            <w:vAlign w:val="center"/>
          </w:tcPr>
          <w:p w14:paraId="2EAEF99E">
            <w:pPr>
              <w:widowControl/>
              <w:spacing w:line="240" w:lineRule="auto"/>
              <w:ind w:firstLine="0" w:firstLineChars="0"/>
              <w:jc w:val="left"/>
              <w:rPr>
                <w:rFonts w:hint="eastAsia" w:cs="宋体"/>
                <w:sz w:val="21"/>
                <w:szCs w:val="21"/>
              </w:rPr>
            </w:pPr>
            <w:r>
              <w:rPr>
                <w:rFonts w:hint="eastAsia" w:cs="宋体"/>
                <w:sz w:val="21"/>
                <w:szCs w:val="21"/>
              </w:rPr>
              <w:t>项目服务人员的总体组织和管理，与用户及时沟通，对服务团队进行内部考核。</w:t>
            </w:r>
          </w:p>
        </w:tc>
        <w:tc>
          <w:tcPr>
            <w:tcW w:w="940" w:type="pct"/>
            <w:noWrap/>
            <w:vAlign w:val="center"/>
          </w:tcPr>
          <w:p w14:paraId="761DADB9">
            <w:pPr>
              <w:widowControl/>
              <w:spacing w:line="240" w:lineRule="auto"/>
              <w:ind w:firstLine="0" w:firstLineChars="0"/>
              <w:jc w:val="center"/>
              <w:rPr>
                <w:rFonts w:hint="eastAsia" w:cs="宋体"/>
                <w:sz w:val="21"/>
                <w:szCs w:val="21"/>
              </w:rPr>
            </w:pPr>
            <w:r>
              <w:rPr>
                <w:rFonts w:hint="eastAsia" w:cs="宋体"/>
                <w:sz w:val="21"/>
                <w:szCs w:val="21"/>
              </w:rPr>
              <w:t>1人</w:t>
            </w:r>
          </w:p>
        </w:tc>
        <w:tc>
          <w:tcPr>
            <w:tcW w:w="1536" w:type="pct"/>
          </w:tcPr>
          <w:p w14:paraId="4B277255">
            <w:pPr>
              <w:pStyle w:val="16"/>
              <w:spacing w:after="0"/>
              <w:jc w:val="left"/>
              <w:rPr>
                <w:rFonts w:hint="eastAsia" w:ascii="宋体" w:hAnsi="宋体" w:cs="宋体"/>
                <w:szCs w:val="21"/>
              </w:rPr>
            </w:pPr>
            <w:r>
              <w:rPr>
                <w:rFonts w:hint="eastAsia" w:ascii="宋体" w:hAnsi="宋体" w:cs="宋体"/>
                <w:szCs w:val="21"/>
              </w:rPr>
              <w:t>1、本科及以上学历，电子信息、计算机、数学等相关理工科专业；</w:t>
            </w:r>
          </w:p>
          <w:p w14:paraId="1A39C50F">
            <w:pPr>
              <w:pStyle w:val="16"/>
              <w:spacing w:after="0"/>
              <w:jc w:val="left"/>
              <w:rPr>
                <w:rFonts w:hint="eastAsia" w:ascii="宋体" w:hAnsi="宋体" w:cs="宋体"/>
                <w:szCs w:val="21"/>
              </w:rPr>
            </w:pPr>
            <w:r>
              <w:rPr>
                <w:rFonts w:hint="eastAsia" w:ascii="宋体" w:hAnsi="宋体" w:cs="宋体"/>
                <w:szCs w:val="21"/>
              </w:rPr>
              <w:t>2、具有信息系统项目管理师证书；</w:t>
            </w:r>
          </w:p>
          <w:p w14:paraId="49F4E29F">
            <w:pPr>
              <w:pStyle w:val="16"/>
              <w:spacing w:after="0"/>
              <w:jc w:val="left"/>
              <w:rPr>
                <w:rFonts w:hint="eastAsia" w:ascii="宋体" w:hAnsi="宋体" w:cs="宋体"/>
                <w:szCs w:val="21"/>
              </w:rPr>
            </w:pPr>
            <w:r>
              <w:rPr>
                <w:rFonts w:hint="eastAsia" w:ascii="宋体" w:hAnsi="宋体" w:cs="宋体"/>
                <w:szCs w:val="21"/>
              </w:rPr>
              <w:t>3、具有5年以上政务信息系统开发项目且担任项目经理职务的工作经验；</w:t>
            </w:r>
          </w:p>
          <w:p w14:paraId="3A71616E">
            <w:pPr>
              <w:pStyle w:val="16"/>
              <w:spacing w:after="0"/>
              <w:jc w:val="left"/>
              <w:rPr>
                <w:rFonts w:hint="eastAsia" w:ascii="宋体" w:hAnsi="宋体" w:cs="宋体"/>
                <w:szCs w:val="21"/>
              </w:rPr>
            </w:pPr>
            <w:r>
              <w:rPr>
                <w:rFonts w:hint="eastAsia" w:ascii="宋体" w:hAnsi="宋体" w:cs="宋体"/>
                <w:szCs w:val="21"/>
              </w:rPr>
              <w:t>4、具有类似智能化项目管理经验。</w:t>
            </w:r>
          </w:p>
          <w:p w14:paraId="52E3C967">
            <w:pPr>
              <w:pStyle w:val="16"/>
              <w:spacing w:after="0"/>
              <w:jc w:val="left"/>
              <w:rPr>
                <w:rFonts w:hint="eastAsia" w:ascii="宋体" w:hAnsi="宋体" w:eastAsia="宋体" w:cs="宋体"/>
                <w:szCs w:val="21"/>
                <w:lang w:val="en-US" w:eastAsia="zh-CN"/>
              </w:rPr>
            </w:pPr>
            <w:r>
              <w:rPr>
                <w:rFonts w:hint="eastAsia" w:ascii="宋体" w:hAnsi="宋体" w:cs="宋体"/>
                <w:szCs w:val="21"/>
                <w:lang w:val="en-US" w:eastAsia="zh-CN"/>
              </w:rPr>
              <w:t>5、具有国家城建部颁发的机电工程一级注册建造师证书</w:t>
            </w:r>
          </w:p>
        </w:tc>
        <w:tc>
          <w:tcPr>
            <w:tcW w:w="820" w:type="pct"/>
            <w:noWrap/>
            <w:vAlign w:val="center"/>
          </w:tcPr>
          <w:p w14:paraId="32950250">
            <w:pPr>
              <w:widowControl/>
              <w:spacing w:line="240" w:lineRule="auto"/>
              <w:ind w:firstLine="0" w:firstLineChars="0"/>
              <w:jc w:val="center"/>
              <w:rPr>
                <w:rFonts w:hint="eastAsia" w:cs="宋体"/>
                <w:sz w:val="21"/>
                <w:szCs w:val="21"/>
              </w:rPr>
            </w:pPr>
            <w:r>
              <w:rPr>
                <w:rFonts w:hint="eastAsia" w:cs="宋体"/>
                <w:sz w:val="21"/>
                <w:szCs w:val="21"/>
              </w:rPr>
              <w:t>不驻场</w:t>
            </w:r>
          </w:p>
        </w:tc>
      </w:tr>
      <w:tr w14:paraId="7635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5" w:type="pct"/>
            <w:noWrap/>
            <w:vAlign w:val="center"/>
          </w:tcPr>
          <w:p w14:paraId="66861CCE">
            <w:pPr>
              <w:widowControl/>
              <w:spacing w:line="240" w:lineRule="auto"/>
              <w:ind w:firstLine="0" w:firstLineChars="0"/>
              <w:jc w:val="left"/>
              <w:rPr>
                <w:rFonts w:hint="eastAsia" w:cs="宋体"/>
                <w:sz w:val="21"/>
                <w:szCs w:val="21"/>
              </w:rPr>
            </w:pPr>
            <w:r>
              <w:rPr>
                <w:rFonts w:hint="eastAsia" w:cs="宋体"/>
                <w:sz w:val="21"/>
                <w:szCs w:val="21"/>
              </w:rPr>
              <w:t>技术负责人</w:t>
            </w:r>
          </w:p>
        </w:tc>
        <w:tc>
          <w:tcPr>
            <w:tcW w:w="938" w:type="pct"/>
          </w:tcPr>
          <w:p w14:paraId="0F6A7C32">
            <w:pPr>
              <w:widowControl/>
              <w:spacing w:line="240" w:lineRule="auto"/>
              <w:ind w:firstLine="0" w:firstLineChars="0"/>
              <w:jc w:val="left"/>
              <w:rPr>
                <w:rFonts w:hint="eastAsia" w:cs="宋体"/>
                <w:sz w:val="21"/>
                <w:szCs w:val="21"/>
              </w:rPr>
            </w:pPr>
            <w:r>
              <w:rPr>
                <w:rFonts w:hint="eastAsia" w:cs="宋体"/>
                <w:sz w:val="21"/>
                <w:szCs w:val="21"/>
              </w:rPr>
              <w:t>提供项目技术服务，协助项目经理管理项目服务人员，与用户及时沟通；</w:t>
            </w:r>
          </w:p>
          <w:p w14:paraId="2D963145">
            <w:pPr>
              <w:widowControl/>
              <w:spacing w:line="240" w:lineRule="auto"/>
              <w:ind w:firstLine="0" w:firstLineChars="0"/>
              <w:jc w:val="left"/>
              <w:rPr>
                <w:rFonts w:hint="eastAsia" w:cs="宋体"/>
                <w:sz w:val="21"/>
                <w:szCs w:val="21"/>
              </w:rPr>
            </w:pPr>
            <w:r>
              <w:rPr>
                <w:rFonts w:hint="eastAsia" w:cs="宋体"/>
                <w:sz w:val="21"/>
                <w:szCs w:val="21"/>
              </w:rPr>
              <w:t>界定各系统功能边界，负责网络系统架构，综合布线设计，并及时与用户单位进行设计确认。</w:t>
            </w:r>
          </w:p>
        </w:tc>
        <w:tc>
          <w:tcPr>
            <w:tcW w:w="940" w:type="pct"/>
            <w:noWrap/>
            <w:vAlign w:val="center"/>
          </w:tcPr>
          <w:p w14:paraId="4A62E71B">
            <w:pPr>
              <w:widowControl/>
              <w:spacing w:line="240" w:lineRule="auto"/>
              <w:ind w:firstLine="0" w:firstLineChars="0"/>
              <w:jc w:val="center"/>
              <w:rPr>
                <w:rFonts w:hint="eastAsia" w:cs="宋体"/>
                <w:sz w:val="21"/>
                <w:szCs w:val="21"/>
              </w:rPr>
            </w:pPr>
            <w:r>
              <w:rPr>
                <w:rFonts w:hint="eastAsia" w:cs="宋体"/>
                <w:sz w:val="21"/>
                <w:szCs w:val="21"/>
              </w:rPr>
              <w:t>1人</w:t>
            </w:r>
          </w:p>
        </w:tc>
        <w:tc>
          <w:tcPr>
            <w:tcW w:w="1536" w:type="pct"/>
            <w:vAlign w:val="center"/>
          </w:tcPr>
          <w:p w14:paraId="585FB35B">
            <w:pPr>
              <w:widowControl/>
              <w:spacing w:line="240" w:lineRule="auto"/>
              <w:ind w:firstLine="0" w:firstLineChars="0"/>
              <w:jc w:val="left"/>
              <w:rPr>
                <w:rFonts w:hint="eastAsia" w:cs="宋体"/>
                <w:sz w:val="21"/>
                <w:szCs w:val="21"/>
              </w:rPr>
            </w:pPr>
            <w:r>
              <w:rPr>
                <w:rFonts w:hint="eastAsia" w:cs="宋体"/>
                <w:sz w:val="21"/>
                <w:szCs w:val="21"/>
              </w:rPr>
              <w:t>1、专科及以上学历，电子信息、计算机等相关专业；</w:t>
            </w:r>
          </w:p>
          <w:p w14:paraId="01581E73">
            <w:pPr>
              <w:widowControl/>
              <w:spacing w:line="240" w:lineRule="auto"/>
              <w:ind w:firstLine="0" w:firstLineChars="0"/>
              <w:jc w:val="left"/>
              <w:rPr>
                <w:rFonts w:hint="eastAsia" w:cs="宋体"/>
                <w:sz w:val="21"/>
                <w:szCs w:val="21"/>
              </w:rPr>
            </w:pPr>
            <w:r>
              <w:rPr>
                <w:rFonts w:hint="eastAsia" w:cs="宋体"/>
                <w:sz w:val="21"/>
                <w:szCs w:val="21"/>
              </w:rPr>
              <w:t>2、具备3年以网络实施经验；</w:t>
            </w:r>
          </w:p>
          <w:p w14:paraId="16E7D0AE">
            <w:pPr>
              <w:widowControl/>
              <w:numPr>
                <w:ilvl w:val="0"/>
                <w:numId w:val="4"/>
              </w:numPr>
              <w:spacing w:line="240" w:lineRule="auto"/>
              <w:ind w:firstLine="0" w:firstLineChars="0"/>
              <w:jc w:val="left"/>
              <w:rPr>
                <w:rFonts w:hint="eastAsia" w:cs="宋体"/>
                <w:sz w:val="21"/>
                <w:szCs w:val="21"/>
              </w:rPr>
            </w:pPr>
            <w:r>
              <w:rPr>
                <w:rFonts w:hint="eastAsia" w:cs="宋体"/>
                <w:sz w:val="21"/>
                <w:szCs w:val="21"/>
              </w:rPr>
              <w:t>且具有类似智能化项目管理经验。</w:t>
            </w:r>
          </w:p>
        </w:tc>
        <w:tc>
          <w:tcPr>
            <w:tcW w:w="820" w:type="pct"/>
            <w:noWrap/>
            <w:vAlign w:val="center"/>
          </w:tcPr>
          <w:p w14:paraId="1B4C14F2">
            <w:pPr>
              <w:widowControl/>
              <w:spacing w:line="240" w:lineRule="auto"/>
              <w:ind w:firstLine="0" w:firstLineChars="0"/>
              <w:jc w:val="center"/>
              <w:rPr>
                <w:rFonts w:hint="eastAsia" w:cs="宋体"/>
                <w:sz w:val="21"/>
                <w:szCs w:val="21"/>
              </w:rPr>
            </w:pPr>
            <w:r>
              <w:rPr>
                <w:rFonts w:hint="eastAsia" w:cs="宋体"/>
                <w:sz w:val="21"/>
                <w:szCs w:val="21"/>
              </w:rPr>
              <w:t>不驻场</w:t>
            </w:r>
          </w:p>
        </w:tc>
      </w:tr>
      <w:tr w14:paraId="0EA0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65" w:type="pct"/>
            <w:noWrap/>
            <w:vAlign w:val="center"/>
          </w:tcPr>
          <w:p w14:paraId="7A3FF0C1">
            <w:pPr>
              <w:widowControl/>
              <w:spacing w:line="240" w:lineRule="auto"/>
              <w:ind w:firstLine="0" w:firstLineChars="0"/>
              <w:jc w:val="left"/>
              <w:rPr>
                <w:rFonts w:hint="eastAsia" w:cs="宋体"/>
                <w:sz w:val="21"/>
                <w:szCs w:val="21"/>
              </w:rPr>
            </w:pPr>
            <w:r>
              <w:rPr>
                <w:rFonts w:hint="eastAsia" w:cs="宋体"/>
                <w:sz w:val="21"/>
                <w:szCs w:val="21"/>
              </w:rPr>
              <w:t>实施工程师</w:t>
            </w:r>
          </w:p>
        </w:tc>
        <w:tc>
          <w:tcPr>
            <w:tcW w:w="938" w:type="pct"/>
            <w:noWrap/>
          </w:tcPr>
          <w:p w14:paraId="35EB8F3D">
            <w:pPr>
              <w:widowControl/>
              <w:spacing w:line="240" w:lineRule="auto"/>
              <w:ind w:firstLine="0" w:firstLineChars="0"/>
              <w:jc w:val="left"/>
              <w:rPr>
                <w:rFonts w:hint="eastAsia" w:cs="宋体"/>
                <w:sz w:val="21"/>
                <w:szCs w:val="21"/>
              </w:rPr>
            </w:pPr>
            <w:r>
              <w:rPr>
                <w:rFonts w:hint="eastAsia" w:cs="宋体"/>
                <w:sz w:val="21"/>
                <w:szCs w:val="21"/>
              </w:rPr>
              <w:t>负责相关网络、安全、机房系统统的实施</w:t>
            </w:r>
          </w:p>
        </w:tc>
        <w:tc>
          <w:tcPr>
            <w:tcW w:w="940" w:type="pct"/>
            <w:noWrap/>
            <w:vAlign w:val="center"/>
          </w:tcPr>
          <w:p w14:paraId="30C24EF3">
            <w:pPr>
              <w:widowControl/>
              <w:spacing w:line="240" w:lineRule="auto"/>
              <w:ind w:firstLine="0" w:firstLineChars="0"/>
              <w:jc w:val="center"/>
              <w:rPr>
                <w:rFonts w:hint="eastAsia" w:cs="宋体"/>
                <w:sz w:val="21"/>
                <w:szCs w:val="21"/>
              </w:rPr>
            </w:pPr>
            <w:r>
              <w:rPr>
                <w:rFonts w:hint="eastAsia" w:cs="宋体"/>
                <w:sz w:val="21"/>
                <w:szCs w:val="21"/>
              </w:rPr>
              <w:t>4人</w:t>
            </w:r>
          </w:p>
        </w:tc>
        <w:tc>
          <w:tcPr>
            <w:tcW w:w="1536" w:type="pct"/>
            <w:vAlign w:val="center"/>
          </w:tcPr>
          <w:p w14:paraId="2932684B">
            <w:pPr>
              <w:widowControl/>
              <w:spacing w:line="240" w:lineRule="auto"/>
              <w:ind w:firstLine="0" w:firstLineChars="0"/>
              <w:jc w:val="left"/>
              <w:rPr>
                <w:rFonts w:hint="eastAsia" w:cs="宋体"/>
                <w:sz w:val="21"/>
                <w:szCs w:val="21"/>
              </w:rPr>
            </w:pPr>
            <w:r>
              <w:rPr>
                <w:rFonts w:hint="eastAsia" w:cs="宋体"/>
                <w:sz w:val="21"/>
                <w:szCs w:val="21"/>
              </w:rPr>
              <w:t>1、专科及以上学历</w:t>
            </w:r>
          </w:p>
        </w:tc>
        <w:tc>
          <w:tcPr>
            <w:tcW w:w="820" w:type="pct"/>
            <w:noWrap/>
            <w:vAlign w:val="center"/>
          </w:tcPr>
          <w:p w14:paraId="19422AB5">
            <w:pPr>
              <w:widowControl/>
              <w:spacing w:line="240" w:lineRule="auto"/>
              <w:ind w:firstLine="0" w:firstLineChars="0"/>
              <w:jc w:val="center"/>
              <w:rPr>
                <w:rFonts w:hint="eastAsia" w:cs="宋体"/>
                <w:sz w:val="21"/>
                <w:szCs w:val="21"/>
              </w:rPr>
            </w:pPr>
            <w:r>
              <w:rPr>
                <w:rFonts w:hint="eastAsia" w:cs="宋体"/>
                <w:sz w:val="21"/>
                <w:szCs w:val="21"/>
              </w:rPr>
              <w:t>部分驻场</w:t>
            </w:r>
          </w:p>
        </w:tc>
      </w:tr>
    </w:tbl>
    <w:p w14:paraId="2FCF5A71">
      <w:pPr>
        <w:pStyle w:val="139"/>
        <w:ind w:left="2880" w:firstLine="482"/>
        <w:rPr>
          <w:rFonts w:hint="eastAsia" w:hAnsi="宋体" w:cs="宋体"/>
          <w:b/>
          <w:bCs w:val="0"/>
        </w:rPr>
      </w:pPr>
    </w:p>
    <w:p w14:paraId="1013D303">
      <w:pPr>
        <w:ind w:firstLine="0" w:firstLineChars="0"/>
        <w:rPr>
          <w:rFonts w:hint="eastAsia"/>
        </w:rPr>
      </w:pPr>
    </w:p>
    <w:p w14:paraId="4051B276">
      <w:pPr>
        <w:pStyle w:val="3"/>
        <w:rPr>
          <w:rFonts w:hint="eastAsia"/>
        </w:rPr>
      </w:pPr>
      <w:bookmarkStart w:id="33" w:name="_Toc63785511"/>
      <w:r>
        <w:t>等级保护要求</w:t>
      </w:r>
      <w:bookmarkEnd w:id="33"/>
    </w:p>
    <w:p w14:paraId="2CBAC035">
      <w:pPr>
        <w:rPr>
          <w:rFonts w:hint="eastAsia"/>
        </w:rPr>
      </w:pPr>
      <w:r>
        <w:rPr>
          <w:rFonts w:hint="eastAsia"/>
        </w:rPr>
        <w:t>本项目网络安全等级按照第三级进行设计和建设。系统建设完成后，将由采购人委托第三方安全测评机构对本项目进行安全测评，测评费用不包含在本次报价中。</w:t>
      </w:r>
      <w:r>
        <w:rPr>
          <w:rFonts w:hint="eastAsia"/>
          <w:lang w:eastAsia="zh-CN"/>
        </w:rPr>
        <w:t>响应供应商</w:t>
      </w:r>
      <w:r>
        <w:rPr>
          <w:rFonts w:hint="eastAsia"/>
        </w:rPr>
        <w:t>需配合安全测评，超出采购人提供的安全服务由</w:t>
      </w:r>
      <w:r>
        <w:rPr>
          <w:rFonts w:hint="eastAsia"/>
          <w:lang w:eastAsia="zh-CN"/>
        </w:rPr>
        <w:t>响应供应商</w:t>
      </w:r>
      <w:r>
        <w:rPr>
          <w:rFonts w:hint="eastAsia"/>
        </w:rPr>
        <w:t>自理，测评通过后方可验收。</w:t>
      </w:r>
    </w:p>
    <w:p w14:paraId="417B2278">
      <w:pPr>
        <w:pStyle w:val="3"/>
        <w:rPr>
          <w:rFonts w:hint="eastAsia"/>
        </w:rPr>
      </w:pPr>
      <w:r>
        <w:rPr>
          <w:rFonts w:hint="eastAsia"/>
        </w:rPr>
        <w:t>商业密码应用需求</w:t>
      </w:r>
    </w:p>
    <w:p w14:paraId="41793976">
      <w:pPr>
        <w:pStyle w:val="110"/>
        <w:snapToGrid w:val="0"/>
        <w:spacing w:line="360" w:lineRule="auto"/>
        <w:ind w:firstLine="480"/>
        <w:rPr>
          <w:rFonts w:hint="eastAsia" w:ascii="宋体" w:hAnsi="宋体"/>
          <w:sz w:val="24"/>
          <w:szCs w:val="24"/>
        </w:rPr>
      </w:pPr>
      <w:r>
        <w:rPr>
          <w:rFonts w:hint="eastAsia" w:ascii="宋体" w:hAnsi="宋体"/>
          <w:sz w:val="24"/>
          <w:szCs w:val="24"/>
        </w:rPr>
        <w:t>本项目属于基础设施建设，未涉及。</w:t>
      </w:r>
    </w:p>
    <w:p w14:paraId="3CE16185">
      <w:pPr>
        <w:pStyle w:val="3"/>
        <w:rPr>
          <w:rFonts w:hint="eastAsia"/>
        </w:rPr>
      </w:pPr>
      <w:bookmarkStart w:id="34" w:name="_Toc63785512"/>
      <w:r>
        <w:rPr>
          <w:rFonts w:hint="eastAsia"/>
        </w:rPr>
        <w:t>技术文件要求</w:t>
      </w:r>
    </w:p>
    <w:p w14:paraId="16445A23">
      <w:pPr>
        <w:rPr>
          <w:rFonts w:hint="eastAsia"/>
        </w:rPr>
      </w:pPr>
      <w:r>
        <w:rPr>
          <w:rFonts w:hint="eastAsia"/>
          <w:lang w:eastAsia="zh-CN"/>
        </w:rPr>
        <w:t>响应供应商</w:t>
      </w:r>
      <w:r>
        <w:rPr>
          <w:rFonts w:hint="eastAsia"/>
        </w:rPr>
        <w:t>提供的书面技术资料应能确保系统正常运行所需的管理、运营及维护有关的全套文件。技术文件应该全面、完整、详细。</w:t>
      </w:r>
      <w:r>
        <w:rPr>
          <w:rFonts w:hint="eastAsia"/>
          <w:lang w:eastAsia="zh-CN"/>
        </w:rPr>
        <w:t>响应供应商</w:t>
      </w:r>
      <w:r>
        <w:rPr>
          <w:rFonts w:hint="eastAsia"/>
        </w:rPr>
        <w:t>提供的技术文件至少应包括：</w:t>
      </w:r>
    </w:p>
    <w:p w14:paraId="1729E3F5">
      <w:pPr>
        <w:rPr>
          <w:rFonts w:hint="eastAsia"/>
        </w:rPr>
      </w:pPr>
      <w:r>
        <w:rPr>
          <w:rFonts w:hint="eastAsia"/>
        </w:rPr>
        <w:t>－</w:t>
      </w:r>
      <w:r>
        <w:t xml:space="preserve"> 系统说明文件； </w:t>
      </w:r>
    </w:p>
    <w:p w14:paraId="3EFCAA32">
      <w:pPr>
        <w:rPr>
          <w:rFonts w:hint="eastAsia"/>
        </w:rPr>
      </w:pPr>
      <w:r>
        <w:rPr>
          <w:rFonts w:hint="eastAsia"/>
        </w:rPr>
        <w:t>－</w:t>
      </w:r>
      <w:r>
        <w:t xml:space="preserve"> 技术手册(安装、测试、操作、维护、故障排除等)； </w:t>
      </w:r>
    </w:p>
    <w:p w14:paraId="25539CD6">
      <w:pPr>
        <w:rPr>
          <w:rFonts w:hint="eastAsia"/>
        </w:rPr>
      </w:pPr>
      <w:r>
        <w:rPr>
          <w:rFonts w:hint="eastAsia"/>
        </w:rPr>
        <w:t>－</w:t>
      </w:r>
      <w:r>
        <w:t xml:space="preserve"> 项目文档，应该包括：</w:t>
      </w:r>
    </w:p>
    <w:p w14:paraId="293753D4">
      <w:pPr>
        <w:ind w:left="360"/>
        <w:rPr>
          <w:rFonts w:hint="eastAsia"/>
        </w:rPr>
      </w:pPr>
      <w:r>
        <w:t>(1)</w:t>
      </w:r>
      <w:r>
        <w:rPr>
          <w:rFonts w:hint="eastAsia"/>
        </w:rPr>
        <w:t xml:space="preserve"> 竣工图</w:t>
      </w:r>
    </w:p>
    <w:p w14:paraId="09F8C4F9">
      <w:pPr>
        <w:ind w:left="360"/>
        <w:rPr>
          <w:rFonts w:hint="eastAsia"/>
        </w:rPr>
      </w:pPr>
      <w:r>
        <w:t>(2)</w:t>
      </w:r>
      <w:r>
        <w:tab/>
      </w:r>
      <w:r>
        <w:rPr>
          <w:rFonts w:hint="eastAsia"/>
        </w:rPr>
        <w:t>项目设备报验文档和变更文档</w:t>
      </w:r>
    </w:p>
    <w:p w14:paraId="20C5CED3">
      <w:pPr>
        <w:ind w:left="360"/>
        <w:rPr>
          <w:rFonts w:hint="eastAsia"/>
        </w:rPr>
      </w:pPr>
      <w:r>
        <w:t>(3)</w:t>
      </w:r>
      <w:r>
        <w:tab/>
      </w:r>
      <w:r>
        <w:rPr>
          <w:rFonts w:hint="eastAsia"/>
        </w:rPr>
        <w:t>设备清单</w:t>
      </w:r>
    </w:p>
    <w:p w14:paraId="72DDE20F">
      <w:pPr>
        <w:rPr>
          <w:rFonts w:hint="eastAsia"/>
        </w:rPr>
      </w:pPr>
      <w:r>
        <w:rPr>
          <w:rFonts w:hint="eastAsia"/>
        </w:rPr>
        <w:t>提供全套技术文件纸介质</w:t>
      </w:r>
      <w:r>
        <w:t>3套以及电子文件1套。</w:t>
      </w:r>
    </w:p>
    <w:p w14:paraId="44E50851">
      <w:pPr>
        <w:pStyle w:val="2"/>
        <w:rPr>
          <w:rFonts w:hint="eastAsia"/>
        </w:rPr>
      </w:pPr>
      <w:r>
        <w:rPr>
          <w:rFonts w:hint="eastAsia"/>
        </w:rPr>
        <w:t>供应商管理要求</w:t>
      </w:r>
      <w:bookmarkEnd w:id="34"/>
    </w:p>
    <w:p w14:paraId="0E5858B5">
      <w:pPr>
        <w:pStyle w:val="84"/>
        <w:ind w:firstLine="480"/>
        <w:rPr>
          <w:rFonts w:hint="eastAsia"/>
          <w:sz w:val="24"/>
          <w:szCs w:val="24"/>
        </w:rPr>
      </w:pPr>
      <w:r>
        <w:rPr>
          <w:rFonts w:hint="eastAsia"/>
          <w:sz w:val="24"/>
          <w:szCs w:val="24"/>
        </w:rPr>
        <w:t>1、在项目实施期间，</w:t>
      </w:r>
      <w:r>
        <w:rPr>
          <w:rFonts w:hint="eastAsia"/>
          <w:sz w:val="24"/>
          <w:szCs w:val="24"/>
          <w:lang w:eastAsia="zh-CN"/>
        </w:rPr>
        <w:t>成交供应商</w:t>
      </w:r>
      <w:r>
        <w:rPr>
          <w:rFonts w:hint="eastAsia"/>
          <w:sz w:val="24"/>
          <w:szCs w:val="24"/>
        </w:rPr>
        <w:t>应严格执行国家、地方、行业有关本项目业务管理和安全作业的法律、法规和制度并按规定承担相应的费用。</w:t>
      </w:r>
      <w:r>
        <w:rPr>
          <w:rFonts w:hint="eastAsia"/>
          <w:sz w:val="24"/>
          <w:szCs w:val="24"/>
          <w:lang w:eastAsia="zh-CN"/>
        </w:rPr>
        <w:t>成交供应商</w:t>
      </w:r>
      <w:r>
        <w:rPr>
          <w:rFonts w:hint="eastAsia"/>
          <w:sz w:val="24"/>
          <w:szCs w:val="24"/>
        </w:rPr>
        <w:t>因违反规定等原因造成的一切损失和责任由</w:t>
      </w:r>
      <w:r>
        <w:rPr>
          <w:rFonts w:hint="eastAsia"/>
          <w:sz w:val="24"/>
          <w:szCs w:val="24"/>
          <w:lang w:eastAsia="zh-CN"/>
        </w:rPr>
        <w:t>成交供应商</w:t>
      </w:r>
      <w:r>
        <w:rPr>
          <w:rFonts w:hint="eastAsia"/>
          <w:sz w:val="24"/>
          <w:szCs w:val="24"/>
        </w:rPr>
        <w:t>自行承担。</w:t>
      </w:r>
    </w:p>
    <w:p w14:paraId="2E290023">
      <w:pPr>
        <w:pStyle w:val="84"/>
        <w:ind w:firstLine="480"/>
        <w:rPr>
          <w:rFonts w:hint="eastAsia"/>
          <w:sz w:val="24"/>
          <w:szCs w:val="24"/>
        </w:rPr>
      </w:pPr>
      <w:r>
        <w:rPr>
          <w:rFonts w:hint="eastAsia"/>
          <w:sz w:val="24"/>
          <w:szCs w:val="24"/>
        </w:rPr>
        <w:t>2、</w:t>
      </w:r>
      <w:r>
        <w:rPr>
          <w:rFonts w:hint="eastAsia"/>
          <w:sz w:val="24"/>
          <w:szCs w:val="24"/>
          <w:lang w:eastAsia="zh-CN"/>
        </w:rPr>
        <w:t>成交供应商</w:t>
      </w:r>
      <w:r>
        <w:rPr>
          <w:rFonts w:hint="eastAsia"/>
          <w:sz w:val="24"/>
          <w:szCs w:val="24"/>
        </w:rPr>
        <w:t>在</w:t>
      </w:r>
      <w:r>
        <w:rPr>
          <w:rFonts w:hint="eastAsia"/>
          <w:sz w:val="24"/>
          <w:szCs w:val="24"/>
          <w:lang w:eastAsia="zh-CN"/>
        </w:rPr>
        <w:t>响应文件</w:t>
      </w:r>
      <w:r>
        <w:rPr>
          <w:rFonts w:hint="eastAsia"/>
          <w:sz w:val="24"/>
          <w:szCs w:val="24"/>
        </w:rPr>
        <w:t>中承诺并经</w:t>
      </w:r>
      <w:r>
        <w:rPr>
          <w:rFonts w:hint="eastAsia"/>
          <w:sz w:val="24"/>
          <w:szCs w:val="24"/>
          <w:lang w:eastAsia="zh-CN"/>
        </w:rPr>
        <w:t>采购</w:t>
      </w:r>
      <w:r>
        <w:rPr>
          <w:rFonts w:hint="eastAsia"/>
          <w:sz w:val="24"/>
          <w:szCs w:val="24"/>
        </w:rPr>
        <w:t>人认定的项目负责人及专业技术人员必</w:t>
      </w:r>
      <w:r>
        <w:rPr>
          <w:rFonts w:hint="eastAsia"/>
          <w:sz w:val="24"/>
          <w:szCs w:val="24"/>
          <w:lang w:eastAsia="zh-CN"/>
        </w:rPr>
        <w:t>需</w:t>
      </w:r>
      <w:r>
        <w:rPr>
          <w:rFonts w:hint="eastAsia"/>
          <w:sz w:val="24"/>
          <w:szCs w:val="24"/>
        </w:rPr>
        <w:t>是本单位职工（在本单位缴纳社会保障金）和该项目实施现场的实际操作者，应具有类似本项目的实施经验，并应在软件应用调研、安装、试运行等期间常驻项目现场。未经采购人同意，</w:t>
      </w:r>
      <w:r>
        <w:rPr>
          <w:rFonts w:hint="eastAsia"/>
          <w:sz w:val="24"/>
          <w:szCs w:val="24"/>
          <w:lang w:eastAsia="zh-CN"/>
        </w:rPr>
        <w:t>成交供应商</w:t>
      </w:r>
      <w:r>
        <w:rPr>
          <w:rFonts w:hint="eastAsia"/>
          <w:sz w:val="24"/>
          <w:szCs w:val="24"/>
        </w:rPr>
        <w:t>不得调换或撤离上述人员。如采购人认为有必要，可要求</w:t>
      </w:r>
      <w:r>
        <w:rPr>
          <w:rFonts w:hint="eastAsia"/>
          <w:sz w:val="24"/>
          <w:szCs w:val="24"/>
          <w:lang w:eastAsia="zh-CN"/>
        </w:rPr>
        <w:t>成交供应商</w:t>
      </w:r>
      <w:r>
        <w:rPr>
          <w:rFonts w:hint="eastAsia"/>
          <w:sz w:val="24"/>
          <w:szCs w:val="24"/>
        </w:rPr>
        <w:t>对上述人员中的部分人员作出更好的调整。</w:t>
      </w:r>
    </w:p>
    <w:p w14:paraId="2BD418AA">
      <w:pPr>
        <w:pStyle w:val="84"/>
        <w:ind w:firstLine="480"/>
        <w:rPr>
          <w:rFonts w:hint="eastAsia"/>
          <w:sz w:val="24"/>
          <w:szCs w:val="24"/>
        </w:rPr>
      </w:pPr>
      <w:r>
        <w:rPr>
          <w:rFonts w:hint="eastAsia"/>
          <w:sz w:val="24"/>
          <w:szCs w:val="24"/>
        </w:rPr>
        <w:t>3、</w:t>
      </w:r>
      <w:r>
        <w:rPr>
          <w:rFonts w:hint="eastAsia"/>
          <w:sz w:val="24"/>
          <w:szCs w:val="24"/>
          <w:lang w:eastAsia="zh-CN"/>
        </w:rPr>
        <w:t>成交供应商</w:t>
      </w:r>
      <w:r>
        <w:rPr>
          <w:rFonts w:hint="eastAsia"/>
          <w:sz w:val="24"/>
          <w:szCs w:val="24"/>
        </w:rPr>
        <w:t>在项目实施期间，应按项目实际进度与环节落实所对应项目整体及各环节管理工作，按照规范做好项目实施期间相关管理与实施记录。</w:t>
      </w:r>
    </w:p>
    <w:p w14:paraId="6D90DE7C">
      <w:pPr>
        <w:pStyle w:val="84"/>
        <w:ind w:firstLine="480"/>
        <w:rPr>
          <w:rFonts w:hint="eastAsia"/>
          <w:sz w:val="24"/>
          <w:szCs w:val="24"/>
        </w:rPr>
      </w:pPr>
      <w:r>
        <w:rPr>
          <w:rFonts w:hint="eastAsia"/>
          <w:sz w:val="24"/>
          <w:szCs w:val="24"/>
        </w:rPr>
        <w:t>4、参与本项目的工作人员应严格遵循采购人的安全制度，保障采购人资料和设备的安全。如需进入采购人机房工作，只能在采购人规定的工作区域内对项目涉及的设备进行操作，严禁触动与项目无关的任何设备（包括任何操作行为），如需跨区操作必</w:t>
      </w:r>
      <w:r>
        <w:rPr>
          <w:rFonts w:hint="eastAsia"/>
          <w:sz w:val="24"/>
          <w:szCs w:val="24"/>
          <w:lang w:eastAsia="zh-CN"/>
        </w:rPr>
        <w:t>需</w:t>
      </w:r>
      <w:r>
        <w:rPr>
          <w:rFonts w:hint="eastAsia"/>
          <w:sz w:val="24"/>
          <w:szCs w:val="24"/>
        </w:rPr>
        <w:t>得到采购人项目联系人确认。</w:t>
      </w:r>
    </w:p>
    <w:p w14:paraId="24855DC5">
      <w:pPr>
        <w:pStyle w:val="84"/>
        <w:ind w:firstLine="480"/>
        <w:rPr>
          <w:rFonts w:hint="eastAsia"/>
          <w:sz w:val="24"/>
          <w:szCs w:val="24"/>
        </w:rPr>
      </w:pPr>
      <w:r>
        <w:rPr>
          <w:rFonts w:hint="eastAsia"/>
          <w:sz w:val="24"/>
          <w:szCs w:val="24"/>
        </w:rPr>
        <w:t>5、</w:t>
      </w:r>
      <w:r>
        <w:rPr>
          <w:rFonts w:hint="eastAsia"/>
          <w:sz w:val="24"/>
          <w:szCs w:val="24"/>
          <w:lang w:eastAsia="zh-CN"/>
        </w:rPr>
        <w:t>成交供应商</w:t>
      </w:r>
      <w:r>
        <w:rPr>
          <w:rFonts w:hint="eastAsia"/>
          <w:sz w:val="24"/>
          <w:szCs w:val="24"/>
        </w:rPr>
        <w:t>在项目实施期间必</w:t>
      </w:r>
      <w:r>
        <w:rPr>
          <w:rFonts w:hint="eastAsia"/>
          <w:sz w:val="24"/>
          <w:szCs w:val="24"/>
          <w:lang w:eastAsia="zh-CN"/>
        </w:rPr>
        <w:t>需</w:t>
      </w:r>
      <w:r>
        <w:rPr>
          <w:rFonts w:hint="eastAsia"/>
          <w:sz w:val="24"/>
          <w:szCs w:val="24"/>
        </w:rPr>
        <w:t>遵守采购人的规章制度并提供实施人员名单。</w:t>
      </w:r>
    </w:p>
    <w:p w14:paraId="4F027323">
      <w:pPr>
        <w:pStyle w:val="84"/>
        <w:ind w:firstLine="480"/>
        <w:rPr>
          <w:rFonts w:hint="eastAsia"/>
          <w:sz w:val="24"/>
          <w:szCs w:val="24"/>
        </w:rPr>
      </w:pPr>
      <w:r>
        <w:rPr>
          <w:rFonts w:hint="eastAsia"/>
          <w:sz w:val="24"/>
          <w:szCs w:val="24"/>
        </w:rPr>
        <w:t>6、各</w:t>
      </w:r>
      <w:r>
        <w:rPr>
          <w:rFonts w:hint="eastAsia"/>
          <w:sz w:val="24"/>
          <w:szCs w:val="24"/>
          <w:lang w:eastAsia="zh-CN"/>
        </w:rPr>
        <w:t>响应供应商</w:t>
      </w:r>
      <w:r>
        <w:rPr>
          <w:rFonts w:hint="eastAsia"/>
          <w:sz w:val="24"/>
          <w:szCs w:val="24"/>
        </w:rPr>
        <w:t>在</w:t>
      </w:r>
      <w:r>
        <w:rPr>
          <w:rFonts w:hint="eastAsia"/>
          <w:sz w:val="24"/>
          <w:szCs w:val="24"/>
          <w:lang w:eastAsia="zh-CN"/>
        </w:rPr>
        <w:t>响应</w:t>
      </w:r>
      <w:r>
        <w:rPr>
          <w:rFonts w:hint="eastAsia"/>
          <w:sz w:val="24"/>
          <w:szCs w:val="24"/>
        </w:rPr>
        <w:t>文件中要结合本项目的特点和采购人上述的具体要求制定相应的管理措施，并在报价中列支相应的费用清单，</w:t>
      </w:r>
      <w:r>
        <w:rPr>
          <w:rFonts w:hint="eastAsia"/>
          <w:sz w:val="24"/>
          <w:szCs w:val="24"/>
          <w:lang w:eastAsia="zh-CN"/>
        </w:rPr>
        <w:t>响应供应商</w:t>
      </w:r>
      <w:r>
        <w:rPr>
          <w:rFonts w:hint="eastAsia"/>
          <w:sz w:val="24"/>
          <w:szCs w:val="24"/>
        </w:rPr>
        <w:t>报价中未列支上述费用清单的，上述费用视为已包含在</w:t>
      </w:r>
      <w:r>
        <w:rPr>
          <w:rFonts w:hint="eastAsia"/>
          <w:sz w:val="24"/>
          <w:szCs w:val="24"/>
          <w:lang w:eastAsia="zh-CN"/>
        </w:rPr>
        <w:t>响应供应商</w:t>
      </w:r>
      <w:r>
        <w:rPr>
          <w:rFonts w:hint="eastAsia"/>
          <w:sz w:val="24"/>
          <w:szCs w:val="24"/>
        </w:rPr>
        <w:t>的总报价中。</w:t>
      </w:r>
    </w:p>
    <w:p w14:paraId="36B51895">
      <w:pPr>
        <w:pStyle w:val="84"/>
        <w:ind w:firstLine="480"/>
        <w:rPr>
          <w:rFonts w:hint="eastAsia"/>
        </w:rPr>
      </w:pPr>
      <w:r>
        <w:rPr>
          <w:rFonts w:hint="eastAsia"/>
          <w:sz w:val="24"/>
          <w:szCs w:val="24"/>
        </w:rPr>
        <w:t>7、本项目软件开发及调试将纳入采购人的管理范围，</w:t>
      </w:r>
      <w:r>
        <w:rPr>
          <w:rFonts w:hint="eastAsia"/>
          <w:sz w:val="24"/>
          <w:szCs w:val="24"/>
          <w:lang w:eastAsia="zh-CN"/>
        </w:rPr>
        <w:t>成交供应商</w:t>
      </w:r>
      <w:r>
        <w:rPr>
          <w:rFonts w:hint="eastAsia"/>
          <w:sz w:val="24"/>
          <w:szCs w:val="24"/>
        </w:rPr>
        <w:t>在此过程中</w:t>
      </w:r>
      <w:r>
        <w:rPr>
          <w:rFonts w:hint="eastAsia"/>
          <w:sz w:val="24"/>
          <w:szCs w:val="24"/>
          <w:lang w:eastAsia="zh-CN"/>
        </w:rPr>
        <w:t>需</w:t>
      </w:r>
      <w:r>
        <w:rPr>
          <w:rFonts w:hint="eastAsia"/>
          <w:sz w:val="24"/>
          <w:szCs w:val="24"/>
        </w:rPr>
        <w:t>服从上述单位的管理协调。</w:t>
      </w:r>
    </w:p>
    <w:p w14:paraId="74275188">
      <w:pPr>
        <w:pStyle w:val="2"/>
        <w:rPr>
          <w:rFonts w:hint="eastAsia"/>
        </w:rPr>
      </w:pPr>
      <w:bookmarkStart w:id="35" w:name="_Toc63785513"/>
      <w:r>
        <w:rPr>
          <w:rFonts w:hint="eastAsia"/>
        </w:rPr>
        <w:t>关于转让和分包的规定</w:t>
      </w:r>
    </w:p>
    <w:p w14:paraId="2FDA2A45">
      <w:pPr>
        <w:rPr>
          <w:rFonts w:hint="eastAsia"/>
        </w:rPr>
      </w:pPr>
      <w:r>
        <w:rPr>
          <w:rFonts w:hint="eastAsia"/>
        </w:rPr>
        <w:t>本项目不得转让不得分包。</w:t>
      </w:r>
    </w:p>
    <w:p w14:paraId="679D5F8D">
      <w:pPr>
        <w:pStyle w:val="2"/>
        <w:rPr>
          <w:rFonts w:hint="eastAsia"/>
        </w:rPr>
      </w:pPr>
      <w:r>
        <w:rPr>
          <w:rFonts w:hint="eastAsia"/>
        </w:rPr>
        <w:t>知识产权及保密要求</w:t>
      </w:r>
      <w:bookmarkEnd w:id="35"/>
    </w:p>
    <w:p w14:paraId="4CE743F8">
      <w:pPr>
        <w:ind w:firstLine="482"/>
        <w:rPr>
          <w:rFonts w:hint="eastAsia"/>
          <w:b/>
        </w:rPr>
      </w:pPr>
      <w:r>
        <w:rPr>
          <w:b/>
        </w:rPr>
        <w:t>1、</w:t>
      </w:r>
      <w:r>
        <w:rPr>
          <w:rFonts w:hint="eastAsia"/>
          <w:b/>
          <w:lang w:eastAsia="zh-CN"/>
        </w:rPr>
        <w:t>成交供应商</w:t>
      </w:r>
      <w:r>
        <w:rPr>
          <w:b/>
        </w:rPr>
        <w:t>数据、文件、资料知识产权</w:t>
      </w:r>
    </w:p>
    <w:p w14:paraId="2AEDC879">
      <w:pPr>
        <w:rPr>
          <w:rFonts w:hint="eastAsia"/>
        </w:rPr>
      </w:pPr>
      <w:r>
        <w:rPr>
          <w:rFonts w:hint="eastAsia"/>
          <w:lang w:eastAsia="zh-CN"/>
        </w:rPr>
        <w:t>成交供应商</w:t>
      </w:r>
      <w:r>
        <w:rPr>
          <w:rFonts w:hint="eastAsia"/>
        </w:rPr>
        <w:t>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w:t>
      </w:r>
      <w:r>
        <w:rPr>
          <w:rFonts w:hint="eastAsia"/>
          <w:lang w:eastAsia="zh-CN"/>
        </w:rPr>
        <w:t>成交供应商</w:t>
      </w:r>
      <w:r>
        <w:rPr>
          <w:rFonts w:hint="eastAsia"/>
        </w:rPr>
        <w:t>应负责与第三方解决纠纷，若因此导致采购人损失的，采购人有权要求</w:t>
      </w:r>
      <w:r>
        <w:rPr>
          <w:rFonts w:hint="eastAsia"/>
          <w:lang w:eastAsia="zh-CN"/>
        </w:rPr>
        <w:t>成交供应商</w:t>
      </w:r>
      <w:r>
        <w:rPr>
          <w:rFonts w:hint="eastAsia"/>
        </w:rPr>
        <w:t>赔偿采购人因此遭受的全部损失，包括但不限于直接损失、间接损失、诉讼费／仲裁费、律师费、公证费、鉴定费等。</w:t>
      </w:r>
    </w:p>
    <w:p w14:paraId="411F5832">
      <w:pPr>
        <w:rPr>
          <w:rFonts w:hint="eastAsia"/>
        </w:rPr>
      </w:pPr>
      <w:r>
        <w:rPr>
          <w:rFonts w:hint="eastAsia"/>
          <w:lang w:eastAsia="zh-CN"/>
        </w:rPr>
        <w:t>成交供应商</w:t>
      </w:r>
      <w:r>
        <w:rPr>
          <w:rFonts w:hint="eastAsia"/>
        </w:rPr>
        <w:t>因履行本项目而产生的所有成果的知识产权等权利均归采购人所有，</w:t>
      </w:r>
      <w:r>
        <w:rPr>
          <w:rFonts w:hint="eastAsia"/>
          <w:lang w:eastAsia="zh-CN"/>
        </w:rPr>
        <w:t>成交供应商</w:t>
      </w:r>
      <w:r>
        <w:rPr>
          <w:rFonts w:hint="eastAsia"/>
        </w:rPr>
        <w:t>应配合采购人进行相关权利登记或申请。未经采购人书面同意，</w:t>
      </w:r>
      <w:r>
        <w:rPr>
          <w:rFonts w:hint="eastAsia"/>
          <w:lang w:eastAsia="zh-CN"/>
        </w:rPr>
        <w:t>成交供应商</w:t>
      </w:r>
      <w:r>
        <w:rPr>
          <w:rFonts w:hint="eastAsia"/>
        </w:rPr>
        <w:t>不得以任何形式使用或许可他人使用本项目成果的相关内容，不得擅自对外公开发表或向任何第三方透露。</w:t>
      </w:r>
    </w:p>
    <w:p w14:paraId="1A4115B2">
      <w:pPr>
        <w:rPr>
          <w:rFonts w:hint="eastAsia"/>
        </w:rPr>
      </w:pPr>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58234BCA">
      <w:pPr>
        <w:ind w:firstLine="482"/>
        <w:rPr>
          <w:rFonts w:hint="eastAsia"/>
          <w:b/>
        </w:rPr>
      </w:pPr>
      <w:r>
        <w:rPr>
          <w:b/>
        </w:rPr>
        <w:t>2、项目保密要求</w:t>
      </w:r>
    </w:p>
    <w:p w14:paraId="003AC3B7">
      <w:pPr>
        <w:rPr>
          <w:rFonts w:hint="eastAsia"/>
        </w:rPr>
      </w:pPr>
      <w:r>
        <w:rPr>
          <w:rFonts w:hint="eastAsia"/>
          <w:lang w:eastAsia="zh-CN"/>
        </w:rPr>
        <w:t>成交供应商</w:t>
      </w:r>
      <w:r>
        <w:rPr>
          <w:rFonts w:hint="eastAsia"/>
        </w:rPr>
        <w:t>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w:t>
      </w:r>
      <w:r>
        <w:rPr>
          <w:rFonts w:hint="eastAsia"/>
          <w:lang w:eastAsia="zh-CN"/>
        </w:rPr>
        <w:t>成交供应商</w:t>
      </w:r>
      <w:r>
        <w:rPr>
          <w:rFonts w:hint="eastAsia"/>
        </w:rPr>
        <w:t>不得对外泄露采购人要求保密的信息，不得用于其他用途，否则</w:t>
      </w:r>
      <w:r>
        <w:rPr>
          <w:rFonts w:hint="eastAsia"/>
          <w:lang w:eastAsia="zh-CN"/>
        </w:rPr>
        <w:t>成交供应商</w:t>
      </w:r>
      <w:r>
        <w:rPr>
          <w:rFonts w:hint="eastAsia"/>
        </w:rPr>
        <w:t>需承担由此引起的法律责任和经济责任，包括但不限于直接损失、间接损失、律师费、诉讼费/仲裁费、调查费、公证费等。</w:t>
      </w:r>
    </w:p>
    <w:p w14:paraId="43CCC8A5">
      <w:pPr>
        <w:rPr>
          <w:rFonts w:hint="eastAsia"/>
        </w:rPr>
      </w:pPr>
      <w:r>
        <w:rPr>
          <w:rFonts w:hint="eastAsia"/>
          <w:lang w:eastAsia="zh-CN"/>
        </w:rPr>
        <w:t>成交供应商</w:t>
      </w:r>
      <w:r>
        <w:rPr>
          <w:rFonts w:hint="eastAsia"/>
        </w:rPr>
        <w:t>应采取必要的有效措施保证其参与本项目的人员（包括</w:t>
      </w:r>
      <w:r>
        <w:rPr>
          <w:rFonts w:hint="eastAsia"/>
          <w:lang w:eastAsia="zh-CN"/>
        </w:rPr>
        <w:t>成交供应商</w:t>
      </w:r>
      <w:r>
        <w:rPr>
          <w:rFonts w:hint="eastAsia"/>
        </w:rPr>
        <w:t>聘用的人员、借调的人员、实习的人员）无论是在职或离职后，以及</w:t>
      </w:r>
      <w:r>
        <w:rPr>
          <w:rFonts w:hint="eastAsia"/>
          <w:lang w:eastAsia="zh-CN"/>
        </w:rPr>
        <w:t>成交供应商</w:t>
      </w:r>
      <w:r>
        <w:rPr>
          <w:rFonts w:hint="eastAsia"/>
        </w:rPr>
        <w:t>的合作方无论是合作中或合作终止后，都能够履行本项目约定的保密义务。若</w:t>
      </w:r>
      <w:r>
        <w:rPr>
          <w:rFonts w:hint="eastAsia"/>
          <w:lang w:eastAsia="zh-CN"/>
        </w:rPr>
        <w:t>成交供应商</w:t>
      </w:r>
      <w:r>
        <w:rPr>
          <w:rFonts w:hint="eastAsia"/>
        </w:rPr>
        <w:t>人员或</w:t>
      </w:r>
      <w:r>
        <w:rPr>
          <w:rFonts w:hint="eastAsia"/>
          <w:lang w:eastAsia="zh-CN"/>
        </w:rPr>
        <w:t>成交供应商</w:t>
      </w:r>
      <w:r>
        <w:rPr>
          <w:rFonts w:hint="eastAsia"/>
        </w:rPr>
        <w:t>合作方违反保密规定，</w:t>
      </w:r>
      <w:r>
        <w:rPr>
          <w:rFonts w:hint="eastAsia"/>
          <w:lang w:eastAsia="zh-CN"/>
        </w:rPr>
        <w:t>成交供应商</w:t>
      </w:r>
      <w:r>
        <w:rPr>
          <w:rFonts w:hint="eastAsia"/>
        </w:rPr>
        <w:t>应承担连带责任。</w:t>
      </w:r>
    </w:p>
    <w:p w14:paraId="6F0B0A8D">
      <w:pPr>
        <w:rPr>
          <w:rFonts w:hint="eastAsia"/>
        </w:rPr>
      </w:pPr>
      <w:r>
        <w:rPr>
          <w:rFonts w:hint="eastAsia"/>
          <w:lang w:eastAsia="zh-CN"/>
        </w:rPr>
        <w:t>成交供应商</w:t>
      </w:r>
      <w:r>
        <w:rPr>
          <w:rFonts w:hint="eastAsia"/>
        </w:rPr>
        <w:t>（含</w:t>
      </w:r>
      <w:r>
        <w:rPr>
          <w:rFonts w:hint="eastAsia"/>
          <w:lang w:eastAsia="zh-CN"/>
        </w:rPr>
        <w:t>成交供应商</w:t>
      </w:r>
      <w:r>
        <w:rPr>
          <w:rFonts w:hint="eastAsia"/>
        </w:rPr>
        <w:t>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2149A1DE">
      <w:pPr>
        <w:rPr>
          <w:rFonts w:hint="eastAsia"/>
        </w:rPr>
      </w:pPr>
      <w:r>
        <w:rPr>
          <w:rFonts w:hint="eastAsia"/>
        </w:rPr>
        <w:t>以上内容的保密期限自</w:t>
      </w:r>
      <w:r>
        <w:rPr>
          <w:rFonts w:hint="eastAsia"/>
          <w:lang w:eastAsia="zh-CN"/>
        </w:rPr>
        <w:t>成交供应商</w:t>
      </w:r>
      <w:r>
        <w:rPr>
          <w:rFonts w:hint="eastAsia"/>
        </w:rPr>
        <w:t>知悉保密信息起始至保密信息被合法公开之日止。</w:t>
      </w:r>
    </w:p>
    <w:p w14:paraId="541754A2">
      <w:pPr>
        <w:ind w:firstLine="482"/>
        <w:rPr>
          <w:rFonts w:hint="eastAsia"/>
          <w:b/>
        </w:rPr>
      </w:pPr>
      <w:r>
        <w:rPr>
          <w:b/>
        </w:rPr>
        <w:t>3、临时账号等使用要求</w:t>
      </w:r>
    </w:p>
    <w:p w14:paraId="5B6AEB1C">
      <w:pPr>
        <w:rPr>
          <w:rFonts w:hint="eastAsia"/>
        </w:rPr>
      </w:pPr>
      <w:r>
        <w:rPr>
          <w:rFonts w:hint="eastAsia"/>
          <w:lang w:eastAsia="zh-CN"/>
        </w:rPr>
        <w:t>成交供应商</w:t>
      </w:r>
      <w:r>
        <w:rPr>
          <w:rFonts w:hint="eastAsia"/>
        </w:rPr>
        <w:t>对采购人提拱的临时使用账号要保密，不得公开，对组件开发的账号密码需进行加密，避免信息安全的泄露。未经采购人的同意不得利用采购人的网络及平台进行短信、彩信、微信发送</w:t>
      </w:r>
      <w:r>
        <w:t>,造成的一切后果由</w:t>
      </w:r>
      <w:r>
        <w:rPr>
          <w:rFonts w:hint="eastAsia"/>
          <w:lang w:eastAsia="zh-CN"/>
        </w:rPr>
        <w:t>成交供应商</w:t>
      </w:r>
      <w:r>
        <w:t>负责。</w:t>
      </w:r>
    </w:p>
    <w:p w14:paraId="5E265A96">
      <w:pPr>
        <w:pStyle w:val="2"/>
        <w:rPr>
          <w:rFonts w:hint="eastAsia"/>
        </w:rPr>
      </w:pPr>
      <w:bookmarkStart w:id="36" w:name="_Toc65170093"/>
      <w:r>
        <w:t>项目的变更、解除和终止</w:t>
      </w:r>
    </w:p>
    <w:p w14:paraId="7DBD765E">
      <w:pPr>
        <w:rPr>
          <w:rFonts w:hint="eastAsia"/>
        </w:rPr>
      </w:pPr>
      <w:r>
        <w:rPr>
          <w:rFonts w:hint="eastAsia"/>
        </w:rPr>
        <w:t>如果</w:t>
      </w:r>
      <w:r>
        <w:rPr>
          <w:rFonts w:hint="eastAsia"/>
          <w:lang w:eastAsia="zh-CN"/>
        </w:rPr>
        <w:t>成交供应商</w:t>
      </w:r>
      <w:r>
        <w:rPr>
          <w:rFonts w:hint="eastAsia"/>
        </w:rPr>
        <w:t>丧失履约能力、发生资不抵债或进入破产程序，采购人可在任何时候以书面形式通知</w:t>
      </w:r>
      <w:r>
        <w:rPr>
          <w:rFonts w:hint="eastAsia"/>
          <w:lang w:eastAsia="zh-CN"/>
        </w:rPr>
        <w:t>成交供应商</w:t>
      </w:r>
      <w:r>
        <w:rPr>
          <w:rFonts w:hint="eastAsia"/>
        </w:rPr>
        <w:t>终止本项目的执行而不给予</w:t>
      </w:r>
      <w:r>
        <w:rPr>
          <w:rFonts w:hint="eastAsia"/>
          <w:lang w:eastAsia="zh-CN"/>
        </w:rPr>
        <w:t>成交供应商</w:t>
      </w:r>
      <w:r>
        <w:rPr>
          <w:rFonts w:hint="eastAsia"/>
        </w:rPr>
        <w:t>补偿。该终止本项目将不损害或影响采购人已经采取或将要采取任何行动或补救措施的权利。</w:t>
      </w:r>
    </w:p>
    <w:p w14:paraId="147AF2B2">
      <w:pPr>
        <w:rPr>
          <w:rFonts w:hint="eastAsia"/>
        </w:rPr>
      </w:pPr>
      <w:r>
        <w:rPr>
          <w:rFonts w:hint="eastAsia"/>
        </w:rPr>
        <w:t>如遇国家、行业管理部门等机构的有关标准和规定调整的，导致本项目内容</w:t>
      </w:r>
      <w:r>
        <w:rPr>
          <w:rFonts w:hint="eastAsia"/>
          <w:lang w:eastAsia="zh-CN"/>
        </w:rPr>
        <w:t>需</w:t>
      </w:r>
      <w:r>
        <w:rPr>
          <w:rFonts w:hint="eastAsia"/>
        </w:rPr>
        <w:t>做相应调整时，双方应按照公平、合理的原则共同协商修改本项目对应的合同的相关条款。</w:t>
      </w:r>
    </w:p>
    <w:p w14:paraId="31A29B51">
      <w:pPr>
        <w:pStyle w:val="2"/>
        <w:rPr>
          <w:rFonts w:hint="eastAsia"/>
        </w:rPr>
      </w:pPr>
      <w:r>
        <w:rPr>
          <w:rFonts w:hint="eastAsia"/>
        </w:rPr>
        <w:t>违约责任</w:t>
      </w:r>
      <w:bookmarkEnd w:id="36"/>
    </w:p>
    <w:p w14:paraId="5859F3D1">
      <w:pPr>
        <w:rPr>
          <w:rFonts w:hint="eastAsia"/>
        </w:rPr>
      </w:pPr>
      <w:r>
        <w:t>1、如</w:t>
      </w:r>
      <w:r>
        <w:rPr>
          <w:rFonts w:hint="eastAsia"/>
          <w:lang w:eastAsia="zh-CN"/>
        </w:rPr>
        <w:t>成交供应商</w:t>
      </w:r>
      <w:r>
        <w:t>未按约定的时间或服务标准完成建设工作，采购人可要求</w:t>
      </w:r>
      <w:r>
        <w:rPr>
          <w:rFonts w:hint="eastAsia"/>
          <w:lang w:eastAsia="zh-CN"/>
        </w:rPr>
        <w:t>成交供应商</w:t>
      </w:r>
      <w:r>
        <w:t>在规定的时间内采取补救措施。</w:t>
      </w:r>
      <w:r>
        <w:rPr>
          <w:rFonts w:hint="eastAsia"/>
          <w:lang w:eastAsia="zh-CN"/>
        </w:rPr>
        <w:t>成交供应商</w:t>
      </w:r>
      <w:r>
        <w:t>还应向采购人支付本项目费用总额30%的违约金，违约金不足以弥补采购人损失的，采购人有权要求</w:t>
      </w:r>
      <w:r>
        <w:rPr>
          <w:rFonts w:hint="eastAsia"/>
          <w:lang w:eastAsia="zh-CN"/>
        </w:rPr>
        <w:t>成交供应商</w:t>
      </w:r>
      <w:r>
        <w:t>赔偿超过部分。</w:t>
      </w:r>
    </w:p>
    <w:p w14:paraId="60B350A6">
      <w:pPr>
        <w:rPr>
          <w:rFonts w:hint="eastAsia"/>
        </w:rPr>
      </w:pPr>
      <w:r>
        <w:t>2、因</w:t>
      </w:r>
      <w:r>
        <w:rPr>
          <w:rFonts w:hint="eastAsia"/>
          <w:lang w:eastAsia="zh-CN"/>
        </w:rPr>
        <w:t>成交供应商</w:t>
      </w:r>
      <w:r>
        <w:t>违反保密义务或知识产权约定的，采购人有权要求</w:t>
      </w:r>
      <w:r>
        <w:rPr>
          <w:rFonts w:hint="eastAsia"/>
          <w:lang w:eastAsia="zh-CN"/>
        </w:rPr>
        <w:t>成交供应商</w:t>
      </w:r>
      <w:r>
        <w:t>支付本项目费用总额30%的违约金，违约金不足以弥补采购人损失的，采购人有权要求</w:t>
      </w:r>
      <w:r>
        <w:rPr>
          <w:rFonts w:hint="eastAsia"/>
          <w:lang w:eastAsia="zh-CN"/>
        </w:rPr>
        <w:t>成交供应商</w:t>
      </w:r>
      <w:r>
        <w:t>赔偿超过部分。若</w:t>
      </w:r>
      <w:r>
        <w:rPr>
          <w:rFonts w:hint="eastAsia"/>
          <w:lang w:eastAsia="zh-CN"/>
        </w:rPr>
        <w:t>成交供应商</w:t>
      </w:r>
      <w:r>
        <w:t>违反保密义务，采购人还有权立即单方解除合同而不承担任何违约责任。</w:t>
      </w:r>
    </w:p>
    <w:p w14:paraId="31727EF1">
      <w:pPr>
        <w:rPr>
          <w:rFonts w:hint="eastAsia"/>
        </w:rPr>
      </w:pPr>
      <w:r>
        <w:t>3、</w:t>
      </w:r>
      <w:r>
        <w:rPr>
          <w:rFonts w:hint="eastAsia"/>
          <w:lang w:eastAsia="zh-CN"/>
        </w:rPr>
        <w:t>成交供应商</w:t>
      </w:r>
      <w:r>
        <w:t>有其他违反本项目合同约定的行为，</w:t>
      </w:r>
      <w:r>
        <w:rPr>
          <w:rFonts w:hint="eastAsia"/>
          <w:lang w:eastAsia="zh-CN"/>
        </w:rPr>
        <w:t>成交供应商</w:t>
      </w:r>
      <w:r>
        <w:t>应当支付本项目总价款金额的20%作为违约金，违约金不足以弥补采购人损失的，采购人有权要求</w:t>
      </w:r>
      <w:r>
        <w:rPr>
          <w:rFonts w:hint="eastAsia"/>
          <w:lang w:eastAsia="zh-CN"/>
        </w:rPr>
        <w:t>成交供应商</w:t>
      </w:r>
      <w:r>
        <w:t>赔偿超过部分。</w:t>
      </w:r>
    </w:p>
    <w:p w14:paraId="7E095F34">
      <w:pPr>
        <w:rPr>
          <w:rFonts w:hint="eastAsia"/>
        </w:rPr>
      </w:pPr>
      <w:r>
        <w:t>4、</w:t>
      </w:r>
      <w:r>
        <w:rPr>
          <w:rFonts w:hint="eastAsia"/>
          <w:lang w:eastAsia="zh-CN"/>
        </w:rPr>
        <w:t>成交供应商</w:t>
      </w:r>
      <w:r>
        <w:t>有下列情形之一，采购人有权解除合同：</w:t>
      </w:r>
    </w:p>
    <w:p w14:paraId="1A8BC029">
      <w:pPr>
        <w:rPr>
          <w:rFonts w:hint="eastAsia"/>
        </w:rPr>
      </w:pPr>
      <w:r>
        <w:rPr>
          <w:rFonts w:hint="eastAsia"/>
        </w:rPr>
        <w:t>（1</w:t>
      </w:r>
      <w:r>
        <w:t>）因</w:t>
      </w:r>
      <w:r>
        <w:rPr>
          <w:rFonts w:hint="eastAsia"/>
          <w:lang w:eastAsia="zh-CN"/>
        </w:rPr>
        <w:t>成交供应商</w:t>
      </w:r>
      <w:r>
        <w:t>服务质量问题导致采购人无法实现目的；</w:t>
      </w:r>
    </w:p>
    <w:p w14:paraId="3F0D3C76">
      <w:pPr>
        <w:rPr>
          <w:rFonts w:hint="eastAsia"/>
        </w:rPr>
      </w:pPr>
      <w:r>
        <w:rPr>
          <w:rFonts w:hint="eastAsia"/>
        </w:rPr>
        <w:t>（2</w:t>
      </w:r>
      <w:r>
        <w:t>）擅自转让或者分包其应履行的义务的；</w:t>
      </w:r>
    </w:p>
    <w:p w14:paraId="0AF309B1">
      <w:pPr>
        <w:rPr>
          <w:rFonts w:hint="eastAsia"/>
        </w:rPr>
      </w:pPr>
      <w:r>
        <w:rPr>
          <w:rFonts w:hint="eastAsia"/>
        </w:rPr>
        <w:t>（3</w:t>
      </w:r>
      <w:r>
        <w:t>）违反或者未履行本项目合同约定的其他相关义务，且在采购人要求的合理时间内未能纠正的。</w:t>
      </w:r>
    </w:p>
    <w:p w14:paraId="74FC7533">
      <w:pPr>
        <w:ind w:firstLine="0" w:firstLineChars="0"/>
        <w:rPr>
          <w:rFonts w:hint="eastAsia"/>
        </w:rPr>
      </w:pPr>
      <w:bookmarkStart w:id="37" w:name="_GoBack"/>
      <w:bookmarkEnd w:id="37"/>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宋简"/>
    <w:panose1 w:val="02010600030101010101"/>
    <w:charset w:val="86"/>
    <w:family w:val="auto"/>
    <w:pitch w:val="default"/>
    <w:sig w:usb0="00000000" w:usb1="00000000" w:usb2="00000016" w:usb3="00000000" w:csb0="0004000F"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676A">
    <w:pPr>
      <w:ind w:firstLine="0" w:firstLineChars="0"/>
      <w:jc w:val="center"/>
      <w:rPr>
        <w:rFonts w:hint="eastAsia"/>
      </w:rPr>
    </w:pPr>
    <w:r>
      <w:fldChar w:fldCharType="begin"/>
    </w:r>
    <w:r>
      <w:instrText xml:space="preserve">PAGE   \* MERGEFORMAT</w:instrText>
    </w:r>
    <w:r>
      <w:fldChar w:fldCharType="separate"/>
    </w:r>
    <w:r>
      <w:rPr>
        <w:lang w:val="zh-CN"/>
      </w:rPr>
      <w:t>11</w:t>
    </w:r>
    <w:r>
      <w:rPr>
        <w:lang w:val="zh-CN"/>
      </w:rPr>
      <w:fldChar w:fldCharType="end"/>
    </w:r>
  </w:p>
  <w:p w14:paraId="6D4A44D8">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9F8CE">
    <w:pPr>
      <w:rPr>
        <w:rFonts w:hint="eastAsia"/>
      </w:rPr>
    </w:pPr>
  </w:p>
  <w:p w14:paraId="461263E6">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2B4D0">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CDCD9">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4BA6E9FE">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C4654">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1D73F">
    <w:pPr>
      <w:rPr>
        <w:rFonts w:hint="eastAsia"/>
      </w:rPr>
    </w:pPr>
  </w:p>
  <w:p w14:paraId="500E7218">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9C721">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DE005E3A"/>
    <w:multiLevelType w:val="singleLevel"/>
    <w:tmpl w:val="DE005E3A"/>
    <w:lvl w:ilvl="0" w:tentative="0">
      <w:start w:val="3"/>
      <w:numFmt w:val="decimal"/>
      <w:suff w:val="nothing"/>
      <w:lvlText w:val="%1、"/>
      <w:lvlJc w:val="left"/>
    </w:lvl>
  </w:abstractNum>
  <w:abstractNum w:abstractNumId="2">
    <w:nsid w:val="6350366A"/>
    <w:multiLevelType w:val="multilevel"/>
    <w:tmpl w:val="6350366A"/>
    <w:lvl w:ilvl="0" w:tentative="0">
      <w:start w:val="1"/>
      <w:numFmt w:val="none"/>
      <w:pStyle w:val="116"/>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0" w:firstLine="0"/>
      </w:pPr>
      <w:rPr>
        <w:rFonts w:hint="eastAsia"/>
      </w:rPr>
    </w:lvl>
    <w:lvl w:ilvl="2" w:tentative="0">
      <w:start w:val="1"/>
      <w:numFmt w:val="decimal"/>
      <w:pStyle w:val="4"/>
      <w:isLgl/>
      <w:suff w:val="nothing"/>
      <w:lvlText w:val="%1.%2.%3、"/>
      <w:lvlJc w:val="left"/>
      <w:pPr>
        <w:ind w:left="0" w:firstLine="0"/>
      </w:pPr>
      <w:rPr>
        <w:rFonts w:hint="default" w:ascii="宋体" w:hAnsi="宋体" w:eastAsia="宋体" w:cs="Arial"/>
      </w:rPr>
    </w:lvl>
    <w:lvl w:ilvl="3" w:tentative="0">
      <w:start w:val="1"/>
      <w:numFmt w:val="decimal"/>
      <w:pStyle w:val="5"/>
      <w:isLgl/>
      <w:suff w:val="nothing"/>
      <w:lvlText w:val="%1.%2.%3.%4、"/>
      <w:lvlJc w:val="left"/>
      <w:pPr>
        <w:ind w:left="3403" w:hanging="851"/>
      </w:pPr>
      <w:rPr>
        <w:rFonts w:hint="eastAsia"/>
      </w:r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C0"/>
    <w:rsid w:val="0000005A"/>
    <w:rsid w:val="00000AED"/>
    <w:rsid w:val="00002DBA"/>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0CA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E9"/>
    <w:rsid w:val="000C75F7"/>
    <w:rsid w:val="000D0AB2"/>
    <w:rsid w:val="000D225C"/>
    <w:rsid w:val="000D36F2"/>
    <w:rsid w:val="000D4B26"/>
    <w:rsid w:val="000D74DB"/>
    <w:rsid w:val="000E0B19"/>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203"/>
    <w:rsid w:val="00166767"/>
    <w:rsid w:val="001707CB"/>
    <w:rsid w:val="00170C54"/>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302"/>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304C"/>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26C1"/>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2BCF"/>
    <w:rsid w:val="00404FEC"/>
    <w:rsid w:val="0040534D"/>
    <w:rsid w:val="00405FAD"/>
    <w:rsid w:val="004117AB"/>
    <w:rsid w:val="00412B2F"/>
    <w:rsid w:val="00415281"/>
    <w:rsid w:val="00415716"/>
    <w:rsid w:val="0041604D"/>
    <w:rsid w:val="00417842"/>
    <w:rsid w:val="00417A6E"/>
    <w:rsid w:val="00420CDF"/>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8732E"/>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3011"/>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7D9"/>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1BA8"/>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44D6"/>
    <w:rsid w:val="00626AC8"/>
    <w:rsid w:val="00627912"/>
    <w:rsid w:val="00630D99"/>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6BE1"/>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4A8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20DE"/>
    <w:rsid w:val="00703C00"/>
    <w:rsid w:val="007057CC"/>
    <w:rsid w:val="007066F2"/>
    <w:rsid w:val="00706AE5"/>
    <w:rsid w:val="0070740A"/>
    <w:rsid w:val="00711F93"/>
    <w:rsid w:val="00712940"/>
    <w:rsid w:val="0071428C"/>
    <w:rsid w:val="00715A16"/>
    <w:rsid w:val="007164B0"/>
    <w:rsid w:val="007166FF"/>
    <w:rsid w:val="00722086"/>
    <w:rsid w:val="007260CC"/>
    <w:rsid w:val="00726543"/>
    <w:rsid w:val="0072700D"/>
    <w:rsid w:val="0073353E"/>
    <w:rsid w:val="00736633"/>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B76"/>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022A"/>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97156"/>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8A7"/>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9F6329"/>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2E0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14657"/>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5FD9"/>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31C3"/>
    <w:rsid w:val="00BD4C95"/>
    <w:rsid w:val="00BD65FC"/>
    <w:rsid w:val="00BD7660"/>
    <w:rsid w:val="00BE0666"/>
    <w:rsid w:val="00BE24B9"/>
    <w:rsid w:val="00BE2AE8"/>
    <w:rsid w:val="00BE2D55"/>
    <w:rsid w:val="00BE38DD"/>
    <w:rsid w:val="00BE4AB1"/>
    <w:rsid w:val="00BF16C3"/>
    <w:rsid w:val="00BF1A9F"/>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0078"/>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3E66"/>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B9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53DA"/>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0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2C41"/>
    <w:rsid w:val="00FF408B"/>
    <w:rsid w:val="00FF43E1"/>
    <w:rsid w:val="02D95DB3"/>
    <w:rsid w:val="03430854"/>
    <w:rsid w:val="039F5FA6"/>
    <w:rsid w:val="08326375"/>
    <w:rsid w:val="09305ADA"/>
    <w:rsid w:val="0E8013B7"/>
    <w:rsid w:val="10D604C6"/>
    <w:rsid w:val="11B515E0"/>
    <w:rsid w:val="13A53267"/>
    <w:rsid w:val="13F970D2"/>
    <w:rsid w:val="14AA4136"/>
    <w:rsid w:val="163A420B"/>
    <w:rsid w:val="19413B26"/>
    <w:rsid w:val="1C6D3688"/>
    <w:rsid w:val="1C974DF7"/>
    <w:rsid w:val="1CC63D0A"/>
    <w:rsid w:val="1DC2081A"/>
    <w:rsid w:val="1DD94266"/>
    <w:rsid w:val="1F204D21"/>
    <w:rsid w:val="1F9D0947"/>
    <w:rsid w:val="1FFB29C6"/>
    <w:rsid w:val="22AF3620"/>
    <w:rsid w:val="22E70AD4"/>
    <w:rsid w:val="24C30629"/>
    <w:rsid w:val="24F1508D"/>
    <w:rsid w:val="24F61130"/>
    <w:rsid w:val="266F634F"/>
    <w:rsid w:val="291059EA"/>
    <w:rsid w:val="29553A5B"/>
    <w:rsid w:val="2BBF12EC"/>
    <w:rsid w:val="2BC649D9"/>
    <w:rsid w:val="30C419B0"/>
    <w:rsid w:val="3515160D"/>
    <w:rsid w:val="35441E4D"/>
    <w:rsid w:val="37F7EF5A"/>
    <w:rsid w:val="3B7E0CCF"/>
    <w:rsid w:val="3C7A524F"/>
    <w:rsid w:val="3C7D00D8"/>
    <w:rsid w:val="3CA06C0C"/>
    <w:rsid w:val="3CBB8BE3"/>
    <w:rsid w:val="3EA25851"/>
    <w:rsid w:val="3F6C3757"/>
    <w:rsid w:val="405D6A10"/>
    <w:rsid w:val="41DA6594"/>
    <w:rsid w:val="444C1A75"/>
    <w:rsid w:val="44A3526F"/>
    <w:rsid w:val="44B032F4"/>
    <w:rsid w:val="457D25F7"/>
    <w:rsid w:val="468341CD"/>
    <w:rsid w:val="472C2589"/>
    <w:rsid w:val="4A760AEB"/>
    <w:rsid w:val="4D7311D1"/>
    <w:rsid w:val="4F3162CA"/>
    <w:rsid w:val="50D95873"/>
    <w:rsid w:val="526102AF"/>
    <w:rsid w:val="528444DA"/>
    <w:rsid w:val="537745D5"/>
    <w:rsid w:val="537E94CC"/>
    <w:rsid w:val="552306F6"/>
    <w:rsid w:val="56E352D5"/>
    <w:rsid w:val="57E435FE"/>
    <w:rsid w:val="581B11C3"/>
    <w:rsid w:val="582D0655"/>
    <w:rsid w:val="5951205C"/>
    <w:rsid w:val="59D079E8"/>
    <w:rsid w:val="59D40847"/>
    <w:rsid w:val="5AE37F25"/>
    <w:rsid w:val="5CB23D47"/>
    <w:rsid w:val="5FAF09C4"/>
    <w:rsid w:val="5FC3676F"/>
    <w:rsid w:val="608C4642"/>
    <w:rsid w:val="62795572"/>
    <w:rsid w:val="64DD6417"/>
    <w:rsid w:val="66004745"/>
    <w:rsid w:val="6A567F20"/>
    <w:rsid w:val="6CC94930"/>
    <w:rsid w:val="6CD97953"/>
    <w:rsid w:val="6ED30FD7"/>
    <w:rsid w:val="6F7F0D97"/>
    <w:rsid w:val="727D78FD"/>
    <w:rsid w:val="73CC655F"/>
    <w:rsid w:val="75957445"/>
    <w:rsid w:val="75D01AE1"/>
    <w:rsid w:val="77524363"/>
    <w:rsid w:val="77B917B5"/>
    <w:rsid w:val="77F9CD63"/>
    <w:rsid w:val="78703975"/>
    <w:rsid w:val="7B87E7D9"/>
    <w:rsid w:val="7BE420FD"/>
    <w:rsid w:val="7CFFF4F4"/>
    <w:rsid w:val="7D0D296B"/>
    <w:rsid w:val="7D4E0B54"/>
    <w:rsid w:val="7D503E78"/>
    <w:rsid w:val="7E0160D4"/>
    <w:rsid w:val="7EF768E0"/>
    <w:rsid w:val="7FCFF116"/>
    <w:rsid w:val="8FA7B61C"/>
    <w:rsid w:val="9D5F1686"/>
    <w:rsid w:val="B9833477"/>
    <w:rsid w:val="BC7C804C"/>
    <w:rsid w:val="CFF52D36"/>
    <w:rsid w:val="E5FF510A"/>
    <w:rsid w:val="F1F9789D"/>
    <w:rsid w:val="F7FC9777"/>
    <w:rsid w:val="F7FEB4D9"/>
    <w:rsid w:val="FEFBB5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qFormat="1" w:unhideWhenUsed="0" w:uiPriority="99" w:semiHidden="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9"/>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92"/>
    <w:qFormat/>
    <w:uiPriority w:val="0"/>
    <w:pPr>
      <w:keepNext/>
      <w:keepLines/>
      <w:numPr>
        <w:ilvl w:val="1"/>
        <w:numId w:val="1"/>
      </w:numPr>
      <w:spacing w:before="120" w:after="120"/>
      <w:ind w:firstLineChars="0"/>
      <w:outlineLvl w:val="1"/>
    </w:pPr>
    <w:rPr>
      <w:b/>
      <w:bCs/>
      <w:sz w:val="30"/>
      <w:szCs w:val="32"/>
    </w:rPr>
  </w:style>
  <w:style w:type="paragraph" w:styleId="4">
    <w:name w:val="heading 3"/>
    <w:basedOn w:val="1"/>
    <w:next w:val="1"/>
    <w:link w:val="85"/>
    <w:qFormat/>
    <w:uiPriority w:val="0"/>
    <w:pPr>
      <w:keepNext/>
      <w:keepLines/>
      <w:numPr>
        <w:ilvl w:val="2"/>
        <w:numId w:val="1"/>
      </w:numPr>
      <w:spacing w:before="120" w:after="120"/>
      <w:ind w:firstLineChars="0"/>
      <w:outlineLvl w:val="2"/>
    </w:pPr>
    <w:rPr>
      <w:b/>
      <w:bCs/>
      <w:sz w:val="28"/>
      <w:szCs w:val="28"/>
    </w:rPr>
  </w:style>
  <w:style w:type="paragraph" w:styleId="5">
    <w:name w:val="heading 4"/>
    <w:basedOn w:val="1"/>
    <w:next w:val="1"/>
    <w:link w:val="62"/>
    <w:qFormat/>
    <w:uiPriority w:val="0"/>
    <w:pPr>
      <w:keepNext/>
      <w:keepLines/>
      <w:numPr>
        <w:ilvl w:val="3"/>
        <w:numId w:val="1"/>
      </w:numPr>
      <w:spacing w:before="120" w:after="120"/>
      <w:ind w:firstLine="0" w:firstLineChars="0"/>
      <w:outlineLvl w:val="3"/>
    </w:pPr>
    <w:rPr>
      <w:b/>
      <w:bCs/>
      <w:sz w:val="30"/>
      <w:szCs w:val="30"/>
    </w:rPr>
  </w:style>
  <w:style w:type="paragraph" w:styleId="6">
    <w:name w:val="heading 5"/>
    <w:basedOn w:val="1"/>
    <w:next w:val="1"/>
    <w:link w:val="90"/>
    <w:qFormat/>
    <w:uiPriority w:val="0"/>
    <w:pPr>
      <w:keepNext/>
      <w:keepLines/>
      <w:numPr>
        <w:ilvl w:val="4"/>
        <w:numId w:val="1"/>
      </w:numPr>
      <w:spacing w:before="120" w:after="120"/>
      <w:ind w:firstLine="0" w:firstLineChars="0"/>
      <w:outlineLvl w:val="4"/>
    </w:pPr>
    <w:rPr>
      <w:b/>
      <w:bCs/>
      <w:szCs w:val="28"/>
    </w:rPr>
  </w:style>
  <w:style w:type="paragraph" w:styleId="7">
    <w:name w:val="heading 6"/>
    <w:basedOn w:val="1"/>
    <w:next w:val="1"/>
    <w:link w:val="103"/>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6"/>
    <w:qFormat/>
    <w:uiPriority w:val="9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102"/>
    <w:qFormat/>
    <w:uiPriority w:val="9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51"/>
    <w:qFormat/>
    <w:uiPriority w:val="99"/>
    <w:pPr>
      <w:keepNext/>
      <w:keepLines/>
      <w:spacing w:before="240" w:after="64" w:line="319" w:lineRule="auto"/>
      <w:ind w:firstLine="0" w:firstLineChars="0"/>
      <w:outlineLvl w:val="8"/>
    </w:pPr>
    <w:rPr>
      <w:rFonts w:ascii="Cambria" w:hAnsi="Cambria"/>
      <w:sz w:val="21"/>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link w:val="182"/>
    <w:unhideWhenUsed/>
    <w:qFormat/>
    <w:uiPriority w:val="99"/>
    <w:pPr>
      <w:spacing w:line="240" w:lineRule="auto"/>
      <w:ind w:firstLine="420"/>
    </w:pPr>
    <w:rPr>
      <w:rFonts w:ascii="Calibri" w:hAnsi="Calibri"/>
      <w:sz w:val="21"/>
    </w:rPr>
  </w:style>
  <w:style w:type="paragraph" w:styleId="13">
    <w:name w:val="caption"/>
    <w:basedOn w:val="1"/>
    <w:next w:val="1"/>
    <w:link w:val="57"/>
    <w:qFormat/>
    <w:uiPriority w:val="35"/>
    <w:pPr>
      <w:spacing w:afterLines="50"/>
      <w:ind w:firstLine="200"/>
    </w:pPr>
    <w:rPr>
      <w:rFonts w:ascii="Arial" w:hAnsi="Arial" w:eastAsia="黑体"/>
      <w:sz w:val="20"/>
      <w:szCs w:val="20"/>
    </w:rPr>
  </w:style>
  <w:style w:type="paragraph" w:styleId="14">
    <w:name w:val="Document Map"/>
    <w:basedOn w:val="1"/>
    <w:link w:val="95"/>
    <w:qFormat/>
    <w:uiPriority w:val="99"/>
    <w:rPr>
      <w:rFonts w:hAnsi="Times New Roman"/>
      <w:sz w:val="18"/>
      <w:szCs w:val="18"/>
    </w:rPr>
  </w:style>
  <w:style w:type="paragraph" w:styleId="15">
    <w:name w:val="annotation text"/>
    <w:basedOn w:val="1"/>
    <w:link w:val="48"/>
    <w:qFormat/>
    <w:uiPriority w:val="99"/>
    <w:pPr>
      <w:jc w:val="left"/>
    </w:pPr>
    <w:rPr>
      <w:rFonts w:ascii="Times New Roman" w:hAnsi="Times New Roman" w:eastAsia="仿宋"/>
      <w:sz w:val="28"/>
    </w:rPr>
  </w:style>
  <w:style w:type="paragraph" w:styleId="16">
    <w:name w:val="Body Text"/>
    <w:basedOn w:val="1"/>
    <w:link w:val="63"/>
    <w:unhideWhenUsed/>
    <w:qFormat/>
    <w:uiPriority w:val="99"/>
    <w:pPr>
      <w:spacing w:after="120" w:line="240" w:lineRule="auto"/>
      <w:ind w:firstLine="0" w:firstLineChars="0"/>
    </w:pPr>
    <w:rPr>
      <w:rFonts w:ascii="Times New Roman" w:hAnsi="Times New Roman"/>
      <w:sz w:val="21"/>
    </w:rPr>
  </w:style>
  <w:style w:type="paragraph" w:styleId="17">
    <w:name w:val="Body Text Indent"/>
    <w:basedOn w:val="1"/>
    <w:link w:val="89"/>
    <w:qFormat/>
    <w:uiPriority w:val="99"/>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70"/>
    <w:qFormat/>
    <w:uiPriority w:val="99"/>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50"/>
    <w:qFormat/>
    <w:uiPriority w:val="99"/>
    <w:pPr>
      <w:ind w:left="100" w:leftChars="2500"/>
    </w:pPr>
    <w:rPr>
      <w:rFonts w:ascii="Times New Roman" w:hAnsi="Times New Roman"/>
      <w:sz w:val="21"/>
    </w:rPr>
  </w:style>
  <w:style w:type="paragraph" w:styleId="23">
    <w:name w:val="Balloon Text"/>
    <w:basedOn w:val="1"/>
    <w:link w:val="100"/>
    <w:qFormat/>
    <w:uiPriority w:val="99"/>
    <w:rPr>
      <w:rFonts w:ascii="Times New Roman" w:hAnsi="Times New Roman"/>
      <w:sz w:val="18"/>
      <w:szCs w:val="18"/>
    </w:rPr>
  </w:style>
  <w:style w:type="paragraph" w:styleId="24">
    <w:name w:val="footer"/>
    <w:basedOn w:val="1"/>
    <w:link w:val="93"/>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10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91"/>
    <w:qFormat/>
    <w:uiPriority w:val="99"/>
    <w:pPr>
      <w:spacing w:before="240" w:after="60" w:line="312" w:lineRule="auto"/>
      <w:jc w:val="center"/>
      <w:outlineLvl w:val="1"/>
    </w:pPr>
    <w:rPr>
      <w:rFonts w:ascii="Calibri Light" w:hAnsi="Calibri Light"/>
      <w:b/>
      <w:bCs/>
      <w:kern w:val="28"/>
      <w:sz w:val="32"/>
      <w:szCs w:val="32"/>
    </w:rPr>
  </w:style>
  <w:style w:type="paragraph" w:styleId="29">
    <w:name w:val="List"/>
    <w:basedOn w:val="1"/>
    <w:next w:val="1"/>
    <w:qFormat/>
    <w:uiPriority w:val="0"/>
    <w:pPr>
      <w:ind w:firstLine="0" w:firstLineChars="0"/>
      <w:jc w:val="center"/>
    </w:pPr>
    <w:rPr>
      <w:sz w:val="22"/>
    </w:rPr>
  </w:style>
  <w:style w:type="paragraph" w:styleId="30">
    <w:name w:val="toc 6"/>
    <w:basedOn w:val="1"/>
    <w:next w:val="1"/>
    <w:unhideWhenUsed/>
    <w:qFormat/>
    <w:uiPriority w:val="39"/>
    <w:pPr>
      <w:ind w:left="2100" w:leftChars="1000"/>
    </w:pPr>
    <w:rPr>
      <w:rFonts w:ascii="等线" w:hAnsi="等线" w:eastAsia="等线"/>
      <w:szCs w:val="22"/>
    </w:rPr>
  </w:style>
  <w:style w:type="paragraph" w:styleId="31">
    <w:name w:val="toc 2"/>
    <w:basedOn w:val="1"/>
    <w:next w:val="1"/>
    <w:qFormat/>
    <w:uiPriority w:val="39"/>
    <w:pPr>
      <w:tabs>
        <w:tab w:val="right" w:leader="dot" w:pos="8302"/>
      </w:tabs>
      <w:ind w:left="420" w:leftChars="200"/>
    </w:pPr>
  </w:style>
  <w:style w:type="paragraph" w:styleId="32">
    <w:name w:val="toc 9"/>
    <w:basedOn w:val="1"/>
    <w:next w:val="1"/>
    <w:unhideWhenUsed/>
    <w:qFormat/>
    <w:uiPriority w:val="39"/>
    <w:pPr>
      <w:ind w:left="3360" w:leftChars="1600"/>
    </w:pPr>
    <w:rPr>
      <w:rFonts w:ascii="等线" w:hAnsi="等线" w:eastAsia="等线"/>
      <w:szCs w:val="22"/>
    </w:rPr>
  </w:style>
  <w:style w:type="paragraph" w:styleId="33">
    <w:name w:val="HTML Preformatted"/>
    <w:basedOn w:val="1"/>
    <w:link w:val="14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rPr>
  </w:style>
  <w:style w:type="paragraph" w:styleId="34">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5">
    <w:name w:val="Title"/>
    <w:basedOn w:val="1"/>
    <w:next w:val="1"/>
    <w:link w:val="99"/>
    <w:qFormat/>
    <w:uiPriority w:val="99"/>
    <w:pPr>
      <w:spacing w:before="240" w:after="60" w:line="960" w:lineRule="auto"/>
      <w:jc w:val="center"/>
    </w:pPr>
    <w:rPr>
      <w:rFonts w:ascii="Cambria" w:hAnsi="Cambria" w:eastAsia="黑体"/>
      <w:b/>
      <w:bCs/>
      <w:sz w:val="52"/>
      <w:szCs w:val="32"/>
    </w:rPr>
  </w:style>
  <w:style w:type="paragraph" w:styleId="36">
    <w:name w:val="annotation subject"/>
    <w:basedOn w:val="15"/>
    <w:next w:val="15"/>
    <w:link w:val="87"/>
    <w:qFormat/>
    <w:uiPriority w:val="99"/>
    <w:rPr>
      <w:b/>
      <w:bCs/>
      <w:sz w:val="21"/>
    </w:rPr>
  </w:style>
  <w:style w:type="paragraph" w:styleId="37">
    <w:name w:val="Body Text First Indent"/>
    <w:basedOn w:val="16"/>
    <w:link w:val="141"/>
    <w:qFormat/>
    <w:uiPriority w:val="99"/>
    <w:pPr>
      <w:adjustRightInd w:val="0"/>
      <w:spacing w:before="100" w:beforeAutospacing="1" w:afterAutospacing="1" w:line="400" w:lineRule="atLeast"/>
      <w:ind w:firstLine="420" w:firstLineChars="100"/>
      <w:textAlignment w:val="baseline"/>
    </w:pPr>
    <w:rPr>
      <w:kern w:val="0"/>
      <w:sz w:val="24"/>
      <w:szCs w:val="20"/>
    </w:rPr>
  </w:style>
  <w:style w:type="table" w:styleId="39">
    <w:name w:val="Table Grid"/>
    <w:basedOn w:val="38"/>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99"/>
    <w:rPr>
      <w:sz w:val="21"/>
      <w:szCs w:val="21"/>
    </w:rPr>
  </w:style>
  <w:style w:type="character" w:customStyle="1" w:styleId="45">
    <w:name w:val="标题 3 字符1"/>
    <w:qFormat/>
    <w:uiPriority w:val="0"/>
    <w:rPr>
      <w:rFonts w:ascii="宋体" w:hAnsi="宋体"/>
      <w:b/>
      <w:bCs/>
      <w:kern w:val="2"/>
      <w:sz w:val="28"/>
      <w:szCs w:val="28"/>
    </w:rPr>
  </w:style>
  <w:style w:type="character" w:customStyle="1" w:styleId="46">
    <w:name w:val="首行缩进正文 Char"/>
    <w:link w:val="47"/>
    <w:qFormat/>
    <w:uiPriority w:val="0"/>
    <w:rPr>
      <w:kern w:val="2"/>
      <w:sz w:val="24"/>
    </w:rPr>
  </w:style>
  <w:style w:type="paragraph" w:customStyle="1" w:styleId="47">
    <w:name w:val="首行缩进正文"/>
    <w:basedOn w:val="1"/>
    <w:link w:val="46"/>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8">
    <w:name w:val="批注文字 字符1"/>
    <w:link w:val="15"/>
    <w:qFormat/>
    <w:uiPriority w:val="99"/>
    <w:rPr>
      <w:rFonts w:eastAsia="仿宋"/>
      <w:kern w:val="2"/>
      <w:sz w:val="28"/>
      <w:szCs w:val="24"/>
    </w:rPr>
  </w:style>
  <w:style w:type="character" w:customStyle="1" w:styleId="49">
    <w:name w:val="日期 字符"/>
    <w:semiHidden/>
    <w:qFormat/>
    <w:uiPriority w:val="99"/>
    <w:rPr>
      <w:rFonts w:ascii="宋体" w:hAnsi="宋体"/>
      <w:kern w:val="2"/>
      <w:sz w:val="24"/>
      <w:szCs w:val="24"/>
    </w:rPr>
  </w:style>
  <w:style w:type="character" w:customStyle="1" w:styleId="50">
    <w:name w:val="日期 字符1"/>
    <w:link w:val="22"/>
    <w:qFormat/>
    <w:uiPriority w:val="99"/>
    <w:rPr>
      <w:kern w:val="2"/>
      <w:sz w:val="21"/>
      <w:szCs w:val="24"/>
    </w:rPr>
  </w:style>
  <w:style w:type="character" w:customStyle="1" w:styleId="51">
    <w:name w:val="标题 9 字符"/>
    <w:link w:val="10"/>
    <w:qFormat/>
    <w:uiPriority w:val="0"/>
    <w:rPr>
      <w:rFonts w:ascii="Cambria" w:hAnsi="Cambria"/>
      <w:kern w:val="2"/>
      <w:sz w:val="21"/>
      <w:szCs w:val="21"/>
    </w:rPr>
  </w:style>
  <w:style w:type="character" w:customStyle="1" w:styleId="52">
    <w:name w:val="未处理的提及1"/>
    <w:unhideWhenUsed/>
    <w:qFormat/>
    <w:uiPriority w:val="99"/>
    <w:rPr>
      <w:color w:val="605E5C"/>
      <w:shd w:val="clear" w:color="auto" w:fill="E1DFDD"/>
    </w:rPr>
  </w:style>
  <w:style w:type="character" w:customStyle="1" w:styleId="53">
    <w:name w:val="标题 1 字符"/>
    <w:qFormat/>
    <w:uiPriority w:val="9"/>
    <w:rPr>
      <w:rFonts w:ascii="宋体" w:hAnsi="宋体"/>
      <w:b/>
      <w:bCs/>
      <w:kern w:val="44"/>
      <w:sz w:val="44"/>
      <w:szCs w:val="44"/>
    </w:rPr>
  </w:style>
  <w:style w:type="character" w:customStyle="1" w:styleId="54">
    <w:name w:val="标题 3 字符"/>
    <w:semiHidden/>
    <w:qFormat/>
    <w:uiPriority w:val="9"/>
    <w:rPr>
      <w:rFonts w:ascii="宋体" w:hAnsi="宋体"/>
      <w:b/>
      <w:bCs/>
      <w:kern w:val="2"/>
      <w:sz w:val="32"/>
      <w:szCs w:val="32"/>
    </w:rPr>
  </w:style>
  <w:style w:type="character" w:customStyle="1" w:styleId="55">
    <w:name w:val="页脚 字符"/>
    <w:qFormat/>
    <w:uiPriority w:val="99"/>
  </w:style>
  <w:style w:type="character" w:customStyle="1" w:styleId="56">
    <w:name w:val="标题 5 字符"/>
    <w:semiHidden/>
    <w:qFormat/>
    <w:uiPriority w:val="9"/>
    <w:rPr>
      <w:rFonts w:ascii="宋体" w:hAnsi="宋体"/>
      <w:b/>
      <w:bCs/>
      <w:kern w:val="2"/>
      <w:sz w:val="28"/>
      <w:szCs w:val="28"/>
    </w:rPr>
  </w:style>
  <w:style w:type="character" w:customStyle="1" w:styleId="57">
    <w:name w:val="题注 字符"/>
    <w:link w:val="13"/>
    <w:qFormat/>
    <w:locked/>
    <w:uiPriority w:val="0"/>
    <w:rPr>
      <w:rFonts w:ascii="Arial" w:hAnsi="Arial" w:eastAsia="黑体"/>
      <w:kern w:val="2"/>
    </w:rPr>
  </w:style>
  <w:style w:type="character" w:customStyle="1" w:styleId="58">
    <w:name w:val="标题 2 字符"/>
    <w:semiHidden/>
    <w:qFormat/>
    <w:uiPriority w:val="9"/>
    <w:rPr>
      <w:rFonts w:ascii="等线 Light" w:hAnsi="等线 Light" w:eastAsia="等线 Light" w:cs="Times New Roman"/>
      <w:b/>
      <w:bCs/>
      <w:kern w:val="2"/>
      <w:sz w:val="32"/>
      <w:szCs w:val="32"/>
    </w:rPr>
  </w:style>
  <w:style w:type="character" w:customStyle="1" w:styleId="59">
    <w:name w:val="纯文本 字符"/>
    <w:qFormat/>
    <w:uiPriority w:val="0"/>
    <w:rPr>
      <w:rFonts w:ascii="宋体" w:hAnsi="Courier New" w:cs="Courier New"/>
      <w:kern w:val="2"/>
      <w:sz w:val="21"/>
      <w:szCs w:val="21"/>
    </w:rPr>
  </w:style>
  <w:style w:type="character" w:customStyle="1" w:styleId="60">
    <w:name w:val="列表段落 字符"/>
    <w:link w:val="61"/>
    <w:qFormat/>
    <w:uiPriority w:val="34"/>
    <w:rPr>
      <w:kern w:val="2"/>
      <w:sz w:val="21"/>
      <w:szCs w:val="22"/>
    </w:rPr>
  </w:style>
  <w:style w:type="paragraph" w:customStyle="1" w:styleId="61">
    <w:name w:val="列表段落1"/>
    <w:basedOn w:val="1"/>
    <w:link w:val="60"/>
    <w:qFormat/>
    <w:uiPriority w:val="34"/>
    <w:pPr>
      <w:widowControl/>
      <w:spacing w:after="200" w:line="276" w:lineRule="auto"/>
      <w:ind w:left="720" w:firstLine="0" w:firstLineChars="0"/>
      <w:contextualSpacing/>
      <w:jc w:val="left"/>
    </w:pPr>
    <w:rPr>
      <w:rFonts w:ascii="Times New Roman" w:hAnsi="Times New Roman"/>
      <w:sz w:val="21"/>
      <w:szCs w:val="22"/>
    </w:rPr>
  </w:style>
  <w:style w:type="character" w:customStyle="1" w:styleId="62">
    <w:name w:val="标题 4 字符1"/>
    <w:link w:val="5"/>
    <w:qFormat/>
    <w:uiPriority w:val="0"/>
    <w:rPr>
      <w:rFonts w:ascii="宋体" w:hAnsi="宋体"/>
      <w:b/>
      <w:bCs/>
      <w:kern w:val="2"/>
      <w:sz w:val="30"/>
      <w:szCs w:val="30"/>
    </w:rPr>
  </w:style>
  <w:style w:type="character" w:customStyle="1" w:styleId="63">
    <w:name w:val="正文文本 字符"/>
    <w:link w:val="16"/>
    <w:qFormat/>
    <w:uiPriority w:val="99"/>
    <w:rPr>
      <w:kern w:val="2"/>
      <w:sz w:val="21"/>
      <w:szCs w:val="24"/>
    </w:rPr>
  </w:style>
  <w:style w:type="character" w:customStyle="1" w:styleId="64">
    <w:name w:val="列表段落 字符1"/>
    <w:link w:val="65"/>
    <w:qFormat/>
    <w:uiPriority w:val="34"/>
    <w:rPr>
      <w:kern w:val="2"/>
      <w:sz w:val="21"/>
      <w:szCs w:val="24"/>
    </w:rPr>
  </w:style>
  <w:style w:type="paragraph" w:styleId="65">
    <w:name w:val="List Paragraph"/>
    <w:basedOn w:val="1"/>
    <w:link w:val="64"/>
    <w:qFormat/>
    <w:uiPriority w:val="34"/>
    <w:pPr>
      <w:ind w:firstLine="420"/>
    </w:pPr>
    <w:rPr>
      <w:rFonts w:ascii="Times New Roman" w:hAnsi="Times New Roman"/>
      <w:sz w:val="21"/>
    </w:rPr>
  </w:style>
  <w:style w:type="character" w:customStyle="1" w:styleId="66">
    <w:name w:val="font21"/>
    <w:qFormat/>
    <w:uiPriority w:val="0"/>
    <w:rPr>
      <w:rFonts w:ascii="Calibri" w:hAnsi="Calibri" w:cs="Calibri"/>
      <w:color w:val="000000"/>
      <w:sz w:val="21"/>
      <w:szCs w:val="21"/>
      <w:u w:val="none"/>
    </w:rPr>
  </w:style>
  <w:style w:type="character" w:customStyle="1" w:styleId="67">
    <w:name w:val="*正文 Char"/>
    <w:link w:val="68"/>
    <w:qFormat/>
    <w:uiPriority w:val="0"/>
    <w:rPr>
      <w:rFonts w:ascii="time" w:hAnsi="time"/>
      <w:sz w:val="24"/>
      <w:szCs w:val="24"/>
      <w:lang w:bidi="en-US"/>
    </w:rPr>
  </w:style>
  <w:style w:type="paragraph" w:customStyle="1" w:styleId="68">
    <w:name w:val="*正文"/>
    <w:basedOn w:val="1"/>
    <w:link w:val="67"/>
    <w:qFormat/>
    <w:uiPriority w:val="0"/>
    <w:pPr>
      <w:widowControl/>
      <w:ind w:firstLine="200"/>
      <w:contextualSpacing/>
    </w:pPr>
    <w:rPr>
      <w:rFonts w:ascii="time" w:hAnsi="time"/>
      <w:kern w:val="0"/>
      <w:lang w:bidi="en-US"/>
    </w:rPr>
  </w:style>
  <w:style w:type="character" w:customStyle="1" w:styleId="69">
    <w:name w:val="正文文本缩进 字符"/>
    <w:semiHidden/>
    <w:qFormat/>
    <w:uiPriority w:val="99"/>
    <w:rPr>
      <w:rFonts w:ascii="宋体" w:hAnsi="宋体"/>
      <w:kern w:val="2"/>
      <w:sz w:val="24"/>
      <w:szCs w:val="24"/>
    </w:rPr>
  </w:style>
  <w:style w:type="character" w:customStyle="1" w:styleId="70">
    <w:name w:val="纯文本 字符1"/>
    <w:link w:val="20"/>
    <w:qFormat/>
    <w:locked/>
    <w:uiPriority w:val="99"/>
    <w:rPr>
      <w:rFonts w:ascii="宋体" w:hAnsi="Courier New"/>
      <w:kern w:val="2"/>
      <w:sz w:val="21"/>
    </w:rPr>
  </w:style>
  <w:style w:type="character" w:customStyle="1" w:styleId="71">
    <w:name w:val="my正文 Char"/>
    <w:link w:val="72"/>
    <w:qFormat/>
    <w:uiPriority w:val="0"/>
    <w:rPr>
      <w:kern w:val="2"/>
      <w:sz w:val="21"/>
      <w:szCs w:val="24"/>
    </w:rPr>
  </w:style>
  <w:style w:type="paragraph" w:customStyle="1" w:styleId="72">
    <w:name w:val="my正文"/>
    <w:basedOn w:val="1"/>
    <w:link w:val="71"/>
    <w:qFormat/>
    <w:uiPriority w:val="0"/>
    <w:pPr>
      <w:spacing w:line="240" w:lineRule="auto"/>
      <w:ind w:firstLine="0" w:firstLineChars="0"/>
    </w:pPr>
    <w:rPr>
      <w:rFonts w:ascii="Times New Roman" w:hAnsi="Times New Roman"/>
      <w:sz w:val="21"/>
    </w:rPr>
  </w:style>
  <w:style w:type="character" w:customStyle="1" w:styleId="73">
    <w:name w:val="正文2 字符"/>
    <w:link w:val="74"/>
    <w:qFormat/>
    <w:uiPriority w:val="0"/>
    <w:rPr>
      <w:kern w:val="2"/>
      <w:sz w:val="21"/>
      <w:szCs w:val="24"/>
    </w:rPr>
  </w:style>
  <w:style w:type="paragraph" w:customStyle="1" w:styleId="74">
    <w:name w:val="正文2"/>
    <w:basedOn w:val="1"/>
    <w:link w:val="73"/>
    <w:qFormat/>
    <w:uiPriority w:val="0"/>
    <w:pPr>
      <w:ind w:firstLine="420"/>
    </w:pPr>
    <w:rPr>
      <w:rFonts w:ascii="Times New Roman" w:hAnsi="Times New Roman"/>
      <w:sz w:val="21"/>
    </w:rPr>
  </w:style>
  <w:style w:type="character" w:customStyle="1" w:styleId="75">
    <w:name w:val="font41"/>
    <w:qFormat/>
    <w:uiPriority w:val="0"/>
    <w:rPr>
      <w:rFonts w:hint="eastAsia" w:ascii="宋体" w:hAnsi="宋体" w:eastAsia="宋体" w:cs="宋体"/>
      <w:color w:val="000000"/>
      <w:sz w:val="21"/>
      <w:szCs w:val="21"/>
      <w:u w:val="none"/>
    </w:rPr>
  </w:style>
  <w:style w:type="character" w:customStyle="1" w:styleId="76">
    <w:name w:val="标题 7 字符"/>
    <w:link w:val="8"/>
    <w:qFormat/>
    <w:uiPriority w:val="0"/>
    <w:rPr>
      <w:b/>
      <w:bCs/>
      <w:kern w:val="2"/>
      <w:sz w:val="21"/>
      <w:szCs w:val="24"/>
    </w:rPr>
  </w:style>
  <w:style w:type="character" w:customStyle="1" w:styleId="77">
    <w:name w:val="批注框文本 字符"/>
    <w:semiHidden/>
    <w:qFormat/>
    <w:uiPriority w:val="99"/>
    <w:rPr>
      <w:rFonts w:ascii="宋体" w:hAnsi="宋体"/>
      <w:kern w:val="2"/>
      <w:sz w:val="18"/>
      <w:szCs w:val="18"/>
    </w:rPr>
  </w:style>
  <w:style w:type="character" w:customStyle="1" w:styleId="78">
    <w:name w:val="副标题 Char1"/>
    <w:qFormat/>
    <w:uiPriority w:val="0"/>
    <w:rPr>
      <w:rFonts w:ascii="Calibri Light" w:hAnsi="Calibri Light" w:cs="Times New Roman"/>
      <w:b/>
      <w:bCs/>
      <w:kern w:val="28"/>
      <w:sz w:val="32"/>
      <w:szCs w:val="32"/>
    </w:rPr>
  </w:style>
  <w:style w:type="character" w:customStyle="1" w:styleId="79">
    <w:name w:val="标题 1 字符1"/>
    <w:link w:val="2"/>
    <w:qFormat/>
    <w:uiPriority w:val="0"/>
    <w:rPr>
      <w:rFonts w:ascii="宋体" w:hAnsi="宋体" w:eastAsia="黑体"/>
      <w:b/>
      <w:bCs/>
      <w:kern w:val="44"/>
      <w:sz w:val="32"/>
      <w:szCs w:val="28"/>
    </w:rPr>
  </w:style>
  <w:style w:type="character" w:customStyle="1" w:styleId="80">
    <w:name w:val="批注文字 字符"/>
    <w:qFormat/>
    <w:uiPriority w:val="99"/>
    <w:rPr>
      <w:rFonts w:ascii="宋体" w:hAnsi="宋体"/>
      <w:kern w:val="2"/>
      <w:sz w:val="24"/>
      <w:szCs w:val="24"/>
    </w:rPr>
  </w:style>
  <w:style w:type="character" w:customStyle="1" w:styleId="81">
    <w:name w:val="文档结构图 字符"/>
    <w:semiHidden/>
    <w:qFormat/>
    <w:uiPriority w:val="99"/>
    <w:rPr>
      <w:rFonts w:ascii="Microsoft YaHei UI" w:hAnsi="宋体" w:eastAsia="Microsoft YaHei UI"/>
      <w:kern w:val="2"/>
      <w:sz w:val="18"/>
      <w:szCs w:val="18"/>
    </w:rPr>
  </w:style>
  <w:style w:type="character" w:customStyle="1" w:styleId="82">
    <w:name w:val="标题 6 字符"/>
    <w:semiHidden/>
    <w:qFormat/>
    <w:uiPriority w:val="9"/>
    <w:rPr>
      <w:rFonts w:ascii="等线 Light" w:hAnsi="等线 Light" w:eastAsia="等线 Light" w:cs="Times New Roman"/>
      <w:b/>
      <w:bCs/>
      <w:kern w:val="2"/>
      <w:sz w:val="24"/>
      <w:szCs w:val="24"/>
    </w:rPr>
  </w:style>
  <w:style w:type="character" w:customStyle="1" w:styleId="83">
    <w:name w:val="正文正文2 Char"/>
    <w:link w:val="84"/>
    <w:qFormat/>
    <w:uiPriority w:val="0"/>
    <w:rPr>
      <w:rFonts w:ascii="宋体" w:hAnsi="宋体"/>
      <w:kern w:val="2"/>
      <w:sz w:val="21"/>
      <w:szCs w:val="21"/>
    </w:rPr>
  </w:style>
  <w:style w:type="paragraph" w:customStyle="1" w:styleId="84">
    <w:name w:val="正文正文2"/>
    <w:basedOn w:val="1"/>
    <w:link w:val="83"/>
    <w:qFormat/>
    <w:uiPriority w:val="0"/>
    <w:pPr>
      <w:ind w:firstLine="460"/>
    </w:pPr>
    <w:rPr>
      <w:sz w:val="21"/>
      <w:szCs w:val="21"/>
    </w:rPr>
  </w:style>
  <w:style w:type="character" w:customStyle="1" w:styleId="85">
    <w:name w:val="标题 3 字符2"/>
    <w:link w:val="4"/>
    <w:qFormat/>
    <w:uiPriority w:val="0"/>
    <w:rPr>
      <w:rFonts w:ascii="宋体" w:hAnsi="宋体"/>
      <w:b/>
      <w:bCs/>
      <w:kern w:val="2"/>
      <w:sz w:val="28"/>
      <w:szCs w:val="28"/>
    </w:rPr>
  </w:style>
  <w:style w:type="character" w:customStyle="1" w:styleId="86">
    <w:name w:val="标题 4 字符"/>
    <w:semiHidden/>
    <w:qFormat/>
    <w:uiPriority w:val="9"/>
    <w:rPr>
      <w:rFonts w:ascii="等线 Light" w:hAnsi="等线 Light" w:eastAsia="等线 Light" w:cs="Times New Roman"/>
      <w:b/>
      <w:bCs/>
      <w:kern w:val="2"/>
      <w:sz w:val="28"/>
      <w:szCs w:val="28"/>
    </w:rPr>
  </w:style>
  <w:style w:type="character" w:customStyle="1" w:styleId="87">
    <w:name w:val="批注主题 字符1"/>
    <w:link w:val="36"/>
    <w:qFormat/>
    <w:uiPriority w:val="0"/>
    <w:rPr>
      <w:rFonts w:eastAsia="仿宋"/>
      <w:b/>
      <w:bCs/>
      <w:kern w:val="2"/>
      <w:sz w:val="21"/>
      <w:szCs w:val="24"/>
    </w:rPr>
  </w:style>
  <w:style w:type="character" w:customStyle="1" w:styleId="88">
    <w:name w:val="页眉 字符"/>
    <w:semiHidden/>
    <w:qFormat/>
    <w:uiPriority w:val="99"/>
    <w:rPr>
      <w:rFonts w:ascii="宋体" w:hAnsi="宋体"/>
      <w:kern w:val="2"/>
      <w:sz w:val="18"/>
      <w:szCs w:val="18"/>
    </w:rPr>
  </w:style>
  <w:style w:type="character" w:customStyle="1" w:styleId="89">
    <w:name w:val="正文文本缩进 字符1"/>
    <w:link w:val="17"/>
    <w:qFormat/>
    <w:uiPriority w:val="99"/>
    <w:rPr>
      <w:kern w:val="2"/>
      <w:sz w:val="21"/>
    </w:rPr>
  </w:style>
  <w:style w:type="character" w:customStyle="1" w:styleId="90">
    <w:name w:val="标题 5 字符1"/>
    <w:link w:val="6"/>
    <w:qFormat/>
    <w:uiPriority w:val="0"/>
    <w:rPr>
      <w:rFonts w:ascii="宋体" w:hAnsi="宋体"/>
      <w:b/>
      <w:bCs/>
      <w:kern w:val="2"/>
      <w:sz w:val="24"/>
      <w:szCs w:val="28"/>
    </w:rPr>
  </w:style>
  <w:style w:type="character" w:customStyle="1" w:styleId="91">
    <w:name w:val="副标题 字符1"/>
    <w:link w:val="28"/>
    <w:qFormat/>
    <w:uiPriority w:val="0"/>
    <w:rPr>
      <w:rFonts w:ascii="Calibri Light" w:hAnsi="Calibri Light"/>
      <w:b/>
      <w:bCs/>
      <w:kern w:val="28"/>
      <w:sz w:val="32"/>
      <w:szCs w:val="32"/>
    </w:rPr>
  </w:style>
  <w:style w:type="character" w:customStyle="1" w:styleId="92">
    <w:name w:val="标题 2 字符1"/>
    <w:link w:val="3"/>
    <w:qFormat/>
    <w:uiPriority w:val="0"/>
    <w:rPr>
      <w:rFonts w:ascii="宋体" w:hAnsi="宋体"/>
      <w:b/>
      <w:bCs/>
      <w:kern w:val="2"/>
      <w:sz w:val="30"/>
      <w:szCs w:val="32"/>
    </w:rPr>
  </w:style>
  <w:style w:type="character" w:customStyle="1" w:styleId="93">
    <w:name w:val="页脚 字符1"/>
    <w:link w:val="24"/>
    <w:qFormat/>
    <w:uiPriority w:val="99"/>
    <w:rPr>
      <w:kern w:val="2"/>
      <w:sz w:val="18"/>
      <w:szCs w:val="18"/>
    </w:rPr>
  </w:style>
  <w:style w:type="character" w:customStyle="1" w:styleId="94">
    <w:name w:val="批注主题 字符"/>
    <w:semiHidden/>
    <w:qFormat/>
    <w:uiPriority w:val="99"/>
    <w:rPr>
      <w:rFonts w:ascii="宋体" w:hAnsi="宋体"/>
      <w:b/>
      <w:bCs/>
      <w:kern w:val="2"/>
      <w:sz w:val="24"/>
      <w:szCs w:val="24"/>
    </w:rPr>
  </w:style>
  <w:style w:type="character" w:customStyle="1" w:styleId="95">
    <w:name w:val="文档结构图 字符1"/>
    <w:link w:val="14"/>
    <w:qFormat/>
    <w:uiPriority w:val="99"/>
    <w:rPr>
      <w:rFonts w:ascii="宋体"/>
      <w:kern w:val="2"/>
      <w:sz w:val="18"/>
      <w:szCs w:val="18"/>
    </w:rPr>
  </w:style>
  <w:style w:type="character" w:customStyle="1" w:styleId="96">
    <w:name w:val="font31"/>
    <w:qFormat/>
    <w:uiPriority w:val="0"/>
    <w:rPr>
      <w:rFonts w:hint="eastAsia" w:ascii="宋体" w:hAnsi="宋体" w:eastAsia="宋体" w:cs="宋体"/>
      <w:color w:val="000000"/>
      <w:sz w:val="21"/>
      <w:szCs w:val="21"/>
      <w:u w:val="none"/>
    </w:rPr>
  </w:style>
  <w:style w:type="character" w:customStyle="1" w:styleId="97">
    <w:name w:val="标准正文 Char"/>
    <w:link w:val="98"/>
    <w:qFormat/>
    <w:uiPriority w:val="0"/>
    <w:rPr>
      <w:rFonts w:ascii="Arial" w:hAnsi="Arial"/>
      <w:kern w:val="2"/>
      <w:sz w:val="24"/>
    </w:rPr>
  </w:style>
  <w:style w:type="paragraph" w:customStyle="1" w:styleId="98">
    <w:name w:val="标准正文"/>
    <w:basedOn w:val="17"/>
    <w:link w:val="97"/>
    <w:qFormat/>
    <w:uiPriority w:val="0"/>
    <w:pPr>
      <w:spacing w:before="60" w:after="60"/>
      <w:ind w:firstLine="482" w:firstLineChars="0"/>
    </w:pPr>
    <w:rPr>
      <w:rFonts w:ascii="Arial" w:hAnsi="Arial"/>
      <w:sz w:val="24"/>
    </w:rPr>
  </w:style>
  <w:style w:type="character" w:customStyle="1" w:styleId="99">
    <w:name w:val="标题 字符1"/>
    <w:link w:val="35"/>
    <w:qFormat/>
    <w:uiPriority w:val="0"/>
    <w:rPr>
      <w:rFonts w:ascii="Cambria" w:hAnsi="Cambria" w:eastAsia="黑体"/>
      <w:b/>
      <w:bCs/>
      <w:kern w:val="2"/>
      <w:sz w:val="52"/>
      <w:szCs w:val="32"/>
    </w:rPr>
  </w:style>
  <w:style w:type="character" w:customStyle="1" w:styleId="100">
    <w:name w:val="批注框文本 字符1"/>
    <w:link w:val="23"/>
    <w:qFormat/>
    <w:uiPriority w:val="99"/>
    <w:rPr>
      <w:kern w:val="2"/>
      <w:sz w:val="18"/>
      <w:szCs w:val="18"/>
    </w:rPr>
  </w:style>
  <w:style w:type="character" w:customStyle="1" w:styleId="101">
    <w:name w:val="页眉 字符1"/>
    <w:link w:val="25"/>
    <w:qFormat/>
    <w:uiPriority w:val="99"/>
    <w:rPr>
      <w:kern w:val="2"/>
      <w:sz w:val="18"/>
      <w:szCs w:val="18"/>
    </w:rPr>
  </w:style>
  <w:style w:type="character" w:customStyle="1" w:styleId="102">
    <w:name w:val="标题 8 字符"/>
    <w:link w:val="9"/>
    <w:qFormat/>
    <w:uiPriority w:val="0"/>
    <w:rPr>
      <w:rFonts w:ascii="Cambria" w:hAnsi="Cambria"/>
      <w:kern w:val="2"/>
      <w:sz w:val="21"/>
      <w:szCs w:val="24"/>
    </w:rPr>
  </w:style>
  <w:style w:type="character" w:customStyle="1" w:styleId="103">
    <w:name w:val="标题 6 字符1"/>
    <w:link w:val="7"/>
    <w:qFormat/>
    <w:uiPriority w:val="0"/>
    <w:rPr>
      <w:rFonts w:ascii="Cambria" w:hAnsi="Cambria"/>
      <w:b/>
      <w:bCs/>
      <w:kern w:val="2"/>
      <w:sz w:val="24"/>
      <w:szCs w:val="24"/>
    </w:rPr>
  </w:style>
  <w:style w:type="character" w:customStyle="1" w:styleId="104">
    <w:name w:val="标题 字符"/>
    <w:qFormat/>
    <w:uiPriority w:val="99"/>
    <w:rPr>
      <w:rFonts w:ascii="等线 Light" w:hAnsi="等线 Light" w:eastAsia="等线 Light" w:cs="Times New Roman"/>
      <w:b/>
      <w:bCs/>
      <w:kern w:val="2"/>
      <w:sz w:val="32"/>
      <w:szCs w:val="32"/>
    </w:rPr>
  </w:style>
  <w:style w:type="character" w:customStyle="1" w:styleId="105">
    <w:name w:val="副标题 字符"/>
    <w:qFormat/>
    <w:uiPriority w:val="99"/>
    <w:rPr>
      <w:rFonts w:ascii="等线" w:hAnsi="等线" w:eastAsia="等线" w:cs="Times New Roman"/>
      <w:b/>
      <w:bCs/>
      <w:kern w:val="28"/>
      <w:sz w:val="32"/>
      <w:szCs w:val="32"/>
    </w:rPr>
  </w:style>
  <w:style w:type="paragraph" w:customStyle="1" w:styleId="106">
    <w:name w:val="xl72"/>
    <w:basedOn w:val="1"/>
    <w:qFormat/>
    <w:uiPriority w:val="99"/>
    <w:pPr>
      <w:widowControl/>
      <w:spacing w:before="100" w:beforeAutospacing="1" w:after="100" w:afterAutospacing="1" w:line="240" w:lineRule="auto"/>
      <w:ind w:firstLine="0" w:firstLineChars="0"/>
      <w:jc w:val="center"/>
    </w:pPr>
    <w:rPr>
      <w:rFonts w:cs="宋体"/>
      <w:kern w:val="0"/>
    </w:rPr>
  </w:style>
  <w:style w:type="paragraph" w:customStyle="1" w:styleId="107">
    <w:name w:val="正文（深信服）"/>
    <w:qFormat/>
    <w:uiPriority w:val="99"/>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8">
    <w:name w:val="xl70"/>
    <w:basedOn w:val="1"/>
    <w:qFormat/>
    <w:uiPriority w:val="99"/>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9">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10">
    <w:name w:val="正文缩进1"/>
    <w:basedOn w:val="1"/>
    <w:qFormat/>
    <w:uiPriority w:val="99"/>
    <w:pPr>
      <w:spacing w:line="240" w:lineRule="auto"/>
      <w:ind w:firstLine="420"/>
    </w:pPr>
    <w:rPr>
      <w:rFonts w:ascii="Times New Roman" w:hAnsi="Times New Roman"/>
      <w:sz w:val="21"/>
      <w:szCs w:val="20"/>
    </w:rPr>
  </w:style>
  <w:style w:type="paragraph" w:customStyle="1" w:styleId="111">
    <w:name w:val="xl68"/>
    <w:basedOn w:val="1"/>
    <w:qFormat/>
    <w:uiPriority w:val="99"/>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12">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3">
    <w:name w:val="Indent Normal"/>
    <w:basedOn w:val="1"/>
    <w:qFormat/>
    <w:uiPriority w:val="99"/>
    <w:pPr>
      <w:ind w:firstLine="150" w:firstLineChars="150"/>
    </w:pPr>
  </w:style>
  <w:style w:type="paragraph" w:customStyle="1" w:styleId="114">
    <w:name w:val="msonormal"/>
    <w:basedOn w:val="1"/>
    <w:qFormat/>
    <w:uiPriority w:val="99"/>
    <w:pPr>
      <w:widowControl/>
      <w:spacing w:before="100" w:beforeAutospacing="1" w:after="100" w:afterAutospacing="1" w:line="240" w:lineRule="auto"/>
      <w:ind w:firstLine="0" w:firstLineChars="0"/>
      <w:jc w:val="left"/>
    </w:pPr>
    <w:rPr>
      <w:rFonts w:cs="宋体"/>
      <w:kern w:val="0"/>
    </w:rPr>
  </w:style>
  <w:style w:type="paragraph" w:customStyle="1" w:styleId="115">
    <w:name w:val="正文 缩进2字符"/>
    <w:basedOn w:val="1"/>
    <w:qFormat/>
    <w:uiPriority w:val="99"/>
    <w:pPr>
      <w:spacing w:afterLines="50" w:line="240" w:lineRule="auto"/>
      <w:ind w:firstLine="0" w:firstLineChars="0"/>
    </w:pPr>
    <w:rPr>
      <w:rFonts w:ascii="Times New Roman" w:hAnsi="Times New Roman" w:cs="宋体"/>
      <w:sz w:val="21"/>
      <w:szCs w:val="20"/>
    </w:rPr>
  </w:style>
  <w:style w:type="paragraph" w:customStyle="1" w:styleId="116">
    <w:name w:val="列项●（二级）"/>
    <w:qFormat/>
    <w:uiPriority w:val="99"/>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7">
    <w:name w:val="助手文本"/>
    <w:basedOn w:val="1"/>
    <w:qFormat/>
    <w:uiPriority w:val="99"/>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8">
    <w:name w:val="xl67"/>
    <w:basedOn w:val="1"/>
    <w:qFormat/>
    <w:uiPriority w:val="99"/>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9">
    <w:name w:val="段"/>
    <w:qFormat/>
    <w:uiPriority w:val="99"/>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2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21">
    <w:name w:val="Char Char Char Char Char Char1 Char"/>
    <w:basedOn w:val="1"/>
    <w:qFormat/>
    <w:uiPriority w:val="99"/>
    <w:pPr>
      <w:widowControl/>
      <w:spacing w:after="160" w:line="240" w:lineRule="exact"/>
      <w:jc w:val="left"/>
    </w:pPr>
  </w:style>
  <w:style w:type="paragraph" w:customStyle="1" w:styleId="122">
    <w:name w:val="PM_Body"/>
    <w:basedOn w:val="1"/>
    <w:qFormat/>
    <w:locked/>
    <w:uiPriority w:val="99"/>
    <w:rPr>
      <w:szCs w:val="21"/>
    </w:rPr>
  </w:style>
  <w:style w:type="paragraph" w:customStyle="1" w:styleId="123">
    <w:name w:val="Char Char1"/>
    <w:basedOn w:val="1"/>
    <w:qFormat/>
    <w:uiPriority w:val="99"/>
    <w:pPr>
      <w:widowControl/>
      <w:spacing w:before="120" w:after="120"/>
    </w:pPr>
    <w:rPr>
      <w:rFonts w:ascii="Times New Roman" w:hAnsi="Times New Roman" w:cs="宋体"/>
    </w:rPr>
  </w:style>
  <w:style w:type="paragraph" w:customStyle="1" w:styleId="124">
    <w:name w:val="xl71"/>
    <w:basedOn w:val="1"/>
    <w:qFormat/>
    <w:uiPriority w:val="99"/>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5">
    <w:name w:val="修订1"/>
    <w:unhideWhenUsed/>
    <w:qFormat/>
    <w:uiPriority w:val="99"/>
    <w:rPr>
      <w:rFonts w:ascii="宋体" w:hAnsi="宋体" w:eastAsia="宋体" w:cs="Times New Roman"/>
      <w:kern w:val="2"/>
      <w:sz w:val="24"/>
      <w:szCs w:val="24"/>
      <w:lang w:val="en-US" w:eastAsia="zh-CN" w:bidi="ar-SA"/>
    </w:rPr>
  </w:style>
  <w:style w:type="paragraph" w:customStyle="1" w:styleId="126">
    <w:name w:val="列出段落2"/>
    <w:basedOn w:val="1"/>
    <w:qFormat/>
    <w:uiPriority w:val="99"/>
    <w:pPr>
      <w:spacing w:line="240" w:lineRule="auto"/>
      <w:ind w:firstLine="420"/>
    </w:pPr>
    <w:rPr>
      <w:rFonts w:ascii="等线" w:hAnsi="等线" w:eastAsia="等线" w:cs="等线"/>
      <w:sz w:val="21"/>
      <w:szCs w:val="21"/>
    </w:rPr>
  </w:style>
  <w:style w:type="paragraph" w:customStyle="1" w:styleId="127">
    <w:name w:val="xl69"/>
    <w:basedOn w:val="1"/>
    <w:qFormat/>
    <w:uiPriority w:val="99"/>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8">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9">
    <w:name w:val="文档正文文本（中安网脉）"/>
    <w:basedOn w:val="1"/>
    <w:qFormat/>
    <w:uiPriority w:val="99"/>
    <w:pPr>
      <w:ind w:firstLine="200"/>
    </w:pPr>
    <w:rPr>
      <w:rFonts w:ascii="Times New Roman" w:hAnsi="Times New Roman" w:eastAsia="仿宋_GB2312"/>
      <w:color w:val="000000"/>
      <w:szCs w:val="28"/>
    </w:rPr>
  </w:style>
  <w:style w:type="paragraph" w:customStyle="1" w:styleId="130">
    <w:name w:val="xl65"/>
    <w:basedOn w:val="1"/>
    <w:qFormat/>
    <w:uiPriority w:val="99"/>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31">
    <w:name w:val="正文样式"/>
    <w:unhideWhenUsed/>
    <w:qFormat/>
    <w:uiPriority w:val="99"/>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32">
    <w:name w:val="样式 行距: 1.5 倍行距 首行缩进:  2 字符"/>
    <w:basedOn w:val="1"/>
    <w:qFormat/>
    <w:uiPriority w:val="99"/>
    <w:pPr>
      <w:ind w:firstLine="560"/>
      <w:jc w:val="left"/>
    </w:pPr>
    <w:rPr>
      <w:rFonts w:ascii="仿宋" w:hAnsi="仿宋" w:eastAsia="仿宋" w:cs="宋体"/>
      <w:sz w:val="28"/>
      <w:szCs w:val="20"/>
    </w:rPr>
  </w:style>
  <w:style w:type="paragraph" w:customStyle="1" w:styleId="133">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4">
    <w:name w:val="!我的表格1"/>
    <w:basedOn w:val="3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
    <w:name w:val="网格型1"/>
    <w:basedOn w:val="38"/>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6">
    <w:name w:val="标题 1 Char"/>
    <w:qFormat/>
    <w:uiPriority w:val="0"/>
    <w:rPr>
      <w:rFonts w:ascii="宋体" w:hAnsi="宋体" w:eastAsia="黑体"/>
      <w:b/>
      <w:bCs/>
      <w:kern w:val="44"/>
      <w:sz w:val="32"/>
      <w:szCs w:val="28"/>
    </w:rPr>
  </w:style>
  <w:style w:type="character" w:customStyle="1" w:styleId="137">
    <w:name w:val="纯文本 Char2"/>
    <w:qFormat/>
    <w:uiPriority w:val="0"/>
    <w:rPr>
      <w:rFonts w:ascii="宋体" w:hAnsi="宋体" w:eastAsia="宋体" w:cs="Times New Roman"/>
      <w:color w:val="000000"/>
      <w:kern w:val="0"/>
      <w:sz w:val="24"/>
      <w:szCs w:val="24"/>
    </w:rPr>
  </w:style>
  <w:style w:type="paragraph" w:customStyle="1" w:styleId="138">
    <w:name w:val="列出段落1"/>
    <w:basedOn w:val="1"/>
    <w:autoRedefine/>
    <w:qFormat/>
    <w:uiPriority w:val="34"/>
    <w:pPr>
      <w:spacing w:line="240" w:lineRule="auto"/>
      <w:ind w:firstLine="420"/>
    </w:pPr>
    <w:rPr>
      <w:rFonts w:ascii="Calibri" w:hAnsi="Calibri"/>
      <w:sz w:val="21"/>
      <w:szCs w:val="22"/>
    </w:rPr>
  </w:style>
  <w:style w:type="paragraph" w:customStyle="1" w:styleId="139">
    <w:name w:val="正文内容"/>
    <w:basedOn w:val="1"/>
    <w:qFormat/>
    <w:uiPriority w:val="0"/>
    <w:pPr>
      <w:snapToGrid w:val="0"/>
      <w:ind w:firstLine="200"/>
      <w:jc w:val="left"/>
    </w:pPr>
    <w:rPr>
      <w:rFonts w:hAnsi="仿宋"/>
      <w:bCs/>
      <w:szCs w:val="40"/>
    </w:rPr>
  </w:style>
  <w:style w:type="character" w:customStyle="1" w:styleId="140">
    <w:name w:val="HTML 预设格式 字符"/>
    <w:basedOn w:val="40"/>
    <w:link w:val="33"/>
    <w:qFormat/>
    <w:uiPriority w:val="99"/>
    <w:rPr>
      <w:rFonts w:ascii="宋体" w:hAnsi="宋体" w:cs="宋体"/>
      <w:kern w:val="2"/>
      <w:sz w:val="24"/>
      <w:szCs w:val="24"/>
    </w:rPr>
  </w:style>
  <w:style w:type="character" w:customStyle="1" w:styleId="141">
    <w:name w:val="正文文本首行缩进 字符"/>
    <w:basedOn w:val="63"/>
    <w:link w:val="37"/>
    <w:qFormat/>
    <w:uiPriority w:val="99"/>
    <w:rPr>
      <w:kern w:val="2"/>
      <w:sz w:val="24"/>
      <w:szCs w:val="24"/>
    </w:rPr>
  </w:style>
  <w:style w:type="character" w:customStyle="1" w:styleId="142">
    <w:name w:val="标题 9 Char"/>
    <w:qFormat/>
    <w:uiPriority w:val="99"/>
    <w:rPr>
      <w:rFonts w:ascii="Cambria" w:hAnsi="Cambria"/>
      <w:kern w:val="2"/>
      <w:sz w:val="21"/>
      <w:szCs w:val="21"/>
    </w:rPr>
  </w:style>
  <w:style w:type="character" w:customStyle="1" w:styleId="143">
    <w:name w:val="题注 Char"/>
    <w:qFormat/>
    <w:locked/>
    <w:uiPriority w:val="35"/>
    <w:rPr>
      <w:rFonts w:ascii="Arial" w:hAnsi="Arial" w:eastAsia="黑体"/>
      <w:kern w:val="2"/>
    </w:rPr>
  </w:style>
  <w:style w:type="character" w:customStyle="1" w:styleId="144">
    <w:name w:val="标题 7 Char"/>
    <w:qFormat/>
    <w:uiPriority w:val="99"/>
    <w:rPr>
      <w:b/>
      <w:bCs/>
      <w:kern w:val="2"/>
      <w:sz w:val="21"/>
      <w:szCs w:val="24"/>
    </w:rPr>
  </w:style>
  <w:style w:type="character" w:customStyle="1" w:styleId="145">
    <w:name w:val="标题 8 Char"/>
    <w:qFormat/>
    <w:uiPriority w:val="99"/>
    <w:rPr>
      <w:rFonts w:ascii="Cambria" w:hAnsi="Cambria"/>
      <w:kern w:val="2"/>
      <w:sz w:val="21"/>
      <w:szCs w:val="24"/>
    </w:rPr>
  </w:style>
  <w:style w:type="paragraph" w:customStyle="1" w:styleId="146">
    <w:name w:val="可研正文"/>
    <w:basedOn w:val="1"/>
    <w:link w:val="147"/>
    <w:qFormat/>
    <w:uiPriority w:val="0"/>
    <w:pPr>
      <w:ind w:firstLine="200"/>
    </w:pPr>
    <w:rPr>
      <w:rFonts w:ascii="仿宋" w:hAnsi="仿宋" w:eastAsia="仿宋" w:cstheme="minorBidi"/>
      <w:sz w:val="28"/>
      <w:szCs w:val="28"/>
    </w:rPr>
  </w:style>
  <w:style w:type="character" w:customStyle="1" w:styleId="147">
    <w:name w:val="可研正文 Char"/>
    <w:link w:val="146"/>
    <w:qFormat/>
    <w:uiPriority w:val="0"/>
    <w:rPr>
      <w:rFonts w:ascii="仿宋" w:hAnsi="仿宋" w:eastAsia="仿宋" w:cstheme="minorBidi"/>
      <w:kern w:val="2"/>
      <w:sz w:val="28"/>
      <w:szCs w:val="28"/>
    </w:rPr>
  </w:style>
  <w:style w:type="paragraph" w:customStyle="1" w:styleId="148">
    <w:name w:val="font5"/>
    <w:basedOn w:val="1"/>
    <w:qFormat/>
    <w:uiPriority w:val="99"/>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149">
    <w:name w:val="xl63"/>
    <w:basedOn w:val="1"/>
    <w:qFormat/>
    <w:uiPriority w:val="99"/>
    <w:pPr>
      <w:widowControl/>
      <w:spacing w:before="100" w:beforeAutospacing="1" w:after="100" w:afterAutospacing="1" w:line="240" w:lineRule="auto"/>
      <w:ind w:firstLine="0" w:firstLineChars="0"/>
      <w:jc w:val="left"/>
    </w:pPr>
    <w:rPr>
      <w:rFonts w:cs="宋体"/>
      <w:kern w:val="0"/>
    </w:rPr>
  </w:style>
  <w:style w:type="paragraph" w:customStyle="1" w:styleId="150">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cs="宋体"/>
      <w:kern w:val="0"/>
    </w:rPr>
  </w:style>
  <w:style w:type="paragraph" w:customStyle="1" w:styleId="151">
    <w:name w:val="0可研正文"/>
    <w:basedOn w:val="1"/>
    <w:link w:val="152"/>
    <w:qFormat/>
    <w:uiPriority w:val="0"/>
    <w:pPr>
      <w:ind w:firstLine="200"/>
    </w:pPr>
    <w:rPr>
      <w:rFonts w:ascii="仿宋" w:hAnsi="仿宋" w:eastAsia="仿宋" w:cstheme="minorBidi"/>
      <w:sz w:val="28"/>
      <w:szCs w:val="28"/>
    </w:rPr>
  </w:style>
  <w:style w:type="character" w:customStyle="1" w:styleId="152">
    <w:name w:val="0可研正文 字符"/>
    <w:link w:val="151"/>
    <w:qFormat/>
    <w:uiPriority w:val="0"/>
    <w:rPr>
      <w:rFonts w:ascii="仿宋" w:hAnsi="仿宋" w:eastAsia="仿宋" w:cstheme="minorBidi"/>
      <w:kern w:val="2"/>
      <w:sz w:val="28"/>
      <w:szCs w:val="28"/>
    </w:rPr>
  </w:style>
  <w:style w:type="paragraph" w:customStyle="1" w:styleId="153">
    <w:name w:val="0表格"/>
    <w:basedOn w:val="1"/>
    <w:link w:val="154"/>
    <w:qFormat/>
    <w:uiPriority w:val="0"/>
    <w:pPr>
      <w:ind w:firstLine="0" w:firstLineChars="0"/>
    </w:pPr>
    <w:rPr>
      <w:rFonts w:ascii="仿宋" w:hAnsi="仿宋" w:eastAsia="仿宋"/>
    </w:rPr>
  </w:style>
  <w:style w:type="character" w:customStyle="1" w:styleId="154">
    <w:name w:val="0表格 Char"/>
    <w:basedOn w:val="40"/>
    <w:link w:val="153"/>
    <w:qFormat/>
    <w:uiPriority w:val="0"/>
    <w:rPr>
      <w:rFonts w:ascii="仿宋" w:hAnsi="仿宋" w:eastAsia="仿宋"/>
      <w:kern w:val="2"/>
      <w:sz w:val="24"/>
      <w:szCs w:val="24"/>
    </w:rPr>
  </w:style>
  <w:style w:type="paragraph" w:customStyle="1" w:styleId="155">
    <w:name w:val="0table"/>
    <w:basedOn w:val="153"/>
    <w:link w:val="156"/>
    <w:qFormat/>
    <w:uiPriority w:val="0"/>
    <w:pPr>
      <w:spacing w:line="288" w:lineRule="auto"/>
    </w:pPr>
    <w:rPr>
      <w:sz w:val="21"/>
      <w:szCs w:val="21"/>
    </w:rPr>
  </w:style>
  <w:style w:type="character" w:customStyle="1" w:styleId="156">
    <w:name w:val="0table Char"/>
    <w:basedOn w:val="154"/>
    <w:link w:val="155"/>
    <w:qFormat/>
    <w:uiPriority w:val="0"/>
    <w:rPr>
      <w:rFonts w:ascii="仿宋" w:hAnsi="仿宋" w:eastAsia="仿宋"/>
      <w:kern w:val="2"/>
      <w:sz w:val="21"/>
      <w:szCs w:val="21"/>
    </w:rPr>
  </w:style>
  <w:style w:type="paragraph" w:customStyle="1" w:styleId="157">
    <w:name w:val="0正文"/>
    <w:basedOn w:val="1"/>
    <w:link w:val="158"/>
    <w:qFormat/>
    <w:uiPriority w:val="0"/>
    <w:pPr>
      <w:ind w:firstLine="200"/>
    </w:pPr>
    <w:rPr>
      <w:rFonts w:ascii="仿宋" w:hAnsi="仿宋" w:eastAsia="仿宋" w:cstheme="minorBidi"/>
      <w:sz w:val="28"/>
      <w:szCs w:val="28"/>
    </w:rPr>
  </w:style>
  <w:style w:type="character" w:customStyle="1" w:styleId="158">
    <w:name w:val="0正文 Char"/>
    <w:link w:val="157"/>
    <w:qFormat/>
    <w:uiPriority w:val="0"/>
    <w:rPr>
      <w:rFonts w:ascii="仿宋" w:hAnsi="仿宋" w:eastAsia="仿宋" w:cstheme="minorBidi"/>
      <w:kern w:val="2"/>
      <w:sz w:val="28"/>
      <w:szCs w:val="28"/>
    </w:rPr>
  </w:style>
  <w:style w:type="character" w:customStyle="1" w:styleId="159">
    <w:name w:val="0标题3"/>
    <w:basedOn w:val="40"/>
    <w:qFormat/>
    <w:uiPriority w:val="0"/>
    <w:rPr>
      <w:sz w:val="28"/>
    </w:rPr>
  </w:style>
  <w:style w:type="paragraph" w:customStyle="1" w:styleId="160">
    <w:name w:val="修订2"/>
    <w:hidden/>
    <w:semiHidden/>
    <w:qFormat/>
    <w:uiPriority w:val="99"/>
    <w:rPr>
      <w:rFonts w:ascii="宋体" w:hAnsi="宋体" w:eastAsia="宋体" w:cs="Times New Roman"/>
      <w:kern w:val="2"/>
      <w:sz w:val="24"/>
      <w:szCs w:val="24"/>
      <w:lang w:val="en-US" w:eastAsia="zh-CN" w:bidi="ar-SA"/>
    </w:rPr>
  </w:style>
  <w:style w:type="paragraph" w:customStyle="1" w:styleId="161">
    <w:name w:val="TOC 标题2"/>
    <w:basedOn w:val="2"/>
    <w:next w:val="1"/>
    <w:semiHidden/>
    <w:unhideWhenUsed/>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character" w:customStyle="1" w:styleId="162">
    <w:name w:val="批注文字 字符2"/>
    <w:basedOn w:val="40"/>
    <w:semiHidden/>
    <w:qFormat/>
    <w:uiPriority w:val="99"/>
    <w:rPr>
      <w:rFonts w:hint="eastAsia" w:ascii="宋体" w:hAnsi="宋体" w:eastAsia="宋体"/>
      <w:kern w:val="2"/>
      <w:sz w:val="24"/>
      <w:szCs w:val="24"/>
    </w:rPr>
  </w:style>
  <w:style w:type="character" w:customStyle="1" w:styleId="163">
    <w:name w:val="批注主题 字符2"/>
    <w:basedOn w:val="162"/>
    <w:semiHidden/>
    <w:qFormat/>
    <w:uiPriority w:val="99"/>
    <w:rPr>
      <w:rFonts w:hint="eastAsia" w:ascii="宋体" w:hAnsi="宋体" w:eastAsia="宋体"/>
      <w:b/>
      <w:bCs/>
      <w:kern w:val="2"/>
      <w:sz w:val="24"/>
      <w:szCs w:val="24"/>
    </w:rPr>
  </w:style>
  <w:style w:type="character" w:customStyle="1" w:styleId="164">
    <w:name w:val="页脚 字符2"/>
    <w:basedOn w:val="40"/>
    <w:semiHidden/>
    <w:qFormat/>
    <w:uiPriority w:val="99"/>
    <w:rPr>
      <w:rFonts w:hint="eastAsia" w:ascii="宋体" w:hAnsi="宋体" w:eastAsia="宋体"/>
      <w:kern w:val="2"/>
      <w:sz w:val="18"/>
      <w:szCs w:val="18"/>
    </w:rPr>
  </w:style>
  <w:style w:type="character" w:customStyle="1" w:styleId="165">
    <w:name w:val="日期 字符2"/>
    <w:basedOn w:val="40"/>
    <w:semiHidden/>
    <w:qFormat/>
    <w:uiPriority w:val="99"/>
    <w:rPr>
      <w:rFonts w:hint="eastAsia" w:ascii="宋体" w:hAnsi="宋体" w:eastAsia="宋体"/>
      <w:kern w:val="2"/>
      <w:sz w:val="24"/>
      <w:szCs w:val="24"/>
    </w:rPr>
  </w:style>
  <w:style w:type="character" w:customStyle="1" w:styleId="166">
    <w:name w:val="正文文本缩进 字符2"/>
    <w:basedOn w:val="40"/>
    <w:semiHidden/>
    <w:qFormat/>
    <w:uiPriority w:val="99"/>
    <w:rPr>
      <w:rFonts w:hint="eastAsia" w:ascii="宋体" w:hAnsi="宋体" w:eastAsia="宋体"/>
      <w:kern w:val="2"/>
      <w:sz w:val="24"/>
      <w:szCs w:val="24"/>
    </w:rPr>
  </w:style>
  <w:style w:type="character" w:customStyle="1" w:styleId="167">
    <w:name w:val="页眉 字符2"/>
    <w:basedOn w:val="40"/>
    <w:semiHidden/>
    <w:qFormat/>
    <w:uiPriority w:val="99"/>
    <w:rPr>
      <w:rFonts w:hint="eastAsia" w:ascii="宋体" w:hAnsi="宋体" w:eastAsia="宋体"/>
      <w:kern w:val="2"/>
      <w:sz w:val="18"/>
      <w:szCs w:val="18"/>
    </w:rPr>
  </w:style>
  <w:style w:type="character" w:customStyle="1" w:styleId="168">
    <w:name w:val="批注框文本 字符2"/>
    <w:basedOn w:val="40"/>
    <w:semiHidden/>
    <w:qFormat/>
    <w:uiPriority w:val="99"/>
    <w:rPr>
      <w:rFonts w:hint="eastAsia" w:ascii="宋体" w:hAnsi="宋体" w:eastAsia="宋体"/>
      <w:kern w:val="2"/>
      <w:sz w:val="18"/>
      <w:szCs w:val="18"/>
    </w:rPr>
  </w:style>
  <w:style w:type="character" w:customStyle="1" w:styleId="169">
    <w:name w:val="副标题 字符2"/>
    <w:basedOn w:val="40"/>
    <w:qFormat/>
    <w:uiPriority w:val="11"/>
    <w:rPr>
      <w:rFonts w:hint="default" w:asciiTheme="minorHAnsi" w:hAnsiTheme="minorHAnsi" w:eastAsiaTheme="minorEastAsia" w:cstheme="minorBidi"/>
      <w:b/>
      <w:bCs/>
      <w:kern w:val="28"/>
      <w:sz w:val="32"/>
      <w:szCs w:val="32"/>
    </w:rPr>
  </w:style>
  <w:style w:type="character" w:customStyle="1" w:styleId="170">
    <w:name w:val="纯文本 字符2"/>
    <w:basedOn w:val="40"/>
    <w:semiHidden/>
    <w:qFormat/>
    <w:uiPriority w:val="99"/>
    <w:rPr>
      <w:rFonts w:hint="eastAsia" w:hAnsi="Courier New" w:cs="Courier New" w:asciiTheme="minorEastAsia" w:eastAsiaTheme="minorEastAsia"/>
      <w:kern w:val="2"/>
      <w:sz w:val="24"/>
      <w:szCs w:val="24"/>
    </w:rPr>
  </w:style>
  <w:style w:type="character" w:customStyle="1" w:styleId="171">
    <w:name w:val="标题 字符2"/>
    <w:basedOn w:val="40"/>
    <w:qFormat/>
    <w:uiPriority w:val="10"/>
    <w:rPr>
      <w:rFonts w:hint="default" w:asciiTheme="majorHAnsi" w:hAnsiTheme="majorHAnsi" w:eastAsiaTheme="majorEastAsia" w:cstheme="majorBidi"/>
      <w:b/>
      <w:bCs/>
      <w:kern w:val="2"/>
      <w:sz w:val="32"/>
      <w:szCs w:val="32"/>
    </w:rPr>
  </w:style>
  <w:style w:type="character" w:customStyle="1" w:styleId="172">
    <w:name w:val="正文文本 字符1"/>
    <w:basedOn w:val="40"/>
    <w:semiHidden/>
    <w:qFormat/>
    <w:uiPriority w:val="99"/>
    <w:rPr>
      <w:rFonts w:hint="eastAsia" w:ascii="宋体" w:hAnsi="宋体" w:eastAsia="宋体"/>
      <w:kern w:val="2"/>
      <w:sz w:val="24"/>
      <w:szCs w:val="24"/>
    </w:rPr>
  </w:style>
  <w:style w:type="character" w:customStyle="1" w:styleId="173">
    <w:name w:val="文档结构图 字符2"/>
    <w:basedOn w:val="40"/>
    <w:semiHidden/>
    <w:qFormat/>
    <w:uiPriority w:val="99"/>
    <w:rPr>
      <w:rFonts w:hint="eastAsia" w:ascii="Microsoft YaHei UI" w:hAnsi="宋体" w:eastAsia="Microsoft YaHei UI"/>
      <w:kern w:val="2"/>
      <w:sz w:val="18"/>
      <w:szCs w:val="18"/>
    </w:rPr>
  </w:style>
  <w:style w:type="character" w:customStyle="1" w:styleId="174">
    <w:name w:val="未处理的提及2"/>
    <w:basedOn w:val="40"/>
    <w:semiHidden/>
    <w:unhideWhenUsed/>
    <w:qFormat/>
    <w:uiPriority w:val="99"/>
    <w:rPr>
      <w:color w:val="605E5C"/>
      <w:shd w:val="clear" w:color="auto" w:fill="E1DFDD"/>
    </w:rPr>
  </w:style>
  <w:style w:type="character" w:customStyle="1" w:styleId="175">
    <w:name w:val="font11"/>
    <w:basedOn w:val="40"/>
    <w:qFormat/>
    <w:uiPriority w:val="0"/>
    <w:rPr>
      <w:rFonts w:hint="eastAsia" w:ascii="宋体" w:hAnsi="宋体" w:eastAsia="宋体" w:cs="宋体"/>
      <w:b/>
      <w:bCs/>
      <w:color w:val="000000"/>
      <w:sz w:val="21"/>
      <w:szCs w:val="21"/>
      <w:u w:val="none"/>
    </w:rPr>
  </w:style>
  <w:style w:type="character" w:customStyle="1" w:styleId="176">
    <w:name w:val="font51"/>
    <w:basedOn w:val="40"/>
    <w:qFormat/>
    <w:uiPriority w:val="0"/>
    <w:rPr>
      <w:rFonts w:hint="eastAsia" w:ascii="宋体" w:hAnsi="宋体" w:eastAsia="宋体" w:cs="宋体"/>
      <w:color w:val="000000"/>
      <w:sz w:val="21"/>
      <w:szCs w:val="21"/>
      <w:u w:val="none"/>
    </w:rPr>
  </w:style>
  <w:style w:type="paragraph" w:customStyle="1" w:styleId="177">
    <w:name w:val="修订3"/>
    <w:hidden/>
    <w:unhideWhenUsed/>
    <w:qFormat/>
    <w:uiPriority w:val="99"/>
    <w:rPr>
      <w:rFonts w:ascii="宋体" w:hAnsi="宋体" w:eastAsia="宋体" w:cs="Times New Roman"/>
      <w:kern w:val="2"/>
      <w:sz w:val="24"/>
      <w:szCs w:val="24"/>
      <w:lang w:val="en-US" w:eastAsia="zh-CN" w:bidi="ar-SA"/>
    </w:rPr>
  </w:style>
  <w:style w:type="paragraph" w:customStyle="1" w:styleId="178">
    <w:name w:val="表格"/>
    <w:basedOn w:val="1"/>
    <w:qFormat/>
    <w:uiPriority w:val="0"/>
    <w:pPr>
      <w:ind w:firstLine="0" w:firstLineChars="0"/>
      <w:jc w:val="center"/>
    </w:pPr>
    <w:rPr>
      <w:rFonts w:ascii="仿宋" w:hAnsi="仿宋" w:cs="宋体"/>
      <w:szCs w:val="20"/>
    </w:rPr>
  </w:style>
  <w:style w:type="paragraph" w:customStyle="1" w:styleId="179">
    <w:name w:val="修订4"/>
    <w:hidden/>
    <w:unhideWhenUsed/>
    <w:qFormat/>
    <w:uiPriority w:val="99"/>
    <w:rPr>
      <w:rFonts w:ascii="宋体" w:hAnsi="宋体" w:eastAsia="宋体" w:cs="Times New Roman"/>
      <w:kern w:val="2"/>
      <w:sz w:val="24"/>
      <w:szCs w:val="24"/>
      <w:lang w:val="en-US" w:eastAsia="zh-CN" w:bidi="ar-SA"/>
    </w:rPr>
  </w:style>
  <w:style w:type="paragraph" w:customStyle="1" w:styleId="180">
    <w:name w:val="修订5"/>
    <w:hidden/>
    <w:unhideWhenUsed/>
    <w:qFormat/>
    <w:uiPriority w:val="99"/>
    <w:rPr>
      <w:rFonts w:ascii="宋体" w:hAnsi="宋体" w:eastAsia="宋体" w:cs="Times New Roman"/>
      <w:kern w:val="2"/>
      <w:sz w:val="24"/>
      <w:szCs w:val="24"/>
      <w:lang w:val="en-US" w:eastAsia="zh-CN" w:bidi="ar-SA"/>
    </w:rPr>
  </w:style>
  <w:style w:type="paragraph" w:customStyle="1" w:styleId="181">
    <w:name w:val="表格字体样式"/>
    <w:basedOn w:val="1"/>
    <w:qFormat/>
    <w:uiPriority w:val="0"/>
    <w:pPr>
      <w:widowControl/>
      <w:bidi/>
      <w:spacing w:before="30" w:beforeLines="30" w:after="30" w:afterLines="30" w:line="300" w:lineRule="exact"/>
      <w:jc w:val="left"/>
    </w:pPr>
    <w:rPr>
      <w:rFonts w:hint="eastAsia"/>
      <w:kern w:val="0"/>
    </w:rPr>
  </w:style>
  <w:style w:type="character" w:customStyle="1" w:styleId="182">
    <w:name w:val="正文缩进 字符"/>
    <w:basedOn w:val="40"/>
    <w:link w:val="12"/>
    <w:qFormat/>
    <w:uiPriority w:val="0"/>
    <w:rPr>
      <w:rFonts w:ascii="Calibri" w:hAnsi="Calibri"/>
      <w:kern w:val="2"/>
      <w:sz w:val="21"/>
      <w:szCs w:val="24"/>
    </w:rPr>
  </w:style>
  <w:style w:type="paragraph" w:customStyle="1" w:styleId="183">
    <w:name w:val="图片"/>
    <w:basedOn w:val="1"/>
    <w:qFormat/>
    <w:uiPriority w:val="0"/>
    <w:pPr>
      <w:widowControl/>
      <w:jc w:val="center"/>
    </w:pPr>
    <w:rPr>
      <w:rFonts w:hint="eastAsia"/>
      <w:kern w:val="0"/>
      <w:szCs w:val="21"/>
    </w:rPr>
  </w:style>
  <w:style w:type="character" w:customStyle="1" w:styleId="184">
    <w:name w:val="font01"/>
    <w:basedOn w:val="40"/>
    <w:qFormat/>
    <w:uiPriority w:val="0"/>
    <w:rPr>
      <w:rFonts w:hint="eastAsia" w:ascii="宋体" w:hAnsi="宋体" w:eastAsia="宋体" w:cs="宋体"/>
      <w:color w:val="000000"/>
      <w:sz w:val="22"/>
      <w:szCs w:val="22"/>
      <w:u w:val="none"/>
    </w:rPr>
  </w:style>
  <w:style w:type="paragraph" w:customStyle="1" w:styleId="185">
    <w:name w:val="修订6"/>
    <w:hidden/>
    <w:unhideWhenUsed/>
    <w:qFormat/>
    <w:uiPriority w:val="99"/>
    <w:rPr>
      <w:rFonts w:ascii="宋体" w:hAnsi="宋体" w:eastAsia="宋体" w:cs="Times New Roman"/>
      <w:kern w:val="2"/>
      <w:sz w:val="24"/>
      <w:szCs w:val="24"/>
      <w:lang w:val="en-US" w:eastAsia="zh-CN" w:bidi="ar-SA"/>
    </w:rPr>
  </w:style>
  <w:style w:type="paragraph" w:customStyle="1" w:styleId="186">
    <w:name w:val="修订7"/>
    <w:hidden/>
    <w:unhideWhenUsed/>
    <w:qFormat/>
    <w:uiPriority w:val="99"/>
    <w:rPr>
      <w:rFonts w:ascii="宋体" w:hAnsi="宋体" w:eastAsia="宋体" w:cs="Times New Roman"/>
      <w:kern w:val="2"/>
      <w:sz w:val="24"/>
      <w:szCs w:val="24"/>
      <w:lang w:val="en-US" w:eastAsia="zh-CN" w:bidi="ar-SA"/>
    </w:rPr>
  </w:style>
  <w:style w:type="paragraph" w:customStyle="1" w:styleId="187">
    <w:name w:val="文档正文"/>
    <w:basedOn w:val="1"/>
    <w:qFormat/>
    <w:uiPriority w:val="0"/>
    <w:rPr>
      <w:rFonts w:asciiTheme="minorHAnsi" w:hAnsiTheme="minorHAnsi" w:eastAsiaTheme="minorEastAsia" w:cstheme="minorBidi"/>
    </w:rPr>
  </w:style>
  <w:style w:type="paragraph" w:customStyle="1" w:styleId="188">
    <w:name w:val="修订8"/>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1D9AD641-0B16-48B9-B81A-C11DF304B1BF}">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1879</Words>
  <Characters>2170</Characters>
  <Lines>1782</Lines>
  <Paragraphs>1557</Paragraphs>
  <TotalTime>85</TotalTime>
  <ScaleCrop>false</ScaleCrop>
  <LinksUpToDate>false</LinksUpToDate>
  <CharactersWithSpaces>2194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2025-09-30T14:05:00Z</dcterms:created>
  <dc:creator>gtig_tzb</dc:creator>
  <cp:lastModifiedBy>郭田恬</cp:lastModifiedBy>
  <cp:lastPrinted>2020-08-08T20:08:00Z</cp:lastPrinted>
  <dcterms:modified xsi:type="dcterms:W3CDTF">2025-10-27T09:25:18Z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48DAFB1E5945DFD372CFF968C24DC764_43</vt:lpwstr>
  </property>
  <property fmtid="{D5CDD505-2E9C-101B-9397-08002B2CF9AE}" pid="4" name="KSOTemplateDocerSaveRecord">
    <vt:lpwstr>eyJoZGlkIjoiOTE0Zjk3NDRmNmUxZDViY2M3ZDcxNGU5MDdlN2VlOGUiLCJ1c2VySWQiOiIzOTk2MDQ1MTkifQ==</vt:lpwstr>
  </property>
</Properties>
</file>