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D554F">
      <w:pPr>
        <w:keepNext/>
        <w:keepLines/>
        <w:tabs>
          <w:tab w:val="left" w:pos="930"/>
        </w:tabs>
        <w:spacing w:before="260" w:after="260"/>
        <w:jc w:val="center"/>
        <w:outlineLvl w:val="2"/>
        <w:rPr>
          <w:rFonts w:ascii="仿宋_GB2312" w:hAnsi="Times New Roman" w:eastAsia="仿宋_GB2312" w:cs="Times New Roman"/>
          <w:b/>
          <w:bCs/>
          <w:kern w:val="28"/>
          <w:sz w:val="36"/>
          <w:szCs w:val="30"/>
        </w:rPr>
      </w:pPr>
      <w:r>
        <w:rPr>
          <w:rFonts w:hint="eastAsia" w:ascii="仿宋_GB2312" w:hAnsi="Times New Roman" w:eastAsia="仿宋_GB2312" w:cs="Times New Roman"/>
          <w:b/>
          <w:bCs/>
          <w:kern w:val="28"/>
          <w:sz w:val="36"/>
          <w:szCs w:val="30"/>
        </w:rPr>
        <w:t xml:space="preserve"> 上海教育考试院项目需求</w:t>
      </w:r>
    </w:p>
    <w:p w14:paraId="555E57FA">
      <w:pPr>
        <w:numPr>
          <w:ilvl w:val="0"/>
          <w:numId w:val="1"/>
        </w:numPr>
        <w:tabs>
          <w:tab w:val="left" w:pos="630"/>
        </w:tabs>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项目背景</w:t>
      </w:r>
    </w:p>
    <w:p w14:paraId="44C8426F">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主要承担上海市市义务教育阶段以后的各级各类教育考试招生工作。其主要职责是：贯彻执行党和国家关于教育考试和招生工作的各项方针、政策和法规；开展教育考试的科研和开发；深化教育考试制度的改革；组织实施教育考试与招生工作方案；促进与境外考试机构的合作交流，开拓多层次、多规格的考试项目，为社会和考生提供咨询服务。</w:t>
      </w:r>
    </w:p>
    <w:p w14:paraId="6CA3679A">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始终秉承“尚德慎行、至公至正”的院训，保持锐意进取的积极姿态：作为全国高考综合改革首批试点省份，构建教、学、考、招“四位一体”上海高考模式，搭建春季高考、专科自主招生、三校生高考和秋季高考相结合的升学立交桥。关注学生全面发展，推进综合评价、多元录取，平稳实施上海中考中招改革。牢牢把握改革契机，持续深化教育评价和考试招生制度改革，构建由终结性评价与过程性评价相结合、以信息技术为基础的测评体系，大力推进考试机构专业化建设，完成由“考试组织”向“考试评价”的机构转型。</w:t>
      </w:r>
    </w:p>
    <w:p w14:paraId="084CE758">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面对新形势新任务，上海市教育考试院聚焦教育“立德树人”的根本目标，坚持教育、科技、人才“三位一体”的发展战略，不断开拓创新，本着“为考生、为教育、为发展”的办院宗旨，努力推进教育考试招生事业高质量发展，为了满足上海市教育考试院建设发展需要，必须建设一个安全高效、适用性强、可持续发展的网络基础环境。</w:t>
      </w:r>
    </w:p>
    <w:p w14:paraId="165DE0F0">
      <w:pPr>
        <w:numPr>
          <w:ilvl w:val="0"/>
          <w:numId w:val="1"/>
        </w:numPr>
        <w:tabs>
          <w:tab w:val="left" w:pos="630"/>
        </w:tabs>
        <w:spacing w:line="560" w:lineRule="exact"/>
        <w:rPr>
          <w:rFonts w:ascii="仿宋_GB2312" w:eastAsia="仿宋_GB2312"/>
          <w:b/>
          <w:sz w:val="30"/>
          <w:szCs w:val="30"/>
        </w:rPr>
      </w:pPr>
      <w:r>
        <w:rPr>
          <w:rFonts w:hint="eastAsia" w:ascii="仿宋_GB2312" w:eastAsia="仿宋_GB2312"/>
          <w:b/>
          <w:sz w:val="30"/>
          <w:szCs w:val="30"/>
        </w:rPr>
        <w:t>项目内容</w:t>
      </w:r>
    </w:p>
    <w:p w14:paraId="23F113AC">
      <w:pPr>
        <w:tabs>
          <w:tab w:val="left" w:pos="780"/>
        </w:tabs>
        <w:spacing w:line="360" w:lineRule="auto"/>
        <w:ind w:firstLine="600" w:firstLineChars="200"/>
        <w:rPr>
          <w:rFonts w:ascii="仿宋_GB2312" w:hAnsi="Calibri" w:eastAsia="仿宋_GB2312" w:cs="Times New Roman"/>
          <w:sz w:val="30"/>
          <w:szCs w:val="30"/>
        </w:rPr>
      </w:pPr>
      <w:r>
        <w:rPr>
          <w:rFonts w:ascii="仿宋_GB2312" w:hAnsi="Calibri" w:eastAsia="仿宋_GB2312" w:cs="Times New Roman"/>
          <w:sz w:val="30"/>
          <w:szCs w:val="30"/>
        </w:rPr>
        <w:t>供应商为上海市教育考试院提供</w:t>
      </w:r>
      <w:r>
        <w:rPr>
          <w:rFonts w:hint="eastAsia" w:ascii="仿宋_GB2312" w:hAnsi="Calibri" w:eastAsia="仿宋_GB2312" w:cs="Times New Roman"/>
          <w:sz w:val="30"/>
          <w:szCs w:val="30"/>
        </w:rPr>
        <w:t>互联网专线上网</w:t>
      </w:r>
      <w:r>
        <w:rPr>
          <w:rFonts w:ascii="仿宋_GB2312" w:hAnsi="Calibri" w:eastAsia="仿宋_GB2312" w:cs="Times New Roman"/>
          <w:sz w:val="30"/>
          <w:szCs w:val="30"/>
        </w:rPr>
        <w:t>服务，服务期限：一年。并在服务期内提供运维服务</w:t>
      </w:r>
      <w:r>
        <w:rPr>
          <w:rFonts w:hint="eastAsia" w:ascii="仿宋_GB2312" w:hAnsi="Calibri" w:eastAsia="仿宋_GB2312" w:cs="Times New Roman"/>
          <w:sz w:val="30"/>
          <w:szCs w:val="30"/>
        </w:rPr>
        <w:t>、DDoS服务</w:t>
      </w:r>
      <w:r>
        <w:rPr>
          <w:rFonts w:ascii="仿宋_GB2312" w:hAnsi="Calibri" w:eastAsia="仿宋_GB2312" w:cs="Times New Roman"/>
          <w:sz w:val="30"/>
          <w:szCs w:val="30"/>
        </w:rPr>
        <w:t>、一站式服务</w:t>
      </w:r>
      <w:r>
        <w:rPr>
          <w:rFonts w:hint="eastAsia" w:ascii="仿宋_GB2312" w:hAnsi="Calibri" w:eastAsia="仿宋_GB2312" w:cs="Times New Roman"/>
          <w:sz w:val="30"/>
          <w:szCs w:val="30"/>
        </w:rPr>
        <w:t>、内容分发加速、动态提速、SLA服务等</w:t>
      </w:r>
      <w:r>
        <w:rPr>
          <w:rFonts w:ascii="仿宋_GB2312" w:hAnsi="Calibri" w:eastAsia="仿宋_GB2312" w:cs="Times New Roman"/>
          <w:sz w:val="30"/>
          <w:szCs w:val="30"/>
        </w:rPr>
        <w:t>。</w:t>
      </w:r>
    </w:p>
    <w:p w14:paraId="24D347C6">
      <w:pPr>
        <w:numPr>
          <w:ilvl w:val="0"/>
          <w:numId w:val="1"/>
        </w:numPr>
        <w:tabs>
          <w:tab w:val="left" w:pos="630"/>
        </w:tabs>
        <w:spacing w:line="560" w:lineRule="exact"/>
        <w:rPr>
          <w:rFonts w:ascii="仿宋_GB2312" w:eastAsia="仿宋_GB2312"/>
          <w:b/>
          <w:sz w:val="30"/>
          <w:szCs w:val="30"/>
        </w:rPr>
      </w:pPr>
      <w:r>
        <w:rPr>
          <w:rFonts w:hint="eastAsia" w:ascii="仿宋_GB2312" w:eastAsia="仿宋_GB2312"/>
          <w:b/>
          <w:sz w:val="30"/>
          <w:szCs w:val="30"/>
        </w:rPr>
        <w:t>技术要求</w:t>
      </w:r>
    </w:p>
    <w:tbl>
      <w:tblPr>
        <w:tblStyle w:val="12"/>
        <w:tblW w:w="8018" w:type="dxa"/>
        <w:jc w:val="center"/>
        <w:tblLayout w:type="fixed"/>
        <w:tblCellMar>
          <w:top w:w="0" w:type="dxa"/>
          <w:left w:w="108" w:type="dxa"/>
          <w:bottom w:w="0" w:type="dxa"/>
          <w:right w:w="108" w:type="dxa"/>
        </w:tblCellMar>
      </w:tblPr>
      <w:tblGrid>
        <w:gridCol w:w="430"/>
        <w:gridCol w:w="6844"/>
        <w:gridCol w:w="744"/>
      </w:tblGrid>
      <w:tr w14:paraId="63D086BD">
        <w:tblPrEx>
          <w:tblCellMar>
            <w:top w:w="0" w:type="dxa"/>
            <w:left w:w="108" w:type="dxa"/>
            <w:bottom w:w="0" w:type="dxa"/>
            <w:right w:w="108" w:type="dxa"/>
          </w:tblCellMar>
        </w:tblPrEx>
        <w:trPr>
          <w:trHeight w:val="40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9727">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序号</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BE47">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技术参数要求</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50A">
            <w:pPr>
              <w:widowControl/>
              <w:jc w:val="center"/>
              <w:textAlignment w:val="center"/>
              <w:rPr>
                <w:rFonts w:ascii="宋体" w:hAnsi="宋体" w:eastAsia="宋体" w:cs="宋体"/>
                <w:b/>
                <w:bCs/>
                <w:sz w:val="22"/>
              </w:rPr>
            </w:pPr>
            <w:r>
              <w:rPr>
                <w:rFonts w:hint="eastAsia" w:ascii="宋体" w:hAnsi="宋体" w:eastAsia="宋体" w:cs="宋体"/>
                <w:b/>
                <w:bCs/>
                <w:sz w:val="22"/>
              </w:rPr>
              <w:t>对应分值</w:t>
            </w:r>
          </w:p>
        </w:tc>
      </w:tr>
      <w:tr w14:paraId="5EA246AC">
        <w:tblPrEx>
          <w:tblCellMar>
            <w:top w:w="0" w:type="dxa"/>
            <w:left w:w="108" w:type="dxa"/>
            <w:bottom w:w="0" w:type="dxa"/>
            <w:right w:w="108" w:type="dxa"/>
          </w:tblCellMar>
        </w:tblPrEx>
        <w:trPr>
          <w:trHeight w:val="1551"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54AC">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2FC6">
            <w:pPr>
              <w:widowControl/>
              <w:textAlignment w:val="center"/>
              <w:rPr>
                <w:rFonts w:ascii="宋体" w:hAnsi="宋体" w:eastAsia="宋体" w:cs="宋体"/>
                <w:sz w:val="22"/>
              </w:rPr>
            </w:pPr>
            <w:r>
              <w:rPr>
                <w:rFonts w:hint="eastAsia" w:ascii="宋体" w:hAnsi="宋体" w:eastAsia="宋体" w:cs="宋体"/>
                <w:kern w:val="0"/>
                <w:sz w:val="22"/>
                <w:lang w:bidi="ar"/>
              </w:rPr>
              <w:t>供应商应提供两根带宽互联网接入线路，直接接入供应商的IP城域网中，带宽1Gpbs，上下行速率对称，全程独享带宽，下行或者上行实际速率不低于约定速率的90%。根据客户业务需求，提供3个月的抗ddos服务， 全面保障线路安全。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ECDB">
            <w:pPr>
              <w:widowControl/>
              <w:jc w:val="right"/>
              <w:textAlignment w:val="center"/>
              <w:rPr>
                <w:rFonts w:ascii="宋体" w:hAnsi="宋体" w:eastAsia="宋体" w:cs="宋体"/>
                <w:sz w:val="22"/>
              </w:rPr>
            </w:pPr>
            <w:r>
              <w:rPr>
                <w:rFonts w:hint="eastAsia" w:ascii="宋体" w:hAnsi="宋体" w:eastAsia="宋体" w:cs="宋体"/>
                <w:kern w:val="0"/>
                <w:sz w:val="22"/>
                <w:lang w:bidi="ar"/>
              </w:rPr>
              <w:t>6</w:t>
            </w:r>
          </w:p>
        </w:tc>
      </w:tr>
      <w:tr w14:paraId="6ED2604C">
        <w:tblPrEx>
          <w:tblCellMar>
            <w:top w:w="0" w:type="dxa"/>
            <w:left w:w="108" w:type="dxa"/>
            <w:bottom w:w="0" w:type="dxa"/>
            <w:right w:w="108" w:type="dxa"/>
          </w:tblCellMar>
        </w:tblPrEx>
        <w:trPr>
          <w:trHeight w:val="108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461A">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77F8">
            <w:pPr>
              <w:widowControl/>
              <w:textAlignment w:val="center"/>
              <w:rPr>
                <w:rFonts w:ascii="宋体" w:hAnsi="宋体" w:eastAsia="宋体" w:cs="宋体"/>
                <w:sz w:val="22"/>
              </w:rPr>
            </w:pPr>
            <w:r>
              <w:rPr>
                <w:rFonts w:hint="eastAsia" w:ascii="宋体" w:hAnsi="宋体" w:eastAsia="宋体" w:cs="宋体"/>
                <w:sz w:val="22"/>
              </w:rPr>
              <w:t>线路光纤到上海市教育考试院民星路465号1号楼5层机房的设备，从用户出口设备到接入供应商骨干节点的路由跳数不大于3跳，并通过静态路由协议实现与供应商城域网互联。</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72F9">
            <w:pPr>
              <w:widowControl/>
              <w:jc w:val="right"/>
              <w:textAlignment w:val="center"/>
              <w:rPr>
                <w:rFonts w:ascii="宋体" w:hAnsi="宋体" w:eastAsia="宋体" w:cs="宋体"/>
                <w:sz w:val="22"/>
              </w:rPr>
            </w:pPr>
            <w:r>
              <w:rPr>
                <w:rFonts w:hint="eastAsia" w:ascii="宋体" w:hAnsi="宋体" w:eastAsia="宋体" w:cs="宋体"/>
                <w:kern w:val="0"/>
                <w:sz w:val="22"/>
                <w:lang w:bidi="ar"/>
              </w:rPr>
              <w:t>2</w:t>
            </w:r>
          </w:p>
        </w:tc>
      </w:tr>
      <w:tr w14:paraId="12924DF4">
        <w:tblPrEx>
          <w:tblCellMar>
            <w:top w:w="0" w:type="dxa"/>
            <w:left w:w="108" w:type="dxa"/>
            <w:bottom w:w="0" w:type="dxa"/>
            <w:right w:w="108" w:type="dxa"/>
          </w:tblCellMar>
        </w:tblPrEx>
        <w:trPr>
          <w:trHeight w:val="122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F4E8">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7923">
            <w:pPr>
              <w:widowControl/>
              <w:textAlignment w:val="center"/>
              <w:rPr>
                <w:rFonts w:ascii="宋体" w:hAnsi="宋体" w:eastAsia="宋体" w:cs="宋体"/>
                <w:sz w:val="22"/>
              </w:rPr>
            </w:pPr>
            <w:r>
              <w:rPr>
                <w:rFonts w:hint="eastAsia" w:ascii="宋体" w:hAnsi="宋体" w:eastAsia="宋体" w:cs="宋体"/>
                <w:sz w:val="22"/>
              </w:rPr>
              <w:t>供应商应提供一定数量的固定公网IP地址，院方可以自行分配使用的固定公网IP地址，IPv4和IPv6地址各不少于512个，提供IP地址对应的所有端口开放服务。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2A3E">
            <w:pPr>
              <w:widowControl/>
              <w:jc w:val="right"/>
              <w:textAlignment w:val="center"/>
              <w:rPr>
                <w:rFonts w:ascii="宋体" w:hAnsi="宋体" w:eastAsia="宋体" w:cs="宋体"/>
                <w:sz w:val="22"/>
              </w:rPr>
            </w:pPr>
            <w:r>
              <w:rPr>
                <w:rFonts w:hint="eastAsia" w:ascii="宋体" w:hAnsi="宋体" w:eastAsia="宋体" w:cs="宋体"/>
                <w:kern w:val="0"/>
                <w:sz w:val="22"/>
                <w:lang w:bidi="ar"/>
              </w:rPr>
              <w:t>3</w:t>
            </w:r>
          </w:p>
        </w:tc>
      </w:tr>
      <w:tr w14:paraId="3A7F2075">
        <w:tblPrEx>
          <w:tblCellMar>
            <w:top w:w="0" w:type="dxa"/>
            <w:left w:w="108" w:type="dxa"/>
            <w:bottom w:w="0" w:type="dxa"/>
            <w:right w:w="108" w:type="dxa"/>
          </w:tblCellMar>
        </w:tblPrEx>
        <w:trPr>
          <w:trHeight w:val="148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AA36">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5ABF">
            <w:pPr>
              <w:widowControl/>
              <w:textAlignment w:val="center"/>
              <w:rPr>
                <w:rFonts w:ascii="宋体" w:hAnsi="宋体" w:eastAsia="宋体" w:cs="宋体"/>
                <w:sz w:val="22"/>
              </w:rPr>
            </w:pPr>
            <w:r>
              <w:rPr>
                <w:rFonts w:hint="eastAsia" w:ascii="宋体" w:hAnsi="宋体" w:eastAsia="宋体" w:cs="宋体"/>
                <w:sz w:val="22"/>
              </w:rPr>
              <w:t>链路品质：网络的可用性≥99.99%、线路物理带宽可用率大于95％，线路点到点访问平均丢包率≤0.5%，平均修复时间≤4小时，最长不超过8小时，提供2路光纤以及2个交换机端口（用户端光纤2路不同路由），故障时切换。</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CF61">
            <w:pPr>
              <w:widowControl/>
              <w:jc w:val="right"/>
              <w:textAlignment w:val="center"/>
              <w:rPr>
                <w:rFonts w:ascii="宋体" w:hAnsi="宋体" w:eastAsia="宋体" w:cs="宋体"/>
                <w:sz w:val="22"/>
              </w:rPr>
            </w:pPr>
            <w:r>
              <w:rPr>
                <w:rFonts w:hint="eastAsia" w:ascii="宋体" w:hAnsi="宋体" w:eastAsia="宋体" w:cs="宋体"/>
                <w:kern w:val="0"/>
                <w:sz w:val="22"/>
                <w:lang w:bidi="ar"/>
              </w:rPr>
              <w:t>5</w:t>
            </w:r>
          </w:p>
        </w:tc>
      </w:tr>
      <w:tr w14:paraId="72183321">
        <w:tblPrEx>
          <w:tblCellMar>
            <w:top w:w="0" w:type="dxa"/>
            <w:left w:w="108" w:type="dxa"/>
            <w:bottom w:w="0" w:type="dxa"/>
            <w:right w:w="108" w:type="dxa"/>
          </w:tblCellMar>
        </w:tblPrEx>
        <w:trPr>
          <w:trHeight w:val="136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A91">
            <w:pPr>
              <w:widowControl/>
              <w:jc w:val="center"/>
              <w:textAlignment w:val="center"/>
              <w:rPr>
                <w:rFonts w:ascii="宋体" w:hAnsi="宋体" w:eastAsia="宋体" w:cs="宋体"/>
                <w:sz w:val="22"/>
              </w:rPr>
            </w:pPr>
            <w:r>
              <w:rPr>
                <w:rFonts w:hint="eastAsia" w:ascii="宋体" w:hAnsi="宋体" w:eastAsia="宋体" w:cs="宋体"/>
                <w:kern w:val="0"/>
                <w:sz w:val="22"/>
                <w:lang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93A6">
            <w:pPr>
              <w:widowControl/>
              <w:textAlignment w:val="center"/>
              <w:rPr>
                <w:rFonts w:ascii="宋体" w:hAnsi="宋体" w:eastAsia="宋体" w:cs="宋体"/>
                <w:sz w:val="22"/>
              </w:rPr>
            </w:pPr>
            <w:r>
              <w:rPr>
                <w:rFonts w:hint="eastAsia" w:ascii="宋体" w:hAnsi="宋体" w:eastAsia="宋体" w:cs="宋体"/>
                <w:sz w:val="22"/>
              </w:rPr>
              <w:t>供应商应提供具备万兆接入的能力，院方设备通过万兆光纤物理路由方式直接接入招标方边界路由设备，连接客户路由器标准万兆单模光接口模块，通过划分VLAN方式对应供应商互联设备。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A3C">
            <w:pPr>
              <w:widowControl/>
              <w:jc w:val="right"/>
              <w:textAlignment w:val="center"/>
              <w:rPr>
                <w:rFonts w:ascii="宋体" w:hAnsi="宋体" w:eastAsia="宋体" w:cs="宋体"/>
                <w:sz w:val="22"/>
              </w:rPr>
            </w:pPr>
            <w:r>
              <w:rPr>
                <w:rFonts w:hint="eastAsia" w:ascii="宋体" w:hAnsi="宋体" w:eastAsia="宋体" w:cs="宋体"/>
                <w:kern w:val="0"/>
                <w:sz w:val="22"/>
                <w:lang w:bidi="ar"/>
              </w:rPr>
              <w:t>2</w:t>
            </w:r>
          </w:p>
        </w:tc>
      </w:tr>
      <w:tr w14:paraId="1E70EA52">
        <w:tblPrEx>
          <w:tblCellMar>
            <w:top w:w="0" w:type="dxa"/>
            <w:left w:w="108" w:type="dxa"/>
            <w:bottom w:w="0" w:type="dxa"/>
            <w:right w:w="108" w:type="dxa"/>
          </w:tblCellMar>
        </w:tblPrEx>
        <w:trPr>
          <w:trHeight w:val="106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C7A0">
            <w:pPr>
              <w:widowControl/>
              <w:jc w:val="center"/>
              <w:textAlignment w:val="center"/>
              <w:rPr>
                <w:rFonts w:ascii="宋体" w:hAnsi="宋体" w:eastAsia="宋体" w:cs="宋体"/>
                <w:sz w:val="22"/>
              </w:rPr>
            </w:pPr>
            <w:r>
              <w:rPr>
                <w:rFonts w:hint="eastAsia" w:ascii="宋体" w:hAnsi="宋体" w:eastAsia="宋体" w:cs="宋体"/>
                <w:kern w:val="0"/>
                <w:sz w:val="22"/>
                <w:lang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C476">
            <w:pPr>
              <w:widowControl/>
              <w:textAlignment w:val="center"/>
              <w:rPr>
                <w:rFonts w:ascii="宋体" w:hAnsi="宋体" w:eastAsia="宋体" w:cs="宋体"/>
                <w:sz w:val="22"/>
              </w:rPr>
            </w:pPr>
            <w:r>
              <w:rPr>
                <w:rFonts w:hint="eastAsia" w:ascii="宋体" w:hAnsi="宋体" w:eastAsia="宋体" w:cs="宋体"/>
                <w:kern w:val="0"/>
                <w:sz w:val="22"/>
                <w:lang w:bidi="ar"/>
              </w:rPr>
              <w:t>有完善的网络实时监控手段，可以7*24小时对网络流量进行全面的监控，最少保留3个月的带宽使用数据，并提供故障及处理等情况的相关报告。</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5308">
            <w:pPr>
              <w:widowControl/>
              <w:jc w:val="right"/>
              <w:textAlignment w:val="center"/>
              <w:rPr>
                <w:rFonts w:ascii="宋体" w:hAnsi="宋体" w:eastAsia="宋体" w:cs="宋体"/>
                <w:sz w:val="22"/>
              </w:rPr>
            </w:pPr>
            <w:r>
              <w:rPr>
                <w:rFonts w:hint="eastAsia" w:ascii="宋体" w:hAnsi="宋体" w:eastAsia="宋体" w:cs="宋体"/>
                <w:kern w:val="0"/>
                <w:sz w:val="22"/>
                <w:lang w:bidi="ar"/>
              </w:rPr>
              <w:t>2</w:t>
            </w:r>
          </w:p>
        </w:tc>
      </w:tr>
      <w:tr w14:paraId="668C4EA0">
        <w:tblPrEx>
          <w:tblCellMar>
            <w:top w:w="0" w:type="dxa"/>
            <w:left w:w="108" w:type="dxa"/>
            <w:bottom w:w="0" w:type="dxa"/>
            <w:right w:w="108" w:type="dxa"/>
          </w:tblCellMar>
        </w:tblPrEx>
        <w:trPr>
          <w:trHeight w:val="106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BCD">
            <w:pPr>
              <w:widowControl/>
              <w:jc w:val="center"/>
              <w:textAlignment w:val="center"/>
              <w:rPr>
                <w:rFonts w:ascii="宋体" w:hAnsi="宋体" w:eastAsia="宋体" w:cs="宋体"/>
                <w:kern w:val="0"/>
                <w:sz w:val="22"/>
                <w:lang w:bidi="ar"/>
              </w:rPr>
            </w:pPr>
            <w:r>
              <w:rPr>
                <w:rFonts w:hint="eastAsia" w:ascii="宋体" w:hAnsi="宋体" w:eastAsia="宋体" w:cs="宋体"/>
                <w:kern w:val="0"/>
                <w:sz w:val="22"/>
                <w:lang w:bidi="ar"/>
              </w:rPr>
              <w:t>7</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C90C">
            <w:pPr>
              <w:widowControl/>
              <w:textAlignment w:val="center"/>
              <w:rPr>
                <w:rFonts w:ascii="宋体" w:hAnsi="宋体" w:eastAsia="宋体" w:cs="宋体"/>
                <w:kern w:val="0"/>
                <w:sz w:val="22"/>
                <w:lang w:bidi="ar"/>
              </w:rPr>
            </w:pPr>
            <w:r>
              <w:rPr>
                <w:rFonts w:hint="eastAsia" w:ascii="宋体" w:hAnsi="宋体" w:eastAsia="宋体" w:cs="宋体"/>
                <w:kern w:val="0"/>
                <w:sz w:val="22"/>
                <w:lang w:bidi="ar"/>
              </w:rPr>
              <w:t>提供网页内容分发加速功能，保障网页运行顺畅，并提供日志服务。供应商的内容分发加速应提供网页加速、上传加速、协议支持和WAF基础防护能力的各项能力（需提供截图证明）。</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76C0">
            <w:pPr>
              <w:widowControl/>
              <w:jc w:val="right"/>
              <w:textAlignment w:val="center"/>
              <w:rPr>
                <w:rFonts w:ascii="宋体" w:hAnsi="宋体" w:eastAsia="宋体" w:cs="宋体"/>
                <w:kern w:val="0"/>
                <w:sz w:val="22"/>
                <w:lang w:bidi="ar"/>
              </w:rPr>
            </w:pPr>
            <w:r>
              <w:rPr>
                <w:rFonts w:hint="eastAsia" w:ascii="宋体" w:hAnsi="宋体" w:eastAsia="宋体" w:cs="宋体"/>
                <w:kern w:val="0"/>
                <w:sz w:val="22"/>
                <w:lang w:bidi="ar"/>
              </w:rPr>
              <w:t>2</w:t>
            </w:r>
          </w:p>
        </w:tc>
      </w:tr>
      <w:tr w14:paraId="259D8331">
        <w:tblPrEx>
          <w:tblCellMar>
            <w:top w:w="0" w:type="dxa"/>
            <w:left w:w="108" w:type="dxa"/>
            <w:bottom w:w="0" w:type="dxa"/>
            <w:right w:w="108" w:type="dxa"/>
          </w:tblCellMar>
        </w:tblPrEx>
        <w:trPr>
          <w:trHeight w:val="526"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112A">
            <w:pPr>
              <w:widowControl/>
              <w:jc w:val="center"/>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8</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4A85">
            <w:pPr>
              <w:widowControl/>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供应商应具备丰富的IP地址储备能力</w:t>
            </w:r>
            <w:r>
              <w:rPr>
                <w:rFonts w:hint="eastAsia" w:ascii="宋体" w:hAnsi="宋体" w:eastAsia="宋体" w:cs="宋体"/>
                <w:kern w:val="0"/>
                <w:sz w:val="22"/>
                <w:highlight w:val="none"/>
                <w:lang w:eastAsia="zh-CN" w:bidi="ar"/>
              </w:rPr>
              <w:t>。</w:t>
            </w:r>
            <w:r>
              <w:rPr>
                <w:rFonts w:hint="eastAsia" w:ascii="宋体" w:hAnsi="宋体" w:eastAsia="宋体" w:cs="宋体"/>
                <w:kern w:val="0"/>
                <w:sz w:val="22"/>
                <w:highlight w:val="none"/>
                <w:lang w:bidi="ar"/>
              </w:rPr>
              <w:t>考虑到长期需求，供应商需要储备一定数量的IP地址数，拥有IPv4地址数（中国内地（大陆）地区）大于3个A，拥有IPv6地址数（中国内地（大陆）地区）不少于4000块/32。提供证明以CNNIC出具的《中国互联网络发展状况统计报告》为准。</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4054">
            <w:pPr>
              <w:widowControl/>
              <w:jc w:val="right"/>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2</w:t>
            </w:r>
          </w:p>
        </w:tc>
      </w:tr>
      <w:tr w14:paraId="1A1D4A26">
        <w:tblPrEx>
          <w:tblCellMar>
            <w:top w:w="0" w:type="dxa"/>
            <w:left w:w="108" w:type="dxa"/>
            <w:bottom w:w="0" w:type="dxa"/>
            <w:right w:w="108" w:type="dxa"/>
          </w:tblCellMar>
        </w:tblPrEx>
        <w:trPr>
          <w:trHeight w:val="106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983">
            <w:pPr>
              <w:widowControl/>
              <w:jc w:val="center"/>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9</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79D">
            <w:pPr>
              <w:widowControl/>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供应商应具备较强的国际出口带宽能力。考虑到后续扩容需求，供应商具有独立的高带宽国际出口1.5T以上，提供证明以CNNIC出具的《中国互联网络发展状况统计报告》为准</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2D5">
            <w:pPr>
              <w:widowControl/>
              <w:jc w:val="right"/>
              <w:textAlignment w:val="center"/>
              <w:rPr>
                <w:rFonts w:ascii="宋体" w:hAnsi="宋体" w:eastAsia="宋体" w:cs="宋体"/>
                <w:kern w:val="0"/>
                <w:sz w:val="22"/>
                <w:highlight w:val="none"/>
                <w:lang w:bidi="ar"/>
              </w:rPr>
            </w:pPr>
            <w:r>
              <w:rPr>
                <w:rFonts w:hint="eastAsia" w:ascii="宋体" w:hAnsi="宋体" w:eastAsia="宋体" w:cs="宋体"/>
                <w:kern w:val="0"/>
                <w:sz w:val="22"/>
                <w:highlight w:val="none"/>
                <w:lang w:bidi="ar"/>
              </w:rPr>
              <w:t>2</w:t>
            </w:r>
          </w:p>
        </w:tc>
      </w:tr>
    </w:tbl>
    <w:p w14:paraId="41FB74D4">
      <w:pPr>
        <w:tabs>
          <w:tab w:val="left" w:pos="780"/>
        </w:tabs>
        <w:spacing w:line="360" w:lineRule="auto"/>
        <w:rPr>
          <w:rFonts w:ascii="仿宋_GB2312" w:hAnsi="Calibri" w:eastAsia="仿宋_GB2312" w:cs="Times New Roman"/>
          <w:sz w:val="30"/>
          <w:szCs w:val="30"/>
        </w:rPr>
      </w:pPr>
    </w:p>
    <w:p w14:paraId="1FA10F5C">
      <w:pPr>
        <w:numPr>
          <w:ilvl w:val="0"/>
          <w:numId w:val="1"/>
        </w:numPr>
        <w:tabs>
          <w:tab w:val="left" w:pos="630"/>
        </w:tabs>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服务要求</w:t>
      </w:r>
    </w:p>
    <w:p w14:paraId="79B096C6">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供应商提供的网络服务应具备相关的运营要求，对涉及用户的数据不得发生任何泄漏事件。</w:t>
      </w:r>
    </w:p>
    <w:p w14:paraId="320E20D9">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网络系统无故障率保证：供应商需保证为上海市教育考试院提供服务的网络服务无故障率和网络连通率不低于</w:t>
      </w:r>
      <w:r>
        <w:rPr>
          <w:rFonts w:ascii="仿宋_GB2312" w:hAnsi="Calibri" w:eastAsia="仿宋_GB2312" w:cs="Times New Roman"/>
          <w:sz w:val="30"/>
          <w:szCs w:val="30"/>
        </w:rPr>
        <w:t>99.</w:t>
      </w:r>
      <w:r>
        <w:rPr>
          <w:rFonts w:hint="eastAsia" w:ascii="仿宋_GB2312" w:hAnsi="Calibri" w:eastAsia="仿宋_GB2312" w:cs="Times New Roman"/>
          <w:sz w:val="30"/>
          <w:szCs w:val="30"/>
        </w:rPr>
        <w:t>99</w:t>
      </w:r>
      <w:r>
        <w:rPr>
          <w:rFonts w:ascii="仿宋_GB2312" w:hAnsi="Calibri" w:eastAsia="仿宋_GB2312" w:cs="Times New Roman"/>
          <w:sz w:val="30"/>
          <w:szCs w:val="30"/>
        </w:rPr>
        <w:t>%</w:t>
      </w:r>
      <w:r>
        <w:rPr>
          <w:rFonts w:hint="eastAsia" w:ascii="仿宋_GB2312" w:hAnsi="Calibri" w:eastAsia="仿宋_GB2312" w:cs="Times New Roman"/>
          <w:sz w:val="30"/>
          <w:szCs w:val="30"/>
        </w:rPr>
        <w:t>，不可控因素除外。</w:t>
      </w:r>
    </w:p>
    <w:p w14:paraId="4897350C">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 xml:space="preserve">在中标后，如供应商需改变线路绑定IP地址，改变与调整不能影响线路的继续使用，并提供用户原有IP地址平滑迁移服务。供应商须对此提出解决方案，并在中标后负责解决方案的实现，由此产生的全部费用纳入服务总价。 </w:t>
      </w:r>
    </w:p>
    <w:p w14:paraId="477364BB">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在服务提供期内，供应商应建立完善的售后服务体系，提供运维服务规划。规划包括标准、规范、目标职责、与用户的分工界面、组织结构、人员配置、设备配备、技术手段、实施流程、应急预案、需用户配合的内容与要求、质量评估方法及可量化评估细则等。</w:t>
      </w:r>
    </w:p>
    <w:p w14:paraId="02343BB6">
      <w:pPr>
        <w:numPr>
          <w:ilvl w:val="0"/>
          <w:numId w:val="2"/>
        </w:numPr>
        <w:tabs>
          <w:tab w:val="left" w:pos="780"/>
        </w:tabs>
        <w:spacing w:line="360" w:lineRule="auto"/>
        <w:ind w:firstLine="602" w:firstLineChars="200"/>
        <w:rPr>
          <w:rFonts w:ascii="仿宋_GB2312" w:hAnsi="Calibri" w:eastAsia="仿宋_GB2312" w:cs="Times New Roman"/>
          <w:sz w:val="30"/>
          <w:szCs w:val="30"/>
        </w:rPr>
      </w:pPr>
      <w:r>
        <w:rPr>
          <w:rFonts w:hint="eastAsia" w:ascii="仿宋_GB2312" w:hAnsi="Calibri" w:eastAsia="仿宋_GB2312" w:cs="Times New Roman"/>
          <w:b/>
          <w:bCs/>
          <w:sz w:val="30"/>
          <w:szCs w:val="30"/>
        </w:rPr>
        <w:t>服务有效期内响应时间要求：</w:t>
      </w:r>
      <w:r>
        <w:rPr>
          <w:rFonts w:hint="eastAsia" w:ascii="仿宋_GB2312" w:hAnsi="Calibri" w:eastAsia="仿宋_GB2312" w:cs="Times New Roman"/>
          <w:sz w:val="30"/>
          <w:szCs w:val="30"/>
        </w:rPr>
        <w:t>提供技术支持和故障申告联系电话，在服务有效期内，该服务必须是7（天）×24（小时）技术支持；如设备或系统出现故障，7×24小时故障处理，在接到报修通知后</w:t>
      </w:r>
      <w:r>
        <w:rPr>
          <w:rFonts w:ascii="仿宋_GB2312" w:hAnsi="Calibri" w:eastAsia="仿宋_GB2312" w:cs="Times New Roman"/>
          <w:sz w:val="30"/>
          <w:szCs w:val="30"/>
        </w:rPr>
        <w:t>5</w:t>
      </w:r>
      <w:r>
        <w:rPr>
          <w:rFonts w:hint="eastAsia" w:ascii="仿宋_GB2312" w:hAnsi="Calibri" w:eastAsia="仿宋_GB2312" w:cs="Times New Roman"/>
          <w:sz w:val="30"/>
          <w:szCs w:val="30"/>
        </w:rPr>
        <w:t>分钟故障响应，3</w:t>
      </w:r>
      <w:r>
        <w:rPr>
          <w:rFonts w:ascii="仿宋_GB2312" w:hAnsi="Calibri" w:eastAsia="仿宋_GB2312" w:cs="Times New Roman"/>
          <w:sz w:val="30"/>
          <w:szCs w:val="30"/>
        </w:rPr>
        <w:t>0</w:t>
      </w:r>
      <w:r>
        <w:rPr>
          <w:rFonts w:hint="eastAsia" w:ascii="仿宋_GB2312" w:hAnsi="Calibri" w:eastAsia="仿宋_GB2312" w:cs="Times New Roman"/>
          <w:sz w:val="30"/>
          <w:szCs w:val="30"/>
        </w:rPr>
        <w:t>分钟故障排除反馈，平均修复时长小于4小时，8小时内排除故障并完全恢复系统的正常运行，保证院方的正常教学工作，事后须及时提交相应的故障报告。</w:t>
      </w:r>
    </w:p>
    <w:p w14:paraId="5F1CD182">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供应商应有完善的网络实时监控手段，可以7*24小时对网络流量进行全面的监控，最少保留3个月的带宽使用数据，并提供故障及处理等情况的相关报告。</w:t>
      </w:r>
    </w:p>
    <w:p w14:paraId="16A9FA19">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若供应商进行有可能对服务产生影响的网络调整，需提前7天书面通知用户。</w:t>
      </w:r>
    </w:p>
    <w:p w14:paraId="1AC2D97B">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紧急事件处理：提供应急预案</w:t>
      </w:r>
    </w:p>
    <w:p w14:paraId="720C366D">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若因不可抗力引发网络故障，供应商应立即通知用户，并采取措施尽快解决，事后应提供完整的书面报告。</w:t>
      </w:r>
    </w:p>
    <w:p w14:paraId="7319A18A">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供应商应承诺提供重大活动现场保障及重点保障服务。提供网管侧重点监控和保障、提供相关保障方案、保障前巡检测试、网络操作规避、现场侧保障、重保记录报告等。</w:t>
      </w:r>
    </w:p>
    <w:p w14:paraId="1A47062C">
      <w:pPr>
        <w:numPr>
          <w:ilvl w:val="0"/>
          <w:numId w:val="2"/>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在服务期内，如上级主管教育部门上海市教育委员会对全市网络出口有统一管理新政出台，供应商需积极配合招标人进行网络调整。</w:t>
      </w:r>
    </w:p>
    <w:p w14:paraId="388BB669">
      <w:pPr>
        <w:numPr>
          <w:ilvl w:val="0"/>
          <w:numId w:val="2"/>
        </w:numPr>
        <w:tabs>
          <w:tab w:val="left" w:pos="780"/>
        </w:tabs>
        <w:spacing w:line="360" w:lineRule="auto"/>
        <w:ind w:firstLine="600" w:firstLineChars="200"/>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供应商应充分考虑本项目的复杂程度及实施要求，合理配置项目实施团队组织方案。应设立专属客户经理，提供一对一的支持服务。团队组织、功能架构、工作制度及流程等清晰明确，团队人员数量、岗位配置齐全合理。提供团队中项目经理、技术负责人</w:t>
      </w:r>
      <w:r>
        <w:rPr>
          <w:rFonts w:hint="eastAsia" w:ascii="仿宋_GB2312" w:hAnsi="Calibri" w:eastAsia="仿宋_GB2312" w:cs="Times New Roman"/>
          <w:sz w:val="30"/>
          <w:szCs w:val="30"/>
          <w:highlight w:val="none"/>
          <w:lang w:eastAsia="zh-CN"/>
        </w:rPr>
        <w:t>、</w:t>
      </w:r>
      <w:r>
        <w:rPr>
          <w:rFonts w:hint="eastAsia" w:ascii="仿宋_GB2312" w:hAnsi="Calibri" w:eastAsia="仿宋_GB2312" w:cs="Times New Roman"/>
          <w:sz w:val="30"/>
          <w:szCs w:val="30"/>
          <w:highlight w:val="none"/>
        </w:rPr>
        <w:t>运维负责人、安全经理等项目核心服务人员的相关资质、证书、社保证明、学历、专业、职称及主要从业经历。</w:t>
      </w:r>
    </w:p>
    <w:p w14:paraId="7CCDDD01">
      <w:pPr>
        <w:numPr>
          <w:ilvl w:val="0"/>
          <w:numId w:val="3"/>
        </w:numPr>
        <w:tabs>
          <w:tab w:val="left" w:pos="780"/>
        </w:tabs>
        <w:spacing w:line="360" w:lineRule="auto"/>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项目经理具有本科以上学历、正高级职称证书、项目管理类证书，具有15年以上类似项目管理经验优先考虑；具备良好的沟通和组织能力，能带领和指导团队顺利完成项目交付。</w:t>
      </w:r>
    </w:p>
    <w:p w14:paraId="17C01DED">
      <w:pPr>
        <w:numPr>
          <w:ilvl w:val="0"/>
          <w:numId w:val="3"/>
        </w:numPr>
        <w:tabs>
          <w:tab w:val="left" w:pos="780"/>
        </w:tabs>
        <w:spacing w:line="360" w:lineRule="auto"/>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技术负责人具有研究生以上学历、正高级职称证书</w:t>
      </w:r>
      <w:bookmarkStart w:id="0" w:name="_GoBack"/>
      <w:bookmarkEnd w:id="0"/>
      <w:r>
        <w:rPr>
          <w:rFonts w:hint="eastAsia" w:ascii="仿宋_GB2312" w:hAnsi="Calibri" w:eastAsia="仿宋_GB2312" w:cs="Times New Roman"/>
          <w:sz w:val="30"/>
          <w:szCs w:val="30"/>
          <w:highlight w:val="none"/>
          <w:lang w:eastAsia="zh-CN"/>
        </w:rPr>
        <w:t>的</w:t>
      </w:r>
      <w:r>
        <w:rPr>
          <w:rFonts w:hint="eastAsia" w:ascii="仿宋_GB2312" w:hAnsi="Calibri" w:eastAsia="仿宋_GB2312" w:cs="Times New Roman"/>
          <w:sz w:val="30"/>
          <w:szCs w:val="30"/>
          <w:highlight w:val="none"/>
        </w:rPr>
        <w:t>优先考虑。</w:t>
      </w:r>
    </w:p>
    <w:p w14:paraId="6D64C6F8">
      <w:pPr>
        <w:numPr>
          <w:ilvl w:val="0"/>
          <w:numId w:val="3"/>
        </w:numPr>
        <w:tabs>
          <w:tab w:val="left" w:pos="780"/>
        </w:tabs>
        <w:spacing w:line="360" w:lineRule="auto"/>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运维负责人具有研究生以上学历、正高级职称证书</w:t>
      </w:r>
      <w:r>
        <w:rPr>
          <w:rFonts w:hint="eastAsia" w:ascii="仿宋_GB2312" w:hAnsi="Calibri" w:eastAsia="仿宋_GB2312" w:cs="Times New Roman"/>
          <w:sz w:val="30"/>
          <w:szCs w:val="30"/>
          <w:highlight w:val="none"/>
          <w:lang w:eastAsia="zh-CN"/>
        </w:rPr>
        <w:t>的</w:t>
      </w:r>
      <w:r>
        <w:rPr>
          <w:rFonts w:hint="eastAsia" w:ascii="仿宋_GB2312" w:hAnsi="Calibri" w:eastAsia="仿宋_GB2312" w:cs="Times New Roman"/>
          <w:sz w:val="30"/>
          <w:szCs w:val="30"/>
          <w:highlight w:val="none"/>
        </w:rPr>
        <w:t>优先考虑。</w:t>
      </w:r>
    </w:p>
    <w:p w14:paraId="262C839C">
      <w:pPr>
        <w:numPr>
          <w:ilvl w:val="0"/>
          <w:numId w:val="3"/>
        </w:numPr>
        <w:tabs>
          <w:tab w:val="left" w:pos="780"/>
        </w:tabs>
        <w:spacing w:line="360" w:lineRule="auto"/>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项目团队成员（10人以上，除项目经理、技术负责人和运维负责人）团队人员中需具备计算机技术与软件专业技术资格网络工程师证书、通信专业技术人员职业资格传输与接入（中级）证书、 通信专业技术人员职业资格互联网技术（中级）证书、 CISAW信息安全保障人员证书、注册信息安全工程师证书（CISE）</w:t>
      </w:r>
      <w:r>
        <w:rPr>
          <w:rFonts w:hint="eastAsia" w:ascii="仿宋_GB2312" w:hAnsi="Calibri" w:eastAsia="仿宋_GB2312" w:cs="Times New Roman"/>
          <w:sz w:val="30"/>
          <w:szCs w:val="30"/>
          <w:highlight w:val="none"/>
          <w:lang w:eastAsia="zh-CN"/>
        </w:rPr>
        <w:t>的</w:t>
      </w:r>
      <w:r>
        <w:rPr>
          <w:rFonts w:hint="eastAsia" w:ascii="仿宋_GB2312" w:hAnsi="Calibri" w:eastAsia="仿宋_GB2312" w:cs="Times New Roman"/>
          <w:sz w:val="30"/>
          <w:szCs w:val="30"/>
          <w:highlight w:val="none"/>
        </w:rPr>
        <w:t>优先考虑。</w:t>
      </w:r>
    </w:p>
    <w:p w14:paraId="3AF79BC9">
      <w:pPr>
        <w:numPr>
          <w:ilvl w:val="0"/>
          <w:numId w:val="3"/>
        </w:numPr>
        <w:tabs>
          <w:tab w:val="left" w:pos="780"/>
        </w:tabs>
        <w:spacing w:line="360" w:lineRule="auto"/>
        <w:rPr>
          <w:rFonts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供应商具有ISO9001质量体系认证、ISO27001信息安全管理体系认证、ISO20000信息技术服务管理体系认证证书的优先考虑。</w:t>
      </w:r>
    </w:p>
    <w:p w14:paraId="23D2C6A9">
      <w:pPr>
        <w:numPr>
          <w:ilvl w:val="0"/>
          <w:numId w:val="1"/>
        </w:numPr>
        <w:tabs>
          <w:tab w:val="left" w:pos="630"/>
        </w:tabs>
        <w:spacing w:line="560" w:lineRule="exact"/>
        <w:rPr>
          <w:rFonts w:ascii="仿宋_GB2312" w:eastAsia="仿宋_GB2312"/>
          <w:b/>
          <w:sz w:val="30"/>
          <w:szCs w:val="30"/>
        </w:rPr>
      </w:pPr>
      <w:r>
        <w:rPr>
          <w:rFonts w:hint="eastAsia" w:ascii="仿宋_GB2312" w:eastAsia="仿宋_GB2312"/>
          <w:b/>
          <w:sz w:val="30"/>
          <w:szCs w:val="30"/>
        </w:rPr>
        <w:t>验收要求</w:t>
      </w:r>
    </w:p>
    <w:p w14:paraId="1836E9F1">
      <w:pPr>
        <w:tabs>
          <w:tab w:val="left" w:pos="630"/>
          <w:tab w:val="left" w:pos="930"/>
        </w:tabs>
        <w:spacing w:line="560" w:lineRule="exact"/>
        <w:ind w:left="210" w:firstLine="600" w:firstLineChars="200"/>
        <w:rPr>
          <w:rFonts w:ascii="仿宋_GB2312" w:hAnsi="Calibri" w:eastAsia="仿宋_GB2312" w:cs="Times New Roman"/>
          <w:color w:val="FF0000"/>
          <w:sz w:val="30"/>
          <w:szCs w:val="30"/>
        </w:rPr>
      </w:pPr>
      <w:r>
        <w:rPr>
          <w:rFonts w:hint="eastAsia" w:ascii="仿宋_GB2312" w:hAnsi="Calibri" w:eastAsia="仿宋_GB2312" w:cs="Times New Roman"/>
          <w:color w:val="000000" w:themeColor="text1"/>
          <w:sz w:val="30"/>
          <w:szCs w:val="30"/>
          <w14:textFill>
            <w14:solidFill>
              <w14:schemeClr w14:val="tx1"/>
            </w14:solidFill>
          </w14:textFill>
        </w:rPr>
        <w:t>招标方根据合同约定对投标方提供的服务进行验收，招标方收</w:t>
      </w:r>
      <w:r>
        <w:rPr>
          <w:rFonts w:hint="eastAsia" w:ascii="仿宋_GB2312" w:hAnsi="Calibri" w:eastAsia="仿宋_GB2312" w:cs="Times New Roman"/>
          <w:sz w:val="30"/>
          <w:szCs w:val="30"/>
        </w:rPr>
        <w:t>取投标方项目过程中形成的运维服务资料、知识成果、相</w:t>
      </w:r>
      <w:r>
        <w:rPr>
          <w:rFonts w:hint="eastAsia" w:ascii="仿宋_GB2312" w:hAnsi="Calibri" w:eastAsia="仿宋_GB2312" w:cs="Times New Roman"/>
          <w:color w:val="000000" w:themeColor="text1"/>
          <w:sz w:val="30"/>
          <w:szCs w:val="30"/>
          <w14:textFill>
            <w14:solidFill>
              <w14:schemeClr w14:val="tx1"/>
            </w14:solidFill>
          </w14:textFill>
        </w:rPr>
        <w:t>关报告并在验收单上签字确认，并按合同约定与投标方结清款项。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3F37"/>
    <w:multiLevelType w:val="multilevel"/>
    <w:tmpl w:val="06DF3F37"/>
    <w:lvl w:ilvl="0" w:tentative="0">
      <w:start w:val="1"/>
      <w:numFmt w:val="chineseCountingThousand"/>
      <w:lvlText w:val="%1、"/>
      <w:lvlJc w:val="left"/>
      <w:pPr>
        <w:tabs>
          <w:tab w:val="left" w:pos="930"/>
        </w:tabs>
        <w:ind w:left="930" w:hanging="720"/>
      </w:pPr>
      <w:rPr>
        <w:rFonts w:hint="eastAsia"/>
        <w:color w:val="auto"/>
        <w:sz w:val="30"/>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B5976DB"/>
    <w:multiLevelType w:val="multilevel"/>
    <w:tmpl w:val="0B5976DB"/>
    <w:lvl w:ilvl="0" w:tentative="0">
      <w:start w:val="1"/>
      <w:numFmt w:val="decimal"/>
      <w:suff w:val="space"/>
      <w:lvlText w:val="%1、"/>
      <w:lvlJc w:val="left"/>
      <w:pPr>
        <w:ind w:left="0" w:firstLine="0"/>
      </w:pPr>
      <w:rPr>
        <w:rFonts w:hint="default"/>
      </w:rPr>
    </w:lvl>
    <w:lvl w:ilvl="1" w:tentative="0">
      <w:start w:val="1"/>
      <w:numFmt w:val="lowerLetter"/>
      <w:lvlText w:val="%2)"/>
      <w:lvlJc w:val="left"/>
      <w:pPr>
        <w:tabs>
          <w:tab w:val="left" w:pos="780"/>
        </w:tabs>
        <w:ind w:left="0" w:firstLine="0"/>
      </w:pPr>
      <w:rPr>
        <w:rFonts w:hint="eastAsia"/>
      </w:rPr>
    </w:lvl>
    <w:lvl w:ilvl="2" w:tentative="0">
      <w:start w:val="1"/>
      <w:numFmt w:val="decimal"/>
      <w:lvlText w:val="%3."/>
      <w:lvlJc w:val="left"/>
      <w:pPr>
        <w:tabs>
          <w:tab w:val="left" w:pos="780"/>
        </w:tabs>
        <w:ind w:left="0" w:firstLine="0"/>
      </w:pPr>
      <w:rPr>
        <w:rFonts w:hint="default"/>
      </w:rPr>
    </w:lvl>
    <w:lvl w:ilvl="3" w:tentative="0">
      <w:start w:val="1"/>
      <w:numFmt w:val="decimal"/>
      <w:lvlText w:val="%4."/>
      <w:lvlJc w:val="left"/>
      <w:pPr>
        <w:tabs>
          <w:tab w:val="left" w:pos="780"/>
        </w:tabs>
        <w:ind w:left="0" w:firstLine="0"/>
      </w:pPr>
      <w:rPr>
        <w:rFonts w:hint="eastAsia"/>
      </w:rPr>
    </w:lvl>
    <w:lvl w:ilvl="4" w:tentative="0">
      <w:start w:val="1"/>
      <w:numFmt w:val="lowerLetter"/>
      <w:lvlText w:val="%5)"/>
      <w:lvlJc w:val="left"/>
      <w:pPr>
        <w:tabs>
          <w:tab w:val="left" w:pos="780"/>
        </w:tabs>
        <w:ind w:left="0" w:firstLine="0"/>
      </w:pPr>
      <w:rPr>
        <w:rFonts w:hint="eastAsia"/>
      </w:rPr>
    </w:lvl>
    <w:lvl w:ilvl="5" w:tentative="0">
      <w:start w:val="1"/>
      <w:numFmt w:val="lowerRoman"/>
      <w:lvlText w:val="%6."/>
      <w:lvlJc w:val="right"/>
      <w:pPr>
        <w:tabs>
          <w:tab w:val="left" w:pos="780"/>
        </w:tabs>
        <w:ind w:left="0" w:firstLine="0"/>
      </w:pPr>
      <w:rPr>
        <w:rFonts w:hint="eastAsia"/>
      </w:rPr>
    </w:lvl>
    <w:lvl w:ilvl="6" w:tentative="0">
      <w:start w:val="1"/>
      <w:numFmt w:val="decimal"/>
      <w:lvlText w:val="%7."/>
      <w:lvlJc w:val="left"/>
      <w:pPr>
        <w:tabs>
          <w:tab w:val="left" w:pos="780"/>
        </w:tabs>
        <w:ind w:left="0" w:firstLine="0"/>
      </w:pPr>
      <w:rPr>
        <w:rFonts w:hint="eastAsia"/>
      </w:rPr>
    </w:lvl>
    <w:lvl w:ilvl="7" w:tentative="0">
      <w:start w:val="1"/>
      <w:numFmt w:val="lowerLetter"/>
      <w:lvlText w:val="%8)"/>
      <w:lvlJc w:val="left"/>
      <w:pPr>
        <w:tabs>
          <w:tab w:val="left" w:pos="780"/>
        </w:tabs>
        <w:ind w:left="0" w:firstLine="0"/>
      </w:pPr>
      <w:rPr>
        <w:rFonts w:hint="eastAsia"/>
      </w:rPr>
    </w:lvl>
    <w:lvl w:ilvl="8" w:tentative="0">
      <w:start w:val="1"/>
      <w:numFmt w:val="lowerRoman"/>
      <w:lvlText w:val="%9."/>
      <w:lvlJc w:val="right"/>
      <w:pPr>
        <w:tabs>
          <w:tab w:val="left" w:pos="780"/>
        </w:tabs>
        <w:ind w:left="0" w:firstLine="0"/>
      </w:pPr>
      <w:rPr>
        <w:rFonts w:hint="eastAsia"/>
      </w:rPr>
    </w:lvl>
  </w:abstractNum>
  <w:abstractNum w:abstractNumId="2">
    <w:nsid w:val="3D26CFC9"/>
    <w:multiLevelType w:val="singleLevel"/>
    <w:tmpl w:val="3D26CFC9"/>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U2ZDhiN2E1MTUxMjMyODJkYjQ0NTNjYmEwMmIifQ=="/>
  </w:docVars>
  <w:rsids>
    <w:rsidRoot w:val="00DF1134"/>
    <w:rsid w:val="00011E3D"/>
    <w:rsid w:val="00040420"/>
    <w:rsid w:val="00055B0A"/>
    <w:rsid w:val="00055F6B"/>
    <w:rsid w:val="00064644"/>
    <w:rsid w:val="00082CFC"/>
    <w:rsid w:val="000B22E7"/>
    <w:rsid w:val="000B5B1A"/>
    <w:rsid w:val="000B7577"/>
    <w:rsid w:val="000C00C7"/>
    <w:rsid w:val="000C7D79"/>
    <w:rsid w:val="001150CF"/>
    <w:rsid w:val="0016729D"/>
    <w:rsid w:val="001F3B92"/>
    <w:rsid w:val="002158F9"/>
    <w:rsid w:val="00232B1A"/>
    <w:rsid w:val="00240589"/>
    <w:rsid w:val="002635B2"/>
    <w:rsid w:val="0026595A"/>
    <w:rsid w:val="0029147A"/>
    <w:rsid w:val="002B413E"/>
    <w:rsid w:val="002B5002"/>
    <w:rsid w:val="002C697F"/>
    <w:rsid w:val="00306EBF"/>
    <w:rsid w:val="00341505"/>
    <w:rsid w:val="003C081B"/>
    <w:rsid w:val="003E29E5"/>
    <w:rsid w:val="003E55BB"/>
    <w:rsid w:val="00402005"/>
    <w:rsid w:val="0040388C"/>
    <w:rsid w:val="004139E6"/>
    <w:rsid w:val="00414FD3"/>
    <w:rsid w:val="00427F86"/>
    <w:rsid w:val="004379D0"/>
    <w:rsid w:val="00466F03"/>
    <w:rsid w:val="004D4D10"/>
    <w:rsid w:val="004F08CE"/>
    <w:rsid w:val="004F6D90"/>
    <w:rsid w:val="0051228C"/>
    <w:rsid w:val="00527A00"/>
    <w:rsid w:val="00530AFD"/>
    <w:rsid w:val="00574352"/>
    <w:rsid w:val="0057687D"/>
    <w:rsid w:val="0059611B"/>
    <w:rsid w:val="005C7334"/>
    <w:rsid w:val="005D18BD"/>
    <w:rsid w:val="005F28B4"/>
    <w:rsid w:val="005F3528"/>
    <w:rsid w:val="0064790B"/>
    <w:rsid w:val="0065353D"/>
    <w:rsid w:val="006537D8"/>
    <w:rsid w:val="00674E25"/>
    <w:rsid w:val="006912D0"/>
    <w:rsid w:val="006B6E74"/>
    <w:rsid w:val="007211AA"/>
    <w:rsid w:val="00730F26"/>
    <w:rsid w:val="0073268B"/>
    <w:rsid w:val="00734494"/>
    <w:rsid w:val="00754955"/>
    <w:rsid w:val="007610D3"/>
    <w:rsid w:val="007A6763"/>
    <w:rsid w:val="007A7714"/>
    <w:rsid w:val="008338C6"/>
    <w:rsid w:val="008646E0"/>
    <w:rsid w:val="00876CD4"/>
    <w:rsid w:val="008F1386"/>
    <w:rsid w:val="008F39E4"/>
    <w:rsid w:val="0094022B"/>
    <w:rsid w:val="00982B45"/>
    <w:rsid w:val="009B2E23"/>
    <w:rsid w:val="009C79DA"/>
    <w:rsid w:val="009E0C74"/>
    <w:rsid w:val="009F3743"/>
    <w:rsid w:val="00A0119D"/>
    <w:rsid w:val="00A062CA"/>
    <w:rsid w:val="00A87835"/>
    <w:rsid w:val="00AB7343"/>
    <w:rsid w:val="00AC5D2D"/>
    <w:rsid w:val="00AD220B"/>
    <w:rsid w:val="00B229B6"/>
    <w:rsid w:val="00B45AB6"/>
    <w:rsid w:val="00B92E17"/>
    <w:rsid w:val="00B97660"/>
    <w:rsid w:val="00BE0C9C"/>
    <w:rsid w:val="00BF451E"/>
    <w:rsid w:val="00C172D5"/>
    <w:rsid w:val="00C50AAB"/>
    <w:rsid w:val="00CA18D2"/>
    <w:rsid w:val="00CB614C"/>
    <w:rsid w:val="00D379E5"/>
    <w:rsid w:val="00D74E4D"/>
    <w:rsid w:val="00D8312C"/>
    <w:rsid w:val="00D845E6"/>
    <w:rsid w:val="00DB56B7"/>
    <w:rsid w:val="00DC6DD4"/>
    <w:rsid w:val="00DD5572"/>
    <w:rsid w:val="00DE3C50"/>
    <w:rsid w:val="00DF0E5B"/>
    <w:rsid w:val="00DF1134"/>
    <w:rsid w:val="00E3394A"/>
    <w:rsid w:val="00E60083"/>
    <w:rsid w:val="00EA3C21"/>
    <w:rsid w:val="00EA77DD"/>
    <w:rsid w:val="00ED7326"/>
    <w:rsid w:val="00F14E46"/>
    <w:rsid w:val="00F26A33"/>
    <w:rsid w:val="00F33ADF"/>
    <w:rsid w:val="00F40B3A"/>
    <w:rsid w:val="00F42189"/>
    <w:rsid w:val="00F44802"/>
    <w:rsid w:val="00F6559C"/>
    <w:rsid w:val="00F95068"/>
    <w:rsid w:val="00FA3230"/>
    <w:rsid w:val="00FF0499"/>
    <w:rsid w:val="02E50C17"/>
    <w:rsid w:val="042067F7"/>
    <w:rsid w:val="0AC71D75"/>
    <w:rsid w:val="1946302D"/>
    <w:rsid w:val="1E2E3E06"/>
    <w:rsid w:val="22216B91"/>
    <w:rsid w:val="23014D42"/>
    <w:rsid w:val="2BC92DAC"/>
    <w:rsid w:val="313B3289"/>
    <w:rsid w:val="367FFD8D"/>
    <w:rsid w:val="37EF70C7"/>
    <w:rsid w:val="394E6C03"/>
    <w:rsid w:val="3F905D07"/>
    <w:rsid w:val="41187B2C"/>
    <w:rsid w:val="46C90012"/>
    <w:rsid w:val="47C87B46"/>
    <w:rsid w:val="5AC0440C"/>
    <w:rsid w:val="5EFF7191"/>
    <w:rsid w:val="6A7A6947"/>
    <w:rsid w:val="6B7A0E0A"/>
    <w:rsid w:val="6DF98398"/>
    <w:rsid w:val="734A7548"/>
    <w:rsid w:val="7C475B4D"/>
    <w:rsid w:val="7EC02164"/>
    <w:rsid w:val="7EE07AD4"/>
    <w:rsid w:val="7FA7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宋体" w:hAnsi="宋体"/>
      <w:kern w:val="0"/>
      <w:szCs w:val="20"/>
    </w:rPr>
  </w:style>
  <w:style w:type="paragraph" w:styleId="4">
    <w:name w:val="annotation text"/>
    <w:basedOn w:val="1"/>
    <w:link w:val="19"/>
    <w:semiHidden/>
    <w:unhideWhenUsed/>
    <w:qFormat/>
    <w:uiPriority w:val="99"/>
    <w:pPr>
      <w:jc w:val="left"/>
    </w:pPr>
  </w:style>
  <w:style w:type="paragraph" w:styleId="5">
    <w:name w:val="Body Text"/>
    <w:basedOn w:val="1"/>
    <w:next w:val="6"/>
    <w:link w:val="23"/>
    <w:qFormat/>
    <w:uiPriority w:val="0"/>
    <w:pPr>
      <w:spacing w:after="120"/>
    </w:pPr>
    <w:rPr>
      <w:rFonts w:ascii="Times New Roman" w:hAnsi="Times New Roman" w:eastAsia="宋体" w:cs="Times New Roman"/>
      <w:szCs w:val="20"/>
    </w:rPr>
  </w:style>
  <w:style w:type="paragraph" w:styleId="6">
    <w:name w:val="Body Text First Indent"/>
    <w:basedOn w:val="5"/>
    <w:link w:val="24"/>
    <w:qFormat/>
    <w:uiPriority w:val="0"/>
    <w:pPr>
      <w:ind w:firstLine="420" w:firstLineChars="100"/>
    </w:pPr>
    <w:rPr>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批注文字 字符"/>
    <w:basedOn w:val="14"/>
    <w:link w:val="4"/>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11"/>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4"/>
    <w:link w:val="7"/>
    <w:semiHidden/>
    <w:qFormat/>
    <w:uiPriority w:val="99"/>
    <w:rPr>
      <w:rFonts w:asciiTheme="minorHAnsi" w:hAnsiTheme="minorHAnsi" w:eastAsiaTheme="minorEastAsia" w:cstheme="minorBidi"/>
      <w:kern w:val="2"/>
      <w:sz w:val="18"/>
      <w:szCs w:val="18"/>
    </w:rPr>
  </w:style>
  <w:style w:type="character" w:customStyle="1" w:styleId="22">
    <w:name w:val="标题 1 字符"/>
    <w:basedOn w:val="14"/>
    <w:link w:val="3"/>
    <w:qFormat/>
    <w:uiPriority w:val="9"/>
    <w:rPr>
      <w:rFonts w:ascii="Times New Roman" w:hAnsi="Times New Roman"/>
      <w:b/>
      <w:bCs/>
      <w:kern w:val="44"/>
      <w:sz w:val="44"/>
      <w:szCs w:val="44"/>
    </w:rPr>
  </w:style>
  <w:style w:type="character" w:customStyle="1" w:styleId="23">
    <w:name w:val="正文文本 字符"/>
    <w:basedOn w:val="14"/>
    <w:link w:val="5"/>
    <w:qFormat/>
    <w:uiPriority w:val="0"/>
    <w:rPr>
      <w:rFonts w:ascii="Times New Roman" w:hAnsi="Times New Roman"/>
      <w:kern w:val="2"/>
      <w:sz w:val="21"/>
    </w:rPr>
  </w:style>
  <w:style w:type="character" w:customStyle="1" w:styleId="24">
    <w:name w:val="正文首行缩进 字符"/>
    <w:basedOn w:val="23"/>
    <w:link w:val="6"/>
    <w:qFormat/>
    <w:uiPriority w:val="0"/>
    <w:rPr>
      <w:rFonts w:ascii="Times New Roman" w:hAnsi="Times New Roman"/>
      <w:kern w:val="2"/>
      <w:sz w:val="21"/>
      <w:szCs w:val="24"/>
    </w:rPr>
  </w:style>
  <w:style w:type="character" w:customStyle="1" w:styleId="25">
    <w:name w:val="font3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3FFFC3F-809B-4CDF-A3E9-6AE3778CE6CE}">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5</Pages>
  <Words>462</Words>
  <Characters>2639</Characters>
  <Lines>21</Lines>
  <Paragraphs>6</Paragraphs>
  <TotalTime>104</TotalTime>
  <ScaleCrop>false</ScaleCrop>
  <LinksUpToDate>false</LinksUpToDate>
  <CharactersWithSpaces>3095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2025-09-10T00:00:00Z</dcterms:created>
  <dc:creator>xhm</dc:creator>
  <cp:lastModifiedBy>刘  静</cp:lastModifiedBy>
  <cp:lastPrinted>2019-03-30T23:26:00Z</cp:lastPrinted>
  <dcterms:modified xsi:type="dcterms:W3CDTF">2025-09-28T14:54:17Z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C52C5454C7F0933CBDFAD568FD9EA2D4_43</vt:lpwstr>
  </property>
  <property fmtid="{D5CDD505-2E9C-101B-9397-08002B2CF9AE}" pid="4" name="KSOTemplateDocerSaveRecord">
    <vt:lpwstr>eyJoZGlkIjoiODUxNDU0MzdmYWExNTI0OWVjN2ZiOWIxNzAwYjczYjkiLCJ1c2VySWQiOiIyNDY5NDc3MjMifQ==</vt:lpwstr>
  </property>
</Properties>
</file>