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13"/>
        <w:ind w:left="40"/>
        <w:jc w:val="center"/>
        <w:rPr>
          <w:b/>
          <w:bCs/>
          <w:color w:val="auto"/>
          <w:spacing w:val="12"/>
          <w:sz w:val="32"/>
          <w:szCs w:val="32"/>
          <w:highlight w:val="none"/>
          <w:lang w:eastAsia="zh-CN"/>
        </w:rPr>
      </w:pPr>
      <w:r>
        <w:rPr>
          <w:rFonts w:hint="eastAsia"/>
          <w:b/>
          <w:bCs/>
          <w:color w:val="auto"/>
          <w:spacing w:val="12"/>
          <w:sz w:val="32"/>
          <w:szCs w:val="32"/>
          <w:highlight w:val="none"/>
          <w:lang w:eastAsia="zh-CN"/>
        </w:rPr>
        <w:t>上海电子信息职业技术学院综合实训楼教室桌椅等家具采购</w:t>
      </w:r>
    </w:p>
    <w:p>
      <w:pPr>
        <w:pStyle w:val="2"/>
        <w:spacing w:before="313"/>
        <w:ind w:left="40"/>
        <w:jc w:val="center"/>
        <w:rPr>
          <w:b/>
          <w:bCs/>
          <w:color w:val="auto"/>
          <w:spacing w:val="12"/>
          <w:sz w:val="32"/>
          <w:szCs w:val="32"/>
          <w:highlight w:val="none"/>
          <w:lang w:eastAsia="zh-CN"/>
        </w:rPr>
      </w:pPr>
      <w:r>
        <w:rPr>
          <w:rFonts w:hint="eastAsia"/>
          <w:b/>
          <w:bCs/>
          <w:color w:val="auto"/>
          <w:spacing w:val="12"/>
          <w:sz w:val="32"/>
          <w:szCs w:val="32"/>
          <w:highlight w:val="none"/>
          <w:lang w:eastAsia="zh-CN"/>
        </w:rPr>
        <w:t>采购需求</w:t>
      </w:r>
    </w:p>
    <w:p>
      <w:pPr>
        <w:pStyle w:val="2"/>
        <w:spacing w:before="313" w:line="360" w:lineRule="auto"/>
        <w:ind w:left="40" w:firstLine="470" w:firstLineChars="200"/>
        <w:rPr>
          <w:b/>
          <w:bCs/>
          <w:color w:val="auto"/>
          <w:sz w:val="21"/>
          <w:szCs w:val="21"/>
          <w:highlight w:val="none"/>
          <w:lang w:eastAsia="zh-CN"/>
        </w:rPr>
      </w:pPr>
      <w:r>
        <w:rPr>
          <w:rFonts w:hint="eastAsia"/>
          <w:b/>
          <w:bCs/>
          <w:color w:val="auto"/>
          <w:spacing w:val="12"/>
          <w:sz w:val="21"/>
          <w:szCs w:val="21"/>
          <w:highlight w:val="none"/>
          <w:lang w:eastAsia="zh-CN"/>
        </w:rPr>
        <w:t>一、项目背景</w:t>
      </w:r>
    </w:p>
    <w:p>
      <w:pPr>
        <w:pStyle w:val="2"/>
        <w:spacing w:before="44" w:line="360" w:lineRule="auto"/>
        <w:ind w:firstLine="420" w:firstLineChars="200"/>
        <w:jc w:val="both"/>
        <w:rPr>
          <w:color w:val="auto"/>
          <w:sz w:val="21"/>
          <w:szCs w:val="21"/>
          <w:highlight w:val="none"/>
          <w:lang w:eastAsia="zh-CN"/>
        </w:rPr>
      </w:pPr>
      <w:r>
        <w:rPr>
          <w:rFonts w:hint="eastAsia"/>
          <w:color w:val="auto"/>
          <w:sz w:val="21"/>
          <w:szCs w:val="21"/>
          <w:highlight w:val="none"/>
          <w:lang w:eastAsia="zh-CN"/>
        </w:rPr>
        <w:t>学校实训大楼按照前期规划需要建设的一批实训室、智慧教室、公共空间等，按照不同功能房间的定位需求，需要采购一批电脑桌桌椅、多媒体讲台、工作桌和公共空间的家具等，以满足这些房间的教学功能。</w:t>
      </w:r>
    </w:p>
    <w:p>
      <w:pPr>
        <w:pStyle w:val="2"/>
        <w:spacing w:before="44" w:line="360" w:lineRule="auto"/>
        <w:ind w:left="50" w:firstLine="422" w:firstLineChars="200"/>
        <w:jc w:val="both"/>
        <w:rPr>
          <w:b/>
          <w:bCs/>
          <w:color w:val="auto"/>
          <w:sz w:val="21"/>
          <w:szCs w:val="21"/>
          <w:highlight w:val="none"/>
          <w:lang w:eastAsia="zh-CN"/>
        </w:rPr>
      </w:pPr>
      <w:r>
        <w:rPr>
          <w:rFonts w:hint="eastAsia"/>
          <w:b/>
          <w:bCs/>
          <w:color w:val="auto"/>
          <w:sz w:val="21"/>
          <w:szCs w:val="21"/>
          <w:highlight w:val="none"/>
          <w:lang w:eastAsia="zh-CN"/>
        </w:rPr>
        <w:t>二、需执行的国家相关标准、行业标准或其他标准、规范</w:t>
      </w:r>
    </w:p>
    <w:p>
      <w:pPr>
        <w:pStyle w:val="4"/>
        <w:ind w:left="0" w:leftChars="0" w:firstLine="422" w:firstLineChars="200"/>
        <w:rPr>
          <w:rFonts w:ascii="宋体" w:hAnsi="宋体" w:eastAsia="宋体" w:cs="宋体"/>
          <w:b/>
          <w:bCs/>
          <w:color w:val="auto"/>
          <w:sz w:val="21"/>
          <w:szCs w:val="21"/>
          <w:highlight w:val="none"/>
          <w:lang w:eastAsia="zh-CN"/>
        </w:rPr>
      </w:pPr>
      <w:bookmarkStart w:id="0" w:name="_Toc8379"/>
      <w:bookmarkStart w:id="1" w:name="_Toc25898_WPSOffice_Level2"/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eastAsia="zh-CN"/>
        </w:rPr>
        <w:t>（一）强制性标准</w:t>
      </w:r>
      <w:bookmarkEnd w:id="0"/>
      <w:bookmarkEnd w:id="1"/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 18583-2008 《室内装饰装修材料 胶粘剂中有害物质限量》；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 6566-2010 《建筑材料放射性核素限量》；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 18584-2001《室内装饰装修材料木家具中有害物质限量》；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 18580-2017 《室内装饰装修材料人造板及其制品中甲醛释放限量》；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 18581-2020《木器涂料中有害物质限量》；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GB18581-2009《室内装饰装修材料溶剂型木器涂料中有害物质限量》；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 18401-2010《国家纺织产品基本安全技术规范》；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 16799-2018《家具用皮革》；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 28481-2012《塑料家具中有害物质限量》。</w:t>
      </w:r>
    </w:p>
    <w:p>
      <w:pPr>
        <w:pStyle w:val="4"/>
        <w:ind w:left="0" w:leftChars="0" w:firstLine="422" w:firstLineChars="200"/>
        <w:rPr>
          <w:rFonts w:ascii="宋体" w:hAnsi="宋体" w:eastAsia="宋体" w:cs="宋体"/>
          <w:b/>
          <w:bCs/>
          <w:color w:val="auto"/>
          <w:sz w:val="21"/>
          <w:szCs w:val="21"/>
          <w:highlight w:val="none"/>
          <w:lang w:eastAsia="zh-CN"/>
        </w:rPr>
      </w:pPr>
      <w:bookmarkStart w:id="2" w:name="_Toc16007"/>
      <w:bookmarkStart w:id="3" w:name="_Toc25730_WPSOffice_Level2"/>
      <w:bookmarkStart w:id="4" w:name="_Toc227555682"/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eastAsia="zh-CN"/>
        </w:rPr>
        <w:t>（二）质量及技术标准</w:t>
      </w:r>
      <w:bookmarkEnd w:id="2"/>
      <w:bookmarkEnd w:id="3"/>
      <w:bookmarkEnd w:id="4"/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15102-2017《浸渍胶膜纸饰面纤维板和刨花板》；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35601-2017《绿色产品评价 人造板和木质地板》；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29525-2013《座椅升降气弹簧 技术条件》；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10802-2006《通用软质聚醚型聚氨酯泡沫塑料》；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35601-2017《绿色产品评价 人造板和木质地板》；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QB/T 2189-2013《家具五金 杯状暗铰链》；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11718-2009 《中密度纤维板》；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1621-2015 《家具锁》；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2454-2013 《家具五金 抽屉导轨》；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3325-2017 《金属家具通用技术条件》；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4765-2014 《家具用脚轮》；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QB/T 2280-2016《办公家具 办公椅》；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35607-2017《绿色产品评价 家具》；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GB/T 3324-2017《木家具通用技术条件》；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QB/T 1952.1-2012《软体家具 沙发》。</w:t>
      </w:r>
    </w:p>
    <w:p>
      <w:pPr>
        <w:pStyle w:val="4"/>
        <w:ind w:left="0" w:leftChars="0" w:firstLine="422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eastAsia="zh-CN"/>
        </w:rPr>
        <w:t>及其他与本次采购的家具相关的现行最新标准</w:t>
      </w:r>
    </w:p>
    <w:p>
      <w:pPr>
        <w:rPr>
          <w:rFonts w:ascii="宋体" w:hAnsi="宋体" w:eastAsia="宋体" w:cs="宋体"/>
          <w:b/>
          <w:bCs/>
          <w:color w:val="auto"/>
          <w:spacing w:val="-2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-2"/>
          <w:highlight w:val="none"/>
          <w:lang w:eastAsia="zh-CN"/>
        </w:rPr>
        <w:br w:type="page"/>
      </w:r>
    </w:p>
    <w:p>
      <w:pPr>
        <w:spacing w:before="120" w:line="360" w:lineRule="auto"/>
        <w:ind w:left="160"/>
        <w:outlineLvl w:val="6"/>
        <w:rPr>
          <w:rFonts w:ascii="宋体" w:hAnsi="宋体" w:eastAsia="宋体" w:cs="宋体"/>
          <w:b/>
          <w:bCs/>
          <w:color w:val="auto"/>
          <w:spacing w:val="-25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-2"/>
          <w:highlight w:val="none"/>
          <w:lang w:eastAsia="zh-CN"/>
        </w:rPr>
        <w:t>三、采购品目分类、参考样式、规格、基本组成、质量标准等要求</w:t>
      </w:r>
    </w:p>
    <w:tbl>
      <w:tblPr>
        <w:tblStyle w:val="12"/>
        <w:tblpPr w:leftFromText="180" w:rightFromText="180" w:vertAnchor="text" w:horzAnchor="page" w:tblpX="1309" w:tblpY="594"/>
        <w:tblOverlap w:val="never"/>
        <w:tblW w:w="1396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9"/>
        <w:gridCol w:w="567"/>
        <w:gridCol w:w="400"/>
        <w:gridCol w:w="1833"/>
        <w:gridCol w:w="1700"/>
        <w:gridCol w:w="754"/>
        <w:gridCol w:w="1042"/>
        <w:gridCol w:w="1496"/>
        <w:gridCol w:w="57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80" w:hRule="atLeast"/>
        </w:trPr>
        <w:tc>
          <w:tcPr>
            <w:tcW w:w="399" w:type="dxa"/>
            <w:vAlign w:val="center"/>
          </w:tcPr>
          <w:p>
            <w:pPr>
              <w:pStyle w:val="11"/>
              <w:spacing w:before="91"/>
              <w:jc w:val="center"/>
              <w:rPr>
                <w:b/>
                <w:bCs/>
                <w:color w:val="auto"/>
                <w:spacing w:val="-6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  <w:highlight w:val="none"/>
                <w:lang w:eastAsia="zh-CN"/>
              </w:rPr>
              <w:t>编号</w:t>
            </w:r>
          </w:p>
        </w:tc>
        <w:tc>
          <w:tcPr>
            <w:tcW w:w="567" w:type="dxa"/>
            <w:vAlign w:val="center"/>
          </w:tcPr>
          <w:p>
            <w:pPr>
              <w:pStyle w:val="11"/>
              <w:spacing w:before="91"/>
              <w:jc w:val="center"/>
              <w:rPr>
                <w:b/>
                <w:bCs/>
                <w:color w:val="auto"/>
                <w:spacing w:val="-6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  <w:highlight w:val="none"/>
                <w:lang w:eastAsia="zh-CN"/>
              </w:rPr>
              <w:t>品目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91"/>
              <w:jc w:val="center"/>
              <w:rPr>
                <w:b/>
                <w:bCs/>
                <w:color w:val="auto"/>
                <w:spacing w:val="-6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  <w:highlight w:val="none"/>
                <w:lang w:eastAsia="zh-CN"/>
              </w:rPr>
              <w:t>基本分类</w:t>
            </w:r>
          </w:p>
        </w:tc>
        <w:tc>
          <w:tcPr>
            <w:tcW w:w="1833" w:type="dxa"/>
            <w:vAlign w:val="center"/>
          </w:tcPr>
          <w:p>
            <w:pPr>
              <w:pStyle w:val="11"/>
              <w:spacing w:before="91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  <w:highlight w:val="none"/>
              </w:rPr>
              <w:t>参考样式</w:t>
            </w:r>
          </w:p>
        </w:tc>
        <w:tc>
          <w:tcPr>
            <w:tcW w:w="1700" w:type="dxa"/>
            <w:vAlign w:val="center"/>
          </w:tcPr>
          <w:p>
            <w:pPr>
              <w:pStyle w:val="11"/>
              <w:spacing w:before="91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6"/>
                <w:sz w:val="21"/>
                <w:szCs w:val="21"/>
                <w:highlight w:val="none"/>
                <w:lang w:eastAsia="zh-CN"/>
              </w:rPr>
              <w:t>参考规格</w:t>
            </w:r>
          </w:p>
          <w:p>
            <w:pPr>
              <w:pStyle w:val="11"/>
              <w:spacing w:before="87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4"/>
                <w:sz w:val="21"/>
                <w:szCs w:val="21"/>
                <w:highlight w:val="none"/>
                <w:lang w:eastAsia="zh-CN"/>
              </w:rPr>
              <w:t>(长×宽×高)mm</w:t>
            </w:r>
          </w:p>
        </w:tc>
        <w:tc>
          <w:tcPr>
            <w:tcW w:w="754" w:type="dxa"/>
            <w:vAlign w:val="center"/>
          </w:tcPr>
          <w:p>
            <w:pPr>
              <w:pStyle w:val="11"/>
              <w:spacing w:before="91"/>
              <w:jc w:val="center"/>
              <w:rPr>
                <w:b/>
                <w:bCs/>
                <w:color w:val="auto"/>
                <w:spacing w:val="-5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-5"/>
                <w:sz w:val="21"/>
                <w:szCs w:val="21"/>
                <w:highlight w:val="none"/>
                <w:lang w:eastAsia="zh-CN"/>
              </w:rPr>
              <w:t>数量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91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pacing w:val="-5"/>
                <w:sz w:val="21"/>
                <w:szCs w:val="21"/>
                <w:highlight w:val="none"/>
              </w:rPr>
              <w:t>基本组成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91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pacing w:val="2"/>
                <w:sz w:val="21"/>
                <w:szCs w:val="21"/>
                <w:highlight w:val="none"/>
              </w:rPr>
              <w:t>基本材质</w:t>
            </w:r>
          </w:p>
        </w:tc>
        <w:tc>
          <w:tcPr>
            <w:tcW w:w="5777" w:type="dxa"/>
            <w:vAlign w:val="center"/>
          </w:tcPr>
          <w:p>
            <w:pPr>
              <w:pStyle w:val="11"/>
              <w:spacing w:before="91"/>
              <w:jc w:val="center"/>
              <w:rPr>
                <w:b/>
                <w:bCs/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工艺质量标准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kern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kern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双人电脑桌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100455" cy="914400"/>
                  <wp:effectExtent l="0" t="0" r="4445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1400*700*750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44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张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1、桌面：厚度25mm，开2个穿线孔，饰面定向架构刨花板，所有材料均经过防虫、防蛀处理。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3、桌脚采用50*50*2.0mm方管，桌下四周加强结构采用25*50*T1.5mm钢管，表面经酸洗磷化处理，静电粉末喷涂，漆面均匀，无划痕。焊接部分连接牢固，焊点光滑平整。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4、大容量三包围钢制机箱柜，壁厚≥1.5mm，静电粉末喷涂。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5、前挡板：采用冷轧钢板，壁厚≥1.5mm，冲散热孔，静电粉末喷涂。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6、调节脚钉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4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方凳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四脚凳</w:t>
            </w:r>
          </w:p>
        </w:tc>
        <w:tc>
          <w:tcPr>
            <w:tcW w:w="1833" w:type="dxa"/>
            <w:vAlign w:val="center"/>
          </w:tcPr>
          <w:p>
            <w:pPr>
              <w:pStyle w:val="11"/>
              <w:spacing w:before="91"/>
              <w:ind w:left="32"/>
              <w:jc w:val="both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24865" cy="988060"/>
                  <wp:effectExtent l="0" t="0" r="13335" b="2540"/>
                  <wp:docPr id="5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380*280*450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88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只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椅架：钢制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1、凳面：厚度18mm，饰面定向架构刨花板，所有材料均经过防虫、防蛀处理。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3、椅脚采用φ25*2.0mm圆管，凳面下拉4根钢制横梁，壁厚≥1.5mm，椅腿离地面100mm处拉工字型横梁，壁厚≥1.5mm，表面经酸洗磷化处理，静电粉末喷涂，漆面均匀，无划痕。焊接部分连接牢固，焊点光滑平整。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4、固定脚钉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87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多媒体讲台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pStyle w:val="11"/>
              <w:spacing w:before="91"/>
              <w:ind w:left="32"/>
              <w:jc w:val="both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14730" cy="967105"/>
                  <wp:effectExtent l="0" t="0" r="4445" b="444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1160*780*1020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张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由实木、柜体、翻转机构等构成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扶手：实木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1、整体采用 ≥1.0 mm冷轧钢板，表面经酸洗磷化处理，静电粉末喷涂，漆面均匀，无划痕。焊接部分连接牢固，焊点光滑平整。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2、全部的加工件均采用模具成型，保障尺寸精度及各部件一致性。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3、讲台桌面采用平面设计，可以放置 17-24 寸不同品牌的液晶显示器，显示器固定在活动支架上，显示器及键盘架都可翻转隐藏。右前方平面可放笔记本等设备。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4、讲台扶手采用橡木制成，表面喷防滑漆，使用起来光滑度高，使整个讲台看起来美观大方。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5、讲台下柜前后门均可打开，讲台右侧设置隐藏式抽拉展台抽屉，导轨需带阻尼功能。电脑主机的光驱和 USB 接口设有专门的可开合小门，方便放设备， 后方有上下门，便于检修设备，下门冲散热孔，方便散热;整个下柜可作为储物柜使用。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6、胶水：环保胶水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89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教师椅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转椅</w:t>
            </w:r>
          </w:p>
        </w:tc>
        <w:tc>
          <w:tcPr>
            <w:tcW w:w="1833" w:type="dxa"/>
            <w:vAlign w:val="center"/>
          </w:tcPr>
          <w:p>
            <w:pPr>
              <w:pStyle w:val="11"/>
              <w:spacing w:before="91"/>
              <w:ind w:left="32"/>
              <w:jc w:val="both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717550" cy="937260"/>
                  <wp:effectExtent l="0" t="0" r="6350" b="571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直径350*420-520mm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把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PU凳面</w:t>
            </w:r>
          </w:p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气压棒</w:t>
            </w:r>
          </w:p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电镀五星脚</w:t>
            </w:r>
          </w:p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固定脚钉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凳面：PU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椅脚：钢制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1、一次成型PU凳面，易于清洁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2、钢制底托，厚度≥1.0mm，表面经酸洗磷化处理，静电粉末喷涂，漆面均匀，无划痕。焊接部分连接牢固，焊点光滑平整。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3、三级电镀气杆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4、电镀五星脚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5、尼龙耐磨脚钉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93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5</w:t>
            </w:r>
          </w:p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双人智能工作桌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pStyle w:val="11"/>
              <w:spacing w:before="91"/>
              <w:ind w:left="32"/>
              <w:jc w:val="both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10920" cy="943610"/>
                  <wp:effectExtent l="0" t="0" r="8255" b="8890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spacing w:before="91"/>
              <w:ind w:left="32"/>
              <w:jc w:val="both"/>
              <w:rPr>
                <w:color w:val="auto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29970" cy="686435"/>
                  <wp:effectExtent l="0" t="0" r="8255" b="8890"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1500*600*750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120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套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由木板、五金、设备等构成。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1、桌面：厚度25mm，饰面定向架构刨花板，所有材料均经过防虫、防蛀处理。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3、桌脚采用50*50*T2.0mm方管，桌下四周加强结构采用25*50*T1.5mm钢管，表面经酸洗磷化处理，静电粉末喷涂，漆面均匀，无划痕。焊接部分连接牢固，焊点光滑平整。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4、钢制前挡板，冲长条形透气孔，壁厚≥1.5mm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5、桌下分成3个独立封闭式钢制柜体，每个柜体都带锁；两边为机箱柜，机箱配有散热网孔，中间为设备柜，设备柜内配置各种设备安装支架。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6、每套工作桌需包含设备：多线程网管智能pdu 1台（4位10A分控，总监分控SNMP，2500W,彩色液晶屏幕，能够联网，查看总电流，总电压，总功率，功率因数，当前设备温度等，通过选择 Line 切换查看 L1/L2/L3三相电源参数。具有阀值自定义功能，能设定上下限参数，查看主机与副机的设置）；普通pdu2个（6位，总功率≥2500W,带有开关控制，具有过载保护功能,防雷防浪涌）；8口千兆POE交换机1台（支持三种工作模式，POE供电端口，配置企业网络管理功能，配置千兆云管理）；漏电保护开关1只（2P,16A）；合理设计装入设备柜内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7、桌面配置嵌入式插座2只（国标电源*3），隐蔽走线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8、配置调节脚钉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6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定制四工位智能工作桌（龙芯验证区）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pStyle w:val="11"/>
              <w:spacing w:before="91"/>
              <w:ind w:left="32"/>
              <w:jc w:val="both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03300" cy="936625"/>
                  <wp:effectExtent l="0" t="0" r="6350" b="635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spacing w:before="91"/>
              <w:ind w:left="32"/>
              <w:jc w:val="both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59180" cy="706120"/>
                  <wp:effectExtent l="0" t="0" r="7620" b="8255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1500*1200*750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11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套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由木板、五金、设备等构成。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1、桌面：厚度25mm，饰面定向架构刨花板，所有材料均经过防虫、防蛀处理。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3、桌脚采用50*50*T2.0mm方管，桌下四周加强结构采用25*50*T1.5mm钢管，表面经酸洗磷化处理，静电粉末喷涂，漆面均匀，无划痕。焊接部分连接牢固，焊点光滑平整。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4、桌下分成3个独立封闭式钢制柜体，每个柜体前后都开门，带锁；两边为机箱柜，机箱配有散热网孔，中间为设备柜，设备柜内配置各种设备安装支架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5、每套工作桌需包含设备：多线程网管智能pdu 2台（4位10A分控，总监分控SNMP，2500W,彩色液晶屏幕，能够联网，查看总电流，总电压，总功率，功率因数，当前设备温度等，通过选择 Line 切换查看 L1/L2/L3三相电源参数。具有阀值自定义功能，能设定上下限参数，查看主机与副机的设置）；普通pdu 4个（6位，总功率≥2500W,带有开关控制，具有过载保护功能,防雷防浪涌）；8口千兆POE交换机2台（支持三种工作模式，POE供电端口，配置企业网络管理功能，配置千兆云管理）；漏电保护开关2只（2P,16A）；合理设计装入设备柜内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6、配置嵌入式插座4只(国标电源*3)，隐蔽走线，调节脚钉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624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学生实训椅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四脚椅</w:t>
            </w:r>
          </w:p>
        </w:tc>
        <w:tc>
          <w:tcPr>
            <w:tcW w:w="1833" w:type="dxa"/>
            <w:vAlign w:val="center"/>
          </w:tcPr>
          <w:p>
            <w:pPr>
              <w:pStyle w:val="11"/>
              <w:spacing w:before="91"/>
              <w:ind w:left="32"/>
              <w:jc w:val="both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00100" cy="1121410"/>
                  <wp:effectExtent l="0" t="0" r="0" b="2540"/>
                  <wp:docPr id="4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430*545*790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highlight w:val="none"/>
                <w:lang w:eastAsia="zh-CN" w:bidi="ar"/>
              </w:rPr>
              <w:t>310</w:t>
            </w:r>
            <w:r>
              <w:rPr>
                <w:rFonts w:hint="eastAsia" w:ascii="宋体" w:hAnsi="宋体" w:cs="宋体"/>
                <w:b/>
                <w:bCs/>
                <w:color w:val="auto"/>
                <w:highlight w:val="none"/>
                <w:lang w:eastAsia="zh-CN" w:bidi="ar"/>
              </w:rPr>
              <w:t>把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四脚结构、由椅背椅座椅架组成</w:t>
            </w:r>
          </w:p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椅架：钢制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椅背、椅座：多层板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面材：防火板饰面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背板、座板：采用实木多层板高温热压而成，甲醛释放量≤0.025mg/m³，双面外贴环保饰面防火板，厚度≥10mm，清水油漆收边，层次分明；背板及座板四角导圆，整体弧度符合人体工学，座板尺寸≥390*490mm，背板尺寸≥390*185mm；表面耐干热、耐污染性能≥5级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2、椅架采用20*20*T2.0mm方管焊接而成，椅脚四周各加1根加强横梁，表面经酸洗磷化处理，静电粉末喷涂，漆面均匀，无划痕。焊接部分连接牢固，焊点光滑平整。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3、拉铆钉：美观，坚固耐用；尼龙耐磨脚钉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11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8</w:t>
            </w:r>
          </w:p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四人长方形电脑桌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pStyle w:val="11"/>
              <w:spacing w:before="91"/>
              <w:ind w:left="32"/>
              <w:jc w:val="both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drawing>
                <wp:inline distT="0" distB="0" distL="114300" distR="114300">
                  <wp:extent cx="1007110" cy="867410"/>
                  <wp:effectExtent l="0" t="0" r="2540" b="889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1600*1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450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*750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mm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24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套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基材：高密度板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桌面为整板，无拼接，厚度22mm，黄石纹色，边沿为小斜边工艺，桌角处导安全角，无封边条，桌面上开4个集成插座孔、2个穿线孔，基材无外露；高密度纤维板材料表面经过MDF静电粉未涂装或同等性能要求材料制作，环保达到ENF级要求，抗细菌性能达I级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2、桌脚采用50*50*T2.0mm方管，桌下四周加强结构采用25*50*T1.5mm钢管，表面经酸洗磷化处理，静电粉末喷涂，漆面均匀，无划痕。焊接部分连接牢固，焊点光滑平整。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3、两侧钢制脚板冲孔，壁厚≥1.5mm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4、桌下配置钢制大容量嵌入式主机箱柜，可放置4台主机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5、桌面上配置4个嵌入式集成插座，每个集成插座含：国标电源*3、1.8米电源线。需隐蔽走线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6、配置调节脚钉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7、样品颜色：钢制部分砂白色，木质部分黄石纹色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41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auto"/>
                <w:highlight w:val="none"/>
                <w:lang w:eastAsia="zh-CN" w:bidi="ar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9</w:t>
            </w:r>
          </w:p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六边形电脑桌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pStyle w:val="11"/>
              <w:spacing w:before="91"/>
              <w:ind w:left="32"/>
              <w:jc w:val="both"/>
              <w:rPr>
                <w:color w:val="auto"/>
                <w:spacing w:val="-2"/>
                <w:sz w:val="21"/>
                <w:szCs w:val="21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970915" cy="785495"/>
                  <wp:effectExtent l="0" t="0" r="635" b="5080"/>
                  <wp:docPr id="6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2"/>
                <w:highlight w:val="none"/>
                <w:lang w:eastAsia="zh-CN"/>
              </w:rPr>
              <w:t>16</w:t>
            </w:r>
            <w:r>
              <w:rPr>
                <w:rFonts w:hint="eastAsia" w:ascii="宋体" w:hAnsi="宋体" w:eastAsia="宋体" w:cs="宋体"/>
                <w:color w:val="auto"/>
                <w:kern w:val="2"/>
                <w:highlight w:val="none"/>
                <w:lang w:eastAsia="zh-CN"/>
              </w:rPr>
              <w:t>00*</w:t>
            </w:r>
            <w:r>
              <w:rPr>
                <w:rFonts w:hint="eastAsia" w:ascii="宋体" w:hAnsi="宋体" w:cs="宋体"/>
                <w:color w:val="auto"/>
                <w:kern w:val="2"/>
                <w:highlight w:val="none"/>
                <w:lang w:eastAsia="zh-CN"/>
              </w:rPr>
              <w:t>16</w:t>
            </w:r>
            <w:r>
              <w:rPr>
                <w:rFonts w:hint="eastAsia" w:ascii="宋体" w:hAnsi="宋体" w:eastAsia="宋体" w:cs="宋体"/>
                <w:color w:val="auto"/>
                <w:kern w:val="2"/>
                <w:highlight w:val="none"/>
                <w:lang w:eastAsia="zh-CN"/>
              </w:rPr>
              <w:t>00*750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8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套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基材：高密度板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五金件：铝合金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万向接口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桌面为整板，无拼接，厚度22mm，卡其灰色，边沿为小斜边工艺，桌角处导安全角，无封边条，桌面上开3个集成插座孔、1个加大穿线孔，基材无外露；高密度纤维板材料表面经过MDF静电粉未涂装或同等性能要求材料制作，环保达到ENF级要求，抗细菌性能达I级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2、桌脚采用φ50*1.8mm圆管，桌下四周加强结构采用25*50*T1.5mm钢管，表面经酸洗磷化处理，静电粉末喷涂，漆面均匀，无划痕。焊接部分连接牢固，焊点光滑平整。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4、连接杆与桌脚采用铝合金万向接口连接。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5、桌下配置6只独立嵌入式固定主机架，主机架为1.0mm钢板与30*30*T1.5mm方管焊接，主机架配置底脚，表面喷涂。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6、桌体中间配置大容量钢制六边形上线脚，内部隐蔽走线，每面开3个86型线盒孔，壁厚≥1.5mm。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7、桌面上配置3个嵌入式集成插座，每个集成插座含：国标电源*4、1.8米电源线。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8、配置调节脚钉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95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10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电脑椅1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四脚椅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586740" cy="812165"/>
                  <wp:effectExtent l="0" t="0" r="3810" b="6985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460*535*800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96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把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四腿结构</w:t>
            </w:r>
          </w:p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PP材料整椅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PP材料—次注塑成型整椅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1、连体靠背坐垫椅脚：PP材质，整体曲线设计，线条顺滑，背部镂空，撑腰设计，坐垫呈瓦片状设计，坐感舒适不易滑动，符合人体工学。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2、整椅可水洗，可堆叠节省空间。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530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电脑椅2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四脚椅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08380" cy="1471930"/>
                  <wp:effectExtent l="0" t="0" r="1270" b="4445"/>
                  <wp:docPr id="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47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highlight w:val="none"/>
                <w:lang w:eastAsia="zh-CN"/>
              </w:rPr>
              <w:t>625*555*840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48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把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四腿结构。</w:t>
            </w:r>
          </w:p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PP材料底壳及后背壳。</w:t>
            </w:r>
          </w:p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椅架：金属脚架，PP材料—次注塑成型背框及座板底壳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1、背框连体坐垫靠背：PP材质，靠背采用铁塔元素设计，结合腰部位置及颈椎位置设计出3D立面，撑腰护脊，符合人体工学；整体座背长度≥520mm，宽度≥470mm，高度≥490mm。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2、椅架：采用≥Φ22*2.0mm圆管，硬度大，韧性好，表面经酸洗磷化处理，静电粉末喷涂，漆面均匀，无划痕；焊接部分连接牢固，焊点光滑平整。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3、扶手：PP材质，弧形设计，尺寸≥200*55*2.0mm，内嵌于钢架，无孔、无螺丝，简介美观，扶手离地≥650mm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4、背部装饰壳：ABS材质一体成型，等腰梯形设计。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5、螺丝：防滑耐落螺丝，长久使用不会松退，不会发出响声。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6、脚轮：顺滑静音，冲击性、动载荷、静载荷均符合国标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1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教师讲台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19810" cy="819150"/>
                  <wp:effectExtent l="0" t="0" r="8890" b="0"/>
                  <wp:docPr id="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1200*600*1100/750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套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1、木质部分：饰面定向架构刨花板，所有材料均经过防虫、防蛀处理。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3、木质柜体下部单开门，上部2层开架，桌面上三包围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4、桌脚采用φ50*1.8mm圆管，钢制冲孔前挡板，厚度≥1.5mm，表面经酸洗磷化处理，静电粉末喷涂，漆面均匀，无划痕；焊接部分连接牢固，焊点光滑平整。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4、内部需隐蔽走线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6、配置6只静音刹车轮，脚轮的冲击性、动载荷、静载荷均符合国标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教师椅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转椅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65505" cy="1159510"/>
                  <wp:effectExtent l="0" t="0" r="1270" b="254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500*560*950-1100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把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靠背、坐垫、气压棒、尼龙脚等组成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椅架：PP材料—次注塑成型背框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椅脚：尼龙五星脚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覆面：网布面料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填充：海绵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1、背框：PP材质一体成型，撑腰设计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2、面料：采质网布面料。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3、海棉：座垫海绵采用高回弹型定型棉。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4、底托：钢制钢制底托，厚度≥1.0mm，表面喷涂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</w:t>
            </w:r>
            <w:r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  <w:t>、加高四级防爆气杆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6、圈形脚踏：采用不锈钢板材经模具冲压成型，直径≥400mm，牢靠稳固。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7、尼龙五星脚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8、尼龙脚钉：无毛刺，坚固耐用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书写椅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折叠椅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944880" cy="1337310"/>
                  <wp:effectExtent l="0" t="0" r="7620" b="5715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690*710*815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45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把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写字板、靠背、坐垫、钢制椅架、尼龙脚轮等组成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椅架：金属脚架，PP材料—次注塑成型背框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覆面：麻绒面料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填充：泡棉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衬板：弯曲木胶合板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1、椅背、扶手：尼龙材质，一体注塑成型，靠背倾仰机构设计，前后滑动扶手，有效距离2cm，可满足不同坐姿与人群，有效缓解疲劳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2、座垫：采用定型海绵，多层实木板，舒适透气，配PP防尘底壳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3、椅架：20.5*32.5*T1.5mmQ235碳素钢椅架，全自动机械臂焊接，稳固性强，表面经酸洗磷化处理，静电粉末喷涂，漆面均匀，无划痕；焊接部分连接牢固，焊点光滑平整。特制脚垫，全新超韧尼龙材质，抗磨损性强。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4、写字板：选用ABS工程塑料加厚板面，双层结构，搭配加粗全铝合金支架和精抛铝合金旋转机构，可灵活旋转收放。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5、椅架全折叠收纳，节省空间。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6、脚轮：顺滑静音，冲击性、动载荷、静载荷均符合国标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169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15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可移动玻璃白板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66140" cy="905510"/>
                  <wp:effectExtent l="0" t="0" r="635" b="889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玻璃白板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1800*900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mm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套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玻璃白板、钢制支架等组成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面板：钢化玻璃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支架：金属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1、3C认证钢化玻璃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2、30天内擦拭无痕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3、可吸附磁钉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4、加厚合金碳钢支架，冷轧工艺，边框≤10mm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5、一体式笔托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6、自锁万向轮，脚轮的冲击性、动载荷、静载荷均符合国标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8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16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弧形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阶梯课桌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木制品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33120" cy="546735"/>
                  <wp:effectExtent l="0" t="0" r="5080" b="571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每位尺寸</w:t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750*500*750mm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highlight w:val="none"/>
                <w:lang w:eastAsia="zh-CN" w:bidi="ar"/>
              </w:rPr>
              <w:t>595</w:t>
            </w:r>
            <w:r>
              <w:rPr>
                <w:rFonts w:hint="eastAsia" w:ascii="宋体" w:hAnsi="宋体" w:cs="宋体"/>
                <w:b/>
                <w:bCs/>
                <w:color w:val="auto"/>
                <w:highlight w:val="none"/>
                <w:lang w:eastAsia="zh-CN" w:bidi="ar"/>
              </w:rPr>
              <w:t>位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1、木质部分：饰面定向架构刨花板，所有材料均经过防虫、防蛀处理。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3、桌面及立板厚度≥25mm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4、弧形前挡板≥600mm，弧度需贴合阶梯弧度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5、合理设计大容量书包架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6、每个座位的插座需隐蔽走线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7、五金配件：三合一连接件；安装完毕后，整体结构牢固。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座椅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弓形椅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75665" cy="1189990"/>
                  <wp:effectExtent l="0" t="0" r="635" b="635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575*610*990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595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把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靠背、坐垫、扶手、弓形架等组成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椅架：金属脚架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椅脚：金属弓型脚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覆面：皮革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填充：海绵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1、面料：采用有机硅皮革，色牢度≥4级，气味≤2级，抗张强度≥8，断裂伸长率≥76%，未检出甲醛含量、禁用偶氮染料（24种）。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2、靠背内部填充物：采用高密度定型海绵，回弹力35%以上；钢制内架，超薄设计。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3、座垫内部填充物：采用高密度定型海绵，回弹力35%以上；内置≥12mm厚度曲木板，坐感舒适。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4、软扶手，加厚28管电镀椅架，焊接部分连接牢固，焊点光滑平整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5、螺丝：长久使用不会松退，不会发出响声。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6、固定脚钉：无毛刺，坚固耐用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7、胶水：环保胶水。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0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18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茶水柜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木制品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1088390" cy="434975"/>
                  <wp:effectExtent l="0" t="0" r="6985" b="3175"/>
                  <wp:docPr id="1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3600*550*900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5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套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铰链、导轨、连接件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1、木质部分：饰面定向架构刨花板，所有材料均经过防虫、防蛀处理。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3、桌面厚度≥25mm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4、八扇木质对开门，一个嵌入式微波炉空间及一个抽屉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5、五金配件：铰链、导轨、三合一连接件；安装完毕后，整体结构牢固。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14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2"/>
                <w:highlight w:val="none"/>
                <w:lang w:eastAsia="zh-CN"/>
              </w:rPr>
              <w:t>19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书架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木制品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1022350" cy="398145"/>
                  <wp:effectExtent l="0" t="0" r="6350" b="1905"/>
                  <wp:docPr id="2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2800*450*900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5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套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1、木质部分：饰面定向架构刨花板，所有材料均经过防虫、防蛀处理。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3、顶板厚度≥25mm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4、上下分2层，每层分6格，每格大小不一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5、五金配件：三合一连接件；安装完毕后，整体结构牢固。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卡座沙发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软包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918210" cy="860425"/>
                  <wp:effectExtent l="0" t="0" r="5715" b="6350"/>
                  <wp:docPr id="21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W1650*D780*H450/1400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8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只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屏风、坐垫、靠背、抱枕等组成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框架：实木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覆面：皮革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填充：海绵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1、面料：采用有机硅皮革，色牢度≥4级，气味≤2级，抗张强度≥8，断裂伸长率≥76%，未检出甲醛含量、禁用偶氮染料（24种）。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2、靠背内部填充物：采用高密度定型海绵，回弹力35%以上，坐感舒适；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3、榉木实木框架无贯通裂缝材；无虫蛀。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4、脚架：金属椅脚，静电粉末喷涂，漆面均匀，无划痕。焊接部分连接牢固，焊点光滑平整。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5、其它：座面及背面对称度≤3mm；相同扶手对称度≤4mm;围边对称度≤2mm；面料的包覆应平服饱满无明显皱折及对称工艺皱折线条应对称均匀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6、螺丝：长久使用不会松退，不会发出响声。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7、胶水：环保胶水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8、配置1个抱枕，靠背及一侧扶手配置屏风，屏风外裹面料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5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长茶几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982980" cy="953135"/>
                  <wp:effectExtent l="0" t="0" r="7620" b="8890"/>
                  <wp:docPr id="22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900*530*500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张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1、桌面：厚度25mm，饰面定向架构刨花板，所有材料均经过防虫、防蛀处理。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3、桌架采用20*40*T2.0mm方管，底脚钢板厚度≥10mm，静电粉末喷涂，漆面均匀，无划痕。焊接部分连接牢固，焊点光滑平整。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94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双人沙发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软包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1066800" cy="927100"/>
                  <wp:effectExtent l="0" t="0" r="0" b="6350"/>
                  <wp:docPr id="24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W1850*D715*H450/820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8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只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坐垫、靠背、</w:t>
            </w:r>
          </w:p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扶手、抱枕等组成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框架：实木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覆面：皮革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填充：海绵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1、面料：采用有机硅皮革，色牢度≥4级，气味≤2级，抗张强度≥8，断裂伸长率≥76%，未检出甲醛含量、禁用偶氮染料（24种）。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2、靠背内部填充物：采用高密度定型海绵，回弹力35%以上，坐感舒适；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3、榉木实木框架无贯通裂缝材；无虫蛀。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4、脚架：金属椅脚，静电粉末喷涂，漆面均匀，无划痕。焊接部分连接牢固，焊点光滑平整。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5、其它：座面及背面对称度≤3mm；相同扶手对称度≤4mm;围边对称度≤2mm；面料的包覆应平服饱满无明显皱折及对称工艺皱折线条应对称均匀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6、螺丝：长久使用不会松退，不会发出响声。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7、胶水：环保胶水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8、配置2个抱枕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长茶几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912495" cy="804545"/>
                  <wp:effectExtent l="0" t="0" r="1905" b="5080"/>
                  <wp:docPr id="30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1375*700*500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张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1、桌面：厚度25mm，饰面定向架构刨花板，所有材料均经过防虫、防蛀处理。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3、桌脚采用冷轧钢板冲压成型，壁厚≥2.0mm，静电粉末喷涂，漆面均匀，无划痕。焊接部分连接牢固，焊点光滑平整。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4人洽谈桌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木制品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963930" cy="981710"/>
                  <wp:effectExtent l="0" t="0" r="7620" b="8890"/>
                  <wp:docPr id="4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1400*950*750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6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张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由实木、五金等构成。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桌面基材：多层板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面材：木皮饰面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桌脚：实木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油漆：水性漆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1、桌面：基材采用实木多层板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，</w:t>
            </w: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甲醛释放量≤0.025mg/m³；表面采用优质木皮贴面，纹理自然高档、防污、耐冲击、耐磨性强，无节疤、腐朽、裂纹、虫眼、夹皮、变色等缺陷，无色差基材，承重力强，稳定性好。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2、桌脚：采用白蜡实木，含水率≤9%，经高温烘烤，防虫、防霉变；表面采用水性清漆处理，抗磨花能力强、防水性能好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3、油漆：采用环保水性漆，表面平整，无明显颗粒、渣点，颜色均匀，硬度高，耐磨性强，能长久保持漆面效果；封闭底着色油漆工艺，经四底两面，清晰体现实木质感。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4、胶水：环保胶水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6人洽谈桌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木制品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1028065" cy="775335"/>
                  <wp:effectExtent l="0" t="0" r="635" b="5715"/>
                  <wp:docPr id="46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2150*950*750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11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张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由实木、五金等构成。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桌面基材：多层板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面材：木皮饰面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桌脚：实木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油漆：水性漆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1、桌面：基材采用实木多层板，甲醛释放量≤0.025mg/m³；表面采用优质木皮贴面，纹理自然高档、防污、耐冲击、耐磨性强，无节疤、腐朽、裂纹、虫眼、夹皮、变色等缺陷，无色差基材，承重力强，稳定性好。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2、桌脚：采用白蜡实木，含水率≤9%，经高温烘烤，防虫、防霉变；表面采用水性清漆处理，抗磨花能力强、防水性能好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3、油漆：采用环保水性漆，表面平整，无明显颗粒、渣点，颜色均匀，硬度高，耐磨性强，能长久保持漆面效果；封闭底着色油漆工艺，经四底两面，清晰体现实木质感。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4、胶水：环保胶水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6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洽谈椅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四脚椅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662305" cy="814705"/>
                  <wp:effectExtent l="0" t="0" r="4445" b="4445"/>
                  <wp:docPr id="4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highlight w:val="none"/>
                <w:lang w:eastAsia="zh-CN"/>
              </w:rPr>
              <w:t>520*550*780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90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把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实木靠背、软包坐垫、实木椅架等组成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椅架：实木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椅脚：实木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油漆：水性漆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覆面：皮革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填充：海绵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1、椅架：采用白蜡实木，含水率≤9%，经高温烘烤，防虫、防霉变；表面采用水性清漆处理，抗磨花能力强、防水性能好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2、油漆：采用环保水性漆，表面平整，无明显颗粒、渣点，颜色均匀，硬度高，耐磨性强，能长久保持漆面效果；封闭底着色油漆工艺，经四底两面，清晰体现实木质感。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3、座垫面料：采用有机硅皮革，色牢度≥4级，气味≤2级，抗张强度≥8，断裂伸长率≥76%，禁用偶氮染料（24种）。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4、座垫内部填充物：采用高密度定型海绵，回弹力35%以上；内置≥12mm厚度曲木板，坐感舒适。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5、胶水：环保胶水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90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2"/>
                <w:highlight w:val="none"/>
                <w:lang w:eastAsia="zh-CN"/>
              </w:rPr>
              <w:t>27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长座凳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木制品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1017905" cy="744855"/>
                  <wp:effectExtent l="0" t="0" r="1270" b="7620"/>
                  <wp:docPr id="54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74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2400*800*360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组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1、木质部分：饰面定向架构刨花板，所有材料均经过防虫、防蛀处理。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3、凳面厚度≥25mm，整体结构牢固，需同时承重多人。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4、下部180mm需缩进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5、五金配件：三合一连接件；安装完毕后，整体结构牢固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11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2"/>
                <w:highlight w:val="none"/>
                <w:lang w:eastAsia="zh-CN"/>
              </w:rPr>
              <w:t>28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小边几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541020" cy="889000"/>
                  <wp:effectExtent l="0" t="0" r="1905" b="6350"/>
                  <wp:docPr id="5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300*450*550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6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张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spacing w:line="240" w:lineRule="exact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1、桌面：厚度25mm，饰面定向架构刨花板，所有材料均经过防虫、防蛀处理。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3、桌脚桌架采用φ40*T2.0mm圆管，底脚钢板厚度≥10mm，静电粉末喷涂，漆面均匀，无划痕。焊接部分连接牢固，焊点光滑平整。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99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2"/>
                <w:highlight w:val="none"/>
                <w:lang w:eastAsia="zh-CN"/>
              </w:rPr>
              <w:t>29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吧台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木制品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1070610" cy="486410"/>
                  <wp:effectExtent l="0" t="0" r="5715" b="8890"/>
                  <wp:docPr id="6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吧台：4650*1000*900                                           石台：800*800*1050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套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由木板、大理石、五金等构成。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石台：大理石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1、木质部分：饰面定向架构刨花板，所有材料均经过防虫、防蛀处理。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3、台面及脚板厚度≥50mm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4、大理石台内嵌入桌体，拼接处平整无缝隙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5、五金配件：三合一连接件；安装完毕后，整体结构牢固。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3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吧椅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吧椅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599440" cy="877570"/>
                  <wp:effectExtent l="0" t="0" r="635" b="8255"/>
                  <wp:docPr id="6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highlight w:val="none"/>
                <w:lang w:eastAsia="zh-CN"/>
              </w:rPr>
              <w:t>480*520*1120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20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把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靠背、软包坐垫、钢制椅架等组成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椅架：金属脚架，PP材料—次注塑成型背框及座板底壳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覆面：皮革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填充：海绵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1、背框连体坐垫靠背：PP材质，撑腰设计，坐垫呈瓦片状设计，坐感舒适不易滑动，整体曲线顺滑，符合人体工学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2、椅架：采用≥Φ22*2.0mm圆管，加高加固，硬度大，韧性好，静电粉末喷涂，漆面均匀，无划痕。焊接部分连接牢固，焊点光滑平整。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3、座垫面料：采用有机硅皮革，色牢度≥4级，气味≤2级，抗张强度≥8，断裂伸长率≥76%，禁用偶氮染料（24种）。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4、座垫内部填充物：采用高密度定型海绵，回弹力35%以上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5、螺丝：长久使用不会松退，不会发出响声。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、尼龙脚钉：无毛刺，坚固耐用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6、胶水：环保胶水。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176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3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书架1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木制品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917575" cy="645795"/>
                  <wp:effectExtent l="0" t="0" r="6350" b="1905"/>
                  <wp:docPr id="6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2400*400*2200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组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铰链、连接件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1、木质部分：饰面定向架构刨花板，所有材料均经过防虫、防蛀处理。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3、上部4层开放式展示空间，下部储物空间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4、五金配件：铰链、三合一连接件；安装完毕后，整体结构牢固。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71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3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书架2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木制品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790575" cy="643890"/>
                  <wp:effectExtent l="0" t="0" r="0" b="3810"/>
                  <wp:docPr id="6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1000*400*900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20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套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1、木质部分：饰面定向架构刨花板，所有材料均经过防虫、防蛀处理。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3、合理设计储物架，分4格；下部设计踢脚线。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4、五金配件：三合一连接件；安装完毕后，整体结构牢固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6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3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木质屏风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木制品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769620" cy="895350"/>
                  <wp:effectExtent l="0" t="0" r="1905" b="0"/>
                  <wp:docPr id="6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W1200*H2200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16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套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基材：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高密度纤维板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油漆：水性漆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1、基材采用高密度纤维板，甲醛释放量≤0.025mg/m³。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2、油漆：采用环保水性漆，表面平整，无明显颗粒、渣点，颜色均匀，硬度高，耐磨性强，能长久保持漆面效果；封闭底着色油漆工艺，经四底两面，清晰体现实木质感。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3、设计感强，半遮挡效果，多块组合后可形成整体感，原木风格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4、胶水：环保胶水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3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木质卡座1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木制品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1145540" cy="247650"/>
                  <wp:effectExtent l="0" t="0" r="6985" b="0"/>
                  <wp:docPr id="66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W7300*D400*H170/400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组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rPr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连接件</w:t>
            </w:r>
          </w:p>
          <w:p>
            <w:pPr>
              <w:pStyle w:val="11"/>
              <w:rPr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覆面：皮革</w:t>
            </w:r>
          </w:p>
          <w:p>
            <w:pPr>
              <w:pStyle w:val="11"/>
              <w:rPr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填充：海绵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1、木质部分：饰面定向架构刨花板，所有材料均经过防虫、防蛀处理。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3、座垫面料：采用有机硅皮革，色牢度≥4级，气味≤2级，抗张强度≥8，断裂伸长率≥76%，禁用偶氮染料（24种）。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4、座垫内部填充物：采用高密度定型海绵，回弹力35%以上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5、合理设计储物架及阶梯凳面，储物架上部可坐人，凳面及储物架上部需软包。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6、五金配件：三合一连接件；安装完毕后，整体结构牢固。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83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3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木质卡座2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木制品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1101090" cy="448945"/>
                  <wp:effectExtent l="0" t="0" r="3810" b="8255"/>
                  <wp:docPr id="67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W6000*D1020*H400/1200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组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rPr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连接件</w:t>
            </w:r>
          </w:p>
          <w:p>
            <w:pPr>
              <w:pStyle w:val="11"/>
              <w:rPr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覆面：皮革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填充：海绵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1、木质部分：饰面定向架构刨花板，所有材料均经过防虫、防蛀处理。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3、座垫面料：采用有机硅皮革，色牢度≥4级，气味≤2级，抗张强度≥8，断裂伸长率≥76%，禁用偶氮染料（24种）。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4、座垫内部填充物：采用高密度定型海绵，回弹力35%以上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5、合理设计储物架及3阶阶梯凳面，储物架空间≥2830*570*800mm，储物架上部可坐人，凳面及储物架上部需软包。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6、五金配件：三合一连接件；安装完毕后，整体结构牢固。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3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6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木质卡座3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木制品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1099820" cy="562610"/>
                  <wp:effectExtent l="0" t="0" r="5080" b="8890"/>
                  <wp:docPr id="6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W6000*D1050*H450/1350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组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rPr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</w:t>
            </w: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连接件</w:t>
            </w:r>
          </w:p>
          <w:p>
            <w:pPr>
              <w:pStyle w:val="11"/>
              <w:rPr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覆面：皮革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填充：海绵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1、木质部分：饰面定向架构刨花板，所有材料均经过防虫、防蛀处理。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3、座垫面料：采用有机硅皮革，色牢度≥4级，气味≤2级，抗张强度≥8，断裂伸长率≥76%，禁用偶氮染料（24种）。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4、座垫内部填充物：采用高密度定型海绵，回弹力35%以上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5、合理设计储物架及3阶阶梯凳面，储物架空间≥3700*600*450mm，储物架上部可坐人，凳面及储物架上部需软包。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6、五金配件：三合一连接件；安装完毕后，整体结构牢固。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auto"/>
                <w:kern w:val="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2"/>
                <w:highlight w:val="none"/>
                <w:lang w:eastAsia="zh-CN"/>
              </w:rPr>
              <w:t>37</w:t>
            </w:r>
          </w:p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移动条桌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1082040" cy="974725"/>
                  <wp:effectExtent l="0" t="0" r="3810" b="6350"/>
                  <wp:docPr id="6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highlight w:val="none"/>
              </w:rPr>
              <w:t>1200*500*750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24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张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基材：高密度板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底脚：铝合金压铸件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厚度22mm，黄石纹色，前沿为大斜边工艺，其余三边为平边，无封边条，桌面上开长度200mm笔槽，基材无外露，四角导圆；高密度纤维板材料表面经过MDF静电粉未涂装或同等性能要求材料制作，环保达到ENF级要求，抗细菌性能达I级，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2、托臂：异形钢制托臂，长度≥365mm，最宽宽度≥50mm，最窄宽度≥35mm，高度≥43mm，厚度≥2.0mm，静电粉末喷涂，漆面均匀，无划痕。焊接部分连接牢固，焊点光滑平整。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3、托臂防尘罩：PP材质，防尘美观，长度≥385mm，宽度≥73mm，高度≥60mm；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4、中间梁为≥20*40*T1.4mm方管，连动杆为≥12*12mm铝型材，下连接杆为≥25*50*T1.6mm椭圆管；表面喷涂。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5、立柱：采用≥30*60*T1.8mm椭圆钢管；表面喷涂，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6、底脚：铝合金压铸件底脚，一次成型，两端采用圆弧设计，防撞人，底脚跨度≥500mm，倾斜角度≥120度，高度≥180mm；铝合金压铸件表面喷涂，膜层抗压痕性≥80，低倍组织中的断口组织要求符合国家标准。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7、前挡板：采用≥1.5mm厚冷轧钢板，四角导圆，联动翻转机构；表面喷涂。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8、书网：异形PP塑胶材质吊码与桌面连接，吊码上部宽≥150mm，下部宽≥200mm，高度≥120mm；底部4根钢制圆管，美观大方；钢制部分表面喷涂。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9、带折叠功能，翻转扳手：PP材质，与托臂防尘罩相连接，使用方便、顺滑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10、前面带2个静音刹车脚轮，后面带2个固定脚钉，便于搬动；脚轮的冲击性、动载荷、静载荷均符合国标。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11、配备桌面水平调节装置。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12、样品颜色：钢制部分砂白色，木质部分黄石纹色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2"/>
                <w:highlight w:val="none"/>
                <w:lang w:eastAsia="zh-CN"/>
              </w:rPr>
              <w:t>38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梯形桌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815340" cy="1247140"/>
                  <wp:effectExtent l="0" t="0" r="3810" b="635"/>
                  <wp:docPr id="70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W751/275*D500*H750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48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张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1、桌面：厚度25mm，饰面定向架构刨花板，所有材料均经过防虫、防蛀处理。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3、桌脚采用φ45*T1.8mm圆管，桌下四周加强结构采用25*50*T1.5mm钢管，静电粉末喷涂，漆面均匀，无划痕。焊接部分连接牢固，焊点光滑平整。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4、连接杆与桌脚采用铝合金压铸件万向接口连接。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5、每6张可拼接成正六边形，拼接处整齐无高低，配置水平调节装置；调节脚钉。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kern w:val="2"/>
                <w:highlight w:val="none"/>
                <w:lang w:eastAsia="zh-CN"/>
              </w:rPr>
              <w:t>39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六边形桌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</w:rPr>
              <w:drawing>
                <wp:inline distT="0" distB="0" distL="114300" distR="114300">
                  <wp:extent cx="823595" cy="1025525"/>
                  <wp:effectExtent l="0" t="0" r="5080" b="3175"/>
                  <wp:docPr id="71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275*546*750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8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张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1、桌面：厚度25mm，饰面定向架构刨花板，所有材料均经过防虫、防蛀处理。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3、桌脚采用φ45*T1.8mm圆管，桌下四周加强结构采用25*50*T1.5mm钢管，静电粉末喷涂，漆面均匀，无划痕。焊接部分连接牢固，焊点光滑平整。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4、连接杆与桌脚采用铝合金压铸件万向接口连接。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5、可无缝接入大六边形桌中部，拼接处整齐无高低，配置水平调节装置；调节脚钉。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16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课椅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四脚椅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highlight w:val="none"/>
              </w:rPr>
              <w:drawing>
                <wp:inline distT="0" distB="0" distL="114300" distR="114300">
                  <wp:extent cx="732790" cy="1033780"/>
                  <wp:effectExtent l="0" t="0" r="635" b="4445"/>
                  <wp:docPr id="7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highlight w:val="none"/>
              </w:rPr>
              <w:t>500*515*845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119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把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四脚结构、由靠背、软包坐垫等组成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椅架：金属脚架，全尼龙材料—次注塑成型背框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覆面：皮革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填充：海绵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衬板：弯曲木胶合板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1、背框：高强度尼龙材质，横向中部前突，纵向中部凹进，整体曲线顺滑，符合人体工学；表面有条状纹路，柔韧度高，受撞击能力强度强，时尚美观；有害物质限量符合GB 28481《塑料家具中有害物质限量》的要求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2、靠背配置自适应人体重量调整角度的倾仰功能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3、椅架：采用≥Φ22*2.0mm圆管，硬度大，韧性好，静电粉末喷涂，漆面均匀，无划痕。焊接部分连接牢固，焊点光滑平整。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4、座垫面料：采用有机硅皮革，色牢度≥4级，气味≤2级，抗张强度≥8，断裂伸长率≥76%，禁用偶氮染料（24种）。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5、座垫内部填充物：采用高密度定型海绵，回弹力35%以上；内置≥12mm厚度曲木板。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6、螺丝：长久使用不会松退，不会发出响声。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7、尼龙脚钉：无毛刺，坚固耐用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8、胶水：环保胶水。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auto"/>
                <w:highlight w:val="none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1</w:t>
            </w:r>
          </w:p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三人活动课桌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钢木结构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443990" cy="1092200"/>
                  <wp:effectExtent l="0" t="0" r="3810" b="3175"/>
                  <wp:docPr id="7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1800*500*750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highlight w:val="none"/>
                <w:lang w:eastAsia="zh-CN" w:bidi="ar"/>
              </w:rPr>
              <w:t>391</w:t>
            </w:r>
            <w:r>
              <w:rPr>
                <w:rFonts w:hint="eastAsia" w:ascii="宋体" w:hAnsi="宋体" w:cs="宋体"/>
                <w:b/>
                <w:bCs/>
                <w:color w:val="auto"/>
                <w:highlight w:val="none"/>
                <w:lang w:eastAsia="zh-CN" w:bidi="ar"/>
              </w:rPr>
              <w:t>张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由木板、五金等构成。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基材：刨花板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面材：浸渍胶膜纸饰面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封边：PVC(聚氯乙烯树脂)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桌架：钢制</w:t>
            </w:r>
          </w:p>
          <w:p>
            <w:pPr>
              <w:pStyle w:val="11"/>
              <w:spacing w:before="78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涂饰：喷粉</w:t>
            </w:r>
          </w:p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五金件：连接件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1、桌面：厚度25mm，饰面定向架构刨花板，所有材料均经过防虫、防蛀处理。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2、采用≥1.5mm同色封边条，无胶线工艺，环保胶水。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3、桌脚采用φ45*1.8mm圆管，配置5根桌脚，桌下四周加强结构采用25*50*T1.5mm钢管，静电粉末喷涂，漆面均匀，无划痕。焊接部分连接牢固，焊点光滑平整。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4、连接杆与桌脚采用铝合金压铸件万向接口连接。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5、前挡板：采用≥1.5mm厚冷轧钢板，高度400mm，下部导R30安全角，下部边沿上来50mm处折弯，折弯处上部冲3排60*8mm长条孔，静电粉末喷涂，漆面均匀，无划痕。焊接部分连接牢固，焊点光滑平整。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6、书网：异形PP塑胶材质吊码与桌面连接，吊码上部宽≥150mm，下部宽≥200mm，高度≥120mm；底部4根钢制圆管，美观大方；钢制部分表面喷涂。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7、前脚配置静音刹车脚轮，后脚配置调节脚钉，便于搬动；脚轮的冲击性、动载荷、静载荷均符合国标。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8、样品颜色：钢制部分砂白色，木质部分白色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38" w:hRule="atLeast"/>
        </w:trPr>
        <w:tc>
          <w:tcPr>
            <w:tcW w:w="39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4</w:t>
            </w:r>
            <w:r>
              <w:rPr>
                <w:rFonts w:hint="eastAsia" w:ascii="宋体" w:hAnsi="宋体" w:cs="宋体"/>
                <w:color w:val="auto"/>
                <w:highlight w:val="none"/>
                <w:lang w:eastAsia="zh-CN" w:bidi="ar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学生椅</w:t>
            </w:r>
          </w:p>
        </w:tc>
        <w:tc>
          <w:tcPr>
            <w:tcW w:w="400" w:type="dxa"/>
            <w:vAlign w:val="center"/>
          </w:tcPr>
          <w:p>
            <w:pPr>
              <w:pStyle w:val="11"/>
              <w:spacing w:before="129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四脚椅</w:t>
            </w:r>
          </w:p>
        </w:tc>
        <w:tc>
          <w:tcPr>
            <w:tcW w:w="1833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31240" cy="833120"/>
                  <wp:effectExtent l="0" t="0" r="6985" b="5080"/>
                  <wp:docPr id="7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-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highlight w:val="none"/>
                <w:lang w:eastAsia="zh-CN" w:bidi="ar"/>
              </w:rPr>
              <w:t>510*560*850</w:t>
            </w:r>
          </w:p>
        </w:tc>
        <w:tc>
          <w:tcPr>
            <w:tcW w:w="754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color w:val="auto"/>
                <w:spacing w:val="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highlight w:val="none"/>
                <w:lang w:eastAsia="zh-CN" w:bidi="ar"/>
              </w:rPr>
              <w:t>1180</w:t>
            </w:r>
            <w:r>
              <w:rPr>
                <w:rFonts w:hint="eastAsia" w:ascii="宋体" w:hAnsi="宋体" w:cs="宋体"/>
                <w:b/>
                <w:bCs/>
                <w:color w:val="auto"/>
                <w:highlight w:val="none"/>
                <w:lang w:eastAsia="zh-CN" w:bidi="ar"/>
              </w:rPr>
              <w:t>把</w:t>
            </w:r>
          </w:p>
        </w:tc>
        <w:tc>
          <w:tcPr>
            <w:tcW w:w="1042" w:type="dxa"/>
            <w:vAlign w:val="center"/>
          </w:tcPr>
          <w:p>
            <w:pPr>
              <w:pStyle w:val="11"/>
              <w:spacing w:before="76"/>
              <w:ind w:right="268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四脚结构、由靠背、坐垫等组成</w:t>
            </w:r>
          </w:p>
        </w:tc>
        <w:tc>
          <w:tcPr>
            <w:tcW w:w="1496" w:type="dxa"/>
            <w:vAlign w:val="center"/>
          </w:tcPr>
          <w:p>
            <w:pPr>
              <w:pStyle w:val="11"/>
              <w:rPr>
                <w:color w:val="auto"/>
                <w:spacing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椅架：金属脚架，PP材料—次注塑成型背框及底壳</w:t>
            </w:r>
          </w:p>
        </w:tc>
        <w:tc>
          <w:tcPr>
            <w:tcW w:w="5777" w:type="dxa"/>
            <w:vAlign w:val="center"/>
          </w:tcPr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1、背框连体坐垫靠背：PP材质，整体简洁设计，靠背腰部加宽且前突，撑腰设计，坐垫呈瓦片状，坐感舒适不易滑动，整体曲线顺滑，符合人体工学；整体座背长度≥480mm，宽度≥460mm，高度≥470mm。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2、椅架：采用≥Φ16*2.0mm圆管，左右两侧各加1根加强横梁，硬度大，韧性好，静电粉末喷涂，漆面均匀，无划痕。焊接部分连接牢固，焊点光滑平整。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3、螺丝：防滑耐落螺丝，长久使用不会松退，不会发出响声。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4、尼龙脚钉：圆锥形旋转脚钉，使产品处于水平状态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 w:hAnsi="宋体"/>
                <w:color w:val="auto"/>
                <w:spacing w:val="4"/>
                <w:sz w:val="21"/>
                <w:szCs w:val="21"/>
                <w:highlight w:val="none"/>
              </w:rPr>
              <w:t>5、多种颜色可选，可堆叠节省空间。</w:t>
            </w:r>
          </w:p>
          <w:p>
            <w:pPr>
              <w:pStyle w:val="13"/>
              <w:jc w:val="both"/>
              <w:rPr>
                <w:rFonts w:hAnsi="宋体"/>
                <w:color w:val="auto"/>
                <w:spacing w:val="4"/>
                <w:sz w:val="21"/>
                <w:szCs w:val="21"/>
                <w:highlight w:val="none"/>
              </w:rPr>
            </w:pPr>
          </w:p>
        </w:tc>
      </w:tr>
    </w:tbl>
    <w:p>
      <w:pPr>
        <w:pStyle w:val="2"/>
        <w:spacing w:before="81" w:line="360" w:lineRule="auto"/>
        <w:outlineLvl w:val="0"/>
        <w:rPr>
          <w:color w:val="auto"/>
          <w:sz w:val="21"/>
          <w:szCs w:val="21"/>
          <w:highlight w:val="none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color w:val="auto"/>
          <w:highlight w:val="none"/>
          <w:lang w:eastAsia="zh-CN"/>
        </w:rPr>
        <w:sectPr>
          <w:pgSz w:w="16838" w:h="11906" w:orient="landscape"/>
          <w:pgMar w:top="1440" w:right="1080" w:bottom="1440" w:left="1080" w:header="0" w:footer="0" w:gutter="0"/>
          <w:cols w:space="720" w:num="1"/>
        </w:sectPr>
      </w:pPr>
    </w:p>
    <w:p>
      <w:pPr>
        <w:spacing w:before="123"/>
        <w:outlineLvl w:val="6"/>
        <w:rPr>
          <w:rFonts w:ascii="宋体" w:hAnsi="宋体" w:eastAsia="宋体" w:cs="宋体"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highlight w:val="none"/>
          <w:lang w:eastAsia="zh-CN"/>
        </w:rPr>
        <w:t>四、检测报告</w:t>
      </w:r>
      <w:bookmarkStart w:id="5" w:name="_GoBack"/>
      <w:bookmarkEnd w:id="5"/>
      <w:r>
        <w:rPr>
          <w:rFonts w:hint="eastAsia" w:ascii="宋体" w:hAnsi="宋体" w:eastAsia="宋体" w:cs="宋体"/>
          <w:b/>
          <w:bCs/>
          <w:color w:val="auto"/>
          <w:highlight w:val="none"/>
          <w:lang w:eastAsia="zh-CN"/>
        </w:rPr>
        <w:t>要求</w:t>
      </w:r>
    </w:p>
    <w:p>
      <w:pPr>
        <w:pStyle w:val="2"/>
        <w:spacing w:before="315"/>
        <w:rPr>
          <w:rFonts w:asciiTheme="minorEastAsia" w:hAnsiTheme="minorEastAsia" w:eastAsiaTheme="minorEastAsia" w:cstheme="minorEastAsia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highlight w:val="none"/>
          <w:lang w:eastAsia="zh-CN"/>
        </w:rPr>
        <w:t>本项目采用的材料需符合以下要求：</w:t>
      </w:r>
    </w:p>
    <w:p>
      <w:pPr>
        <w:pStyle w:val="8"/>
        <w:spacing w:line="300" w:lineRule="auto"/>
        <w:ind w:firstLine="0" w:firstLineChars="0"/>
        <w:rPr>
          <w:rFonts w:asciiTheme="minorEastAsia" w:hAnsiTheme="minorEastAsia" w:cstheme="minorEastAsia"/>
          <w:color w:val="auto"/>
          <w:szCs w:val="21"/>
          <w:highlight w:val="none"/>
          <w:lang w:eastAsia="zh-CN"/>
        </w:rPr>
      </w:pPr>
      <w:r>
        <w:rPr>
          <w:rFonts w:hint="eastAsia" w:asciiTheme="minorEastAsia" w:hAnsiTheme="minorEastAsia" w:cstheme="minorEastAsia"/>
          <w:color w:val="auto"/>
          <w:szCs w:val="21"/>
          <w:highlight w:val="none"/>
          <w:lang w:eastAsia="zh-CN"/>
        </w:rPr>
        <w:t>1、原材料检测报告要求【提供检测报告（含有CMA认证）</w:t>
      </w:r>
      <w:r>
        <w:rPr>
          <w:rFonts w:hint="default" w:asciiTheme="minorEastAsia" w:hAnsiTheme="minorEastAsia" w:cstheme="minorEastAsia"/>
          <w:color w:val="auto"/>
          <w:szCs w:val="21"/>
          <w:highlight w:val="non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auto"/>
          <w:szCs w:val="21"/>
          <w:highlight w:val="none"/>
          <w:lang w:eastAsia="zh-CN"/>
        </w:rPr>
        <w:t>。检测报告签发时间不早于 2023年</w:t>
      </w:r>
      <w:r>
        <w:rPr>
          <w:rFonts w:hint="eastAsia" w:asciiTheme="minorEastAsia" w:hAnsiTheme="minorEastAsia" w:cstheme="minorEastAsia"/>
          <w:color w:val="auto"/>
          <w:szCs w:val="21"/>
          <w:highlight w:val="none"/>
          <w:lang w:val="en-US" w:eastAsia="zh-CN"/>
        </w:rPr>
        <w:t>7</w:t>
      </w:r>
      <w:r>
        <w:rPr>
          <w:rFonts w:hint="eastAsia" w:asciiTheme="minorEastAsia" w:hAnsiTheme="minorEastAsia" w:cstheme="minorEastAsia"/>
          <w:color w:val="auto"/>
          <w:szCs w:val="21"/>
          <w:highlight w:val="none"/>
          <w:lang w:eastAsia="zh-CN"/>
        </w:rPr>
        <w:t>月1日】。</w:t>
      </w:r>
    </w:p>
    <w:p>
      <w:pPr>
        <w:textAlignment w:val="center"/>
        <w:rPr>
          <w:rFonts w:asciiTheme="minorEastAsia" w:hAnsiTheme="minorEastAsia" w:cstheme="minorEastAsia"/>
          <w:bCs/>
          <w:color w:val="auto"/>
          <w:highlight w:val="none"/>
          <w:lang w:eastAsia="zh-CN"/>
        </w:rPr>
      </w:pP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（1）静电喷粉板(家具用)：检测依据GB/T3324、GB/T39600、HJ571；检测内容包含：漆膜理化性能、甲醛释放量≤0.025mg/m³、总挥发性有机化合物(TVOC)的释放率，检测结果要求合格</w:t>
      </w:r>
    </w:p>
    <w:p>
      <w:pPr>
        <w:textAlignment w:val="center"/>
        <w:rPr>
          <w:rFonts w:asciiTheme="minorEastAsia" w:hAnsiTheme="minorEastAsia" w:cstheme="minorEastAsia"/>
          <w:bCs/>
          <w:color w:val="auto"/>
          <w:highlight w:val="none"/>
          <w:lang w:eastAsia="zh-CN"/>
        </w:rPr>
      </w:pP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（2）饰面刨花板(家具用)：检测依据GB/T3324、GB/T39600、HJ571；检测内容包含：软、硬质覆面理化性能、甲醛释放量≤0.025mg/m³、总挥发性有机化合物(TVOC)的释放率，检测结果要求合格</w:t>
      </w:r>
    </w:p>
    <w:p>
      <w:pPr>
        <w:textAlignment w:val="center"/>
        <w:rPr>
          <w:rFonts w:asciiTheme="minorEastAsia" w:hAnsiTheme="minorEastAsia" w:cstheme="minorEastAsia"/>
          <w:bCs/>
          <w:color w:val="auto"/>
          <w:highlight w:val="none"/>
          <w:lang w:eastAsia="zh-CN"/>
        </w:rPr>
      </w:pP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（3）高密度纤维板：GB/T 31765、GB/T39600、GB/T 35601；检测内容包含：外观质量、密度、板内密度偏差、含水率、吸水厚度膨胀率≤6</w:t>
      </w:r>
      <w:r>
        <w:rPr>
          <w:rFonts w:asciiTheme="minorEastAsia" w:hAnsiTheme="minorEastAsia" w:cstheme="minorEastAsia"/>
          <w:bCs/>
          <w:color w:val="auto"/>
          <w:highlight w:val="none"/>
          <w:lang w:eastAsia="zh-CN"/>
        </w:rPr>
        <w:t>%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、甲醛释放量≤0.025mg/m³、挥发性有机化合物（72h）-苯、甲苯、二甲苯、TVOC，检测结果要求合格。</w:t>
      </w:r>
    </w:p>
    <w:p>
      <w:pPr>
        <w:textAlignment w:val="center"/>
        <w:rPr>
          <w:rFonts w:hint="default" w:asciiTheme="minorEastAsia" w:hAnsiTheme="minorEastAsia" w:cstheme="minorEastAsia"/>
          <w:bCs/>
          <w:color w:val="auto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（4）钢管：检测依据GB/T 3325、GB/T 35607；检测内容包含：金属喷漆（塑）涂层的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val="en-US" w:eastAsia="zh-CN"/>
        </w:rPr>
        <w:t>冲击强度、耐腐蚀、附着力、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硬度≥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val="en-US" w:eastAsia="zh-CN"/>
        </w:rPr>
        <w:t>3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H，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val="en-US" w:eastAsia="zh-CN"/>
        </w:rPr>
        <w:t>产品有害物质-家具涂层可迁移元素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，检测结果要求合格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val="en-US" w:eastAsia="zh-CN"/>
        </w:rPr>
        <w:t>。</w:t>
      </w:r>
    </w:p>
    <w:p>
      <w:pPr>
        <w:textAlignment w:val="center"/>
        <w:rPr>
          <w:rFonts w:asciiTheme="minorEastAsia" w:hAnsiTheme="minorEastAsia" w:cstheme="minorEastAsia"/>
          <w:bCs/>
          <w:color w:val="auto"/>
          <w:highlight w:val="none"/>
          <w:lang w:eastAsia="zh-CN"/>
        </w:rPr>
      </w:pP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（5）铝合金压铸件：检测依据GB/T 6892、GB/T 5237.4、GB/T 3325；检测内容包含：膜层性能-压痕硬度（</w:t>
      </w:r>
      <w:r>
        <w:rPr>
          <w:rFonts w:hint="eastAsia" w:asciiTheme="minorEastAsia" w:hAnsiTheme="minorEastAsia" w:cstheme="minorEastAsia"/>
          <w:color w:val="auto"/>
          <w:highlight w:val="none"/>
          <w:lang w:eastAsia="zh-CN"/>
        </w:rPr>
        <w:t>≥80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）、低倍组织-断口组织、金属喷塑涂层耐腐蚀性，检测结果要求合格</w:t>
      </w:r>
    </w:p>
    <w:p>
      <w:pPr>
        <w:textAlignment w:val="center"/>
        <w:rPr>
          <w:rFonts w:asciiTheme="minorEastAsia" w:hAnsiTheme="minorEastAsia" w:cstheme="minorEastAsia"/>
          <w:bCs/>
          <w:color w:val="auto"/>
          <w:highlight w:val="none"/>
          <w:lang w:eastAsia="zh-CN"/>
        </w:rPr>
      </w:pP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（6）尼龙背框：检测依据GB 28481，检测内容包含：邻苯二甲酸酯（DBP、BBP、DEHP、DNOP、DINP、DIDP）、重金属（可溶性铅、可溶性镉、可溶性铬、可溶性汞），检测结果要求合格。</w:t>
      </w:r>
    </w:p>
    <w:p>
      <w:pPr>
        <w:textAlignment w:val="center"/>
        <w:rPr>
          <w:rFonts w:asciiTheme="minorEastAsia" w:hAnsiTheme="minorEastAsia" w:cstheme="minorEastAsia"/>
          <w:bCs/>
          <w:color w:val="auto"/>
          <w:highlight w:val="none"/>
          <w:lang w:eastAsia="zh-CN"/>
        </w:rPr>
      </w:pP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（7）海绵：检测依据G</w:t>
      </w:r>
      <w:r>
        <w:rPr>
          <w:rFonts w:asciiTheme="minorEastAsia" w:hAnsiTheme="minorEastAsia" w:cstheme="minorEastAsia"/>
          <w:bCs/>
          <w:color w:val="auto"/>
          <w:highlight w:val="none"/>
          <w:lang w:eastAsia="zh-CN"/>
        </w:rPr>
        <w:t>B/T 10802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、</w:t>
      </w:r>
      <w:r>
        <w:rPr>
          <w:rFonts w:asciiTheme="minorEastAsia" w:hAnsiTheme="minorEastAsia" w:cstheme="minorEastAsia"/>
          <w:bCs/>
          <w:color w:val="auto"/>
          <w:highlight w:val="none"/>
          <w:lang w:eastAsia="zh-CN"/>
        </w:rPr>
        <w:t>GB 8624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，检测内容包含：回弹率≥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val="en-US" w:eastAsia="zh-CN"/>
        </w:rPr>
        <w:t>35</w:t>
      </w:r>
      <w:r>
        <w:rPr>
          <w:rFonts w:asciiTheme="minorEastAsia" w:hAnsiTheme="minorEastAsia" w:cstheme="minorEastAsia"/>
          <w:bCs/>
          <w:color w:val="auto"/>
          <w:highlight w:val="none"/>
          <w:lang w:eastAsia="zh-CN"/>
        </w:rPr>
        <w:t>%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、拉伸强度≥100kPa、断裂伸长率≥</w:t>
      </w:r>
      <w:r>
        <w:rPr>
          <w:rFonts w:asciiTheme="minorEastAsia" w:hAnsiTheme="minorEastAsia" w:cstheme="minorEastAsia"/>
          <w:bCs/>
          <w:color w:val="auto"/>
          <w:highlight w:val="none"/>
          <w:lang w:eastAsia="zh-CN"/>
        </w:rPr>
        <w:t>150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%、75%压缩永久变形≤</w:t>
      </w:r>
      <w:r>
        <w:rPr>
          <w:rFonts w:asciiTheme="minorEastAsia" w:hAnsiTheme="minorEastAsia" w:cstheme="minorEastAsia"/>
          <w:bCs/>
          <w:color w:val="auto"/>
          <w:highlight w:val="none"/>
          <w:lang w:eastAsia="zh-CN"/>
        </w:rPr>
        <w:t>6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%、甲醛散发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val="en-US" w:eastAsia="zh-CN"/>
        </w:rPr>
        <w:t>≤5mg/kg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、燃烧性能等级为B1级，检测结果要求合格。</w:t>
      </w:r>
    </w:p>
    <w:p>
      <w:pPr>
        <w:textAlignment w:val="center"/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</w:pP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（8）封边条：检测依据</w:t>
      </w:r>
      <w:r>
        <w:rPr>
          <w:rFonts w:asciiTheme="minorEastAsia" w:hAnsiTheme="minorEastAsia" w:cstheme="minorEastAsia"/>
          <w:bCs/>
          <w:color w:val="auto"/>
          <w:highlight w:val="none"/>
          <w:lang w:eastAsia="zh-CN"/>
        </w:rPr>
        <w:t>QB/T 4463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、</w:t>
      </w:r>
      <w:r>
        <w:rPr>
          <w:rFonts w:asciiTheme="minorEastAsia" w:hAnsiTheme="minorEastAsia" w:cstheme="minorEastAsia"/>
          <w:bCs/>
          <w:color w:val="auto"/>
          <w:highlight w:val="none"/>
          <w:lang w:eastAsia="zh-CN"/>
        </w:rPr>
        <w:t>GB 8624</w:t>
      </w:r>
      <w:r>
        <w:rPr>
          <w:rFonts w:hint="eastAsia" w:asciiTheme="minorEastAsia" w:hAnsiTheme="minorEastAsia" w:cstheme="minorEastAsia"/>
          <w:bCs/>
          <w:color w:val="auto"/>
          <w:highlight w:val="none"/>
          <w:lang w:eastAsia="zh-CN"/>
        </w:rPr>
        <w:t>，检测内容包含：耐开裂性、耐磨性、耐冷热循坏性、耐老化性均合格、耐光色牢度≥4级、燃烧性能等级为B1级，检测结果要求合格。</w:t>
      </w:r>
    </w:p>
    <w:p>
      <w:pPr>
        <w:textAlignment w:val="center"/>
        <w:rPr>
          <w:rFonts w:hint="default" w:asciiTheme="minorEastAsia" w:hAnsiTheme="minorEastAsia" w:cstheme="minorEastAsia"/>
          <w:bCs/>
          <w:color w:val="auto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Cs/>
          <w:color w:val="auto"/>
          <w:highlight w:val="none"/>
          <w:lang w:val="en-US" w:eastAsia="zh-CN"/>
        </w:rPr>
        <w:t>注：上述原材料要求如与“三、采购品目分类、参考样式、规格、基本组成、质量标准等要求”不一致，以上述要求为准，检测报告原件备查。</w:t>
      </w:r>
    </w:p>
    <w:p>
      <w:pPr>
        <w:pStyle w:val="8"/>
        <w:spacing w:line="300" w:lineRule="auto"/>
        <w:ind w:firstLine="0" w:firstLineChars="0"/>
        <w:rPr>
          <w:rFonts w:hint="eastAsia" w:asciiTheme="minorEastAsia" w:hAnsiTheme="minorEastAsia" w:cstheme="minorEastAsia"/>
          <w:color w:val="auto"/>
          <w:szCs w:val="21"/>
          <w:highlight w:val="none"/>
          <w:lang w:eastAsia="zh-CN"/>
        </w:rPr>
      </w:pPr>
    </w:p>
    <w:p>
      <w:pPr>
        <w:pStyle w:val="8"/>
        <w:spacing w:line="300" w:lineRule="auto"/>
        <w:ind w:firstLine="0" w:firstLineChars="0"/>
        <w:rPr>
          <w:rFonts w:asciiTheme="minorEastAsia" w:hAnsiTheme="minorEastAsia" w:cstheme="minorEastAsia"/>
          <w:color w:val="auto"/>
          <w:szCs w:val="21"/>
          <w:highlight w:val="none"/>
          <w:lang w:eastAsia="zh-CN"/>
        </w:rPr>
      </w:pPr>
      <w:r>
        <w:rPr>
          <w:rFonts w:hint="eastAsia" w:asciiTheme="minorEastAsia" w:hAnsiTheme="minorEastAsia" w:cstheme="minorEastAsia"/>
          <w:color w:val="auto"/>
          <w:szCs w:val="21"/>
          <w:highlight w:val="none"/>
          <w:lang w:eastAsia="zh-CN"/>
        </w:rPr>
        <w:t>2、历史成品检测报告要求【提供检测报告（含有CMA认证）</w:t>
      </w:r>
      <w:r>
        <w:rPr>
          <w:rFonts w:hint="default" w:asciiTheme="minorEastAsia" w:hAnsiTheme="minorEastAsia" w:cstheme="minorEastAsia"/>
          <w:color w:val="auto"/>
          <w:szCs w:val="21"/>
          <w:highlight w:val="non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auto"/>
          <w:szCs w:val="21"/>
          <w:highlight w:val="none"/>
          <w:lang w:eastAsia="zh-CN"/>
        </w:rPr>
        <w:t>。检测报告签发时间不早于 2023年</w:t>
      </w:r>
      <w:r>
        <w:rPr>
          <w:rFonts w:hint="eastAsia" w:asciiTheme="minorEastAsia" w:hAnsiTheme="minorEastAsia" w:cstheme="minorEastAsia"/>
          <w:color w:val="auto"/>
          <w:szCs w:val="21"/>
          <w:highlight w:val="none"/>
          <w:lang w:val="en-US" w:eastAsia="zh-CN"/>
        </w:rPr>
        <w:t>7</w:t>
      </w:r>
      <w:r>
        <w:rPr>
          <w:rFonts w:hint="eastAsia" w:asciiTheme="minorEastAsia" w:hAnsiTheme="minorEastAsia" w:cstheme="minorEastAsia"/>
          <w:color w:val="auto"/>
          <w:szCs w:val="21"/>
          <w:highlight w:val="none"/>
          <w:lang w:eastAsia="zh-CN"/>
        </w:rPr>
        <w:t>月1日】</w:t>
      </w:r>
    </w:p>
    <w:p>
      <w:pPr>
        <w:pStyle w:val="8"/>
        <w:spacing w:line="300" w:lineRule="auto"/>
        <w:ind w:firstLine="0" w:firstLineChars="0"/>
        <w:rPr>
          <w:rFonts w:asciiTheme="minorEastAsia" w:hAnsiTheme="minorEastAsia" w:cstheme="minorEastAsia"/>
          <w:color w:val="auto"/>
          <w:szCs w:val="21"/>
          <w:highlight w:val="none"/>
          <w:lang w:eastAsia="zh-CN"/>
        </w:rPr>
      </w:pPr>
      <w:r>
        <w:rPr>
          <w:rFonts w:hint="eastAsia" w:asciiTheme="minorEastAsia" w:hAnsiTheme="minorEastAsia" w:cstheme="minorEastAsia"/>
          <w:color w:val="auto"/>
          <w:szCs w:val="21"/>
          <w:highlight w:val="none"/>
          <w:lang w:eastAsia="zh-CN"/>
        </w:rPr>
        <w:t>（1）移动条桌：检测依据GB/T 3325、GB/T 35607《绿色产品评价家具》，检测内容包含：力学性能（桌类稳定性、桌类强度、桌类耐久性）、理化性能（金属喷漆涂层、木制件表面涂层）、外观性能（金属件外观、木制件外观、塑料件外观、配件）、结构安全、形状和位置公差符合GB/T 3325的要求，产品有害物质（甲醛释放量、苯、甲苯、二甲苯、总挥发性有机化合物-TVOC)符合GB/T 35607的要求，提供合格的检测报告。</w:t>
      </w:r>
    </w:p>
    <w:p>
      <w:pPr>
        <w:spacing w:line="300" w:lineRule="auto"/>
        <w:rPr>
          <w:rFonts w:asciiTheme="minorEastAsia" w:hAnsiTheme="minorEastAsia" w:cstheme="minorEastAsia"/>
          <w:color w:val="auto"/>
          <w:highlight w:val="none"/>
          <w:lang w:eastAsia="zh-CN"/>
        </w:rPr>
      </w:pPr>
      <w:r>
        <w:rPr>
          <w:rFonts w:hint="eastAsia" w:asciiTheme="minorEastAsia" w:hAnsiTheme="minorEastAsia" w:cstheme="minorEastAsia"/>
          <w:color w:val="auto"/>
          <w:highlight w:val="none"/>
          <w:lang w:eastAsia="zh-CN"/>
        </w:rPr>
        <w:t>（2）课椅：检测依据QB/T 2280、GB 28481《塑料家具中有害物质限量》，检测内容包含：甲醛释放量、TVOC、力学性能（座面椅背耐久性、稳定性、座面冲击试验、座面椅背静载荷、跌落）、理化性能（软质聚氨酯泡沫塑料、纺织面料、金属件涂层）、外观性能（塑料件外观、软硬包件外观、涂层和镀层、金属件外观）、形状和位置公差符合QB/T 2280的要求，塑料件中的重金属含量符合GB 28481的要求，提供合格的检测报告。</w:t>
      </w:r>
    </w:p>
    <w:p>
      <w:pPr>
        <w:spacing w:line="300" w:lineRule="auto"/>
        <w:rPr>
          <w:rFonts w:asciiTheme="minorEastAsia" w:hAnsiTheme="minorEastAsia" w:cstheme="minorEastAsia"/>
          <w:color w:val="auto"/>
          <w:highlight w:val="none"/>
          <w:lang w:eastAsia="zh-CN"/>
        </w:rPr>
      </w:pPr>
      <w:r>
        <w:rPr>
          <w:rFonts w:hint="eastAsia" w:asciiTheme="minorEastAsia" w:hAnsiTheme="minorEastAsia" w:cstheme="minorEastAsia"/>
          <w:color w:val="auto"/>
          <w:highlight w:val="none"/>
          <w:lang w:eastAsia="zh-CN"/>
        </w:rPr>
        <w:t>（3）弧形阶梯课桌：检测依据检测依据GB/T 3324、GB/T 35607《绿色产品评价家具》，检测内容包含：外观性能符合GB/T 3324的要求，产品寿命(桌类:桌面水平耐久性)、产品有害物质（甲醛释放量、苯、甲苯、二甲苯、总挥发性有机化合物-TVOC)符合GB/T 35607的要求，提供合格的检测报告。</w:t>
      </w:r>
    </w:p>
    <w:p>
      <w:pPr>
        <w:spacing w:line="300" w:lineRule="auto"/>
        <w:rPr>
          <w:rFonts w:ascii="宋体" w:hAnsi="宋体" w:eastAsia="宋体" w:cs="宋体"/>
          <w:color w:val="auto"/>
          <w:highlight w:val="none"/>
          <w:lang w:eastAsia="zh-CN"/>
        </w:rPr>
      </w:pPr>
      <w:r>
        <w:rPr>
          <w:rFonts w:hint="eastAsia" w:asciiTheme="minorEastAsia" w:hAnsiTheme="minorEastAsia" w:cstheme="minorEastAsia"/>
          <w:color w:val="auto"/>
          <w:highlight w:val="none"/>
          <w:lang w:eastAsia="zh-CN"/>
        </w:rPr>
        <w:t>（4）四人长方形电脑桌：检测依据检测依据GB/T 3325、HJ 2547《环境标志产品技术要求家具》，检测内容包含：外观性能符合GB/T 3325的要求，挥发性有机化合物、产品表面涂层可迁移元素的限量符合HJ 2547的要求，提供合格的检测报告。</w:t>
      </w:r>
      <w:r>
        <w:rPr>
          <w:rFonts w:hint="eastAsia" w:ascii="宋体" w:hAnsi="宋体" w:eastAsia="宋体" w:cs="宋体"/>
          <w:color w:val="auto"/>
          <w:highlight w:val="none"/>
          <w:lang w:eastAsia="zh-CN"/>
        </w:rPr>
        <w:br w:type="page"/>
      </w:r>
    </w:p>
    <w:p>
      <w:pPr>
        <w:spacing w:before="121" w:line="360" w:lineRule="auto"/>
        <w:ind w:firstLine="402" w:firstLineChars="200"/>
        <w:rPr>
          <w:rFonts w:ascii="宋体" w:hAnsi="宋体" w:eastAsia="宋体" w:cs="宋体"/>
          <w:b/>
          <w:bCs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-5"/>
          <w:highlight w:val="none"/>
          <w:lang w:eastAsia="zh-CN"/>
        </w:rPr>
        <w:t>五、颜色要求</w:t>
      </w:r>
    </w:p>
    <w:p>
      <w:pPr>
        <w:spacing w:before="311" w:line="360" w:lineRule="auto"/>
        <w:ind w:firstLine="420" w:firstLineChars="200"/>
        <w:rPr>
          <w:rFonts w:ascii="宋体" w:hAnsi="宋体" w:eastAsia="宋体" w:cs="宋体"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家具颜色应与建筑内装饰风格相适应，以单色为主，不宜过于鲜艳，主体颜色投标时暂按</w:t>
      </w:r>
      <w:r>
        <w:rPr>
          <w:rFonts w:hint="eastAsia" w:ascii="宋体" w:hAnsi="宋体" w:eastAsia="宋体" w:cs="宋体"/>
          <w:b/>
          <w:bCs/>
          <w:color w:val="auto"/>
          <w:highlight w:val="none"/>
          <w:lang w:val="en-US" w:eastAsia="zh-CN"/>
        </w:rPr>
        <w:t>第三部分的</w:t>
      </w:r>
      <w:r>
        <w:rPr>
          <w:rFonts w:hint="eastAsia" w:ascii="宋体" w:hAnsi="宋体" w:eastAsia="宋体" w:cs="宋体"/>
          <w:b/>
          <w:bCs/>
          <w:color w:val="auto"/>
          <w:highlight w:val="none"/>
          <w:lang w:eastAsia="zh-CN"/>
        </w:rPr>
        <w:t>工艺质量标准</w:t>
      </w: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考虑，中标后具体颜色须待采购人明确后方可下单制作。（请投标人注意，中标后价格不因具体颜色的调整而改变，报价时应综合考虑该因素）</w:t>
      </w:r>
    </w:p>
    <w:p>
      <w:pPr>
        <w:spacing w:line="360" w:lineRule="auto"/>
        <w:rPr>
          <w:rFonts w:ascii="宋体" w:hAnsi="宋体" w:eastAsia="宋体" w:cs="宋体"/>
          <w:color w:val="auto"/>
          <w:highlight w:val="none"/>
        </w:rPr>
      </w:pPr>
    </w:p>
    <w:p>
      <w:pPr>
        <w:spacing w:before="121" w:line="360" w:lineRule="auto"/>
        <w:ind w:firstLine="402" w:firstLineChars="200"/>
        <w:rPr>
          <w:rFonts w:hint="eastAsia" w:ascii="宋体" w:hAnsi="宋体" w:eastAsia="宋体" w:cs="宋体"/>
          <w:b/>
          <w:bCs/>
          <w:color w:val="auto"/>
          <w:spacing w:val="-5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-5"/>
          <w:highlight w:val="none"/>
          <w:lang w:eastAsia="zh-CN"/>
        </w:rPr>
        <w:t>六、样品要求</w:t>
      </w:r>
    </w:p>
    <w:p>
      <w:pPr>
        <w:spacing w:before="1" w:line="360" w:lineRule="auto"/>
        <w:ind w:left="9" w:firstLine="420" w:firstLineChars="200"/>
        <w:rPr>
          <w:rFonts w:ascii="宋体" w:hAnsi="宋体" w:eastAsia="宋体" w:cs="宋体"/>
          <w:color w:val="auto"/>
          <w:highlight w:val="none"/>
          <w:lang w:eastAsia="zh-CN"/>
        </w:rPr>
      </w:pPr>
    </w:p>
    <w:p>
      <w:pPr>
        <w:spacing w:before="1" w:line="360" w:lineRule="auto"/>
        <w:ind w:left="9" w:firstLine="420" w:firstLineChars="200"/>
        <w:rPr>
          <w:rFonts w:ascii="宋体" w:hAnsi="宋体" w:eastAsia="宋体" w:cs="宋体"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投标人需要按以下要求提交样品，中标样品交由采购人作为履约验收参考，最终产品使用的原辅材料不得低于样品的标准。</w:t>
      </w:r>
    </w:p>
    <w:p>
      <w:pPr>
        <w:spacing w:line="360" w:lineRule="auto"/>
        <w:rPr>
          <w:rFonts w:ascii="宋体" w:hAnsi="宋体" w:eastAsia="宋体" w:cs="宋体"/>
          <w:color w:val="auto"/>
          <w:highlight w:val="none"/>
          <w:lang w:eastAsia="zh-CN"/>
        </w:rPr>
      </w:pPr>
    </w:p>
    <w:tbl>
      <w:tblPr>
        <w:tblStyle w:val="12"/>
        <w:tblW w:w="1385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6"/>
        <w:gridCol w:w="7509"/>
        <w:gridCol w:w="39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32" w:hRule="atLeast"/>
          <w:jc w:val="center"/>
        </w:trPr>
        <w:tc>
          <w:tcPr>
            <w:tcW w:w="2396" w:type="dxa"/>
            <w:vAlign w:val="center"/>
          </w:tcPr>
          <w:p>
            <w:pPr>
              <w:pStyle w:val="11"/>
              <w:spacing w:before="246" w:line="360" w:lineRule="auto"/>
              <w:jc w:val="center"/>
              <w:rPr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pacing w:val="-8"/>
                <w:sz w:val="21"/>
                <w:szCs w:val="21"/>
                <w:highlight w:val="none"/>
              </w:rPr>
              <w:t>分类</w:t>
            </w:r>
          </w:p>
        </w:tc>
        <w:tc>
          <w:tcPr>
            <w:tcW w:w="7509" w:type="dxa"/>
            <w:vAlign w:val="center"/>
          </w:tcPr>
          <w:p>
            <w:pPr>
              <w:pStyle w:val="11"/>
              <w:spacing w:before="246" w:line="360" w:lineRule="auto"/>
              <w:ind w:left="132"/>
              <w:jc w:val="center"/>
              <w:rPr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pacing w:val="3"/>
                <w:sz w:val="21"/>
                <w:szCs w:val="21"/>
                <w:highlight w:val="none"/>
              </w:rPr>
              <w:t>样品要求</w:t>
            </w:r>
          </w:p>
        </w:tc>
        <w:tc>
          <w:tcPr>
            <w:tcW w:w="3953" w:type="dxa"/>
            <w:vAlign w:val="center"/>
          </w:tcPr>
          <w:p>
            <w:pPr>
              <w:pStyle w:val="11"/>
              <w:spacing w:before="244" w:line="360" w:lineRule="auto"/>
              <w:ind w:left="106"/>
              <w:jc w:val="center"/>
              <w:rPr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pacing w:val="7"/>
                <w:sz w:val="21"/>
                <w:szCs w:val="21"/>
                <w:highlight w:val="none"/>
              </w:rPr>
              <w:t>大小尺寸(单位</w:t>
            </w: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  <w:t>mm</w:t>
            </w:r>
            <w:r>
              <w:rPr>
                <w:rFonts w:hint="eastAsia"/>
                <w:b/>
                <w:bCs/>
                <w:color w:val="auto"/>
                <w:spacing w:val="7"/>
                <w:sz w:val="21"/>
                <w:szCs w:val="21"/>
                <w:highlight w:val="none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280" w:hRule="atLeast"/>
          <w:jc w:val="center"/>
        </w:trPr>
        <w:tc>
          <w:tcPr>
            <w:tcW w:w="2396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  <w:lang w:eastAsia="zh-CN"/>
              </w:rPr>
              <w:t>成品</w:t>
            </w:r>
          </w:p>
        </w:tc>
        <w:tc>
          <w:tcPr>
            <w:tcW w:w="7509" w:type="dxa"/>
            <w:vAlign w:val="center"/>
          </w:tcPr>
          <w:p>
            <w:pPr>
              <w:pStyle w:val="11"/>
              <w:spacing w:before="64" w:line="360" w:lineRule="auto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序号8四人长方形电脑桌</w:t>
            </w:r>
          </w:p>
          <w:p>
            <w:pPr>
              <w:pStyle w:val="11"/>
              <w:spacing w:before="64" w:line="360" w:lineRule="auto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序号37 移动条桌</w:t>
            </w:r>
          </w:p>
          <w:p>
            <w:pPr>
              <w:pStyle w:val="11"/>
              <w:spacing w:before="64" w:line="360" w:lineRule="auto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序号41 三人活动课桌</w:t>
            </w:r>
          </w:p>
        </w:tc>
        <w:tc>
          <w:tcPr>
            <w:tcW w:w="3953" w:type="dxa"/>
            <w:vAlign w:val="center"/>
          </w:tcPr>
          <w:p>
            <w:pPr>
              <w:pStyle w:val="11"/>
              <w:spacing w:before="140" w:line="360" w:lineRule="auto"/>
              <w:ind w:left="106"/>
              <w:jc w:val="center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pacing w:val="-13"/>
                <w:sz w:val="21"/>
                <w:szCs w:val="21"/>
                <w:highlight w:val="none"/>
                <w:lang w:eastAsia="zh-CN"/>
              </w:rPr>
              <w:t>各1件</w:t>
            </w:r>
          </w:p>
        </w:tc>
      </w:tr>
    </w:tbl>
    <w:p>
      <w:pPr>
        <w:spacing w:line="360" w:lineRule="auto"/>
        <w:ind w:firstLine="420" w:firstLineChars="200"/>
        <w:rPr>
          <w:rFonts w:asciiTheme="minorEastAsia" w:hAnsiTheme="minorEastAsia"/>
          <w:color w:val="auto"/>
          <w:highlight w:val="none"/>
          <w:u w:val="single"/>
        </w:rPr>
      </w:pPr>
      <w:r>
        <w:rPr>
          <w:rFonts w:asciiTheme="minorEastAsia" w:hAnsiTheme="minorEastAsia"/>
          <w:color w:val="auto"/>
          <w:highlight w:val="none"/>
        </w:rPr>
        <w:t xml:space="preserve"> </w:t>
      </w:r>
    </w:p>
    <w:p>
      <w:pPr>
        <w:spacing w:line="360" w:lineRule="auto"/>
        <w:rPr>
          <w:rFonts w:ascii="宋体" w:hAnsi="宋体" w:eastAsia="宋体" w:cs="宋体"/>
          <w:color w:val="auto"/>
          <w:highlight w:val="none"/>
        </w:rPr>
        <w:sectPr>
          <w:pgSz w:w="16840" w:h="11906" w:orient="landscape"/>
          <w:pgMar w:top="1440" w:right="1080" w:bottom="1440" w:left="1080" w:header="0" w:footer="0" w:gutter="0"/>
          <w:cols w:space="720" w:num="1"/>
        </w:sectPr>
      </w:pPr>
    </w:p>
    <w:p>
      <w:pPr>
        <w:pStyle w:val="2"/>
        <w:spacing w:before="120" w:line="360" w:lineRule="auto"/>
        <w:ind w:left="160" w:firstLine="406" w:firstLineChars="200"/>
        <w:outlineLvl w:val="6"/>
        <w:rPr>
          <w:color w:val="auto"/>
          <w:sz w:val="21"/>
          <w:szCs w:val="21"/>
          <w:highlight w:val="none"/>
          <w:lang w:eastAsia="zh-CN"/>
        </w:rPr>
      </w:pPr>
      <w:r>
        <w:rPr>
          <w:rFonts w:hint="eastAsia"/>
          <w:b/>
          <w:bCs/>
          <w:color w:val="auto"/>
          <w:spacing w:val="-4"/>
          <w:sz w:val="21"/>
          <w:szCs w:val="21"/>
          <w:highlight w:val="none"/>
          <w:lang w:eastAsia="zh-CN"/>
        </w:rPr>
        <w:t>七、供货及验收</w:t>
      </w:r>
    </w:p>
    <w:p>
      <w:pPr>
        <w:spacing w:line="360" w:lineRule="auto"/>
        <w:rPr>
          <w:rFonts w:ascii="宋体" w:hAnsi="宋体" w:eastAsia="宋体" w:cs="宋体"/>
          <w:color w:val="auto"/>
          <w:highlight w:val="none"/>
          <w:lang w:eastAsia="zh-CN"/>
        </w:rPr>
      </w:pPr>
    </w:p>
    <w:tbl>
      <w:tblPr>
        <w:tblStyle w:val="12"/>
        <w:tblW w:w="1315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3"/>
        <w:gridCol w:w="99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3253" w:type="dxa"/>
          </w:tcPr>
          <w:p>
            <w:pPr>
              <w:pStyle w:val="11"/>
              <w:spacing w:before="190" w:line="360" w:lineRule="auto"/>
              <w:jc w:val="center"/>
              <w:rPr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pacing w:val="-10"/>
                <w:sz w:val="21"/>
                <w:szCs w:val="21"/>
                <w:highlight w:val="none"/>
              </w:rPr>
              <w:t>分类</w:t>
            </w:r>
          </w:p>
        </w:tc>
        <w:tc>
          <w:tcPr>
            <w:tcW w:w="9906" w:type="dxa"/>
          </w:tcPr>
          <w:p>
            <w:pPr>
              <w:pStyle w:val="11"/>
              <w:spacing w:before="190" w:line="360" w:lineRule="auto"/>
              <w:ind w:left="5471"/>
              <w:rPr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pacing w:val="-30"/>
                <w:sz w:val="21"/>
                <w:szCs w:val="21"/>
                <w:highlight w:val="none"/>
              </w:rPr>
              <w:t>内</w:t>
            </w:r>
            <w:r>
              <w:rPr>
                <w:rFonts w:hint="eastAsia"/>
                <w:b/>
                <w:bCs/>
                <w:color w:val="auto"/>
                <w:spacing w:val="-30"/>
                <w:sz w:val="21"/>
                <w:szCs w:val="21"/>
                <w:highlight w:val="none"/>
                <w:lang w:eastAsia="zh-CN"/>
              </w:rPr>
              <w:t xml:space="preserve">  </w:t>
            </w:r>
            <w:r>
              <w:rPr>
                <w:rFonts w:hint="eastAsia"/>
                <w:b/>
                <w:bCs/>
                <w:color w:val="auto"/>
                <w:spacing w:val="-30"/>
                <w:sz w:val="21"/>
                <w:szCs w:val="21"/>
                <w:highlight w:val="none"/>
              </w:rPr>
              <w:t>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" w:hRule="atLeast"/>
        </w:trPr>
        <w:tc>
          <w:tcPr>
            <w:tcW w:w="3253" w:type="dxa"/>
          </w:tcPr>
          <w:p>
            <w:pPr>
              <w:pStyle w:val="11"/>
              <w:spacing w:before="120" w:line="360" w:lineRule="auto"/>
              <w:jc w:val="center"/>
              <w:rPr>
                <w:color w:val="auto"/>
                <w:spacing w:val="4"/>
                <w:sz w:val="21"/>
                <w:szCs w:val="21"/>
                <w:highlight w:val="none"/>
              </w:rPr>
            </w:pPr>
          </w:p>
          <w:p>
            <w:pPr>
              <w:pStyle w:val="11"/>
              <w:spacing w:before="120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</w:rPr>
              <w:t>供货要求</w:t>
            </w:r>
          </w:p>
        </w:tc>
        <w:tc>
          <w:tcPr>
            <w:tcW w:w="9906" w:type="dxa"/>
          </w:tcPr>
          <w:p>
            <w:pPr>
              <w:pStyle w:val="11"/>
              <w:spacing w:before="191" w:line="360" w:lineRule="auto"/>
              <w:ind w:left="152" w:right="180" w:hanging="10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供应商应当在合同签订后不少于__20__个自然日内供货及安装完毕。供应商</w:t>
            </w:r>
            <w:r>
              <w:rPr>
                <w:rFonts w:hint="eastAsia"/>
                <w:color w:val="auto"/>
                <w:spacing w:val="6"/>
                <w:sz w:val="21"/>
                <w:szCs w:val="21"/>
                <w:highlight w:val="none"/>
                <w:lang w:eastAsia="zh-CN"/>
              </w:rPr>
              <w:t>所提供的货物应符合国家相关质量标准；货物名称、型号规格、数</w:t>
            </w:r>
            <w:r>
              <w:rPr>
                <w:rFonts w:hint="eastAsia"/>
                <w:color w:val="auto"/>
                <w:spacing w:val="5"/>
                <w:sz w:val="21"/>
                <w:szCs w:val="21"/>
                <w:highlight w:val="none"/>
                <w:lang w:eastAsia="zh-CN"/>
              </w:rPr>
              <w:t>量、</w:t>
            </w:r>
            <w:r>
              <w:rPr>
                <w:rFonts w:hint="eastAsia"/>
                <w:color w:val="auto"/>
                <w:spacing w:val="-1"/>
                <w:sz w:val="21"/>
                <w:szCs w:val="21"/>
                <w:highlight w:val="none"/>
                <w:lang w:eastAsia="zh-CN"/>
              </w:rPr>
              <w:t>颜色、外观等符合采购人要求，不得有损毁或损坏。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6" w:hRule="atLeast"/>
        </w:trPr>
        <w:tc>
          <w:tcPr>
            <w:tcW w:w="3253" w:type="dxa"/>
          </w:tcPr>
          <w:p>
            <w:pPr>
              <w:pStyle w:val="11"/>
              <w:spacing w:before="201" w:line="360" w:lineRule="auto"/>
              <w:ind w:left="1225"/>
              <w:jc w:val="center"/>
              <w:rPr>
                <w:color w:val="auto"/>
                <w:spacing w:val="4"/>
                <w:sz w:val="21"/>
                <w:szCs w:val="21"/>
                <w:highlight w:val="none"/>
                <w:lang w:eastAsia="zh-CN"/>
              </w:rPr>
            </w:pPr>
          </w:p>
          <w:p>
            <w:pPr>
              <w:pStyle w:val="11"/>
              <w:spacing w:before="201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</w:rPr>
              <w:t>包装要求</w:t>
            </w:r>
          </w:p>
        </w:tc>
        <w:tc>
          <w:tcPr>
            <w:tcW w:w="9906" w:type="dxa"/>
          </w:tcPr>
          <w:p>
            <w:pPr>
              <w:pStyle w:val="11"/>
              <w:spacing w:before="191" w:line="360" w:lineRule="auto"/>
              <w:ind w:left="152" w:right="180" w:hanging="10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采购中如涉及商品包装和快递包装的，其包装需求标准应不低于《关于印发&lt;商品包装政府采购需求标准(试行)&gt;、&lt;快递包装政府采购需求标准(试行)&gt;的通知》(财办库〔2020〕123号)规定的包装要求。采购人、供应商双方签订合同及验收环节，应包含上述包装要求的条款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78" w:hRule="atLeast"/>
        </w:trPr>
        <w:tc>
          <w:tcPr>
            <w:tcW w:w="3253" w:type="dxa"/>
          </w:tcPr>
          <w:p>
            <w:pPr>
              <w:pStyle w:val="11"/>
              <w:spacing w:before="185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</w:rPr>
              <w:t>验收要求</w:t>
            </w:r>
          </w:p>
        </w:tc>
        <w:tc>
          <w:tcPr>
            <w:tcW w:w="9906" w:type="dxa"/>
          </w:tcPr>
          <w:p>
            <w:pPr>
              <w:pStyle w:val="11"/>
              <w:spacing w:before="182" w:line="360" w:lineRule="auto"/>
              <w:ind w:left="152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办公家具安装、调试后，由供、需双方按照合同约定对</w:t>
            </w:r>
            <w:r>
              <w:rPr>
                <w:rFonts w:hint="eastAsia"/>
                <w:color w:val="auto"/>
                <w:spacing w:val="-1"/>
                <w:sz w:val="21"/>
                <w:szCs w:val="21"/>
                <w:highlight w:val="none"/>
                <w:lang w:eastAsia="zh-CN"/>
              </w:rPr>
              <w:t>家具进行验收。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验收包括清点型号、数量、检查外观等，供应商应当提供家具清单(各</w:t>
            </w:r>
            <w:r>
              <w:rPr>
                <w:rFonts w:hint="eastAsia"/>
                <w:color w:val="auto"/>
                <w:spacing w:val="1"/>
                <w:sz w:val="21"/>
                <w:szCs w:val="21"/>
                <w:highlight w:val="none"/>
                <w:lang w:eastAsia="zh-CN"/>
              </w:rPr>
              <w:t>类家具分项开立并标注详细数量)、原产地证明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、具出厂日期证明、家</w:t>
            </w:r>
            <w:r>
              <w:rPr>
                <w:rFonts w:hint="eastAsia"/>
                <w:color w:val="auto"/>
                <w:spacing w:val="-1"/>
                <w:sz w:val="21"/>
                <w:szCs w:val="21"/>
                <w:highlight w:val="none"/>
                <w:lang w:eastAsia="zh-CN"/>
              </w:rPr>
              <w:t>具环保证明等文件。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3253" w:type="dxa"/>
          </w:tcPr>
          <w:p>
            <w:pPr>
              <w:pStyle w:val="11"/>
              <w:spacing w:before="185" w:line="360" w:lineRule="auto"/>
              <w:jc w:val="center"/>
              <w:rPr>
                <w:color w:val="auto"/>
                <w:spacing w:val="4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4"/>
                <w:sz w:val="21"/>
                <w:szCs w:val="21"/>
                <w:highlight w:val="none"/>
              </w:rPr>
              <w:t>检测要求</w:t>
            </w:r>
          </w:p>
        </w:tc>
        <w:tc>
          <w:tcPr>
            <w:tcW w:w="9906" w:type="dxa"/>
          </w:tcPr>
          <w:p>
            <w:pPr>
              <w:pStyle w:val="11"/>
              <w:spacing w:before="182" w:line="360" w:lineRule="auto"/>
              <w:ind w:left="152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正式验收前，采购人将委托第三方机构对家具进行质量和环保相关检测，检验不合格不予验收。</w:t>
            </w:r>
          </w:p>
        </w:tc>
      </w:tr>
    </w:tbl>
    <w:p>
      <w:pPr>
        <w:spacing w:line="360" w:lineRule="auto"/>
        <w:rPr>
          <w:rFonts w:ascii="宋体" w:hAnsi="宋体" w:eastAsia="宋体" w:cs="宋体"/>
          <w:color w:val="auto"/>
          <w:highlight w:val="none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color w:val="auto"/>
          <w:highlight w:val="none"/>
          <w:lang w:eastAsia="zh-CN"/>
        </w:rPr>
        <w:sectPr>
          <w:pgSz w:w="16840" w:h="11906" w:orient="landscape"/>
          <w:pgMar w:top="1440" w:right="1080" w:bottom="1440" w:left="1080" w:header="0" w:footer="0" w:gutter="0"/>
          <w:cols w:space="720" w:num="1"/>
        </w:sectPr>
      </w:pPr>
    </w:p>
    <w:p>
      <w:pPr>
        <w:pStyle w:val="2"/>
        <w:spacing w:before="120" w:line="360" w:lineRule="auto"/>
        <w:ind w:left="150" w:firstLine="410" w:firstLineChars="200"/>
        <w:rPr>
          <w:color w:val="auto"/>
          <w:sz w:val="21"/>
          <w:szCs w:val="21"/>
          <w:highlight w:val="none"/>
          <w:lang w:eastAsia="zh-CN"/>
        </w:rPr>
      </w:pPr>
      <w:r>
        <w:rPr>
          <w:rFonts w:hint="eastAsia"/>
          <w:b/>
          <w:bCs/>
          <w:color w:val="auto"/>
          <w:spacing w:val="-3"/>
          <w:sz w:val="21"/>
          <w:szCs w:val="21"/>
          <w:highlight w:val="none"/>
          <w:lang w:eastAsia="zh-CN"/>
        </w:rPr>
        <w:t>八、服务要求</w:t>
      </w:r>
    </w:p>
    <w:p>
      <w:pPr>
        <w:spacing w:line="360" w:lineRule="auto"/>
        <w:rPr>
          <w:rFonts w:ascii="宋体" w:hAnsi="宋体" w:eastAsia="宋体" w:cs="宋体"/>
          <w:color w:val="auto"/>
          <w:highlight w:val="none"/>
          <w:lang w:eastAsia="zh-CN"/>
        </w:rPr>
      </w:pPr>
    </w:p>
    <w:tbl>
      <w:tblPr>
        <w:tblStyle w:val="12"/>
        <w:tblW w:w="1350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87"/>
        <w:gridCol w:w="102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3287" w:type="dxa"/>
          </w:tcPr>
          <w:p>
            <w:pPr>
              <w:pStyle w:val="11"/>
              <w:spacing w:before="180" w:line="360" w:lineRule="auto"/>
              <w:jc w:val="center"/>
              <w:rPr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pacing w:val="-10"/>
                <w:sz w:val="21"/>
                <w:szCs w:val="21"/>
                <w:highlight w:val="none"/>
              </w:rPr>
              <w:t>分类</w:t>
            </w:r>
          </w:p>
        </w:tc>
        <w:tc>
          <w:tcPr>
            <w:tcW w:w="10217" w:type="dxa"/>
          </w:tcPr>
          <w:p>
            <w:pPr>
              <w:pStyle w:val="11"/>
              <w:spacing w:before="180" w:line="360" w:lineRule="auto"/>
              <w:ind w:left="5431"/>
              <w:rPr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pacing w:val="-29"/>
                <w:sz w:val="21"/>
                <w:szCs w:val="21"/>
                <w:highlight w:val="none"/>
              </w:rPr>
              <w:t>内</w:t>
            </w:r>
            <w:r>
              <w:rPr>
                <w:rFonts w:hint="eastAsia"/>
                <w:b/>
                <w:bCs/>
                <w:color w:val="auto"/>
                <w:spacing w:val="-29"/>
                <w:sz w:val="21"/>
                <w:szCs w:val="21"/>
                <w:highlight w:val="none"/>
                <w:lang w:eastAsia="zh-CN"/>
              </w:rPr>
              <w:t xml:space="preserve">  </w:t>
            </w:r>
            <w:r>
              <w:rPr>
                <w:rFonts w:hint="eastAsia"/>
                <w:b/>
                <w:bCs/>
                <w:color w:val="auto"/>
                <w:spacing w:val="-29"/>
                <w:sz w:val="21"/>
                <w:szCs w:val="21"/>
                <w:highlight w:val="none"/>
              </w:rPr>
              <w:t>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8" w:hRule="atLeast"/>
        </w:trPr>
        <w:tc>
          <w:tcPr>
            <w:tcW w:w="3287" w:type="dxa"/>
            <w:vAlign w:val="center"/>
          </w:tcPr>
          <w:p>
            <w:pPr>
              <w:pStyle w:val="11"/>
              <w:spacing w:before="182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保修服务</w:t>
            </w:r>
          </w:p>
        </w:tc>
        <w:tc>
          <w:tcPr>
            <w:tcW w:w="10217" w:type="dxa"/>
          </w:tcPr>
          <w:p>
            <w:pPr>
              <w:pStyle w:val="11"/>
              <w:spacing w:before="182" w:line="360" w:lineRule="auto"/>
              <w:ind w:left="152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办公家具免费保修期应当至少不低于 8 年。免费保修期内，除采购人因非正 常使用造成家具损坏外，损坏维修以及所涉及的零部件更换，应当由供应商免费提供，供应商应当承诺每年对所供办公家具进行巡检。免费保修期满后，供应商保证以优惠价格提供办公家具所需零配件和维修服务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3287" w:type="dxa"/>
            <w:vAlign w:val="center"/>
          </w:tcPr>
          <w:p>
            <w:pPr>
              <w:pStyle w:val="11"/>
              <w:spacing w:before="203" w:line="360" w:lineRule="auto"/>
              <w:jc w:val="center"/>
              <w:rPr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pacing w:val="7"/>
                <w:sz w:val="21"/>
                <w:szCs w:val="21"/>
                <w:highlight w:val="none"/>
              </w:rPr>
              <w:t>应急能力</w:t>
            </w:r>
          </w:p>
        </w:tc>
        <w:tc>
          <w:tcPr>
            <w:tcW w:w="10217" w:type="dxa"/>
            <w:vAlign w:val="center"/>
          </w:tcPr>
          <w:p>
            <w:pPr>
              <w:pStyle w:val="11"/>
              <w:spacing w:before="182" w:line="360" w:lineRule="auto"/>
              <w:ind w:left="152"/>
              <w:rPr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eastAsia="zh-CN"/>
              </w:rPr>
              <w:t>供应商应当在采购人单位所在区域拥有维修服务能力，提供售后服务支持。如遇质量问题，供应商应当在接到通知2小时内予以响应，并于8小时内解决完毕或提供代用产品。</w:t>
            </w:r>
          </w:p>
        </w:tc>
      </w:tr>
    </w:tbl>
    <w:p>
      <w:pPr>
        <w:pStyle w:val="2"/>
        <w:spacing w:before="44" w:line="360" w:lineRule="auto"/>
        <w:jc w:val="both"/>
        <w:rPr>
          <w:b/>
          <w:bCs/>
          <w:color w:val="auto"/>
          <w:sz w:val="21"/>
          <w:szCs w:val="21"/>
          <w:highlight w:val="none"/>
          <w:lang w:eastAsia="zh-CN"/>
        </w:rPr>
      </w:pPr>
    </w:p>
    <w:sectPr>
      <w:headerReference r:id="rId3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1Nzk1ZDI4M2QyNWJmYWY0OWVmMjEzODIwYmEyM2QifQ=="/>
  </w:docVars>
  <w:rsids>
    <w:rsidRoot w:val="F32BEA20"/>
    <w:rsid w:val="000B7219"/>
    <w:rsid w:val="00150D0D"/>
    <w:rsid w:val="001E4586"/>
    <w:rsid w:val="002A2F73"/>
    <w:rsid w:val="002D619E"/>
    <w:rsid w:val="00303362"/>
    <w:rsid w:val="00370CD3"/>
    <w:rsid w:val="003B70E8"/>
    <w:rsid w:val="00426BCC"/>
    <w:rsid w:val="004B24BC"/>
    <w:rsid w:val="004E2372"/>
    <w:rsid w:val="00541D04"/>
    <w:rsid w:val="00643E88"/>
    <w:rsid w:val="006A5F7B"/>
    <w:rsid w:val="006D3188"/>
    <w:rsid w:val="007200AE"/>
    <w:rsid w:val="007368BA"/>
    <w:rsid w:val="007A750D"/>
    <w:rsid w:val="007E428F"/>
    <w:rsid w:val="007E4CD6"/>
    <w:rsid w:val="00931AA9"/>
    <w:rsid w:val="009A504D"/>
    <w:rsid w:val="009C588C"/>
    <w:rsid w:val="00A22C06"/>
    <w:rsid w:val="00A50927"/>
    <w:rsid w:val="00A87052"/>
    <w:rsid w:val="00AB0786"/>
    <w:rsid w:val="00BF21A4"/>
    <w:rsid w:val="00C16242"/>
    <w:rsid w:val="00C17B63"/>
    <w:rsid w:val="00C451DB"/>
    <w:rsid w:val="00CE02A4"/>
    <w:rsid w:val="00DE5E8F"/>
    <w:rsid w:val="00E6065C"/>
    <w:rsid w:val="00EE0FE9"/>
    <w:rsid w:val="00F24B4B"/>
    <w:rsid w:val="0171503A"/>
    <w:rsid w:val="040D6D19"/>
    <w:rsid w:val="048E0FE0"/>
    <w:rsid w:val="05504FB8"/>
    <w:rsid w:val="05574FAC"/>
    <w:rsid w:val="05886C84"/>
    <w:rsid w:val="068A5032"/>
    <w:rsid w:val="07061550"/>
    <w:rsid w:val="07571BA9"/>
    <w:rsid w:val="079C5E54"/>
    <w:rsid w:val="087B274A"/>
    <w:rsid w:val="08871F97"/>
    <w:rsid w:val="08F8213C"/>
    <w:rsid w:val="097A208F"/>
    <w:rsid w:val="0A3D3F39"/>
    <w:rsid w:val="0BB84DE3"/>
    <w:rsid w:val="0C421AE6"/>
    <w:rsid w:val="0D0D6281"/>
    <w:rsid w:val="0D2C2267"/>
    <w:rsid w:val="0EBA4E7B"/>
    <w:rsid w:val="0ED56EC0"/>
    <w:rsid w:val="0F125769"/>
    <w:rsid w:val="12647FB1"/>
    <w:rsid w:val="12A2100D"/>
    <w:rsid w:val="12F63B6A"/>
    <w:rsid w:val="148D17AC"/>
    <w:rsid w:val="148F63E7"/>
    <w:rsid w:val="153951E6"/>
    <w:rsid w:val="15CE58D6"/>
    <w:rsid w:val="15DA612B"/>
    <w:rsid w:val="195D42DE"/>
    <w:rsid w:val="1A0652E4"/>
    <w:rsid w:val="1ACE7191"/>
    <w:rsid w:val="1C9A35A6"/>
    <w:rsid w:val="1D776456"/>
    <w:rsid w:val="1EFF8184"/>
    <w:rsid w:val="23810484"/>
    <w:rsid w:val="23CE4662"/>
    <w:rsid w:val="248A0D02"/>
    <w:rsid w:val="28421500"/>
    <w:rsid w:val="290F02E0"/>
    <w:rsid w:val="296F3171"/>
    <w:rsid w:val="2A234CC8"/>
    <w:rsid w:val="2ADF4321"/>
    <w:rsid w:val="2C167039"/>
    <w:rsid w:val="2C7E7F68"/>
    <w:rsid w:val="2CFF5FA0"/>
    <w:rsid w:val="2D397E99"/>
    <w:rsid w:val="2DC97AD0"/>
    <w:rsid w:val="2EEF6BEA"/>
    <w:rsid w:val="2EF04DB6"/>
    <w:rsid w:val="2F0A60BD"/>
    <w:rsid w:val="2F880A3C"/>
    <w:rsid w:val="31144BE5"/>
    <w:rsid w:val="328B2A26"/>
    <w:rsid w:val="353D4214"/>
    <w:rsid w:val="36D93CDC"/>
    <w:rsid w:val="37C64113"/>
    <w:rsid w:val="39131727"/>
    <w:rsid w:val="39517CDA"/>
    <w:rsid w:val="39D30EB6"/>
    <w:rsid w:val="3AA11088"/>
    <w:rsid w:val="3B555D48"/>
    <w:rsid w:val="3B9F11A4"/>
    <w:rsid w:val="3BD86B50"/>
    <w:rsid w:val="3BE374B8"/>
    <w:rsid w:val="3CBBF8BE"/>
    <w:rsid w:val="3D5CBD80"/>
    <w:rsid w:val="3DB00644"/>
    <w:rsid w:val="3F1E6EEA"/>
    <w:rsid w:val="3F5AB3C8"/>
    <w:rsid w:val="3FA84969"/>
    <w:rsid w:val="3FDE82F7"/>
    <w:rsid w:val="3FEA10BB"/>
    <w:rsid w:val="3FEBE777"/>
    <w:rsid w:val="3FFFFE34"/>
    <w:rsid w:val="402B4AF5"/>
    <w:rsid w:val="411753AB"/>
    <w:rsid w:val="41403DE6"/>
    <w:rsid w:val="42A8709F"/>
    <w:rsid w:val="436C43ED"/>
    <w:rsid w:val="43953B9F"/>
    <w:rsid w:val="4545333A"/>
    <w:rsid w:val="459A2313"/>
    <w:rsid w:val="45F96148"/>
    <w:rsid w:val="46516C7A"/>
    <w:rsid w:val="474D04FA"/>
    <w:rsid w:val="47F77C7F"/>
    <w:rsid w:val="47FFDCAD"/>
    <w:rsid w:val="48DF0FAA"/>
    <w:rsid w:val="498F1BB6"/>
    <w:rsid w:val="4A567433"/>
    <w:rsid w:val="4BA92E34"/>
    <w:rsid w:val="4C3F589A"/>
    <w:rsid w:val="4E4810A7"/>
    <w:rsid w:val="4EF61F46"/>
    <w:rsid w:val="50695C14"/>
    <w:rsid w:val="50822FAF"/>
    <w:rsid w:val="520139B0"/>
    <w:rsid w:val="52AE3C0D"/>
    <w:rsid w:val="52B2498F"/>
    <w:rsid w:val="534657CA"/>
    <w:rsid w:val="538A1D06"/>
    <w:rsid w:val="53AA6DCE"/>
    <w:rsid w:val="53DC0CED"/>
    <w:rsid w:val="550872A4"/>
    <w:rsid w:val="55115966"/>
    <w:rsid w:val="5563618E"/>
    <w:rsid w:val="57BF3926"/>
    <w:rsid w:val="58A72018"/>
    <w:rsid w:val="59FF9E14"/>
    <w:rsid w:val="5BD95BD8"/>
    <w:rsid w:val="5BEF4C5A"/>
    <w:rsid w:val="5BFF5FD2"/>
    <w:rsid w:val="5C143196"/>
    <w:rsid w:val="5C7D5440"/>
    <w:rsid w:val="5CEBF368"/>
    <w:rsid w:val="5DBF5DC0"/>
    <w:rsid w:val="5DEF1908"/>
    <w:rsid w:val="5F732455"/>
    <w:rsid w:val="5F7D427D"/>
    <w:rsid w:val="5FFF8E82"/>
    <w:rsid w:val="6073239D"/>
    <w:rsid w:val="60B117C9"/>
    <w:rsid w:val="618B496E"/>
    <w:rsid w:val="61CB6793"/>
    <w:rsid w:val="64FA6883"/>
    <w:rsid w:val="65097DB4"/>
    <w:rsid w:val="6665276D"/>
    <w:rsid w:val="67B3742E"/>
    <w:rsid w:val="68561202"/>
    <w:rsid w:val="68EE4BAC"/>
    <w:rsid w:val="6BC54253"/>
    <w:rsid w:val="6E1E69BD"/>
    <w:rsid w:val="6E4BC4BD"/>
    <w:rsid w:val="6F6405CA"/>
    <w:rsid w:val="71154A38"/>
    <w:rsid w:val="726B09EC"/>
    <w:rsid w:val="728A5234"/>
    <w:rsid w:val="72F4016F"/>
    <w:rsid w:val="733C77DA"/>
    <w:rsid w:val="737A14F8"/>
    <w:rsid w:val="74273CFD"/>
    <w:rsid w:val="74C23106"/>
    <w:rsid w:val="75C06AA8"/>
    <w:rsid w:val="75FBCD7E"/>
    <w:rsid w:val="763F2C13"/>
    <w:rsid w:val="769C2E7B"/>
    <w:rsid w:val="76A707EB"/>
    <w:rsid w:val="777FCD40"/>
    <w:rsid w:val="77B74889"/>
    <w:rsid w:val="77C11122"/>
    <w:rsid w:val="79235266"/>
    <w:rsid w:val="798E530E"/>
    <w:rsid w:val="7A1EF845"/>
    <w:rsid w:val="7A5A5C8A"/>
    <w:rsid w:val="7AD60779"/>
    <w:rsid w:val="7C35AD77"/>
    <w:rsid w:val="7D916881"/>
    <w:rsid w:val="7DEB81F6"/>
    <w:rsid w:val="7E7C4598"/>
    <w:rsid w:val="7EDAB6D1"/>
    <w:rsid w:val="BBFB8DC5"/>
    <w:rsid w:val="BFEEBC32"/>
    <w:rsid w:val="BFF6FB84"/>
    <w:rsid w:val="D75D7127"/>
    <w:rsid w:val="DCFF6989"/>
    <w:rsid w:val="DFCDF6B7"/>
    <w:rsid w:val="DFFDAC87"/>
    <w:rsid w:val="E5F57EB6"/>
    <w:rsid w:val="E5FB5E7F"/>
    <w:rsid w:val="E7EF1F2D"/>
    <w:rsid w:val="E9BF572B"/>
    <w:rsid w:val="EFF210A5"/>
    <w:rsid w:val="F32BEA20"/>
    <w:rsid w:val="F4DB9A57"/>
    <w:rsid w:val="F79F4D83"/>
    <w:rsid w:val="F7BF3339"/>
    <w:rsid w:val="F7FFACF7"/>
    <w:rsid w:val="F9E7476A"/>
    <w:rsid w:val="FB8F55DC"/>
    <w:rsid w:val="FBCF7ABF"/>
    <w:rsid w:val="FCF7F34B"/>
    <w:rsid w:val="FE3F271B"/>
    <w:rsid w:val="FEBFC356"/>
    <w:rsid w:val="FFDFE0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3">
    <w:name w:val="Body Text Indent"/>
    <w:basedOn w:val="1"/>
    <w:qFormat/>
    <w:uiPriority w:val="0"/>
    <w:pPr>
      <w:spacing w:line="360" w:lineRule="exact"/>
      <w:ind w:firstLine="480" w:firstLineChars="200"/>
    </w:pPr>
    <w:rPr>
      <w:sz w:val="24"/>
      <w:szCs w:val="20"/>
    </w:rPr>
  </w:style>
  <w:style w:type="paragraph" w:styleId="4">
    <w:name w:val="index 4"/>
    <w:basedOn w:val="1"/>
    <w:next w:val="1"/>
    <w:autoRedefine/>
    <w:qFormat/>
    <w:uiPriority w:val="0"/>
    <w:pPr>
      <w:spacing w:line="360" w:lineRule="auto"/>
      <w:ind w:left="600" w:leftChars="600"/>
    </w:pPr>
    <w:rPr>
      <w:sz w:val="24"/>
      <w:szCs w:val="24"/>
    </w:rPr>
  </w:style>
  <w:style w:type="paragraph" w:styleId="5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6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8">
    <w:name w:val="Body Text First Indent 2"/>
    <w:basedOn w:val="3"/>
    <w:qFormat/>
    <w:uiPriority w:val="0"/>
    <w:pPr>
      <w:spacing w:line="360" w:lineRule="auto"/>
      <w:ind w:firstLine="420"/>
    </w:pPr>
    <w:rPr>
      <w:rFonts w:ascii="宋体" w:hAnsi="宋体"/>
      <w:sz w:val="21"/>
    </w:rPr>
  </w:style>
  <w:style w:type="paragraph" w:customStyle="1" w:styleId="11">
    <w:name w:val="Table Text"/>
    <w:basedOn w:val="1"/>
    <w:autoRedefine/>
    <w:semiHidden/>
    <w:qFormat/>
    <w:uiPriority w:val="0"/>
    <w:rPr>
      <w:rFonts w:ascii="宋体" w:hAnsi="宋体" w:eastAsia="宋体" w:cs="宋体"/>
      <w:sz w:val="28"/>
      <w:szCs w:val="28"/>
    </w:rPr>
  </w:style>
  <w:style w:type="table" w:customStyle="1" w:styleId="12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4">
    <w:name w:val="页眉 字符"/>
    <w:basedOn w:val="10"/>
    <w:link w:val="7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5">
    <w:name w:val="页脚 字符"/>
    <w:basedOn w:val="10"/>
    <w:link w:val="6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6">
    <w:name w:val="批注框文本 字符"/>
    <w:basedOn w:val="10"/>
    <w:link w:val="5"/>
    <w:autoRedefine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7" Type="http://schemas.openxmlformats.org/officeDocument/2006/relationships/fontTable" Target="fontTable.xml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</Pages>
  <Words>14139</Words>
  <Characters>16339</Characters>
  <Lines>135</Lines>
  <Paragraphs>38</Paragraphs>
  <TotalTime>17</TotalTime>
  <ScaleCrop>false</ScaleCrop>
  <LinksUpToDate>false</LinksUpToDate>
  <CharactersWithSpaces>16479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2024-03-15T19:12:00Z</dcterms:created>
  <dc:creator>Cindy</dc:creator>
  <cp:lastModifiedBy>user</cp:lastModifiedBy>
  <dcterms:modified xsi:type="dcterms:W3CDTF">2024-09-09T13:33:48Z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B8D4F0242173425092D84EE21FD6F011_13</vt:lpwstr>
  </property>
</Properties>
</file>