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AA714">
      <w:pPr>
        <w:pStyle w:val="14"/>
        <w:numPr>
          <w:ilvl w:val="0"/>
          <w:numId w:val="0"/>
        </w:numPr>
        <w:spacing w:before="0" w:after="0"/>
        <w:jc w:val="center"/>
      </w:pPr>
    </w:p>
    <w:p w14:paraId="0BF88A2D">
      <w:pPr>
        <w:pStyle w:val="14"/>
        <w:numPr>
          <w:ilvl w:val="0"/>
          <w:numId w:val="0"/>
        </w:numPr>
        <w:spacing w:before="0" w:after="0"/>
        <w:jc w:val="center"/>
        <w:rPr>
          <w:color w:val="000000"/>
          <w:lang w:val="en-US" w:bidi="en-US"/>
        </w:rPr>
      </w:pPr>
      <w:r>
        <w:rPr>
          <w:rFonts w:hint="eastAsia"/>
        </w:rPr>
        <w:t>上海戏剧学院大模型支撑平台</w:t>
      </w:r>
      <w:r>
        <w:rPr>
          <w:rFonts w:hint="eastAsia"/>
          <w:color w:val="000000"/>
          <w:lang w:val="en-US" w:bidi="en-US"/>
        </w:rPr>
        <w:t>采购需求</w:t>
      </w:r>
    </w:p>
    <w:p w14:paraId="58D9A701">
      <w:pPr>
        <w:pStyle w:val="14"/>
        <w:numPr>
          <w:ilvl w:val="0"/>
          <w:numId w:val="0"/>
        </w:numPr>
        <w:spacing w:before="0" w:after="0"/>
        <w:rPr>
          <w:rFonts w:ascii="宋体" w:hAnsi="宋体" w:eastAsia="宋体" w:cs="宋体"/>
          <w:color w:val="000000"/>
          <w:sz w:val="21"/>
          <w:lang w:val="en-US" w:bidi="en-US"/>
        </w:rPr>
      </w:pPr>
    </w:p>
    <w:p w14:paraId="30E8B638">
      <w:pPr>
        <w:pStyle w:val="27"/>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sz w:val="21"/>
        </w:rPr>
      </w:pPr>
      <w:r>
        <w:rPr>
          <w:rFonts w:hint="eastAsia"/>
          <w:b/>
          <w:sz w:val="21"/>
        </w:rPr>
        <w:t>项目名称</w:t>
      </w:r>
    </w:p>
    <w:p w14:paraId="6AA3488D">
      <w:pPr>
        <w:pStyle w:val="2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456" w:firstLine="0"/>
        <w:rPr>
          <w:sz w:val="21"/>
        </w:rPr>
      </w:pPr>
      <w:r>
        <w:rPr>
          <w:rFonts w:hint="eastAsia"/>
          <w:sz w:val="21"/>
        </w:rPr>
        <w:t>上海戏剧学院大模型支撑平台</w:t>
      </w:r>
    </w:p>
    <w:p w14:paraId="15232AA2">
      <w:pPr>
        <w:pStyle w:val="27"/>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sz w:val="21"/>
        </w:rPr>
      </w:pPr>
      <w:r>
        <w:rPr>
          <w:rFonts w:hint="eastAsia"/>
          <w:b/>
          <w:sz w:val="21"/>
        </w:rPr>
        <w:t>项目预算</w:t>
      </w:r>
      <w:bookmarkStart w:id="1" w:name="_GoBack"/>
      <w:bookmarkEnd w:id="1"/>
    </w:p>
    <w:p w14:paraId="0127416D">
      <w:pPr>
        <w:pStyle w:val="2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456" w:firstLine="0"/>
        <w:rPr>
          <w:sz w:val="21"/>
        </w:rPr>
      </w:pPr>
      <w:r>
        <w:rPr>
          <w:rFonts w:hint="eastAsia"/>
          <w:sz w:val="21"/>
        </w:rPr>
        <w:t>150万元</w:t>
      </w:r>
    </w:p>
    <w:p w14:paraId="5A05AB64">
      <w:pPr>
        <w:pStyle w:val="27"/>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sz w:val="21"/>
        </w:rPr>
      </w:pPr>
      <w:r>
        <w:rPr>
          <w:b/>
          <w:sz w:val="21"/>
        </w:rPr>
        <w:t>项目概况</w:t>
      </w:r>
    </w:p>
    <w:p w14:paraId="268D0F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sz w:val="21"/>
        </w:rPr>
      </w:pPr>
      <w:r>
        <w:rPr>
          <w:rFonts w:hint="eastAsia"/>
          <w:sz w:val="21"/>
        </w:rPr>
        <w:t>当前，人工智能技术正深刻重塑教育生态，国家“十四五”规划明确提出推进教育数字化战略行动，教育部《人工智能赋能教育行动方案》亦强调AI与学科特色融合的创新价值。戏剧艺术教育领域长期面临传统教学模式与海量非结构化艺术数据（如剧本文本、音视频资源）间的协同困境，亟需通过智能化工具实现教学资源高效整合、创作流程革新与跨学科研究突破。</w:t>
      </w:r>
    </w:p>
    <w:p w14:paraId="0C94627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sz w:val="21"/>
          <w:lang w:val="en-US" w:bidi="en-US"/>
        </w:rPr>
      </w:pPr>
      <w:r>
        <w:rPr>
          <w:rFonts w:hint="eastAsia"/>
          <w:sz w:val="21"/>
        </w:rPr>
        <w:t>上海戏剧学院作为国内艺术教育领军院校，积极响应国家战略，率先提出“AI+艺术教育”发展框架。面对艺术创作数字化、教学场景交互化、学科交叉常态化的新需求，学院亟待构建适配戏剧艺术规律的人工智能基础设施与多模态数据资源体系，破解传统艺术教育中数据利用率低、技术工具匮乏、创作评估主观性强等痛点，为师生提供从资源管理、智能创作到成果转化的全链条支持。</w:t>
      </w:r>
      <w:r>
        <w:rPr>
          <w:rFonts w:ascii="Times New Roman" w:hAnsi="Times New Roman" w:cs="Times New Roman"/>
          <w:sz w:val="21"/>
        </w:rPr>
        <w:t>‌</w:t>
      </w:r>
      <w:r>
        <w:rPr>
          <w:sz w:val="21"/>
        </w:rPr>
        <w:t>本项目拟通过公开采购的方式，择优选取一家供应商</w:t>
      </w:r>
      <w:r>
        <w:rPr>
          <w:rFonts w:ascii="Times New Roman" w:hAnsi="Times New Roman" w:cs="Times New Roman"/>
          <w:sz w:val="21"/>
        </w:rPr>
        <w:t>‌</w:t>
      </w:r>
      <w:r>
        <w:rPr>
          <w:sz w:val="21"/>
        </w:rPr>
        <w:t>，为上海戏剧学院“AI+艺术教育”战略部署提供智能化基础设施及技术服务支撑。</w:t>
      </w:r>
    </w:p>
    <w:p w14:paraId="33935C95">
      <w:pPr>
        <w:pStyle w:val="27"/>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sz w:val="21"/>
        </w:rPr>
      </w:pPr>
      <w:r>
        <w:rPr>
          <w:b/>
          <w:sz w:val="21"/>
        </w:rPr>
        <w:t>项目</w:t>
      </w:r>
      <w:r>
        <w:rPr>
          <w:rFonts w:hint="eastAsia"/>
          <w:b/>
          <w:sz w:val="21"/>
        </w:rPr>
        <w:t>内容</w:t>
      </w:r>
    </w:p>
    <w:p w14:paraId="37538DA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1"/>
        </w:rPr>
      </w:pPr>
      <w:r>
        <w:rPr>
          <w:sz w:val="21"/>
        </w:rPr>
        <w:tab/>
      </w:r>
      <w:r>
        <w:rPr>
          <w:rFonts w:hint="eastAsia"/>
          <w:sz w:val="21"/>
        </w:rPr>
        <w:t>本项目旨在建设上海戏剧学院大模型支撑平台，采购并安装相应的人工智能算力服务器，部署大模型软件和大模型工具链平台软件，通过搭建高性能人工智能基础环境，为学校提供人工智能应用和语料加工的基础设施，也为教学创新、艺术创作与管理流程提供稳定可靠的技术底座，满足学校2000人以上师生人工智能教学应用和学习需要，为学校开展各种人工智能应用提供支撑，实现人工智能技术与艺术教育场景的深度融合。同时为建设专业化、场景驱动的专属语料库、整合教学资源、经典剧目文本、跨语言艺术文献及办公场景语料提供基础支撑。</w:t>
      </w:r>
    </w:p>
    <w:p w14:paraId="1B6F25FA">
      <w:pPr>
        <w:pStyle w:val="27"/>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sz w:val="21"/>
        </w:rPr>
      </w:pPr>
      <w:r>
        <w:rPr>
          <w:b/>
          <w:sz w:val="21"/>
        </w:rPr>
        <w:t>采购清单</w:t>
      </w:r>
    </w:p>
    <w:p w14:paraId="1210B28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sz w:val="21"/>
        </w:rPr>
      </w:pPr>
      <w:r>
        <w:rPr>
          <w:rFonts w:hint="eastAsia"/>
          <w:sz w:val="21"/>
        </w:rPr>
        <w:t>1、硬件设备参数</w:t>
      </w:r>
    </w:p>
    <w:tbl>
      <w:tblPr>
        <w:tblStyle w:val="9"/>
        <w:tblW w:w="838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697"/>
        <w:gridCol w:w="6003"/>
      </w:tblGrid>
      <w:tr w14:paraId="44A3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687" w:type="dxa"/>
            <w:shd w:val="clear" w:color="auto" w:fill="auto"/>
            <w:vAlign w:val="center"/>
          </w:tcPr>
          <w:p w14:paraId="259D9C31">
            <w:pPr>
              <w:pStyle w:val="2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lang w:val="en-US" w:eastAsia="en-US" w:bidi="en-US"/>
              </w:rPr>
            </w:pPr>
            <w:r>
              <w:t>设备</w:t>
            </w:r>
          </w:p>
        </w:tc>
        <w:tc>
          <w:tcPr>
            <w:tcW w:w="697" w:type="dxa"/>
            <w:shd w:val="clear" w:color="auto" w:fill="auto"/>
            <w:vAlign w:val="center"/>
          </w:tcPr>
          <w:p w14:paraId="2A7DD1A7">
            <w:pPr>
              <w:pStyle w:val="2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lang w:val="en-US" w:eastAsia="en-US" w:bidi="en-US"/>
              </w:rPr>
            </w:pPr>
            <w:r>
              <w:t>数量</w:t>
            </w:r>
          </w:p>
        </w:tc>
        <w:tc>
          <w:tcPr>
            <w:tcW w:w="6003" w:type="dxa"/>
            <w:shd w:val="clear" w:color="auto" w:fill="auto"/>
            <w:vAlign w:val="center"/>
          </w:tcPr>
          <w:p w14:paraId="37E0C2F1">
            <w:pPr>
              <w:pStyle w:val="2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lang w:val="en-US" w:eastAsia="en-US" w:bidi="en-US"/>
              </w:rPr>
            </w:pPr>
            <w:r>
              <w:t>技术参数</w:t>
            </w:r>
          </w:p>
        </w:tc>
      </w:tr>
      <w:tr w14:paraId="40CB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687" w:type="dxa"/>
            <w:shd w:val="clear" w:color="auto" w:fill="auto"/>
            <w:vAlign w:val="center"/>
          </w:tcPr>
          <w:p w14:paraId="4E448F5C">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eastAsia="宋体"/>
                <w:lang w:val="en-US" w:eastAsia="zh-CN" w:bidi="en-US"/>
              </w:rPr>
            </w:pPr>
            <w:r>
              <w:rPr>
                <w:rFonts w:hint="eastAsia"/>
              </w:rPr>
              <w:t>算力服务器</w:t>
            </w:r>
            <w:r>
              <w:rPr>
                <w:rFonts w:hint="eastAsia"/>
                <w:lang w:eastAsia="zh-CN"/>
              </w:rPr>
              <w:t>（核心产品）</w:t>
            </w:r>
          </w:p>
        </w:tc>
        <w:tc>
          <w:tcPr>
            <w:tcW w:w="697" w:type="dxa"/>
            <w:shd w:val="clear" w:color="auto" w:fill="auto"/>
            <w:vAlign w:val="center"/>
          </w:tcPr>
          <w:p w14:paraId="373CA28D">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lang w:val="en-US" w:eastAsia="en-US" w:bidi="en-US"/>
              </w:rPr>
            </w:pPr>
            <w:r>
              <w:t>1</w:t>
            </w:r>
            <w:r>
              <w:rPr>
                <w:rFonts w:hint="eastAsia"/>
              </w:rPr>
              <w:t>台</w:t>
            </w:r>
          </w:p>
        </w:tc>
        <w:tc>
          <w:tcPr>
            <w:tcW w:w="6003" w:type="dxa"/>
            <w:shd w:val="clear" w:color="auto" w:fill="auto"/>
            <w:vAlign w:val="center"/>
          </w:tcPr>
          <w:p w14:paraId="2C34C4CE">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r>
              <w:rPr>
                <w:rFonts w:hint="eastAsia"/>
              </w:rPr>
              <w:t>1.服务器规格≤6U</w:t>
            </w:r>
          </w:p>
          <w:p w14:paraId="7F6ED48B">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r>
              <w:rPr>
                <w:rFonts w:hint="eastAsia"/>
              </w:rPr>
              <w:t>2.★GPU：数量</w:t>
            </w:r>
            <w:r>
              <w:rPr>
                <w:rFonts w:hint="eastAsia"/>
                <w:lang w:eastAsia="zh-CN"/>
              </w:rPr>
              <w:t>不少于</w:t>
            </w:r>
            <w:r>
              <w:rPr>
                <w:rFonts w:hint="eastAsia"/>
              </w:rPr>
              <w:t>8卡，单卡显存≥141G</w:t>
            </w:r>
          </w:p>
          <w:p w14:paraId="59DCE429">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r>
              <w:rPr>
                <w:rFonts w:hint="eastAsia"/>
                <w:lang w:val="en-US"/>
              </w:rPr>
              <w:t>3.</w:t>
            </w:r>
            <w:r>
              <w:rPr>
                <w:rFonts w:hint="eastAsia"/>
              </w:rPr>
              <w:t>▲CPU：数量</w:t>
            </w:r>
            <w:r>
              <w:rPr>
                <w:rFonts w:hint="eastAsia"/>
                <w:lang w:eastAsia="zh-CN"/>
              </w:rPr>
              <w:t>不少于</w:t>
            </w:r>
            <w:r>
              <w:rPr>
                <w:rFonts w:hint="eastAsia"/>
              </w:rPr>
              <w:t>2</w:t>
            </w:r>
            <w:r>
              <w:rPr>
                <w:rFonts w:hint="eastAsia"/>
                <w:lang w:eastAsia="zh-CN"/>
              </w:rPr>
              <w:t>个</w:t>
            </w:r>
            <w:r>
              <w:rPr>
                <w:rFonts w:hint="eastAsia"/>
              </w:rPr>
              <w:t>，总核数≥96核，单颗主频≥2.7GHz</w:t>
            </w:r>
          </w:p>
          <w:p w14:paraId="0A29E8EA">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r>
              <w:rPr>
                <w:rFonts w:hint="eastAsia"/>
                <w:lang w:val="en-US"/>
              </w:rPr>
              <w:t>4</w:t>
            </w:r>
            <w:r>
              <w:rPr>
                <w:rFonts w:hint="eastAsia"/>
              </w:rPr>
              <w:t>.▲FP16算力≥148TFLOPS，FP8算力≥296TFLOPS</w:t>
            </w:r>
          </w:p>
          <w:p w14:paraId="04D921B1">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r>
              <w:rPr>
                <w:rFonts w:hint="eastAsia"/>
                <w:lang w:val="en-US"/>
              </w:rPr>
              <w:t>5</w:t>
            </w:r>
            <w:r>
              <w:rPr>
                <w:rFonts w:hint="eastAsia"/>
              </w:rPr>
              <w:t>.显存带宽不少于4TB/s，NVLINK带宽不少于900GB/s</w:t>
            </w:r>
          </w:p>
          <w:p w14:paraId="18EE3E1F">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r>
              <w:rPr>
                <w:rFonts w:hint="eastAsia"/>
                <w:lang w:val="en-US"/>
              </w:rPr>
              <w:t>6</w:t>
            </w:r>
            <w:r>
              <w:rPr>
                <w:rFonts w:hint="eastAsia"/>
              </w:rPr>
              <w:t>.内存≥2T</w:t>
            </w:r>
          </w:p>
          <w:p w14:paraId="06D1F54B">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r>
              <w:rPr>
                <w:rFonts w:hint="eastAsia"/>
                <w:lang w:val="en-US"/>
              </w:rPr>
              <w:t>7</w:t>
            </w:r>
            <w:r>
              <w:rPr>
                <w:rFonts w:hint="eastAsia"/>
              </w:rPr>
              <w:t>.系统盘≥2块960G SSD，数据盘≥4块7.68T NVME SSD</w:t>
            </w:r>
          </w:p>
          <w:p w14:paraId="3FBC0368">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r>
              <w:rPr>
                <w:rFonts w:hint="eastAsia"/>
                <w:lang w:val="en-US"/>
              </w:rPr>
              <w:t>8</w:t>
            </w:r>
            <w:r>
              <w:rPr>
                <w:rFonts w:hint="eastAsia"/>
              </w:rPr>
              <w:t>.网卡：配置25G网口数量不少于2个，10G网口（单模模块）不少于2个</w:t>
            </w:r>
          </w:p>
          <w:p w14:paraId="2ADB795C">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lang w:val="en-US"/>
              </w:rPr>
            </w:pPr>
            <w:r>
              <w:rPr>
                <w:rFonts w:hint="eastAsia"/>
                <w:lang w:val="en-US"/>
              </w:rPr>
              <w:t>9</w:t>
            </w:r>
            <w:r>
              <w:rPr>
                <w:rFonts w:hint="eastAsia"/>
              </w:rPr>
              <w:t>.电源：2块12V 3200W及6块54V 2700W钛金级 CRPS电源，支持N+N冗余</w:t>
            </w:r>
          </w:p>
        </w:tc>
      </w:tr>
    </w:tbl>
    <w:p w14:paraId="5B866C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sz w:val="21"/>
        </w:rPr>
      </w:pPr>
      <w:r>
        <w:rPr>
          <w:rFonts w:hint="eastAsia"/>
          <w:sz w:val="21"/>
        </w:rPr>
        <w:t>注：以上标注为“</w:t>
      </w:r>
      <w:r>
        <w:rPr>
          <w:rFonts w:hint="eastAsia"/>
        </w:rPr>
        <w:t>★</w:t>
      </w:r>
      <w:r>
        <w:rPr>
          <w:rFonts w:hint="eastAsia"/>
          <w:sz w:val="21"/>
        </w:rPr>
        <w:t>”的为核心参数，不满足做废标处理。以上标注为“</w:t>
      </w:r>
      <w:r>
        <w:rPr>
          <w:rFonts w:hint="eastAsia"/>
        </w:rPr>
        <w:t>▲</w:t>
      </w:r>
      <w:r>
        <w:rPr>
          <w:rFonts w:hint="eastAsia"/>
          <w:sz w:val="21"/>
        </w:rPr>
        <w:t>”的为重要参数。“</w:t>
      </w:r>
      <w:r>
        <w:rPr>
          <w:rFonts w:hint="eastAsia"/>
        </w:rPr>
        <w:t>★</w:t>
      </w:r>
      <w:r>
        <w:rPr>
          <w:rFonts w:hint="eastAsia"/>
          <w:sz w:val="21"/>
        </w:rPr>
        <w:t>”或“▲”指标均需提供技术支持资料。其中技术支持资料以制造商公开发布的印刷资料（产品彩页、产品说明书、产品白皮书、官网截图）、界面截图、第三方检测机构出具的检测报告或在有效期内的证书扫描件等为准，投标人可以只提供上述材料关键页的复印件，关键页需体现投标产品的品牌、规格型号、相关性能指标，相关性能指标需以醒目的方式标明招标文件技术要求对应的序号，凡不符合上述要求的视为无效技术支持资料。</w:t>
      </w:r>
    </w:p>
    <w:p w14:paraId="4EECA0D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sz w:val="21"/>
        </w:rPr>
      </w:pPr>
      <w:r>
        <w:rPr>
          <w:rFonts w:hint="eastAsia"/>
          <w:sz w:val="21"/>
        </w:rPr>
        <w:t>2、配套软件参数</w:t>
      </w:r>
    </w:p>
    <w:p w14:paraId="66E2473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sz w:val="21"/>
        </w:rPr>
      </w:pPr>
      <w:r>
        <w:rPr>
          <w:rFonts w:hint="eastAsia"/>
          <w:sz w:val="21"/>
        </w:rPr>
        <w:t>部署DeepSeek满血版和语料工具链软件平台，工具链软件平台应具备如下功能。</w:t>
      </w:r>
    </w:p>
    <w:tbl>
      <w:tblPr>
        <w:tblStyle w:val="10"/>
        <w:tblW w:w="836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481"/>
        <w:gridCol w:w="6191"/>
      </w:tblGrid>
      <w:tr w14:paraId="51BC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11D217C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b/>
                <w:bCs/>
                <w:sz w:val="21"/>
              </w:rPr>
            </w:pPr>
            <w:r>
              <w:rPr>
                <w:b/>
                <w:bCs/>
              </w:rPr>
              <w:t>序号</w:t>
            </w:r>
          </w:p>
        </w:tc>
        <w:tc>
          <w:tcPr>
            <w:tcW w:w="1481" w:type="dxa"/>
            <w:vAlign w:val="center"/>
          </w:tcPr>
          <w:p w14:paraId="43E6826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b/>
                <w:bCs/>
                <w:sz w:val="21"/>
              </w:rPr>
            </w:pPr>
            <w:r>
              <w:rPr>
                <w:rFonts w:hint="eastAsia"/>
                <w:b/>
                <w:bCs/>
              </w:rPr>
              <w:t>名称</w:t>
            </w:r>
          </w:p>
        </w:tc>
        <w:tc>
          <w:tcPr>
            <w:tcW w:w="6191" w:type="dxa"/>
            <w:vAlign w:val="center"/>
          </w:tcPr>
          <w:p w14:paraId="7D26BA0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b/>
                <w:bCs/>
                <w:sz w:val="21"/>
              </w:rPr>
            </w:pPr>
            <w:r>
              <w:rPr>
                <w:rFonts w:hint="eastAsia"/>
                <w:b/>
                <w:bCs/>
                <w:sz w:val="21"/>
              </w:rPr>
              <w:t>功能</w:t>
            </w:r>
          </w:p>
        </w:tc>
      </w:tr>
      <w:tr w14:paraId="2F4F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4F5A18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sz w:val="21"/>
              </w:rPr>
            </w:pPr>
            <w:r>
              <w:rPr>
                <w:rFonts w:hint="eastAsia"/>
                <w:sz w:val="21"/>
              </w:rPr>
              <w:t>1</w:t>
            </w:r>
          </w:p>
        </w:tc>
        <w:tc>
          <w:tcPr>
            <w:tcW w:w="1481" w:type="dxa"/>
            <w:vAlign w:val="center"/>
          </w:tcPr>
          <w:p w14:paraId="4E63A4B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sz w:val="21"/>
              </w:rPr>
            </w:pPr>
            <w:r>
              <w:rPr>
                <w:rFonts w:hint="eastAsia"/>
                <w:sz w:val="21"/>
              </w:rPr>
              <w:t>项目管理</w:t>
            </w:r>
          </w:p>
        </w:tc>
        <w:tc>
          <w:tcPr>
            <w:tcW w:w="6191" w:type="dxa"/>
          </w:tcPr>
          <w:p w14:paraId="5FB27FF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1"/>
              </w:rPr>
            </w:pPr>
            <w:r>
              <w:rPr>
                <w:rFonts w:hint="eastAsia"/>
                <w:sz w:val="21"/>
              </w:rPr>
              <w:t>聚焦项目全局视角的数据处理组织与管理：</w:t>
            </w:r>
          </w:p>
          <w:p w14:paraId="5DE3A9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1"/>
              </w:rPr>
            </w:pPr>
            <w:r>
              <w:rPr>
                <w:rFonts w:hint="eastAsia"/>
                <w:sz w:val="21"/>
              </w:rPr>
              <w:t>1）项目创建能力：支持新建项目，配置基础信息（如项目名称、负责人、计划周期等）。</w:t>
            </w:r>
          </w:p>
          <w:p w14:paraId="01E7A9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1"/>
              </w:rPr>
            </w:pPr>
            <w:r>
              <w:rPr>
                <w:rFonts w:hint="eastAsia"/>
                <w:sz w:val="21"/>
              </w:rPr>
              <w:t>2）任务拆解：支持按业务目标拆分任务，结合计划进度实现监测。</w:t>
            </w:r>
          </w:p>
        </w:tc>
      </w:tr>
      <w:tr w14:paraId="5293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20B8F2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sz w:val="21"/>
              </w:rPr>
            </w:pPr>
            <w:r>
              <w:rPr>
                <w:rFonts w:hint="eastAsia"/>
                <w:sz w:val="21"/>
              </w:rPr>
              <w:t>2</w:t>
            </w:r>
          </w:p>
        </w:tc>
        <w:tc>
          <w:tcPr>
            <w:tcW w:w="1481" w:type="dxa"/>
            <w:vAlign w:val="center"/>
          </w:tcPr>
          <w:p w14:paraId="724130C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sz w:val="21"/>
              </w:rPr>
            </w:pPr>
            <w:r>
              <w:rPr>
                <w:rFonts w:hint="eastAsia"/>
                <w:sz w:val="21"/>
              </w:rPr>
              <w:t>流程管理</w:t>
            </w:r>
          </w:p>
        </w:tc>
        <w:tc>
          <w:tcPr>
            <w:tcW w:w="6191" w:type="dxa"/>
          </w:tcPr>
          <w:p w14:paraId="49F838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1"/>
              </w:rPr>
            </w:pPr>
            <w:r>
              <w:rPr>
                <w:rFonts w:hint="eastAsia"/>
                <w:sz w:val="21"/>
              </w:rPr>
              <w:t>实现对拆分的任务进行管理。</w:t>
            </w:r>
          </w:p>
        </w:tc>
      </w:tr>
      <w:tr w14:paraId="1F02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1" w:type="dxa"/>
            <w:vAlign w:val="center"/>
          </w:tcPr>
          <w:p w14:paraId="09249FC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sz w:val="21"/>
              </w:rPr>
            </w:pPr>
            <w:r>
              <w:rPr>
                <w:rFonts w:hint="eastAsia"/>
                <w:sz w:val="21"/>
              </w:rPr>
              <w:t>3</w:t>
            </w:r>
          </w:p>
        </w:tc>
        <w:tc>
          <w:tcPr>
            <w:tcW w:w="1481" w:type="dxa"/>
            <w:vAlign w:val="center"/>
          </w:tcPr>
          <w:p w14:paraId="5D13736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sz w:val="21"/>
              </w:rPr>
            </w:pPr>
            <w:r>
              <w:rPr>
                <w:rFonts w:hint="eastAsia"/>
                <w:sz w:val="21"/>
              </w:rPr>
              <w:t>分发调度</w:t>
            </w:r>
          </w:p>
        </w:tc>
        <w:tc>
          <w:tcPr>
            <w:tcW w:w="6191" w:type="dxa"/>
          </w:tcPr>
          <w:p w14:paraId="4E403BB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1"/>
              </w:rPr>
            </w:pPr>
            <w:r>
              <w:rPr>
                <w:rFonts w:hint="eastAsia"/>
                <w:sz w:val="21"/>
              </w:rPr>
              <w:t>面向多角色与资源的高效任务分发与管理：</w:t>
            </w:r>
          </w:p>
          <w:p w14:paraId="1140E0B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1"/>
              </w:rPr>
            </w:pPr>
            <w:r>
              <w:rPr>
                <w:rFonts w:hint="eastAsia"/>
                <w:sz w:val="21"/>
              </w:rPr>
              <w:t>1）人员授权与权限管理：细粒度权限控制与批量授权支持。</w:t>
            </w:r>
          </w:p>
          <w:p w14:paraId="00FA57A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1"/>
              </w:rPr>
            </w:pPr>
            <w:r>
              <w:rPr>
                <w:rFonts w:hint="eastAsia"/>
                <w:sz w:val="21"/>
              </w:rPr>
              <w:t>2）智能算子分发：基于不同算子的智能匹配与调度。</w:t>
            </w:r>
          </w:p>
        </w:tc>
      </w:tr>
      <w:tr w14:paraId="0119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37DDC07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sz w:val="21"/>
              </w:rPr>
            </w:pPr>
            <w:r>
              <w:rPr>
                <w:rFonts w:hint="eastAsia"/>
                <w:sz w:val="21"/>
              </w:rPr>
              <w:t>4</w:t>
            </w:r>
          </w:p>
        </w:tc>
        <w:tc>
          <w:tcPr>
            <w:tcW w:w="1481" w:type="dxa"/>
            <w:vAlign w:val="center"/>
          </w:tcPr>
          <w:p w14:paraId="512D26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sz w:val="21"/>
              </w:rPr>
            </w:pPr>
            <w:r>
              <w:rPr>
                <w:rFonts w:hint="eastAsia"/>
                <w:sz w:val="21"/>
              </w:rPr>
              <w:t>模版管理</w:t>
            </w:r>
          </w:p>
        </w:tc>
        <w:tc>
          <w:tcPr>
            <w:tcW w:w="6191" w:type="dxa"/>
          </w:tcPr>
          <w:p w14:paraId="4C30A43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1"/>
              </w:rPr>
            </w:pPr>
            <w:r>
              <w:rPr>
                <w:rFonts w:hint="eastAsia"/>
                <w:sz w:val="21"/>
              </w:rPr>
              <w:t>支持文本、图片的模板处理</w:t>
            </w:r>
          </w:p>
        </w:tc>
      </w:tr>
      <w:tr w14:paraId="4181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5232DF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sz w:val="21"/>
              </w:rPr>
            </w:pPr>
            <w:r>
              <w:rPr>
                <w:rFonts w:hint="eastAsia"/>
                <w:sz w:val="21"/>
              </w:rPr>
              <w:t>5</w:t>
            </w:r>
          </w:p>
        </w:tc>
        <w:tc>
          <w:tcPr>
            <w:tcW w:w="1481" w:type="dxa"/>
            <w:vAlign w:val="center"/>
          </w:tcPr>
          <w:p w14:paraId="04C5485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sz w:val="21"/>
              </w:rPr>
            </w:pPr>
            <w:r>
              <w:rPr>
                <w:rFonts w:hint="eastAsia"/>
                <w:sz w:val="21"/>
              </w:rPr>
              <w:t>算子管理</w:t>
            </w:r>
          </w:p>
        </w:tc>
        <w:tc>
          <w:tcPr>
            <w:tcW w:w="6191" w:type="dxa"/>
          </w:tcPr>
          <w:p w14:paraId="1F75DEB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1"/>
              </w:rPr>
            </w:pPr>
            <w:r>
              <w:rPr>
                <w:rFonts w:hint="eastAsia"/>
                <w:sz w:val="21"/>
              </w:rPr>
              <w:t>支撑平台智能化处理能力的可扩展算子体系：</w:t>
            </w:r>
          </w:p>
          <w:p w14:paraId="07EEF96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1"/>
              </w:rPr>
            </w:pPr>
            <w:r>
              <w:rPr>
                <w:rFonts w:hint="eastAsia"/>
                <w:sz w:val="21"/>
              </w:rPr>
              <w:t>1）算子注册与规范化接入：标准化接入接口与使用流程。</w:t>
            </w:r>
          </w:p>
          <w:p w14:paraId="75E2270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1"/>
              </w:rPr>
            </w:pPr>
            <w:r>
              <w:rPr>
                <w:rFonts w:hint="eastAsia"/>
                <w:sz w:val="21"/>
              </w:rPr>
              <w:t>2）算子试运行：提供demo验证能力，降低接入门槛。</w:t>
            </w:r>
          </w:p>
          <w:p w14:paraId="000100A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1"/>
              </w:rPr>
            </w:pPr>
            <w:r>
              <w:rPr>
                <w:rFonts w:hint="eastAsia"/>
                <w:sz w:val="21"/>
              </w:rPr>
              <w:t>3）算子管理列表：统一管理平台可用的清洗、标注、评测等类型算子。</w:t>
            </w:r>
          </w:p>
        </w:tc>
      </w:tr>
      <w:tr w14:paraId="3154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311449B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sz w:val="21"/>
              </w:rPr>
            </w:pPr>
            <w:r>
              <w:rPr>
                <w:rFonts w:hint="eastAsia"/>
                <w:sz w:val="21"/>
              </w:rPr>
              <w:t>6</w:t>
            </w:r>
          </w:p>
        </w:tc>
        <w:tc>
          <w:tcPr>
            <w:tcW w:w="1481" w:type="dxa"/>
            <w:vAlign w:val="center"/>
          </w:tcPr>
          <w:p w14:paraId="725C87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sz w:val="21"/>
              </w:rPr>
            </w:pPr>
            <w:r>
              <w:rPr>
                <w:rFonts w:hint="eastAsia"/>
                <w:sz w:val="21"/>
              </w:rPr>
              <w:t>数据管理</w:t>
            </w:r>
          </w:p>
        </w:tc>
        <w:tc>
          <w:tcPr>
            <w:tcW w:w="6191" w:type="dxa"/>
          </w:tcPr>
          <w:p w14:paraId="62D2EEF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1"/>
              </w:rPr>
            </w:pPr>
            <w:r>
              <w:rPr>
                <w:rFonts w:hint="eastAsia"/>
                <w:sz w:val="21"/>
              </w:rPr>
              <w:t>围绕数据流转全流程的管理与转换支持：</w:t>
            </w:r>
          </w:p>
          <w:p w14:paraId="51270A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1"/>
              </w:rPr>
            </w:pPr>
            <w:r>
              <w:rPr>
                <w:rFonts w:hint="eastAsia"/>
                <w:sz w:val="21"/>
              </w:rPr>
              <w:t>1）数据上传与下载：支持表格、本地数据的上传，以及结果数据的导出。</w:t>
            </w:r>
          </w:p>
          <w:p w14:paraId="61D7DD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1"/>
              </w:rPr>
            </w:pPr>
            <w:r>
              <w:rPr>
                <w:rFonts w:hint="eastAsia"/>
                <w:sz w:val="21"/>
              </w:rPr>
              <w:t>2）数据规范化：确保数据在输入、处理、输出过程中的一致性和标准化。</w:t>
            </w:r>
          </w:p>
        </w:tc>
      </w:tr>
      <w:tr w14:paraId="5106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1" w:type="dxa"/>
            <w:vAlign w:val="center"/>
          </w:tcPr>
          <w:p w14:paraId="19B33D6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sz w:val="21"/>
              </w:rPr>
            </w:pPr>
            <w:r>
              <w:rPr>
                <w:rFonts w:hint="eastAsia"/>
                <w:sz w:val="21"/>
              </w:rPr>
              <w:t>7</w:t>
            </w:r>
          </w:p>
        </w:tc>
        <w:tc>
          <w:tcPr>
            <w:tcW w:w="1481" w:type="dxa"/>
            <w:vAlign w:val="center"/>
          </w:tcPr>
          <w:p w14:paraId="0C480F7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sz w:val="21"/>
              </w:rPr>
            </w:pPr>
            <w:r>
              <w:rPr>
                <w:rFonts w:hint="eastAsia"/>
                <w:sz w:val="21"/>
              </w:rPr>
              <w:t>作业管理能力</w:t>
            </w:r>
          </w:p>
        </w:tc>
        <w:tc>
          <w:tcPr>
            <w:tcW w:w="6191" w:type="dxa"/>
          </w:tcPr>
          <w:p w14:paraId="4385D05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1"/>
              </w:rPr>
            </w:pPr>
            <w:r>
              <w:rPr>
                <w:rFonts w:hint="eastAsia"/>
                <w:sz w:val="21"/>
              </w:rPr>
              <w:t>面向任务执行人员的数据处理操作与任务跟踪：</w:t>
            </w:r>
          </w:p>
          <w:p w14:paraId="7F95CB4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1"/>
              </w:rPr>
            </w:pPr>
            <w:r>
              <w:rPr>
                <w:rFonts w:hint="eastAsia"/>
                <w:sz w:val="21"/>
              </w:rPr>
              <w:t>1）任务列表与进度跟踪：支持多任务状态管理和数据处理进度查看。</w:t>
            </w:r>
          </w:p>
          <w:p w14:paraId="30A5504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1"/>
              </w:rPr>
            </w:pPr>
            <w:r>
              <w:rPr>
                <w:rFonts w:hint="eastAsia"/>
                <w:sz w:val="21"/>
              </w:rPr>
              <w:t>2）任务角色管理：涵盖我的任务、参与任务、返修任务、押后任务等全生命周期管理。</w:t>
            </w:r>
          </w:p>
        </w:tc>
      </w:tr>
    </w:tbl>
    <w:p w14:paraId="745B458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1"/>
        </w:rPr>
      </w:pPr>
    </w:p>
    <w:p w14:paraId="6C886885">
      <w:pPr>
        <w:pStyle w:val="27"/>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sz w:val="21"/>
        </w:rPr>
      </w:pPr>
      <w:r>
        <w:rPr>
          <w:b/>
          <w:sz w:val="21"/>
        </w:rPr>
        <w:t>交付要求</w:t>
      </w:r>
    </w:p>
    <w:p w14:paraId="481EB3F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2"/>
        <w:rPr>
          <w:rFonts w:ascii="Times New Roman" w:hAnsi="Times New Roman" w:eastAsia="Times New Roman" w:cs="Times New Roman"/>
          <w:b/>
          <w:color w:val="FF0000"/>
          <w:sz w:val="21"/>
          <w:lang w:val="en-US" w:bidi="en-US"/>
        </w:rPr>
      </w:pPr>
      <w:r>
        <w:rPr>
          <w:b/>
          <w:sz w:val="21"/>
        </w:rPr>
        <w:t>（一）</w:t>
      </w:r>
      <w:r>
        <w:rPr>
          <w:rFonts w:hint="eastAsia"/>
          <w:b/>
          <w:sz w:val="21"/>
        </w:rPr>
        <w:t>实施要求</w:t>
      </w:r>
    </w:p>
    <w:p w14:paraId="5CEB2275">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rFonts w:hint="eastAsia" w:eastAsia="宋体"/>
          <w:sz w:val="21"/>
          <w:lang w:val="en-US" w:eastAsia="zh-CN" w:bidi="en-US"/>
        </w:rPr>
      </w:pPr>
      <w:r>
        <w:rPr>
          <w:sz w:val="21"/>
        </w:rPr>
        <w:t>1.供应商需安排一名项目经理，负责协调整个项目的进程和各方人力资源，并同采购人密切合作使项目能够保质保量地按时完成。</w:t>
      </w:r>
      <w:r>
        <w:rPr>
          <w:rFonts w:hint="eastAsia"/>
          <w:sz w:val="21"/>
        </w:rPr>
        <w:t>项目经理具有信息系统项目管理师（高级）证书优先考虑。承诺在产品安装及试运行期间，至少安排1名技术人员提供为期6个月的驻场技术支持服务且不得调换</w:t>
      </w:r>
      <w:r>
        <w:rPr>
          <w:rFonts w:hint="eastAsia"/>
          <w:sz w:val="21"/>
          <w:lang w:eastAsia="zh-CN"/>
        </w:rPr>
        <w:t>优先考虑。</w:t>
      </w:r>
    </w:p>
    <w:p w14:paraId="4395DBE3">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bidi="en-US"/>
        </w:rPr>
      </w:pPr>
      <w:r>
        <w:rPr>
          <w:sz w:val="21"/>
        </w:rPr>
        <w:t>2.供应商需</w:t>
      </w:r>
      <w:r>
        <w:rPr>
          <w:rFonts w:hint="eastAsia"/>
          <w:sz w:val="21"/>
        </w:rPr>
        <w:t>对提供的软硬件设备</w:t>
      </w:r>
      <w:r>
        <w:rPr>
          <w:sz w:val="21"/>
        </w:rPr>
        <w:t>进行安装，期间相关人员应保持密切接触，及时沟通信息，通报进展情况。</w:t>
      </w:r>
    </w:p>
    <w:p w14:paraId="67217731">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bidi="en-US"/>
        </w:rPr>
      </w:pPr>
      <w:r>
        <w:rPr>
          <w:sz w:val="21"/>
        </w:rPr>
        <w:t>3.供应商按磋商文件要求的时间计划安排足够的项目工程师配合设备安装、联调和验收。</w:t>
      </w:r>
    </w:p>
    <w:p w14:paraId="09E689F1">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bidi="en-US"/>
        </w:rPr>
      </w:pPr>
      <w:r>
        <w:rPr>
          <w:sz w:val="21"/>
        </w:rPr>
        <w:t>4.供应商按采购人需求提供相应的技术文档、测试文档及其它相应文件。</w:t>
      </w:r>
    </w:p>
    <w:p w14:paraId="6C468EAE">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bidi="en-US"/>
        </w:rPr>
      </w:pPr>
      <w:r>
        <w:rPr>
          <w:sz w:val="21"/>
        </w:rPr>
        <w:t>5.供应商在项目执行期内，提供</w:t>
      </w:r>
      <w:r>
        <w:rPr>
          <w:rFonts w:hint="eastAsia"/>
          <w:sz w:val="21"/>
        </w:rPr>
        <w:t>现场的</w:t>
      </w:r>
      <w:r>
        <w:rPr>
          <w:sz w:val="21"/>
        </w:rPr>
        <w:t>维护技术支持。</w:t>
      </w:r>
    </w:p>
    <w:p w14:paraId="69DCA8E3">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bidi="en-US"/>
        </w:rPr>
      </w:pPr>
      <w:r>
        <w:rPr>
          <w:sz w:val="21"/>
        </w:rPr>
        <w:t>6.如产品出现问题，供应商协助进行硬件更换服务。</w:t>
      </w:r>
    </w:p>
    <w:p w14:paraId="5147FA16">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bidi="en-US"/>
        </w:rPr>
      </w:pPr>
      <w:r>
        <w:rPr>
          <w:sz w:val="21"/>
        </w:rPr>
        <w:t>7.如采购人没有按时提供场地空间、互联互通链路、配套设备等资源，供应商应尽力调整实施顺序、人员配备，尽量按照整体进度要求完成。</w:t>
      </w:r>
    </w:p>
    <w:p w14:paraId="5151EDDD">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bidi="en-US"/>
        </w:rPr>
      </w:pPr>
      <w:r>
        <w:rPr>
          <w:sz w:val="21"/>
        </w:rPr>
        <w:t>8.供应商需安排人员在现场向采购人介绍各设备的有关知识，但不作为正式培训的内容。</w:t>
      </w:r>
    </w:p>
    <w:p w14:paraId="4F1F294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2"/>
        <w:rPr>
          <w:rFonts w:ascii="Times New Roman" w:hAnsi="Times New Roman" w:eastAsia="Times New Roman" w:cs="Times New Roman"/>
          <w:b/>
          <w:sz w:val="21"/>
          <w:lang w:val="en-US" w:bidi="en-US"/>
        </w:rPr>
      </w:pPr>
      <w:r>
        <w:rPr>
          <w:b/>
          <w:sz w:val="21"/>
        </w:rPr>
        <w:t>（二）进度计划</w:t>
      </w:r>
      <w:r>
        <w:rPr>
          <w:rFonts w:hint="eastAsia"/>
          <w:b/>
          <w:color w:val="FF0000"/>
          <w:sz w:val="21"/>
        </w:rPr>
        <w:t xml:space="preserve"> </w:t>
      </w:r>
    </w:p>
    <w:p w14:paraId="797E60A7">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bidi="en-US"/>
        </w:rPr>
      </w:pPr>
      <w:r>
        <w:rPr>
          <w:sz w:val="21"/>
        </w:rPr>
        <w:t>1.设备到货后3天内，派遣不少于2名工程师</w:t>
      </w:r>
      <w:bookmarkStart w:id="0" w:name="_Hlk201762389"/>
      <w:r>
        <w:rPr>
          <w:rFonts w:hint="eastAsia"/>
          <w:sz w:val="21"/>
        </w:rPr>
        <w:t>（需具备人工智能数据标注职业技能证书且本单位社保缴纳证明）</w:t>
      </w:r>
      <w:bookmarkEnd w:id="0"/>
      <w:r>
        <w:rPr>
          <w:sz w:val="21"/>
        </w:rPr>
        <w:t>进行设备的安装、调试、全网联调等工作。</w:t>
      </w:r>
    </w:p>
    <w:p w14:paraId="004ECFC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2"/>
        <w:rPr>
          <w:rFonts w:ascii="Times New Roman" w:hAnsi="Times New Roman" w:eastAsia="Times New Roman" w:cs="Times New Roman"/>
          <w:b/>
          <w:sz w:val="21"/>
          <w:lang w:val="en-US" w:bidi="en-US"/>
        </w:rPr>
      </w:pPr>
      <w:r>
        <w:rPr>
          <w:b/>
          <w:sz w:val="21"/>
        </w:rPr>
        <w:t>（三）技术文档</w:t>
      </w:r>
      <w:r>
        <w:rPr>
          <w:rFonts w:hint="eastAsia"/>
          <w:b/>
          <w:color w:val="FF0000"/>
          <w:sz w:val="21"/>
        </w:rPr>
        <w:t xml:space="preserve"> </w:t>
      </w:r>
    </w:p>
    <w:p w14:paraId="6A867297">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bidi="en-US"/>
        </w:rPr>
      </w:pPr>
      <w:r>
        <w:rPr>
          <w:sz w:val="21"/>
        </w:rPr>
        <w:t xml:space="preserve">1.供应商须提供设备的主要技术资料（包括随机提供资料）。 </w:t>
      </w:r>
    </w:p>
    <w:p w14:paraId="42E6EE83">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bidi="en-US"/>
        </w:rPr>
      </w:pPr>
      <w:r>
        <w:rPr>
          <w:sz w:val="21"/>
        </w:rPr>
        <w:t>2.供应商须提供</w:t>
      </w:r>
      <w:r>
        <w:rPr>
          <w:rFonts w:hint="eastAsia"/>
          <w:sz w:val="21"/>
        </w:rPr>
        <w:t>设备</w:t>
      </w:r>
      <w:r>
        <w:rPr>
          <w:sz w:val="21"/>
        </w:rPr>
        <w:t>配置说明书和使用说明书。</w:t>
      </w:r>
    </w:p>
    <w:p w14:paraId="3058EFC8">
      <w:pPr>
        <w:pStyle w:val="3"/>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bidi="en-US"/>
        </w:rPr>
      </w:pPr>
      <w:r>
        <w:rPr>
          <w:sz w:val="21"/>
        </w:rPr>
        <w:t>3.供应商提供的所有业务技术资料、文档，供应商有责任对第三方保密。</w:t>
      </w:r>
    </w:p>
    <w:p w14:paraId="5EF39D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2"/>
        <w:rPr>
          <w:rFonts w:ascii="Times New Roman" w:hAnsi="Times New Roman" w:eastAsia="Times New Roman" w:cs="Times New Roman"/>
          <w:b/>
          <w:sz w:val="21"/>
          <w:lang w:val="en-US" w:bidi="en-US"/>
        </w:rPr>
      </w:pPr>
      <w:r>
        <w:rPr>
          <w:b/>
          <w:sz w:val="21"/>
        </w:rPr>
        <w:t>（四）项目管理要求</w:t>
      </w:r>
      <w:r>
        <w:rPr>
          <w:rFonts w:hint="eastAsia"/>
          <w:b/>
          <w:sz w:val="21"/>
        </w:rPr>
        <w:t xml:space="preserve"> </w:t>
      </w:r>
    </w:p>
    <w:p w14:paraId="42ED38A6">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rPr>
      </w:pPr>
      <w:r>
        <w:rPr>
          <w:sz w:val="21"/>
        </w:rPr>
        <w:t>供应商应针对本项目硬件到货、设备安装、设备验收等各个阶段的各项工作进行全面细致的考虑，提交科学严谨而又切实可行的项目管理方案。</w:t>
      </w:r>
    </w:p>
    <w:p w14:paraId="21A2FE4A">
      <w:pPr>
        <w:pStyle w:val="3"/>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rPr>
          <w:sz w:val="21"/>
          <w:lang w:val="en-US"/>
        </w:rPr>
      </w:pPr>
      <w:r>
        <w:rPr>
          <w:rFonts w:hint="eastAsia"/>
          <w:sz w:val="21"/>
          <w:lang w:val="en-US"/>
        </w:rPr>
        <w:t>供应商能力要求</w:t>
      </w:r>
    </w:p>
    <w:p w14:paraId="05022963">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rPr>
      </w:pPr>
      <w:r>
        <w:rPr>
          <w:rFonts w:hint="eastAsia"/>
          <w:sz w:val="21"/>
          <w:lang w:val="en-US"/>
        </w:rPr>
        <w:t>供应商具有ISO9001质量管理体系认证证书、ISO27001信息安全管理体系认证证书、ISO20000信息技术服务管理体系标准证书的优先考虑。</w:t>
      </w:r>
    </w:p>
    <w:p w14:paraId="3EFA7FE6">
      <w:pPr>
        <w:pStyle w:val="27"/>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sz w:val="21"/>
        </w:rPr>
      </w:pPr>
      <w:r>
        <w:rPr>
          <w:b/>
          <w:sz w:val="21"/>
        </w:rPr>
        <w:t>技术服务要求</w:t>
      </w:r>
    </w:p>
    <w:p w14:paraId="2B09789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sz w:val="21"/>
          <w:lang w:val="en-US" w:bidi="en-US"/>
        </w:rPr>
      </w:pPr>
      <w:r>
        <w:rPr>
          <w:sz w:val="21"/>
        </w:rPr>
        <w:t>1.</w:t>
      </w:r>
      <w:r>
        <w:rPr>
          <w:rFonts w:hint="eastAsia"/>
          <w:sz w:val="21"/>
        </w:rPr>
        <w:t>投标人</w:t>
      </w:r>
      <w:r>
        <w:rPr>
          <w:sz w:val="21"/>
        </w:rPr>
        <w:t>应说明其技术维护队伍、机构设置情况及服务模式，并详细说明技术指导和技术支持的程度。</w:t>
      </w:r>
    </w:p>
    <w:p w14:paraId="256411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sz w:val="21"/>
          <w:lang w:val="en-US" w:bidi="en-US"/>
        </w:rPr>
      </w:pPr>
      <w:r>
        <w:rPr>
          <w:sz w:val="21"/>
        </w:rPr>
        <w:t>2.</w:t>
      </w:r>
      <w:r>
        <w:rPr>
          <w:rFonts w:hint="eastAsia"/>
          <w:sz w:val="21"/>
        </w:rPr>
        <w:t>投标人</w:t>
      </w:r>
      <w:r>
        <w:rPr>
          <w:sz w:val="21"/>
        </w:rPr>
        <w:t>应对其在售后服务、技术支持方面的情况作出说明。在</w:t>
      </w:r>
      <w:r>
        <w:rPr>
          <w:rFonts w:hint="eastAsia"/>
          <w:sz w:val="21"/>
        </w:rPr>
        <w:t>本地</w:t>
      </w:r>
      <w:r>
        <w:rPr>
          <w:sz w:val="21"/>
        </w:rPr>
        <w:t>有无技术支持中心，地点设在何处。</w:t>
      </w:r>
    </w:p>
    <w:p w14:paraId="0AF1AB0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sz w:val="21"/>
          <w:lang w:val="en-US" w:bidi="en-US"/>
        </w:rPr>
      </w:pPr>
      <w:r>
        <w:rPr>
          <w:sz w:val="21"/>
        </w:rPr>
        <w:t>3.</w:t>
      </w:r>
      <w:r>
        <w:rPr>
          <w:rFonts w:hint="eastAsia"/>
          <w:sz w:val="21"/>
        </w:rPr>
        <w:t>中标供应商</w:t>
      </w:r>
      <w:r>
        <w:rPr>
          <w:sz w:val="21"/>
        </w:rPr>
        <w:t>应提供</w:t>
      </w:r>
      <w:r>
        <w:rPr>
          <w:rFonts w:hint="eastAsia"/>
          <w:sz w:val="21"/>
        </w:rPr>
        <w:t>7</w:t>
      </w:r>
      <w:r>
        <w:rPr>
          <w:sz w:val="21"/>
        </w:rPr>
        <w:t>×</w:t>
      </w:r>
      <w:r>
        <w:rPr>
          <w:rFonts w:hint="eastAsia"/>
          <w:sz w:val="21"/>
        </w:rPr>
        <w:t>24</w:t>
      </w:r>
      <w:r>
        <w:rPr>
          <w:sz w:val="21"/>
        </w:rPr>
        <w:t>小时的故障响应服务</w:t>
      </w:r>
      <w:r>
        <w:rPr>
          <w:rFonts w:hint="eastAsia"/>
          <w:sz w:val="21"/>
        </w:rPr>
        <w:t>，7</w:t>
      </w:r>
      <w:r>
        <w:rPr>
          <w:sz w:val="21"/>
        </w:rPr>
        <w:t>×</w:t>
      </w:r>
      <w:r>
        <w:rPr>
          <w:rFonts w:hint="eastAsia"/>
          <w:sz w:val="21"/>
        </w:rPr>
        <w:t>24</w:t>
      </w:r>
      <w:r>
        <w:rPr>
          <w:sz w:val="21"/>
        </w:rPr>
        <w:t>小时技术咨询和支持服务，采购人就</w:t>
      </w:r>
      <w:r>
        <w:rPr>
          <w:rFonts w:hint="eastAsia"/>
          <w:sz w:val="21"/>
        </w:rPr>
        <w:t>本项目</w:t>
      </w:r>
      <w:r>
        <w:rPr>
          <w:sz w:val="21"/>
        </w:rPr>
        <w:t>召集的技术方案讨论会、故障分析会、组织实施协调会、测试验收会等，供应商应积极协调相关资源予以配合。</w:t>
      </w:r>
    </w:p>
    <w:p w14:paraId="743BF4E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sz w:val="21"/>
          <w:lang w:val="en-US" w:bidi="en-US"/>
        </w:rPr>
      </w:pPr>
      <w:r>
        <w:rPr>
          <w:rFonts w:hint="eastAsia"/>
          <w:sz w:val="21"/>
          <w:lang w:val="en-US"/>
        </w:rPr>
        <w:t>4</w:t>
      </w:r>
      <w:r>
        <w:rPr>
          <w:sz w:val="21"/>
        </w:rPr>
        <w:t>.</w:t>
      </w:r>
      <w:r>
        <w:rPr>
          <w:rFonts w:hint="eastAsia"/>
          <w:sz w:val="21"/>
        </w:rPr>
        <w:t>中标供应商</w:t>
      </w:r>
      <w:r>
        <w:rPr>
          <w:sz w:val="21"/>
        </w:rPr>
        <w:t>应提供设备安装调试时所需的工程设计资料，包括技术咨询、技术资料、设备技术说明书、使用说明书、维护说明书等，需作为验收材料在项目上线前交付。</w:t>
      </w:r>
    </w:p>
    <w:p w14:paraId="3B3014D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sz w:val="21"/>
          <w:lang w:val="en-US" w:bidi="en-US"/>
        </w:rPr>
      </w:pPr>
      <w:r>
        <w:rPr>
          <w:sz w:val="21"/>
        </w:rPr>
        <w:t>6.在平台</w:t>
      </w:r>
      <w:r>
        <w:rPr>
          <w:rFonts w:hint="eastAsia"/>
          <w:sz w:val="21"/>
        </w:rPr>
        <w:t>安装及</w:t>
      </w:r>
      <w:r>
        <w:rPr>
          <w:sz w:val="21"/>
        </w:rPr>
        <w:t>试运行期间，要求</w:t>
      </w:r>
      <w:r>
        <w:rPr>
          <w:rFonts w:hint="eastAsia"/>
          <w:sz w:val="21"/>
        </w:rPr>
        <w:t>供应商</w:t>
      </w:r>
      <w:r>
        <w:rPr>
          <w:sz w:val="21"/>
        </w:rPr>
        <w:t>至少设有1</w:t>
      </w:r>
      <w:r>
        <w:rPr>
          <w:rFonts w:hint="eastAsia"/>
          <w:sz w:val="21"/>
        </w:rPr>
        <w:t>名技术人员（该技术人员需具备人工智能数据标注职业技能证书且本单位社保缴纳证明）为期6个月的驻场</w:t>
      </w:r>
      <w:r>
        <w:rPr>
          <w:sz w:val="21"/>
        </w:rPr>
        <w:t>技术支持</w:t>
      </w:r>
      <w:r>
        <w:rPr>
          <w:rFonts w:hint="eastAsia"/>
          <w:sz w:val="21"/>
        </w:rPr>
        <w:t>服务</w:t>
      </w:r>
      <w:r>
        <w:rPr>
          <w:sz w:val="21"/>
        </w:rPr>
        <w:t>。在平台安装和系统调测期间，采购人有权派出技术人员参加，</w:t>
      </w:r>
      <w:r>
        <w:rPr>
          <w:rFonts w:hint="eastAsia"/>
          <w:sz w:val="21"/>
        </w:rPr>
        <w:t>供应商</w:t>
      </w:r>
      <w:r>
        <w:rPr>
          <w:sz w:val="21"/>
        </w:rPr>
        <w:t>有义务对其进行指导。</w:t>
      </w:r>
    </w:p>
    <w:p w14:paraId="3E9B855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sz w:val="21"/>
          <w:lang w:val="en-US" w:bidi="en-US"/>
        </w:rPr>
      </w:pPr>
      <w:r>
        <w:rPr>
          <w:sz w:val="21"/>
        </w:rPr>
        <w:t>7.</w:t>
      </w:r>
      <w:r>
        <w:rPr>
          <w:rFonts w:hint="eastAsia"/>
          <w:sz w:val="21"/>
        </w:rPr>
        <w:t>中标供应商</w:t>
      </w:r>
      <w:r>
        <w:rPr>
          <w:sz w:val="21"/>
        </w:rPr>
        <w:t>应根据合同规定将要安装和调试资料提前一周单独发往安装现场，并提供实用齐全的全套随机技术资料，包括维护命令手册、测试手册、设备说明书、硬件工作原理等。</w:t>
      </w:r>
    </w:p>
    <w:p w14:paraId="6F575EA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sz w:val="21"/>
          <w:lang w:val="en-US" w:bidi="en-US"/>
        </w:rPr>
      </w:pPr>
      <w:r>
        <w:rPr>
          <w:sz w:val="21"/>
        </w:rPr>
        <w:t>8.</w:t>
      </w:r>
      <w:r>
        <w:rPr>
          <w:rFonts w:hint="eastAsia"/>
          <w:sz w:val="21"/>
        </w:rPr>
        <w:t>中标供应商</w:t>
      </w:r>
      <w:r>
        <w:rPr>
          <w:sz w:val="21"/>
        </w:rPr>
        <w:t>应提供技术服务流程，技术服务内容</w:t>
      </w:r>
      <w:r>
        <w:rPr>
          <w:rFonts w:hint="eastAsia"/>
          <w:sz w:val="21"/>
        </w:rPr>
        <w:t>等。</w:t>
      </w:r>
      <w:r>
        <w:rPr>
          <w:rFonts w:hint="eastAsia"/>
          <w:sz w:val="21"/>
          <w:lang w:val="en-US" w:bidi="en-US"/>
        </w:rPr>
        <w:t xml:space="preserve"> </w:t>
      </w:r>
    </w:p>
    <w:p w14:paraId="05D6224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sz w:val="21"/>
          <w:lang w:val="en-US" w:bidi="en-US"/>
        </w:rPr>
      </w:pPr>
      <w:r>
        <w:rPr>
          <w:sz w:val="21"/>
        </w:rPr>
        <w:t>9.在合同签订后，需召开采购人和</w:t>
      </w:r>
      <w:r>
        <w:rPr>
          <w:rFonts w:hint="eastAsia"/>
          <w:sz w:val="21"/>
        </w:rPr>
        <w:t>中标供应商</w:t>
      </w:r>
      <w:r>
        <w:rPr>
          <w:sz w:val="21"/>
        </w:rPr>
        <w:t>双方参加的技术联络会，检查在技术配合、双方执行合同方面的进展情况，并解决预料之外问题。联络会时间、地点待定，供应商可在进度排中提出建议。</w:t>
      </w:r>
    </w:p>
    <w:p w14:paraId="02EDC4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sz w:val="21"/>
          <w:lang w:val="en-US" w:bidi="en-US"/>
        </w:rPr>
      </w:pPr>
      <w:r>
        <w:rPr>
          <w:sz w:val="21"/>
        </w:rPr>
        <w:t>10.应急服务要求：</w:t>
      </w:r>
    </w:p>
    <w:p w14:paraId="76A793D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sz w:val="21"/>
          <w:lang w:val="en-US" w:bidi="en-US"/>
        </w:rPr>
      </w:pPr>
      <w:r>
        <w:rPr>
          <w:sz w:val="21"/>
        </w:rPr>
        <w:t>（1）现场服务：紧急情况立即赶往现场，1小时内到达；要求提供硬件更换现场服务；</w:t>
      </w:r>
    </w:p>
    <w:p w14:paraId="15E00C6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sz w:val="21"/>
          <w:lang w:val="en-US" w:bidi="en-US"/>
        </w:rPr>
      </w:pPr>
      <w:r>
        <w:rPr>
          <w:sz w:val="21"/>
        </w:rPr>
        <w:t>注：紧急情况定义：系统中断或存在中断隐患，承载的某项中断或存在中断隐患。</w:t>
      </w:r>
    </w:p>
    <w:p w14:paraId="4F48C61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sz w:val="21"/>
          <w:lang w:val="en-US" w:bidi="en-US"/>
        </w:rPr>
      </w:pPr>
      <w:r>
        <w:rPr>
          <w:sz w:val="21"/>
        </w:rPr>
        <w:t>（2）</w:t>
      </w:r>
      <w:r>
        <w:rPr>
          <w:rFonts w:hint="eastAsia"/>
          <w:sz w:val="21"/>
        </w:rPr>
        <w:t>中标供应商</w:t>
      </w:r>
      <w:r>
        <w:rPr>
          <w:sz w:val="21"/>
        </w:rPr>
        <w:t>在特别通信保障期间第一时间响应采购人维保需求；节假日期间故障均按工作日故障进行响应和实施；按采购人要求安排远程值守人员；当业务受到影响时，应按照“先抢通业务”的原则进行故障处理。</w:t>
      </w:r>
    </w:p>
    <w:p w14:paraId="35E3AE01">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bidi="en-US"/>
        </w:rPr>
      </w:pPr>
      <w:r>
        <w:rPr>
          <w:sz w:val="21"/>
        </w:rPr>
        <w:t>11.供应商应提交其参加本项目的项目组人员配置名单及各阶段现场技术人员的配置说明。</w:t>
      </w:r>
    </w:p>
    <w:p w14:paraId="7A9733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sz w:val="21"/>
          <w:lang w:val="en-US" w:bidi="en-US"/>
        </w:rPr>
      </w:pPr>
      <w:r>
        <w:rPr>
          <w:sz w:val="21"/>
        </w:rPr>
        <w:t>12.</w:t>
      </w:r>
      <w:r>
        <w:rPr>
          <w:rFonts w:hint="eastAsia"/>
          <w:sz w:val="21"/>
        </w:rPr>
        <w:t>中标供应商</w:t>
      </w:r>
      <w:r>
        <w:rPr>
          <w:sz w:val="21"/>
        </w:rPr>
        <w:t>需在采购人要求的基础上提供针对该项目的详细、具体的技术支持方案、故障响应流程说明，方案和流程需具有高效性和合理性。</w:t>
      </w:r>
    </w:p>
    <w:p w14:paraId="15AB3EB4">
      <w:pPr>
        <w:pStyle w:val="27"/>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sz w:val="21"/>
        </w:rPr>
      </w:pPr>
      <w:r>
        <w:rPr>
          <w:b/>
          <w:sz w:val="21"/>
        </w:rPr>
        <w:t>售后服务要求</w:t>
      </w:r>
    </w:p>
    <w:p w14:paraId="65914359">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bidi="en-US"/>
        </w:rPr>
      </w:pPr>
      <w:r>
        <w:rPr>
          <w:sz w:val="21"/>
        </w:rPr>
        <w:t>1.供应商应提供自验收完成之日起不少</w:t>
      </w:r>
      <w:r>
        <w:rPr>
          <w:rFonts w:hint="eastAsia"/>
          <w:sz w:val="21"/>
        </w:rPr>
        <w:t>3</w:t>
      </w:r>
      <w:r>
        <w:rPr>
          <w:sz w:val="21"/>
        </w:rPr>
        <w:t>年的</w:t>
      </w:r>
      <w:r>
        <w:rPr>
          <w:rFonts w:hint="eastAsia"/>
          <w:sz w:val="21"/>
        </w:rPr>
        <w:t>原厂质保</w:t>
      </w:r>
      <w:r>
        <w:rPr>
          <w:sz w:val="21"/>
        </w:rPr>
        <w:t xml:space="preserve">。 </w:t>
      </w:r>
    </w:p>
    <w:p w14:paraId="10D1A3DF">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bidi="en-US"/>
        </w:rPr>
      </w:pPr>
      <w:r>
        <w:rPr>
          <w:sz w:val="21"/>
        </w:rPr>
        <w:t>2.供应商应提供技术服务流程，技术服务内容和范围，若保修期内与保修期外不同，则应分别列出。</w:t>
      </w:r>
    </w:p>
    <w:p w14:paraId="55886320">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bidi="en-US"/>
        </w:rPr>
      </w:pPr>
      <w:r>
        <w:rPr>
          <w:sz w:val="21"/>
        </w:rPr>
        <w:t>3.在系统（平台）设备试运行期间，</w:t>
      </w:r>
      <w:r>
        <w:rPr>
          <w:rFonts w:hint="eastAsia"/>
          <w:sz w:val="21"/>
        </w:rPr>
        <w:t>中标供应商</w:t>
      </w:r>
      <w:r>
        <w:rPr>
          <w:sz w:val="21"/>
        </w:rPr>
        <w:t>有责任派技术人员到现场指导维护工作。同时若采购人所提供的设备出现问题时，</w:t>
      </w:r>
      <w:r>
        <w:rPr>
          <w:rFonts w:hint="eastAsia"/>
          <w:sz w:val="21"/>
        </w:rPr>
        <w:t>中标供应商</w:t>
      </w:r>
      <w:r>
        <w:rPr>
          <w:sz w:val="21"/>
        </w:rPr>
        <w:t>应指定有经验的技术人员及时赶到现场，免费进行维护并解决问题。</w:t>
      </w:r>
    </w:p>
    <w:p w14:paraId="6C4F968B">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bidi="en-US"/>
        </w:rPr>
      </w:pPr>
      <w:r>
        <w:rPr>
          <w:sz w:val="21"/>
        </w:rPr>
        <w:t>4.初验前设备出现严重故障，</w:t>
      </w:r>
      <w:r>
        <w:rPr>
          <w:rFonts w:hint="eastAsia"/>
          <w:sz w:val="21"/>
        </w:rPr>
        <w:t>中标供应商</w:t>
      </w:r>
      <w:r>
        <w:rPr>
          <w:sz w:val="21"/>
        </w:rPr>
        <w:t>需对设备整机进行换新。若设备都出现故障，采购人可单方面解除合同，若因此影响采购人项目进度，</w:t>
      </w:r>
      <w:r>
        <w:rPr>
          <w:rFonts w:hint="eastAsia"/>
          <w:sz w:val="21"/>
        </w:rPr>
        <w:t>中标供应商</w:t>
      </w:r>
      <w:r>
        <w:rPr>
          <w:sz w:val="21"/>
        </w:rPr>
        <w:t>需赔偿相应损失。</w:t>
      </w:r>
    </w:p>
    <w:p w14:paraId="444F3D1E">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bidi="en-US"/>
        </w:rPr>
      </w:pPr>
      <w:r>
        <w:rPr>
          <w:sz w:val="21"/>
        </w:rPr>
        <w:t>5.</w:t>
      </w:r>
      <w:r>
        <w:rPr>
          <w:rFonts w:hint="eastAsia"/>
          <w:sz w:val="21"/>
        </w:rPr>
        <w:t>中标供应商</w:t>
      </w:r>
      <w:r>
        <w:rPr>
          <w:sz w:val="21"/>
        </w:rPr>
        <w:t>应保证在保修期内，不存在由</w:t>
      </w:r>
      <w:r>
        <w:rPr>
          <w:rFonts w:hint="eastAsia"/>
          <w:sz w:val="21"/>
        </w:rPr>
        <w:t>中标供应商</w:t>
      </w:r>
      <w:r>
        <w:rPr>
          <w:sz w:val="21"/>
        </w:rPr>
        <w:t>原因引起的影响采购人设备正常运行的任何缺陷。在质保期内，</w:t>
      </w:r>
      <w:r>
        <w:rPr>
          <w:rFonts w:hint="eastAsia"/>
          <w:sz w:val="21"/>
        </w:rPr>
        <w:t>中标供应商</w:t>
      </w:r>
      <w:r>
        <w:rPr>
          <w:sz w:val="21"/>
        </w:rPr>
        <w:t>应免费修理或更换有缺陷的硬件。</w:t>
      </w:r>
    </w:p>
    <w:p w14:paraId="2EE89405">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bidi="en-US"/>
        </w:rPr>
      </w:pPr>
      <w:r>
        <w:rPr>
          <w:sz w:val="21"/>
        </w:rPr>
        <w:t>6.在质保期内，</w:t>
      </w:r>
      <w:r>
        <w:rPr>
          <w:rFonts w:hint="eastAsia"/>
          <w:sz w:val="21"/>
        </w:rPr>
        <w:t>中标供应商</w:t>
      </w:r>
      <w:r>
        <w:rPr>
          <w:sz w:val="21"/>
        </w:rPr>
        <w:t>应向采购人免费提供以下支持：</w:t>
      </w:r>
    </w:p>
    <w:p w14:paraId="2B8361C7">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color w:val="FF0000"/>
          <w:sz w:val="21"/>
          <w:lang w:val="en-US" w:bidi="en-US"/>
        </w:rPr>
      </w:pPr>
      <w:r>
        <w:rPr>
          <w:sz w:val="21"/>
        </w:rPr>
        <w:t>（1）提供</w:t>
      </w:r>
      <w:r>
        <w:rPr>
          <w:rFonts w:hint="eastAsia"/>
          <w:sz w:val="21"/>
        </w:rPr>
        <w:t>7</w:t>
      </w:r>
      <w:r>
        <w:rPr>
          <w:sz w:val="21"/>
        </w:rPr>
        <w:t>×</w:t>
      </w:r>
      <w:r>
        <w:rPr>
          <w:rFonts w:hint="eastAsia"/>
          <w:sz w:val="21"/>
        </w:rPr>
        <w:t>24</w:t>
      </w:r>
      <w:r>
        <w:rPr>
          <w:sz w:val="21"/>
        </w:rPr>
        <w:t>（每天</w:t>
      </w:r>
      <w:r>
        <w:rPr>
          <w:rFonts w:hint="eastAsia"/>
          <w:sz w:val="21"/>
        </w:rPr>
        <w:t>24</w:t>
      </w:r>
      <w:r>
        <w:rPr>
          <w:sz w:val="21"/>
        </w:rPr>
        <w:t>小时，每周</w:t>
      </w:r>
      <w:r>
        <w:rPr>
          <w:rFonts w:hint="eastAsia"/>
          <w:sz w:val="21"/>
        </w:rPr>
        <w:t>7</w:t>
      </w:r>
      <w:r>
        <w:rPr>
          <w:sz w:val="21"/>
        </w:rPr>
        <w:t>天）的紧急技术支持服务，协助采购人努力解决紧急情况。</w:t>
      </w:r>
    </w:p>
    <w:p w14:paraId="6A4AE097">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bidi="en-US"/>
        </w:rPr>
      </w:pPr>
      <w:r>
        <w:rPr>
          <w:sz w:val="21"/>
        </w:rPr>
        <w:t>（2）提供</w:t>
      </w:r>
      <w:r>
        <w:rPr>
          <w:rFonts w:hint="eastAsia"/>
          <w:sz w:val="21"/>
        </w:rPr>
        <w:t>7</w:t>
      </w:r>
      <w:r>
        <w:rPr>
          <w:sz w:val="21"/>
        </w:rPr>
        <w:t>×</w:t>
      </w:r>
      <w:r>
        <w:rPr>
          <w:rFonts w:hint="eastAsia"/>
          <w:sz w:val="21"/>
        </w:rPr>
        <w:t>24</w:t>
      </w:r>
      <w:r>
        <w:rPr>
          <w:sz w:val="21"/>
        </w:rPr>
        <w:t>（每天</w:t>
      </w:r>
      <w:r>
        <w:rPr>
          <w:rFonts w:hint="eastAsia"/>
          <w:sz w:val="21"/>
        </w:rPr>
        <w:t>24</w:t>
      </w:r>
      <w:r>
        <w:rPr>
          <w:sz w:val="21"/>
        </w:rPr>
        <w:t>小时，每周</w:t>
      </w:r>
      <w:r>
        <w:rPr>
          <w:rFonts w:hint="eastAsia"/>
          <w:sz w:val="21"/>
        </w:rPr>
        <w:t>7</w:t>
      </w:r>
      <w:r>
        <w:rPr>
          <w:sz w:val="21"/>
        </w:rPr>
        <w:t>天）的提供解决有关缺陷问题的技术支持。</w:t>
      </w:r>
    </w:p>
    <w:p w14:paraId="5596DDC4">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bidi="en-US"/>
        </w:rPr>
      </w:pPr>
      <w:r>
        <w:rPr>
          <w:sz w:val="21"/>
        </w:rPr>
        <w:t>上述所有技术支持应以电话咨询和现场支持或双方约定的其他方式提供。</w:t>
      </w:r>
    </w:p>
    <w:p w14:paraId="17C68B09">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sz w:val="21"/>
          <w:lang w:val="en-US" w:bidi="en-US"/>
        </w:rPr>
      </w:pPr>
      <w:r>
        <w:rPr>
          <w:sz w:val="21"/>
        </w:rPr>
        <w:t>7.提供设备原厂质保函</w:t>
      </w:r>
      <w:r>
        <w:rPr>
          <w:rFonts w:hint="eastAsia"/>
          <w:sz w:val="21"/>
        </w:rPr>
        <w:t>的供应商优先考虑</w:t>
      </w:r>
      <w:r>
        <w:rPr>
          <w:sz w:val="21"/>
        </w:rPr>
        <w:t>。</w:t>
      </w:r>
    </w:p>
    <w:p w14:paraId="36D0A226">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after="0"/>
        <w:ind w:firstLine="480"/>
        <w:rPr>
          <w:color w:val="FF0000"/>
          <w:sz w:val="21"/>
          <w:lang w:val="en-US" w:bidi="en-US"/>
        </w:rPr>
      </w:pPr>
      <w:r>
        <w:rPr>
          <w:sz w:val="21"/>
        </w:rPr>
        <w:t>8.供应商应安排具有相应资格的工程师负责上门安装调试，并在保修期内对设备提供服务，提供原厂商</w:t>
      </w:r>
      <w:r>
        <w:rPr>
          <w:rFonts w:hint="eastAsia"/>
          <w:sz w:val="21"/>
        </w:rPr>
        <w:t>7</w:t>
      </w:r>
      <w:r>
        <w:rPr>
          <w:sz w:val="21"/>
        </w:rPr>
        <w:t>×</w:t>
      </w:r>
      <w:r>
        <w:rPr>
          <w:rFonts w:hint="eastAsia"/>
          <w:sz w:val="21"/>
        </w:rPr>
        <w:t>24</w:t>
      </w:r>
      <w:r>
        <w:rPr>
          <w:sz w:val="21"/>
        </w:rPr>
        <w:t>小时免费硬件（免上门费、备件费、人工费及相关费用），技术支持与售后服务；不接受拆机件。在初验完成前，工程师上门安装调试的次数不限。</w:t>
      </w:r>
    </w:p>
    <w:p w14:paraId="7CE96963">
      <w:pPr>
        <w:pStyle w:val="27"/>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sz w:val="21"/>
        </w:rPr>
      </w:pPr>
      <w:r>
        <w:rPr>
          <w:b/>
          <w:sz w:val="21"/>
        </w:rPr>
        <w:t>培训要求</w:t>
      </w:r>
    </w:p>
    <w:p w14:paraId="217CF62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rPr>
          <w:sz w:val="21"/>
          <w:lang w:val="en-US" w:bidi="en-US"/>
        </w:rPr>
      </w:pPr>
      <w:r>
        <w:rPr>
          <w:rFonts w:hint="eastAsia"/>
          <w:sz w:val="21"/>
        </w:rPr>
        <w:t>中标供应商</w:t>
      </w:r>
      <w:r>
        <w:rPr>
          <w:sz w:val="21"/>
        </w:rPr>
        <w:t>需对采购人提供免费培训服务，培训对象包括但不限于采购人管理人员、系统运维人员等。</w:t>
      </w:r>
    </w:p>
    <w:p w14:paraId="51FBDAF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rPr>
          <w:sz w:val="21"/>
          <w:lang w:val="en-US" w:bidi="en-US"/>
        </w:rPr>
      </w:pPr>
      <w:r>
        <w:rPr>
          <w:sz w:val="21"/>
        </w:rPr>
        <w:t>培训方式：提供讲师至采购人指定地点进行授课，并现场演示</w:t>
      </w:r>
      <w:r>
        <w:rPr>
          <w:rFonts w:hint="eastAsia"/>
          <w:sz w:val="21"/>
        </w:rPr>
        <w:t>设备</w:t>
      </w:r>
      <w:r>
        <w:rPr>
          <w:sz w:val="21"/>
        </w:rPr>
        <w:t>相关使用、运维等操作，有效时长不低于8小时。</w:t>
      </w:r>
    </w:p>
    <w:p w14:paraId="460BC9F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rPr>
          <w:color w:val="FF0000"/>
          <w:sz w:val="21"/>
          <w:lang w:val="en-US" w:bidi="en-US"/>
        </w:rPr>
      </w:pPr>
      <w:r>
        <w:rPr>
          <w:sz w:val="21"/>
        </w:rPr>
        <w:t>最终效果：使用人员经过培训后应能熟练使用该设备；维护人员经过培训后应能熟练使用该设备，及时排除大部分的故障；管理员经过培训后，能熟练掌握设备的使用，分析系统故障，管理系统设备。</w:t>
      </w:r>
    </w:p>
    <w:p w14:paraId="4D4FBDDB">
      <w:pPr>
        <w:pStyle w:val="27"/>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sz w:val="21"/>
        </w:rPr>
      </w:pPr>
      <w:r>
        <w:rPr>
          <w:rFonts w:hint="eastAsia"/>
          <w:b/>
          <w:sz w:val="21"/>
        </w:rPr>
        <w:t>厂家授权书</w:t>
      </w:r>
    </w:p>
    <w:p w14:paraId="07334C16">
      <w:pPr>
        <w:pStyle w:val="27"/>
        <w:numPr>
          <w:ilvl w:val="255"/>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firstLineChars="200"/>
        <w:rPr>
          <w:sz w:val="21"/>
        </w:rPr>
      </w:pPr>
      <w:r>
        <w:rPr>
          <w:sz w:val="21"/>
        </w:rPr>
        <w:t>提供生产厂家项目授权书或投标人为生产厂家的</w:t>
      </w:r>
      <w:r>
        <w:rPr>
          <w:rFonts w:hint="eastAsia"/>
          <w:sz w:val="21"/>
        </w:rPr>
        <w:t>优先考虑。</w:t>
      </w:r>
    </w:p>
    <w:p w14:paraId="55FA8D15">
      <w:pPr>
        <w:pStyle w:val="27"/>
        <w:numPr>
          <w:ilvl w:val="0"/>
          <w:numId w:val="1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sz w:val="21"/>
        </w:rPr>
      </w:pPr>
      <w:r>
        <w:rPr>
          <w:b/>
          <w:sz w:val="21"/>
        </w:rPr>
        <w:t>交付时间</w:t>
      </w:r>
      <w:r>
        <w:rPr>
          <w:rFonts w:hint="eastAsia"/>
          <w:b/>
          <w:sz w:val="21"/>
        </w:rPr>
        <w:t xml:space="preserve"> </w:t>
      </w:r>
    </w:p>
    <w:p w14:paraId="0803351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firstLineChars="200"/>
        <w:rPr>
          <w:sz w:val="21"/>
        </w:rPr>
      </w:pPr>
      <w:r>
        <w:rPr>
          <w:sz w:val="21"/>
        </w:rPr>
        <w:t>自收到采购人发货通知后</w:t>
      </w:r>
      <w:r>
        <w:rPr>
          <w:rFonts w:hint="eastAsia"/>
          <w:sz w:val="21"/>
        </w:rPr>
        <w:t>30</w:t>
      </w:r>
      <w:r>
        <w:rPr>
          <w:sz w:val="21"/>
        </w:rPr>
        <w:t>日内完成供货、安装及调试并通过采购人验收合格。</w:t>
      </w:r>
    </w:p>
    <w:p w14:paraId="7E18CB15">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jc w:val="left"/>
        <w:rPr>
          <w:sz w:val="21"/>
        </w:rPr>
      </w:pPr>
    </w:p>
    <w:p w14:paraId="1833DE04">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jc w:val="left"/>
        <w:rPr>
          <w:sz w:val="21"/>
        </w:rPr>
      </w:pPr>
    </w:p>
    <w:sectPr>
      <w:footerReference r:id="rId5" w:type="default"/>
      <w:pgSz w:w="11906" w:h="16838"/>
      <w:pgMar w:top="1440" w:right="1800" w:bottom="1440" w:left="1800"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Rotis Sans Serif Pro ExtraBold">
    <w:altName w:val="仿宋_GB2312"/>
    <w:panose1 w:val="000000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8D96A">
    <w:pPr>
      <w:pStyle w:val="13"/>
      <w:tabs>
        <w:tab w:val="center" w:pos="4153"/>
        <w:tab w:val="right" w:pos="9781"/>
        <w:tab w:val="left" w:pos="10080"/>
        <w:tab w:val="left" w:pos="10500"/>
        <w:tab w:val="left" w:pos="10920"/>
        <w:tab w:val="left" w:pos="11760"/>
        <w:tab w:val="left" w:pos="12180"/>
        <w:tab w:val="left" w:pos="12600"/>
        <w:tab w:val="left" w:pos="13020"/>
        <w:tab w:val="left" w:pos="13440"/>
        <w:tab w:val="left" w:pos="13860"/>
        <w:tab w:val="left" w:pos="14280"/>
        <w:tab w:val="left" w:pos="14700"/>
        <w:tab w:val="clear" w:pos="1134"/>
        <w:tab w:val="clear" w:pos="2268"/>
        <w:tab w:val="clear" w:pos="3402"/>
        <w:tab w:val="clear" w:pos="4536"/>
        <w:tab w:val="clear" w:pos="5670"/>
        <w:tab w:val="clear" w:pos="6804"/>
        <w:tab w:val="clear" w:pos="7938"/>
        <w:tab w:val="clear" w:pos="9072"/>
        <w:tab w:val="clear" w:pos="10206"/>
        <w:tab w:val="clear" w:pos="12474"/>
        <w:tab w:val="clear" w:pos="13608"/>
        <w:tab w:val="clear" w:pos="14742"/>
        <w:tab w:val="clear" w:pos="15876"/>
      </w:tabs>
      <w:spacing w:line="360" w:lineRule="auto"/>
      <w:rPr>
        <w:rFonts w:ascii="Times New Roman" w:hAnsi="Times New Roman" w:cs="Times New Roman" w:eastAsiaTheme="minorEastAsi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tabs>
          <w:tab w:val="left" w:pos="360"/>
        </w:tabs>
        <w:ind w:left="360" w:hanging="360"/>
      </w:pPr>
    </w:lvl>
    <w:lvl w:ilvl="1" w:tentative="0">
      <w:start w:val="1"/>
      <w:numFmt w:val="decimal"/>
      <w:lvlText w:val="%1.%2."/>
      <w:lvlJc w:val="left"/>
      <w:pPr>
        <w:tabs>
          <w:tab w:val="left" w:pos="720"/>
        </w:tabs>
        <w:ind w:left="720" w:hanging="360"/>
      </w:pPr>
    </w:lvl>
    <w:lvl w:ilvl="2" w:tentative="0">
      <w:start w:val="1"/>
      <w:numFmt w:val="decimal"/>
      <w:pStyle w:val="19"/>
      <w:suff w:val="space"/>
      <w:lvlText w:val="%1.%2..%3"/>
      <w:lvlJc w:val="left"/>
      <w:pPr>
        <w:ind w:left="363" w:firstLine="0"/>
      </w:pPr>
      <w:rPr>
        <w:rFonts w:hint="default" w:ascii="宋体" w:hAnsi="宋体" w:eastAsia="宋体" w:cs="宋体"/>
        <w:b w:val="0"/>
        <w:i w:val="0"/>
        <w:strike w:val="0"/>
        <w:color w:val="auto"/>
        <w:position w:val="0"/>
        <w:sz w:val="21"/>
        <w:u w:val="none"/>
        <w:shd w:val="clear" w:color="auto" w:fill="auto"/>
      </w:rPr>
    </w:lvl>
    <w:lvl w:ilvl="3" w:tentative="0">
      <w:start w:val="1"/>
      <w:numFmt w:val="decimal"/>
      <w:lvlText w:val="%1.%2..%3%4."/>
      <w:lvlJc w:val="left"/>
      <w:pPr>
        <w:tabs>
          <w:tab w:val="left" w:pos="1440"/>
        </w:tabs>
        <w:ind w:left="1440" w:hanging="360"/>
      </w:pPr>
    </w:lvl>
    <w:lvl w:ilvl="4" w:tentative="0">
      <w:start w:val="1"/>
      <w:numFmt w:val="decimal"/>
      <w:lvlText w:val="%1.%2..%3%4.%5."/>
      <w:lvlJc w:val="left"/>
      <w:pPr>
        <w:tabs>
          <w:tab w:val="left" w:pos="1800"/>
        </w:tabs>
        <w:ind w:left="1800" w:hanging="360"/>
      </w:pPr>
    </w:lvl>
    <w:lvl w:ilvl="5" w:tentative="0">
      <w:start w:val="1"/>
      <w:numFmt w:val="decimal"/>
      <w:lvlText w:val="%1.%2..%3%4.%5.%6."/>
      <w:lvlJc w:val="left"/>
      <w:pPr>
        <w:tabs>
          <w:tab w:val="left" w:pos="2160"/>
        </w:tabs>
        <w:ind w:left="2160" w:hanging="360"/>
      </w:pPr>
    </w:lvl>
    <w:lvl w:ilvl="6" w:tentative="0">
      <w:start w:val="1"/>
      <w:numFmt w:val="decimal"/>
      <w:lvlText w:val="%1.%2..%3%4.%5.%6.%7."/>
      <w:lvlJc w:val="left"/>
      <w:pPr>
        <w:tabs>
          <w:tab w:val="left" w:pos="2520"/>
        </w:tabs>
        <w:ind w:left="2520" w:hanging="360"/>
      </w:pPr>
    </w:lvl>
    <w:lvl w:ilvl="7" w:tentative="0">
      <w:start w:val="1"/>
      <w:numFmt w:val="decimal"/>
      <w:lvlText w:val="%1.%2..%3%4.%5.%6.%7.%8."/>
      <w:lvlJc w:val="left"/>
      <w:pPr>
        <w:tabs>
          <w:tab w:val="left" w:pos="2880"/>
        </w:tabs>
        <w:ind w:left="2880" w:hanging="360"/>
      </w:pPr>
    </w:lvl>
    <w:lvl w:ilvl="8" w:tentative="0">
      <w:start w:val="1"/>
      <w:numFmt w:val="decimal"/>
      <w:lvlText w:val="%1.%2..%3%4.%5.%6.%7.%8.%9."/>
      <w:lvlJc w:val="left"/>
      <w:pPr>
        <w:tabs>
          <w:tab w:val="left" w:pos="3240"/>
        </w:tabs>
        <w:ind w:left="3240" w:hanging="360"/>
      </w:pPr>
    </w:lvl>
  </w:abstractNum>
  <w:abstractNum w:abstractNumId="1">
    <w:nsid w:val="BF205925"/>
    <w:multiLevelType w:val="multilevel"/>
    <w:tmpl w:val="BF205925"/>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720"/>
        </w:tabs>
        <w:ind w:left="720" w:hanging="360"/>
      </w:pPr>
    </w:lvl>
    <w:lvl w:ilvl="2" w:tentative="0">
      <w:start w:val="1"/>
      <w:numFmt w:val="decimal"/>
      <w:lvlText w:val="%3."/>
      <w:lvlJc w:val="left"/>
      <w:pPr>
        <w:tabs>
          <w:tab w:val="left" w:pos="1080"/>
        </w:tabs>
        <w:ind w:left="1080" w:hanging="360"/>
      </w:pPr>
    </w:lvl>
    <w:lvl w:ilvl="3" w:tentative="0">
      <w:start w:val="1"/>
      <w:numFmt w:val="decimal"/>
      <w:lvlText w:val="%4."/>
      <w:lvlJc w:val="left"/>
      <w:pPr>
        <w:tabs>
          <w:tab w:val="left" w:pos="1440"/>
        </w:tabs>
        <w:ind w:left="1440" w:hanging="360"/>
      </w:pPr>
    </w:lvl>
    <w:lvl w:ilvl="4" w:tentative="0">
      <w:start w:val="1"/>
      <w:numFmt w:val="decimal"/>
      <w:pStyle w:val="18"/>
      <w:suff w:val="space"/>
      <w:lvlText w:val="%5."/>
      <w:lvlJc w:val="left"/>
      <w:pPr>
        <w:ind w:left="0" w:firstLine="454"/>
      </w:pPr>
      <w:rPr>
        <w:rFonts w:hint="default" w:ascii="宋体" w:hAnsi="宋体" w:eastAsia="宋体" w:cs="宋体"/>
        <w:b w:val="0"/>
        <w:i w:val="0"/>
        <w:strike w:val="0"/>
        <w:color w:val="auto"/>
        <w:position w:val="0"/>
        <w:sz w:val="21"/>
        <w:u w:val="none"/>
        <w:shd w:val="clear" w:color="auto" w:fill="auto"/>
      </w:rPr>
    </w:lvl>
    <w:lvl w:ilvl="5" w:tentative="0">
      <w:start w:val="1"/>
      <w:numFmt w:val="decimal"/>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decimal"/>
      <w:lvlText w:val="%8."/>
      <w:lvlJc w:val="left"/>
      <w:pPr>
        <w:tabs>
          <w:tab w:val="left" w:pos="2880"/>
        </w:tabs>
        <w:ind w:left="2880" w:hanging="360"/>
      </w:pPr>
    </w:lvl>
    <w:lvl w:ilvl="8" w:tentative="0">
      <w:start w:val="1"/>
      <w:numFmt w:val="decimal"/>
      <w:lvlText w:val="%9."/>
      <w:lvlJc w:val="left"/>
      <w:pPr>
        <w:tabs>
          <w:tab w:val="left" w:pos="3240"/>
        </w:tabs>
        <w:ind w:left="3240" w:hanging="360"/>
      </w:pPr>
    </w:lvl>
  </w:abstractNum>
  <w:abstractNum w:abstractNumId="2">
    <w:nsid w:val="CF092B84"/>
    <w:multiLevelType w:val="multilevel"/>
    <w:tmpl w:val="CF092B84"/>
    <w:lvl w:ilvl="0" w:tentative="0">
      <w:start w:val="1"/>
      <w:numFmt w:val="decimal"/>
      <w:pStyle w:val="15"/>
      <w:suff w:val="space"/>
      <w:lvlText w:val="%1."/>
      <w:lvlJc w:val="left"/>
      <w:pPr>
        <w:ind w:left="0" w:firstLine="397"/>
      </w:pPr>
      <w:rPr>
        <w:rFonts w:hint="default" w:ascii="黑体" w:hAnsi="黑体" w:eastAsia="黑体" w:cs="黑体"/>
        <w:b/>
        <w:i w:val="0"/>
        <w:strike w:val="0"/>
        <w:color w:val="auto"/>
        <w:position w:val="0"/>
        <w:sz w:val="24"/>
        <w:u w:val="none"/>
        <w:shd w:val="clear" w:color="auto" w:fill="auto"/>
      </w:rPr>
    </w:lvl>
    <w:lvl w:ilvl="1" w:tentative="0">
      <w:start w:val="1"/>
      <w:numFmt w:val="decimal"/>
      <w:lvlText w:val="%1.%2."/>
      <w:lvlJc w:val="left"/>
      <w:pPr>
        <w:tabs>
          <w:tab w:val="left" w:pos="720"/>
        </w:tabs>
        <w:ind w:left="720" w:hanging="360"/>
      </w:pPr>
    </w:lvl>
    <w:lvl w:ilvl="2" w:tentative="0">
      <w:start w:val="1"/>
      <w:numFmt w:val="decimal"/>
      <w:lvlText w:val="%1.%2.%3."/>
      <w:lvlJc w:val="left"/>
      <w:pPr>
        <w:tabs>
          <w:tab w:val="left" w:pos="1080"/>
        </w:tabs>
        <w:ind w:left="1080" w:hanging="360"/>
      </w:pPr>
    </w:lvl>
    <w:lvl w:ilvl="3" w:tentative="0">
      <w:start w:val="1"/>
      <w:numFmt w:val="decimal"/>
      <w:lvlText w:val="%1.%2.%3.%4."/>
      <w:lvlJc w:val="left"/>
      <w:pPr>
        <w:tabs>
          <w:tab w:val="left" w:pos="1440"/>
        </w:tabs>
        <w:ind w:left="1440" w:hanging="360"/>
      </w:pPr>
    </w:lvl>
    <w:lvl w:ilvl="4" w:tentative="0">
      <w:start w:val="1"/>
      <w:numFmt w:val="decimal"/>
      <w:lvlText w:val="%1.%2.%3.%4.%5."/>
      <w:lvlJc w:val="left"/>
      <w:pPr>
        <w:tabs>
          <w:tab w:val="left" w:pos="1800"/>
        </w:tabs>
        <w:ind w:left="1800" w:hanging="360"/>
      </w:pPr>
    </w:lvl>
    <w:lvl w:ilvl="5" w:tentative="0">
      <w:start w:val="1"/>
      <w:numFmt w:val="decimal"/>
      <w:lvlText w:val="%1.%2.%3.%4.%5.%6."/>
      <w:lvlJc w:val="left"/>
      <w:pPr>
        <w:tabs>
          <w:tab w:val="left" w:pos="2160"/>
        </w:tabs>
        <w:ind w:left="2160" w:hanging="360"/>
      </w:pPr>
    </w:lvl>
    <w:lvl w:ilvl="6" w:tentative="0">
      <w:start w:val="1"/>
      <w:numFmt w:val="decimal"/>
      <w:lvlText w:val="%1.%2.%3.%4.%5.%6.%7."/>
      <w:lvlJc w:val="left"/>
      <w:pPr>
        <w:tabs>
          <w:tab w:val="left" w:pos="2520"/>
        </w:tabs>
        <w:ind w:left="2520" w:hanging="360"/>
      </w:pPr>
    </w:lvl>
    <w:lvl w:ilvl="7" w:tentative="0">
      <w:start w:val="1"/>
      <w:numFmt w:val="decimal"/>
      <w:lvlText w:val="%1.%2.%3.%4.%5.%6.%7.%8."/>
      <w:lvlJc w:val="left"/>
      <w:pPr>
        <w:tabs>
          <w:tab w:val="left" w:pos="2880"/>
        </w:tabs>
        <w:ind w:left="2880" w:hanging="360"/>
      </w:pPr>
    </w:lvl>
    <w:lvl w:ilvl="8" w:tentative="0">
      <w:start w:val="1"/>
      <w:numFmt w:val="decimal"/>
      <w:lvlText w:val="%1.%2.%3.%4.%5.%6.%7.%8.%9."/>
      <w:lvlJc w:val="left"/>
      <w:pPr>
        <w:tabs>
          <w:tab w:val="left" w:pos="3240"/>
        </w:tabs>
        <w:ind w:left="3240" w:hanging="360"/>
      </w:pPr>
    </w:lvl>
  </w:abstractNum>
  <w:abstractNum w:abstractNumId="3">
    <w:nsid w:val="0053208E"/>
    <w:multiLevelType w:val="singleLevel"/>
    <w:tmpl w:val="0053208E"/>
    <w:lvl w:ilvl="0" w:tentative="0">
      <w:start w:val="1"/>
      <w:numFmt w:val="decimal"/>
      <w:pStyle w:val="14"/>
      <w:suff w:val="space"/>
      <w:lvlText w:val="第%1章"/>
      <w:lvlJc w:val="left"/>
      <w:rPr>
        <w:rFonts w:hint="default" w:ascii="黑体" w:hAnsi="黑体" w:eastAsia="黑体" w:cs="黑体"/>
        <w:b/>
        <w:i w:val="0"/>
        <w:strike w:val="0"/>
        <w:color w:val="auto"/>
        <w:position w:val="0"/>
        <w:sz w:val="44"/>
        <w:u w:val="none"/>
        <w:shd w:val="clear" w:color="auto" w:fill="auto"/>
      </w:rPr>
    </w:lvl>
  </w:abstractNum>
  <w:abstractNum w:abstractNumId="4">
    <w:nsid w:val="0248C179"/>
    <w:multiLevelType w:val="multilevel"/>
    <w:tmpl w:val="0248C179"/>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720"/>
        </w:tabs>
        <w:ind w:left="720" w:hanging="360"/>
      </w:pPr>
    </w:lvl>
    <w:lvl w:ilvl="2" w:tentative="0">
      <w:start w:val="1"/>
      <w:numFmt w:val="decimal"/>
      <w:lvlText w:val="%3."/>
      <w:lvlJc w:val="left"/>
      <w:pPr>
        <w:tabs>
          <w:tab w:val="left" w:pos="1080"/>
        </w:tabs>
        <w:ind w:left="1080" w:hanging="360"/>
      </w:pPr>
    </w:lvl>
    <w:lvl w:ilvl="3" w:tentative="0">
      <w:start w:val="1"/>
      <w:numFmt w:val="decimal"/>
      <w:lvlText w:val="%4."/>
      <w:lvlJc w:val="left"/>
      <w:pPr>
        <w:tabs>
          <w:tab w:val="left" w:pos="1440"/>
        </w:tabs>
        <w:ind w:left="1440" w:hanging="360"/>
      </w:pPr>
    </w:lvl>
    <w:lvl w:ilvl="4" w:tentative="0">
      <w:start w:val="1"/>
      <w:numFmt w:val="decimal"/>
      <w:lvlText w:val="%5."/>
      <w:lvlJc w:val="left"/>
      <w:pPr>
        <w:tabs>
          <w:tab w:val="left" w:pos="1800"/>
        </w:tabs>
        <w:ind w:left="1800" w:hanging="360"/>
      </w:pPr>
    </w:lvl>
    <w:lvl w:ilvl="5" w:tentative="0">
      <w:start w:val="1"/>
      <w:numFmt w:val="decimal"/>
      <w:lvlText w:val="%6."/>
      <w:lvlJc w:val="left"/>
      <w:pPr>
        <w:tabs>
          <w:tab w:val="left" w:pos="2160"/>
        </w:tabs>
        <w:ind w:left="2160" w:hanging="360"/>
      </w:pPr>
    </w:lvl>
    <w:lvl w:ilvl="6" w:tentative="0">
      <w:start w:val="1"/>
      <w:numFmt w:val="decimal"/>
      <w:pStyle w:val="31"/>
      <w:suff w:val="space"/>
      <w:lvlText w:val="%7)"/>
      <w:lvlJc w:val="left"/>
      <w:pPr>
        <w:ind w:left="454" w:firstLine="0"/>
      </w:pPr>
      <w:rPr>
        <w:rFonts w:hint="default" w:ascii="宋体" w:hAnsi="宋体" w:eastAsia="宋体" w:cs="宋体"/>
        <w:b w:val="0"/>
        <w:i w:val="0"/>
        <w:strike w:val="0"/>
        <w:color w:val="auto"/>
        <w:position w:val="0"/>
        <w:sz w:val="21"/>
        <w:u w:val="none"/>
        <w:shd w:val="clear" w:color="auto" w:fill="auto"/>
      </w:rPr>
    </w:lvl>
    <w:lvl w:ilvl="7" w:tentative="0">
      <w:start w:val="1"/>
      <w:numFmt w:val="decimal"/>
      <w:lvlText w:val="%8."/>
      <w:lvlJc w:val="left"/>
      <w:pPr>
        <w:tabs>
          <w:tab w:val="left" w:pos="2880"/>
        </w:tabs>
        <w:ind w:left="2880" w:hanging="360"/>
      </w:pPr>
    </w:lvl>
    <w:lvl w:ilvl="8" w:tentative="0">
      <w:start w:val="1"/>
      <w:numFmt w:val="decimal"/>
      <w:lvlText w:val="%9."/>
      <w:lvlJc w:val="left"/>
      <w:pPr>
        <w:tabs>
          <w:tab w:val="left" w:pos="3240"/>
        </w:tabs>
        <w:ind w:left="3240" w:hanging="360"/>
      </w:pPr>
    </w:lvl>
  </w:abstractNum>
  <w:abstractNum w:abstractNumId="5">
    <w:nsid w:val="03D62ECE"/>
    <w:multiLevelType w:val="multilevel"/>
    <w:tmpl w:val="03D62ECE"/>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720"/>
        </w:tabs>
        <w:ind w:left="720" w:hanging="360"/>
      </w:pPr>
    </w:lvl>
    <w:lvl w:ilvl="2" w:tentative="0">
      <w:start w:val="1"/>
      <w:numFmt w:val="decimal"/>
      <w:lvlText w:val="%3."/>
      <w:lvlJc w:val="left"/>
      <w:pPr>
        <w:tabs>
          <w:tab w:val="left" w:pos="1080"/>
        </w:tabs>
        <w:ind w:left="1080" w:hanging="360"/>
      </w:pPr>
    </w:lvl>
    <w:lvl w:ilvl="3" w:tentative="0">
      <w:start w:val="1"/>
      <w:numFmt w:val="decimal"/>
      <w:lvlText w:val="%4."/>
      <w:lvlJc w:val="left"/>
      <w:pPr>
        <w:tabs>
          <w:tab w:val="left" w:pos="1440"/>
        </w:tabs>
        <w:ind w:left="1440" w:hanging="360"/>
      </w:pPr>
    </w:lvl>
    <w:lvl w:ilvl="4" w:tentative="0">
      <w:start w:val="1"/>
      <w:numFmt w:val="decimal"/>
      <w:lvlText w:val="%5."/>
      <w:lvlJc w:val="left"/>
      <w:pPr>
        <w:tabs>
          <w:tab w:val="left" w:pos="1800"/>
        </w:tabs>
        <w:ind w:left="1800" w:hanging="360"/>
      </w:pPr>
    </w:lvl>
    <w:lvl w:ilvl="5" w:tentative="0">
      <w:start w:val="1"/>
      <w:numFmt w:val="decimal"/>
      <w:lvlText w:val="%6."/>
      <w:lvlJc w:val="left"/>
      <w:pPr>
        <w:tabs>
          <w:tab w:val="left" w:pos="2160"/>
        </w:tabs>
        <w:ind w:left="2160" w:hanging="360"/>
      </w:pPr>
    </w:lvl>
    <w:lvl w:ilvl="6" w:tentative="0">
      <w:start w:val="1"/>
      <w:numFmt w:val="decimal"/>
      <w:pStyle w:val="25"/>
      <w:suff w:val="space"/>
      <w:lvlText w:val="%7)"/>
      <w:lvlJc w:val="left"/>
      <w:pPr>
        <w:ind w:left="454" w:firstLine="0"/>
      </w:pPr>
      <w:rPr>
        <w:rFonts w:hint="default" w:ascii="宋体" w:hAnsi="宋体" w:eastAsia="宋体" w:cs="宋体"/>
        <w:b w:val="0"/>
        <w:i w:val="0"/>
        <w:strike w:val="0"/>
        <w:color w:val="auto"/>
        <w:position w:val="0"/>
        <w:sz w:val="21"/>
        <w:u w:val="none"/>
        <w:shd w:val="clear" w:color="auto" w:fill="auto"/>
      </w:rPr>
    </w:lvl>
    <w:lvl w:ilvl="7" w:tentative="0">
      <w:start w:val="1"/>
      <w:numFmt w:val="decimal"/>
      <w:lvlText w:val="%8."/>
      <w:lvlJc w:val="left"/>
      <w:pPr>
        <w:tabs>
          <w:tab w:val="left" w:pos="2880"/>
        </w:tabs>
        <w:ind w:left="2880" w:hanging="360"/>
      </w:pPr>
    </w:lvl>
    <w:lvl w:ilvl="8" w:tentative="0">
      <w:start w:val="1"/>
      <w:numFmt w:val="decimal"/>
      <w:lvlText w:val="%9."/>
      <w:lvlJc w:val="left"/>
      <w:pPr>
        <w:tabs>
          <w:tab w:val="left" w:pos="3240"/>
        </w:tabs>
        <w:ind w:left="3240" w:hanging="360"/>
      </w:pPr>
    </w:lvl>
  </w:abstractNum>
  <w:abstractNum w:abstractNumId="6">
    <w:nsid w:val="25B654F3"/>
    <w:multiLevelType w:val="multilevel"/>
    <w:tmpl w:val="25B654F3"/>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720"/>
        </w:tabs>
        <w:ind w:left="720" w:hanging="360"/>
      </w:pPr>
    </w:lvl>
    <w:lvl w:ilvl="2" w:tentative="0">
      <w:start w:val="1"/>
      <w:numFmt w:val="decimal"/>
      <w:lvlText w:val="%3."/>
      <w:lvlJc w:val="left"/>
      <w:pPr>
        <w:tabs>
          <w:tab w:val="left" w:pos="1080"/>
        </w:tabs>
        <w:ind w:left="1080" w:hanging="360"/>
      </w:pPr>
    </w:lvl>
    <w:lvl w:ilvl="3" w:tentative="0">
      <w:start w:val="1"/>
      <w:numFmt w:val="decimal"/>
      <w:lvlText w:val="%4."/>
      <w:lvlJc w:val="left"/>
      <w:pPr>
        <w:tabs>
          <w:tab w:val="left" w:pos="1440"/>
        </w:tabs>
        <w:ind w:left="1440" w:hanging="360"/>
      </w:pPr>
    </w:lvl>
    <w:lvl w:ilvl="4" w:tentative="0">
      <w:start w:val="1"/>
      <w:numFmt w:val="decimal"/>
      <w:lvlText w:val="%5."/>
      <w:lvlJc w:val="left"/>
      <w:pPr>
        <w:tabs>
          <w:tab w:val="left" w:pos="1800"/>
        </w:tabs>
        <w:ind w:left="1800" w:hanging="360"/>
      </w:pPr>
    </w:lvl>
    <w:lvl w:ilvl="5" w:tentative="0">
      <w:start w:val="1"/>
      <w:numFmt w:val="decimal"/>
      <w:pStyle w:val="29"/>
      <w:suff w:val="space"/>
      <w:lvlText w:val="(%6)"/>
      <w:lvlJc w:val="left"/>
      <w:pPr>
        <w:ind w:left="454" w:firstLine="0"/>
      </w:pPr>
      <w:rPr>
        <w:rFonts w:hint="default" w:ascii="宋体" w:hAnsi="宋体" w:eastAsia="宋体" w:cs="宋体"/>
        <w:b w:val="0"/>
        <w:i w:val="0"/>
        <w:strike w:val="0"/>
        <w:color w:val="auto"/>
        <w:position w:val="0"/>
        <w:sz w:val="21"/>
        <w:u w:val="none"/>
        <w:shd w:val="clear" w:color="auto" w:fill="auto"/>
      </w:rPr>
    </w:lvl>
    <w:lvl w:ilvl="6" w:tentative="0">
      <w:start w:val="1"/>
      <w:numFmt w:val="decimal"/>
      <w:lvlText w:val="%7."/>
      <w:lvlJc w:val="left"/>
      <w:pPr>
        <w:tabs>
          <w:tab w:val="left" w:pos="2520"/>
        </w:tabs>
        <w:ind w:left="2520" w:hanging="360"/>
      </w:pPr>
    </w:lvl>
    <w:lvl w:ilvl="7" w:tentative="0">
      <w:start w:val="1"/>
      <w:numFmt w:val="decimal"/>
      <w:lvlText w:val="%8."/>
      <w:lvlJc w:val="left"/>
      <w:pPr>
        <w:tabs>
          <w:tab w:val="left" w:pos="2880"/>
        </w:tabs>
        <w:ind w:left="2880" w:hanging="360"/>
      </w:pPr>
    </w:lvl>
    <w:lvl w:ilvl="8" w:tentative="0">
      <w:start w:val="1"/>
      <w:numFmt w:val="decimal"/>
      <w:lvlText w:val="%9."/>
      <w:lvlJc w:val="left"/>
      <w:pPr>
        <w:tabs>
          <w:tab w:val="left" w:pos="3240"/>
        </w:tabs>
        <w:ind w:left="3240" w:hanging="360"/>
      </w:pPr>
    </w:lvl>
  </w:abstractNum>
  <w:abstractNum w:abstractNumId="7">
    <w:nsid w:val="59ADCABA"/>
    <w:multiLevelType w:val="multilevel"/>
    <w:tmpl w:val="59ADCABA"/>
    <w:lvl w:ilvl="0" w:tentative="0">
      <w:start w:val="1"/>
      <w:numFmt w:val="decimal"/>
      <w:lvlText w:val="%1."/>
      <w:lvlJc w:val="left"/>
      <w:pPr>
        <w:tabs>
          <w:tab w:val="left" w:pos="360"/>
        </w:tabs>
        <w:ind w:left="360" w:hanging="360"/>
      </w:pPr>
    </w:lvl>
    <w:lvl w:ilvl="1" w:tentative="0">
      <w:start w:val="1"/>
      <w:numFmt w:val="decimal"/>
      <w:pStyle w:val="16"/>
      <w:suff w:val="space"/>
      <w:lvlText w:val="%1.%2"/>
      <w:lvlJc w:val="left"/>
      <w:pPr>
        <w:ind w:left="0" w:firstLine="397"/>
      </w:pPr>
      <w:rPr>
        <w:rFonts w:hint="default" w:ascii="宋体" w:hAnsi="宋体" w:eastAsia="宋体" w:cs="宋体"/>
        <w:b w:val="0"/>
        <w:i w:val="0"/>
        <w:strike w:val="0"/>
        <w:color w:val="auto"/>
        <w:position w:val="0"/>
        <w:sz w:val="24"/>
        <w:u w:val="none"/>
        <w:shd w:val="clear" w:color="auto" w:fill="auto"/>
      </w:rPr>
    </w:lvl>
    <w:lvl w:ilvl="2" w:tentative="0">
      <w:start w:val="1"/>
      <w:numFmt w:val="decimal"/>
      <w:lvlText w:val="%1.%2%3."/>
      <w:lvlJc w:val="left"/>
      <w:pPr>
        <w:tabs>
          <w:tab w:val="left" w:pos="1080"/>
        </w:tabs>
        <w:ind w:left="1080" w:hanging="360"/>
      </w:pPr>
    </w:lvl>
    <w:lvl w:ilvl="3" w:tentative="0">
      <w:start w:val="1"/>
      <w:numFmt w:val="decimal"/>
      <w:lvlText w:val="%1.%2%3.%4."/>
      <w:lvlJc w:val="left"/>
      <w:pPr>
        <w:tabs>
          <w:tab w:val="left" w:pos="1440"/>
        </w:tabs>
        <w:ind w:left="1440" w:hanging="360"/>
      </w:pPr>
    </w:lvl>
    <w:lvl w:ilvl="4" w:tentative="0">
      <w:start w:val="1"/>
      <w:numFmt w:val="decimal"/>
      <w:lvlText w:val="%1.%2%3.%4.%5."/>
      <w:lvlJc w:val="left"/>
      <w:pPr>
        <w:tabs>
          <w:tab w:val="left" w:pos="1800"/>
        </w:tabs>
        <w:ind w:left="1800" w:hanging="360"/>
      </w:pPr>
    </w:lvl>
    <w:lvl w:ilvl="5" w:tentative="0">
      <w:start w:val="1"/>
      <w:numFmt w:val="decimal"/>
      <w:lvlText w:val="%1.%2%3.%4.%5.%6."/>
      <w:lvlJc w:val="left"/>
      <w:pPr>
        <w:tabs>
          <w:tab w:val="left" w:pos="2160"/>
        </w:tabs>
        <w:ind w:left="2160" w:hanging="360"/>
      </w:pPr>
    </w:lvl>
    <w:lvl w:ilvl="6" w:tentative="0">
      <w:start w:val="1"/>
      <w:numFmt w:val="decimal"/>
      <w:lvlText w:val="%1.%2%3.%4.%5.%6.%7."/>
      <w:lvlJc w:val="left"/>
      <w:pPr>
        <w:tabs>
          <w:tab w:val="left" w:pos="2520"/>
        </w:tabs>
        <w:ind w:left="2520" w:hanging="360"/>
      </w:pPr>
    </w:lvl>
    <w:lvl w:ilvl="7" w:tentative="0">
      <w:start w:val="1"/>
      <w:numFmt w:val="decimal"/>
      <w:lvlText w:val="%1.%2%3.%4.%5.%6.%7.%8."/>
      <w:lvlJc w:val="left"/>
      <w:pPr>
        <w:tabs>
          <w:tab w:val="left" w:pos="2880"/>
        </w:tabs>
        <w:ind w:left="2880" w:hanging="360"/>
      </w:pPr>
    </w:lvl>
    <w:lvl w:ilvl="8" w:tentative="0">
      <w:start w:val="1"/>
      <w:numFmt w:val="decimal"/>
      <w:lvlText w:val="%1.%2%3.%4.%5.%6.%7.%8.%9."/>
      <w:lvlJc w:val="left"/>
      <w:pPr>
        <w:tabs>
          <w:tab w:val="left" w:pos="3240"/>
        </w:tabs>
        <w:ind w:left="3240" w:hanging="360"/>
      </w:pPr>
    </w:lvl>
  </w:abstractNum>
  <w:abstractNum w:abstractNumId="8">
    <w:nsid w:val="716A43D6"/>
    <w:multiLevelType w:val="multilevel"/>
    <w:tmpl w:val="716A43D6"/>
    <w:lvl w:ilvl="0" w:tentative="0">
      <w:start w:val="1"/>
      <w:numFmt w:val="japaneseCounting"/>
      <w:lvlText w:val="%1、"/>
      <w:lvlJc w:val="left"/>
      <w:pPr>
        <w:ind w:left="456" w:hanging="456"/>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72183CF9"/>
    <w:multiLevelType w:val="multilevel"/>
    <w:tmpl w:val="72183CF9"/>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720"/>
        </w:tabs>
        <w:ind w:left="720" w:hanging="360"/>
      </w:pPr>
    </w:lvl>
    <w:lvl w:ilvl="2" w:tentative="0">
      <w:start w:val="1"/>
      <w:numFmt w:val="decimal"/>
      <w:lvlText w:val="%3."/>
      <w:lvlJc w:val="left"/>
      <w:pPr>
        <w:tabs>
          <w:tab w:val="left" w:pos="1080"/>
        </w:tabs>
        <w:ind w:left="1080" w:hanging="360"/>
      </w:pPr>
    </w:lvl>
    <w:lvl w:ilvl="3" w:tentative="0">
      <w:start w:val="1"/>
      <w:numFmt w:val="decimal"/>
      <w:lvlText w:val="%4."/>
      <w:lvlJc w:val="left"/>
      <w:pPr>
        <w:tabs>
          <w:tab w:val="left" w:pos="1440"/>
        </w:tabs>
        <w:ind w:left="1440" w:hanging="360"/>
      </w:pPr>
    </w:lvl>
    <w:lvl w:ilvl="4" w:tentative="0">
      <w:start w:val="1"/>
      <w:numFmt w:val="decimal"/>
      <w:lvlText w:val="%5."/>
      <w:lvlJc w:val="left"/>
      <w:pPr>
        <w:tabs>
          <w:tab w:val="left" w:pos="1800"/>
        </w:tabs>
        <w:ind w:left="1800" w:hanging="360"/>
      </w:pPr>
    </w:lvl>
    <w:lvl w:ilvl="5" w:tentative="0">
      <w:start w:val="1"/>
      <w:numFmt w:val="decimal"/>
      <w:pStyle w:val="30"/>
      <w:suff w:val="space"/>
      <w:lvlText w:val="(%6)"/>
      <w:lvlJc w:val="left"/>
      <w:pPr>
        <w:ind w:left="454" w:firstLine="0"/>
      </w:pPr>
      <w:rPr>
        <w:rFonts w:hint="default" w:ascii="宋体" w:hAnsi="宋体" w:eastAsia="宋体" w:cs="宋体"/>
        <w:b w:val="0"/>
        <w:i w:val="0"/>
        <w:strike w:val="0"/>
        <w:color w:val="auto"/>
        <w:position w:val="0"/>
        <w:sz w:val="21"/>
        <w:u w:val="none"/>
        <w:shd w:val="clear" w:color="auto" w:fill="auto"/>
      </w:rPr>
    </w:lvl>
    <w:lvl w:ilvl="6" w:tentative="0">
      <w:start w:val="1"/>
      <w:numFmt w:val="decimal"/>
      <w:lvlText w:val="%7."/>
      <w:lvlJc w:val="left"/>
      <w:pPr>
        <w:tabs>
          <w:tab w:val="left" w:pos="2520"/>
        </w:tabs>
        <w:ind w:left="2520" w:hanging="360"/>
      </w:pPr>
    </w:lvl>
    <w:lvl w:ilvl="7" w:tentative="0">
      <w:start w:val="1"/>
      <w:numFmt w:val="decimal"/>
      <w:lvlText w:val="%8."/>
      <w:lvlJc w:val="left"/>
      <w:pPr>
        <w:tabs>
          <w:tab w:val="left" w:pos="2880"/>
        </w:tabs>
        <w:ind w:left="2880" w:hanging="360"/>
      </w:pPr>
    </w:lvl>
    <w:lvl w:ilvl="8" w:tentative="0">
      <w:start w:val="1"/>
      <w:numFmt w:val="decimal"/>
      <w:lvlText w:val="%9."/>
      <w:lvlJc w:val="left"/>
      <w:pPr>
        <w:tabs>
          <w:tab w:val="left" w:pos="3240"/>
        </w:tabs>
        <w:ind w:left="3240" w:hanging="360"/>
      </w:p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1134"/>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BC"/>
    <w:rsid w:val="00023E7B"/>
    <w:rsid w:val="00025F78"/>
    <w:rsid w:val="000343BF"/>
    <w:rsid w:val="00037C6C"/>
    <w:rsid w:val="0005749C"/>
    <w:rsid w:val="000838BA"/>
    <w:rsid w:val="00086244"/>
    <w:rsid w:val="000B3F3A"/>
    <w:rsid w:val="000C4FCA"/>
    <w:rsid w:val="001347D1"/>
    <w:rsid w:val="00136531"/>
    <w:rsid w:val="0013694C"/>
    <w:rsid w:val="0015766D"/>
    <w:rsid w:val="00163BC8"/>
    <w:rsid w:val="00171A4B"/>
    <w:rsid w:val="001A2417"/>
    <w:rsid w:val="001C0D44"/>
    <w:rsid w:val="001C77BE"/>
    <w:rsid w:val="001D2107"/>
    <w:rsid w:val="001F6BB2"/>
    <w:rsid w:val="0025350B"/>
    <w:rsid w:val="00274719"/>
    <w:rsid w:val="002C03C5"/>
    <w:rsid w:val="00303A3C"/>
    <w:rsid w:val="00383DB7"/>
    <w:rsid w:val="00393FFD"/>
    <w:rsid w:val="003A5D16"/>
    <w:rsid w:val="003B0817"/>
    <w:rsid w:val="004065C5"/>
    <w:rsid w:val="00406B19"/>
    <w:rsid w:val="004138C6"/>
    <w:rsid w:val="00446252"/>
    <w:rsid w:val="00495EC1"/>
    <w:rsid w:val="004C29C9"/>
    <w:rsid w:val="00581644"/>
    <w:rsid w:val="00581F4B"/>
    <w:rsid w:val="005B288C"/>
    <w:rsid w:val="005E73B4"/>
    <w:rsid w:val="005F186D"/>
    <w:rsid w:val="005F2D6C"/>
    <w:rsid w:val="00605336"/>
    <w:rsid w:val="00641D65"/>
    <w:rsid w:val="0064775E"/>
    <w:rsid w:val="006503EF"/>
    <w:rsid w:val="00693884"/>
    <w:rsid w:val="00697AEE"/>
    <w:rsid w:val="006A1A7F"/>
    <w:rsid w:val="006D79B3"/>
    <w:rsid w:val="006E0C52"/>
    <w:rsid w:val="007077D4"/>
    <w:rsid w:val="00720EDE"/>
    <w:rsid w:val="00733843"/>
    <w:rsid w:val="007373CB"/>
    <w:rsid w:val="007475D1"/>
    <w:rsid w:val="00772D78"/>
    <w:rsid w:val="007B5C24"/>
    <w:rsid w:val="007B6521"/>
    <w:rsid w:val="007C5EBC"/>
    <w:rsid w:val="007C7CE3"/>
    <w:rsid w:val="007E3BCA"/>
    <w:rsid w:val="00802074"/>
    <w:rsid w:val="00813D23"/>
    <w:rsid w:val="00827BFB"/>
    <w:rsid w:val="00845C92"/>
    <w:rsid w:val="008519ED"/>
    <w:rsid w:val="0088286C"/>
    <w:rsid w:val="008C20E8"/>
    <w:rsid w:val="008D7B38"/>
    <w:rsid w:val="00905DDE"/>
    <w:rsid w:val="00931769"/>
    <w:rsid w:val="0094318A"/>
    <w:rsid w:val="009A308D"/>
    <w:rsid w:val="009B19DA"/>
    <w:rsid w:val="009B5F99"/>
    <w:rsid w:val="009C0A37"/>
    <w:rsid w:val="009E4B64"/>
    <w:rsid w:val="009F3C2F"/>
    <w:rsid w:val="00A56EAF"/>
    <w:rsid w:val="00A70911"/>
    <w:rsid w:val="00A70CE5"/>
    <w:rsid w:val="00AA0330"/>
    <w:rsid w:val="00AB2799"/>
    <w:rsid w:val="00B04679"/>
    <w:rsid w:val="00B32605"/>
    <w:rsid w:val="00B56D50"/>
    <w:rsid w:val="00B61AD9"/>
    <w:rsid w:val="00B9081C"/>
    <w:rsid w:val="00B9677C"/>
    <w:rsid w:val="00BA74D5"/>
    <w:rsid w:val="00BA7797"/>
    <w:rsid w:val="00BC1A48"/>
    <w:rsid w:val="00BC64D7"/>
    <w:rsid w:val="00C436A2"/>
    <w:rsid w:val="00C633D4"/>
    <w:rsid w:val="00C9531B"/>
    <w:rsid w:val="00D24E51"/>
    <w:rsid w:val="00D264D2"/>
    <w:rsid w:val="00D26DA3"/>
    <w:rsid w:val="00DB2F37"/>
    <w:rsid w:val="00DB44BB"/>
    <w:rsid w:val="00DD5BD4"/>
    <w:rsid w:val="00DE0FAF"/>
    <w:rsid w:val="00DE7C13"/>
    <w:rsid w:val="00DF62ED"/>
    <w:rsid w:val="00E06023"/>
    <w:rsid w:val="00E20CB5"/>
    <w:rsid w:val="00E23DB9"/>
    <w:rsid w:val="00E7037F"/>
    <w:rsid w:val="00EC5A26"/>
    <w:rsid w:val="00ED0D11"/>
    <w:rsid w:val="00F06177"/>
    <w:rsid w:val="00F83D84"/>
    <w:rsid w:val="00FB261F"/>
    <w:rsid w:val="00FB5E99"/>
    <w:rsid w:val="00FB611D"/>
    <w:rsid w:val="00FD1DED"/>
    <w:rsid w:val="00FE3D1A"/>
    <w:rsid w:val="00FF7A94"/>
    <w:rsid w:val="04F84B30"/>
    <w:rsid w:val="1DF7B13D"/>
    <w:rsid w:val="30167D0C"/>
    <w:rsid w:val="5FFF3474"/>
    <w:rsid w:val="7B3ED787"/>
    <w:rsid w:val="7FFEFEF8"/>
    <w:rsid w:val="ECEDBB41"/>
    <w:rsid w:val="EFF66C8F"/>
    <w:rsid w:val="FCEFB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宋体"/>
      <w:sz w:val="24"/>
      <w:szCs w:val="24"/>
      <w:lang w:val="zh-CN" w:eastAsia="zh-CN" w:bidi="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7"/>
    <w:qFormat/>
    <w:uiPriority w:val="0"/>
    <w:pPr>
      <w:jc w:val="left"/>
    </w:pPr>
  </w:style>
  <w:style w:type="paragraph" w:styleId="3">
    <w:name w:val="Body Text"/>
    <w:basedOn w:val="1"/>
    <w:qFormat/>
    <w:uiPriority w:val="0"/>
    <w:pPr>
      <w:spacing w:after="120"/>
    </w:pPr>
  </w:style>
  <w:style w:type="paragraph" w:styleId="4">
    <w:name w:val="Balloon Text"/>
    <w:basedOn w:val="1"/>
    <w:link w:val="39"/>
    <w:qFormat/>
    <w:uiPriority w:val="0"/>
    <w:pPr>
      <w:spacing w:line="240" w:lineRule="auto"/>
    </w:pPr>
    <w:rPr>
      <w:sz w:val="18"/>
      <w:szCs w:val="18"/>
    </w:rPr>
  </w:style>
  <w:style w:type="paragraph" w:styleId="5">
    <w:name w:val="footer"/>
    <w:basedOn w:val="1"/>
    <w:link w:val="36"/>
    <w:qFormat/>
    <w:uiPriority w:val="0"/>
    <w:pPr>
      <w:tabs>
        <w:tab w:val="center" w:pos="4153"/>
        <w:tab w:val="right" w:pos="8306"/>
      </w:tabs>
      <w:snapToGrid w:val="0"/>
      <w:spacing w:line="240" w:lineRule="auto"/>
      <w:jc w:val="left"/>
    </w:pPr>
    <w:rPr>
      <w:sz w:val="18"/>
      <w:szCs w:val="18"/>
    </w:rPr>
  </w:style>
  <w:style w:type="paragraph" w:styleId="6">
    <w:name w:val="header"/>
    <w:basedOn w:val="1"/>
    <w:link w:val="35"/>
    <w:qFormat/>
    <w:uiPriority w:val="0"/>
    <w:pPr>
      <w:tabs>
        <w:tab w:val="center" w:pos="4153"/>
        <w:tab w:val="right" w:pos="8306"/>
      </w:tabs>
      <w:snapToGrid w:val="0"/>
      <w:spacing w:line="240" w:lineRule="auto"/>
      <w:jc w:val="center"/>
    </w:pPr>
    <w:rPr>
      <w:sz w:val="18"/>
      <w:szCs w:val="18"/>
    </w:rPr>
  </w:style>
  <w:style w:type="paragraph" w:styleId="7">
    <w:name w:val="Normal (Web)"/>
    <w:basedOn w:val="1"/>
    <w:qFormat/>
    <w:uiPriority w:val="0"/>
    <w:pPr>
      <w:widowControl/>
      <w:spacing w:before="100" w:after="100" w:line="240" w:lineRule="auto"/>
      <w:jc w:val="left"/>
    </w:pPr>
    <w:rPr>
      <w:color w:val="000000"/>
    </w:rPr>
  </w:style>
  <w:style w:type="paragraph" w:styleId="8">
    <w:name w:val="annotation subject"/>
    <w:basedOn w:val="2"/>
    <w:next w:val="2"/>
    <w:link w:val="38"/>
    <w:qFormat/>
    <w:uiPriority w:val="0"/>
    <w:rPr>
      <w:b/>
      <w:bCs/>
    </w:rPr>
  </w:style>
  <w:style w:type="table" w:styleId="10">
    <w:name w:val="Table Grid"/>
    <w:basedOn w:val="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customStyle="1" w:styleId="13">
    <w:name w:val="[Normal]"/>
    <w:qFormat/>
    <w:uiPriority w:val="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宋体"/>
      <w:sz w:val="24"/>
      <w:szCs w:val="24"/>
      <w:lang w:val="zh-CN" w:eastAsia="zh-CN" w:bidi="zh-CN"/>
    </w:rPr>
  </w:style>
  <w:style w:type="paragraph" w:customStyle="1" w:styleId="14">
    <w:name w:val="标题1"/>
    <w:basedOn w:val="13"/>
    <w:qFormat/>
    <w:uiPriority w:val="0"/>
    <w:pPr>
      <w:numPr>
        <w:ilvl w:val="0"/>
        <w:numId w:val="1"/>
      </w:numPr>
      <w:spacing w:before="340" w:after="340" w:line="360" w:lineRule="auto"/>
    </w:pPr>
    <w:rPr>
      <w:rFonts w:ascii="黑体" w:hAnsi="黑体" w:eastAsia="黑体" w:cs="黑体"/>
      <w:b/>
      <w:bCs/>
      <w:sz w:val="44"/>
      <w:szCs w:val="44"/>
    </w:rPr>
  </w:style>
  <w:style w:type="paragraph" w:customStyle="1" w:styleId="15">
    <w:name w:val="标题2"/>
    <w:basedOn w:val="14"/>
    <w:qFormat/>
    <w:uiPriority w:val="0"/>
    <w:pPr>
      <w:numPr>
        <w:numId w:val="2"/>
      </w:numPr>
      <w:spacing w:before="0" w:after="0"/>
    </w:pPr>
    <w:rPr>
      <w:sz w:val="24"/>
      <w:szCs w:val="24"/>
    </w:rPr>
  </w:style>
  <w:style w:type="paragraph" w:customStyle="1" w:styleId="16">
    <w:name w:val="标题3"/>
    <w:basedOn w:val="15"/>
    <w:qFormat/>
    <w:uiPriority w:val="0"/>
    <w:pPr>
      <w:numPr>
        <w:ilvl w:val="1"/>
        <w:numId w:val="3"/>
      </w:numPr>
    </w:pPr>
    <w:rPr>
      <w:rFonts w:ascii="宋体" w:hAnsi="宋体" w:eastAsia="宋体" w:cs="宋体"/>
      <w:b w:val="0"/>
      <w:bCs w:val="0"/>
    </w:rPr>
  </w:style>
  <w:style w:type="paragraph" w:customStyle="1" w:styleId="17">
    <w:name w:val="正文1"/>
    <w:basedOn w:val="13"/>
    <w:qFormat/>
    <w:uiPriority w:val="0"/>
    <w:pPr>
      <w:spacing w:line="360" w:lineRule="auto"/>
    </w:pPr>
    <w:rPr>
      <w:sz w:val="21"/>
      <w:szCs w:val="21"/>
    </w:rPr>
  </w:style>
  <w:style w:type="paragraph" w:customStyle="1" w:styleId="18">
    <w:name w:val="样式1. 2. 3."/>
    <w:basedOn w:val="17"/>
    <w:next w:val="17"/>
    <w:qFormat/>
    <w:uiPriority w:val="0"/>
    <w:pPr>
      <w:numPr>
        <w:ilvl w:val="4"/>
        <w:numId w:val="4"/>
      </w:numPr>
    </w:pPr>
  </w:style>
  <w:style w:type="paragraph" w:customStyle="1" w:styleId="19">
    <w:name w:val="标题4"/>
    <w:basedOn w:val="17"/>
    <w:qFormat/>
    <w:uiPriority w:val="0"/>
    <w:pPr>
      <w:numPr>
        <w:ilvl w:val="2"/>
        <w:numId w:val="5"/>
      </w:numPr>
    </w:pPr>
  </w:style>
  <w:style w:type="character" w:customStyle="1" w:styleId="20">
    <w:name w:val="msoins"/>
    <w:qFormat/>
    <w:uiPriority w:val="0"/>
    <w:rPr>
      <w:rtl w:val="0"/>
      <w:lang w:val="zh-CN" w:eastAsia="zh-CN" w:bidi="zh-CN"/>
    </w:rPr>
  </w:style>
  <w:style w:type="paragraph" w:customStyle="1" w:styleId="21">
    <w:name w:val="²ÊÉ«ÁÐ±í1"/>
    <w:basedOn w:val="1"/>
    <w:qFormat/>
    <w:uiPriority w:val="0"/>
    <w:pPr>
      <w:spacing w:line="240" w:lineRule="auto"/>
      <w:ind w:firstLine="420"/>
    </w:pPr>
    <w:rPr>
      <w:sz w:val="21"/>
      <w:szCs w:val="21"/>
    </w:rPr>
  </w:style>
  <w:style w:type="paragraph" w:customStyle="1" w:styleId="22">
    <w:name w:val="±íÄÚÊ×ÐÐ¸ñÊ½"/>
    <w:basedOn w:val="1"/>
    <w:qFormat/>
    <w:uiPriority w:val="0"/>
    <w:pPr>
      <w:jc w:val="center"/>
    </w:pPr>
    <w:rPr>
      <w:b/>
      <w:bCs/>
      <w:sz w:val="21"/>
      <w:szCs w:val="21"/>
    </w:rPr>
  </w:style>
  <w:style w:type="paragraph" w:customStyle="1" w:styleId="23">
    <w:name w:val="±íÄÚÎÄ×Ö"/>
    <w:basedOn w:val="1"/>
    <w:qFormat/>
    <w:uiPriority w:val="0"/>
    <w:rPr>
      <w:sz w:val="21"/>
      <w:szCs w:val="21"/>
    </w:rPr>
  </w:style>
  <w:style w:type="paragraph" w:customStyle="1" w:styleId="24">
    <w:name w:val="ÕýÎÄÎÄ×Ö1"/>
    <w:basedOn w:val="3"/>
    <w:qFormat/>
    <w:uiPriority w:val="0"/>
    <w:pPr>
      <w:spacing w:after="0" w:line="360" w:lineRule="atLeast"/>
      <w:ind w:left="72" w:right="72"/>
    </w:pPr>
    <w:rPr>
      <w:sz w:val="21"/>
      <w:szCs w:val="21"/>
    </w:rPr>
  </w:style>
  <w:style w:type="paragraph" w:customStyle="1" w:styleId="25">
    <w:name w:val="ÑùÊ½1) 2) 3)"/>
    <w:basedOn w:val="1"/>
    <w:next w:val="1"/>
    <w:qFormat/>
    <w:uiPriority w:val="0"/>
    <w:pPr>
      <w:numPr>
        <w:ilvl w:val="6"/>
        <w:numId w:val="6"/>
      </w:numPr>
      <w:tabs>
        <w:tab w:val="left" w:pos="1134"/>
        <w:tab w:val="left" w:pos="2268"/>
        <w:tab w:val="left" w:pos="2520"/>
        <w:tab w:val="left" w:pos="3402"/>
        <w:tab w:val="left" w:pos="4536"/>
        <w:tab w:val="left" w:pos="5670"/>
        <w:tab w:val="left" w:pos="6804"/>
        <w:tab w:val="left" w:pos="7938"/>
        <w:tab w:val="left" w:pos="9072"/>
        <w:tab w:val="left" w:pos="10206"/>
        <w:tab w:val="left" w:pos="11340"/>
        <w:tab w:val="left" w:pos="12474"/>
        <w:tab w:val="left" w:pos="13608"/>
        <w:tab w:val="left" w:pos="14742"/>
      </w:tabs>
      <w:jc w:val="left"/>
    </w:pPr>
    <w:rPr>
      <w:sz w:val="21"/>
      <w:szCs w:val="21"/>
    </w:rPr>
  </w:style>
  <w:style w:type="paragraph" w:customStyle="1" w:styleId="26">
    <w:name w:val="[»ù±¾¶ÎÂä]"/>
    <w:basedOn w:val="1"/>
    <w:qFormat/>
    <w:uiPriority w:val="0"/>
    <w:pPr>
      <w:spacing w:line="288" w:lineRule="auto"/>
    </w:pPr>
    <w:rPr>
      <w:color w:val="000000"/>
    </w:rPr>
  </w:style>
  <w:style w:type="paragraph" w:styleId="27">
    <w:name w:val="List Paragraph"/>
    <w:basedOn w:val="1"/>
    <w:qFormat/>
    <w:uiPriority w:val="34"/>
    <w:pPr>
      <w:ind w:firstLine="420"/>
    </w:pPr>
  </w:style>
  <w:style w:type="paragraph" w:customStyle="1" w:styleId="28">
    <w:name w:val="ÁÐ³ö¶ÎÂä1"/>
    <w:basedOn w:val="1"/>
    <w:qFormat/>
    <w:uiPriority w:val="0"/>
    <w:pPr>
      <w:spacing w:line="240" w:lineRule="auto"/>
      <w:ind w:firstLine="420"/>
    </w:pPr>
    <w:rPr>
      <w:sz w:val="21"/>
      <w:szCs w:val="21"/>
    </w:rPr>
  </w:style>
  <w:style w:type="paragraph" w:customStyle="1" w:styleId="29">
    <w:name w:val="ÑùÊ½(1) (2) (3)"/>
    <w:basedOn w:val="1"/>
    <w:next w:val="1"/>
    <w:qFormat/>
    <w:uiPriority w:val="0"/>
    <w:pPr>
      <w:numPr>
        <w:ilvl w:val="5"/>
        <w:numId w:val="7"/>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left"/>
    </w:pPr>
    <w:rPr>
      <w:sz w:val="21"/>
      <w:szCs w:val="21"/>
    </w:rPr>
  </w:style>
  <w:style w:type="paragraph" w:customStyle="1" w:styleId="30">
    <w:name w:val="样式(1) (2) (3)"/>
    <w:basedOn w:val="13"/>
    <w:next w:val="17"/>
    <w:qFormat/>
    <w:uiPriority w:val="0"/>
    <w:pPr>
      <w:numPr>
        <w:ilvl w:val="5"/>
        <w:numId w:val="8"/>
      </w:numPr>
      <w:spacing w:line="360" w:lineRule="auto"/>
    </w:pPr>
    <w:rPr>
      <w:sz w:val="21"/>
      <w:szCs w:val="21"/>
    </w:rPr>
  </w:style>
  <w:style w:type="paragraph" w:customStyle="1" w:styleId="31">
    <w:name w:val="样式1) 2) 3)"/>
    <w:basedOn w:val="30"/>
    <w:next w:val="17"/>
    <w:qFormat/>
    <w:uiPriority w:val="0"/>
    <w:pPr>
      <w:numPr>
        <w:ilvl w:val="6"/>
        <w:numId w:val="9"/>
      </w:numPr>
    </w:pPr>
  </w:style>
  <w:style w:type="paragraph" w:customStyle="1" w:styleId="32">
    <w:name w:val="Default"/>
    <w:basedOn w:val="13"/>
    <w:qFormat/>
    <w:uiPriority w:val="0"/>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Rotis Sans Serif Pro ExtraBold" w:hAnsi="Rotis Sans Serif Pro ExtraBold" w:eastAsia="Rotis Sans Serif Pro ExtraBold" w:cs="Rotis Sans Serif Pro ExtraBold"/>
      <w:color w:val="000000"/>
    </w:rPr>
  </w:style>
  <w:style w:type="paragraph" w:customStyle="1" w:styleId="33">
    <w:name w:val="TOC 71"/>
    <w:basedOn w:val="13"/>
    <w:next w:val="1"/>
    <w:qFormat/>
    <w:uiPriority w:val="0"/>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50"/>
      <w:jc w:val="both"/>
    </w:pPr>
    <w:rPr>
      <w:sz w:val="21"/>
      <w:szCs w:val="21"/>
    </w:rPr>
  </w:style>
  <w:style w:type="paragraph" w:customStyle="1" w:styleId="34">
    <w:name w:val="BODY"/>
    <w:basedOn w:val="13"/>
    <w:qFormat/>
    <w:uiPriority w:val="0"/>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 w:type="character" w:customStyle="1" w:styleId="35">
    <w:name w:val="页眉 字符"/>
    <w:basedOn w:val="11"/>
    <w:link w:val="6"/>
    <w:qFormat/>
    <w:uiPriority w:val="0"/>
    <w:rPr>
      <w:rFonts w:ascii="宋体" w:hAnsi="宋体" w:eastAsia="宋体" w:cs="宋体"/>
      <w:sz w:val="18"/>
      <w:szCs w:val="18"/>
      <w:lang w:val="zh-CN" w:bidi="zh-CN"/>
    </w:rPr>
  </w:style>
  <w:style w:type="character" w:customStyle="1" w:styleId="36">
    <w:name w:val="页脚 字符"/>
    <w:basedOn w:val="11"/>
    <w:link w:val="5"/>
    <w:qFormat/>
    <w:uiPriority w:val="0"/>
    <w:rPr>
      <w:rFonts w:ascii="宋体" w:hAnsi="宋体" w:eastAsia="宋体" w:cs="宋体"/>
      <w:sz w:val="18"/>
      <w:szCs w:val="18"/>
      <w:lang w:val="zh-CN" w:bidi="zh-CN"/>
    </w:rPr>
  </w:style>
  <w:style w:type="character" w:customStyle="1" w:styleId="37">
    <w:name w:val="批注文字 字符"/>
    <w:basedOn w:val="11"/>
    <w:link w:val="2"/>
    <w:qFormat/>
    <w:uiPriority w:val="0"/>
    <w:rPr>
      <w:rFonts w:ascii="宋体" w:hAnsi="宋体" w:eastAsia="宋体" w:cs="宋体"/>
      <w:sz w:val="24"/>
      <w:szCs w:val="24"/>
      <w:lang w:val="zh-CN" w:bidi="zh-CN"/>
    </w:rPr>
  </w:style>
  <w:style w:type="character" w:customStyle="1" w:styleId="38">
    <w:name w:val="批注主题 字符"/>
    <w:basedOn w:val="37"/>
    <w:link w:val="8"/>
    <w:qFormat/>
    <w:uiPriority w:val="0"/>
    <w:rPr>
      <w:rFonts w:ascii="宋体" w:hAnsi="宋体" w:eastAsia="宋体" w:cs="宋体"/>
      <w:b/>
      <w:bCs/>
      <w:sz w:val="24"/>
      <w:szCs w:val="24"/>
      <w:lang w:val="zh-CN" w:bidi="zh-CN"/>
    </w:rPr>
  </w:style>
  <w:style w:type="character" w:customStyle="1" w:styleId="39">
    <w:name w:val="批注框文本 字符"/>
    <w:basedOn w:val="11"/>
    <w:link w:val="4"/>
    <w:qFormat/>
    <w:uiPriority w:val="0"/>
    <w:rPr>
      <w:rFonts w:ascii="宋体" w:hAnsi="宋体" w:eastAsia="宋体" w:cs="宋体"/>
      <w:sz w:val="18"/>
      <w:szCs w:val="18"/>
      <w:lang w:val="zh-CN" w:bidi="zh-CN"/>
    </w:rPr>
  </w:style>
  <w:style w:type="paragraph" w:customStyle="1" w:styleId="40">
    <w:name w:val="修订1"/>
    <w:hidden/>
    <w:unhideWhenUsed/>
    <w:qFormat/>
    <w:uiPriority w:val="99"/>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645</Words>
  <Characters>3677</Characters>
  <Lines>30</Lines>
  <Paragraphs>8</Paragraphs>
  <TotalTime>162</TotalTime>
  <ScaleCrop>false</ScaleCrop>
  <LinksUpToDate>false</LinksUpToDate>
  <CharactersWithSpaces>4314</CharactersWithSpaces>
  <HyperlinkBase>C:\Users\zenoszeng\Desktop\</HyperlinkBas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2025-04-18T00:48:00Z</dcterms:created>
  <dc:creator>user</dc:creator>
  <cp:lastModifiedBy>user</cp:lastModifiedBy>
  <dcterms:modified xsi:type="dcterms:W3CDTF">2025-07-08T13:48:55Z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eyJoZGlkIjoiY2NmOWExMjYzMmQ1OTEyODJlYWFmMzJlOTg1MTA3YzkiLCJ1c2VySWQiOiIzODQ2OTkxODYifQ==</vt:lpwstr>
  </property>
  <property fmtid="{D5CDD505-2E9C-101B-9397-08002B2CF9AE}" pid="3" name="KSOProductBuildVer">
    <vt:lpwstr>2052-12.8.2.1118</vt:lpwstr>
  </property>
  <property fmtid="{D5CDD505-2E9C-101B-9397-08002B2CF9AE}" pid="4" name="ICV">
    <vt:lpwstr>957AB83D81AA45809559C11902EEBFE4_13</vt:lpwstr>
  </property>
</Properties>
</file>