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9AAB4E">
      <w:pPr>
        <w:ind w:firstLine="420"/>
      </w:pPr>
    </w:p>
    <w:p w14:paraId="4CAAB277">
      <w:pPr>
        <w:numPr>
          <w:ilvl w:val="2"/>
          <w:numId w:val="0"/>
        </w:numPr>
        <w:jc w:val="center"/>
        <w:rPr>
          <w:b/>
          <w:bCs/>
          <w:sz w:val="44"/>
          <w:szCs w:val="48"/>
        </w:rPr>
      </w:pPr>
      <w:r>
        <w:rPr>
          <w:rFonts w:hint="eastAsia"/>
          <w:b/>
          <w:bCs/>
          <w:sz w:val="44"/>
          <w:szCs w:val="48"/>
        </w:rPr>
        <w:t>项目需求</w:t>
      </w:r>
    </w:p>
    <w:p w14:paraId="4B8D64FC">
      <w:pPr>
        <w:numPr>
          <w:ilvl w:val="2"/>
          <w:numId w:val="0"/>
        </w:numPr>
        <w:jc w:val="center"/>
        <w:rPr>
          <w:b/>
          <w:bCs/>
          <w:sz w:val="44"/>
          <w:szCs w:val="48"/>
        </w:rPr>
      </w:pPr>
    </w:p>
    <w:p w14:paraId="0A67E4A7">
      <w:pPr>
        <w:pStyle w:val="2"/>
      </w:pPr>
      <w:r>
        <w:rPr>
          <w:rFonts w:hint="eastAsia"/>
        </w:rPr>
        <w:t>项目概述</w:t>
      </w:r>
    </w:p>
    <w:p w14:paraId="4EBB8A9F">
      <w:pPr>
        <w:pStyle w:val="3"/>
      </w:pPr>
      <w:r>
        <w:rPr>
          <w:rFonts w:hint="eastAsia"/>
        </w:rPr>
        <w:t>项目背景及目标</w:t>
      </w:r>
    </w:p>
    <w:p w14:paraId="0BC1D932">
      <w:pPr>
        <w:ind w:firstLine="420"/>
        <w:rPr>
          <w:rFonts w:hint="eastAsia" w:asciiTheme="minorEastAsia" w:hAnsiTheme="minorEastAsia"/>
        </w:rPr>
      </w:pPr>
      <w:r>
        <w:rPr>
          <w:rFonts w:hint="eastAsia" w:asciiTheme="minorEastAsia" w:hAnsiTheme="minorEastAsia"/>
        </w:rPr>
        <w:t>自2018年，上海化学工业区大数据云计算中心一期系统启动建设，系统建成后，已形成一个成熟、安全的硬件资源池，为各部门提供各类网站托管、数据存储、大型计算、系统应用推广、软件开发测试等云资源服务。系统实现了跨部门的数据交换，形成了内部的信息资源共享交换平台，满足了第一阶段安全可靠运行的需要。</w:t>
      </w:r>
    </w:p>
    <w:p w14:paraId="26B60811">
      <w:pPr>
        <w:ind w:firstLine="420"/>
        <w:rPr>
          <w:rFonts w:hint="eastAsia" w:asciiTheme="minorEastAsia" w:hAnsiTheme="minorEastAsia"/>
        </w:rPr>
      </w:pPr>
      <w:r>
        <w:rPr>
          <w:rFonts w:hint="eastAsia" w:asciiTheme="minorEastAsia" w:hAnsiTheme="minorEastAsia"/>
        </w:rPr>
        <w:t>上海化学工业区大数据云采用云计算技术，统筹利用已有的IT资源和条件，统一建设并为上海化工区管委会各部门及驻区管理单位提供基础设施、支撑软件、应用功能、信息资源、运行保障和信息安全等服务。</w:t>
      </w:r>
    </w:p>
    <w:p w14:paraId="306030CB">
      <w:pPr>
        <w:pStyle w:val="3"/>
      </w:pPr>
      <w:r>
        <w:rPr>
          <w:rFonts w:hint="eastAsia"/>
        </w:rPr>
        <w:t>采购服务内容及应用范围</w:t>
      </w:r>
    </w:p>
    <w:p w14:paraId="753CB38F">
      <w:pPr>
        <w:ind w:firstLine="420"/>
      </w:pPr>
      <w:r>
        <w:rPr>
          <w:rFonts w:hint="eastAsia"/>
        </w:rPr>
        <w:t>本次拟启动的云资源服务采购工作，</w:t>
      </w:r>
      <w:r>
        <w:t>合同生效之日后30日内，完成本项目约定机房及资源建设</w:t>
      </w:r>
      <w:r>
        <w:rPr>
          <w:rFonts w:hint="eastAsia"/>
        </w:rPr>
        <w:t>，</w:t>
      </w:r>
      <w:r>
        <w:t>自202</w:t>
      </w:r>
      <w:r>
        <w:rPr>
          <w:rFonts w:hint="eastAsia"/>
        </w:rPr>
        <w:t>5</w:t>
      </w:r>
      <w:r>
        <w:t>年</w:t>
      </w:r>
      <w:r>
        <w:rPr>
          <w:rFonts w:hint="eastAsia"/>
        </w:rPr>
        <w:t>8</w:t>
      </w:r>
      <w:r>
        <w:t>月</w:t>
      </w:r>
      <w:r>
        <w:rPr>
          <w:rFonts w:hint="eastAsia"/>
        </w:rPr>
        <w:t>1</w:t>
      </w:r>
      <w:r>
        <w:t>日（或交付验收通过后，以后到为准）起 12 个月内按照本项目要求提供服务</w:t>
      </w:r>
      <w:r>
        <w:rPr>
          <w:rFonts w:hint="eastAsia"/>
        </w:rPr>
        <w:t>；服务对象涵盖化工区云服务（一期）、化工区云扩容（二期）、驻区管理单位信息系统购买云服务项目、化工区信创云服务项目支撑的机关各处室及驻区单位的35个业务系统，经云资源清理专项行动清理后共计262台主机；服务内容包括：基础设施服务、安全服务、网络链路服务。</w:t>
      </w:r>
    </w:p>
    <w:p w14:paraId="34C170A8">
      <w:pPr>
        <w:ind w:firstLine="420"/>
      </w:pPr>
    </w:p>
    <w:p w14:paraId="7C0BB2AC">
      <w:pPr>
        <w:pStyle w:val="2"/>
      </w:pPr>
      <w:r>
        <w:rPr>
          <w:rFonts w:hint="eastAsia"/>
        </w:rPr>
        <w:t>总体需求</w:t>
      </w:r>
    </w:p>
    <w:p w14:paraId="67D261EC">
      <w:pPr>
        <w:pStyle w:val="3"/>
      </w:pPr>
      <w:r>
        <w:rPr>
          <w:rFonts w:hint="eastAsia"/>
        </w:rPr>
        <w:t>资源需求</w:t>
      </w:r>
    </w:p>
    <w:p w14:paraId="0D039B3D">
      <w:pPr>
        <w:ind w:firstLine="420"/>
      </w:pPr>
      <w:r>
        <w:rPr>
          <w:rFonts w:hint="eastAsia"/>
        </w:rPr>
        <w:t>经调研各单位、各部门所需计算、存储、网络资源等I</w:t>
      </w:r>
      <w:r>
        <w:t>T</w:t>
      </w:r>
      <w:r>
        <w:rPr>
          <w:rFonts w:hint="eastAsia"/>
        </w:rPr>
        <w:t>基础设施和服务能力需求如下：</w:t>
      </w:r>
    </w:p>
    <w:tbl>
      <w:tblPr>
        <w:tblStyle w:val="18"/>
        <w:tblpPr w:leftFromText="180" w:rightFromText="180" w:vertAnchor="text" w:horzAnchor="margin" w:tblpY="1"/>
        <w:tblW w:w="9061" w:type="dxa"/>
        <w:tblInd w:w="0" w:type="dxa"/>
        <w:tblLayout w:type="fixed"/>
        <w:tblCellMar>
          <w:top w:w="0" w:type="dxa"/>
          <w:left w:w="10" w:type="dxa"/>
          <w:bottom w:w="0" w:type="dxa"/>
          <w:right w:w="10" w:type="dxa"/>
        </w:tblCellMar>
      </w:tblPr>
      <w:tblGrid>
        <w:gridCol w:w="577"/>
        <w:gridCol w:w="993"/>
        <w:gridCol w:w="5103"/>
        <w:gridCol w:w="1134"/>
        <w:gridCol w:w="1254"/>
      </w:tblGrid>
      <w:tr w14:paraId="0A132A4E">
        <w:tblPrEx>
          <w:tblCellMar>
            <w:top w:w="0" w:type="dxa"/>
            <w:left w:w="10" w:type="dxa"/>
            <w:bottom w:w="0" w:type="dxa"/>
            <w:right w:w="10" w:type="dxa"/>
          </w:tblCellMar>
        </w:tblPrEx>
        <w:trPr>
          <w:trHeight w:val="569" w:hRule="atLeast"/>
        </w:trPr>
        <w:tc>
          <w:tcPr>
            <w:tcW w:w="57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673A57">
            <w:pPr>
              <w:widowControl/>
              <w:spacing w:before="96" w:after="96"/>
              <w:ind w:firstLine="0" w:firstLineChars="0"/>
              <w:jc w:val="center"/>
              <w:rPr>
                <w:rFonts w:hint="eastAsia" w:ascii="微软雅黑" w:hAnsi="微软雅黑" w:eastAsia="微软雅黑" w:cs="宋体"/>
                <w:b/>
                <w:bCs/>
                <w:kern w:val="0"/>
                <w:sz w:val="18"/>
                <w:szCs w:val="18"/>
              </w:rPr>
            </w:pPr>
            <w:r>
              <w:rPr>
                <w:rFonts w:hint="eastAsia" w:ascii="微软雅黑" w:hAnsi="微软雅黑" w:eastAsia="微软雅黑" w:cs="宋体"/>
                <w:b/>
                <w:bCs/>
                <w:kern w:val="0"/>
                <w:sz w:val="18"/>
                <w:szCs w:val="18"/>
              </w:rPr>
              <w:t>序号</w:t>
            </w:r>
          </w:p>
        </w:tc>
        <w:tc>
          <w:tcPr>
            <w:tcW w:w="993" w:type="dxa"/>
            <w:tcBorders>
              <w:top w:val="single" w:color="auto" w:sz="4" w:space="0"/>
              <w:left w:val="nil"/>
              <w:bottom w:val="single" w:color="auto" w:sz="4" w:space="0"/>
              <w:right w:val="single" w:color="auto" w:sz="4" w:space="0"/>
            </w:tcBorders>
            <w:shd w:val="clear" w:color="auto" w:fill="auto"/>
            <w:vAlign w:val="center"/>
          </w:tcPr>
          <w:p w14:paraId="39360AE0">
            <w:pPr>
              <w:widowControl/>
              <w:spacing w:before="96" w:after="96"/>
              <w:ind w:firstLine="0" w:firstLineChars="0"/>
              <w:jc w:val="center"/>
              <w:rPr>
                <w:rFonts w:hint="eastAsia" w:ascii="微软雅黑" w:hAnsi="微软雅黑" w:eastAsia="微软雅黑" w:cs="宋体"/>
                <w:b/>
                <w:bCs/>
                <w:kern w:val="0"/>
                <w:sz w:val="18"/>
                <w:szCs w:val="18"/>
              </w:rPr>
            </w:pPr>
            <w:r>
              <w:rPr>
                <w:rFonts w:hint="eastAsia" w:ascii="微软雅黑" w:hAnsi="微软雅黑" w:eastAsia="微软雅黑" w:cs="宋体"/>
                <w:b/>
                <w:bCs/>
                <w:kern w:val="0"/>
                <w:sz w:val="18"/>
                <w:szCs w:val="18"/>
              </w:rPr>
              <w:t>项目名称</w:t>
            </w:r>
          </w:p>
        </w:tc>
        <w:tc>
          <w:tcPr>
            <w:tcW w:w="5103" w:type="dxa"/>
            <w:tcBorders>
              <w:top w:val="single" w:color="auto" w:sz="4" w:space="0"/>
              <w:left w:val="nil"/>
              <w:bottom w:val="single" w:color="auto" w:sz="4" w:space="0"/>
              <w:right w:val="single" w:color="auto" w:sz="4" w:space="0"/>
            </w:tcBorders>
            <w:shd w:val="clear" w:color="auto" w:fill="auto"/>
            <w:noWrap/>
            <w:vAlign w:val="center"/>
          </w:tcPr>
          <w:p w14:paraId="694C0319">
            <w:pPr>
              <w:widowControl/>
              <w:spacing w:before="96" w:after="96"/>
              <w:ind w:firstLine="0" w:firstLineChars="0"/>
              <w:jc w:val="center"/>
              <w:rPr>
                <w:rFonts w:hint="eastAsia" w:ascii="微软雅黑" w:hAnsi="微软雅黑" w:eastAsia="微软雅黑" w:cs="宋体"/>
                <w:b/>
                <w:bCs/>
                <w:kern w:val="0"/>
                <w:sz w:val="18"/>
                <w:szCs w:val="18"/>
              </w:rPr>
            </w:pPr>
            <w:r>
              <w:rPr>
                <w:rFonts w:hint="eastAsia" w:ascii="微软雅黑" w:hAnsi="微软雅黑" w:eastAsia="微软雅黑" w:cs="宋体"/>
                <w:b/>
                <w:bCs/>
                <w:kern w:val="0"/>
                <w:sz w:val="18"/>
                <w:szCs w:val="18"/>
              </w:rPr>
              <w:t>参数指标</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241FBA1D">
            <w:pPr>
              <w:widowControl/>
              <w:spacing w:before="96" w:after="96"/>
              <w:ind w:firstLine="0" w:firstLineChars="0"/>
              <w:jc w:val="center"/>
              <w:rPr>
                <w:rFonts w:hint="eastAsia" w:ascii="微软雅黑" w:hAnsi="微软雅黑" w:eastAsia="微软雅黑" w:cs="宋体"/>
                <w:b/>
                <w:bCs/>
                <w:kern w:val="0"/>
                <w:sz w:val="18"/>
                <w:szCs w:val="18"/>
              </w:rPr>
            </w:pPr>
            <w:r>
              <w:rPr>
                <w:rFonts w:hint="eastAsia" w:ascii="微软雅黑" w:hAnsi="微软雅黑" w:eastAsia="微软雅黑" w:cs="宋体"/>
                <w:b/>
                <w:bCs/>
                <w:kern w:val="0"/>
                <w:sz w:val="18"/>
                <w:szCs w:val="18"/>
              </w:rPr>
              <w:t>单位</w:t>
            </w:r>
          </w:p>
        </w:tc>
        <w:tc>
          <w:tcPr>
            <w:tcW w:w="1254" w:type="dxa"/>
            <w:tcBorders>
              <w:top w:val="single" w:color="auto" w:sz="4" w:space="0"/>
              <w:left w:val="nil"/>
              <w:bottom w:val="single" w:color="auto" w:sz="4" w:space="0"/>
              <w:right w:val="single" w:color="auto" w:sz="4" w:space="0"/>
            </w:tcBorders>
            <w:shd w:val="clear" w:color="auto" w:fill="auto"/>
            <w:noWrap/>
            <w:vAlign w:val="center"/>
          </w:tcPr>
          <w:p w14:paraId="7033B0D1">
            <w:pPr>
              <w:widowControl/>
              <w:spacing w:before="96" w:after="96"/>
              <w:ind w:firstLine="0" w:firstLineChars="0"/>
              <w:jc w:val="center"/>
              <w:rPr>
                <w:rFonts w:hint="eastAsia" w:ascii="微软雅黑" w:hAnsi="微软雅黑" w:eastAsia="微软雅黑" w:cs="宋体"/>
                <w:b/>
                <w:bCs/>
                <w:kern w:val="0"/>
                <w:sz w:val="18"/>
                <w:szCs w:val="18"/>
              </w:rPr>
            </w:pPr>
            <w:r>
              <w:rPr>
                <w:rFonts w:hint="eastAsia" w:ascii="微软雅黑" w:hAnsi="微软雅黑" w:eastAsia="微软雅黑" w:cs="宋体"/>
                <w:b/>
                <w:bCs/>
                <w:kern w:val="0"/>
                <w:sz w:val="18"/>
                <w:szCs w:val="18"/>
              </w:rPr>
              <w:t>需求数量</w:t>
            </w:r>
          </w:p>
        </w:tc>
      </w:tr>
      <w:tr w14:paraId="477D2905">
        <w:tblPrEx>
          <w:tblCellMar>
            <w:top w:w="0" w:type="dxa"/>
            <w:left w:w="10" w:type="dxa"/>
            <w:bottom w:w="0" w:type="dxa"/>
            <w:right w:w="10" w:type="dxa"/>
          </w:tblCellMar>
        </w:tblPrEx>
        <w:trPr>
          <w:trHeight w:val="284" w:hRule="atLeast"/>
        </w:trPr>
        <w:tc>
          <w:tcPr>
            <w:tcW w:w="577" w:type="dxa"/>
            <w:vMerge w:val="restart"/>
            <w:tcBorders>
              <w:top w:val="nil"/>
              <w:left w:val="single" w:color="auto" w:sz="4" w:space="0"/>
              <w:right w:val="single" w:color="auto" w:sz="4" w:space="0"/>
            </w:tcBorders>
            <w:shd w:val="clear" w:color="auto" w:fill="auto"/>
            <w:noWrap/>
            <w:vAlign w:val="center"/>
          </w:tcPr>
          <w:p w14:paraId="1C4AA6DD">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1</w:t>
            </w:r>
          </w:p>
        </w:tc>
        <w:tc>
          <w:tcPr>
            <w:tcW w:w="993" w:type="dxa"/>
            <w:vMerge w:val="restart"/>
            <w:tcBorders>
              <w:top w:val="nil"/>
              <w:left w:val="single" w:color="auto" w:sz="4" w:space="0"/>
              <w:right w:val="single" w:color="auto" w:sz="4" w:space="0"/>
            </w:tcBorders>
            <w:shd w:val="clear" w:color="auto" w:fill="auto"/>
            <w:vAlign w:val="center"/>
          </w:tcPr>
          <w:p w14:paraId="76F02C6C">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云主机</w:t>
            </w:r>
          </w:p>
        </w:tc>
        <w:tc>
          <w:tcPr>
            <w:tcW w:w="5103" w:type="dxa"/>
            <w:tcBorders>
              <w:top w:val="nil"/>
              <w:left w:val="nil"/>
              <w:bottom w:val="single" w:color="auto" w:sz="4" w:space="0"/>
              <w:right w:val="single" w:color="auto" w:sz="4" w:space="0"/>
            </w:tcBorders>
            <w:shd w:val="clear" w:color="auto" w:fill="auto"/>
            <w:noWrap/>
            <w:vAlign w:val="center"/>
          </w:tcPr>
          <w:p w14:paraId="76E517A7">
            <w:pPr>
              <w:widowControl/>
              <w:spacing w:before="96" w:after="96"/>
              <w:ind w:firstLine="0" w:firstLineChars="0"/>
              <w:jc w:val="left"/>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CPU</w:t>
            </w:r>
          </w:p>
        </w:tc>
        <w:tc>
          <w:tcPr>
            <w:tcW w:w="1134" w:type="dxa"/>
            <w:tcBorders>
              <w:top w:val="nil"/>
              <w:left w:val="nil"/>
              <w:bottom w:val="single" w:color="auto" w:sz="4" w:space="0"/>
              <w:right w:val="single" w:color="auto" w:sz="4" w:space="0"/>
            </w:tcBorders>
            <w:shd w:val="clear" w:color="auto" w:fill="auto"/>
            <w:noWrap/>
            <w:vAlign w:val="center"/>
          </w:tcPr>
          <w:p w14:paraId="4DC95B93">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核</w:t>
            </w:r>
          </w:p>
        </w:tc>
        <w:tc>
          <w:tcPr>
            <w:tcW w:w="1254" w:type="dxa"/>
            <w:tcBorders>
              <w:top w:val="nil"/>
              <w:left w:val="nil"/>
              <w:bottom w:val="single" w:color="auto" w:sz="4" w:space="0"/>
              <w:right w:val="single" w:color="auto" w:sz="4" w:space="0"/>
            </w:tcBorders>
            <w:shd w:val="clear" w:color="auto" w:fill="auto"/>
            <w:noWrap/>
            <w:vAlign w:val="center"/>
          </w:tcPr>
          <w:p w14:paraId="40CB049F">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598</w:t>
            </w:r>
          </w:p>
        </w:tc>
      </w:tr>
      <w:tr w14:paraId="1860BF94">
        <w:tblPrEx>
          <w:tblCellMar>
            <w:top w:w="0" w:type="dxa"/>
            <w:left w:w="10" w:type="dxa"/>
            <w:bottom w:w="0" w:type="dxa"/>
            <w:right w:w="10" w:type="dxa"/>
          </w:tblCellMar>
        </w:tblPrEx>
        <w:trPr>
          <w:trHeight w:val="284" w:hRule="atLeast"/>
        </w:trPr>
        <w:tc>
          <w:tcPr>
            <w:tcW w:w="577" w:type="dxa"/>
            <w:vMerge w:val="continue"/>
            <w:tcBorders>
              <w:left w:val="single" w:color="auto" w:sz="4" w:space="0"/>
              <w:right w:val="single" w:color="auto" w:sz="4" w:space="0"/>
            </w:tcBorders>
            <w:shd w:val="clear" w:color="auto" w:fill="auto"/>
            <w:vAlign w:val="center"/>
          </w:tcPr>
          <w:p w14:paraId="279B75D1">
            <w:pPr>
              <w:widowControl/>
              <w:spacing w:before="96" w:after="96"/>
              <w:ind w:firstLine="0" w:firstLineChars="0"/>
              <w:jc w:val="center"/>
              <w:rPr>
                <w:rFonts w:hint="eastAsia" w:ascii="微软雅黑" w:hAnsi="微软雅黑" w:eastAsia="微软雅黑" w:cs="宋体"/>
                <w:kern w:val="0"/>
                <w:sz w:val="18"/>
                <w:szCs w:val="18"/>
              </w:rPr>
            </w:pPr>
          </w:p>
        </w:tc>
        <w:tc>
          <w:tcPr>
            <w:tcW w:w="993" w:type="dxa"/>
            <w:vMerge w:val="continue"/>
            <w:tcBorders>
              <w:left w:val="single" w:color="auto" w:sz="4" w:space="0"/>
              <w:right w:val="single" w:color="auto" w:sz="4" w:space="0"/>
            </w:tcBorders>
            <w:shd w:val="clear" w:color="auto" w:fill="auto"/>
            <w:vAlign w:val="center"/>
          </w:tcPr>
          <w:p w14:paraId="120393F7">
            <w:pPr>
              <w:widowControl/>
              <w:spacing w:before="96" w:after="96"/>
              <w:ind w:firstLine="0" w:firstLineChars="0"/>
              <w:jc w:val="center"/>
              <w:rPr>
                <w:rFonts w:hint="eastAsia" w:ascii="微软雅黑" w:hAnsi="微软雅黑" w:eastAsia="微软雅黑" w:cs="宋体"/>
                <w:kern w:val="0"/>
                <w:sz w:val="18"/>
                <w:szCs w:val="18"/>
              </w:rPr>
            </w:pPr>
          </w:p>
        </w:tc>
        <w:tc>
          <w:tcPr>
            <w:tcW w:w="5103" w:type="dxa"/>
            <w:tcBorders>
              <w:top w:val="nil"/>
              <w:left w:val="nil"/>
              <w:bottom w:val="single" w:color="auto" w:sz="4" w:space="0"/>
              <w:right w:val="single" w:color="auto" w:sz="4" w:space="0"/>
            </w:tcBorders>
            <w:shd w:val="clear" w:color="auto" w:fill="auto"/>
            <w:noWrap/>
            <w:vAlign w:val="center"/>
          </w:tcPr>
          <w:p w14:paraId="2E5037AF">
            <w:pPr>
              <w:widowControl/>
              <w:spacing w:before="96" w:after="96"/>
              <w:ind w:firstLine="0" w:firstLineChars="0"/>
              <w:jc w:val="left"/>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CPU（XC）</w:t>
            </w:r>
          </w:p>
        </w:tc>
        <w:tc>
          <w:tcPr>
            <w:tcW w:w="1134" w:type="dxa"/>
            <w:tcBorders>
              <w:top w:val="nil"/>
              <w:left w:val="nil"/>
              <w:bottom w:val="single" w:color="auto" w:sz="4" w:space="0"/>
              <w:right w:val="single" w:color="auto" w:sz="4" w:space="0"/>
            </w:tcBorders>
            <w:shd w:val="clear" w:color="auto" w:fill="auto"/>
            <w:noWrap/>
            <w:vAlign w:val="center"/>
          </w:tcPr>
          <w:p w14:paraId="5674FCF4">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核</w:t>
            </w:r>
          </w:p>
        </w:tc>
        <w:tc>
          <w:tcPr>
            <w:tcW w:w="1254" w:type="dxa"/>
            <w:tcBorders>
              <w:top w:val="nil"/>
              <w:left w:val="nil"/>
              <w:bottom w:val="single" w:color="auto" w:sz="4" w:space="0"/>
              <w:right w:val="single" w:color="auto" w:sz="4" w:space="0"/>
            </w:tcBorders>
            <w:shd w:val="clear" w:color="auto" w:fill="auto"/>
            <w:noWrap/>
            <w:vAlign w:val="center"/>
          </w:tcPr>
          <w:p w14:paraId="61190850">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734</w:t>
            </w:r>
          </w:p>
        </w:tc>
      </w:tr>
      <w:tr w14:paraId="3E1F1E32">
        <w:tblPrEx>
          <w:tblCellMar>
            <w:top w:w="0" w:type="dxa"/>
            <w:left w:w="10" w:type="dxa"/>
            <w:bottom w:w="0" w:type="dxa"/>
            <w:right w:w="10" w:type="dxa"/>
          </w:tblCellMar>
        </w:tblPrEx>
        <w:trPr>
          <w:trHeight w:val="284" w:hRule="atLeast"/>
        </w:trPr>
        <w:tc>
          <w:tcPr>
            <w:tcW w:w="577" w:type="dxa"/>
            <w:vMerge w:val="continue"/>
            <w:tcBorders>
              <w:left w:val="single" w:color="auto" w:sz="4" w:space="0"/>
              <w:right w:val="single" w:color="auto" w:sz="4" w:space="0"/>
            </w:tcBorders>
            <w:shd w:val="clear" w:color="auto" w:fill="auto"/>
            <w:vAlign w:val="center"/>
          </w:tcPr>
          <w:p w14:paraId="52A2546D">
            <w:pPr>
              <w:widowControl/>
              <w:spacing w:before="96" w:after="96"/>
              <w:ind w:firstLine="0" w:firstLineChars="0"/>
              <w:jc w:val="center"/>
              <w:rPr>
                <w:rFonts w:hint="eastAsia" w:ascii="微软雅黑" w:hAnsi="微软雅黑" w:eastAsia="微软雅黑" w:cs="宋体"/>
                <w:kern w:val="0"/>
                <w:sz w:val="18"/>
                <w:szCs w:val="18"/>
              </w:rPr>
            </w:pPr>
          </w:p>
        </w:tc>
        <w:tc>
          <w:tcPr>
            <w:tcW w:w="993" w:type="dxa"/>
            <w:vMerge w:val="continue"/>
            <w:tcBorders>
              <w:left w:val="single" w:color="auto" w:sz="4" w:space="0"/>
              <w:right w:val="single" w:color="auto" w:sz="4" w:space="0"/>
            </w:tcBorders>
            <w:shd w:val="clear" w:color="auto" w:fill="auto"/>
            <w:vAlign w:val="center"/>
          </w:tcPr>
          <w:p w14:paraId="388DB443">
            <w:pPr>
              <w:widowControl/>
              <w:spacing w:before="96" w:after="96"/>
              <w:ind w:firstLine="0" w:firstLineChars="0"/>
              <w:jc w:val="center"/>
              <w:rPr>
                <w:rFonts w:hint="eastAsia" w:ascii="微软雅黑" w:hAnsi="微软雅黑" w:eastAsia="微软雅黑" w:cs="宋体"/>
                <w:kern w:val="0"/>
                <w:sz w:val="18"/>
                <w:szCs w:val="18"/>
              </w:rPr>
            </w:pPr>
          </w:p>
        </w:tc>
        <w:tc>
          <w:tcPr>
            <w:tcW w:w="5103" w:type="dxa"/>
            <w:tcBorders>
              <w:top w:val="nil"/>
              <w:left w:val="nil"/>
              <w:bottom w:val="single" w:color="auto" w:sz="4" w:space="0"/>
              <w:right w:val="single" w:color="auto" w:sz="4" w:space="0"/>
            </w:tcBorders>
            <w:shd w:val="clear" w:color="auto" w:fill="auto"/>
            <w:noWrap/>
            <w:vAlign w:val="center"/>
          </w:tcPr>
          <w:p w14:paraId="2F493FF0">
            <w:pPr>
              <w:widowControl/>
              <w:spacing w:before="96" w:after="96"/>
              <w:ind w:firstLine="0" w:firstLineChars="0"/>
              <w:jc w:val="left"/>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内存</w:t>
            </w:r>
          </w:p>
        </w:tc>
        <w:tc>
          <w:tcPr>
            <w:tcW w:w="1134" w:type="dxa"/>
            <w:tcBorders>
              <w:top w:val="nil"/>
              <w:left w:val="nil"/>
              <w:bottom w:val="single" w:color="auto" w:sz="4" w:space="0"/>
              <w:right w:val="single" w:color="auto" w:sz="4" w:space="0"/>
            </w:tcBorders>
            <w:shd w:val="clear" w:color="auto" w:fill="auto"/>
            <w:noWrap/>
            <w:vAlign w:val="center"/>
          </w:tcPr>
          <w:p w14:paraId="2826AC9C">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G</w:t>
            </w:r>
            <w:r>
              <w:rPr>
                <w:rFonts w:ascii="微软雅黑" w:hAnsi="微软雅黑" w:eastAsia="微软雅黑" w:cs="宋体"/>
                <w:kern w:val="0"/>
                <w:sz w:val="18"/>
                <w:szCs w:val="18"/>
              </w:rPr>
              <w:t>B</w:t>
            </w:r>
          </w:p>
        </w:tc>
        <w:tc>
          <w:tcPr>
            <w:tcW w:w="1254" w:type="dxa"/>
            <w:tcBorders>
              <w:top w:val="nil"/>
              <w:left w:val="nil"/>
              <w:bottom w:val="single" w:color="auto" w:sz="4" w:space="0"/>
              <w:right w:val="single" w:color="auto" w:sz="4" w:space="0"/>
            </w:tcBorders>
            <w:shd w:val="clear" w:color="auto" w:fill="auto"/>
            <w:noWrap/>
            <w:vAlign w:val="center"/>
          </w:tcPr>
          <w:p w14:paraId="6EB8AF04">
            <w:pPr>
              <w:widowControl/>
              <w:spacing w:before="96" w:after="96"/>
              <w:ind w:firstLine="0" w:firstLineChars="0"/>
              <w:jc w:val="center"/>
              <w:rPr>
                <w:rFonts w:hint="eastAsia" w:ascii="微软雅黑" w:hAnsi="微软雅黑" w:eastAsia="微软雅黑" w:cs="宋体"/>
                <w:kern w:val="0"/>
                <w:sz w:val="18"/>
                <w:szCs w:val="18"/>
              </w:rPr>
            </w:pPr>
            <w:r>
              <w:rPr>
                <w:rFonts w:ascii="微软雅黑" w:hAnsi="微软雅黑" w:eastAsia="微软雅黑" w:cs="宋体"/>
                <w:kern w:val="0"/>
                <w:sz w:val="18"/>
                <w:szCs w:val="18"/>
              </w:rPr>
              <w:t>1</w:t>
            </w:r>
            <w:r>
              <w:rPr>
                <w:rFonts w:hint="eastAsia" w:ascii="微软雅黑" w:hAnsi="微软雅黑" w:eastAsia="微软雅黑" w:cs="宋体"/>
                <w:kern w:val="0"/>
                <w:sz w:val="18"/>
                <w:szCs w:val="18"/>
              </w:rPr>
              <w:t>642</w:t>
            </w:r>
          </w:p>
        </w:tc>
      </w:tr>
      <w:tr w14:paraId="6A968CA7">
        <w:tblPrEx>
          <w:tblCellMar>
            <w:top w:w="0" w:type="dxa"/>
            <w:left w:w="10" w:type="dxa"/>
            <w:bottom w:w="0" w:type="dxa"/>
            <w:right w:w="10" w:type="dxa"/>
          </w:tblCellMar>
        </w:tblPrEx>
        <w:trPr>
          <w:trHeight w:val="284" w:hRule="atLeast"/>
        </w:trPr>
        <w:tc>
          <w:tcPr>
            <w:tcW w:w="577" w:type="dxa"/>
            <w:vMerge w:val="continue"/>
            <w:tcBorders>
              <w:left w:val="single" w:color="auto" w:sz="4" w:space="0"/>
              <w:bottom w:val="single" w:color="auto" w:sz="4" w:space="0"/>
              <w:right w:val="single" w:color="auto" w:sz="4" w:space="0"/>
            </w:tcBorders>
            <w:shd w:val="clear" w:color="auto" w:fill="auto"/>
            <w:vAlign w:val="center"/>
          </w:tcPr>
          <w:p w14:paraId="4AD633D0">
            <w:pPr>
              <w:widowControl/>
              <w:spacing w:before="96" w:after="96"/>
              <w:ind w:firstLine="0" w:firstLineChars="0"/>
              <w:jc w:val="center"/>
              <w:rPr>
                <w:rFonts w:hint="eastAsia" w:ascii="微软雅黑" w:hAnsi="微软雅黑" w:eastAsia="微软雅黑" w:cs="宋体"/>
                <w:kern w:val="0"/>
                <w:sz w:val="18"/>
                <w:szCs w:val="18"/>
              </w:rPr>
            </w:pPr>
          </w:p>
        </w:tc>
        <w:tc>
          <w:tcPr>
            <w:tcW w:w="993" w:type="dxa"/>
            <w:vMerge w:val="continue"/>
            <w:tcBorders>
              <w:left w:val="single" w:color="auto" w:sz="4" w:space="0"/>
              <w:bottom w:val="single" w:color="auto" w:sz="4" w:space="0"/>
              <w:right w:val="single" w:color="auto" w:sz="4" w:space="0"/>
            </w:tcBorders>
            <w:shd w:val="clear" w:color="auto" w:fill="auto"/>
            <w:vAlign w:val="center"/>
          </w:tcPr>
          <w:p w14:paraId="168E8FA0">
            <w:pPr>
              <w:widowControl/>
              <w:spacing w:before="96" w:after="96"/>
              <w:ind w:firstLine="0" w:firstLineChars="0"/>
              <w:jc w:val="center"/>
              <w:rPr>
                <w:rFonts w:hint="eastAsia" w:ascii="微软雅黑" w:hAnsi="微软雅黑" w:eastAsia="微软雅黑" w:cs="宋体"/>
                <w:kern w:val="0"/>
                <w:sz w:val="18"/>
                <w:szCs w:val="18"/>
              </w:rPr>
            </w:pPr>
          </w:p>
        </w:tc>
        <w:tc>
          <w:tcPr>
            <w:tcW w:w="5103" w:type="dxa"/>
            <w:tcBorders>
              <w:top w:val="nil"/>
              <w:left w:val="nil"/>
              <w:bottom w:val="single" w:color="auto" w:sz="4" w:space="0"/>
              <w:right w:val="single" w:color="auto" w:sz="4" w:space="0"/>
            </w:tcBorders>
            <w:shd w:val="clear" w:color="auto" w:fill="auto"/>
            <w:noWrap/>
            <w:vAlign w:val="center"/>
          </w:tcPr>
          <w:p w14:paraId="7628B787">
            <w:pPr>
              <w:widowControl/>
              <w:spacing w:before="96" w:after="96"/>
              <w:ind w:firstLine="0" w:firstLineChars="0"/>
              <w:jc w:val="left"/>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内存（XC）</w:t>
            </w:r>
          </w:p>
        </w:tc>
        <w:tc>
          <w:tcPr>
            <w:tcW w:w="1134" w:type="dxa"/>
            <w:tcBorders>
              <w:top w:val="nil"/>
              <w:left w:val="nil"/>
              <w:bottom w:val="single" w:color="auto" w:sz="4" w:space="0"/>
              <w:right w:val="single" w:color="auto" w:sz="4" w:space="0"/>
            </w:tcBorders>
            <w:shd w:val="clear" w:color="auto" w:fill="auto"/>
            <w:noWrap/>
            <w:vAlign w:val="center"/>
          </w:tcPr>
          <w:p w14:paraId="13159E0C">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G</w:t>
            </w:r>
            <w:r>
              <w:rPr>
                <w:rFonts w:ascii="微软雅黑" w:hAnsi="微软雅黑" w:eastAsia="微软雅黑" w:cs="宋体"/>
                <w:kern w:val="0"/>
                <w:sz w:val="18"/>
                <w:szCs w:val="18"/>
              </w:rPr>
              <w:t>B</w:t>
            </w:r>
          </w:p>
        </w:tc>
        <w:tc>
          <w:tcPr>
            <w:tcW w:w="1254" w:type="dxa"/>
            <w:tcBorders>
              <w:top w:val="nil"/>
              <w:left w:val="nil"/>
              <w:bottom w:val="single" w:color="auto" w:sz="4" w:space="0"/>
              <w:right w:val="single" w:color="auto" w:sz="4" w:space="0"/>
            </w:tcBorders>
            <w:shd w:val="clear" w:color="auto" w:fill="auto"/>
            <w:noWrap/>
            <w:vAlign w:val="center"/>
          </w:tcPr>
          <w:p w14:paraId="3F5CEA55">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3248</w:t>
            </w:r>
          </w:p>
        </w:tc>
      </w:tr>
      <w:tr w14:paraId="002E5918">
        <w:tblPrEx>
          <w:tblCellMar>
            <w:top w:w="0" w:type="dxa"/>
            <w:left w:w="10" w:type="dxa"/>
            <w:bottom w:w="0" w:type="dxa"/>
            <w:right w:w="10" w:type="dxa"/>
          </w:tblCellMar>
        </w:tblPrEx>
        <w:trPr>
          <w:trHeight w:val="284" w:hRule="atLeast"/>
        </w:trPr>
        <w:tc>
          <w:tcPr>
            <w:tcW w:w="577" w:type="dxa"/>
            <w:vMerge w:val="restart"/>
            <w:tcBorders>
              <w:top w:val="nil"/>
              <w:left w:val="single" w:color="auto" w:sz="4" w:space="0"/>
              <w:bottom w:val="single" w:color="auto" w:sz="4" w:space="0"/>
              <w:right w:val="single" w:color="auto" w:sz="4" w:space="0"/>
            </w:tcBorders>
            <w:shd w:val="clear" w:color="auto" w:fill="auto"/>
            <w:noWrap/>
            <w:vAlign w:val="center"/>
          </w:tcPr>
          <w:p w14:paraId="2C9ED157">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2</w:t>
            </w:r>
          </w:p>
        </w:tc>
        <w:tc>
          <w:tcPr>
            <w:tcW w:w="993" w:type="dxa"/>
            <w:vMerge w:val="restart"/>
            <w:tcBorders>
              <w:top w:val="nil"/>
              <w:left w:val="single" w:color="auto" w:sz="4" w:space="0"/>
              <w:bottom w:val="single" w:color="auto" w:sz="4" w:space="0"/>
              <w:right w:val="single" w:color="auto" w:sz="4" w:space="0"/>
            </w:tcBorders>
            <w:shd w:val="clear" w:color="auto" w:fill="auto"/>
            <w:vAlign w:val="center"/>
          </w:tcPr>
          <w:p w14:paraId="63D1B4F2">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云存储</w:t>
            </w:r>
          </w:p>
        </w:tc>
        <w:tc>
          <w:tcPr>
            <w:tcW w:w="5103" w:type="dxa"/>
            <w:tcBorders>
              <w:top w:val="nil"/>
              <w:left w:val="nil"/>
              <w:bottom w:val="single" w:color="auto" w:sz="4" w:space="0"/>
              <w:right w:val="single" w:color="auto" w:sz="4" w:space="0"/>
            </w:tcBorders>
            <w:shd w:val="clear" w:color="auto" w:fill="auto"/>
            <w:noWrap/>
            <w:vAlign w:val="center"/>
          </w:tcPr>
          <w:p w14:paraId="7F17868C">
            <w:pPr>
              <w:widowControl/>
              <w:spacing w:before="96" w:after="96"/>
              <w:ind w:firstLine="0" w:firstLineChars="0"/>
              <w:jc w:val="left"/>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应用存储空间</w:t>
            </w:r>
          </w:p>
        </w:tc>
        <w:tc>
          <w:tcPr>
            <w:tcW w:w="1134" w:type="dxa"/>
            <w:tcBorders>
              <w:top w:val="nil"/>
              <w:left w:val="nil"/>
              <w:bottom w:val="single" w:color="auto" w:sz="4" w:space="0"/>
              <w:right w:val="single" w:color="auto" w:sz="4" w:space="0"/>
            </w:tcBorders>
            <w:shd w:val="clear" w:color="auto" w:fill="auto"/>
            <w:noWrap/>
            <w:vAlign w:val="center"/>
          </w:tcPr>
          <w:p w14:paraId="44919282">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TB</w:t>
            </w:r>
          </w:p>
        </w:tc>
        <w:tc>
          <w:tcPr>
            <w:tcW w:w="1254" w:type="dxa"/>
            <w:tcBorders>
              <w:top w:val="nil"/>
              <w:left w:val="nil"/>
              <w:bottom w:val="single" w:color="auto" w:sz="4" w:space="0"/>
              <w:right w:val="single" w:color="auto" w:sz="4" w:space="0"/>
            </w:tcBorders>
            <w:shd w:val="clear" w:color="auto" w:fill="auto"/>
            <w:noWrap/>
            <w:vAlign w:val="center"/>
          </w:tcPr>
          <w:p w14:paraId="1FAE6390">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129.3</w:t>
            </w:r>
          </w:p>
        </w:tc>
      </w:tr>
      <w:tr w14:paraId="525D9A43">
        <w:tblPrEx>
          <w:tblCellMar>
            <w:top w:w="0" w:type="dxa"/>
            <w:left w:w="10" w:type="dxa"/>
            <w:bottom w:w="0" w:type="dxa"/>
            <w:right w:w="10" w:type="dxa"/>
          </w:tblCellMar>
        </w:tblPrEx>
        <w:trPr>
          <w:trHeight w:val="284" w:hRule="atLeast"/>
        </w:trPr>
        <w:tc>
          <w:tcPr>
            <w:tcW w:w="577" w:type="dxa"/>
            <w:vMerge w:val="continue"/>
            <w:tcBorders>
              <w:top w:val="nil"/>
              <w:left w:val="single" w:color="auto" w:sz="4" w:space="0"/>
              <w:bottom w:val="single" w:color="auto" w:sz="4" w:space="0"/>
              <w:right w:val="single" w:color="auto" w:sz="4" w:space="0"/>
            </w:tcBorders>
            <w:shd w:val="clear" w:color="auto" w:fill="auto"/>
            <w:vAlign w:val="center"/>
          </w:tcPr>
          <w:p w14:paraId="0D1C8FAA">
            <w:pPr>
              <w:widowControl/>
              <w:spacing w:before="96" w:after="96"/>
              <w:ind w:firstLine="0" w:firstLineChars="0"/>
              <w:jc w:val="center"/>
              <w:rPr>
                <w:rFonts w:hint="eastAsia" w:ascii="微软雅黑" w:hAnsi="微软雅黑" w:eastAsia="微软雅黑" w:cs="宋体"/>
                <w:kern w:val="0"/>
                <w:sz w:val="18"/>
                <w:szCs w:val="18"/>
              </w:rPr>
            </w:pPr>
          </w:p>
        </w:tc>
        <w:tc>
          <w:tcPr>
            <w:tcW w:w="993" w:type="dxa"/>
            <w:vMerge w:val="continue"/>
            <w:tcBorders>
              <w:top w:val="nil"/>
              <w:left w:val="single" w:color="auto" w:sz="4" w:space="0"/>
              <w:bottom w:val="single" w:color="auto" w:sz="4" w:space="0"/>
              <w:right w:val="single" w:color="auto" w:sz="4" w:space="0"/>
            </w:tcBorders>
            <w:shd w:val="clear" w:color="auto" w:fill="auto"/>
            <w:vAlign w:val="center"/>
          </w:tcPr>
          <w:p w14:paraId="1BC02B1A">
            <w:pPr>
              <w:widowControl/>
              <w:spacing w:before="96" w:after="96"/>
              <w:ind w:firstLine="0" w:firstLineChars="0"/>
              <w:jc w:val="center"/>
              <w:rPr>
                <w:rFonts w:hint="eastAsia" w:ascii="微软雅黑" w:hAnsi="微软雅黑" w:eastAsia="微软雅黑" w:cs="宋体"/>
                <w:kern w:val="0"/>
                <w:sz w:val="18"/>
                <w:szCs w:val="18"/>
              </w:rPr>
            </w:pPr>
          </w:p>
        </w:tc>
        <w:tc>
          <w:tcPr>
            <w:tcW w:w="5103" w:type="dxa"/>
            <w:tcBorders>
              <w:top w:val="nil"/>
              <w:left w:val="nil"/>
              <w:bottom w:val="single" w:color="auto" w:sz="4" w:space="0"/>
              <w:right w:val="single" w:color="auto" w:sz="4" w:space="0"/>
            </w:tcBorders>
            <w:shd w:val="clear" w:color="auto" w:fill="auto"/>
            <w:noWrap/>
            <w:vAlign w:val="center"/>
          </w:tcPr>
          <w:p w14:paraId="36424B18">
            <w:pPr>
              <w:widowControl/>
              <w:spacing w:before="96" w:after="96"/>
              <w:ind w:firstLine="0" w:firstLineChars="0"/>
              <w:jc w:val="left"/>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数据备份服务</w:t>
            </w:r>
          </w:p>
        </w:tc>
        <w:tc>
          <w:tcPr>
            <w:tcW w:w="1134" w:type="dxa"/>
            <w:tcBorders>
              <w:top w:val="nil"/>
              <w:left w:val="nil"/>
              <w:bottom w:val="single" w:color="auto" w:sz="4" w:space="0"/>
              <w:right w:val="single" w:color="auto" w:sz="4" w:space="0"/>
            </w:tcBorders>
            <w:shd w:val="clear" w:color="auto" w:fill="auto"/>
            <w:noWrap/>
            <w:vAlign w:val="center"/>
          </w:tcPr>
          <w:p w14:paraId="2847AD53">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TB</w:t>
            </w:r>
          </w:p>
        </w:tc>
        <w:tc>
          <w:tcPr>
            <w:tcW w:w="1254" w:type="dxa"/>
            <w:tcBorders>
              <w:top w:val="nil"/>
              <w:left w:val="nil"/>
              <w:bottom w:val="single" w:color="auto" w:sz="4" w:space="0"/>
              <w:right w:val="single" w:color="auto" w:sz="4" w:space="0"/>
            </w:tcBorders>
            <w:shd w:val="clear" w:color="auto" w:fill="auto"/>
            <w:noWrap/>
            <w:vAlign w:val="center"/>
          </w:tcPr>
          <w:p w14:paraId="60D123F7">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129.3</w:t>
            </w:r>
          </w:p>
        </w:tc>
      </w:tr>
      <w:tr w14:paraId="54FC8672">
        <w:tblPrEx>
          <w:tblCellMar>
            <w:top w:w="0" w:type="dxa"/>
            <w:left w:w="10" w:type="dxa"/>
            <w:bottom w:w="0" w:type="dxa"/>
            <w:right w:w="10" w:type="dxa"/>
          </w:tblCellMar>
        </w:tblPrEx>
        <w:trPr>
          <w:trHeight w:val="284" w:hRule="atLeast"/>
        </w:trPr>
        <w:tc>
          <w:tcPr>
            <w:tcW w:w="577" w:type="dxa"/>
            <w:vMerge w:val="restart"/>
            <w:tcBorders>
              <w:top w:val="nil"/>
              <w:left w:val="single" w:color="auto" w:sz="4" w:space="0"/>
              <w:bottom w:val="single" w:color="auto" w:sz="4" w:space="0"/>
              <w:right w:val="single" w:color="auto" w:sz="4" w:space="0"/>
            </w:tcBorders>
            <w:shd w:val="clear" w:color="auto" w:fill="auto"/>
            <w:noWrap/>
            <w:vAlign w:val="center"/>
          </w:tcPr>
          <w:p w14:paraId="6BF3ECE1">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3</w:t>
            </w:r>
          </w:p>
        </w:tc>
        <w:tc>
          <w:tcPr>
            <w:tcW w:w="993" w:type="dxa"/>
            <w:vMerge w:val="restart"/>
            <w:tcBorders>
              <w:top w:val="nil"/>
              <w:left w:val="single" w:color="auto" w:sz="4" w:space="0"/>
              <w:bottom w:val="single" w:color="auto" w:sz="4" w:space="0"/>
              <w:right w:val="single" w:color="auto" w:sz="4" w:space="0"/>
            </w:tcBorders>
            <w:shd w:val="clear" w:color="auto" w:fill="auto"/>
            <w:noWrap/>
            <w:vAlign w:val="center"/>
          </w:tcPr>
          <w:p w14:paraId="07D36D33">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云网络</w:t>
            </w:r>
          </w:p>
        </w:tc>
        <w:tc>
          <w:tcPr>
            <w:tcW w:w="5103" w:type="dxa"/>
            <w:tcBorders>
              <w:top w:val="nil"/>
              <w:left w:val="nil"/>
              <w:bottom w:val="single" w:color="auto" w:sz="4" w:space="0"/>
              <w:right w:val="single" w:color="auto" w:sz="4" w:space="0"/>
            </w:tcBorders>
            <w:shd w:val="clear" w:color="auto" w:fill="auto"/>
            <w:noWrap/>
            <w:vAlign w:val="center"/>
          </w:tcPr>
          <w:p w14:paraId="551101F0">
            <w:pPr>
              <w:widowControl/>
              <w:spacing w:before="96" w:after="96"/>
              <w:ind w:firstLine="0" w:firstLineChars="0"/>
              <w:jc w:val="left"/>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互联网公有IP服务</w:t>
            </w:r>
          </w:p>
        </w:tc>
        <w:tc>
          <w:tcPr>
            <w:tcW w:w="1134" w:type="dxa"/>
            <w:tcBorders>
              <w:top w:val="nil"/>
              <w:left w:val="nil"/>
              <w:bottom w:val="single" w:color="auto" w:sz="4" w:space="0"/>
              <w:right w:val="single" w:color="auto" w:sz="4" w:space="0"/>
            </w:tcBorders>
            <w:shd w:val="clear" w:color="auto" w:fill="auto"/>
            <w:noWrap/>
            <w:vAlign w:val="center"/>
          </w:tcPr>
          <w:p w14:paraId="088427D0">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个</w:t>
            </w:r>
          </w:p>
        </w:tc>
        <w:tc>
          <w:tcPr>
            <w:tcW w:w="1254" w:type="dxa"/>
            <w:tcBorders>
              <w:top w:val="nil"/>
              <w:left w:val="nil"/>
              <w:bottom w:val="single" w:color="auto" w:sz="4" w:space="0"/>
              <w:right w:val="single" w:color="auto" w:sz="4" w:space="0"/>
            </w:tcBorders>
            <w:shd w:val="clear" w:color="auto" w:fill="auto"/>
            <w:noWrap/>
            <w:vAlign w:val="center"/>
          </w:tcPr>
          <w:p w14:paraId="50F7FEF3">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57</w:t>
            </w:r>
          </w:p>
        </w:tc>
      </w:tr>
      <w:tr w14:paraId="43521DAF">
        <w:tblPrEx>
          <w:tblCellMar>
            <w:top w:w="0" w:type="dxa"/>
            <w:left w:w="10" w:type="dxa"/>
            <w:bottom w:w="0" w:type="dxa"/>
            <w:right w:w="10" w:type="dxa"/>
          </w:tblCellMar>
        </w:tblPrEx>
        <w:trPr>
          <w:trHeight w:val="284" w:hRule="atLeast"/>
        </w:trPr>
        <w:tc>
          <w:tcPr>
            <w:tcW w:w="577" w:type="dxa"/>
            <w:vMerge w:val="continue"/>
            <w:tcBorders>
              <w:top w:val="nil"/>
              <w:left w:val="single" w:color="auto" w:sz="4" w:space="0"/>
              <w:bottom w:val="single" w:color="auto" w:sz="4" w:space="0"/>
              <w:right w:val="single" w:color="auto" w:sz="4" w:space="0"/>
            </w:tcBorders>
            <w:shd w:val="clear" w:color="auto" w:fill="auto"/>
            <w:vAlign w:val="center"/>
          </w:tcPr>
          <w:p w14:paraId="76BE98E7">
            <w:pPr>
              <w:widowControl/>
              <w:spacing w:before="96" w:after="96"/>
              <w:ind w:firstLine="0" w:firstLineChars="0"/>
              <w:jc w:val="center"/>
              <w:rPr>
                <w:rFonts w:hint="eastAsia" w:ascii="微软雅黑" w:hAnsi="微软雅黑" w:eastAsia="微软雅黑" w:cs="宋体"/>
                <w:kern w:val="0"/>
                <w:sz w:val="18"/>
                <w:szCs w:val="18"/>
              </w:rPr>
            </w:pPr>
          </w:p>
        </w:tc>
        <w:tc>
          <w:tcPr>
            <w:tcW w:w="993" w:type="dxa"/>
            <w:vMerge w:val="continue"/>
            <w:tcBorders>
              <w:top w:val="nil"/>
              <w:left w:val="single" w:color="auto" w:sz="4" w:space="0"/>
              <w:bottom w:val="single" w:color="auto" w:sz="4" w:space="0"/>
              <w:right w:val="single" w:color="auto" w:sz="4" w:space="0"/>
            </w:tcBorders>
            <w:shd w:val="clear" w:color="auto" w:fill="auto"/>
            <w:vAlign w:val="center"/>
          </w:tcPr>
          <w:p w14:paraId="08FCDFCA">
            <w:pPr>
              <w:widowControl/>
              <w:spacing w:before="96" w:after="96"/>
              <w:ind w:firstLine="0" w:firstLineChars="0"/>
              <w:jc w:val="center"/>
              <w:rPr>
                <w:rFonts w:hint="eastAsia" w:ascii="微软雅黑" w:hAnsi="微软雅黑" w:eastAsia="微软雅黑" w:cs="宋体"/>
                <w:kern w:val="0"/>
                <w:sz w:val="18"/>
                <w:szCs w:val="18"/>
              </w:rPr>
            </w:pPr>
          </w:p>
        </w:tc>
        <w:tc>
          <w:tcPr>
            <w:tcW w:w="5103" w:type="dxa"/>
            <w:tcBorders>
              <w:top w:val="nil"/>
              <w:left w:val="nil"/>
              <w:bottom w:val="single" w:color="auto" w:sz="4" w:space="0"/>
              <w:right w:val="single" w:color="auto" w:sz="4" w:space="0"/>
            </w:tcBorders>
            <w:shd w:val="clear" w:color="auto" w:fill="auto"/>
            <w:noWrap/>
            <w:vAlign w:val="center"/>
          </w:tcPr>
          <w:p w14:paraId="68220440">
            <w:pPr>
              <w:widowControl/>
              <w:spacing w:before="96" w:after="96"/>
              <w:ind w:firstLine="0" w:firstLineChars="0"/>
              <w:jc w:val="left"/>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互联网带宽（骨干级）</w:t>
            </w:r>
          </w:p>
        </w:tc>
        <w:tc>
          <w:tcPr>
            <w:tcW w:w="1134" w:type="dxa"/>
            <w:tcBorders>
              <w:top w:val="nil"/>
              <w:left w:val="nil"/>
              <w:bottom w:val="single" w:color="auto" w:sz="4" w:space="0"/>
              <w:right w:val="single" w:color="auto" w:sz="4" w:space="0"/>
            </w:tcBorders>
            <w:shd w:val="clear" w:color="auto" w:fill="auto"/>
            <w:noWrap/>
            <w:vAlign w:val="center"/>
          </w:tcPr>
          <w:p w14:paraId="7C09EA1B">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GB</w:t>
            </w:r>
          </w:p>
        </w:tc>
        <w:tc>
          <w:tcPr>
            <w:tcW w:w="1254" w:type="dxa"/>
            <w:tcBorders>
              <w:top w:val="nil"/>
              <w:left w:val="nil"/>
              <w:bottom w:val="single" w:color="auto" w:sz="4" w:space="0"/>
              <w:right w:val="single" w:color="auto" w:sz="4" w:space="0"/>
            </w:tcBorders>
            <w:shd w:val="clear" w:color="auto" w:fill="auto"/>
            <w:noWrap/>
            <w:vAlign w:val="center"/>
          </w:tcPr>
          <w:p w14:paraId="23670C5D">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2</w:t>
            </w:r>
          </w:p>
        </w:tc>
      </w:tr>
      <w:tr w14:paraId="12F6045F">
        <w:tblPrEx>
          <w:tblCellMar>
            <w:top w:w="0" w:type="dxa"/>
            <w:left w:w="10" w:type="dxa"/>
            <w:bottom w:w="0" w:type="dxa"/>
            <w:right w:w="10" w:type="dxa"/>
          </w:tblCellMar>
        </w:tblPrEx>
        <w:trPr>
          <w:trHeight w:val="284" w:hRule="atLeast"/>
        </w:trPr>
        <w:tc>
          <w:tcPr>
            <w:tcW w:w="577" w:type="dxa"/>
            <w:vMerge w:val="continue"/>
            <w:tcBorders>
              <w:top w:val="nil"/>
              <w:left w:val="single" w:color="auto" w:sz="4" w:space="0"/>
              <w:bottom w:val="single" w:color="auto" w:sz="4" w:space="0"/>
              <w:right w:val="single" w:color="auto" w:sz="4" w:space="0"/>
            </w:tcBorders>
            <w:shd w:val="clear" w:color="auto" w:fill="auto"/>
            <w:vAlign w:val="center"/>
          </w:tcPr>
          <w:p w14:paraId="40498A81">
            <w:pPr>
              <w:widowControl/>
              <w:spacing w:before="96" w:after="96"/>
              <w:ind w:firstLine="0" w:firstLineChars="0"/>
              <w:jc w:val="center"/>
              <w:rPr>
                <w:rFonts w:hint="eastAsia" w:ascii="微软雅黑" w:hAnsi="微软雅黑" w:eastAsia="微软雅黑" w:cs="宋体"/>
                <w:kern w:val="0"/>
                <w:sz w:val="18"/>
                <w:szCs w:val="18"/>
              </w:rPr>
            </w:pPr>
          </w:p>
        </w:tc>
        <w:tc>
          <w:tcPr>
            <w:tcW w:w="993" w:type="dxa"/>
            <w:vMerge w:val="continue"/>
            <w:tcBorders>
              <w:top w:val="nil"/>
              <w:left w:val="single" w:color="auto" w:sz="4" w:space="0"/>
              <w:bottom w:val="single" w:color="auto" w:sz="4" w:space="0"/>
              <w:right w:val="single" w:color="auto" w:sz="4" w:space="0"/>
            </w:tcBorders>
            <w:shd w:val="clear" w:color="auto" w:fill="auto"/>
            <w:vAlign w:val="center"/>
          </w:tcPr>
          <w:p w14:paraId="60535F16">
            <w:pPr>
              <w:widowControl/>
              <w:spacing w:before="96" w:after="96"/>
              <w:ind w:firstLine="0" w:firstLineChars="0"/>
              <w:jc w:val="center"/>
              <w:rPr>
                <w:rFonts w:hint="eastAsia" w:ascii="微软雅黑" w:hAnsi="微软雅黑" w:eastAsia="微软雅黑" w:cs="宋体"/>
                <w:kern w:val="0"/>
                <w:sz w:val="18"/>
                <w:szCs w:val="18"/>
              </w:rPr>
            </w:pPr>
          </w:p>
        </w:tc>
        <w:tc>
          <w:tcPr>
            <w:tcW w:w="5103" w:type="dxa"/>
            <w:tcBorders>
              <w:top w:val="nil"/>
              <w:left w:val="nil"/>
              <w:bottom w:val="single" w:color="auto" w:sz="4" w:space="0"/>
              <w:right w:val="single" w:color="auto" w:sz="4" w:space="0"/>
            </w:tcBorders>
            <w:shd w:val="clear" w:color="auto" w:fill="auto"/>
            <w:noWrap/>
            <w:vAlign w:val="center"/>
          </w:tcPr>
          <w:p w14:paraId="7973C23B">
            <w:pPr>
              <w:widowControl/>
              <w:spacing w:before="96" w:after="96"/>
              <w:ind w:firstLine="0" w:firstLineChars="0"/>
              <w:jc w:val="left"/>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应用负载均衡服务</w:t>
            </w:r>
          </w:p>
        </w:tc>
        <w:tc>
          <w:tcPr>
            <w:tcW w:w="1134" w:type="dxa"/>
            <w:tcBorders>
              <w:top w:val="nil"/>
              <w:left w:val="nil"/>
              <w:bottom w:val="single" w:color="auto" w:sz="4" w:space="0"/>
              <w:right w:val="single" w:color="auto" w:sz="4" w:space="0"/>
            </w:tcBorders>
            <w:shd w:val="clear" w:color="auto" w:fill="auto"/>
            <w:noWrap/>
            <w:vAlign w:val="center"/>
          </w:tcPr>
          <w:p w14:paraId="68EF3935">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每IP</w:t>
            </w:r>
          </w:p>
        </w:tc>
        <w:tc>
          <w:tcPr>
            <w:tcW w:w="1254" w:type="dxa"/>
            <w:tcBorders>
              <w:top w:val="nil"/>
              <w:left w:val="nil"/>
              <w:bottom w:val="single" w:color="auto" w:sz="4" w:space="0"/>
              <w:right w:val="single" w:color="auto" w:sz="4" w:space="0"/>
            </w:tcBorders>
            <w:shd w:val="clear" w:color="auto" w:fill="auto"/>
            <w:noWrap/>
            <w:vAlign w:val="center"/>
          </w:tcPr>
          <w:p w14:paraId="3C72961F">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17</w:t>
            </w:r>
          </w:p>
        </w:tc>
      </w:tr>
      <w:tr w14:paraId="7B508B11">
        <w:tblPrEx>
          <w:tblCellMar>
            <w:top w:w="0" w:type="dxa"/>
            <w:left w:w="10" w:type="dxa"/>
            <w:bottom w:w="0" w:type="dxa"/>
            <w:right w:w="10" w:type="dxa"/>
          </w:tblCellMar>
        </w:tblPrEx>
        <w:trPr>
          <w:trHeight w:val="284" w:hRule="atLeast"/>
        </w:trPr>
        <w:tc>
          <w:tcPr>
            <w:tcW w:w="577" w:type="dxa"/>
            <w:vMerge w:val="continue"/>
            <w:tcBorders>
              <w:top w:val="nil"/>
              <w:left w:val="single" w:color="auto" w:sz="4" w:space="0"/>
              <w:bottom w:val="single" w:color="auto" w:sz="4" w:space="0"/>
              <w:right w:val="single" w:color="auto" w:sz="4" w:space="0"/>
            </w:tcBorders>
            <w:shd w:val="clear" w:color="auto" w:fill="auto"/>
            <w:vAlign w:val="center"/>
          </w:tcPr>
          <w:p w14:paraId="03127394">
            <w:pPr>
              <w:widowControl/>
              <w:spacing w:before="96" w:after="96"/>
              <w:ind w:firstLine="0" w:firstLineChars="0"/>
              <w:jc w:val="center"/>
              <w:rPr>
                <w:rFonts w:hint="eastAsia" w:ascii="微软雅黑" w:hAnsi="微软雅黑" w:eastAsia="微软雅黑" w:cs="宋体"/>
                <w:kern w:val="0"/>
                <w:sz w:val="18"/>
                <w:szCs w:val="18"/>
              </w:rPr>
            </w:pPr>
          </w:p>
        </w:tc>
        <w:tc>
          <w:tcPr>
            <w:tcW w:w="993" w:type="dxa"/>
            <w:vMerge w:val="continue"/>
            <w:tcBorders>
              <w:top w:val="nil"/>
              <w:left w:val="single" w:color="auto" w:sz="4" w:space="0"/>
              <w:bottom w:val="single" w:color="auto" w:sz="4" w:space="0"/>
              <w:right w:val="single" w:color="auto" w:sz="4" w:space="0"/>
            </w:tcBorders>
            <w:shd w:val="clear" w:color="auto" w:fill="auto"/>
            <w:vAlign w:val="center"/>
          </w:tcPr>
          <w:p w14:paraId="75E897AE">
            <w:pPr>
              <w:widowControl/>
              <w:spacing w:before="96" w:after="96"/>
              <w:ind w:firstLine="0" w:firstLineChars="0"/>
              <w:jc w:val="center"/>
              <w:rPr>
                <w:rFonts w:hint="eastAsia" w:ascii="微软雅黑" w:hAnsi="微软雅黑" w:eastAsia="微软雅黑" w:cs="宋体"/>
                <w:kern w:val="0"/>
                <w:sz w:val="18"/>
                <w:szCs w:val="18"/>
              </w:rPr>
            </w:pPr>
          </w:p>
        </w:tc>
        <w:tc>
          <w:tcPr>
            <w:tcW w:w="5103" w:type="dxa"/>
            <w:tcBorders>
              <w:top w:val="nil"/>
              <w:left w:val="nil"/>
              <w:bottom w:val="single" w:color="auto" w:sz="4" w:space="0"/>
              <w:right w:val="single" w:color="auto" w:sz="4" w:space="0"/>
            </w:tcBorders>
            <w:shd w:val="clear" w:color="auto" w:fill="auto"/>
            <w:noWrap/>
            <w:vAlign w:val="center"/>
          </w:tcPr>
          <w:p w14:paraId="770FE0C7">
            <w:pPr>
              <w:widowControl/>
              <w:spacing w:before="96" w:after="96"/>
              <w:ind w:firstLine="0" w:firstLineChars="0"/>
              <w:jc w:val="left"/>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安全交换区（网闸）</w:t>
            </w:r>
          </w:p>
        </w:tc>
        <w:tc>
          <w:tcPr>
            <w:tcW w:w="1134" w:type="dxa"/>
            <w:tcBorders>
              <w:top w:val="nil"/>
              <w:left w:val="nil"/>
              <w:bottom w:val="single" w:color="auto" w:sz="4" w:space="0"/>
              <w:right w:val="single" w:color="auto" w:sz="4" w:space="0"/>
            </w:tcBorders>
            <w:shd w:val="clear" w:color="auto" w:fill="auto"/>
            <w:noWrap/>
            <w:vAlign w:val="center"/>
          </w:tcPr>
          <w:p w14:paraId="372F18B9">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每IP</w:t>
            </w:r>
          </w:p>
        </w:tc>
        <w:tc>
          <w:tcPr>
            <w:tcW w:w="1254" w:type="dxa"/>
            <w:tcBorders>
              <w:top w:val="nil"/>
              <w:left w:val="nil"/>
              <w:bottom w:val="single" w:color="auto" w:sz="4" w:space="0"/>
              <w:right w:val="single" w:color="auto" w:sz="4" w:space="0"/>
            </w:tcBorders>
            <w:shd w:val="clear" w:color="auto" w:fill="auto"/>
            <w:noWrap/>
            <w:vAlign w:val="center"/>
          </w:tcPr>
          <w:p w14:paraId="24D43060">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253</w:t>
            </w:r>
          </w:p>
        </w:tc>
      </w:tr>
      <w:tr w14:paraId="795A4800">
        <w:tblPrEx>
          <w:tblCellMar>
            <w:top w:w="0" w:type="dxa"/>
            <w:left w:w="10" w:type="dxa"/>
            <w:bottom w:w="0" w:type="dxa"/>
            <w:right w:w="10" w:type="dxa"/>
          </w:tblCellMar>
        </w:tblPrEx>
        <w:trPr>
          <w:trHeight w:val="284" w:hRule="atLeast"/>
        </w:trPr>
        <w:tc>
          <w:tcPr>
            <w:tcW w:w="577" w:type="dxa"/>
            <w:vMerge w:val="restart"/>
            <w:tcBorders>
              <w:top w:val="single" w:color="000000" w:sz="4" w:space="0"/>
              <w:left w:val="single" w:color="000000" w:sz="4" w:space="0"/>
              <w:right w:val="single" w:color="000000" w:sz="4" w:space="0"/>
            </w:tcBorders>
            <w:shd w:val="clear" w:color="auto" w:fill="auto"/>
            <w:vAlign w:val="center"/>
          </w:tcPr>
          <w:p w14:paraId="5BF41438">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4</w:t>
            </w:r>
          </w:p>
        </w:tc>
        <w:tc>
          <w:tcPr>
            <w:tcW w:w="993" w:type="dxa"/>
            <w:vMerge w:val="restart"/>
            <w:tcBorders>
              <w:top w:val="single" w:color="000000" w:sz="4" w:space="0"/>
              <w:left w:val="single" w:color="000000" w:sz="4" w:space="0"/>
              <w:right w:val="single" w:color="000000" w:sz="4" w:space="0"/>
            </w:tcBorders>
            <w:shd w:val="clear" w:color="auto" w:fill="auto"/>
            <w:vAlign w:val="center"/>
          </w:tcPr>
          <w:p w14:paraId="3DB88ABA">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云安全</w:t>
            </w:r>
          </w:p>
        </w:tc>
        <w:tc>
          <w:tcPr>
            <w:tcW w:w="5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EC800">
            <w:pPr>
              <w:widowControl/>
              <w:spacing w:before="96" w:after="96"/>
              <w:ind w:firstLine="0" w:firstLineChars="0"/>
              <w:jc w:val="left"/>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网络访问控制服务</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B9E50">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租户</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535B6">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60</w:t>
            </w:r>
          </w:p>
        </w:tc>
      </w:tr>
      <w:tr w14:paraId="7C5C540C">
        <w:tblPrEx>
          <w:tblCellMar>
            <w:top w:w="0" w:type="dxa"/>
            <w:left w:w="10" w:type="dxa"/>
            <w:bottom w:w="0" w:type="dxa"/>
            <w:right w:w="10" w:type="dxa"/>
          </w:tblCellMar>
        </w:tblPrEx>
        <w:trPr>
          <w:trHeight w:val="284" w:hRule="atLeast"/>
        </w:trPr>
        <w:tc>
          <w:tcPr>
            <w:tcW w:w="577" w:type="dxa"/>
            <w:vMerge w:val="continue"/>
            <w:tcBorders>
              <w:left w:val="single" w:color="000000" w:sz="4" w:space="0"/>
              <w:right w:val="single" w:color="000000" w:sz="4" w:space="0"/>
            </w:tcBorders>
            <w:shd w:val="clear" w:color="auto" w:fill="auto"/>
            <w:vAlign w:val="center"/>
          </w:tcPr>
          <w:p w14:paraId="178933BE">
            <w:pPr>
              <w:widowControl/>
              <w:spacing w:before="96" w:after="96"/>
              <w:ind w:firstLine="0" w:firstLineChars="0"/>
              <w:jc w:val="center"/>
              <w:rPr>
                <w:rFonts w:hint="eastAsia" w:ascii="微软雅黑" w:hAnsi="微软雅黑" w:eastAsia="微软雅黑" w:cs="宋体"/>
                <w:kern w:val="0"/>
                <w:sz w:val="18"/>
                <w:szCs w:val="18"/>
              </w:rPr>
            </w:pPr>
          </w:p>
        </w:tc>
        <w:tc>
          <w:tcPr>
            <w:tcW w:w="993" w:type="dxa"/>
            <w:vMerge w:val="continue"/>
            <w:tcBorders>
              <w:left w:val="single" w:color="000000" w:sz="4" w:space="0"/>
              <w:right w:val="single" w:color="000000" w:sz="4" w:space="0"/>
            </w:tcBorders>
            <w:shd w:val="clear" w:color="auto" w:fill="auto"/>
            <w:vAlign w:val="center"/>
          </w:tcPr>
          <w:p w14:paraId="0592D0BA">
            <w:pPr>
              <w:widowControl/>
              <w:spacing w:before="96" w:after="96"/>
              <w:ind w:firstLine="0" w:firstLineChars="0"/>
              <w:jc w:val="center"/>
              <w:rPr>
                <w:rFonts w:hint="eastAsia" w:ascii="微软雅黑" w:hAnsi="微软雅黑" w:eastAsia="微软雅黑" w:cs="宋体"/>
                <w:kern w:val="0"/>
                <w:sz w:val="18"/>
                <w:szCs w:val="18"/>
              </w:rPr>
            </w:pPr>
          </w:p>
        </w:tc>
        <w:tc>
          <w:tcPr>
            <w:tcW w:w="5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E14BB">
            <w:pPr>
              <w:widowControl/>
              <w:spacing w:before="96" w:after="96"/>
              <w:ind w:firstLine="0" w:firstLineChars="0"/>
              <w:jc w:val="left"/>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入侵防御服务</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E4DBB">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租户</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8EC42">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60</w:t>
            </w:r>
          </w:p>
        </w:tc>
      </w:tr>
      <w:tr w14:paraId="091D6EC1">
        <w:tblPrEx>
          <w:tblCellMar>
            <w:top w:w="0" w:type="dxa"/>
            <w:left w:w="10" w:type="dxa"/>
            <w:bottom w:w="0" w:type="dxa"/>
            <w:right w:w="10" w:type="dxa"/>
          </w:tblCellMar>
        </w:tblPrEx>
        <w:trPr>
          <w:trHeight w:val="284" w:hRule="atLeast"/>
        </w:trPr>
        <w:tc>
          <w:tcPr>
            <w:tcW w:w="577" w:type="dxa"/>
            <w:vMerge w:val="continue"/>
            <w:tcBorders>
              <w:left w:val="single" w:color="000000" w:sz="4" w:space="0"/>
              <w:right w:val="single" w:color="000000" w:sz="4" w:space="0"/>
            </w:tcBorders>
            <w:shd w:val="clear" w:color="auto" w:fill="auto"/>
            <w:vAlign w:val="center"/>
          </w:tcPr>
          <w:p w14:paraId="7D1159C6">
            <w:pPr>
              <w:widowControl/>
              <w:spacing w:before="96" w:after="96"/>
              <w:ind w:firstLine="0" w:firstLineChars="0"/>
              <w:jc w:val="center"/>
              <w:rPr>
                <w:rFonts w:hint="eastAsia" w:ascii="微软雅黑" w:hAnsi="微软雅黑" w:eastAsia="微软雅黑" w:cs="宋体"/>
                <w:kern w:val="0"/>
                <w:sz w:val="18"/>
                <w:szCs w:val="18"/>
              </w:rPr>
            </w:pPr>
          </w:p>
        </w:tc>
        <w:tc>
          <w:tcPr>
            <w:tcW w:w="993" w:type="dxa"/>
            <w:vMerge w:val="continue"/>
            <w:tcBorders>
              <w:left w:val="single" w:color="000000" w:sz="4" w:space="0"/>
              <w:right w:val="single" w:color="000000" w:sz="4" w:space="0"/>
            </w:tcBorders>
            <w:shd w:val="clear" w:color="auto" w:fill="auto"/>
            <w:vAlign w:val="center"/>
          </w:tcPr>
          <w:p w14:paraId="1DAE063B">
            <w:pPr>
              <w:widowControl/>
              <w:spacing w:before="96" w:after="96"/>
              <w:ind w:firstLine="0" w:firstLineChars="0"/>
              <w:jc w:val="center"/>
              <w:rPr>
                <w:rFonts w:hint="eastAsia" w:ascii="微软雅黑" w:hAnsi="微软雅黑" w:eastAsia="微软雅黑" w:cs="宋体"/>
                <w:kern w:val="0"/>
                <w:sz w:val="18"/>
                <w:szCs w:val="18"/>
              </w:rPr>
            </w:pPr>
          </w:p>
        </w:tc>
        <w:tc>
          <w:tcPr>
            <w:tcW w:w="5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1BE4E">
            <w:pPr>
              <w:widowControl/>
              <w:spacing w:before="96" w:after="96"/>
              <w:ind w:firstLine="0" w:firstLineChars="0"/>
              <w:jc w:val="left"/>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用户管理服务</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E8B01">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租户</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788F2">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60</w:t>
            </w:r>
          </w:p>
        </w:tc>
      </w:tr>
      <w:tr w14:paraId="3BC478AD">
        <w:tblPrEx>
          <w:tblCellMar>
            <w:top w:w="0" w:type="dxa"/>
            <w:left w:w="10" w:type="dxa"/>
            <w:bottom w:w="0" w:type="dxa"/>
            <w:right w:w="10" w:type="dxa"/>
          </w:tblCellMar>
        </w:tblPrEx>
        <w:trPr>
          <w:trHeight w:val="284" w:hRule="atLeast"/>
        </w:trPr>
        <w:tc>
          <w:tcPr>
            <w:tcW w:w="577" w:type="dxa"/>
            <w:vMerge w:val="continue"/>
            <w:tcBorders>
              <w:left w:val="single" w:color="000000" w:sz="4" w:space="0"/>
              <w:right w:val="single" w:color="000000" w:sz="4" w:space="0"/>
            </w:tcBorders>
            <w:shd w:val="clear" w:color="auto" w:fill="auto"/>
            <w:vAlign w:val="center"/>
          </w:tcPr>
          <w:p w14:paraId="492E967D">
            <w:pPr>
              <w:widowControl/>
              <w:spacing w:before="96" w:after="96"/>
              <w:ind w:firstLine="0" w:firstLineChars="0"/>
              <w:jc w:val="center"/>
              <w:rPr>
                <w:rFonts w:hint="eastAsia" w:ascii="微软雅黑" w:hAnsi="微软雅黑" w:eastAsia="微软雅黑" w:cs="宋体"/>
                <w:kern w:val="0"/>
                <w:sz w:val="18"/>
                <w:szCs w:val="18"/>
              </w:rPr>
            </w:pPr>
          </w:p>
        </w:tc>
        <w:tc>
          <w:tcPr>
            <w:tcW w:w="993" w:type="dxa"/>
            <w:vMerge w:val="continue"/>
            <w:tcBorders>
              <w:left w:val="single" w:color="000000" w:sz="4" w:space="0"/>
              <w:right w:val="single" w:color="000000" w:sz="4" w:space="0"/>
            </w:tcBorders>
            <w:shd w:val="clear" w:color="auto" w:fill="auto"/>
            <w:vAlign w:val="center"/>
          </w:tcPr>
          <w:p w14:paraId="1B5011FA">
            <w:pPr>
              <w:widowControl/>
              <w:spacing w:before="96" w:after="96"/>
              <w:ind w:firstLine="0" w:firstLineChars="0"/>
              <w:jc w:val="center"/>
              <w:rPr>
                <w:rFonts w:hint="eastAsia" w:ascii="微软雅黑" w:hAnsi="微软雅黑" w:eastAsia="微软雅黑" w:cs="宋体"/>
                <w:kern w:val="0"/>
                <w:sz w:val="18"/>
                <w:szCs w:val="18"/>
              </w:rPr>
            </w:pPr>
          </w:p>
        </w:tc>
        <w:tc>
          <w:tcPr>
            <w:tcW w:w="5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E721E">
            <w:pPr>
              <w:widowControl/>
              <w:spacing w:before="96" w:after="96"/>
              <w:ind w:firstLine="0" w:firstLineChars="0"/>
              <w:jc w:val="left"/>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用户身份认证服务</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CE1FC">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租户</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64868">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60</w:t>
            </w:r>
          </w:p>
        </w:tc>
      </w:tr>
      <w:tr w14:paraId="2658070F">
        <w:tblPrEx>
          <w:tblCellMar>
            <w:top w:w="0" w:type="dxa"/>
            <w:left w:w="10" w:type="dxa"/>
            <w:bottom w:w="0" w:type="dxa"/>
            <w:right w:w="10" w:type="dxa"/>
          </w:tblCellMar>
        </w:tblPrEx>
        <w:trPr>
          <w:trHeight w:val="548" w:hRule="atLeast"/>
        </w:trPr>
        <w:tc>
          <w:tcPr>
            <w:tcW w:w="577" w:type="dxa"/>
            <w:vMerge w:val="continue"/>
            <w:tcBorders>
              <w:left w:val="single" w:color="000000" w:sz="4" w:space="0"/>
              <w:right w:val="single" w:color="000000" w:sz="4" w:space="0"/>
            </w:tcBorders>
            <w:shd w:val="clear" w:color="auto" w:fill="auto"/>
            <w:vAlign w:val="center"/>
          </w:tcPr>
          <w:p w14:paraId="7B5655D8">
            <w:pPr>
              <w:widowControl/>
              <w:spacing w:before="96" w:after="96"/>
              <w:ind w:firstLine="0" w:firstLineChars="0"/>
              <w:jc w:val="center"/>
              <w:rPr>
                <w:rFonts w:hint="eastAsia" w:ascii="微软雅黑" w:hAnsi="微软雅黑" w:eastAsia="微软雅黑" w:cs="宋体"/>
                <w:kern w:val="0"/>
                <w:sz w:val="18"/>
                <w:szCs w:val="18"/>
              </w:rPr>
            </w:pPr>
          </w:p>
        </w:tc>
        <w:tc>
          <w:tcPr>
            <w:tcW w:w="993" w:type="dxa"/>
            <w:vMerge w:val="continue"/>
            <w:tcBorders>
              <w:left w:val="single" w:color="000000" w:sz="4" w:space="0"/>
              <w:right w:val="single" w:color="000000" w:sz="4" w:space="0"/>
            </w:tcBorders>
            <w:shd w:val="clear" w:color="auto" w:fill="auto"/>
            <w:vAlign w:val="center"/>
          </w:tcPr>
          <w:p w14:paraId="3A2826DF">
            <w:pPr>
              <w:widowControl/>
              <w:spacing w:before="96" w:after="96"/>
              <w:ind w:firstLine="0" w:firstLineChars="0"/>
              <w:jc w:val="center"/>
              <w:rPr>
                <w:rFonts w:hint="eastAsia" w:ascii="微软雅黑" w:hAnsi="微软雅黑" w:eastAsia="微软雅黑" w:cs="宋体"/>
                <w:kern w:val="0"/>
                <w:sz w:val="18"/>
                <w:szCs w:val="18"/>
              </w:rPr>
            </w:pPr>
          </w:p>
        </w:tc>
        <w:tc>
          <w:tcPr>
            <w:tcW w:w="5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805F7">
            <w:pPr>
              <w:widowControl/>
              <w:spacing w:before="96" w:after="96"/>
              <w:ind w:firstLine="0" w:firstLineChars="0"/>
              <w:jc w:val="left"/>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VPN接入</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99D1C">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隧道数</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D26D8">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60</w:t>
            </w:r>
          </w:p>
        </w:tc>
      </w:tr>
      <w:tr w14:paraId="55F32B6F">
        <w:tblPrEx>
          <w:tblCellMar>
            <w:top w:w="0" w:type="dxa"/>
            <w:left w:w="10" w:type="dxa"/>
            <w:bottom w:w="0" w:type="dxa"/>
            <w:right w:w="10" w:type="dxa"/>
          </w:tblCellMar>
        </w:tblPrEx>
        <w:trPr>
          <w:trHeight w:val="284" w:hRule="atLeast"/>
        </w:trPr>
        <w:tc>
          <w:tcPr>
            <w:tcW w:w="577" w:type="dxa"/>
            <w:vMerge w:val="continue"/>
            <w:tcBorders>
              <w:left w:val="single" w:color="000000" w:sz="4" w:space="0"/>
              <w:bottom w:val="single" w:color="000000" w:sz="4" w:space="0"/>
              <w:right w:val="single" w:color="000000" w:sz="4" w:space="0"/>
            </w:tcBorders>
            <w:shd w:val="clear" w:color="auto" w:fill="auto"/>
            <w:vAlign w:val="center"/>
          </w:tcPr>
          <w:p w14:paraId="1A139515">
            <w:pPr>
              <w:widowControl/>
              <w:spacing w:before="96" w:after="96"/>
              <w:ind w:firstLine="0" w:firstLineChars="0"/>
              <w:jc w:val="center"/>
              <w:rPr>
                <w:rFonts w:hint="eastAsia" w:ascii="微软雅黑" w:hAnsi="微软雅黑" w:eastAsia="微软雅黑" w:cs="宋体"/>
                <w:kern w:val="0"/>
                <w:sz w:val="18"/>
                <w:szCs w:val="18"/>
              </w:rPr>
            </w:pPr>
          </w:p>
        </w:tc>
        <w:tc>
          <w:tcPr>
            <w:tcW w:w="993" w:type="dxa"/>
            <w:vMerge w:val="continue"/>
            <w:tcBorders>
              <w:left w:val="single" w:color="000000" w:sz="4" w:space="0"/>
              <w:bottom w:val="single" w:color="000000" w:sz="4" w:space="0"/>
              <w:right w:val="single" w:color="000000" w:sz="4" w:space="0"/>
            </w:tcBorders>
            <w:shd w:val="clear" w:color="auto" w:fill="auto"/>
            <w:vAlign w:val="center"/>
          </w:tcPr>
          <w:p w14:paraId="7C4AF6CE">
            <w:pPr>
              <w:widowControl/>
              <w:spacing w:before="96" w:after="96"/>
              <w:ind w:firstLine="0" w:firstLineChars="0"/>
              <w:jc w:val="center"/>
              <w:rPr>
                <w:rFonts w:hint="eastAsia" w:ascii="微软雅黑" w:hAnsi="微软雅黑" w:eastAsia="微软雅黑" w:cs="宋体"/>
                <w:kern w:val="0"/>
                <w:sz w:val="18"/>
                <w:szCs w:val="18"/>
              </w:rPr>
            </w:pPr>
          </w:p>
        </w:tc>
        <w:tc>
          <w:tcPr>
            <w:tcW w:w="5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B352B">
            <w:pPr>
              <w:widowControl/>
              <w:spacing w:before="96" w:after="96"/>
              <w:ind w:firstLine="0" w:firstLineChars="0"/>
              <w:jc w:val="left"/>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在线防护WAF</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3A808">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套</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22CF3">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52</w:t>
            </w:r>
          </w:p>
        </w:tc>
      </w:tr>
      <w:tr w14:paraId="2B763AA4">
        <w:tblPrEx>
          <w:tblCellMar>
            <w:top w:w="0" w:type="dxa"/>
            <w:left w:w="10" w:type="dxa"/>
            <w:bottom w:w="0" w:type="dxa"/>
            <w:right w:w="10" w:type="dxa"/>
          </w:tblCellMar>
        </w:tblPrEx>
        <w:trPr>
          <w:trHeight w:val="284" w:hRule="atLeast"/>
        </w:trPr>
        <w:tc>
          <w:tcPr>
            <w:tcW w:w="577" w:type="dxa"/>
            <w:tcBorders>
              <w:top w:val="single" w:color="000000" w:sz="4" w:space="0"/>
              <w:left w:val="single" w:color="000000" w:sz="4" w:space="0"/>
              <w:right w:val="single" w:color="000000" w:sz="4" w:space="0"/>
            </w:tcBorders>
            <w:shd w:val="clear" w:color="auto" w:fill="auto"/>
            <w:vAlign w:val="center"/>
          </w:tcPr>
          <w:p w14:paraId="6CD63443">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5</w:t>
            </w:r>
          </w:p>
        </w:tc>
        <w:tc>
          <w:tcPr>
            <w:tcW w:w="993" w:type="dxa"/>
            <w:tcBorders>
              <w:top w:val="single" w:color="000000" w:sz="4" w:space="0"/>
              <w:left w:val="single" w:color="000000" w:sz="4" w:space="0"/>
              <w:right w:val="single" w:color="000000" w:sz="4" w:space="0"/>
            </w:tcBorders>
            <w:shd w:val="clear" w:color="auto" w:fill="auto"/>
            <w:vAlign w:val="center"/>
          </w:tcPr>
          <w:p w14:paraId="709FE09A">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云增值服务</w:t>
            </w:r>
          </w:p>
        </w:tc>
        <w:tc>
          <w:tcPr>
            <w:tcW w:w="5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8744C">
            <w:pPr>
              <w:widowControl/>
              <w:spacing w:before="96" w:after="96"/>
              <w:ind w:firstLine="0" w:firstLineChars="0"/>
              <w:jc w:val="left"/>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基础设施服务：技术支持服务、数据中心运维服务、业务系统运维服务等</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2674A">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套</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1805D">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1</w:t>
            </w:r>
          </w:p>
        </w:tc>
      </w:tr>
      <w:tr w14:paraId="21686A2F">
        <w:tblPrEx>
          <w:tblCellMar>
            <w:top w:w="0" w:type="dxa"/>
            <w:left w:w="10" w:type="dxa"/>
            <w:bottom w:w="0" w:type="dxa"/>
            <w:right w:w="10" w:type="dxa"/>
          </w:tblCellMar>
        </w:tblPrEx>
        <w:trPr>
          <w:trHeight w:val="284" w:hRule="atLeast"/>
        </w:trPr>
        <w:tc>
          <w:tcPr>
            <w:tcW w:w="577" w:type="dxa"/>
            <w:tcBorders>
              <w:top w:val="single" w:color="000000" w:sz="4" w:space="0"/>
              <w:left w:val="single" w:color="000000" w:sz="4" w:space="0"/>
              <w:bottom w:val="single" w:color="auto" w:sz="4" w:space="0"/>
              <w:right w:val="single" w:color="000000" w:sz="4" w:space="0"/>
            </w:tcBorders>
            <w:shd w:val="clear" w:color="auto" w:fill="auto"/>
            <w:vAlign w:val="center"/>
          </w:tcPr>
          <w:p w14:paraId="71B46AA9">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6</w:t>
            </w:r>
          </w:p>
        </w:tc>
        <w:tc>
          <w:tcPr>
            <w:tcW w:w="993" w:type="dxa"/>
            <w:tcBorders>
              <w:top w:val="single" w:color="000000" w:sz="4" w:space="0"/>
              <w:left w:val="single" w:color="000000" w:sz="4" w:space="0"/>
              <w:bottom w:val="single" w:color="auto" w:sz="4" w:space="0"/>
              <w:right w:val="single" w:color="000000" w:sz="4" w:space="0"/>
            </w:tcBorders>
            <w:shd w:val="clear" w:color="auto" w:fill="auto"/>
            <w:vAlign w:val="center"/>
          </w:tcPr>
          <w:p w14:paraId="316CC15E">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链路服务</w:t>
            </w:r>
          </w:p>
        </w:tc>
        <w:tc>
          <w:tcPr>
            <w:tcW w:w="5103"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443033F">
            <w:pPr>
              <w:widowControl/>
              <w:spacing w:before="96" w:after="96"/>
              <w:ind w:firstLine="0" w:firstLineChars="0"/>
              <w:jc w:val="left"/>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上云相关链路</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06866">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条</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1C2BC">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10</w:t>
            </w:r>
          </w:p>
        </w:tc>
      </w:tr>
      <w:tr w14:paraId="265E0973">
        <w:tblPrEx>
          <w:tblCellMar>
            <w:top w:w="0" w:type="dxa"/>
            <w:left w:w="10" w:type="dxa"/>
            <w:bottom w:w="0" w:type="dxa"/>
            <w:right w:w="10" w:type="dxa"/>
          </w:tblCellMar>
        </w:tblPrEx>
        <w:trPr>
          <w:trHeight w:val="90" w:hRule="atLeast"/>
        </w:trPr>
        <w:tc>
          <w:tcPr>
            <w:tcW w:w="57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DBE5648">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7</w:t>
            </w:r>
          </w:p>
        </w:tc>
        <w:tc>
          <w:tcPr>
            <w:tcW w:w="9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A00D8E4">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密码服务</w:t>
            </w:r>
          </w:p>
        </w:tc>
        <w:tc>
          <w:tcPr>
            <w:tcW w:w="51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D8D84FD">
            <w:pPr>
              <w:widowControl/>
              <w:spacing w:before="96" w:after="96"/>
              <w:ind w:firstLine="0" w:firstLineChars="0"/>
              <w:jc w:val="left"/>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安全认证网关服务</w:t>
            </w:r>
          </w:p>
        </w:tc>
        <w:tc>
          <w:tcPr>
            <w:tcW w:w="113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9338F70">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套</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29800">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5</w:t>
            </w:r>
          </w:p>
        </w:tc>
      </w:tr>
      <w:tr w14:paraId="385D32F7">
        <w:tblPrEx>
          <w:tblCellMar>
            <w:top w:w="0" w:type="dxa"/>
            <w:left w:w="10" w:type="dxa"/>
            <w:bottom w:w="0" w:type="dxa"/>
            <w:right w:w="10" w:type="dxa"/>
          </w:tblCellMar>
        </w:tblPrEx>
        <w:trPr>
          <w:trHeight w:val="284" w:hRule="atLeast"/>
        </w:trPr>
        <w:tc>
          <w:tcPr>
            <w:tcW w:w="5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09D4544">
            <w:pPr>
              <w:widowControl/>
              <w:spacing w:before="96" w:after="96"/>
              <w:ind w:firstLine="0" w:firstLineChars="0"/>
              <w:jc w:val="center"/>
              <w:rPr>
                <w:rFonts w:hint="eastAsia" w:ascii="微软雅黑" w:hAnsi="微软雅黑" w:eastAsia="微软雅黑" w:cs="宋体"/>
                <w:kern w:val="0"/>
                <w:sz w:val="18"/>
                <w:szCs w:val="18"/>
              </w:rPr>
            </w:pPr>
          </w:p>
        </w:tc>
        <w:tc>
          <w:tcPr>
            <w:tcW w:w="9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C76F5EE">
            <w:pPr>
              <w:widowControl/>
              <w:spacing w:before="96" w:after="96"/>
              <w:ind w:firstLine="0" w:firstLineChars="0"/>
              <w:jc w:val="center"/>
              <w:rPr>
                <w:rFonts w:hint="eastAsia" w:ascii="微软雅黑" w:hAnsi="微软雅黑" w:eastAsia="微软雅黑" w:cs="宋体"/>
                <w:kern w:val="0"/>
                <w:sz w:val="18"/>
                <w:szCs w:val="18"/>
              </w:rPr>
            </w:pPr>
          </w:p>
        </w:tc>
        <w:tc>
          <w:tcPr>
            <w:tcW w:w="51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C57617">
            <w:pPr>
              <w:widowControl/>
              <w:spacing w:before="96" w:after="96"/>
              <w:ind w:firstLine="0" w:firstLineChars="0"/>
              <w:jc w:val="left"/>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时间戳服务</w:t>
            </w:r>
          </w:p>
        </w:tc>
        <w:tc>
          <w:tcPr>
            <w:tcW w:w="113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4503266">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套</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A53CB">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5</w:t>
            </w:r>
          </w:p>
        </w:tc>
      </w:tr>
      <w:tr w14:paraId="4DC54C1E">
        <w:tblPrEx>
          <w:tblCellMar>
            <w:top w:w="0" w:type="dxa"/>
            <w:left w:w="10" w:type="dxa"/>
            <w:bottom w:w="0" w:type="dxa"/>
            <w:right w:w="10" w:type="dxa"/>
          </w:tblCellMar>
        </w:tblPrEx>
        <w:trPr>
          <w:trHeight w:val="284" w:hRule="atLeast"/>
        </w:trPr>
        <w:tc>
          <w:tcPr>
            <w:tcW w:w="5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790B9D">
            <w:pPr>
              <w:widowControl/>
              <w:spacing w:before="96" w:after="96"/>
              <w:ind w:firstLine="0" w:firstLineChars="0"/>
              <w:jc w:val="center"/>
              <w:rPr>
                <w:rFonts w:hint="eastAsia" w:ascii="微软雅黑" w:hAnsi="微软雅黑" w:eastAsia="微软雅黑" w:cs="宋体"/>
                <w:kern w:val="0"/>
                <w:sz w:val="18"/>
                <w:szCs w:val="18"/>
              </w:rPr>
            </w:pPr>
          </w:p>
        </w:tc>
        <w:tc>
          <w:tcPr>
            <w:tcW w:w="9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0BF76BA">
            <w:pPr>
              <w:widowControl/>
              <w:spacing w:before="96" w:after="96"/>
              <w:ind w:firstLine="0" w:firstLineChars="0"/>
              <w:jc w:val="center"/>
              <w:rPr>
                <w:rFonts w:hint="eastAsia" w:ascii="微软雅黑" w:hAnsi="微软雅黑" w:eastAsia="微软雅黑" w:cs="宋体"/>
                <w:kern w:val="0"/>
                <w:sz w:val="18"/>
                <w:szCs w:val="18"/>
              </w:rPr>
            </w:pPr>
          </w:p>
        </w:tc>
        <w:tc>
          <w:tcPr>
            <w:tcW w:w="51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3A9E9B">
            <w:pPr>
              <w:widowControl/>
              <w:spacing w:before="96" w:after="96"/>
              <w:ind w:firstLine="0" w:firstLineChars="0"/>
              <w:jc w:val="left"/>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签名验签服务</w:t>
            </w:r>
          </w:p>
        </w:tc>
        <w:tc>
          <w:tcPr>
            <w:tcW w:w="113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FE35C67">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套</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CA8D2">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5</w:t>
            </w:r>
          </w:p>
        </w:tc>
      </w:tr>
      <w:tr w14:paraId="42999259">
        <w:tblPrEx>
          <w:tblCellMar>
            <w:top w:w="0" w:type="dxa"/>
            <w:left w:w="10" w:type="dxa"/>
            <w:bottom w:w="0" w:type="dxa"/>
            <w:right w:w="10" w:type="dxa"/>
          </w:tblCellMar>
        </w:tblPrEx>
        <w:trPr>
          <w:trHeight w:val="284" w:hRule="atLeast"/>
        </w:trPr>
        <w:tc>
          <w:tcPr>
            <w:tcW w:w="57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05EDD9">
            <w:pPr>
              <w:widowControl/>
              <w:spacing w:before="96" w:after="96"/>
              <w:ind w:firstLine="0" w:firstLineChars="0"/>
              <w:jc w:val="center"/>
              <w:rPr>
                <w:rFonts w:hint="eastAsia" w:ascii="微软雅黑" w:hAnsi="微软雅黑" w:eastAsia="微软雅黑" w:cs="宋体"/>
                <w:kern w:val="0"/>
                <w:sz w:val="18"/>
                <w:szCs w:val="18"/>
              </w:rPr>
            </w:pPr>
          </w:p>
        </w:tc>
        <w:tc>
          <w:tcPr>
            <w:tcW w:w="9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F82543A">
            <w:pPr>
              <w:widowControl/>
              <w:spacing w:before="96" w:after="96"/>
              <w:ind w:firstLine="0" w:firstLineChars="0"/>
              <w:jc w:val="center"/>
              <w:rPr>
                <w:rFonts w:hint="eastAsia" w:ascii="微软雅黑" w:hAnsi="微软雅黑" w:eastAsia="微软雅黑" w:cs="宋体"/>
                <w:kern w:val="0"/>
                <w:sz w:val="18"/>
                <w:szCs w:val="18"/>
              </w:rPr>
            </w:pPr>
          </w:p>
        </w:tc>
        <w:tc>
          <w:tcPr>
            <w:tcW w:w="51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5E63053">
            <w:pPr>
              <w:widowControl/>
              <w:spacing w:before="96" w:after="96"/>
              <w:ind w:firstLine="0" w:firstLineChars="0"/>
              <w:jc w:val="left"/>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可信密码服务</w:t>
            </w:r>
          </w:p>
        </w:tc>
        <w:tc>
          <w:tcPr>
            <w:tcW w:w="113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AD8D8B7">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应用</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EA200">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5</w:t>
            </w:r>
          </w:p>
        </w:tc>
      </w:tr>
      <w:tr w14:paraId="56B22D17">
        <w:tblPrEx>
          <w:tblCellMar>
            <w:top w:w="0" w:type="dxa"/>
            <w:left w:w="10" w:type="dxa"/>
            <w:bottom w:w="0" w:type="dxa"/>
            <w:right w:w="10" w:type="dxa"/>
          </w:tblCellMar>
        </w:tblPrEx>
        <w:trPr>
          <w:trHeight w:val="284" w:hRule="atLeast"/>
        </w:trPr>
        <w:tc>
          <w:tcPr>
            <w:tcW w:w="577" w:type="dxa"/>
            <w:tcBorders>
              <w:top w:val="single" w:color="auto" w:sz="4" w:space="0"/>
              <w:left w:val="single" w:color="auto" w:sz="4" w:space="0"/>
              <w:bottom w:val="single" w:color="auto" w:sz="4" w:space="0"/>
              <w:right w:val="single" w:color="auto" w:sz="4" w:space="0"/>
            </w:tcBorders>
            <w:shd w:val="clear" w:color="auto" w:fill="auto"/>
            <w:vAlign w:val="center"/>
          </w:tcPr>
          <w:p w14:paraId="18902A97">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8</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6DBE968E">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等保服务</w:t>
            </w:r>
          </w:p>
        </w:tc>
        <w:tc>
          <w:tcPr>
            <w:tcW w:w="51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A2AC2A">
            <w:pPr>
              <w:widowControl/>
              <w:spacing w:before="96" w:after="96"/>
              <w:ind w:firstLine="0" w:firstLineChars="0"/>
              <w:jc w:val="left"/>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等保三级服务</w:t>
            </w:r>
          </w:p>
        </w:tc>
        <w:tc>
          <w:tcPr>
            <w:tcW w:w="1134"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2B3945C">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套</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F63BD">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1</w:t>
            </w:r>
          </w:p>
        </w:tc>
      </w:tr>
    </w:tbl>
    <w:p w14:paraId="0C78A69F">
      <w:pPr>
        <w:widowControl/>
        <w:ind w:firstLine="0" w:firstLineChars="0"/>
        <w:jc w:val="left"/>
      </w:pPr>
    </w:p>
    <w:p w14:paraId="0B9CDE62">
      <w:pPr>
        <w:pStyle w:val="3"/>
      </w:pPr>
      <w:r>
        <w:rPr>
          <w:rFonts w:hint="eastAsia"/>
        </w:rPr>
        <w:t>工期要求</w:t>
      </w:r>
    </w:p>
    <w:p w14:paraId="1C0C070F">
      <w:pPr>
        <w:ind w:firstLine="420"/>
      </w:pPr>
      <w:r>
        <w:rPr>
          <w:rFonts w:hint="eastAsia"/>
        </w:rPr>
        <w:t>合同生效之日后30日内，完成本项目约定机房及相关云资源建设。</w:t>
      </w:r>
    </w:p>
    <w:p w14:paraId="1477796F">
      <w:pPr>
        <w:pStyle w:val="3"/>
      </w:pPr>
      <w:r>
        <w:rPr>
          <w:rFonts w:hint="eastAsia"/>
        </w:rPr>
        <w:t>总体架构</w:t>
      </w:r>
    </w:p>
    <w:p w14:paraId="467A4687">
      <w:pPr>
        <w:ind w:firstLine="420"/>
      </w:pPr>
      <w:r>
        <w:rPr>
          <w:rFonts w:hint="eastAsia"/>
        </w:rPr>
        <w:t>上海化工区的设计本着统一规范、成熟稳定、适度超前、开放适用、安全可靠的原则，按照“</w:t>
      </w:r>
      <w:r>
        <w:t>1+6+X”的应用建设体系进行规划，按照低成本、轻资产、部署快、T3以上等级的要求，</w:t>
      </w:r>
      <w:r>
        <w:rPr>
          <w:rFonts w:hint="eastAsia"/>
        </w:rPr>
        <w:t>提供云计算服务</w:t>
      </w:r>
      <w:r>
        <w:t>，以及采用先进的虚拟云数据中心技术，将园区信息服务管理方式由当前“块状”管理调整为基于云数据服务平台的集中管理，建设统一承载和管理园区的“1+6+X”应用体系的基础平台，满足上海化工区多领域资源需求。</w:t>
      </w:r>
    </w:p>
    <w:p w14:paraId="5BF09384">
      <w:pPr>
        <w:ind w:firstLine="0" w:firstLineChars="0"/>
      </w:pPr>
      <w:r>
        <w:drawing>
          <wp:inline distT="0" distB="0" distL="0" distR="0">
            <wp:extent cx="5274310" cy="4089400"/>
            <wp:effectExtent l="0" t="0" r="2540" b="6350"/>
            <wp:docPr id="1026" name="Image1"/>
            <wp:cNvGraphicFramePr/>
            <a:graphic xmlns:a="http://schemas.openxmlformats.org/drawingml/2006/main">
              <a:graphicData uri="http://schemas.openxmlformats.org/drawingml/2006/picture">
                <pic:pic xmlns:pic="http://schemas.openxmlformats.org/drawingml/2006/picture">
                  <pic:nvPicPr>
                    <pic:cNvPr id="1026" name="Image1"/>
                    <pic:cNvPicPr/>
                  </pic:nvPicPr>
                  <pic:blipFill>
                    <a:blip r:embed="rId12" cstate="print"/>
                    <a:srcRect/>
                    <a:stretch>
                      <a:fillRect/>
                    </a:stretch>
                  </pic:blipFill>
                  <pic:spPr>
                    <a:xfrm>
                      <a:off x="0" y="0"/>
                      <a:ext cx="5274310" cy="4089966"/>
                    </a:xfrm>
                    <a:prstGeom prst="rect">
                      <a:avLst/>
                    </a:prstGeom>
                  </pic:spPr>
                </pic:pic>
              </a:graphicData>
            </a:graphic>
          </wp:inline>
        </w:drawing>
      </w:r>
    </w:p>
    <w:p w14:paraId="37580D10">
      <w:pPr>
        <w:ind w:firstLine="420"/>
        <w:jc w:val="center"/>
      </w:pPr>
      <w:r>
        <w:t>系统架构示意图</w:t>
      </w:r>
    </w:p>
    <w:p w14:paraId="47F9FE0C">
      <w:pPr>
        <w:ind w:firstLine="0" w:firstLineChars="0"/>
        <w:jc w:val="left"/>
      </w:pPr>
      <w:r>
        <w:drawing>
          <wp:inline distT="0" distB="0" distL="0" distR="0">
            <wp:extent cx="5632450" cy="329565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632450" cy="3295650"/>
                    </a:xfrm>
                    <a:prstGeom prst="rect">
                      <a:avLst/>
                    </a:prstGeom>
                    <a:noFill/>
                    <a:ln>
                      <a:noFill/>
                    </a:ln>
                  </pic:spPr>
                </pic:pic>
              </a:graphicData>
            </a:graphic>
          </wp:inline>
        </w:drawing>
      </w:r>
    </w:p>
    <w:p w14:paraId="5C93E707">
      <w:pPr>
        <w:ind w:firstLine="420"/>
        <w:jc w:val="center"/>
      </w:pPr>
    </w:p>
    <w:p w14:paraId="3112DB20">
      <w:pPr>
        <w:ind w:firstLine="420"/>
        <w:jc w:val="center"/>
      </w:pPr>
      <w:r>
        <w:rPr>
          <w:rFonts w:hint="eastAsia"/>
        </w:rPr>
        <w:t>总体部署架构</w:t>
      </w:r>
      <w:r>
        <w:t>图</w:t>
      </w:r>
    </w:p>
    <w:p w14:paraId="3B6D1D76">
      <w:pPr>
        <w:ind w:firstLine="420"/>
      </w:pPr>
      <w:r>
        <w:rPr>
          <w:rFonts w:hint="eastAsia"/>
        </w:rPr>
        <w:t>云中心内部署架构主要包括政务外网接入区、政务网云核心交换区、政务外网云资源区、政务外网备份区、政务外网存储区、公共云管理区、安全数据交换、互联网接入区、互联网云核心交换区、互联网云资源区。</w:t>
      </w:r>
    </w:p>
    <w:p w14:paraId="6410129A">
      <w:pPr>
        <w:pStyle w:val="3"/>
      </w:pPr>
      <w:r>
        <w:rPr>
          <w:rFonts w:hint="eastAsia"/>
        </w:rPr>
        <w:t xml:space="preserve">项目团队要求 </w:t>
      </w:r>
    </w:p>
    <w:p w14:paraId="57A69CDF">
      <w:pPr>
        <w:ind w:firstLine="422"/>
        <w:rPr>
          <w:rFonts w:hint="eastAsia" w:asciiTheme="minorEastAsia" w:hAnsiTheme="minorEastAsia"/>
        </w:rPr>
      </w:pPr>
      <w:r>
        <w:rPr>
          <w:rFonts w:hint="eastAsia" w:asciiTheme="minorEastAsia" w:hAnsiTheme="minorEastAsia"/>
          <w:b/>
          <w:bCs/>
        </w:rPr>
        <w:t>项目经理职责：</w:t>
      </w:r>
      <w:r>
        <w:rPr>
          <w:rFonts w:hint="eastAsia" w:asciiTheme="minorEastAsia" w:hAnsiTheme="minorEastAsia"/>
        </w:rPr>
        <w:t>项目经理应受公司总经理任命和委托，全权负责项目运维的各项工作。需对运维项目的优质、高效、安全负全责。</w:t>
      </w:r>
    </w:p>
    <w:p w14:paraId="2DDD0BAD">
      <w:pPr>
        <w:ind w:firstLine="422"/>
        <w:rPr>
          <w:rFonts w:hint="eastAsia" w:asciiTheme="minorEastAsia" w:hAnsiTheme="minorEastAsia"/>
        </w:rPr>
      </w:pPr>
      <w:r>
        <w:rPr>
          <w:rFonts w:hint="eastAsia" w:asciiTheme="minorEastAsia" w:hAnsiTheme="minorEastAsia"/>
          <w:b/>
          <w:bCs/>
        </w:rPr>
        <w:t>驻点工程师职责：</w:t>
      </w:r>
      <w:r>
        <w:rPr>
          <w:rFonts w:hint="eastAsia" w:asciiTheme="minorEastAsia" w:hAnsiTheme="minorEastAsia"/>
        </w:rPr>
        <w:t>负责对小型机、服务器、存储设备相关的申报事件进行处理和解决；负责对小型机、服务器、存储设备提供日常性能和运行状况监控，对故障进行分析处理及建立完善预警机制；负责保障机房服务器正常运行，遵循用户的安全保障管理要求；接受用户对服务器维护事件的督办、检查，协助服务台完成对用户意见进行回访和事件统计、分析。对服务过程和反馈的意见进行改进，同时接受服务台的绩效考评工作；及时提供服务器运行和问题处理情况，并向用户负责，并按周、月、季、年提交运维服务工作进度总结和计划；负责整理和归纳服务器日常维护知识库，提交至运维服务平台；负责整理和提交服务器运维过程资料和相关配套维护文档。</w:t>
      </w:r>
    </w:p>
    <w:p w14:paraId="1415BE92">
      <w:pPr>
        <w:ind w:firstLine="422"/>
        <w:rPr>
          <w:rFonts w:hint="eastAsia" w:asciiTheme="minorEastAsia" w:hAnsiTheme="minorEastAsia"/>
        </w:rPr>
      </w:pPr>
      <w:r>
        <w:rPr>
          <w:rFonts w:hint="eastAsia" w:asciiTheme="minorEastAsia" w:hAnsiTheme="minorEastAsia"/>
          <w:b/>
          <w:bCs/>
        </w:rPr>
        <w:t>技术支持专家职责：</w:t>
      </w:r>
      <w:r>
        <w:rPr>
          <w:rFonts w:hint="eastAsia" w:asciiTheme="minorEastAsia" w:hAnsiTheme="minorEastAsia"/>
        </w:rPr>
        <w:t>为客户提供7×24小时的故障响应电话支持；接听客户服务热线电话和接收（电话/Email/Fax等）客户服务请求；通过网络或电话为客户提供即时的远程技术支持,包括软硬件故障的诊断和排除,客户端软件的安装和设置；协调多方服务团队，及时跟进未完成的服务请求并及时更新系统信息和状态。</w:t>
      </w:r>
    </w:p>
    <w:p w14:paraId="213CAEE6">
      <w:pPr>
        <w:ind w:firstLine="422"/>
        <w:rPr>
          <w:rFonts w:hint="eastAsia" w:asciiTheme="minorEastAsia" w:hAnsiTheme="minorEastAsia"/>
        </w:rPr>
      </w:pPr>
      <w:r>
        <w:rPr>
          <w:rFonts w:hint="eastAsia" w:asciiTheme="minorEastAsia" w:hAnsiTheme="minorEastAsia"/>
          <w:b/>
          <w:bCs/>
        </w:rPr>
        <w:t>备品备件管理员职责：</w:t>
      </w:r>
      <w:r>
        <w:rPr>
          <w:rFonts w:hint="eastAsia" w:asciiTheme="minorEastAsia" w:hAnsiTheme="minorEastAsia"/>
        </w:rPr>
        <w:t>组织实施备品备件的订购、运输及入库工作；负责汇总待料备件，及时采购或调拨，并主动向项目经理说明待料原因、追踪处理。</w:t>
      </w:r>
    </w:p>
    <w:p w14:paraId="300E6873">
      <w:pPr>
        <w:pStyle w:val="3"/>
      </w:pPr>
      <w:r>
        <w:rPr>
          <w:rFonts w:hint="eastAsia"/>
        </w:rPr>
        <w:t>培训要求</w:t>
      </w:r>
    </w:p>
    <w:p w14:paraId="33C9D4C7">
      <w:pPr>
        <w:ind w:firstLine="420"/>
      </w:pPr>
      <w:r>
        <w:rPr>
          <w:rFonts w:hint="eastAsia"/>
        </w:rPr>
        <w:t>投标人需对本项目的管理及维护人员、系统用户进行培训。</w:t>
      </w:r>
    </w:p>
    <w:p w14:paraId="60F49754">
      <w:pPr>
        <w:ind w:firstLine="422"/>
      </w:pPr>
      <w:r>
        <w:rPr>
          <w:b/>
          <w:bCs/>
        </w:rPr>
        <w:t>项目管理培训</w:t>
      </w:r>
      <w:r>
        <w:rPr>
          <w:rFonts w:hint="eastAsia"/>
          <w:b/>
          <w:bCs/>
        </w:rPr>
        <w:t>：</w:t>
      </w:r>
      <w:r>
        <w:rPr>
          <w:rFonts w:hint="eastAsia"/>
        </w:rPr>
        <w:t>投标人需对重要岗位的项目管理人员进行专业化的项目管理培训并进行必要的资格认证，对一般管理人员进行有关知识普及性培训，从总体上提高项目管理人员对有关工程项目的管理水平。</w:t>
      </w:r>
    </w:p>
    <w:p w14:paraId="225E64D5">
      <w:pPr>
        <w:ind w:firstLine="422"/>
      </w:pPr>
      <w:r>
        <w:rPr>
          <w:b/>
          <w:bCs/>
        </w:rPr>
        <w:t>系统建设与日常维护培训</w:t>
      </w:r>
      <w:r>
        <w:rPr>
          <w:rFonts w:hint="eastAsia"/>
          <w:b/>
          <w:bCs/>
        </w:rPr>
        <w:t>：</w:t>
      </w:r>
      <w:r>
        <w:rPr>
          <w:rFonts w:hint="eastAsia"/>
        </w:rPr>
        <w:t>投标人应以集中的形式，注重理论与实际相结合，聘请相关领域专家对技术人员和系统维护人员进行专题研讨和技术培训，以确保建成后的系统能稳定运行。针对技术管理及维护人员，除需要针对应用系统的使用、技术架构、常见故障排除等内容进行培训外，还应重点进行数据库、中间件等支撑软件平台的运行维护培训。该类培训必须按照系统管理员级别进行特殊培训，务必使技术人员掌握系统所提供的各项管理维护工具，并尽量了解一些底层调式及操作知识。此外，所有系统维护人员均必须强制接受信息安全培训，熟悉安全管理方针、制度及预案。</w:t>
      </w:r>
    </w:p>
    <w:p w14:paraId="1A4F07C3">
      <w:pPr>
        <w:pStyle w:val="2"/>
      </w:pPr>
      <w:r>
        <w:rPr>
          <w:rFonts w:hint="eastAsia"/>
        </w:rPr>
        <w:t>具体技术及服务要求</w:t>
      </w:r>
    </w:p>
    <w:p w14:paraId="64E98926">
      <w:pPr>
        <w:pStyle w:val="3"/>
      </w:pPr>
      <w:bookmarkStart w:id="0" w:name="_Toc49210276"/>
      <w:bookmarkStart w:id="1" w:name="_Toc42244451"/>
      <w:r>
        <w:rPr>
          <w:rFonts w:hint="eastAsia"/>
        </w:rPr>
        <w:t>服务总体要求</w:t>
      </w:r>
    </w:p>
    <w:p w14:paraId="6E3F5151">
      <w:pPr>
        <w:ind w:firstLine="420"/>
      </w:pPr>
      <w:r>
        <w:rPr>
          <w:rFonts w:hint="eastAsia"/>
        </w:rPr>
        <w:t>为了完善随需应变的计算环境，建设既要考虑技术先进性，又要遵循简化、共享、标准、动态的原则进行：</w:t>
      </w:r>
    </w:p>
    <w:p w14:paraId="0E1F7A74">
      <w:pPr>
        <w:ind w:firstLine="420"/>
      </w:pPr>
      <w:r>
        <w:rPr>
          <w:rFonts w:hint="eastAsia"/>
        </w:rPr>
        <w:t>标准化：本项目中提供的云平台应符合国家和市有关云平台的技术标准规范要求，包括但不限于国家工信部《基于云计算的电子政务公共平台顶层设计指南》、《信息安全技术云计算服务安全指南》(GB/T31167-2014)、《信息安全技术云计算服务安全能力要求》(GB/T31168-2014)、《关于加强党政部门云计算服务网络安全管理的意见》(中网办发文[2014]14号)。</w:t>
      </w:r>
    </w:p>
    <w:p w14:paraId="68A96883">
      <w:pPr>
        <w:ind w:firstLine="420"/>
      </w:pPr>
      <w:r>
        <w:rPr>
          <w:rFonts w:hint="eastAsia"/>
        </w:rPr>
        <w:t>开放性：本项目提供的云平台在体系结构、设备选型、数据交换等方面应可兼容各种主流的应用系统环境。提供开放的技术接口，满足采购人基于云平台进行部分软件系统二次开发的要求。</w:t>
      </w:r>
    </w:p>
    <w:p w14:paraId="461B6885">
      <w:pPr>
        <w:ind w:firstLine="420"/>
      </w:pPr>
      <w:r>
        <w:rPr>
          <w:rFonts w:hint="eastAsia"/>
        </w:rPr>
        <w:t>先进性和成熟性：本项目提供的云平台应采用先进且成熟可靠的技术，优先选择国内具有自主知识产权且已有成熟案例的软硬件产品，确保在相当长的时期内保持业务系统的可维护性和可扩展性。</w:t>
      </w:r>
    </w:p>
    <w:p w14:paraId="2485849E">
      <w:pPr>
        <w:ind w:firstLine="420"/>
      </w:pPr>
      <w:r>
        <w:rPr>
          <w:rFonts w:hint="eastAsia"/>
        </w:rPr>
        <w:t>安全性：本项目提供的云平台整体技术架构、数据访问机制、数据存储与更新机制、权限管理与控制机制等，必须符合系统安全性的要求。</w:t>
      </w:r>
    </w:p>
    <w:p w14:paraId="313D741F">
      <w:pPr>
        <w:ind w:firstLine="420"/>
      </w:pPr>
      <w:r>
        <w:rPr>
          <w:rFonts w:hint="eastAsia"/>
        </w:rPr>
        <w:t>易用性：本项目提供的云平台应操作简单、使用方便，且易于管理和维护。</w:t>
      </w:r>
    </w:p>
    <w:p w14:paraId="1D9C911F">
      <w:pPr>
        <w:ind w:firstLine="420"/>
      </w:pPr>
      <w:r>
        <w:rPr>
          <w:rFonts w:hint="eastAsia"/>
        </w:rPr>
        <w:t>可移植性：本项目提供的云平台的接口应保证采购人的业务系统及其数据迁移的兼容性。</w:t>
      </w:r>
    </w:p>
    <w:p w14:paraId="1A780D28">
      <w:pPr>
        <w:ind w:firstLine="420"/>
      </w:pPr>
      <w:r>
        <w:rPr>
          <w:rFonts w:hint="eastAsia"/>
        </w:rPr>
        <w:t>业务可用性：本项目提供的云平台整体可用性应不低于99.9%，数据可靠性应不低于99.9999%。</w:t>
      </w:r>
    </w:p>
    <w:p w14:paraId="0A9D8888">
      <w:pPr>
        <w:pStyle w:val="3"/>
      </w:pPr>
      <w:r>
        <w:rPr>
          <w:rFonts w:hint="eastAsia"/>
        </w:rPr>
        <w:t>机房要求</w:t>
      </w:r>
    </w:p>
    <w:p w14:paraId="588B8A71">
      <w:pPr>
        <w:ind w:firstLine="420"/>
      </w:pPr>
      <w:bookmarkStart w:id="2" w:name="_Toc42244470"/>
      <w:bookmarkStart w:id="3" w:name="_Toc49210295"/>
      <w:r>
        <w:rPr>
          <w:rFonts w:hint="eastAsia"/>
        </w:rPr>
        <w:t>本期项目的投标人为招标方提供的机房应当具备环保措施</w:t>
      </w:r>
      <w:bookmarkEnd w:id="2"/>
      <w:bookmarkEnd w:id="3"/>
      <w:r>
        <w:rPr>
          <w:rFonts w:hint="eastAsia"/>
        </w:rPr>
        <w:t>、消防措施、安全和卫生措施</w:t>
      </w:r>
      <w:bookmarkStart w:id="4" w:name="_Toc49210298"/>
      <w:bookmarkStart w:id="5" w:name="_Toc42244473"/>
      <w:r>
        <w:rPr>
          <w:rFonts w:hint="eastAsia"/>
        </w:rPr>
        <w:t>以及节能措施</w:t>
      </w:r>
      <w:bookmarkEnd w:id="4"/>
      <w:bookmarkEnd w:id="5"/>
      <w:r>
        <w:rPr>
          <w:rFonts w:hint="eastAsia"/>
        </w:rPr>
        <w:t>。考虑化工区高危特性(以及未来化工工业互联网的演进，对网络的时延以及带宽具有很高的要求)。因此，云资源需要就近部署，云机房应在化工区范围内为佳。</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9"/>
        <w:gridCol w:w="7061"/>
      </w:tblGrid>
      <w:tr w14:paraId="65B1F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9" w:type="dxa"/>
            <w:noWrap/>
            <w:vAlign w:val="center"/>
          </w:tcPr>
          <w:p w14:paraId="7C4B045D">
            <w:pPr>
              <w:ind w:firstLine="0" w:firstLineChars="0"/>
              <w:jc w:val="center"/>
              <w:rPr>
                <w:rFonts w:hint="eastAsia" w:ascii="宋体" w:hAnsi="宋体" w:cs="宋体"/>
                <w:b/>
                <w:bCs/>
                <w:sz w:val="24"/>
              </w:rPr>
            </w:pPr>
            <w:r>
              <w:rPr>
                <w:rFonts w:hint="eastAsia" w:ascii="宋体" w:hAnsi="宋体" w:cs="宋体"/>
                <w:b/>
                <w:bCs/>
                <w:sz w:val="24"/>
              </w:rPr>
              <w:t>指标项</w:t>
            </w:r>
          </w:p>
        </w:tc>
        <w:tc>
          <w:tcPr>
            <w:tcW w:w="7061" w:type="dxa"/>
            <w:noWrap/>
            <w:vAlign w:val="center"/>
          </w:tcPr>
          <w:p w14:paraId="64F35287">
            <w:pPr>
              <w:ind w:firstLine="0" w:firstLineChars="0"/>
              <w:jc w:val="center"/>
              <w:rPr>
                <w:rFonts w:hint="eastAsia" w:ascii="宋体" w:hAnsi="宋体" w:cs="宋体"/>
                <w:b/>
                <w:bCs/>
                <w:sz w:val="24"/>
              </w:rPr>
            </w:pPr>
            <w:r>
              <w:rPr>
                <w:rFonts w:hint="eastAsia" w:ascii="宋体" w:hAnsi="宋体" w:cs="宋体"/>
                <w:b/>
                <w:bCs/>
                <w:sz w:val="24"/>
              </w:rPr>
              <w:t>规格或技术要求</w:t>
            </w:r>
          </w:p>
        </w:tc>
      </w:tr>
      <w:tr w14:paraId="2C985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9" w:type="dxa"/>
            <w:vMerge w:val="restart"/>
            <w:noWrap/>
            <w:vAlign w:val="center"/>
          </w:tcPr>
          <w:p w14:paraId="767236BB">
            <w:pPr>
              <w:ind w:firstLine="0" w:firstLineChars="0"/>
              <w:jc w:val="center"/>
              <w:rPr>
                <w:rFonts w:hint="eastAsia" w:ascii="宋体" w:hAnsi="宋体" w:cs="宋体"/>
                <w:sz w:val="24"/>
              </w:rPr>
            </w:pPr>
            <w:r>
              <w:rPr>
                <w:rFonts w:hint="eastAsia" w:ascii="宋体" w:hAnsi="宋体" w:cs="宋体"/>
                <w:sz w:val="24"/>
              </w:rPr>
              <w:t>建设标准</w:t>
            </w:r>
          </w:p>
        </w:tc>
        <w:tc>
          <w:tcPr>
            <w:tcW w:w="7061" w:type="dxa"/>
            <w:vAlign w:val="center"/>
          </w:tcPr>
          <w:p w14:paraId="16AAAC15">
            <w:pPr>
              <w:ind w:firstLine="0" w:firstLineChars="0"/>
              <w:rPr>
                <w:rFonts w:hint="eastAsia" w:ascii="宋体" w:hAnsi="宋体" w:cs="宋体"/>
                <w:sz w:val="24"/>
              </w:rPr>
            </w:pPr>
            <w:r>
              <w:rPr>
                <w:rFonts w:hint="eastAsia" w:ascii="宋体" w:hAnsi="宋体" w:cs="宋体"/>
                <w:sz w:val="24"/>
              </w:rPr>
              <w:t>（1）满足GB50174-2008《电子信息系统机房设计规范》中的B级机房建设标准的要求。</w:t>
            </w:r>
          </w:p>
        </w:tc>
      </w:tr>
      <w:tr w14:paraId="6973E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9" w:type="dxa"/>
            <w:vMerge w:val="continue"/>
            <w:vAlign w:val="center"/>
          </w:tcPr>
          <w:p w14:paraId="6B44FBA2">
            <w:pPr>
              <w:ind w:firstLine="0" w:firstLineChars="0"/>
              <w:jc w:val="center"/>
              <w:rPr>
                <w:rFonts w:hint="eastAsia" w:ascii="宋体" w:hAnsi="宋体" w:cs="宋体"/>
                <w:sz w:val="24"/>
              </w:rPr>
            </w:pPr>
          </w:p>
        </w:tc>
        <w:tc>
          <w:tcPr>
            <w:tcW w:w="7061" w:type="dxa"/>
            <w:vAlign w:val="center"/>
          </w:tcPr>
          <w:p w14:paraId="507667AB">
            <w:pPr>
              <w:ind w:firstLine="0" w:firstLineChars="0"/>
              <w:rPr>
                <w:rFonts w:hint="eastAsia" w:ascii="宋体" w:hAnsi="宋体" w:cs="宋体"/>
                <w:sz w:val="24"/>
              </w:rPr>
            </w:pPr>
            <w:r>
              <w:rPr>
                <w:rFonts w:hint="eastAsia" w:ascii="宋体" w:hAnsi="宋体" w:cs="宋体"/>
                <w:sz w:val="24"/>
              </w:rPr>
              <w:t>（2）机房的全年服务可用性≥99.99%</w:t>
            </w:r>
          </w:p>
        </w:tc>
      </w:tr>
      <w:tr w14:paraId="1DF51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9" w:type="dxa"/>
            <w:vMerge w:val="restart"/>
            <w:vAlign w:val="center"/>
          </w:tcPr>
          <w:p w14:paraId="1DA508BB">
            <w:pPr>
              <w:ind w:firstLine="0" w:firstLineChars="0"/>
              <w:jc w:val="center"/>
              <w:rPr>
                <w:rFonts w:hint="eastAsia" w:ascii="宋体" w:hAnsi="宋体" w:cs="宋体"/>
                <w:sz w:val="24"/>
              </w:rPr>
            </w:pPr>
            <w:r>
              <w:rPr>
                <w:rFonts w:hint="eastAsia" w:ascii="宋体" w:hAnsi="宋体" w:cs="宋体"/>
                <w:sz w:val="24"/>
              </w:rPr>
              <w:t>机房地点与空间布局要求</w:t>
            </w:r>
          </w:p>
        </w:tc>
        <w:tc>
          <w:tcPr>
            <w:tcW w:w="7061" w:type="dxa"/>
            <w:vAlign w:val="center"/>
          </w:tcPr>
          <w:p w14:paraId="5F4CBCD5">
            <w:pPr>
              <w:ind w:firstLine="0" w:firstLineChars="0"/>
              <w:rPr>
                <w:rFonts w:hint="eastAsia" w:ascii="宋体" w:hAnsi="宋体" w:cs="宋体"/>
                <w:sz w:val="24"/>
              </w:rPr>
            </w:pPr>
            <w:r>
              <w:rPr>
                <w:rFonts w:hint="eastAsia" w:ascii="宋体" w:hAnsi="宋体" w:cs="宋体"/>
                <w:sz w:val="24"/>
              </w:rPr>
              <w:t>（1）提供的机房应在奉贤区范围内，机房在化工区内为佳。</w:t>
            </w:r>
          </w:p>
        </w:tc>
      </w:tr>
      <w:tr w14:paraId="76693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9" w:type="dxa"/>
            <w:vMerge w:val="continue"/>
            <w:vAlign w:val="center"/>
          </w:tcPr>
          <w:p w14:paraId="5F2C314C">
            <w:pPr>
              <w:ind w:firstLine="0" w:firstLineChars="0"/>
              <w:jc w:val="center"/>
              <w:rPr>
                <w:rFonts w:hint="eastAsia" w:ascii="宋体" w:hAnsi="宋体" w:cs="宋体"/>
                <w:sz w:val="24"/>
              </w:rPr>
            </w:pPr>
          </w:p>
        </w:tc>
        <w:tc>
          <w:tcPr>
            <w:tcW w:w="7061" w:type="dxa"/>
            <w:vAlign w:val="center"/>
          </w:tcPr>
          <w:p w14:paraId="3D6C14DD">
            <w:pPr>
              <w:ind w:firstLine="0" w:firstLineChars="0"/>
              <w:rPr>
                <w:rFonts w:hint="eastAsia" w:ascii="宋体" w:hAnsi="宋体" w:cs="宋体"/>
                <w:sz w:val="24"/>
              </w:rPr>
            </w:pPr>
            <w:r>
              <w:rPr>
                <w:rFonts w:hint="eastAsia" w:ascii="宋体" w:hAnsi="宋体" w:cs="宋体"/>
                <w:sz w:val="24"/>
              </w:rPr>
              <w:t>（2）机房为投标人自有资产为佳（需出具产证证明文件）。</w:t>
            </w:r>
          </w:p>
        </w:tc>
      </w:tr>
      <w:tr w14:paraId="26F20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9" w:type="dxa"/>
            <w:vMerge w:val="continue"/>
            <w:vAlign w:val="center"/>
          </w:tcPr>
          <w:p w14:paraId="3E6826F8">
            <w:pPr>
              <w:ind w:firstLine="0" w:firstLineChars="0"/>
              <w:jc w:val="center"/>
              <w:rPr>
                <w:rFonts w:hint="eastAsia" w:ascii="宋体" w:hAnsi="宋体" w:cs="宋体"/>
                <w:sz w:val="24"/>
              </w:rPr>
            </w:pPr>
          </w:p>
        </w:tc>
        <w:tc>
          <w:tcPr>
            <w:tcW w:w="7061" w:type="dxa"/>
            <w:vAlign w:val="center"/>
          </w:tcPr>
          <w:p w14:paraId="3CABD408">
            <w:pPr>
              <w:ind w:firstLine="0" w:firstLineChars="0"/>
              <w:rPr>
                <w:rFonts w:hint="eastAsia" w:ascii="宋体" w:hAnsi="宋体" w:cs="宋体"/>
                <w:sz w:val="24"/>
              </w:rPr>
            </w:pPr>
            <w:r>
              <w:rPr>
                <w:rFonts w:hint="eastAsia" w:ascii="宋体" w:hAnsi="宋体" w:cs="宋体"/>
                <w:sz w:val="24"/>
              </w:rPr>
              <w:t>（3）投标人为本项目提供的机房空间面积初期可容纳≥30个42U16A机柜，并具备平滑扩容至60个机柜的空间的能力。</w:t>
            </w:r>
          </w:p>
        </w:tc>
      </w:tr>
      <w:tr w14:paraId="21096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9" w:type="dxa"/>
            <w:vMerge w:val="continue"/>
            <w:vAlign w:val="center"/>
          </w:tcPr>
          <w:p w14:paraId="2EBE6977">
            <w:pPr>
              <w:ind w:firstLine="0" w:firstLineChars="0"/>
              <w:jc w:val="center"/>
              <w:rPr>
                <w:rFonts w:hint="eastAsia" w:ascii="宋体" w:hAnsi="宋体" w:cs="宋体"/>
                <w:sz w:val="24"/>
              </w:rPr>
            </w:pPr>
          </w:p>
        </w:tc>
        <w:tc>
          <w:tcPr>
            <w:tcW w:w="7061" w:type="dxa"/>
            <w:vAlign w:val="center"/>
          </w:tcPr>
          <w:p w14:paraId="59E0D2F2">
            <w:pPr>
              <w:ind w:firstLine="0" w:firstLineChars="0"/>
              <w:rPr>
                <w:rFonts w:hint="eastAsia" w:ascii="宋体" w:hAnsi="宋体" w:cs="宋体"/>
                <w:sz w:val="24"/>
              </w:rPr>
            </w:pPr>
            <w:r>
              <w:rPr>
                <w:rFonts w:hint="eastAsia" w:ascii="宋体" w:hAnsi="宋体" w:cs="宋体"/>
                <w:sz w:val="24"/>
              </w:rPr>
              <w:t>（4）投标人为本项目提供的机房空间，除满足本项目所有设备运行的需求之外，如采购人需要，还需提供本项目之外的其他设备的机房托管服务。</w:t>
            </w:r>
          </w:p>
        </w:tc>
      </w:tr>
      <w:tr w14:paraId="4E081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9" w:type="dxa"/>
            <w:vMerge w:val="continue"/>
            <w:vAlign w:val="center"/>
          </w:tcPr>
          <w:p w14:paraId="013A24A7">
            <w:pPr>
              <w:ind w:firstLine="0" w:firstLineChars="0"/>
              <w:jc w:val="center"/>
              <w:rPr>
                <w:rFonts w:hint="eastAsia" w:ascii="宋体" w:hAnsi="宋体" w:cs="宋体"/>
                <w:sz w:val="24"/>
              </w:rPr>
            </w:pPr>
          </w:p>
        </w:tc>
        <w:tc>
          <w:tcPr>
            <w:tcW w:w="7061" w:type="dxa"/>
            <w:vAlign w:val="center"/>
          </w:tcPr>
          <w:p w14:paraId="2E9CBCE9">
            <w:pPr>
              <w:ind w:firstLine="0" w:firstLineChars="0"/>
              <w:rPr>
                <w:rFonts w:hint="eastAsia" w:ascii="宋体" w:hAnsi="宋体" w:cs="宋体"/>
                <w:sz w:val="24"/>
              </w:rPr>
            </w:pPr>
            <w:r>
              <w:rPr>
                <w:rFonts w:hint="eastAsia" w:ascii="宋体" w:hAnsi="宋体" w:cs="宋体"/>
                <w:sz w:val="24"/>
              </w:rPr>
              <w:t>（5）提供与机房在同一大楼内不小于15平方米的办公场地，供采购人使用，用于测试、应用部署及业务系统迁移等工作。</w:t>
            </w:r>
          </w:p>
        </w:tc>
      </w:tr>
      <w:tr w14:paraId="3F21E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9" w:type="dxa"/>
            <w:vMerge w:val="restart"/>
            <w:noWrap/>
            <w:vAlign w:val="center"/>
          </w:tcPr>
          <w:p w14:paraId="267BA193">
            <w:pPr>
              <w:ind w:firstLine="0" w:firstLineChars="0"/>
              <w:jc w:val="center"/>
              <w:rPr>
                <w:rFonts w:hint="eastAsia" w:ascii="宋体" w:hAnsi="宋体" w:cs="宋体"/>
                <w:sz w:val="24"/>
              </w:rPr>
            </w:pPr>
            <w:r>
              <w:rPr>
                <w:rFonts w:hint="eastAsia" w:ascii="宋体" w:hAnsi="宋体" w:cs="宋体"/>
                <w:sz w:val="24"/>
              </w:rPr>
              <w:t>动力保障</w:t>
            </w:r>
          </w:p>
        </w:tc>
        <w:tc>
          <w:tcPr>
            <w:tcW w:w="7061" w:type="dxa"/>
            <w:vAlign w:val="center"/>
          </w:tcPr>
          <w:p w14:paraId="6FF257DF">
            <w:pPr>
              <w:ind w:firstLine="0" w:firstLineChars="0"/>
              <w:rPr>
                <w:rFonts w:hint="eastAsia" w:ascii="宋体" w:hAnsi="宋体" w:cs="宋体"/>
                <w:sz w:val="24"/>
              </w:rPr>
            </w:pPr>
            <w:r>
              <w:rPr>
                <w:rFonts w:hint="eastAsia" w:ascii="宋体" w:hAnsi="宋体" w:cs="宋体"/>
                <w:sz w:val="24"/>
              </w:rPr>
              <w:t>（1）电气系统由双路独立市电供应，不小于500kVA。此外配置柴油发电机作为后备电源，可在满载情况下持续运行8小时以上。每套设备机架由两套不同UPS供电，每套UPS系统均配备独立的电池组，电池组能提供30分钟的不间断供电。机房配备油机，满足冗余备份，支持自动启停。</w:t>
            </w:r>
          </w:p>
        </w:tc>
      </w:tr>
      <w:tr w14:paraId="7ABD1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9" w:type="dxa"/>
            <w:vMerge w:val="continue"/>
            <w:vAlign w:val="center"/>
          </w:tcPr>
          <w:p w14:paraId="139528ED">
            <w:pPr>
              <w:ind w:firstLine="0" w:firstLineChars="0"/>
              <w:jc w:val="center"/>
              <w:rPr>
                <w:rFonts w:hint="eastAsia" w:ascii="宋体" w:hAnsi="宋体" w:cs="宋体"/>
                <w:sz w:val="24"/>
              </w:rPr>
            </w:pPr>
          </w:p>
        </w:tc>
        <w:tc>
          <w:tcPr>
            <w:tcW w:w="7061" w:type="dxa"/>
            <w:vAlign w:val="center"/>
          </w:tcPr>
          <w:p w14:paraId="5C4FC172">
            <w:pPr>
              <w:ind w:firstLine="0" w:firstLineChars="0"/>
              <w:rPr>
                <w:rFonts w:hint="eastAsia" w:ascii="宋体" w:hAnsi="宋体" w:cs="宋体"/>
                <w:sz w:val="24"/>
              </w:rPr>
            </w:pPr>
            <w:r>
              <w:rPr>
                <w:rFonts w:hint="eastAsia" w:ascii="宋体" w:hAnsi="宋体" w:cs="宋体"/>
                <w:sz w:val="24"/>
              </w:rPr>
              <w:t>（2）每机柜提供双路不间断供电，电力总功率：低密度区每机柜不低于3KW，高密度区每机柜不低于5KW。</w:t>
            </w:r>
          </w:p>
        </w:tc>
      </w:tr>
      <w:tr w14:paraId="3D1EA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9" w:type="dxa"/>
            <w:vMerge w:val="restart"/>
            <w:noWrap/>
            <w:vAlign w:val="center"/>
          </w:tcPr>
          <w:p w14:paraId="436ED58F">
            <w:pPr>
              <w:ind w:firstLine="0" w:firstLineChars="0"/>
              <w:jc w:val="center"/>
              <w:rPr>
                <w:rFonts w:hint="eastAsia" w:ascii="宋体" w:hAnsi="宋体" w:cs="宋体"/>
                <w:sz w:val="24"/>
              </w:rPr>
            </w:pPr>
            <w:r>
              <w:rPr>
                <w:rFonts w:hint="eastAsia" w:ascii="宋体" w:hAnsi="宋体" w:cs="宋体"/>
                <w:sz w:val="24"/>
              </w:rPr>
              <w:t>空调系统</w:t>
            </w:r>
          </w:p>
        </w:tc>
        <w:tc>
          <w:tcPr>
            <w:tcW w:w="7061" w:type="dxa"/>
            <w:vAlign w:val="center"/>
          </w:tcPr>
          <w:p w14:paraId="0E03A6B2">
            <w:pPr>
              <w:ind w:firstLine="0" w:firstLineChars="0"/>
              <w:rPr>
                <w:rFonts w:hint="eastAsia" w:ascii="宋体" w:hAnsi="宋体" w:cs="宋体"/>
                <w:sz w:val="24"/>
              </w:rPr>
            </w:pPr>
            <w:r>
              <w:rPr>
                <w:rFonts w:hint="eastAsia" w:ascii="宋体" w:hAnsi="宋体" w:cs="宋体"/>
                <w:sz w:val="24"/>
              </w:rPr>
              <w:t>（1）机房运行环境恒温恒湿：温度为21--25℃，相对湿度保持在40%～70%。</w:t>
            </w:r>
          </w:p>
        </w:tc>
      </w:tr>
      <w:tr w14:paraId="3EE2D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9" w:type="dxa"/>
            <w:vMerge w:val="continue"/>
            <w:vAlign w:val="center"/>
          </w:tcPr>
          <w:p w14:paraId="5B53A089">
            <w:pPr>
              <w:ind w:firstLine="0" w:firstLineChars="0"/>
              <w:jc w:val="center"/>
              <w:rPr>
                <w:rFonts w:hint="eastAsia" w:ascii="宋体" w:hAnsi="宋体" w:cs="宋体"/>
                <w:sz w:val="24"/>
              </w:rPr>
            </w:pPr>
          </w:p>
        </w:tc>
        <w:tc>
          <w:tcPr>
            <w:tcW w:w="7061" w:type="dxa"/>
            <w:vAlign w:val="center"/>
          </w:tcPr>
          <w:p w14:paraId="324291DF">
            <w:pPr>
              <w:ind w:firstLine="0" w:firstLineChars="0"/>
              <w:rPr>
                <w:rFonts w:hint="eastAsia" w:ascii="宋体" w:hAnsi="宋体" w:cs="宋体"/>
                <w:sz w:val="24"/>
              </w:rPr>
            </w:pPr>
            <w:r>
              <w:rPr>
                <w:rFonts w:hint="eastAsia" w:ascii="宋体" w:hAnsi="宋体" w:cs="宋体"/>
                <w:sz w:val="24"/>
              </w:rPr>
              <w:t>（2）机房内机柜采用精确送风方式。</w:t>
            </w:r>
          </w:p>
        </w:tc>
      </w:tr>
      <w:tr w14:paraId="2A9C7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9" w:type="dxa"/>
            <w:vMerge w:val="continue"/>
            <w:vAlign w:val="center"/>
          </w:tcPr>
          <w:p w14:paraId="1ED03EA2">
            <w:pPr>
              <w:ind w:firstLine="0" w:firstLineChars="0"/>
              <w:jc w:val="center"/>
              <w:rPr>
                <w:rFonts w:hint="eastAsia" w:ascii="宋体" w:hAnsi="宋体" w:cs="宋体"/>
                <w:sz w:val="24"/>
              </w:rPr>
            </w:pPr>
          </w:p>
        </w:tc>
        <w:tc>
          <w:tcPr>
            <w:tcW w:w="7061" w:type="dxa"/>
            <w:vAlign w:val="center"/>
          </w:tcPr>
          <w:p w14:paraId="35FF9FA6">
            <w:pPr>
              <w:ind w:firstLine="0" w:firstLineChars="0"/>
              <w:rPr>
                <w:rFonts w:hint="eastAsia" w:ascii="宋体" w:hAnsi="宋体" w:cs="宋体"/>
                <w:sz w:val="24"/>
              </w:rPr>
            </w:pPr>
            <w:r>
              <w:rPr>
                <w:rFonts w:hint="eastAsia" w:ascii="宋体" w:hAnsi="宋体" w:cs="宋体"/>
                <w:sz w:val="24"/>
              </w:rPr>
              <w:t>（3）机房空调系统采取N+1冗余备份方式设置，无单点故障。</w:t>
            </w:r>
          </w:p>
        </w:tc>
      </w:tr>
      <w:tr w14:paraId="69AD8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9" w:type="dxa"/>
            <w:vMerge w:val="continue"/>
            <w:vAlign w:val="center"/>
          </w:tcPr>
          <w:p w14:paraId="4ED33920">
            <w:pPr>
              <w:ind w:firstLine="0" w:firstLineChars="0"/>
            </w:pPr>
          </w:p>
        </w:tc>
        <w:tc>
          <w:tcPr>
            <w:tcW w:w="7061" w:type="dxa"/>
            <w:vAlign w:val="center"/>
          </w:tcPr>
          <w:p w14:paraId="18435200">
            <w:pPr>
              <w:ind w:firstLine="0" w:firstLineChars="0"/>
              <w:rPr>
                <w:rFonts w:hint="eastAsia" w:ascii="宋体" w:hAnsi="宋体" w:cs="宋体"/>
                <w:sz w:val="24"/>
              </w:rPr>
            </w:pPr>
            <w:r>
              <w:rPr>
                <w:rFonts w:hint="eastAsia" w:ascii="宋体" w:hAnsi="宋体" w:cs="宋体"/>
                <w:sz w:val="24"/>
              </w:rPr>
              <w:t>（4）有专业空调维护队伍；对机房温湿度有监控措施和记录。</w:t>
            </w:r>
          </w:p>
        </w:tc>
      </w:tr>
      <w:tr w14:paraId="4E17F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9" w:type="dxa"/>
            <w:vMerge w:val="restart"/>
            <w:noWrap/>
            <w:vAlign w:val="center"/>
          </w:tcPr>
          <w:p w14:paraId="4134B1AA">
            <w:pPr>
              <w:ind w:firstLine="0" w:firstLineChars="0"/>
              <w:jc w:val="center"/>
              <w:rPr>
                <w:rFonts w:hint="eastAsia" w:ascii="宋体" w:hAnsi="宋体" w:cs="宋体"/>
                <w:sz w:val="24"/>
              </w:rPr>
            </w:pPr>
            <w:r>
              <w:rPr>
                <w:rFonts w:hint="eastAsia" w:ascii="宋体" w:hAnsi="宋体" w:cs="宋体"/>
                <w:sz w:val="24"/>
              </w:rPr>
              <w:t>消防系统</w:t>
            </w:r>
          </w:p>
        </w:tc>
        <w:tc>
          <w:tcPr>
            <w:tcW w:w="7061" w:type="dxa"/>
            <w:vAlign w:val="center"/>
          </w:tcPr>
          <w:p w14:paraId="1D909104">
            <w:pPr>
              <w:ind w:firstLine="0" w:firstLineChars="0"/>
              <w:rPr>
                <w:rFonts w:hint="eastAsia" w:ascii="宋体" w:hAnsi="宋体" w:cs="宋体"/>
                <w:sz w:val="24"/>
              </w:rPr>
            </w:pPr>
            <w:r>
              <w:rPr>
                <w:rFonts w:hint="eastAsia" w:ascii="宋体" w:hAnsi="宋体" w:cs="宋体"/>
                <w:sz w:val="24"/>
              </w:rPr>
              <w:t>（1）具备火灾报警及消防联动控制系统。</w:t>
            </w:r>
          </w:p>
        </w:tc>
      </w:tr>
      <w:tr w14:paraId="48F5F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9" w:type="dxa"/>
            <w:vMerge w:val="continue"/>
            <w:vAlign w:val="center"/>
          </w:tcPr>
          <w:p w14:paraId="08E490C0">
            <w:pPr>
              <w:ind w:firstLine="0" w:firstLineChars="0"/>
              <w:jc w:val="center"/>
              <w:rPr>
                <w:rFonts w:hint="eastAsia" w:ascii="宋体" w:hAnsi="宋体" w:cs="宋体"/>
                <w:sz w:val="24"/>
              </w:rPr>
            </w:pPr>
          </w:p>
        </w:tc>
        <w:tc>
          <w:tcPr>
            <w:tcW w:w="7061" w:type="dxa"/>
            <w:vAlign w:val="center"/>
          </w:tcPr>
          <w:p w14:paraId="4391BC6A">
            <w:pPr>
              <w:ind w:firstLine="0" w:firstLineChars="0"/>
              <w:rPr>
                <w:rFonts w:hint="eastAsia" w:ascii="宋体" w:hAnsi="宋体" w:cs="宋体"/>
                <w:sz w:val="24"/>
              </w:rPr>
            </w:pPr>
            <w:r>
              <w:rPr>
                <w:rFonts w:hint="eastAsia" w:ascii="宋体" w:hAnsi="宋体" w:cs="宋体"/>
                <w:sz w:val="24"/>
              </w:rPr>
              <w:t>（2）采用七氟丙烷气体消防措施。</w:t>
            </w:r>
          </w:p>
        </w:tc>
      </w:tr>
      <w:tr w14:paraId="39201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9" w:type="dxa"/>
            <w:vMerge w:val="continue"/>
            <w:vAlign w:val="center"/>
          </w:tcPr>
          <w:p w14:paraId="2018A21D">
            <w:pPr>
              <w:ind w:firstLine="0" w:firstLineChars="0"/>
              <w:jc w:val="center"/>
              <w:rPr>
                <w:rFonts w:hint="eastAsia" w:ascii="宋体" w:hAnsi="宋体" w:cs="宋体"/>
                <w:sz w:val="24"/>
              </w:rPr>
            </w:pPr>
          </w:p>
        </w:tc>
        <w:tc>
          <w:tcPr>
            <w:tcW w:w="7061" w:type="dxa"/>
            <w:vAlign w:val="center"/>
          </w:tcPr>
          <w:p w14:paraId="6C0FE70F">
            <w:pPr>
              <w:ind w:firstLine="0" w:firstLineChars="0"/>
              <w:rPr>
                <w:rFonts w:hint="eastAsia" w:ascii="宋体" w:hAnsi="宋体" w:cs="宋体"/>
                <w:sz w:val="24"/>
              </w:rPr>
            </w:pPr>
            <w:r>
              <w:rPr>
                <w:rFonts w:hint="eastAsia" w:ascii="宋体" w:hAnsi="宋体" w:cs="宋体"/>
                <w:sz w:val="24"/>
              </w:rPr>
              <w:t>（3）机房内配备手动或自动气体灭火设备。</w:t>
            </w:r>
          </w:p>
        </w:tc>
      </w:tr>
      <w:tr w14:paraId="25861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9" w:type="dxa"/>
            <w:vMerge w:val="continue"/>
            <w:vAlign w:val="center"/>
          </w:tcPr>
          <w:p w14:paraId="1E3726B3">
            <w:pPr>
              <w:ind w:firstLine="0" w:firstLineChars="0"/>
              <w:jc w:val="center"/>
              <w:rPr>
                <w:rFonts w:hint="eastAsia" w:ascii="宋体" w:hAnsi="宋体" w:cs="宋体"/>
                <w:sz w:val="24"/>
              </w:rPr>
            </w:pPr>
          </w:p>
        </w:tc>
        <w:tc>
          <w:tcPr>
            <w:tcW w:w="7061" w:type="dxa"/>
            <w:vAlign w:val="center"/>
          </w:tcPr>
          <w:p w14:paraId="44D4747F">
            <w:pPr>
              <w:ind w:firstLine="0" w:firstLineChars="0"/>
              <w:rPr>
                <w:rFonts w:hint="eastAsia" w:ascii="宋体" w:hAnsi="宋体" w:cs="宋体"/>
                <w:sz w:val="24"/>
              </w:rPr>
            </w:pPr>
            <w:r>
              <w:rPr>
                <w:rFonts w:hint="eastAsia" w:ascii="宋体" w:hAnsi="宋体" w:cs="宋体"/>
                <w:sz w:val="24"/>
              </w:rPr>
              <w:t>（4）配置烟雾报警系统，及时侦测火灾隐患，赢得处理时间，降低火灾危害。</w:t>
            </w:r>
          </w:p>
        </w:tc>
      </w:tr>
      <w:tr w14:paraId="36946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9" w:type="dxa"/>
            <w:vMerge w:val="restart"/>
            <w:noWrap/>
            <w:vAlign w:val="center"/>
          </w:tcPr>
          <w:p w14:paraId="239FC279">
            <w:pPr>
              <w:ind w:firstLine="0" w:firstLineChars="0"/>
              <w:jc w:val="center"/>
              <w:rPr>
                <w:rFonts w:hint="eastAsia" w:ascii="宋体" w:hAnsi="宋体" w:cs="宋体"/>
                <w:sz w:val="24"/>
              </w:rPr>
            </w:pPr>
            <w:r>
              <w:rPr>
                <w:rFonts w:hint="eastAsia" w:ascii="宋体" w:hAnsi="宋体" w:cs="宋体"/>
                <w:sz w:val="24"/>
              </w:rPr>
              <w:t>机房安防</w:t>
            </w:r>
          </w:p>
        </w:tc>
        <w:tc>
          <w:tcPr>
            <w:tcW w:w="7061" w:type="dxa"/>
            <w:vAlign w:val="center"/>
          </w:tcPr>
          <w:p w14:paraId="42F470B3">
            <w:pPr>
              <w:ind w:firstLine="0" w:firstLineChars="0"/>
              <w:rPr>
                <w:rFonts w:hint="eastAsia" w:ascii="宋体" w:hAnsi="宋体" w:cs="宋体"/>
                <w:sz w:val="24"/>
              </w:rPr>
            </w:pPr>
            <w:r>
              <w:rPr>
                <w:rFonts w:hint="eastAsia" w:ascii="宋体" w:hAnsi="宋体" w:cs="宋体"/>
                <w:sz w:val="24"/>
              </w:rPr>
              <w:t>（1）7*24小时保安值班，严格的安全检查与身份认证。</w:t>
            </w:r>
          </w:p>
        </w:tc>
      </w:tr>
      <w:tr w14:paraId="22145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9" w:type="dxa"/>
            <w:vMerge w:val="continue"/>
            <w:vAlign w:val="center"/>
          </w:tcPr>
          <w:p w14:paraId="773C857A">
            <w:pPr>
              <w:ind w:firstLine="0" w:firstLineChars="0"/>
              <w:jc w:val="center"/>
              <w:rPr>
                <w:rFonts w:hint="eastAsia" w:ascii="宋体" w:hAnsi="宋体" w:cs="宋体"/>
                <w:sz w:val="24"/>
              </w:rPr>
            </w:pPr>
          </w:p>
        </w:tc>
        <w:tc>
          <w:tcPr>
            <w:tcW w:w="7061" w:type="dxa"/>
            <w:vAlign w:val="center"/>
          </w:tcPr>
          <w:p w14:paraId="67D99ACB">
            <w:pPr>
              <w:ind w:firstLine="0" w:firstLineChars="0"/>
              <w:rPr>
                <w:rFonts w:hint="eastAsia" w:ascii="宋体" w:hAnsi="宋体" w:cs="宋体"/>
                <w:sz w:val="24"/>
              </w:rPr>
            </w:pPr>
            <w:r>
              <w:rPr>
                <w:rFonts w:hint="eastAsia" w:ascii="宋体" w:hAnsi="宋体" w:cs="宋体"/>
                <w:sz w:val="24"/>
              </w:rPr>
              <w:t>（2）各机房出入口及周边均配置门禁及视频监控系统。</w:t>
            </w:r>
          </w:p>
        </w:tc>
      </w:tr>
      <w:tr w14:paraId="6A2DD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9" w:type="dxa"/>
            <w:vMerge w:val="continue"/>
            <w:noWrap/>
            <w:vAlign w:val="center"/>
          </w:tcPr>
          <w:p w14:paraId="01AD0D3B">
            <w:pPr>
              <w:ind w:firstLine="0" w:firstLineChars="0"/>
              <w:jc w:val="center"/>
              <w:rPr>
                <w:rFonts w:hint="eastAsia" w:ascii="宋体" w:hAnsi="宋体" w:cs="宋体"/>
                <w:sz w:val="24"/>
              </w:rPr>
            </w:pPr>
          </w:p>
        </w:tc>
        <w:tc>
          <w:tcPr>
            <w:tcW w:w="7061" w:type="dxa"/>
            <w:vAlign w:val="center"/>
          </w:tcPr>
          <w:p w14:paraId="66E13EAA">
            <w:pPr>
              <w:ind w:firstLine="0" w:firstLineChars="0"/>
              <w:rPr>
                <w:rFonts w:hint="eastAsia" w:ascii="宋体" w:hAnsi="宋体" w:cs="宋体"/>
                <w:sz w:val="24"/>
              </w:rPr>
            </w:pPr>
            <w:r>
              <w:rPr>
                <w:rFonts w:hint="eastAsia" w:ascii="宋体" w:hAnsi="宋体" w:cs="宋体"/>
                <w:sz w:val="24"/>
              </w:rPr>
              <w:t>（3）本项目机房及相关区域的监控录像至少保存3个月。必要时，采购人有权查看相关监控录像。</w:t>
            </w:r>
          </w:p>
        </w:tc>
      </w:tr>
      <w:tr w14:paraId="78A59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9" w:type="dxa"/>
            <w:noWrap/>
          </w:tcPr>
          <w:p w14:paraId="7C6C0678">
            <w:pPr>
              <w:ind w:firstLine="0" w:firstLineChars="0"/>
              <w:jc w:val="center"/>
              <w:rPr>
                <w:rFonts w:hint="eastAsia" w:ascii="宋体" w:hAnsi="宋体" w:cs="宋体"/>
                <w:sz w:val="24"/>
              </w:rPr>
            </w:pPr>
            <w:r>
              <w:rPr>
                <w:rFonts w:hint="eastAsia" w:ascii="宋体" w:hAnsi="宋体" w:cs="宋体"/>
                <w:sz w:val="24"/>
              </w:rPr>
              <w:t>抗震烈度</w:t>
            </w:r>
          </w:p>
        </w:tc>
        <w:tc>
          <w:tcPr>
            <w:tcW w:w="7061" w:type="dxa"/>
            <w:vAlign w:val="center"/>
          </w:tcPr>
          <w:p w14:paraId="57412141">
            <w:pPr>
              <w:ind w:firstLine="0" w:firstLineChars="0"/>
              <w:rPr>
                <w:rFonts w:hint="eastAsia" w:ascii="宋体" w:hAnsi="宋体" w:cs="宋体"/>
                <w:sz w:val="24"/>
              </w:rPr>
            </w:pPr>
            <w:r>
              <w:rPr>
                <w:rFonts w:hint="eastAsia" w:ascii="宋体" w:hAnsi="宋体" w:cs="宋体"/>
                <w:sz w:val="24"/>
              </w:rPr>
              <w:t>（1）机房抗震烈度应达到8级或以上。</w:t>
            </w:r>
          </w:p>
        </w:tc>
      </w:tr>
      <w:tr w14:paraId="6384E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9" w:type="dxa"/>
            <w:vMerge w:val="restart"/>
            <w:noWrap/>
            <w:vAlign w:val="center"/>
          </w:tcPr>
          <w:p w14:paraId="03B5B263">
            <w:pPr>
              <w:ind w:firstLine="0" w:firstLineChars="0"/>
              <w:jc w:val="center"/>
              <w:rPr>
                <w:rFonts w:hint="eastAsia" w:ascii="宋体" w:hAnsi="宋体" w:cs="宋体"/>
                <w:sz w:val="24"/>
              </w:rPr>
            </w:pPr>
            <w:r>
              <w:rPr>
                <w:rFonts w:hint="eastAsia" w:ascii="宋体" w:hAnsi="宋体" w:cs="宋体"/>
                <w:sz w:val="24"/>
              </w:rPr>
              <w:t>运维保障</w:t>
            </w:r>
          </w:p>
        </w:tc>
        <w:tc>
          <w:tcPr>
            <w:tcW w:w="7061" w:type="dxa"/>
            <w:vAlign w:val="center"/>
          </w:tcPr>
          <w:p w14:paraId="6C891F5B">
            <w:pPr>
              <w:ind w:firstLine="0" w:firstLineChars="0"/>
              <w:rPr>
                <w:rFonts w:hint="eastAsia" w:ascii="宋体" w:hAnsi="宋体" w:cs="宋体"/>
                <w:sz w:val="24"/>
              </w:rPr>
            </w:pPr>
            <w:r>
              <w:rPr>
                <w:rFonts w:hint="eastAsia" w:ascii="宋体" w:hAnsi="宋体" w:cs="宋体"/>
                <w:sz w:val="24"/>
              </w:rPr>
              <w:t>（1）提供7*24小时的值班监控以及应急响应服务。</w:t>
            </w:r>
          </w:p>
        </w:tc>
      </w:tr>
      <w:tr w14:paraId="1AD52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9" w:type="dxa"/>
            <w:vMerge w:val="continue"/>
            <w:vAlign w:val="center"/>
          </w:tcPr>
          <w:p w14:paraId="7D20830C">
            <w:pPr>
              <w:ind w:firstLine="0" w:firstLineChars="0"/>
              <w:jc w:val="center"/>
              <w:rPr>
                <w:rFonts w:hint="eastAsia" w:ascii="宋体" w:hAnsi="宋体" w:cs="宋体"/>
                <w:sz w:val="24"/>
              </w:rPr>
            </w:pPr>
          </w:p>
        </w:tc>
        <w:tc>
          <w:tcPr>
            <w:tcW w:w="7061" w:type="dxa"/>
            <w:vAlign w:val="center"/>
          </w:tcPr>
          <w:p w14:paraId="63504E35">
            <w:pPr>
              <w:ind w:firstLine="0" w:firstLineChars="0"/>
              <w:rPr>
                <w:rFonts w:hint="eastAsia" w:ascii="宋体" w:hAnsi="宋体" w:cs="宋体"/>
                <w:sz w:val="24"/>
              </w:rPr>
            </w:pPr>
            <w:r>
              <w:rPr>
                <w:rFonts w:hint="eastAsia" w:ascii="宋体" w:hAnsi="宋体" w:cs="宋体"/>
                <w:sz w:val="24"/>
              </w:rPr>
              <w:t>（2）具备电信级智能网络运行监控平台，实时监控机房运行状态，采购人有权远程查看相关信息。</w:t>
            </w:r>
          </w:p>
        </w:tc>
      </w:tr>
      <w:tr w14:paraId="6C8D6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9" w:type="dxa"/>
            <w:vMerge w:val="continue"/>
            <w:vAlign w:val="center"/>
          </w:tcPr>
          <w:p w14:paraId="7D85E5D6">
            <w:pPr>
              <w:ind w:firstLine="0" w:firstLineChars="0"/>
              <w:jc w:val="center"/>
              <w:rPr>
                <w:rFonts w:hint="eastAsia" w:ascii="宋体" w:hAnsi="宋体" w:cs="宋体"/>
                <w:sz w:val="24"/>
              </w:rPr>
            </w:pPr>
          </w:p>
        </w:tc>
        <w:tc>
          <w:tcPr>
            <w:tcW w:w="7061" w:type="dxa"/>
            <w:vAlign w:val="center"/>
          </w:tcPr>
          <w:p w14:paraId="14CF3769">
            <w:pPr>
              <w:ind w:firstLine="0" w:firstLineChars="0"/>
              <w:rPr>
                <w:rFonts w:hint="eastAsia" w:ascii="宋体" w:hAnsi="宋体" w:cs="宋体"/>
                <w:sz w:val="24"/>
              </w:rPr>
            </w:pPr>
            <w:r>
              <w:rPr>
                <w:rFonts w:hint="eastAsia" w:ascii="宋体" w:hAnsi="宋体" w:cs="宋体"/>
                <w:sz w:val="24"/>
              </w:rPr>
              <w:t>（3）由投标人负责机房运行环境的运维保障，包括但不限于机房门禁管理、安防管理、人员出入管理、设备出入管理；机房定期环境清洁、物品整理、机房环境监测（温湿度、摄像头、空调等）、机房环境整改；机房消防设施管理、日常消防检查；防雷、防强电管理，地线、电阻管理；电力系统维护、UPS管理、电机设备管理；应急预案制定及应急演练等。</w:t>
            </w:r>
          </w:p>
        </w:tc>
      </w:tr>
      <w:tr w14:paraId="0F441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9" w:type="dxa"/>
            <w:vMerge w:val="continue"/>
            <w:vAlign w:val="center"/>
          </w:tcPr>
          <w:p w14:paraId="0731F398">
            <w:pPr>
              <w:ind w:firstLine="0" w:firstLineChars="0"/>
              <w:jc w:val="center"/>
              <w:rPr>
                <w:rFonts w:hint="eastAsia" w:ascii="宋体" w:hAnsi="宋体" w:cs="宋体"/>
                <w:sz w:val="24"/>
              </w:rPr>
            </w:pPr>
          </w:p>
        </w:tc>
        <w:tc>
          <w:tcPr>
            <w:tcW w:w="7061" w:type="dxa"/>
            <w:vAlign w:val="center"/>
          </w:tcPr>
          <w:p w14:paraId="225AC4FE">
            <w:pPr>
              <w:ind w:firstLine="0" w:firstLineChars="0"/>
              <w:rPr>
                <w:rFonts w:hint="eastAsia" w:ascii="宋体" w:hAnsi="宋体" w:cs="宋体"/>
                <w:sz w:val="24"/>
              </w:rPr>
            </w:pPr>
            <w:r>
              <w:rPr>
                <w:rFonts w:hint="eastAsia" w:ascii="宋体" w:hAnsi="宋体" w:cs="宋体"/>
                <w:sz w:val="24"/>
              </w:rPr>
              <w:t>（4）采购人或其授权人员有权随时进入投标人机房对本项目所配备的资源进行现场操作，投标人应提供配合与技术支持。</w:t>
            </w:r>
          </w:p>
        </w:tc>
      </w:tr>
    </w:tbl>
    <w:p w14:paraId="41FF3ED2">
      <w:pPr>
        <w:pStyle w:val="21"/>
        <w:ind w:firstLine="380"/>
      </w:pPr>
    </w:p>
    <w:p w14:paraId="7819DCFF">
      <w:pPr>
        <w:pStyle w:val="3"/>
      </w:pPr>
      <w:r>
        <w:rPr>
          <w:rFonts w:hint="eastAsia"/>
        </w:rPr>
        <w:t>计算资源池</w:t>
      </w:r>
      <w:r>
        <w:t>设计</w:t>
      </w:r>
      <w:bookmarkEnd w:id="0"/>
      <w:bookmarkEnd w:id="1"/>
      <w:r>
        <w:rPr>
          <w:rFonts w:hint="eastAsia"/>
        </w:rPr>
        <w:t>要求</w:t>
      </w:r>
    </w:p>
    <w:p w14:paraId="13401342">
      <w:pPr>
        <w:ind w:firstLine="420"/>
      </w:pPr>
      <w:r>
        <w:rPr>
          <w:rFonts w:hint="eastAsia" w:ascii="宋体" w:hAnsi="宋体"/>
        </w:rPr>
        <w:t>上海化学工业区公共事务中心</w:t>
      </w:r>
      <w:r>
        <w:rPr>
          <w:rFonts w:hint="eastAsia"/>
        </w:rPr>
        <w:t>补充购买服务资源量的要求如下：</w:t>
      </w:r>
    </w:p>
    <w:tbl>
      <w:tblPr>
        <w:tblStyle w:val="18"/>
        <w:tblW w:w="80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076"/>
        <w:gridCol w:w="919"/>
        <w:gridCol w:w="3192"/>
        <w:gridCol w:w="1386"/>
        <w:gridCol w:w="1489"/>
      </w:tblGrid>
      <w:tr w14:paraId="5EA24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9" w:hRule="atLeast"/>
        </w:trPr>
        <w:tc>
          <w:tcPr>
            <w:tcW w:w="1076" w:type="dxa"/>
            <w:shd w:val="clear" w:color="auto" w:fill="auto"/>
            <w:noWrap/>
            <w:vAlign w:val="center"/>
          </w:tcPr>
          <w:p w14:paraId="1C2F7EC1">
            <w:pPr>
              <w:widowControl/>
              <w:spacing w:before="96" w:after="96"/>
              <w:ind w:firstLine="0" w:firstLineChars="0"/>
              <w:jc w:val="center"/>
              <w:rPr>
                <w:rFonts w:hint="eastAsia" w:ascii="微软雅黑" w:hAnsi="微软雅黑" w:eastAsia="微软雅黑" w:cs="宋体"/>
                <w:b/>
                <w:bCs/>
                <w:kern w:val="0"/>
                <w:sz w:val="18"/>
                <w:szCs w:val="18"/>
              </w:rPr>
            </w:pPr>
            <w:r>
              <w:rPr>
                <w:rFonts w:hint="eastAsia" w:ascii="微软雅黑" w:hAnsi="微软雅黑" w:eastAsia="微软雅黑" w:cs="宋体"/>
                <w:b/>
                <w:bCs/>
                <w:kern w:val="0"/>
                <w:sz w:val="18"/>
                <w:szCs w:val="18"/>
              </w:rPr>
              <w:t>序号</w:t>
            </w:r>
          </w:p>
        </w:tc>
        <w:tc>
          <w:tcPr>
            <w:tcW w:w="919" w:type="dxa"/>
            <w:shd w:val="clear" w:color="auto" w:fill="auto"/>
            <w:vAlign w:val="center"/>
          </w:tcPr>
          <w:p w14:paraId="651E794B">
            <w:pPr>
              <w:widowControl/>
              <w:spacing w:before="96" w:after="96"/>
              <w:ind w:firstLine="0" w:firstLineChars="0"/>
              <w:jc w:val="center"/>
              <w:rPr>
                <w:rFonts w:hint="eastAsia" w:ascii="微软雅黑" w:hAnsi="微软雅黑" w:eastAsia="微软雅黑" w:cs="宋体"/>
                <w:b/>
                <w:bCs/>
                <w:kern w:val="0"/>
                <w:sz w:val="18"/>
                <w:szCs w:val="18"/>
              </w:rPr>
            </w:pPr>
            <w:r>
              <w:rPr>
                <w:rFonts w:hint="eastAsia" w:ascii="微软雅黑" w:hAnsi="微软雅黑" w:eastAsia="微软雅黑" w:cs="宋体"/>
                <w:b/>
                <w:bCs/>
                <w:kern w:val="0"/>
                <w:sz w:val="18"/>
                <w:szCs w:val="18"/>
              </w:rPr>
              <w:t>项目名称</w:t>
            </w:r>
          </w:p>
        </w:tc>
        <w:tc>
          <w:tcPr>
            <w:tcW w:w="3192" w:type="dxa"/>
            <w:shd w:val="clear" w:color="auto" w:fill="auto"/>
            <w:noWrap/>
            <w:vAlign w:val="center"/>
          </w:tcPr>
          <w:p w14:paraId="5D202183">
            <w:pPr>
              <w:widowControl/>
              <w:spacing w:before="96" w:after="96"/>
              <w:ind w:firstLine="0" w:firstLineChars="0"/>
              <w:jc w:val="center"/>
              <w:rPr>
                <w:rFonts w:hint="eastAsia" w:ascii="微软雅黑" w:hAnsi="微软雅黑" w:eastAsia="微软雅黑" w:cs="宋体"/>
                <w:b/>
                <w:bCs/>
                <w:kern w:val="0"/>
                <w:sz w:val="18"/>
                <w:szCs w:val="18"/>
              </w:rPr>
            </w:pPr>
            <w:r>
              <w:rPr>
                <w:rFonts w:hint="eastAsia" w:ascii="微软雅黑" w:hAnsi="微软雅黑" w:eastAsia="微软雅黑" w:cs="宋体"/>
                <w:b/>
                <w:bCs/>
                <w:kern w:val="0"/>
                <w:sz w:val="18"/>
                <w:szCs w:val="18"/>
              </w:rPr>
              <w:t>参数指标</w:t>
            </w:r>
          </w:p>
        </w:tc>
        <w:tc>
          <w:tcPr>
            <w:tcW w:w="1386" w:type="dxa"/>
            <w:shd w:val="clear" w:color="auto" w:fill="auto"/>
            <w:noWrap/>
            <w:vAlign w:val="center"/>
          </w:tcPr>
          <w:p w14:paraId="34B294AE">
            <w:pPr>
              <w:widowControl/>
              <w:spacing w:before="96" w:after="96"/>
              <w:ind w:firstLine="0" w:firstLineChars="0"/>
              <w:jc w:val="center"/>
              <w:rPr>
                <w:rFonts w:hint="eastAsia" w:ascii="微软雅黑" w:hAnsi="微软雅黑" w:eastAsia="微软雅黑" w:cs="宋体"/>
                <w:b/>
                <w:bCs/>
                <w:kern w:val="0"/>
                <w:sz w:val="18"/>
                <w:szCs w:val="18"/>
              </w:rPr>
            </w:pPr>
            <w:r>
              <w:rPr>
                <w:rFonts w:hint="eastAsia" w:ascii="微软雅黑" w:hAnsi="微软雅黑" w:eastAsia="微软雅黑" w:cs="宋体"/>
                <w:b/>
                <w:bCs/>
                <w:kern w:val="0"/>
                <w:sz w:val="18"/>
                <w:szCs w:val="18"/>
              </w:rPr>
              <w:t>单位</w:t>
            </w:r>
          </w:p>
        </w:tc>
        <w:tc>
          <w:tcPr>
            <w:tcW w:w="1489" w:type="dxa"/>
            <w:shd w:val="clear" w:color="auto" w:fill="auto"/>
            <w:noWrap/>
            <w:vAlign w:val="center"/>
          </w:tcPr>
          <w:p w14:paraId="41FE94E1">
            <w:pPr>
              <w:widowControl/>
              <w:spacing w:before="96" w:after="96"/>
              <w:ind w:firstLine="0" w:firstLineChars="0"/>
              <w:jc w:val="center"/>
              <w:rPr>
                <w:rFonts w:hint="eastAsia" w:ascii="微软雅黑" w:hAnsi="微软雅黑" w:eastAsia="微软雅黑" w:cs="宋体"/>
                <w:b/>
                <w:bCs/>
                <w:kern w:val="0"/>
                <w:sz w:val="18"/>
                <w:szCs w:val="18"/>
              </w:rPr>
            </w:pPr>
            <w:r>
              <w:rPr>
                <w:rFonts w:hint="eastAsia" w:ascii="微软雅黑" w:hAnsi="微软雅黑" w:eastAsia="微软雅黑" w:cs="宋体"/>
                <w:b/>
                <w:bCs/>
                <w:kern w:val="0"/>
                <w:sz w:val="18"/>
                <w:szCs w:val="18"/>
              </w:rPr>
              <w:t>需求数量</w:t>
            </w:r>
          </w:p>
        </w:tc>
      </w:tr>
      <w:tr w14:paraId="38F1B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18" w:hRule="atLeast"/>
        </w:trPr>
        <w:tc>
          <w:tcPr>
            <w:tcW w:w="1076" w:type="dxa"/>
            <w:vMerge w:val="restart"/>
            <w:shd w:val="clear" w:color="auto" w:fill="auto"/>
            <w:noWrap/>
            <w:vAlign w:val="center"/>
          </w:tcPr>
          <w:p w14:paraId="11CBA232">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1</w:t>
            </w:r>
          </w:p>
        </w:tc>
        <w:tc>
          <w:tcPr>
            <w:tcW w:w="919" w:type="dxa"/>
            <w:vMerge w:val="restart"/>
            <w:shd w:val="clear" w:color="auto" w:fill="auto"/>
            <w:vAlign w:val="center"/>
          </w:tcPr>
          <w:p w14:paraId="4C1A0C9D">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云主机</w:t>
            </w:r>
          </w:p>
        </w:tc>
        <w:tc>
          <w:tcPr>
            <w:tcW w:w="3192" w:type="dxa"/>
            <w:shd w:val="clear" w:color="auto" w:fill="auto"/>
            <w:noWrap/>
            <w:vAlign w:val="center"/>
          </w:tcPr>
          <w:p w14:paraId="1E62C292">
            <w:pPr>
              <w:widowControl/>
              <w:spacing w:before="96" w:after="96"/>
              <w:ind w:firstLine="0" w:firstLineChars="0"/>
              <w:jc w:val="left"/>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CPU</w:t>
            </w:r>
          </w:p>
        </w:tc>
        <w:tc>
          <w:tcPr>
            <w:tcW w:w="1386" w:type="dxa"/>
            <w:shd w:val="clear" w:color="auto" w:fill="auto"/>
            <w:noWrap/>
            <w:vAlign w:val="center"/>
          </w:tcPr>
          <w:p w14:paraId="4DCF2538">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核</w:t>
            </w:r>
          </w:p>
        </w:tc>
        <w:tc>
          <w:tcPr>
            <w:tcW w:w="1489" w:type="dxa"/>
            <w:shd w:val="clear" w:color="auto" w:fill="auto"/>
            <w:noWrap/>
            <w:vAlign w:val="center"/>
          </w:tcPr>
          <w:p w14:paraId="1ED3A871">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598</w:t>
            </w:r>
          </w:p>
        </w:tc>
      </w:tr>
      <w:tr w14:paraId="6F5A4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18" w:hRule="atLeast"/>
        </w:trPr>
        <w:tc>
          <w:tcPr>
            <w:tcW w:w="1076" w:type="dxa"/>
            <w:vMerge w:val="continue"/>
            <w:shd w:val="clear" w:color="auto" w:fill="auto"/>
            <w:noWrap/>
            <w:vAlign w:val="center"/>
          </w:tcPr>
          <w:p w14:paraId="2CAE919E">
            <w:pPr>
              <w:widowControl/>
              <w:spacing w:before="96" w:after="96"/>
              <w:ind w:firstLine="0" w:firstLineChars="0"/>
              <w:jc w:val="center"/>
              <w:rPr>
                <w:rFonts w:hint="eastAsia" w:ascii="微软雅黑" w:hAnsi="微软雅黑" w:eastAsia="微软雅黑" w:cs="宋体"/>
                <w:kern w:val="0"/>
                <w:sz w:val="18"/>
                <w:szCs w:val="18"/>
              </w:rPr>
            </w:pPr>
          </w:p>
        </w:tc>
        <w:tc>
          <w:tcPr>
            <w:tcW w:w="919" w:type="dxa"/>
            <w:vMerge w:val="continue"/>
            <w:shd w:val="clear" w:color="auto" w:fill="auto"/>
            <w:vAlign w:val="center"/>
          </w:tcPr>
          <w:p w14:paraId="40152D45">
            <w:pPr>
              <w:widowControl/>
              <w:spacing w:before="96" w:after="96"/>
              <w:ind w:firstLine="0" w:firstLineChars="0"/>
              <w:jc w:val="center"/>
              <w:rPr>
                <w:rFonts w:hint="eastAsia" w:ascii="微软雅黑" w:hAnsi="微软雅黑" w:eastAsia="微软雅黑" w:cs="宋体"/>
                <w:kern w:val="0"/>
                <w:sz w:val="18"/>
                <w:szCs w:val="18"/>
              </w:rPr>
            </w:pPr>
          </w:p>
        </w:tc>
        <w:tc>
          <w:tcPr>
            <w:tcW w:w="3192" w:type="dxa"/>
            <w:shd w:val="clear" w:color="auto" w:fill="auto"/>
            <w:noWrap/>
            <w:vAlign w:val="center"/>
          </w:tcPr>
          <w:p w14:paraId="077685DD">
            <w:pPr>
              <w:widowControl/>
              <w:spacing w:before="96" w:after="96"/>
              <w:ind w:firstLine="0" w:firstLineChars="0"/>
              <w:jc w:val="left"/>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CPU（XC）</w:t>
            </w:r>
          </w:p>
        </w:tc>
        <w:tc>
          <w:tcPr>
            <w:tcW w:w="1386" w:type="dxa"/>
            <w:shd w:val="clear" w:color="auto" w:fill="auto"/>
            <w:noWrap/>
            <w:vAlign w:val="center"/>
          </w:tcPr>
          <w:p w14:paraId="68FA21EF">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核</w:t>
            </w:r>
          </w:p>
        </w:tc>
        <w:tc>
          <w:tcPr>
            <w:tcW w:w="1489" w:type="dxa"/>
            <w:shd w:val="clear" w:color="auto" w:fill="auto"/>
            <w:noWrap/>
            <w:vAlign w:val="center"/>
          </w:tcPr>
          <w:p w14:paraId="5EF4C5EF">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734</w:t>
            </w:r>
          </w:p>
        </w:tc>
      </w:tr>
      <w:tr w14:paraId="31697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4" w:hRule="atLeast"/>
        </w:trPr>
        <w:tc>
          <w:tcPr>
            <w:tcW w:w="1076" w:type="dxa"/>
            <w:vMerge w:val="continue"/>
            <w:shd w:val="clear" w:color="auto" w:fill="auto"/>
            <w:vAlign w:val="center"/>
          </w:tcPr>
          <w:p w14:paraId="74A9CF2D">
            <w:pPr>
              <w:widowControl/>
              <w:spacing w:before="96" w:after="96"/>
              <w:ind w:firstLine="0" w:firstLineChars="0"/>
              <w:jc w:val="center"/>
              <w:rPr>
                <w:rFonts w:hint="eastAsia" w:ascii="微软雅黑" w:hAnsi="微软雅黑" w:eastAsia="微软雅黑" w:cs="宋体"/>
                <w:kern w:val="0"/>
                <w:sz w:val="18"/>
                <w:szCs w:val="18"/>
              </w:rPr>
            </w:pPr>
          </w:p>
        </w:tc>
        <w:tc>
          <w:tcPr>
            <w:tcW w:w="919" w:type="dxa"/>
            <w:vMerge w:val="continue"/>
            <w:shd w:val="clear" w:color="auto" w:fill="auto"/>
            <w:vAlign w:val="center"/>
          </w:tcPr>
          <w:p w14:paraId="317DE3EA">
            <w:pPr>
              <w:widowControl/>
              <w:spacing w:before="96" w:after="96"/>
              <w:ind w:firstLine="0" w:firstLineChars="0"/>
              <w:jc w:val="center"/>
              <w:rPr>
                <w:rFonts w:hint="eastAsia" w:ascii="微软雅黑" w:hAnsi="微软雅黑" w:eastAsia="微软雅黑" w:cs="宋体"/>
                <w:kern w:val="0"/>
                <w:sz w:val="18"/>
                <w:szCs w:val="18"/>
              </w:rPr>
            </w:pPr>
          </w:p>
        </w:tc>
        <w:tc>
          <w:tcPr>
            <w:tcW w:w="3192" w:type="dxa"/>
            <w:shd w:val="clear" w:color="auto" w:fill="auto"/>
            <w:noWrap/>
            <w:vAlign w:val="center"/>
          </w:tcPr>
          <w:p w14:paraId="459D5782">
            <w:pPr>
              <w:widowControl/>
              <w:spacing w:before="96" w:after="96"/>
              <w:ind w:firstLine="0" w:firstLineChars="0"/>
              <w:jc w:val="left"/>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内存</w:t>
            </w:r>
          </w:p>
        </w:tc>
        <w:tc>
          <w:tcPr>
            <w:tcW w:w="1386" w:type="dxa"/>
            <w:shd w:val="clear" w:color="auto" w:fill="auto"/>
            <w:noWrap/>
            <w:vAlign w:val="center"/>
          </w:tcPr>
          <w:p w14:paraId="4032E55A">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G</w:t>
            </w:r>
            <w:r>
              <w:rPr>
                <w:rFonts w:ascii="微软雅黑" w:hAnsi="微软雅黑" w:eastAsia="微软雅黑" w:cs="宋体"/>
                <w:kern w:val="0"/>
                <w:sz w:val="18"/>
                <w:szCs w:val="18"/>
              </w:rPr>
              <w:t>B</w:t>
            </w:r>
          </w:p>
        </w:tc>
        <w:tc>
          <w:tcPr>
            <w:tcW w:w="1489" w:type="dxa"/>
            <w:shd w:val="clear" w:color="auto" w:fill="auto"/>
            <w:noWrap/>
            <w:vAlign w:val="center"/>
          </w:tcPr>
          <w:p w14:paraId="7B958057">
            <w:pPr>
              <w:widowControl/>
              <w:spacing w:before="96" w:after="96"/>
              <w:ind w:firstLine="0" w:firstLineChars="0"/>
              <w:jc w:val="center"/>
              <w:rPr>
                <w:rFonts w:hint="eastAsia" w:ascii="微软雅黑" w:hAnsi="微软雅黑" w:eastAsia="微软雅黑" w:cs="宋体"/>
                <w:kern w:val="0"/>
                <w:sz w:val="18"/>
                <w:szCs w:val="18"/>
              </w:rPr>
            </w:pPr>
            <w:r>
              <w:rPr>
                <w:rFonts w:ascii="微软雅黑" w:hAnsi="微软雅黑" w:eastAsia="微软雅黑" w:cs="宋体"/>
                <w:kern w:val="0"/>
                <w:sz w:val="18"/>
                <w:szCs w:val="18"/>
              </w:rPr>
              <w:t>1</w:t>
            </w:r>
            <w:r>
              <w:rPr>
                <w:rFonts w:hint="eastAsia" w:ascii="微软雅黑" w:hAnsi="微软雅黑" w:eastAsia="微软雅黑" w:cs="宋体"/>
                <w:kern w:val="0"/>
                <w:sz w:val="18"/>
                <w:szCs w:val="18"/>
              </w:rPr>
              <w:t>642</w:t>
            </w:r>
          </w:p>
        </w:tc>
      </w:tr>
      <w:tr w14:paraId="30B9A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4" w:hRule="atLeast"/>
        </w:trPr>
        <w:tc>
          <w:tcPr>
            <w:tcW w:w="1076" w:type="dxa"/>
            <w:vMerge w:val="continue"/>
            <w:shd w:val="clear" w:color="auto" w:fill="auto"/>
            <w:vAlign w:val="center"/>
          </w:tcPr>
          <w:p w14:paraId="351B6716">
            <w:pPr>
              <w:widowControl/>
              <w:spacing w:before="96" w:after="96"/>
              <w:ind w:firstLine="0" w:firstLineChars="0"/>
              <w:jc w:val="center"/>
              <w:rPr>
                <w:rFonts w:hint="eastAsia" w:ascii="微软雅黑" w:hAnsi="微软雅黑" w:eastAsia="微软雅黑" w:cs="宋体"/>
                <w:kern w:val="0"/>
                <w:sz w:val="18"/>
                <w:szCs w:val="18"/>
              </w:rPr>
            </w:pPr>
          </w:p>
        </w:tc>
        <w:tc>
          <w:tcPr>
            <w:tcW w:w="919" w:type="dxa"/>
            <w:vMerge w:val="continue"/>
            <w:shd w:val="clear" w:color="auto" w:fill="auto"/>
            <w:vAlign w:val="center"/>
          </w:tcPr>
          <w:p w14:paraId="774E958C">
            <w:pPr>
              <w:widowControl/>
              <w:spacing w:before="96" w:after="96"/>
              <w:ind w:firstLine="0" w:firstLineChars="0"/>
              <w:jc w:val="center"/>
              <w:rPr>
                <w:rFonts w:hint="eastAsia" w:ascii="微软雅黑" w:hAnsi="微软雅黑" w:eastAsia="微软雅黑" w:cs="宋体"/>
                <w:kern w:val="0"/>
                <w:sz w:val="18"/>
                <w:szCs w:val="18"/>
              </w:rPr>
            </w:pPr>
          </w:p>
        </w:tc>
        <w:tc>
          <w:tcPr>
            <w:tcW w:w="3192" w:type="dxa"/>
            <w:shd w:val="clear" w:color="auto" w:fill="auto"/>
            <w:noWrap/>
            <w:vAlign w:val="center"/>
          </w:tcPr>
          <w:p w14:paraId="1CCC24E8">
            <w:pPr>
              <w:widowControl/>
              <w:spacing w:before="96" w:after="96"/>
              <w:ind w:firstLine="0" w:firstLineChars="0"/>
              <w:jc w:val="left"/>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内存（XC）</w:t>
            </w:r>
          </w:p>
        </w:tc>
        <w:tc>
          <w:tcPr>
            <w:tcW w:w="1386" w:type="dxa"/>
            <w:shd w:val="clear" w:color="auto" w:fill="auto"/>
            <w:noWrap/>
            <w:vAlign w:val="center"/>
          </w:tcPr>
          <w:p w14:paraId="5EB0944C">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G</w:t>
            </w:r>
            <w:r>
              <w:rPr>
                <w:rFonts w:ascii="微软雅黑" w:hAnsi="微软雅黑" w:eastAsia="微软雅黑" w:cs="宋体"/>
                <w:kern w:val="0"/>
                <w:sz w:val="18"/>
                <w:szCs w:val="18"/>
              </w:rPr>
              <w:t>B</w:t>
            </w:r>
          </w:p>
        </w:tc>
        <w:tc>
          <w:tcPr>
            <w:tcW w:w="1489" w:type="dxa"/>
            <w:shd w:val="clear" w:color="auto" w:fill="auto"/>
            <w:noWrap/>
            <w:vAlign w:val="center"/>
          </w:tcPr>
          <w:p w14:paraId="37361468">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3248</w:t>
            </w:r>
          </w:p>
        </w:tc>
      </w:tr>
    </w:tbl>
    <w:p w14:paraId="5DB13D81">
      <w:pPr>
        <w:pStyle w:val="4"/>
        <w:spacing w:line="360" w:lineRule="auto"/>
      </w:pPr>
      <w:r>
        <w:rPr>
          <w:rFonts w:hint="eastAsia"/>
        </w:rPr>
        <w:t>计算资源池总体架构</w:t>
      </w:r>
    </w:p>
    <w:p w14:paraId="73915E25">
      <w:pPr>
        <w:ind w:firstLine="420"/>
      </w:pPr>
      <w:r>
        <w:rPr>
          <w:rFonts w:hint="eastAsia"/>
        </w:rPr>
        <w:t>根据上海化工区电子政务外网云平台的总体架构以及网络架构设计中对功能区的划分原则，将服务器等关键设备按照需要实现的功能划分为两个层面，分别对应业务层和计算平台层。</w:t>
      </w:r>
    </w:p>
    <w:p w14:paraId="2AD59AF1">
      <w:pPr>
        <w:ind w:firstLine="420"/>
      </w:pPr>
      <w:r>
        <w:rPr>
          <w:rFonts w:hint="eastAsia"/>
        </w:rPr>
        <w:t>业务层中，功能区域的划分一般都是根据安全和管理需求进行划分，各个政务部门可能有所不同，总的原则是在满足安全的前提下尽量统一管理。</w:t>
      </w:r>
    </w:p>
    <w:p w14:paraId="5FA5DFCC">
      <w:pPr>
        <w:ind w:firstLine="420"/>
      </w:pPr>
      <w:r>
        <w:rPr>
          <w:rFonts w:hint="eastAsia"/>
        </w:rPr>
        <w:t>本期项目投标人建设的计算资源区应提供虚拟化资源池和物理服务器资源池。虚拟化资源池用于部署大部分的政务业务系统，物理资源池用于部署数据库等高负载系统。管理、安全区需规划管理资源池用于部署云管理系统。</w:t>
      </w:r>
    </w:p>
    <w:p w14:paraId="7987838D">
      <w:pPr>
        <w:pStyle w:val="4"/>
        <w:spacing w:line="360" w:lineRule="auto"/>
      </w:pPr>
      <w:r>
        <w:rPr>
          <w:rFonts w:hint="eastAsia"/>
        </w:rPr>
        <w:t>虚拟计算资源池设计要求</w:t>
      </w:r>
    </w:p>
    <w:p w14:paraId="5ECEAE62">
      <w:pPr>
        <w:ind w:firstLine="420"/>
      </w:pPr>
      <w:r>
        <w:t>对于不同业务的服务器需求，首先需要判断该业务服务器是否能够采用虚拟化方案，不能虚拟化的则</w:t>
      </w:r>
      <w:r>
        <w:rPr>
          <w:rFonts w:hint="eastAsia"/>
        </w:rPr>
        <w:t>应</w:t>
      </w:r>
      <w:r>
        <w:t>采用满足实际需求的服务器进行配置，能虚拟化部署的业务则</w:t>
      </w:r>
      <w:r>
        <w:rPr>
          <w:rFonts w:hint="eastAsia"/>
        </w:rPr>
        <w:t>应</w:t>
      </w:r>
      <w:r>
        <w:t>统一采用虚拟化方式部署。</w:t>
      </w:r>
    </w:p>
    <w:p w14:paraId="3A04D0AD">
      <w:pPr>
        <w:ind w:firstLine="422"/>
        <w:rPr>
          <w:b/>
          <w:bCs/>
        </w:rPr>
      </w:pPr>
      <w:r>
        <w:rPr>
          <w:rFonts w:hint="eastAsia"/>
          <w:b/>
          <w:bCs/>
        </w:rPr>
        <w:t>虚拟化集群配置​​</w:t>
      </w:r>
    </w:p>
    <w:p w14:paraId="65C645FA">
      <w:pPr>
        <w:ind w:firstLine="420"/>
      </w:pPr>
      <w:r>
        <w:rPr>
          <w:rFonts w:hint="eastAsia"/>
        </w:rPr>
        <w:t>X86集群单节点配置2颗32核/64线程处理器（）、1TB DDR4内存及2块3.84TB NVMe SSD；信创集群单节点配置2颗国产化32核处理器（32核）、512GB DDR4内存及2块1.92TB SATA SSD。虚拟化资源分配遵循CPU超分比≤3:1、内存超分比≤1.5:1，存储性能需保障随机读写IOPS不低于5000。</w:t>
      </w:r>
    </w:p>
    <w:p w14:paraId="02776C74">
      <w:pPr>
        <w:ind w:firstLine="422"/>
        <w:rPr>
          <w:b/>
          <w:bCs/>
        </w:rPr>
      </w:pPr>
      <w:r>
        <w:rPr>
          <w:rFonts w:hint="eastAsia"/>
          <w:b/>
          <w:bCs/>
        </w:rPr>
        <w:t>物理资源池​​</w:t>
      </w:r>
    </w:p>
    <w:p w14:paraId="3A884F72">
      <w:pPr>
        <w:ind w:firstLine="420"/>
      </w:pPr>
      <w:r>
        <w:rPr>
          <w:rFonts w:hint="eastAsia"/>
        </w:rPr>
        <w:t>数据库服务器采用4路64核/128线程处理器（）、2TB内存，配置HBA卡及RDMA高速网卡；GPU服务器配置8块A100 80GB GPU（NVLink全互联架构），支持InfiniBand网络接入；存储节点采用36盘位全闪存架构，支持NVMe-oF协议，数据访问时延≤200μs。</w:t>
      </w:r>
    </w:p>
    <w:p w14:paraId="1A5C8FD3">
      <w:pPr>
        <w:pStyle w:val="4"/>
        <w:spacing w:line="360" w:lineRule="auto"/>
      </w:pPr>
      <w:r>
        <w:rPr>
          <w:rFonts w:hint="eastAsia"/>
        </w:rPr>
        <w:t>物理计算资源池设计要求</w:t>
      </w:r>
    </w:p>
    <w:p w14:paraId="6C06601A">
      <w:pPr>
        <w:ind w:firstLine="420"/>
      </w:pPr>
      <w:r>
        <w:rPr>
          <w:rFonts w:hint="eastAsia"/>
        </w:rPr>
        <w:t>下列条件下，应直接使用物理机来满足业务对计算资源的需要：</w:t>
      </w:r>
    </w:p>
    <w:p w14:paraId="4BA1A61A">
      <w:pPr>
        <w:numPr>
          <w:ilvl w:val="0"/>
          <w:numId w:val="2"/>
        </w:numPr>
        <w:tabs>
          <w:tab w:val="left" w:pos="0"/>
          <w:tab w:val="clear" w:pos="720"/>
        </w:tabs>
        <w:ind w:left="0" w:firstLine="420"/>
      </w:pPr>
      <w:r>
        <w:rPr>
          <w:rFonts w:hint="eastAsia"/>
        </w:rPr>
        <w:t>对服务器运算性能要求特别高，在单个物理服务器上配置最大计算能力的虚拟机依然不能满足业务应用的计算能力要求；</w:t>
      </w:r>
      <w:r>
        <w:t xml:space="preserve"> </w:t>
      </w:r>
    </w:p>
    <w:p w14:paraId="136E1993">
      <w:pPr>
        <w:numPr>
          <w:ilvl w:val="0"/>
          <w:numId w:val="2"/>
        </w:numPr>
        <w:tabs>
          <w:tab w:val="left" w:pos="0"/>
          <w:tab w:val="clear" w:pos="720"/>
        </w:tabs>
        <w:ind w:left="0" w:firstLine="420"/>
      </w:pPr>
      <w:r>
        <w:rPr>
          <w:rFonts w:hint="eastAsia"/>
        </w:rPr>
        <w:t>现有软件许可加密方式不支持虚拟化的场景；</w:t>
      </w:r>
    </w:p>
    <w:p w14:paraId="01D7E5FC">
      <w:pPr>
        <w:numPr>
          <w:ilvl w:val="0"/>
          <w:numId w:val="2"/>
        </w:numPr>
        <w:tabs>
          <w:tab w:val="left" w:pos="0"/>
          <w:tab w:val="clear" w:pos="720"/>
        </w:tabs>
        <w:ind w:left="0" w:firstLine="420"/>
      </w:pPr>
      <w:r>
        <w:rPr>
          <w:rFonts w:hint="eastAsia"/>
        </w:rPr>
        <w:t>业务应用对服务器有特别板卡要求且板卡不支持在虚拟化环境中运行。</w:t>
      </w:r>
    </w:p>
    <w:p w14:paraId="529EB642">
      <w:pPr>
        <w:ind w:firstLine="420"/>
      </w:pPr>
      <w:r>
        <w:rPr>
          <w:rFonts w:hint="eastAsia"/>
        </w:rPr>
        <w:t>对应用虚拟化的适应性也可以采用当前主流的应用分层（</w:t>
      </w:r>
      <w:r>
        <w:t>Web</w:t>
      </w:r>
      <w:r>
        <w:rPr>
          <w:rFonts w:hint="eastAsia"/>
        </w:rPr>
        <w:t>服务器、</w:t>
      </w:r>
      <w:r>
        <w:t>App</w:t>
      </w:r>
      <w:r>
        <w:rPr>
          <w:rFonts w:hint="eastAsia"/>
        </w:rPr>
        <w:t>服务器、</w:t>
      </w:r>
      <w:r>
        <w:t>DB</w:t>
      </w:r>
      <w:r>
        <w:rPr>
          <w:rFonts w:hint="eastAsia"/>
        </w:rPr>
        <w:t>服务器）来进行考虑，通常情况下虚拟化比较适合</w:t>
      </w:r>
      <w:r>
        <w:t>Web</w:t>
      </w:r>
      <w:r>
        <w:rPr>
          <w:rFonts w:hint="eastAsia"/>
        </w:rPr>
        <w:t>服务器和</w:t>
      </w:r>
      <w:r>
        <w:t>App</w:t>
      </w:r>
      <w:r>
        <w:rPr>
          <w:rFonts w:hint="eastAsia"/>
        </w:rPr>
        <w:t>服务器。</w:t>
      </w:r>
      <w:r>
        <w:t>DB</w:t>
      </w:r>
      <w:r>
        <w:rPr>
          <w:rFonts w:hint="eastAsia"/>
        </w:rPr>
        <w:t>服务器需要根据业务应用对存储</w:t>
      </w:r>
      <w:r>
        <w:t>I/O</w:t>
      </w:r>
      <w:r>
        <w:rPr>
          <w:rFonts w:hint="eastAsia"/>
        </w:rPr>
        <w:t>的需求来评估，如果业务应用的</w:t>
      </w:r>
      <w:r>
        <w:t>DB</w:t>
      </w:r>
      <w:r>
        <w:rPr>
          <w:rFonts w:hint="eastAsia"/>
        </w:rPr>
        <w:t>服务器</w:t>
      </w:r>
      <w:r>
        <w:t>I/O</w:t>
      </w:r>
      <w:r>
        <w:rPr>
          <w:rFonts w:hint="eastAsia"/>
        </w:rPr>
        <w:t>要求大或</w:t>
      </w:r>
      <w:r>
        <w:t>DB</w:t>
      </w:r>
      <w:r>
        <w:rPr>
          <w:rFonts w:hint="eastAsia"/>
        </w:rPr>
        <w:t>服务器有</w:t>
      </w:r>
      <w:r>
        <w:t>HA</w:t>
      </w:r>
      <w:r>
        <w:rPr>
          <w:rFonts w:hint="eastAsia"/>
        </w:rPr>
        <w:t>或集群需要，则建议将该种业务应用的</w:t>
      </w:r>
      <w:r>
        <w:t>DB</w:t>
      </w:r>
      <w:r>
        <w:rPr>
          <w:rFonts w:hint="eastAsia"/>
        </w:rPr>
        <w:t>服务器部署在物理服务器上。</w:t>
      </w:r>
    </w:p>
    <w:p w14:paraId="2DC2E749">
      <w:pPr>
        <w:pStyle w:val="4"/>
        <w:spacing w:line="360" w:lineRule="auto"/>
      </w:pPr>
      <w:r>
        <w:rPr>
          <w:rFonts w:hint="eastAsia"/>
        </w:rPr>
        <w:t>集群规划设计要求</w:t>
      </w:r>
    </w:p>
    <w:p w14:paraId="292F95D1">
      <w:pPr>
        <w:ind w:firstLine="420"/>
      </w:pPr>
      <w:r>
        <w:t>本</w:t>
      </w:r>
      <w:r>
        <w:rPr>
          <w:rFonts w:hint="eastAsia"/>
        </w:rPr>
        <w:t>期</w:t>
      </w:r>
      <w:r>
        <w:t>项目</w:t>
      </w:r>
      <w:r>
        <w:rPr>
          <w:rFonts w:hint="eastAsia"/>
        </w:rPr>
        <w:t>投标人提供</w:t>
      </w:r>
      <w:r>
        <w:t>的虚拟化</w:t>
      </w:r>
      <w:r>
        <w:rPr>
          <w:rFonts w:hint="eastAsia"/>
        </w:rPr>
        <w:t>应</w:t>
      </w:r>
      <w:r>
        <w:t>基于虚拟化软件</w:t>
      </w:r>
      <w:r>
        <w:rPr>
          <w:rFonts w:hint="eastAsia"/>
        </w:rPr>
        <w:t>，</w:t>
      </w:r>
      <w:r>
        <w:t>具备基础的虚拟化功能，提供服务器、存储、网络的虚拟化功能，并向上对OpenStack提供接口。一个物理集群中可以把多台服务器划分成一个资源集群，支持虚拟机热迁移和HA功能，一个计算资源池</w:t>
      </w:r>
      <w:r>
        <w:rPr>
          <w:rFonts w:hint="eastAsia"/>
        </w:rPr>
        <w:t>应使用</w:t>
      </w:r>
      <w:r>
        <w:t>相同的调度策略。计算资源池不包括网络资源与存储资源。一个物理集群中可以包含多个资源集群。</w:t>
      </w:r>
    </w:p>
    <w:p w14:paraId="2193328B">
      <w:pPr>
        <w:ind w:firstLine="420"/>
      </w:pPr>
      <w:r>
        <w:rPr>
          <w:rFonts w:hint="eastAsia"/>
        </w:rPr>
        <w:t>分区</w:t>
      </w:r>
      <w:r>
        <w:t>下的虚拟化服务器配置为若干个虚拟化集群，可实现集群内的资源高可用。而</w:t>
      </w:r>
      <w:r>
        <w:rPr>
          <w:rFonts w:hint="eastAsia"/>
        </w:rPr>
        <w:t>分区</w:t>
      </w:r>
      <w:r>
        <w:t>的物理机资源将配置在一个大的逻辑服务器集群内。</w:t>
      </w:r>
      <w:r>
        <w:rPr>
          <w:rFonts w:hint="eastAsia"/>
        </w:rPr>
        <w:t>由于本期虚拟化服务器配置与一期新建项目服务器配置不同，投标人应增加分区进行管理。</w:t>
      </w:r>
    </w:p>
    <w:p w14:paraId="2706BA24">
      <w:pPr>
        <w:ind w:firstLine="420"/>
      </w:pPr>
      <w:r>
        <w:rPr>
          <w:rFonts w:hint="eastAsia"/>
        </w:rPr>
        <w:t>通过在服务器上部署虚拟化软件将硬件资源虚拟化，从而使一台物理服务器可以承担多台服务器的工作。通过IT系统基础设施逐步云化部署，基于云平台虚拟化技术实现计算资源的虚拟化、资源共享、灵活分配，实现业务服务器的整合和调配，集中化以及基于策略的管理，以适应快速发展的业务需求，降低IT总持有成本，聚焦核心业务发展。</w:t>
      </w:r>
    </w:p>
    <w:p w14:paraId="481FC108">
      <w:pPr>
        <w:pStyle w:val="3"/>
      </w:pPr>
      <w:bookmarkStart w:id="6" w:name="_Toc49210277"/>
      <w:bookmarkStart w:id="7" w:name="_Toc42244452"/>
      <w:r>
        <w:rPr>
          <w:rFonts w:hint="eastAsia"/>
        </w:rPr>
        <w:t>存储资源池</w:t>
      </w:r>
      <w:r>
        <w:t>设计</w:t>
      </w:r>
      <w:bookmarkEnd w:id="6"/>
      <w:bookmarkEnd w:id="7"/>
      <w:r>
        <w:rPr>
          <w:rFonts w:hint="eastAsia"/>
        </w:rPr>
        <w:t>要求</w:t>
      </w:r>
    </w:p>
    <w:tbl>
      <w:tblPr>
        <w:tblStyle w:val="1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100"/>
        <w:gridCol w:w="1178"/>
        <w:gridCol w:w="3076"/>
        <w:gridCol w:w="1418"/>
        <w:gridCol w:w="1524"/>
      </w:tblGrid>
      <w:tr w14:paraId="71953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9" w:hRule="atLeast"/>
        </w:trPr>
        <w:tc>
          <w:tcPr>
            <w:tcW w:w="1100" w:type="dxa"/>
            <w:shd w:val="clear" w:color="auto" w:fill="auto"/>
            <w:noWrap/>
            <w:vAlign w:val="center"/>
          </w:tcPr>
          <w:p w14:paraId="053D3477">
            <w:pPr>
              <w:widowControl/>
              <w:spacing w:before="96" w:after="96"/>
              <w:ind w:firstLine="0" w:firstLineChars="0"/>
              <w:jc w:val="center"/>
              <w:rPr>
                <w:rFonts w:hint="eastAsia" w:ascii="微软雅黑" w:hAnsi="微软雅黑" w:eastAsia="微软雅黑" w:cs="宋体"/>
                <w:b/>
                <w:bCs/>
                <w:kern w:val="0"/>
                <w:sz w:val="18"/>
                <w:szCs w:val="18"/>
              </w:rPr>
            </w:pPr>
            <w:r>
              <w:rPr>
                <w:rFonts w:hint="eastAsia" w:ascii="微软雅黑" w:hAnsi="微软雅黑" w:eastAsia="微软雅黑" w:cs="宋体"/>
                <w:b/>
                <w:bCs/>
                <w:kern w:val="0"/>
                <w:sz w:val="18"/>
                <w:szCs w:val="18"/>
              </w:rPr>
              <w:t>序号</w:t>
            </w:r>
          </w:p>
        </w:tc>
        <w:tc>
          <w:tcPr>
            <w:tcW w:w="1178" w:type="dxa"/>
            <w:shd w:val="clear" w:color="auto" w:fill="auto"/>
            <w:vAlign w:val="center"/>
          </w:tcPr>
          <w:p w14:paraId="18126391">
            <w:pPr>
              <w:widowControl/>
              <w:spacing w:before="96" w:after="96"/>
              <w:ind w:firstLine="0" w:firstLineChars="0"/>
              <w:jc w:val="center"/>
              <w:rPr>
                <w:rFonts w:hint="eastAsia" w:ascii="微软雅黑" w:hAnsi="微软雅黑" w:eastAsia="微软雅黑" w:cs="宋体"/>
                <w:b/>
                <w:bCs/>
                <w:kern w:val="0"/>
                <w:sz w:val="18"/>
                <w:szCs w:val="18"/>
              </w:rPr>
            </w:pPr>
            <w:r>
              <w:rPr>
                <w:rFonts w:hint="eastAsia" w:ascii="微软雅黑" w:hAnsi="微软雅黑" w:eastAsia="微软雅黑" w:cs="宋体"/>
                <w:b/>
                <w:bCs/>
                <w:kern w:val="0"/>
                <w:sz w:val="18"/>
                <w:szCs w:val="18"/>
              </w:rPr>
              <w:t>项目名称</w:t>
            </w:r>
          </w:p>
        </w:tc>
        <w:tc>
          <w:tcPr>
            <w:tcW w:w="3076" w:type="dxa"/>
            <w:shd w:val="clear" w:color="auto" w:fill="auto"/>
            <w:noWrap/>
            <w:vAlign w:val="center"/>
          </w:tcPr>
          <w:p w14:paraId="14827D35">
            <w:pPr>
              <w:widowControl/>
              <w:spacing w:before="96" w:after="96"/>
              <w:ind w:firstLine="0" w:firstLineChars="0"/>
              <w:jc w:val="center"/>
              <w:rPr>
                <w:rFonts w:hint="eastAsia" w:ascii="微软雅黑" w:hAnsi="微软雅黑" w:eastAsia="微软雅黑" w:cs="宋体"/>
                <w:b/>
                <w:bCs/>
                <w:kern w:val="0"/>
                <w:sz w:val="18"/>
                <w:szCs w:val="18"/>
              </w:rPr>
            </w:pPr>
            <w:r>
              <w:rPr>
                <w:rFonts w:hint="eastAsia" w:ascii="微软雅黑" w:hAnsi="微软雅黑" w:eastAsia="微软雅黑" w:cs="宋体"/>
                <w:b/>
                <w:bCs/>
                <w:kern w:val="0"/>
                <w:sz w:val="18"/>
                <w:szCs w:val="18"/>
              </w:rPr>
              <w:t>参数指标</w:t>
            </w:r>
          </w:p>
        </w:tc>
        <w:tc>
          <w:tcPr>
            <w:tcW w:w="1418" w:type="dxa"/>
            <w:shd w:val="clear" w:color="auto" w:fill="auto"/>
            <w:noWrap/>
            <w:vAlign w:val="center"/>
          </w:tcPr>
          <w:p w14:paraId="6D0A1153">
            <w:pPr>
              <w:widowControl/>
              <w:spacing w:before="96" w:after="96"/>
              <w:ind w:firstLine="0" w:firstLineChars="0"/>
              <w:jc w:val="center"/>
              <w:rPr>
                <w:rFonts w:hint="eastAsia" w:ascii="微软雅黑" w:hAnsi="微软雅黑" w:eastAsia="微软雅黑" w:cs="宋体"/>
                <w:b/>
                <w:bCs/>
                <w:kern w:val="0"/>
                <w:sz w:val="18"/>
                <w:szCs w:val="18"/>
              </w:rPr>
            </w:pPr>
            <w:r>
              <w:rPr>
                <w:rFonts w:hint="eastAsia" w:ascii="微软雅黑" w:hAnsi="微软雅黑" w:eastAsia="微软雅黑" w:cs="宋体"/>
                <w:b/>
                <w:bCs/>
                <w:kern w:val="0"/>
                <w:sz w:val="18"/>
                <w:szCs w:val="18"/>
              </w:rPr>
              <w:t>单位</w:t>
            </w:r>
          </w:p>
        </w:tc>
        <w:tc>
          <w:tcPr>
            <w:tcW w:w="1524" w:type="dxa"/>
            <w:shd w:val="clear" w:color="auto" w:fill="auto"/>
            <w:noWrap/>
            <w:vAlign w:val="center"/>
          </w:tcPr>
          <w:p w14:paraId="36478A66">
            <w:pPr>
              <w:widowControl/>
              <w:spacing w:before="96" w:after="96"/>
              <w:ind w:firstLine="0" w:firstLineChars="0"/>
              <w:jc w:val="center"/>
              <w:rPr>
                <w:rFonts w:hint="eastAsia" w:ascii="微软雅黑" w:hAnsi="微软雅黑" w:eastAsia="微软雅黑" w:cs="宋体"/>
                <w:b/>
                <w:bCs/>
                <w:kern w:val="0"/>
                <w:sz w:val="18"/>
                <w:szCs w:val="18"/>
              </w:rPr>
            </w:pPr>
            <w:r>
              <w:rPr>
                <w:rFonts w:hint="eastAsia" w:ascii="微软雅黑" w:hAnsi="微软雅黑" w:eastAsia="微软雅黑" w:cs="宋体"/>
                <w:b/>
                <w:bCs/>
                <w:kern w:val="0"/>
                <w:sz w:val="18"/>
                <w:szCs w:val="18"/>
              </w:rPr>
              <w:t>需求数量</w:t>
            </w:r>
          </w:p>
        </w:tc>
      </w:tr>
      <w:tr w14:paraId="7CCC7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4" w:hRule="atLeast"/>
        </w:trPr>
        <w:tc>
          <w:tcPr>
            <w:tcW w:w="1100" w:type="dxa"/>
            <w:vMerge w:val="restart"/>
            <w:shd w:val="clear" w:color="auto" w:fill="auto"/>
            <w:noWrap/>
            <w:vAlign w:val="center"/>
          </w:tcPr>
          <w:p w14:paraId="058F61BB">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1</w:t>
            </w:r>
          </w:p>
        </w:tc>
        <w:tc>
          <w:tcPr>
            <w:tcW w:w="1178" w:type="dxa"/>
            <w:vMerge w:val="restart"/>
            <w:shd w:val="clear" w:color="auto" w:fill="auto"/>
            <w:vAlign w:val="center"/>
          </w:tcPr>
          <w:p w14:paraId="68A4F702">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云存储</w:t>
            </w:r>
          </w:p>
        </w:tc>
        <w:tc>
          <w:tcPr>
            <w:tcW w:w="3076" w:type="dxa"/>
            <w:shd w:val="clear" w:color="auto" w:fill="auto"/>
            <w:noWrap/>
            <w:vAlign w:val="center"/>
          </w:tcPr>
          <w:p w14:paraId="1BA4EAC9">
            <w:pPr>
              <w:widowControl/>
              <w:spacing w:before="96" w:after="96"/>
              <w:ind w:firstLine="0" w:firstLineChars="0"/>
              <w:jc w:val="left"/>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应用存储空间</w:t>
            </w:r>
          </w:p>
        </w:tc>
        <w:tc>
          <w:tcPr>
            <w:tcW w:w="1418" w:type="dxa"/>
            <w:shd w:val="clear" w:color="auto" w:fill="auto"/>
            <w:noWrap/>
            <w:vAlign w:val="center"/>
          </w:tcPr>
          <w:p w14:paraId="20CFD971">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TB</w:t>
            </w:r>
          </w:p>
        </w:tc>
        <w:tc>
          <w:tcPr>
            <w:tcW w:w="1524" w:type="dxa"/>
            <w:shd w:val="clear" w:color="auto" w:fill="auto"/>
            <w:noWrap/>
            <w:vAlign w:val="center"/>
          </w:tcPr>
          <w:p w14:paraId="60D59545">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129.3</w:t>
            </w:r>
          </w:p>
        </w:tc>
      </w:tr>
      <w:tr w14:paraId="5EF35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4" w:hRule="atLeast"/>
        </w:trPr>
        <w:tc>
          <w:tcPr>
            <w:tcW w:w="1100" w:type="dxa"/>
            <w:vMerge w:val="continue"/>
            <w:shd w:val="clear" w:color="auto" w:fill="auto"/>
            <w:vAlign w:val="center"/>
          </w:tcPr>
          <w:p w14:paraId="4A994776">
            <w:pPr>
              <w:widowControl/>
              <w:spacing w:before="96" w:after="96"/>
              <w:ind w:firstLine="0" w:firstLineChars="0"/>
              <w:jc w:val="center"/>
              <w:rPr>
                <w:rFonts w:hint="eastAsia" w:ascii="微软雅黑" w:hAnsi="微软雅黑" w:eastAsia="微软雅黑" w:cs="宋体"/>
                <w:kern w:val="0"/>
                <w:sz w:val="18"/>
                <w:szCs w:val="18"/>
              </w:rPr>
            </w:pPr>
          </w:p>
        </w:tc>
        <w:tc>
          <w:tcPr>
            <w:tcW w:w="1178" w:type="dxa"/>
            <w:vMerge w:val="continue"/>
            <w:shd w:val="clear" w:color="auto" w:fill="auto"/>
            <w:vAlign w:val="center"/>
          </w:tcPr>
          <w:p w14:paraId="755769E2">
            <w:pPr>
              <w:widowControl/>
              <w:spacing w:before="96" w:after="96"/>
              <w:ind w:firstLine="0" w:firstLineChars="0"/>
              <w:jc w:val="center"/>
              <w:rPr>
                <w:rFonts w:hint="eastAsia" w:ascii="微软雅黑" w:hAnsi="微软雅黑" w:eastAsia="微软雅黑" w:cs="宋体"/>
                <w:kern w:val="0"/>
                <w:sz w:val="18"/>
                <w:szCs w:val="18"/>
              </w:rPr>
            </w:pPr>
          </w:p>
        </w:tc>
        <w:tc>
          <w:tcPr>
            <w:tcW w:w="3076" w:type="dxa"/>
            <w:shd w:val="clear" w:color="auto" w:fill="auto"/>
            <w:noWrap/>
            <w:vAlign w:val="center"/>
          </w:tcPr>
          <w:p w14:paraId="3585F225">
            <w:pPr>
              <w:widowControl/>
              <w:spacing w:before="96" w:after="96"/>
              <w:ind w:firstLine="0" w:firstLineChars="0"/>
              <w:jc w:val="left"/>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数据备份服务</w:t>
            </w:r>
          </w:p>
        </w:tc>
        <w:tc>
          <w:tcPr>
            <w:tcW w:w="1418" w:type="dxa"/>
            <w:shd w:val="clear" w:color="auto" w:fill="auto"/>
            <w:noWrap/>
            <w:vAlign w:val="center"/>
          </w:tcPr>
          <w:p w14:paraId="6EA756C5">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TB</w:t>
            </w:r>
          </w:p>
        </w:tc>
        <w:tc>
          <w:tcPr>
            <w:tcW w:w="1524" w:type="dxa"/>
            <w:shd w:val="clear" w:color="auto" w:fill="auto"/>
            <w:noWrap/>
            <w:vAlign w:val="center"/>
          </w:tcPr>
          <w:p w14:paraId="24B8C1E6">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129.3</w:t>
            </w:r>
          </w:p>
        </w:tc>
      </w:tr>
    </w:tbl>
    <w:p w14:paraId="378F1C06">
      <w:pPr>
        <w:ind w:firstLine="420"/>
      </w:pPr>
      <w:r>
        <w:rPr>
          <w:rFonts w:hint="eastAsia"/>
        </w:rPr>
        <w:t>本次项目投标人应提供的存储资源包括：应用存储空间129.3TB（可用空间）、数据备份服务129.3TB。投标方需承诺按招标方的RAID配置实际使用要求进行部署。</w:t>
      </w:r>
    </w:p>
    <w:p w14:paraId="0832F52A">
      <w:pPr>
        <w:pStyle w:val="4"/>
        <w:spacing w:line="360" w:lineRule="auto"/>
      </w:pPr>
      <w:r>
        <w:rPr>
          <w:rFonts w:hint="eastAsia"/>
        </w:rPr>
        <w:t>存储资源池设计总体架构</w:t>
      </w:r>
    </w:p>
    <w:p w14:paraId="25F3FDB6">
      <w:pPr>
        <w:ind w:firstLine="420"/>
      </w:pPr>
      <w:r>
        <w:rPr>
          <w:rFonts w:hint="eastAsia"/>
        </w:rPr>
        <w:t>本期项目投标人为采购方部署的存储资源池应当提供</w:t>
      </w:r>
      <w:r>
        <w:t>SAN</w:t>
      </w:r>
      <w:r>
        <w:rPr>
          <w:rFonts w:hint="eastAsia"/>
        </w:rPr>
        <w:t>（并支持FC SAN及IP SAN传输方式）、NAS等存储方式，并具备存储虚拟化功能。</w:t>
      </w:r>
    </w:p>
    <w:p w14:paraId="1C590477">
      <w:pPr>
        <w:pStyle w:val="4"/>
        <w:spacing w:line="360" w:lineRule="auto"/>
      </w:pPr>
      <w:r>
        <w:rPr>
          <w:rFonts w:hint="eastAsia"/>
        </w:rPr>
        <w:t>存储资源池设计要求</w:t>
      </w:r>
    </w:p>
    <w:p w14:paraId="1E0CF870">
      <w:pPr>
        <w:ind w:firstLine="420"/>
      </w:pPr>
      <w:r>
        <w:rPr>
          <w:rFonts w:hint="eastAsia"/>
        </w:rPr>
        <w:t>上海化学工业区存储资源池使用一套FC/IP</w:t>
      </w:r>
      <w:r>
        <w:t>-SAN</w:t>
      </w:r>
      <w:r>
        <w:rPr>
          <w:rFonts w:hint="eastAsia"/>
        </w:rPr>
        <w:t>高端集中存储支撑化工区云计算中心，</w:t>
      </w:r>
      <w:r>
        <w:t>配置</w:t>
      </w:r>
      <w:r>
        <w:rPr>
          <w:rFonts w:hint="eastAsia"/>
        </w:rPr>
        <w:t>2台F</w:t>
      </w:r>
      <w:r>
        <w:t>C-SAN</w:t>
      </w:r>
      <w:r>
        <w:rPr>
          <w:rFonts w:hint="eastAsia"/>
        </w:rPr>
        <w:t>和2台</w:t>
      </w:r>
      <w:r>
        <w:t>IP-SAN交换机</w:t>
      </w:r>
      <w:r>
        <w:rPr>
          <w:rFonts w:hint="eastAsia"/>
        </w:rPr>
        <w:t>，</w:t>
      </w:r>
      <w:r>
        <w:t>存储设备</w:t>
      </w:r>
      <w:r>
        <w:rPr>
          <w:rFonts w:hint="eastAsia"/>
        </w:rPr>
        <w:t>选型为融合存储，同时支持SAN、NAS存储，SAN存储支持FC-SAN、IP-SAN组网；存储网络选型为FC-SAN、IP-SAN、NAS，分别用于高性能计算节点、虚拟化资源池存储、非结构化数据存储。</w:t>
      </w:r>
    </w:p>
    <w:p w14:paraId="72A3A4CB">
      <w:pPr>
        <w:ind w:firstLine="420"/>
      </w:pPr>
      <w:r>
        <w:rPr>
          <w:rFonts w:hint="eastAsia"/>
        </w:rPr>
        <w:t>本次项目投标人应提供的计算资源包括：应用存储空间129.3TB（可用空间）、数据备份服务129.3TB。投标方需承诺按招标方的RAID配置实际使用要求进行部署。</w:t>
      </w:r>
    </w:p>
    <w:p w14:paraId="0AF60439">
      <w:pPr>
        <w:pStyle w:val="4"/>
        <w:spacing w:line="360" w:lineRule="auto"/>
      </w:pPr>
      <w:r>
        <w:rPr>
          <w:rFonts w:hint="eastAsia"/>
        </w:rPr>
        <w:t>RAID配置要求</w:t>
      </w:r>
    </w:p>
    <w:p w14:paraId="1B0CB795">
      <w:pPr>
        <w:ind w:firstLine="420"/>
      </w:pPr>
      <w:r>
        <w:rPr>
          <w:rFonts w:hint="eastAsia"/>
        </w:rPr>
        <w:t>关于RAID的配置，投标人应当依照以下要求：</w:t>
      </w:r>
    </w:p>
    <w:p w14:paraId="51EB7D6F">
      <w:pPr>
        <w:numPr>
          <w:ilvl w:val="0"/>
          <w:numId w:val="3"/>
        </w:numPr>
        <w:tabs>
          <w:tab w:val="left" w:pos="0"/>
          <w:tab w:val="left" w:pos="720"/>
        </w:tabs>
        <w:ind w:left="0" w:firstLine="420"/>
      </w:pPr>
      <w:r>
        <w:rPr>
          <w:rFonts w:hint="eastAsia"/>
        </w:rPr>
        <w:t>针对典型业务应用，综合考虑性价比，应使用RAID5；</w:t>
      </w:r>
    </w:p>
    <w:p w14:paraId="5237EEE7">
      <w:pPr>
        <w:numPr>
          <w:ilvl w:val="0"/>
          <w:numId w:val="3"/>
        </w:numPr>
        <w:tabs>
          <w:tab w:val="left" w:pos="0"/>
          <w:tab w:val="left" w:pos="720"/>
        </w:tabs>
        <w:ind w:left="0" w:firstLine="420"/>
      </w:pPr>
      <w:r>
        <w:rPr>
          <w:rFonts w:hint="eastAsia"/>
        </w:rPr>
        <w:t>针对数据库等大量存储I/O应用，应使用RAID10；</w:t>
      </w:r>
    </w:p>
    <w:p w14:paraId="46D4FD1E">
      <w:pPr>
        <w:numPr>
          <w:ilvl w:val="0"/>
          <w:numId w:val="3"/>
        </w:numPr>
        <w:tabs>
          <w:tab w:val="left" w:pos="0"/>
          <w:tab w:val="left" w:pos="720"/>
        </w:tabs>
        <w:ind w:left="0" w:firstLine="420"/>
      </w:pPr>
      <w:r>
        <w:rPr>
          <w:rFonts w:hint="eastAsia"/>
        </w:rPr>
        <w:t>如果磁盘类型选择SATA/NL-SAS硬盘，由于硬盘容量大，考虑到数据可靠性，应使用RAID6。</w:t>
      </w:r>
    </w:p>
    <w:p w14:paraId="73FF42A2">
      <w:pPr>
        <w:ind w:left="220" w:firstLineChars="0"/>
      </w:pPr>
      <w:r>
        <w:rPr>
          <w:rFonts w:hint="eastAsia"/>
        </w:rPr>
        <w:t>按照以上原则，可以根据不同性能类型的硬盘，创建具有多层Raid策略的融合存储池。同时可以根据不同业务的实际I</w:t>
      </w:r>
      <w:r>
        <w:t>/O</w:t>
      </w:r>
      <w:r>
        <w:rPr>
          <w:rFonts w:hint="eastAsia"/>
        </w:rPr>
        <w:t>使用情况，进行动态磁盘的性能调整。使整体存储池能够兼具高效性、灵活性、先进性。</w:t>
      </w:r>
    </w:p>
    <w:p w14:paraId="22AC3FC8">
      <w:pPr>
        <w:pStyle w:val="3"/>
      </w:pPr>
      <w:bookmarkStart w:id="8" w:name="_Toc42244453"/>
      <w:bookmarkStart w:id="9" w:name="_Toc49210278"/>
      <w:r>
        <w:rPr>
          <w:rFonts w:hint="eastAsia"/>
        </w:rPr>
        <w:t>云网络资源池</w:t>
      </w:r>
      <w:r>
        <w:t>设计</w:t>
      </w:r>
      <w:bookmarkEnd w:id="8"/>
      <w:bookmarkEnd w:id="9"/>
    </w:p>
    <w:p w14:paraId="4517AA1B">
      <w:pPr>
        <w:pStyle w:val="4"/>
        <w:spacing w:line="360" w:lineRule="auto"/>
      </w:pPr>
      <w:r>
        <w:rPr>
          <w:rFonts w:hint="eastAsia"/>
        </w:rPr>
        <w:t>网络资源要求</w:t>
      </w:r>
    </w:p>
    <w:p w14:paraId="37E5AE78">
      <w:pPr>
        <w:ind w:firstLine="420"/>
      </w:pPr>
      <w:r>
        <w:rPr>
          <w:rFonts w:hint="eastAsia"/>
        </w:rPr>
        <w:t>本次项目投标人应当为招标方提供的网络资源能力如下：</w:t>
      </w:r>
    </w:p>
    <w:tbl>
      <w:tblPr>
        <w:tblStyle w:val="18"/>
        <w:tblW w:w="90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077"/>
        <w:gridCol w:w="1387"/>
        <w:gridCol w:w="3741"/>
        <w:gridCol w:w="1389"/>
        <w:gridCol w:w="1492"/>
      </w:tblGrid>
      <w:tr w14:paraId="432DB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9" w:hRule="atLeast"/>
          <w:jc w:val="center"/>
        </w:trPr>
        <w:tc>
          <w:tcPr>
            <w:tcW w:w="1077" w:type="dxa"/>
            <w:shd w:val="clear" w:color="auto" w:fill="auto"/>
            <w:noWrap/>
            <w:vAlign w:val="center"/>
          </w:tcPr>
          <w:p w14:paraId="0162F136">
            <w:pPr>
              <w:widowControl/>
              <w:spacing w:before="96" w:after="96"/>
              <w:ind w:firstLine="0" w:firstLineChars="0"/>
              <w:jc w:val="center"/>
              <w:rPr>
                <w:rFonts w:hint="eastAsia" w:ascii="微软雅黑" w:hAnsi="微软雅黑" w:eastAsia="微软雅黑" w:cs="宋体"/>
                <w:b/>
                <w:bCs/>
                <w:kern w:val="0"/>
                <w:sz w:val="18"/>
                <w:szCs w:val="18"/>
              </w:rPr>
            </w:pPr>
            <w:r>
              <w:rPr>
                <w:rFonts w:hint="eastAsia" w:ascii="微软雅黑" w:hAnsi="微软雅黑" w:eastAsia="微软雅黑" w:cs="宋体"/>
                <w:b/>
                <w:bCs/>
                <w:kern w:val="0"/>
                <w:sz w:val="18"/>
                <w:szCs w:val="18"/>
              </w:rPr>
              <w:t>序号</w:t>
            </w:r>
          </w:p>
        </w:tc>
        <w:tc>
          <w:tcPr>
            <w:tcW w:w="1387" w:type="dxa"/>
            <w:shd w:val="clear" w:color="auto" w:fill="auto"/>
            <w:vAlign w:val="center"/>
          </w:tcPr>
          <w:p w14:paraId="4BCC6042">
            <w:pPr>
              <w:widowControl/>
              <w:spacing w:before="96" w:after="96"/>
              <w:ind w:firstLine="0" w:firstLineChars="0"/>
              <w:jc w:val="center"/>
              <w:rPr>
                <w:rFonts w:hint="eastAsia" w:ascii="微软雅黑" w:hAnsi="微软雅黑" w:eastAsia="微软雅黑" w:cs="宋体"/>
                <w:b/>
                <w:bCs/>
                <w:kern w:val="0"/>
                <w:sz w:val="18"/>
                <w:szCs w:val="18"/>
              </w:rPr>
            </w:pPr>
            <w:r>
              <w:rPr>
                <w:rFonts w:hint="eastAsia" w:ascii="微软雅黑" w:hAnsi="微软雅黑" w:eastAsia="微软雅黑" w:cs="宋体"/>
                <w:b/>
                <w:bCs/>
                <w:kern w:val="0"/>
                <w:sz w:val="18"/>
                <w:szCs w:val="18"/>
              </w:rPr>
              <w:t>项目名称</w:t>
            </w:r>
          </w:p>
        </w:tc>
        <w:tc>
          <w:tcPr>
            <w:tcW w:w="3741" w:type="dxa"/>
            <w:shd w:val="clear" w:color="auto" w:fill="auto"/>
            <w:noWrap/>
            <w:vAlign w:val="center"/>
          </w:tcPr>
          <w:p w14:paraId="7A95B44B">
            <w:pPr>
              <w:widowControl/>
              <w:spacing w:before="96" w:after="96"/>
              <w:ind w:firstLine="0" w:firstLineChars="0"/>
              <w:jc w:val="center"/>
              <w:rPr>
                <w:rFonts w:hint="eastAsia" w:ascii="微软雅黑" w:hAnsi="微软雅黑" w:eastAsia="微软雅黑" w:cs="宋体"/>
                <w:b/>
                <w:bCs/>
                <w:kern w:val="0"/>
                <w:sz w:val="18"/>
                <w:szCs w:val="18"/>
              </w:rPr>
            </w:pPr>
            <w:r>
              <w:rPr>
                <w:rFonts w:hint="eastAsia" w:ascii="微软雅黑" w:hAnsi="微软雅黑" w:eastAsia="微软雅黑" w:cs="宋体"/>
                <w:b/>
                <w:bCs/>
                <w:kern w:val="0"/>
                <w:sz w:val="18"/>
                <w:szCs w:val="18"/>
              </w:rPr>
              <w:t>参数指标</w:t>
            </w:r>
          </w:p>
        </w:tc>
        <w:tc>
          <w:tcPr>
            <w:tcW w:w="1389" w:type="dxa"/>
            <w:shd w:val="clear" w:color="auto" w:fill="auto"/>
            <w:noWrap/>
            <w:vAlign w:val="center"/>
          </w:tcPr>
          <w:p w14:paraId="5C329143">
            <w:pPr>
              <w:widowControl/>
              <w:spacing w:before="96" w:after="96"/>
              <w:ind w:firstLine="0" w:firstLineChars="0"/>
              <w:jc w:val="center"/>
              <w:rPr>
                <w:rFonts w:hint="eastAsia" w:ascii="微软雅黑" w:hAnsi="微软雅黑" w:eastAsia="微软雅黑" w:cs="宋体"/>
                <w:b/>
                <w:bCs/>
                <w:kern w:val="0"/>
                <w:sz w:val="18"/>
                <w:szCs w:val="18"/>
              </w:rPr>
            </w:pPr>
            <w:r>
              <w:rPr>
                <w:rFonts w:hint="eastAsia" w:ascii="微软雅黑" w:hAnsi="微软雅黑" w:eastAsia="微软雅黑" w:cs="宋体"/>
                <w:b/>
                <w:bCs/>
                <w:kern w:val="0"/>
                <w:sz w:val="18"/>
                <w:szCs w:val="18"/>
              </w:rPr>
              <w:t>单位</w:t>
            </w:r>
          </w:p>
        </w:tc>
        <w:tc>
          <w:tcPr>
            <w:tcW w:w="1492" w:type="dxa"/>
            <w:shd w:val="clear" w:color="auto" w:fill="auto"/>
            <w:noWrap/>
            <w:vAlign w:val="center"/>
          </w:tcPr>
          <w:p w14:paraId="1AFBA676">
            <w:pPr>
              <w:widowControl/>
              <w:spacing w:before="96" w:after="96"/>
              <w:ind w:firstLine="0" w:firstLineChars="0"/>
              <w:jc w:val="center"/>
              <w:rPr>
                <w:rFonts w:hint="eastAsia" w:ascii="微软雅黑" w:hAnsi="微软雅黑" w:eastAsia="微软雅黑" w:cs="宋体"/>
                <w:b/>
                <w:bCs/>
                <w:kern w:val="0"/>
                <w:sz w:val="18"/>
                <w:szCs w:val="18"/>
              </w:rPr>
            </w:pPr>
            <w:r>
              <w:rPr>
                <w:rFonts w:hint="eastAsia" w:ascii="微软雅黑" w:hAnsi="微软雅黑" w:eastAsia="微软雅黑" w:cs="宋体"/>
                <w:b/>
                <w:bCs/>
                <w:kern w:val="0"/>
                <w:sz w:val="18"/>
                <w:szCs w:val="18"/>
              </w:rPr>
              <w:t>需求数量</w:t>
            </w:r>
          </w:p>
        </w:tc>
      </w:tr>
      <w:tr w14:paraId="6CC41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4" w:hRule="atLeast"/>
          <w:jc w:val="center"/>
        </w:trPr>
        <w:tc>
          <w:tcPr>
            <w:tcW w:w="1077" w:type="dxa"/>
            <w:vMerge w:val="restart"/>
            <w:shd w:val="clear" w:color="auto" w:fill="auto"/>
            <w:noWrap/>
            <w:vAlign w:val="center"/>
          </w:tcPr>
          <w:p w14:paraId="4CF7F8F0">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1</w:t>
            </w:r>
          </w:p>
        </w:tc>
        <w:tc>
          <w:tcPr>
            <w:tcW w:w="1387" w:type="dxa"/>
            <w:vMerge w:val="restart"/>
            <w:shd w:val="clear" w:color="auto" w:fill="auto"/>
            <w:noWrap/>
            <w:vAlign w:val="center"/>
          </w:tcPr>
          <w:p w14:paraId="6015FB15">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云网络</w:t>
            </w:r>
          </w:p>
        </w:tc>
        <w:tc>
          <w:tcPr>
            <w:tcW w:w="3741" w:type="dxa"/>
            <w:shd w:val="clear" w:color="auto" w:fill="auto"/>
            <w:noWrap/>
            <w:vAlign w:val="center"/>
          </w:tcPr>
          <w:p w14:paraId="464E440C">
            <w:pPr>
              <w:widowControl/>
              <w:spacing w:before="96" w:after="96"/>
              <w:ind w:firstLine="0" w:firstLineChars="0"/>
              <w:jc w:val="left"/>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互联网公有IP服务</w:t>
            </w:r>
          </w:p>
        </w:tc>
        <w:tc>
          <w:tcPr>
            <w:tcW w:w="1389" w:type="dxa"/>
            <w:shd w:val="clear" w:color="auto" w:fill="auto"/>
            <w:noWrap/>
            <w:vAlign w:val="center"/>
          </w:tcPr>
          <w:p w14:paraId="43955E05">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个</w:t>
            </w:r>
          </w:p>
        </w:tc>
        <w:tc>
          <w:tcPr>
            <w:tcW w:w="1492" w:type="dxa"/>
            <w:shd w:val="clear" w:color="auto" w:fill="auto"/>
            <w:noWrap/>
            <w:vAlign w:val="center"/>
          </w:tcPr>
          <w:p w14:paraId="5444C19A">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57</w:t>
            </w:r>
          </w:p>
        </w:tc>
      </w:tr>
      <w:tr w14:paraId="5CF12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4" w:hRule="atLeast"/>
          <w:jc w:val="center"/>
        </w:trPr>
        <w:tc>
          <w:tcPr>
            <w:tcW w:w="1077" w:type="dxa"/>
            <w:vMerge w:val="continue"/>
            <w:shd w:val="clear" w:color="auto" w:fill="auto"/>
            <w:vAlign w:val="center"/>
          </w:tcPr>
          <w:p w14:paraId="3ACCD0F0">
            <w:pPr>
              <w:widowControl/>
              <w:spacing w:before="96" w:after="96"/>
              <w:ind w:firstLine="0" w:firstLineChars="0"/>
              <w:jc w:val="center"/>
              <w:rPr>
                <w:rFonts w:hint="eastAsia" w:ascii="微软雅黑" w:hAnsi="微软雅黑" w:eastAsia="微软雅黑" w:cs="宋体"/>
                <w:kern w:val="0"/>
                <w:sz w:val="18"/>
                <w:szCs w:val="18"/>
              </w:rPr>
            </w:pPr>
          </w:p>
        </w:tc>
        <w:tc>
          <w:tcPr>
            <w:tcW w:w="1387" w:type="dxa"/>
            <w:vMerge w:val="continue"/>
            <w:shd w:val="clear" w:color="auto" w:fill="auto"/>
            <w:vAlign w:val="center"/>
          </w:tcPr>
          <w:p w14:paraId="5E785F3A">
            <w:pPr>
              <w:widowControl/>
              <w:spacing w:before="96" w:after="96"/>
              <w:ind w:firstLine="0" w:firstLineChars="0"/>
              <w:jc w:val="center"/>
              <w:rPr>
                <w:rFonts w:hint="eastAsia" w:ascii="微软雅黑" w:hAnsi="微软雅黑" w:eastAsia="微软雅黑" w:cs="宋体"/>
                <w:kern w:val="0"/>
                <w:sz w:val="18"/>
                <w:szCs w:val="18"/>
              </w:rPr>
            </w:pPr>
          </w:p>
        </w:tc>
        <w:tc>
          <w:tcPr>
            <w:tcW w:w="3741" w:type="dxa"/>
            <w:shd w:val="clear" w:color="auto" w:fill="auto"/>
            <w:noWrap/>
            <w:vAlign w:val="center"/>
          </w:tcPr>
          <w:p w14:paraId="4AEA1E51">
            <w:pPr>
              <w:widowControl/>
              <w:spacing w:before="96" w:after="96"/>
              <w:ind w:firstLine="0" w:firstLineChars="0"/>
              <w:jc w:val="left"/>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互联网带宽（骨干级）</w:t>
            </w:r>
          </w:p>
        </w:tc>
        <w:tc>
          <w:tcPr>
            <w:tcW w:w="1389" w:type="dxa"/>
            <w:shd w:val="clear" w:color="auto" w:fill="auto"/>
            <w:noWrap/>
            <w:vAlign w:val="center"/>
          </w:tcPr>
          <w:p w14:paraId="1299F8FF">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GB</w:t>
            </w:r>
          </w:p>
        </w:tc>
        <w:tc>
          <w:tcPr>
            <w:tcW w:w="1492" w:type="dxa"/>
            <w:shd w:val="clear" w:color="auto" w:fill="auto"/>
            <w:noWrap/>
            <w:vAlign w:val="center"/>
          </w:tcPr>
          <w:p w14:paraId="37F213DF">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2</w:t>
            </w:r>
          </w:p>
        </w:tc>
      </w:tr>
      <w:tr w14:paraId="50746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4" w:hRule="atLeast"/>
          <w:jc w:val="center"/>
        </w:trPr>
        <w:tc>
          <w:tcPr>
            <w:tcW w:w="1077" w:type="dxa"/>
            <w:vMerge w:val="continue"/>
            <w:shd w:val="clear" w:color="auto" w:fill="auto"/>
            <w:vAlign w:val="center"/>
          </w:tcPr>
          <w:p w14:paraId="2A3AA6BB">
            <w:pPr>
              <w:widowControl/>
              <w:spacing w:before="96" w:after="96"/>
              <w:ind w:firstLine="0" w:firstLineChars="0"/>
              <w:jc w:val="center"/>
              <w:rPr>
                <w:rFonts w:hint="eastAsia" w:ascii="微软雅黑" w:hAnsi="微软雅黑" w:eastAsia="微软雅黑" w:cs="宋体"/>
                <w:kern w:val="0"/>
                <w:sz w:val="18"/>
                <w:szCs w:val="18"/>
              </w:rPr>
            </w:pPr>
          </w:p>
        </w:tc>
        <w:tc>
          <w:tcPr>
            <w:tcW w:w="1387" w:type="dxa"/>
            <w:vMerge w:val="continue"/>
            <w:shd w:val="clear" w:color="auto" w:fill="auto"/>
            <w:vAlign w:val="center"/>
          </w:tcPr>
          <w:p w14:paraId="271B2E39">
            <w:pPr>
              <w:widowControl/>
              <w:spacing w:before="96" w:after="96"/>
              <w:ind w:firstLine="0" w:firstLineChars="0"/>
              <w:jc w:val="center"/>
              <w:rPr>
                <w:rFonts w:hint="eastAsia" w:ascii="微软雅黑" w:hAnsi="微软雅黑" w:eastAsia="微软雅黑" w:cs="宋体"/>
                <w:kern w:val="0"/>
                <w:sz w:val="18"/>
                <w:szCs w:val="18"/>
              </w:rPr>
            </w:pPr>
          </w:p>
        </w:tc>
        <w:tc>
          <w:tcPr>
            <w:tcW w:w="3741" w:type="dxa"/>
            <w:shd w:val="clear" w:color="auto" w:fill="auto"/>
            <w:noWrap/>
            <w:vAlign w:val="center"/>
          </w:tcPr>
          <w:p w14:paraId="58C915D3">
            <w:pPr>
              <w:widowControl/>
              <w:spacing w:before="96" w:after="96"/>
              <w:ind w:firstLine="0" w:firstLineChars="0"/>
              <w:jc w:val="left"/>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应用负载均衡服务</w:t>
            </w:r>
          </w:p>
        </w:tc>
        <w:tc>
          <w:tcPr>
            <w:tcW w:w="1389" w:type="dxa"/>
            <w:shd w:val="clear" w:color="auto" w:fill="auto"/>
            <w:noWrap/>
            <w:vAlign w:val="center"/>
          </w:tcPr>
          <w:p w14:paraId="355726AE">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每IP</w:t>
            </w:r>
          </w:p>
        </w:tc>
        <w:tc>
          <w:tcPr>
            <w:tcW w:w="1492" w:type="dxa"/>
            <w:shd w:val="clear" w:color="auto" w:fill="auto"/>
            <w:noWrap/>
            <w:vAlign w:val="center"/>
          </w:tcPr>
          <w:p w14:paraId="6B73B1AE">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17</w:t>
            </w:r>
          </w:p>
        </w:tc>
      </w:tr>
      <w:tr w14:paraId="1E665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4" w:hRule="atLeast"/>
          <w:jc w:val="center"/>
        </w:trPr>
        <w:tc>
          <w:tcPr>
            <w:tcW w:w="1077" w:type="dxa"/>
            <w:vMerge w:val="continue"/>
            <w:shd w:val="clear" w:color="auto" w:fill="auto"/>
            <w:vAlign w:val="center"/>
          </w:tcPr>
          <w:p w14:paraId="1C1C4ED3">
            <w:pPr>
              <w:widowControl/>
              <w:spacing w:before="96" w:after="96"/>
              <w:ind w:firstLine="0" w:firstLineChars="0"/>
              <w:jc w:val="center"/>
              <w:rPr>
                <w:rFonts w:hint="eastAsia" w:ascii="微软雅黑" w:hAnsi="微软雅黑" w:eastAsia="微软雅黑" w:cs="宋体"/>
                <w:kern w:val="0"/>
                <w:sz w:val="18"/>
                <w:szCs w:val="18"/>
              </w:rPr>
            </w:pPr>
          </w:p>
        </w:tc>
        <w:tc>
          <w:tcPr>
            <w:tcW w:w="1387" w:type="dxa"/>
            <w:vMerge w:val="continue"/>
            <w:shd w:val="clear" w:color="auto" w:fill="auto"/>
            <w:vAlign w:val="center"/>
          </w:tcPr>
          <w:p w14:paraId="0508C162">
            <w:pPr>
              <w:widowControl/>
              <w:spacing w:before="96" w:after="96"/>
              <w:ind w:firstLine="0" w:firstLineChars="0"/>
              <w:jc w:val="center"/>
              <w:rPr>
                <w:rFonts w:hint="eastAsia" w:ascii="微软雅黑" w:hAnsi="微软雅黑" w:eastAsia="微软雅黑" w:cs="宋体"/>
                <w:kern w:val="0"/>
                <w:sz w:val="18"/>
                <w:szCs w:val="18"/>
              </w:rPr>
            </w:pPr>
          </w:p>
        </w:tc>
        <w:tc>
          <w:tcPr>
            <w:tcW w:w="3741" w:type="dxa"/>
            <w:shd w:val="clear" w:color="auto" w:fill="auto"/>
            <w:noWrap/>
            <w:vAlign w:val="center"/>
          </w:tcPr>
          <w:p w14:paraId="3BEF8014">
            <w:pPr>
              <w:widowControl/>
              <w:spacing w:before="96" w:after="96"/>
              <w:ind w:firstLine="0" w:firstLineChars="0"/>
              <w:jc w:val="left"/>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安全交换区（网闸）</w:t>
            </w:r>
          </w:p>
        </w:tc>
        <w:tc>
          <w:tcPr>
            <w:tcW w:w="1389" w:type="dxa"/>
            <w:shd w:val="clear" w:color="auto" w:fill="auto"/>
            <w:noWrap/>
            <w:vAlign w:val="center"/>
          </w:tcPr>
          <w:p w14:paraId="6E1150EF">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每IP</w:t>
            </w:r>
          </w:p>
        </w:tc>
        <w:tc>
          <w:tcPr>
            <w:tcW w:w="1492" w:type="dxa"/>
            <w:shd w:val="clear" w:color="auto" w:fill="auto"/>
            <w:noWrap/>
            <w:vAlign w:val="center"/>
          </w:tcPr>
          <w:p w14:paraId="295AE094">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253</w:t>
            </w:r>
          </w:p>
        </w:tc>
      </w:tr>
    </w:tbl>
    <w:p w14:paraId="57E6CAE5">
      <w:pPr>
        <w:pStyle w:val="4"/>
        <w:spacing w:line="360" w:lineRule="auto"/>
      </w:pPr>
      <w:r>
        <w:rPr>
          <w:rFonts w:hint="eastAsia"/>
        </w:rPr>
        <w:t>网络建设要求</w:t>
      </w:r>
    </w:p>
    <w:p w14:paraId="4C02A169">
      <w:pPr>
        <w:ind w:firstLine="420"/>
      </w:pPr>
      <w:r>
        <w:rPr>
          <w:rFonts w:hint="eastAsia"/>
        </w:rPr>
        <w:t>根据上海化工区大数据云平台整体的规划目标以及一期系统建设成果，投标人提供的云数据中心网络架构应满足以下要求：</w:t>
      </w:r>
    </w:p>
    <w:p w14:paraId="1BF71A67">
      <w:pPr>
        <w:ind w:firstLine="420"/>
      </w:pPr>
      <w:r>
        <w:rPr>
          <w:rFonts w:hint="eastAsia"/>
        </w:rPr>
        <w:t>1、高效性：为了满足云平台、电子政务的业务应用系统的高并发、快速的虚拟机迁移和大文件的上传下载等要求。因此设计一个高带宽、低延时、快速收敛并避免环路出现的网络平台是一个基本的设计目标。</w:t>
      </w:r>
    </w:p>
    <w:p w14:paraId="71BCB26A">
      <w:pPr>
        <w:ind w:firstLine="420"/>
      </w:pPr>
      <w:r>
        <w:rPr>
          <w:rFonts w:hint="eastAsia"/>
        </w:rPr>
        <w:t>2、高可靠性：云数据中心今后要支持上海化工区电子政务的业务系统，云数据中心的网络的稳定性直接关系到化工区电子政务服务的可用性。因此高可用性是数据中心网络平台的设计目标之一，关键和核心部分不能出现单点故障。</w:t>
      </w:r>
    </w:p>
    <w:p w14:paraId="6F1573E8">
      <w:pPr>
        <w:ind w:firstLine="420"/>
      </w:pPr>
      <w:r>
        <w:rPr>
          <w:rFonts w:hint="eastAsia"/>
        </w:rPr>
        <w:t>3、可扩展性：随着后续越来越多的业务应用系统迁入云数据中心，云数据中心的规模需要根据业务应用需求逐步扩大。因此具备良好的扩展能力也是数据中心网络平台的设计目标之一，在核心、骨干网络设备上要留有余量，充分考虑今后业务应用增加的网络需求。</w:t>
      </w:r>
    </w:p>
    <w:p w14:paraId="250C7E99">
      <w:pPr>
        <w:ind w:firstLine="420"/>
      </w:pPr>
      <w:r>
        <w:rPr>
          <w:rFonts w:hint="eastAsia"/>
        </w:rPr>
        <w:t>4、灵活性、易维护性：云数据中心今后所承载的各个行业电子政务业务系统的不确定性，这就要求网络平台能够灵活简便的对网络资源进行调配。因此，网络管理的灵活性和易维护性也是网络平台的设计目标之一。通过减少网络配置节点、简化网络配置，降低网络管理的人力开销，从而易于网络资源的调整和分配。</w:t>
      </w:r>
    </w:p>
    <w:p w14:paraId="6B617C09">
      <w:pPr>
        <w:ind w:firstLine="420"/>
      </w:pPr>
      <w:r>
        <w:rPr>
          <w:rFonts w:hint="eastAsia"/>
        </w:rPr>
        <w:t>5、先进性：云数据中心承载各个下属单位不同种类的电子政务应用系统，整体架构应当保持稳定而不应当频繁调整。作为云数据中心的重要组成部分，网络平台的架构调整会影响云数据中心的整体架构。因此在设计网络平台的架构的时候，设计目标之一应该是保证网络架构和采用技术的先进性，3年内只做规模扩充，而不做架构调整。</w:t>
      </w:r>
    </w:p>
    <w:p w14:paraId="15E057EA">
      <w:pPr>
        <w:ind w:firstLine="420"/>
      </w:pPr>
      <w:r>
        <w:rPr>
          <w:rFonts w:hint="eastAsia"/>
        </w:rPr>
        <w:t>6、安全性：网络安全是云数据中心安全架构的一个重要组成部分，因此安全性也是网络平台需要考虑的设计目标之一。由于网络安全域的划分与隔离很大程度上依赖网络结构的合理性，因此在设计网络架构的时候需要考虑整体网络安全性，便于安全方案进行安全域的划分和安全域间访问控制。</w:t>
      </w:r>
    </w:p>
    <w:p w14:paraId="5A995C2F">
      <w:pPr>
        <w:ind w:firstLine="420"/>
      </w:pPr>
      <w:r>
        <w:rPr>
          <w:rFonts w:hint="eastAsia"/>
        </w:rPr>
        <w:t>7、延续性：提供应用迁移涉及线路的IP地址数量满足招标要求，确保化工区各上云单位的IP地址不变，不影响采购人业务连续性。</w:t>
      </w:r>
    </w:p>
    <w:p w14:paraId="48726F69">
      <w:pPr>
        <w:pStyle w:val="4"/>
        <w:spacing w:line="360" w:lineRule="auto"/>
      </w:pPr>
      <w:r>
        <w:rPr>
          <w:rFonts w:hint="eastAsia"/>
        </w:rPr>
        <w:t>网络总体架构设计要求</w:t>
      </w:r>
    </w:p>
    <w:p w14:paraId="6928DE0B">
      <w:pPr>
        <w:spacing w:before="156" w:beforeLines="50" w:after="156" w:afterLines="50"/>
        <w:ind w:firstLine="420"/>
      </w:pPr>
      <w:r>
        <w:rPr>
          <w:rFonts w:hint="eastAsia" w:ascii="宋体" w:hAnsi="宋体"/>
        </w:rPr>
        <w:t>云中心内部署架构主要包括政务外网接入区、政务网云核心交换区、政务外网云资源区、政务外网备份区、政务外网存储区、公共云管理区、安全数据交换、互联网接入区、互联网云核心交换区、互联网云资源区。依据项目目标、需求分析和云数据中心的总体架构，网络平台的架构设计应当满足如下条件：使用</w:t>
      </w:r>
      <w:r>
        <w:rPr>
          <w:rFonts w:hint="eastAsia"/>
        </w:rPr>
        <w:t>网络虚拟化和二层结构技术、具备三个独立的网络平面、根据业务功能分区。</w:t>
      </w:r>
    </w:p>
    <w:p w14:paraId="5FDB3019">
      <w:pPr>
        <w:spacing w:before="156" w:beforeLines="50" w:after="156" w:afterLines="50"/>
        <w:ind w:firstLine="422"/>
        <w:rPr>
          <w:rFonts w:hint="eastAsia" w:ascii="宋体" w:hAnsi="宋体"/>
          <w:b/>
          <w:bCs/>
        </w:rPr>
      </w:pPr>
      <w:r>
        <w:rPr>
          <w:rFonts w:hint="eastAsia" w:ascii="宋体" w:hAnsi="宋体"/>
          <w:b/>
          <w:bCs/>
        </w:rPr>
        <w:t>网络性能指标​​</w:t>
      </w:r>
    </w:p>
    <w:p w14:paraId="76D122B2">
      <w:pPr>
        <w:spacing w:before="156" w:beforeLines="50" w:after="156" w:afterLines="50"/>
        <w:ind w:firstLine="420"/>
        <w:rPr>
          <w:rFonts w:hint="eastAsia" w:ascii="宋体" w:hAnsi="宋体"/>
        </w:rPr>
      </w:pPr>
      <w:r>
        <w:rPr>
          <w:rFonts w:hint="eastAsia" w:ascii="宋体" w:hAnsi="宋体"/>
        </w:rPr>
        <w:t>业务平面：采用100G Spine-Leaf架构与CLOS组网，跨机架传输时延≤10μs，可靠性≥99.999%。</w:t>
      </w:r>
    </w:p>
    <w:p w14:paraId="502CEAEB">
      <w:pPr>
        <w:spacing w:before="156" w:beforeLines="50" w:after="156" w:afterLines="50"/>
        <w:ind w:firstLine="420"/>
        <w:rPr>
          <w:rFonts w:hint="eastAsia" w:ascii="宋体" w:hAnsi="宋体"/>
        </w:rPr>
      </w:pPr>
      <w:r>
        <w:rPr>
          <w:rFonts w:hint="eastAsia" w:ascii="宋体" w:hAnsi="宋体"/>
        </w:rPr>
        <w:t>存储平面：同时部署32G FC与100G RoCEv2双平面，时延≤50μs，可靠性≥99.99%。</w:t>
      </w:r>
    </w:p>
    <w:p w14:paraId="663D14B5">
      <w:pPr>
        <w:spacing w:before="156" w:beforeLines="50" w:after="156" w:afterLines="50"/>
        <w:ind w:firstLine="420"/>
        <w:rPr>
          <w:rFonts w:hint="eastAsia" w:ascii="宋体" w:hAnsi="宋体"/>
        </w:rPr>
      </w:pPr>
      <w:r>
        <w:rPr>
          <w:rFonts w:hint="eastAsia" w:ascii="宋体" w:hAnsi="宋体"/>
        </w:rPr>
        <w:t>管理平面：独立10G带外网络，实施ACL白名单管控机制。</w:t>
      </w:r>
    </w:p>
    <w:p w14:paraId="50504DB4">
      <w:pPr>
        <w:spacing w:before="156" w:beforeLines="50" w:after="156" w:afterLines="50"/>
        <w:ind w:firstLine="422"/>
        <w:rPr>
          <w:rFonts w:hint="eastAsia" w:ascii="宋体" w:hAnsi="宋体"/>
          <w:b/>
          <w:bCs/>
        </w:rPr>
      </w:pPr>
      <w:r>
        <w:rPr>
          <w:rFonts w:hint="eastAsia" w:ascii="宋体" w:hAnsi="宋体"/>
          <w:b/>
          <w:bCs/>
        </w:rPr>
        <w:t>安全隔离方案​​</w:t>
      </w:r>
    </w:p>
    <w:p w14:paraId="33C1C616">
      <w:pPr>
        <w:spacing w:before="156" w:beforeLines="50" w:after="156" w:afterLines="50"/>
        <w:ind w:firstLine="420"/>
        <w:rPr>
          <w:rFonts w:hint="eastAsia" w:ascii="宋体" w:hAnsi="宋体"/>
        </w:rPr>
      </w:pPr>
      <w:r>
        <w:rPr>
          <w:rFonts w:hint="eastAsia" w:ascii="宋体" w:hAnsi="宋体"/>
        </w:rPr>
        <w:t>基于VXLAN实现业务系统级逻辑隔离，支持虚拟机级微分段控制。</w:t>
      </w:r>
    </w:p>
    <w:p w14:paraId="2BD90FB6">
      <w:pPr>
        <w:spacing w:before="156" w:beforeLines="50" w:after="156" w:afterLines="50"/>
        <w:ind w:firstLine="420"/>
        <w:rPr>
          <w:rFonts w:hint="eastAsia" w:ascii="宋体" w:hAnsi="宋体"/>
        </w:rPr>
      </w:pPr>
      <w:r>
        <w:rPr>
          <w:rFonts w:hint="eastAsia" w:ascii="宋体" w:hAnsi="宋体"/>
        </w:rPr>
        <w:t>东西向流量防护采用分布式虚拟防火墙，策略执行时延≤5ms。</w:t>
      </w:r>
    </w:p>
    <w:p w14:paraId="413C8B2A">
      <w:pPr>
        <w:spacing w:before="156" w:beforeLines="50" w:after="156" w:afterLines="50"/>
        <w:ind w:firstLine="420"/>
        <w:rPr>
          <w:rFonts w:hint="eastAsia" w:ascii="宋体" w:hAnsi="宋体"/>
        </w:rPr>
      </w:pPr>
      <w:r>
        <w:rPr>
          <w:rFonts w:hint="eastAsia" w:ascii="宋体" w:hAnsi="宋体"/>
        </w:rPr>
        <w:t>部署网络流量探针（NPB）实现全流量威胁分析，支持异常行为实时告警。</w:t>
      </w:r>
    </w:p>
    <w:p w14:paraId="4AB3A020">
      <w:pPr>
        <w:pStyle w:val="4"/>
        <w:spacing w:line="360" w:lineRule="auto"/>
      </w:pPr>
      <w:r>
        <w:rPr>
          <w:rFonts w:hint="eastAsia"/>
        </w:rPr>
        <w:t>网络功能区设计要求</w:t>
      </w:r>
    </w:p>
    <w:p w14:paraId="6812CB9B">
      <w:pPr>
        <w:spacing w:before="96" w:after="96"/>
        <w:ind w:firstLine="420"/>
      </w:pPr>
      <w:r>
        <w:rPr>
          <w:rFonts w:hint="eastAsia" w:ascii="宋体" w:hAnsi="宋体"/>
        </w:rPr>
        <w:t>为了满足业务系统对网络功能要求，应在数据中心专门部署网络服务区，针对性为各种业务系统提供相应的网络服务。网络服务区应当主要提供2种网络服务：一种是网络安全服务，通过部署防火墙设备实现；另外一种是应用负载均衡服务，为业务系统增强扩展性、可靠性和业务处理能力，该服务通过部署应用负载均衡设备LB实现。</w:t>
      </w:r>
    </w:p>
    <w:p w14:paraId="3419ED4C">
      <w:pPr>
        <w:ind w:firstLine="420"/>
      </w:pPr>
      <w:r>
        <w:rPr>
          <w:rFonts w:hint="eastAsia"/>
        </w:rPr>
        <w:t>本期项目投标人为招标方建设的上海化学工业区公共事务中心网络架构应满足以下要求：</w:t>
      </w:r>
    </w:p>
    <w:p w14:paraId="61B15D57">
      <w:pPr>
        <w:spacing w:before="96" w:after="96"/>
        <w:ind w:firstLine="420"/>
        <w:rPr>
          <w:rFonts w:hint="eastAsia" w:ascii="宋体" w:hAnsi="宋体"/>
        </w:rPr>
      </w:pPr>
      <w:r>
        <w:rPr>
          <w:rFonts w:hint="eastAsia" w:ascii="宋体" w:hAnsi="宋体"/>
        </w:rPr>
        <w:t>1、高效性：采用网络虚拟化及二层网络结构，在提供快速网络带宽的同时，大大降低网络复杂度，网络路径快速收敛，避免网络环路而带来的各种问题。同时通过减少交换层数量，流量需要穿越的交换机数量也会减少，从而可以缩短延迟，提高应用性能。</w:t>
      </w:r>
    </w:p>
    <w:p w14:paraId="6C56BF8C">
      <w:pPr>
        <w:spacing w:before="96" w:after="96"/>
        <w:ind w:firstLine="420"/>
        <w:rPr>
          <w:rFonts w:hint="eastAsia" w:ascii="宋体" w:hAnsi="宋体"/>
        </w:rPr>
      </w:pPr>
      <w:r>
        <w:rPr>
          <w:rFonts w:hint="eastAsia" w:ascii="宋体" w:hAnsi="宋体"/>
        </w:rPr>
        <w:t>2、高可靠性：网络节点采用CSS、iStack等集群部署方案，可有效保障网络节点的高可靠性，同时网络采用冗余链路，可以保障任何一个网络节点或网络线路出现故障时，不会对整个系统和业务产生影响，提高整个网络架构的健壮度。通过交换机虚拟集群和堆叠技术，可以消除网络中的可靠性隐患，无需运行spanning-tree协议，消除网络的故障收敛时间，从而提高网络可靠性。网络业务区域层次分明，不同区域或者业务访问适配不同基础安全属性，最大程度保障云数据中心资源以及用户业务的网络安全</w:t>
      </w:r>
    </w:p>
    <w:p w14:paraId="56FF621B">
      <w:pPr>
        <w:spacing w:before="96" w:after="96"/>
        <w:ind w:firstLine="420"/>
        <w:rPr>
          <w:rFonts w:hint="eastAsia" w:ascii="宋体" w:hAnsi="宋体"/>
        </w:rPr>
      </w:pPr>
      <w:r>
        <w:rPr>
          <w:rFonts w:hint="eastAsia" w:ascii="宋体" w:hAnsi="宋体"/>
        </w:rPr>
        <w:t>3、可扩展性：采用可堆叠、可集群的扩展性高的网络设备，可随着后续越来越多的业务应用系统迁入云数据中心实现良好的网络扩展性。网络未来演进能力预置，有效支撑大带宽平滑扩容以及SDN 和VXLAN云网络技术平滑部署，最大程度保证网络具备持续的先进性</w:t>
      </w:r>
    </w:p>
    <w:p w14:paraId="1E639694">
      <w:pPr>
        <w:spacing w:before="96" w:after="96"/>
        <w:ind w:firstLine="420"/>
        <w:rPr>
          <w:rFonts w:hint="eastAsia" w:ascii="宋体" w:hAnsi="宋体"/>
        </w:rPr>
      </w:pPr>
      <w:r>
        <w:rPr>
          <w:rFonts w:hint="eastAsia" w:ascii="宋体" w:hAnsi="宋体"/>
        </w:rPr>
        <w:t>4、灵活性、易维护性：采用大二层网络设计，能够更有效的适应云计算对于计算资源池和存储资源池的按需调配，更灵活支撑云计算的动态需求。同时大二层网络有效减少网络中的交换机和链路数量，从而降低前期购置成本和后期维护成本。网络多样化的接入方案，提供政府客户二层、三层接入方式，最大程度满足不同业务单位接入政务云业务需求</w:t>
      </w:r>
    </w:p>
    <w:p w14:paraId="6D946D66">
      <w:pPr>
        <w:spacing w:before="96" w:after="96"/>
        <w:ind w:firstLine="420"/>
        <w:rPr>
          <w:rFonts w:hint="eastAsia" w:ascii="宋体" w:hAnsi="宋体"/>
        </w:rPr>
      </w:pPr>
      <w:r>
        <w:rPr>
          <w:rFonts w:hint="eastAsia" w:ascii="宋体" w:hAnsi="宋体"/>
        </w:rPr>
        <w:t>5、先进性：采用大二层网络结构设计，可以有效支持云计算东西向网络流量的需求，以及未来多数据中心二层打通、虚拟机迁移等需求，保证云平台网络的先进性。</w:t>
      </w:r>
    </w:p>
    <w:p w14:paraId="7235E6C0">
      <w:pPr>
        <w:spacing w:before="96" w:after="96"/>
        <w:ind w:firstLine="420"/>
        <w:rPr>
          <w:rFonts w:hint="eastAsia" w:ascii="宋体" w:hAnsi="宋体"/>
        </w:rPr>
      </w:pPr>
      <w:r>
        <w:rPr>
          <w:rFonts w:hint="eastAsia" w:ascii="宋体" w:hAnsi="宋体"/>
        </w:rPr>
        <w:t>6、安全性：通过网络分区方式，借助防火墙、VLAN、数据交换等隔离方式，将业务系统隔离在不同的网络区域内，实现业务访问的网络控制，提高系统的安全性。同时，每个计算节点配置业务、管理、存储等多套独立的网络链路，降低多个网络平面之间的干扰，提高网络的安全性和稳定性。</w:t>
      </w:r>
    </w:p>
    <w:p w14:paraId="18E247F7">
      <w:pPr>
        <w:pStyle w:val="3"/>
      </w:pPr>
      <w:bookmarkStart w:id="10" w:name="_Toc42244454"/>
      <w:bookmarkStart w:id="11" w:name="_Toc49210279"/>
      <w:r>
        <w:rPr>
          <w:rFonts w:hint="eastAsia"/>
        </w:rPr>
        <w:t>云</w:t>
      </w:r>
      <w:r>
        <w:t>安全设计</w:t>
      </w:r>
      <w:bookmarkEnd w:id="10"/>
      <w:bookmarkEnd w:id="11"/>
    </w:p>
    <w:p w14:paraId="3BEF9E15">
      <w:pPr>
        <w:spacing w:before="96" w:after="96"/>
        <w:ind w:firstLine="422"/>
        <w:rPr>
          <w:rFonts w:hint="eastAsia" w:ascii="宋体" w:hAnsi="宋体"/>
          <w:b/>
        </w:rPr>
      </w:pPr>
      <w:r>
        <w:rPr>
          <w:rFonts w:hint="eastAsia" w:ascii="宋体" w:hAnsi="宋体"/>
          <w:b/>
        </w:rPr>
        <w:t>服务商所提供的云资源，需承载在满足等保三级要求的云平台上，高分通过为佳。</w:t>
      </w:r>
    </w:p>
    <w:p w14:paraId="72904CD0">
      <w:pPr>
        <w:spacing w:before="96" w:after="96"/>
        <w:ind w:firstLine="420"/>
        <w:rPr>
          <w:rFonts w:hint="eastAsia" w:ascii="宋体" w:hAnsi="宋体"/>
        </w:rPr>
      </w:pPr>
      <w:r>
        <w:rPr>
          <w:rFonts w:hint="eastAsia" w:ascii="宋体" w:hAnsi="宋体"/>
        </w:rPr>
        <w:t>本次项目投标人应为上海化学工业区公共事务中心提供的云安全资源能力如下：</w:t>
      </w:r>
    </w:p>
    <w:tbl>
      <w:tblPr>
        <w:tblStyle w:val="18"/>
        <w:tblW w:w="9082" w:type="dxa"/>
        <w:tblInd w:w="0" w:type="dxa"/>
        <w:tblLayout w:type="fixed"/>
        <w:tblCellMar>
          <w:top w:w="0" w:type="dxa"/>
          <w:left w:w="10" w:type="dxa"/>
          <w:bottom w:w="0" w:type="dxa"/>
          <w:right w:w="10" w:type="dxa"/>
        </w:tblCellMar>
      </w:tblPr>
      <w:tblGrid>
        <w:gridCol w:w="1100"/>
        <w:gridCol w:w="1215"/>
        <w:gridCol w:w="6767"/>
      </w:tblGrid>
      <w:tr w14:paraId="559C0F28">
        <w:tblPrEx>
          <w:tblCellMar>
            <w:top w:w="0" w:type="dxa"/>
            <w:left w:w="10" w:type="dxa"/>
            <w:bottom w:w="0" w:type="dxa"/>
            <w:right w:w="10" w:type="dxa"/>
          </w:tblCellMar>
        </w:tblPrEx>
        <w:trPr>
          <w:trHeight w:val="569" w:hRule="atLeast"/>
        </w:trPr>
        <w:tc>
          <w:tcPr>
            <w:tcW w:w="11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4DFC8D1">
            <w:pPr>
              <w:widowControl/>
              <w:spacing w:before="96" w:after="96"/>
              <w:ind w:firstLine="0" w:firstLineChars="0"/>
              <w:jc w:val="center"/>
              <w:rPr>
                <w:rFonts w:hint="eastAsia" w:ascii="宋体" w:hAnsi="宋体" w:cs="宋体"/>
                <w:b/>
                <w:bCs/>
                <w:kern w:val="0"/>
                <w:sz w:val="18"/>
                <w:szCs w:val="18"/>
              </w:rPr>
            </w:pPr>
            <w:r>
              <w:rPr>
                <w:rFonts w:hint="eastAsia" w:ascii="宋体" w:hAnsi="宋体" w:cs="宋体"/>
                <w:b/>
                <w:bCs/>
                <w:kern w:val="0"/>
                <w:sz w:val="18"/>
                <w:szCs w:val="18"/>
              </w:rPr>
              <w:t>序号</w:t>
            </w:r>
          </w:p>
        </w:tc>
        <w:tc>
          <w:tcPr>
            <w:tcW w:w="1215" w:type="dxa"/>
            <w:tcBorders>
              <w:top w:val="single" w:color="auto" w:sz="4" w:space="0"/>
              <w:left w:val="nil"/>
              <w:bottom w:val="single" w:color="auto" w:sz="4" w:space="0"/>
              <w:right w:val="single" w:color="auto" w:sz="4" w:space="0"/>
            </w:tcBorders>
            <w:shd w:val="clear" w:color="auto" w:fill="auto"/>
            <w:vAlign w:val="center"/>
          </w:tcPr>
          <w:p w14:paraId="3827BA24">
            <w:pPr>
              <w:widowControl/>
              <w:spacing w:before="96" w:after="96"/>
              <w:ind w:firstLine="0" w:firstLineChars="0"/>
              <w:jc w:val="center"/>
              <w:rPr>
                <w:rFonts w:hint="eastAsia" w:ascii="宋体" w:hAnsi="宋体" w:cs="宋体"/>
                <w:b/>
                <w:bCs/>
                <w:kern w:val="0"/>
                <w:sz w:val="18"/>
                <w:szCs w:val="18"/>
              </w:rPr>
            </w:pPr>
            <w:r>
              <w:rPr>
                <w:rFonts w:hint="eastAsia" w:ascii="宋体" w:hAnsi="宋体" w:cs="宋体"/>
                <w:b/>
                <w:bCs/>
                <w:kern w:val="0"/>
                <w:sz w:val="18"/>
                <w:szCs w:val="18"/>
              </w:rPr>
              <w:t>项目名称</w:t>
            </w:r>
          </w:p>
        </w:tc>
        <w:tc>
          <w:tcPr>
            <w:tcW w:w="6767" w:type="dxa"/>
            <w:tcBorders>
              <w:top w:val="single" w:color="auto" w:sz="4" w:space="0"/>
              <w:left w:val="nil"/>
              <w:bottom w:val="single" w:color="auto" w:sz="4" w:space="0"/>
              <w:right w:val="single" w:color="auto" w:sz="4" w:space="0"/>
            </w:tcBorders>
            <w:shd w:val="clear" w:color="auto" w:fill="auto"/>
            <w:noWrap/>
            <w:vAlign w:val="center"/>
          </w:tcPr>
          <w:p w14:paraId="671CC41A">
            <w:pPr>
              <w:widowControl/>
              <w:spacing w:before="96" w:after="96"/>
              <w:ind w:firstLine="0" w:firstLineChars="0"/>
              <w:jc w:val="center"/>
              <w:rPr>
                <w:rFonts w:hint="eastAsia" w:ascii="宋体" w:hAnsi="宋体" w:cs="宋体"/>
                <w:b/>
                <w:bCs/>
                <w:kern w:val="0"/>
                <w:sz w:val="18"/>
                <w:szCs w:val="18"/>
              </w:rPr>
            </w:pPr>
            <w:r>
              <w:rPr>
                <w:rFonts w:hint="eastAsia" w:ascii="宋体" w:hAnsi="宋体" w:cs="宋体"/>
                <w:b/>
                <w:bCs/>
                <w:kern w:val="0"/>
                <w:sz w:val="18"/>
                <w:szCs w:val="18"/>
              </w:rPr>
              <w:t>参数指标</w:t>
            </w:r>
          </w:p>
        </w:tc>
      </w:tr>
      <w:tr w14:paraId="4AE14190">
        <w:tblPrEx>
          <w:tblCellMar>
            <w:top w:w="0" w:type="dxa"/>
            <w:left w:w="10" w:type="dxa"/>
            <w:bottom w:w="0" w:type="dxa"/>
            <w:right w:w="10" w:type="dxa"/>
          </w:tblCellMar>
        </w:tblPrEx>
        <w:trPr>
          <w:trHeight w:val="284" w:hRule="atLeast"/>
        </w:trPr>
        <w:tc>
          <w:tcPr>
            <w:tcW w:w="110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5EFE5915">
            <w:pPr>
              <w:widowControl/>
              <w:spacing w:before="96" w:after="96"/>
              <w:ind w:firstLine="0" w:firstLineChars="0"/>
              <w:jc w:val="center"/>
              <w:rPr>
                <w:rFonts w:hint="eastAsia" w:ascii="宋体" w:hAnsi="宋体" w:cs="宋体"/>
                <w:kern w:val="0"/>
                <w:sz w:val="18"/>
                <w:szCs w:val="18"/>
              </w:rPr>
            </w:pPr>
            <w:r>
              <w:rPr>
                <w:rFonts w:hint="eastAsia" w:ascii="微软雅黑" w:hAnsi="微软雅黑" w:eastAsia="微软雅黑" w:cs="宋体"/>
                <w:kern w:val="0"/>
                <w:sz w:val="18"/>
                <w:szCs w:val="18"/>
              </w:rPr>
              <w:t>1</w:t>
            </w:r>
          </w:p>
        </w:tc>
        <w:tc>
          <w:tcPr>
            <w:tcW w:w="1215"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5EAC5584">
            <w:pPr>
              <w:widowControl/>
              <w:spacing w:before="96" w:after="96"/>
              <w:ind w:firstLine="0" w:firstLineChars="0"/>
              <w:jc w:val="center"/>
              <w:rPr>
                <w:rFonts w:hint="eastAsia" w:ascii="宋体" w:hAnsi="宋体" w:cs="宋体"/>
                <w:kern w:val="0"/>
                <w:sz w:val="18"/>
                <w:szCs w:val="18"/>
              </w:rPr>
            </w:pPr>
            <w:r>
              <w:rPr>
                <w:rFonts w:hint="eastAsia" w:ascii="微软雅黑" w:hAnsi="微软雅黑" w:eastAsia="微软雅黑" w:cs="宋体"/>
                <w:kern w:val="0"/>
                <w:sz w:val="18"/>
                <w:szCs w:val="18"/>
              </w:rPr>
              <w:t>云安全</w:t>
            </w:r>
          </w:p>
        </w:tc>
        <w:tc>
          <w:tcPr>
            <w:tcW w:w="6767"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4598F75">
            <w:pPr>
              <w:widowControl/>
              <w:spacing w:before="96" w:after="96"/>
              <w:ind w:firstLine="0" w:firstLineChars="0"/>
              <w:jc w:val="left"/>
              <w:rPr>
                <w:rFonts w:hint="eastAsia" w:ascii="宋体" w:hAnsi="宋体" w:cs="宋体"/>
                <w:kern w:val="0"/>
                <w:sz w:val="18"/>
                <w:szCs w:val="18"/>
              </w:rPr>
            </w:pPr>
            <w:r>
              <w:rPr>
                <w:rFonts w:hint="eastAsia" w:ascii="微软雅黑" w:hAnsi="微软雅黑" w:eastAsia="微软雅黑" w:cs="宋体"/>
                <w:kern w:val="0"/>
                <w:sz w:val="18"/>
                <w:szCs w:val="18"/>
              </w:rPr>
              <w:t>网络访问控制服务</w:t>
            </w:r>
          </w:p>
        </w:tc>
      </w:tr>
      <w:tr w14:paraId="2CC34A21">
        <w:tblPrEx>
          <w:tblCellMar>
            <w:top w:w="0" w:type="dxa"/>
            <w:left w:w="10" w:type="dxa"/>
            <w:bottom w:w="0" w:type="dxa"/>
            <w:right w:w="10" w:type="dxa"/>
          </w:tblCellMar>
        </w:tblPrEx>
        <w:trPr>
          <w:trHeight w:val="284" w:hRule="atLeast"/>
        </w:trPr>
        <w:tc>
          <w:tcPr>
            <w:tcW w:w="110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E9D04C8">
            <w:pPr>
              <w:widowControl/>
              <w:spacing w:before="96" w:after="96"/>
              <w:ind w:firstLine="0" w:firstLineChars="0"/>
              <w:jc w:val="center"/>
              <w:rPr>
                <w:rFonts w:hint="eastAsia" w:ascii="宋体" w:hAnsi="宋体" w:cs="宋体"/>
                <w:kern w:val="0"/>
                <w:sz w:val="18"/>
                <w:szCs w:val="18"/>
              </w:rPr>
            </w:pPr>
          </w:p>
        </w:tc>
        <w:tc>
          <w:tcPr>
            <w:tcW w:w="1215"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8CD53D6">
            <w:pPr>
              <w:widowControl/>
              <w:spacing w:before="96" w:after="96"/>
              <w:ind w:firstLine="0" w:firstLineChars="0"/>
              <w:jc w:val="center"/>
              <w:rPr>
                <w:rFonts w:hint="eastAsia" w:ascii="宋体" w:hAnsi="宋体" w:cs="宋体"/>
                <w:kern w:val="0"/>
                <w:sz w:val="18"/>
                <w:szCs w:val="18"/>
              </w:rPr>
            </w:pPr>
          </w:p>
        </w:tc>
        <w:tc>
          <w:tcPr>
            <w:tcW w:w="6767"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815F0C9">
            <w:pPr>
              <w:widowControl/>
              <w:spacing w:before="96" w:after="96"/>
              <w:ind w:firstLine="0" w:firstLineChars="0"/>
              <w:jc w:val="left"/>
              <w:rPr>
                <w:rFonts w:hint="eastAsia" w:ascii="宋体" w:hAnsi="宋体" w:cs="宋体"/>
                <w:kern w:val="0"/>
                <w:sz w:val="18"/>
                <w:szCs w:val="18"/>
              </w:rPr>
            </w:pPr>
            <w:r>
              <w:rPr>
                <w:rFonts w:hint="eastAsia" w:ascii="微软雅黑" w:hAnsi="微软雅黑" w:eastAsia="微软雅黑" w:cs="宋体"/>
                <w:kern w:val="0"/>
                <w:sz w:val="18"/>
                <w:szCs w:val="18"/>
              </w:rPr>
              <w:t>入侵防御服务</w:t>
            </w:r>
          </w:p>
        </w:tc>
      </w:tr>
      <w:tr w14:paraId="598EB624">
        <w:tblPrEx>
          <w:tblCellMar>
            <w:top w:w="0" w:type="dxa"/>
            <w:left w:w="10" w:type="dxa"/>
            <w:bottom w:w="0" w:type="dxa"/>
            <w:right w:w="10" w:type="dxa"/>
          </w:tblCellMar>
        </w:tblPrEx>
        <w:trPr>
          <w:trHeight w:val="284" w:hRule="atLeast"/>
        </w:trPr>
        <w:tc>
          <w:tcPr>
            <w:tcW w:w="110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AFF982C">
            <w:pPr>
              <w:widowControl/>
              <w:spacing w:before="96" w:after="96"/>
              <w:ind w:firstLine="0" w:firstLineChars="0"/>
              <w:jc w:val="center"/>
              <w:rPr>
                <w:rFonts w:hint="eastAsia" w:ascii="宋体" w:hAnsi="宋体" w:cs="宋体"/>
                <w:kern w:val="0"/>
                <w:sz w:val="18"/>
                <w:szCs w:val="18"/>
              </w:rPr>
            </w:pPr>
          </w:p>
        </w:tc>
        <w:tc>
          <w:tcPr>
            <w:tcW w:w="1215"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A7DB511">
            <w:pPr>
              <w:widowControl/>
              <w:spacing w:before="96" w:after="96"/>
              <w:ind w:firstLine="0" w:firstLineChars="0"/>
              <w:jc w:val="center"/>
              <w:rPr>
                <w:rFonts w:hint="eastAsia" w:ascii="宋体" w:hAnsi="宋体" w:cs="宋体"/>
                <w:kern w:val="0"/>
                <w:sz w:val="18"/>
                <w:szCs w:val="18"/>
              </w:rPr>
            </w:pPr>
          </w:p>
        </w:tc>
        <w:tc>
          <w:tcPr>
            <w:tcW w:w="6767"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39801EC">
            <w:pPr>
              <w:widowControl/>
              <w:spacing w:before="96" w:after="96"/>
              <w:ind w:firstLine="0" w:firstLineChars="0"/>
              <w:jc w:val="left"/>
              <w:rPr>
                <w:rFonts w:hint="eastAsia" w:ascii="宋体" w:hAnsi="宋体" w:cs="宋体"/>
                <w:kern w:val="0"/>
                <w:sz w:val="18"/>
                <w:szCs w:val="18"/>
              </w:rPr>
            </w:pPr>
            <w:r>
              <w:rPr>
                <w:rFonts w:hint="eastAsia" w:ascii="微软雅黑" w:hAnsi="微软雅黑" w:eastAsia="微软雅黑" w:cs="宋体"/>
                <w:kern w:val="0"/>
                <w:sz w:val="18"/>
                <w:szCs w:val="18"/>
              </w:rPr>
              <w:t>用户管理服务</w:t>
            </w:r>
          </w:p>
        </w:tc>
      </w:tr>
      <w:tr w14:paraId="58DBA505">
        <w:tblPrEx>
          <w:tblCellMar>
            <w:top w:w="0" w:type="dxa"/>
            <w:left w:w="10" w:type="dxa"/>
            <w:bottom w:w="0" w:type="dxa"/>
            <w:right w:w="10" w:type="dxa"/>
          </w:tblCellMar>
        </w:tblPrEx>
        <w:trPr>
          <w:trHeight w:val="284" w:hRule="atLeast"/>
        </w:trPr>
        <w:tc>
          <w:tcPr>
            <w:tcW w:w="110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2EE6323">
            <w:pPr>
              <w:widowControl/>
              <w:spacing w:before="96" w:after="96"/>
              <w:ind w:firstLine="0" w:firstLineChars="0"/>
              <w:jc w:val="center"/>
              <w:rPr>
                <w:rFonts w:hint="eastAsia" w:ascii="宋体" w:hAnsi="宋体" w:cs="宋体"/>
                <w:kern w:val="0"/>
                <w:sz w:val="18"/>
                <w:szCs w:val="18"/>
              </w:rPr>
            </w:pPr>
          </w:p>
        </w:tc>
        <w:tc>
          <w:tcPr>
            <w:tcW w:w="1215"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E5E0A50">
            <w:pPr>
              <w:widowControl/>
              <w:spacing w:before="96" w:after="96"/>
              <w:ind w:firstLine="0" w:firstLineChars="0"/>
              <w:jc w:val="center"/>
              <w:rPr>
                <w:rFonts w:hint="eastAsia" w:ascii="宋体" w:hAnsi="宋体" w:cs="宋体"/>
                <w:kern w:val="0"/>
                <w:sz w:val="18"/>
                <w:szCs w:val="18"/>
              </w:rPr>
            </w:pPr>
          </w:p>
        </w:tc>
        <w:tc>
          <w:tcPr>
            <w:tcW w:w="6767"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8BE5550">
            <w:pPr>
              <w:widowControl/>
              <w:spacing w:before="96" w:after="96"/>
              <w:ind w:firstLine="0" w:firstLineChars="0"/>
              <w:jc w:val="left"/>
              <w:rPr>
                <w:rFonts w:hint="eastAsia" w:ascii="宋体" w:hAnsi="宋体" w:cs="宋体"/>
                <w:kern w:val="0"/>
                <w:sz w:val="18"/>
                <w:szCs w:val="18"/>
              </w:rPr>
            </w:pPr>
            <w:r>
              <w:rPr>
                <w:rFonts w:hint="eastAsia" w:ascii="微软雅黑" w:hAnsi="微软雅黑" w:eastAsia="微软雅黑" w:cs="宋体"/>
                <w:kern w:val="0"/>
                <w:sz w:val="18"/>
                <w:szCs w:val="18"/>
              </w:rPr>
              <w:t>用户身份认证服务</w:t>
            </w:r>
          </w:p>
        </w:tc>
      </w:tr>
      <w:tr w14:paraId="24C24240">
        <w:tblPrEx>
          <w:tblCellMar>
            <w:top w:w="0" w:type="dxa"/>
            <w:left w:w="10" w:type="dxa"/>
            <w:bottom w:w="0" w:type="dxa"/>
            <w:right w:w="10" w:type="dxa"/>
          </w:tblCellMar>
        </w:tblPrEx>
        <w:trPr>
          <w:trHeight w:val="284" w:hRule="atLeast"/>
        </w:trPr>
        <w:tc>
          <w:tcPr>
            <w:tcW w:w="110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D568B2D">
            <w:pPr>
              <w:widowControl/>
              <w:spacing w:before="96" w:after="96"/>
              <w:ind w:firstLine="0" w:firstLineChars="0"/>
              <w:jc w:val="center"/>
              <w:rPr>
                <w:rFonts w:hint="eastAsia" w:ascii="宋体" w:hAnsi="宋体" w:cs="宋体"/>
                <w:kern w:val="0"/>
                <w:sz w:val="18"/>
                <w:szCs w:val="18"/>
              </w:rPr>
            </w:pPr>
          </w:p>
        </w:tc>
        <w:tc>
          <w:tcPr>
            <w:tcW w:w="1215"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C263FCB">
            <w:pPr>
              <w:widowControl/>
              <w:spacing w:before="96" w:after="96"/>
              <w:ind w:firstLine="0" w:firstLineChars="0"/>
              <w:jc w:val="center"/>
              <w:rPr>
                <w:rFonts w:hint="eastAsia" w:ascii="宋体" w:hAnsi="宋体" w:cs="宋体"/>
                <w:kern w:val="0"/>
                <w:sz w:val="18"/>
                <w:szCs w:val="18"/>
              </w:rPr>
            </w:pPr>
          </w:p>
        </w:tc>
        <w:tc>
          <w:tcPr>
            <w:tcW w:w="6767"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26A5816">
            <w:pPr>
              <w:widowControl/>
              <w:spacing w:before="96" w:after="96"/>
              <w:ind w:firstLine="0" w:firstLineChars="0"/>
              <w:jc w:val="left"/>
              <w:rPr>
                <w:rFonts w:hint="eastAsia" w:ascii="宋体" w:hAnsi="宋体" w:cs="宋体"/>
                <w:kern w:val="0"/>
                <w:sz w:val="18"/>
                <w:szCs w:val="18"/>
              </w:rPr>
            </w:pPr>
            <w:r>
              <w:rPr>
                <w:rFonts w:hint="eastAsia" w:ascii="微软雅黑" w:hAnsi="微软雅黑" w:eastAsia="微软雅黑" w:cs="宋体"/>
                <w:kern w:val="0"/>
                <w:sz w:val="18"/>
                <w:szCs w:val="18"/>
              </w:rPr>
              <w:t>VPN接入</w:t>
            </w:r>
          </w:p>
        </w:tc>
      </w:tr>
      <w:tr w14:paraId="6F4839EC">
        <w:tblPrEx>
          <w:tblCellMar>
            <w:top w:w="0" w:type="dxa"/>
            <w:left w:w="10" w:type="dxa"/>
            <w:bottom w:w="0" w:type="dxa"/>
            <w:right w:w="10" w:type="dxa"/>
          </w:tblCellMar>
        </w:tblPrEx>
        <w:trPr>
          <w:trHeight w:val="284" w:hRule="atLeast"/>
        </w:trPr>
        <w:tc>
          <w:tcPr>
            <w:tcW w:w="110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4B744733">
            <w:pPr>
              <w:widowControl/>
              <w:spacing w:before="96" w:after="96"/>
              <w:ind w:firstLine="0" w:firstLineChars="0"/>
              <w:jc w:val="center"/>
              <w:rPr>
                <w:rFonts w:hint="eastAsia" w:ascii="宋体" w:hAnsi="宋体" w:cs="宋体"/>
                <w:kern w:val="0"/>
                <w:sz w:val="18"/>
                <w:szCs w:val="18"/>
              </w:rPr>
            </w:pPr>
          </w:p>
        </w:tc>
        <w:tc>
          <w:tcPr>
            <w:tcW w:w="1215"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46DC40F9">
            <w:pPr>
              <w:widowControl/>
              <w:spacing w:before="96" w:after="96"/>
              <w:ind w:firstLine="0" w:firstLineChars="0"/>
              <w:jc w:val="center"/>
              <w:rPr>
                <w:rFonts w:hint="eastAsia" w:ascii="宋体" w:hAnsi="宋体" w:cs="宋体"/>
                <w:kern w:val="0"/>
                <w:sz w:val="18"/>
                <w:szCs w:val="18"/>
              </w:rPr>
            </w:pPr>
          </w:p>
        </w:tc>
        <w:tc>
          <w:tcPr>
            <w:tcW w:w="6767"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0AB57B4F">
            <w:pPr>
              <w:widowControl/>
              <w:spacing w:before="96" w:after="96"/>
              <w:ind w:firstLine="0" w:firstLineChars="0"/>
              <w:jc w:val="left"/>
              <w:rPr>
                <w:rFonts w:hint="eastAsia" w:ascii="宋体" w:hAnsi="宋体" w:cs="宋体"/>
                <w:kern w:val="0"/>
                <w:sz w:val="18"/>
                <w:szCs w:val="18"/>
              </w:rPr>
            </w:pPr>
            <w:r>
              <w:rPr>
                <w:rFonts w:hint="eastAsia" w:ascii="微软雅黑" w:hAnsi="微软雅黑" w:eastAsia="微软雅黑" w:cs="宋体"/>
                <w:kern w:val="0"/>
                <w:sz w:val="18"/>
                <w:szCs w:val="18"/>
              </w:rPr>
              <w:t>在线防护WAF</w:t>
            </w:r>
          </w:p>
        </w:tc>
      </w:tr>
    </w:tbl>
    <w:p w14:paraId="40E303BA">
      <w:pPr>
        <w:pStyle w:val="4"/>
        <w:spacing w:line="360" w:lineRule="auto"/>
        <w:rPr>
          <w:rFonts w:hint="eastAsia" w:ascii="宋体" w:hAnsi="宋体"/>
        </w:rPr>
      </w:pPr>
      <w:r>
        <w:rPr>
          <w:rFonts w:hint="eastAsia"/>
        </w:rPr>
        <w:t>云平台安全方案要求</w:t>
      </w:r>
    </w:p>
    <w:p w14:paraId="6012CD1C">
      <w:pPr>
        <w:spacing w:before="96" w:after="96"/>
        <w:ind w:firstLine="420"/>
        <w:rPr>
          <w:rFonts w:hint="eastAsia" w:ascii="宋体" w:hAnsi="宋体"/>
        </w:rPr>
      </w:pPr>
      <w:r>
        <w:rPr>
          <w:rFonts w:hint="eastAsia" w:ascii="宋体" w:hAnsi="宋体"/>
        </w:rPr>
        <w:t>云服务平台统一为所承载的应用提供全面的网络与信息安全服务，采用安全虚拟化等技术逐步构建统一、集中的安全服务能力资源池，安全服务资源池应具备灵活的弹性扩展能力。各应用只需要考虑业务应用的需求建设，不需要再考虑建立独立的安全防护措施，能够大大提高信息系统应用的建设效率，降低系统建设成本。</w:t>
      </w:r>
    </w:p>
    <w:p w14:paraId="4C53A382">
      <w:pPr>
        <w:spacing w:before="96" w:after="96"/>
        <w:ind w:firstLine="420"/>
        <w:rPr>
          <w:rFonts w:hint="eastAsia" w:ascii="宋体" w:hAnsi="宋体"/>
        </w:rPr>
      </w:pPr>
      <w:r>
        <w:rPr>
          <w:rFonts w:hint="eastAsia" w:ascii="宋体" w:hAnsi="宋体"/>
        </w:rPr>
        <w:t>安全能力资源池应具备包括防火墙、IPS、Web应用安全防护等功能。</w:t>
      </w:r>
    </w:p>
    <w:p w14:paraId="3FB48120">
      <w:pPr>
        <w:spacing w:before="156" w:beforeLines="50" w:after="156" w:afterLines="50"/>
        <w:ind w:firstLine="420"/>
      </w:pPr>
      <w:r>
        <w:rPr>
          <w:rFonts w:hint="eastAsia"/>
        </w:rPr>
        <w:t>云服务平台应能确保物理设施安全、边界安全防护、主机安全、虚拟化安全、应用安全、认证安全、数据安全、安全管理、上云系统安全等。</w:t>
      </w:r>
    </w:p>
    <w:p w14:paraId="0ACA8CBC">
      <w:pPr>
        <w:spacing w:before="156" w:beforeLines="50" w:after="156" w:afterLines="50"/>
        <w:ind w:firstLine="420"/>
      </w:pPr>
      <w:r>
        <w:rPr>
          <w:rFonts w:hint="eastAsia"/>
        </w:rPr>
        <w:t>基础设施：通过等保三级与商用密码应用安全性评估，安全设备国产化率≥90%。</w:t>
      </w:r>
    </w:p>
    <w:p w14:paraId="1785AF30">
      <w:pPr>
        <w:spacing w:before="156" w:beforeLines="50" w:after="156" w:afterLines="50"/>
        <w:ind w:firstLine="420"/>
      </w:pPr>
      <w:r>
        <w:rPr>
          <w:rFonts w:hint="eastAsia"/>
        </w:rPr>
        <w:t>数据安全：全量数据加密采用BYOK（自带密钥）模式，密钥轮换周期≤90天。</w:t>
      </w:r>
    </w:p>
    <w:p w14:paraId="7E9E8253">
      <w:pPr>
        <w:spacing w:before="156" w:beforeLines="50" w:after="156" w:afterLines="50"/>
        <w:ind w:firstLine="420"/>
      </w:pPr>
      <w:r>
        <w:rPr>
          <w:rFonts w:hint="eastAsia"/>
        </w:rPr>
        <w:t>容灾体系：构建同城双活（RPO=0，RTO≤5分钟）与异地灾备（RPO≤15分钟）多级架构。</w:t>
      </w:r>
    </w:p>
    <w:p w14:paraId="21FAABB5">
      <w:pPr>
        <w:spacing w:before="156" w:beforeLines="50" w:after="156" w:afterLines="50"/>
        <w:ind w:firstLine="420"/>
      </w:pPr>
      <w:r>
        <w:rPr>
          <w:rFonts w:hint="eastAsia"/>
        </w:rPr>
        <w:t>安全服务：提供基于STIX/TAXII协议的威胁情报订阅，APT攻击防护响应时间≤30分钟。</w:t>
      </w:r>
    </w:p>
    <w:p w14:paraId="2899F47B">
      <w:pPr>
        <w:spacing w:before="156" w:beforeLines="50" w:after="156" w:afterLines="50"/>
        <w:ind w:firstLine="420"/>
      </w:pPr>
    </w:p>
    <w:p w14:paraId="3544CF3A">
      <w:pPr>
        <w:pStyle w:val="3"/>
      </w:pPr>
      <w:bookmarkStart w:id="12" w:name="_Toc49210280"/>
      <w:bookmarkStart w:id="13" w:name="_Toc42244455"/>
      <w:r>
        <w:rPr>
          <w:rFonts w:hint="eastAsia"/>
        </w:rPr>
        <w:t>云</w:t>
      </w:r>
      <w:r>
        <w:t>增值服务设计</w:t>
      </w:r>
      <w:bookmarkEnd w:id="12"/>
      <w:bookmarkEnd w:id="13"/>
    </w:p>
    <w:p w14:paraId="2BCEB4EB">
      <w:pPr>
        <w:spacing w:before="96" w:after="96"/>
        <w:ind w:firstLine="420"/>
        <w:rPr>
          <w:rFonts w:hint="eastAsia" w:ascii="宋体" w:hAnsi="宋体"/>
        </w:rPr>
      </w:pPr>
      <w:r>
        <w:rPr>
          <w:rFonts w:hint="eastAsia" w:ascii="宋体" w:hAnsi="宋体"/>
        </w:rPr>
        <w:t>本次项目投标人应为上海化学工业区公共事务中心提供的云增值服务下：</w:t>
      </w:r>
    </w:p>
    <w:tbl>
      <w:tblPr>
        <w:tblStyle w:val="18"/>
        <w:tblW w:w="9061" w:type="dxa"/>
        <w:tblInd w:w="0" w:type="dxa"/>
        <w:tblLayout w:type="fixed"/>
        <w:tblCellMar>
          <w:top w:w="0" w:type="dxa"/>
          <w:left w:w="10" w:type="dxa"/>
          <w:bottom w:w="0" w:type="dxa"/>
          <w:right w:w="10" w:type="dxa"/>
        </w:tblCellMar>
      </w:tblPr>
      <w:tblGrid>
        <w:gridCol w:w="1100"/>
        <w:gridCol w:w="1190"/>
        <w:gridCol w:w="3829"/>
        <w:gridCol w:w="1418"/>
        <w:gridCol w:w="1524"/>
      </w:tblGrid>
      <w:tr w14:paraId="11A3D178">
        <w:tblPrEx>
          <w:tblCellMar>
            <w:top w:w="0" w:type="dxa"/>
            <w:left w:w="10" w:type="dxa"/>
            <w:bottom w:w="0" w:type="dxa"/>
            <w:right w:w="10" w:type="dxa"/>
          </w:tblCellMar>
        </w:tblPrEx>
        <w:trPr>
          <w:trHeight w:val="569" w:hRule="atLeast"/>
        </w:trPr>
        <w:tc>
          <w:tcPr>
            <w:tcW w:w="11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FF74D6">
            <w:pPr>
              <w:widowControl/>
              <w:spacing w:before="96" w:after="96"/>
              <w:ind w:firstLine="0" w:firstLineChars="0"/>
              <w:jc w:val="center"/>
              <w:rPr>
                <w:rFonts w:hint="eastAsia" w:ascii="宋体" w:hAnsi="宋体" w:cs="宋体"/>
                <w:b/>
                <w:bCs/>
                <w:kern w:val="0"/>
                <w:sz w:val="18"/>
                <w:szCs w:val="18"/>
              </w:rPr>
            </w:pPr>
            <w:r>
              <w:rPr>
                <w:rFonts w:hint="eastAsia" w:ascii="宋体" w:hAnsi="宋体" w:cs="宋体"/>
                <w:b/>
                <w:bCs/>
                <w:kern w:val="0"/>
                <w:sz w:val="18"/>
                <w:szCs w:val="18"/>
              </w:rPr>
              <w:t>序号</w:t>
            </w:r>
          </w:p>
        </w:tc>
        <w:tc>
          <w:tcPr>
            <w:tcW w:w="1190" w:type="dxa"/>
            <w:tcBorders>
              <w:top w:val="single" w:color="auto" w:sz="4" w:space="0"/>
              <w:left w:val="nil"/>
              <w:bottom w:val="single" w:color="auto" w:sz="4" w:space="0"/>
              <w:right w:val="single" w:color="auto" w:sz="4" w:space="0"/>
            </w:tcBorders>
            <w:shd w:val="clear" w:color="auto" w:fill="auto"/>
            <w:vAlign w:val="center"/>
          </w:tcPr>
          <w:p w14:paraId="6A320AEF">
            <w:pPr>
              <w:widowControl/>
              <w:spacing w:before="96" w:after="96"/>
              <w:ind w:firstLine="0" w:firstLineChars="0"/>
              <w:jc w:val="center"/>
              <w:rPr>
                <w:rFonts w:hint="eastAsia" w:ascii="宋体" w:hAnsi="宋体" w:cs="宋体"/>
                <w:b/>
                <w:bCs/>
                <w:kern w:val="0"/>
                <w:sz w:val="18"/>
                <w:szCs w:val="18"/>
              </w:rPr>
            </w:pPr>
            <w:r>
              <w:rPr>
                <w:rFonts w:hint="eastAsia" w:ascii="宋体" w:hAnsi="宋体" w:cs="宋体"/>
                <w:b/>
                <w:bCs/>
                <w:kern w:val="0"/>
                <w:sz w:val="18"/>
                <w:szCs w:val="18"/>
              </w:rPr>
              <w:t>项目名称</w:t>
            </w:r>
          </w:p>
        </w:tc>
        <w:tc>
          <w:tcPr>
            <w:tcW w:w="3829" w:type="dxa"/>
            <w:tcBorders>
              <w:top w:val="single" w:color="auto" w:sz="4" w:space="0"/>
              <w:left w:val="nil"/>
              <w:bottom w:val="single" w:color="auto" w:sz="4" w:space="0"/>
              <w:right w:val="single" w:color="auto" w:sz="4" w:space="0"/>
            </w:tcBorders>
            <w:shd w:val="clear" w:color="auto" w:fill="auto"/>
            <w:noWrap/>
            <w:vAlign w:val="center"/>
          </w:tcPr>
          <w:p w14:paraId="1CDA60D2">
            <w:pPr>
              <w:widowControl/>
              <w:spacing w:before="96" w:after="96"/>
              <w:ind w:firstLine="0" w:firstLineChars="0"/>
              <w:jc w:val="center"/>
              <w:rPr>
                <w:rFonts w:hint="eastAsia" w:ascii="宋体" w:hAnsi="宋体" w:cs="宋体"/>
                <w:b/>
                <w:bCs/>
                <w:kern w:val="0"/>
                <w:sz w:val="18"/>
                <w:szCs w:val="18"/>
              </w:rPr>
            </w:pPr>
            <w:r>
              <w:rPr>
                <w:rFonts w:hint="eastAsia" w:ascii="宋体" w:hAnsi="宋体" w:cs="宋体"/>
                <w:b/>
                <w:bCs/>
                <w:kern w:val="0"/>
                <w:sz w:val="18"/>
                <w:szCs w:val="18"/>
              </w:rPr>
              <w:t>参数指标</w:t>
            </w:r>
          </w:p>
        </w:tc>
        <w:tc>
          <w:tcPr>
            <w:tcW w:w="1418" w:type="dxa"/>
            <w:tcBorders>
              <w:top w:val="single" w:color="auto" w:sz="4" w:space="0"/>
              <w:left w:val="nil"/>
              <w:bottom w:val="single" w:color="auto" w:sz="4" w:space="0"/>
              <w:right w:val="single" w:color="auto" w:sz="4" w:space="0"/>
            </w:tcBorders>
            <w:shd w:val="clear" w:color="auto" w:fill="auto"/>
            <w:noWrap/>
            <w:vAlign w:val="center"/>
          </w:tcPr>
          <w:p w14:paraId="00C124A5">
            <w:pPr>
              <w:widowControl/>
              <w:spacing w:before="96" w:after="96"/>
              <w:ind w:firstLine="0" w:firstLineChars="0"/>
              <w:jc w:val="center"/>
              <w:rPr>
                <w:rFonts w:hint="eastAsia" w:ascii="宋体" w:hAnsi="宋体" w:cs="宋体"/>
                <w:b/>
                <w:bCs/>
                <w:kern w:val="0"/>
                <w:sz w:val="18"/>
                <w:szCs w:val="18"/>
              </w:rPr>
            </w:pPr>
            <w:r>
              <w:rPr>
                <w:rFonts w:hint="eastAsia" w:ascii="宋体" w:hAnsi="宋体" w:cs="宋体"/>
                <w:b/>
                <w:bCs/>
                <w:kern w:val="0"/>
                <w:sz w:val="18"/>
                <w:szCs w:val="18"/>
              </w:rPr>
              <w:t>单位</w:t>
            </w:r>
          </w:p>
        </w:tc>
        <w:tc>
          <w:tcPr>
            <w:tcW w:w="1524" w:type="dxa"/>
            <w:tcBorders>
              <w:top w:val="single" w:color="auto" w:sz="4" w:space="0"/>
              <w:left w:val="nil"/>
              <w:bottom w:val="single" w:color="auto" w:sz="4" w:space="0"/>
              <w:right w:val="single" w:color="auto" w:sz="4" w:space="0"/>
            </w:tcBorders>
            <w:shd w:val="clear" w:color="auto" w:fill="auto"/>
            <w:noWrap/>
            <w:vAlign w:val="center"/>
          </w:tcPr>
          <w:p w14:paraId="0CA784F1">
            <w:pPr>
              <w:widowControl/>
              <w:spacing w:before="96" w:after="96"/>
              <w:ind w:firstLine="0" w:firstLineChars="0"/>
              <w:jc w:val="center"/>
              <w:rPr>
                <w:rFonts w:hint="eastAsia" w:ascii="宋体" w:hAnsi="宋体" w:cs="宋体"/>
                <w:b/>
                <w:bCs/>
                <w:kern w:val="0"/>
                <w:sz w:val="18"/>
                <w:szCs w:val="18"/>
              </w:rPr>
            </w:pPr>
            <w:r>
              <w:rPr>
                <w:rFonts w:hint="eastAsia" w:ascii="宋体" w:hAnsi="宋体" w:cs="宋体"/>
                <w:b/>
                <w:bCs/>
                <w:kern w:val="0"/>
                <w:sz w:val="18"/>
                <w:szCs w:val="18"/>
              </w:rPr>
              <w:t>需求数量</w:t>
            </w:r>
          </w:p>
        </w:tc>
      </w:tr>
      <w:tr w14:paraId="5FF5D5CF">
        <w:tblPrEx>
          <w:tblCellMar>
            <w:top w:w="0" w:type="dxa"/>
            <w:left w:w="10" w:type="dxa"/>
            <w:bottom w:w="0" w:type="dxa"/>
            <w:right w:w="10" w:type="dxa"/>
          </w:tblCellMar>
        </w:tblPrEx>
        <w:trPr>
          <w:trHeight w:val="284" w:hRule="atLeast"/>
        </w:trPr>
        <w:tc>
          <w:tcPr>
            <w:tcW w:w="1100" w:type="dxa"/>
            <w:tcBorders>
              <w:top w:val="single" w:color="auto" w:sz="4" w:space="0"/>
              <w:left w:val="single" w:color="auto" w:sz="4" w:space="0"/>
              <w:bottom w:val="single" w:color="auto" w:sz="4" w:space="0"/>
              <w:right w:val="single" w:color="auto" w:sz="4" w:space="0"/>
            </w:tcBorders>
            <w:shd w:val="clear" w:color="auto" w:fill="auto"/>
            <w:vAlign w:val="center"/>
          </w:tcPr>
          <w:p w14:paraId="54A7A53F">
            <w:pPr>
              <w:widowControl/>
              <w:spacing w:before="96" w:after="96"/>
              <w:ind w:firstLine="0" w:firstLineChars="0"/>
              <w:jc w:val="center"/>
              <w:rPr>
                <w:rFonts w:hint="eastAsia" w:ascii="宋体" w:hAnsi="宋体" w:cs="宋体"/>
                <w:kern w:val="0"/>
                <w:sz w:val="18"/>
                <w:szCs w:val="18"/>
              </w:rPr>
            </w:pPr>
            <w:r>
              <w:rPr>
                <w:rFonts w:hint="eastAsia" w:ascii="微软雅黑" w:hAnsi="微软雅黑" w:eastAsia="微软雅黑" w:cs="宋体"/>
                <w:kern w:val="0"/>
                <w:sz w:val="18"/>
                <w:szCs w:val="18"/>
              </w:rPr>
              <w:t>1</w:t>
            </w:r>
          </w:p>
        </w:tc>
        <w:tc>
          <w:tcPr>
            <w:tcW w:w="1190" w:type="dxa"/>
            <w:tcBorders>
              <w:top w:val="single" w:color="auto" w:sz="4" w:space="0"/>
              <w:left w:val="single" w:color="auto" w:sz="4" w:space="0"/>
              <w:bottom w:val="single" w:color="auto" w:sz="4" w:space="0"/>
              <w:right w:val="single" w:color="auto" w:sz="4" w:space="0"/>
            </w:tcBorders>
            <w:shd w:val="clear" w:color="auto" w:fill="auto"/>
            <w:vAlign w:val="center"/>
          </w:tcPr>
          <w:p w14:paraId="3E7B505E">
            <w:pPr>
              <w:widowControl/>
              <w:spacing w:before="96" w:after="96"/>
              <w:ind w:firstLine="0" w:firstLineChars="0"/>
              <w:jc w:val="center"/>
              <w:rPr>
                <w:rFonts w:hint="eastAsia" w:ascii="宋体" w:hAnsi="宋体" w:cs="宋体"/>
                <w:kern w:val="0"/>
                <w:sz w:val="18"/>
                <w:szCs w:val="18"/>
              </w:rPr>
            </w:pPr>
            <w:r>
              <w:rPr>
                <w:rFonts w:hint="eastAsia" w:ascii="微软雅黑" w:hAnsi="微软雅黑" w:eastAsia="微软雅黑" w:cs="宋体"/>
                <w:kern w:val="0"/>
                <w:sz w:val="18"/>
                <w:szCs w:val="18"/>
              </w:rPr>
              <w:t>云增值服务</w:t>
            </w:r>
          </w:p>
        </w:tc>
        <w:tc>
          <w:tcPr>
            <w:tcW w:w="38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C70CA7">
            <w:pPr>
              <w:widowControl/>
              <w:spacing w:before="96" w:after="96"/>
              <w:ind w:firstLine="0" w:firstLineChars="0"/>
              <w:jc w:val="left"/>
              <w:rPr>
                <w:rFonts w:hint="eastAsia" w:ascii="宋体" w:hAnsi="宋体" w:cs="宋体"/>
                <w:kern w:val="0"/>
                <w:sz w:val="18"/>
                <w:szCs w:val="18"/>
              </w:rPr>
            </w:pPr>
            <w:r>
              <w:rPr>
                <w:rFonts w:hint="eastAsia" w:ascii="微软雅黑" w:hAnsi="微软雅黑" w:eastAsia="微软雅黑" w:cs="宋体"/>
                <w:kern w:val="0"/>
                <w:sz w:val="18"/>
                <w:szCs w:val="18"/>
              </w:rPr>
              <w:t>基础设施服务：技术支持服务、数据中心运维服务、业务系统运维服务等</w:t>
            </w:r>
          </w:p>
        </w:tc>
        <w:tc>
          <w:tcPr>
            <w:tcW w:w="1418"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E3D28BA">
            <w:pPr>
              <w:widowControl/>
              <w:spacing w:before="96" w:after="96"/>
              <w:ind w:firstLine="0" w:firstLineChars="0"/>
              <w:jc w:val="center"/>
              <w:rPr>
                <w:rFonts w:hint="eastAsia" w:ascii="宋体" w:hAnsi="宋体" w:cs="宋体"/>
                <w:kern w:val="0"/>
                <w:sz w:val="18"/>
                <w:szCs w:val="18"/>
              </w:rPr>
            </w:pPr>
            <w:r>
              <w:rPr>
                <w:rFonts w:hint="eastAsia" w:ascii="微软雅黑" w:hAnsi="微软雅黑" w:eastAsia="微软雅黑" w:cs="宋体"/>
                <w:kern w:val="0"/>
                <w:sz w:val="18"/>
                <w:szCs w:val="18"/>
              </w:rPr>
              <w:t>套</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03B0A">
            <w:pPr>
              <w:widowControl/>
              <w:spacing w:before="96" w:after="96"/>
              <w:ind w:firstLine="0" w:firstLineChars="0"/>
              <w:jc w:val="center"/>
              <w:rPr>
                <w:rFonts w:hint="eastAsia" w:ascii="宋体" w:hAnsi="宋体" w:cs="宋体"/>
                <w:kern w:val="0"/>
                <w:sz w:val="18"/>
                <w:szCs w:val="18"/>
              </w:rPr>
            </w:pPr>
            <w:r>
              <w:rPr>
                <w:rFonts w:hint="eastAsia" w:ascii="微软雅黑" w:hAnsi="微软雅黑" w:eastAsia="微软雅黑" w:cs="宋体"/>
                <w:kern w:val="0"/>
                <w:sz w:val="18"/>
                <w:szCs w:val="18"/>
              </w:rPr>
              <w:t>1</w:t>
            </w:r>
          </w:p>
        </w:tc>
      </w:tr>
    </w:tbl>
    <w:p w14:paraId="7518449B">
      <w:pPr>
        <w:pStyle w:val="3"/>
      </w:pPr>
      <w:r>
        <w:rPr>
          <w:rFonts w:hint="eastAsia"/>
        </w:rPr>
        <w:t>备份和容灾服务设计要求</w:t>
      </w:r>
    </w:p>
    <w:p w14:paraId="3F0CE96B">
      <w:pPr>
        <w:pStyle w:val="4"/>
        <w:spacing w:line="360" w:lineRule="auto"/>
      </w:pPr>
      <w:r>
        <w:rPr>
          <w:rFonts w:hint="eastAsia"/>
        </w:rPr>
        <w:t>云主机备份服务设计</w:t>
      </w:r>
    </w:p>
    <w:p w14:paraId="6D637221">
      <w:pPr>
        <w:spacing w:before="96" w:after="96"/>
        <w:ind w:firstLine="420"/>
        <w:rPr>
          <w:rFonts w:hint="eastAsia" w:ascii="宋体" w:hAnsi="宋体"/>
        </w:rPr>
      </w:pPr>
      <w:r>
        <w:rPr>
          <w:rFonts w:hint="eastAsia" w:ascii="宋体" w:hAnsi="宋体"/>
        </w:rPr>
        <w:t>云主机的数据快照恢复服务应当可以让用户可自行选择按时间点、按磁盘来进行数据回滚，并不限制数据恢复的次数。同时，快照恢复服务可针对整个主机包括系统及所有磁盘进行快照操作，消除了数据恢复可能产生的“死角”。</w:t>
      </w:r>
    </w:p>
    <w:p w14:paraId="1B1E480A">
      <w:pPr>
        <w:pStyle w:val="4"/>
        <w:spacing w:line="360" w:lineRule="auto"/>
      </w:pPr>
      <w:r>
        <w:rPr>
          <w:rFonts w:hint="eastAsia"/>
        </w:rPr>
        <w:t>数据级容灾服务设计</w:t>
      </w:r>
    </w:p>
    <w:p w14:paraId="73BE5869">
      <w:pPr>
        <w:spacing w:before="96" w:after="96"/>
        <w:ind w:firstLine="420"/>
        <w:rPr>
          <w:rFonts w:hint="eastAsia" w:ascii="宋体" w:hAnsi="宋体"/>
        </w:rPr>
      </w:pPr>
      <w:r>
        <w:rPr>
          <w:rFonts w:hint="eastAsia" w:ascii="宋体" w:hAnsi="宋体"/>
        </w:rPr>
        <w:t>需部署云端数据级灾备系统平台，该平台应当可以通过无缝融合云平台的资源，实现当前整个资源共享，成本低廉、部署迅速、灵活弹性的远程灾备服务，在对数据安全性进行严格管理的同时，实现对数据、应用提供最大高可用性保证。</w:t>
      </w:r>
    </w:p>
    <w:p w14:paraId="6852977F">
      <w:pPr>
        <w:pStyle w:val="3"/>
      </w:pPr>
      <w:bookmarkStart w:id="14" w:name="_Toc42244456"/>
      <w:bookmarkStart w:id="15" w:name="_Toc49210281"/>
      <w:r>
        <w:rPr>
          <w:rFonts w:hint="eastAsia"/>
        </w:rPr>
        <w:t>云管理平台设计</w:t>
      </w:r>
      <w:bookmarkEnd w:id="14"/>
      <w:bookmarkEnd w:id="15"/>
      <w:r>
        <w:rPr>
          <w:rFonts w:hint="eastAsia"/>
        </w:rPr>
        <w:t xml:space="preserve"> </w:t>
      </w:r>
    </w:p>
    <w:p w14:paraId="438ADDF2">
      <w:pPr>
        <w:spacing w:before="96" w:after="96"/>
        <w:ind w:firstLine="420"/>
        <w:rPr>
          <w:rFonts w:hint="eastAsia" w:ascii="宋体" w:hAnsi="宋体"/>
        </w:rPr>
      </w:pPr>
      <w:r>
        <w:rPr>
          <w:rFonts w:hint="eastAsia" w:ascii="宋体" w:hAnsi="宋体"/>
        </w:rPr>
        <w:t>本次项目投标人应为上海化工区提供的云运维服务,</w:t>
      </w:r>
      <w:r>
        <w:rPr>
          <w:rFonts w:hint="eastAsia" w:ascii="宋体" w:hAnsi="宋体" w:cs="宋体"/>
          <w:kern w:val="0"/>
          <w:szCs w:val="21"/>
        </w:rPr>
        <w:t>包括但不限于原厂驻场工程师服务、云管理平台综合运维服务、协助应用迁移服务等。</w:t>
      </w:r>
    </w:p>
    <w:p w14:paraId="41715B97">
      <w:pPr>
        <w:pStyle w:val="4"/>
        <w:spacing w:line="360" w:lineRule="auto"/>
      </w:pPr>
      <w:bookmarkStart w:id="16" w:name="_Toc42244457"/>
      <w:bookmarkStart w:id="17" w:name="_Toc49210282"/>
      <w:r>
        <w:rPr>
          <w:rFonts w:hint="eastAsia"/>
        </w:rPr>
        <w:t>虚拟化方案设计</w:t>
      </w:r>
      <w:bookmarkEnd w:id="16"/>
      <w:bookmarkEnd w:id="17"/>
    </w:p>
    <w:p w14:paraId="34D37F0E">
      <w:pPr>
        <w:spacing w:before="96" w:after="96"/>
        <w:ind w:firstLine="420"/>
        <w:rPr>
          <w:b/>
          <w:bCs/>
        </w:rPr>
      </w:pPr>
      <w:r>
        <w:rPr>
          <w:rFonts w:hint="eastAsia" w:ascii="宋体" w:hAnsi="宋体"/>
        </w:rPr>
        <w:t>本期项目的投标人为招标方设计的虚拟化方案应当具备虚拟化安全隔离、虚拟化热迁移、虚拟化高可用HA、存储热迁移、虚拟机规格动态调整</w:t>
      </w:r>
      <w:r>
        <w:rPr>
          <w:rFonts w:hint="eastAsia"/>
        </w:rPr>
        <w:t>等功能。</w:t>
      </w:r>
    </w:p>
    <w:p w14:paraId="30BE15B4">
      <w:pPr>
        <w:pStyle w:val="4"/>
        <w:spacing w:line="360" w:lineRule="auto"/>
      </w:pPr>
      <w:r>
        <w:rPr>
          <w:rFonts w:hint="eastAsia"/>
          <w:lang w:eastAsia="zh-CN"/>
        </w:rPr>
        <w:t>信创 要求</w:t>
      </w:r>
      <w:bookmarkStart w:id="18" w:name="_GoBack"/>
      <w:bookmarkEnd w:id="18"/>
      <w:r>
        <w:rPr>
          <w:rFonts w:hint="eastAsia"/>
        </w:rPr>
        <w:t xml:space="preserve"> </w:t>
      </w:r>
    </w:p>
    <w:p w14:paraId="07535729">
      <w:pPr>
        <w:spacing w:before="130" w:after="130"/>
        <w:ind w:firstLine="420"/>
        <w:rPr>
          <w:rFonts w:hint="eastAsia" w:ascii="宋体" w:hAnsi="宋体"/>
        </w:rPr>
      </w:pPr>
      <w:r>
        <w:rPr>
          <w:rFonts w:hint="eastAsia" w:ascii="宋体" w:hAnsi="宋体"/>
        </w:rPr>
        <w:t>为满足云平台同时纳管X86服务器资源和ARM服务器资源，云平台需可以同时支持X86和ARM架构服务器的计算资源管理。X86与ARM资源池为不同AZ，相互独立，有效隔离不会互相影响。并需在ARM的业务区制作可用于ARM服务器的镜像。为保证</w:t>
      </w:r>
      <w:r>
        <w:rPr>
          <w:rFonts w:ascii="宋体" w:hAnsi="宋体"/>
        </w:rPr>
        <w:t>ARM</w:t>
      </w:r>
      <w:r>
        <w:rPr>
          <w:rFonts w:hint="eastAsia" w:ascii="宋体" w:hAnsi="宋体"/>
        </w:rPr>
        <w:t>业务系统与原X</w:t>
      </w:r>
      <w:r>
        <w:rPr>
          <w:rFonts w:ascii="宋体" w:hAnsi="宋体"/>
        </w:rPr>
        <w:t>86</w:t>
      </w:r>
      <w:r>
        <w:rPr>
          <w:rFonts w:hint="eastAsia" w:ascii="宋体" w:hAnsi="宋体"/>
        </w:rPr>
        <w:t>业务系统的交互和使用效果，X86与ARM资源池必须同机房部署。</w:t>
      </w:r>
    </w:p>
    <w:p w14:paraId="23437F49">
      <w:pPr>
        <w:spacing w:before="130" w:after="130"/>
        <w:ind w:firstLine="420"/>
        <w:rPr>
          <w:rFonts w:hint="eastAsia" w:ascii="宋体" w:hAnsi="宋体"/>
        </w:rPr>
      </w:pPr>
      <w:r>
        <w:rPr>
          <w:rFonts w:hint="eastAsia" w:ascii="宋体" w:hAnsi="宋体"/>
        </w:rPr>
        <w:t>相关方案拓扑见下图。</w:t>
      </w:r>
    </w:p>
    <w:p w14:paraId="6F76E09E">
      <w:pPr>
        <w:spacing w:before="130" w:after="130"/>
        <w:ind w:firstLine="420"/>
        <w:jc w:val="center"/>
        <w:rPr>
          <w:rFonts w:hint="eastAsia" w:ascii="宋体" w:hAnsi="宋体"/>
        </w:rPr>
      </w:pPr>
      <w:r>
        <w:rPr>
          <w:rFonts w:ascii="宋体" w:hAnsi="宋体"/>
        </w:rPr>
        <w:drawing>
          <wp:inline distT="0" distB="0" distL="0" distR="0">
            <wp:extent cx="4152265" cy="3162935"/>
            <wp:effectExtent l="19050" t="0" r="493" b="0"/>
            <wp:docPr id="1" name="图片 0" descr="拓扑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拓扑图.png"/>
                    <pic:cNvPicPr>
                      <a:picLocks noChangeAspect="1"/>
                    </pic:cNvPicPr>
                  </pic:nvPicPr>
                  <pic:blipFill>
                    <a:blip r:embed="rId14" cstate="print"/>
                    <a:stretch>
                      <a:fillRect/>
                    </a:stretch>
                  </pic:blipFill>
                  <pic:spPr>
                    <a:xfrm>
                      <a:off x="0" y="0"/>
                      <a:ext cx="4152407" cy="3163145"/>
                    </a:xfrm>
                    <a:prstGeom prst="rect">
                      <a:avLst/>
                    </a:prstGeom>
                  </pic:spPr>
                </pic:pic>
              </a:graphicData>
            </a:graphic>
          </wp:inline>
        </w:drawing>
      </w:r>
    </w:p>
    <w:p w14:paraId="3E940A14">
      <w:pPr>
        <w:pStyle w:val="3"/>
      </w:pPr>
      <w:r>
        <w:rPr>
          <w:rFonts w:hint="eastAsia"/>
        </w:rPr>
        <w:t xml:space="preserve">密码服务要求 </w:t>
      </w:r>
    </w:p>
    <w:p w14:paraId="505384B2">
      <w:pPr>
        <w:ind w:firstLine="420"/>
        <w:rPr>
          <w:rFonts w:hint="eastAsia" w:ascii="宋体" w:hAnsi="宋体"/>
        </w:rPr>
      </w:pPr>
      <w:r>
        <w:rPr>
          <w:rFonts w:hint="eastAsia" w:ascii="宋体" w:hAnsi="宋体"/>
        </w:rPr>
        <w:t>本次项目投标人应为上海化学工业区公共事务中心提供的密码服务如下：</w:t>
      </w:r>
    </w:p>
    <w:tbl>
      <w:tblPr>
        <w:tblStyle w:val="18"/>
        <w:tblpPr w:leftFromText="180" w:rightFromText="180" w:vertAnchor="text" w:horzAnchor="margin" w:tblpY="1"/>
        <w:tblW w:w="9061" w:type="dxa"/>
        <w:tblInd w:w="0" w:type="dxa"/>
        <w:tblLayout w:type="fixed"/>
        <w:tblCellMar>
          <w:top w:w="0" w:type="dxa"/>
          <w:left w:w="10" w:type="dxa"/>
          <w:bottom w:w="0" w:type="dxa"/>
          <w:right w:w="10" w:type="dxa"/>
        </w:tblCellMar>
      </w:tblPr>
      <w:tblGrid>
        <w:gridCol w:w="577"/>
        <w:gridCol w:w="993"/>
        <w:gridCol w:w="5103"/>
        <w:gridCol w:w="1134"/>
        <w:gridCol w:w="1254"/>
      </w:tblGrid>
      <w:tr w14:paraId="5B671D27">
        <w:tblPrEx>
          <w:tblCellMar>
            <w:top w:w="0" w:type="dxa"/>
            <w:left w:w="10" w:type="dxa"/>
            <w:bottom w:w="0" w:type="dxa"/>
            <w:right w:w="10" w:type="dxa"/>
          </w:tblCellMar>
        </w:tblPrEx>
        <w:trPr>
          <w:trHeight w:val="569" w:hRule="atLeast"/>
        </w:trPr>
        <w:tc>
          <w:tcPr>
            <w:tcW w:w="57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167BEE">
            <w:pPr>
              <w:widowControl/>
              <w:spacing w:before="96" w:after="96"/>
              <w:ind w:firstLine="0" w:firstLineChars="0"/>
              <w:jc w:val="center"/>
              <w:rPr>
                <w:rFonts w:hint="eastAsia" w:ascii="微软雅黑" w:hAnsi="微软雅黑" w:eastAsia="微软雅黑" w:cs="宋体"/>
                <w:b/>
                <w:bCs/>
                <w:kern w:val="0"/>
                <w:sz w:val="18"/>
                <w:szCs w:val="18"/>
              </w:rPr>
            </w:pPr>
            <w:r>
              <w:rPr>
                <w:rFonts w:hint="eastAsia" w:ascii="微软雅黑" w:hAnsi="微软雅黑" w:eastAsia="微软雅黑" w:cs="宋体"/>
                <w:b/>
                <w:bCs/>
                <w:kern w:val="0"/>
                <w:sz w:val="18"/>
                <w:szCs w:val="18"/>
              </w:rPr>
              <w:t>序号</w:t>
            </w:r>
          </w:p>
        </w:tc>
        <w:tc>
          <w:tcPr>
            <w:tcW w:w="993" w:type="dxa"/>
            <w:tcBorders>
              <w:top w:val="single" w:color="auto" w:sz="4" w:space="0"/>
              <w:left w:val="nil"/>
              <w:bottom w:val="single" w:color="auto" w:sz="4" w:space="0"/>
              <w:right w:val="single" w:color="auto" w:sz="4" w:space="0"/>
            </w:tcBorders>
            <w:shd w:val="clear" w:color="auto" w:fill="auto"/>
            <w:vAlign w:val="center"/>
          </w:tcPr>
          <w:p w14:paraId="0C9D1615">
            <w:pPr>
              <w:widowControl/>
              <w:spacing w:before="96" w:after="96"/>
              <w:ind w:firstLine="0" w:firstLineChars="0"/>
              <w:jc w:val="center"/>
              <w:rPr>
                <w:rFonts w:hint="eastAsia" w:ascii="微软雅黑" w:hAnsi="微软雅黑" w:eastAsia="微软雅黑" w:cs="宋体"/>
                <w:b/>
                <w:bCs/>
                <w:kern w:val="0"/>
                <w:sz w:val="18"/>
                <w:szCs w:val="18"/>
              </w:rPr>
            </w:pPr>
            <w:r>
              <w:rPr>
                <w:rFonts w:hint="eastAsia" w:ascii="微软雅黑" w:hAnsi="微软雅黑" w:eastAsia="微软雅黑" w:cs="宋体"/>
                <w:b/>
                <w:bCs/>
                <w:kern w:val="0"/>
                <w:sz w:val="18"/>
                <w:szCs w:val="18"/>
              </w:rPr>
              <w:t>项目名称</w:t>
            </w:r>
          </w:p>
        </w:tc>
        <w:tc>
          <w:tcPr>
            <w:tcW w:w="5103" w:type="dxa"/>
            <w:tcBorders>
              <w:top w:val="single" w:color="auto" w:sz="4" w:space="0"/>
              <w:left w:val="nil"/>
              <w:bottom w:val="single" w:color="auto" w:sz="4" w:space="0"/>
              <w:right w:val="single" w:color="auto" w:sz="4" w:space="0"/>
            </w:tcBorders>
            <w:shd w:val="clear" w:color="auto" w:fill="auto"/>
            <w:noWrap/>
            <w:vAlign w:val="center"/>
          </w:tcPr>
          <w:p w14:paraId="0164D516">
            <w:pPr>
              <w:widowControl/>
              <w:spacing w:before="96" w:after="96"/>
              <w:ind w:firstLine="0" w:firstLineChars="0"/>
              <w:jc w:val="center"/>
              <w:rPr>
                <w:rFonts w:hint="eastAsia" w:ascii="微软雅黑" w:hAnsi="微软雅黑" w:eastAsia="微软雅黑" w:cs="宋体"/>
                <w:b/>
                <w:bCs/>
                <w:kern w:val="0"/>
                <w:sz w:val="18"/>
                <w:szCs w:val="18"/>
              </w:rPr>
            </w:pPr>
            <w:r>
              <w:rPr>
                <w:rFonts w:hint="eastAsia" w:ascii="微软雅黑" w:hAnsi="微软雅黑" w:eastAsia="微软雅黑" w:cs="宋体"/>
                <w:b/>
                <w:bCs/>
                <w:kern w:val="0"/>
                <w:sz w:val="18"/>
                <w:szCs w:val="18"/>
              </w:rPr>
              <w:t>参数指标</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144F5BFA">
            <w:pPr>
              <w:widowControl/>
              <w:spacing w:before="96" w:after="96"/>
              <w:ind w:firstLine="0" w:firstLineChars="0"/>
              <w:jc w:val="center"/>
              <w:rPr>
                <w:rFonts w:hint="eastAsia" w:ascii="微软雅黑" w:hAnsi="微软雅黑" w:eastAsia="微软雅黑" w:cs="宋体"/>
                <w:b/>
                <w:bCs/>
                <w:kern w:val="0"/>
                <w:sz w:val="18"/>
                <w:szCs w:val="18"/>
              </w:rPr>
            </w:pPr>
            <w:r>
              <w:rPr>
                <w:rFonts w:hint="eastAsia" w:ascii="微软雅黑" w:hAnsi="微软雅黑" w:eastAsia="微软雅黑" w:cs="宋体"/>
                <w:b/>
                <w:bCs/>
                <w:kern w:val="0"/>
                <w:sz w:val="18"/>
                <w:szCs w:val="18"/>
              </w:rPr>
              <w:t>单位</w:t>
            </w:r>
          </w:p>
        </w:tc>
        <w:tc>
          <w:tcPr>
            <w:tcW w:w="1254" w:type="dxa"/>
            <w:tcBorders>
              <w:top w:val="single" w:color="auto" w:sz="4" w:space="0"/>
              <w:left w:val="nil"/>
              <w:bottom w:val="single" w:color="auto" w:sz="4" w:space="0"/>
              <w:right w:val="single" w:color="auto" w:sz="4" w:space="0"/>
            </w:tcBorders>
            <w:shd w:val="clear" w:color="auto" w:fill="auto"/>
            <w:noWrap/>
            <w:vAlign w:val="center"/>
          </w:tcPr>
          <w:p w14:paraId="43883507">
            <w:pPr>
              <w:widowControl/>
              <w:spacing w:before="96" w:after="96"/>
              <w:ind w:firstLine="0" w:firstLineChars="0"/>
              <w:jc w:val="center"/>
              <w:rPr>
                <w:rFonts w:hint="eastAsia" w:ascii="微软雅黑" w:hAnsi="微软雅黑" w:eastAsia="微软雅黑" w:cs="宋体"/>
                <w:b/>
                <w:bCs/>
                <w:kern w:val="0"/>
                <w:sz w:val="18"/>
                <w:szCs w:val="18"/>
              </w:rPr>
            </w:pPr>
            <w:r>
              <w:rPr>
                <w:rFonts w:hint="eastAsia" w:ascii="微软雅黑" w:hAnsi="微软雅黑" w:eastAsia="微软雅黑" w:cs="宋体"/>
                <w:b/>
                <w:bCs/>
                <w:kern w:val="0"/>
                <w:sz w:val="18"/>
                <w:szCs w:val="18"/>
              </w:rPr>
              <w:t>需求数量</w:t>
            </w:r>
          </w:p>
        </w:tc>
      </w:tr>
      <w:tr w14:paraId="7A750D0E">
        <w:tblPrEx>
          <w:tblCellMar>
            <w:top w:w="0" w:type="dxa"/>
            <w:left w:w="10" w:type="dxa"/>
            <w:bottom w:w="0" w:type="dxa"/>
            <w:right w:w="10" w:type="dxa"/>
          </w:tblCellMar>
        </w:tblPrEx>
        <w:trPr>
          <w:trHeight w:val="284" w:hRule="atLeast"/>
        </w:trPr>
        <w:tc>
          <w:tcPr>
            <w:tcW w:w="577" w:type="dxa"/>
            <w:vMerge w:val="restart"/>
            <w:tcBorders>
              <w:top w:val="single" w:color="000000" w:sz="4" w:space="0"/>
              <w:left w:val="single" w:color="000000" w:sz="4" w:space="0"/>
              <w:right w:val="single" w:color="000000" w:sz="4" w:space="0"/>
            </w:tcBorders>
            <w:shd w:val="clear" w:color="auto" w:fill="auto"/>
            <w:vAlign w:val="center"/>
          </w:tcPr>
          <w:p w14:paraId="1DD64DF7">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1</w:t>
            </w:r>
          </w:p>
        </w:tc>
        <w:tc>
          <w:tcPr>
            <w:tcW w:w="993" w:type="dxa"/>
            <w:vMerge w:val="restart"/>
            <w:tcBorders>
              <w:top w:val="single" w:color="000000" w:sz="4" w:space="0"/>
              <w:left w:val="single" w:color="000000" w:sz="4" w:space="0"/>
              <w:right w:val="single" w:color="000000" w:sz="4" w:space="0"/>
            </w:tcBorders>
            <w:shd w:val="clear" w:color="auto" w:fill="auto"/>
            <w:vAlign w:val="center"/>
          </w:tcPr>
          <w:p w14:paraId="4179CCAE">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密码服务</w:t>
            </w:r>
          </w:p>
        </w:tc>
        <w:tc>
          <w:tcPr>
            <w:tcW w:w="5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E01C7">
            <w:pPr>
              <w:widowControl/>
              <w:spacing w:before="96" w:after="96"/>
              <w:ind w:firstLine="0" w:firstLineChars="0"/>
              <w:jc w:val="left"/>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安全认证网关服务</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735F0">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套</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D21C3">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1</w:t>
            </w:r>
          </w:p>
        </w:tc>
      </w:tr>
      <w:tr w14:paraId="2FC23C4C">
        <w:tblPrEx>
          <w:tblCellMar>
            <w:top w:w="0" w:type="dxa"/>
            <w:left w:w="10" w:type="dxa"/>
            <w:bottom w:w="0" w:type="dxa"/>
            <w:right w:w="10" w:type="dxa"/>
          </w:tblCellMar>
        </w:tblPrEx>
        <w:trPr>
          <w:trHeight w:val="284" w:hRule="atLeast"/>
        </w:trPr>
        <w:tc>
          <w:tcPr>
            <w:tcW w:w="577" w:type="dxa"/>
            <w:vMerge w:val="continue"/>
            <w:tcBorders>
              <w:left w:val="single" w:color="000000" w:sz="4" w:space="0"/>
              <w:right w:val="single" w:color="000000" w:sz="4" w:space="0"/>
            </w:tcBorders>
            <w:shd w:val="clear" w:color="auto" w:fill="auto"/>
            <w:vAlign w:val="center"/>
          </w:tcPr>
          <w:p w14:paraId="7782BC68">
            <w:pPr>
              <w:widowControl/>
              <w:spacing w:before="96" w:after="96"/>
              <w:ind w:firstLine="0" w:firstLineChars="0"/>
              <w:jc w:val="center"/>
              <w:rPr>
                <w:rFonts w:hint="eastAsia" w:ascii="微软雅黑" w:hAnsi="微软雅黑" w:eastAsia="微软雅黑" w:cs="宋体"/>
                <w:kern w:val="0"/>
                <w:sz w:val="18"/>
                <w:szCs w:val="18"/>
              </w:rPr>
            </w:pPr>
          </w:p>
        </w:tc>
        <w:tc>
          <w:tcPr>
            <w:tcW w:w="993" w:type="dxa"/>
            <w:vMerge w:val="continue"/>
            <w:tcBorders>
              <w:left w:val="single" w:color="000000" w:sz="4" w:space="0"/>
              <w:right w:val="single" w:color="000000" w:sz="4" w:space="0"/>
            </w:tcBorders>
            <w:shd w:val="clear" w:color="auto" w:fill="auto"/>
            <w:vAlign w:val="center"/>
          </w:tcPr>
          <w:p w14:paraId="6D82D864">
            <w:pPr>
              <w:widowControl/>
              <w:spacing w:before="96" w:after="96"/>
              <w:ind w:firstLine="0" w:firstLineChars="0"/>
              <w:jc w:val="center"/>
              <w:rPr>
                <w:rFonts w:hint="eastAsia" w:ascii="微软雅黑" w:hAnsi="微软雅黑" w:eastAsia="微软雅黑" w:cs="宋体"/>
                <w:kern w:val="0"/>
                <w:sz w:val="18"/>
                <w:szCs w:val="18"/>
              </w:rPr>
            </w:pPr>
          </w:p>
        </w:tc>
        <w:tc>
          <w:tcPr>
            <w:tcW w:w="5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462D9">
            <w:pPr>
              <w:widowControl/>
              <w:spacing w:before="96" w:after="96"/>
              <w:ind w:firstLine="0" w:firstLineChars="0"/>
              <w:jc w:val="left"/>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时间戳服务</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0F5AC">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套</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DB555">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1</w:t>
            </w:r>
          </w:p>
        </w:tc>
      </w:tr>
      <w:tr w14:paraId="780060AE">
        <w:tblPrEx>
          <w:tblCellMar>
            <w:top w:w="0" w:type="dxa"/>
            <w:left w:w="10" w:type="dxa"/>
            <w:bottom w:w="0" w:type="dxa"/>
            <w:right w:w="10" w:type="dxa"/>
          </w:tblCellMar>
        </w:tblPrEx>
        <w:trPr>
          <w:trHeight w:val="284" w:hRule="atLeast"/>
        </w:trPr>
        <w:tc>
          <w:tcPr>
            <w:tcW w:w="577" w:type="dxa"/>
            <w:vMerge w:val="continue"/>
            <w:tcBorders>
              <w:left w:val="single" w:color="000000" w:sz="4" w:space="0"/>
              <w:right w:val="single" w:color="000000" w:sz="4" w:space="0"/>
            </w:tcBorders>
            <w:shd w:val="clear" w:color="auto" w:fill="auto"/>
            <w:vAlign w:val="center"/>
          </w:tcPr>
          <w:p w14:paraId="498FEED9">
            <w:pPr>
              <w:widowControl/>
              <w:spacing w:before="96" w:after="96"/>
              <w:ind w:firstLine="0" w:firstLineChars="0"/>
              <w:jc w:val="center"/>
              <w:rPr>
                <w:rFonts w:hint="eastAsia" w:ascii="微软雅黑" w:hAnsi="微软雅黑" w:eastAsia="微软雅黑" w:cs="宋体"/>
                <w:kern w:val="0"/>
                <w:sz w:val="18"/>
                <w:szCs w:val="18"/>
              </w:rPr>
            </w:pPr>
          </w:p>
        </w:tc>
        <w:tc>
          <w:tcPr>
            <w:tcW w:w="993" w:type="dxa"/>
            <w:vMerge w:val="continue"/>
            <w:tcBorders>
              <w:left w:val="single" w:color="000000" w:sz="4" w:space="0"/>
              <w:right w:val="single" w:color="000000" w:sz="4" w:space="0"/>
            </w:tcBorders>
            <w:shd w:val="clear" w:color="auto" w:fill="auto"/>
            <w:vAlign w:val="center"/>
          </w:tcPr>
          <w:p w14:paraId="31CAE05C">
            <w:pPr>
              <w:widowControl/>
              <w:spacing w:before="96" w:after="96"/>
              <w:ind w:firstLine="0" w:firstLineChars="0"/>
              <w:jc w:val="center"/>
              <w:rPr>
                <w:rFonts w:hint="eastAsia" w:ascii="微软雅黑" w:hAnsi="微软雅黑" w:eastAsia="微软雅黑" w:cs="宋体"/>
                <w:kern w:val="0"/>
                <w:sz w:val="18"/>
                <w:szCs w:val="18"/>
              </w:rPr>
            </w:pPr>
          </w:p>
        </w:tc>
        <w:tc>
          <w:tcPr>
            <w:tcW w:w="5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E07FB">
            <w:pPr>
              <w:widowControl/>
              <w:spacing w:before="96" w:after="96"/>
              <w:ind w:firstLine="0" w:firstLineChars="0"/>
              <w:jc w:val="left"/>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签名验签服务</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50ADD">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套</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EA298">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1</w:t>
            </w:r>
          </w:p>
        </w:tc>
      </w:tr>
      <w:tr w14:paraId="7B5FB514">
        <w:tblPrEx>
          <w:tblCellMar>
            <w:top w:w="0" w:type="dxa"/>
            <w:left w:w="10" w:type="dxa"/>
            <w:bottom w:w="0" w:type="dxa"/>
            <w:right w:w="10" w:type="dxa"/>
          </w:tblCellMar>
        </w:tblPrEx>
        <w:trPr>
          <w:trHeight w:val="284" w:hRule="atLeast"/>
        </w:trPr>
        <w:tc>
          <w:tcPr>
            <w:tcW w:w="577" w:type="dxa"/>
            <w:vMerge w:val="continue"/>
            <w:tcBorders>
              <w:left w:val="single" w:color="000000" w:sz="4" w:space="0"/>
              <w:bottom w:val="single" w:color="000000" w:sz="4" w:space="0"/>
              <w:right w:val="single" w:color="000000" w:sz="4" w:space="0"/>
            </w:tcBorders>
            <w:shd w:val="clear" w:color="auto" w:fill="auto"/>
            <w:vAlign w:val="center"/>
          </w:tcPr>
          <w:p w14:paraId="4189EDA5">
            <w:pPr>
              <w:widowControl/>
              <w:spacing w:before="96" w:after="96"/>
              <w:ind w:firstLine="0" w:firstLineChars="0"/>
              <w:jc w:val="center"/>
              <w:rPr>
                <w:rFonts w:hint="eastAsia" w:ascii="微软雅黑" w:hAnsi="微软雅黑" w:eastAsia="微软雅黑" w:cs="宋体"/>
                <w:kern w:val="0"/>
                <w:sz w:val="18"/>
                <w:szCs w:val="18"/>
              </w:rPr>
            </w:pPr>
          </w:p>
        </w:tc>
        <w:tc>
          <w:tcPr>
            <w:tcW w:w="993" w:type="dxa"/>
            <w:vMerge w:val="continue"/>
            <w:tcBorders>
              <w:left w:val="single" w:color="000000" w:sz="4" w:space="0"/>
              <w:bottom w:val="single" w:color="000000" w:sz="4" w:space="0"/>
              <w:right w:val="single" w:color="000000" w:sz="4" w:space="0"/>
            </w:tcBorders>
            <w:shd w:val="clear" w:color="auto" w:fill="auto"/>
            <w:vAlign w:val="center"/>
          </w:tcPr>
          <w:p w14:paraId="636EA549">
            <w:pPr>
              <w:widowControl/>
              <w:spacing w:before="96" w:after="96"/>
              <w:ind w:firstLine="0" w:firstLineChars="0"/>
              <w:jc w:val="center"/>
              <w:rPr>
                <w:rFonts w:hint="eastAsia" w:ascii="微软雅黑" w:hAnsi="微软雅黑" w:eastAsia="微软雅黑" w:cs="宋体"/>
                <w:kern w:val="0"/>
                <w:sz w:val="18"/>
                <w:szCs w:val="18"/>
              </w:rPr>
            </w:pPr>
          </w:p>
        </w:tc>
        <w:tc>
          <w:tcPr>
            <w:tcW w:w="5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7D343">
            <w:pPr>
              <w:widowControl/>
              <w:spacing w:before="96" w:after="96"/>
              <w:ind w:firstLine="0" w:firstLineChars="0"/>
              <w:jc w:val="left"/>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可信密码服务</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080D6">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应用</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B873B">
            <w:pPr>
              <w:widowControl/>
              <w:spacing w:before="96" w:after="96"/>
              <w:ind w:firstLine="0" w:firstLineChars="0"/>
              <w:jc w:val="center"/>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1</w:t>
            </w:r>
          </w:p>
        </w:tc>
      </w:tr>
    </w:tbl>
    <w:p w14:paraId="21B2A785">
      <w:pPr>
        <w:pStyle w:val="4"/>
        <w:spacing w:line="360" w:lineRule="auto"/>
      </w:pPr>
      <w:r>
        <w:rPr>
          <w:rFonts w:hint="eastAsia"/>
        </w:rPr>
        <w:t>功能要求​​</w:t>
      </w:r>
    </w:p>
    <w:p w14:paraId="5DD1587B">
      <w:pPr>
        <w:ind w:firstLine="0" w:firstLineChars="0"/>
        <w:rPr>
          <w:b/>
          <w:bCs/>
        </w:rPr>
      </w:pPr>
      <w:r>
        <w:rPr>
          <w:rFonts w:hint="eastAsia"/>
          <w:b/>
          <w:bCs/>
        </w:rPr>
        <w:t>密码服务支撑​​</w:t>
      </w:r>
    </w:p>
    <w:p w14:paraId="433C453E">
      <w:pPr>
        <w:ind w:firstLine="420"/>
      </w:pPr>
      <w:r>
        <w:rPr>
          <w:rFonts w:hint="eastAsia"/>
        </w:rPr>
        <w:t>提供云平台级密码服务，支持SM2/SM3/SM4/SM9等国密算法，覆盖数据加密、数字签名、身份认证等功能。</w:t>
      </w:r>
    </w:p>
    <w:p w14:paraId="7A393E33">
      <w:pPr>
        <w:ind w:firstLine="420"/>
      </w:pPr>
      <w:r>
        <w:rPr>
          <w:rFonts w:hint="eastAsia"/>
        </w:rPr>
        <w:t>为租户业务系统提供标准化API接口（如RESTful），支持密钥生成、加解密、摘要计算等基础密码操作。</w:t>
      </w:r>
    </w:p>
    <w:p w14:paraId="01143333">
      <w:pPr>
        <w:ind w:firstLine="0" w:firstLineChars="0"/>
        <w:rPr>
          <w:b/>
          <w:bCs/>
        </w:rPr>
      </w:pPr>
      <w:r>
        <w:rPr>
          <w:rFonts w:hint="eastAsia"/>
          <w:b/>
          <w:bCs/>
        </w:rPr>
        <w:t>密钥管理​​</w:t>
      </w:r>
    </w:p>
    <w:p w14:paraId="7EFCEAFD">
      <w:pPr>
        <w:ind w:firstLine="420"/>
      </w:pPr>
      <w:r>
        <w:rPr>
          <w:rFonts w:hint="eastAsia"/>
        </w:rPr>
        <w:t>支持多租户密钥隔离，确保不同租户/应用的密钥独立存储、互不可见。</w:t>
      </w:r>
    </w:p>
    <w:p w14:paraId="47CFE658">
      <w:pPr>
        <w:ind w:firstLine="420"/>
      </w:pPr>
      <w:r>
        <w:rPr>
          <w:rFonts w:hint="eastAsia"/>
        </w:rPr>
        <w:t>提供密钥全生命周期管理功能，包括生成、存储、分发、更新、销毁等，密钥需优先存储于硬件密码机（HSM）或合规密钥管理系统。</w:t>
      </w:r>
    </w:p>
    <w:p w14:paraId="0DC49BB5">
      <w:pPr>
        <w:ind w:firstLine="0" w:firstLineChars="0"/>
        <w:rPr>
          <w:b/>
          <w:bCs/>
        </w:rPr>
      </w:pPr>
      <w:r>
        <w:rPr>
          <w:rFonts w:hint="eastAsia"/>
          <w:b/>
          <w:bCs/>
        </w:rPr>
        <w:t>密码资源管理​​</w:t>
      </w:r>
    </w:p>
    <w:p w14:paraId="4A962B25">
      <w:pPr>
        <w:ind w:firstLine="420"/>
      </w:pPr>
      <w:r>
        <w:rPr>
          <w:rFonts w:hint="eastAsia"/>
        </w:rPr>
        <w:t>实时监控密码服务资源（如密码机性能、API调用量），动态分配资源以应对业务高峰。</w:t>
      </w:r>
    </w:p>
    <w:p w14:paraId="7E0213B6">
      <w:pPr>
        <w:ind w:firstLine="420"/>
      </w:pPr>
      <w:r>
        <w:rPr>
          <w:rFonts w:hint="eastAsia"/>
        </w:rPr>
        <w:t>提供可视化监控界面，展示密码服务运行状态、密钥使用统计及告警信息。</w:t>
      </w:r>
    </w:p>
    <w:p w14:paraId="30BB3530">
      <w:pPr>
        <w:pStyle w:val="4"/>
        <w:spacing w:line="360" w:lineRule="auto"/>
      </w:pPr>
      <w:r>
        <w:rPr>
          <w:rFonts w:hint="eastAsia"/>
        </w:rPr>
        <w:t>技术要求​​</w:t>
      </w:r>
    </w:p>
    <w:p w14:paraId="18F446E2">
      <w:pPr>
        <w:ind w:firstLine="0" w:firstLineChars="0"/>
        <w:rPr>
          <w:b/>
          <w:bCs/>
        </w:rPr>
      </w:pPr>
      <w:r>
        <w:rPr>
          <w:rFonts w:hint="eastAsia"/>
          <w:b/>
          <w:bCs/>
        </w:rPr>
        <w:t>合规性要求​​</w:t>
      </w:r>
    </w:p>
    <w:p w14:paraId="6E501AC6">
      <w:pPr>
        <w:ind w:firstLine="420"/>
      </w:pPr>
      <w:r>
        <w:rPr>
          <w:rFonts w:hint="eastAsia"/>
        </w:rPr>
        <w:t>遵循GB/T 39786-2021《信息系统密码应用基本要求》，通过商用密码应用安全性评估。</w:t>
      </w:r>
    </w:p>
    <w:p w14:paraId="1220137F">
      <w:pPr>
        <w:ind w:firstLine="420"/>
      </w:pPr>
      <w:r>
        <w:rPr>
          <w:rFonts w:hint="eastAsia"/>
        </w:rPr>
        <w:t>密码产品需通过国密局认证（如服务器密码机、密钥管理系统）。</w:t>
      </w:r>
    </w:p>
    <w:p w14:paraId="7398A276">
      <w:pPr>
        <w:ind w:firstLine="0" w:firstLineChars="0"/>
        <w:rPr>
          <w:b/>
          <w:bCs/>
        </w:rPr>
      </w:pPr>
      <w:r>
        <w:rPr>
          <w:rFonts w:hint="eastAsia"/>
          <w:b/>
          <w:bCs/>
        </w:rPr>
        <w:t>安全隔离​​</w:t>
      </w:r>
    </w:p>
    <w:p w14:paraId="419D72F7">
      <w:pPr>
        <w:ind w:firstLine="420"/>
      </w:pPr>
      <w:r>
        <w:rPr>
          <w:rFonts w:hint="eastAsia"/>
        </w:rPr>
        <w:t>采用虚拟密码机（vHSM）技术，为每个租户分配独立虚拟密码资源。</w:t>
      </w:r>
    </w:p>
    <w:p w14:paraId="50504F5D">
      <w:pPr>
        <w:ind w:firstLine="420"/>
      </w:pPr>
      <w:r>
        <w:rPr>
          <w:rFonts w:hint="eastAsia"/>
        </w:rPr>
        <w:t>租户密钥存储需加密保护，支持硬件级安全隔离（如TEE/SE）。</w:t>
      </w:r>
    </w:p>
    <w:p w14:paraId="34017043">
      <w:pPr>
        <w:ind w:firstLine="0" w:firstLineChars="0"/>
        <w:rPr>
          <w:b/>
          <w:bCs/>
        </w:rPr>
      </w:pPr>
      <w:r>
        <w:rPr>
          <w:rFonts w:hint="eastAsia"/>
          <w:b/>
          <w:bCs/>
        </w:rPr>
        <w:t>高可用性​​</w:t>
      </w:r>
    </w:p>
    <w:p w14:paraId="363C8D23">
      <w:pPr>
        <w:ind w:firstLine="420"/>
      </w:pPr>
      <w:r>
        <w:rPr>
          <w:rFonts w:hint="eastAsia"/>
        </w:rPr>
        <w:t>密码服务集群支持负载均衡，单节点故障时自动切换，服务可用性≥99.9%。</w:t>
      </w:r>
    </w:p>
    <w:p w14:paraId="4BFF468A">
      <w:pPr>
        <w:ind w:firstLine="420"/>
      </w:pPr>
      <w:r>
        <w:rPr>
          <w:rFonts w:hint="eastAsia"/>
        </w:rPr>
        <w:t>密钥管理系统支持异地备份与快速恢复机制。</w:t>
      </w:r>
    </w:p>
    <w:p w14:paraId="1B41F945">
      <w:pPr>
        <w:pStyle w:val="4"/>
        <w:spacing w:line="360" w:lineRule="auto"/>
      </w:pPr>
      <w:r>
        <w:rPr>
          <w:rFonts w:hint="eastAsia"/>
        </w:rPr>
        <w:t>服务要求​​</w:t>
      </w:r>
    </w:p>
    <w:p w14:paraId="4D049D70">
      <w:pPr>
        <w:ind w:firstLine="0" w:firstLineChars="0"/>
        <w:rPr>
          <w:b/>
          <w:bCs/>
        </w:rPr>
      </w:pPr>
      <w:r>
        <w:rPr>
          <w:rFonts w:hint="eastAsia"/>
          <w:b/>
          <w:bCs/>
        </w:rPr>
        <w:t>部署模式​​</w:t>
      </w:r>
    </w:p>
    <w:p w14:paraId="4518B591">
      <w:pPr>
        <w:ind w:firstLine="420"/>
      </w:pPr>
      <w:r>
        <w:rPr>
          <w:rFonts w:hint="eastAsia"/>
        </w:rPr>
        <w:t>与云平台深度集成，支持私有化部署或混合云模式，提供密码服务与云原生应用的快速对接方案。</w:t>
      </w:r>
    </w:p>
    <w:p w14:paraId="5FFA5A62">
      <w:pPr>
        <w:ind w:firstLine="0" w:firstLineChars="0"/>
        <w:rPr>
          <w:b/>
          <w:bCs/>
        </w:rPr>
      </w:pPr>
      <w:r>
        <w:rPr>
          <w:rFonts w:hint="eastAsia"/>
          <w:b/>
          <w:bCs/>
        </w:rPr>
        <w:t>接口标准化​​</w:t>
      </w:r>
    </w:p>
    <w:p w14:paraId="226A5239">
      <w:pPr>
        <w:ind w:firstLine="420"/>
      </w:pPr>
      <w:r>
        <w:rPr>
          <w:rFonts w:hint="eastAsia"/>
        </w:rPr>
        <w:t>提供标准SDK及开发文档，支持Java/Python/C++等主流开发语言调用。</w:t>
      </w:r>
    </w:p>
    <w:p w14:paraId="63E10868">
      <w:pPr>
        <w:ind w:firstLine="0" w:firstLineChars="0"/>
        <w:rPr>
          <w:b/>
          <w:bCs/>
        </w:rPr>
      </w:pPr>
      <w:r>
        <w:rPr>
          <w:rFonts w:hint="eastAsia"/>
          <w:b/>
          <w:bCs/>
        </w:rPr>
        <w:t>运维支持​​</w:t>
      </w:r>
    </w:p>
    <w:p w14:paraId="4B0C645C">
      <w:pPr>
        <w:ind w:firstLine="420"/>
      </w:pPr>
      <w:r>
        <w:rPr>
          <w:rFonts w:hint="eastAsia"/>
        </w:rPr>
        <w:t>7×24小时运维监控，响应时间≤1小时（重大安全事件）。</w:t>
      </w:r>
    </w:p>
    <w:p w14:paraId="3572EA73">
      <w:pPr>
        <w:ind w:firstLine="420"/>
      </w:pPr>
      <w:r>
        <w:rPr>
          <w:rFonts w:hint="eastAsia"/>
        </w:rPr>
        <w:t>每季度提供密码服务健康检查报告及优化建议。</w:t>
      </w:r>
    </w:p>
    <w:p w14:paraId="14990D21">
      <w:pPr>
        <w:ind w:firstLine="0" w:firstLineChars="0"/>
        <w:rPr>
          <w:b/>
          <w:bCs/>
        </w:rPr>
      </w:pPr>
      <w:r>
        <w:rPr>
          <w:rFonts w:hint="eastAsia"/>
          <w:b/>
          <w:bCs/>
        </w:rPr>
        <w:t>培训服务​​</w:t>
      </w:r>
    </w:p>
    <w:p w14:paraId="4E996C2D">
      <w:pPr>
        <w:ind w:firstLine="420"/>
      </w:pPr>
      <w:r>
        <w:rPr>
          <w:rFonts w:hint="eastAsia"/>
        </w:rPr>
        <w:t>提供密码服务使用培训及密评合规指导，协助通过等保三级和密评测评。</w:t>
      </w:r>
    </w:p>
    <w:p w14:paraId="6ED7D53C">
      <w:pPr>
        <w:pStyle w:val="3"/>
      </w:pPr>
      <w:r>
        <w:rPr>
          <w:rFonts w:hint="eastAsia"/>
        </w:rPr>
        <w:t xml:space="preserve">等保服务要求 </w:t>
      </w:r>
    </w:p>
    <w:p w14:paraId="691C454C">
      <w:pPr>
        <w:ind w:firstLine="420"/>
      </w:pPr>
      <w:r>
        <w:rPr>
          <w:rFonts w:hint="eastAsia"/>
        </w:rPr>
        <w:t>依据《信息安全技术网络安全等级保护基本要求》（GB/T 22239-2019）第三级的要求，对2025年上海化工区云资源服务项目进行全面的安全评估，包括但不限于物理安全、网络安全、主机安全、应用安全、数据安全及备份恢复、安全管理等方面。</w:t>
      </w:r>
    </w:p>
    <w:p w14:paraId="7C9B6107">
      <w:pPr>
        <w:ind w:firstLine="420"/>
      </w:pPr>
      <w:r>
        <w:rPr>
          <w:rFonts w:hint="eastAsia"/>
        </w:rPr>
        <w:t>识别现有系统存在的安全隐患，提出整改建议，并协助完成整改工作，确保系统达到等保三级标准。</w:t>
      </w:r>
    </w:p>
    <w:p w14:paraId="6FE64360">
      <w:pPr>
        <w:ind w:firstLine="420"/>
      </w:pPr>
      <w:r>
        <w:rPr>
          <w:rFonts w:hint="eastAsia"/>
        </w:rPr>
        <w:t>提供等保三级评估报告、整改建议方案及整改完成后的复测报告。</w:t>
      </w:r>
    </w:p>
    <w:p w14:paraId="6FB3A133">
      <w:pPr>
        <w:pStyle w:val="3"/>
      </w:pPr>
      <w:r>
        <w:rPr>
          <w:rFonts w:hint="eastAsia"/>
        </w:rPr>
        <w:t xml:space="preserve">技术服务团队要求 </w:t>
      </w:r>
    </w:p>
    <w:p w14:paraId="593C0DF3">
      <w:pPr>
        <w:ind w:firstLine="420"/>
      </w:pPr>
      <w:r>
        <w:rPr>
          <w:rFonts w:hint="eastAsia"/>
        </w:rPr>
        <w:t>投标人应为本项目组建专业的技术服务团队，提供7×24小时的技术服务；技术服务团队的人员构成应涵盖本项目涉及的各个技术领域，具备云平台服务相关的经验和专业技能。</w:t>
      </w:r>
    </w:p>
    <w:p w14:paraId="6FEFF6D2">
      <w:pPr>
        <w:ind w:firstLine="420"/>
      </w:pPr>
      <w:r>
        <w:rPr>
          <w:rFonts w:hint="eastAsia"/>
        </w:rPr>
        <w:t>投标人应指定2名专职人员作为技术接口人，负责跟踪云平台服务全过程。在服务期间，技术接口人员变更必须征得甲方同意。</w:t>
      </w:r>
    </w:p>
    <w:p w14:paraId="63DCC46F">
      <w:pPr>
        <w:ind w:firstLine="420"/>
      </w:pPr>
      <w:r>
        <w:rPr>
          <w:rFonts w:hint="eastAsia"/>
        </w:rPr>
        <w:t>对采购人提出的服务请求，投标人必须在10分钟内响应，并安排相应的技术人员提供服务。</w:t>
      </w:r>
    </w:p>
    <w:p w14:paraId="2768B0C4">
      <w:pPr>
        <w:ind w:firstLine="420"/>
      </w:pPr>
      <w:r>
        <w:rPr>
          <w:rFonts w:hint="eastAsia"/>
        </w:rPr>
        <w:t>在合同签订后至项目建设完成前，项目经理和骨干技术人员应常驻现场；对项目的实施制定实施方案，细化到每个执行步骤，每个步骤应包含实施时间、实施内容、具体操作步骤、实施人、监护人，在实施前必须要得到采购方和监理方的书面授权。</w:t>
      </w:r>
    </w:p>
    <w:p w14:paraId="76520BE4">
      <w:pPr>
        <w:ind w:firstLine="420"/>
      </w:pPr>
      <w:r>
        <w:rPr>
          <w:rFonts w:hint="eastAsia"/>
        </w:rPr>
        <w:t>项目实施包含调整网管软件系统，真实展现调整后的系统平台，设置阈值、告警等，由投标人负责完成，所有相关费用计入投标报价。如投标人进行了非授权操作，将给予的警告并记录，如累计3次警告，将提交政府相关采购部门进行不诚信记录。</w:t>
      </w:r>
    </w:p>
    <w:p w14:paraId="449F2EFA">
      <w:pPr>
        <w:ind w:firstLine="420"/>
      </w:pPr>
      <w:r>
        <w:rPr>
          <w:rFonts w:hint="eastAsia"/>
        </w:rPr>
        <w:t>在项目实施和维护过程中，如造成数据损坏或影响业务正常运行，投标人应承担所有损失。</w:t>
      </w:r>
    </w:p>
    <w:p w14:paraId="29D9FE1F">
      <w:pPr>
        <w:ind w:firstLine="420"/>
      </w:pPr>
      <w:r>
        <w:rPr>
          <w:rFonts w:hint="eastAsia"/>
        </w:rPr>
        <w:t>服务期内，如采购单位需要，投标人应提供不限次数的针对应用系统的安全加固测试、整改、指导、培训等服务。</w:t>
      </w:r>
    </w:p>
    <w:p w14:paraId="2AF6A1D0">
      <w:pPr>
        <w:ind w:firstLine="420"/>
      </w:pPr>
      <w:r>
        <w:rPr>
          <w:rFonts w:hint="eastAsia"/>
        </w:rPr>
        <w:t>投标人在采购单位提出要求后的3个工作日内，组建包含系统工程师、数据库工程师、网络工程师和安全工程师的团队，到采购单位指定的地点提供安全加固服务。</w:t>
      </w:r>
    </w:p>
    <w:p w14:paraId="52AA6507">
      <w:pPr>
        <w:ind w:firstLine="420"/>
      </w:pPr>
      <w:r>
        <w:rPr>
          <w:rFonts w:hint="eastAsia"/>
        </w:rPr>
        <w:t>投标人应做出无推诿承诺。即无论由于哪一方产生的问题而使系统发生不正常情况时，立即派工程师到现场全力协助，直至系统故障原因找到并解决，系统恢复正常。</w:t>
      </w:r>
    </w:p>
    <w:p w14:paraId="6DF2ADC8">
      <w:pPr>
        <w:pStyle w:val="21"/>
        <w:ind w:firstLine="380"/>
      </w:pPr>
    </w:p>
    <w:p w14:paraId="1201D59C">
      <w:pPr>
        <w:pStyle w:val="2"/>
      </w:pPr>
      <w:r>
        <w:rPr>
          <w:rFonts w:hint="eastAsia"/>
        </w:rPr>
        <w:t>验收要求</w:t>
      </w:r>
    </w:p>
    <w:p w14:paraId="6B6C7033">
      <w:pPr>
        <w:ind w:firstLine="420"/>
      </w:pPr>
      <w:r>
        <w:rPr>
          <w:rFonts w:hint="eastAsia"/>
        </w:rPr>
        <w:t>1、服务根据合同的规定完成后，甲方应及时进行根据合同的规定进行服务验收。乙方应当以书面形式向甲方递交验收通知书，甲方在收到验收通知书后的10个工作日内，确定具体日期，由双方按照本合同的规定完成服务验收。甲方有权委托第三方检测机构进行验收，对此乙方应当配合。</w:t>
      </w:r>
    </w:p>
    <w:p w14:paraId="3A194D03">
      <w:pPr>
        <w:ind w:firstLine="420"/>
      </w:pPr>
      <w:r>
        <w:rPr>
          <w:rFonts w:hint="eastAsia"/>
        </w:rPr>
        <w:t>2、如果属于乙方原因致使系统未能通过验收，乙方应当排除故障，并自行承担相关费用，同时进行试运行，直至服务完全符合验收标准。</w:t>
      </w:r>
    </w:p>
    <w:p w14:paraId="77AC48EC">
      <w:pPr>
        <w:ind w:firstLine="420"/>
      </w:pPr>
      <w:r>
        <w:t>3</w:t>
      </w:r>
      <w:r>
        <w:rPr>
          <w:rFonts w:hint="eastAsia"/>
        </w:rPr>
        <w:t>、如果属于甲方原因致使系统未能通过验收，甲方应在合理时间内排除故障，再次进行验收。如果属于故障之外的原因，除本合同规定的不可抗力外，甲方不愿或未能在规定的时间内完成验收，则由乙方单方面进行验收，并将验收报告提交甲方，即视为验收通过。</w:t>
      </w:r>
    </w:p>
    <w:p w14:paraId="277687F6">
      <w:pPr>
        <w:ind w:firstLine="420"/>
      </w:pPr>
      <w:r>
        <w:t>4</w:t>
      </w:r>
      <w:r>
        <w:rPr>
          <w:rFonts w:hint="eastAsia"/>
        </w:rPr>
        <w:t>、甲方根据合同的规定对服务验收合格后，甲方收取发票并签署验收意见。</w:t>
      </w:r>
    </w:p>
    <w:p w14:paraId="1248D11B">
      <w:pPr>
        <w:ind w:firstLine="420"/>
      </w:pPr>
      <w:r>
        <w:rPr>
          <w:rFonts w:hint="eastAsia"/>
        </w:rPr>
        <w:t>中标人承担本项目总体要求框架内的化工云数据中心、基础软件、服务器设备、网络及安全设备等的软硬件设备建设运维费用，并负责化工云平台整体运维。</w:t>
      </w:r>
    </w:p>
    <w:p w14:paraId="0E8AA28C">
      <w:pPr>
        <w:pStyle w:val="2"/>
      </w:pPr>
      <w:r>
        <w:rPr>
          <w:rFonts w:hint="eastAsia"/>
        </w:rPr>
        <w:t>其他要求</w:t>
      </w:r>
    </w:p>
    <w:p w14:paraId="778A8F00">
      <w:pPr>
        <w:ind w:firstLine="420"/>
      </w:pPr>
      <w:r>
        <w:rPr>
          <w:rFonts w:hint="eastAsia"/>
        </w:rPr>
        <w:t>1、供应商具有CCRC信息安全服务资质认证证书、ISO9001质量管理体系认证证书。</w:t>
      </w:r>
    </w:p>
    <w:p w14:paraId="199CF168">
      <w:pPr>
        <w:ind w:firstLine="420"/>
      </w:pPr>
      <w:r>
        <w:rPr>
          <w:rFonts w:hint="eastAsia"/>
        </w:rPr>
        <w:t>2、服务团队人员中，具有正高级职称、信息系统项目管理师（高级）、注册信息安全专业人员(CISP)证书的优先。</w:t>
      </w:r>
    </w:p>
    <w:p w14:paraId="13CC9E2D">
      <w:pPr>
        <w:pStyle w:val="21"/>
        <w:spacing w:after="0"/>
        <w:ind w:firstLine="380"/>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Songti SC">
    <w:altName w:val="宋体"/>
    <w:panose1 w:val="00000000000000000000"/>
    <w:charset w:val="86"/>
    <w:family w:val="auto"/>
    <w:pitch w:val="default"/>
    <w:sig w:usb0="00000000" w:usb1="00000000" w:usb2="00000000" w:usb3="00000000" w:csb0="00040000"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05443">
    <w:pPr>
      <w:pStyle w:val="1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D09C2">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90FFB">
    <w:pPr>
      <w:pStyle w:val="1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A25D4">
    <w:pPr>
      <w:pStyle w:val="1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C712D">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9FFE1">
    <w:pPr>
      <w:pStyle w:val="1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EFCC34"/>
    <w:multiLevelType w:val="multilevel"/>
    <w:tmpl w:val="DDEFCC34"/>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1">
    <w:nsid w:val="54C13DD2"/>
    <w:multiLevelType w:val="multilevel"/>
    <w:tmpl w:val="54C13DD2"/>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noPunctuationKerning w:val="1"/>
  <w:characterSpacingControl w:val="doNotCompress"/>
  <w:footnotePr>
    <w:footnote w:id="0"/>
    <w:footnote w:id="1"/>
  </w:footnotePr>
  <w:endnotePr>
    <w:endnote w:id="0"/>
    <w:endnote w:id="1"/>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D97"/>
    <w:rsid w:val="00026272"/>
    <w:rsid w:val="000276E3"/>
    <w:rsid w:val="00030AD9"/>
    <w:rsid w:val="00032C2F"/>
    <w:rsid w:val="000425C0"/>
    <w:rsid w:val="00080A78"/>
    <w:rsid w:val="00081830"/>
    <w:rsid w:val="00084157"/>
    <w:rsid w:val="00097DBB"/>
    <w:rsid w:val="000D35E2"/>
    <w:rsid w:val="000E5DD5"/>
    <w:rsid w:val="000F7E07"/>
    <w:rsid w:val="001465DA"/>
    <w:rsid w:val="001A2F2F"/>
    <w:rsid w:val="001B1465"/>
    <w:rsid w:val="001C5746"/>
    <w:rsid w:val="001F2D95"/>
    <w:rsid w:val="001F39F5"/>
    <w:rsid w:val="00212D83"/>
    <w:rsid w:val="0023296F"/>
    <w:rsid w:val="002B097B"/>
    <w:rsid w:val="002B0D59"/>
    <w:rsid w:val="00301B93"/>
    <w:rsid w:val="00305D97"/>
    <w:rsid w:val="003306F6"/>
    <w:rsid w:val="00342906"/>
    <w:rsid w:val="00363BE0"/>
    <w:rsid w:val="003728BF"/>
    <w:rsid w:val="0039421A"/>
    <w:rsid w:val="003B4823"/>
    <w:rsid w:val="003D6DC2"/>
    <w:rsid w:val="004522C1"/>
    <w:rsid w:val="00477EA5"/>
    <w:rsid w:val="004E1AD4"/>
    <w:rsid w:val="004E310E"/>
    <w:rsid w:val="004E6B6E"/>
    <w:rsid w:val="004F1D02"/>
    <w:rsid w:val="004F33B9"/>
    <w:rsid w:val="00553650"/>
    <w:rsid w:val="005752EF"/>
    <w:rsid w:val="00580DC2"/>
    <w:rsid w:val="005D2F8D"/>
    <w:rsid w:val="005D7D29"/>
    <w:rsid w:val="005E1845"/>
    <w:rsid w:val="00627DC8"/>
    <w:rsid w:val="00642774"/>
    <w:rsid w:val="00647EF9"/>
    <w:rsid w:val="00676CDD"/>
    <w:rsid w:val="006C32A6"/>
    <w:rsid w:val="007049B7"/>
    <w:rsid w:val="00757518"/>
    <w:rsid w:val="0077108F"/>
    <w:rsid w:val="00783243"/>
    <w:rsid w:val="00787D5C"/>
    <w:rsid w:val="00794A62"/>
    <w:rsid w:val="007A0426"/>
    <w:rsid w:val="007B021D"/>
    <w:rsid w:val="00835960"/>
    <w:rsid w:val="00841D3B"/>
    <w:rsid w:val="008470A4"/>
    <w:rsid w:val="0085757D"/>
    <w:rsid w:val="00865C0E"/>
    <w:rsid w:val="008A428B"/>
    <w:rsid w:val="008B525D"/>
    <w:rsid w:val="008B54C7"/>
    <w:rsid w:val="008D1417"/>
    <w:rsid w:val="008F00F9"/>
    <w:rsid w:val="00914598"/>
    <w:rsid w:val="009464F2"/>
    <w:rsid w:val="00975DA3"/>
    <w:rsid w:val="00991D6C"/>
    <w:rsid w:val="009A19D4"/>
    <w:rsid w:val="009A31A3"/>
    <w:rsid w:val="009E6BA7"/>
    <w:rsid w:val="00A07918"/>
    <w:rsid w:val="00A102A0"/>
    <w:rsid w:val="00A4367A"/>
    <w:rsid w:val="00A43CF5"/>
    <w:rsid w:val="00A60EC6"/>
    <w:rsid w:val="00A80319"/>
    <w:rsid w:val="00A831F6"/>
    <w:rsid w:val="00A84BD1"/>
    <w:rsid w:val="00A87BE0"/>
    <w:rsid w:val="00A93CEE"/>
    <w:rsid w:val="00AD45CC"/>
    <w:rsid w:val="00AE0CE5"/>
    <w:rsid w:val="00AE1D3B"/>
    <w:rsid w:val="00AF2EE5"/>
    <w:rsid w:val="00B01BE8"/>
    <w:rsid w:val="00B21399"/>
    <w:rsid w:val="00B2189B"/>
    <w:rsid w:val="00B45BA3"/>
    <w:rsid w:val="00B5421F"/>
    <w:rsid w:val="00B55C07"/>
    <w:rsid w:val="00B57C15"/>
    <w:rsid w:val="00B64665"/>
    <w:rsid w:val="00B81D8D"/>
    <w:rsid w:val="00BB4977"/>
    <w:rsid w:val="00BC65BB"/>
    <w:rsid w:val="00BC7D5E"/>
    <w:rsid w:val="00BF50D3"/>
    <w:rsid w:val="00C06C2B"/>
    <w:rsid w:val="00C258E9"/>
    <w:rsid w:val="00C50F74"/>
    <w:rsid w:val="00C61566"/>
    <w:rsid w:val="00C92084"/>
    <w:rsid w:val="00CB6789"/>
    <w:rsid w:val="00CF0C41"/>
    <w:rsid w:val="00D27BB7"/>
    <w:rsid w:val="00D45C10"/>
    <w:rsid w:val="00D906D9"/>
    <w:rsid w:val="00DA0F6E"/>
    <w:rsid w:val="00DB375B"/>
    <w:rsid w:val="00DC5A3A"/>
    <w:rsid w:val="00DE4438"/>
    <w:rsid w:val="00DF06AD"/>
    <w:rsid w:val="00E12013"/>
    <w:rsid w:val="00E4084F"/>
    <w:rsid w:val="00E561D1"/>
    <w:rsid w:val="00E5638B"/>
    <w:rsid w:val="00E64BFE"/>
    <w:rsid w:val="00EA6471"/>
    <w:rsid w:val="00EB0100"/>
    <w:rsid w:val="00EF2570"/>
    <w:rsid w:val="00EF74EF"/>
    <w:rsid w:val="00F43BB0"/>
    <w:rsid w:val="00F87EEC"/>
    <w:rsid w:val="00FC737A"/>
    <w:rsid w:val="00FD52D6"/>
    <w:rsid w:val="11FF3626"/>
    <w:rsid w:val="1D3F389E"/>
    <w:rsid w:val="1FB7C661"/>
    <w:rsid w:val="22D46F56"/>
    <w:rsid w:val="2CFB4320"/>
    <w:rsid w:val="2EEE4AB6"/>
    <w:rsid w:val="3DFF2996"/>
    <w:rsid w:val="4ABB5523"/>
    <w:rsid w:val="4FFF133A"/>
    <w:rsid w:val="57B473DB"/>
    <w:rsid w:val="5BBFDA2B"/>
    <w:rsid w:val="5E3BCB2E"/>
    <w:rsid w:val="6AAF96AC"/>
    <w:rsid w:val="6C9B91C6"/>
    <w:rsid w:val="6FB588BD"/>
    <w:rsid w:val="6FFA5753"/>
    <w:rsid w:val="7497E1EB"/>
    <w:rsid w:val="767EAA67"/>
    <w:rsid w:val="7732F2DB"/>
    <w:rsid w:val="777618B2"/>
    <w:rsid w:val="7B7A2BC0"/>
    <w:rsid w:val="7BFF84FD"/>
    <w:rsid w:val="7DBF33E6"/>
    <w:rsid w:val="7EF7668B"/>
    <w:rsid w:val="7FB77AA1"/>
    <w:rsid w:val="7FBC6820"/>
    <w:rsid w:val="7FFDC332"/>
    <w:rsid w:val="7FFFE81E"/>
    <w:rsid w:val="9FD70C64"/>
    <w:rsid w:val="9FFF385A"/>
    <w:rsid w:val="A78E6DE4"/>
    <w:rsid w:val="BE777902"/>
    <w:rsid w:val="C77DECCA"/>
    <w:rsid w:val="D37F68D1"/>
    <w:rsid w:val="DDDFDE64"/>
    <w:rsid w:val="DF43AB7D"/>
    <w:rsid w:val="E4FF990C"/>
    <w:rsid w:val="E7FAC9E1"/>
    <w:rsid w:val="EB5E6DFB"/>
    <w:rsid w:val="ED5A2E6C"/>
    <w:rsid w:val="EDDFBAD7"/>
    <w:rsid w:val="EDFEFFE8"/>
    <w:rsid w:val="EEBFA660"/>
    <w:rsid w:val="F37D1EBC"/>
    <w:rsid w:val="F7EF7638"/>
    <w:rsid w:val="F9EFBFA3"/>
    <w:rsid w:val="F9FD43C6"/>
    <w:rsid w:val="FAEFE02A"/>
    <w:rsid w:val="FB7BACDD"/>
    <w:rsid w:val="FBDAFBA8"/>
    <w:rsid w:val="FCED1200"/>
    <w:rsid w:val="FDDEEC19"/>
    <w:rsid w:val="FECFE012"/>
    <w:rsid w:val="FEFF4C00"/>
    <w:rsid w:val="FF8B9E0B"/>
    <w:rsid w:val="FFBF58AB"/>
    <w:rsid w:val="FFE54741"/>
    <w:rsid w:val="FFFE2BE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5"/>
    <w:qFormat/>
    <w:uiPriority w:val="9"/>
    <w:pPr>
      <w:keepNext/>
      <w:keepLines/>
      <w:numPr>
        <w:ilvl w:val="0"/>
        <w:numId w:val="1"/>
      </w:numPr>
      <w:ind w:firstLine="0" w:firstLineChars="0"/>
      <w:outlineLvl w:val="0"/>
    </w:pPr>
    <w:rPr>
      <w:b/>
      <w:bCs/>
      <w:kern w:val="44"/>
      <w:sz w:val="32"/>
      <w:szCs w:val="44"/>
    </w:rPr>
  </w:style>
  <w:style w:type="paragraph" w:styleId="3">
    <w:name w:val="heading 2"/>
    <w:basedOn w:val="1"/>
    <w:next w:val="1"/>
    <w:link w:val="26"/>
    <w:unhideWhenUsed/>
    <w:qFormat/>
    <w:uiPriority w:val="9"/>
    <w:pPr>
      <w:keepNext/>
      <w:keepLines/>
      <w:numPr>
        <w:ilvl w:val="1"/>
        <w:numId w:val="1"/>
      </w:numPr>
      <w:spacing w:before="260" w:after="260" w:line="416" w:lineRule="auto"/>
      <w:ind w:firstLine="0" w:firstLineChars="0"/>
      <w:outlineLvl w:val="1"/>
    </w:pPr>
    <w:rPr>
      <w:rFonts w:eastAsia="Songti SC" w:asciiTheme="majorHAnsi" w:hAnsiTheme="majorHAnsi" w:cstheme="majorBidi"/>
      <w:b/>
      <w:bCs/>
      <w:sz w:val="28"/>
      <w:szCs w:val="32"/>
    </w:rPr>
  </w:style>
  <w:style w:type="paragraph" w:styleId="4">
    <w:name w:val="heading 3"/>
    <w:basedOn w:val="1"/>
    <w:next w:val="1"/>
    <w:link w:val="27"/>
    <w:unhideWhenUsed/>
    <w:qFormat/>
    <w:uiPriority w:val="9"/>
    <w:pPr>
      <w:keepNext/>
      <w:keepLines/>
      <w:numPr>
        <w:ilvl w:val="2"/>
        <w:numId w:val="1"/>
      </w:numPr>
      <w:spacing w:before="260" w:after="260" w:line="416" w:lineRule="auto"/>
      <w:ind w:firstLine="0" w:firstLineChars="0"/>
      <w:outlineLvl w:val="2"/>
    </w:pPr>
    <w:rPr>
      <w:b/>
      <w:bCs/>
      <w:sz w:val="24"/>
      <w:szCs w:val="32"/>
    </w:rPr>
  </w:style>
  <w:style w:type="paragraph" w:styleId="5">
    <w:name w:val="heading 4"/>
    <w:basedOn w:val="1"/>
    <w:next w:val="1"/>
    <w:semiHidden/>
    <w:unhideWhenUsed/>
    <w:qFormat/>
    <w:uiPriority w:val="9"/>
    <w:pPr>
      <w:keepNext/>
      <w:keepLines/>
      <w:numPr>
        <w:ilvl w:val="3"/>
        <w:numId w:val="1"/>
      </w:numPr>
      <w:spacing w:before="280" w:after="290" w:line="372" w:lineRule="auto"/>
      <w:ind w:firstLine="0" w:firstLineChars="0"/>
      <w:outlineLvl w:val="3"/>
    </w:pPr>
    <w:rPr>
      <w:rFonts w:ascii="Arial" w:hAnsi="Arial" w:eastAsia="黑体"/>
      <w:b/>
      <w:sz w:val="28"/>
    </w:rPr>
  </w:style>
  <w:style w:type="paragraph" w:styleId="6">
    <w:name w:val="heading 5"/>
    <w:basedOn w:val="1"/>
    <w:next w:val="1"/>
    <w:semiHidden/>
    <w:unhideWhenUsed/>
    <w:qFormat/>
    <w:uiPriority w:val="9"/>
    <w:pPr>
      <w:keepNext/>
      <w:keepLines/>
      <w:numPr>
        <w:ilvl w:val="4"/>
        <w:numId w:val="1"/>
      </w:numPr>
      <w:spacing w:before="280" w:after="290" w:line="372" w:lineRule="auto"/>
      <w:ind w:firstLine="0" w:firstLineChars="0"/>
      <w:outlineLvl w:val="4"/>
    </w:pPr>
    <w:rPr>
      <w:b/>
      <w:sz w:val="28"/>
    </w:rPr>
  </w:style>
  <w:style w:type="paragraph" w:styleId="7">
    <w:name w:val="heading 6"/>
    <w:basedOn w:val="1"/>
    <w:next w:val="1"/>
    <w:semiHidden/>
    <w:unhideWhenUsed/>
    <w:qFormat/>
    <w:uiPriority w:val="9"/>
    <w:pPr>
      <w:keepNext/>
      <w:keepLines/>
      <w:numPr>
        <w:ilvl w:val="5"/>
        <w:numId w:val="1"/>
      </w:numPr>
      <w:spacing w:before="240" w:after="64" w:line="317" w:lineRule="auto"/>
      <w:ind w:firstLine="0" w:firstLineChars="0"/>
      <w:outlineLvl w:val="5"/>
    </w:pPr>
    <w:rPr>
      <w:rFonts w:ascii="Arial" w:hAnsi="Arial" w:eastAsia="黑体"/>
      <w:b/>
      <w:sz w:val="24"/>
    </w:rPr>
  </w:style>
  <w:style w:type="paragraph" w:styleId="8">
    <w:name w:val="heading 7"/>
    <w:basedOn w:val="1"/>
    <w:next w:val="1"/>
    <w:semiHidden/>
    <w:unhideWhenUsed/>
    <w:qFormat/>
    <w:uiPriority w:val="9"/>
    <w:pPr>
      <w:keepNext/>
      <w:keepLines/>
      <w:numPr>
        <w:ilvl w:val="6"/>
        <w:numId w:val="1"/>
      </w:numPr>
      <w:spacing w:before="240" w:after="64" w:line="317" w:lineRule="auto"/>
      <w:ind w:firstLine="0" w:firstLineChars="0"/>
      <w:outlineLvl w:val="6"/>
    </w:pPr>
    <w:rPr>
      <w:b/>
      <w:sz w:val="24"/>
    </w:rPr>
  </w:style>
  <w:style w:type="paragraph" w:styleId="9">
    <w:name w:val="heading 8"/>
    <w:basedOn w:val="1"/>
    <w:next w:val="1"/>
    <w:semiHidden/>
    <w:unhideWhenUsed/>
    <w:qFormat/>
    <w:uiPriority w:val="9"/>
    <w:pPr>
      <w:keepNext/>
      <w:keepLines/>
      <w:numPr>
        <w:ilvl w:val="7"/>
        <w:numId w:val="1"/>
      </w:numPr>
      <w:spacing w:before="240" w:after="64" w:line="317" w:lineRule="auto"/>
      <w:ind w:firstLine="0" w:firstLineChars="0"/>
      <w:outlineLvl w:val="7"/>
    </w:pPr>
    <w:rPr>
      <w:rFonts w:ascii="Arial" w:hAnsi="Arial" w:eastAsia="黑体"/>
      <w:sz w:val="24"/>
    </w:rPr>
  </w:style>
  <w:style w:type="paragraph" w:styleId="10">
    <w:name w:val="heading 9"/>
    <w:basedOn w:val="1"/>
    <w:next w:val="1"/>
    <w:semiHidden/>
    <w:unhideWhenUsed/>
    <w:qFormat/>
    <w:uiPriority w:val="9"/>
    <w:pPr>
      <w:keepNext/>
      <w:keepLines/>
      <w:numPr>
        <w:ilvl w:val="8"/>
        <w:numId w:val="1"/>
      </w:numPr>
      <w:spacing w:before="240" w:after="64" w:line="317" w:lineRule="auto"/>
      <w:ind w:firstLine="0" w:firstLineChars="0"/>
      <w:outlineLvl w:val="8"/>
    </w:pPr>
    <w:rPr>
      <w:rFonts w:ascii="Arial" w:hAnsi="Arial" w:eastAsia="黑体"/>
    </w:rPr>
  </w:style>
  <w:style w:type="character" w:default="1" w:styleId="19">
    <w:name w:val="Default Paragraph Font"/>
    <w:semiHidden/>
    <w:unhideWhenUsed/>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link w:val="28"/>
    <w:semiHidden/>
    <w:unhideWhenUsed/>
    <w:qFormat/>
    <w:uiPriority w:val="99"/>
    <w:pPr>
      <w:jc w:val="left"/>
    </w:pPr>
  </w:style>
  <w:style w:type="paragraph" w:styleId="12">
    <w:name w:val="Body Text"/>
    <w:basedOn w:val="1"/>
    <w:next w:val="13"/>
    <w:unhideWhenUsed/>
    <w:qFormat/>
    <w:uiPriority w:val="0"/>
    <w:pPr>
      <w:spacing w:after="120"/>
    </w:pPr>
    <w:rPr>
      <w:szCs w:val="20"/>
    </w:rPr>
  </w:style>
  <w:style w:type="paragraph" w:styleId="13">
    <w:name w:val="Body Text First Indent"/>
    <w:basedOn w:val="12"/>
    <w:unhideWhenUsed/>
    <w:qFormat/>
    <w:uiPriority w:val="0"/>
    <w:pPr>
      <w:ind w:firstLine="420" w:firstLineChars="100"/>
    </w:pPr>
    <w:rPr>
      <w:szCs w:val="24"/>
    </w:rPr>
  </w:style>
  <w:style w:type="paragraph" w:styleId="14">
    <w:name w:val="Balloon Text"/>
    <w:basedOn w:val="1"/>
    <w:link w:val="24"/>
    <w:semiHidden/>
    <w:unhideWhenUsed/>
    <w:qFormat/>
    <w:uiPriority w:val="99"/>
    <w:rPr>
      <w:sz w:val="18"/>
      <w:szCs w:val="18"/>
    </w:rPr>
  </w:style>
  <w:style w:type="paragraph" w:styleId="15">
    <w:name w:val="footer"/>
    <w:basedOn w:val="1"/>
    <w:link w:val="23"/>
    <w:semiHidden/>
    <w:unhideWhenUsed/>
    <w:qFormat/>
    <w:uiPriority w:val="99"/>
    <w:pPr>
      <w:tabs>
        <w:tab w:val="center" w:pos="4153"/>
        <w:tab w:val="right" w:pos="8306"/>
      </w:tabs>
      <w:snapToGrid w:val="0"/>
      <w:jc w:val="left"/>
    </w:pPr>
    <w:rPr>
      <w:sz w:val="18"/>
      <w:szCs w:val="18"/>
    </w:rPr>
  </w:style>
  <w:style w:type="paragraph" w:styleId="16">
    <w:name w:val="header"/>
    <w:basedOn w:val="1"/>
    <w:link w:val="22"/>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annotation subject"/>
    <w:basedOn w:val="11"/>
    <w:next w:val="11"/>
    <w:link w:val="29"/>
    <w:semiHidden/>
    <w:unhideWhenUsed/>
    <w:qFormat/>
    <w:uiPriority w:val="99"/>
    <w:rPr>
      <w:b/>
      <w:bCs/>
    </w:rPr>
  </w:style>
  <w:style w:type="character" w:styleId="20">
    <w:name w:val="annotation reference"/>
    <w:basedOn w:val="19"/>
    <w:semiHidden/>
    <w:unhideWhenUsed/>
    <w:qFormat/>
    <w:uiPriority w:val="99"/>
    <w:rPr>
      <w:sz w:val="21"/>
      <w:szCs w:val="21"/>
    </w:rPr>
  </w:style>
  <w:style w:type="paragraph" w:customStyle="1" w:styleId="21">
    <w:name w:val="表格文字"/>
    <w:basedOn w:val="12"/>
    <w:next w:val="12"/>
    <w:qFormat/>
    <w:uiPriority w:val="0"/>
    <w:rPr>
      <w:spacing w:val="-20"/>
    </w:rPr>
  </w:style>
  <w:style w:type="character" w:customStyle="1" w:styleId="22">
    <w:name w:val="页眉 字符"/>
    <w:basedOn w:val="19"/>
    <w:link w:val="16"/>
    <w:semiHidden/>
    <w:qFormat/>
    <w:uiPriority w:val="99"/>
    <w:rPr>
      <w:sz w:val="18"/>
      <w:szCs w:val="18"/>
    </w:rPr>
  </w:style>
  <w:style w:type="character" w:customStyle="1" w:styleId="23">
    <w:name w:val="页脚 字符"/>
    <w:basedOn w:val="19"/>
    <w:link w:val="15"/>
    <w:semiHidden/>
    <w:qFormat/>
    <w:uiPriority w:val="99"/>
    <w:rPr>
      <w:sz w:val="18"/>
      <w:szCs w:val="18"/>
    </w:rPr>
  </w:style>
  <w:style w:type="character" w:customStyle="1" w:styleId="24">
    <w:name w:val="批注框文本 字符"/>
    <w:basedOn w:val="19"/>
    <w:link w:val="14"/>
    <w:semiHidden/>
    <w:qFormat/>
    <w:uiPriority w:val="99"/>
    <w:rPr>
      <w:sz w:val="18"/>
      <w:szCs w:val="18"/>
    </w:rPr>
  </w:style>
  <w:style w:type="character" w:customStyle="1" w:styleId="25">
    <w:name w:val="标题 1 字符"/>
    <w:basedOn w:val="19"/>
    <w:link w:val="2"/>
    <w:qFormat/>
    <w:uiPriority w:val="9"/>
    <w:rPr>
      <w:rFonts w:asciiTheme="minorHAnsi" w:hAnsiTheme="minorHAnsi" w:eastAsiaTheme="minorEastAsia"/>
      <w:b/>
      <w:bCs/>
      <w:kern w:val="44"/>
      <w:sz w:val="32"/>
      <w:szCs w:val="44"/>
    </w:rPr>
  </w:style>
  <w:style w:type="character" w:customStyle="1" w:styleId="26">
    <w:name w:val="标题 2 字符"/>
    <w:basedOn w:val="19"/>
    <w:link w:val="3"/>
    <w:qFormat/>
    <w:uiPriority w:val="9"/>
    <w:rPr>
      <w:rFonts w:eastAsia="Songti SC" w:asciiTheme="majorHAnsi" w:hAnsiTheme="majorHAnsi" w:cstheme="majorBidi"/>
      <w:b/>
      <w:bCs/>
      <w:sz w:val="28"/>
      <w:szCs w:val="32"/>
    </w:rPr>
  </w:style>
  <w:style w:type="character" w:customStyle="1" w:styleId="27">
    <w:name w:val="标题 3 字符"/>
    <w:basedOn w:val="19"/>
    <w:link w:val="4"/>
    <w:qFormat/>
    <w:uiPriority w:val="9"/>
    <w:rPr>
      <w:rFonts w:asciiTheme="minorHAnsi" w:hAnsiTheme="minorHAnsi" w:eastAsiaTheme="minorEastAsia"/>
      <w:b/>
      <w:bCs/>
      <w:sz w:val="24"/>
      <w:szCs w:val="32"/>
    </w:rPr>
  </w:style>
  <w:style w:type="character" w:customStyle="1" w:styleId="28">
    <w:name w:val="批注文字 字符"/>
    <w:basedOn w:val="19"/>
    <w:link w:val="11"/>
    <w:semiHidden/>
    <w:qFormat/>
    <w:uiPriority w:val="99"/>
  </w:style>
  <w:style w:type="character" w:customStyle="1" w:styleId="29">
    <w:name w:val="批注主题 字符"/>
    <w:basedOn w:val="28"/>
    <w:link w:val="17"/>
    <w:semiHidden/>
    <w:qFormat/>
    <w:uiPriority w:val="99"/>
    <w:rPr>
      <w:b/>
      <w:bCs/>
    </w:rPr>
  </w:style>
  <w:style w:type="paragraph" w:customStyle="1" w:styleId="30">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31">
    <w:name w:val="Revision"/>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tyleName="APA" Version="6" SelectedStyle="\APASixthEditionOfficeOnline.xsl"/>
</file>

<file path=customXml/itemProps1.xml><?xml version="1.0" encoding="utf-8"?>
<ds:datastoreItem xmlns:ds="http://schemas.openxmlformats.org/officeDocument/2006/customXml" ds:itemID="{CB0F9812-13B3-45F9-A4CD-2C9EC7002B5B}">
  <ds:schemaRefs/>
</ds:datastoreItem>
</file>

<file path=docProps/app.xml><?xml version="1.0" encoding="utf-8"?>
<Properties xmlns="http://schemas.openxmlformats.org/officeDocument/2006/extended-properties" xmlns:vt="http://schemas.openxmlformats.org/officeDocument/2006/docPropsVTypes">
  <Template>Normal.dotm</Template>
  <Pages>21</Pages>
  <Words>11159</Words>
  <Characters>11896</Characters>
  <Lines>379</Lines>
  <Paragraphs>402</Paragraphs>
  <TotalTime>50</TotalTime>
  <ScaleCrop>false</ScaleCrop>
  <LinksUpToDate>false</LinksUpToDate>
  <CharactersWithSpaces>11921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2021-03-05T02:07:00Z</dcterms:created>
  <dc:creator>songxy</dc:creator>
  <cp:lastModifiedBy>晋一民</cp:lastModifiedBy>
  <dcterms:modified xsi:type="dcterms:W3CDTF">2025-06-26T09:08:41Z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3290CE8DB39149A9A40578B8A3DAF609_13</vt:lpwstr>
  </property>
  <property fmtid="{D5CDD505-2E9C-101B-9397-08002B2CF9AE}" pid="4" name="KSOTemplateDocerSaveRecord">
    <vt:lpwstr>eyJoZGlkIjoiNGM3MmY0OTNjM2FiYjM2YjE2NGRhZTljZmIyMTQyNWMiLCJ1c2VySWQiOiIxNjQzMTc3ODEwIn0=</vt:lpwstr>
  </property>
</Properties>
</file>