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hemeFill="background1"/>
        <w:spacing w:line="600" w:lineRule="auto"/>
        <w:jc w:val="center"/>
        <w:rPr>
          <w:rFonts w:ascii="仿宋" w:hAnsi="仿宋" w:eastAsia="仿宋" w:cs="仿宋"/>
          <w:b/>
          <w:sz w:val="36"/>
          <w:szCs w:val="36"/>
        </w:rPr>
      </w:pPr>
    </w:p>
    <w:p>
      <w:pPr>
        <w:shd w:val="clear" w:color="auto" w:fill="FFFFFF" w:themeFill="background1"/>
        <w:spacing w:line="600" w:lineRule="auto"/>
        <w:jc w:val="center"/>
        <w:rPr>
          <w:rFonts w:ascii="仿宋" w:hAnsi="仿宋" w:eastAsia="仿宋" w:cs="仿宋"/>
          <w:b/>
          <w:sz w:val="36"/>
          <w:szCs w:val="36"/>
        </w:rPr>
      </w:pPr>
    </w:p>
    <w:p>
      <w:pPr>
        <w:shd w:val="clear" w:color="auto" w:fill="FFFFFF" w:themeFill="background1"/>
        <w:spacing w:line="600" w:lineRule="auto"/>
        <w:jc w:val="center"/>
        <w:rPr>
          <w:rFonts w:ascii="仿宋" w:hAnsi="仿宋" w:eastAsia="仿宋" w:cs="仿宋"/>
          <w:b/>
          <w:sz w:val="36"/>
          <w:szCs w:val="36"/>
        </w:rPr>
      </w:pPr>
    </w:p>
    <w:p>
      <w:pPr>
        <w:shd w:val="clear" w:color="auto" w:fill="FFFFFF" w:themeFill="background1"/>
        <w:tabs>
          <w:tab w:val="left" w:pos="7030"/>
        </w:tabs>
        <w:spacing w:line="600" w:lineRule="auto"/>
        <w:jc w:val="left"/>
        <w:rPr>
          <w:rFonts w:ascii="仿宋" w:hAnsi="仿宋" w:eastAsia="仿宋" w:cs="仿宋"/>
          <w:b/>
          <w:sz w:val="36"/>
          <w:szCs w:val="36"/>
        </w:rPr>
      </w:pPr>
      <w:r>
        <w:rPr>
          <w:rFonts w:ascii="仿宋" w:hAnsi="仿宋" w:eastAsia="仿宋" w:cs="仿宋"/>
          <w:b/>
          <w:sz w:val="36"/>
          <w:szCs w:val="36"/>
        </w:rPr>
        <w:tab/>
      </w:r>
    </w:p>
    <w:p>
      <w:pPr>
        <w:shd w:val="clear" w:color="auto" w:fill="FFFFFF" w:themeFill="background1"/>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一分中心运维保障监理服务</w:t>
      </w:r>
    </w:p>
    <w:p>
      <w:pPr>
        <w:shd w:val="clear" w:color="auto" w:fill="FFFFFF" w:themeFill="background1"/>
        <w:spacing w:line="360" w:lineRule="auto"/>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2025年度采购需求</w:t>
      </w:r>
    </w:p>
    <w:p>
      <w:pPr>
        <w:shd w:val="clear" w:color="auto" w:fill="FFFFFF" w:themeFill="background1"/>
        <w:spacing w:line="600" w:lineRule="auto"/>
        <w:jc w:val="center"/>
        <w:rPr>
          <w:rFonts w:ascii="仿宋" w:hAnsi="仿宋" w:eastAsia="仿宋" w:cs="仿宋"/>
          <w:b/>
          <w:sz w:val="36"/>
          <w:szCs w:val="36"/>
        </w:rPr>
      </w:pPr>
    </w:p>
    <w:p>
      <w:pPr>
        <w:shd w:val="clear" w:color="auto" w:fill="FFFFFF" w:themeFill="background1"/>
        <w:spacing w:line="600" w:lineRule="auto"/>
        <w:jc w:val="center"/>
        <w:rPr>
          <w:rFonts w:ascii="仿宋" w:hAnsi="仿宋" w:eastAsia="仿宋" w:cs="仿宋"/>
          <w:b/>
          <w:sz w:val="36"/>
          <w:szCs w:val="36"/>
        </w:rPr>
      </w:pPr>
    </w:p>
    <w:p>
      <w:pPr>
        <w:shd w:val="clear" w:color="auto" w:fill="FFFFFF" w:themeFill="background1"/>
        <w:spacing w:line="600" w:lineRule="auto"/>
        <w:jc w:val="center"/>
        <w:rPr>
          <w:rFonts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pStyle w:val="5"/>
        <w:shd w:val="clear" w:color="auto" w:fill="FFFFFF" w:themeFill="background1"/>
        <w:ind w:left="0"/>
        <w:rPr>
          <w:rFonts w:ascii="仿宋" w:hAnsi="仿宋" w:eastAsia="仿宋" w:cs="仿宋"/>
        </w:rPr>
      </w:pPr>
      <w:bookmarkStart w:id="0" w:name="_Toc69194644"/>
      <w:r>
        <w:rPr>
          <w:rFonts w:hint="eastAsia" w:ascii="仿宋" w:hAnsi="仿宋" w:eastAsia="仿宋" w:cs="仿宋"/>
        </w:rPr>
        <w:t>项目概述</w:t>
      </w:r>
      <w:bookmarkEnd w:id="0"/>
    </w:p>
    <w:p>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为保障</w:t>
      </w:r>
      <w:r>
        <w:rPr>
          <w:rFonts w:hint="eastAsia" w:ascii="宋体" w:hAnsi="宋体" w:cs="宋体"/>
          <w:kern w:val="0"/>
          <w:sz w:val="24"/>
          <w:szCs w:val="28"/>
        </w:rPr>
        <w:t>采购人所辖</w:t>
      </w:r>
      <w:r>
        <w:rPr>
          <w:rFonts w:hint="eastAsia" w:ascii="宋体" w:hAnsi="宋体" w:cs="宋体"/>
          <w:kern w:val="0"/>
          <w:sz w:val="24"/>
          <w:szCs w:val="28"/>
          <w:lang w:val="zh-CN"/>
        </w:rPr>
        <w:t>运维项目</w:t>
      </w:r>
      <w:r>
        <w:rPr>
          <w:rFonts w:hint="eastAsia" w:ascii="宋体" w:hAnsi="宋体" w:cs="宋体"/>
          <w:kern w:val="0"/>
          <w:sz w:val="24"/>
          <w:szCs w:val="28"/>
        </w:rPr>
        <w:t>系统、</w:t>
      </w:r>
      <w:r>
        <w:rPr>
          <w:rFonts w:hint="eastAsia" w:asciiTheme="minorEastAsia" w:hAnsiTheme="minorEastAsia"/>
          <w:sz w:val="24"/>
          <w:szCs w:val="32"/>
        </w:rPr>
        <w:t>平台及应用安全、稳定、可靠运行，拟通过购买服务的方式，引入第三方监理服务公司对运维服务公司的运维服务进行第三方监管。在信息化系统运维工作中，引入项目绩效管理机制，利用信息系统监理工程师的运维项目管理专业化知识，发挥监督、控制、协调、管理等职能作用，积极协调、密切配合信息化运维工作，确保为各项工作提供可应用、可量化、可管理、可评估的“信息服务产品”。</w:t>
      </w:r>
    </w:p>
    <w:p>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运维项目监理服务主要侧重做好以下工作：</w:t>
      </w:r>
    </w:p>
    <w:p>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1.运维项目规范管理。要求运维项目管理，根据各项工作特点和运维管理工作目标，结合 ITSS 运维服务标准，以及采购人业务需求和工作规范、质量标准，对信息化运维服务工作进行监督、管理、跟踪和协调，充分保护采购人利益，提高信息化运维服务质量，规避信息系统运行风险，积极协助采购人监督协调运维公司工作，为各项工作提供优质高效地信息技术服务。</w:t>
      </w:r>
    </w:p>
    <w:p>
      <w:pPr>
        <w:shd w:val="clear" w:color="auto" w:fill="FFFFFF" w:themeFill="background1"/>
        <w:autoSpaceDE w:val="0"/>
        <w:autoSpaceDN w:val="0"/>
        <w:adjustRightInd w:val="0"/>
        <w:snapToGrid w:val="0"/>
        <w:spacing w:line="480" w:lineRule="exact"/>
        <w:ind w:firstLine="480"/>
        <w:rPr>
          <w:rFonts w:asciiTheme="minorEastAsia" w:hAnsiTheme="minorEastAsia"/>
          <w:sz w:val="24"/>
          <w:szCs w:val="32"/>
        </w:rPr>
      </w:pPr>
      <w:r>
        <w:rPr>
          <w:rFonts w:hint="eastAsia" w:asciiTheme="minorEastAsia" w:hAnsiTheme="minorEastAsia"/>
          <w:sz w:val="24"/>
          <w:szCs w:val="32"/>
        </w:rPr>
        <w:t>2.运维服务监督与检查。加强对信息化运维公司运维服务工作的督促和检查，对各公司提供的“信息服务产品”和完成工作情况进行审查、考核，不断促进和提高信息化运维工作的质量和服务水平。</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监理期限：自合同签订之日起至2025年12月31日</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监理项目地址：上海市黄浦区威海路4</w:t>
      </w:r>
      <w:r>
        <w:rPr>
          <w:rFonts w:asciiTheme="minorEastAsia" w:hAnsiTheme="minorEastAsia"/>
          <w:sz w:val="24"/>
          <w:szCs w:val="32"/>
        </w:rPr>
        <w:t>8</w:t>
      </w:r>
      <w:r>
        <w:rPr>
          <w:rFonts w:hint="eastAsia" w:asciiTheme="minorEastAsia" w:hAnsiTheme="minorEastAsia"/>
          <w:sz w:val="24"/>
          <w:szCs w:val="32"/>
        </w:rPr>
        <w:t>号</w:t>
      </w:r>
      <w:r>
        <w:rPr>
          <w:rFonts w:asciiTheme="minorEastAsia" w:hAnsiTheme="minorEastAsia"/>
          <w:sz w:val="24"/>
          <w:szCs w:val="32"/>
        </w:rPr>
        <w:t>4</w:t>
      </w:r>
      <w:r>
        <w:rPr>
          <w:rFonts w:hint="eastAsia" w:asciiTheme="minorEastAsia" w:hAnsiTheme="minorEastAsia"/>
          <w:sz w:val="24"/>
          <w:szCs w:val="32"/>
        </w:rPr>
        <w:t>楼</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预算金额：</w:t>
      </w:r>
      <w:r>
        <w:rPr>
          <w:rFonts w:asciiTheme="minorEastAsia" w:hAnsiTheme="minorEastAsia"/>
          <w:sz w:val="24"/>
          <w:szCs w:val="32"/>
        </w:rPr>
        <w:t>1593167</w:t>
      </w:r>
      <w:r>
        <w:rPr>
          <w:rFonts w:hint="eastAsia" w:asciiTheme="minorEastAsia" w:hAnsiTheme="minorEastAsia"/>
          <w:sz w:val="24"/>
          <w:szCs w:val="32"/>
        </w:rPr>
        <w:t>元</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采购金额（最高限价）：</w:t>
      </w:r>
      <w:r>
        <w:rPr>
          <w:rFonts w:asciiTheme="minorEastAsia" w:hAnsiTheme="minorEastAsia"/>
          <w:sz w:val="24"/>
          <w:szCs w:val="32"/>
        </w:rPr>
        <w:t>1593167</w:t>
      </w:r>
      <w:r>
        <w:rPr>
          <w:rFonts w:hint="eastAsia" w:asciiTheme="minorEastAsia" w:hAnsiTheme="minorEastAsia"/>
          <w:sz w:val="24"/>
          <w:szCs w:val="32"/>
        </w:rPr>
        <w:t>元</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组织形式：集中采购</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采购方式：竞争性磋商</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面向企业类型：中小微</w:t>
      </w:r>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是否接受联合体</w:t>
      </w:r>
      <w:r>
        <w:rPr>
          <w:rFonts w:hint="eastAsia" w:asciiTheme="minorEastAsia" w:hAnsiTheme="minorEastAsia"/>
          <w:sz w:val="24"/>
          <w:szCs w:val="32"/>
          <w:lang w:eastAsia="zh-CN"/>
        </w:rPr>
        <w:t>响应</w:t>
      </w:r>
      <w:r>
        <w:rPr>
          <w:rFonts w:hint="eastAsia" w:asciiTheme="minorEastAsia" w:hAnsiTheme="minorEastAsia"/>
          <w:sz w:val="24"/>
          <w:szCs w:val="32"/>
        </w:rPr>
        <w:t>：否</w:t>
      </w:r>
    </w:p>
    <w:p>
      <w:pPr>
        <w:shd w:val="clear" w:color="auto" w:fill="FFFFFF" w:themeFill="background1"/>
        <w:spacing w:line="560" w:lineRule="exact"/>
        <w:ind w:firstLine="480"/>
        <w:rPr>
          <w:rFonts w:asciiTheme="minorEastAsia" w:hAnsiTheme="minorEastAsia"/>
          <w:sz w:val="24"/>
          <w:szCs w:val="32"/>
        </w:rPr>
      </w:pPr>
    </w:p>
    <w:p>
      <w:pPr>
        <w:pStyle w:val="5"/>
        <w:shd w:val="clear" w:color="auto" w:fill="FFFFFF" w:themeFill="background1"/>
        <w:ind w:left="0"/>
        <w:rPr>
          <w:rFonts w:ascii="仿宋" w:hAnsi="仿宋" w:eastAsia="仿宋" w:cs="仿宋"/>
        </w:rPr>
      </w:pPr>
      <w:bookmarkStart w:id="1" w:name="_Toc69194645"/>
      <w:r>
        <w:rPr>
          <w:rFonts w:hint="eastAsia" w:ascii="仿宋" w:hAnsi="仿宋" w:eastAsia="仿宋" w:cs="仿宋"/>
        </w:rPr>
        <w:t>服务范围</w:t>
      </w:r>
      <w:bookmarkEnd w:id="1"/>
    </w:p>
    <w:p>
      <w:pPr>
        <w:shd w:val="clear" w:color="auto" w:fill="FFFFFF" w:themeFill="background1"/>
        <w:spacing w:line="560" w:lineRule="exact"/>
        <w:ind w:firstLine="480"/>
        <w:rPr>
          <w:rFonts w:asciiTheme="minorEastAsia" w:hAnsiTheme="minorEastAsia"/>
          <w:sz w:val="24"/>
          <w:szCs w:val="32"/>
        </w:rPr>
      </w:pPr>
      <w:r>
        <w:rPr>
          <w:rFonts w:hint="eastAsia" w:asciiTheme="minorEastAsia" w:hAnsiTheme="minorEastAsia"/>
          <w:sz w:val="24"/>
          <w:szCs w:val="32"/>
        </w:rPr>
        <w:t>对上海市大数据中心信息化服务第一分中心运维服务项目进行统一管理，开展全过程运维监理服务，包括质量控制、成本控制、变更控制、安全管理、合同管理、文档管理和项目协调等全过程、全方位的监理服务。</w:t>
      </w:r>
    </w:p>
    <w:p>
      <w:pPr>
        <w:shd w:val="clear" w:color="auto" w:fill="FFFFFF" w:themeFill="background1"/>
        <w:spacing w:line="560" w:lineRule="exact"/>
        <w:ind w:firstLine="480"/>
        <w:rPr>
          <w:rFonts w:asciiTheme="minorEastAsia" w:hAnsiTheme="minorEastAsia"/>
          <w:sz w:val="24"/>
          <w:szCs w:val="32"/>
        </w:rPr>
      </w:pPr>
    </w:p>
    <w:tbl>
      <w:tblPr>
        <w:tblStyle w:val="26"/>
        <w:tblW w:w="7225" w:type="dxa"/>
        <w:tblInd w:w="113" w:type="dxa"/>
        <w:tblLayout w:type="autofit"/>
        <w:tblCellMar>
          <w:top w:w="0" w:type="dxa"/>
          <w:left w:w="108" w:type="dxa"/>
          <w:bottom w:w="0" w:type="dxa"/>
          <w:right w:w="108" w:type="dxa"/>
        </w:tblCellMar>
      </w:tblPr>
      <w:tblGrid>
        <w:gridCol w:w="1413"/>
        <w:gridCol w:w="5812"/>
      </w:tblGrid>
      <w:tr>
        <w:trPr>
          <w:trHeight w:val="594" w:hRule="atLeast"/>
        </w:trPr>
        <w:tc>
          <w:tcPr>
            <w:tcW w:w="141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812"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color w:val="000000"/>
                <w:kern w:val="0"/>
                <w:sz w:val="24"/>
                <w:szCs w:val="24"/>
              </w:rPr>
            </w:pPr>
            <w:r>
              <w:rPr>
                <w:rFonts w:hint="eastAsia" w:asciiTheme="minorEastAsia" w:hAnsiTheme="minorEastAsia"/>
                <w:b/>
                <w:bCs/>
                <w:sz w:val="24"/>
                <w:szCs w:val="32"/>
              </w:rPr>
              <w:t>第一分中心运维服务项目</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市财政局2025年数字化项目运维和综合保障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市财政局2025年政府采购云平台运维</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市发改委2025年数字化项目运维和综合保障</w:t>
            </w:r>
          </w:p>
        </w:tc>
      </w:tr>
      <w:tr>
        <w:trPr>
          <w:trHeight w:val="288"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市粮食物资储备局2025年数字化项目运维和综合保障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市统计局2025年数字化项目运维和综合保障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市国资委2025年数字化项目运维和综合保障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市金融办2025年数字化项目运维和综合保障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市科委2025年数字化项目运维和综合保障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市经信委2025年数字化项目运维和综合保障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市商务委2025年数字化项目运维和综合保障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市审计局2025年数字化项目运维和综合保障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市知识产权局2025年数字化项目运维和综合保障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市市场监管局2025年数字化项目运维和综合保障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市药监局2025年数字化项目运维和综合保障</w:t>
            </w:r>
          </w:p>
        </w:tc>
      </w:tr>
      <w:tr>
        <w:trPr>
          <w:trHeight w:val="280" w:hRule="atLeast"/>
        </w:trPr>
        <w:tc>
          <w:tcPr>
            <w:tcW w:w="14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581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一分中心2025年网络和数据安全服务</w:t>
            </w:r>
          </w:p>
        </w:tc>
      </w:tr>
    </w:tbl>
    <w:p>
      <w:pPr>
        <w:shd w:val="clear" w:color="auto" w:fill="FFFFFF" w:themeFill="background1"/>
        <w:spacing w:line="560" w:lineRule="exact"/>
        <w:ind w:firstLine="480"/>
      </w:pPr>
    </w:p>
    <w:p>
      <w:pPr>
        <w:pStyle w:val="5"/>
        <w:shd w:val="clear" w:color="auto" w:fill="FFFFFF" w:themeFill="background1"/>
        <w:ind w:left="0"/>
        <w:rPr>
          <w:rFonts w:ascii="仿宋" w:hAnsi="仿宋" w:eastAsia="仿宋" w:cs="仿宋"/>
        </w:rPr>
      </w:pPr>
      <w:bookmarkStart w:id="2" w:name="_Toc69194646"/>
      <w:r>
        <w:rPr>
          <w:rFonts w:hint="eastAsia" w:ascii="仿宋" w:hAnsi="仿宋" w:eastAsia="仿宋" w:cs="仿宋"/>
        </w:rPr>
        <w:t>监理服务需求</w:t>
      </w:r>
      <w:bookmarkEnd w:id="2"/>
    </w:p>
    <w:p>
      <w:pPr>
        <w:pStyle w:val="6"/>
        <w:shd w:val="clear" w:color="auto" w:fill="FFFFFF" w:themeFill="background1"/>
        <w:rPr>
          <w:rFonts w:ascii="仿宋" w:hAnsi="仿宋" w:cs="仿宋"/>
        </w:rPr>
      </w:pPr>
      <w:bookmarkStart w:id="3" w:name="_Toc69194647"/>
      <w:bookmarkStart w:id="4" w:name="_Toc416277417"/>
      <w:r>
        <w:rPr>
          <w:rFonts w:hint="eastAsia" w:ascii="仿宋" w:hAnsi="仿宋" w:cs="仿宋"/>
        </w:rPr>
        <w:t>总体要求</w:t>
      </w:r>
    </w:p>
    <w:p>
      <w:pPr>
        <w:shd w:val="clear" w:color="auto" w:fill="FFFFFF" w:themeFill="background1"/>
        <w:spacing w:line="560" w:lineRule="exact"/>
        <w:ind w:firstLine="480"/>
        <w:rPr>
          <w:rFonts w:asciiTheme="minorEastAsia" w:hAnsiTheme="minorEastAsia"/>
          <w:sz w:val="24"/>
          <w:szCs w:val="32"/>
        </w:rPr>
      </w:pPr>
      <w:r>
        <w:rPr>
          <w:rFonts w:asciiTheme="minorEastAsia" w:hAnsiTheme="minorEastAsia"/>
          <w:sz w:val="24"/>
          <w:szCs w:val="32"/>
        </w:rPr>
        <w:t>信息化运维项目监理服务应按照运维项目</w:t>
      </w:r>
      <w:r>
        <w:rPr>
          <w:rFonts w:hint="eastAsia" w:asciiTheme="minorEastAsia" w:hAnsiTheme="minorEastAsia"/>
          <w:sz w:val="24"/>
          <w:szCs w:val="32"/>
        </w:rPr>
        <w:t>的</w:t>
      </w:r>
      <w:r>
        <w:rPr>
          <w:rFonts w:asciiTheme="minorEastAsia" w:hAnsiTheme="minorEastAsia"/>
          <w:sz w:val="24"/>
          <w:szCs w:val="32"/>
        </w:rPr>
        <w:t>目标和要求，遵循国家、</w:t>
      </w:r>
      <w:r>
        <w:rPr>
          <w:rFonts w:hint="eastAsia" w:asciiTheme="minorEastAsia" w:hAnsiTheme="minorEastAsia"/>
          <w:sz w:val="24"/>
          <w:szCs w:val="32"/>
        </w:rPr>
        <w:t>上海</w:t>
      </w:r>
      <w:r>
        <w:rPr>
          <w:rFonts w:asciiTheme="minorEastAsia" w:hAnsiTheme="minorEastAsia"/>
          <w:sz w:val="24"/>
          <w:szCs w:val="32"/>
        </w:rPr>
        <w:t>市信</w:t>
      </w:r>
      <w:r>
        <w:rPr>
          <w:rFonts w:hint="eastAsia" w:asciiTheme="minorEastAsia" w:hAnsiTheme="minorEastAsia"/>
          <w:sz w:val="24"/>
          <w:szCs w:val="32"/>
        </w:rPr>
        <w:t>息系统工程运维、监理的标准和规范，以及《上海市大数据中心数字化建设项目全过程文档审核工作指南（试行）》要求，依据项目运维合同和用户需求，利用运维项目监理专业化知识，应用现代的项目管理技巧及手段，发挥监督、控制、协调、管理、咨询等职能作用，实施信息化项目运维的全流程管理，进一步提升信息化运维项目管理的科学规范化水平，确保项目信息全面、完整、真实、可靠、规范。</w:t>
      </w:r>
    </w:p>
    <w:p>
      <w:pPr>
        <w:pStyle w:val="6"/>
        <w:shd w:val="clear" w:color="auto" w:fill="FFFFFF" w:themeFill="background1"/>
      </w:pPr>
      <w:bookmarkStart w:id="5" w:name="_Toc10140"/>
      <w:bookmarkStart w:id="6" w:name="_Toc25031"/>
      <w:r>
        <w:rPr>
          <w:rFonts w:hint="eastAsia"/>
        </w:rPr>
        <w:t>服务准则</w:t>
      </w:r>
    </w:p>
    <w:p>
      <w:pPr>
        <w:widowControl/>
        <w:shd w:val="clear" w:color="auto" w:fill="FFFFFF" w:themeFill="background1"/>
        <w:spacing w:line="360" w:lineRule="auto"/>
        <w:ind w:firstLine="420"/>
        <w:jc w:val="left"/>
        <w:rPr>
          <w:rFonts w:ascii="宋体" w:hAnsi="宋体" w:eastAsia="宋体" w:cs="宋体"/>
          <w:sz w:val="24"/>
          <w:szCs w:val="24"/>
        </w:rPr>
      </w:pPr>
      <w:r>
        <w:rPr>
          <w:rFonts w:hint="eastAsia" w:ascii="宋体" w:hAnsi="宋体" w:eastAsia="宋体" w:cs="宋体"/>
          <w:kern w:val="0"/>
          <w:sz w:val="24"/>
          <w:szCs w:val="24"/>
        </w:rPr>
        <w:t>遵照国家和上海市相关标准，以及《上海市大数据中心数字化建设项目全过程文档审核工作指南（试行）》，以“守法、诚信、公正、科学”的准则执业，具体应做到：</w:t>
      </w:r>
    </w:p>
    <w:p>
      <w:pPr>
        <w:widowControl/>
        <w:numPr>
          <w:ilvl w:val="0"/>
          <w:numId w:val="2"/>
        </w:numPr>
        <w:shd w:val="clear" w:color="auto" w:fill="FFFFFF" w:themeFill="background1"/>
        <w:spacing w:line="360" w:lineRule="auto"/>
        <w:jc w:val="left"/>
        <w:rPr>
          <w:rFonts w:ascii="宋体" w:hAnsi="宋体" w:eastAsia="宋体" w:cs="宋体"/>
          <w:sz w:val="24"/>
          <w:szCs w:val="24"/>
        </w:rPr>
      </w:pPr>
      <w:r>
        <w:rPr>
          <w:rFonts w:hint="eastAsia" w:ascii="宋体" w:hAnsi="宋体" w:eastAsia="宋体" w:cs="宋体"/>
          <w:kern w:val="0"/>
          <w:sz w:val="24"/>
          <w:szCs w:val="24"/>
        </w:rPr>
        <w:t>执行信息化工程相关的法律、法规、规范、标准和制度，履行合同规定的义务和职责。</w:t>
      </w:r>
    </w:p>
    <w:p>
      <w:pPr>
        <w:widowControl/>
        <w:numPr>
          <w:ilvl w:val="0"/>
          <w:numId w:val="2"/>
        </w:numPr>
        <w:shd w:val="clear" w:color="auto" w:fill="FFFFFF" w:themeFill="background1"/>
        <w:spacing w:line="360" w:lineRule="auto"/>
        <w:jc w:val="left"/>
        <w:rPr>
          <w:rFonts w:ascii="宋体" w:hAnsi="宋体" w:eastAsia="宋体" w:cs="宋体"/>
          <w:sz w:val="24"/>
          <w:szCs w:val="24"/>
        </w:rPr>
      </w:pPr>
      <w:r>
        <w:rPr>
          <w:rFonts w:hint="eastAsia" w:ascii="宋体" w:hAnsi="宋体" w:eastAsia="宋体" w:cs="宋体"/>
          <w:kern w:val="0"/>
          <w:sz w:val="24"/>
          <w:szCs w:val="24"/>
        </w:rPr>
        <w:t>不得与承担项目的运维服务单位发生经济利益关系。不得利用所处地位通过上述单位直接或间接获得益处。</w:t>
      </w:r>
    </w:p>
    <w:p>
      <w:pPr>
        <w:widowControl/>
        <w:numPr>
          <w:ilvl w:val="0"/>
          <w:numId w:val="2"/>
        </w:numPr>
        <w:shd w:val="clear" w:color="auto" w:fill="FFFFFF" w:themeFill="background1"/>
        <w:spacing w:line="360" w:lineRule="auto"/>
        <w:jc w:val="left"/>
        <w:rPr>
          <w:rFonts w:ascii="宋体" w:hAnsi="宋体" w:eastAsia="宋体" w:cs="宋体"/>
          <w:sz w:val="24"/>
          <w:szCs w:val="24"/>
        </w:rPr>
      </w:pPr>
      <w:r>
        <w:rPr>
          <w:rFonts w:hint="eastAsia" w:ascii="宋体" w:hAnsi="宋体" w:eastAsia="宋体" w:cs="宋体"/>
          <w:kern w:val="0"/>
          <w:sz w:val="24"/>
          <w:szCs w:val="24"/>
        </w:rPr>
        <w:t>不泄露项目各方认为需要保密的事项。</w:t>
      </w:r>
    </w:p>
    <w:p>
      <w:pPr>
        <w:widowControl/>
        <w:numPr>
          <w:ilvl w:val="0"/>
          <w:numId w:val="2"/>
        </w:numPr>
        <w:shd w:val="clear" w:color="auto" w:fill="FFFFFF" w:themeFill="background1"/>
        <w:spacing w:line="360" w:lineRule="auto"/>
        <w:jc w:val="left"/>
        <w:rPr>
          <w:rFonts w:ascii="宋体" w:hAnsi="宋体" w:eastAsia="宋体" w:cs="宋体"/>
          <w:sz w:val="24"/>
          <w:szCs w:val="24"/>
        </w:rPr>
      </w:pPr>
      <w:r>
        <w:rPr>
          <w:rFonts w:hint="eastAsia" w:ascii="宋体" w:hAnsi="宋体" w:eastAsia="宋体" w:cs="宋体"/>
          <w:kern w:val="0"/>
          <w:sz w:val="24"/>
          <w:szCs w:val="24"/>
        </w:rPr>
        <w:t>遵守国家法律和政府有关条例、规定和办法等。</w:t>
      </w:r>
    </w:p>
    <w:p>
      <w:pPr>
        <w:widowControl/>
        <w:numPr>
          <w:ilvl w:val="0"/>
          <w:numId w:val="2"/>
        </w:numPr>
        <w:shd w:val="clear" w:color="auto" w:fill="FFFFFF" w:themeFill="background1"/>
        <w:spacing w:line="360" w:lineRule="auto"/>
        <w:jc w:val="left"/>
        <w:rPr>
          <w:rFonts w:ascii="宋体" w:hAnsi="宋体" w:eastAsia="宋体" w:cs="宋体"/>
          <w:sz w:val="24"/>
          <w:szCs w:val="24"/>
        </w:rPr>
      </w:pPr>
      <w:r>
        <w:rPr>
          <w:rFonts w:hint="eastAsia" w:ascii="宋体" w:hAnsi="宋体" w:eastAsia="宋体" w:cs="宋体"/>
          <w:kern w:val="0"/>
          <w:sz w:val="24"/>
          <w:szCs w:val="24"/>
        </w:rPr>
        <w:t>坚持第三方立场，独立、公平、公正地处理有关各方的争议。</w:t>
      </w:r>
    </w:p>
    <w:p>
      <w:pPr>
        <w:widowControl/>
        <w:numPr>
          <w:ilvl w:val="0"/>
          <w:numId w:val="2"/>
        </w:numPr>
        <w:shd w:val="clear" w:color="auto" w:fill="FFFFFF" w:themeFill="background1"/>
        <w:spacing w:line="360" w:lineRule="auto"/>
        <w:jc w:val="left"/>
        <w:rPr>
          <w:rFonts w:ascii="宋体" w:hAnsi="宋体" w:eastAsia="宋体" w:cs="宋体"/>
          <w:sz w:val="24"/>
          <w:szCs w:val="24"/>
        </w:rPr>
      </w:pPr>
      <w:r>
        <w:rPr>
          <w:rFonts w:hint="eastAsia" w:ascii="宋体" w:hAnsi="宋体" w:eastAsia="宋体" w:cs="宋体"/>
          <w:kern w:val="0"/>
          <w:sz w:val="24"/>
          <w:szCs w:val="24"/>
        </w:rPr>
        <w:t>坚持科学的工作态度和实事求是的工作原则。</w:t>
      </w:r>
    </w:p>
    <w:p>
      <w:pPr>
        <w:pStyle w:val="6"/>
        <w:shd w:val="clear" w:color="auto" w:fill="FFFFFF" w:themeFill="background1"/>
      </w:pPr>
      <w:r>
        <w:rPr>
          <w:rFonts w:hint="eastAsia"/>
        </w:rPr>
        <w:t>服务依据</w:t>
      </w:r>
    </w:p>
    <w:p>
      <w:pPr>
        <w:widowControl/>
        <w:shd w:val="clear" w:color="auto" w:fill="FFFFFF" w:themeFill="background1"/>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1、国家和上海市有关信息系统工程监理的法规和标准；</w:t>
      </w:r>
    </w:p>
    <w:p>
      <w:pPr>
        <w:widowControl/>
        <w:shd w:val="clear" w:color="auto" w:fill="FFFFFF" w:themeFill="background1"/>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2、采购人与运维服务单位签订的运维合同；</w:t>
      </w:r>
    </w:p>
    <w:p>
      <w:pPr>
        <w:widowControl/>
        <w:shd w:val="clear" w:color="auto" w:fill="FFFFFF" w:themeFill="background1"/>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3、采购人与监理单位签订的监理合同；</w:t>
      </w:r>
    </w:p>
    <w:p>
      <w:pPr>
        <w:widowControl/>
        <w:shd w:val="clear" w:color="auto" w:fill="FFFFFF" w:themeFill="background1"/>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4、有关国家和行业的技术标准；</w:t>
      </w:r>
    </w:p>
    <w:p>
      <w:pPr>
        <w:widowControl/>
        <w:shd w:val="clear" w:color="auto" w:fill="FFFFFF" w:themeFill="background1"/>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5、《上海市大数据中心数字化建设项目全过程文档审核工作指南（试行）》</w:t>
      </w:r>
    </w:p>
    <w:p>
      <w:pPr>
        <w:widowControl/>
        <w:shd w:val="clear" w:color="auto" w:fill="FFFFFF" w:themeFill="background1"/>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如有国家或行业标准，按该标准执行；如无国家或行业标准或现有标准已经落后于技术发展而新的标准又尚未出台，则根据技术发展状况及需求向采购人提出采用何种市场通行的或先进厂家标准的论证和建议，经采购人同意后作为监理服务的依据。以上标准供监理单位参考，如有遇国家颁布新的标准则必须采用新标准。</w:t>
      </w:r>
    </w:p>
    <w:p>
      <w:pPr>
        <w:pStyle w:val="6"/>
        <w:shd w:val="clear" w:color="auto" w:fill="FFFFFF" w:themeFill="background1"/>
      </w:pPr>
      <w:r>
        <w:rPr>
          <w:rFonts w:hint="eastAsia"/>
        </w:rPr>
        <w:t>运维监理内容及要点</w:t>
      </w:r>
      <w:bookmarkEnd w:id="5"/>
      <w:bookmarkEnd w:id="6"/>
    </w:p>
    <w:p>
      <w:pPr>
        <w:pStyle w:val="60"/>
        <w:shd w:val="clear" w:color="auto" w:fill="FFFFFF" w:themeFill="background1"/>
        <w:spacing w:line="360" w:lineRule="auto"/>
        <w:ind w:firstLine="480" w:firstLineChars="200"/>
        <w:jc w:val="left"/>
        <w:rPr>
          <w:szCs w:val="24"/>
        </w:rPr>
      </w:pPr>
      <w:r>
        <w:rPr>
          <w:rFonts w:hint="eastAsia"/>
          <w:szCs w:val="24"/>
        </w:rPr>
        <w:t>主要从质量控制、费用控制、安全控制三方面进行控制；从文档管理、合同管理进行管理；并统筹协调各方关系。</w:t>
      </w:r>
    </w:p>
    <w:p>
      <w:pPr>
        <w:pStyle w:val="7"/>
        <w:shd w:val="clear" w:color="auto" w:fill="FFFFFF" w:themeFill="background1"/>
        <w:spacing w:line="360" w:lineRule="auto"/>
      </w:pPr>
      <w:bookmarkStart w:id="7" w:name="_Toc6149"/>
      <w:bookmarkStart w:id="8" w:name="_Toc2790"/>
      <w:r>
        <w:rPr>
          <w:rFonts w:hint="eastAsia"/>
        </w:rPr>
        <w:t>质量控制</w:t>
      </w:r>
      <w:bookmarkEnd w:id="7"/>
      <w:bookmarkEnd w:id="8"/>
    </w:p>
    <w:p>
      <w:pPr>
        <w:pStyle w:val="60"/>
        <w:shd w:val="clear" w:color="auto" w:fill="FFFFFF" w:themeFill="background1"/>
        <w:spacing w:line="360" w:lineRule="auto"/>
        <w:ind w:firstLine="480" w:firstLineChars="200"/>
        <w:jc w:val="left"/>
        <w:rPr>
          <w:szCs w:val="24"/>
        </w:rPr>
      </w:pPr>
      <w:r>
        <w:rPr>
          <w:rFonts w:hint="eastAsia"/>
          <w:szCs w:val="24"/>
        </w:rPr>
        <w:t>质量控制的内容及要点如下：</w:t>
      </w:r>
    </w:p>
    <w:p>
      <w:pPr>
        <w:pStyle w:val="60"/>
        <w:numPr>
          <w:ilvl w:val="0"/>
          <w:numId w:val="3"/>
        </w:numPr>
        <w:shd w:val="clear" w:color="auto" w:fill="FFFFFF" w:themeFill="background1"/>
        <w:spacing w:line="360" w:lineRule="auto"/>
        <w:jc w:val="left"/>
        <w:rPr>
          <w:szCs w:val="24"/>
        </w:rPr>
      </w:pPr>
      <w:r>
        <w:rPr>
          <w:rFonts w:hint="eastAsia"/>
          <w:szCs w:val="24"/>
        </w:rPr>
        <w:t>督导运维服务商建立运维质量保证体系，包括但不限于：</w:t>
      </w:r>
    </w:p>
    <w:p>
      <w:pPr>
        <w:pStyle w:val="60"/>
        <w:numPr>
          <w:ilvl w:val="0"/>
          <w:numId w:val="4"/>
        </w:numPr>
        <w:shd w:val="clear" w:color="auto" w:fill="FFFFFF" w:themeFill="background1"/>
        <w:spacing w:line="360" w:lineRule="auto"/>
        <w:jc w:val="left"/>
        <w:rPr>
          <w:szCs w:val="24"/>
        </w:rPr>
      </w:pPr>
      <w:r>
        <w:rPr>
          <w:rFonts w:hint="eastAsia"/>
          <w:szCs w:val="24"/>
        </w:rPr>
        <w:t>运维质量保证计划；</w:t>
      </w:r>
    </w:p>
    <w:p>
      <w:pPr>
        <w:pStyle w:val="60"/>
        <w:numPr>
          <w:ilvl w:val="0"/>
          <w:numId w:val="4"/>
        </w:numPr>
        <w:shd w:val="clear" w:color="auto" w:fill="FFFFFF" w:themeFill="background1"/>
        <w:spacing w:line="360" w:lineRule="auto"/>
        <w:jc w:val="left"/>
        <w:rPr>
          <w:szCs w:val="24"/>
        </w:rPr>
      </w:pPr>
      <w:r>
        <w:rPr>
          <w:rFonts w:hint="eastAsia"/>
          <w:szCs w:val="24"/>
        </w:rPr>
        <w:t>运维质量控制活动及相关规范流程；</w:t>
      </w:r>
    </w:p>
    <w:p>
      <w:pPr>
        <w:pStyle w:val="60"/>
        <w:numPr>
          <w:ilvl w:val="0"/>
          <w:numId w:val="4"/>
        </w:numPr>
        <w:shd w:val="clear" w:color="auto" w:fill="FFFFFF" w:themeFill="background1"/>
        <w:spacing w:line="360" w:lineRule="auto"/>
        <w:jc w:val="left"/>
        <w:rPr>
          <w:szCs w:val="24"/>
        </w:rPr>
      </w:pPr>
      <w:r>
        <w:rPr>
          <w:rFonts w:hint="eastAsia"/>
          <w:szCs w:val="24"/>
        </w:rPr>
        <w:t>运维质量控制机构及人员职责权限、工作衔接关系、协调措施等；</w:t>
      </w:r>
    </w:p>
    <w:p>
      <w:pPr>
        <w:pStyle w:val="60"/>
        <w:numPr>
          <w:ilvl w:val="0"/>
          <w:numId w:val="4"/>
        </w:numPr>
        <w:shd w:val="clear" w:color="auto" w:fill="FFFFFF" w:themeFill="background1"/>
        <w:spacing w:line="360" w:lineRule="auto"/>
        <w:jc w:val="left"/>
        <w:rPr>
          <w:szCs w:val="24"/>
        </w:rPr>
      </w:pPr>
      <w:r>
        <w:rPr>
          <w:rFonts w:hint="eastAsia"/>
          <w:szCs w:val="24"/>
        </w:rPr>
        <w:t>满足运维质量要求的资源条件，如运维实施工具及设备等；</w:t>
      </w:r>
    </w:p>
    <w:p>
      <w:pPr>
        <w:pStyle w:val="60"/>
        <w:numPr>
          <w:ilvl w:val="0"/>
          <w:numId w:val="4"/>
        </w:numPr>
        <w:shd w:val="clear" w:color="auto" w:fill="FFFFFF" w:themeFill="background1"/>
        <w:spacing w:line="360" w:lineRule="auto"/>
        <w:jc w:val="left"/>
        <w:rPr>
          <w:szCs w:val="24"/>
        </w:rPr>
      </w:pPr>
      <w:r>
        <w:rPr>
          <w:rFonts w:hint="eastAsia"/>
          <w:szCs w:val="24"/>
        </w:rPr>
        <w:t>满足运维质量要求的人员条件，如人员资质、技能经验要求、所需的培训等；</w:t>
      </w:r>
    </w:p>
    <w:p>
      <w:pPr>
        <w:pStyle w:val="60"/>
        <w:numPr>
          <w:ilvl w:val="0"/>
          <w:numId w:val="4"/>
        </w:numPr>
        <w:shd w:val="clear" w:color="auto" w:fill="FFFFFF" w:themeFill="background1"/>
        <w:spacing w:line="360" w:lineRule="auto"/>
        <w:jc w:val="left"/>
        <w:rPr>
          <w:szCs w:val="24"/>
        </w:rPr>
      </w:pPr>
      <w:r>
        <w:rPr>
          <w:rFonts w:hint="eastAsia"/>
          <w:szCs w:val="24"/>
        </w:rPr>
        <w:t>运维质量信息的反馈机制。</w:t>
      </w:r>
    </w:p>
    <w:p>
      <w:pPr>
        <w:pStyle w:val="60"/>
        <w:numPr>
          <w:ilvl w:val="0"/>
          <w:numId w:val="3"/>
        </w:numPr>
        <w:shd w:val="clear" w:color="auto" w:fill="FFFFFF" w:themeFill="background1"/>
        <w:spacing w:line="360" w:lineRule="auto"/>
        <w:jc w:val="left"/>
        <w:rPr>
          <w:szCs w:val="24"/>
        </w:rPr>
      </w:pPr>
      <w:r>
        <w:rPr>
          <w:rFonts w:hint="eastAsia"/>
          <w:szCs w:val="24"/>
        </w:rPr>
        <w:t>以运维合同、相关补充协议等为依据，监督运维质量保证体系的落实及其日常运行情况，包括但不限于：</w:t>
      </w:r>
    </w:p>
    <w:p>
      <w:pPr>
        <w:pStyle w:val="60"/>
        <w:numPr>
          <w:ilvl w:val="0"/>
          <w:numId w:val="5"/>
        </w:numPr>
        <w:shd w:val="clear" w:color="auto" w:fill="FFFFFF" w:themeFill="background1"/>
        <w:spacing w:line="360" w:lineRule="auto"/>
        <w:jc w:val="left"/>
        <w:rPr>
          <w:szCs w:val="24"/>
        </w:rPr>
      </w:pPr>
      <w:r>
        <w:rPr>
          <w:rFonts w:hint="eastAsia"/>
          <w:szCs w:val="24"/>
        </w:rPr>
        <w:t>运维服务流程执行情况的审查与控制；</w:t>
      </w:r>
    </w:p>
    <w:p>
      <w:pPr>
        <w:pStyle w:val="60"/>
        <w:numPr>
          <w:ilvl w:val="0"/>
          <w:numId w:val="5"/>
        </w:numPr>
        <w:shd w:val="clear" w:color="auto" w:fill="FFFFFF" w:themeFill="background1"/>
        <w:spacing w:line="360" w:lineRule="auto"/>
        <w:jc w:val="left"/>
        <w:rPr>
          <w:szCs w:val="24"/>
        </w:rPr>
      </w:pPr>
      <w:r>
        <w:rPr>
          <w:rFonts w:hint="eastAsia"/>
          <w:szCs w:val="24"/>
        </w:rPr>
        <w:t>运维服务过程与运维质量保证计划相符性监督；</w:t>
      </w:r>
    </w:p>
    <w:p>
      <w:pPr>
        <w:pStyle w:val="60"/>
        <w:numPr>
          <w:ilvl w:val="0"/>
          <w:numId w:val="5"/>
        </w:numPr>
        <w:shd w:val="clear" w:color="auto" w:fill="FFFFFF" w:themeFill="background1"/>
        <w:spacing w:line="360" w:lineRule="auto"/>
        <w:jc w:val="left"/>
        <w:rPr>
          <w:szCs w:val="24"/>
        </w:rPr>
      </w:pPr>
      <w:r>
        <w:rPr>
          <w:rFonts w:hint="eastAsia"/>
          <w:szCs w:val="24"/>
        </w:rPr>
        <w:t>运维服务成果的评价及相关运维文档的审查；</w:t>
      </w:r>
    </w:p>
    <w:p>
      <w:pPr>
        <w:pStyle w:val="60"/>
        <w:numPr>
          <w:ilvl w:val="0"/>
          <w:numId w:val="5"/>
        </w:numPr>
        <w:shd w:val="clear" w:color="auto" w:fill="FFFFFF" w:themeFill="background1"/>
        <w:spacing w:line="360" w:lineRule="auto"/>
        <w:jc w:val="left"/>
        <w:rPr>
          <w:szCs w:val="24"/>
        </w:rPr>
      </w:pPr>
      <w:r>
        <w:rPr>
          <w:rFonts w:hint="eastAsia"/>
          <w:szCs w:val="24"/>
        </w:rPr>
        <w:t>重大运维事件的处置过程；</w:t>
      </w:r>
    </w:p>
    <w:p>
      <w:pPr>
        <w:pStyle w:val="60"/>
        <w:numPr>
          <w:ilvl w:val="0"/>
          <w:numId w:val="5"/>
        </w:numPr>
        <w:shd w:val="clear" w:color="auto" w:fill="FFFFFF" w:themeFill="background1"/>
        <w:spacing w:line="360" w:lineRule="auto"/>
        <w:jc w:val="left"/>
        <w:rPr>
          <w:szCs w:val="24"/>
        </w:rPr>
      </w:pPr>
      <w:r>
        <w:rPr>
          <w:rFonts w:hint="eastAsia"/>
          <w:szCs w:val="24"/>
        </w:rPr>
        <w:t>运维项目的验收过程。</w:t>
      </w:r>
    </w:p>
    <w:p>
      <w:pPr>
        <w:pStyle w:val="60"/>
        <w:numPr>
          <w:ilvl w:val="0"/>
          <w:numId w:val="3"/>
        </w:numPr>
        <w:shd w:val="clear" w:color="auto" w:fill="FFFFFF" w:themeFill="background1"/>
        <w:spacing w:line="360" w:lineRule="auto"/>
        <w:jc w:val="left"/>
        <w:rPr>
          <w:szCs w:val="24"/>
        </w:rPr>
      </w:pPr>
      <w:r>
        <w:rPr>
          <w:rFonts w:hint="eastAsia"/>
          <w:szCs w:val="24"/>
        </w:rPr>
        <w:t>针对运维过程中的关键事件进行重点控制，包括但不限于：</w:t>
      </w:r>
    </w:p>
    <w:p>
      <w:pPr>
        <w:pStyle w:val="60"/>
        <w:numPr>
          <w:ilvl w:val="0"/>
          <w:numId w:val="6"/>
        </w:numPr>
        <w:shd w:val="clear" w:color="auto" w:fill="FFFFFF" w:themeFill="background1"/>
        <w:spacing w:line="360" w:lineRule="auto"/>
        <w:jc w:val="left"/>
        <w:rPr>
          <w:szCs w:val="24"/>
        </w:rPr>
      </w:pPr>
      <w:r>
        <w:rPr>
          <w:rFonts w:hint="eastAsia"/>
          <w:szCs w:val="24"/>
        </w:rPr>
        <w:t>由总监理工程师审核并组织相关专家进行论证；</w:t>
      </w:r>
    </w:p>
    <w:p>
      <w:pPr>
        <w:pStyle w:val="60"/>
        <w:numPr>
          <w:ilvl w:val="0"/>
          <w:numId w:val="6"/>
        </w:numPr>
        <w:shd w:val="clear" w:color="auto" w:fill="FFFFFF" w:themeFill="background1"/>
        <w:spacing w:line="360" w:lineRule="auto"/>
        <w:jc w:val="left"/>
        <w:rPr>
          <w:szCs w:val="24"/>
        </w:rPr>
      </w:pPr>
      <w:r>
        <w:rPr>
          <w:rFonts w:hint="eastAsia"/>
          <w:szCs w:val="24"/>
        </w:rPr>
        <w:t>跟踪关键操作和事件解决过程，发现质量问题并及时纠正，消除质量隐患。</w:t>
      </w:r>
    </w:p>
    <w:p>
      <w:pPr>
        <w:pStyle w:val="60"/>
        <w:numPr>
          <w:ilvl w:val="0"/>
          <w:numId w:val="3"/>
        </w:numPr>
        <w:shd w:val="clear" w:color="auto" w:fill="FFFFFF" w:themeFill="background1"/>
        <w:spacing w:line="360" w:lineRule="auto"/>
        <w:jc w:val="left"/>
        <w:rPr>
          <w:szCs w:val="24"/>
        </w:rPr>
      </w:pPr>
      <w:r>
        <w:rPr>
          <w:rFonts w:hint="eastAsia"/>
          <w:szCs w:val="24"/>
        </w:rPr>
        <w:t>督导运维服务商巡检执行情况，包括但不限于：</w:t>
      </w:r>
    </w:p>
    <w:p>
      <w:pPr>
        <w:pStyle w:val="60"/>
        <w:numPr>
          <w:ilvl w:val="0"/>
          <w:numId w:val="7"/>
        </w:numPr>
        <w:shd w:val="clear" w:color="auto" w:fill="FFFFFF" w:themeFill="background1"/>
        <w:spacing w:line="360" w:lineRule="auto"/>
        <w:jc w:val="left"/>
        <w:rPr>
          <w:szCs w:val="24"/>
        </w:rPr>
      </w:pPr>
      <w:r>
        <w:rPr>
          <w:rFonts w:hint="eastAsia"/>
          <w:szCs w:val="24"/>
        </w:rPr>
        <w:t>日常巡检安排及落实情况；</w:t>
      </w:r>
    </w:p>
    <w:p>
      <w:pPr>
        <w:pStyle w:val="60"/>
        <w:numPr>
          <w:ilvl w:val="0"/>
          <w:numId w:val="7"/>
        </w:numPr>
        <w:shd w:val="clear" w:color="auto" w:fill="FFFFFF" w:themeFill="background1"/>
        <w:spacing w:line="360" w:lineRule="auto"/>
        <w:jc w:val="left"/>
        <w:rPr>
          <w:szCs w:val="24"/>
        </w:rPr>
      </w:pPr>
      <w:r>
        <w:rPr>
          <w:rFonts w:hint="eastAsia"/>
          <w:szCs w:val="24"/>
        </w:rPr>
        <w:t>业务高峰期和特殊业务保障时期巡检安排及落实情况、人力保障到位情况等；</w:t>
      </w:r>
    </w:p>
    <w:p>
      <w:pPr>
        <w:pStyle w:val="60"/>
        <w:numPr>
          <w:ilvl w:val="0"/>
          <w:numId w:val="7"/>
        </w:numPr>
        <w:shd w:val="clear" w:color="auto" w:fill="FFFFFF" w:themeFill="background1"/>
        <w:spacing w:line="360" w:lineRule="auto"/>
        <w:jc w:val="left"/>
        <w:rPr>
          <w:szCs w:val="24"/>
        </w:rPr>
      </w:pPr>
      <w:r>
        <w:rPr>
          <w:rFonts w:hint="eastAsia"/>
          <w:szCs w:val="24"/>
        </w:rPr>
        <w:t>运维服务商巡检报告，故障报告、故障日志等信息。</w:t>
      </w:r>
    </w:p>
    <w:p>
      <w:pPr>
        <w:pStyle w:val="60"/>
        <w:numPr>
          <w:ilvl w:val="0"/>
          <w:numId w:val="3"/>
        </w:numPr>
        <w:shd w:val="clear" w:color="auto" w:fill="FFFFFF" w:themeFill="background1"/>
        <w:spacing w:line="360" w:lineRule="auto"/>
        <w:jc w:val="left"/>
        <w:rPr>
          <w:szCs w:val="24"/>
        </w:rPr>
      </w:pPr>
      <w:r>
        <w:rPr>
          <w:rFonts w:hint="eastAsia"/>
          <w:szCs w:val="24"/>
        </w:rPr>
        <w:t>对运维过程中的测试实施质量审查，包括但不限于：</w:t>
      </w:r>
    </w:p>
    <w:p>
      <w:pPr>
        <w:pStyle w:val="60"/>
        <w:numPr>
          <w:ilvl w:val="0"/>
          <w:numId w:val="8"/>
        </w:numPr>
        <w:shd w:val="clear" w:color="auto" w:fill="FFFFFF" w:themeFill="background1"/>
        <w:spacing w:line="360" w:lineRule="auto"/>
        <w:jc w:val="left"/>
        <w:rPr>
          <w:szCs w:val="24"/>
        </w:rPr>
      </w:pPr>
      <w:r>
        <w:rPr>
          <w:rFonts w:hint="eastAsia"/>
          <w:szCs w:val="24"/>
        </w:rPr>
        <w:t>监督评审运维服务商的测试计划、测试方案、测试实施过程及测试结果；</w:t>
      </w:r>
    </w:p>
    <w:p>
      <w:pPr>
        <w:pStyle w:val="60"/>
        <w:numPr>
          <w:ilvl w:val="0"/>
          <w:numId w:val="8"/>
        </w:numPr>
        <w:shd w:val="clear" w:color="auto" w:fill="FFFFFF" w:themeFill="background1"/>
        <w:spacing w:line="360" w:lineRule="auto"/>
        <w:jc w:val="left"/>
        <w:rPr>
          <w:szCs w:val="24"/>
        </w:rPr>
      </w:pPr>
      <w:r>
        <w:rPr>
          <w:rFonts w:hint="eastAsia"/>
          <w:szCs w:val="24"/>
        </w:rPr>
        <w:t>执行重要环节的监理测试。</w:t>
      </w:r>
    </w:p>
    <w:p>
      <w:pPr>
        <w:pStyle w:val="60"/>
        <w:numPr>
          <w:ilvl w:val="0"/>
          <w:numId w:val="3"/>
        </w:numPr>
        <w:shd w:val="clear" w:color="auto" w:fill="FFFFFF" w:themeFill="background1"/>
        <w:spacing w:line="360" w:lineRule="auto"/>
        <w:jc w:val="left"/>
        <w:rPr>
          <w:szCs w:val="24"/>
        </w:rPr>
      </w:pPr>
      <w:r>
        <w:rPr>
          <w:rFonts w:hint="eastAsia"/>
          <w:szCs w:val="24"/>
        </w:rPr>
        <w:t>实施运维质量评审，包括但不限于：</w:t>
      </w:r>
    </w:p>
    <w:p>
      <w:pPr>
        <w:pStyle w:val="60"/>
        <w:numPr>
          <w:ilvl w:val="0"/>
          <w:numId w:val="9"/>
        </w:numPr>
        <w:shd w:val="clear" w:color="auto" w:fill="FFFFFF" w:themeFill="background1"/>
        <w:spacing w:line="360" w:lineRule="auto"/>
        <w:jc w:val="left"/>
        <w:rPr>
          <w:szCs w:val="24"/>
        </w:rPr>
      </w:pPr>
      <w:r>
        <w:rPr>
          <w:rFonts w:hint="eastAsia"/>
          <w:szCs w:val="24"/>
        </w:rPr>
        <w:t>运维需求分析与运维服务商实施方案；</w:t>
      </w:r>
    </w:p>
    <w:p>
      <w:pPr>
        <w:pStyle w:val="60"/>
        <w:numPr>
          <w:ilvl w:val="0"/>
          <w:numId w:val="9"/>
        </w:numPr>
        <w:shd w:val="clear" w:color="auto" w:fill="FFFFFF" w:themeFill="background1"/>
        <w:spacing w:line="360" w:lineRule="auto"/>
        <w:jc w:val="left"/>
        <w:rPr>
          <w:szCs w:val="24"/>
        </w:rPr>
      </w:pPr>
      <w:r>
        <w:rPr>
          <w:rFonts w:hint="eastAsia"/>
          <w:szCs w:val="24"/>
        </w:rPr>
        <w:t>运维服务商质量保证体系落实情况；</w:t>
      </w:r>
    </w:p>
    <w:p>
      <w:pPr>
        <w:pStyle w:val="60"/>
        <w:numPr>
          <w:ilvl w:val="0"/>
          <w:numId w:val="9"/>
        </w:numPr>
        <w:shd w:val="clear" w:color="auto" w:fill="FFFFFF" w:themeFill="background1"/>
        <w:spacing w:line="360" w:lineRule="auto"/>
        <w:jc w:val="left"/>
        <w:rPr>
          <w:szCs w:val="24"/>
        </w:rPr>
      </w:pPr>
      <w:r>
        <w:rPr>
          <w:rFonts w:hint="eastAsia"/>
          <w:szCs w:val="24"/>
        </w:rPr>
        <w:t>运维服务商运维过程文档；</w:t>
      </w:r>
    </w:p>
    <w:p>
      <w:pPr>
        <w:pStyle w:val="60"/>
        <w:numPr>
          <w:ilvl w:val="0"/>
          <w:numId w:val="9"/>
        </w:numPr>
        <w:shd w:val="clear" w:color="auto" w:fill="FFFFFF" w:themeFill="background1"/>
        <w:spacing w:line="360" w:lineRule="auto"/>
        <w:jc w:val="left"/>
        <w:rPr>
          <w:szCs w:val="24"/>
        </w:rPr>
      </w:pPr>
      <w:r>
        <w:rPr>
          <w:rFonts w:hint="eastAsia"/>
          <w:szCs w:val="24"/>
        </w:rPr>
        <w:t>运维验收方案；</w:t>
      </w:r>
    </w:p>
    <w:p>
      <w:pPr>
        <w:pStyle w:val="60"/>
        <w:numPr>
          <w:ilvl w:val="0"/>
          <w:numId w:val="9"/>
        </w:numPr>
        <w:shd w:val="clear" w:color="auto" w:fill="FFFFFF" w:themeFill="background1"/>
        <w:spacing w:line="360" w:lineRule="auto"/>
        <w:jc w:val="left"/>
        <w:rPr>
          <w:szCs w:val="24"/>
        </w:rPr>
      </w:pPr>
      <w:r>
        <w:rPr>
          <w:rFonts w:hint="eastAsia"/>
          <w:szCs w:val="24"/>
        </w:rPr>
        <w:t>其他需要会审的重要方案。</w:t>
      </w:r>
    </w:p>
    <w:p>
      <w:pPr>
        <w:pStyle w:val="7"/>
        <w:shd w:val="clear" w:color="auto" w:fill="FFFFFF" w:themeFill="background1"/>
        <w:spacing w:line="360" w:lineRule="auto"/>
      </w:pPr>
      <w:bookmarkStart w:id="9" w:name="_Toc697"/>
      <w:bookmarkStart w:id="10" w:name="_Toc9007"/>
      <w:r>
        <w:rPr>
          <w:rFonts w:hint="eastAsia"/>
        </w:rPr>
        <w:t>费用控制</w:t>
      </w:r>
      <w:bookmarkEnd w:id="9"/>
      <w:bookmarkEnd w:id="10"/>
    </w:p>
    <w:p>
      <w:pPr>
        <w:pStyle w:val="60"/>
        <w:shd w:val="clear" w:color="auto" w:fill="FFFFFF" w:themeFill="background1"/>
        <w:spacing w:line="360" w:lineRule="auto"/>
        <w:ind w:firstLine="480" w:firstLineChars="200"/>
        <w:jc w:val="left"/>
        <w:rPr>
          <w:szCs w:val="24"/>
        </w:rPr>
      </w:pPr>
      <w:r>
        <w:rPr>
          <w:rFonts w:hint="eastAsia"/>
          <w:szCs w:val="24"/>
        </w:rPr>
        <w:t>费用控制的内容及要点如下：</w:t>
      </w:r>
    </w:p>
    <w:p>
      <w:pPr>
        <w:pStyle w:val="60"/>
        <w:numPr>
          <w:ilvl w:val="0"/>
          <w:numId w:val="10"/>
        </w:numPr>
        <w:shd w:val="clear" w:color="auto" w:fill="FFFFFF" w:themeFill="background1"/>
        <w:spacing w:line="360" w:lineRule="auto"/>
        <w:jc w:val="left"/>
        <w:rPr>
          <w:szCs w:val="24"/>
        </w:rPr>
      </w:pPr>
      <w:r>
        <w:rPr>
          <w:rFonts w:hint="eastAsia"/>
          <w:szCs w:val="24"/>
        </w:rPr>
        <w:t>掌握</w:t>
      </w:r>
      <w:r>
        <w:rPr>
          <w:rFonts w:hint="eastAsia"/>
          <w:szCs w:val="24"/>
          <w:lang w:eastAsia="zh-CN"/>
        </w:rPr>
        <w:t>采购</w:t>
      </w:r>
      <w:r>
        <w:rPr>
          <w:rFonts w:hint="eastAsia"/>
          <w:szCs w:val="24"/>
        </w:rPr>
        <w:t>文件、合同文件及相关补充协议中有关运维费用相关奖惩条例的条款；</w:t>
      </w:r>
    </w:p>
    <w:p>
      <w:pPr>
        <w:pStyle w:val="60"/>
        <w:numPr>
          <w:ilvl w:val="0"/>
          <w:numId w:val="10"/>
        </w:numPr>
        <w:shd w:val="clear" w:color="auto" w:fill="FFFFFF" w:themeFill="background1"/>
        <w:spacing w:line="360" w:lineRule="auto"/>
        <w:jc w:val="left"/>
        <w:rPr>
          <w:szCs w:val="24"/>
        </w:rPr>
      </w:pPr>
      <w:r>
        <w:rPr>
          <w:rFonts w:hint="eastAsia"/>
          <w:szCs w:val="24"/>
        </w:rPr>
        <w:t>核定运维服务商的实际工作量，审核各阶段的各类运维项目付款执行单据；</w:t>
      </w:r>
    </w:p>
    <w:p>
      <w:pPr>
        <w:pStyle w:val="60"/>
        <w:numPr>
          <w:ilvl w:val="0"/>
          <w:numId w:val="10"/>
        </w:numPr>
        <w:shd w:val="clear" w:color="auto" w:fill="FFFFFF" w:themeFill="background1"/>
        <w:spacing w:line="360" w:lineRule="auto"/>
        <w:jc w:val="left"/>
        <w:rPr>
          <w:szCs w:val="24"/>
        </w:rPr>
      </w:pPr>
      <w:r>
        <w:rPr>
          <w:rFonts w:hint="eastAsia"/>
          <w:szCs w:val="24"/>
        </w:rPr>
        <w:t>跟踪运维总集商对分包商的款项支付情况；</w:t>
      </w:r>
    </w:p>
    <w:p>
      <w:pPr>
        <w:pStyle w:val="60"/>
        <w:numPr>
          <w:ilvl w:val="0"/>
          <w:numId w:val="10"/>
        </w:numPr>
        <w:shd w:val="clear" w:color="auto" w:fill="FFFFFF" w:themeFill="background1"/>
        <w:spacing w:line="360" w:lineRule="auto"/>
        <w:jc w:val="left"/>
        <w:rPr>
          <w:szCs w:val="24"/>
        </w:rPr>
      </w:pPr>
      <w:r>
        <w:rPr>
          <w:rFonts w:hint="eastAsia"/>
          <w:szCs w:val="24"/>
        </w:rPr>
        <w:t>针对运维过程中的索赔事项，审核各项索赔金额；</w:t>
      </w:r>
    </w:p>
    <w:p>
      <w:pPr>
        <w:pStyle w:val="60"/>
        <w:numPr>
          <w:ilvl w:val="0"/>
          <w:numId w:val="10"/>
        </w:numPr>
        <w:shd w:val="clear" w:color="auto" w:fill="FFFFFF" w:themeFill="background1"/>
        <w:spacing w:line="360" w:lineRule="auto"/>
        <w:jc w:val="left"/>
        <w:rPr>
          <w:szCs w:val="24"/>
        </w:rPr>
      </w:pPr>
      <w:r>
        <w:rPr>
          <w:rFonts w:hint="eastAsia"/>
          <w:szCs w:val="24"/>
        </w:rPr>
        <w:t>督导运维各阶段付款流程，包括但不限于：</w:t>
      </w:r>
    </w:p>
    <w:p>
      <w:pPr>
        <w:pStyle w:val="60"/>
        <w:numPr>
          <w:ilvl w:val="0"/>
          <w:numId w:val="11"/>
        </w:numPr>
        <w:shd w:val="clear" w:color="auto" w:fill="FFFFFF" w:themeFill="background1"/>
        <w:spacing w:line="360" w:lineRule="auto"/>
        <w:jc w:val="left"/>
        <w:rPr>
          <w:szCs w:val="24"/>
        </w:rPr>
      </w:pPr>
      <w:r>
        <w:rPr>
          <w:rFonts w:hint="eastAsia"/>
          <w:szCs w:val="24"/>
        </w:rPr>
        <w:t>由总监理工程师依据运维合同及相关补充协议，审核运维服务商提交的阶段性运维总结报告，满足付款条件时，报送采购人。</w:t>
      </w:r>
    </w:p>
    <w:p>
      <w:pPr>
        <w:pStyle w:val="60"/>
        <w:numPr>
          <w:ilvl w:val="0"/>
          <w:numId w:val="11"/>
        </w:numPr>
        <w:shd w:val="clear" w:color="auto" w:fill="FFFFFF" w:themeFill="background1"/>
        <w:spacing w:line="360" w:lineRule="auto"/>
        <w:jc w:val="left"/>
        <w:rPr>
          <w:szCs w:val="24"/>
        </w:rPr>
      </w:pPr>
      <w:r>
        <w:rPr>
          <w:rFonts w:hint="eastAsia"/>
          <w:szCs w:val="24"/>
        </w:rPr>
        <w:t>如果有不建议支付的情况出现，应该给用户单位提交专题监理报告，说明原因，同时约请用户与运维服务商面谈，指出问题，要求整改，在整改完成后再行评价该阶段运维费可否支付。</w:t>
      </w:r>
    </w:p>
    <w:p>
      <w:pPr>
        <w:pStyle w:val="7"/>
        <w:shd w:val="clear" w:color="auto" w:fill="FFFFFF" w:themeFill="background1"/>
        <w:spacing w:line="360" w:lineRule="auto"/>
      </w:pPr>
      <w:bookmarkStart w:id="11" w:name="_Toc14880"/>
      <w:bookmarkStart w:id="12" w:name="_Toc20787"/>
      <w:r>
        <w:rPr>
          <w:rFonts w:hint="eastAsia"/>
        </w:rPr>
        <w:t>安全控制</w:t>
      </w:r>
      <w:bookmarkEnd w:id="11"/>
      <w:bookmarkEnd w:id="12"/>
    </w:p>
    <w:p>
      <w:pPr>
        <w:pStyle w:val="60"/>
        <w:shd w:val="clear" w:color="auto" w:fill="FFFFFF" w:themeFill="background1"/>
        <w:spacing w:line="360" w:lineRule="auto"/>
        <w:ind w:firstLine="480" w:firstLineChars="200"/>
        <w:jc w:val="left"/>
        <w:rPr>
          <w:szCs w:val="24"/>
        </w:rPr>
      </w:pPr>
      <w:r>
        <w:rPr>
          <w:rFonts w:hint="eastAsia"/>
          <w:szCs w:val="24"/>
        </w:rPr>
        <w:t>安全控制的内容及要点如下：</w:t>
      </w:r>
    </w:p>
    <w:p>
      <w:pPr>
        <w:pStyle w:val="60"/>
        <w:numPr>
          <w:ilvl w:val="0"/>
          <w:numId w:val="12"/>
        </w:numPr>
        <w:shd w:val="clear" w:color="auto" w:fill="FFFFFF" w:themeFill="background1"/>
        <w:spacing w:line="360" w:lineRule="auto"/>
        <w:jc w:val="left"/>
        <w:rPr>
          <w:szCs w:val="24"/>
        </w:rPr>
      </w:pPr>
      <w:r>
        <w:rPr>
          <w:rFonts w:hint="eastAsia"/>
          <w:szCs w:val="24"/>
        </w:rPr>
        <w:t>协助采购人分析信息系统的安全运行保障方案与系统的可用性、保密性、完整性及可维护性等方面的协调性，避免技术及管理方面的冲突；</w:t>
      </w:r>
    </w:p>
    <w:p>
      <w:pPr>
        <w:pStyle w:val="60"/>
        <w:numPr>
          <w:ilvl w:val="0"/>
          <w:numId w:val="12"/>
        </w:numPr>
        <w:shd w:val="clear" w:color="auto" w:fill="FFFFFF" w:themeFill="background1"/>
        <w:spacing w:line="360" w:lineRule="auto"/>
        <w:jc w:val="left"/>
        <w:rPr>
          <w:szCs w:val="24"/>
        </w:rPr>
      </w:pPr>
      <w:r>
        <w:rPr>
          <w:rFonts w:hint="eastAsia"/>
          <w:szCs w:val="24"/>
        </w:rPr>
        <w:t>督导运维服务商进行信息系统运维安全规划，应至少建议运维服务商从以下几方面规划运维安全管理：</w:t>
      </w:r>
    </w:p>
    <w:p>
      <w:pPr>
        <w:pStyle w:val="60"/>
        <w:numPr>
          <w:ilvl w:val="0"/>
          <w:numId w:val="13"/>
        </w:numPr>
        <w:shd w:val="clear" w:color="auto" w:fill="FFFFFF" w:themeFill="background1"/>
        <w:spacing w:line="360" w:lineRule="auto"/>
        <w:jc w:val="left"/>
        <w:rPr>
          <w:szCs w:val="24"/>
        </w:rPr>
      </w:pPr>
      <w:r>
        <w:rPr>
          <w:rFonts w:hint="eastAsia"/>
          <w:szCs w:val="24"/>
        </w:rPr>
        <w:t>人员安全管理；</w:t>
      </w:r>
    </w:p>
    <w:p>
      <w:pPr>
        <w:pStyle w:val="60"/>
        <w:numPr>
          <w:ilvl w:val="0"/>
          <w:numId w:val="13"/>
        </w:numPr>
        <w:shd w:val="clear" w:color="auto" w:fill="FFFFFF" w:themeFill="background1"/>
        <w:spacing w:line="360" w:lineRule="auto"/>
        <w:jc w:val="left"/>
        <w:rPr>
          <w:szCs w:val="24"/>
        </w:rPr>
      </w:pPr>
      <w:r>
        <w:rPr>
          <w:rFonts w:hint="eastAsia"/>
          <w:szCs w:val="24"/>
        </w:rPr>
        <w:t>物理与环境保护，如访问控制、数据安全等；</w:t>
      </w:r>
    </w:p>
    <w:p>
      <w:pPr>
        <w:pStyle w:val="60"/>
        <w:numPr>
          <w:ilvl w:val="0"/>
          <w:numId w:val="13"/>
        </w:numPr>
        <w:shd w:val="clear" w:color="auto" w:fill="FFFFFF" w:themeFill="background1"/>
        <w:spacing w:line="360" w:lineRule="auto"/>
        <w:jc w:val="left"/>
        <w:rPr>
          <w:szCs w:val="24"/>
        </w:rPr>
      </w:pPr>
      <w:r>
        <w:rPr>
          <w:rFonts w:hint="eastAsia"/>
          <w:szCs w:val="24"/>
        </w:rPr>
        <w:t>输入输出控制，运维监理须建议并提醒运维服务商对系统的输入输出信息或介质建立管理机制；</w:t>
      </w:r>
    </w:p>
    <w:p>
      <w:pPr>
        <w:pStyle w:val="60"/>
        <w:numPr>
          <w:ilvl w:val="0"/>
          <w:numId w:val="13"/>
        </w:numPr>
        <w:shd w:val="clear" w:color="auto" w:fill="FFFFFF" w:themeFill="background1"/>
        <w:spacing w:line="360" w:lineRule="auto"/>
        <w:jc w:val="left"/>
        <w:rPr>
          <w:szCs w:val="24"/>
        </w:rPr>
      </w:pPr>
      <w:r>
        <w:rPr>
          <w:rFonts w:hint="eastAsia"/>
          <w:szCs w:val="24"/>
        </w:rPr>
        <w:t>制定突发事件应急计划，运维监理须建议、提醒运维服务商针对不同的系统故障或灾难制定应急计划，编写紧急故障恢复操作指南，并对每个岗位的工作人员按照所担任角色进行培训和演练；</w:t>
      </w:r>
    </w:p>
    <w:p>
      <w:pPr>
        <w:pStyle w:val="60"/>
        <w:numPr>
          <w:ilvl w:val="0"/>
          <w:numId w:val="13"/>
        </w:numPr>
        <w:shd w:val="clear" w:color="auto" w:fill="FFFFFF" w:themeFill="background1"/>
        <w:spacing w:line="360" w:lineRule="auto"/>
        <w:jc w:val="left"/>
        <w:rPr>
          <w:szCs w:val="24"/>
        </w:rPr>
      </w:pPr>
      <w:r>
        <w:rPr>
          <w:rFonts w:hint="eastAsia"/>
          <w:szCs w:val="24"/>
        </w:rPr>
        <w:t>数据完整性与有效性控制，运维监理须建议、提醒运维服务商规划和评估系统的备份与恢复措施、病毒和恶意攻击防范与检测机制、运维事件监控日志、记录机制等；</w:t>
      </w:r>
    </w:p>
    <w:p>
      <w:pPr>
        <w:pStyle w:val="60"/>
        <w:numPr>
          <w:ilvl w:val="0"/>
          <w:numId w:val="13"/>
        </w:numPr>
        <w:shd w:val="clear" w:color="auto" w:fill="FFFFFF" w:themeFill="background1"/>
        <w:spacing w:line="360" w:lineRule="auto"/>
        <w:jc w:val="left"/>
        <w:rPr>
          <w:szCs w:val="24"/>
        </w:rPr>
      </w:pPr>
      <w:r>
        <w:rPr>
          <w:rFonts w:hint="eastAsia"/>
          <w:szCs w:val="24"/>
        </w:rPr>
        <w:t>安全文档管理，运维监理工程师要建议、提醒运维服务商建立运维安全文档管理机制，保障运维过程文档的完整性、规范性，以及与实际运维操作过程的一致性、可追溯性；</w:t>
      </w:r>
    </w:p>
    <w:p>
      <w:pPr>
        <w:pStyle w:val="60"/>
        <w:numPr>
          <w:ilvl w:val="0"/>
          <w:numId w:val="13"/>
        </w:numPr>
        <w:shd w:val="clear" w:color="auto" w:fill="FFFFFF" w:themeFill="background1"/>
        <w:spacing w:line="360" w:lineRule="auto"/>
        <w:jc w:val="left"/>
        <w:rPr>
          <w:szCs w:val="24"/>
        </w:rPr>
      </w:pPr>
      <w:r>
        <w:rPr>
          <w:rFonts w:hint="eastAsia"/>
          <w:szCs w:val="24"/>
        </w:rPr>
        <w:t>安全教育与培训，运维监理要建议、提醒运维服务商建立定期安全教育与培训的制度。</w:t>
      </w:r>
    </w:p>
    <w:p>
      <w:pPr>
        <w:pStyle w:val="60"/>
        <w:numPr>
          <w:ilvl w:val="0"/>
          <w:numId w:val="12"/>
        </w:numPr>
        <w:shd w:val="clear" w:color="auto" w:fill="FFFFFF" w:themeFill="background1"/>
        <w:spacing w:line="360" w:lineRule="auto"/>
        <w:jc w:val="left"/>
        <w:rPr>
          <w:szCs w:val="24"/>
        </w:rPr>
      </w:pPr>
      <w:r>
        <w:rPr>
          <w:rFonts w:hint="eastAsia"/>
          <w:szCs w:val="24"/>
        </w:rPr>
        <w:t>督导运维服务商进行信息系统运维安全管理教育，包括但不限于：</w:t>
      </w:r>
    </w:p>
    <w:p>
      <w:pPr>
        <w:pStyle w:val="60"/>
        <w:numPr>
          <w:ilvl w:val="0"/>
          <w:numId w:val="14"/>
        </w:numPr>
        <w:shd w:val="clear" w:color="auto" w:fill="FFFFFF" w:themeFill="background1"/>
        <w:spacing w:line="360" w:lineRule="auto"/>
        <w:jc w:val="left"/>
        <w:rPr>
          <w:szCs w:val="24"/>
        </w:rPr>
      </w:pPr>
      <w:r>
        <w:rPr>
          <w:rFonts w:hint="eastAsia"/>
          <w:szCs w:val="24"/>
        </w:rPr>
        <w:t>信息系统运维相关法律法规教育；</w:t>
      </w:r>
    </w:p>
    <w:p>
      <w:pPr>
        <w:pStyle w:val="60"/>
        <w:numPr>
          <w:ilvl w:val="0"/>
          <w:numId w:val="14"/>
        </w:numPr>
        <w:shd w:val="clear" w:color="auto" w:fill="FFFFFF" w:themeFill="background1"/>
        <w:spacing w:line="360" w:lineRule="auto"/>
        <w:jc w:val="left"/>
        <w:rPr>
          <w:szCs w:val="24"/>
        </w:rPr>
      </w:pPr>
      <w:r>
        <w:rPr>
          <w:rFonts w:hint="eastAsia"/>
          <w:szCs w:val="24"/>
        </w:rPr>
        <w:t>信息系统运维安全基础知识教育，如网络安全教育、运行安全教育、安全技术教育等；</w:t>
      </w:r>
    </w:p>
    <w:p>
      <w:pPr>
        <w:pStyle w:val="60"/>
        <w:numPr>
          <w:ilvl w:val="0"/>
          <w:numId w:val="14"/>
        </w:numPr>
        <w:shd w:val="clear" w:color="auto" w:fill="FFFFFF" w:themeFill="background1"/>
        <w:spacing w:line="360" w:lineRule="auto"/>
        <w:jc w:val="left"/>
        <w:rPr>
          <w:szCs w:val="24"/>
        </w:rPr>
      </w:pPr>
      <w:r>
        <w:rPr>
          <w:rFonts w:hint="eastAsia"/>
          <w:szCs w:val="24"/>
        </w:rPr>
        <w:t>信息系统运维职业道德教育。</w:t>
      </w:r>
    </w:p>
    <w:p>
      <w:pPr>
        <w:pStyle w:val="60"/>
        <w:numPr>
          <w:ilvl w:val="0"/>
          <w:numId w:val="12"/>
        </w:numPr>
        <w:shd w:val="clear" w:color="auto" w:fill="FFFFFF" w:themeFill="background1"/>
        <w:spacing w:line="360" w:lineRule="auto"/>
        <w:jc w:val="left"/>
        <w:rPr>
          <w:szCs w:val="24"/>
        </w:rPr>
      </w:pPr>
      <w:r>
        <w:rPr>
          <w:rFonts w:hint="eastAsia"/>
          <w:szCs w:val="24"/>
        </w:rPr>
        <w:t>督导运维服务商依据安全制度规范，建立安全意识，严格执行安全运维操作。</w:t>
      </w:r>
    </w:p>
    <w:p>
      <w:pPr>
        <w:pStyle w:val="60"/>
        <w:numPr>
          <w:ilvl w:val="0"/>
          <w:numId w:val="12"/>
        </w:numPr>
        <w:shd w:val="clear" w:color="auto" w:fill="FFFFFF" w:themeFill="background1"/>
        <w:spacing w:line="360" w:lineRule="auto"/>
        <w:jc w:val="left"/>
        <w:rPr>
          <w:szCs w:val="24"/>
        </w:rPr>
      </w:pPr>
      <w:r>
        <w:rPr>
          <w:rFonts w:hint="eastAsia"/>
          <w:szCs w:val="24"/>
        </w:rPr>
        <w:t>督导运维服务商按照技术标准和运维方案执行运维操作，检查运维服务商是否存在安全隐患行为。</w:t>
      </w:r>
    </w:p>
    <w:p>
      <w:pPr>
        <w:pStyle w:val="7"/>
        <w:shd w:val="clear" w:color="auto" w:fill="FFFFFF" w:themeFill="background1"/>
        <w:spacing w:line="360" w:lineRule="auto"/>
      </w:pPr>
      <w:bookmarkStart w:id="13" w:name="_Toc3342"/>
      <w:bookmarkStart w:id="14" w:name="_Toc27516"/>
      <w:r>
        <w:rPr>
          <w:rFonts w:hint="eastAsia"/>
        </w:rPr>
        <w:t>变更管理</w:t>
      </w:r>
      <w:bookmarkEnd w:id="13"/>
      <w:bookmarkEnd w:id="14"/>
    </w:p>
    <w:p>
      <w:pPr>
        <w:numPr>
          <w:ilvl w:val="0"/>
          <w:numId w:val="15"/>
        </w:numPr>
        <w:shd w:val="clear" w:color="auto" w:fill="FFFFFF" w:themeFill="background1"/>
        <w:spacing w:line="360" w:lineRule="auto"/>
      </w:pPr>
      <w:r>
        <w:rPr>
          <w:rFonts w:hint="eastAsia"/>
        </w:rPr>
        <w:t>变更管理目标</w:t>
      </w:r>
    </w:p>
    <w:p>
      <w:pPr>
        <w:shd w:val="clear" w:color="auto" w:fill="FFFFFF" w:themeFill="background1"/>
        <w:ind w:firstLine="480"/>
      </w:pPr>
      <w:r>
        <w:rPr>
          <w:rFonts w:hint="eastAsia"/>
        </w:rPr>
        <w:t>为了实现既定的目标，通过对各种变更引起的质量、进度和投资方面变化的分析，采取积极的应对措施，规避风险，保证项目的顺利进行，实现项目的运维目标。</w:t>
      </w:r>
    </w:p>
    <w:p>
      <w:pPr>
        <w:numPr>
          <w:ilvl w:val="0"/>
          <w:numId w:val="15"/>
        </w:numPr>
        <w:shd w:val="clear" w:color="auto" w:fill="FFFFFF" w:themeFill="background1"/>
        <w:spacing w:line="360" w:lineRule="auto"/>
      </w:pPr>
      <w:r>
        <w:rPr>
          <w:rFonts w:hint="eastAsia"/>
        </w:rPr>
        <w:t>变更控制</w:t>
      </w:r>
    </w:p>
    <w:p>
      <w:pPr>
        <w:numPr>
          <w:ilvl w:val="0"/>
          <w:numId w:val="16"/>
        </w:numPr>
        <w:shd w:val="clear" w:color="auto" w:fill="FFFFFF" w:themeFill="background1"/>
        <w:spacing w:line="360" w:lineRule="auto"/>
      </w:pPr>
      <w:r>
        <w:t>对项目变更控制，明确界定项目变更的目标，防止变更范围的扩大化，加强变更风险以及变更效果的评估</w:t>
      </w:r>
      <w:r>
        <w:rPr>
          <w:rFonts w:hint="eastAsia"/>
        </w:rPr>
        <w:t>；</w:t>
      </w:r>
    </w:p>
    <w:p>
      <w:pPr>
        <w:numPr>
          <w:ilvl w:val="0"/>
          <w:numId w:val="16"/>
        </w:numPr>
        <w:shd w:val="clear" w:color="auto" w:fill="FFFFFF" w:themeFill="background1"/>
        <w:spacing w:line="360" w:lineRule="auto"/>
      </w:pPr>
      <w:r>
        <w:t>对变更申请及时响应</w:t>
      </w:r>
      <w:r>
        <w:rPr>
          <w:rFonts w:hint="eastAsia"/>
        </w:rPr>
        <w:t>，</w:t>
      </w:r>
      <w:r>
        <w:t>任何变更都应在实施前进行评估，选择冲击最小的变更方案；</w:t>
      </w:r>
    </w:p>
    <w:p>
      <w:pPr>
        <w:numPr>
          <w:ilvl w:val="0"/>
          <w:numId w:val="16"/>
        </w:numPr>
        <w:shd w:val="clear" w:color="auto" w:fill="FFFFFF" w:themeFill="background1"/>
        <w:spacing w:line="360" w:lineRule="auto"/>
      </w:pPr>
      <w:r>
        <w:t>任何变更都要得到三方（</w:t>
      </w:r>
      <w:r>
        <w:rPr>
          <w:rFonts w:hint="eastAsia"/>
        </w:rPr>
        <w:t>采购人</w:t>
      </w:r>
      <w:r>
        <w:t>、监理单位和承建单位）的书面确认。</w:t>
      </w:r>
    </w:p>
    <w:p>
      <w:pPr>
        <w:numPr>
          <w:ilvl w:val="0"/>
          <w:numId w:val="15"/>
        </w:numPr>
        <w:shd w:val="clear" w:color="auto" w:fill="FFFFFF" w:themeFill="background1"/>
        <w:spacing w:line="360" w:lineRule="auto"/>
      </w:pPr>
      <w:r>
        <w:rPr>
          <w:rFonts w:hint="eastAsia"/>
        </w:rPr>
        <w:t>变更监督执行</w:t>
      </w:r>
    </w:p>
    <w:p>
      <w:pPr>
        <w:shd w:val="clear" w:color="auto" w:fill="FFFFFF" w:themeFill="background1"/>
        <w:ind w:firstLine="480"/>
      </w:pPr>
      <w:r>
        <w:rPr>
          <w:rFonts w:hint="eastAsia"/>
        </w:rPr>
        <w:t>变更后的内容须纳入正常的监理工作范围里，监理工程师对变更部分的内容要密切注意，及时发现变更引起的超过估计的后果，以便及时控制和处理。</w:t>
      </w:r>
    </w:p>
    <w:p>
      <w:pPr>
        <w:numPr>
          <w:ilvl w:val="0"/>
          <w:numId w:val="17"/>
        </w:numPr>
        <w:shd w:val="clear" w:color="auto" w:fill="FFFFFF" w:themeFill="background1"/>
        <w:spacing w:line="360" w:lineRule="auto"/>
      </w:pPr>
      <w:r>
        <w:rPr>
          <w:rFonts w:hint="eastAsia"/>
        </w:rPr>
        <w:t>监理单位定期作变更控制情况报告；</w:t>
      </w:r>
    </w:p>
    <w:p>
      <w:pPr>
        <w:numPr>
          <w:ilvl w:val="0"/>
          <w:numId w:val="17"/>
        </w:numPr>
        <w:shd w:val="clear" w:color="auto" w:fill="FFFFFF" w:themeFill="background1"/>
        <w:spacing w:line="360" w:lineRule="auto"/>
      </w:pPr>
      <w:r>
        <w:rPr>
          <w:rFonts w:hint="eastAsia"/>
        </w:rPr>
        <w:t>经正式批准的文档由监理单位统一负责管理并监督跟踪变更后续的程序调整、文档版本更新或变更过程中其他的调整要求等工作；</w:t>
      </w:r>
    </w:p>
    <w:p>
      <w:pPr>
        <w:numPr>
          <w:ilvl w:val="0"/>
          <w:numId w:val="17"/>
        </w:numPr>
        <w:shd w:val="clear" w:color="auto" w:fill="FFFFFF" w:themeFill="background1"/>
        <w:spacing w:line="360" w:lineRule="auto"/>
      </w:pPr>
      <w:r>
        <w:rPr>
          <w:rFonts w:hint="eastAsia"/>
        </w:rPr>
        <w:t>项目变更过程记录资料由监理单位负责收集整理以便及时查阅，并在竣工验收时一并归档。</w:t>
      </w:r>
    </w:p>
    <w:p>
      <w:pPr>
        <w:pStyle w:val="7"/>
        <w:shd w:val="clear" w:color="auto" w:fill="FFFFFF" w:themeFill="background1"/>
        <w:spacing w:line="360" w:lineRule="auto"/>
      </w:pPr>
      <w:bookmarkStart w:id="15" w:name="_Toc29728"/>
      <w:bookmarkStart w:id="16" w:name="_Toc10867"/>
      <w:r>
        <w:rPr>
          <w:rFonts w:hint="eastAsia"/>
        </w:rPr>
        <w:t>文档管理</w:t>
      </w:r>
      <w:bookmarkEnd w:id="15"/>
      <w:bookmarkEnd w:id="16"/>
    </w:p>
    <w:p>
      <w:pPr>
        <w:pStyle w:val="60"/>
        <w:shd w:val="clear" w:color="auto" w:fill="FFFFFF" w:themeFill="background1"/>
        <w:spacing w:line="360" w:lineRule="auto"/>
        <w:ind w:firstLine="480" w:firstLineChars="200"/>
        <w:jc w:val="left"/>
        <w:rPr>
          <w:szCs w:val="24"/>
        </w:rPr>
      </w:pPr>
      <w:r>
        <w:rPr>
          <w:rFonts w:hint="eastAsia"/>
          <w:szCs w:val="24"/>
        </w:rPr>
        <w:t>信息系统运维监理文档管理的内容及要点如下：</w:t>
      </w:r>
    </w:p>
    <w:p>
      <w:pPr>
        <w:pStyle w:val="60"/>
        <w:numPr>
          <w:ilvl w:val="0"/>
          <w:numId w:val="18"/>
        </w:numPr>
        <w:shd w:val="clear" w:color="auto" w:fill="FFFFFF" w:themeFill="background1"/>
        <w:spacing w:line="360" w:lineRule="auto"/>
        <w:jc w:val="left"/>
        <w:rPr>
          <w:szCs w:val="24"/>
        </w:rPr>
      </w:pPr>
      <w:r>
        <w:rPr>
          <w:rFonts w:hint="eastAsia"/>
          <w:szCs w:val="24"/>
        </w:rPr>
        <w:t>建立信息系统运维文档管理计划，包括但不限于:</w:t>
      </w:r>
    </w:p>
    <w:p>
      <w:pPr>
        <w:pStyle w:val="60"/>
        <w:numPr>
          <w:ilvl w:val="0"/>
          <w:numId w:val="19"/>
        </w:numPr>
        <w:shd w:val="clear" w:color="auto" w:fill="FFFFFF" w:themeFill="background1"/>
        <w:spacing w:line="360" w:lineRule="auto"/>
        <w:jc w:val="left"/>
        <w:rPr>
          <w:rFonts w:ascii="宋体" w:hAnsi="宋体" w:eastAsia="宋体" w:cs="宋体"/>
          <w:szCs w:val="24"/>
        </w:rPr>
      </w:pPr>
      <w:r>
        <w:rPr>
          <w:rFonts w:hint="eastAsia" w:ascii="宋体" w:hAnsi="宋体" w:eastAsia="宋体" w:cs="宋体"/>
          <w:szCs w:val="24"/>
        </w:rPr>
        <w:t>明确信息系统运维文档的管理范围；</w:t>
      </w:r>
    </w:p>
    <w:p>
      <w:pPr>
        <w:pStyle w:val="60"/>
        <w:numPr>
          <w:ilvl w:val="0"/>
          <w:numId w:val="19"/>
        </w:numPr>
        <w:shd w:val="clear" w:color="auto" w:fill="FFFFFF" w:themeFill="background1"/>
        <w:spacing w:line="360" w:lineRule="auto"/>
        <w:jc w:val="left"/>
        <w:rPr>
          <w:rFonts w:ascii="宋体" w:hAnsi="宋体" w:eastAsia="宋体" w:cs="宋体"/>
          <w:szCs w:val="24"/>
        </w:rPr>
      </w:pPr>
      <w:r>
        <w:rPr>
          <w:rFonts w:hint="eastAsia" w:ascii="宋体" w:hAnsi="宋体" w:eastAsia="宋体" w:cs="宋体"/>
          <w:szCs w:val="24"/>
        </w:rPr>
        <w:t>设置运维监理文档管理组织及专员；</w:t>
      </w:r>
    </w:p>
    <w:p>
      <w:pPr>
        <w:pStyle w:val="60"/>
        <w:numPr>
          <w:ilvl w:val="0"/>
          <w:numId w:val="19"/>
        </w:numPr>
        <w:shd w:val="clear" w:color="auto" w:fill="FFFFFF" w:themeFill="background1"/>
        <w:spacing w:line="360" w:lineRule="auto"/>
        <w:jc w:val="left"/>
        <w:rPr>
          <w:rFonts w:ascii="宋体" w:hAnsi="宋体" w:eastAsia="宋体" w:cs="宋体"/>
          <w:szCs w:val="24"/>
        </w:rPr>
      </w:pPr>
      <w:r>
        <w:rPr>
          <w:rFonts w:hint="eastAsia" w:ascii="宋体" w:hAnsi="宋体" w:eastAsia="宋体" w:cs="宋体"/>
          <w:szCs w:val="24"/>
        </w:rPr>
        <w:t>制定运维文档管理相关的制度、规范、流程。</w:t>
      </w:r>
    </w:p>
    <w:p>
      <w:pPr>
        <w:pStyle w:val="60"/>
        <w:numPr>
          <w:ilvl w:val="0"/>
          <w:numId w:val="18"/>
        </w:numPr>
        <w:shd w:val="clear" w:color="auto" w:fill="FFFFFF" w:themeFill="background1"/>
        <w:spacing w:line="360" w:lineRule="auto"/>
        <w:jc w:val="left"/>
        <w:rPr>
          <w:szCs w:val="24"/>
        </w:rPr>
      </w:pPr>
      <w:r>
        <w:rPr>
          <w:rFonts w:hint="eastAsia"/>
          <w:szCs w:val="24"/>
        </w:rPr>
        <w:t>建立运维服务过程单据和文档模板体系，督导运维服务商按照统一规范的文本形式及格式，在运维服务过程整编制各类单据及文档，这些文档包括但不限于：</w:t>
      </w:r>
    </w:p>
    <w:p>
      <w:pPr>
        <w:pStyle w:val="60"/>
        <w:numPr>
          <w:ilvl w:val="0"/>
          <w:numId w:val="20"/>
        </w:numPr>
        <w:shd w:val="clear" w:color="auto" w:fill="FFFFFF" w:themeFill="background1"/>
        <w:spacing w:line="360" w:lineRule="auto"/>
        <w:jc w:val="left"/>
        <w:rPr>
          <w:szCs w:val="24"/>
        </w:rPr>
      </w:pPr>
      <w:r>
        <w:rPr>
          <w:rFonts w:hint="eastAsia"/>
          <w:szCs w:val="24"/>
        </w:rPr>
        <w:t>运维总控类文档，如运维实施方案、运维技术方案、运维质量保证计划、运维监理规划及实施细则等；</w:t>
      </w:r>
    </w:p>
    <w:p>
      <w:pPr>
        <w:pStyle w:val="60"/>
        <w:numPr>
          <w:ilvl w:val="0"/>
          <w:numId w:val="20"/>
        </w:numPr>
        <w:shd w:val="clear" w:color="auto" w:fill="FFFFFF" w:themeFill="background1"/>
        <w:spacing w:line="360" w:lineRule="auto"/>
        <w:jc w:val="left"/>
        <w:rPr>
          <w:szCs w:val="24"/>
        </w:rPr>
      </w:pPr>
      <w:r>
        <w:rPr>
          <w:rFonts w:hint="eastAsia"/>
          <w:szCs w:val="24"/>
        </w:rPr>
        <w:t>运维监理实施类文档，如运维变更文档、运维监理月报、运维监理专题报告、运维项目验收监理总结报告等；</w:t>
      </w:r>
    </w:p>
    <w:p>
      <w:pPr>
        <w:pStyle w:val="60"/>
        <w:numPr>
          <w:ilvl w:val="0"/>
          <w:numId w:val="20"/>
        </w:numPr>
        <w:shd w:val="clear" w:color="auto" w:fill="FFFFFF" w:themeFill="background1"/>
        <w:spacing w:line="360" w:lineRule="auto"/>
        <w:jc w:val="left"/>
        <w:rPr>
          <w:szCs w:val="24"/>
        </w:rPr>
      </w:pPr>
      <w:r>
        <w:rPr>
          <w:rFonts w:hint="eastAsia"/>
          <w:szCs w:val="24"/>
        </w:rPr>
        <w:t>运维监理批复类文档，如运维监理专题意见等。</w:t>
      </w:r>
    </w:p>
    <w:p>
      <w:pPr>
        <w:pStyle w:val="60"/>
        <w:numPr>
          <w:ilvl w:val="0"/>
          <w:numId w:val="18"/>
        </w:numPr>
        <w:shd w:val="clear" w:color="auto" w:fill="FFFFFF" w:themeFill="background1"/>
        <w:spacing w:line="360" w:lineRule="auto"/>
        <w:jc w:val="left"/>
        <w:rPr>
          <w:szCs w:val="24"/>
        </w:rPr>
      </w:pPr>
      <w:r>
        <w:rPr>
          <w:rFonts w:hint="eastAsia"/>
          <w:szCs w:val="24"/>
        </w:rPr>
        <w:t>对运维服务商提交的各类单据和文档执行质量评审。</w:t>
      </w:r>
    </w:p>
    <w:p>
      <w:pPr>
        <w:pStyle w:val="60"/>
        <w:numPr>
          <w:ilvl w:val="0"/>
          <w:numId w:val="18"/>
        </w:numPr>
        <w:shd w:val="clear" w:color="auto" w:fill="FFFFFF" w:themeFill="background1"/>
        <w:spacing w:line="360" w:lineRule="auto"/>
        <w:jc w:val="left"/>
        <w:rPr>
          <w:szCs w:val="24"/>
        </w:rPr>
      </w:pPr>
      <w:r>
        <w:rPr>
          <w:rFonts w:hint="eastAsia"/>
          <w:szCs w:val="24"/>
        </w:rPr>
        <w:t>审查运维服务商所编制的运维单据及文档内容与实际操作、系统变更情况等信息的一致性和同步性。</w:t>
      </w:r>
    </w:p>
    <w:p>
      <w:pPr>
        <w:pStyle w:val="7"/>
        <w:shd w:val="clear" w:color="auto" w:fill="FFFFFF" w:themeFill="background1"/>
        <w:spacing w:line="360" w:lineRule="auto"/>
      </w:pPr>
      <w:bookmarkStart w:id="17" w:name="_Toc22968"/>
      <w:bookmarkStart w:id="18" w:name="_Toc14165"/>
      <w:r>
        <w:rPr>
          <w:rFonts w:hint="eastAsia"/>
        </w:rPr>
        <w:t>合同管理</w:t>
      </w:r>
      <w:bookmarkEnd w:id="17"/>
      <w:bookmarkEnd w:id="18"/>
    </w:p>
    <w:p>
      <w:pPr>
        <w:pStyle w:val="60"/>
        <w:shd w:val="clear" w:color="auto" w:fill="FFFFFF" w:themeFill="background1"/>
        <w:spacing w:line="360" w:lineRule="auto"/>
        <w:ind w:firstLine="480" w:firstLineChars="200"/>
        <w:jc w:val="left"/>
        <w:rPr>
          <w:szCs w:val="24"/>
        </w:rPr>
      </w:pPr>
      <w:r>
        <w:rPr>
          <w:rFonts w:hint="eastAsia"/>
          <w:szCs w:val="24"/>
        </w:rPr>
        <w:t>对运维合同的执行、变更和终止进行全过程监控。信息系统运维监理合同管理的内容及要点如下：</w:t>
      </w:r>
    </w:p>
    <w:p>
      <w:pPr>
        <w:pStyle w:val="60"/>
        <w:numPr>
          <w:ilvl w:val="0"/>
          <w:numId w:val="21"/>
        </w:numPr>
        <w:shd w:val="clear" w:color="auto" w:fill="FFFFFF" w:themeFill="background1"/>
        <w:spacing w:line="360" w:lineRule="auto"/>
        <w:jc w:val="left"/>
        <w:rPr>
          <w:szCs w:val="24"/>
        </w:rPr>
      </w:pPr>
      <w:r>
        <w:rPr>
          <w:rFonts w:hint="eastAsia"/>
          <w:szCs w:val="24"/>
        </w:rPr>
        <w:t>合同的执行过程运维监理的工作重点</w:t>
      </w:r>
    </w:p>
    <w:p>
      <w:pPr>
        <w:pStyle w:val="60"/>
        <w:shd w:val="clear" w:color="auto" w:fill="FFFFFF" w:themeFill="background1"/>
        <w:spacing w:line="360" w:lineRule="auto"/>
        <w:ind w:firstLine="480" w:firstLineChars="200"/>
        <w:jc w:val="left"/>
        <w:rPr>
          <w:szCs w:val="24"/>
        </w:rPr>
      </w:pPr>
      <w:r>
        <w:rPr>
          <w:rFonts w:hint="eastAsia"/>
          <w:szCs w:val="24"/>
        </w:rPr>
        <w:t>做好合同控制和监督，保证合同所约定的各项义务的全面完成及各项权利的实现，以合同分析的成果为基准，对整个合同实施过程的全面监督、检查、对比、引导及纠正的管理活动。重点监理动作有：针对具体的合同事件，尤其是运维服务过程的质量事件应以合同约定的标准进行处理；以合同为依据，对运维服务商的运维服务缺陷提出意见，提出警告，责成其改进；根据合同约定，及时提请用户支付运维项目款项；了解合同执行的总体情况，如整体运维项目的秩序如何，已完成运维工作是否通过验收或评价，有无大的运维事故，计划和实际成本有无大的偏差等。</w:t>
      </w:r>
    </w:p>
    <w:p>
      <w:pPr>
        <w:pStyle w:val="60"/>
        <w:numPr>
          <w:ilvl w:val="0"/>
          <w:numId w:val="21"/>
        </w:numPr>
        <w:shd w:val="clear" w:color="auto" w:fill="FFFFFF" w:themeFill="background1"/>
        <w:spacing w:line="360" w:lineRule="auto"/>
        <w:jc w:val="left"/>
        <w:rPr>
          <w:szCs w:val="24"/>
        </w:rPr>
      </w:pPr>
      <w:r>
        <w:rPr>
          <w:rFonts w:hint="eastAsia"/>
          <w:szCs w:val="24"/>
        </w:rPr>
        <w:t>合同变更及索赔的监理</w:t>
      </w:r>
    </w:p>
    <w:p>
      <w:pPr>
        <w:pStyle w:val="60"/>
        <w:shd w:val="clear" w:color="auto" w:fill="FFFFFF" w:themeFill="background1"/>
        <w:spacing w:line="360" w:lineRule="auto"/>
        <w:ind w:firstLine="480" w:firstLineChars="200"/>
        <w:jc w:val="left"/>
        <w:rPr>
          <w:szCs w:val="24"/>
        </w:rPr>
      </w:pPr>
      <w:r>
        <w:rPr>
          <w:rFonts w:hint="eastAsia"/>
          <w:szCs w:val="24"/>
        </w:rPr>
        <w:t>运维监理工程师在信息系统运维合同管理的过程中，应掌握各类合同中的每一项内容，用文件记录代替口头协议。运维项目细节文件的记录应包括下列内容：信件、会议记录、运维服务商的规定、指示、更换方案的书面记录及特定的现场情况等。在信息系统运维实施过程中，运维监理工程师应认真研究合同条件，关注信息系统运维动态，在合同履行出现困难时，积极找寻索赔依据，计算出索赔费用，及时提出合同索赔建议，做好索赔的协调工作。</w:t>
      </w:r>
    </w:p>
    <w:p>
      <w:pPr>
        <w:pStyle w:val="60"/>
        <w:shd w:val="clear" w:color="auto" w:fill="FFFFFF" w:themeFill="background1"/>
        <w:spacing w:line="360" w:lineRule="auto"/>
        <w:ind w:firstLine="480" w:firstLineChars="200"/>
        <w:jc w:val="left"/>
        <w:rPr>
          <w:szCs w:val="24"/>
        </w:rPr>
      </w:pPr>
    </w:p>
    <w:p>
      <w:pPr>
        <w:pStyle w:val="7"/>
        <w:shd w:val="clear" w:color="auto" w:fill="FFFFFF" w:themeFill="background1"/>
        <w:spacing w:line="360" w:lineRule="auto"/>
      </w:pPr>
      <w:bookmarkStart w:id="19" w:name="_Toc31861"/>
      <w:bookmarkStart w:id="20" w:name="_Toc28442"/>
      <w:r>
        <w:rPr>
          <w:rFonts w:hint="eastAsia"/>
        </w:rPr>
        <w:t>统筹协调</w:t>
      </w:r>
      <w:bookmarkEnd w:id="19"/>
      <w:bookmarkEnd w:id="20"/>
    </w:p>
    <w:p>
      <w:pPr>
        <w:pStyle w:val="60"/>
        <w:shd w:val="clear" w:color="auto" w:fill="FFFFFF" w:themeFill="background1"/>
        <w:spacing w:line="360" w:lineRule="auto"/>
        <w:ind w:firstLine="480" w:firstLineChars="200"/>
        <w:jc w:val="left"/>
        <w:rPr>
          <w:szCs w:val="24"/>
        </w:rPr>
      </w:pPr>
      <w:r>
        <w:rPr>
          <w:rFonts w:hint="eastAsia"/>
          <w:szCs w:val="24"/>
        </w:rPr>
        <w:t>负责协调本项目所涉及的各单位之间的工作关系，并协调解决项目过程中的各类纠纷。监理方应通过必要的会议制度来实施协调工作，主要会议包括但不限于：</w:t>
      </w:r>
    </w:p>
    <w:p>
      <w:pPr>
        <w:pStyle w:val="60"/>
        <w:numPr>
          <w:ilvl w:val="0"/>
          <w:numId w:val="22"/>
        </w:numPr>
        <w:shd w:val="clear" w:color="auto" w:fill="FFFFFF" w:themeFill="background1"/>
        <w:spacing w:line="360" w:lineRule="auto"/>
        <w:ind w:left="900" w:hanging="420"/>
        <w:jc w:val="left"/>
        <w:rPr>
          <w:szCs w:val="24"/>
        </w:rPr>
      </w:pPr>
      <w:r>
        <w:rPr>
          <w:rFonts w:hint="eastAsia"/>
          <w:szCs w:val="24"/>
        </w:rPr>
        <w:t>项目启动会</w:t>
      </w:r>
    </w:p>
    <w:p>
      <w:pPr>
        <w:pStyle w:val="60"/>
        <w:numPr>
          <w:ilvl w:val="0"/>
          <w:numId w:val="22"/>
        </w:numPr>
        <w:shd w:val="clear" w:color="auto" w:fill="FFFFFF" w:themeFill="background1"/>
        <w:spacing w:line="360" w:lineRule="auto"/>
        <w:ind w:left="900" w:hanging="420"/>
        <w:jc w:val="left"/>
        <w:rPr>
          <w:szCs w:val="24"/>
        </w:rPr>
      </w:pPr>
      <w:r>
        <w:rPr>
          <w:rFonts w:hint="eastAsia"/>
          <w:szCs w:val="24"/>
        </w:rPr>
        <w:t>月度例会及采购人组织的例会</w:t>
      </w:r>
    </w:p>
    <w:p>
      <w:pPr>
        <w:pStyle w:val="60"/>
        <w:numPr>
          <w:ilvl w:val="0"/>
          <w:numId w:val="22"/>
        </w:numPr>
        <w:shd w:val="clear" w:color="auto" w:fill="FFFFFF" w:themeFill="background1"/>
        <w:spacing w:line="360" w:lineRule="auto"/>
        <w:ind w:left="900" w:hanging="420"/>
        <w:jc w:val="left"/>
        <w:rPr>
          <w:szCs w:val="24"/>
        </w:rPr>
      </w:pPr>
      <w:r>
        <w:rPr>
          <w:rFonts w:hint="eastAsia"/>
          <w:szCs w:val="24"/>
        </w:rPr>
        <w:t>监理协调会</w:t>
      </w:r>
    </w:p>
    <w:p>
      <w:pPr>
        <w:pStyle w:val="60"/>
        <w:numPr>
          <w:ilvl w:val="0"/>
          <w:numId w:val="22"/>
        </w:numPr>
        <w:shd w:val="clear" w:color="auto" w:fill="FFFFFF" w:themeFill="background1"/>
        <w:spacing w:line="360" w:lineRule="auto"/>
        <w:ind w:left="900" w:hanging="420"/>
        <w:jc w:val="left"/>
        <w:rPr>
          <w:szCs w:val="24"/>
        </w:rPr>
      </w:pPr>
      <w:r>
        <w:rPr>
          <w:rFonts w:hint="eastAsia"/>
          <w:szCs w:val="24"/>
        </w:rPr>
        <w:t>专题讨论会</w:t>
      </w:r>
    </w:p>
    <w:p>
      <w:pPr>
        <w:pStyle w:val="60"/>
        <w:numPr>
          <w:ilvl w:val="0"/>
          <w:numId w:val="22"/>
        </w:numPr>
        <w:shd w:val="clear" w:color="auto" w:fill="FFFFFF" w:themeFill="background1"/>
        <w:spacing w:line="360" w:lineRule="auto"/>
        <w:ind w:left="900" w:hanging="420"/>
        <w:jc w:val="left"/>
        <w:rPr>
          <w:szCs w:val="24"/>
        </w:rPr>
      </w:pPr>
      <w:r>
        <w:rPr>
          <w:rFonts w:hint="eastAsia"/>
          <w:szCs w:val="24"/>
        </w:rPr>
        <w:t>阶段工作总结会</w:t>
      </w:r>
    </w:p>
    <w:p>
      <w:pPr>
        <w:pStyle w:val="60"/>
        <w:numPr>
          <w:ilvl w:val="0"/>
          <w:numId w:val="22"/>
        </w:numPr>
        <w:shd w:val="clear" w:color="auto" w:fill="FFFFFF" w:themeFill="background1"/>
        <w:spacing w:line="360" w:lineRule="auto"/>
        <w:ind w:left="900" w:hanging="420"/>
        <w:jc w:val="left"/>
        <w:rPr>
          <w:szCs w:val="24"/>
        </w:rPr>
      </w:pPr>
      <w:r>
        <w:rPr>
          <w:rFonts w:hint="eastAsia"/>
          <w:szCs w:val="24"/>
        </w:rPr>
        <w:t>问题通报会</w:t>
      </w:r>
    </w:p>
    <w:p>
      <w:pPr>
        <w:pStyle w:val="60"/>
        <w:numPr>
          <w:ilvl w:val="0"/>
          <w:numId w:val="22"/>
        </w:numPr>
        <w:shd w:val="clear" w:color="auto" w:fill="FFFFFF" w:themeFill="background1"/>
        <w:spacing w:line="360" w:lineRule="auto"/>
        <w:ind w:left="900" w:hanging="420"/>
        <w:jc w:val="left"/>
        <w:rPr>
          <w:szCs w:val="24"/>
        </w:rPr>
      </w:pPr>
      <w:r>
        <w:rPr>
          <w:rFonts w:hint="eastAsia"/>
          <w:szCs w:val="24"/>
        </w:rPr>
        <w:t>阶段验收及最终验收会</w:t>
      </w:r>
    </w:p>
    <w:p>
      <w:pPr>
        <w:pStyle w:val="7"/>
        <w:shd w:val="clear" w:color="auto" w:fill="FFFFFF" w:themeFill="background1"/>
        <w:spacing w:line="360" w:lineRule="auto"/>
      </w:pPr>
      <w:r>
        <w:rPr>
          <w:rFonts w:hint="eastAsia"/>
        </w:rPr>
        <w:t>检验与检测</w:t>
      </w:r>
    </w:p>
    <w:p>
      <w:pPr>
        <w:pStyle w:val="60"/>
        <w:shd w:val="clear" w:color="auto" w:fill="FFFFFF" w:themeFill="background1"/>
        <w:spacing w:line="360" w:lineRule="auto"/>
        <w:ind w:firstLine="480" w:firstLineChars="200"/>
        <w:jc w:val="left"/>
        <w:rPr>
          <w:szCs w:val="24"/>
        </w:rPr>
      </w:pPr>
      <w:r>
        <w:rPr>
          <w:rFonts w:hint="eastAsia"/>
          <w:szCs w:val="24"/>
        </w:rPr>
        <w:t>在项目过程中，监理单位要对承建单位的自检自测方案进行审核，对自检自测过程进行见证；对独立第三方评测机构的测评过程及结论予以见证。</w:t>
      </w:r>
    </w:p>
    <w:p>
      <w:pPr>
        <w:pStyle w:val="6"/>
        <w:shd w:val="clear" w:color="auto" w:fill="FFFFFF" w:themeFill="background1"/>
      </w:pPr>
      <w:bookmarkStart w:id="21" w:name="_Toc30186"/>
      <w:r>
        <w:rPr>
          <w:rFonts w:hint="eastAsia"/>
        </w:rPr>
        <w:t>运维关键点管理</w:t>
      </w:r>
      <w:bookmarkEnd w:id="21"/>
    </w:p>
    <w:p>
      <w:pPr>
        <w:pStyle w:val="7"/>
        <w:shd w:val="clear" w:color="auto" w:fill="FFFFFF" w:themeFill="background1"/>
      </w:pPr>
      <w:bookmarkStart w:id="22" w:name="_Toc7396"/>
      <w:r>
        <w:rPr>
          <w:rFonts w:hint="eastAsia"/>
        </w:rPr>
        <w:t>运维管理制度规范</w:t>
      </w:r>
      <w:bookmarkEnd w:id="22"/>
    </w:p>
    <w:p>
      <w:pPr>
        <w:shd w:val="clear" w:color="auto" w:fill="FFFFFF" w:themeFill="background1"/>
        <w:spacing w:line="360" w:lineRule="auto"/>
        <w:ind w:firstLine="482"/>
        <w:rPr>
          <w:sz w:val="24"/>
          <w:szCs w:val="24"/>
        </w:rPr>
      </w:pPr>
      <w:r>
        <w:rPr>
          <w:rFonts w:hint="eastAsia"/>
          <w:sz w:val="24"/>
          <w:szCs w:val="24"/>
        </w:rPr>
        <w:t>监理单位向运维单位下达项目运维相关制度规范和考核评估表，并在项目运维过程中严格地执行运维监理相关的制度规范。</w:t>
      </w:r>
    </w:p>
    <w:p>
      <w:pPr>
        <w:pStyle w:val="7"/>
        <w:shd w:val="clear" w:color="auto" w:fill="FFFFFF" w:themeFill="background1"/>
      </w:pPr>
      <w:bookmarkStart w:id="23" w:name="_Toc27554"/>
      <w:r>
        <w:rPr>
          <w:rFonts w:hint="eastAsia"/>
        </w:rPr>
        <w:t>运维项目启动</w:t>
      </w:r>
      <w:bookmarkEnd w:id="23"/>
    </w:p>
    <w:p>
      <w:pPr>
        <w:shd w:val="clear" w:color="auto" w:fill="FFFFFF" w:themeFill="background1"/>
        <w:spacing w:line="360" w:lineRule="auto"/>
        <w:ind w:firstLine="482"/>
        <w:rPr>
          <w:sz w:val="24"/>
          <w:szCs w:val="24"/>
        </w:rPr>
      </w:pPr>
      <w:r>
        <w:rPr>
          <w:rFonts w:hint="eastAsia"/>
          <w:sz w:val="24"/>
          <w:szCs w:val="24"/>
        </w:rPr>
        <w:t>监理单位向运维单位发送运维项目启动相关要求的工作联系单，要求运维单位提交相应的运维服务方案（包括应急预案）、运维人员方案等相关项目启动资料。</w:t>
      </w:r>
    </w:p>
    <w:p>
      <w:pPr>
        <w:shd w:val="clear" w:color="auto" w:fill="FFFFFF" w:themeFill="background1"/>
        <w:spacing w:line="360" w:lineRule="auto"/>
        <w:ind w:firstLine="482"/>
        <w:rPr>
          <w:sz w:val="24"/>
          <w:szCs w:val="24"/>
        </w:rPr>
      </w:pPr>
      <w:r>
        <w:rPr>
          <w:rFonts w:hint="eastAsia"/>
          <w:sz w:val="24"/>
          <w:szCs w:val="24"/>
        </w:rPr>
        <w:t>监理单位在审查相关启动资料完备并通过后，出具相应的开工令。</w:t>
      </w:r>
    </w:p>
    <w:p>
      <w:pPr>
        <w:pStyle w:val="7"/>
        <w:shd w:val="clear" w:color="auto" w:fill="FFFFFF" w:themeFill="background1"/>
      </w:pPr>
      <w:bookmarkStart w:id="24" w:name="_Toc25044"/>
      <w:r>
        <w:rPr>
          <w:rFonts w:hint="eastAsia"/>
        </w:rPr>
        <w:t>定期评估管理工作</w:t>
      </w:r>
      <w:bookmarkEnd w:id="24"/>
    </w:p>
    <w:p>
      <w:pPr>
        <w:shd w:val="clear" w:color="auto" w:fill="FFFFFF" w:themeFill="background1"/>
        <w:spacing w:line="360" w:lineRule="auto"/>
        <w:ind w:firstLine="482"/>
        <w:rPr>
          <w:sz w:val="24"/>
          <w:szCs w:val="24"/>
        </w:rPr>
      </w:pPr>
      <w:r>
        <w:rPr>
          <w:rFonts w:hint="eastAsia"/>
          <w:sz w:val="24"/>
          <w:szCs w:val="24"/>
        </w:rPr>
        <w:t>监理单位为定期评估工作的主导单位。协调采购人、系统使用单位、运维单位组织召开相应的通报会，在会议上通报运维单位的本月运维情况、存在的问题、并提出需要改进完善的内容等。</w:t>
      </w:r>
    </w:p>
    <w:p>
      <w:pPr>
        <w:pStyle w:val="7"/>
        <w:shd w:val="clear" w:color="auto" w:fill="FFFFFF" w:themeFill="background1"/>
      </w:pPr>
      <w:bookmarkStart w:id="25" w:name="_Toc4015"/>
      <w:r>
        <w:rPr>
          <w:rFonts w:hint="eastAsia"/>
        </w:rPr>
        <w:t>突发性故障管理</w:t>
      </w:r>
      <w:bookmarkEnd w:id="25"/>
    </w:p>
    <w:p>
      <w:pPr>
        <w:shd w:val="clear" w:color="auto" w:fill="FFFFFF" w:themeFill="background1"/>
        <w:spacing w:line="360" w:lineRule="auto"/>
        <w:ind w:firstLine="482"/>
        <w:rPr>
          <w:sz w:val="24"/>
          <w:szCs w:val="24"/>
        </w:rPr>
      </w:pPr>
      <w:r>
        <w:rPr>
          <w:rFonts w:hint="eastAsia"/>
          <w:sz w:val="24"/>
          <w:szCs w:val="24"/>
        </w:rPr>
        <w:t>监理单位须监督运维服务商按照应急预案处理突发性故障。在故障解决后，监督运维服务商对故障问题进行总结，并审查和归档相应的故障处理报告或总结报告。</w:t>
      </w:r>
    </w:p>
    <w:p>
      <w:pPr>
        <w:pStyle w:val="7"/>
        <w:shd w:val="clear" w:color="auto" w:fill="FFFFFF" w:themeFill="background1"/>
      </w:pPr>
      <w:bookmarkStart w:id="26" w:name="_Toc28089"/>
      <w:r>
        <w:rPr>
          <w:rFonts w:hint="eastAsia"/>
        </w:rPr>
        <w:t>安全测试</w:t>
      </w:r>
      <w:bookmarkEnd w:id="26"/>
      <w:r>
        <w:rPr>
          <w:rFonts w:hint="eastAsia"/>
        </w:rPr>
        <w:t>问题整改监督</w:t>
      </w:r>
    </w:p>
    <w:p>
      <w:pPr>
        <w:shd w:val="clear" w:color="auto" w:fill="FFFFFF" w:themeFill="background1"/>
        <w:spacing w:line="360" w:lineRule="auto"/>
        <w:ind w:firstLine="482"/>
        <w:rPr>
          <w:sz w:val="24"/>
          <w:szCs w:val="24"/>
        </w:rPr>
      </w:pPr>
      <w:r>
        <w:rPr>
          <w:rFonts w:hint="eastAsia"/>
          <w:sz w:val="24"/>
          <w:szCs w:val="24"/>
        </w:rPr>
        <w:t>运维单位根据运维项目的等保测评、密码应用测评等评估报告，进行整改完善。监理单位负责负责督促和检查运维单位的整改工作，并根据采购人要求负责检查和归档的相关安全测试报告。</w:t>
      </w:r>
    </w:p>
    <w:p>
      <w:pPr>
        <w:pStyle w:val="7"/>
        <w:shd w:val="clear" w:color="auto" w:fill="FFFFFF" w:themeFill="background1"/>
      </w:pPr>
      <w:bookmarkStart w:id="27" w:name="_Toc20336"/>
      <w:r>
        <w:rPr>
          <w:rFonts w:hint="eastAsia"/>
        </w:rPr>
        <w:t>项目验收工作</w:t>
      </w:r>
      <w:bookmarkEnd w:id="27"/>
    </w:p>
    <w:p>
      <w:pPr>
        <w:shd w:val="clear" w:color="auto" w:fill="FFFFFF" w:themeFill="background1"/>
        <w:spacing w:line="360" w:lineRule="auto"/>
        <w:ind w:firstLine="482"/>
        <w:rPr>
          <w:sz w:val="24"/>
          <w:szCs w:val="24"/>
        </w:rPr>
      </w:pPr>
      <w:r>
        <w:rPr>
          <w:rFonts w:hint="eastAsia"/>
          <w:sz w:val="24"/>
          <w:szCs w:val="24"/>
        </w:rPr>
        <w:t>监理单位须参照“</w:t>
      </w:r>
      <w:r>
        <w:rPr>
          <w:sz w:val="24"/>
          <w:szCs w:val="24"/>
        </w:rPr>
        <w:t xml:space="preserve">3.6 </w:t>
      </w:r>
      <w:r>
        <w:rPr>
          <w:rFonts w:hint="eastAsia"/>
          <w:sz w:val="24"/>
          <w:szCs w:val="24"/>
        </w:rPr>
        <w:t>运维验收管理”内容要求开展相应的验收管理工作，负责组织项目验收会并形成验收报告、会议签到表等验收会文件资料，完成验收资料的归档移交。</w:t>
      </w:r>
    </w:p>
    <w:p>
      <w:pPr>
        <w:pStyle w:val="6"/>
        <w:shd w:val="clear" w:color="auto" w:fill="FFFFFF" w:themeFill="background1"/>
      </w:pPr>
      <w:bookmarkStart w:id="28" w:name="_Toc18688"/>
      <w:r>
        <w:rPr>
          <w:rFonts w:hint="eastAsia"/>
        </w:rPr>
        <w:t>运维验收管理</w:t>
      </w:r>
      <w:bookmarkEnd w:id="28"/>
    </w:p>
    <w:p>
      <w:pPr>
        <w:pStyle w:val="33"/>
        <w:numPr>
          <w:ilvl w:val="0"/>
          <w:numId w:val="23"/>
        </w:numPr>
        <w:shd w:val="clear" w:color="auto" w:fill="FFFFFF" w:themeFill="background1"/>
        <w:spacing w:line="360" w:lineRule="auto"/>
        <w:ind w:firstLineChars="0"/>
        <w:rPr>
          <w:rFonts w:ascii="宋体" w:hAnsi="宋体" w:eastAsia="宋体" w:cs="宋体"/>
          <w:sz w:val="24"/>
          <w:szCs w:val="24"/>
        </w:rPr>
      </w:pPr>
      <w:bookmarkStart w:id="29" w:name="_Toc3358533"/>
      <w:r>
        <w:rPr>
          <w:rFonts w:hint="eastAsia" w:ascii="宋体" w:hAnsi="宋体" w:eastAsia="宋体" w:cs="宋体"/>
          <w:b/>
          <w:bCs/>
          <w:sz w:val="24"/>
          <w:szCs w:val="24"/>
        </w:rPr>
        <w:t>验收范围要求</w:t>
      </w:r>
    </w:p>
    <w:p>
      <w:pPr>
        <w:pStyle w:val="33"/>
        <w:shd w:val="clear" w:color="auto" w:fill="FFFFFF" w:themeFill="background1"/>
        <w:spacing w:line="360" w:lineRule="auto"/>
        <w:ind w:left="720" w:firstLine="0" w:firstLineChars="0"/>
        <w:rPr>
          <w:rFonts w:ascii="宋体" w:hAnsi="宋体" w:eastAsia="宋体" w:cs="宋体"/>
          <w:sz w:val="24"/>
          <w:szCs w:val="24"/>
        </w:rPr>
      </w:pPr>
      <w:r>
        <w:rPr>
          <w:rFonts w:hint="eastAsia" w:ascii="宋体" w:hAnsi="宋体" w:eastAsia="宋体" w:cs="宋体"/>
          <w:sz w:val="24"/>
          <w:szCs w:val="24"/>
        </w:rPr>
        <w:t>监理服务范围内所有运维项目的验收。</w:t>
      </w:r>
    </w:p>
    <w:p>
      <w:pPr>
        <w:pStyle w:val="33"/>
        <w:numPr>
          <w:ilvl w:val="0"/>
          <w:numId w:val="23"/>
        </w:numPr>
        <w:shd w:val="clear" w:color="auto" w:fill="FFFFFF" w:themeFill="background1"/>
        <w:spacing w:line="360" w:lineRule="auto"/>
        <w:ind w:firstLineChars="0"/>
        <w:rPr>
          <w:rFonts w:ascii="宋体" w:hAnsi="宋体" w:eastAsia="宋体" w:cs="宋体"/>
          <w:b/>
          <w:bCs/>
          <w:sz w:val="24"/>
          <w:szCs w:val="24"/>
        </w:rPr>
      </w:pPr>
      <w:r>
        <w:rPr>
          <w:rFonts w:hint="eastAsia" w:ascii="宋体" w:hAnsi="宋体" w:eastAsia="宋体" w:cs="宋体"/>
          <w:b/>
          <w:bCs/>
          <w:sz w:val="24"/>
          <w:szCs w:val="24"/>
        </w:rPr>
        <w:t>监理单位的职责</w:t>
      </w:r>
    </w:p>
    <w:p>
      <w:pPr>
        <w:pStyle w:val="33"/>
        <w:shd w:val="clear" w:color="auto" w:fill="FFFFFF" w:themeFill="background1"/>
        <w:spacing w:line="360" w:lineRule="auto"/>
        <w:ind w:left="-2" w:leftChars="-1" w:firstLine="708" w:firstLineChars="295"/>
        <w:rPr>
          <w:rFonts w:ascii="宋体" w:hAnsi="宋体" w:eastAsia="宋体" w:cs="宋体"/>
          <w:bCs/>
          <w:sz w:val="24"/>
          <w:szCs w:val="24"/>
        </w:rPr>
      </w:pPr>
      <w:r>
        <w:rPr>
          <w:rFonts w:hint="eastAsia" w:ascii="宋体" w:hAnsi="宋体" w:eastAsia="宋体" w:cs="宋体"/>
          <w:bCs/>
          <w:sz w:val="24"/>
          <w:szCs w:val="24"/>
        </w:rPr>
        <w:t>监理单位根据采购人的项目管理办法，按照采购人的验收要求，协助完成验收工作，配合进行材料的审核，组织验收会。监理单位应配合采购人完成验收过程中的各项工作，包括但不限于下述内容：运维单位的服务的各项任务是否完成、是否按照运维服务招标文件里的要求完成、运维服务过程资料是否完整、运维服务是否符合采购人要求等内容进行审查。</w:t>
      </w:r>
    </w:p>
    <w:p>
      <w:pPr>
        <w:pStyle w:val="33"/>
        <w:numPr>
          <w:ilvl w:val="0"/>
          <w:numId w:val="23"/>
        </w:numPr>
        <w:shd w:val="clear" w:color="auto" w:fill="FFFFFF" w:themeFill="background1"/>
        <w:spacing w:line="360" w:lineRule="auto"/>
        <w:ind w:firstLineChars="0"/>
        <w:rPr>
          <w:rFonts w:ascii="宋体" w:hAnsi="宋体" w:eastAsia="宋体" w:cs="宋体"/>
          <w:b/>
          <w:bCs/>
          <w:sz w:val="24"/>
          <w:szCs w:val="24"/>
        </w:rPr>
      </w:pPr>
      <w:r>
        <w:rPr>
          <w:rFonts w:hint="eastAsia" w:ascii="宋体" w:hAnsi="宋体" w:eastAsia="宋体" w:cs="宋体"/>
          <w:b/>
          <w:bCs/>
          <w:sz w:val="24"/>
          <w:szCs w:val="24"/>
        </w:rPr>
        <w:t>验收文档资料审查要求</w:t>
      </w:r>
    </w:p>
    <w:p>
      <w:pPr>
        <w:pStyle w:val="33"/>
        <w:shd w:val="clear" w:color="auto" w:fill="FFFFFF" w:themeFill="background1"/>
        <w:spacing w:line="360" w:lineRule="auto"/>
        <w:ind w:firstLine="720" w:firstLineChars="300"/>
        <w:rPr>
          <w:rFonts w:ascii="宋体" w:hAnsi="宋体" w:eastAsia="宋体" w:cs="宋体"/>
          <w:b/>
          <w:bCs/>
          <w:sz w:val="24"/>
          <w:szCs w:val="24"/>
        </w:rPr>
      </w:pPr>
      <w:r>
        <w:rPr>
          <w:rFonts w:hint="eastAsia" w:ascii="宋体" w:hAnsi="宋体" w:eastAsia="宋体" w:cs="宋体"/>
          <w:sz w:val="24"/>
          <w:szCs w:val="24"/>
        </w:rPr>
        <w:t>项目验收技术文件的所有文档应满足运维服务项目招标文件各项成果物资料要求以及</w:t>
      </w:r>
      <w:r>
        <w:rPr>
          <w:rFonts w:hint="eastAsia" w:ascii="宋体" w:hAnsi="宋体" w:eastAsia="宋体" w:cs="宋体"/>
          <w:bCs/>
          <w:sz w:val="24"/>
          <w:szCs w:val="24"/>
        </w:rPr>
        <w:t>考察</w:t>
      </w:r>
      <w:r>
        <w:rPr>
          <w:rFonts w:hint="eastAsia" w:ascii="宋体" w:hAnsi="宋体" w:eastAsia="宋体" w:cs="宋体"/>
          <w:sz w:val="24"/>
          <w:szCs w:val="24"/>
        </w:rPr>
        <w:t>的归档要求，监理单位负责审查各运维单位文档的完整性，使得文档资料达到项目验收规范中关于资料和成果性文件的相关要求。</w:t>
      </w:r>
    </w:p>
    <w:p>
      <w:pPr>
        <w:pStyle w:val="33"/>
        <w:numPr>
          <w:ilvl w:val="0"/>
          <w:numId w:val="23"/>
        </w:numPr>
        <w:shd w:val="clear" w:color="auto" w:fill="FFFFFF" w:themeFill="background1"/>
        <w:spacing w:line="360" w:lineRule="auto"/>
        <w:ind w:firstLineChars="0"/>
        <w:rPr>
          <w:rFonts w:ascii="宋体" w:hAnsi="宋体" w:eastAsia="宋体" w:cs="宋体"/>
          <w:b/>
          <w:bCs/>
          <w:sz w:val="24"/>
          <w:szCs w:val="24"/>
        </w:rPr>
      </w:pPr>
      <w:r>
        <w:rPr>
          <w:rFonts w:hint="eastAsia" w:ascii="宋体" w:hAnsi="宋体" w:eastAsia="宋体" w:cs="宋体"/>
          <w:b/>
          <w:bCs/>
          <w:sz w:val="24"/>
          <w:szCs w:val="24"/>
        </w:rPr>
        <w:t>验收类型</w:t>
      </w:r>
      <w:bookmarkEnd w:id="29"/>
      <w:r>
        <w:rPr>
          <w:rFonts w:hint="eastAsia" w:ascii="宋体" w:hAnsi="宋体" w:eastAsia="宋体" w:cs="宋体"/>
          <w:b/>
          <w:bCs/>
          <w:sz w:val="24"/>
          <w:szCs w:val="24"/>
        </w:rPr>
        <w:t>要求</w:t>
      </w:r>
    </w:p>
    <w:p>
      <w:pPr>
        <w:pStyle w:val="33"/>
        <w:numPr>
          <w:ilvl w:val="0"/>
          <w:numId w:val="24"/>
        </w:numPr>
        <w:shd w:val="clear" w:color="auto" w:fill="FFFFFF" w:themeFill="background1"/>
        <w:spacing w:line="360" w:lineRule="auto"/>
        <w:ind w:left="1380" w:hanging="420" w:firstLineChars="0"/>
        <w:rPr>
          <w:rFonts w:ascii="宋体" w:hAnsi="宋体" w:eastAsia="宋体" w:cs="宋体"/>
          <w:bCs/>
          <w:sz w:val="24"/>
          <w:szCs w:val="24"/>
        </w:rPr>
      </w:pPr>
      <w:r>
        <w:rPr>
          <w:rFonts w:hint="eastAsia" w:ascii="宋体" w:hAnsi="宋体" w:eastAsia="宋体" w:cs="宋体"/>
          <w:bCs/>
          <w:sz w:val="24"/>
          <w:szCs w:val="24"/>
        </w:rPr>
        <w:t>阶段性/中期性验收工作。项目阶段性验收是指各运维项目在运维实施期间，对运维服务商所提供的运维服务情况进行的阶段性/中期性评审工作。</w:t>
      </w:r>
    </w:p>
    <w:p>
      <w:pPr>
        <w:pStyle w:val="33"/>
        <w:numPr>
          <w:ilvl w:val="0"/>
          <w:numId w:val="24"/>
        </w:numPr>
        <w:shd w:val="clear" w:color="auto" w:fill="FFFFFF" w:themeFill="background1"/>
        <w:spacing w:line="360" w:lineRule="auto"/>
        <w:ind w:left="1380" w:hanging="420" w:firstLineChars="0"/>
        <w:rPr>
          <w:rFonts w:ascii="宋体" w:hAnsi="宋体" w:eastAsia="宋体" w:cs="宋体"/>
          <w:bCs/>
          <w:sz w:val="24"/>
          <w:szCs w:val="24"/>
        </w:rPr>
      </w:pPr>
      <w:r>
        <w:rPr>
          <w:rFonts w:hint="eastAsia" w:ascii="宋体" w:hAnsi="宋体" w:eastAsia="宋体" w:cs="宋体"/>
          <w:bCs/>
          <w:sz w:val="24"/>
          <w:szCs w:val="24"/>
        </w:rPr>
        <w:t>项目竣工验收。项目最终验收是各运维项目阶段性验收和项目年度运维考核完成后，对各运维项目进行的竣工验收工作。</w:t>
      </w:r>
    </w:p>
    <w:p>
      <w:pPr>
        <w:pStyle w:val="33"/>
        <w:numPr>
          <w:ilvl w:val="0"/>
          <w:numId w:val="23"/>
        </w:numPr>
        <w:shd w:val="clear" w:color="auto" w:fill="FFFFFF" w:themeFill="background1"/>
        <w:spacing w:line="360" w:lineRule="auto"/>
        <w:ind w:firstLineChars="0"/>
        <w:rPr>
          <w:rFonts w:ascii="宋体" w:hAnsi="宋体" w:eastAsia="宋体" w:cs="宋体"/>
          <w:b/>
          <w:bCs/>
          <w:sz w:val="24"/>
          <w:szCs w:val="24"/>
        </w:rPr>
      </w:pPr>
      <w:bookmarkStart w:id="30" w:name="_Toc3358534"/>
      <w:r>
        <w:rPr>
          <w:rFonts w:hint="eastAsia" w:ascii="宋体" w:hAnsi="宋体" w:eastAsia="宋体" w:cs="宋体"/>
          <w:b/>
          <w:bCs/>
          <w:sz w:val="24"/>
          <w:szCs w:val="24"/>
        </w:rPr>
        <w:t>验收</w:t>
      </w:r>
      <w:bookmarkEnd w:id="30"/>
      <w:r>
        <w:rPr>
          <w:rFonts w:hint="eastAsia" w:ascii="宋体" w:hAnsi="宋体" w:eastAsia="宋体" w:cs="宋体"/>
          <w:b/>
          <w:bCs/>
          <w:sz w:val="24"/>
          <w:szCs w:val="24"/>
        </w:rPr>
        <w:t>阶段监理工作要求</w:t>
      </w:r>
    </w:p>
    <w:p>
      <w:pPr>
        <w:pStyle w:val="33"/>
        <w:numPr>
          <w:ilvl w:val="0"/>
          <w:numId w:val="25"/>
        </w:numPr>
        <w:shd w:val="clear" w:color="auto" w:fill="FFFFFF" w:themeFill="background1"/>
        <w:spacing w:line="360" w:lineRule="auto"/>
        <w:ind w:left="1380" w:hanging="420" w:firstLineChars="0"/>
        <w:rPr>
          <w:rFonts w:ascii="宋体" w:hAnsi="宋体" w:eastAsia="宋体" w:cs="宋体"/>
          <w:bCs/>
          <w:sz w:val="24"/>
          <w:szCs w:val="24"/>
        </w:rPr>
      </w:pPr>
      <w:r>
        <w:rPr>
          <w:rFonts w:hint="eastAsia" w:ascii="宋体" w:hAnsi="宋体" w:eastAsia="宋体" w:cs="宋体"/>
          <w:bCs/>
          <w:sz w:val="24"/>
          <w:szCs w:val="24"/>
        </w:rPr>
        <w:t>对验收发现的遗留问题，项目监理单位应督促各相关单位按验收工作组所提要求按期处理完毕。</w:t>
      </w:r>
    </w:p>
    <w:p>
      <w:pPr>
        <w:pStyle w:val="33"/>
        <w:numPr>
          <w:ilvl w:val="0"/>
          <w:numId w:val="25"/>
        </w:numPr>
        <w:shd w:val="clear" w:color="auto" w:fill="FFFFFF" w:themeFill="background1"/>
        <w:spacing w:line="360" w:lineRule="auto"/>
        <w:ind w:left="1380" w:hanging="420" w:firstLineChars="0"/>
        <w:rPr>
          <w:rFonts w:ascii="宋体" w:hAnsi="宋体" w:eastAsia="宋体" w:cs="宋体"/>
          <w:bCs/>
          <w:sz w:val="24"/>
          <w:szCs w:val="24"/>
        </w:rPr>
      </w:pPr>
      <w:r>
        <w:rPr>
          <w:rFonts w:hint="eastAsia" w:ascii="宋体" w:hAnsi="宋体" w:eastAsia="宋体" w:cs="宋体"/>
          <w:bCs/>
          <w:sz w:val="24"/>
          <w:szCs w:val="24"/>
        </w:rPr>
        <w:t>项目通过竣工验收后，监理单位应完成与采购人的材料交接工作。</w:t>
      </w:r>
    </w:p>
    <w:p>
      <w:pPr>
        <w:pStyle w:val="6"/>
        <w:shd w:val="clear" w:color="auto" w:fill="FFFFFF" w:themeFill="background1"/>
      </w:pPr>
      <w:r>
        <w:rPr>
          <w:rFonts w:hint="eastAsia"/>
        </w:rPr>
        <w:t>其他要求</w:t>
      </w:r>
    </w:p>
    <w:p>
      <w:pPr>
        <w:numPr>
          <w:ilvl w:val="0"/>
          <w:numId w:val="26"/>
        </w:numPr>
        <w:shd w:val="clear" w:color="auto" w:fill="FFFFFF" w:themeFill="background1"/>
        <w:spacing w:line="360" w:lineRule="auto"/>
        <w:ind w:left="840"/>
        <w:rPr>
          <w:rFonts w:ascii="Book Antiqua" w:hAnsi="Book Antiqua"/>
          <w:kern w:val="0"/>
          <w:sz w:val="24"/>
        </w:rPr>
      </w:pPr>
      <w:r>
        <w:rPr>
          <w:rFonts w:hint="eastAsia" w:ascii="Book Antiqua" w:hAnsi="Book Antiqua"/>
          <w:kern w:val="0"/>
          <w:sz w:val="24"/>
        </w:rPr>
        <w:t>监理机构应有明确的内部管理制度和质量管理制度，并积极配合采购人监督管理；</w:t>
      </w:r>
    </w:p>
    <w:p>
      <w:pPr>
        <w:numPr>
          <w:ilvl w:val="0"/>
          <w:numId w:val="26"/>
        </w:numPr>
        <w:shd w:val="clear" w:color="auto" w:fill="FFFFFF" w:themeFill="background1"/>
        <w:spacing w:line="360" w:lineRule="auto"/>
        <w:ind w:left="840"/>
        <w:rPr>
          <w:rFonts w:ascii="Book Antiqua" w:hAnsi="Book Antiqua"/>
          <w:kern w:val="0"/>
          <w:sz w:val="24"/>
        </w:rPr>
      </w:pPr>
      <w:r>
        <w:rPr>
          <w:rFonts w:ascii="Book Antiqua" w:hAnsi="Book Antiqua"/>
          <w:kern w:val="0"/>
          <w:sz w:val="24"/>
        </w:rPr>
        <w:t>监理人不得违反标准规范规定或合同约定，</w:t>
      </w:r>
      <w:r>
        <w:rPr>
          <w:rFonts w:hint="eastAsia" w:ascii="Book Antiqua" w:hAnsi="Book Antiqua"/>
          <w:kern w:val="0"/>
          <w:sz w:val="24"/>
        </w:rPr>
        <w:t>减少人员投入、</w:t>
      </w:r>
      <w:r>
        <w:rPr>
          <w:rFonts w:ascii="Book Antiqua" w:hAnsi="Book Antiqua"/>
          <w:kern w:val="0"/>
          <w:sz w:val="24"/>
        </w:rPr>
        <w:t>减少服务内容</w:t>
      </w:r>
      <w:r>
        <w:rPr>
          <w:rFonts w:hint="eastAsia" w:ascii="Book Antiqua" w:hAnsi="Book Antiqua"/>
          <w:kern w:val="0"/>
          <w:sz w:val="24"/>
        </w:rPr>
        <w:t>、</w:t>
      </w:r>
      <w:r>
        <w:rPr>
          <w:rFonts w:ascii="Book Antiqua" w:hAnsi="Book Antiqua"/>
          <w:kern w:val="0"/>
          <w:sz w:val="24"/>
        </w:rPr>
        <w:t>降低服务质量。</w:t>
      </w:r>
    </w:p>
    <w:p>
      <w:pPr>
        <w:numPr>
          <w:ilvl w:val="0"/>
          <w:numId w:val="26"/>
        </w:numPr>
        <w:shd w:val="clear" w:color="auto" w:fill="FFFFFF" w:themeFill="background1"/>
        <w:spacing w:line="360" w:lineRule="auto"/>
        <w:ind w:left="840"/>
        <w:rPr>
          <w:rFonts w:ascii="Book Antiqua" w:hAnsi="Book Antiqua"/>
          <w:kern w:val="0"/>
          <w:sz w:val="24"/>
        </w:rPr>
      </w:pPr>
      <w:r>
        <w:rPr>
          <w:rFonts w:hint="eastAsia" w:ascii="Book Antiqua" w:hAnsi="Book Antiqua"/>
          <w:kern w:val="0"/>
          <w:sz w:val="24"/>
        </w:rPr>
        <w:t>设备安装完成后，监理应到现场查看设备安装情况。</w:t>
      </w:r>
    </w:p>
    <w:p>
      <w:pPr>
        <w:numPr>
          <w:ilvl w:val="0"/>
          <w:numId w:val="26"/>
        </w:numPr>
        <w:shd w:val="clear" w:color="auto" w:fill="FFFFFF" w:themeFill="background1"/>
        <w:spacing w:line="360" w:lineRule="auto"/>
        <w:ind w:left="840"/>
        <w:rPr>
          <w:rFonts w:ascii="Book Antiqua" w:hAnsi="Book Antiqua"/>
          <w:kern w:val="0"/>
          <w:sz w:val="24"/>
        </w:rPr>
      </w:pPr>
      <w:r>
        <w:rPr>
          <w:rFonts w:hint="eastAsia" w:ascii="Book Antiqua" w:hAnsi="Book Antiqua" w:eastAsia="宋体" w:cs="Times New Roman"/>
          <w:kern w:val="0"/>
          <w:sz w:val="24"/>
        </w:rPr>
        <w:t>监理方应主动沟通各相关方，有效协调采购人、系统使用单位、运维单位以及各相关单位和机构的关系，为项目运维提供组织上的保证。</w:t>
      </w:r>
    </w:p>
    <w:p>
      <w:pPr>
        <w:numPr>
          <w:ilvl w:val="0"/>
          <w:numId w:val="26"/>
        </w:numPr>
        <w:shd w:val="clear" w:color="auto" w:fill="FFFFFF" w:themeFill="background1"/>
        <w:spacing w:line="360" w:lineRule="auto"/>
        <w:ind w:left="840"/>
        <w:rPr>
          <w:rFonts w:ascii="Book Antiqua" w:hAnsi="Book Antiqua"/>
          <w:kern w:val="0"/>
          <w:sz w:val="24"/>
        </w:rPr>
      </w:pPr>
      <w:r>
        <w:rPr>
          <w:rFonts w:hint="eastAsia" w:ascii="Book Antiqua" w:hAnsi="Book Antiqua" w:eastAsia="宋体" w:cs="Times New Roman"/>
          <w:kern w:val="0"/>
          <w:sz w:val="24"/>
        </w:rPr>
        <w:t>协助采购人和运维单位在大数据中心项目管理系统中按照项目时间节点要求，按时上传通过监理单位审核的项目节点运维材料。</w:t>
      </w:r>
    </w:p>
    <w:bookmarkEnd w:id="3"/>
    <w:bookmarkEnd w:id="4"/>
    <w:p>
      <w:pPr>
        <w:pStyle w:val="5"/>
        <w:shd w:val="clear" w:color="auto" w:fill="FFFFFF" w:themeFill="background1"/>
        <w:ind w:left="0"/>
        <w:rPr>
          <w:rFonts w:ascii="仿宋" w:hAnsi="仿宋" w:eastAsia="仿宋" w:cs="仿宋"/>
        </w:rPr>
      </w:pPr>
      <w:bookmarkStart w:id="31" w:name="_Toc69194682"/>
      <w:r>
        <w:rPr>
          <w:rFonts w:hint="eastAsia" w:ascii="仿宋" w:hAnsi="仿宋" w:eastAsia="仿宋" w:cs="仿宋"/>
        </w:rPr>
        <w:t>服务质量考核</w:t>
      </w:r>
      <w:bookmarkEnd w:id="31"/>
      <w:r>
        <w:rPr>
          <w:rFonts w:hint="eastAsia" w:ascii="仿宋" w:hAnsi="仿宋" w:eastAsia="仿宋" w:cs="仿宋"/>
        </w:rPr>
        <w:t>要求</w:t>
      </w:r>
    </w:p>
    <w:p>
      <w:pPr>
        <w:pStyle w:val="6"/>
        <w:shd w:val="clear" w:color="auto" w:fill="FFFFFF" w:themeFill="background1"/>
        <w:snapToGrid w:val="0"/>
        <w:spacing w:before="0" w:after="0" w:line="360" w:lineRule="auto"/>
        <w:ind w:left="0"/>
        <w:rPr>
          <w:rFonts w:ascii="宋体" w:hAnsi="宋体" w:eastAsia="宋体"/>
          <w:sz w:val="24"/>
          <w:szCs w:val="24"/>
        </w:rPr>
      </w:pPr>
      <w:r>
        <w:rPr>
          <w:rFonts w:hint="eastAsia" w:ascii="宋体" w:hAnsi="宋体" w:eastAsia="宋体"/>
          <w:sz w:val="24"/>
          <w:szCs w:val="24"/>
        </w:rPr>
        <w:t>考核标准</w:t>
      </w:r>
    </w:p>
    <w:p>
      <w:pPr>
        <w:shd w:val="clear" w:color="auto" w:fill="FFFFFF" w:themeFill="background1"/>
        <w:spacing w:line="360" w:lineRule="auto"/>
        <w:rPr>
          <w:rFonts w:ascii="宋体" w:hAnsi="宋体" w:eastAsia="宋体"/>
          <w:sz w:val="24"/>
          <w:szCs w:val="24"/>
        </w:rPr>
      </w:pPr>
      <w:r>
        <w:rPr>
          <w:rFonts w:hint="eastAsia" w:ascii="宋体" w:hAnsi="宋体" w:eastAsia="宋体"/>
          <w:sz w:val="24"/>
          <w:szCs w:val="24"/>
        </w:rPr>
        <w:t>（1）由监理单位出具的材料从第三方角度客观体现项目的质量、进度、成本、变更及安全等情况。</w:t>
      </w:r>
    </w:p>
    <w:p>
      <w:pPr>
        <w:shd w:val="clear" w:color="auto" w:fill="FFFFFF" w:themeFill="background1"/>
        <w:spacing w:line="360" w:lineRule="auto"/>
        <w:rPr>
          <w:rFonts w:ascii="宋体" w:hAnsi="宋体" w:eastAsia="宋体"/>
          <w:sz w:val="24"/>
          <w:szCs w:val="24"/>
        </w:rPr>
      </w:pPr>
      <w:r>
        <w:rPr>
          <w:rFonts w:hint="eastAsia" w:ascii="宋体" w:hAnsi="宋体" w:eastAsia="宋体"/>
          <w:sz w:val="24"/>
          <w:szCs w:val="24"/>
        </w:rPr>
        <w:t>（2）监理团队的组织架构合理，人员配置满足项目需求。</w:t>
      </w:r>
    </w:p>
    <w:p>
      <w:pPr>
        <w:shd w:val="clear" w:color="auto" w:fill="FFFFFF" w:themeFill="background1"/>
        <w:spacing w:line="360" w:lineRule="auto"/>
        <w:rPr>
          <w:rFonts w:ascii="宋体" w:hAnsi="宋体" w:eastAsia="宋体"/>
          <w:sz w:val="24"/>
          <w:szCs w:val="24"/>
        </w:rPr>
      </w:pPr>
      <w:r>
        <w:rPr>
          <w:rFonts w:hint="eastAsia" w:ascii="宋体" w:hAnsi="宋体" w:eastAsia="宋体"/>
          <w:sz w:val="24"/>
          <w:szCs w:val="24"/>
        </w:rPr>
        <w:t>（3）监理规划、监理细则符合项目实际情况。</w:t>
      </w:r>
    </w:p>
    <w:p>
      <w:pPr>
        <w:shd w:val="clear" w:color="auto" w:fill="FFFFFF" w:themeFill="background1"/>
        <w:spacing w:line="360" w:lineRule="auto"/>
        <w:rPr>
          <w:sz w:val="24"/>
          <w:szCs w:val="24"/>
        </w:rPr>
      </w:pPr>
      <w:r>
        <w:rPr>
          <w:rFonts w:hint="eastAsia"/>
          <w:sz w:val="24"/>
          <w:szCs w:val="24"/>
        </w:rPr>
        <w:t>（</w:t>
      </w:r>
      <w:r>
        <w:rPr>
          <w:sz w:val="24"/>
          <w:szCs w:val="24"/>
        </w:rPr>
        <w:t>4</w:t>
      </w:r>
      <w:r>
        <w:rPr>
          <w:rFonts w:hint="eastAsia"/>
          <w:sz w:val="24"/>
          <w:szCs w:val="24"/>
        </w:rPr>
        <w:t>）监理单位根据监理细则及项目实际情况， 配合项目负责人定期组织召开项目例会， 编制会议纪要，并跟踪管控项目进展。</w:t>
      </w:r>
    </w:p>
    <w:p>
      <w:pPr>
        <w:shd w:val="clear" w:color="auto" w:fill="FFFFFF" w:themeFill="background1"/>
        <w:spacing w:line="360" w:lineRule="auto"/>
        <w:rPr>
          <w:sz w:val="24"/>
          <w:szCs w:val="24"/>
        </w:rPr>
      </w:pPr>
      <w:r>
        <w:rPr>
          <w:rFonts w:hint="eastAsia"/>
          <w:sz w:val="24"/>
          <w:szCs w:val="24"/>
        </w:rPr>
        <w:t>（5）在项目过程中，监理单位对承建单位的自检自测方案进行审核，对自检自测过程进行见证；对独立第三方评测机构的测评过程及结论予以见证。</w:t>
      </w:r>
    </w:p>
    <w:p>
      <w:pPr>
        <w:shd w:val="clear" w:color="auto" w:fill="FFFFFF" w:themeFill="background1"/>
        <w:spacing w:line="360" w:lineRule="auto"/>
        <w:rPr>
          <w:sz w:val="24"/>
          <w:szCs w:val="24"/>
        </w:rPr>
      </w:pPr>
      <w:r>
        <w:rPr>
          <w:rFonts w:hint="eastAsia"/>
          <w:sz w:val="24"/>
          <w:szCs w:val="24"/>
        </w:rPr>
        <w:t>（6）在验收评审阶段，监理单位配合项目负责人组织对项目进行团队内部预验收，编制监理工作总结。</w:t>
      </w:r>
    </w:p>
    <w:p>
      <w:pPr>
        <w:shd w:val="clear" w:color="auto" w:fill="FFFFFF" w:themeFill="background1"/>
        <w:spacing w:line="360" w:lineRule="auto"/>
        <w:rPr>
          <w:sz w:val="24"/>
          <w:szCs w:val="24"/>
        </w:rPr>
      </w:pPr>
      <w:r>
        <w:rPr>
          <w:rFonts w:hint="eastAsia"/>
          <w:sz w:val="24"/>
          <w:szCs w:val="24"/>
        </w:rPr>
        <w:t>（7）监理单位在材料审核过程中未出现失误并对项目造成影响和损失。</w:t>
      </w:r>
    </w:p>
    <w:p>
      <w:pPr>
        <w:shd w:val="clear" w:color="auto" w:fill="FFFFFF" w:themeFill="background1"/>
        <w:spacing w:line="360" w:lineRule="auto"/>
        <w:rPr>
          <w:sz w:val="24"/>
          <w:szCs w:val="24"/>
        </w:rPr>
      </w:pPr>
      <w:r>
        <w:rPr>
          <w:rFonts w:hint="eastAsia" w:ascii="宋体" w:hAnsi="宋体" w:eastAsia="宋体"/>
          <w:sz w:val="24"/>
          <w:szCs w:val="24"/>
        </w:rPr>
        <w:t>（</w:t>
      </w:r>
      <w:r>
        <w:rPr>
          <w:rFonts w:ascii="宋体" w:hAnsi="宋体" w:eastAsia="宋体"/>
          <w:sz w:val="24"/>
          <w:szCs w:val="24"/>
        </w:rPr>
        <w:t>8</w:t>
      </w:r>
      <w:r>
        <w:rPr>
          <w:rFonts w:hint="eastAsia" w:ascii="宋体" w:hAnsi="宋体" w:eastAsia="宋体"/>
          <w:sz w:val="24"/>
          <w:szCs w:val="24"/>
        </w:rPr>
        <w:t>）</w:t>
      </w:r>
      <w:r>
        <w:rPr>
          <w:rFonts w:hint="eastAsia"/>
          <w:sz w:val="24"/>
          <w:szCs w:val="24"/>
        </w:rPr>
        <w:t>监理工作相关文档完整度和准确率大于95%。</w:t>
      </w:r>
    </w:p>
    <w:p>
      <w:pPr>
        <w:shd w:val="clear" w:color="auto" w:fill="FFFFFF" w:themeFill="background1"/>
        <w:rPr>
          <w:rFonts w:ascii="宋体" w:hAnsi="宋体" w:eastAsia="宋体"/>
          <w:szCs w:val="21"/>
        </w:rPr>
      </w:pPr>
    </w:p>
    <w:p>
      <w:pPr>
        <w:pStyle w:val="5"/>
        <w:shd w:val="clear" w:color="auto" w:fill="FFFFFF" w:themeFill="background1"/>
        <w:ind w:left="0"/>
        <w:rPr>
          <w:rFonts w:ascii="仿宋" w:hAnsi="仿宋" w:eastAsia="仿宋" w:cs="仿宋"/>
        </w:rPr>
      </w:pPr>
      <w:bookmarkStart w:id="32" w:name="_Toc69194684"/>
      <w:r>
        <w:rPr>
          <w:rFonts w:hint="eastAsia" w:ascii="仿宋" w:hAnsi="仿宋" w:eastAsia="仿宋" w:cs="仿宋"/>
        </w:rPr>
        <w:t>验收</w:t>
      </w:r>
      <w:bookmarkEnd w:id="32"/>
      <w:r>
        <w:rPr>
          <w:rFonts w:hint="eastAsia" w:ascii="仿宋" w:hAnsi="仿宋" w:eastAsia="仿宋" w:cs="仿宋"/>
        </w:rPr>
        <w:t>要求</w:t>
      </w:r>
    </w:p>
    <w:p>
      <w:pPr>
        <w:shd w:val="clear" w:color="auto" w:fill="FFFFFF" w:themeFill="background1"/>
        <w:spacing w:line="360" w:lineRule="auto"/>
        <w:ind w:firstLine="480" w:firstLineChars="200"/>
        <w:rPr>
          <w:rFonts w:ascii="宋体" w:hAnsi="宋体" w:eastAsia="宋体" w:cs="宋体"/>
          <w:sz w:val="24"/>
          <w:szCs w:val="24"/>
          <w:lang w:val="en-GB"/>
        </w:rPr>
      </w:pPr>
      <w:r>
        <w:rPr>
          <w:rFonts w:hint="eastAsia" w:ascii="宋体" w:hAnsi="宋体" w:eastAsia="宋体" w:cs="宋体"/>
          <w:sz w:val="24"/>
          <w:szCs w:val="24"/>
          <w:lang w:val="en-GB"/>
        </w:rPr>
        <w:t>监理工作期限终止时，监理单位应当以书面形式提交监理服务总结报告。采购人在收到监理单位提交的</w:t>
      </w:r>
      <w:r>
        <w:rPr>
          <w:rFonts w:hint="eastAsia" w:ascii="宋体" w:hAnsi="宋体" w:eastAsia="宋体" w:cs="宋体"/>
          <w:sz w:val="24"/>
          <w:szCs w:val="24"/>
        </w:rPr>
        <w:t>监理报告</w:t>
      </w:r>
      <w:r>
        <w:rPr>
          <w:rFonts w:hint="eastAsia" w:ascii="宋体" w:hAnsi="宋体" w:eastAsia="宋体" w:cs="宋体"/>
          <w:sz w:val="24"/>
          <w:szCs w:val="24"/>
          <w:lang w:val="en-GB"/>
        </w:rPr>
        <w:t>（</w:t>
      </w:r>
      <w:r>
        <w:rPr>
          <w:rFonts w:hint="eastAsia" w:ascii="宋体" w:hAnsi="宋体" w:eastAsia="宋体" w:cs="宋体"/>
          <w:sz w:val="24"/>
          <w:szCs w:val="24"/>
        </w:rPr>
        <w:t>服务范围内运维项目的监理记录、监理文档和</w:t>
      </w:r>
      <w:r>
        <w:rPr>
          <w:rFonts w:hint="eastAsia" w:ascii="宋体" w:hAnsi="宋体" w:eastAsia="宋体" w:cs="宋体"/>
          <w:sz w:val="24"/>
          <w:szCs w:val="24"/>
          <w:lang w:val="en-GB"/>
        </w:rPr>
        <w:t>监理服务总结报告等）后20个工作日内，对监理单位的工作进行验收。如属于监理单位原因致使维护服务未能通过验收的，监理单位应当在</w:t>
      </w:r>
      <w:r>
        <w:rPr>
          <w:rFonts w:hint="eastAsia" w:ascii="宋体" w:hAnsi="宋体" w:eastAsia="宋体" w:cs="宋体"/>
          <w:sz w:val="24"/>
          <w:szCs w:val="24"/>
        </w:rPr>
        <w:t>10</w:t>
      </w:r>
      <w:r>
        <w:rPr>
          <w:rFonts w:hint="eastAsia" w:ascii="宋体" w:hAnsi="宋体" w:eastAsia="宋体" w:cs="宋体"/>
          <w:sz w:val="24"/>
          <w:szCs w:val="24"/>
          <w:lang w:val="en-GB"/>
        </w:rPr>
        <w:t>个工作日内进行整改，并自行承担相关整改费用，再次接受采购人的验收，直至符合约定要求。</w:t>
      </w:r>
    </w:p>
    <w:p>
      <w:pPr>
        <w:pStyle w:val="5"/>
        <w:shd w:val="clear" w:color="auto" w:fill="FFFFFF" w:themeFill="background1"/>
        <w:ind w:left="0"/>
        <w:rPr>
          <w:rFonts w:ascii="仿宋" w:hAnsi="仿宋" w:eastAsia="仿宋" w:cs="仿宋"/>
        </w:rPr>
      </w:pPr>
      <w:bookmarkStart w:id="33" w:name="_Toc69194685"/>
      <w:r>
        <w:rPr>
          <w:rFonts w:hint="eastAsia" w:ascii="仿宋" w:hAnsi="仿宋" w:eastAsia="仿宋" w:cs="仿宋"/>
        </w:rPr>
        <w:t>服务组织和人员</w:t>
      </w:r>
      <w:bookmarkEnd w:id="33"/>
      <w:r>
        <w:rPr>
          <w:rFonts w:hint="eastAsia" w:ascii="仿宋" w:hAnsi="仿宋" w:eastAsia="仿宋" w:cs="仿宋"/>
        </w:rPr>
        <w:t>要求</w:t>
      </w:r>
    </w:p>
    <w:p>
      <w:pPr>
        <w:pStyle w:val="6"/>
        <w:shd w:val="clear" w:color="auto" w:fill="FFFFFF" w:themeFill="background1"/>
        <w:rPr>
          <w:rFonts w:ascii="宋体" w:hAnsi="宋体" w:eastAsia="宋体" w:cs="仿宋"/>
          <w:sz w:val="24"/>
          <w:szCs w:val="24"/>
        </w:rPr>
      </w:pPr>
      <w:r>
        <w:rPr>
          <w:rFonts w:hint="eastAsia" w:ascii="宋体" w:hAnsi="宋体" w:eastAsia="宋体" w:cs="仿宋"/>
          <w:sz w:val="24"/>
          <w:szCs w:val="24"/>
        </w:rPr>
        <w:t>监理团队要求</w:t>
      </w:r>
    </w:p>
    <w:p>
      <w:pPr>
        <w:numPr>
          <w:ilvl w:val="0"/>
          <w:numId w:val="27"/>
        </w:numPr>
        <w:shd w:val="clear" w:color="auto" w:fill="FFFFFF" w:themeFill="background1"/>
        <w:adjustRightInd w:val="0"/>
        <w:snapToGrid w:val="0"/>
        <w:spacing w:line="360" w:lineRule="auto"/>
        <w:ind w:firstLine="480" w:firstLineChars="200"/>
        <w:rPr>
          <w:rFonts w:ascii="宋体" w:hAnsi="宋体" w:eastAsia="宋体" w:cs="宋体"/>
          <w:sz w:val="24"/>
          <w:szCs w:val="24"/>
        </w:rPr>
      </w:pPr>
      <w:r>
        <w:rPr>
          <w:rFonts w:hint="eastAsia" w:ascii="宋体" w:hAnsi="宋体"/>
          <w:sz w:val="24"/>
          <w:szCs w:val="24"/>
        </w:rPr>
        <w:t>为保证本项目监理服务工作，监理单位应成立专门的项目服务团队，团队人员投入不少于7人，包括总监理工程师、总监理工程师代表、专业监理工程师等。</w:t>
      </w:r>
    </w:p>
    <w:p>
      <w:pPr>
        <w:numPr>
          <w:ilvl w:val="0"/>
          <w:numId w:val="27"/>
        </w:numPr>
        <w:shd w:val="clear" w:color="auto" w:fill="FFFFFF" w:themeFill="background1"/>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总监理工程师职责：全面负责项目监理工作，按照监理合同要求确定现场监理人员分工，对监理目标负责；组织项目服务团队对运维项目实施监理服务；检查项目服务团队的监理工作，考核总监理工程师代表、专业监理工程师岗位职责及具体业务的完成情况；审核签署监理工作相关文档。</w:t>
      </w:r>
    </w:p>
    <w:p>
      <w:pPr>
        <w:numPr>
          <w:ilvl w:val="0"/>
          <w:numId w:val="27"/>
        </w:numPr>
        <w:shd w:val="clear" w:color="auto" w:fill="FFFFFF" w:themeFill="background1"/>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总监理工程师代表职责：与专业监理工程师对接，掌握所有运维系统的监理工作进展情况；协调项目服务团队、采购人、运维服务商之间的关系，接受采购人的指导，同时对项目监理的全过程进行必要的监督调控；规定正式的沟通方式、渠道和时间，使所有相关人员按照既定的程序和规则行事；及时反馈业主对监理服务工作的意见；积极主动地完成采购人交办的各项任务。</w:t>
      </w:r>
    </w:p>
    <w:p>
      <w:pPr>
        <w:numPr>
          <w:ilvl w:val="0"/>
          <w:numId w:val="27"/>
        </w:numPr>
        <w:shd w:val="clear" w:color="auto" w:fill="FFFFFF" w:themeFill="background1"/>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专业监理工程师职责：负责具体系统运维的现场监理工作。</w:t>
      </w:r>
    </w:p>
    <w:p>
      <w:pPr>
        <w:numPr>
          <w:ilvl w:val="0"/>
          <w:numId w:val="27"/>
        </w:numPr>
        <w:shd w:val="clear" w:color="auto" w:fill="FFFFFF" w:themeFill="background1"/>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监理单位在执行监理合同时建立项目组织机构，根据工作实际需要加派人员以满足应急或其他监理工作需要，在完成合同约定的工作任务后方可解散。</w:t>
      </w:r>
    </w:p>
    <w:p>
      <w:pPr>
        <w:numPr>
          <w:ilvl w:val="0"/>
          <w:numId w:val="27"/>
        </w:numPr>
        <w:shd w:val="clear" w:color="auto" w:fill="FFFFFF" w:themeFill="background1"/>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监理单位应保证项目组织机构成员在服务过程中的稳定性，所有项目组人员无特殊理由不得随意变动，如要变动，须征得采购人的同意，在未得到采购人同意的情况下不得随意更换，且接替人的资质不得低于原有人员的资质。</w:t>
      </w:r>
    </w:p>
    <w:p>
      <w:pPr>
        <w:pStyle w:val="6"/>
        <w:shd w:val="clear" w:color="auto" w:fill="FFFFFF" w:themeFill="background1"/>
      </w:pPr>
      <w:r>
        <w:rPr>
          <w:rFonts w:hint="eastAsia"/>
        </w:rPr>
        <w:t>监理团队人员要求</w:t>
      </w:r>
    </w:p>
    <w:p>
      <w:pPr>
        <w:shd w:val="clear" w:color="auto" w:fill="FFFFFF" w:themeFill="background1"/>
        <w:spacing w:line="360" w:lineRule="auto"/>
        <w:ind w:firstLine="480" w:firstLineChars="200"/>
        <w:rPr>
          <w:rFonts w:ascii="宋体" w:hAnsi="宋体" w:eastAsia="宋体" w:cs="仿宋"/>
          <w:sz w:val="32"/>
          <w:szCs w:val="32"/>
        </w:rPr>
      </w:pPr>
      <w:bookmarkStart w:id="34" w:name="_Hlk155623736"/>
      <w:r>
        <w:rPr>
          <w:rFonts w:hint="eastAsia" w:ascii="宋体" w:hAnsi="宋体"/>
          <w:sz w:val="24"/>
          <w:szCs w:val="24"/>
        </w:rPr>
        <w:t>项目服务团队须全部具有信息系统监理师证书</w:t>
      </w:r>
      <w:bookmarkEnd w:id="34"/>
      <w:r>
        <w:rPr>
          <w:rFonts w:hint="eastAsia" w:ascii="宋体" w:hAnsi="宋体"/>
          <w:sz w:val="24"/>
          <w:szCs w:val="24"/>
        </w:rPr>
        <w:t>，并且各岗位人员满足以下各项基本条件：</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2200"/>
        <w:gridCol w:w="1035"/>
        <w:gridCol w:w="266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0" w:type="auto"/>
            <w:vAlign w:val="center"/>
          </w:tcPr>
          <w:p>
            <w:pPr>
              <w:pStyle w:val="25"/>
              <w:shd w:val="clear" w:color="auto" w:fill="FFFFFF" w:themeFill="background1"/>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角色</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主要职责</w:t>
            </w:r>
          </w:p>
        </w:tc>
        <w:tc>
          <w:tcPr>
            <w:tcW w:w="1035" w:type="dxa"/>
            <w:vAlign w:val="center"/>
          </w:tcPr>
          <w:p>
            <w:pPr>
              <w:pStyle w:val="25"/>
              <w:shd w:val="clear" w:color="auto" w:fill="FFFFFF" w:themeFill="background1"/>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人数</w:t>
            </w:r>
          </w:p>
        </w:tc>
        <w:tc>
          <w:tcPr>
            <w:tcW w:w="2666" w:type="dxa"/>
            <w:vAlign w:val="center"/>
          </w:tcPr>
          <w:p>
            <w:pPr>
              <w:pStyle w:val="25"/>
              <w:shd w:val="clear" w:color="auto" w:fill="FFFFFF" w:themeFill="background1"/>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人员要求</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b/>
                <w:kern w:val="0"/>
                <w:sz w:val="28"/>
                <w:szCs w:val="28"/>
                <w:lang w:val="en-US"/>
              </w:rPr>
            </w:pPr>
            <w:r>
              <w:rPr>
                <w:rFonts w:hint="eastAsia" w:ascii="仿宋" w:hAnsi="仿宋" w:eastAsia="仿宋" w:cs="仿宋"/>
                <w:b/>
                <w:kern w:val="0"/>
                <w:sz w:val="28"/>
                <w:szCs w:val="28"/>
                <w:lang w:val="en-US"/>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vAlign w:val="center"/>
          </w:tcPr>
          <w:p>
            <w:pPr>
              <w:pStyle w:val="25"/>
              <w:shd w:val="clear" w:color="auto" w:fill="FFFFFF" w:themeFill="background1"/>
              <w:ind w:left="0" w:leftChars="0" w:firstLine="0" w:firstLineChars="0"/>
              <w:jc w:val="center"/>
              <w:rPr>
                <w:rFonts w:ascii="宋体" w:hAnsi="宋体"/>
                <w:szCs w:val="21"/>
              </w:rPr>
            </w:pPr>
            <w:r>
              <w:rPr>
                <w:rFonts w:hint="eastAsia" w:ascii="宋体" w:hAnsi="宋体"/>
                <w:szCs w:val="21"/>
              </w:rPr>
              <w:t>总监理</w:t>
            </w:r>
          </w:p>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工程师</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对本项目监理工作全面负责</w:t>
            </w:r>
          </w:p>
        </w:tc>
        <w:tc>
          <w:tcPr>
            <w:tcW w:w="1035" w:type="dxa"/>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仿宋" w:hAnsi="仿宋" w:eastAsia="仿宋" w:cs="仿宋"/>
                <w:sz w:val="28"/>
                <w:szCs w:val="28"/>
                <w:lang w:val="en-US"/>
              </w:rPr>
              <w:t>1人</w:t>
            </w:r>
          </w:p>
        </w:tc>
        <w:tc>
          <w:tcPr>
            <w:tcW w:w="2666" w:type="dxa"/>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具备信息化运维保障项目总监理工程师经验，具有信息系统监理师资质证书、注册设备监理师</w:t>
            </w:r>
            <w:r>
              <w:rPr>
                <w:rFonts w:hint="eastAsia" w:ascii="宋体" w:hAnsi="宋体"/>
                <w:szCs w:val="21"/>
                <w:lang w:eastAsia="zh-CN"/>
              </w:rPr>
              <w:t>证书、</w:t>
            </w:r>
            <w:r>
              <w:rPr>
                <w:rFonts w:hint="eastAsia" w:ascii="宋体" w:hAnsi="宋体"/>
                <w:szCs w:val="21"/>
              </w:rPr>
              <w:t>高级工程师技术职称证书。</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cs="仿宋" w:asciiTheme="minorEastAsia" w:hAnsiTheme="minorEastAsia" w:eastAsiaTheme="minorEastAsia"/>
                <w:szCs w:val="28"/>
                <w:lang w:val="en-US"/>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总监理工程师代表</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监理工作</w:t>
            </w:r>
          </w:p>
        </w:tc>
        <w:tc>
          <w:tcPr>
            <w:tcW w:w="1035" w:type="dxa"/>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仿宋" w:hAnsi="仿宋" w:eastAsia="仿宋" w:cs="仿宋"/>
                <w:sz w:val="28"/>
                <w:szCs w:val="28"/>
                <w:lang w:val="en-US"/>
              </w:rPr>
              <w:t>1人</w:t>
            </w:r>
          </w:p>
        </w:tc>
        <w:tc>
          <w:tcPr>
            <w:tcW w:w="2666" w:type="dxa"/>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具有信息系统监理师资质证</w:t>
            </w:r>
            <w:r>
              <w:rPr>
                <w:rFonts w:hint="eastAsia" w:ascii="宋体" w:hAnsi="宋体"/>
                <w:szCs w:val="21"/>
                <w:highlight w:val="none"/>
              </w:rPr>
              <w:t>书、软件评测师证书。具备信</w:t>
            </w:r>
            <w:r>
              <w:rPr>
                <w:rFonts w:hint="eastAsia" w:ascii="宋体" w:hAnsi="宋体"/>
                <w:szCs w:val="21"/>
              </w:rPr>
              <w:t>息化运维保障项目监理工程师经验</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rPr>
            </w:pPr>
            <w:r>
              <w:rPr>
                <w:rFonts w:hint="eastAsia" w:cs="仿宋" w:asciiTheme="minorEastAsia" w:hAnsiTheme="minorEastAsia" w:eastAsiaTheme="minorEastAsia"/>
                <w:szCs w:val="28"/>
                <w:lang w:val="en-US"/>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专业监理工程师</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现场监理</w:t>
            </w:r>
          </w:p>
        </w:tc>
        <w:tc>
          <w:tcPr>
            <w:tcW w:w="1035" w:type="dxa"/>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仿宋" w:hAnsi="仿宋" w:eastAsia="仿宋" w:cs="仿宋"/>
                <w:sz w:val="28"/>
                <w:szCs w:val="28"/>
                <w:lang w:val="en-US"/>
              </w:rPr>
              <w:t>5人</w:t>
            </w:r>
          </w:p>
        </w:tc>
        <w:tc>
          <w:tcPr>
            <w:tcW w:w="2666" w:type="dxa"/>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ascii="宋体" w:hAnsi="宋体"/>
                <w:szCs w:val="21"/>
              </w:rPr>
              <w:t>具有信息系统监理师资质证书</w:t>
            </w:r>
            <w:r>
              <w:rPr>
                <w:rFonts w:hint="eastAsia" w:ascii="宋体" w:hAnsi="宋体"/>
                <w:szCs w:val="21"/>
                <w:lang w:eastAsia="zh-CN"/>
              </w:rPr>
              <w:t>、中级职称证书、软件评测师资格证书、注册信息安全从业人员证书（CISP）</w:t>
            </w:r>
            <w:r>
              <w:rPr>
                <w:rFonts w:hint="eastAsia" w:ascii="宋体" w:hAnsi="宋体"/>
                <w:szCs w:val="21"/>
              </w:rPr>
              <w:t>，监理师</w:t>
            </w:r>
            <w:r>
              <w:rPr>
                <w:rFonts w:hint="eastAsia" w:ascii="宋体" w:hAnsi="宋体"/>
                <w:szCs w:val="21"/>
                <w:lang w:eastAsia="zh-CN"/>
              </w:rPr>
              <w:t>需</w:t>
            </w:r>
            <w:r>
              <w:rPr>
                <w:rFonts w:hint="eastAsia" w:ascii="宋体" w:hAnsi="宋体"/>
                <w:szCs w:val="21"/>
              </w:rPr>
              <w:t>具有</w:t>
            </w:r>
            <w:r>
              <w:rPr>
                <w:rFonts w:hint="eastAsia" w:ascii="宋体" w:hAnsi="宋体" w:cs="仿宋"/>
              </w:rPr>
              <w:t>2年以上大型信息化运维保障项目监理工作经验</w:t>
            </w:r>
          </w:p>
        </w:tc>
        <w:tc>
          <w:tcPr>
            <w:tcW w:w="0" w:type="auto"/>
            <w:vAlign w:val="center"/>
          </w:tcPr>
          <w:p>
            <w:pPr>
              <w:pStyle w:val="25"/>
              <w:shd w:val="clear" w:color="auto" w:fill="FFFFFF" w:themeFill="background1"/>
              <w:ind w:left="0" w:leftChars="0" w:firstLine="0" w:firstLineChars="0"/>
              <w:jc w:val="center"/>
              <w:rPr>
                <w:rFonts w:ascii="仿宋" w:hAnsi="仿宋" w:eastAsia="仿宋" w:cs="仿宋"/>
                <w:kern w:val="0"/>
                <w:sz w:val="28"/>
                <w:szCs w:val="28"/>
                <w:lang w:val="en-US"/>
              </w:rPr>
            </w:pPr>
            <w:r>
              <w:rPr>
                <w:rFonts w:hint="eastAsia" w:cs="仿宋" w:asciiTheme="minorEastAsia" w:hAnsiTheme="minorEastAsia" w:eastAsiaTheme="minorEastAsia"/>
                <w:szCs w:val="28"/>
                <w:lang w:val="en-US"/>
              </w:rPr>
              <w:t>不驻场</w:t>
            </w:r>
          </w:p>
        </w:tc>
      </w:tr>
    </w:tbl>
    <w:p>
      <w:pPr>
        <w:shd w:val="clear" w:color="auto" w:fill="FFFFFF" w:themeFill="background1"/>
        <w:tabs>
          <w:tab w:val="left" w:pos="0"/>
          <w:tab w:val="left" w:pos="900"/>
        </w:tabs>
        <w:ind w:left="480"/>
        <w:rPr>
          <w:rFonts w:ascii="仿宋" w:hAnsi="仿宋" w:eastAsia="仿宋" w:cs="仿宋"/>
          <w:sz w:val="24"/>
        </w:rPr>
      </w:pPr>
    </w:p>
    <w:p>
      <w:pPr>
        <w:numPr>
          <w:ilvl w:val="255"/>
          <w:numId w:val="0"/>
        </w:numPr>
        <w:shd w:val="clear" w:color="auto" w:fill="FFFFFF" w:themeFill="background1"/>
        <w:tabs>
          <w:tab w:val="left" w:pos="0"/>
        </w:tabs>
        <w:spacing w:line="360" w:lineRule="auto"/>
        <w:rPr>
          <w:rFonts w:ascii="宋体" w:hAnsi="宋体" w:eastAsia="宋体" w:cs="仿宋"/>
          <w:sz w:val="24"/>
          <w:szCs w:val="24"/>
        </w:rPr>
      </w:pPr>
    </w:p>
    <w:p>
      <w:pPr>
        <w:pStyle w:val="5"/>
        <w:shd w:val="clear" w:color="auto" w:fill="FFFFFF" w:themeFill="background1"/>
        <w:ind w:left="0"/>
        <w:rPr>
          <w:rFonts w:ascii="仿宋" w:hAnsi="仿宋" w:eastAsia="仿宋" w:cs="仿宋"/>
        </w:rPr>
      </w:pPr>
      <w:bookmarkStart w:id="35" w:name="_Toc69194686"/>
      <w:r>
        <w:rPr>
          <w:rFonts w:hint="eastAsia" w:ascii="仿宋" w:hAnsi="仿宋" w:eastAsia="仿宋" w:cs="仿宋"/>
        </w:rPr>
        <w:t>服务提供方资质</w:t>
      </w:r>
      <w:bookmarkEnd w:id="35"/>
      <w:r>
        <w:rPr>
          <w:rFonts w:hint="eastAsia" w:ascii="仿宋" w:hAnsi="仿宋" w:eastAsia="仿宋" w:cs="仿宋"/>
        </w:rPr>
        <w:t>要求</w:t>
      </w:r>
    </w:p>
    <w:p>
      <w:pPr>
        <w:shd w:val="clear" w:color="auto" w:fill="FFFFFF" w:themeFill="background1"/>
        <w:spacing w:line="560" w:lineRule="exact"/>
        <w:ind w:firstLine="480"/>
        <w:rPr>
          <w:rFonts w:cs="仿宋" w:asciiTheme="minorEastAsia" w:hAnsiTheme="minorEastAsia"/>
          <w:sz w:val="24"/>
          <w:szCs w:val="32"/>
        </w:rPr>
      </w:pPr>
      <w:r>
        <w:rPr>
          <w:rFonts w:hint="eastAsia" w:cs="仿宋" w:asciiTheme="minorEastAsia" w:hAnsiTheme="minorEastAsia"/>
          <w:sz w:val="24"/>
          <w:szCs w:val="32"/>
        </w:rPr>
        <w:t>1、符合《中华人民共和国政府采购法》第二十二条规定的供应商；</w:t>
      </w:r>
    </w:p>
    <w:p>
      <w:pPr>
        <w:shd w:val="clear" w:color="auto" w:fill="FFFFFF" w:themeFill="background1"/>
        <w:spacing w:line="560" w:lineRule="exact"/>
        <w:ind w:firstLine="480"/>
        <w:rPr>
          <w:rFonts w:cs="仿宋" w:asciiTheme="minorEastAsia" w:hAnsiTheme="minorEastAsia"/>
          <w:sz w:val="24"/>
          <w:szCs w:val="32"/>
        </w:rPr>
      </w:pPr>
      <w:r>
        <w:rPr>
          <w:rFonts w:hint="eastAsia" w:cs="仿宋" w:asciiTheme="minorEastAsia" w:hAnsiTheme="minorEastAsia"/>
          <w:sz w:val="24"/>
          <w:szCs w:val="32"/>
        </w:rPr>
        <w:t>2、根据《上海市政府采购供应商登记及诚信管理办法》已登记入库的供应商；</w:t>
      </w:r>
    </w:p>
    <w:p>
      <w:pPr>
        <w:shd w:val="clear" w:color="auto" w:fill="FFFFFF" w:themeFill="background1"/>
        <w:spacing w:line="560" w:lineRule="exact"/>
        <w:ind w:firstLine="480"/>
        <w:rPr>
          <w:rFonts w:cs="仿宋" w:asciiTheme="minorEastAsia" w:hAnsiTheme="minorEastAsia"/>
          <w:sz w:val="24"/>
          <w:szCs w:val="32"/>
        </w:rPr>
      </w:pPr>
      <w:r>
        <w:rPr>
          <w:rFonts w:hint="eastAsia" w:cs="仿宋" w:asciiTheme="minorEastAsia" w:hAnsiTheme="minorEastAsia"/>
          <w:sz w:val="24"/>
          <w:szCs w:val="32"/>
        </w:rPr>
        <w:t>3、落实政府采购政策需满足的资格要求：根据《政府采购促进中小企业发展办法》等规定，</w:t>
      </w:r>
      <w:r>
        <w:rPr>
          <w:rFonts w:hint="eastAsia" w:cs="仿宋" w:asciiTheme="minorEastAsia" w:hAnsiTheme="minorEastAsia"/>
          <w:color w:val="000000" w:themeColor="text1"/>
          <w:sz w:val="24"/>
          <w:szCs w:val="32"/>
          <w14:textFill>
            <w14:solidFill>
              <w14:schemeClr w14:val="tx1"/>
            </w14:solidFill>
          </w14:textFill>
        </w:rPr>
        <w:t>本项目面向中、小、微型等服务提供方采购</w:t>
      </w:r>
      <w:r>
        <w:rPr>
          <w:rFonts w:hint="eastAsia" w:cs="仿宋" w:asciiTheme="minorEastAsia" w:hAnsiTheme="minorEastAsia"/>
          <w:sz w:val="24"/>
          <w:szCs w:val="32"/>
        </w:rPr>
        <w:t>。</w:t>
      </w:r>
    </w:p>
    <w:p>
      <w:pPr>
        <w:shd w:val="clear" w:color="auto" w:fill="FFFFFF" w:themeFill="background1"/>
        <w:spacing w:line="560" w:lineRule="exact"/>
        <w:ind w:firstLine="480"/>
        <w:rPr>
          <w:rFonts w:cs="仿宋" w:asciiTheme="minorEastAsia" w:hAnsiTheme="minorEastAsia"/>
          <w:sz w:val="24"/>
          <w:szCs w:val="32"/>
        </w:rPr>
      </w:pPr>
      <w:r>
        <w:rPr>
          <w:rFonts w:hint="eastAsia" w:cs="仿宋" w:asciiTheme="minorEastAsia" w:hAnsiTheme="minorEastAsia"/>
          <w:sz w:val="24"/>
          <w:szCs w:val="32"/>
        </w:rPr>
        <w:t>4、其他资格要求：</w:t>
      </w:r>
    </w:p>
    <w:p>
      <w:pPr>
        <w:shd w:val="clear" w:color="auto" w:fill="FFFFFF" w:themeFill="background1"/>
        <w:spacing w:line="560" w:lineRule="exact"/>
        <w:ind w:firstLine="199" w:firstLineChars="83"/>
        <w:rPr>
          <w:rFonts w:hint="eastAsia" w:cs="仿宋" w:asciiTheme="minorEastAsia" w:hAnsiTheme="minorEastAsia"/>
          <w:sz w:val="24"/>
          <w:szCs w:val="32"/>
        </w:rPr>
      </w:pPr>
      <w:r>
        <w:rPr>
          <w:rFonts w:hint="eastAsia" w:cs="仿宋" w:asciiTheme="minorEastAsia" w:hAnsiTheme="minorEastAsia"/>
          <w:sz w:val="24"/>
          <w:szCs w:val="32"/>
        </w:rPr>
        <w:t>未被列入“信用中国”网站(www.creditchina.gov.cn)失信被执行人名单、重大税收违法案件当事人名单和中国政府采购网(www.ccgp.gov.cn)政府采购严重违法失信行为记录名单。</w:t>
      </w:r>
    </w:p>
    <w:p>
      <w:pPr>
        <w:pStyle w:val="2"/>
        <w:rPr>
          <w:rFonts w:hint="eastAsia" w:eastAsiaTheme="minorEastAsia"/>
          <w:lang w:val="en-US" w:eastAsia="zh-CN"/>
        </w:rPr>
      </w:pPr>
      <w:r>
        <w:rPr>
          <w:rFonts w:hint="eastAsia" w:cs="仿宋" w:asciiTheme="minorEastAsia" w:hAnsiTheme="minorEastAsia"/>
          <w:sz w:val="24"/>
          <w:szCs w:val="32"/>
          <w:lang w:val="en-US" w:eastAsia="zh-CN"/>
        </w:rPr>
        <w:t>5、供应商具有ISO9001质量管理体系认证证书、ISO20000 IT服务管理体系认证证书、ISO27001信息安全管理体系认证证书的优先考虑。</w:t>
      </w:r>
    </w:p>
    <w:p>
      <w:pPr>
        <w:pStyle w:val="5"/>
        <w:shd w:val="clear" w:color="auto" w:fill="FFFFFF" w:themeFill="background1"/>
        <w:ind w:left="0"/>
        <w:rPr>
          <w:rFonts w:ascii="仿宋" w:hAnsi="仿宋" w:eastAsia="仿宋" w:cs="仿宋"/>
          <w:bCs w:val="0"/>
          <w:szCs w:val="32"/>
        </w:rPr>
      </w:pPr>
      <w:bookmarkStart w:id="36" w:name="_Toc69194690"/>
      <w:r>
        <w:rPr>
          <w:rFonts w:hint="eastAsia" w:ascii="仿宋" w:hAnsi="仿宋" w:eastAsia="仿宋" w:cs="仿宋"/>
          <w:bCs w:val="0"/>
          <w:szCs w:val="32"/>
        </w:rPr>
        <w:t>项目的变更、解除和终止</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如果服务提供方丧失履约能力、发生资不抵债或进入破产程序，</w:t>
      </w:r>
      <w:r>
        <w:rPr>
          <w:rFonts w:hint="eastAsia" w:cs="仿宋" w:asciiTheme="minorEastAsia" w:hAnsiTheme="minorEastAsia"/>
          <w:sz w:val="24"/>
          <w:szCs w:val="32"/>
          <w:lang w:eastAsia="zh-CN"/>
        </w:rPr>
        <w:t>采购</w:t>
      </w:r>
      <w:r>
        <w:rPr>
          <w:rFonts w:hint="eastAsia" w:cs="仿宋" w:asciiTheme="minorEastAsia" w:hAnsiTheme="minorEastAsia"/>
          <w:sz w:val="24"/>
          <w:szCs w:val="32"/>
        </w:rPr>
        <w:t>单位可在任何时候以书面形式通知服务提供方终止本项目的执行而不给予服务提供方补偿。该终止本项目将不损害或影响</w:t>
      </w:r>
      <w:r>
        <w:rPr>
          <w:rFonts w:hint="eastAsia" w:cs="仿宋" w:asciiTheme="minorEastAsia" w:hAnsiTheme="minorEastAsia"/>
          <w:sz w:val="24"/>
          <w:szCs w:val="32"/>
          <w:lang w:eastAsia="zh-CN"/>
        </w:rPr>
        <w:t>采购</w:t>
      </w:r>
      <w:r>
        <w:rPr>
          <w:rFonts w:hint="eastAsia" w:cs="仿宋" w:asciiTheme="minorEastAsia" w:hAnsiTheme="minorEastAsia"/>
          <w:sz w:val="24"/>
          <w:szCs w:val="32"/>
        </w:rPr>
        <w:t>单位已经采取或将要采取任何行动或补救措施的权利。</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如遇国家、行业管理部门等机构的有关标准和规定调整的，导致本项目内容须做相应调整时，双方应按照公平、合理的原则共同协商修改本项目对应的合同的相关条款。</w:t>
      </w:r>
    </w:p>
    <w:p>
      <w:pPr>
        <w:pStyle w:val="5"/>
        <w:shd w:val="clear" w:color="auto" w:fill="FFFFFF" w:themeFill="background1"/>
        <w:ind w:left="0"/>
        <w:rPr>
          <w:rFonts w:ascii="仿宋" w:hAnsi="仿宋" w:eastAsia="仿宋" w:cs="仿宋"/>
        </w:rPr>
      </w:pPr>
      <w:r>
        <w:rPr>
          <w:rFonts w:hint="eastAsia" w:ascii="仿宋" w:hAnsi="仿宋" w:eastAsia="仿宋" w:cs="仿宋"/>
        </w:rPr>
        <w:t>保密责任</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1、</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不得对外泄露采购人要求保密的信息，不得用于其他用途，否则</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需承担由此引起的法律责任和经济责任，包括但不限于直接损失、间接损失、律师费、诉讼费/仲裁费、调查费、公证费等。</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2、</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应采取必要的有效措施保证其参与本项目的人员（包括</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聘用的人员、借调的人员、实习的人员）无论是在职或离职后，以及</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的合作方无论是合作中或合作终止后，都能够履行本项目约定的保密义务。若</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人员或</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合作方违反保密规定，中标人应承担连带责任。</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3、</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（含</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4、以上内容的保密期限自</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知悉保密信息起始至保密信息被合法公开之日止。</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5、</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对采购人提供的临时使用账号要保密，不得公开，对组件开发的账号密码需进行加密，避免信息安全的泄露。未经采购人的同意不得利用采购人的网络及平台进行短信、彩信、微信、邮件等发送,造成的一切后果由</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负责。</w:t>
      </w:r>
    </w:p>
    <w:p>
      <w:pPr>
        <w:shd w:val="clear" w:color="auto" w:fill="FFFFFF" w:themeFill="background1"/>
        <w:spacing w:line="560" w:lineRule="exact"/>
        <w:ind w:firstLine="199" w:firstLineChars="83"/>
        <w:rPr>
          <w:rFonts w:cs="仿宋" w:asciiTheme="minorEastAsia" w:hAnsiTheme="minorEastAsia"/>
          <w:sz w:val="24"/>
          <w:szCs w:val="32"/>
        </w:rPr>
      </w:pPr>
      <w:r>
        <w:rPr>
          <w:rFonts w:hint="eastAsia" w:cs="仿宋" w:asciiTheme="minorEastAsia" w:hAnsiTheme="minorEastAsia"/>
          <w:sz w:val="24"/>
          <w:szCs w:val="32"/>
        </w:rPr>
        <w:t>运维过程</w:t>
      </w:r>
      <w:r>
        <w:rPr>
          <w:rFonts w:hint="eastAsia" w:cs="仿宋" w:asciiTheme="minorEastAsia" w:hAnsiTheme="minorEastAsia"/>
          <w:sz w:val="24"/>
          <w:szCs w:val="32"/>
          <w:lang w:eastAsia="zh-CN"/>
        </w:rPr>
        <w:t>供应商</w:t>
      </w:r>
      <w:r>
        <w:rPr>
          <w:rFonts w:hint="eastAsia" w:cs="仿宋" w:asciiTheme="minorEastAsia" w:hAnsiTheme="minorEastAsia"/>
          <w:sz w:val="24"/>
          <w:szCs w:val="32"/>
        </w:rPr>
        <w:t>如出现失、窃密事情，参照网络和数据安全事件处罚措施同等处置，具体处罚措施由中心保密管理部门确定。</w:t>
      </w:r>
    </w:p>
    <w:p>
      <w:pPr>
        <w:pStyle w:val="5"/>
        <w:shd w:val="clear" w:color="auto" w:fill="FFFFFF" w:themeFill="background1"/>
        <w:ind w:left="0"/>
        <w:rPr>
          <w:rFonts w:ascii="仿宋" w:hAnsi="仿宋" w:eastAsia="仿宋" w:cs="仿宋"/>
        </w:rPr>
      </w:pPr>
      <w:bookmarkStart w:id="37" w:name="_Toc69194689"/>
      <w:r>
        <w:rPr>
          <w:rFonts w:hint="eastAsia" w:ascii="仿宋" w:hAnsi="仿宋" w:eastAsia="仿宋" w:cs="仿宋"/>
        </w:rPr>
        <w:t>违约责任</w:t>
      </w:r>
      <w:bookmarkEnd w:id="37"/>
    </w:p>
    <w:p>
      <w:pPr>
        <w:shd w:val="clear" w:color="auto" w:fill="FFFFFF" w:themeFill="background1"/>
        <w:spacing w:line="360" w:lineRule="auto"/>
        <w:ind w:firstLine="480"/>
        <w:rPr>
          <w:rFonts w:asciiTheme="minorEastAsia" w:hAnsiTheme="minorEastAsia"/>
          <w:sz w:val="24"/>
          <w:szCs w:val="24"/>
        </w:rPr>
      </w:pPr>
      <w:r>
        <w:rPr>
          <w:rFonts w:hint="eastAsia" w:asciiTheme="minorEastAsia" w:hAnsiTheme="minorEastAsia"/>
          <w:sz w:val="24"/>
          <w:szCs w:val="24"/>
        </w:rPr>
        <w:t>1、如服务提供方未按约定的时间或维护服务标准完成运行维护工作，采购方可要求服务提供方在规定的时间内采取补救措施。服务提供方还应向采购方支付本项目费用总额30%的违约金，违约金不足以弥补采购方损失的，采购方还有权要求服务提供方赔偿超过部分。</w:t>
      </w:r>
    </w:p>
    <w:p>
      <w:pPr>
        <w:shd w:val="clear" w:color="auto" w:fill="FFFFFF" w:themeFill="background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2、因服务提供方违反保密义务或知识产权约定的，采购人有权要求服务提供方支付本项目费用总额不超过30%的违约金，违约金不足以弥补采购人损失的，采购人有权要求服务提供方赔偿超过部分。若服务提供方违反保密义务，采购人还有权立即单方解除维护服务合同而不承担任何违约责任。</w:t>
      </w:r>
    </w:p>
    <w:p>
      <w:pPr>
        <w:shd w:val="clear" w:color="auto" w:fill="FFFFFF" w:themeFill="background1"/>
        <w:spacing w:line="360" w:lineRule="auto"/>
        <w:ind w:firstLine="480"/>
        <w:rPr>
          <w:rFonts w:asciiTheme="minorEastAsia" w:hAnsiTheme="minorEastAsia"/>
          <w:sz w:val="24"/>
          <w:szCs w:val="24"/>
        </w:rPr>
      </w:pPr>
      <w:r>
        <w:rPr>
          <w:rFonts w:hint="eastAsia" w:asciiTheme="minorEastAsia" w:hAnsiTheme="minorEastAsia"/>
          <w:sz w:val="24"/>
          <w:szCs w:val="24"/>
        </w:rPr>
        <w:t>3、服务提供方有其他违反约定的行为，服务提供方应当支付本项目费用总额20%作为违约金，违约金不足以弥补采购方损失的，采购方有权要求服务提供方赔偿超过部分。</w:t>
      </w:r>
    </w:p>
    <w:p>
      <w:pPr>
        <w:shd w:val="clear" w:color="auto" w:fill="FFFFFF" w:themeFill="background1"/>
        <w:spacing w:line="360" w:lineRule="auto"/>
        <w:ind w:firstLine="480"/>
        <w:rPr>
          <w:rFonts w:asciiTheme="minorEastAsia" w:hAnsiTheme="minorEastAsia"/>
          <w:sz w:val="24"/>
          <w:szCs w:val="24"/>
        </w:rPr>
      </w:pPr>
      <w:r>
        <w:rPr>
          <w:rFonts w:hint="eastAsia" w:asciiTheme="minorEastAsia" w:hAnsiTheme="minorEastAsia"/>
          <w:sz w:val="24"/>
          <w:szCs w:val="24"/>
        </w:rPr>
        <w:t>4、服务提供方有下列情形之一，采购方有权解除维护服务合同：</w:t>
      </w:r>
    </w:p>
    <w:p>
      <w:pPr>
        <w:shd w:val="clear" w:color="auto" w:fill="FFFFFF" w:themeFill="background1"/>
        <w:spacing w:line="360" w:lineRule="auto"/>
        <w:ind w:firstLine="480"/>
        <w:rPr>
          <w:rFonts w:asciiTheme="minorEastAsia" w:hAnsiTheme="minorEastAsia"/>
          <w:sz w:val="24"/>
          <w:szCs w:val="24"/>
        </w:rPr>
      </w:pPr>
      <w:r>
        <w:rPr>
          <w:rFonts w:hint="eastAsia" w:asciiTheme="minorEastAsia" w:hAnsiTheme="minorEastAsia"/>
          <w:sz w:val="24"/>
          <w:szCs w:val="24"/>
        </w:rPr>
        <w:t>（1）服务提供方累计2次考核未达标准；</w:t>
      </w:r>
      <w:bookmarkStart w:id="38" w:name="_GoBack"/>
      <w:bookmarkEnd w:id="38"/>
    </w:p>
    <w:p>
      <w:pPr>
        <w:shd w:val="clear" w:color="auto" w:fill="FFFFFF" w:themeFill="background1"/>
        <w:spacing w:line="360" w:lineRule="auto"/>
        <w:ind w:firstLine="480"/>
        <w:rPr>
          <w:rFonts w:asciiTheme="minorEastAsia" w:hAnsiTheme="minorEastAsia"/>
          <w:sz w:val="24"/>
          <w:szCs w:val="24"/>
        </w:rPr>
      </w:pPr>
      <w:r>
        <w:rPr>
          <w:rFonts w:hint="eastAsia" w:asciiTheme="minorEastAsia" w:hAnsiTheme="minorEastAsia"/>
          <w:sz w:val="24"/>
          <w:szCs w:val="24"/>
        </w:rPr>
        <w:t>（2）因服务提供方服务质量问题导致采购方无法实现目的；</w:t>
      </w:r>
    </w:p>
    <w:p>
      <w:pPr>
        <w:shd w:val="clear" w:color="auto" w:fill="FFFFFF" w:themeFill="background1"/>
        <w:spacing w:line="360" w:lineRule="auto"/>
        <w:ind w:firstLine="480"/>
        <w:rPr>
          <w:rFonts w:asciiTheme="minorEastAsia" w:hAnsiTheme="minorEastAsia"/>
          <w:sz w:val="24"/>
          <w:szCs w:val="24"/>
        </w:rPr>
      </w:pPr>
      <w:r>
        <w:rPr>
          <w:rFonts w:hint="eastAsia" w:asciiTheme="minorEastAsia" w:hAnsiTheme="minorEastAsia"/>
          <w:sz w:val="24"/>
          <w:szCs w:val="24"/>
        </w:rPr>
        <w:t>（3）擅自转让或者分包其应履行的义务的；</w:t>
      </w:r>
    </w:p>
    <w:p>
      <w:pPr>
        <w:shd w:val="clear" w:color="auto" w:fill="FFFFFF" w:themeFill="background1"/>
        <w:spacing w:line="360" w:lineRule="auto"/>
        <w:ind w:firstLine="480"/>
        <w:rPr>
          <w:rFonts w:asciiTheme="minorEastAsia" w:hAnsiTheme="minorEastAsia"/>
          <w:sz w:val="24"/>
          <w:szCs w:val="24"/>
        </w:rPr>
      </w:pPr>
      <w:r>
        <w:rPr>
          <w:rFonts w:hint="eastAsia" w:asciiTheme="minorEastAsia" w:hAnsiTheme="minorEastAsia"/>
          <w:sz w:val="24"/>
          <w:szCs w:val="24"/>
        </w:rPr>
        <w:t>（4）违反或者未履行维护服务合同约定的其他相关义务，且在采购方要求的合理时间内未能纠正的。</w:t>
      </w:r>
    </w:p>
    <w:p>
      <w:pPr>
        <w:shd w:val="clear" w:color="auto" w:fill="FFFFFF" w:themeFill="background1"/>
        <w:ind w:firstLine="560" w:firstLineChars="200"/>
        <w:rPr>
          <w:rFonts w:ascii="仿宋" w:hAnsi="仿宋" w:eastAsia="仿宋" w:cs="仿宋"/>
          <w:sz w:val="28"/>
          <w:szCs w:val="28"/>
        </w:rPr>
      </w:pPr>
    </w:p>
    <w:p>
      <w:pPr>
        <w:pStyle w:val="5"/>
        <w:shd w:val="clear" w:color="auto" w:fill="FFFFFF" w:themeFill="background1"/>
        <w:ind w:left="0"/>
        <w:rPr>
          <w:rFonts w:ascii="仿宋" w:hAnsi="仿宋" w:eastAsia="仿宋" w:cs="仿宋"/>
        </w:rPr>
      </w:pPr>
      <w:r>
        <w:rPr>
          <w:rFonts w:hint="eastAsia" w:ascii="仿宋" w:hAnsi="仿宋" w:eastAsia="仿宋" w:cs="仿宋"/>
        </w:rPr>
        <w:t>关于转让和分包的规定</w:t>
      </w:r>
    </w:p>
    <w:p>
      <w:pPr>
        <w:shd w:val="clear" w:color="auto" w:fill="FFFFFF" w:themeFill="background1"/>
        <w:ind w:firstLine="562"/>
        <w:rPr>
          <w:rFonts w:ascii="仿宋" w:hAnsi="仿宋" w:eastAsia="仿宋" w:cs="仿宋"/>
          <w:b/>
          <w:sz w:val="28"/>
          <w:szCs w:val="28"/>
        </w:rPr>
      </w:pPr>
      <w:r>
        <w:rPr>
          <w:rFonts w:hint="eastAsia" w:ascii="宋体" w:hAnsi="宋体"/>
          <w:szCs w:val="21"/>
        </w:rPr>
        <w:t>本项目不得转让，不得分包。</w:t>
      </w:r>
    </w:p>
    <w:bookmarkEnd w:id="36"/>
    <w:p>
      <w:pPr>
        <w:shd w:val="clear" w:color="auto" w:fill="FFFFFF" w:themeFill="background1"/>
        <w:spacing w:line="560" w:lineRule="exact"/>
        <w:ind w:firstLine="560" w:firstLineChars="200"/>
        <w:rPr>
          <w:rFonts w:ascii="仿宋" w:hAnsi="仿宋" w:eastAsia="仿宋" w:cs="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新魏">
    <w:panose1 w:val="02010800040101010101"/>
    <w:charset w:val="86"/>
    <w:family w:val="auto"/>
    <w:pitch w:val="default"/>
    <w:sig w:usb0="00000001" w:usb1="080F0000" w:usb2="00000000" w:usb3="00000000" w:csb0="00040000" w:csb1="00000000"/>
  </w:font>
  <w:font w:name="time">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Book Antiqua">
    <w:altName w:val="Liberation Serif"/>
    <w:panose1 w:val="02040602050305030304"/>
    <w:charset w:val="00"/>
    <w:family w:val="roman"/>
    <w:pitch w:val="default"/>
    <w:sig w:usb0="00000000" w:usb1="00000000" w:usb2="00000000" w:usb3="00000000" w:csb0="2000009F" w:csb1="DFD7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pPr>
          <w:pStyle w:val="18"/>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5C425"/>
    <w:multiLevelType w:val="singleLevel"/>
    <w:tmpl w:val="97C5C425"/>
    <w:lvl w:ilvl="0" w:tentative="0">
      <w:start w:val="1"/>
      <w:numFmt w:val="decimal"/>
      <w:lvlText w:val="%1."/>
      <w:lvlJc w:val="left"/>
      <w:pPr>
        <w:ind w:left="905" w:hanging="425"/>
      </w:pPr>
      <w:rPr>
        <w:rFonts w:hint="default" w:ascii="宋体" w:hAnsi="宋体" w:eastAsia="宋体" w:cs="宋体"/>
      </w:rPr>
    </w:lvl>
  </w:abstractNum>
  <w:abstractNum w:abstractNumId="1">
    <w:nsid w:val="9A45AC40"/>
    <w:multiLevelType w:val="singleLevel"/>
    <w:tmpl w:val="9A45AC40"/>
    <w:lvl w:ilvl="0" w:tentative="0">
      <w:start w:val="1"/>
      <w:numFmt w:val="decimal"/>
      <w:lvlText w:val="%1."/>
      <w:lvlJc w:val="left"/>
      <w:pPr>
        <w:ind w:left="905" w:hanging="425"/>
      </w:pPr>
      <w:rPr>
        <w:rFonts w:hint="default" w:ascii="宋体" w:hAnsi="宋体" w:eastAsia="宋体" w:cs="宋体"/>
      </w:rPr>
    </w:lvl>
  </w:abstractNum>
  <w:abstractNum w:abstractNumId="2">
    <w:nsid w:val="A5E69F03"/>
    <w:multiLevelType w:val="singleLevel"/>
    <w:tmpl w:val="A5E69F03"/>
    <w:lvl w:ilvl="0" w:tentative="0">
      <w:start w:val="1"/>
      <w:numFmt w:val="decimal"/>
      <w:lvlText w:val="(%1)"/>
      <w:lvlJc w:val="left"/>
      <w:pPr>
        <w:ind w:left="1145" w:hanging="425"/>
      </w:pPr>
      <w:rPr>
        <w:rFonts w:hint="default" w:ascii="宋体" w:hAnsi="宋体" w:eastAsia="宋体" w:cs="宋体"/>
      </w:rPr>
    </w:lvl>
  </w:abstractNum>
  <w:abstractNum w:abstractNumId="3">
    <w:nsid w:val="BCC46343"/>
    <w:multiLevelType w:val="singleLevel"/>
    <w:tmpl w:val="BCC46343"/>
    <w:lvl w:ilvl="0" w:tentative="0">
      <w:start w:val="1"/>
      <w:numFmt w:val="decimal"/>
      <w:lvlText w:val="(%1)"/>
      <w:lvlJc w:val="left"/>
      <w:pPr>
        <w:ind w:left="1145" w:hanging="425"/>
      </w:pPr>
      <w:rPr>
        <w:rFonts w:hint="default" w:ascii="宋体" w:hAnsi="宋体" w:eastAsia="宋体" w:cs="宋体"/>
      </w:rPr>
    </w:lvl>
  </w:abstractNum>
  <w:abstractNum w:abstractNumId="4">
    <w:nsid w:val="C351176E"/>
    <w:multiLevelType w:val="singleLevel"/>
    <w:tmpl w:val="C351176E"/>
    <w:lvl w:ilvl="0" w:tentative="0">
      <w:start w:val="1"/>
      <w:numFmt w:val="decimal"/>
      <w:lvlText w:val="(%1)"/>
      <w:lvlJc w:val="left"/>
      <w:pPr>
        <w:ind w:left="1145" w:hanging="425"/>
      </w:pPr>
      <w:rPr>
        <w:rFonts w:hint="default" w:ascii="宋体" w:hAnsi="宋体" w:eastAsia="宋体" w:cs="宋体"/>
      </w:rPr>
    </w:lvl>
  </w:abstractNum>
  <w:abstractNum w:abstractNumId="5">
    <w:nsid w:val="CA07F395"/>
    <w:multiLevelType w:val="singleLevel"/>
    <w:tmpl w:val="CA07F395"/>
    <w:lvl w:ilvl="0" w:tentative="0">
      <w:start w:val="1"/>
      <w:numFmt w:val="decimal"/>
      <w:lvlText w:val="(%1)"/>
      <w:lvlJc w:val="left"/>
      <w:pPr>
        <w:ind w:left="-55" w:hanging="425"/>
      </w:pPr>
      <w:rPr>
        <w:rFonts w:hint="default"/>
      </w:rPr>
    </w:lvl>
  </w:abstractNum>
  <w:abstractNum w:abstractNumId="6">
    <w:nsid w:val="CF538AB0"/>
    <w:multiLevelType w:val="singleLevel"/>
    <w:tmpl w:val="CF538AB0"/>
    <w:lvl w:ilvl="0" w:tentative="0">
      <w:start w:val="1"/>
      <w:numFmt w:val="decimal"/>
      <w:lvlText w:val="(%1)"/>
      <w:lvlJc w:val="left"/>
      <w:pPr>
        <w:ind w:left="1145" w:hanging="425"/>
      </w:pPr>
      <w:rPr>
        <w:rFonts w:hint="default" w:ascii="宋体" w:hAnsi="宋体" w:eastAsia="宋体" w:cs="宋体"/>
      </w:rPr>
    </w:lvl>
  </w:abstractNum>
  <w:abstractNum w:abstractNumId="7">
    <w:nsid w:val="E4F023CA"/>
    <w:multiLevelType w:val="singleLevel"/>
    <w:tmpl w:val="E4F023CA"/>
    <w:lvl w:ilvl="0" w:tentative="0">
      <w:start w:val="1"/>
      <w:numFmt w:val="decimal"/>
      <w:lvlText w:val="(%1)"/>
      <w:lvlJc w:val="left"/>
      <w:pPr>
        <w:ind w:left="1145" w:hanging="425"/>
      </w:pPr>
      <w:rPr>
        <w:rFonts w:hint="default" w:ascii="宋体" w:hAnsi="宋体" w:eastAsia="宋体" w:cs="宋体"/>
      </w:rPr>
    </w:lvl>
  </w:abstractNum>
  <w:abstractNum w:abstractNumId="8">
    <w:nsid w:val="F09469C6"/>
    <w:multiLevelType w:val="singleLevel"/>
    <w:tmpl w:val="F09469C6"/>
    <w:lvl w:ilvl="0" w:tentative="0">
      <w:start w:val="1"/>
      <w:numFmt w:val="decimal"/>
      <w:suff w:val="nothing"/>
      <w:lvlText w:val="%1．"/>
      <w:lvlJc w:val="left"/>
      <w:pPr>
        <w:ind w:left="0" w:firstLine="400"/>
      </w:pPr>
      <w:rPr>
        <w:rFonts w:hint="default"/>
      </w:rPr>
    </w:lvl>
  </w:abstractNum>
  <w:abstractNum w:abstractNumId="9">
    <w:nsid w:val="F1172598"/>
    <w:multiLevelType w:val="singleLevel"/>
    <w:tmpl w:val="F1172598"/>
    <w:lvl w:ilvl="0" w:tentative="0">
      <w:start w:val="1"/>
      <w:numFmt w:val="decimal"/>
      <w:lvlText w:val="%1."/>
      <w:lvlJc w:val="left"/>
      <w:pPr>
        <w:ind w:left="905" w:hanging="425"/>
      </w:pPr>
      <w:rPr>
        <w:rFonts w:hint="default" w:ascii="宋体" w:hAnsi="宋体" w:eastAsia="宋体" w:cs="宋体"/>
      </w:rPr>
    </w:lvl>
  </w:abstractNum>
  <w:abstractNum w:abstractNumId="10">
    <w:nsid w:val="FD8C7F54"/>
    <w:multiLevelType w:val="singleLevel"/>
    <w:tmpl w:val="FD8C7F54"/>
    <w:lvl w:ilvl="0" w:tentative="0">
      <w:start w:val="1"/>
      <w:numFmt w:val="decimal"/>
      <w:lvlText w:val="(%1)"/>
      <w:lvlJc w:val="left"/>
      <w:pPr>
        <w:ind w:left="1145" w:hanging="425"/>
      </w:pPr>
      <w:rPr>
        <w:rFonts w:hint="default" w:ascii="宋体" w:hAnsi="宋体" w:eastAsia="宋体" w:cs="宋体"/>
      </w:rPr>
    </w:lvl>
  </w:abstractNum>
  <w:abstractNum w:abstractNumId="11">
    <w:nsid w:val="007A108B"/>
    <w:multiLevelType w:val="singleLevel"/>
    <w:tmpl w:val="007A108B"/>
    <w:lvl w:ilvl="0" w:tentative="0">
      <w:start w:val="1"/>
      <w:numFmt w:val="decimal"/>
      <w:lvlText w:val="%1."/>
      <w:lvlJc w:val="left"/>
      <w:pPr>
        <w:ind w:left="905" w:hanging="425"/>
      </w:pPr>
      <w:rPr>
        <w:rFonts w:hint="default" w:ascii="宋体" w:hAnsi="宋体" w:eastAsia="宋体" w:cs="宋体"/>
      </w:rPr>
    </w:lvl>
  </w:abstractNum>
  <w:abstractNum w:abstractNumId="12">
    <w:nsid w:val="183A517A"/>
    <w:multiLevelType w:val="singleLevel"/>
    <w:tmpl w:val="183A517A"/>
    <w:lvl w:ilvl="0" w:tentative="0">
      <w:start w:val="1"/>
      <w:numFmt w:val="decimal"/>
      <w:lvlText w:val="(%1)"/>
      <w:lvlJc w:val="left"/>
      <w:pPr>
        <w:ind w:left="1145" w:hanging="425"/>
      </w:pPr>
      <w:rPr>
        <w:rFonts w:hint="default" w:ascii="宋体" w:hAnsi="宋体" w:eastAsia="宋体" w:cs="宋体"/>
      </w:rPr>
    </w:lvl>
  </w:abstractNum>
  <w:abstractNum w:abstractNumId="13">
    <w:nsid w:val="2791FE22"/>
    <w:multiLevelType w:val="singleLevel"/>
    <w:tmpl w:val="2791FE22"/>
    <w:lvl w:ilvl="0" w:tentative="0">
      <w:start w:val="1"/>
      <w:numFmt w:val="decimal"/>
      <w:lvlText w:val="%1."/>
      <w:lvlJc w:val="left"/>
      <w:pPr>
        <w:ind w:left="425" w:hanging="425"/>
      </w:pPr>
      <w:rPr>
        <w:rFonts w:hint="default" w:ascii="宋体" w:hAnsi="宋体" w:eastAsia="宋体" w:cs="宋体"/>
      </w:rPr>
    </w:lvl>
  </w:abstractNum>
  <w:abstractNum w:abstractNumId="14">
    <w:nsid w:val="2F796D14"/>
    <w:multiLevelType w:val="singleLevel"/>
    <w:tmpl w:val="2F796D14"/>
    <w:lvl w:ilvl="0" w:tentative="0">
      <w:start w:val="1"/>
      <w:numFmt w:val="decimal"/>
      <w:lvlText w:val="(%1)"/>
      <w:lvlJc w:val="left"/>
      <w:pPr>
        <w:ind w:left="1145" w:hanging="425"/>
      </w:pPr>
      <w:rPr>
        <w:rFonts w:hint="default" w:ascii="宋体" w:hAnsi="宋体" w:eastAsia="宋体" w:cs="宋体"/>
      </w:rPr>
    </w:lvl>
  </w:abstractNum>
  <w:abstractNum w:abstractNumId="15">
    <w:nsid w:val="31D02556"/>
    <w:multiLevelType w:val="multilevel"/>
    <w:tmpl w:val="31D02556"/>
    <w:lvl w:ilvl="0" w:tentative="0">
      <w:start w:val="1"/>
      <w:numFmt w:val="decimal"/>
      <w:lvlText w:val="%1."/>
      <w:lvlJc w:val="left"/>
      <w:pPr>
        <w:ind w:left="1140" w:hanging="420"/>
      </w:pPr>
      <w:rPr>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6">
    <w:nsid w:val="3B1A15DD"/>
    <w:multiLevelType w:val="multilevel"/>
    <w:tmpl w:val="3B1A15DD"/>
    <w:lvl w:ilvl="0" w:tentative="0">
      <w:start w:val="1"/>
      <w:numFmt w:val="decimal"/>
      <w:lvlText w:val="%1."/>
      <w:lvlJc w:val="left"/>
      <w:pPr>
        <w:ind w:left="1260" w:hanging="480"/>
      </w:pPr>
    </w:lvl>
    <w:lvl w:ilvl="1" w:tentative="0">
      <w:start w:val="1"/>
      <w:numFmt w:val="lowerLetter"/>
      <w:lvlText w:val="%2)"/>
      <w:lvlJc w:val="left"/>
      <w:pPr>
        <w:ind w:left="1740" w:hanging="480"/>
      </w:pPr>
    </w:lvl>
    <w:lvl w:ilvl="2" w:tentative="0">
      <w:start w:val="1"/>
      <w:numFmt w:val="lowerRoman"/>
      <w:lvlText w:val="%3."/>
      <w:lvlJc w:val="right"/>
      <w:pPr>
        <w:ind w:left="2220" w:hanging="480"/>
      </w:pPr>
    </w:lvl>
    <w:lvl w:ilvl="3" w:tentative="0">
      <w:start w:val="1"/>
      <w:numFmt w:val="decimal"/>
      <w:lvlText w:val="%4."/>
      <w:lvlJc w:val="left"/>
      <w:pPr>
        <w:ind w:left="2700" w:hanging="480"/>
      </w:pPr>
    </w:lvl>
    <w:lvl w:ilvl="4" w:tentative="0">
      <w:start w:val="1"/>
      <w:numFmt w:val="lowerLetter"/>
      <w:lvlText w:val="%5)"/>
      <w:lvlJc w:val="left"/>
      <w:pPr>
        <w:ind w:left="3180" w:hanging="480"/>
      </w:pPr>
    </w:lvl>
    <w:lvl w:ilvl="5" w:tentative="0">
      <w:start w:val="1"/>
      <w:numFmt w:val="lowerRoman"/>
      <w:lvlText w:val="%6."/>
      <w:lvlJc w:val="right"/>
      <w:pPr>
        <w:ind w:left="3660" w:hanging="480"/>
      </w:pPr>
    </w:lvl>
    <w:lvl w:ilvl="6" w:tentative="0">
      <w:start w:val="1"/>
      <w:numFmt w:val="decimal"/>
      <w:lvlText w:val="%7."/>
      <w:lvlJc w:val="left"/>
      <w:pPr>
        <w:ind w:left="4140" w:hanging="480"/>
      </w:pPr>
    </w:lvl>
    <w:lvl w:ilvl="7" w:tentative="0">
      <w:start w:val="1"/>
      <w:numFmt w:val="lowerLetter"/>
      <w:lvlText w:val="%8)"/>
      <w:lvlJc w:val="left"/>
      <w:pPr>
        <w:ind w:left="4620" w:hanging="480"/>
      </w:pPr>
    </w:lvl>
    <w:lvl w:ilvl="8" w:tentative="0">
      <w:start w:val="1"/>
      <w:numFmt w:val="lowerRoman"/>
      <w:lvlText w:val="%9."/>
      <w:lvlJc w:val="right"/>
      <w:pPr>
        <w:ind w:left="5100" w:hanging="480"/>
      </w:pPr>
    </w:lvl>
  </w:abstractNum>
  <w:abstractNum w:abstractNumId="17">
    <w:nsid w:val="3B3B204C"/>
    <w:multiLevelType w:val="singleLevel"/>
    <w:tmpl w:val="3B3B204C"/>
    <w:lvl w:ilvl="0" w:tentative="0">
      <w:start w:val="1"/>
      <w:numFmt w:val="decimal"/>
      <w:lvlText w:val="(%1)"/>
      <w:lvlJc w:val="left"/>
      <w:pPr>
        <w:ind w:left="1145" w:hanging="425"/>
      </w:pPr>
      <w:rPr>
        <w:rFonts w:hint="default" w:ascii="宋体" w:hAnsi="宋体" w:eastAsia="宋体" w:cs="宋体"/>
      </w:rPr>
    </w:lvl>
  </w:abstractNum>
  <w:abstractNum w:abstractNumId="18">
    <w:nsid w:val="3B97FBB3"/>
    <w:multiLevelType w:val="singleLevel"/>
    <w:tmpl w:val="3B97FBB3"/>
    <w:lvl w:ilvl="0" w:tentative="0">
      <w:start w:val="1"/>
      <w:numFmt w:val="decimal"/>
      <w:lvlText w:val="%1."/>
      <w:lvlJc w:val="left"/>
      <w:pPr>
        <w:ind w:left="905" w:hanging="425"/>
      </w:pPr>
      <w:rPr>
        <w:rFonts w:hint="default" w:ascii="宋体" w:hAnsi="宋体" w:eastAsia="宋体" w:cs="宋体"/>
      </w:rPr>
    </w:lvl>
  </w:abstractNum>
  <w:abstractNum w:abstractNumId="19">
    <w:nsid w:val="3BA27EE8"/>
    <w:multiLevelType w:val="singleLevel"/>
    <w:tmpl w:val="3BA27EE8"/>
    <w:lvl w:ilvl="0" w:tentative="0">
      <w:start w:val="1"/>
      <w:numFmt w:val="decimal"/>
      <w:lvlText w:val="(%1)"/>
      <w:lvlJc w:val="left"/>
      <w:pPr>
        <w:ind w:left="1385" w:hanging="425"/>
      </w:pPr>
      <w:rPr>
        <w:rFonts w:hint="default" w:ascii="宋体" w:hAnsi="宋体" w:eastAsia="宋体" w:cs="宋体"/>
      </w:rPr>
    </w:lvl>
  </w:abstractNum>
  <w:abstractNum w:abstractNumId="20">
    <w:nsid w:val="3C8DD6C4"/>
    <w:multiLevelType w:val="singleLevel"/>
    <w:tmpl w:val="3C8DD6C4"/>
    <w:lvl w:ilvl="0" w:tentative="0">
      <w:start w:val="1"/>
      <w:numFmt w:val="decimal"/>
      <w:lvlText w:val="(%1)"/>
      <w:lvlJc w:val="left"/>
      <w:pPr>
        <w:ind w:left="1145" w:hanging="425"/>
      </w:pPr>
      <w:rPr>
        <w:rFonts w:hint="default" w:ascii="宋体" w:hAnsi="宋体" w:eastAsia="宋体" w:cs="宋体"/>
      </w:rPr>
    </w:lvl>
  </w:abstractNum>
  <w:abstractNum w:abstractNumId="21">
    <w:nsid w:val="41628756"/>
    <w:multiLevelType w:val="singleLevel"/>
    <w:tmpl w:val="41628756"/>
    <w:lvl w:ilvl="0" w:tentative="0">
      <w:start w:val="1"/>
      <w:numFmt w:val="decimal"/>
      <w:lvlText w:val="(%1)"/>
      <w:lvlJc w:val="left"/>
      <w:pPr>
        <w:ind w:left="-55" w:hanging="425"/>
      </w:pPr>
      <w:rPr>
        <w:rFonts w:hint="default"/>
      </w:rPr>
    </w:lvl>
  </w:abstractNum>
  <w:abstractNum w:abstractNumId="22">
    <w:nsid w:val="47B1A623"/>
    <w:multiLevelType w:val="singleLevel"/>
    <w:tmpl w:val="47B1A623"/>
    <w:lvl w:ilvl="0" w:tentative="0">
      <w:start w:val="1"/>
      <w:numFmt w:val="decimal"/>
      <w:lvlText w:val="%1."/>
      <w:lvlJc w:val="left"/>
      <w:pPr>
        <w:ind w:left="905" w:hanging="425"/>
      </w:pPr>
      <w:rPr>
        <w:rFonts w:hint="default"/>
      </w:rPr>
    </w:lvl>
  </w:abstractNum>
  <w:abstractNum w:abstractNumId="23">
    <w:nsid w:val="4B414E94"/>
    <w:multiLevelType w:val="multilevel"/>
    <w:tmpl w:val="4B414E94"/>
    <w:lvl w:ilvl="0" w:tentative="0">
      <w:start w:val="1"/>
      <w:numFmt w:val="chineseCountingThousand"/>
      <w:pStyle w:val="5"/>
      <w:suff w:val="nothing"/>
      <w:lvlText w:val="%1、"/>
      <w:lvlJc w:val="left"/>
      <w:pPr>
        <w:ind w:left="2694" w:firstLine="0"/>
      </w:pPr>
      <w:rPr>
        <w:rFonts w:hint="eastAsia" w:ascii="仿宋" w:hAnsi="仿宋" w:eastAsia="仿宋" w:cs="仿宋"/>
        <w:b/>
        <w:i w:val="0"/>
        <w:sz w:val="32"/>
        <w:szCs w:val="32"/>
        <w:lang w:val="en-US"/>
      </w:rPr>
    </w:lvl>
    <w:lvl w:ilvl="1" w:tentative="0">
      <w:start w:val="1"/>
      <w:numFmt w:val="decimal"/>
      <w:pStyle w:val="6"/>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7"/>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8"/>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9"/>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10"/>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11"/>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12"/>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3"/>
      <w:isLgl/>
      <w:suff w:val="nothing"/>
      <w:lvlText w:val="%1.%2.%3.%4.%5.%6.%7.%8.%9、"/>
      <w:lvlJc w:val="left"/>
      <w:pPr>
        <w:ind w:left="567" w:firstLine="0"/>
      </w:pPr>
      <w:rPr>
        <w:rFonts w:hint="default" w:ascii="Times New Roman" w:hAnsi="Times New Roman" w:eastAsia="宋体"/>
        <w:b/>
        <w:i w:val="0"/>
        <w:sz w:val="21"/>
      </w:rPr>
    </w:lvl>
  </w:abstractNum>
  <w:abstractNum w:abstractNumId="24">
    <w:nsid w:val="4BFECEA9"/>
    <w:multiLevelType w:val="singleLevel"/>
    <w:tmpl w:val="4BFECEA9"/>
    <w:lvl w:ilvl="0" w:tentative="0">
      <w:start w:val="1"/>
      <w:numFmt w:val="decimal"/>
      <w:lvlText w:val="(%1)"/>
      <w:lvlJc w:val="left"/>
      <w:pPr>
        <w:ind w:left="1385" w:hanging="425"/>
      </w:pPr>
      <w:rPr>
        <w:rFonts w:hint="default" w:ascii="宋体" w:hAnsi="宋体" w:eastAsia="宋体" w:cs="宋体"/>
      </w:rPr>
    </w:lvl>
  </w:abstractNum>
  <w:abstractNum w:abstractNumId="25">
    <w:nsid w:val="736475FE"/>
    <w:multiLevelType w:val="singleLevel"/>
    <w:tmpl w:val="736475FE"/>
    <w:lvl w:ilvl="0" w:tentative="0">
      <w:start w:val="1"/>
      <w:numFmt w:val="decimal"/>
      <w:lvlText w:val="%1."/>
      <w:lvlJc w:val="left"/>
      <w:pPr>
        <w:ind w:left="905" w:hanging="425"/>
      </w:pPr>
      <w:rPr>
        <w:rFonts w:hint="default" w:ascii="宋体" w:hAnsi="宋体" w:eastAsia="宋体" w:cs="宋体"/>
      </w:rPr>
    </w:lvl>
  </w:abstractNum>
  <w:abstractNum w:abstractNumId="26">
    <w:nsid w:val="77EA1BEB"/>
    <w:multiLevelType w:val="singleLevel"/>
    <w:tmpl w:val="77EA1BEB"/>
    <w:lvl w:ilvl="0" w:tentative="0">
      <w:start w:val="1"/>
      <w:numFmt w:val="decimal"/>
      <w:lvlText w:val="(%1)"/>
      <w:lvlJc w:val="left"/>
      <w:pPr>
        <w:ind w:left="1145" w:hanging="425"/>
      </w:pPr>
      <w:rPr>
        <w:rFonts w:hint="default" w:ascii="宋体" w:hAnsi="宋体" w:eastAsia="宋体" w:cs="宋体"/>
      </w:rPr>
    </w:lvl>
  </w:abstractNum>
  <w:num w:numId="1">
    <w:abstractNumId w:val="23"/>
  </w:num>
  <w:num w:numId="2">
    <w:abstractNumId w:val="22"/>
  </w:num>
  <w:num w:numId="3">
    <w:abstractNumId w:val="1"/>
  </w:num>
  <w:num w:numId="4">
    <w:abstractNumId w:val="20"/>
  </w:num>
  <w:num w:numId="5">
    <w:abstractNumId w:val="14"/>
  </w:num>
  <w:num w:numId="6">
    <w:abstractNumId w:val="26"/>
  </w:num>
  <w:num w:numId="7">
    <w:abstractNumId w:val="6"/>
  </w:num>
  <w:num w:numId="8">
    <w:abstractNumId w:val="3"/>
  </w:num>
  <w:num w:numId="9">
    <w:abstractNumId w:val="12"/>
  </w:num>
  <w:num w:numId="10">
    <w:abstractNumId w:val="0"/>
  </w:num>
  <w:num w:numId="11">
    <w:abstractNumId w:val="2"/>
  </w:num>
  <w:num w:numId="12">
    <w:abstractNumId w:val="25"/>
  </w:num>
  <w:num w:numId="13">
    <w:abstractNumId w:val="19"/>
  </w:num>
  <w:num w:numId="14">
    <w:abstractNumId w:val="24"/>
  </w:num>
  <w:num w:numId="15">
    <w:abstractNumId w:val="9"/>
  </w:num>
  <w:num w:numId="16">
    <w:abstractNumId w:val="17"/>
  </w:num>
  <w:num w:numId="17">
    <w:abstractNumId w:val="10"/>
  </w:num>
  <w:num w:numId="18">
    <w:abstractNumId w:val="18"/>
  </w:num>
  <w:num w:numId="19">
    <w:abstractNumId w:val="7"/>
  </w:num>
  <w:num w:numId="20">
    <w:abstractNumId w:val="4"/>
  </w:num>
  <w:num w:numId="21">
    <w:abstractNumId w:val="11"/>
  </w:num>
  <w:num w:numId="22">
    <w:abstractNumId w:val="13"/>
  </w:num>
  <w:num w:numId="23">
    <w:abstractNumId w:val="15"/>
  </w:num>
  <w:num w:numId="24">
    <w:abstractNumId w:val="5"/>
  </w:num>
  <w:num w:numId="25">
    <w:abstractNumId w:val="21"/>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MDIwYjI1MTFkMzYyODQ3NjRmOWM1YzBlMmMwY2MifQ=="/>
  </w:docVars>
  <w:rsids>
    <w:rsidRoot w:val="00A65D43"/>
    <w:rsid w:val="0000190C"/>
    <w:rsid w:val="00001BEB"/>
    <w:rsid w:val="00010B05"/>
    <w:rsid w:val="0002058A"/>
    <w:rsid w:val="00024DCE"/>
    <w:rsid w:val="00025A0A"/>
    <w:rsid w:val="00025B47"/>
    <w:rsid w:val="00025D33"/>
    <w:rsid w:val="00031146"/>
    <w:rsid w:val="00031E82"/>
    <w:rsid w:val="0003289E"/>
    <w:rsid w:val="000337EC"/>
    <w:rsid w:val="0003480C"/>
    <w:rsid w:val="0004197E"/>
    <w:rsid w:val="00042982"/>
    <w:rsid w:val="00042AE2"/>
    <w:rsid w:val="00045108"/>
    <w:rsid w:val="000452BC"/>
    <w:rsid w:val="0004562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87E8E"/>
    <w:rsid w:val="00092749"/>
    <w:rsid w:val="00093E3D"/>
    <w:rsid w:val="000945B3"/>
    <w:rsid w:val="00094EBE"/>
    <w:rsid w:val="000977A7"/>
    <w:rsid w:val="000A0130"/>
    <w:rsid w:val="000A0DA6"/>
    <w:rsid w:val="000A1FA8"/>
    <w:rsid w:val="000A267E"/>
    <w:rsid w:val="000A5D58"/>
    <w:rsid w:val="000B17AA"/>
    <w:rsid w:val="000B36E1"/>
    <w:rsid w:val="000B3767"/>
    <w:rsid w:val="000B43E3"/>
    <w:rsid w:val="000B513D"/>
    <w:rsid w:val="000C0E2D"/>
    <w:rsid w:val="000C11CE"/>
    <w:rsid w:val="000C229F"/>
    <w:rsid w:val="000C39D4"/>
    <w:rsid w:val="000C40E3"/>
    <w:rsid w:val="000C6061"/>
    <w:rsid w:val="000C745E"/>
    <w:rsid w:val="000D2575"/>
    <w:rsid w:val="000D3F43"/>
    <w:rsid w:val="000D68E4"/>
    <w:rsid w:val="000D73CC"/>
    <w:rsid w:val="000E0768"/>
    <w:rsid w:val="000E0C83"/>
    <w:rsid w:val="000E2143"/>
    <w:rsid w:val="000E619B"/>
    <w:rsid w:val="000E63B0"/>
    <w:rsid w:val="000F007B"/>
    <w:rsid w:val="000F01CD"/>
    <w:rsid w:val="000F1D58"/>
    <w:rsid w:val="000F31FD"/>
    <w:rsid w:val="000F57AB"/>
    <w:rsid w:val="00101576"/>
    <w:rsid w:val="0010311A"/>
    <w:rsid w:val="00107F82"/>
    <w:rsid w:val="0011070E"/>
    <w:rsid w:val="001136B4"/>
    <w:rsid w:val="00120506"/>
    <w:rsid w:val="00120E27"/>
    <w:rsid w:val="00121B5E"/>
    <w:rsid w:val="0012223B"/>
    <w:rsid w:val="0012452D"/>
    <w:rsid w:val="00125811"/>
    <w:rsid w:val="001270CE"/>
    <w:rsid w:val="0012793C"/>
    <w:rsid w:val="00130FCC"/>
    <w:rsid w:val="001368A6"/>
    <w:rsid w:val="00137BAC"/>
    <w:rsid w:val="00137FAE"/>
    <w:rsid w:val="001406EF"/>
    <w:rsid w:val="00156927"/>
    <w:rsid w:val="00160956"/>
    <w:rsid w:val="00161EA9"/>
    <w:rsid w:val="001628B3"/>
    <w:rsid w:val="00163401"/>
    <w:rsid w:val="0016607D"/>
    <w:rsid w:val="001660F1"/>
    <w:rsid w:val="00166D53"/>
    <w:rsid w:val="001672AA"/>
    <w:rsid w:val="0017051B"/>
    <w:rsid w:val="00171011"/>
    <w:rsid w:val="0017130E"/>
    <w:rsid w:val="001719B1"/>
    <w:rsid w:val="00172318"/>
    <w:rsid w:val="00172A39"/>
    <w:rsid w:val="001746C1"/>
    <w:rsid w:val="00175D08"/>
    <w:rsid w:val="0018072A"/>
    <w:rsid w:val="001828C7"/>
    <w:rsid w:val="00183D30"/>
    <w:rsid w:val="00184C81"/>
    <w:rsid w:val="00190408"/>
    <w:rsid w:val="001926A6"/>
    <w:rsid w:val="00193EBA"/>
    <w:rsid w:val="001945E1"/>
    <w:rsid w:val="00197692"/>
    <w:rsid w:val="001A177B"/>
    <w:rsid w:val="001A55FD"/>
    <w:rsid w:val="001A7FBD"/>
    <w:rsid w:val="001B1382"/>
    <w:rsid w:val="001B2EE0"/>
    <w:rsid w:val="001B477C"/>
    <w:rsid w:val="001B651B"/>
    <w:rsid w:val="001C0AE6"/>
    <w:rsid w:val="001C16CC"/>
    <w:rsid w:val="001C2063"/>
    <w:rsid w:val="001C219C"/>
    <w:rsid w:val="001C242D"/>
    <w:rsid w:val="001C3789"/>
    <w:rsid w:val="001C614F"/>
    <w:rsid w:val="001C7D33"/>
    <w:rsid w:val="001D3CEF"/>
    <w:rsid w:val="001D49B2"/>
    <w:rsid w:val="001F0DF5"/>
    <w:rsid w:val="001F50E7"/>
    <w:rsid w:val="001F6544"/>
    <w:rsid w:val="001F6740"/>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234E"/>
    <w:rsid w:val="002761E0"/>
    <w:rsid w:val="00282819"/>
    <w:rsid w:val="002833A5"/>
    <w:rsid w:val="00285AA5"/>
    <w:rsid w:val="00287B81"/>
    <w:rsid w:val="00290064"/>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D5DF0"/>
    <w:rsid w:val="002D7BFB"/>
    <w:rsid w:val="002E4A3D"/>
    <w:rsid w:val="002E5367"/>
    <w:rsid w:val="002E54F1"/>
    <w:rsid w:val="002E5DEC"/>
    <w:rsid w:val="002F1EA4"/>
    <w:rsid w:val="002F2502"/>
    <w:rsid w:val="002F7659"/>
    <w:rsid w:val="00300628"/>
    <w:rsid w:val="00300B40"/>
    <w:rsid w:val="00302277"/>
    <w:rsid w:val="003027C1"/>
    <w:rsid w:val="00311315"/>
    <w:rsid w:val="00315DF0"/>
    <w:rsid w:val="00316F78"/>
    <w:rsid w:val="0031725F"/>
    <w:rsid w:val="0031738C"/>
    <w:rsid w:val="00321EF2"/>
    <w:rsid w:val="00322118"/>
    <w:rsid w:val="003221B6"/>
    <w:rsid w:val="00326CDD"/>
    <w:rsid w:val="00332C20"/>
    <w:rsid w:val="00335D02"/>
    <w:rsid w:val="003367F4"/>
    <w:rsid w:val="00341E6E"/>
    <w:rsid w:val="003425D4"/>
    <w:rsid w:val="00343950"/>
    <w:rsid w:val="00343C84"/>
    <w:rsid w:val="00345CCF"/>
    <w:rsid w:val="00352E81"/>
    <w:rsid w:val="00354770"/>
    <w:rsid w:val="0035514A"/>
    <w:rsid w:val="00355D5B"/>
    <w:rsid w:val="00360FF2"/>
    <w:rsid w:val="00364DA3"/>
    <w:rsid w:val="0036537E"/>
    <w:rsid w:val="003703AC"/>
    <w:rsid w:val="003716F7"/>
    <w:rsid w:val="003753E3"/>
    <w:rsid w:val="00375910"/>
    <w:rsid w:val="00377ED4"/>
    <w:rsid w:val="00381C0F"/>
    <w:rsid w:val="00382966"/>
    <w:rsid w:val="0038556C"/>
    <w:rsid w:val="00385A19"/>
    <w:rsid w:val="00390500"/>
    <w:rsid w:val="003940D3"/>
    <w:rsid w:val="00394958"/>
    <w:rsid w:val="00396222"/>
    <w:rsid w:val="00396860"/>
    <w:rsid w:val="003A1769"/>
    <w:rsid w:val="003A1C71"/>
    <w:rsid w:val="003C161F"/>
    <w:rsid w:val="003D4AAD"/>
    <w:rsid w:val="003D4FFA"/>
    <w:rsid w:val="003D77C8"/>
    <w:rsid w:val="003D7EC8"/>
    <w:rsid w:val="003E267F"/>
    <w:rsid w:val="003E5CC7"/>
    <w:rsid w:val="003E7705"/>
    <w:rsid w:val="003E7C4E"/>
    <w:rsid w:val="003F0EAC"/>
    <w:rsid w:val="003F1C5F"/>
    <w:rsid w:val="003F2DCE"/>
    <w:rsid w:val="003F58D4"/>
    <w:rsid w:val="003F5A09"/>
    <w:rsid w:val="003F5A46"/>
    <w:rsid w:val="003F5D14"/>
    <w:rsid w:val="003F5E92"/>
    <w:rsid w:val="003F709B"/>
    <w:rsid w:val="00400947"/>
    <w:rsid w:val="00403239"/>
    <w:rsid w:val="00404AB7"/>
    <w:rsid w:val="00406FDA"/>
    <w:rsid w:val="004072C9"/>
    <w:rsid w:val="00410139"/>
    <w:rsid w:val="0041192C"/>
    <w:rsid w:val="00414FD9"/>
    <w:rsid w:val="004167D8"/>
    <w:rsid w:val="00416AC4"/>
    <w:rsid w:val="00421241"/>
    <w:rsid w:val="004218F4"/>
    <w:rsid w:val="00433C77"/>
    <w:rsid w:val="00434768"/>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4C90"/>
    <w:rsid w:val="00465D71"/>
    <w:rsid w:val="00466562"/>
    <w:rsid w:val="00466E3F"/>
    <w:rsid w:val="00467227"/>
    <w:rsid w:val="0046728E"/>
    <w:rsid w:val="00470973"/>
    <w:rsid w:val="0047122D"/>
    <w:rsid w:val="00474F1F"/>
    <w:rsid w:val="00475369"/>
    <w:rsid w:val="004769AC"/>
    <w:rsid w:val="004778BA"/>
    <w:rsid w:val="00477B6D"/>
    <w:rsid w:val="00483268"/>
    <w:rsid w:val="004842F3"/>
    <w:rsid w:val="00492544"/>
    <w:rsid w:val="00493DB3"/>
    <w:rsid w:val="0049407C"/>
    <w:rsid w:val="00496673"/>
    <w:rsid w:val="004A3D05"/>
    <w:rsid w:val="004A55D8"/>
    <w:rsid w:val="004A64BE"/>
    <w:rsid w:val="004A65FD"/>
    <w:rsid w:val="004B3662"/>
    <w:rsid w:val="004B493B"/>
    <w:rsid w:val="004B50C3"/>
    <w:rsid w:val="004B55F3"/>
    <w:rsid w:val="004C14E6"/>
    <w:rsid w:val="004C15CC"/>
    <w:rsid w:val="004C45D9"/>
    <w:rsid w:val="004C5671"/>
    <w:rsid w:val="004C6629"/>
    <w:rsid w:val="004C7655"/>
    <w:rsid w:val="004D0A39"/>
    <w:rsid w:val="004D0D52"/>
    <w:rsid w:val="004D2172"/>
    <w:rsid w:val="004D3536"/>
    <w:rsid w:val="004D4CF1"/>
    <w:rsid w:val="004D50B4"/>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4EE2"/>
    <w:rsid w:val="00527A1F"/>
    <w:rsid w:val="00530ADB"/>
    <w:rsid w:val="005323AD"/>
    <w:rsid w:val="00536F4F"/>
    <w:rsid w:val="00537389"/>
    <w:rsid w:val="00540B5F"/>
    <w:rsid w:val="0054200F"/>
    <w:rsid w:val="005441AF"/>
    <w:rsid w:val="00544CB4"/>
    <w:rsid w:val="00551059"/>
    <w:rsid w:val="005524F5"/>
    <w:rsid w:val="0055263B"/>
    <w:rsid w:val="00555958"/>
    <w:rsid w:val="005568AC"/>
    <w:rsid w:val="005573ED"/>
    <w:rsid w:val="00557899"/>
    <w:rsid w:val="00567C74"/>
    <w:rsid w:val="005703FC"/>
    <w:rsid w:val="005740FD"/>
    <w:rsid w:val="00576CFC"/>
    <w:rsid w:val="00581559"/>
    <w:rsid w:val="00581D9F"/>
    <w:rsid w:val="00582CB9"/>
    <w:rsid w:val="005835B1"/>
    <w:rsid w:val="00584094"/>
    <w:rsid w:val="005846CD"/>
    <w:rsid w:val="00585CE3"/>
    <w:rsid w:val="0059045D"/>
    <w:rsid w:val="00594679"/>
    <w:rsid w:val="005958F0"/>
    <w:rsid w:val="005973D9"/>
    <w:rsid w:val="005A1FF7"/>
    <w:rsid w:val="005A43F1"/>
    <w:rsid w:val="005A54B0"/>
    <w:rsid w:val="005A5EDC"/>
    <w:rsid w:val="005B1543"/>
    <w:rsid w:val="005B22A3"/>
    <w:rsid w:val="005B26E9"/>
    <w:rsid w:val="005B6881"/>
    <w:rsid w:val="005B6DD7"/>
    <w:rsid w:val="005C0222"/>
    <w:rsid w:val="005D4029"/>
    <w:rsid w:val="005D42F7"/>
    <w:rsid w:val="005D6DF6"/>
    <w:rsid w:val="005E2AB9"/>
    <w:rsid w:val="005E735A"/>
    <w:rsid w:val="005F2F13"/>
    <w:rsid w:val="005F546D"/>
    <w:rsid w:val="005F76CC"/>
    <w:rsid w:val="006026FE"/>
    <w:rsid w:val="00602E4C"/>
    <w:rsid w:val="006053F9"/>
    <w:rsid w:val="00610873"/>
    <w:rsid w:val="006113D2"/>
    <w:rsid w:val="006119F0"/>
    <w:rsid w:val="00611E45"/>
    <w:rsid w:val="006122D6"/>
    <w:rsid w:val="00613433"/>
    <w:rsid w:val="00614B29"/>
    <w:rsid w:val="00614F12"/>
    <w:rsid w:val="00616540"/>
    <w:rsid w:val="00630599"/>
    <w:rsid w:val="006313B0"/>
    <w:rsid w:val="006315F0"/>
    <w:rsid w:val="00637922"/>
    <w:rsid w:val="00644879"/>
    <w:rsid w:val="00646FC0"/>
    <w:rsid w:val="00655366"/>
    <w:rsid w:val="006554FA"/>
    <w:rsid w:val="00660575"/>
    <w:rsid w:val="00662ACC"/>
    <w:rsid w:val="0066422E"/>
    <w:rsid w:val="00664C9C"/>
    <w:rsid w:val="00665245"/>
    <w:rsid w:val="00667272"/>
    <w:rsid w:val="006679D9"/>
    <w:rsid w:val="00673B08"/>
    <w:rsid w:val="006765D3"/>
    <w:rsid w:val="00681AA8"/>
    <w:rsid w:val="00684E3F"/>
    <w:rsid w:val="00685790"/>
    <w:rsid w:val="0069087D"/>
    <w:rsid w:val="00690C00"/>
    <w:rsid w:val="006930A9"/>
    <w:rsid w:val="00695AAA"/>
    <w:rsid w:val="0069674E"/>
    <w:rsid w:val="00697BD6"/>
    <w:rsid w:val="006A3DB2"/>
    <w:rsid w:val="006A54CA"/>
    <w:rsid w:val="006A7076"/>
    <w:rsid w:val="006B13A4"/>
    <w:rsid w:val="006B325C"/>
    <w:rsid w:val="006B6696"/>
    <w:rsid w:val="006B6AB5"/>
    <w:rsid w:val="006B783F"/>
    <w:rsid w:val="006C04A7"/>
    <w:rsid w:val="006C59DD"/>
    <w:rsid w:val="006C6E24"/>
    <w:rsid w:val="006C6E6C"/>
    <w:rsid w:val="006C7159"/>
    <w:rsid w:val="006D163C"/>
    <w:rsid w:val="006D1C16"/>
    <w:rsid w:val="006D35D4"/>
    <w:rsid w:val="006D6A81"/>
    <w:rsid w:val="006D6C77"/>
    <w:rsid w:val="006E1BD0"/>
    <w:rsid w:val="006E22C9"/>
    <w:rsid w:val="006E44A0"/>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2701D"/>
    <w:rsid w:val="00735DA2"/>
    <w:rsid w:val="00740013"/>
    <w:rsid w:val="00741457"/>
    <w:rsid w:val="00741C36"/>
    <w:rsid w:val="00744770"/>
    <w:rsid w:val="00746CDC"/>
    <w:rsid w:val="007473C3"/>
    <w:rsid w:val="0075027C"/>
    <w:rsid w:val="00751587"/>
    <w:rsid w:val="00757DDA"/>
    <w:rsid w:val="00757E21"/>
    <w:rsid w:val="007602C8"/>
    <w:rsid w:val="0076132F"/>
    <w:rsid w:val="007613F1"/>
    <w:rsid w:val="00765592"/>
    <w:rsid w:val="007655E8"/>
    <w:rsid w:val="007707E5"/>
    <w:rsid w:val="0077124F"/>
    <w:rsid w:val="0077350D"/>
    <w:rsid w:val="00774CF1"/>
    <w:rsid w:val="00781C63"/>
    <w:rsid w:val="00781FC3"/>
    <w:rsid w:val="0078744D"/>
    <w:rsid w:val="007906E3"/>
    <w:rsid w:val="00791991"/>
    <w:rsid w:val="00792E91"/>
    <w:rsid w:val="00793F64"/>
    <w:rsid w:val="00795BB2"/>
    <w:rsid w:val="00796060"/>
    <w:rsid w:val="007B1FCE"/>
    <w:rsid w:val="007B35BA"/>
    <w:rsid w:val="007C3F4C"/>
    <w:rsid w:val="007C63E1"/>
    <w:rsid w:val="007C7E29"/>
    <w:rsid w:val="007D352C"/>
    <w:rsid w:val="007D5DC5"/>
    <w:rsid w:val="007E62E2"/>
    <w:rsid w:val="007E648B"/>
    <w:rsid w:val="007E7326"/>
    <w:rsid w:val="007F09B5"/>
    <w:rsid w:val="007F29E3"/>
    <w:rsid w:val="007F2F89"/>
    <w:rsid w:val="007F4004"/>
    <w:rsid w:val="007F41A9"/>
    <w:rsid w:val="007F663D"/>
    <w:rsid w:val="007F6F17"/>
    <w:rsid w:val="00803EDB"/>
    <w:rsid w:val="00804993"/>
    <w:rsid w:val="00805D30"/>
    <w:rsid w:val="008149FA"/>
    <w:rsid w:val="0081779E"/>
    <w:rsid w:val="0082757A"/>
    <w:rsid w:val="008309A2"/>
    <w:rsid w:val="00831F51"/>
    <w:rsid w:val="0083235E"/>
    <w:rsid w:val="00832F81"/>
    <w:rsid w:val="008342FA"/>
    <w:rsid w:val="00834AED"/>
    <w:rsid w:val="00836F09"/>
    <w:rsid w:val="008416DB"/>
    <w:rsid w:val="0084319B"/>
    <w:rsid w:val="00843D5A"/>
    <w:rsid w:val="0085046F"/>
    <w:rsid w:val="0085361C"/>
    <w:rsid w:val="00861FD0"/>
    <w:rsid w:val="00864D04"/>
    <w:rsid w:val="00865925"/>
    <w:rsid w:val="0086794E"/>
    <w:rsid w:val="00870CED"/>
    <w:rsid w:val="008710FA"/>
    <w:rsid w:val="00871C3B"/>
    <w:rsid w:val="0087497F"/>
    <w:rsid w:val="00877BEE"/>
    <w:rsid w:val="00881BB2"/>
    <w:rsid w:val="008828CB"/>
    <w:rsid w:val="0089044D"/>
    <w:rsid w:val="00890C70"/>
    <w:rsid w:val="0089135B"/>
    <w:rsid w:val="00897DFE"/>
    <w:rsid w:val="008A1BF0"/>
    <w:rsid w:val="008A2E57"/>
    <w:rsid w:val="008A7DEE"/>
    <w:rsid w:val="008B0544"/>
    <w:rsid w:val="008B17D9"/>
    <w:rsid w:val="008B30DA"/>
    <w:rsid w:val="008B3309"/>
    <w:rsid w:val="008B3475"/>
    <w:rsid w:val="008B5CC0"/>
    <w:rsid w:val="008C0A77"/>
    <w:rsid w:val="008C4254"/>
    <w:rsid w:val="008C4521"/>
    <w:rsid w:val="008C5A95"/>
    <w:rsid w:val="008C7590"/>
    <w:rsid w:val="008D761C"/>
    <w:rsid w:val="008E061A"/>
    <w:rsid w:val="008E08A9"/>
    <w:rsid w:val="008E08E9"/>
    <w:rsid w:val="008E51D6"/>
    <w:rsid w:val="008E6A7A"/>
    <w:rsid w:val="008F01BC"/>
    <w:rsid w:val="008F1228"/>
    <w:rsid w:val="008F32A5"/>
    <w:rsid w:val="008F3DD1"/>
    <w:rsid w:val="008F4A83"/>
    <w:rsid w:val="009000B6"/>
    <w:rsid w:val="0090149E"/>
    <w:rsid w:val="00901765"/>
    <w:rsid w:val="009025B2"/>
    <w:rsid w:val="00904F5C"/>
    <w:rsid w:val="00906CC4"/>
    <w:rsid w:val="009110E2"/>
    <w:rsid w:val="00912FFD"/>
    <w:rsid w:val="00913AC8"/>
    <w:rsid w:val="00915569"/>
    <w:rsid w:val="009242EC"/>
    <w:rsid w:val="00924CEF"/>
    <w:rsid w:val="009307EC"/>
    <w:rsid w:val="00933201"/>
    <w:rsid w:val="00933A8D"/>
    <w:rsid w:val="00934A0D"/>
    <w:rsid w:val="00935C42"/>
    <w:rsid w:val="009417B8"/>
    <w:rsid w:val="00944385"/>
    <w:rsid w:val="00944D0C"/>
    <w:rsid w:val="00950749"/>
    <w:rsid w:val="00955BB2"/>
    <w:rsid w:val="0095604B"/>
    <w:rsid w:val="00961D80"/>
    <w:rsid w:val="00961E00"/>
    <w:rsid w:val="009659B1"/>
    <w:rsid w:val="00972B75"/>
    <w:rsid w:val="009748BB"/>
    <w:rsid w:val="00977949"/>
    <w:rsid w:val="00980447"/>
    <w:rsid w:val="00980708"/>
    <w:rsid w:val="00982D0F"/>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437"/>
    <w:rsid w:val="009D748B"/>
    <w:rsid w:val="009D7951"/>
    <w:rsid w:val="009D7961"/>
    <w:rsid w:val="009E0471"/>
    <w:rsid w:val="009E2B63"/>
    <w:rsid w:val="009E5077"/>
    <w:rsid w:val="009E54B5"/>
    <w:rsid w:val="009E676E"/>
    <w:rsid w:val="009F3060"/>
    <w:rsid w:val="009F7B44"/>
    <w:rsid w:val="009F7B90"/>
    <w:rsid w:val="009F7DE0"/>
    <w:rsid w:val="00A00603"/>
    <w:rsid w:val="00A013D2"/>
    <w:rsid w:val="00A1240F"/>
    <w:rsid w:val="00A14083"/>
    <w:rsid w:val="00A142AD"/>
    <w:rsid w:val="00A15B60"/>
    <w:rsid w:val="00A24912"/>
    <w:rsid w:val="00A255A6"/>
    <w:rsid w:val="00A30027"/>
    <w:rsid w:val="00A3391A"/>
    <w:rsid w:val="00A3474A"/>
    <w:rsid w:val="00A36137"/>
    <w:rsid w:val="00A43B72"/>
    <w:rsid w:val="00A44AF6"/>
    <w:rsid w:val="00A45482"/>
    <w:rsid w:val="00A50045"/>
    <w:rsid w:val="00A52ECB"/>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E74"/>
    <w:rsid w:val="00AA447D"/>
    <w:rsid w:val="00AA6345"/>
    <w:rsid w:val="00AB2369"/>
    <w:rsid w:val="00AB35D7"/>
    <w:rsid w:val="00AB5544"/>
    <w:rsid w:val="00AC06EF"/>
    <w:rsid w:val="00AC32FA"/>
    <w:rsid w:val="00AC44AE"/>
    <w:rsid w:val="00AC671C"/>
    <w:rsid w:val="00AD36B2"/>
    <w:rsid w:val="00AE200A"/>
    <w:rsid w:val="00AE45DA"/>
    <w:rsid w:val="00AF18B9"/>
    <w:rsid w:val="00AF2BBA"/>
    <w:rsid w:val="00AF3B3F"/>
    <w:rsid w:val="00B00CB1"/>
    <w:rsid w:val="00B00D01"/>
    <w:rsid w:val="00B00F70"/>
    <w:rsid w:val="00B01B41"/>
    <w:rsid w:val="00B05BAE"/>
    <w:rsid w:val="00B07259"/>
    <w:rsid w:val="00B10247"/>
    <w:rsid w:val="00B11267"/>
    <w:rsid w:val="00B11610"/>
    <w:rsid w:val="00B20EE0"/>
    <w:rsid w:val="00B22300"/>
    <w:rsid w:val="00B27D1C"/>
    <w:rsid w:val="00B30387"/>
    <w:rsid w:val="00B31342"/>
    <w:rsid w:val="00B31503"/>
    <w:rsid w:val="00B32C36"/>
    <w:rsid w:val="00B425B1"/>
    <w:rsid w:val="00B44A5F"/>
    <w:rsid w:val="00B525FA"/>
    <w:rsid w:val="00B53F6F"/>
    <w:rsid w:val="00B54582"/>
    <w:rsid w:val="00B553CC"/>
    <w:rsid w:val="00B56CAB"/>
    <w:rsid w:val="00B6035A"/>
    <w:rsid w:val="00B6157C"/>
    <w:rsid w:val="00B65B3D"/>
    <w:rsid w:val="00B77714"/>
    <w:rsid w:val="00B77EF0"/>
    <w:rsid w:val="00B842EF"/>
    <w:rsid w:val="00B9334E"/>
    <w:rsid w:val="00B933D2"/>
    <w:rsid w:val="00B9437E"/>
    <w:rsid w:val="00B95536"/>
    <w:rsid w:val="00B95A2E"/>
    <w:rsid w:val="00BB09EE"/>
    <w:rsid w:val="00BB1E2F"/>
    <w:rsid w:val="00BB7FDA"/>
    <w:rsid w:val="00BC190E"/>
    <w:rsid w:val="00BC5363"/>
    <w:rsid w:val="00BD2590"/>
    <w:rsid w:val="00BD39EA"/>
    <w:rsid w:val="00BD74A2"/>
    <w:rsid w:val="00BD77B8"/>
    <w:rsid w:val="00BE2DAC"/>
    <w:rsid w:val="00BE42E4"/>
    <w:rsid w:val="00BE458C"/>
    <w:rsid w:val="00BF3EF9"/>
    <w:rsid w:val="00BF4A78"/>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3786"/>
    <w:rsid w:val="00C54588"/>
    <w:rsid w:val="00C5489F"/>
    <w:rsid w:val="00C56A55"/>
    <w:rsid w:val="00C60DBC"/>
    <w:rsid w:val="00C62983"/>
    <w:rsid w:val="00C650AF"/>
    <w:rsid w:val="00C66E2E"/>
    <w:rsid w:val="00C67C85"/>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5419"/>
    <w:rsid w:val="00CA6FDE"/>
    <w:rsid w:val="00CA7A9E"/>
    <w:rsid w:val="00CB2BE1"/>
    <w:rsid w:val="00CC5F8E"/>
    <w:rsid w:val="00CD2C54"/>
    <w:rsid w:val="00CD2E9F"/>
    <w:rsid w:val="00CD310E"/>
    <w:rsid w:val="00CD41FE"/>
    <w:rsid w:val="00CD7C3F"/>
    <w:rsid w:val="00CE1825"/>
    <w:rsid w:val="00CE3282"/>
    <w:rsid w:val="00CE3F8F"/>
    <w:rsid w:val="00CF03CA"/>
    <w:rsid w:val="00CF0FCF"/>
    <w:rsid w:val="00CF1314"/>
    <w:rsid w:val="00CF1A74"/>
    <w:rsid w:val="00CF5E7B"/>
    <w:rsid w:val="00D000BD"/>
    <w:rsid w:val="00D003D9"/>
    <w:rsid w:val="00D031E4"/>
    <w:rsid w:val="00D03CF8"/>
    <w:rsid w:val="00D053F2"/>
    <w:rsid w:val="00D110D8"/>
    <w:rsid w:val="00D222FF"/>
    <w:rsid w:val="00D24559"/>
    <w:rsid w:val="00D31754"/>
    <w:rsid w:val="00D35570"/>
    <w:rsid w:val="00D35D0E"/>
    <w:rsid w:val="00D41C60"/>
    <w:rsid w:val="00D41E0D"/>
    <w:rsid w:val="00D44901"/>
    <w:rsid w:val="00D454CF"/>
    <w:rsid w:val="00D53F74"/>
    <w:rsid w:val="00D5502A"/>
    <w:rsid w:val="00D55D5F"/>
    <w:rsid w:val="00D60716"/>
    <w:rsid w:val="00D62F45"/>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4737"/>
    <w:rsid w:val="00D95563"/>
    <w:rsid w:val="00D964A6"/>
    <w:rsid w:val="00DA0E9D"/>
    <w:rsid w:val="00DA5608"/>
    <w:rsid w:val="00DA677E"/>
    <w:rsid w:val="00DA7AEF"/>
    <w:rsid w:val="00DB350D"/>
    <w:rsid w:val="00DB67FF"/>
    <w:rsid w:val="00DC0E0C"/>
    <w:rsid w:val="00DC2D44"/>
    <w:rsid w:val="00DC79C4"/>
    <w:rsid w:val="00DC7A1E"/>
    <w:rsid w:val="00DC7F53"/>
    <w:rsid w:val="00DD584D"/>
    <w:rsid w:val="00DD676C"/>
    <w:rsid w:val="00DD7137"/>
    <w:rsid w:val="00DD77F8"/>
    <w:rsid w:val="00DE3003"/>
    <w:rsid w:val="00DF3899"/>
    <w:rsid w:val="00DF532F"/>
    <w:rsid w:val="00DF6717"/>
    <w:rsid w:val="00DF6B5F"/>
    <w:rsid w:val="00DF7885"/>
    <w:rsid w:val="00DF7979"/>
    <w:rsid w:val="00E0002D"/>
    <w:rsid w:val="00E011C9"/>
    <w:rsid w:val="00E02DAD"/>
    <w:rsid w:val="00E03E68"/>
    <w:rsid w:val="00E05823"/>
    <w:rsid w:val="00E11E94"/>
    <w:rsid w:val="00E159FB"/>
    <w:rsid w:val="00E168BD"/>
    <w:rsid w:val="00E21A00"/>
    <w:rsid w:val="00E21B30"/>
    <w:rsid w:val="00E22A3F"/>
    <w:rsid w:val="00E22BCB"/>
    <w:rsid w:val="00E24FE1"/>
    <w:rsid w:val="00E30766"/>
    <w:rsid w:val="00E30CEE"/>
    <w:rsid w:val="00E348DD"/>
    <w:rsid w:val="00E34B2F"/>
    <w:rsid w:val="00E34F8C"/>
    <w:rsid w:val="00E3659D"/>
    <w:rsid w:val="00E403FE"/>
    <w:rsid w:val="00E41F1A"/>
    <w:rsid w:val="00E44410"/>
    <w:rsid w:val="00E46E20"/>
    <w:rsid w:val="00E47FEF"/>
    <w:rsid w:val="00E5392E"/>
    <w:rsid w:val="00E5540E"/>
    <w:rsid w:val="00E57CF3"/>
    <w:rsid w:val="00E61232"/>
    <w:rsid w:val="00E61B38"/>
    <w:rsid w:val="00E632A2"/>
    <w:rsid w:val="00E63625"/>
    <w:rsid w:val="00E6400D"/>
    <w:rsid w:val="00E641C3"/>
    <w:rsid w:val="00E650AC"/>
    <w:rsid w:val="00E65682"/>
    <w:rsid w:val="00E67442"/>
    <w:rsid w:val="00E67FE7"/>
    <w:rsid w:val="00E70FE0"/>
    <w:rsid w:val="00E75FF2"/>
    <w:rsid w:val="00E8032D"/>
    <w:rsid w:val="00E81547"/>
    <w:rsid w:val="00E82768"/>
    <w:rsid w:val="00E82DB1"/>
    <w:rsid w:val="00E85851"/>
    <w:rsid w:val="00E861B3"/>
    <w:rsid w:val="00E92152"/>
    <w:rsid w:val="00E92A5A"/>
    <w:rsid w:val="00E95A78"/>
    <w:rsid w:val="00E96E46"/>
    <w:rsid w:val="00EA1EDC"/>
    <w:rsid w:val="00EA251E"/>
    <w:rsid w:val="00EA5562"/>
    <w:rsid w:val="00EA5BDF"/>
    <w:rsid w:val="00EA7639"/>
    <w:rsid w:val="00EC03D4"/>
    <w:rsid w:val="00EC0C8B"/>
    <w:rsid w:val="00EC2E5E"/>
    <w:rsid w:val="00EC358D"/>
    <w:rsid w:val="00EC7E35"/>
    <w:rsid w:val="00ED068A"/>
    <w:rsid w:val="00ED216C"/>
    <w:rsid w:val="00ED5518"/>
    <w:rsid w:val="00EE06C1"/>
    <w:rsid w:val="00EE0CE9"/>
    <w:rsid w:val="00EE3A88"/>
    <w:rsid w:val="00EE47EE"/>
    <w:rsid w:val="00EE4F10"/>
    <w:rsid w:val="00EE5FB5"/>
    <w:rsid w:val="00EF2458"/>
    <w:rsid w:val="00EF540F"/>
    <w:rsid w:val="00F01DD6"/>
    <w:rsid w:val="00F04147"/>
    <w:rsid w:val="00F04B9F"/>
    <w:rsid w:val="00F05692"/>
    <w:rsid w:val="00F0690F"/>
    <w:rsid w:val="00F06BB0"/>
    <w:rsid w:val="00F06DC8"/>
    <w:rsid w:val="00F0758D"/>
    <w:rsid w:val="00F10071"/>
    <w:rsid w:val="00F139EA"/>
    <w:rsid w:val="00F14449"/>
    <w:rsid w:val="00F14AF4"/>
    <w:rsid w:val="00F1559C"/>
    <w:rsid w:val="00F17F1F"/>
    <w:rsid w:val="00F23221"/>
    <w:rsid w:val="00F279D9"/>
    <w:rsid w:val="00F3006E"/>
    <w:rsid w:val="00F30660"/>
    <w:rsid w:val="00F339C4"/>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14E"/>
    <w:rsid w:val="00F9625A"/>
    <w:rsid w:val="00FA35D9"/>
    <w:rsid w:val="00FA4B1A"/>
    <w:rsid w:val="00FA68C3"/>
    <w:rsid w:val="00FB0094"/>
    <w:rsid w:val="00FB71EA"/>
    <w:rsid w:val="00FC0AF1"/>
    <w:rsid w:val="00FC49DA"/>
    <w:rsid w:val="00FC7386"/>
    <w:rsid w:val="00FC7414"/>
    <w:rsid w:val="00FD3218"/>
    <w:rsid w:val="00FD3A5C"/>
    <w:rsid w:val="00FD57D3"/>
    <w:rsid w:val="00FD71D5"/>
    <w:rsid w:val="00FE30AE"/>
    <w:rsid w:val="00FE446C"/>
    <w:rsid w:val="00FE62D1"/>
    <w:rsid w:val="00FE6F61"/>
    <w:rsid w:val="00FF0077"/>
    <w:rsid w:val="00FF27A9"/>
    <w:rsid w:val="00FF30D7"/>
    <w:rsid w:val="00FF4C12"/>
    <w:rsid w:val="00FF78D3"/>
    <w:rsid w:val="0281587E"/>
    <w:rsid w:val="053D617D"/>
    <w:rsid w:val="073D31FE"/>
    <w:rsid w:val="08436857"/>
    <w:rsid w:val="11856B2E"/>
    <w:rsid w:val="143F579C"/>
    <w:rsid w:val="14726477"/>
    <w:rsid w:val="1B3E0655"/>
    <w:rsid w:val="1B8822C4"/>
    <w:rsid w:val="1BA9C687"/>
    <w:rsid w:val="1BD417C5"/>
    <w:rsid w:val="1F8229C3"/>
    <w:rsid w:val="24241236"/>
    <w:rsid w:val="25DA1459"/>
    <w:rsid w:val="2A807095"/>
    <w:rsid w:val="2B563FA5"/>
    <w:rsid w:val="2FE7D7FE"/>
    <w:rsid w:val="31D668B9"/>
    <w:rsid w:val="321366D4"/>
    <w:rsid w:val="39FB24A2"/>
    <w:rsid w:val="3BFC3547"/>
    <w:rsid w:val="3BFFFF64"/>
    <w:rsid w:val="442962A2"/>
    <w:rsid w:val="490557B4"/>
    <w:rsid w:val="49F2FD4D"/>
    <w:rsid w:val="4ED70203"/>
    <w:rsid w:val="51EC090F"/>
    <w:rsid w:val="55BC81C9"/>
    <w:rsid w:val="5AFB7B3C"/>
    <w:rsid w:val="5B405245"/>
    <w:rsid w:val="5C3018B4"/>
    <w:rsid w:val="5EE756D6"/>
    <w:rsid w:val="5FFB4F31"/>
    <w:rsid w:val="61D0604B"/>
    <w:rsid w:val="62B131DE"/>
    <w:rsid w:val="645779AB"/>
    <w:rsid w:val="67C12384"/>
    <w:rsid w:val="67CE0712"/>
    <w:rsid w:val="67EC6BA4"/>
    <w:rsid w:val="6B6D613A"/>
    <w:rsid w:val="6EFB9641"/>
    <w:rsid w:val="6F694A76"/>
    <w:rsid w:val="6FD131C7"/>
    <w:rsid w:val="6FDF26D2"/>
    <w:rsid w:val="72D8187A"/>
    <w:rsid w:val="77DC57AA"/>
    <w:rsid w:val="78F3F9E6"/>
    <w:rsid w:val="7AED10D1"/>
    <w:rsid w:val="7B4C77FE"/>
    <w:rsid w:val="7D6C3C2B"/>
    <w:rsid w:val="7FDE3EB0"/>
    <w:rsid w:val="A7DF1B9A"/>
    <w:rsid w:val="ABF80A4C"/>
    <w:rsid w:val="BAD7AA7E"/>
    <w:rsid w:val="BBFA903F"/>
    <w:rsid w:val="CFFFD391"/>
    <w:rsid w:val="FD38922B"/>
    <w:rsid w:val="FDF74CF4"/>
    <w:rsid w:val="FF79EC62"/>
    <w:rsid w:val="FFFE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6"/>
    <w:autoRedefine/>
    <w:qFormat/>
    <w:uiPriority w:val="9"/>
    <w:pPr>
      <w:keepNext/>
      <w:keepLines/>
      <w:numPr>
        <w:ilvl w:val="0"/>
        <w:numId w:val="1"/>
      </w:numPr>
      <w:spacing w:before="340" w:after="330" w:line="578" w:lineRule="auto"/>
      <w:outlineLvl w:val="0"/>
    </w:pPr>
    <w:rPr>
      <w:rFonts w:eastAsia="方正小标宋_GBK"/>
      <w:b/>
      <w:bCs/>
      <w:kern w:val="44"/>
      <w:sz w:val="32"/>
      <w:szCs w:val="44"/>
    </w:rPr>
  </w:style>
  <w:style w:type="paragraph" w:styleId="6">
    <w:name w:val="heading 2"/>
    <w:basedOn w:val="1"/>
    <w:next w:val="1"/>
    <w:link w:val="34"/>
    <w:autoRedefine/>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7">
    <w:name w:val="heading 3"/>
    <w:basedOn w:val="1"/>
    <w:next w:val="1"/>
    <w:link w:val="37"/>
    <w:autoRedefine/>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8">
    <w:name w:val="heading 4"/>
    <w:basedOn w:val="1"/>
    <w:next w:val="1"/>
    <w:link w:val="38"/>
    <w:autoRedefine/>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39"/>
    <w:autoRedefine/>
    <w:unhideWhenUsed/>
    <w:qFormat/>
    <w:uiPriority w:val="9"/>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40"/>
    <w:autoRedefine/>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11">
    <w:name w:val="heading 7"/>
    <w:basedOn w:val="1"/>
    <w:next w:val="1"/>
    <w:link w:val="41"/>
    <w:autoRedefine/>
    <w:unhideWhenUsed/>
    <w:qFormat/>
    <w:uiPriority w:val="9"/>
    <w:pPr>
      <w:keepNext/>
      <w:keepLines/>
      <w:numPr>
        <w:ilvl w:val="6"/>
        <w:numId w:val="1"/>
      </w:numPr>
      <w:spacing w:before="240" w:after="64" w:line="320" w:lineRule="auto"/>
      <w:outlineLvl w:val="6"/>
    </w:pPr>
    <w:rPr>
      <w:b/>
      <w:bCs/>
      <w:sz w:val="24"/>
      <w:szCs w:val="24"/>
    </w:rPr>
  </w:style>
  <w:style w:type="paragraph" w:styleId="12">
    <w:name w:val="heading 8"/>
    <w:basedOn w:val="1"/>
    <w:next w:val="1"/>
    <w:link w:val="42"/>
    <w:autoRedefine/>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3">
    <w:name w:val="heading 9"/>
    <w:basedOn w:val="1"/>
    <w:next w:val="1"/>
    <w:link w:val="43"/>
    <w:autoRedefine/>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adjustRightInd w:val="0"/>
      <w:spacing w:line="360" w:lineRule="auto"/>
      <w:ind w:firstLine="420" w:firstLineChars="100"/>
      <w:textAlignment w:val="baseline"/>
    </w:pPr>
    <w:rPr>
      <w:sz w:val="24"/>
    </w:rPr>
  </w:style>
  <w:style w:type="paragraph" w:styleId="3">
    <w:name w:val="Body Text"/>
    <w:basedOn w:val="1"/>
    <w:next w:val="4"/>
    <w:link w:val="57"/>
    <w:autoRedefine/>
    <w:semiHidden/>
    <w:unhideWhenUsed/>
    <w:qFormat/>
    <w:uiPriority w:val="99"/>
    <w:pPr>
      <w:spacing w:after="120"/>
    </w:pPr>
  </w:style>
  <w:style w:type="paragraph" w:customStyle="1" w:styleId="4">
    <w:name w:val="Default"/>
    <w:autoRedefine/>
    <w:qFormat/>
    <w:uiPriority w:val="99"/>
    <w:pPr>
      <w:widowControl w:val="0"/>
      <w:autoSpaceDE w:val="0"/>
      <w:autoSpaceDN w:val="0"/>
      <w:adjustRightInd w:val="0"/>
    </w:pPr>
    <w:rPr>
      <w:rFonts w:ascii="华文新魏" w:hAnsi="华文新魏" w:eastAsia="宋体" w:cs="Times New Roman"/>
      <w:color w:val="000000"/>
      <w:sz w:val="24"/>
      <w:lang w:val="en-US" w:eastAsia="zh-CN" w:bidi="ar-SA"/>
    </w:rPr>
  </w:style>
  <w:style w:type="paragraph" w:styleId="14">
    <w:name w:val="annotation text"/>
    <w:basedOn w:val="1"/>
    <w:link w:val="52"/>
    <w:autoRedefine/>
    <w:unhideWhenUsed/>
    <w:qFormat/>
    <w:uiPriority w:val="99"/>
    <w:pPr>
      <w:jc w:val="left"/>
    </w:pPr>
  </w:style>
  <w:style w:type="paragraph" w:styleId="15">
    <w:name w:val="Body Text Indent"/>
    <w:basedOn w:val="1"/>
    <w:link w:val="46"/>
    <w:autoRedefine/>
    <w:semiHidden/>
    <w:unhideWhenUsed/>
    <w:qFormat/>
    <w:uiPriority w:val="99"/>
    <w:pPr>
      <w:spacing w:after="120"/>
      <w:ind w:left="420" w:leftChars="200"/>
    </w:pPr>
  </w:style>
  <w:style w:type="paragraph" w:styleId="16">
    <w:name w:val="toc 3"/>
    <w:basedOn w:val="1"/>
    <w:next w:val="1"/>
    <w:autoRedefine/>
    <w:unhideWhenUsed/>
    <w:qFormat/>
    <w:uiPriority w:val="39"/>
    <w:pPr>
      <w:ind w:left="840" w:leftChars="400"/>
    </w:pPr>
  </w:style>
  <w:style w:type="paragraph" w:styleId="17">
    <w:name w:val="Balloon Text"/>
    <w:basedOn w:val="1"/>
    <w:link w:val="45"/>
    <w:autoRedefine/>
    <w:semiHidden/>
    <w:unhideWhenUsed/>
    <w:qFormat/>
    <w:uiPriority w:val="99"/>
    <w:rPr>
      <w:sz w:val="18"/>
      <w:szCs w:val="18"/>
    </w:rPr>
  </w:style>
  <w:style w:type="paragraph" w:styleId="18">
    <w:name w:val="footer"/>
    <w:basedOn w:val="1"/>
    <w:link w:val="32"/>
    <w:autoRedefine/>
    <w:unhideWhenUsed/>
    <w:qFormat/>
    <w:uiPriority w:val="99"/>
    <w:pPr>
      <w:tabs>
        <w:tab w:val="center" w:pos="4153"/>
        <w:tab w:val="right" w:pos="8306"/>
      </w:tabs>
      <w:snapToGrid w:val="0"/>
      <w:jc w:val="left"/>
    </w:pPr>
    <w:rPr>
      <w:sz w:val="18"/>
      <w:szCs w:val="18"/>
    </w:rPr>
  </w:style>
  <w:style w:type="paragraph" w:styleId="19">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style>
  <w:style w:type="paragraph" w:styleId="21">
    <w:name w:val="footnote text"/>
    <w:basedOn w:val="1"/>
    <w:link w:val="55"/>
    <w:autoRedefine/>
    <w:unhideWhenUsed/>
    <w:qFormat/>
    <w:uiPriority w:val="99"/>
    <w:pPr>
      <w:snapToGrid w:val="0"/>
      <w:jc w:val="left"/>
    </w:pPr>
    <w:rPr>
      <w:rFonts w:ascii="Calibri" w:hAnsi="Calibri" w:eastAsia="宋体" w:cs="Times New Roman"/>
      <w:sz w:val="18"/>
      <w:szCs w:val="18"/>
    </w:rPr>
  </w:style>
  <w:style w:type="paragraph" w:styleId="22">
    <w:name w:val="toc 2"/>
    <w:basedOn w:val="1"/>
    <w:next w:val="1"/>
    <w:autoRedefine/>
    <w:unhideWhenUsed/>
    <w:qFormat/>
    <w:uiPriority w:val="39"/>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annotation subject"/>
    <w:basedOn w:val="14"/>
    <w:next w:val="14"/>
    <w:link w:val="53"/>
    <w:autoRedefine/>
    <w:semiHidden/>
    <w:unhideWhenUsed/>
    <w:qFormat/>
    <w:uiPriority w:val="99"/>
    <w:rPr>
      <w:b/>
      <w:bCs/>
    </w:rPr>
  </w:style>
  <w:style w:type="paragraph" w:styleId="25">
    <w:name w:val="Body Text First Indent 2"/>
    <w:basedOn w:val="15"/>
    <w:link w:val="47"/>
    <w:autoRedefine/>
    <w:qFormat/>
    <w:uiPriority w:val="0"/>
    <w:pPr>
      <w:spacing w:line="360" w:lineRule="auto"/>
      <w:ind w:firstLine="420" w:firstLineChars="200"/>
    </w:pPr>
    <w:rPr>
      <w:rFonts w:ascii="Times New Roman" w:hAnsi="Times New Roman" w:eastAsia="宋体" w:cs="Times New Roman"/>
      <w:sz w:val="24"/>
      <w:szCs w:val="24"/>
      <w:lang w:val="zh-CN"/>
    </w:r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basedOn w:val="28"/>
    <w:autoRedefine/>
    <w:unhideWhenUsed/>
    <w:qFormat/>
    <w:uiPriority w:val="99"/>
    <w:rPr>
      <w:color w:val="0000FF" w:themeColor="hyperlink"/>
      <w:u w:val="single"/>
      <w14:textFill>
        <w14:solidFill>
          <w14:schemeClr w14:val="hlink"/>
        </w14:solidFill>
      </w14:textFill>
    </w:rPr>
  </w:style>
  <w:style w:type="character" w:styleId="30">
    <w:name w:val="annotation reference"/>
    <w:basedOn w:val="28"/>
    <w:autoRedefine/>
    <w:unhideWhenUsed/>
    <w:qFormat/>
    <w:uiPriority w:val="99"/>
    <w:rPr>
      <w:sz w:val="21"/>
      <w:szCs w:val="21"/>
    </w:rPr>
  </w:style>
  <w:style w:type="character" w:customStyle="1" w:styleId="31">
    <w:name w:val="页眉 Char"/>
    <w:basedOn w:val="28"/>
    <w:link w:val="19"/>
    <w:autoRedefine/>
    <w:qFormat/>
    <w:uiPriority w:val="99"/>
    <w:rPr>
      <w:sz w:val="18"/>
      <w:szCs w:val="18"/>
    </w:rPr>
  </w:style>
  <w:style w:type="character" w:customStyle="1" w:styleId="32">
    <w:name w:val="页脚 Char"/>
    <w:basedOn w:val="28"/>
    <w:link w:val="18"/>
    <w:autoRedefine/>
    <w:qFormat/>
    <w:uiPriority w:val="99"/>
    <w:rPr>
      <w:sz w:val="18"/>
      <w:szCs w:val="18"/>
    </w:rPr>
  </w:style>
  <w:style w:type="paragraph" w:styleId="33">
    <w:name w:val="List Paragraph"/>
    <w:basedOn w:val="1"/>
    <w:link w:val="48"/>
    <w:autoRedefine/>
    <w:qFormat/>
    <w:uiPriority w:val="99"/>
    <w:pPr>
      <w:ind w:firstLine="420" w:firstLineChars="200"/>
    </w:pPr>
  </w:style>
  <w:style w:type="character" w:customStyle="1" w:styleId="34">
    <w:name w:val="标题 2 Char"/>
    <w:basedOn w:val="28"/>
    <w:link w:val="6"/>
    <w:autoRedefine/>
    <w:qFormat/>
    <w:uiPriority w:val="9"/>
    <w:rPr>
      <w:rFonts w:eastAsia="仿宋" w:asciiTheme="majorHAnsi" w:hAnsiTheme="majorHAnsi" w:cstheme="majorBidi"/>
      <w:b/>
      <w:bCs/>
      <w:kern w:val="2"/>
      <w:sz w:val="28"/>
      <w:szCs w:val="32"/>
    </w:rPr>
  </w:style>
  <w:style w:type="paragraph" w:customStyle="1" w:styleId="35">
    <w:name w:val="1册标题3"/>
    <w:basedOn w:val="1"/>
    <w:next w:val="1"/>
    <w:autoRedefine/>
    <w:qFormat/>
    <w:uiPriority w:val="0"/>
    <w:pPr>
      <w:spacing w:line="360" w:lineRule="exact"/>
    </w:pPr>
    <w:rPr>
      <w:rFonts w:ascii="宋体" w:hAnsi="宋体" w:eastAsia="宋体" w:cs="Times New Roman"/>
      <w:szCs w:val="21"/>
    </w:rPr>
  </w:style>
  <w:style w:type="character" w:customStyle="1" w:styleId="36">
    <w:name w:val="标题 1 Char"/>
    <w:basedOn w:val="28"/>
    <w:link w:val="5"/>
    <w:autoRedefine/>
    <w:qFormat/>
    <w:uiPriority w:val="9"/>
    <w:rPr>
      <w:rFonts w:eastAsia="方正小标宋_GBK"/>
      <w:b/>
      <w:bCs/>
      <w:kern w:val="44"/>
      <w:sz w:val="32"/>
      <w:szCs w:val="44"/>
    </w:rPr>
  </w:style>
  <w:style w:type="character" w:customStyle="1" w:styleId="37">
    <w:name w:val="标题 3 Char"/>
    <w:basedOn w:val="28"/>
    <w:link w:val="7"/>
    <w:autoRedefine/>
    <w:qFormat/>
    <w:uiPriority w:val="9"/>
    <w:rPr>
      <w:rFonts w:eastAsia="仿宋"/>
      <w:b/>
      <w:bCs/>
      <w:sz w:val="28"/>
      <w:szCs w:val="32"/>
    </w:rPr>
  </w:style>
  <w:style w:type="character" w:customStyle="1" w:styleId="38">
    <w:name w:val="标题 4 Char"/>
    <w:basedOn w:val="28"/>
    <w:link w:val="8"/>
    <w:autoRedefine/>
    <w:semiHidden/>
    <w:qFormat/>
    <w:uiPriority w:val="9"/>
    <w:rPr>
      <w:rFonts w:asciiTheme="majorHAnsi" w:hAnsiTheme="majorHAnsi" w:eastAsiaTheme="majorEastAsia" w:cstheme="majorBidi"/>
      <w:b/>
      <w:bCs/>
      <w:sz w:val="28"/>
      <w:szCs w:val="28"/>
    </w:rPr>
  </w:style>
  <w:style w:type="character" w:customStyle="1" w:styleId="39">
    <w:name w:val="标题 5 Char"/>
    <w:basedOn w:val="28"/>
    <w:link w:val="9"/>
    <w:autoRedefine/>
    <w:semiHidden/>
    <w:qFormat/>
    <w:uiPriority w:val="9"/>
    <w:rPr>
      <w:b/>
      <w:bCs/>
      <w:sz w:val="28"/>
      <w:szCs w:val="28"/>
    </w:rPr>
  </w:style>
  <w:style w:type="character" w:customStyle="1" w:styleId="40">
    <w:name w:val="标题 6 Char"/>
    <w:basedOn w:val="28"/>
    <w:link w:val="10"/>
    <w:autoRedefine/>
    <w:semiHidden/>
    <w:qFormat/>
    <w:uiPriority w:val="9"/>
    <w:rPr>
      <w:rFonts w:asciiTheme="majorHAnsi" w:hAnsiTheme="majorHAnsi" w:eastAsiaTheme="majorEastAsia" w:cstheme="majorBidi"/>
      <w:b/>
      <w:bCs/>
      <w:sz w:val="24"/>
      <w:szCs w:val="24"/>
    </w:rPr>
  </w:style>
  <w:style w:type="character" w:customStyle="1" w:styleId="41">
    <w:name w:val="标题 7 Char"/>
    <w:basedOn w:val="28"/>
    <w:link w:val="11"/>
    <w:autoRedefine/>
    <w:semiHidden/>
    <w:qFormat/>
    <w:uiPriority w:val="9"/>
    <w:rPr>
      <w:b/>
      <w:bCs/>
      <w:sz w:val="24"/>
      <w:szCs w:val="24"/>
    </w:rPr>
  </w:style>
  <w:style w:type="character" w:customStyle="1" w:styleId="42">
    <w:name w:val="标题 8 Char"/>
    <w:basedOn w:val="28"/>
    <w:link w:val="12"/>
    <w:autoRedefine/>
    <w:semiHidden/>
    <w:qFormat/>
    <w:uiPriority w:val="9"/>
    <w:rPr>
      <w:rFonts w:asciiTheme="majorHAnsi" w:hAnsiTheme="majorHAnsi" w:eastAsiaTheme="majorEastAsia" w:cstheme="majorBidi"/>
      <w:sz w:val="24"/>
      <w:szCs w:val="24"/>
    </w:rPr>
  </w:style>
  <w:style w:type="character" w:customStyle="1" w:styleId="43">
    <w:name w:val="标题 9 Char"/>
    <w:basedOn w:val="28"/>
    <w:link w:val="13"/>
    <w:autoRedefine/>
    <w:semiHidden/>
    <w:qFormat/>
    <w:uiPriority w:val="9"/>
    <w:rPr>
      <w:rFonts w:asciiTheme="majorHAnsi" w:hAnsiTheme="majorHAnsi" w:eastAsiaTheme="majorEastAsia" w:cstheme="majorBidi"/>
      <w:szCs w:val="21"/>
    </w:rPr>
  </w:style>
  <w:style w:type="paragraph" w:customStyle="1" w:styleId="44">
    <w:name w:val="TOC 标题1"/>
    <w:basedOn w:val="5"/>
    <w:next w:val="1"/>
    <w:autoRedefine/>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批注框文本 Char"/>
    <w:basedOn w:val="28"/>
    <w:link w:val="17"/>
    <w:autoRedefine/>
    <w:semiHidden/>
    <w:qFormat/>
    <w:uiPriority w:val="99"/>
    <w:rPr>
      <w:sz w:val="18"/>
      <w:szCs w:val="18"/>
    </w:rPr>
  </w:style>
  <w:style w:type="character" w:customStyle="1" w:styleId="46">
    <w:name w:val="正文文本缩进 Char"/>
    <w:basedOn w:val="28"/>
    <w:link w:val="15"/>
    <w:autoRedefine/>
    <w:semiHidden/>
    <w:qFormat/>
    <w:uiPriority w:val="99"/>
  </w:style>
  <w:style w:type="character" w:customStyle="1" w:styleId="47">
    <w:name w:val="正文首行缩进 2 Char"/>
    <w:basedOn w:val="46"/>
    <w:link w:val="25"/>
    <w:autoRedefine/>
    <w:qFormat/>
    <w:uiPriority w:val="0"/>
    <w:rPr>
      <w:rFonts w:ascii="Times New Roman" w:hAnsi="Times New Roman" w:eastAsia="宋体" w:cs="Times New Roman"/>
      <w:sz w:val="24"/>
      <w:szCs w:val="24"/>
      <w:lang w:val="zh-CN"/>
    </w:rPr>
  </w:style>
  <w:style w:type="character" w:customStyle="1" w:styleId="48">
    <w:name w:val="列出段落 Char"/>
    <w:link w:val="33"/>
    <w:autoRedefine/>
    <w:qFormat/>
    <w:uiPriority w:val="34"/>
  </w:style>
  <w:style w:type="paragraph" w:customStyle="1" w:styleId="4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正文 Char"/>
    <w:link w:val="51"/>
    <w:autoRedefine/>
    <w:qFormat/>
    <w:uiPriority w:val="0"/>
    <w:rPr>
      <w:rFonts w:ascii="time" w:hAnsi="time"/>
      <w:sz w:val="24"/>
      <w:szCs w:val="24"/>
      <w:lang w:bidi="en-US"/>
    </w:rPr>
  </w:style>
  <w:style w:type="paragraph" w:customStyle="1" w:styleId="51">
    <w:name w:val="*正文"/>
    <w:basedOn w:val="1"/>
    <w:link w:val="50"/>
    <w:autoRedefine/>
    <w:qFormat/>
    <w:uiPriority w:val="0"/>
    <w:pPr>
      <w:widowControl/>
      <w:spacing w:line="360" w:lineRule="auto"/>
      <w:ind w:firstLine="200" w:firstLineChars="200"/>
      <w:contextualSpacing/>
    </w:pPr>
    <w:rPr>
      <w:rFonts w:ascii="time" w:hAnsi="time"/>
      <w:sz w:val="24"/>
      <w:szCs w:val="24"/>
      <w:lang w:bidi="en-US"/>
    </w:rPr>
  </w:style>
  <w:style w:type="character" w:customStyle="1" w:styleId="52">
    <w:name w:val="批注文字 Char"/>
    <w:basedOn w:val="28"/>
    <w:link w:val="14"/>
    <w:autoRedefine/>
    <w:qFormat/>
    <w:uiPriority w:val="99"/>
  </w:style>
  <w:style w:type="character" w:customStyle="1" w:styleId="53">
    <w:name w:val="批注主题 Char"/>
    <w:basedOn w:val="52"/>
    <w:link w:val="24"/>
    <w:autoRedefine/>
    <w:semiHidden/>
    <w:qFormat/>
    <w:uiPriority w:val="99"/>
    <w:rPr>
      <w:b/>
      <w:bCs/>
    </w:rPr>
  </w:style>
  <w:style w:type="character" w:customStyle="1" w:styleId="54">
    <w:name w:val="批注文字 字符1"/>
    <w:autoRedefine/>
    <w:qFormat/>
    <w:uiPriority w:val="99"/>
    <w:rPr>
      <w:rFonts w:eastAsia="仿宋"/>
      <w:kern w:val="2"/>
      <w:sz w:val="28"/>
      <w:szCs w:val="24"/>
    </w:rPr>
  </w:style>
  <w:style w:type="character" w:customStyle="1" w:styleId="55">
    <w:name w:val="脚注文本 Char"/>
    <w:basedOn w:val="28"/>
    <w:link w:val="21"/>
    <w:autoRedefine/>
    <w:qFormat/>
    <w:uiPriority w:val="99"/>
    <w:rPr>
      <w:rFonts w:ascii="Calibri" w:hAnsi="Calibri" w:eastAsia="宋体" w:cs="Times New Roman"/>
      <w:sz w:val="18"/>
      <w:szCs w:val="18"/>
    </w:rPr>
  </w:style>
  <w:style w:type="paragraph" w:customStyle="1" w:styleId="56">
    <w:name w:val="正文文字3"/>
    <w:basedOn w:val="3"/>
    <w:autoRedefine/>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7">
    <w:name w:val="正文文本 Char"/>
    <w:basedOn w:val="28"/>
    <w:link w:val="3"/>
    <w:autoRedefine/>
    <w:semiHidden/>
    <w:qFormat/>
    <w:uiPriority w:val="99"/>
  </w:style>
  <w:style w:type="paragraph" w:customStyle="1" w:styleId="58">
    <w:name w:val="正文缩进1"/>
    <w:basedOn w:val="1"/>
    <w:autoRedefine/>
    <w:qFormat/>
    <w:uiPriority w:val="0"/>
    <w:pPr>
      <w:ind w:firstLine="420"/>
    </w:pPr>
    <w:rPr>
      <w:rFonts w:ascii="Times New Roman" w:hAnsi="Times New Roman"/>
      <w:szCs w:val="20"/>
    </w:rPr>
  </w:style>
  <w:style w:type="paragraph" w:customStyle="1" w:styleId="59">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styleId="60">
    <w:name w:val="No Spacing"/>
    <w:autoRedefine/>
    <w:qFormat/>
    <w:uiPriority w:val="1"/>
    <w:pPr>
      <w:widowControl w:val="0"/>
      <w:jc w:val="both"/>
    </w:pPr>
    <w:rPr>
      <w:rFonts w:asciiTheme="minorHAnsi" w:hAnsiTheme="minorHAnsi" w:eastAsiaTheme="minorEastAsia" w:cstheme="minorBidi"/>
      <w:kern w:val="2"/>
      <w:sz w:val="24"/>
      <w:szCs w:val="22"/>
      <w:lang w:val="en-US" w:eastAsia="zh-CN" w:bidi="ar-SA"/>
    </w:rPr>
  </w:style>
  <w:style w:type="paragraph" w:customStyle="1" w:styleId="6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2">
    <w:name w:val="table"/>
    <w:basedOn w:val="1"/>
    <w:autoRedefine/>
    <w:qFormat/>
    <w:uiPriority w:val="0"/>
    <w:rPr>
      <w:rFonts w:ascii="仿宋" w:hAnsi="仿宋" w:cs="仿宋"/>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22</Pages>
  <Words>710</Words>
  <Characters>739</Characters>
  <Lines>80</Lines>
  <Paragraphs>22</Paragraphs>
  <TotalTime>28</TotalTime>
  <ScaleCrop>false</ScaleCrop>
  <LinksUpToDate>false</LinksUpToDate>
  <CharactersWithSpaces>742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2024-01-17T07:00:00Z</dcterms:created>
  <dc:creator>ntko</dc:creator>
  <cp:lastModifiedBy>user</cp:lastModifiedBy>
  <cp:lastPrinted>2023-11-29T01:34:00Z</cp:lastPrinted>
  <dcterms:modified xsi:type="dcterms:W3CDTF">2025-01-10T10:33:39Z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68F0149A43A14EB89633E0B970893660_13</vt:lpwstr>
  </property>
</Properties>
</file>