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3C1AD">
      <w:pPr>
        <w:ind w:firstLine="0" w:firstLineChars="0"/>
        <w:jc w:val="center"/>
        <w:rPr>
          <w:rFonts w:hint="eastAsia" w:ascii="黑体" w:hAnsi="黑体" w:eastAsia="黑体"/>
          <w:sz w:val="48"/>
          <w:szCs w:val="48"/>
        </w:rPr>
      </w:pPr>
    </w:p>
    <w:p w14:paraId="06B9EB7C">
      <w:pPr>
        <w:ind w:firstLine="0" w:firstLineChars="0"/>
        <w:jc w:val="center"/>
        <w:rPr>
          <w:rFonts w:hint="eastAsia" w:ascii="黑体" w:hAnsi="黑体" w:eastAsia="黑体"/>
          <w:sz w:val="48"/>
          <w:szCs w:val="48"/>
        </w:rPr>
      </w:pPr>
    </w:p>
    <w:p w14:paraId="77CF268F">
      <w:pPr>
        <w:ind w:firstLine="0" w:firstLineChars="0"/>
        <w:jc w:val="center"/>
        <w:rPr>
          <w:rFonts w:hint="eastAsia" w:ascii="黑体" w:hAnsi="黑体" w:eastAsia="黑体"/>
          <w:sz w:val="36"/>
          <w:szCs w:val="36"/>
        </w:rPr>
      </w:pPr>
      <w:r>
        <w:rPr>
          <w:rFonts w:hint="eastAsia" w:ascii="黑体" w:hAnsi="黑体" w:eastAsia="黑体"/>
          <w:sz w:val="36"/>
          <w:szCs w:val="36"/>
        </w:rPr>
        <w:t>基础设施（2025年升级改造）</w:t>
      </w:r>
    </w:p>
    <w:p w14:paraId="2CBFAD32">
      <w:pPr>
        <w:ind w:firstLine="0" w:firstLineChars="0"/>
        <w:jc w:val="center"/>
        <w:rPr>
          <w:rFonts w:hint="eastAsia" w:ascii="黑体" w:hAnsi="黑体" w:eastAsia="黑体"/>
          <w:sz w:val="32"/>
          <w:szCs w:val="32"/>
        </w:rPr>
      </w:pPr>
      <w:r>
        <w:rPr>
          <w:rFonts w:hint="eastAsia" w:ascii="黑体" w:hAnsi="黑体" w:eastAsia="黑体"/>
          <w:sz w:val="32"/>
          <w:szCs w:val="32"/>
        </w:rPr>
        <w:t>采购需求</w:t>
      </w:r>
    </w:p>
    <w:p w14:paraId="61072D04">
      <w:pPr>
        <w:ind w:firstLine="0" w:firstLineChars="0"/>
        <w:jc w:val="center"/>
        <w:rPr>
          <w:rFonts w:hint="eastAsia" w:ascii="黑体" w:hAnsi="黑体" w:eastAsia="黑体"/>
          <w:sz w:val="72"/>
          <w:szCs w:val="72"/>
        </w:rPr>
      </w:pPr>
    </w:p>
    <w:p w14:paraId="6B56D009">
      <w:pPr>
        <w:ind w:firstLine="0" w:firstLineChars="0"/>
        <w:jc w:val="center"/>
        <w:rPr>
          <w:rFonts w:hint="eastAsia" w:ascii="黑体" w:hAnsi="黑体" w:eastAsia="黑体"/>
          <w:sz w:val="48"/>
          <w:szCs w:val="48"/>
        </w:rPr>
      </w:pPr>
    </w:p>
    <w:p w14:paraId="7C77E473">
      <w:pPr>
        <w:ind w:firstLine="0" w:firstLineChars="0"/>
        <w:jc w:val="center"/>
        <w:rPr>
          <w:rFonts w:hint="eastAsia" w:ascii="黑体" w:hAnsi="黑体" w:eastAsia="黑体"/>
          <w:sz w:val="52"/>
          <w:szCs w:val="52"/>
        </w:rPr>
      </w:pPr>
    </w:p>
    <w:p w14:paraId="1E84014C">
      <w:pPr>
        <w:ind w:firstLine="1040"/>
        <w:rPr>
          <w:rFonts w:hint="eastAsia" w:ascii="黑体" w:hAnsi="黑体" w:eastAsia="黑体"/>
          <w:sz w:val="52"/>
          <w:szCs w:val="52"/>
        </w:rPr>
      </w:pPr>
    </w:p>
    <w:p w14:paraId="49327B47">
      <w:pPr>
        <w:rPr>
          <w:rFonts w:hint="eastAsia"/>
        </w:rPr>
      </w:pPr>
    </w:p>
    <w:p w14:paraId="30B03540">
      <w:pPr>
        <w:rPr>
          <w:rFonts w:hint="eastAsia"/>
        </w:rPr>
      </w:pPr>
    </w:p>
    <w:p w14:paraId="72F7A5A6">
      <w:pPr>
        <w:rPr>
          <w:rFonts w:hint="eastAsia"/>
        </w:rPr>
      </w:pPr>
    </w:p>
    <w:p w14:paraId="219AC37F">
      <w:pPr>
        <w:rPr>
          <w:rFonts w:hint="eastAsia"/>
        </w:rPr>
      </w:pPr>
    </w:p>
    <w:p w14:paraId="494AB215">
      <w:pPr>
        <w:rPr>
          <w:rFonts w:hint="eastAsia"/>
        </w:rPr>
      </w:pPr>
    </w:p>
    <w:p w14:paraId="519EAC64">
      <w:pPr>
        <w:ind w:firstLine="1040"/>
        <w:rPr>
          <w:rFonts w:hint="eastAsia" w:ascii="黑体" w:hAnsi="黑体" w:eastAsia="黑体"/>
          <w:sz w:val="52"/>
          <w:szCs w:val="52"/>
        </w:rPr>
      </w:pPr>
    </w:p>
    <w:p w14:paraId="22D93C46">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23C755D5">
      <w:pPr>
        <w:pStyle w:val="2"/>
        <w:rPr>
          <w:rFonts w:hint="eastAsia"/>
        </w:rPr>
      </w:pPr>
      <w:bookmarkStart w:id="0" w:name="_Toc63785461"/>
      <w:r>
        <w:rPr>
          <w:rFonts w:hint="eastAsia"/>
        </w:rPr>
        <w:t>项目概况</w:t>
      </w:r>
      <w:bookmarkEnd w:id="0"/>
    </w:p>
    <w:p w14:paraId="20D72A74">
      <w:pPr>
        <w:spacing w:line="560" w:lineRule="exact"/>
        <w:rPr>
          <w:rFonts w:hint="eastAsia"/>
        </w:rPr>
      </w:pPr>
      <w:r>
        <w:rPr>
          <w:rFonts w:hint="eastAsia"/>
        </w:rPr>
        <w:t>项目背景&amp;现状：根据监狱管理局视频会议整体规划，对视频会议核心部件进行升级，提升视频会议系统整体运行质量及可持续运行效能，满足市监狱管理局召开高质量视频会议的需求，满足《全国司法行政视频会议系统建设管理规范》要求。根据监狱管理视频监控联网平台整体规划，对监控联网主平台的相关核心部件进行升级，满足市监狱管理局对监狱监控联网的需求以及按照司法部规范推送数据的需求。</w:t>
      </w:r>
    </w:p>
    <w:p w14:paraId="7E4CE6A1">
      <w:pPr>
        <w:spacing w:line="560" w:lineRule="exact"/>
        <w:rPr>
          <w:rFonts w:hint="eastAsia"/>
        </w:rPr>
      </w:pPr>
      <w:r>
        <w:rPr>
          <w:rFonts w:hint="eastAsia"/>
        </w:rPr>
        <w:t>建设期限：自合同签订之日六个月</w:t>
      </w:r>
    </w:p>
    <w:p w14:paraId="65A37440">
      <w:pPr>
        <w:spacing w:line="560" w:lineRule="exact"/>
        <w:rPr>
          <w:rFonts w:hint="eastAsia"/>
        </w:rPr>
      </w:pPr>
      <w:r>
        <w:rPr>
          <w:rFonts w:hint="eastAsia"/>
        </w:rPr>
        <w:t>建设地点：上海</w:t>
      </w:r>
    </w:p>
    <w:p w14:paraId="3FFCC7E3">
      <w:pPr>
        <w:rPr>
          <w:rFonts w:hint="eastAsia"/>
        </w:rPr>
      </w:pPr>
      <w:r>
        <w:t>是否按信创要求建设：</w:t>
      </w:r>
      <w:r>
        <w:rPr>
          <w:rFonts w:hint="eastAsia"/>
        </w:rPr>
        <w:t>是</w:t>
      </w:r>
    </w:p>
    <w:p w14:paraId="5F8D33B8">
      <w:pPr>
        <w:rPr>
          <w:rFonts w:hint="eastAsia"/>
        </w:rPr>
      </w:pPr>
      <w:r>
        <w:rPr>
          <w:rFonts w:hint="eastAsia"/>
        </w:rPr>
        <w:t>运维后所属大系统：基础设施</w:t>
      </w:r>
    </w:p>
    <w:p w14:paraId="4705F508">
      <w:pPr>
        <w:pStyle w:val="2"/>
        <w:rPr>
          <w:rFonts w:hint="eastAsia"/>
        </w:rPr>
      </w:pPr>
      <w:bookmarkStart w:id="1" w:name="_Toc47536644"/>
      <w:bookmarkEnd w:id="1"/>
      <w:bookmarkStart w:id="2" w:name="_Toc47532891"/>
      <w:bookmarkEnd w:id="2"/>
      <w:bookmarkStart w:id="3" w:name="_Toc47531634"/>
      <w:bookmarkEnd w:id="3"/>
      <w:bookmarkStart w:id="4" w:name="_Toc47532255"/>
      <w:bookmarkEnd w:id="4"/>
      <w:bookmarkStart w:id="5" w:name="_Toc47537134"/>
      <w:bookmarkEnd w:id="5"/>
      <w:bookmarkStart w:id="6" w:name="_Toc47539070"/>
      <w:bookmarkEnd w:id="6"/>
      <w:bookmarkStart w:id="7" w:name="_Toc47533256"/>
      <w:bookmarkEnd w:id="7"/>
      <w:bookmarkStart w:id="8" w:name="_Toc47536272"/>
      <w:bookmarkEnd w:id="8"/>
      <w:bookmarkStart w:id="9" w:name="_Toc48223882"/>
      <w:bookmarkStart w:id="10" w:name="_Toc63785463"/>
      <w:r>
        <w:rPr>
          <w:rFonts w:hint="eastAsia"/>
        </w:rPr>
        <w:t>建设目标</w:t>
      </w:r>
      <w:bookmarkEnd w:id="9"/>
      <w:bookmarkEnd w:id="10"/>
    </w:p>
    <w:p w14:paraId="7D1625D5">
      <w:pPr>
        <w:ind w:firstLine="482"/>
        <w:rPr>
          <w:rFonts w:hint="eastAsia"/>
          <w:b/>
          <w:bCs/>
        </w:rPr>
      </w:pPr>
      <w:r>
        <w:rPr>
          <w:rFonts w:hint="eastAsia"/>
          <w:b/>
          <w:bCs/>
        </w:rPr>
        <w:t>一、视频会议升级改造目标</w:t>
      </w:r>
    </w:p>
    <w:p w14:paraId="55B663EC">
      <w:pPr>
        <w:rPr>
          <w:rFonts w:hint="eastAsia"/>
        </w:rPr>
      </w:pPr>
      <w:r>
        <w:rPr>
          <w:rFonts w:hint="eastAsia"/>
        </w:rPr>
        <w:t>1)</w:t>
      </w:r>
      <w:r>
        <w:rPr>
          <w:rFonts w:hint="eastAsia"/>
        </w:rPr>
        <w:tab/>
      </w:r>
      <w:r>
        <w:rPr>
          <w:rFonts w:hint="eastAsia"/>
        </w:rPr>
        <w:t>提高系统稳定性。通过对市监狱局视频会议系统核心设备多点控制单元MCU、视频会议终端、录播服务器进行升级替换，降低系统故障风险，同时具备优异的网络适应性，提供稳定的会议服务。</w:t>
      </w:r>
    </w:p>
    <w:p w14:paraId="51244533">
      <w:pPr>
        <w:rPr>
          <w:rFonts w:hint="eastAsia"/>
        </w:rPr>
      </w:pPr>
      <w:r>
        <w:rPr>
          <w:rFonts w:hint="eastAsia"/>
        </w:rPr>
        <w:t>2)</w:t>
      </w:r>
      <w:r>
        <w:rPr>
          <w:rFonts w:hint="eastAsia"/>
        </w:rPr>
        <w:tab/>
      </w:r>
      <w:r>
        <w:rPr>
          <w:rFonts w:hint="eastAsia"/>
        </w:rPr>
        <w:t>提高系统兼容性。多点控制单元、录播服务器、视频会议终端均采用国产化产品，基于先进的架构设计理念，支持国密算法，兼容国产化客户端，提高系统兼容性。</w:t>
      </w:r>
    </w:p>
    <w:p w14:paraId="777FA804">
      <w:pPr>
        <w:rPr>
          <w:rFonts w:hint="eastAsia"/>
        </w:rPr>
      </w:pPr>
      <w:r>
        <w:rPr>
          <w:rFonts w:hint="eastAsia"/>
        </w:rPr>
        <w:t>3)</w:t>
      </w:r>
      <w:r>
        <w:rPr>
          <w:rFonts w:hint="eastAsia"/>
        </w:rPr>
        <w:tab/>
      </w:r>
      <w:r>
        <w:rPr>
          <w:rFonts w:hint="eastAsia"/>
        </w:rPr>
        <w:t>提高会议体验。应用4K视频编解码等先进技术，支持业内领先的4K至臻超清图像清晰度，和高达8Mbps处理能力，为用户提供高清会议体验。</w:t>
      </w:r>
    </w:p>
    <w:p w14:paraId="359A4A58">
      <w:pPr>
        <w:rPr>
          <w:rFonts w:hint="eastAsia"/>
        </w:rPr>
      </w:pPr>
      <w:r>
        <w:rPr>
          <w:rFonts w:hint="eastAsia"/>
        </w:rPr>
        <w:t>4)</w:t>
      </w:r>
      <w:r>
        <w:rPr>
          <w:rFonts w:hint="eastAsia"/>
        </w:rPr>
        <w:tab/>
      </w:r>
      <w:r>
        <w:rPr>
          <w:rFonts w:hint="eastAsia"/>
        </w:rPr>
        <w:t>提高工作效率。通过视频会议系统，可以实现远程召开日常性和临时性的视频会议，减少了通勤往返时间，提高了会议的效率。同时支持多种会议控制、多画面、会议录像、点播等功能，进一步提升了沟通效果和工作效率。</w:t>
      </w:r>
    </w:p>
    <w:p w14:paraId="65ABE550">
      <w:pPr>
        <w:ind w:firstLine="482"/>
        <w:rPr>
          <w:rFonts w:hint="eastAsia"/>
          <w:b/>
          <w:bCs/>
        </w:rPr>
      </w:pPr>
      <w:r>
        <w:rPr>
          <w:rFonts w:hint="eastAsia"/>
          <w:b/>
          <w:bCs/>
        </w:rPr>
        <w:t>二、视频监控联网升级改造目标</w:t>
      </w:r>
    </w:p>
    <w:p w14:paraId="6C044BFA">
      <w:pPr>
        <w:rPr>
          <w:rFonts w:hint="eastAsia"/>
        </w:rPr>
      </w:pPr>
      <w:r>
        <w:rPr>
          <w:rFonts w:hint="eastAsia"/>
        </w:rPr>
        <w:t>改造后可实现基层单位推送上来的组织目录数分组直接推送市司法局，由市司法局推送司法部，满足司法部分组推送要求。优化了组网架构。同时解决了部分单位国标协议不兼容、监控图像实时浏览卡顿、推送H.265编码图像不支持解码等问题。满足了市监狱管理局指挥中心及相关业务处室视频监控类业务调阅需求。</w:t>
      </w:r>
    </w:p>
    <w:tbl>
      <w:tblPr>
        <w:tblStyle w:val="35"/>
        <w:tblW w:w="92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68"/>
        <w:gridCol w:w="1153"/>
        <w:gridCol w:w="1275"/>
        <w:gridCol w:w="1560"/>
        <w:gridCol w:w="1559"/>
        <w:gridCol w:w="2812"/>
      </w:tblGrid>
      <w:tr w14:paraId="46E58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 w:hRule="atLeast"/>
          <w:jc w:val="center"/>
        </w:trPr>
        <w:tc>
          <w:tcPr>
            <w:tcW w:w="2021" w:type="dxa"/>
            <w:gridSpan w:val="2"/>
            <w:shd w:val="clear" w:color="auto" w:fill="auto"/>
            <w:vAlign w:val="center"/>
          </w:tcPr>
          <w:p w14:paraId="61AD4325">
            <w:pPr>
              <w:pStyle w:val="136"/>
              <w:ind w:firstLine="442"/>
              <w:jc w:val="center"/>
              <w:rPr>
                <w:b/>
                <w:bCs/>
                <w:sz w:val="22"/>
                <w:szCs w:val="28"/>
              </w:rPr>
            </w:pPr>
            <w:r>
              <w:rPr>
                <w:rFonts w:hint="eastAsia"/>
                <w:b/>
                <w:bCs/>
              </w:rPr>
              <w:t>三、</w:t>
            </w:r>
            <w:r>
              <w:rPr>
                <w:b/>
                <w:bCs/>
              </w:rPr>
              <w:t>业务绩效考核目标</w:t>
            </w:r>
            <w:r>
              <w:rPr>
                <w:rFonts w:hint="eastAsia"/>
                <w:b/>
                <w:bCs/>
                <w:sz w:val="22"/>
                <w:szCs w:val="28"/>
              </w:rPr>
              <w:t>业务目标</w:t>
            </w:r>
          </w:p>
        </w:tc>
        <w:tc>
          <w:tcPr>
            <w:tcW w:w="7206" w:type="dxa"/>
            <w:gridSpan w:val="4"/>
            <w:vAlign w:val="center"/>
          </w:tcPr>
          <w:p w14:paraId="4EF5CDD0">
            <w:pPr>
              <w:pStyle w:val="136"/>
              <w:widowControl w:val="0"/>
              <w:ind w:firstLine="442"/>
              <w:jc w:val="center"/>
              <w:rPr>
                <w:b/>
                <w:bCs/>
                <w:sz w:val="22"/>
                <w:szCs w:val="28"/>
              </w:rPr>
            </w:pPr>
            <w:r>
              <w:rPr>
                <w:rFonts w:hint="eastAsia"/>
                <w:b/>
                <w:bCs/>
                <w:sz w:val="22"/>
                <w:szCs w:val="28"/>
              </w:rPr>
              <w:t>视频会议系统</w:t>
            </w:r>
          </w:p>
        </w:tc>
      </w:tr>
      <w:tr w14:paraId="5E396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6EDB53D1">
            <w:pPr>
              <w:pStyle w:val="136"/>
              <w:widowControl w:val="0"/>
              <w:jc w:val="center"/>
              <w:rPr>
                <w:b/>
              </w:rPr>
            </w:pPr>
            <w:r>
              <w:rPr>
                <w:rFonts w:hint="eastAsia"/>
                <w:b/>
              </w:rPr>
              <w:t>序号</w:t>
            </w:r>
          </w:p>
        </w:tc>
        <w:tc>
          <w:tcPr>
            <w:tcW w:w="1153" w:type="dxa"/>
            <w:shd w:val="clear" w:color="auto" w:fill="auto"/>
            <w:vAlign w:val="center"/>
          </w:tcPr>
          <w:p w14:paraId="6F2B7874">
            <w:pPr>
              <w:pStyle w:val="136"/>
              <w:widowControl w:val="0"/>
              <w:jc w:val="center"/>
              <w:rPr>
                <w:b/>
              </w:rPr>
            </w:pPr>
            <w:r>
              <w:rPr>
                <w:rFonts w:hint="eastAsia"/>
                <w:b/>
              </w:rPr>
              <w:t>一级指标</w:t>
            </w:r>
          </w:p>
        </w:tc>
        <w:tc>
          <w:tcPr>
            <w:tcW w:w="1275" w:type="dxa"/>
            <w:shd w:val="clear" w:color="auto" w:fill="auto"/>
            <w:vAlign w:val="center"/>
          </w:tcPr>
          <w:p w14:paraId="71B8D9F9">
            <w:pPr>
              <w:pStyle w:val="136"/>
              <w:widowControl w:val="0"/>
              <w:jc w:val="center"/>
              <w:rPr>
                <w:b/>
              </w:rPr>
            </w:pPr>
            <w:r>
              <w:rPr>
                <w:rFonts w:hint="eastAsia"/>
                <w:b/>
              </w:rPr>
              <w:t>二级指标</w:t>
            </w:r>
          </w:p>
        </w:tc>
        <w:tc>
          <w:tcPr>
            <w:tcW w:w="1560" w:type="dxa"/>
            <w:shd w:val="clear" w:color="auto" w:fill="auto"/>
            <w:vAlign w:val="center"/>
          </w:tcPr>
          <w:p w14:paraId="5B8F0B95">
            <w:pPr>
              <w:pStyle w:val="136"/>
              <w:widowControl w:val="0"/>
              <w:jc w:val="center"/>
              <w:rPr>
                <w:b/>
              </w:rPr>
            </w:pPr>
            <w:r>
              <w:rPr>
                <w:rFonts w:hint="eastAsia"/>
                <w:b/>
              </w:rPr>
              <w:t>三级指标</w:t>
            </w:r>
          </w:p>
        </w:tc>
        <w:tc>
          <w:tcPr>
            <w:tcW w:w="1559" w:type="dxa"/>
          </w:tcPr>
          <w:p w14:paraId="19BC4326">
            <w:pPr>
              <w:pStyle w:val="136"/>
              <w:widowControl w:val="0"/>
              <w:jc w:val="center"/>
              <w:rPr>
                <w:b/>
              </w:rPr>
            </w:pPr>
            <w:r>
              <w:rPr>
                <w:rFonts w:hint="eastAsia"/>
                <w:b/>
              </w:rPr>
              <w:t>四级指标</w:t>
            </w:r>
          </w:p>
        </w:tc>
        <w:tc>
          <w:tcPr>
            <w:tcW w:w="2812" w:type="dxa"/>
            <w:shd w:val="clear" w:color="auto" w:fill="auto"/>
            <w:vAlign w:val="center"/>
          </w:tcPr>
          <w:p w14:paraId="6668D17C">
            <w:pPr>
              <w:pStyle w:val="136"/>
              <w:widowControl w:val="0"/>
              <w:jc w:val="center"/>
              <w:rPr>
                <w:b/>
              </w:rPr>
            </w:pPr>
            <w:r>
              <w:rPr>
                <w:rFonts w:hint="eastAsia"/>
                <w:b/>
              </w:rPr>
              <w:t>指标值</w:t>
            </w:r>
          </w:p>
        </w:tc>
      </w:tr>
      <w:tr w14:paraId="507FF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5AA09876">
            <w:pPr>
              <w:pStyle w:val="136"/>
              <w:widowControl w:val="0"/>
              <w:jc w:val="center"/>
              <w:rPr>
                <w:rFonts w:eastAsia="等线" w:cs="Times New Roman"/>
              </w:rPr>
            </w:pPr>
            <w:r>
              <w:rPr>
                <w:rFonts w:eastAsia="等线" w:cs="Times New Roman"/>
              </w:rPr>
              <w:t>1</w:t>
            </w:r>
          </w:p>
        </w:tc>
        <w:tc>
          <w:tcPr>
            <w:tcW w:w="1153" w:type="dxa"/>
            <w:shd w:val="clear" w:color="auto" w:fill="auto"/>
            <w:vAlign w:val="center"/>
          </w:tcPr>
          <w:p w14:paraId="5E05D263">
            <w:pPr>
              <w:pStyle w:val="136"/>
              <w:widowControl w:val="0"/>
              <w:jc w:val="center"/>
            </w:pPr>
            <w:r>
              <w:rPr>
                <w:rFonts w:hint="eastAsia"/>
              </w:rPr>
              <w:t>通用指标</w:t>
            </w:r>
          </w:p>
        </w:tc>
        <w:tc>
          <w:tcPr>
            <w:tcW w:w="1275" w:type="dxa"/>
            <w:shd w:val="clear" w:color="auto" w:fill="auto"/>
            <w:vAlign w:val="center"/>
          </w:tcPr>
          <w:p w14:paraId="206512E8">
            <w:pPr>
              <w:pStyle w:val="136"/>
              <w:widowControl w:val="0"/>
              <w:jc w:val="center"/>
            </w:pPr>
            <w:r>
              <w:rPr>
                <w:rFonts w:hint="eastAsia"/>
              </w:rPr>
              <w:t>产出指标</w:t>
            </w:r>
          </w:p>
        </w:tc>
        <w:tc>
          <w:tcPr>
            <w:tcW w:w="1560" w:type="dxa"/>
            <w:shd w:val="clear" w:color="auto" w:fill="auto"/>
            <w:vAlign w:val="center"/>
          </w:tcPr>
          <w:p w14:paraId="60931A2F">
            <w:pPr>
              <w:pStyle w:val="136"/>
              <w:widowControl w:val="0"/>
              <w:jc w:val="center"/>
            </w:pPr>
            <w:r>
              <w:t>产出数量</w:t>
            </w:r>
          </w:p>
        </w:tc>
        <w:tc>
          <w:tcPr>
            <w:tcW w:w="1559" w:type="dxa"/>
            <w:vAlign w:val="center"/>
          </w:tcPr>
          <w:p w14:paraId="066056FE">
            <w:pPr>
              <w:pStyle w:val="136"/>
              <w:widowControl w:val="0"/>
              <w:jc w:val="center"/>
            </w:pPr>
            <w:r>
              <w:t>硬件设备购置完成率</w:t>
            </w:r>
          </w:p>
        </w:tc>
        <w:tc>
          <w:tcPr>
            <w:tcW w:w="2812" w:type="dxa"/>
            <w:shd w:val="clear" w:color="auto" w:fill="auto"/>
            <w:vAlign w:val="center"/>
          </w:tcPr>
          <w:p w14:paraId="38F6008D">
            <w:pPr>
              <w:pStyle w:val="136"/>
              <w:widowControl w:val="0"/>
              <w:jc w:val="center"/>
            </w:pPr>
            <w:r>
              <w:rPr>
                <w:rFonts w:hint="eastAsia"/>
              </w:rPr>
              <w:t>100%</w:t>
            </w:r>
          </w:p>
        </w:tc>
      </w:tr>
      <w:tr w14:paraId="282D8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5" w:hRule="atLeast"/>
          <w:jc w:val="center"/>
        </w:trPr>
        <w:tc>
          <w:tcPr>
            <w:tcW w:w="868" w:type="dxa"/>
            <w:shd w:val="clear" w:color="auto" w:fill="auto"/>
            <w:vAlign w:val="center"/>
          </w:tcPr>
          <w:p w14:paraId="58200E5F">
            <w:pPr>
              <w:pStyle w:val="136"/>
              <w:widowControl w:val="0"/>
              <w:jc w:val="center"/>
              <w:rPr>
                <w:rFonts w:eastAsia="等线" w:cs="Times New Roman"/>
              </w:rPr>
            </w:pPr>
            <w:r>
              <w:rPr>
                <w:rFonts w:hint="eastAsia" w:eastAsia="等线" w:cs="Times New Roman"/>
              </w:rPr>
              <w:t>2</w:t>
            </w:r>
          </w:p>
        </w:tc>
        <w:tc>
          <w:tcPr>
            <w:tcW w:w="1153" w:type="dxa"/>
            <w:shd w:val="clear" w:color="auto" w:fill="auto"/>
            <w:vAlign w:val="center"/>
          </w:tcPr>
          <w:p w14:paraId="60D4411B">
            <w:pPr>
              <w:pStyle w:val="136"/>
              <w:widowControl w:val="0"/>
              <w:jc w:val="center"/>
            </w:pPr>
            <w:r>
              <w:rPr>
                <w:rFonts w:hint="eastAsia"/>
              </w:rPr>
              <w:t>通用指标</w:t>
            </w:r>
          </w:p>
        </w:tc>
        <w:tc>
          <w:tcPr>
            <w:tcW w:w="1275" w:type="dxa"/>
            <w:shd w:val="clear" w:color="auto" w:fill="auto"/>
            <w:vAlign w:val="center"/>
          </w:tcPr>
          <w:p w14:paraId="49D2868B">
            <w:pPr>
              <w:pStyle w:val="136"/>
              <w:widowControl w:val="0"/>
              <w:jc w:val="center"/>
            </w:pPr>
            <w:r>
              <w:rPr>
                <w:rFonts w:hint="eastAsia"/>
              </w:rPr>
              <w:t>产出指标</w:t>
            </w:r>
          </w:p>
        </w:tc>
        <w:tc>
          <w:tcPr>
            <w:tcW w:w="1560" w:type="dxa"/>
            <w:shd w:val="clear" w:color="auto" w:fill="auto"/>
            <w:vAlign w:val="center"/>
          </w:tcPr>
          <w:p w14:paraId="2C806541">
            <w:pPr>
              <w:pStyle w:val="136"/>
              <w:widowControl w:val="0"/>
              <w:jc w:val="center"/>
            </w:pPr>
            <w:r>
              <w:t>产出</w:t>
            </w:r>
            <w:r>
              <w:rPr>
                <w:rFonts w:hint="eastAsia"/>
              </w:rPr>
              <w:t>质量</w:t>
            </w:r>
          </w:p>
        </w:tc>
        <w:tc>
          <w:tcPr>
            <w:tcW w:w="1559" w:type="dxa"/>
            <w:vAlign w:val="center"/>
          </w:tcPr>
          <w:p w14:paraId="54B93186">
            <w:pPr>
              <w:pStyle w:val="136"/>
              <w:widowControl w:val="0"/>
              <w:jc w:val="center"/>
            </w:pPr>
            <w:r>
              <w:t>系统可靠性</w:t>
            </w:r>
          </w:p>
        </w:tc>
        <w:tc>
          <w:tcPr>
            <w:tcW w:w="2812" w:type="dxa"/>
            <w:shd w:val="clear" w:color="auto" w:fill="auto"/>
            <w:vAlign w:val="center"/>
          </w:tcPr>
          <w:p w14:paraId="5FADC362">
            <w:pPr>
              <w:pStyle w:val="136"/>
              <w:widowControl w:val="0"/>
              <w:jc w:val="center"/>
            </w:pPr>
            <w:r>
              <w:rPr>
                <w:rFonts w:hint="eastAsia"/>
              </w:rPr>
              <w:t>100%</w:t>
            </w:r>
          </w:p>
        </w:tc>
      </w:tr>
      <w:tr w14:paraId="0180E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74CA67D1">
            <w:pPr>
              <w:pStyle w:val="136"/>
              <w:widowControl w:val="0"/>
              <w:jc w:val="center"/>
              <w:rPr>
                <w:rFonts w:eastAsia="等线" w:cs="Times New Roman"/>
              </w:rPr>
            </w:pPr>
            <w:r>
              <w:rPr>
                <w:rFonts w:hint="eastAsia" w:eastAsia="等线" w:cs="Times New Roman"/>
              </w:rPr>
              <w:t>3</w:t>
            </w:r>
          </w:p>
        </w:tc>
        <w:tc>
          <w:tcPr>
            <w:tcW w:w="1153" w:type="dxa"/>
            <w:shd w:val="clear" w:color="auto" w:fill="auto"/>
            <w:vAlign w:val="center"/>
          </w:tcPr>
          <w:p w14:paraId="13FDB27E">
            <w:pPr>
              <w:pStyle w:val="136"/>
              <w:widowControl w:val="0"/>
              <w:jc w:val="center"/>
            </w:pPr>
            <w:r>
              <w:rPr>
                <w:rFonts w:hint="eastAsia"/>
              </w:rPr>
              <w:t>通用指标</w:t>
            </w:r>
          </w:p>
        </w:tc>
        <w:tc>
          <w:tcPr>
            <w:tcW w:w="1275" w:type="dxa"/>
            <w:shd w:val="clear" w:color="auto" w:fill="auto"/>
            <w:vAlign w:val="center"/>
          </w:tcPr>
          <w:p w14:paraId="06B53F1A">
            <w:pPr>
              <w:pStyle w:val="136"/>
              <w:widowControl w:val="0"/>
              <w:jc w:val="center"/>
            </w:pPr>
            <w:r>
              <w:t>产出指标</w:t>
            </w:r>
          </w:p>
        </w:tc>
        <w:tc>
          <w:tcPr>
            <w:tcW w:w="1560" w:type="dxa"/>
            <w:shd w:val="clear" w:color="auto" w:fill="auto"/>
            <w:vAlign w:val="center"/>
          </w:tcPr>
          <w:p w14:paraId="72428C2E">
            <w:pPr>
              <w:pStyle w:val="136"/>
              <w:widowControl w:val="0"/>
              <w:jc w:val="center"/>
            </w:pPr>
            <w:r>
              <w:t>产出质量</w:t>
            </w:r>
          </w:p>
        </w:tc>
        <w:tc>
          <w:tcPr>
            <w:tcW w:w="1559" w:type="dxa"/>
            <w:vAlign w:val="center"/>
          </w:tcPr>
          <w:p w14:paraId="7E08A257">
            <w:pPr>
              <w:pStyle w:val="136"/>
              <w:widowControl w:val="0"/>
              <w:jc w:val="center"/>
            </w:pPr>
            <w:r>
              <w:t>一次性验收合格率</w:t>
            </w:r>
          </w:p>
        </w:tc>
        <w:tc>
          <w:tcPr>
            <w:tcW w:w="2812" w:type="dxa"/>
            <w:shd w:val="clear" w:color="auto" w:fill="auto"/>
            <w:vAlign w:val="center"/>
          </w:tcPr>
          <w:p w14:paraId="2C48D785">
            <w:pPr>
              <w:pStyle w:val="136"/>
              <w:widowControl w:val="0"/>
              <w:jc w:val="center"/>
            </w:pPr>
            <w:r>
              <w:rPr>
                <w:rFonts w:hint="eastAsia"/>
              </w:rPr>
              <w:t>100%</w:t>
            </w:r>
          </w:p>
        </w:tc>
      </w:tr>
      <w:tr w14:paraId="35092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868" w:type="dxa"/>
            <w:shd w:val="clear" w:color="auto" w:fill="auto"/>
            <w:vAlign w:val="center"/>
          </w:tcPr>
          <w:p w14:paraId="48974734">
            <w:pPr>
              <w:pStyle w:val="136"/>
              <w:widowControl w:val="0"/>
              <w:jc w:val="center"/>
              <w:rPr>
                <w:rFonts w:eastAsia="等线" w:cs="Times New Roman"/>
              </w:rPr>
            </w:pPr>
            <w:r>
              <w:rPr>
                <w:rFonts w:hint="eastAsia" w:eastAsia="等线" w:cs="Times New Roman"/>
              </w:rPr>
              <w:t>4</w:t>
            </w:r>
          </w:p>
        </w:tc>
        <w:tc>
          <w:tcPr>
            <w:tcW w:w="1153" w:type="dxa"/>
            <w:shd w:val="clear" w:color="auto" w:fill="auto"/>
            <w:vAlign w:val="center"/>
          </w:tcPr>
          <w:p w14:paraId="6E936F47">
            <w:pPr>
              <w:pStyle w:val="136"/>
              <w:widowControl w:val="0"/>
              <w:jc w:val="center"/>
            </w:pPr>
            <w:r>
              <w:rPr>
                <w:rFonts w:hint="eastAsia"/>
              </w:rPr>
              <w:t>通用指标</w:t>
            </w:r>
          </w:p>
        </w:tc>
        <w:tc>
          <w:tcPr>
            <w:tcW w:w="1275" w:type="dxa"/>
            <w:shd w:val="clear" w:color="auto" w:fill="auto"/>
            <w:vAlign w:val="center"/>
          </w:tcPr>
          <w:p w14:paraId="2920F6D9">
            <w:pPr>
              <w:pStyle w:val="136"/>
              <w:widowControl w:val="0"/>
              <w:jc w:val="center"/>
            </w:pPr>
            <w:r>
              <w:t>产出指标</w:t>
            </w:r>
          </w:p>
        </w:tc>
        <w:tc>
          <w:tcPr>
            <w:tcW w:w="1560" w:type="dxa"/>
            <w:shd w:val="clear" w:color="auto" w:fill="auto"/>
            <w:vAlign w:val="center"/>
          </w:tcPr>
          <w:p w14:paraId="70AAA6A4">
            <w:pPr>
              <w:pStyle w:val="136"/>
              <w:widowControl w:val="0"/>
              <w:jc w:val="center"/>
            </w:pPr>
            <w:r>
              <w:rPr>
                <w:rFonts w:hint="eastAsia"/>
              </w:rPr>
              <w:t>产出时效</w:t>
            </w:r>
          </w:p>
        </w:tc>
        <w:tc>
          <w:tcPr>
            <w:tcW w:w="1559" w:type="dxa"/>
            <w:vAlign w:val="center"/>
          </w:tcPr>
          <w:p w14:paraId="5DC7CA2D">
            <w:pPr>
              <w:pStyle w:val="136"/>
              <w:widowControl w:val="0"/>
              <w:jc w:val="center"/>
            </w:pPr>
            <w:r>
              <w:t>项目建设周期</w:t>
            </w:r>
          </w:p>
        </w:tc>
        <w:tc>
          <w:tcPr>
            <w:tcW w:w="2812" w:type="dxa"/>
            <w:shd w:val="clear" w:color="auto" w:fill="auto"/>
            <w:vAlign w:val="center"/>
          </w:tcPr>
          <w:p w14:paraId="54A41011">
            <w:pPr>
              <w:pStyle w:val="136"/>
              <w:widowControl w:val="0"/>
              <w:jc w:val="center"/>
            </w:pPr>
            <w:r>
              <w:rPr>
                <w:rFonts w:hint="eastAsia"/>
              </w:rPr>
              <w:t>6个月</w:t>
            </w:r>
          </w:p>
        </w:tc>
      </w:tr>
    </w:tbl>
    <w:p w14:paraId="530F264F">
      <w:pPr>
        <w:pStyle w:val="134"/>
        <w:ind w:firstLine="560"/>
        <w:rPr>
          <w:rFonts w:hint="eastAsia"/>
        </w:rPr>
      </w:pPr>
    </w:p>
    <w:tbl>
      <w:tblPr>
        <w:tblStyle w:val="35"/>
        <w:tblW w:w="92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9"/>
        <w:gridCol w:w="1150"/>
        <w:gridCol w:w="1271"/>
        <w:gridCol w:w="1553"/>
        <w:gridCol w:w="1552"/>
        <w:gridCol w:w="2792"/>
      </w:tblGrid>
      <w:tr w14:paraId="2B9A9F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2" w:hRule="atLeast"/>
          <w:jc w:val="center"/>
        </w:trPr>
        <w:tc>
          <w:tcPr>
            <w:tcW w:w="2059" w:type="dxa"/>
            <w:gridSpan w:val="2"/>
            <w:shd w:val="clear" w:color="auto" w:fill="auto"/>
            <w:vAlign w:val="center"/>
          </w:tcPr>
          <w:p w14:paraId="073D8AD5">
            <w:pPr>
              <w:pStyle w:val="136"/>
              <w:ind w:firstLine="482"/>
              <w:jc w:val="center"/>
              <w:rPr>
                <w:b/>
                <w:bCs/>
              </w:rPr>
            </w:pPr>
            <w:r>
              <w:rPr>
                <w:rFonts w:hint="eastAsia"/>
                <w:b/>
                <w:bCs/>
              </w:rPr>
              <w:t>业务目标</w:t>
            </w:r>
          </w:p>
        </w:tc>
        <w:tc>
          <w:tcPr>
            <w:tcW w:w="7168" w:type="dxa"/>
            <w:gridSpan w:val="4"/>
            <w:vAlign w:val="center"/>
          </w:tcPr>
          <w:p w14:paraId="5F03B098">
            <w:pPr>
              <w:pStyle w:val="136"/>
              <w:widowControl w:val="0"/>
              <w:ind w:firstLine="482"/>
              <w:jc w:val="center"/>
              <w:rPr>
                <w:b/>
                <w:bCs/>
              </w:rPr>
            </w:pPr>
            <w:r>
              <w:rPr>
                <w:rFonts w:hint="eastAsia"/>
                <w:b/>
                <w:bCs/>
              </w:rPr>
              <w:t>监控联网系统</w:t>
            </w:r>
          </w:p>
        </w:tc>
      </w:tr>
      <w:tr w14:paraId="44840C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909" w:type="dxa"/>
            <w:shd w:val="clear" w:color="auto" w:fill="auto"/>
            <w:vAlign w:val="center"/>
          </w:tcPr>
          <w:p w14:paraId="65DDE58C">
            <w:pPr>
              <w:pStyle w:val="136"/>
              <w:widowControl w:val="0"/>
              <w:ind w:firstLine="482"/>
              <w:jc w:val="center"/>
              <w:rPr>
                <w:b/>
                <w:bCs/>
              </w:rPr>
            </w:pPr>
            <w:r>
              <w:rPr>
                <w:rFonts w:hint="eastAsia"/>
                <w:b/>
                <w:bCs/>
              </w:rPr>
              <w:t>序号</w:t>
            </w:r>
          </w:p>
        </w:tc>
        <w:tc>
          <w:tcPr>
            <w:tcW w:w="1150" w:type="dxa"/>
            <w:shd w:val="clear" w:color="auto" w:fill="auto"/>
            <w:vAlign w:val="center"/>
          </w:tcPr>
          <w:p w14:paraId="0CBC1BE1">
            <w:pPr>
              <w:pStyle w:val="136"/>
              <w:widowControl w:val="0"/>
              <w:ind w:firstLine="482"/>
              <w:jc w:val="center"/>
              <w:rPr>
                <w:b/>
                <w:bCs/>
              </w:rPr>
            </w:pPr>
            <w:r>
              <w:rPr>
                <w:rFonts w:hint="eastAsia"/>
                <w:b/>
                <w:bCs/>
              </w:rPr>
              <w:t>一级指标</w:t>
            </w:r>
          </w:p>
        </w:tc>
        <w:tc>
          <w:tcPr>
            <w:tcW w:w="1271" w:type="dxa"/>
            <w:shd w:val="clear" w:color="auto" w:fill="auto"/>
            <w:vAlign w:val="center"/>
          </w:tcPr>
          <w:p w14:paraId="27864F6C">
            <w:pPr>
              <w:pStyle w:val="136"/>
              <w:widowControl w:val="0"/>
              <w:ind w:firstLine="482"/>
              <w:jc w:val="center"/>
              <w:rPr>
                <w:b/>
                <w:bCs/>
              </w:rPr>
            </w:pPr>
            <w:r>
              <w:rPr>
                <w:rFonts w:hint="eastAsia"/>
                <w:b/>
                <w:bCs/>
              </w:rPr>
              <w:t>二级指标</w:t>
            </w:r>
          </w:p>
        </w:tc>
        <w:tc>
          <w:tcPr>
            <w:tcW w:w="1553" w:type="dxa"/>
            <w:shd w:val="clear" w:color="auto" w:fill="auto"/>
            <w:vAlign w:val="center"/>
          </w:tcPr>
          <w:p w14:paraId="66A19D0D">
            <w:pPr>
              <w:pStyle w:val="136"/>
              <w:widowControl w:val="0"/>
              <w:ind w:firstLine="482"/>
              <w:jc w:val="center"/>
              <w:rPr>
                <w:b/>
                <w:bCs/>
              </w:rPr>
            </w:pPr>
            <w:r>
              <w:rPr>
                <w:rFonts w:hint="eastAsia"/>
                <w:b/>
                <w:bCs/>
              </w:rPr>
              <w:t>三级指标</w:t>
            </w:r>
          </w:p>
        </w:tc>
        <w:tc>
          <w:tcPr>
            <w:tcW w:w="1552" w:type="dxa"/>
          </w:tcPr>
          <w:p w14:paraId="6112EC1D">
            <w:pPr>
              <w:pStyle w:val="136"/>
              <w:widowControl w:val="0"/>
              <w:ind w:firstLine="482"/>
              <w:jc w:val="center"/>
              <w:rPr>
                <w:b/>
                <w:bCs/>
              </w:rPr>
            </w:pPr>
            <w:r>
              <w:rPr>
                <w:rFonts w:hint="eastAsia"/>
                <w:b/>
                <w:bCs/>
              </w:rPr>
              <w:t>四级指标</w:t>
            </w:r>
          </w:p>
        </w:tc>
        <w:tc>
          <w:tcPr>
            <w:tcW w:w="2792" w:type="dxa"/>
            <w:shd w:val="clear" w:color="auto" w:fill="auto"/>
            <w:vAlign w:val="center"/>
          </w:tcPr>
          <w:p w14:paraId="2DF9000F">
            <w:pPr>
              <w:pStyle w:val="136"/>
              <w:widowControl w:val="0"/>
              <w:ind w:firstLine="482"/>
              <w:jc w:val="center"/>
              <w:rPr>
                <w:b/>
                <w:bCs/>
              </w:rPr>
            </w:pPr>
            <w:r>
              <w:rPr>
                <w:rFonts w:hint="eastAsia"/>
                <w:b/>
                <w:bCs/>
              </w:rPr>
              <w:t>指标值</w:t>
            </w:r>
          </w:p>
        </w:tc>
      </w:tr>
      <w:tr w14:paraId="55BD87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909" w:type="dxa"/>
            <w:shd w:val="clear" w:color="auto" w:fill="auto"/>
            <w:vAlign w:val="center"/>
          </w:tcPr>
          <w:p w14:paraId="18CE3473">
            <w:pPr>
              <w:pStyle w:val="136"/>
              <w:widowControl w:val="0"/>
              <w:jc w:val="center"/>
              <w:rPr>
                <w:rFonts w:eastAsia="等线" w:cs="Times New Roman"/>
              </w:rPr>
            </w:pPr>
            <w:r>
              <w:rPr>
                <w:rFonts w:eastAsia="等线" w:cs="Times New Roman"/>
              </w:rPr>
              <w:t>1</w:t>
            </w:r>
          </w:p>
        </w:tc>
        <w:tc>
          <w:tcPr>
            <w:tcW w:w="1150" w:type="dxa"/>
            <w:shd w:val="clear" w:color="auto" w:fill="auto"/>
            <w:vAlign w:val="center"/>
          </w:tcPr>
          <w:p w14:paraId="39BED354">
            <w:pPr>
              <w:pStyle w:val="136"/>
              <w:widowControl w:val="0"/>
              <w:jc w:val="center"/>
            </w:pPr>
            <w:r>
              <w:rPr>
                <w:rFonts w:hint="eastAsia"/>
              </w:rPr>
              <w:t>通用指标</w:t>
            </w:r>
          </w:p>
        </w:tc>
        <w:tc>
          <w:tcPr>
            <w:tcW w:w="1271" w:type="dxa"/>
            <w:shd w:val="clear" w:color="auto" w:fill="auto"/>
            <w:vAlign w:val="center"/>
          </w:tcPr>
          <w:p w14:paraId="68BE1627">
            <w:pPr>
              <w:pStyle w:val="136"/>
              <w:widowControl w:val="0"/>
              <w:jc w:val="center"/>
            </w:pPr>
            <w:r>
              <w:rPr>
                <w:rFonts w:hint="eastAsia"/>
              </w:rPr>
              <w:t>产出指标</w:t>
            </w:r>
          </w:p>
        </w:tc>
        <w:tc>
          <w:tcPr>
            <w:tcW w:w="1553" w:type="dxa"/>
            <w:shd w:val="clear" w:color="auto" w:fill="auto"/>
            <w:vAlign w:val="center"/>
          </w:tcPr>
          <w:p w14:paraId="5F64D1CC">
            <w:pPr>
              <w:pStyle w:val="136"/>
              <w:widowControl w:val="0"/>
              <w:jc w:val="center"/>
            </w:pPr>
            <w:r>
              <w:t>产出数量</w:t>
            </w:r>
          </w:p>
        </w:tc>
        <w:tc>
          <w:tcPr>
            <w:tcW w:w="1552" w:type="dxa"/>
          </w:tcPr>
          <w:p w14:paraId="39D17413">
            <w:pPr>
              <w:pStyle w:val="136"/>
              <w:widowControl w:val="0"/>
              <w:jc w:val="center"/>
            </w:pPr>
            <w:r>
              <w:t>硬件设备购置完成率</w:t>
            </w:r>
          </w:p>
        </w:tc>
        <w:tc>
          <w:tcPr>
            <w:tcW w:w="2792" w:type="dxa"/>
            <w:shd w:val="clear" w:color="auto" w:fill="auto"/>
            <w:vAlign w:val="center"/>
          </w:tcPr>
          <w:p w14:paraId="335EC522">
            <w:pPr>
              <w:pStyle w:val="136"/>
              <w:widowControl w:val="0"/>
              <w:jc w:val="center"/>
            </w:pPr>
            <w:r>
              <w:rPr>
                <w:rFonts w:hint="eastAsia"/>
              </w:rPr>
              <w:t>100%</w:t>
            </w:r>
          </w:p>
        </w:tc>
      </w:tr>
      <w:tr w14:paraId="0EA72F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5" w:hRule="atLeast"/>
          <w:jc w:val="center"/>
        </w:trPr>
        <w:tc>
          <w:tcPr>
            <w:tcW w:w="909" w:type="dxa"/>
            <w:shd w:val="clear" w:color="auto" w:fill="auto"/>
            <w:vAlign w:val="center"/>
          </w:tcPr>
          <w:p w14:paraId="62F439BF">
            <w:pPr>
              <w:pStyle w:val="136"/>
              <w:widowControl w:val="0"/>
              <w:jc w:val="center"/>
              <w:rPr>
                <w:rFonts w:eastAsia="等线" w:cs="Times New Roman"/>
              </w:rPr>
            </w:pPr>
            <w:r>
              <w:rPr>
                <w:rFonts w:hint="eastAsia" w:eastAsia="等线" w:cs="Times New Roman"/>
              </w:rPr>
              <w:t>2</w:t>
            </w:r>
          </w:p>
        </w:tc>
        <w:tc>
          <w:tcPr>
            <w:tcW w:w="1150" w:type="dxa"/>
            <w:shd w:val="clear" w:color="auto" w:fill="auto"/>
            <w:vAlign w:val="center"/>
          </w:tcPr>
          <w:p w14:paraId="4E583DA9">
            <w:pPr>
              <w:pStyle w:val="136"/>
              <w:widowControl w:val="0"/>
              <w:jc w:val="center"/>
            </w:pPr>
            <w:r>
              <w:rPr>
                <w:rFonts w:hint="eastAsia"/>
              </w:rPr>
              <w:t>通用指标</w:t>
            </w:r>
          </w:p>
        </w:tc>
        <w:tc>
          <w:tcPr>
            <w:tcW w:w="1271" w:type="dxa"/>
            <w:shd w:val="clear" w:color="auto" w:fill="auto"/>
            <w:vAlign w:val="center"/>
          </w:tcPr>
          <w:p w14:paraId="2A425E1A">
            <w:pPr>
              <w:pStyle w:val="136"/>
              <w:widowControl w:val="0"/>
              <w:jc w:val="center"/>
            </w:pPr>
            <w:r>
              <w:rPr>
                <w:rFonts w:hint="eastAsia"/>
              </w:rPr>
              <w:t>产出指标</w:t>
            </w:r>
          </w:p>
        </w:tc>
        <w:tc>
          <w:tcPr>
            <w:tcW w:w="1553" w:type="dxa"/>
            <w:shd w:val="clear" w:color="auto" w:fill="auto"/>
            <w:vAlign w:val="center"/>
          </w:tcPr>
          <w:p w14:paraId="4F20DFE4">
            <w:pPr>
              <w:pStyle w:val="136"/>
              <w:widowControl w:val="0"/>
              <w:jc w:val="center"/>
            </w:pPr>
            <w:r>
              <w:t>产出</w:t>
            </w:r>
            <w:r>
              <w:rPr>
                <w:rFonts w:hint="eastAsia"/>
              </w:rPr>
              <w:t>质量</w:t>
            </w:r>
          </w:p>
        </w:tc>
        <w:tc>
          <w:tcPr>
            <w:tcW w:w="1552" w:type="dxa"/>
          </w:tcPr>
          <w:p w14:paraId="3B39FC81">
            <w:pPr>
              <w:pStyle w:val="136"/>
              <w:widowControl w:val="0"/>
              <w:jc w:val="center"/>
            </w:pPr>
            <w:r>
              <w:t>系统可靠性</w:t>
            </w:r>
          </w:p>
        </w:tc>
        <w:tc>
          <w:tcPr>
            <w:tcW w:w="2792" w:type="dxa"/>
            <w:shd w:val="clear" w:color="auto" w:fill="auto"/>
            <w:vAlign w:val="center"/>
          </w:tcPr>
          <w:p w14:paraId="3A98B010">
            <w:pPr>
              <w:pStyle w:val="136"/>
              <w:widowControl w:val="0"/>
              <w:jc w:val="center"/>
            </w:pPr>
            <w:r>
              <w:rPr>
                <w:rFonts w:hint="eastAsia"/>
              </w:rPr>
              <w:t>100%</w:t>
            </w:r>
          </w:p>
        </w:tc>
      </w:tr>
      <w:tr w14:paraId="56AC9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909" w:type="dxa"/>
            <w:shd w:val="clear" w:color="auto" w:fill="auto"/>
            <w:vAlign w:val="center"/>
          </w:tcPr>
          <w:p w14:paraId="3ED34BBA">
            <w:pPr>
              <w:pStyle w:val="136"/>
              <w:widowControl w:val="0"/>
              <w:jc w:val="center"/>
              <w:rPr>
                <w:rFonts w:eastAsia="等线" w:cs="Times New Roman"/>
              </w:rPr>
            </w:pPr>
            <w:r>
              <w:rPr>
                <w:rFonts w:hint="eastAsia" w:eastAsia="等线" w:cs="Times New Roman"/>
              </w:rPr>
              <w:t>3</w:t>
            </w:r>
          </w:p>
        </w:tc>
        <w:tc>
          <w:tcPr>
            <w:tcW w:w="1150" w:type="dxa"/>
            <w:shd w:val="clear" w:color="auto" w:fill="auto"/>
            <w:vAlign w:val="center"/>
          </w:tcPr>
          <w:p w14:paraId="4B0D0453">
            <w:pPr>
              <w:pStyle w:val="136"/>
              <w:widowControl w:val="0"/>
              <w:jc w:val="center"/>
            </w:pPr>
            <w:r>
              <w:rPr>
                <w:rFonts w:hint="eastAsia"/>
              </w:rPr>
              <w:t>通用指标</w:t>
            </w:r>
          </w:p>
        </w:tc>
        <w:tc>
          <w:tcPr>
            <w:tcW w:w="1271" w:type="dxa"/>
            <w:shd w:val="clear" w:color="auto" w:fill="auto"/>
            <w:vAlign w:val="center"/>
          </w:tcPr>
          <w:p w14:paraId="4D6BB141">
            <w:pPr>
              <w:pStyle w:val="136"/>
              <w:widowControl w:val="0"/>
              <w:jc w:val="center"/>
            </w:pPr>
            <w:r>
              <w:t>产出指标</w:t>
            </w:r>
          </w:p>
        </w:tc>
        <w:tc>
          <w:tcPr>
            <w:tcW w:w="1553" w:type="dxa"/>
            <w:shd w:val="clear" w:color="auto" w:fill="auto"/>
            <w:vAlign w:val="center"/>
          </w:tcPr>
          <w:p w14:paraId="377BE0EE">
            <w:pPr>
              <w:pStyle w:val="136"/>
              <w:widowControl w:val="0"/>
              <w:jc w:val="center"/>
            </w:pPr>
            <w:r>
              <w:t>产出质量</w:t>
            </w:r>
          </w:p>
        </w:tc>
        <w:tc>
          <w:tcPr>
            <w:tcW w:w="1552" w:type="dxa"/>
          </w:tcPr>
          <w:p w14:paraId="2670EDE5">
            <w:pPr>
              <w:pStyle w:val="136"/>
              <w:widowControl w:val="0"/>
              <w:jc w:val="center"/>
            </w:pPr>
            <w:r>
              <w:t>一次性验收合格率</w:t>
            </w:r>
          </w:p>
        </w:tc>
        <w:tc>
          <w:tcPr>
            <w:tcW w:w="2792" w:type="dxa"/>
            <w:shd w:val="clear" w:color="auto" w:fill="auto"/>
            <w:vAlign w:val="center"/>
          </w:tcPr>
          <w:p w14:paraId="55631F17">
            <w:pPr>
              <w:pStyle w:val="136"/>
              <w:widowControl w:val="0"/>
              <w:jc w:val="center"/>
            </w:pPr>
            <w:r>
              <w:rPr>
                <w:rFonts w:hint="eastAsia"/>
              </w:rPr>
              <w:t>100%</w:t>
            </w:r>
          </w:p>
        </w:tc>
      </w:tr>
      <w:tr w14:paraId="16C0C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3" w:hRule="atLeast"/>
          <w:jc w:val="center"/>
        </w:trPr>
        <w:tc>
          <w:tcPr>
            <w:tcW w:w="909" w:type="dxa"/>
            <w:shd w:val="clear" w:color="auto" w:fill="auto"/>
            <w:vAlign w:val="center"/>
          </w:tcPr>
          <w:p w14:paraId="365CF30F">
            <w:pPr>
              <w:pStyle w:val="136"/>
              <w:widowControl w:val="0"/>
              <w:jc w:val="center"/>
              <w:rPr>
                <w:rFonts w:eastAsia="等线" w:cs="Times New Roman"/>
              </w:rPr>
            </w:pPr>
            <w:r>
              <w:rPr>
                <w:rFonts w:hint="eastAsia" w:eastAsia="等线" w:cs="Times New Roman"/>
              </w:rPr>
              <w:t>4</w:t>
            </w:r>
          </w:p>
        </w:tc>
        <w:tc>
          <w:tcPr>
            <w:tcW w:w="1150" w:type="dxa"/>
            <w:shd w:val="clear" w:color="auto" w:fill="auto"/>
            <w:vAlign w:val="center"/>
          </w:tcPr>
          <w:p w14:paraId="26E55BCB">
            <w:pPr>
              <w:pStyle w:val="136"/>
              <w:widowControl w:val="0"/>
              <w:jc w:val="center"/>
            </w:pPr>
            <w:r>
              <w:rPr>
                <w:rFonts w:hint="eastAsia"/>
              </w:rPr>
              <w:t>通用指标</w:t>
            </w:r>
          </w:p>
        </w:tc>
        <w:tc>
          <w:tcPr>
            <w:tcW w:w="1271" w:type="dxa"/>
            <w:shd w:val="clear" w:color="auto" w:fill="auto"/>
            <w:vAlign w:val="center"/>
          </w:tcPr>
          <w:p w14:paraId="47FF5050">
            <w:pPr>
              <w:pStyle w:val="136"/>
              <w:widowControl w:val="0"/>
              <w:jc w:val="center"/>
            </w:pPr>
            <w:r>
              <w:t>产出指标</w:t>
            </w:r>
          </w:p>
        </w:tc>
        <w:tc>
          <w:tcPr>
            <w:tcW w:w="1553" w:type="dxa"/>
            <w:shd w:val="clear" w:color="auto" w:fill="auto"/>
            <w:vAlign w:val="center"/>
          </w:tcPr>
          <w:p w14:paraId="28B8F78A">
            <w:pPr>
              <w:pStyle w:val="136"/>
              <w:widowControl w:val="0"/>
              <w:jc w:val="center"/>
            </w:pPr>
            <w:r>
              <w:rPr>
                <w:rFonts w:hint="eastAsia"/>
              </w:rPr>
              <w:t>产出时效</w:t>
            </w:r>
          </w:p>
        </w:tc>
        <w:tc>
          <w:tcPr>
            <w:tcW w:w="1552" w:type="dxa"/>
            <w:vAlign w:val="center"/>
          </w:tcPr>
          <w:p w14:paraId="5AFD20E1">
            <w:pPr>
              <w:pStyle w:val="136"/>
              <w:widowControl w:val="0"/>
              <w:jc w:val="center"/>
            </w:pPr>
            <w:r>
              <w:t>项目建设周期</w:t>
            </w:r>
          </w:p>
        </w:tc>
        <w:tc>
          <w:tcPr>
            <w:tcW w:w="2792" w:type="dxa"/>
            <w:shd w:val="clear" w:color="auto" w:fill="auto"/>
            <w:vAlign w:val="center"/>
          </w:tcPr>
          <w:p w14:paraId="3BE336F9">
            <w:pPr>
              <w:pStyle w:val="136"/>
              <w:widowControl w:val="0"/>
              <w:jc w:val="center"/>
            </w:pPr>
            <w:r>
              <w:rPr>
                <w:rFonts w:hint="eastAsia"/>
              </w:rPr>
              <w:t>6个月</w:t>
            </w:r>
          </w:p>
        </w:tc>
      </w:tr>
    </w:tbl>
    <w:p w14:paraId="713024A8">
      <w:pPr>
        <w:ind w:firstLine="482"/>
        <w:rPr>
          <w:rFonts w:hint="eastAsia"/>
          <w:b/>
          <w:bCs/>
        </w:rPr>
      </w:pPr>
      <w:r>
        <w:rPr>
          <w:rFonts w:hint="eastAsia"/>
          <w:b/>
          <w:bCs/>
        </w:rPr>
        <w:t>四、</w:t>
      </w:r>
      <w:r>
        <w:rPr>
          <w:b/>
          <w:bCs/>
        </w:rPr>
        <w:t>技术绩效考核目标</w:t>
      </w:r>
    </w:p>
    <w:tbl>
      <w:tblPr>
        <w:tblStyle w:val="35"/>
        <w:tblW w:w="92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9"/>
        <w:gridCol w:w="1150"/>
        <w:gridCol w:w="1271"/>
        <w:gridCol w:w="1552"/>
        <w:gridCol w:w="1551"/>
        <w:gridCol w:w="2794"/>
      </w:tblGrid>
      <w:tr w14:paraId="7F5E75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021" w:type="dxa"/>
            <w:gridSpan w:val="2"/>
            <w:shd w:val="clear" w:color="auto" w:fill="auto"/>
            <w:vAlign w:val="center"/>
          </w:tcPr>
          <w:p w14:paraId="0472CA0A">
            <w:pPr>
              <w:pStyle w:val="136"/>
              <w:ind w:firstLine="482"/>
              <w:jc w:val="center"/>
              <w:rPr>
                <w:b/>
                <w:bCs/>
              </w:rPr>
            </w:pPr>
            <w:r>
              <w:rPr>
                <w:rFonts w:hint="eastAsia"/>
                <w:b/>
                <w:bCs/>
              </w:rPr>
              <w:t>技术目标</w:t>
            </w:r>
          </w:p>
        </w:tc>
        <w:tc>
          <w:tcPr>
            <w:tcW w:w="7206" w:type="dxa"/>
            <w:gridSpan w:val="4"/>
            <w:vAlign w:val="center"/>
          </w:tcPr>
          <w:p w14:paraId="42BD9DE0">
            <w:pPr>
              <w:pStyle w:val="136"/>
              <w:widowControl w:val="0"/>
              <w:ind w:firstLine="482"/>
              <w:jc w:val="center"/>
              <w:rPr>
                <w:b/>
                <w:bCs/>
              </w:rPr>
            </w:pPr>
            <w:r>
              <w:rPr>
                <w:rFonts w:hint="eastAsia"/>
                <w:b/>
                <w:bCs/>
              </w:rPr>
              <w:t>视频会议系统</w:t>
            </w:r>
          </w:p>
        </w:tc>
      </w:tr>
      <w:tr w14:paraId="51AB5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868" w:type="dxa"/>
            <w:shd w:val="clear" w:color="auto" w:fill="auto"/>
            <w:vAlign w:val="center"/>
          </w:tcPr>
          <w:p w14:paraId="65D6B110">
            <w:pPr>
              <w:pStyle w:val="136"/>
              <w:widowControl w:val="0"/>
              <w:ind w:firstLine="482"/>
              <w:jc w:val="center"/>
              <w:rPr>
                <w:b/>
                <w:bCs/>
              </w:rPr>
            </w:pPr>
            <w:r>
              <w:rPr>
                <w:rFonts w:hint="eastAsia"/>
                <w:b/>
                <w:bCs/>
              </w:rPr>
              <w:t>序号</w:t>
            </w:r>
          </w:p>
        </w:tc>
        <w:tc>
          <w:tcPr>
            <w:tcW w:w="1153" w:type="dxa"/>
            <w:shd w:val="clear" w:color="auto" w:fill="auto"/>
            <w:vAlign w:val="center"/>
          </w:tcPr>
          <w:p w14:paraId="7853AD04">
            <w:pPr>
              <w:pStyle w:val="136"/>
              <w:widowControl w:val="0"/>
              <w:ind w:firstLine="482"/>
              <w:jc w:val="center"/>
              <w:rPr>
                <w:b/>
                <w:bCs/>
              </w:rPr>
            </w:pPr>
            <w:r>
              <w:rPr>
                <w:rFonts w:hint="eastAsia"/>
                <w:b/>
                <w:bCs/>
              </w:rPr>
              <w:t>一级指标</w:t>
            </w:r>
          </w:p>
        </w:tc>
        <w:tc>
          <w:tcPr>
            <w:tcW w:w="1275" w:type="dxa"/>
            <w:shd w:val="clear" w:color="auto" w:fill="auto"/>
            <w:vAlign w:val="center"/>
          </w:tcPr>
          <w:p w14:paraId="3D217C79">
            <w:pPr>
              <w:pStyle w:val="136"/>
              <w:widowControl w:val="0"/>
              <w:ind w:firstLine="482"/>
              <w:jc w:val="center"/>
              <w:rPr>
                <w:b/>
                <w:bCs/>
              </w:rPr>
            </w:pPr>
            <w:r>
              <w:rPr>
                <w:rFonts w:hint="eastAsia"/>
                <w:b/>
                <w:bCs/>
              </w:rPr>
              <w:t>二级指标</w:t>
            </w:r>
          </w:p>
        </w:tc>
        <w:tc>
          <w:tcPr>
            <w:tcW w:w="1560" w:type="dxa"/>
            <w:shd w:val="clear" w:color="auto" w:fill="auto"/>
            <w:vAlign w:val="center"/>
          </w:tcPr>
          <w:p w14:paraId="48B0F7E9">
            <w:pPr>
              <w:pStyle w:val="136"/>
              <w:widowControl w:val="0"/>
              <w:ind w:firstLine="482"/>
              <w:jc w:val="center"/>
              <w:rPr>
                <w:b/>
                <w:bCs/>
              </w:rPr>
            </w:pPr>
            <w:r>
              <w:rPr>
                <w:rFonts w:hint="eastAsia"/>
                <w:b/>
                <w:bCs/>
              </w:rPr>
              <w:t>三级指标</w:t>
            </w:r>
          </w:p>
        </w:tc>
        <w:tc>
          <w:tcPr>
            <w:tcW w:w="1559" w:type="dxa"/>
            <w:vAlign w:val="center"/>
          </w:tcPr>
          <w:p w14:paraId="48238A33">
            <w:pPr>
              <w:pStyle w:val="136"/>
              <w:widowControl w:val="0"/>
              <w:ind w:firstLine="482"/>
              <w:jc w:val="center"/>
              <w:rPr>
                <w:b/>
                <w:bCs/>
              </w:rPr>
            </w:pPr>
            <w:r>
              <w:rPr>
                <w:rFonts w:hint="eastAsia"/>
                <w:b/>
                <w:bCs/>
              </w:rPr>
              <w:t>四级指标</w:t>
            </w:r>
          </w:p>
        </w:tc>
        <w:tc>
          <w:tcPr>
            <w:tcW w:w="2812" w:type="dxa"/>
            <w:shd w:val="clear" w:color="auto" w:fill="auto"/>
            <w:vAlign w:val="center"/>
          </w:tcPr>
          <w:p w14:paraId="1679973A">
            <w:pPr>
              <w:pStyle w:val="136"/>
              <w:widowControl w:val="0"/>
              <w:ind w:firstLine="482"/>
              <w:jc w:val="center"/>
              <w:rPr>
                <w:b/>
                <w:bCs/>
              </w:rPr>
            </w:pPr>
            <w:r>
              <w:rPr>
                <w:rFonts w:hint="eastAsia"/>
                <w:b/>
                <w:bCs/>
              </w:rPr>
              <w:t>指标值</w:t>
            </w:r>
          </w:p>
        </w:tc>
      </w:tr>
      <w:tr w14:paraId="36406C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354C6605">
            <w:pPr>
              <w:pStyle w:val="136"/>
              <w:widowControl w:val="0"/>
              <w:jc w:val="center"/>
              <w:rPr>
                <w:rFonts w:eastAsia="等线" w:cs="Times New Roman"/>
              </w:rPr>
            </w:pPr>
            <w:r>
              <w:rPr>
                <w:rFonts w:hint="eastAsia" w:eastAsia="等线" w:cs="Times New Roman"/>
              </w:rPr>
              <w:t>1</w:t>
            </w:r>
          </w:p>
        </w:tc>
        <w:tc>
          <w:tcPr>
            <w:tcW w:w="1153" w:type="dxa"/>
            <w:shd w:val="clear" w:color="auto" w:fill="auto"/>
            <w:vAlign w:val="center"/>
          </w:tcPr>
          <w:p w14:paraId="4EF294B3">
            <w:pPr>
              <w:pStyle w:val="136"/>
              <w:widowControl w:val="0"/>
              <w:jc w:val="center"/>
            </w:pPr>
            <w:r>
              <w:rPr>
                <w:rFonts w:hint="eastAsia"/>
              </w:rPr>
              <w:t>通用指标</w:t>
            </w:r>
          </w:p>
        </w:tc>
        <w:tc>
          <w:tcPr>
            <w:tcW w:w="1275" w:type="dxa"/>
            <w:shd w:val="clear" w:color="auto" w:fill="auto"/>
            <w:vAlign w:val="center"/>
          </w:tcPr>
          <w:p w14:paraId="4B3F6A6C">
            <w:pPr>
              <w:pStyle w:val="136"/>
              <w:widowControl w:val="0"/>
              <w:jc w:val="center"/>
            </w:pPr>
            <w:r>
              <w:t>产出指标</w:t>
            </w:r>
          </w:p>
        </w:tc>
        <w:tc>
          <w:tcPr>
            <w:tcW w:w="1560" w:type="dxa"/>
            <w:shd w:val="clear" w:color="auto" w:fill="auto"/>
            <w:vAlign w:val="center"/>
          </w:tcPr>
          <w:p w14:paraId="5AE29171">
            <w:pPr>
              <w:pStyle w:val="136"/>
              <w:widowControl w:val="0"/>
              <w:jc w:val="center"/>
            </w:pPr>
            <w:r>
              <w:t>产出质量</w:t>
            </w:r>
          </w:p>
        </w:tc>
        <w:tc>
          <w:tcPr>
            <w:tcW w:w="1559" w:type="dxa"/>
            <w:vAlign w:val="center"/>
          </w:tcPr>
          <w:p w14:paraId="40F27E95">
            <w:pPr>
              <w:pStyle w:val="136"/>
              <w:widowControl w:val="0"/>
              <w:jc w:val="center"/>
            </w:pPr>
            <w:r>
              <w:t>安全事件发生次数</w:t>
            </w:r>
          </w:p>
        </w:tc>
        <w:tc>
          <w:tcPr>
            <w:tcW w:w="2812" w:type="dxa"/>
            <w:shd w:val="clear" w:color="auto" w:fill="auto"/>
            <w:vAlign w:val="center"/>
          </w:tcPr>
          <w:p w14:paraId="31EEEE80">
            <w:pPr>
              <w:pStyle w:val="136"/>
              <w:widowControl w:val="0"/>
            </w:pPr>
            <w:r>
              <w:rPr>
                <w:rFonts w:hint="eastAsia" w:ascii="仿宋" w:hAnsi="仿宋"/>
              </w:rPr>
              <w:t>≤</w:t>
            </w:r>
            <w:r>
              <w:rPr>
                <w:rFonts w:hint="eastAsia"/>
              </w:rPr>
              <w:t>1次/年</w:t>
            </w:r>
          </w:p>
        </w:tc>
      </w:tr>
      <w:tr w14:paraId="0D1EA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60840093">
            <w:pPr>
              <w:pStyle w:val="136"/>
              <w:widowControl w:val="0"/>
              <w:jc w:val="center"/>
              <w:rPr>
                <w:rFonts w:eastAsia="等线" w:cs="Times New Roman"/>
              </w:rPr>
            </w:pPr>
            <w:r>
              <w:rPr>
                <w:rFonts w:hint="eastAsia" w:eastAsia="等线" w:cs="Times New Roman"/>
              </w:rPr>
              <w:t>2</w:t>
            </w:r>
          </w:p>
        </w:tc>
        <w:tc>
          <w:tcPr>
            <w:tcW w:w="1153" w:type="dxa"/>
            <w:shd w:val="clear" w:color="auto" w:fill="auto"/>
            <w:vAlign w:val="center"/>
          </w:tcPr>
          <w:p w14:paraId="4316E0A4">
            <w:pPr>
              <w:pStyle w:val="136"/>
              <w:widowControl w:val="0"/>
              <w:jc w:val="center"/>
            </w:pPr>
            <w:r>
              <w:rPr>
                <w:rFonts w:hint="eastAsia"/>
              </w:rPr>
              <w:t>通用指标</w:t>
            </w:r>
          </w:p>
        </w:tc>
        <w:tc>
          <w:tcPr>
            <w:tcW w:w="1275" w:type="dxa"/>
            <w:shd w:val="clear" w:color="auto" w:fill="auto"/>
            <w:vAlign w:val="center"/>
          </w:tcPr>
          <w:p w14:paraId="5FB4DA3A">
            <w:pPr>
              <w:pStyle w:val="136"/>
              <w:widowControl w:val="0"/>
              <w:jc w:val="center"/>
            </w:pPr>
            <w:r>
              <w:t>应用系统</w:t>
            </w:r>
          </w:p>
        </w:tc>
        <w:tc>
          <w:tcPr>
            <w:tcW w:w="1560" w:type="dxa"/>
            <w:shd w:val="clear" w:color="auto" w:fill="auto"/>
            <w:vAlign w:val="center"/>
          </w:tcPr>
          <w:p w14:paraId="3824DD6E">
            <w:pPr>
              <w:pStyle w:val="136"/>
              <w:widowControl w:val="0"/>
              <w:jc w:val="center"/>
            </w:pPr>
            <w:r>
              <w:t>用户使用情况</w:t>
            </w:r>
          </w:p>
        </w:tc>
        <w:tc>
          <w:tcPr>
            <w:tcW w:w="1559" w:type="dxa"/>
            <w:vAlign w:val="center"/>
          </w:tcPr>
          <w:p w14:paraId="794F9030">
            <w:pPr>
              <w:pStyle w:val="136"/>
              <w:widowControl w:val="0"/>
              <w:jc w:val="center"/>
            </w:pPr>
            <w:r>
              <w:t>系统用户量</w:t>
            </w:r>
          </w:p>
        </w:tc>
        <w:tc>
          <w:tcPr>
            <w:tcW w:w="2812" w:type="dxa"/>
            <w:shd w:val="clear" w:color="auto" w:fill="auto"/>
            <w:vAlign w:val="center"/>
          </w:tcPr>
          <w:p w14:paraId="7C5B695C">
            <w:pPr>
              <w:pStyle w:val="136"/>
              <w:widowControl w:val="0"/>
              <w:rPr>
                <w:rFonts w:hint="eastAsia" w:ascii="仿宋" w:hAnsi="仿宋"/>
              </w:rPr>
            </w:pPr>
            <w:r>
              <w:rPr>
                <w:rFonts w:hint="eastAsia" w:ascii="仿宋" w:hAnsi="仿宋"/>
              </w:rPr>
              <w:t>支持单个会议容量≥3000方</w:t>
            </w:r>
          </w:p>
          <w:p w14:paraId="59E5EC3A">
            <w:pPr>
              <w:pStyle w:val="136"/>
              <w:widowControl w:val="0"/>
              <w:rPr>
                <w:rFonts w:hint="eastAsia" w:ascii="仿宋" w:hAnsi="仿宋"/>
              </w:rPr>
            </w:pPr>
            <w:r>
              <w:rPr>
                <w:rFonts w:hint="eastAsia" w:ascii="仿宋" w:hAnsi="仿宋"/>
              </w:rPr>
              <w:t>授权48个会议接入端口</w:t>
            </w:r>
          </w:p>
          <w:p w14:paraId="64A44602">
            <w:pPr>
              <w:pStyle w:val="136"/>
              <w:rPr>
                <w:rFonts w:hint="eastAsia" w:ascii="仿宋" w:hAnsi="仿宋"/>
              </w:rPr>
            </w:pPr>
            <w:r>
              <w:rPr>
                <w:rFonts w:hint="eastAsia" w:ascii="仿宋" w:hAnsi="仿宋"/>
              </w:rPr>
              <w:t>管理系统支持不少于5000方设备并发注册，最大可管理MCU数量≥500台</w:t>
            </w:r>
          </w:p>
        </w:tc>
      </w:tr>
      <w:tr w14:paraId="0ED62F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6CB44820">
            <w:pPr>
              <w:pStyle w:val="136"/>
              <w:widowControl w:val="0"/>
              <w:jc w:val="center"/>
              <w:rPr>
                <w:rFonts w:eastAsia="等线" w:cs="Times New Roman"/>
              </w:rPr>
            </w:pPr>
            <w:r>
              <w:rPr>
                <w:rFonts w:hint="eastAsia" w:eastAsia="等线" w:cs="Times New Roman"/>
              </w:rPr>
              <w:t>3</w:t>
            </w:r>
          </w:p>
        </w:tc>
        <w:tc>
          <w:tcPr>
            <w:tcW w:w="1153" w:type="dxa"/>
            <w:shd w:val="clear" w:color="auto" w:fill="auto"/>
            <w:vAlign w:val="center"/>
          </w:tcPr>
          <w:p w14:paraId="5B3FE3B7">
            <w:pPr>
              <w:pStyle w:val="136"/>
              <w:widowControl w:val="0"/>
              <w:jc w:val="center"/>
            </w:pPr>
            <w:r>
              <w:rPr>
                <w:rFonts w:hint="eastAsia"/>
              </w:rPr>
              <w:t>通用指标</w:t>
            </w:r>
          </w:p>
        </w:tc>
        <w:tc>
          <w:tcPr>
            <w:tcW w:w="1275" w:type="dxa"/>
            <w:shd w:val="clear" w:color="auto" w:fill="auto"/>
            <w:vAlign w:val="center"/>
          </w:tcPr>
          <w:p w14:paraId="3D0FD97E">
            <w:pPr>
              <w:pStyle w:val="136"/>
              <w:widowControl w:val="0"/>
              <w:jc w:val="center"/>
            </w:pPr>
            <w:r>
              <w:t>应用系统</w:t>
            </w:r>
          </w:p>
        </w:tc>
        <w:tc>
          <w:tcPr>
            <w:tcW w:w="1560" w:type="dxa"/>
            <w:shd w:val="clear" w:color="auto" w:fill="auto"/>
            <w:vAlign w:val="center"/>
          </w:tcPr>
          <w:p w14:paraId="241793D6">
            <w:pPr>
              <w:pStyle w:val="136"/>
              <w:widowControl w:val="0"/>
              <w:jc w:val="center"/>
            </w:pPr>
            <w:r>
              <w:t>基础数据共性 系统水平</w:t>
            </w:r>
          </w:p>
        </w:tc>
        <w:tc>
          <w:tcPr>
            <w:tcW w:w="1559" w:type="dxa"/>
            <w:vAlign w:val="center"/>
          </w:tcPr>
          <w:p w14:paraId="378F4326">
            <w:pPr>
              <w:pStyle w:val="136"/>
              <w:widowControl w:val="0"/>
              <w:jc w:val="center"/>
            </w:pPr>
            <w:r>
              <w:t>基础数据承载量</w:t>
            </w:r>
          </w:p>
        </w:tc>
        <w:tc>
          <w:tcPr>
            <w:tcW w:w="2812" w:type="dxa"/>
            <w:shd w:val="clear" w:color="auto" w:fill="auto"/>
            <w:vAlign w:val="center"/>
          </w:tcPr>
          <w:p w14:paraId="0E0FCA72">
            <w:pPr>
              <w:pStyle w:val="136"/>
              <w:widowControl w:val="0"/>
              <w:rPr>
                <w:rFonts w:hint="eastAsia" w:ascii="仿宋" w:hAnsi="仿宋"/>
              </w:rPr>
            </w:pPr>
            <w:r>
              <w:rPr>
                <w:rFonts w:hint="eastAsia" w:ascii="仿宋" w:hAnsi="仿宋"/>
              </w:rPr>
              <w:t>满足3个管理局视频会议终端接入和授权接入的视频会议终端数据</w:t>
            </w:r>
          </w:p>
        </w:tc>
      </w:tr>
      <w:tr w14:paraId="366A95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49E4B6BD">
            <w:pPr>
              <w:pStyle w:val="136"/>
              <w:widowControl w:val="0"/>
              <w:jc w:val="center"/>
              <w:rPr>
                <w:rFonts w:eastAsia="等线" w:cs="Times New Roman"/>
              </w:rPr>
            </w:pPr>
            <w:r>
              <w:rPr>
                <w:rFonts w:hint="eastAsia" w:eastAsia="等线" w:cs="Times New Roman"/>
              </w:rPr>
              <w:t>4</w:t>
            </w:r>
          </w:p>
        </w:tc>
        <w:tc>
          <w:tcPr>
            <w:tcW w:w="1153" w:type="dxa"/>
            <w:shd w:val="clear" w:color="auto" w:fill="auto"/>
            <w:vAlign w:val="center"/>
          </w:tcPr>
          <w:p w14:paraId="66435F54">
            <w:pPr>
              <w:pStyle w:val="136"/>
              <w:widowControl w:val="0"/>
              <w:jc w:val="center"/>
            </w:pPr>
            <w:r>
              <w:rPr>
                <w:rFonts w:hint="eastAsia"/>
              </w:rPr>
              <w:t>通用指标</w:t>
            </w:r>
          </w:p>
        </w:tc>
        <w:tc>
          <w:tcPr>
            <w:tcW w:w="1275" w:type="dxa"/>
            <w:shd w:val="clear" w:color="auto" w:fill="auto"/>
            <w:vAlign w:val="center"/>
          </w:tcPr>
          <w:p w14:paraId="41ACFE38">
            <w:pPr>
              <w:pStyle w:val="136"/>
              <w:widowControl w:val="0"/>
              <w:jc w:val="center"/>
            </w:pPr>
            <w:r>
              <w:t>应用系统</w:t>
            </w:r>
          </w:p>
        </w:tc>
        <w:tc>
          <w:tcPr>
            <w:tcW w:w="1560" w:type="dxa"/>
            <w:shd w:val="clear" w:color="auto" w:fill="auto"/>
            <w:vAlign w:val="center"/>
          </w:tcPr>
          <w:p w14:paraId="24A188FB">
            <w:pPr>
              <w:pStyle w:val="136"/>
              <w:widowControl w:val="0"/>
              <w:jc w:val="center"/>
            </w:pPr>
            <w:r>
              <w:t>后台数据存储 及交换服务水 平</w:t>
            </w:r>
          </w:p>
        </w:tc>
        <w:tc>
          <w:tcPr>
            <w:tcW w:w="1559" w:type="dxa"/>
            <w:vAlign w:val="center"/>
          </w:tcPr>
          <w:p w14:paraId="6410C878">
            <w:pPr>
              <w:pStyle w:val="136"/>
              <w:widowControl w:val="0"/>
              <w:jc w:val="center"/>
            </w:pPr>
            <w:r>
              <w:t>数据存储量</w:t>
            </w:r>
          </w:p>
        </w:tc>
        <w:tc>
          <w:tcPr>
            <w:tcW w:w="2812" w:type="dxa"/>
            <w:shd w:val="clear" w:color="auto" w:fill="auto"/>
            <w:vAlign w:val="center"/>
          </w:tcPr>
          <w:p w14:paraId="72E781C7">
            <w:pPr>
              <w:pStyle w:val="136"/>
              <w:widowControl w:val="0"/>
              <w:rPr>
                <w:rFonts w:hint="eastAsia" w:ascii="仿宋" w:hAnsi="仿宋"/>
              </w:rPr>
            </w:pPr>
            <w:r>
              <w:rPr>
                <w:rFonts w:hint="eastAsia" w:ascii="仿宋" w:hAnsi="仿宋"/>
              </w:rPr>
              <w:t>内置的硬盘不小于6TB,可满足6000小时1M会议录像存储</w:t>
            </w:r>
          </w:p>
        </w:tc>
      </w:tr>
      <w:tr w14:paraId="15195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31F5F9B0">
            <w:pPr>
              <w:pStyle w:val="136"/>
              <w:widowControl w:val="0"/>
              <w:jc w:val="center"/>
              <w:rPr>
                <w:rFonts w:eastAsia="等线" w:cs="Times New Roman"/>
              </w:rPr>
            </w:pPr>
            <w:r>
              <w:rPr>
                <w:rFonts w:hint="eastAsia" w:eastAsia="等线" w:cs="Times New Roman"/>
              </w:rPr>
              <w:t>5</w:t>
            </w:r>
          </w:p>
        </w:tc>
        <w:tc>
          <w:tcPr>
            <w:tcW w:w="1153" w:type="dxa"/>
            <w:shd w:val="clear" w:color="auto" w:fill="auto"/>
            <w:vAlign w:val="center"/>
          </w:tcPr>
          <w:p w14:paraId="44789287">
            <w:pPr>
              <w:pStyle w:val="136"/>
              <w:widowControl w:val="0"/>
              <w:jc w:val="center"/>
            </w:pPr>
            <w:r>
              <w:rPr>
                <w:rFonts w:hint="eastAsia"/>
              </w:rPr>
              <w:t>通用指标</w:t>
            </w:r>
          </w:p>
        </w:tc>
        <w:tc>
          <w:tcPr>
            <w:tcW w:w="1275" w:type="dxa"/>
            <w:shd w:val="clear" w:color="auto" w:fill="auto"/>
            <w:vAlign w:val="center"/>
          </w:tcPr>
          <w:p w14:paraId="609A2AB8">
            <w:pPr>
              <w:pStyle w:val="136"/>
              <w:widowControl w:val="0"/>
              <w:jc w:val="center"/>
            </w:pPr>
            <w:r>
              <w:rPr>
                <w:rFonts w:hint="eastAsia"/>
              </w:rPr>
              <w:t>产出指标</w:t>
            </w:r>
          </w:p>
        </w:tc>
        <w:tc>
          <w:tcPr>
            <w:tcW w:w="1560" w:type="dxa"/>
            <w:shd w:val="clear" w:color="auto" w:fill="auto"/>
            <w:vAlign w:val="center"/>
          </w:tcPr>
          <w:p w14:paraId="1565C158">
            <w:pPr>
              <w:pStyle w:val="136"/>
              <w:widowControl w:val="0"/>
              <w:jc w:val="center"/>
            </w:pPr>
            <w:r>
              <w:t>产出</w:t>
            </w:r>
            <w:r>
              <w:rPr>
                <w:rFonts w:hint="eastAsia"/>
              </w:rPr>
              <w:t>质量</w:t>
            </w:r>
          </w:p>
        </w:tc>
        <w:tc>
          <w:tcPr>
            <w:tcW w:w="1559" w:type="dxa"/>
            <w:vAlign w:val="center"/>
          </w:tcPr>
          <w:p w14:paraId="7BB7010A">
            <w:pPr>
              <w:pStyle w:val="136"/>
              <w:widowControl w:val="0"/>
              <w:jc w:val="center"/>
              <w:rPr>
                <w:rFonts w:eastAsia="等线" w:cs="Times New Roman"/>
              </w:rPr>
            </w:pPr>
            <w:r>
              <w:t>系统可靠性</w:t>
            </w:r>
          </w:p>
        </w:tc>
        <w:tc>
          <w:tcPr>
            <w:tcW w:w="2812" w:type="dxa"/>
            <w:shd w:val="clear" w:color="auto" w:fill="auto"/>
            <w:vAlign w:val="center"/>
          </w:tcPr>
          <w:p w14:paraId="36AFE60D">
            <w:pPr>
              <w:pStyle w:val="136"/>
              <w:widowControl w:val="0"/>
              <w:rPr>
                <w:rFonts w:eastAsia="等线" w:cs="Times New Roman"/>
              </w:rPr>
            </w:pPr>
            <w:r>
              <w:rPr>
                <w:rFonts w:hint="eastAsia"/>
              </w:rPr>
              <w:t>100%</w:t>
            </w:r>
          </w:p>
        </w:tc>
      </w:tr>
      <w:tr w14:paraId="3020F9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09778F32">
            <w:pPr>
              <w:pStyle w:val="136"/>
              <w:widowControl w:val="0"/>
              <w:jc w:val="center"/>
              <w:rPr>
                <w:rFonts w:eastAsia="等线" w:cs="Times New Roman"/>
              </w:rPr>
            </w:pPr>
            <w:r>
              <w:rPr>
                <w:rFonts w:hint="eastAsia" w:eastAsia="等线" w:cs="Times New Roman"/>
              </w:rPr>
              <w:t>6</w:t>
            </w:r>
          </w:p>
        </w:tc>
        <w:tc>
          <w:tcPr>
            <w:tcW w:w="1153" w:type="dxa"/>
            <w:shd w:val="clear" w:color="auto" w:fill="auto"/>
            <w:vAlign w:val="center"/>
          </w:tcPr>
          <w:p w14:paraId="4ABD1880">
            <w:pPr>
              <w:pStyle w:val="136"/>
              <w:widowControl w:val="0"/>
              <w:jc w:val="center"/>
            </w:pPr>
            <w:r>
              <w:rPr>
                <w:rFonts w:hint="eastAsia"/>
              </w:rPr>
              <w:t>自定义指标</w:t>
            </w:r>
          </w:p>
        </w:tc>
        <w:tc>
          <w:tcPr>
            <w:tcW w:w="1275" w:type="dxa"/>
            <w:shd w:val="clear" w:color="auto" w:fill="auto"/>
            <w:vAlign w:val="center"/>
          </w:tcPr>
          <w:p w14:paraId="5361CE33">
            <w:pPr>
              <w:pStyle w:val="136"/>
              <w:widowControl w:val="0"/>
              <w:jc w:val="center"/>
            </w:pPr>
            <w:r>
              <w:t>应用系统</w:t>
            </w:r>
          </w:p>
        </w:tc>
        <w:tc>
          <w:tcPr>
            <w:tcW w:w="1560" w:type="dxa"/>
            <w:shd w:val="clear" w:color="auto" w:fill="auto"/>
            <w:vAlign w:val="center"/>
          </w:tcPr>
          <w:p w14:paraId="6A30635A">
            <w:pPr>
              <w:pStyle w:val="136"/>
              <w:widowControl w:val="0"/>
              <w:jc w:val="center"/>
            </w:pPr>
            <w:r>
              <w:rPr>
                <w:rFonts w:hint="eastAsia"/>
              </w:rPr>
              <w:t>系统功能</w:t>
            </w:r>
          </w:p>
        </w:tc>
        <w:tc>
          <w:tcPr>
            <w:tcW w:w="1559" w:type="dxa"/>
            <w:vAlign w:val="center"/>
          </w:tcPr>
          <w:p w14:paraId="5D6051F4">
            <w:pPr>
              <w:pStyle w:val="136"/>
              <w:widowControl w:val="0"/>
              <w:jc w:val="center"/>
            </w:pPr>
            <w:r>
              <w:rPr>
                <w:rFonts w:hint="eastAsia"/>
              </w:rPr>
              <w:t>国产化</w:t>
            </w:r>
          </w:p>
        </w:tc>
        <w:tc>
          <w:tcPr>
            <w:tcW w:w="2812" w:type="dxa"/>
            <w:shd w:val="clear" w:color="auto" w:fill="auto"/>
            <w:vAlign w:val="center"/>
          </w:tcPr>
          <w:p w14:paraId="5334EACF">
            <w:pPr>
              <w:pStyle w:val="136"/>
              <w:widowControl w:val="0"/>
            </w:pPr>
            <w:r>
              <w:rPr>
                <w:rFonts w:hint="eastAsia"/>
              </w:rPr>
              <w:t>采用国产化设备、支持信创</w:t>
            </w:r>
          </w:p>
        </w:tc>
      </w:tr>
      <w:tr w14:paraId="2B5703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7C23433C">
            <w:pPr>
              <w:pStyle w:val="136"/>
              <w:widowControl w:val="0"/>
              <w:jc w:val="center"/>
              <w:rPr>
                <w:rFonts w:eastAsia="等线" w:cs="Times New Roman"/>
              </w:rPr>
            </w:pPr>
            <w:r>
              <w:rPr>
                <w:rFonts w:hint="eastAsia" w:eastAsia="等线" w:cs="Times New Roman"/>
              </w:rPr>
              <w:t>7</w:t>
            </w:r>
          </w:p>
        </w:tc>
        <w:tc>
          <w:tcPr>
            <w:tcW w:w="1153" w:type="dxa"/>
            <w:shd w:val="clear" w:color="auto" w:fill="auto"/>
            <w:vAlign w:val="center"/>
          </w:tcPr>
          <w:p w14:paraId="6FD75D50">
            <w:pPr>
              <w:pStyle w:val="136"/>
              <w:widowControl w:val="0"/>
              <w:jc w:val="center"/>
            </w:pPr>
            <w:r>
              <w:rPr>
                <w:rFonts w:hint="eastAsia"/>
              </w:rPr>
              <w:t>自定义指标</w:t>
            </w:r>
          </w:p>
        </w:tc>
        <w:tc>
          <w:tcPr>
            <w:tcW w:w="1275" w:type="dxa"/>
            <w:shd w:val="clear" w:color="auto" w:fill="auto"/>
            <w:vAlign w:val="center"/>
          </w:tcPr>
          <w:p w14:paraId="3423C478">
            <w:pPr>
              <w:pStyle w:val="136"/>
              <w:widowControl w:val="0"/>
              <w:jc w:val="center"/>
            </w:pPr>
            <w:r>
              <w:t>应用系统</w:t>
            </w:r>
          </w:p>
        </w:tc>
        <w:tc>
          <w:tcPr>
            <w:tcW w:w="1560" w:type="dxa"/>
            <w:shd w:val="clear" w:color="auto" w:fill="auto"/>
            <w:vAlign w:val="center"/>
          </w:tcPr>
          <w:p w14:paraId="5B34F38D">
            <w:pPr>
              <w:pStyle w:val="136"/>
              <w:widowControl w:val="0"/>
              <w:jc w:val="center"/>
            </w:pPr>
            <w:r>
              <w:rPr>
                <w:rFonts w:hint="eastAsia"/>
              </w:rPr>
              <w:t>系统功能</w:t>
            </w:r>
          </w:p>
        </w:tc>
        <w:tc>
          <w:tcPr>
            <w:tcW w:w="1559" w:type="dxa"/>
            <w:vAlign w:val="center"/>
          </w:tcPr>
          <w:p w14:paraId="19705EC3">
            <w:pPr>
              <w:pStyle w:val="136"/>
              <w:widowControl w:val="0"/>
              <w:jc w:val="center"/>
            </w:pPr>
            <w:r>
              <w:rPr>
                <w:rFonts w:hint="eastAsia"/>
              </w:rPr>
              <w:t>会议管理功能</w:t>
            </w:r>
          </w:p>
        </w:tc>
        <w:tc>
          <w:tcPr>
            <w:tcW w:w="2812" w:type="dxa"/>
            <w:shd w:val="clear" w:color="auto" w:fill="auto"/>
            <w:vAlign w:val="center"/>
          </w:tcPr>
          <w:p w14:paraId="06F01FF5">
            <w:pPr>
              <w:pStyle w:val="136"/>
              <w:widowControl w:val="0"/>
            </w:pPr>
            <w:r>
              <w:rPr>
                <w:rFonts w:hint="eastAsia"/>
              </w:rPr>
              <w:t>支持B/S架构，通过WEB方式登录统一管理平台即可完成系统的配置和会议操作，支持统一门户登录，提供用户管理、设备管理、会议管理、资源管理、运维管理</w:t>
            </w:r>
          </w:p>
          <w:p w14:paraId="4506A78F">
            <w:pPr>
              <w:pStyle w:val="136"/>
              <w:widowControl w:val="0"/>
            </w:pPr>
            <w:r>
              <w:rPr>
                <w:rFonts w:hint="eastAsia"/>
              </w:rPr>
              <w:t>支持H.323、SIP、RTC协议的会议终端同时入会</w:t>
            </w:r>
          </w:p>
        </w:tc>
      </w:tr>
      <w:tr w14:paraId="4D1AC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4430E416">
            <w:pPr>
              <w:pStyle w:val="136"/>
              <w:widowControl w:val="0"/>
              <w:jc w:val="center"/>
              <w:rPr>
                <w:rFonts w:eastAsia="等线" w:cs="Times New Roman"/>
              </w:rPr>
            </w:pPr>
            <w:r>
              <w:rPr>
                <w:rFonts w:hint="eastAsia" w:eastAsia="等线" w:cs="Times New Roman"/>
              </w:rPr>
              <w:t>8</w:t>
            </w:r>
          </w:p>
        </w:tc>
        <w:tc>
          <w:tcPr>
            <w:tcW w:w="1153" w:type="dxa"/>
            <w:shd w:val="clear" w:color="auto" w:fill="auto"/>
            <w:vAlign w:val="center"/>
          </w:tcPr>
          <w:p w14:paraId="22AAF6FC">
            <w:pPr>
              <w:pStyle w:val="136"/>
              <w:widowControl w:val="0"/>
              <w:jc w:val="center"/>
            </w:pPr>
            <w:r>
              <w:rPr>
                <w:rFonts w:hint="eastAsia"/>
              </w:rPr>
              <w:t>自定义指标</w:t>
            </w:r>
          </w:p>
        </w:tc>
        <w:tc>
          <w:tcPr>
            <w:tcW w:w="1275" w:type="dxa"/>
            <w:shd w:val="clear" w:color="auto" w:fill="auto"/>
            <w:vAlign w:val="center"/>
          </w:tcPr>
          <w:p w14:paraId="13D1F6F8">
            <w:pPr>
              <w:pStyle w:val="136"/>
              <w:widowControl w:val="0"/>
              <w:jc w:val="center"/>
            </w:pPr>
            <w:r>
              <w:t>应用系统</w:t>
            </w:r>
          </w:p>
        </w:tc>
        <w:tc>
          <w:tcPr>
            <w:tcW w:w="1560" w:type="dxa"/>
            <w:shd w:val="clear" w:color="auto" w:fill="auto"/>
            <w:vAlign w:val="center"/>
          </w:tcPr>
          <w:p w14:paraId="78FC3E44">
            <w:pPr>
              <w:pStyle w:val="136"/>
              <w:widowControl w:val="0"/>
              <w:jc w:val="center"/>
            </w:pPr>
            <w:r>
              <w:rPr>
                <w:rFonts w:hint="eastAsia"/>
              </w:rPr>
              <w:t>系统功能</w:t>
            </w:r>
          </w:p>
        </w:tc>
        <w:tc>
          <w:tcPr>
            <w:tcW w:w="1559" w:type="dxa"/>
            <w:vAlign w:val="center"/>
          </w:tcPr>
          <w:p w14:paraId="7FED9D0D">
            <w:pPr>
              <w:pStyle w:val="136"/>
              <w:widowControl w:val="0"/>
              <w:jc w:val="center"/>
            </w:pPr>
            <w:r>
              <w:rPr>
                <w:rFonts w:hint="eastAsia"/>
              </w:rPr>
              <w:t>会议多点控制</w:t>
            </w:r>
          </w:p>
        </w:tc>
        <w:tc>
          <w:tcPr>
            <w:tcW w:w="2812" w:type="dxa"/>
            <w:shd w:val="clear" w:color="auto" w:fill="auto"/>
            <w:vAlign w:val="center"/>
          </w:tcPr>
          <w:p w14:paraId="59AF00B8">
            <w:pPr>
              <w:pStyle w:val="136"/>
              <w:widowControl w:val="0"/>
            </w:pPr>
            <w:r>
              <w:rPr>
                <w:rFonts w:hint="eastAsia"/>
              </w:rPr>
              <w:t>支持H.265、H.264HP、H.264BP、H.264 SVC视频标准</w:t>
            </w:r>
          </w:p>
          <w:p w14:paraId="29BB7C92">
            <w:pPr>
              <w:pStyle w:val="136"/>
              <w:widowControl w:val="0"/>
            </w:pPr>
            <w:r>
              <w:rPr>
                <w:rFonts w:hint="eastAsia"/>
              </w:rPr>
              <w:t>支持终端入会、虚拟会议室、会议创建管理、画面合成、等功能</w:t>
            </w:r>
          </w:p>
          <w:p w14:paraId="18A6ABD5">
            <w:pPr>
              <w:pStyle w:val="136"/>
              <w:widowControl w:val="0"/>
            </w:pPr>
            <w:r>
              <w:rPr>
                <w:rFonts w:hint="eastAsia"/>
              </w:rPr>
              <w:t>会议速率64Kbps～8Mbps</w:t>
            </w:r>
          </w:p>
        </w:tc>
      </w:tr>
      <w:tr w14:paraId="7413C9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172E7E02">
            <w:pPr>
              <w:pStyle w:val="136"/>
              <w:widowControl w:val="0"/>
              <w:jc w:val="center"/>
              <w:rPr>
                <w:rFonts w:eastAsia="等线" w:cs="Times New Roman"/>
              </w:rPr>
            </w:pPr>
            <w:r>
              <w:rPr>
                <w:rFonts w:hint="eastAsia" w:eastAsia="等线" w:cs="Times New Roman"/>
              </w:rPr>
              <w:t>9</w:t>
            </w:r>
          </w:p>
        </w:tc>
        <w:tc>
          <w:tcPr>
            <w:tcW w:w="1153" w:type="dxa"/>
            <w:shd w:val="clear" w:color="auto" w:fill="auto"/>
            <w:vAlign w:val="center"/>
          </w:tcPr>
          <w:p w14:paraId="6DA4CCCB">
            <w:pPr>
              <w:pStyle w:val="136"/>
              <w:widowControl w:val="0"/>
              <w:jc w:val="center"/>
            </w:pPr>
            <w:r>
              <w:rPr>
                <w:rFonts w:hint="eastAsia"/>
              </w:rPr>
              <w:t>自定义指标</w:t>
            </w:r>
          </w:p>
        </w:tc>
        <w:tc>
          <w:tcPr>
            <w:tcW w:w="1275" w:type="dxa"/>
            <w:shd w:val="clear" w:color="auto" w:fill="auto"/>
            <w:vAlign w:val="center"/>
          </w:tcPr>
          <w:p w14:paraId="66517F2E">
            <w:pPr>
              <w:pStyle w:val="136"/>
              <w:widowControl w:val="0"/>
              <w:jc w:val="center"/>
            </w:pPr>
            <w:r>
              <w:t>应用系统</w:t>
            </w:r>
          </w:p>
        </w:tc>
        <w:tc>
          <w:tcPr>
            <w:tcW w:w="1560" w:type="dxa"/>
            <w:shd w:val="clear" w:color="auto" w:fill="auto"/>
            <w:vAlign w:val="center"/>
          </w:tcPr>
          <w:p w14:paraId="5F88F63B">
            <w:pPr>
              <w:pStyle w:val="136"/>
              <w:widowControl w:val="0"/>
              <w:jc w:val="center"/>
            </w:pPr>
            <w:r>
              <w:rPr>
                <w:rFonts w:hint="eastAsia"/>
              </w:rPr>
              <w:t>系统功能</w:t>
            </w:r>
          </w:p>
        </w:tc>
        <w:tc>
          <w:tcPr>
            <w:tcW w:w="1559" w:type="dxa"/>
            <w:vAlign w:val="center"/>
          </w:tcPr>
          <w:p w14:paraId="245B0C34">
            <w:pPr>
              <w:pStyle w:val="136"/>
              <w:widowControl w:val="0"/>
              <w:jc w:val="center"/>
            </w:pPr>
            <w:r>
              <w:rPr>
                <w:rFonts w:hint="eastAsia"/>
              </w:rPr>
              <w:t>会议终端</w:t>
            </w:r>
          </w:p>
        </w:tc>
        <w:tc>
          <w:tcPr>
            <w:tcW w:w="2812" w:type="dxa"/>
            <w:shd w:val="clear" w:color="auto" w:fill="auto"/>
            <w:vAlign w:val="center"/>
          </w:tcPr>
          <w:p w14:paraId="53EFE767">
            <w:pPr>
              <w:pStyle w:val="136"/>
              <w:widowControl w:val="0"/>
            </w:pPr>
            <w:r>
              <w:rPr>
                <w:rFonts w:hint="eastAsia"/>
              </w:rPr>
              <w:t>支持国密算法，自主可控</w:t>
            </w:r>
          </w:p>
          <w:p w14:paraId="358D4352">
            <w:pPr>
              <w:pStyle w:val="136"/>
              <w:widowControl w:val="0"/>
            </w:pPr>
            <w:r>
              <w:rPr>
                <w:rFonts w:hint="eastAsia"/>
              </w:rPr>
              <w:t>支持H.264、H.265视频协议</w:t>
            </w:r>
          </w:p>
          <w:p w14:paraId="075C5FA8">
            <w:pPr>
              <w:pStyle w:val="136"/>
            </w:pPr>
            <w:r>
              <w:rPr>
                <w:rFonts w:hint="eastAsia"/>
              </w:rPr>
              <w:t>支持不少于2路高清视频输入接口、2路高清输出接口、接口类型支持DVI、HDMI</w:t>
            </w:r>
          </w:p>
          <w:p w14:paraId="7DCE72B7">
            <w:pPr>
              <w:pStyle w:val="136"/>
              <w:widowControl w:val="0"/>
            </w:pPr>
            <w:r>
              <w:rPr>
                <w:rFonts w:hint="eastAsia"/>
              </w:rPr>
              <w:t>支持不少于6进5出独立的音频输入输出接口</w:t>
            </w:r>
          </w:p>
        </w:tc>
      </w:tr>
      <w:tr w14:paraId="61B37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362B9FD3">
            <w:pPr>
              <w:pStyle w:val="136"/>
              <w:widowControl w:val="0"/>
              <w:jc w:val="center"/>
              <w:rPr>
                <w:rFonts w:eastAsia="等线" w:cs="Times New Roman"/>
              </w:rPr>
            </w:pPr>
            <w:r>
              <w:rPr>
                <w:rFonts w:hint="eastAsia" w:eastAsia="等线" w:cs="Times New Roman"/>
              </w:rPr>
              <w:t>10</w:t>
            </w:r>
          </w:p>
        </w:tc>
        <w:tc>
          <w:tcPr>
            <w:tcW w:w="1153" w:type="dxa"/>
            <w:shd w:val="clear" w:color="auto" w:fill="auto"/>
            <w:vAlign w:val="center"/>
          </w:tcPr>
          <w:p w14:paraId="429F363F">
            <w:pPr>
              <w:pStyle w:val="136"/>
              <w:widowControl w:val="0"/>
              <w:jc w:val="center"/>
            </w:pPr>
            <w:r>
              <w:rPr>
                <w:rFonts w:hint="eastAsia"/>
              </w:rPr>
              <w:t>自定义指标</w:t>
            </w:r>
          </w:p>
        </w:tc>
        <w:tc>
          <w:tcPr>
            <w:tcW w:w="1275" w:type="dxa"/>
            <w:shd w:val="clear" w:color="auto" w:fill="auto"/>
            <w:vAlign w:val="center"/>
          </w:tcPr>
          <w:p w14:paraId="70F0EB7F">
            <w:pPr>
              <w:pStyle w:val="136"/>
              <w:widowControl w:val="0"/>
              <w:jc w:val="center"/>
            </w:pPr>
            <w:r>
              <w:t>应用系统</w:t>
            </w:r>
          </w:p>
        </w:tc>
        <w:tc>
          <w:tcPr>
            <w:tcW w:w="1560" w:type="dxa"/>
            <w:shd w:val="clear" w:color="auto" w:fill="auto"/>
            <w:vAlign w:val="center"/>
          </w:tcPr>
          <w:p w14:paraId="65875475">
            <w:pPr>
              <w:pStyle w:val="136"/>
              <w:widowControl w:val="0"/>
              <w:jc w:val="center"/>
            </w:pPr>
            <w:r>
              <w:rPr>
                <w:rFonts w:hint="eastAsia"/>
              </w:rPr>
              <w:t>系统功能</w:t>
            </w:r>
          </w:p>
        </w:tc>
        <w:tc>
          <w:tcPr>
            <w:tcW w:w="1559" w:type="dxa"/>
            <w:vAlign w:val="center"/>
          </w:tcPr>
          <w:p w14:paraId="13BFE6F2">
            <w:pPr>
              <w:pStyle w:val="136"/>
              <w:widowControl w:val="0"/>
              <w:jc w:val="center"/>
            </w:pPr>
            <w:r>
              <w:rPr>
                <w:rFonts w:hint="eastAsia"/>
              </w:rPr>
              <w:t>多媒体录播功能</w:t>
            </w:r>
          </w:p>
        </w:tc>
        <w:tc>
          <w:tcPr>
            <w:tcW w:w="2812" w:type="dxa"/>
            <w:shd w:val="clear" w:color="auto" w:fill="auto"/>
            <w:vAlign w:val="center"/>
          </w:tcPr>
          <w:p w14:paraId="440B8E9B">
            <w:pPr>
              <w:pStyle w:val="136"/>
              <w:widowControl w:val="0"/>
            </w:pPr>
            <w:r>
              <w:rPr>
                <w:rFonts w:hint="eastAsia"/>
              </w:rPr>
              <w:t>可应用在各类基于IP的视频会议及可视通信系统，提供录像、放像、直播、点播、存储等多媒体服务</w:t>
            </w:r>
          </w:p>
          <w:p w14:paraId="0A6AAF19">
            <w:pPr>
              <w:pStyle w:val="136"/>
            </w:pPr>
            <w:r>
              <w:rPr>
                <w:rFonts w:hint="eastAsia"/>
              </w:rPr>
              <w:t>支持4K、1080p、1080p、720p高清图像格式录制，并向下兼容4CIF、CIF标清图像格式</w:t>
            </w:r>
          </w:p>
          <w:p w14:paraId="39CBFCF1">
            <w:pPr>
              <w:pStyle w:val="136"/>
              <w:widowControl w:val="0"/>
            </w:pPr>
            <w:r>
              <w:rPr>
                <w:rFonts w:hint="eastAsia"/>
              </w:rPr>
              <w:t>支持 H.264、H.265视频标准协议</w:t>
            </w:r>
          </w:p>
        </w:tc>
      </w:tr>
    </w:tbl>
    <w:p w14:paraId="3381F8CB">
      <w:pPr>
        <w:rPr>
          <w:rFonts w:hint="eastAsia"/>
        </w:rPr>
      </w:pPr>
    </w:p>
    <w:tbl>
      <w:tblPr>
        <w:tblStyle w:val="35"/>
        <w:tblW w:w="92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9"/>
        <w:gridCol w:w="1149"/>
        <w:gridCol w:w="1271"/>
        <w:gridCol w:w="1553"/>
        <w:gridCol w:w="1552"/>
        <w:gridCol w:w="2793"/>
      </w:tblGrid>
      <w:tr w14:paraId="5DFED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2021" w:type="dxa"/>
            <w:gridSpan w:val="2"/>
            <w:shd w:val="clear" w:color="auto" w:fill="auto"/>
            <w:vAlign w:val="center"/>
          </w:tcPr>
          <w:p w14:paraId="1C63281F">
            <w:pPr>
              <w:pStyle w:val="136"/>
              <w:ind w:firstLine="482"/>
              <w:jc w:val="center"/>
              <w:rPr>
                <w:b/>
                <w:bCs/>
              </w:rPr>
            </w:pPr>
            <w:r>
              <w:rPr>
                <w:rFonts w:hint="eastAsia"/>
                <w:b/>
                <w:bCs/>
              </w:rPr>
              <w:t>技术目标</w:t>
            </w:r>
          </w:p>
        </w:tc>
        <w:tc>
          <w:tcPr>
            <w:tcW w:w="7206" w:type="dxa"/>
            <w:gridSpan w:val="4"/>
            <w:vAlign w:val="center"/>
          </w:tcPr>
          <w:p w14:paraId="2306FC03">
            <w:pPr>
              <w:pStyle w:val="136"/>
              <w:widowControl w:val="0"/>
              <w:ind w:firstLine="482"/>
              <w:jc w:val="center"/>
              <w:rPr>
                <w:b/>
                <w:bCs/>
              </w:rPr>
            </w:pPr>
            <w:r>
              <w:rPr>
                <w:rFonts w:hint="eastAsia"/>
                <w:b/>
                <w:bCs/>
              </w:rPr>
              <w:t>监控联网系统</w:t>
            </w:r>
          </w:p>
        </w:tc>
      </w:tr>
      <w:tr w14:paraId="6BC951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14481A79">
            <w:pPr>
              <w:pStyle w:val="136"/>
              <w:widowControl w:val="0"/>
              <w:ind w:firstLine="482"/>
              <w:jc w:val="center"/>
              <w:rPr>
                <w:b/>
                <w:bCs/>
              </w:rPr>
            </w:pPr>
            <w:r>
              <w:rPr>
                <w:rFonts w:hint="eastAsia"/>
                <w:b/>
                <w:bCs/>
              </w:rPr>
              <w:t>序号</w:t>
            </w:r>
          </w:p>
        </w:tc>
        <w:tc>
          <w:tcPr>
            <w:tcW w:w="1153" w:type="dxa"/>
            <w:shd w:val="clear" w:color="auto" w:fill="auto"/>
            <w:vAlign w:val="center"/>
          </w:tcPr>
          <w:p w14:paraId="2D2C511A">
            <w:pPr>
              <w:pStyle w:val="136"/>
              <w:widowControl w:val="0"/>
              <w:ind w:firstLine="482"/>
              <w:jc w:val="center"/>
              <w:rPr>
                <w:b/>
                <w:bCs/>
              </w:rPr>
            </w:pPr>
            <w:r>
              <w:rPr>
                <w:rFonts w:hint="eastAsia"/>
                <w:b/>
                <w:bCs/>
              </w:rPr>
              <w:t>一级指标</w:t>
            </w:r>
          </w:p>
        </w:tc>
        <w:tc>
          <w:tcPr>
            <w:tcW w:w="1275" w:type="dxa"/>
            <w:shd w:val="clear" w:color="auto" w:fill="auto"/>
            <w:vAlign w:val="center"/>
          </w:tcPr>
          <w:p w14:paraId="18300E51">
            <w:pPr>
              <w:pStyle w:val="136"/>
              <w:widowControl w:val="0"/>
              <w:ind w:firstLine="482"/>
              <w:jc w:val="center"/>
              <w:rPr>
                <w:b/>
                <w:bCs/>
              </w:rPr>
            </w:pPr>
            <w:r>
              <w:rPr>
                <w:rFonts w:hint="eastAsia"/>
                <w:b/>
                <w:bCs/>
              </w:rPr>
              <w:t>二级指标</w:t>
            </w:r>
          </w:p>
        </w:tc>
        <w:tc>
          <w:tcPr>
            <w:tcW w:w="1560" w:type="dxa"/>
            <w:shd w:val="clear" w:color="auto" w:fill="auto"/>
            <w:vAlign w:val="center"/>
          </w:tcPr>
          <w:p w14:paraId="06A1F1ED">
            <w:pPr>
              <w:pStyle w:val="136"/>
              <w:widowControl w:val="0"/>
              <w:ind w:firstLine="482"/>
              <w:jc w:val="center"/>
              <w:rPr>
                <w:b/>
                <w:bCs/>
              </w:rPr>
            </w:pPr>
            <w:r>
              <w:rPr>
                <w:rFonts w:hint="eastAsia"/>
                <w:b/>
                <w:bCs/>
              </w:rPr>
              <w:t>三级指标</w:t>
            </w:r>
          </w:p>
        </w:tc>
        <w:tc>
          <w:tcPr>
            <w:tcW w:w="1559" w:type="dxa"/>
            <w:vAlign w:val="center"/>
          </w:tcPr>
          <w:p w14:paraId="0DCAC2EE">
            <w:pPr>
              <w:pStyle w:val="136"/>
              <w:widowControl w:val="0"/>
              <w:ind w:firstLine="482"/>
              <w:jc w:val="center"/>
              <w:rPr>
                <w:b/>
                <w:bCs/>
              </w:rPr>
            </w:pPr>
            <w:r>
              <w:rPr>
                <w:rFonts w:hint="eastAsia"/>
                <w:b/>
                <w:bCs/>
              </w:rPr>
              <w:t>四级指标</w:t>
            </w:r>
          </w:p>
        </w:tc>
        <w:tc>
          <w:tcPr>
            <w:tcW w:w="2812" w:type="dxa"/>
            <w:shd w:val="clear" w:color="auto" w:fill="auto"/>
            <w:vAlign w:val="center"/>
          </w:tcPr>
          <w:p w14:paraId="36A4CFEC">
            <w:pPr>
              <w:pStyle w:val="136"/>
              <w:widowControl w:val="0"/>
              <w:ind w:firstLine="482"/>
              <w:jc w:val="center"/>
              <w:rPr>
                <w:b/>
                <w:bCs/>
              </w:rPr>
            </w:pPr>
            <w:r>
              <w:rPr>
                <w:rFonts w:hint="eastAsia"/>
                <w:b/>
                <w:bCs/>
              </w:rPr>
              <w:t>指标值</w:t>
            </w:r>
          </w:p>
        </w:tc>
      </w:tr>
      <w:tr w14:paraId="66518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25500603">
            <w:pPr>
              <w:pStyle w:val="136"/>
              <w:widowControl w:val="0"/>
              <w:jc w:val="center"/>
              <w:rPr>
                <w:rFonts w:eastAsia="等线" w:cs="Times New Roman"/>
              </w:rPr>
            </w:pPr>
            <w:r>
              <w:rPr>
                <w:rFonts w:hint="eastAsia" w:eastAsia="等线" w:cs="Times New Roman"/>
              </w:rPr>
              <w:t>1</w:t>
            </w:r>
          </w:p>
        </w:tc>
        <w:tc>
          <w:tcPr>
            <w:tcW w:w="1153" w:type="dxa"/>
            <w:shd w:val="clear" w:color="auto" w:fill="auto"/>
            <w:vAlign w:val="center"/>
          </w:tcPr>
          <w:p w14:paraId="0A036DBF">
            <w:pPr>
              <w:pStyle w:val="136"/>
              <w:widowControl w:val="0"/>
              <w:jc w:val="center"/>
            </w:pPr>
            <w:r>
              <w:rPr>
                <w:rFonts w:hint="eastAsia"/>
              </w:rPr>
              <w:t>通用指标</w:t>
            </w:r>
          </w:p>
        </w:tc>
        <w:tc>
          <w:tcPr>
            <w:tcW w:w="1275" w:type="dxa"/>
            <w:shd w:val="clear" w:color="auto" w:fill="auto"/>
            <w:vAlign w:val="center"/>
          </w:tcPr>
          <w:p w14:paraId="4095E4E5">
            <w:pPr>
              <w:pStyle w:val="136"/>
              <w:widowControl w:val="0"/>
              <w:jc w:val="center"/>
            </w:pPr>
            <w:r>
              <w:t>产出指标</w:t>
            </w:r>
          </w:p>
        </w:tc>
        <w:tc>
          <w:tcPr>
            <w:tcW w:w="1560" w:type="dxa"/>
            <w:shd w:val="clear" w:color="auto" w:fill="auto"/>
            <w:vAlign w:val="center"/>
          </w:tcPr>
          <w:p w14:paraId="517AFAFC">
            <w:pPr>
              <w:pStyle w:val="136"/>
              <w:widowControl w:val="0"/>
              <w:jc w:val="center"/>
            </w:pPr>
            <w:r>
              <w:t>产出质量</w:t>
            </w:r>
          </w:p>
        </w:tc>
        <w:tc>
          <w:tcPr>
            <w:tcW w:w="1559" w:type="dxa"/>
            <w:vAlign w:val="center"/>
          </w:tcPr>
          <w:p w14:paraId="75FB6E8F">
            <w:pPr>
              <w:pStyle w:val="136"/>
              <w:widowControl w:val="0"/>
              <w:jc w:val="center"/>
            </w:pPr>
            <w:r>
              <w:t>安全事件发生次数</w:t>
            </w:r>
          </w:p>
        </w:tc>
        <w:tc>
          <w:tcPr>
            <w:tcW w:w="2812" w:type="dxa"/>
            <w:shd w:val="clear" w:color="auto" w:fill="auto"/>
            <w:vAlign w:val="center"/>
          </w:tcPr>
          <w:p w14:paraId="49CD5C0F">
            <w:pPr>
              <w:pStyle w:val="136"/>
              <w:widowControl w:val="0"/>
            </w:pPr>
            <w:r>
              <w:rPr>
                <w:rFonts w:hint="eastAsia" w:ascii="仿宋" w:hAnsi="仿宋"/>
              </w:rPr>
              <w:t>≤</w:t>
            </w:r>
            <w:r>
              <w:rPr>
                <w:rFonts w:hint="eastAsia"/>
              </w:rPr>
              <w:t>1次/年</w:t>
            </w:r>
          </w:p>
        </w:tc>
      </w:tr>
      <w:tr w14:paraId="216EAD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61702E2C">
            <w:pPr>
              <w:pStyle w:val="136"/>
              <w:widowControl w:val="0"/>
              <w:jc w:val="center"/>
              <w:rPr>
                <w:rFonts w:eastAsia="等线" w:cs="Times New Roman"/>
              </w:rPr>
            </w:pPr>
            <w:r>
              <w:rPr>
                <w:rFonts w:hint="eastAsia" w:eastAsia="等线" w:cs="Times New Roman"/>
              </w:rPr>
              <w:t>2</w:t>
            </w:r>
          </w:p>
        </w:tc>
        <w:tc>
          <w:tcPr>
            <w:tcW w:w="1153" w:type="dxa"/>
            <w:shd w:val="clear" w:color="auto" w:fill="auto"/>
            <w:vAlign w:val="center"/>
          </w:tcPr>
          <w:p w14:paraId="27A83C5B">
            <w:pPr>
              <w:pStyle w:val="136"/>
              <w:widowControl w:val="0"/>
              <w:jc w:val="center"/>
            </w:pPr>
            <w:r>
              <w:rPr>
                <w:rFonts w:hint="eastAsia"/>
              </w:rPr>
              <w:t>通用指标</w:t>
            </w:r>
          </w:p>
        </w:tc>
        <w:tc>
          <w:tcPr>
            <w:tcW w:w="1275" w:type="dxa"/>
            <w:shd w:val="clear" w:color="auto" w:fill="auto"/>
            <w:vAlign w:val="center"/>
          </w:tcPr>
          <w:p w14:paraId="7C2037E3">
            <w:pPr>
              <w:pStyle w:val="136"/>
              <w:widowControl w:val="0"/>
              <w:jc w:val="center"/>
            </w:pPr>
            <w:r>
              <w:t>应用系统</w:t>
            </w:r>
          </w:p>
        </w:tc>
        <w:tc>
          <w:tcPr>
            <w:tcW w:w="1560" w:type="dxa"/>
            <w:shd w:val="clear" w:color="auto" w:fill="auto"/>
            <w:vAlign w:val="center"/>
          </w:tcPr>
          <w:p w14:paraId="7B0CEE95">
            <w:pPr>
              <w:pStyle w:val="136"/>
              <w:widowControl w:val="0"/>
              <w:jc w:val="center"/>
            </w:pPr>
            <w:r>
              <w:t>用户使用情况</w:t>
            </w:r>
          </w:p>
        </w:tc>
        <w:tc>
          <w:tcPr>
            <w:tcW w:w="1559" w:type="dxa"/>
            <w:vAlign w:val="center"/>
          </w:tcPr>
          <w:p w14:paraId="3A29B25B">
            <w:pPr>
              <w:pStyle w:val="136"/>
              <w:widowControl w:val="0"/>
              <w:jc w:val="center"/>
            </w:pPr>
            <w:r>
              <w:t>系统用户量</w:t>
            </w:r>
          </w:p>
        </w:tc>
        <w:tc>
          <w:tcPr>
            <w:tcW w:w="2812" w:type="dxa"/>
            <w:shd w:val="clear" w:color="auto" w:fill="auto"/>
            <w:vAlign w:val="center"/>
          </w:tcPr>
          <w:p w14:paraId="6CAC1A02">
            <w:pPr>
              <w:pStyle w:val="136"/>
              <w:widowControl w:val="0"/>
              <w:rPr>
                <w:rFonts w:hint="eastAsia" w:ascii="仿宋" w:hAnsi="仿宋"/>
              </w:rPr>
            </w:pPr>
            <w:r>
              <w:rPr>
                <w:rFonts w:hint="eastAsia" w:ascii="仿宋" w:hAnsi="仿宋"/>
              </w:rPr>
              <w:t>最大支持1024个用户终端访问</w:t>
            </w:r>
          </w:p>
        </w:tc>
      </w:tr>
      <w:tr w14:paraId="0219E6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2E01C06B">
            <w:pPr>
              <w:pStyle w:val="136"/>
              <w:widowControl w:val="0"/>
              <w:jc w:val="center"/>
              <w:rPr>
                <w:rFonts w:eastAsia="等线" w:cs="Times New Roman"/>
              </w:rPr>
            </w:pPr>
            <w:r>
              <w:rPr>
                <w:rFonts w:hint="eastAsia" w:eastAsia="等线" w:cs="Times New Roman"/>
              </w:rPr>
              <w:t>3</w:t>
            </w:r>
          </w:p>
        </w:tc>
        <w:tc>
          <w:tcPr>
            <w:tcW w:w="1153" w:type="dxa"/>
            <w:shd w:val="clear" w:color="auto" w:fill="auto"/>
            <w:vAlign w:val="center"/>
          </w:tcPr>
          <w:p w14:paraId="143F8AF6">
            <w:pPr>
              <w:pStyle w:val="136"/>
              <w:widowControl w:val="0"/>
              <w:jc w:val="center"/>
            </w:pPr>
            <w:r>
              <w:rPr>
                <w:rFonts w:hint="eastAsia"/>
              </w:rPr>
              <w:t>通用指标</w:t>
            </w:r>
          </w:p>
        </w:tc>
        <w:tc>
          <w:tcPr>
            <w:tcW w:w="1275" w:type="dxa"/>
            <w:shd w:val="clear" w:color="auto" w:fill="auto"/>
            <w:vAlign w:val="center"/>
          </w:tcPr>
          <w:p w14:paraId="64C2BAC9">
            <w:pPr>
              <w:pStyle w:val="136"/>
              <w:widowControl w:val="0"/>
              <w:jc w:val="center"/>
            </w:pPr>
            <w:r>
              <w:t>应用系统</w:t>
            </w:r>
          </w:p>
        </w:tc>
        <w:tc>
          <w:tcPr>
            <w:tcW w:w="1560" w:type="dxa"/>
            <w:shd w:val="clear" w:color="auto" w:fill="auto"/>
            <w:vAlign w:val="center"/>
          </w:tcPr>
          <w:p w14:paraId="1D848C6F">
            <w:pPr>
              <w:pStyle w:val="136"/>
              <w:widowControl w:val="0"/>
              <w:jc w:val="center"/>
            </w:pPr>
            <w:r>
              <w:t>基础数据共性 系统水平</w:t>
            </w:r>
          </w:p>
        </w:tc>
        <w:tc>
          <w:tcPr>
            <w:tcW w:w="1559" w:type="dxa"/>
            <w:vAlign w:val="center"/>
          </w:tcPr>
          <w:p w14:paraId="010C48E2">
            <w:pPr>
              <w:pStyle w:val="136"/>
              <w:widowControl w:val="0"/>
              <w:jc w:val="center"/>
            </w:pPr>
            <w:r>
              <w:t>基础数据承载量</w:t>
            </w:r>
          </w:p>
        </w:tc>
        <w:tc>
          <w:tcPr>
            <w:tcW w:w="2812" w:type="dxa"/>
            <w:shd w:val="clear" w:color="auto" w:fill="auto"/>
            <w:vAlign w:val="center"/>
          </w:tcPr>
          <w:p w14:paraId="4F54AF50">
            <w:pPr>
              <w:pStyle w:val="136"/>
              <w:widowControl w:val="0"/>
              <w:rPr>
                <w:rFonts w:hint="eastAsia" w:ascii="仿宋" w:hAnsi="仿宋"/>
              </w:rPr>
            </w:pPr>
            <w:r>
              <w:rPr>
                <w:rFonts w:hint="eastAsia" w:ascii="仿宋" w:hAnsi="仿宋"/>
              </w:rPr>
              <w:t>可承载接入基层15家单位共计30000路前端点位</w:t>
            </w:r>
          </w:p>
          <w:p w14:paraId="7ED66627">
            <w:pPr>
              <w:pStyle w:val="136"/>
              <w:widowControl w:val="0"/>
              <w:rPr>
                <w:rFonts w:hint="eastAsia" w:ascii="仿宋" w:hAnsi="仿宋"/>
              </w:rPr>
            </w:pPr>
            <w:r>
              <w:rPr>
                <w:rFonts w:hint="eastAsia" w:ascii="仿宋" w:hAnsi="仿宋"/>
              </w:rPr>
              <w:t>最大可管理40000路前端</w:t>
            </w:r>
          </w:p>
        </w:tc>
      </w:tr>
      <w:tr w14:paraId="6EBDC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36AD5C00">
            <w:pPr>
              <w:pStyle w:val="136"/>
              <w:widowControl w:val="0"/>
              <w:jc w:val="center"/>
              <w:rPr>
                <w:rFonts w:eastAsia="等线" w:cs="Times New Roman"/>
              </w:rPr>
            </w:pPr>
            <w:r>
              <w:rPr>
                <w:rFonts w:hint="eastAsia" w:eastAsia="等线" w:cs="Times New Roman"/>
              </w:rPr>
              <w:t>4</w:t>
            </w:r>
          </w:p>
        </w:tc>
        <w:tc>
          <w:tcPr>
            <w:tcW w:w="1153" w:type="dxa"/>
            <w:shd w:val="clear" w:color="auto" w:fill="auto"/>
            <w:vAlign w:val="center"/>
          </w:tcPr>
          <w:p w14:paraId="33AF441E">
            <w:pPr>
              <w:pStyle w:val="136"/>
              <w:widowControl w:val="0"/>
              <w:jc w:val="center"/>
            </w:pPr>
            <w:r>
              <w:rPr>
                <w:rFonts w:hint="eastAsia"/>
              </w:rPr>
              <w:t>通用指标</w:t>
            </w:r>
          </w:p>
        </w:tc>
        <w:tc>
          <w:tcPr>
            <w:tcW w:w="1275" w:type="dxa"/>
            <w:shd w:val="clear" w:color="auto" w:fill="auto"/>
            <w:vAlign w:val="center"/>
          </w:tcPr>
          <w:p w14:paraId="65D514C1">
            <w:pPr>
              <w:pStyle w:val="136"/>
              <w:widowControl w:val="0"/>
              <w:jc w:val="center"/>
            </w:pPr>
            <w:r>
              <w:t>应用系统</w:t>
            </w:r>
          </w:p>
        </w:tc>
        <w:tc>
          <w:tcPr>
            <w:tcW w:w="1560" w:type="dxa"/>
            <w:shd w:val="clear" w:color="auto" w:fill="auto"/>
            <w:vAlign w:val="center"/>
          </w:tcPr>
          <w:p w14:paraId="3A8A127F">
            <w:pPr>
              <w:pStyle w:val="136"/>
              <w:widowControl w:val="0"/>
              <w:jc w:val="center"/>
            </w:pPr>
            <w:r>
              <w:t>后台数据存储 及交换服务水 平</w:t>
            </w:r>
          </w:p>
        </w:tc>
        <w:tc>
          <w:tcPr>
            <w:tcW w:w="1559" w:type="dxa"/>
            <w:vAlign w:val="center"/>
          </w:tcPr>
          <w:p w14:paraId="5DF45891">
            <w:pPr>
              <w:pStyle w:val="136"/>
              <w:widowControl w:val="0"/>
              <w:jc w:val="center"/>
            </w:pPr>
            <w:r>
              <w:t>数据存储量</w:t>
            </w:r>
          </w:p>
        </w:tc>
        <w:tc>
          <w:tcPr>
            <w:tcW w:w="2812" w:type="dxa"/>
            <w:shd w:val="clear" w:color="auto" w:fill="auto"/>
            <w:vAlign w:val="center"/>
          </w:tcPr>
          <w:p w14:paraId="01F6A8FE">
            <w:pPr>
              <w:pStyle w:val="136"/>
              <w:widowControl w:val="0"/>
              <w:rPr>
                <w:rFonts w:hint="eastAsia" w:ascii="仿宋" w:hAnsi="仿宋"/>
              </w:rPr>
            </w:pPr>
            <w:r>
              <w:rPr>
                <w:rFonts w:hint="eastAsia" w:ascii="仿宋" w:hAnsi="仿宋"/>
              </w:rPr>
              <w:t>128T标称容量</w:t>
            </w:r>
          </w:p>
        </w:tc>
      </w:tr>
      <w:tr w14:paraId="583F7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012782F9">
            <w:pPr>
              <w:pStyle w:val="136"/>
              <w:widowControl w:val="0"/>
              <w:jc w:val="center"/>
              <w:rPr>
                <w:rFonts w:eastAsia="等线" w:cs="Times New Roman"/>
              </w:rPr>
            </w:pPr>
            <w:r>
              <w:rPr>
                <w:rFonts w:hint="eastAsia" w:eastAsia="等线" w:cs="Times New Roman"/>
              </w:rPr>
              <w:t>5</w:t>
            </w:r>
          </w:p>
        </w:tc>
        <w:tc>
          <w:tcPr>
            <w:tcW w:w="1153" w:type="dxa"/>
            <w:shd w:val="clear" w:color="auto" w:fill="auto"/>
            <w:vAlign w:val="center"/>
          </w:tcPr>
          <w:p w14:paraId="63D83E3B">
            <w:pPr>
              <w:pStyle w:val="136"/>
              <w:widowControl w:val="0"/>
              <w:jc w:val="center"/>
            </w:pPr>
            <w:r>
              <w:rPr>
                <w:rFonts w:hint="eastAsia"/>
              </w:rPr>
              <w:t>通用指标</w:t>
            </w:r>
          </w:p>
        </w:tc>
        <w:tc>
          <w:tcPr>
            <w:tcW w:w="1275" w:type="dxa"/>
            <w:shd w:val="clear" w:color="auto" w:fill="auto"/>
            <w:vAlign w:val="center"/>
          </w:tcPr>
          <w:p w14:paraId="79D84AFA">
            <w:pPr>
              <w:pStyle w:val="136"/>
              <w:widowControl w:val="0"/>
              <w:jc w:val="center"/>
            </w:pPr>
            <w:r>
              <w:rPr>
                <w:rFonts w:hint="eastAsia"/>
              </w:rPr>
              <w:t>产出指标</w:t>
            </w:r>
          </w:p>
        </w:tc>
        <w:tc>
          <w:tcPr>
            <w:tcW w:w="1560" w:type="dxa"/>
            <w:shd w:val="clear" w:color="auto" w:fill="auto"/>
            <w:vAlign w:val="center"/>
          </w:tcPr>
          <w:p w14:paraId="79C1538D">
            <w:pPr>
              <w:pStyle w:val="136"/>
              <w:widowControl w:val="0"/>
              <w:jc w:val="center"/>
            </w:pPr>
            <w:r>
              <w:t>产出</w:t>
            </w:r>
            <w:r>
              <w:rPr>
                <w:rFonts w:hint="eastAsia"/>
              </w:rPr>
              <w:t>质量</w:t>
            </w:r>
          </w:p>
        </w:tc>
        <w:tc>
          <w:tcPr>
            <w:tcW w:w="1559" w:type="dxa"/>
            <w:vAlign w:val="center"/>
          </w:tcPr>
          <w:p w14:paraId="08AF3672">
            <w:pPr>
              <w:pStyle w:val="136"/>
              <w:widowControl w:val="0"/>
              <w:jc w:val="center"/>
              <w:rPr>
                <w:rFonts w:eastAsia="等线" w:cs="Times New Roman"/>
              </w:rPr>
            </w:pPr>
            <w:r>
              <w:t>系统可靠性</w:t>
            </w:r>
          </w:p>
        </w:tc>
        <w:tc>
          <w:tcPr>
            <w:tcW w:w="2812" w:type="dxa"/>
            <w:shd w:val="clear" w:color="auto" w:fill="auto"/>
            <w:vAlign w:val="center"/>
          </w:tcPr>
          <w:p w14:paraId="44C86E62">
            <w:pPr>
              <w:pStyle w:val="136"/>
              <w:widowControl w:val="0"/>
              <w:rPr>
                <w:rFonts w:eastAsia="等线" w:cs="Times New Roman"/>
              </w:rPr>
            </w:pPr>
            <w:r>
              <w:rPr>
                <w:rFonts w:hint="eastAsia"/>
              </w:rPr>
              <w:t>100%</w:t>
            </w:r>
          </w:p>
        </w:tc>
      </w:tr>
      <w:tr w14:paraId="72BB2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16C106F5">
            <w:pPr>
              <w:pStyle w:val="136"/>
              <w:widowControl w:val="0"/>
              <w:jc w:val="center"/>
              <w:rPr>
                <w:rFonts w:eastAsia="等线" w:cs="Times New Roman"/>
              </w:rPr>
            </w:pPr>
            <w:r>
              <w:rPr>
                <w:rFonts w:hint="eastAsia" w:eastAsia="等线" w:cs="Times New Roman"/>
              </w:rPr>
              <w:t>6</w:t>
            </w:r>
          </w:p>
        </w:tc>
        <w:tc>
          <w:tcPr>
            <w:tcW w:w="1153" w:type="dxa"/>
            <w:shd w:val="clear" w:color="auto" w:fill="auto"/>
            <w:vAlign w:val="center"/>
          </w:tcPr>
          <w:p w14:paraId="0634B255">
            <w:pPr>
              <w:pStyle w:val="136"/>
              <w:widowControl w:val="0"/>
              <w:jc w:val="center"/>
            </w:pPr>
            <w:r>
              <w:rPr>
                <w:rFonts w:hint="eastAsia"/>
              </w:rPr>
              <w:t>自定义指标</w:t>
            </w:r>
          </w:p>
        </w:tc>
        <w:tc>
          <w:tcPr>
            <w:tcW w:w="1275" w:type="dxa"/>
            <w:shd w:val="clear" w:color="auto" w:fill="auto"/>
            <w:vAlign w:val="center"/>
          </w:tcPr>
          <w:p w14:paraId="2EAA2BBD">
            <w:pPr>
              <w:pStyle w:val="136"/>
              <w:widowControl w:val="0"/>
              <w:jc w:val="center"/>
            </w:pPr>
            <w:r>
              <w:t>应用系统</w:t>
            </w:r>
          </w:p>
        </w:tc>
        <w:tc>
          <w:tcPr>
            <w:tcW w:w="1560" w:type="dxa"/>
            <w:shd w:val="clear" w:color="auto" w:fill="auto"/>
            <w:vAlign w:val="center"/>
          </w:tcPr>
          <w:p w14:paraId="515CC8BA">
            <w:pPr>
              <w:pStyle w:val="136"/>
              <w:widowControl w:val="0"/>
              <w:jc w:val="center"/>
            </w:pPr>
            <w:r>
              <w:rPr>
                <w:rFonts w:hint="eastAsia"/>
              </w:rPr>
              <w:t>系统功能</w:t>
            </w:r>
          </w:p>
        </w:tc>
        <w:tc>
          <w:tcPr>
            <w:tcW w:w="1559" w:type="dxa"/>
            <w:vAlign w:val="center"/>
          </w:tcPr>
          <w:p w14:paraId="6F8D63F4">
            <w:pPr>
              <w:pStyle w:val="136"/>
              <w:widowControl w:val="0"/>
              <w:jc w:val="center"/>
            </w:pPr>
            <w:r>
              <w:rPr>
                <w:rFonts w:hint="eastAsia"/>
              </w:rPr>
              <w:t>监控管理功能</w:t>
            </w:r>
          </w:p>
        </w:tc>
        <w:tc>
          <w:tcPr>
            <w:tcW w:w="2812" w:type="dxa"/>
            <w:shd w:val="clear" w:color="auto" w:fill="auto"/>
            <w:vAlign w:val="center"/>
          </w:tcPr>
          <w:p w14:paraId="1E40866C">
            <w:pPr>
              <w:pStyle w:val="136"/>
              <w:widowControl w:val="0"/>
            </w:pPr>
            <w:r>
              <w:rPr>
                <w:rFonts w:hint="eastAsia"/>
              </w:rPr>
              <w:t>支持F</w:t>
            </w:r>
            <w:r>
              <w:t>irefox</w:t>
            </w:r>
            <w:r>
              <w:rPr>
                <w:rFonts w:hint="eastAsia"/>
              </w:rPr>
              <w:t>、</w:t>
            </w:r>
            <w:r>
              <w:t>Chrome</w:t>
            </w:r>
            <w:r>
              <w:rPr>
                <w:rFonts w:hint="eastAsia"/>
              </w:rPr>
              <w:t>、E</w:t>
            </w:r>
            <w:r>
              <w:t>dge</w:t>
            </w:r>
            <w:r>
              <w:rPr>
                <w:rFonts w:hint="eastAsia"/>
              </w:rPr>
              <w:t>等主流浏览器无插件浏览。支持国产化客户端浏览</w:t>
            </w:r>
          </w:p>
          <w:p w14:paraId="2C719D99">
            <w:pPr>
              <w:pStyle w:val="136"/>
              <w:widowControl w:val="0"/>
            </w:pPr>
            <w:r>
              <w:rPr>
                <w:rFonts w:hint="eastAsia"/>
              </w:rPr>
              <w:t>支持电视墙预案设置，支持1024个预案数，每预案支持128 路通道，每通道支持 1、4、9、16 等多种画面风格，每通道支持多视频源轮询，轮询间隔可设，支持一键调度预案</w:t>
            </w:r>
          </w:p>
          <w:p w14:paraId="1DB7D18C">
            <w:pPr>
              <w:pStyle w:val="136"/>
              <w:widowControl w:val="0"/>
            </w:pPr>
            <w:r>
              <w:rPr>
                <w:rFonts w:hint="eastAsia"/>
              </w:rPr>
              <w:t>支持预案轮切功能，可按照周期时间自动切换预案，图像切换延时小于 500毫秒</w:t>
            </w:r>
          </w:p>
          <w:p w14:paraId="2FEEAEF8">
            <w:pPr>
              <w:pStyle w:val="136"/>
              <w:widowControl w:val="0"/>
            </w:pPr>
            <w:r>
              <w:rPr>
                <w:rFonts w:hint="eastAsia"/>
              </w:rPr>
              <w:t>支持多点触控切换图像和 ptz 控制，预置位调用响应时间不高于 500 毫秒</w:t>
            </w:r>
          </w:p>
        </w:tc>
      </w:tr>
      <w:tr w14:paraId="25013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101560C1">
            <w:pPr>
              <w:pStyle w:val="136"/>
              <w:widowControl w:val="0"/>
              <w:jc w:val="center"/>
              <w:rPr>
                <w:rFonts w:eastAsia="等线" w:cs="Times New Roman"/>
              </w:rPr>
            </w:pPr>
            <w:r>
              <w:rPr>
                <w:rFonts w:hint="eastAsia" w:eastAsia="等线" w:cs="Times New Roman"/>
              </w:rPr>
              <w:t>7</w:t>
            </w:r>
          </w:p>
        </w:tc>
        <w:tc>
          <w:tcPr>
            <w:tcW w:w="1153" w:type="dxa"/>
            <w:shd w:val="clear" w:color="auto" w:fill="auto"/>
            <w:vAlign w:val="center"/>
          </w:tcPr>
          <w:p w14:paraId="1F2D897B">
            <w:pPr>
              <w:pStyle w:val="136"/>
              <w:widowControl w:val="0"/>
              <w:jc w:val="center"/>
            </w:pPr>
            <w:r>
              <w:rPr>
                <w:rFonts w:hint="eastAsia"/>
              </w:rPr>
              <w:t>自定义指标</w:t>
            </w:r>
          </w:p>
        </w:tc>
        <w:tc>
          <w:tcPr>
            <w:tcW w:w="1275" w:type="dxa"/>
            <w:shd w:val="clear" w:color="auto" w:fill="auto"/>
            <w:vAlign w:val="center"/>
          </w:tcPr>
          <w:p w14:paraId="31000475">
            <w:pPr>
              <w:pStyle w:val="136"/>
              <w:widowControl w:val="0"/>
              <w:jc w:val="center"/>
            </w:pPr>
            <w:r>
              <w:t>应用系统</w:t>
            </w:r>
          </w:p>
        </w:tc>
        <w:tc>
          <w:tcPr>
            <w:tcW w:w="1560" w:type="dxa"/>
            <w:shd w:val="clear" w:color="auto" w:fill="auto"/>
            <w:vAlign w:val="center"/>
          </w:tcPr>
          <w:p w14:paraId="68B7CEFF">
            <w:pPr>
              <w:pStyle w:val="136"/>
              <w:widowControl w:val="0"/>
              <w:jc w:val="center"/>
            </w:pPr>
            <w:r>
              <w:rPr>
                <w:rFonts w:hint="eastAsia"/>
              </w:rPr>
              <w:t>系统功能</w:t>
            </w:r>
          </w:p>
        </w:tc>
        <w:tc>
          <w:tcPr>
            <w:tcW w:w="1559" w:type="dxa"/>
            <w:vAlign w:val="center"/>
          </w:tcPr>
          <w:p w14:paraId="6E8D0C50">
            <w:pPr>
              <w:pStyle w:val="136"/>
              <w:widowControl w:val="0"/>
              <w:jc w:val="center"/>
            </w:pPr>
            <w:r>
              <w:rPr>
                <w:rFonts w:hint="eastAsia"/>
              </w:rPr>
              <w:t>接入接出</w:t>
            </w:r>
          </w:p>
        </w:tc>
        <w:tc>
          <w:tcPr>
            <w:tcW w:w="2812" w:type="dxa"/>
            <w:shd w:val="clear" w:color="auto" w:fill="auto"/>
            <w:vAlign w:val="center"/>
          </w:tcPr>
          <w:p w14:paraId="341E46AF">
            <w:pPr>
              <w:pStyle w:val="136"/>
              <w:widowControl w:val="0"/>
            </w:pPr>
            <w:r>
              <w:rPr>
                <w:rFonts w:hint="eastAsia"/>
              </w:rPr>
              <w:t>支持GB/</w:t>
            </w:r>
            <w:r>
              <w:t>T 28181</w:t>
            </w:r>
            <w:r>
              <w:rPr>
                <w:rFonts w:hint="eastAsia"/>
              </w:rPr>
              <w:t>、ONVIF、RTSP、SDK</w:t>
            </w:r>
          </w:p>
          <w:p w14:paraId="088A7787">
            <w:pPr>
              <w:pStyle w:val="136"/>
              <w:widowControl w:val="0"/>
            </w:pPr>
            <w:r>
              <w:rPr>
                <w:rFonts w:hint="eastAsia"/>
              </w:rPr>
              <w:t>支持H.264、H.265协议</w:t>
            </w:r>
          </w:p>
          <w:p w14:paraId="43182240">
            <w:pPr>
              <w:pStyle w:val="136"/>
              <w:widowControl w:val="0"/>
            </w:pPr>
            <w:r>
              <w:rPr>
                <w:rFonts w:hint="eastAsia"/>
              </w:rPr>
              <w:t>支持TCP、UDP</w:t>
            </w:r>
          </w:p>
          <w:p w14:paraId="0FE6D189">
            <w:pPr>
              <w:pStyle w:val="136"/>
              <w:widowControl w:val="0"/>
            </w:pPr>
            <w:r>
              <w:rPr>
                <w:rFonts w:hint="eastAsia"/>
              </w:rPr>
              <w:t>支持组织目录树推送</w:t>
            </w:r>
          </w:p>
        </w:tc>
      </w:tr>
    </w:tbl>
    <w:p w14:paraId="7637E007">
      <w:pPr>
        <w:rPr>
          <w:rFonts w:hint="eastAsia"/>
        </w:rPr>
      </w:pPr>
    </w:p>
    <w:p w14:paraId="79ED864E">
      <w:pPr>
        <w:pStyle w:val="2"/>
        <w:rPr>
          <w:rFonts w:hint="eastAsia"/>
        </w:rPr>
      </w:pPr>
      <w:bookmarkStart w:id="11" w:name="_Toc47539102"/>
      <w:bookmarkEnd w:id="11"/>
      <w:bookmarkStart w:id="12" w:name="_Toc47537166"/>
      <w:bookmarkEnd w:id="12"/>
      <w:bookmarkStart w:id="13" w:name="_Toc47536676"/>
      <w:bookmarkEnd w:id="13"/>
      <w:bookmarkStart w:id="14" w:name="_Toc47536304"/>
      <w:bookmarkEnd w:id="14"/>
      <w:bookmarkStart w:id="15" w:name="_Toc47532923"/>
      <w:bookmarkEnd w:id="15"/>
      <w:bookmarkStart w:id="16" w:name="_Toc47533288"/>
      <w:bookmarkEnd w:id="16"/>
      <w:r>
        <w:rPr>
          <w:rFonts w:hint="eastAsia"/>
        </w:rPr>
        <w:t>项目建设内容</w:t>
      </w:r>
    </w:p>
    <w:p w14:paraId="75B603FB">
      <w:pPr>
        <w:ind w:firstLine="482"/>
        <w:rPr>
          <w:rFonts w:hint="eastAsia"/>
          <w:b/>
        </w:rPr>
      </w:pPr>
    </w:p>
    <w:tbl>
      <w:tblPr>
        <w:tblStyle w:val="35"/>
        <w:tblW w:w="0" w:type="auto"/>
        <w:jc w:val="center"/>
        <w:tblLayout w:type="autofit"/>
        <w:tblCellMar>
          <w:top w:w="0" w:type="dxa"/>
          <w:left w:w="108" w:type="dxa"/>
          <w:bottom w:w="0" w:type="dxa"/>
          <w:right w:w="108" w:type="dxa"/>
        </w:tblCellMar>
      </w:tblPr>
      <w:tblGrid>
        <w:gridCol w:w="658"/>
        <w:gridCol w:w="1211"/>
        <w:gridCol w:w="768"/>
        <w:gridCol w:w="4955"/>
        <w:gridCol w:w="477"/>
        <w:gridCol w:w="459"/>
      </w:tblGrid>
      <w:tr w14:paraId="5546E7F5">
        <w:tblPrEx>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3F8FC"/>
            <w:noWrap/>
            <w:vAlign w:val="center"/>
          </w:tcPr>
          <w:p w14:paraId="62C3BBBA">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序号</w:t>
            </w:r>
          </w:p>
        </w:tc>
        <w:tc>
          <w:tcPr>
            <w:tcW w:w="0" w:type="auto"/>
            <w:tcBorders>
              <w:top w:val="single" w:color="auto" w:sz="4" w:space="0"/>
              <w:left w:val="nil"/>
              <w:bottom w:val="single" w:color="auto" w:sz="4" w:space="0"/>
              <w:right w:val="single" w:color="auto" w:sz="4" w:space="0"/>
            </w:tcBorders>
            <w:shd w:val="clear" w:color="000000" w:fill="F3F8FC"/>
            <w:noWrap/>
            <w:vAlign w:val="center"/>
          </w:tcPr>
          <w:p w14:paraId="0A05BF0B">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名称</w:t>
            </w:r>
          </w:p>
        </w:tc>
        <w:tc>
          <w:tcPr>
            <w:tcW w:w="0" w:type="auto"/>
            <w:tcBorders>
              <w:top w:val="single" w:color="auto" w:sz="4" w:space="0"/>
              <w:left w:val="nil"/>
              <w:bottom w:val="single" w:color="auto" w:sz="4" w:space="0"/>
              <w:right w:val="single" w:color="auto" w:sz="4" w:space="0"/>
            </w:tcBorders>
            <w:shd w:val="clear" w:color="000000" w:fill="F3F8FC"/>
            <w:noWrap/>
            <w:vAlign w:val="center"/>
          </w:tcPr>
          <w:p w14:paraId="197EAEC3">
            <w:pPr>
              <w:widowControl/>
              <w:spacing w:line="240" w:lineRule="auto"/>
              <w:ind w:firstLine="0" w:firstLineChars="0"/>
              <w:jc w:val="center"/>
              <w:rPr>
                <w:rFonts w:hint="eastAsia" w:cs="宋体"/>
                <w:b/>
                <w:color w:val="000000"/>
                <w:kern w:val="0"/>
                <w:sz w:val="22"/>
                <w:szCs w:val="22"/>
              </w:rPr>
            </w:pPr>
            <w:r>
              <w:rPr>
                <w:rFonts w:cs="宋体"/>
                <w:b/>
                <w:color w:val="000000"/>
                <w:kern w:val="0"/>
                <w:sz w:val="22"/>
                <w:szCs w:val="22"/>
              </w:rPr>
              <w:t>类别</w:t>
            </w:r>
          </w:p>
        </w:tc>
        <w:tc>
          <w:tcPr>
            <w:tcW w:w="0" w:type="auto"/>
            <w:tcBorders>
              <w:top w:val="single" w:color="auto" w:sz="4" w:space="0"/>
              <w:left w:val="nil"/>
              <w:bottom w:val="single" w:color="auto" w:sz="4" w:space="0"/>
              <w:right w:val="single" w:color="auto" w:sz="4" w:space="0"/>
            </w:tcBorders>
            <w:shd w:val="clear" w:color="000000" w:fill="F3F8FC"/>
            <w:vAlign w:val="center"/>
          </w:tcPr>
          <w:p w14:paraId="2C03374C">
            <w:pPr>
              <w:widowControl/>
              <w:spacing w:line="240" w:lineRule="auto"/>
              <w:ind w:firstLine="0" w:firstLineChars="0"/>
              <w:jc w:val="center"/>
              <w:rPr>
                <w:rFonts w:hint="eastAsia" w:cs="宋体"/>
                <w:b/>
                <w:color w:val="000000"/>
                <w:kern w:val="0"/>
                <w:sz w:val="22"/>
                <w:szCs w:val="22"/>
              </w:rPr>
            </w:pPr>
            <w:r>
              <w:rPr>
                <w:rFonts w:cs="宋体"/>
                <w:b/>
                <w:color w:val="000000"/>
                <w:kern w:val="0"/>
                <w:sz w:val="22"/>
                <w:szCs w:val="22"/>
              </w:rPr>
              <w:t>配置要求</w:t>
            </w:r>
          </w:p>
        </w:tc>
        <w:tc>
          <w:tcPr>
            <w:tcW w:w="0" w:type="auto"/>
            <w:tcBorders>
              <w:top w:val="single" w:color="auto" w:sz="4" w:space="0"/>
              <w:left w:val="nil"/>
              <w:bottom w:val="single" w:color="auto" w:sz="4" w:space="0"/>
              <w:right w:val="single" w:color="auto" w:sz="4" w:space="0"/>
            </w:tcBorders>
            <w:shd w:val="clear" w:color="000000" w:fill="F3F8FC"/>
            <w:vAlign w:val="center"/>
          </w:tcPr>
          <w:p w14:paraId="126D2AE4">
            <w:pPr>
              <w:widowControl/>
              <w:spacing w:line="240" w:lineRule="auto"/>
              <w:ind w:firstLine="0" w:firstLineChars="0"/>
              <w:jc w:val="center"/>
              <w:rPr>
                <w:rFonts w:hint="eastAsia" w:cs="宋体"/>
                <w:b/>
                <w:color w:val="000000"/>
                <w:kern w:val="0"/>
                <w:sz w:val="22"/>
                <w:szCs w:val="22"/>
              </w:rPr>
            </w:pPr>
            <w:r>
              <w:rPr>
                <w:rFonts w:cs="宋体"/>
                <w:b/>
                <w:color w:val="000000"/>
                <w:kern w:val="0"/>
                <w:sz w:val="22"/>
                <w:szCs w:val="22"/>
              </w:rPr>
              <w:t>数量</w:t>
            </w:r>
          </w:p>
        </w:tc>
        <w:tc>
          <w:tcPr>
            <w:tcW w:w="0" w:type="auto"/>
            <w:tcBorders>
              <w:top w:val="single" w:color="auto" w:sz="4" w:space="0"/>
              <w:left w:val="nil"/>
              <w:bottom w:val="single" w:color="auto" w:sz="4" w:space="0"/>
              <w:right w:val="single" w:color="auto" w:sz="4" w:space="0"/>
            </w:tcBorders>
            <w:shd w:val="clear" w:color="000000" w:fill="F3F8FC"/>
            <w:vAlign w:val="center"/>
          </w:tcPr>
          <w:p w14:paraId="01131CDD">
            <w:pPr>
              <w:widowControl/>
              <w:spacing w:line="240" w:lineRule="auto"/>
              <w:ind w:firstLine="0" w:firstLineChars="0"/>
              <w:jc w:val="center"/>
              <w:rPr>
                <w:rFonts w:hint="eastAsia" w:cs="宋体"/>
                <w:b/>
                <w:color w:val="000000"/>
                <w:kern w:val="0"/>
                <w:sz w:val="22"/>
                <w:szCs w:val="22"/>
              </w:rPr>
            </w:pPr>
            <w:r>
              <w:rPr>
                <w:rFonts w:cs="宋体"/>
                <w:b/>
                <w:color w:val="000000"/>
                <w:kern w:val="0"/>
                <w:sz w:val="22"/>
                <w:szCs w:val="22"/>
              </w:rPr>
              <w:t>单位</w:t>
            </w:r>
          </w:p>
        </w:tc>
      </w:tr>
      <w:tr w14:paraId="567737DE">
        <w:tblPrEx>
          <w:tblCellMar>
            <w:top w:w="0" w:type="dxa"/>
            <w:left w:w="108" w:type="dxa"/>
            <w:bottom w:w="0" w:type="dxa"/>
            <w:right w:w="108" w:type="dxa"/>
          </w:tblCellMar>
        </w:tblPrEx>
        <w:trPr>
          <w:trHeight w:val="11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C3D7926">
            <w:pPr>
              <w:widowControl/>
              <w:spacing w:line="240" w:lineRule="auto"/>
              <w:ind w:firstLine="0" w:firstLineChars="0"/>
              <w:jc w:val="left"/>
              <w:rPr>
                <w:rFonts w:ascii="Tahoma" w:hAnsi="Tahoma" w:cs="Tahoma"/>
                <w:color w:val="000000"/>
                <w:kern w:val="0"/>
                <w:sz w:val="22"/>
                <w:szCs w:val="22"/>
              </w:rPr>
            </w:pPr>
            <w:r>
              <w:rPr>
                <w:rFonts w:ascii="Tahoma" w:hAnsi="Tahoma" w:cs="Tahoma"/>
                <w:color w:val="000000"/>
                <w:kern w:val="0"/>
                <w:sz w:val="22"/>
                <w:szCs w:val="22"/>
              </w:rPr>
              <w:t>1</w:t>
            </w:r>
          </w:p>
        </w:tc>
        <w:tc>
          <w:tcPr>
            <w:tcW w:w="0" w:type="auto"/>
            <w:tcBorders>
              <w:top w:val="single" w:color="auto" w:sz="4" w:space="0"/>
              <w:left w:val="nil"/>
              <w:bottom w:val="single" w:color="auto" w:sz="4" w:space="0"/>
              <w:right w:val="single" w:color="auto" w:sz="4" w:space="0"/>
            </w:tcBorders>
            <w:shd w:val="clear" w:color="auto" w:fill="FFFFFF"/>
            <w:vAlign w:val="center"/>
          </w:tcPr>
          <w:p w14:paraId="7D5D6F42">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多点控制器（MCU）</w:t>
            </w:r>
          </w:p>
        </w:tc>
        <w:tc>
          <w:tcPr>
            <w:tcW w:w="0" w:type="auto"/>
            <w:tcBorders>
              <w:top w:val="single" w:color="auto" w:sz="4" w:space="0"/>
              <w:left w:val="nil"/>
              <w:bottom w:val="single" w:color="auto" w:sz="4" w:space="0"/>
              <w:right w:val="single" w:color="auto" w:sz="4" w:space="0"/>
            </w:tcBorders>
            <w:shd w:val="clear" w:color="auto" w:fill="FFFFFF"/>
            <w:vAlign w:val="center"/>
          </w:tcPr>
          <w:p w14:paraId="0482299F">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视频会议</w:t>
            </w:r>
          </w:p>
        </w:tc>
        <w:tc>
          <w:tcPr>
            <w:tcW w:w="0" w:type="auto"/>
            <w:tcBorders>
              <w:top w:val="single" w:color="auto" w:sz="4" w:space="0"/>
              <w:left w:val="nil"/>
              <w:bottom w:val="single" w:color="auto" w:sz="4" w:space="0"/>
              <w:right w:val="single" w:color="auto" w:sz="4" w:space="0"/>
            </w:tcBorders>
            <w:shd w:val="clear" w:color="auto" w:fill="FFFFFF"/>
            <w:vAlign w:val="center"/>
          </w:tcPr>
          <w:p w14:paraId="6DD3E712">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采用国产化CPU和操作系统，国产编解码芯片，确保设备自主可控</w:t>
            </w:r>
          </w:p>
          <w:p w14:paraId="75549772">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支持H.323终端、SIP终端和RTC终端同时入会</w:t>
            </w:r>
          </w:p>
          <w:p w14:paraId="4942DEA2">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支持超大方数会议，支持单个会议容量≥3000方</w:t>
            </w:r>
          </w:p>
          <w:p w14:paraId="2563CE2F">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支持会议功能，支持25画面合成、内容融入、会议字幕、会议录放像、虚拟电视墙。</w:t>
            </w:r>
          </w:p>
          <w:p w14:paraId="00E9B90B">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支持多网段，智能路由技术，多运营商线路接入；</w:t>
            </w:r>
          </w:p>
          <w:p w14:paraId="216C97EA">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支持网络抗丢包、差错消隐等特性，有效应对各种网络环境。</w:t>
            </w:r>
          </w:p>
          <w:p w14:paraId="5E0CB955">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支持3组H.264/H.265协议的4K/1080P/720P非端口会议</w:t>
            </w:r>
          </w:p>
          <w:p w14:paraId="292EE89B">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支持H.265、H.264HP、H.264BP、H.264 SVC视频标准</w:t>
            </w:r>
          </w:p>
          <w:p w14:paraId="079E41B4">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支持G.711、G.719、G.722、G.722.1 、G.728、G.729、Opus、MP3、MPEG-4 AAC（LC/LD stereo）、MPEG-4 AAC（LC/LD）音频标准</w:t>
            </w:r>
          </w:p>
          <w:p w14:paraId="5D4B3D21">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会议速率64Kbps～8Mbps</w:t>
            </w:r>
          </w:p>
          <w:p w14:paraId="2A74F14F">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分辨率支持4K、1080p、720p（1280×720）、4CIF、CIF</w:t>
            </w:r>
          </w:p>
          <w:p w14:paraId="108368F2">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支持国密加密算法</w:t>
            </w:r>
          </w:p>
        </w:tc>
        <w:tc>
          <w:tcPr>
            <w:tcW w:w="0" w:type="auto"/>
            <w:tcBorders>
              <w:top w:val="single" w:color="auto" w:sz="4" w:space="0"/>
              <w:left w:val="nil"/>
              <w:bottom w:val="single" w:color="auto" w:sz="4" w:space="0"/>
              <w:right w:val="single" w:color="auto" w:sz="4" w:space="0"/>
            </w:tcBorders>
            <w:shd w:val="clear" w:color="auto" w:fill="FFFFFF"/>
            <w:vAlign w:val="center"/>
          </w:tcPr>
          <w:p w14:paraId="1C5DB786">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1</w:t>
            </w:r>
          </w:p>
        </w:tc>
        <w:tc>
          <w:tcPr>
            <w:tcW w:w="0" w:type="auto"/>
            <w:tcBorders>
              <w:top w:val="single" w:color="auto" w:sz="4" w:space="0"/>
              <w:left w:val="nil"/>
              <w:bottom w:val="single" w:color="auto" w:sz="4" w:space="0"/>
              <w:right w:val="single" w:color="auto" w:sz="4" w:space="0"/>
            </w:tcBorders>
            <w:shd w:val="clear" w:color="auto" w:fill="FFFFFF"/>
            <w:vAlign w:val="center"/>
          </w:tcPr>
          <w:p w14:paraId="52565E94">
            <w:pPr>
              <w:widowControl/>
              <w:spacing w:line="240" w:lineRule="auto"/>
              <w:ind w:firstLine="0" w:firstLineChars="0"/>
              <w:jc w:val="left"/>
              <w:rPr>
                <w:rFonts w:ascii="Tahoma" w:hAnsi="Tahoma" w:cs="Tahoma"/>
                <w:color w:val="000000"/>
                <w:kern w:val="0"/>
                <w:sz w:val="22"/>
                <w:szCs w:val="22"/>
              </w:rPr>
            </w:pPr>
            <w:r>
              <w:rPr>
                <w:rFonts w:ascii="Tahoma" w:hAnsi="Tahoma" w:cs="Tahoma"/>
                <w:color w:val="000000"/>
                <w:kern w:val="0"/>
                <w:sz w:val="22"/>
                <w:szCs w:val="22"/>
              </w:rPr>
              <w:t>台</w:t>
            </w:r>
          </w:p>
        </w:tc>
      </w:tr>
      <w:tr w14:paraId="2073F2A7">
        <w:tblPrEx>
          <w:tblCellMar>
            <w:top w:w="0" w:type="dxa"/>
            <w:left w:w="108" w:type="dxa"/>
            <w:bottom w:w="0" w:type="dxa"/>
            <w:right w:w="108" w:type="dxa"/>
          </w:tblCellMar>
        </w:tblPrEx>
        <w:trPr>
          <w:trHeight w:val="11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C64828B">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2</w:t>
            </w:r>
          </w:p>
        </w:tc>
        <w:tc>
          <w:tcPr>
            <w:tcW w:w="0" w:type="auto"/>
            <w:tcBorders>
              <w:top w:val="single" w:color="auto" w:sz="4" w:space="0"/>
              <w:left w:val="nil"/>
              <w:bottom w:val="single" w:color="auto" w:sz="4" w:space="0"/>
              <w:right w:val="single" w:color="auto" w:sz="4" w:space="0"/>
            </w:tcBorders>
            <w:shd w:val="clear" w:color="auto" w:fill="FFFFFF"/>
            <w:vAlign w:val="center"/>
          </w:tcPr>
          <w:p w14:paraId="06F0CDE4">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多点控制器（MCU）</w:t>
            </w:r>
          </w:p>
        </w:tc>
        <w:tc>
          <w:tcPr>
            <w:tcW w:w="0" w:type="auto"/>
            <w:tcBorders>
              <w:top w:val="single" w:color="auto" w:sz="4" w:space="0"/>
              <w:left w:val="nil"/>
              <w:bottom w:val="single" w:color="auto" w:sz="4" w:space="0"/>
              <w:right w:val="single" w:color="auto" w:sz="4" w:space="0"/>
            </w:tcBorders>
            <w:shd w:val="clear" w:color="auto" w:fill="FFFFFF"/>
            <w:vAlign w:val="center"/>
          </w:tcPr>
          <w:p w14:paraId="5F174A91">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视频会议</w:t>
            </w:r>
          </w:p>
        </w:tc>
        <w:tc>
          <w:tcPr>
            <w:tcW w:w="0" w:type="auto"/>
            <w:tcBorders>
              <w:top w:val="single" w:color="auto" w:sz="4" w:space="0"/>
              <w:left w:val="nil"/>
              <w:bottom w:val="single" w:color="auto" w:sz="4" w:space="0"/>
              <w:right w:val="single" w:color="auto" w:sz="4" w:space="0"/>
            </w:tcBorders>
            <w:shd w:val="clear" w:color="auto" w:fill="FFFFFF"/>
            <w:vAlign w:val="center"/>
          </w:tcPr>
          <w:p w14:paraId="1B9472FF">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1080P30接入端口授权（根据监狱管理实际需求)，支持30个H.264/H.265协议的1080p30全编全解端口，可自动动态换算，可以换算成6个4K30/12个1080P60端口/60个720P30的H.264/H.265全编全解端口</w:t>
            </w:r>
          </w:p>
        </w:tc>
        <w:tc>
          <w:tcPr>
            <w:tcW w:w="0" w:type="auto"/>
            <w:tcBorders>
              <w:top w:val="single" w:color="auto" w:sz="4" w:space="0"/>
              <w:left w:val="nil"/>
              <w:bottom w:val="single" w:color="auto" w:sz="4" w:space="0"/>
              <w:right w:val="single" w:color="auto" w:sz="4" w:space="0"/>
            </w:tcBorders>
            <w:shd w:val="clear" w:color="auto" w:fill="FFFFFF"/>
            <w:vAlign w:val="center"/>
          </w:tcPr>
          <w:p w14:paraId="290C5DB4">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48</w:t>
            </w:r>
          </w:p>
        </w:tc>
        <w:tc>
          <w:tcPr>
            <w:tcW w:w="0" w:type="auto"/>
            <w:tcBorders>
              <w:top w:val="single" w:color="auto" w:sz="4" w:space="0"/>
              <w:left w:val="nil"/>
              <w:bottom w:val="single" w:color="auto" w:sz="4" w:space="0"/>
              <w:right w:val="single" w:color="auto" w:sz="4" w:space="0"/>
            </w:tcBorders>
            <w:shd w:val="clear" w:color="auto" w:fill="FFFFFF"/>
            <w:vAlign w:val="center"/>
          </w:tcPr>
          <w:p w14:paraId="5A739DA7">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个</w:t>
            </w:r>
          </w:p>
        </w:tc>
      </w:tr>
      <w:tr w14:paraId="41F9EE47">
        <w:tblPrEx>
          <w:tblCellMar>
            <w:top w:w="0" w:type="dxa"/>
            <w:left w:w="108" w:type="dxa"/>
            <w:bottom w:w="0" w:type="dxa"/>
            <w:right w:w="108" w:type="dxa"/>
          </w:tblCellMar>
        </w:tblPrEx>
        <w:trPr>
          <w:trHeight w:val="11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D72F69F">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3</w:t>
            </w:r>
          </w:p>
        </w:tc>
        <w:tc>
          <w:tcPr>
            <w:tcW w:w="0" w:type="auto"/>
            <w:tcBorders>
              <w:top w:val="single" w:color="auto" w:sz="4" w:space="0"/>
              <w:left w:val="nil"/>
              <w:bottom w:val="single" w:color="auto" w:sz="4" w:space="0"/>
              <w:right w:val="single" w:color="auto" w:sz="4" w:space="0"/>
            </w:tcBorders>
            <w:shd w:val="clear" w:color="auto" w:fill="FFFFFF"/>
            <w:vAlign w:val="center"/>
          </w:tcPr>
          <w:p w14:paraId="0E6BF01B">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一体机</w:t>
            </w:r>
          </w:p>
        </w:tc>
        <w:tc>
          <w:tcPr>
            <w:tcW w:w="0" w:type="auto"/>
            <w:tcBorders>
              <w:top w:val="single" w:color="auto" w:sz="4" w:space="0"/>
              <w:left w:val="nil"/>
              <w:bottom w:val="single" w:color="auto" w:sz="4" w:space="0"/>
              <w:right w:val="single" w:color="auto" w:sz="4" w:space="0"/>
            </w:tcBorders>
            <w:shd w:val="clear" w:color="auto" w:fill="FFFFFF"/>
            <w:vAlign w:val="center"/>
          </w:tcPr>
          <w:p w14:paraId="5DE6F414">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终端设备</w:t>
            </w:r>
          </w:p>
        </w:tc>
        <w:tc>
          <w:tcPr>
            <w:tcW w:w="0" w:type="auto"/>
            <w:tcBorders>
              <w:top w:val="single" w:color="auto" w:sz="4" w:space="0"/>
              <w:left w:val="nil"/>
              <w:bottom w:val="single" w:color="auto" w:sz="4" w:space="0"/>
              <w:right w:val="single" w:color="auto" w:sz="4" w:space="0"/>
            </w:tcBorders>
            <w:shd w:val="clear" w:color="auto" w:fill="FFFFFF"/>
            <w:vAlign w:val="center"/>
          </w:tcPr>
          <w:p w14:paraId="275DCC0D">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产品采用全国产化设计，采用国产化操作系统、国产化数据库</w:t>
            </w:r>
          </w:p>
          <w:p w14:paraId="5469D2AF">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支持B/S架构，通过WEB方式登录统一管理平台即可完成系统的配置和会议操作，支持统一门户登录，提供用户管理、设备管理、会议管理、资源管理、运维管理</w:t>
            </w:r>
          </w:p>
          <w:p w14:paraId="7AC453BF">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单台设备支持不少于5000方设备并发注册</w:t>
            </w:r>
          </w:p>
          <w:p w14:paraId="58CDADDD">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支持MCU资源池大容量组网，最大可管理MCU数量≥500台</w:t>
            </w:r>
          </w:p>
          <w:p w14:paraId="6593CB47">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支持超大方数会议，支持单个会议容量≥3000方</w:t>
            </w:r>
          </w:p>
          <w:p w14:paraId="71EA5462">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 xml:space="preserve">支持多种方式展现用户的个人日程， </w:t>
            </w:r>
          </w:p>
          <w:p w14:paraId="45B41B87">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支持对会议进行实时的监控预览，。除了预览图像，还可以聆听声音。支持对预览图像进行全屏显示、抓拍、抽帧监控、摄像机远遥，支持至少4个独立的预监窗口</w:t>
            </w:r>
          </w:p>
          <w:p w14:paraId="002E8CEB">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支持网口备份，支持双网口配置成热备份</w:t>
            </w:r>
          </w:p>
        </w:tc>
        <w:tc>
          <w:tcPr>
            <w:tcW w:w="0" w:type="auto"/>
            <w:tcBorders>
              <w:top w:val="single" w:color="auto" w:sz="4" w:space="0"/>
              <w:left w:val="nil"/>
              <w:bottom w:val="single" w:color="auto" w:sz="4" w:space="0"/>
              <w:right w:val="single" w:color="auto" w:sz="4" w:space="0"/>
            </w:tcBorders>
            <w:shd w:val="clear" w:color="auto" w:fill="FFFFFF"/>
            <w:vAlign w:val="center"/>
          </w:tcPr>
          <w:p w14:paraId="14E0CB32">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1</w:t>
            </w:r>
          </w:p>
        </w:tc>
        <w:tc>
          <w:tcPr>
            <w:tcW w:w="0" w:type="auto"/>
            <w:tcBorders>
              <w:top w:val="single" w:color="auto" w:sz="4" w:space="0"/>
              <w:left w:val="nil"/>
              <w:bottom w:val="single" w:color="auto" w:sz="4" w:space="0"/>
              <w:right w:val="single" w:color="auto" w:sz="4" w:space="0"/>
            </w:tcBorders>
            <w:shd w:val="clear" w:color="auto" w:fill="FFFFFF"/>
            <w:vAlign w:val="center"/>
          </w:tcPr>
          <w:p w14:paraId="0EDFFD02">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台</w:t>
            </w:r>
          </w:p>
        </w:tc>
      </w:tr>
      <w:tr w14:paraId="60A6B2E3">
        <w:tblPrEx>
          <w:tblCellMar>
            <w:top w:w="0" w:type="dxa"/>
            <w:left w:w="108" w:type="dxa"/>
            <w:bottom w:w="0" w:type="dxa"/>
            <w:right w:w="108" w:type="dxa"/>
          </w:tblCellMar>
        </w:tblPrEx>
        <w:trPr>
          <w:trHeight w:val="11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0F9DBB1">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4</w:t>
            </w:r>
          </w:p>
        </w:tc>
        <w:tc>
          <w:tcPr>
            <w:tcW w:w="0" w:type="auto"/>
            <w:tcBorders>
              <w:top w:val="single" w:color="auto" w:sz="4" w:space="0"/>
              <w:left w:val="nil"/>
              <w:bottom w:val="single" w:color="auto" w:sz="4" w:space="0"/>
              <w:right w:val="single" w:color="auto" w:sz="4" w:space="0"/>
            </w:tcBorders>
            <w:shd w:val="clear" w:color="auto" w:fill="FFFFFF"/>
            <w:vAlign w:val="center"/>
          </w:tcPr>
          <w:p w14:paraId="2C6DD285">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一体机</w:t>
            </w:r>
          </w:p>
        </w:tc>
        <w:tc>
          <w:tcPr>
            <w:tcW w:w="0" w:type="auto"/>
            <w:tcBorders>
              <w:top w:val="single" w:color="auto" w:sz="4" w:space="0"/>
              <w:left w:val="nil"/>
              <w:bottom w:val="single" w:color="auto" w:sz="4" w:space="0"/>
              <w:right w:val="single" w:color="auto" w:sz="4" w:space="0"/>
            </w:tcBorders>
            <w:shd w:val="clear" w:color="auto" w:fill="FFFFFF"/>
            <w:vAlign w:val="center"/>
          </w:tcPr>
          <w:p w14:paraId="0C31FB28">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终端设备</w:t>
            </w:r>
          </w:p>
        </w:tc>
        <w:tc>
          <w:tcPr>
            <w:tcW w:w="0" w:type="auto"/>
            <w:tcBorders>
              <w:top w:val="single" w:color="auto" w:sz="4" w:space="0"/>
              <w:left w:val="nil"/>
              <w:bottom w:val="single" w:color="auto" w:sz="4" w:space="0"/>
              <w:right w:val="single" w:color="auto" w:sz="4" w:space="0"/>
            </w:tcBorders>
            <w:shd w:val="clear" w:color="auto" w:fill="FFFFFF"/>
            <w:vAlign w:val="center"/>
          </w:tcPr>
          <w:p w14:paraId="18CA3915">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终端采用国产化操作系统，终端核心芯片如音视频编解码单元、CPU处理单元、电源芯片、电源开关芯片、时钟芯片等均采用国产化器件</w:t>
            </w:r>
          </w:p>
          <w:p w14:paraId="20FC9154">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内置硬件加密芯片，支持国密算法，自主可控；内置256位AES加密功能，可充分保证会议内容的安全性和保密性；支持对用户权限分级管理。</w:t>
            </w:r>
          </w:p>
          <w:p w14:paraId="14600DEC">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支持H.264、H.265视频协议</w:t>
            </w:r>
          </w:p>
          <w:p w14:paraId="4402D85F">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支持1080p30、720p60、720p30高清分辨率，并向下兼容4CIF、CIF标清分辨率。</w:t>
            </w:r>
          </w:p>
          <w:p w14:paraId="3C3392D9">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支持G.711、G.722、G.728、G.722.1AnnexC、G.719、MPEG4-AAC LC/LD、Opus等音频协议，可达到20KHz以上的宽频效果。</w:t>
            </w:r>
          </w:p>
          <w:p w14:paraId="21955C9C">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视频输入接口：2× HDMI、</w:t>
            </w:r>
          </w:p>
          <w:p w14:paraId="7A0E94F9">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视频输出接口：2 × HDMI</w:t>
            </w:r>
          </w:p>
          <w:p w14:paraId="1C761F87">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音频输入接口：1 × 专用数字音频、支持 RCA、支持卡侬（48V幻象供电）、支持HDMI。</w:t>
            </w:r>
          </w:p>
          <w:p w14:paraId="747CE1E7">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音频输出接口：支持 RCA、支持 HDMI</w:t>
            </w:r>
          </w:p>
        </w:tc>
        <w:tc>
          <w:tcPr>
            <w:tcW w:w="0" w:type="auto"/>
            <w:tcBorders>
              <w:top w:val="single" w:color="auto" w:sz="4" w:space="0"/>
              <w:left w:val="nil"/>
              <w:bottom w:val="single" w:color="auto" w:sz="4" w:space="0"/>
              <w:right w:val="single" w:color="auto" w:sz="4" w:space="0"/>
            </w:tcBorders>
            <w:shd w:val="clear" w:color="auto" w:fill="FFFFFF"/>
            <w:vAlign w:val="center"/>
          </w:tcPr>
          <w:p w14:paraId="75F359D8">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3</w:t>
            </w:r>
          </w:p>
        </w:tc>
        <w:tc>
          <w:tcPr>
            <w:tcW w:w="0" w:type="auto"/>
            <w:tcBorders>
              <w:top w:val="single" w:color="auto" w:sz="4" w:space="0"/>
              <w:left w:val="nil"/>
              <w:bottom w:val="single" w:color="auto" w:sz="4" w:space="0"/>
              <w:right w:val="single" w:color="auto" w:sz="4" w:space="0"/>
            </w:tcBorders>
            <w:shd w:val="clear" w:color="auto" w:fill="FFFFFF"/>
            <w:vAlign w:val="center"/>
          </w:tcPr>
          <w:p w14:paraId="13CAA849">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台</w:t>
            </w:r>
          </w:p>
        </w:tc>
      </w:tr>
      <w:tr w14:paraId="07A3F1C6">
        <w:tblPrEx>
          <w:tblCellMar>
            <w:top w:w="0" w:type="dxa"/>
            <w:left w:w="108" w:type="dxa"/>
            <w:bottom w:w="0" w:type="dxa"/>
            <w:right w:w="108" w:type="dxa"/>
          </w:tblCellMar>
        </w:tblPrEx>
        <w:trPr>
          <w:trHeight w:val="11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3148A60">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5</w:t>
            </w:r>
          </w:p>
        </w:tc>
        <w:tc>
          <w:tcPr>
            <w:tcW w:w="0" w:type="auto"/>
            <w:tcBorders>
              <w:top w:val="single" w:color="auto" w:sz="4" w:space="0"/>
              <w:left w:val="nil"/>
              <w:bottom w:val="single" w:color="auto" w:sz="4" w:space="0"/>
              <w:right w:val="single" w:color="auto" w:sz="4" w:space="0"/>
            </w:tcBorders>
            <w:shd w:val="clear" w:color="auto" w:fill="FFFFFF"/>
            <w:vAlign w:val="center"/>
          </w:tcPr>
          <w:p w14:paraId="360D4983">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一体机</w:t>
            </w:r>
          </w:p>
        </w:tc>
        <w:tc>
          <w:tcPr>
            <w:tcW w:w="0" w:type="auto"/>
            <w:tcBorders>
              <w:top w:val="single" w:color="auto" w:sz="4" w:space="0"/>
              <w:left w:val="nil"/>
              <w:bottom w:val="single" w:color="auto" w:sz="4" w:space="0"/>
              <w:right w:val="single" w:color="auto" w:sz="4" w:space="0"/>
            </w:tcBorders>
            <w:shd w:val="clear" w:color="auto" w:fill="FFFFFF"/>
            <w:vAlign w:val="center"/>
          </w:tcPr>
          <w:p w14:paraId="36C9E8C1">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终端设备</w:t>
            </w:r>
          </w:p>
        </w:tc>
        <w:tc>
          <w:tcPr>
            <w:tcW w:w="0" w:type="auto"/>
            <w:tcBorders>
              <w:top w:val="single" w:color="auto" w:sz="4" w:space="0"/>
              <w:left w:val="nil"/>
              <w:bottom w:val="single" w:color="auto" w:sz="4" w:space="0"/>
              <w:right w:val="single" w:color="auto" w:sz="4" w:space="0"/>
            </w:tcBorders>
            <w:shd w:val="clear" w:color="auto" w:fill="FFFFFF"/>
            <w:vAlign w:val="center"/>
          </w:tcPr>
          <w:p w14:paraId="0CF7B65C">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国产化录播服务器，采用国产化CPU、国产化操作系统、国产化数据库</w:t>
            </w:r>
          </w:p>
          <w:p w14:paraId="161B8F96">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支持标准的H.323协议、SIP协议，可应用在各类基于IP的视频会议及可视通信系统，提供录像、放像、直播、点播、存储等多媒体服务</w:t>
            </w:r>
          </w:p>
          <w:p w14:paraId="3A602EC1">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支持单方、多方4K会议实时录制、支持录像适配，兼容高标清会议、满足超大方数直播会议</w:t>
            </w:r>
          </w:p>
          <w:p w14:paraId="16EE83F9">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录播服务器内置的硬盘不小于6TB,可满足6000小时1M会议录像存储。</w:t>
            </w:r>
          </w:p>
          <w:p w14:paraId="5749A379">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支持实时转码，提供超高清、全高清、高清、标清、流畅五种模式，用户可根据网络带宽情况选择最佳播放效果</w:t>
            </w:r>
          </w:p>
          <w:p w14:paraId="3F1145C1">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 xml:space="preserve">支持多视频流播放， </w:t>
            </w:r>
          </w:p>
          <w:p w14:paraId="14ADCD11">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 xml:space="preserve">支持点播回放， </w:t>
            </w:r>
          </w:p>
          <w:p w14:paraId="6AA0B162">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支持设备状态显示，显示信息包括：CPU使用率、风扇状态、机箱温度、内存使用率、硬盘可用空间、网口状态及流量、注册信息、资源使用情况</w:t>
            </w:r>
          </w:p>
          <w:p w14:paraId="31C1DCE3">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支持维护管理、日志管理、远程升级、远程配置、运行状态监测等功能</w:t>
            </w:r>
          </w:p>
          <w:p w14:paraId="7543B399">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支持4K、1080p、1080p、720p高清图像格式录制，并向下兼容4CIF、CIF标清图像格式</w:t>
            </w:r>
          </w:p>
          <w:p w14:paraId="414DEB32">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 H.264、H.265视频标准协议</w:t>
            </w:r>
          </w:p>
          <w:p w14:paraId="7AF2F67F">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 G.711、G.719、G.722、G.722.1Annex C、G.728、G.729、Opus、MP3、MPEG等音频标准协议</w:t>
            </w:r>
          </w:p>
        </w:tc>
        <w:tc>
          <w:tcPr>
            <w:tcW w:w="0" w:type="auto"/>
            <w:tcBorders>
              <w:top w:val="single" w:color="auto" w:sz="4" w:space="0"/>
              <w:left w:val="nil"/>
              <w:bottom w:val="single" w:color="auto" w:sz="4" w:space="0"/>
              <w:right w:val="single" w:color="auto" w:sz="4" w:space="0"/>
            </w:tcBorders>
            <w:shd w:val="clear" w:color="auto" w:fill="FFFFFF"/>
            <w:vAlign w:val="center"/>
          </w:tcPr>
          <w:p w14:paraId="55E763CA">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1</w:t>
            </w:r>
          </w:p>
        </w:tc>
        <w:tc>
          <w:tcPr>
            <w:tcW w:w="0" w:type="auto"/>
            <w:tcBorders>
              <w:top w:val="single" w:color="auto" w:sz="4" w:space="0"/>
              <w:left w:val="nil"/>
              <w:bottom w:val="single" w:color="auto" w:sz="4" w:space="0"/>
              <w:right w:val="single" w:color="auto" w:sz="4" w:space="0"/>
            </w:tcBorders>
            <w:shd w:val="clear" w:color="auto" w:fill="FFFFFF"/>
            <w:vAlign w:val="center"/>
          </w:tcPr>
          <w:p w14:paraId="28EC2DC0">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台</w:t>
            </w:r>
          </w:p>
        </w:tc>
      </w:tr>
      <w:tr w14:paraId="4DD603A0">
        <w:tblPrEx>
          <w:tblCellMar>
            <w:top w:w="0" w:type="dxa"/>
            <w:left w:w="108" w:type="dxa"/>
            <w:bottom w:w="0" w:type="dxa"/>
            <w:right w:w="108" w:type="dxa"/>
          </w:tblCellMar>
        </w:tblPrEx>
        <w:trPr>
          <w:trHeight w:val="11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37B0F5A">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6</w:t>
            </w:r>
          </w:p>
        </w:tc>
        <w:tc>
          <w:tcPr>
            <w:tcW w:w="0" w:type="auto"/>
            <w:tcBorders>
              <w:top w:val="single" w:color="auto" w:sz="4" w:space="0"/>
              <w:left w:val="nil"/>
              <w:bottom w:val="single" w:color="auto" w:sz="4" w:space="0"/>
              <w:right w:val="single" w:color="auto" w:sz="4" w:space="0"/>
            </w:tcBorders>
            <w:shd w:val="clear" w:color="auto" w:fill="FFFFFF"/>
            <w:vAlign w:val="center"/>
          </w:tcPr>
          <w:p w14:paraId="2308923D">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网络音视频服务器</w:t>
            </w:r>
          </w:p>
        </w:tc>
        <w:tc>
          <w:tcPr>
            <w:tcW w:w="0" w:type="auto"/>
            <w:tcBorders>
              <w:top w:val="single" w:color="auto" w:sz="4" w:space="0"/>
              <w:left w:val="nil"/>
              <w:bottom w:val="single" w:color="auto" w:sz="4" w:space="0"/>
              <w:right w:val="single" w:color="auto" w:sz="4" w:space="0"/>
            </w:tcBorders>
            <w:shd w:val="clear" w:color="auto" w:fill="FFFFFF"/>
            <w:vAlign w:val="center"/>
          </w:tcPr>
          <w:p w14:paraId="1ADEFDE3">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音视频监控设备</w:t>
            </w:r>
          </w:p>
        </w:tc>
        <w:tc>
          <w:tcPr>
            <w:tcW w:w="0" w:type="auto"/>
            <w:tcBorders>
              <w:top w:val="single" w:color="auto" w:sz="4" w:space="0"/>
              <w:left w:val="nil"/>
              <w:bottom w:val="single" w:color="auto" w:sz="4" w:space="0"/>
              <w:right w:val="single" w:color="auto" w:sz="4" w:space="0"/>
            </w:tcBorders>
            <w:shd w:val="clear" w:color="auto" w:fill="FFFFFF"/>
            <w:vAlign w:val="center"/>
          </w:tcPr>
          <w:p w14:paraId="1C7465A2">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第三方视频监控联网平台，软硬件一体化设备；                                                                                                                          支持接入监狱视频监控平台、NVR、IPC等，支持GB/T28181 、ONVIF、RTSP等协议，最大可管理40000路前端；</w:t>
            </w:r>
          </w:p>
          <w:p w14:paraId="386BBE36">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采用B/S 架构设计，可通过Firefox、Chrome、Edge 等浏览器进行配置，兼容符合信创要求的主流国产化电脑接入浏览；</w:t>
            </w:r>
          </w:p>
          <w:p w14:paraId="186CE69A">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支持4K、QXGA(2048x1536)、1080PUXGA、960P、720P、XGA、SVGA、D1、4CIF、2CIF、CIF、QVGA、QCIF等主流视频分辨率;</w:t>
            </w:r>
          </w:p>
          <w:p w14:paraId="24D75247">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 H.264、H.265 等编码格式。</w:t>
            </w:r>
          </w:p>
          <w:p w14:paraId="737C2756">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支持摄像头云台控制，摄像机预置位设置及调用;</w:t>
            </w:r>
          </w:p>
          <w:p w14:paraId="7CFDFB42">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支持客户端主辅码流的切换;</w:t>
            </w:r>
          </w:p>
          <w:p w14:paraId="369D1E45">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支持客户端浏览多屏轮切功能，轮切时间可设;</w:t>
            </w:r>
          </w:p>
          <w:p w14:paraId="449F0A51">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支持电视墙设置，支持创建、删除电视墙，电视墙显示风格与实际电视墙保持一致；</w:t>
            </w:r>
          </w:p>
          <w:p w14:paraId="245BA9AF">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支持多点触控切换图像和 ptz 控制，预置位调用响应时间不高于 500 毫秒；</w:t>
            </w:r>
          </w:p>
          <w:p w14:paraId="6B895365">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支持采用 WebRTC 技术通过网页客户端浏览视频，无需安装任何插件</w:t>
            </w:r>
          </w:p>
          <w:p w14:paraId="0E514C12">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 web 端回放录像、无需安装插件; 支持1、4、9、16、36、64、128 等画面风格播放录像，支持单画面、多画面全屏播放; 支持录像查询按秒定位；</w:t>
            </w:r>
          </w:p>
          <w:p w14:paraId="5FE0041C">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支持按照指定设备、指定通道进行图像的实时点播，支持点播图像的显示、缩放、抓拍和录像，支持多用户对同一图像资源的同时点播，支持基于GIS地图的图像点播。</w:t>
            </w:r>
          </w:p>
          <w:p w14:paraId="300AA181">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需支持上下级多级级联组网，向上级联支持数据共享，向下级联支持数据订阅，数据包括设备拓扑，事件信息，各类生产数据，地图，通讯录等；</w:t>
            </w:r>
          </w:p>
          <w:p w14:paraId="22E2AAF5">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支持电视墙预案设置，支持1024个预案数，每预案支持128 路通道，每通道支持 1、4、9、16 等多种画面风格，每通道支持多视频源轮询，轮询间隔可设支持一键调度预案。</w:t>
            </w:r>
          </w:p>
          <w:p w14:paraId="6CC52B5A">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 xml:space="preserve">支持预案轮切功能，可按照周期时间自动切换预案   </w:t>
            </w:r>
          </w:p>
          <w:p w14:paraId="77BEAB21">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支持主热备份</w:t>
            </w:r>
          </w:p>
        </w:tc>
        <w:tc>
          <w:tcPr>
            <w:tcW w:w="0" w:type="auto"/>
            <w:tcBorders>
              <w:top w:val="single" w:color="auto" w:sz="4" w:space="0"/>
              <w:left w:val="nil"/>
              <w:bottom w:val="single" w:color="auto" w:sz="4" w:space="0"/>
              <w:right w:val="single" w:color="auto" w:sz="4" w:space="0"/>
            </w:tcBorders>
            <w:shd w:val="clear" w:color="auto" w:fill="FFFFFF"/>
            <w:vAlign w:val="center"/>
          </w:tcPr>
          <w:p w14:paraId="68B7FDA2">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2</w:t>
            </w:r>
          </w:p>
        </w:tc>
        <w:tc>
          <w:tcPr>
            <w:tcW w:w="0" w:type="auto"/>
            <w:tcBorders>
              <w:top w:val="single" w:color="auto" w:sz="4" w:space="0"/>
              <w:left w:val="nil"/>
              <w:bottom w:val="single" w:color="auto" w:sz="4" w:space="0"/>
              <w:right w:val="single" w:color="auto" w:sz="4" w:space="0"/>
            </w:tcBorders>
            <w:shd w:val="clear" w:color="auto" w:fill="FFFFFF"/>
            <w:vAlign w:val="center"/>
          </w:tcPr>
          <w:p w14:paraId="758A1860">
            <w:pPr>
              <w:widowControl/>
              <w:spacing w:line="240" w:lineRule="auto"/>
              <w:ind w:firstLine="0" w:firstLineChars="0"/>
              <w:jc w:val="left"/>
              <w:rPr>
                <w:rFonts w:ascii="Tahoma" w:hAnsi="Tahoma" w:cs="Tahoma"/>
                <w:color w:val="000000"/>
                <w:kern w:val="0"/>
                <w:sz w:val="22"/>
                <w:szCs w:val="22"/>
              </w:rPr>
            </w:pPr>
            <w:r>
              <w:rPr>
                <w:rFonts w:ascii="Tahoma" w:hAnsi="Tahoma" w:cs="Tahoma"/>
                <w:color w:val="000000"/>
                <w:kern w:val="0"/>
                <w:sz w:val="22"/>
                <w:szCs w:val="22"/>
              </w:rPr>
              <w:t>台</w:t>
            </w:r>
          </w:p>
        </w:tc>
      </w:tr>
      <w:tr w14:paraId="3BD13E9D">
        <w:tblPrEx>
          <w:tblCellMar>
            <w:top w:w="0" w:type="dxa"/>
            <w:left w:w="108" w:type="dxa"/>
            <w:bottom w:w="0" w:type="dxa"/>
            <w:right w:w="108" w:type="dxa"/>
          </w:tblCellMar>
        </w:tblPrEx>
        <w:trPr>
          <w:trHeight w:val="11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0F9889E">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7</w:t>
            </w:r>
          </w:p>
        </w:tc>
        <w:tc>
          <w:tcPr>
            <w:tcW w:w="0" w:type="auto"/>
            <w:tcBorders>
              <w:top w:val="single" w:color="auto" w:sz="4" w:space="0"/>
              <w:left w:val="nil"/>
              <w:bottom w:val="single" w:color="auto" w:sz="4" w:space="0"/>
              <w:right w:val="single" w:color="auto" w:sz="4" w:space="0"/>
            </w:tcBorders>
            <w:shd w:val="clear" w:color="auto" w:fill="FFFFFF"/>
            <w:vAlign w:val="center"/>
          </w:tcPr>
          <w:p w14:paraId="6FFAE1AC">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视频分配器</w:t>
            </w:r>
          </w:p>
        </w:tc>
        <w:tc>
          <w:tcPr>
            <w:tcW w:w="0" w:type="auto"/>
            <w:tcBorders>
              <w:top w:val="single" w:color="auto" w:sz="4" w:space="0"/>
              <w:left w:val="nil"/>
              <w:bottom w:val="single" w:color="auto" w:sz="4" w:space="0"/>
              <w:right w:val="single" w:color="auto" w:sz="4" w:space="0"/>
            </w:tcBorders>
            <w:shd w:val="clear" w:color="auto" w:fill="FFFFFF"/>
            <w:vAlign w:val="center"/>
          </w:tcPr>
          <w:p w14:paraId="06B0803E">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音视频监控设备</w:t>
            </w:r>
          </w:p>
        </w:tc>
        <w:tc>
          <w:tcPr>
            <w:tcW w:w="0" w:type="auto"/>
            <w:tcBorders>
              <w:top w:val="single" w:color="auto" w:sz="4" w:space="0"/>
              <w:left w:val="nil"/>
              <w:bottom w:val="single" w:color="auto" w:sz="4" w:space="0"/>
              <w:right w:val="single" w:color="auto" w:sz="4" w:space="0"/>
            </w:tcBorders>
            <w:shd w:val="clear" w:color="auto" w:fill="FFFFFF"/>
            <w:vAlign w:val="center"/>
          </w:tcPr>
          <w:p w14:paraId="786A89F5">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软硬件一体化设备，支持不少于400路码流转发能力；</w:t>
            </w:r>
          </w:p>
          <w:p w14:paraId="2A3B7DB5">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支持GB28181、ONVIF、RTSP、WEBRTC等协议要求的码流接入转发能力；</w:t>
            </w:r>
          </w:p>
          <w:p w14:paraId="47524C6A">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支持多台设备负载均衡；</w:t>
            </w:r>
          </w:p>
          <w:p w14:paraId="3C348EA2">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支持TCP、UDP方式接入和转发码流；</w:t>
            </w:r>
          </w:p>
        </w:tc>
        <w:tc>
          <w:tcPr>
            <w:tcW w:w="0" w:type="auto"/>
            <w:tcBorders>
              <w:top w:val="single" w:color="auto" w:sz="4" w:space="0"/>
              <w:left w:val="nil"/>
              <w:bottom w:val="single" w:color="auto" w:sz="4" w:space="0"/>
              <w:right w:val="single" w:color="auto" w:sz="4" w:space="0"/>
            </w:tcBorders>
            <w:shd w:val="clear" w:color="auto" w:fill="FFFFFF"/>
            <w:vAlign w:val="center"/>
          </w:tcPr>
          <w:p w14:paraId="4750BAF6">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2</w:t>
            </w:r>
          </w:p>
        </w:tc>
        <w:tc>
          <w:tcPr>
            <w:tcW w:w="0" w:type="auto"/>
            <w:tcBorders>
              <w:top w:val="single" w:color="auto" w:sz="4" w:space="0"/>
              <w:left w:val="nil"/>
              <w:bottom w:val="single" w:color="auto" w:sz="4" w:space="0"/>
              <w:right w:val="single" w:color="auto" w:sz="4" w:space="0"/>
            </w:tcBorders>
            <w:shd w:val="clear" w:color="auto" w:fill="FFFFFF"/>
            <w:vAlign w:val="center"/>
          </w:tcPr>
          <w:p w14:paraId="7F214E99">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台</w:t>
            </w:r>
          </w:p>
        </w:tc>
      </w:tr>
      <w:tr w14:paraId="761F55BB">
        <w:tblPrEx>
          <w:tblCellMar>
            <w:top w:w="0" w:type="dxa"/>
            <w:left w:w="108" w:type="dxa"/>
            <w:bottom w:w="0" w:type="dxa"/>
            <w:right w:w="108" w:type="dxa"/>
          </w:tblCellMar>
        </w:tblPrEx>
        <w:trPr>
          <w:trHeight w:val="11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056985C">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8</w:t>
            </w:r>
          </w:p>
        </w:tc>
        <w:tc>
          <w:tcPr>
            <w:tcW w:w="0" w:type="auto"/>
            <w:tcBorders>
              <w:top w:val="single" w:color="auto" w:sz="4" w:space="0"/>
              <w:left w:val="nil"/>
              <w:bottom w:val="single" w:color="auto" w:sz="4" w:space="0"/>
              <w:right w:val="single" w:color="auto" w:sz="4" w:space="0"/>
            </w:tcBorders>
            <w:shd w:val="clear" w:color="auto" w:fill="FFFFFF"/>
            <w:vAlign w:val="center"/>
          </w:tcPr>
          <w:p w14:paraId="351FB340">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磁盘阵列</w:t>
            </w:r>
          </w:p>
        </w:tc>
        <w:tc>
          <w:tcPr>
            <w:tcW w:w="0" w:type="auto"/>
            <w:tcBorders>
              <w:top w:val="single" w:color="auto" w:sz="4" w:space="0"/>
              <w:left w:val="nil"/>
              <w:bottom w:val="single" w:color="auto" w:sz="4" w:space="0"/>
              <w:right w:val="single" w:color="auto" w:sz="4" w:space="0"/>
            </w:tcBorders>
            <w:shd w:val="clear" w:color="auto" w:fill="FFFFFF"/>
            <w:vAlign w:val="center"/>
          </w:tcPr>
          <w:p w14:paraId="1C2C7013">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存储设备</w:t>
            </w:r>
          </w:p>
        </w:tc>
        <w:tc>
          <w:tcPr>
            <w:tcW w:w="0" w:type="auto"/>
            <w:tcBorders>
              <w:top w:val="single" w:color="auto" w:sz="4" w:space="0"/>
              <w:left w:val="nil"/>
              <w:bottom w:val="single" w:color="auto" w:sz="4" w:space="0"/>
              <w:right w:val="single" w:color="auto" w:sz="4" w:space="0"/>
            </w:tcBorders>
            <w:shd w:val="clear" w:color="auto" w:fill="FFFFFF"/>
            <w:vAlign w:val="center"/>
          </w:tcPr>
          <w:p w14:paraId="79FF3AA2">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机架式设备，16个硬盘槽位，含16块8TB企业级硬盘，实现监控音视频存储备份；</w:t>
            </w:r>
          </w:p>
          <w:p w14:paraId="4F7951DC">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最大支持1024个客户端并发访问；</w:t>
            </w:r>
          </w:p>
          <w:p w14:paraId="7C464C3F">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支持NAS使用，适用于多存储环境，支持主流浏览器访问；</w:t>
            </w:r>
          </w:p>
          <w:p w14:paraId="2FE7F93C">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支持分布式调度，实现存储的负载均衡，单台设备失效录像不丢失</w:t>
            </w:r>
          </w:p>
          <w:p w14:paraId="71513F72">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支持RAID、热备盘等冗余方式；</w:t>
            </w:r>
          </w:p>
          <w:p w14:paraId="54FBF1A6">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支持冗余网口，支持网口绑定，实现负载均衡，提高硬件可靠性</w:t>
            </w:r>
          </w:p>
          <w:p w14:paraId="6072433F">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支持录制H.264/H.265编码格式视频</w:t>
            </w:r>
          </w:p>
          <w:p w14:paraId="1A8AAED7">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支持GB/T 28181、ONVIF、RTSP、WebRTC互联协议</w:t>
            </w:r>
          </w:p>
          <w:p w14:paraId="6FD449DD">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支持1000Mbits/秒录像写入能力+额外400Mbits/秒转发能力</w:t>
            </w:r>
          </w:p>
        </w:tc>
        <w:tc>
          <w:tcPr>
            <w:tcW w:w="0" w:type="auto"/>
            <w:tcBorders>
              <w:top w:val="single" w:color="auto" w:sz="4" w:space="0"/>
              <w:left w:val="nil"/>
              <w:bottom w:val="single" w:color="auto" w:sz="4" w:space="0"/>
              <w:right w:val="single" w:color="auto" w:sz="4" w:space="0"/>
            </w:tcBorders>
            <w:shd w:val="clear" w:color="auto" w:fill="FFFFFF"/>
            <w:vAlign w:val="center"/>
          </w:tcPr>
          <w:p w14:paraId="3E228FA2">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1</w:t>
            </w:r>
          </w:p>
        </w:tc>
        <w:tc>
          <w:tcPr>
            <w:tcW w:w="0" w:type="auto"/>
            <w:tcBorders>
              <w:top w:val="single" w:color="auto" w:sz="4" w:space="0"/>
              <w:left w:val="nil"/>
              <w:bottom w:val="single" w:color="auto" w:sz="4" w:space="0"/>
              <w:right w:val="single" w:color="auto" w:sz="4" w:space="0"/>
            </w:tcBorders>
            <w:shd w:val="clear" w:color="auto" w:fill="FFFFFF"/>
            <w:vAlign w:val="center"/>
          </w:tcPr>
          <w:p w14:paraId="4EED0681">
            <w:pPr>
              <w:widowControl/>
              <w:spacing w:line="240" w:lineRule="auto"/>
              <w:ind w:firstLine="0" w:firstLineChars="0"/>
              <w:jc w:val="left"/>
              <w:rPr>
                <w:rFonts w:ascii="Tahoma" w:hAnsi="Tahoma" w:cs="Tahoma"/>
                <w:color w:val="000000"/>
                <w:kern w:val="0"/>
                <w:sz w:val="22"/>
                <w:szCs w:val="22"/>
              </w:rPr>
            </w:pPr>
            <w:r>
              <w:rPr>
                <w:rFonts w:hint="eastAsia" w:ascii="Tahoma" w:hAnsi="Tahoma" w:cs="Tahoma"/>
                <w:color w:val="000000"/>
                <w:kern w:val="0"/>
                <w:sz w:val="22"/>
                <w:szCs w:val="22"/>
              </w:rPr>
              <w:t>台</w:t>
            </w:r>
          </w:p>
        </w:tc>
      </w:tr>
    </w:tbl>
    <w:p w14:paraId="5103636F">
      <w:pPr>
        <w:pStyle w:val="2"/>
        <w:rPr>
          <w:rFonts w:hint="eastAsia"/>
        </w:rPr>
      </w:pPr>
      <w:bookmarkStart w:id="17" w:name="_Toc63785502"/>
      <w:r>
        <w:rPr>
          <w:rFonts w:hint="eastAsia"/>
        </w:rPr>
        <w:t>电子政务云资源需求</w:t>
      </w:r>
      <w:bookmarkEnd w:id="17"/>
    </w:p>
    <w:p w14:paraId="61F62BA4">
      <w:pPr>
        <w:ind w:firstLine="482"/>
        <w:rPr>
          <w:rFonts w:hint="eastAsia"/>
        </w:rPr>
      </w:pPr>
      <w:r>
        <w:rPr>
          <w:rFonts w:hint="eastAsia"/>
          <w:b/>
        </w:rPr>
        <w:t>不涉及</w:t>
      </w:r>
    </w:p>
    <w:p w14:paraId="3BF52CB6">
      <w:pPr>
        <w:pStyle w:val="2"/>
        <w:rPr>
          <w:rFonts w:hint="eastAsia"/>
        </w:rPr>
      </w:pPr>
      <w:bookmarkStart w:id="18" w:name="_Toc63785503"/>
      <w:r>
        <w:rPr>
          <w:rFonts w:hint="eastAsia"/>
        </w:rPr>
        <w:t>其他工作要求</w:t>
      </w:r>
      <w:bookmarkEnd w:id="18"/>
    </w:p>
    <w:p w14:paraId="1F0D1718">
      <w:pPr>
        <w:keepNext/>
        <w:keepLines/>
        <w:numPr>
          <w:ilvl w:val="1"/>
          <w:numId w:val="3"/>
        </w:numPr>
        <w:tabs>
          <w:tab w:val="left" w:pos="360"/>
        </w:tabs>
        <w:spacing w:before="120" w:line="240" w:lineRule="auto"/>
        <w:ind w:left="0" w:firstLine="0" w:firstLineChars="0"/>
        <w:outlineLvl w:val="1"/>
        <w:rPr>
          <w:rFonts w:hint="eastAsia" w:ascii="仿宋" w:hAnsi="仿宋" w:eastAsia="仿宋"/>
          <w:b/>
          <w:vanish/>
          <w:color w:val="000000"/>
          <w:sz w:val="28"/>
          <w:szCs w:val="20"/>
        </w:rPr>
      </w:pPr>
      <w:bookmarkStart w:id="19" w:name="_Toc63785504"/>
      <w:bookmarkEnd w:id="19"/>
      <w:bookmarkStart w:id="20" w:name="_Toc63762370"/>
      <w:bookmarkEnd w:id="20"/>
      <w:bookmarkStart w:id="21" w:name="_Toc63151871"/>
      <w:bookmarkEnd w:id="21"/>
      <w:bookmarkStart w:id="22" w:name="_Toc62209488"/>
      <w:bookmarkEnd w:id="22"/>
      <w:bookmarkStart w:id="23" w:name="_Toc63585480"/>
      <w:bookmarkEnd w:id="23"/>
      <w:bookmarkStart w:id="24" w:name="_Toc62219358"/>
      <w:bookmarkEnd w:id="24"/>
      <w:bookmarkStart w:id="25" w:name="_Toc61968111"/>
      <w:bookmarkEnd w:id="25"/>
      <w:bookmarkStart w:id="26" w:name="_Toc63785439"/>
      <w:bookmarkEnd w:id="26"/>
    </w:p>
    <w:p w14:paraId="543BACBD">
      <w:pPr>
        <w:pStyle w:val="3"/>
        <w:rPr>
          <w:rFonts w:hint="eastAsia"/>
        </w:rPr>
      </w:pPr>
      <w:bookmarkStart w:id="27" w:name="_Toc63785505"/>
      <w:r>
        <w:rPr>
          <w:rFonts w:hint="eastAsia"/>
        </w:rPr>
        <w:t>售后服务要求</w:t>
      </w:r>
      <w:bookmarkEnd w:id="27"/>
    </w:p>
    <w:p w14:paraId="105EB145">
      <w:pPr>
        <w:pStyle w:val="106"/>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w:t>
      </w:r>
      <w:r>
        <w:rPr>
          <w:rFonts w:hint="eastAsia"/>
        </w:rPr>
        <w:t>硬件设备3年质保</w:t>
      </w:r>
      <w:r>
        <w:rPr>
          <w:rFonts w:hint="eastAsia" w:ascii="宋体" w:hAnsi="宋体"/>
          <w:sz w:val="24"/>
          <w:szCs w:val="24"/>
        </w:rPr>
        <w:t>。</w:t>
      </w:r>
    </w:p>
    <w:p w14:paraId="1BC3590B">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303BBE95">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在质量保证期内，供应商负责信息系统的运行维护工作，确保信息系统安全、稳定、可靠地运行。本项目涉及的运行维护工作范围为：确保信息系统安全、稳定、可靠地运行。</w:t>
      </w:r>
    </w:p>
    <w:p w14:paraId="7F0B2DD2">
      <w:pPr>
        <w:pStyle w:val="3"/>
        <w:rPr>
          <w:rFonts w:hint="eastAsia"/>
        </w:rPr>
      </w:pPr>
      <w:bookmarkStart w:id="28" w:name="_Toc63785506"/>
      <w:r>
        <w:rPr>
          <w:rFonts w:hint="eastAsia"/>
        </w:rPr>
        <w:t>应急响应要求</w:t>
      </w:r>
      <w:bookmarkEnd w:id="28"/>
    </w:p>
    <w:p w14:paraId="6AE9CD5E">
      <w:pPr>
        <w:pStyle w:val="106"/>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2678878F">
      <w:pPr>
        <w:pStyle w:val="106"/>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78F54EE4">
      <w:pPr>
        <w:pStyle w:val="106"/>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75E067C7">
      <w:pPr>
        <w:pStyle w:val="106"/>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3CFA2D50">
      <w:pPr>
        <w:pStyle w:val="106"/>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64A91ED1">
      <w:pPr>
        <w:pStyle w:val="3"/>
        <w:rPr>
          <w:rFonts w:hint="eastAsia"/>
        </w:rPr>
      </w:pPr>
      <w:bookmarkStart w:id="29" w:name="_Toc63785507"/>
      <w:r>
        <w:rPr>
          <w:rFonts w:hint="eastAsia"/>
        </w:rPr>
        <w:t>培训要求</w:t>
      </w:r>
      <w:bookmarkEnd w:id="29"/>
    </w:p>
    <w:p w14:paraId="47102013">
      <w:pPr>
        <w:rPr>
          <w:rFonts w:hint="eastAsia"/>
        </w:rPr>
      </w:pPr>
      <w:r>
        <w:rPr>
          <w:rFonts w:hint="eastAsia"/>
        </w:rPr>
        <w:t>对系统使用单位提供业务操作培训，应提供详细培训方案。</w:t>
      </w:r>
    </w:p>
    <w:p w14:paraId="50AB652C">
      <w:pPr>
        <w:rPr>
          <w:rFonts w:hint="eastAsia"/>
        </w:rPr>
      </w:pPr>
      <w:r>
        <w:rPr>
          <w:rFonts w:hint="eastAsia"/>
        </w:rPr>
        <w:t>(1)在12个月的质量保证期内，提供2次与项目相关的必要培训。</w:t>
      </w:r>
    </w:p>
    <w:p w14:paraId="5A5534E1">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11DA8B29">
      <w:pPr>
        <w:rPr>
          <w:rFonts w:hint="eastAsia"/>
        </w:rPr>
      </w:pPr>
      <w:r>
        <w:rPr>
          <w:rFonts w:hint="eastAsia"/>
        </w:rPr>
        <w:t>(3)供应商应提供一般用户的基础操作培训和部门信息管理员的日常应用维护的培训，确保用户对象能够掌握对应的操作技能。</w:t>
      </w:r>
    </w:p>
    <w:p w14:paraId="08195B32">
      <w:pPr>
        <w:pStyle w:val="3"/>
        <w:rPr>
          <w:rFonts w:hint="eastAsia"/>
        </w:rPr>
      </w:pPr>
      <w:bookmarkStart w:id="30" w:name="_Toc63785508"/>
      <w:r>
        <w:rPr>
          <w:rFonts w:hint="eastAsia"/>
        </w:rPr>
        <w:t>验收要求</w:t>
      </w:r>
      <w:bookmarkEnd w:id="30"/>
    </w:p>
    <w:p w14:paraId="4FCC4296">
      <w:pPr>
        <w:rPr>
          <w:rFonts w:hint="eastAsia"/>
          <w:szCs w:val="21"/>
        </w:rPr>
      </w:pPr>
      <w:r>
        <w:rPr>
          <w:rFonts w:hint="eastAsia"/>
          <w:szCs w:val="21"/>
        </w:rPr>
        <w:t>本项目按下述方式开展验收。</w:t>
      </w:r>
    </w:p>
    <w:p w14:paraId="6A2361E3">
      <w:pPr>
        <w:rPr>
          <w:rFonts w:hint="eastAsia"/>
          <w:szCs w:val="21"/>
        </w:rPr>
      </w:pPr>
      <w:r>
        <w:rPr>
          <w:rFonts w:hint="eastAsia"/>
          <w:szCs w:val="21"/>
        </w:rPr>
        <w:t>（</w:t>
      </w:r>
      <w:r>
        <w:rPr>
          <w:szCs w:val="21"/>
        </w:rPr>
        <w:t>1）验收分初验和终验。</w:t>
      </w:r>
    </w:p>
    <w:p w14:paraId="6A6F22CB">
      <w:pPr>
        <w:rPr>
          <w:rFonts w:hint="eastAsia"/>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w:t>
      </w:r>
      <w:r>
        <w:rPr>
          <w:rFonts w:hint="eastAsia"/>
          <w:szCs w:val="21"/>
          <w:lang w:eastAsia="zh-CN"/>
        </w:rPr>
        <w:t>采购人</w:t>
      </w:r>
      <w:r>
        <w:rPr>
          <w:szCs w:val="21"/>
        </w:rPr>
        <w:t>递交初验通知书。</w:t>
      </w:r>
      <w:r>
        <w:rPr>
          <w:rFonts w:hint="eastAsia"/>
          <w:szCs w:val="21"/>
          <w:lang w:eastAsia="zh-CN"/>
        </w:rPr>
        <w:t>采购人</w:t>
      </w:r>
      <w:r>
        <w:rPr>
          <w:szCs w:val="21"/>
        </w:rPr>
        <w:t>应当在接到通知后的5个工作日内确定初验的具体日期，由双方按照本项目的约定完成本项目的初验。</w:t>
      </w:r>
      <w:r>
        <w:rPr>
          <w:rFonts w:hint="eastAsia"/>
          <w:szCs w:val="21"/>
          <w:lang w:eastAsia="zh-CN"/>
        </w:rPr>
        <w:t>采购人</w:t>
      </w:r>
      <w:r>
        <w:rPr>
          <w:szCs w:val="21"/>
        </w:rPr>
        <w:t>有权委托第三方检测机构进行验收，对此供应商应当配合。</w:t>
      </w:r>
    </w:p>
    <w:p w14:paraId="4496C413">
      <w:pPr>
        <w:rPr>
          <w:rFonts w:hint="eastAsia"/>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w:t>
      </w:r>
      <w:r>
        <w:rPr>
          <w:rFonts w:hint="eastAsia"/>
          <w:szCs w:val="21"/>
          <w:lang w:eastAsia="zh-CN"/>
        </w:rPr>
        <w:t>采购人</w:t>
      </w:r>
      <w:r>
        <w:rPr>
          <w:szCs w:val="21"/>
        </w:rPr>
        <w:t>应向供应商出具书面报告，陈述需要改进的缺陷。供应商应立即严格依照</w:t>
      </w:r>
      <w:r>
        <w:rPr>
          <w:rFonts w:hint="eastAsia"/>
          <w:szCs w:val="21"/>
          <w:lang w:eastAsia="zh-CN"/>
        </w:rPr>
        <w:t>采购人</w:t>
      </w:r>
      <w:r>
        <w:rPr>
          <w:szCs w:val="21"/>
        </w:rPr>
        <w:t>的书面报告中的要求改进缺陷，并再次进行初验。</w:t>
      </w:r>
    </w:p>
    <w:p w14:paraId="66ECF02E">
      <w:pPr>
        <w:rPr>
          <w:rFonts w:hint="eastAsia"/>
          <w:szCs w:val="21"/>
        </w:rPr>
      </w:pPr>
      <w:r>
        <w:rPr>
          <w:rFonts w:hint="eastAsia"/>
          <w:szCs w:val="21"/>
        </w:rPr>
        <w:t>（</w:t>
      </w:r>
      <w:r>
        <w:rPr>
          <w:szCs w:val="21"/>
        </w:rPr>
        <w:t>4）自初验通过之日起，</w:t>
      </w:r>
      <w:r>
        <w:rPr>
          <w:rFonts w:hint="eastAsia"/>
          <w:szCs w:val="21"/>
          <w:lang w:eastAsia="zh-CN"/>
        </w:rPr>
        <w:t>采购人</w:t>
      </w:r>
      <w:r>
        <w:rPr>
          <w:szCs w:val="21"/>
        </w:rPr>
        <w:t>享有供应商免费提供的30天的信息系统试运行现场驻场服务期。该期间内，供应商应当按照</w:t>
      </w:r>
      <w:r>
        <w:rPr>
          <w:rFonts w:hint="eastAsia"/>
          <w:szCs w:val="21"/>
          <w:lang w:eastAsia="zh-CN"/>
        </w:rPr>
        <w:t>采购人</w:t>
      </w:r>
      <w:r>
        <w:rPr>
          <w:szCs w:val="21"/>
        </w:rPr>
        <w:t>的要求提供现场技术支持服务，解决信息系统试运行期间可能出现的各类问题，或进一步提高与完善信息系统运行水平。</w:t>
      </w:r>
    </w:p>
    <w:p w14:paraId="2AC70867">
      <w:pPr>
        <w:rPr>
          <w:rFonts w:hint="eastAsia"/>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w:t>
      </w:r>
      <w:r>
        <w:rPr>
          <w:rFonts w:hint="eastAsia"/>
          <w:szCs w:val="21"/>
          <w:lang w:eastAsia="zh-CN"/>
        </w:rPr>
        <w:t>采购人</w:t>
      </w:r>
      <w:r>
        <w:rPr>
          <w:szCs w:val="21"/>
        </w:rPr>
        <w:t>信息系统已准备就绪等待终验。</w:t>
      </w:r>
      <w:r>
        <w:rPr>
          <w:rFonts w:hint="eastAsia"/>
          <w:szCs w:val="21"/>
          <w:lang w:eastAsia="zh-CN"/>
        </w:rPr>
        <w:t>采购人</w:t>
      </w:r>
      <w:r>
        <w:rPr>
          <w:szCs w:val="21"/>
        </w:rPr>
        <w:t>在收到终验通知后的10    个工作日内发起组织专家验收会。</w:t>
      </w:r>
    </w:p>
    <w:p w14:paraId="309A1C47">
      <w:pPr>
        <w:rPr>
          <w:rFonts w:hint="eastAsia"/>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233BA6DD">
      <w:pPr>
        <w:rPr>
          <w:rFonts w:hint="eastAsia"/>
          <w:szCs w:val="21"/>
        </w:rPr>
      </w:pPr>
      <w:r>
        <w:rPr>
          <w:rFonts w:hint="eastAsia"/>
          <w:szCs w:val="21"/>
        </w:rPr>
        <w:t>（7</w:t>
      </w:r>
      <w:r>
        <w:rPr>
          <w:szCs w:val="21"/>
        </w:rPr>
        <w:t>）如果由于</w:t>
      </w:r>
      <w:r>
        <w:rPr>
          <w:rFonts w:hint="eastAsia"/>
          <w:szCs w:val="21"/>
          <w:lang w:eastAsia="zh-CN"/>
        </w:rPr>
        <w:t>采购人</w:t>
      </w:r>
      <w:r>
        <w:rPr>
          <w:szCs w:val="21"/>
        </w:rPr>
        <w:t>原因导致本项目在终验通过前出现故障或问题，供应商应及时配合排除该方面的故障或问题。</w:t>
      </w:r>
    </w:p>
    <w:p w14:paraId="427D224F">
      <w:pPr>
        <w:rPr>
          <w:rFonts w:hint="eastAsia"/>
          <w:szCs w:val="21"/>
        </w:rPr>
      </w:pPr>
      <w:r>
        <w:rPr>
          <w:rFonts w:hint="eastAsia"/>
          <w:szCs w:val="21"/>
        </w:rPr>
        <w:t>（8</w:t>
      </w:r>
      <w:r>
        <w:rPr>
          <w:szCs w:val="21"/>
        </w:rPr>
        <w:t>）如本项目连续3次验收未通过（含初验未通过或终验未通过），</w:t>
      </w:r>
      <w:r>
        <w:rPr>
          <w:rFonts w:hint="eastAsia"/>
          <w:szCs w:val="21"/>
          <w:lang w:eastAsia="zh-CN"/>
        </w:rPr>
        <w:t>采购人</w:t>
      </w:r>
      <w:r>
        <w:rPr>
          <w:szCs w:val="21"/>
        </w:rPr>
        <w:t>有权解除项目，并有权依照本项目约定的违约条款追究供应商的违约责任。</w:t>
      </w:r>
    </w:p>
    <w:p w14:paraId="13714F70">
      <w:pPr>
        <w:rPr>
          <w:rFonts w:hint="eastAsia"/>
          <w:szCs w:val="21"/>
        </w:rPr>
      </w:pPr>
      <w:r>
        <w:rPr>
          <w:rFonts w:hint="eastAsia"/>
          <w:szCs w:val="21"/>
        </w:rPr>
        <w:t>（9）其他要求：本项目系统功能和硬件产品在验收前需进行全面的测试和试运行，且测试结果需完全符合</w:t>
      </w:r>
      <w:r>
        <w:rPr>
          <w:rFonts w:hint="eastAsia"/>
          <w:szCs w:val="21"/>
          <w:lang w:eastAsia="zh-CN"/>
        </w:rPr>
        <w:t>采购</w:t>
      </w:r>
      <w:r>
        <w:rPr>
          <w:rFonts w:hint="eastAsia"/>
          <w:szCs w:val="21"/>
        </w:rPr>
        <w:t>要求，供应商需提供可靠可行的的测试方案和试运行方案。测试方案需包含视频会议系统测试人员职责描述、测试环境和测试设备设置、每个测试项的测试计划和预期测试输出目标等；试运行方案需针对本项目特点，列出视频会议及视频监控联网在试运行期间的试运行计划、试运行保障人员和试运行记录等。</w:t>
      </w:r>
    </w:p>
    <w:p w14:paraId="559A091D">
      <w:pPr>
        <w:pStyle w:val="3"/>
        <w:rPr>
          <w:rFonts w:hint="eastAsia"/>
        </w:rPr>
      </w:pPr>
      <w:bookmarkStart w:id="31" w:name="_Toc63785509"/>
      <w:r>
        <w:rPr>
          <w:rFonts w:hint="eastAsia"/>
        </w:rPr>
        <w:t>进度要求</w:t>
      </w:r>
      <w:bookmarkEnd w:id="31"/>
    </w:p>
    <w:p w14:paraId="115C8444">
      <w:pPr>
        <w:rPr>
          <w:rFonts w:hint="eastAsia"/>
        </w:rPr>
      </w:pPr>
      <w:r>
        <w:rPr>
          <w:rFonts w:hint="eastAsia"/>
          <w:lang w:eastAsia="zh-CN"/>
        </w:rPr>
        <w:t>供应商</w:t>
      </w:r>
      <w:r>
        <w:rPr>
          <w:rFonts w:hint="eastAsia"/>
        </w:rPr>
        <w:t>应根据建设内容，分阶段制定合理的时间进度，并且应根据</w:t>
      </w:r>
      <w:r>
        <w:rPr>
          <w:rFonts w:hint="eastAsia"/>
          <w:lang w:eastAsia="zh-CN"/>
        </w:rPr>
        <w:t>采购人</w:t>
      </w:r>
      <w:r>
        <w:rPr>
          <w:rFonts w:hint="eastAsia"/>
        </w:rPr>
        <w:t>要求进行调整和细化。</w:t>
      </w:r>
    </w:p>
    <w:p w14:paraId="254AD94E">
      <w:pPr>
        <w:rPr>
          <w:rFonts w:hint="eastAsia"/>
        </w:rPr>
      </w:pPr>
      <w:r>
        <w:rPr>
          <w:rFonts w:hint="eastAsia"/>
        </w:rPr>
        <w:t>总建设周期为</w:t>
      </w:r>
      <w:r>
        <w:t>6</w:t>
      </w:r>
      <w:r>
        <w:rPr>
          <w:rFonts w:hint="eastAsia"/>
        </w:rPr>
        <w:t>个月，分为4个阶段。</w:t>
      </w:r>
    </w:p>
    <w:p w14:paraId="437F4C71">
      <w:pPr>
        <w:rPr>
          <w:rFonts w:hint="eastAsia"/>
        </w:rPr>
      </w:pPr>
      <w:r>
        <w:rPr>
          <w:rFonts w:hint="eastAsia"/>
        </w:rPr>
        <w:t>第一阶段为</w:t>
      </w:r>
      <w:r>
        <w:t>1</w:t>
      </w:r>
      <w:r>
        <w:rPr>
          <w:rFonts w:hint="eastAsia"/>
        </w:rPr>
        <w:t>个月，项目规划设计阶段，完成项目有关业务、系统和需求的调研，形成总体设计方案；</w:t>
      </w:r>
    </w:p>
    <w:p w14:paraId="05A4735B">
      <w:pPr>
        <w:rPr>
          <w:rFonts w:hint="eastAsia"/>
        </w:rPr>
      </w:pPr>
      <w:r>
        <w:rPr>
          <w:rFonts w:hint="eastAsia"/>
        </w:rPr>
        <w:t>第二阶段为</w:t>
      </w:r>
      <w:r>
        <w:t>3</w:t>
      </w:r>
      <w:r>
        <w:rPr>
          <w:rFonts w:hint="eastAsia"/>
        </w:rPr>
        <w:t>个月，项目实施阶段，进行视频会议系统、视频监控联网平台的升级改造，旧设备替换，新增设备安全，完成系统联调与部署；</w:t>
      </w:r>
    </w:p>
    <w:p w14:paraId="2AA7F24A">
      <w:pPr>
        <w:rPr>
          <w:rFonts w:hint="eastAsia"/>
        </w:rPr>
      </w:pPr>
      <w:r>
        <w:rPr>
          <w:rFonts w:hint="eastAsia"/>
        </w:rPr>
        <w:t>第三阶段为1个月，项目试运行和迭代开发阶段，本阶段主要进行项目功能试运行，修正各模块联调中出现的问题，完成系统完善和功能迭代，直至发布正式运行版本；</w:t>
      </w:r>
    </w:p>
    <w:p w14:paraId="0169B1E7">
      <w:pPr>
        <w:rPr>
          <w:rFonts w:hint="eastAsia"/>
        </w:rPr>
      </w:pPr>
      <w:r>
        <w:rPr>
          <w:rFonts w:hint="eastAsia"/>
        </w:rPr>
        <w:t>第四阶段为1个月，项目验收阶段，本阶段主要实施项目验收并启动项目的正式运行，根据项目运行情况和验收要求开展项目测评、功能优化和绩效评价等工作。</w:t>
      </w:r>
    </w:p>
    <w:p w14:paraId="10EA178B">
      <w:pPr>
        <w:pStyle w:val="3"/>
        <w:rPr>
          <w:rFonts w:hint="eastAsia"/>
        </w:rPr>
      </w:pPr>
      <w:bookmarkStart w:id="32" w:name="_Toc63785510"/>
      <w:r>
        <w:rPr>
          <w:rFonts w:hint="eastAsia"/>
        </w:rPr>
        <w:t>项目团队及驻场人员要求</w:t>
      </w:r>
      <w:bookmarkEnd w:id="32"/>
    </w:p>
    <w:p w14:paraId="7F95ECC9">
      <w:pPr>
        <w:rPr>
          <w:rFonts w:hint="eastAsia"/>
        </w:rPr>
      </w:pPr>
      <w:r>
        <w:t>1）</w:t>
      </w:r>
      <w:r>
        <w:rPr>
          <w:rFonts w:hint="eastAsia"/>
          <w:lang w:eastAsia="zh-CN"/>
        </w:rPr>
        <w:t>供应商</w:t>
      </w:r>
      <w:r>
        <w:t>须具有稳定的在职技术保障力量，能够提供及时的技术支援或服务</w:t>
      </w:r>
      <w:r>
        <w:rPr>
          <w:rFonts w:hint="eastAsia"/>
        </w:rPr>
        <w:t>。</w:t>
      </w:r>
      <w:r>
        <w:rPr>
          <w:rFonts w:hint="eastAsia"/>
          <w:lang w:eastAsia="zh-CN"/>
        </w:rPr>
        <w:t>供应商</w:t>
      </w:r>
      <w:r>
        <w:t>提供不少于</w:t>
      </w:r>
      <w:r>
        <w:rPr>
          <w:rFonts w:hint="eastAsia"/>
        </w:rPr>
        <w:t>4</w:t>
      </w:r>
      <w:r>
        <w:t>人的项目服务团队（包括项目经理、</w:t>
      </w:r>
      <w:r>
        <w:rPr>
          <w:rFonts w:hint="eastAsia"/>
        </w:rPr>
        <w:t>技术团队</w:t>
      </w:r>
      <w:r>
        <w:t>等），</w:t>
      </w:r>
      <w:r>
        <w:rPr>
          <w:rFonts w:hint="eastAsia"/>
          <w:lang w:eastAsia="zh-CN"/>
        </w:rPr>
        <w:t>供应商</w:t>
      </w:r>
      <w:r>
        <w:t>的相关服务人员需具备相应的服务能力，需提供相关证明。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057"/>
        <w:gridCol w:w="1095"/>
        <w:gridCol w:w="3020"/>
        <w:gridCol w:w="1180"/>
      </w:tblGrid>
      <w:tr w14:paraId="437C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35A9CB30">
            <w:pPr>
              <w:widowControl/>
              <w:spacing w:line="240" w:lineRule="auto"/>
              <w:ind w:firstLine="0" w:firstLineChars="0"/>
              <w:jc w:val="center"/>
              <w:rPr>
                <w:rFonts w:hint="eastAsia"/>
                <w:b/>
              </w:rPr>
            </w:pPr>
            <w:r>
              <w:rPr>
                <w:rFonts w:hint="eastAsia"/>
                <w:b/>
              </w:rPr>
              <w:t>角色</w:t>
            </w:r>
          </w:p>
        </w:tc>
        <w:tc>
          <w:tcPr>
            <w:tcW w:w="2057" w:type="dxa"/>
            <w:shd w:val="clear" w:color="auto" w:fill="auto"/>
            <w:noWrap/>
            <w:vAlign w:val="center"/>
          </w:tcPr>
          <w:p w14:paraId="4DE4C721">
            <w:pPr>
              <w:widowControl/>
              <w:spacing w:line="240" w:lineRule="auto"/>
              <w:ind w:firstLine="0" w:firstLineChars="0"/>
              <w:jc w:val="center"/>
              <w:rPr>
                <w:rFonts w:hint="eastAsia"/>
                <w:b/>
              </w:rPr>
            </w:pPr>
            <w:r>
              <w:rPr>
                <w:rFonts w:hint="eastAsia"/>
                <w:b/>
              </w:rPr>
              <w:t>主要职责</w:t>
            </w:r>
          </w:p>
        </w:tc>
        <w:tc>
          <w:tcPr>
            <w:tcW w:w="1095" w:type="dxa"/>
            <w:shd w:val="clear" w:color="auto" w:fill="auto"/>
            <w:noWrap/>
            <w:vAlign w:val="center"/>
          </w:tcPr>
          <w:p w14:paraId="5CB81CE5">
            <w:pPr>
              <w:widowControl/>
              <w:spacing w:line="240" w:lineRule="auto"/>
              <w:ind w:firstLine="0" w:firstLineChars="0"/>
              <w:jc w:val="center"/>
              <w:rPr>
                <w:rFonts w:hint="eastAsia"/>
                <w:b/>
              </w:rPr>
            </w:pPr>
            <w:r>
              <w:rPr>
                <w:rFonts w:hint="eastAsia"/>
                <w:b/>
              </w:rPr>
              <w:t>人员数量</w:t>
            </w:r>
          </w:p>
        </w:tc>
        <w:tc>
          <w:tcPr>
            <w:tcW w:w="3020" w:type="dxa"/>
            <w:vAlign w:val="center"/>
          </w:tcPr>
          <w:p w14:paraId="1E396A37">
            <w:pPr>
              <w:widowControl/>
              <w:spacing w:line="240" w:lineRule="auto"/>
              <w:ind w:firstLine="0" w:firstLineChars="0"/>
              <w:jc w:val="center"/>
              <w:rPr>
                <w:rFonts w:hint="eastAsia"/>
                <w:b/>
              </w:rPr>
            </w:pPr>
            <w:r>
              <w:rPr>
                <w:rFonts w:hint="eastAsia"/>
                <w:b/>
              </w:rPr>
              <w:t>人员要求</w:t>
            </w:r>
          </w:p>
        </w:tc>
        <w:tc>
          <w:tcPr>
            <w:tcW w:w="1180" w:type="dxa"/>
            <w:shd w:val="clear" w:color="auto" w:fill="auto"/>
            <w:noWrap/>
            <w:vAlign w:val="center"/>
          </w:tcPr>
          <w:p w14:paraId="1BAC7E79">
            <w:pPr>
              <w:widowControl/>
              <w:spacing w:line="240" w:lineRule="auto"/>
              <w:ind w:firstLine="0" w:firstLineChars="0"/>
              <w:jc w:val="center"/>
              <w:rPr>
                <w:rFonts w:hint="eastAsia"/>
                <w:b/>
              </w:rPr>
            </w:pPr>
            <w:r>
              <w:rPr>
                <w:rFonts w:hint="eastAsia"/>
                <w:b/>
              </w:rPr>
              <w:t>驻场要求</w:t>
            </w:r>
          </w:p>
        </w:tc>
      </w:tr>
      <w:tr w14:paraId="6837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213262AB">
            <w:pPr>
              <w:widowControl/>
              <w:spacing w:line="240" w:lineRule="auto"/>
              <w:ind w:firstLine="0" w:firstLineChars="0"/>
              <w:jc w:val="center"/>
              <w:rPr>
                <w:rFonts w:hint="eastAsia"/>
              </w:rPr>
            </w:pPr>
            <w:r>
              <w:rPr>
                <w:rFonts w:hint="eastAsia"/>
              </w:rPr>
              <w:t>项目经理</w:t>
            </w:r>
          </w:p>
        </w:tc>
        <w:tc>
          <w:tcPr>
            <w:tcW w:w="2057" w:type="dxa"/>
            <w:shd w:val="clear" w:color="auto" w:fill="auto"/>
            <w:vAlign w:val="center"/>
          </w:tcPr>
          <w:p w14:paraId="24FFF2B2">
            <w:pPr>
              <w:widowControl/>
              <w:spacing w:line="240" w:lineRule="auto"/>
              <w:ind w:firstLine="0" w:firstLineChars="0"/>
              <w:jc w:val="center"/>
              <w:rPr>
                <w:rFonts w:hint="eastAsia"/>
              </w:rPr>
            </w:pPr>
            <w:r>
              <w:rPr>
                <w:rFonts w:hint="eastAsia"/>
              </w:rPr>
              <w:t>负责项目质量和进度控制</w:t>
            </w:r>
          </w:p>
        </w:tc>
        <w:tc>
          <w:tcPr>
            <w:tcW w:w="1095" w:type="dxa"/>
            <w:shd w:val="clear" w:color="auto" w:fill="auto"/>
            <w:noWrap/>
            <w:vAlign w:val="center"/>
          </w:tcPr>
          <w:p w14:paraId="0A0E4F77">
            <w:pPr>
              <w:widowControl/>
              <w:spacing w:line="240" w:lineRule="auto"/>
              <w:ind w:firstLine="0" w:firstLineChars="0"/>
              <w:jc w:val="center"/>
              <w:rPr>
                <w:rFonts w:hint="eastAsia"/>
              </w:rPr>
            </w:pPr>
            <w:r>
              <w:rPr>
                <w:rFonts w:hint="eastAsia"/>
              </w:rPr>
              <w:t>1人</w:t>
            </w:r>
          </w:p>
        </w:tc>
        <w:tc>
          <w:tcPr>
            <w:tcW w:w="3020" w:type="dxa"/>
            <w:vAlign w:val="center"/>
          </w:tcPr>
          <w:p w14:paraId="620B2F91">
            <w:pPr>
              <w:widowControl/>
              <w:spacing w:line="240" w:lineRule="auto"/>
              <w:ind w:firstLine="0" w:firstLineChars="0"/>
              <w:jc w:val="center"/>
              <w:rPr>
                <w:rFonts w:hint="eastAsia"/>
              </w:rPr>
            </w:pPr>
            <w:r>
              <w:rPr>
                <w:rFonts w:hint="eastAsia"/>
              </w:rPr>
              <w:t>具有全日制本科及以上学历、具备国家计算机技术与软件专业技术资格（水平）考试取得的高级证书，或具有高级工程师职称证书</w:t>
            </w:r>
          </w:p>
        </w:tc>
        <w:tc>
          <w:tcPr>
            <w:tcW w:w="1180" w:type="dxa"/>
            <w:shd w:val="clear" w:color="auto" w:fill="auto"/>
            <w:noWrap/>
            <w:vAlign w:val="center"/>
          </w:tcPr>
          <w:p w14:paraId="622CB560">
            <w:pPr>
              <w:widowControl/>
              <w:spacing w:line="240" w:lineRule="auto"/>
              <w:ind w:firstLine="0" w:firstLineChars="0"/>
              <w:jc w:val="center"/>
              <w:rPr>
                <w:rFonts w:hint="eastAsia"/>
              </w:rPr>
            </w:pPr>
            <w:r>
              <w:rPr>
                <w:rFonts w:hint="eastAsia"/>
              </w:rPr>
              <w:t>不驻场</w:t>
            </w:r>
          </w:p>
        </w:tc>
      </w:tr>
      <w:tr w14:paraId="539F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14:paraId="22EF0D4A">
            <w:pPr>
              <w:widowControl/>
              <w:spacing w:line="240" w:lineRule="auto"/>
              <w:ind w:firstLine="0" w:firstLineChars="0"/>
              <w:jc w:val="center"/>
              <w:rPr>
                <w:rFonts w:hint="eastAsia"/>
              </w:rPr>
            </w:pPr>
            <w:r>
              <w:rPr>
                <w:rFonts w:hint="eastAsia"/>
              </w:rPr>
              <w:t>技术团队</w:t>
            </w:r>
          </w:p>
        </w:tc>
        <w:tc>
          <w:tcPr>
            <w:tcW w:w="2057" w:type="dxa"/>
            <w:shd w:val="clear" w:color="auto" w:fill="auto"/>
            <w:vAlign w:val="center"/>
          </w:tcPr>
          <w:p w14:paraId="47DD96B1">
            <w:pPr>
              <w:widowControl/>
              <w:spacing w:line="240" w:lineRule="auto"/>
              <w:ind w:firstLine="0" w:firstLineChars="0"/>
              <w:jc w:val="center"/>
              <w:rPr>
                <w:rFonts w:hint="eastAsia"/>
              </w:rPr>
            </w:pPr>
            <w:r>
              <w:rPr>
                <w:rFonts w:hint="eastAsia"/>
              </w:rPr>
              <w:t>负责硬件产品安装、调试和系统集成</w:t>
            </w:r>
          </w:p>
        </w:tc>
        <w:tc>
          <w:tcPr>
            <w:tcW w:w="1095" w:type="dxa"/>
            <w:shd w:val="clear" w:color="auto" w:fill="auto"/>
            <w:noWrap/>
            <w:vAlign w:val="center"/>
          </w:tcPr>
          <w:p w14:paraId="1AEAD0BB">
            <w:pPr>
              <w:widowControl/>
              <w:spacing w:line="240" w:lineRule="auto"/>
              <w:ind w:firstLine="0" w:firstLineChars="0"/>
              <w:jc w:val="center"/>
              <w:rPr>
                <w:rFonts w:hint="eastAsia"/>
              </w:rPr>
            </w:pPr>
            <w:r>
              <w:rPr>
                <w:rFonts w:hint="eastAsia"/>
              </w:rPr>
              <w:t>3人</w:t>
            </w:r>
          </w:p>
        </w:tc>
        <w:tc>
          <w:tcPr>
            <w:tcW w:w="3020" w:type="dxa"/>
            <w:vAlign w:val="center"/>
          </w:tcPr>
          <w:p w14:paraId="7716570A">
            <w:pPr>
              <w:widowControl/>
              <w:spacing w:line="240" w:lineRule="auto"/>
              <w:ind w:firstLine="0" w:firstLineChars="0"/>
              <w:jc w:val="center"/>
              <w:rPr>
                <w:rFonts w:hint="eastAsia"/>
              </w:rPr>
            </w:pPr>
            <w:r>
              <w:rPr>
                <w:rFonts w:hint="eastAsia"/>
              </w:rPr>
              <w:t>具备音视频通讯类产品的设备安装和系统集成项目经验，团队成员应当具有注册信息安全工程师(CISE)资质、IT服务项目经理（ITSS）证书、</w:t>
            </w:r>
            <w:r>
              <w:rPr>
                <w:rFonts w:hint="eastAsia"/>
                <w:lang w:val="en-US" w:eastAsia="zh-CN"/>
              </w:rPr>
              <w:t>或</w:t>
            </w:r>
            <w:r>
              <w:rPr>
                <w:rFonts w:hint="eastAsia"/>
              </w:rPr>
              <w:t>信息安全保障人员证书(CISAW，安全运维专业级及以上)</w:t>
            </w:r>
            <w:r>
              <w:rPr>
                <w:rFonts w:hint="eastAsia"/>
                <w:lang w:val="en-US" w:eastAsia="zh-CN"/>
              </w:rPr>
              <w:t>等相关证书</w:t>
            </w:r>
            <w:bookmarkStart w:id="37" w:name="_GoBack"/>
            <w:bookmarkEnd w:id="37"/>
            <w:r>
              <w:rPr>
                <w:rFonts w:hint="eastAsia"/>
              </w:rPr>
              <w:t>。</w:t>
            </w:r>
          </w:p>
        </w:tc>
        <w:tc>
          <w:tcPr>
            <w:tcW w:w="1180" w:type="dxa"/>
            <w:shd w:val="clear" w:color="auto" w:fill="auto"/>
            <w:noWrap/>
            <w:vAlign w:val="center"/>
          </w:tcPr>
          <w:p w14:paraId="33DD80B6">
            <w:pPr>
              <w:widowControl/>
              <w:spacing w:line="240" w:lineRule="auto"/>
              <w:ind w:firstLine="0" w:firstLineChars="0"/>
              <w:jc w:val="center"/>
              <w:rPr>
                <w:rFonts w:hint="eastAsia"/>
              </w:rPr>
            </w:pPr>
            <w:r>
              <w:rPr>
                <w:rFonts w:hint="eastAsia"/>
              </w:rPr>
              <w:t>不驻场</w:t>
            </w:r>
          </w:p>
        </w:tc>
      </w:tr>
    </w:tbl>
    <w:p w14:paraId="104D5782">
      <w:pPr>
        <w:rPr>
          <w:rFonts w:hint="eastAsia"/>
        </w:rPr>
      </w:pPr>
      <w:r>
        <w:t>2）</w:t>
      </w:r>
      <w:r>
        <w:rPr>
          <w:rFonts w:hint="eastAsia"/>
        </w:rPr>
        <w:t>在项目质保期，</w:t>
      </w:r>
      <w:r>
        <w:rPr>
          <w:rFonts w:hint="eastAsia"/>
          <w:lang w:eastAsia="zh-CN"/>
        </w:rPr>
        <w:t>供应商</w:t>
      </w:r>
      <w:r>
        <w:t>应针对本项目提供不少于</w:t>
      </w:r>
      <w:r>
        <w:rPr>
          <w:rFonts w:hint="eastAsia"/>
        </w:rPr>
        <w:t>2</w:t>
      </w:r>
      <w:r>
        <w:t>人的质保期间支撑团队（技术工程师不少于</w:t>
      </w:r>
      <w:r>
        <w:rPr>
          <w:rFonts w:hint="eastAsia"/>
        </w:rPr>
        <w:t>2</w:t>
      </w:r>
      <w:r>
        <w:t>人</w:t>
      </w:r>
      <w:r>
        <w:rPr>
          <w:rFonts w:hint="eastAsia"/>
        </w:rPr>
        <w:t>，需为项目实施期的人员</w:t>
      </w:r>
      <w:r>
        <w:t>）；</w:t>
      </w:r>
      <w:r>
        <w:rPr>
          <w:rFonts w:hint="eastAsia"/>
          <w:lang w:eastAsia="zh-CN"/>
        </w:rPr>
        <w:t>供应商</w:t>
      </w:r>
      <w:r>
        <w:t>的相关服务人员需具备相应的服务能力，需提供相关证明（最近一个季度依法缴纳社保费的证明）。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136"/>
        <w:gridCol w:w="1180"/>
        <w:gridCol w:w="2616"/>
        <w:gridCol w:w="1180"/>
      </w:tblGrid>
      <w:tr w14:paraId="165D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0222BEC4">
            <w:pPr>
              <w:widowControl/>
              <w:spacing w:line="240" w:lineRule="auto"/>
              <w:ind w:firstLine="0" w:firstLineChars="0"/>
              <w:jc w:val="center"/>
              <w:rPr>
                <w:rFonts w:hint="eastAsia"/>
                <w:b/>
              </w:rPr>
            </w:pPr>
            <w:r>
              <w:rPr>
                <w:rFonts w:hint="eastAsia"/>
                <w:b/>
              </w:rPr>
              <w:t>角色</w:t>
            </w:r>
          </w:p>
        </w:tc>
        <w:tc>
          <w:tcPr>
            <w:tcW w:w="0" w:type="auto"/>
            <w:shd w:val="clear" w:color="auto" w:fill="auto"/>
            <w:noWrap/>
            <w:vAlign w:val="center"/>
          </w:tcPr>
          <w:p w14:paraId="09FD22F3">
            <w:pPr>
              <w:widowControl/>
              <w:spacing w:line="240" w:lineRule="auto"/>
              <w:ind w:firstLine="0" w:firstLineChars="0"/>
              <w:jc w:val="center"/>
              <w:rPr>
                <w:rFonts w:hint="eastAsia"/>
                <w:b/>
              </w:rPr>
            </w:pPr>
            <w:r>
              <w:rPr>
                <w:rFonts w:hint="eastAsia"/>
                <w:b/>
              </w:rPr>
              <w:t>主要职责</w:t>
            </w:r>
          </w:p>
        </w:tc>
        <w:tc>
          <w:tcPr>
            <w:tcW w:w="0" w:type="auto"/>
            <w:shd w:val="clear" w:color="auto" w:fill="auto"/>
            <w:noWrap/>
            <w:vAlign w:val="center"/>
          </w:tcPr>
          <w:p w14:paraId="4F326B2B">
            <w:pPr>
              <w:widowControl/>
              <w:spacing w:line="240" w:lineRule="auto"/>
              <w:ind w:firstLine="0" w:firstLineChars="0"/>
              <w:jc w:val="center"/>
              <w:rPr>
                <w:rFonts w:hint="eastAsia"/>
                <w:b/>
              </w:rPr>
            </w:pPr>
            <w:r>
              <w:rPr>
                <w:rFonts w:hint="eastAsia"/>
                <w:b/>
              </w:rPr>
              <w:t>人员数量</w:t>
            </w:r>
          </w:p>
        </w:tc>
        <w:tc>
          <w:tcPr>
            <w:tcW w:w="0" w:type="auto"/>
            <w:vAlign w:val="center"/>
          </w:tcPr>
          <w:p w14:paraId="5C462581">
            <w:pPr>
              <w:widowControl/>
              <w:spacing w:line="240" w:lineRule="auto"/>
              <w:ind w:firstLine="0" w:firstLineChars="0"/>
              <w:jc w:val="center"/>
              <w:rPr>
                <w:rFonts w:hint="eastAsia"/>
                <w:b/>
              </w:rPr>
            </w:pPr>
            <w:r>
              <w:rPr>
                <w:rFonts w:hint="eastAsia"/>
                <w:b/>
              </w:rPr>
              <w:t>人员要求</w:t>
            </w:r>
          </w:p>
        </w:tc>
        <w:tc>
          <w:tcPr>
            <w:tcW w:w="0" w:type="auto"/>
            <w:shd w:val="clear" w:color="auto" w:fill="auto"/>
            <w:noWrap/>
            <w:vAlign w:val="center"/>
          </w:tcPr>
          <w:p w14:paraId="0A19AF11">
            <w:pPr>
              <w:widowControl/>
              <w:spacing w:line="240" w:lineRule="auto"/>
              <w:ind w:firstLine="0" w:firstLineChars="0"/>
              <w:jc w:val="center"/>
              <w:rPr>
                <w:rFonts w:hint="eastAsia"/>
                <w:b/>
              </w:rPr>
            </w:pPr>
            <w:r>
              <w:rPr>
                <w:rFonts w:hint="eastAsia"/>
                <w:b/>
              </w:rPr>
              <w:t>驻场要求</w:t>
            </w:r>
          </w:p>
        </w:tc>
      </w:tr>
      <w:tr w14:paraId="0459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3380F6E3">
            <w:pPr>
              <w:widowControl/>
              <w:spacing w:line="240" w:lineRule="auto"/>
              <w:ind w:firstLine="0" w:firstLineChars="0"/>
              <w:jc w:val="center"/>
              <w:rPr>
                <w:rFonts w:hint="eastAsia"/>
              </w:rPr>
            </w:pPr>
            <w:r>
              <w:rPr>
                <w:rFonts w:hint="eastAsia"/>
              </w:rPr>
              <w:t>技术工程师</w:t>
            </w:r>
          </w:p>
        </w:tc>
        <w:tc>
          <w:tcPr>
            <w:tcW w:w="0" w:type="auto"/>
            <w:shd w:val="clear" w:color="auto" w:fill="auto"/>
            <w:noWrap/>
            <w:vAlign w:val="center"/>
          </w:tcPr>
          <w:p w14:paraId="758C2273">
            <w:pPr>
              <w:widowControl/>
              <w:spacing w:line="240" w:lineRule="auto"/>
              <w:ind w:firstLine="0" w:firstLineChars="0"/>
              <w:jc w:val="center"/>
              <w:rPr>
                <w:rFonts w:hint="eastAsia"/>
              </w:rPr>
            </w:pPr>
            <w:r>
              <w:rPr>
                <w:rFonts w:hint="eastAsia"/>
              </w:rPr>
              <w:t>负责项目运行维护</w:t>
            </w:r>
          </w:p>
        </w:tc>
        <w:tc>
          <w:tcPr>
            <w:tcW w:w="0" w:type="auto"/>
            <w:shd w:val="clear" w:color="auto" w:fill="auto"/>
            <w:noWrap/>
            <w:vAlign w:val="center"/>
          </w:tcPr>
          <w:p w14:paraId="1C129AA1">
            <w:pPr>
              <w:widowControl/>
              <w:spacing w:line="240" w:lineRule="auto"/>
              <w:ind w:firstLine="0" w:firstLineChars="0"/>
              <w:jc w:val="center"/>
              <w:rPr>
                <w:rFonts w:hint="eastAsia"/>
              </w:rPr>
            </w:pPr>
            <w:r>
              <w:rPr>
                <w:rFonts w:hint="eastAsia"/>
              </w:rPr>
              <w:t>2人</w:t>
            </w:r>
          </w:p>
        </w:tc>
        <w:tc>
          <w:tcPr>
            <w:tcW w:w="0" w:type="auto"/>
            <w:vAlign w:val="center"/>
          </w:tcPr>
          <w:p w14:paraId="10C2C7EA">
            <w:pPr>
              <w:widowControl/>
              <w:spacing w:line="240" w:lineRule="auto"/>
              <w:ind w:firstLine="0" w:firstLineChars="0"/>
              <w:jc w:val="center"/>
              <w:rPr>
                <w:rFonts w:hint="eastAsia"/>
              </w:rPr>
            </w:pPr>
            <w:r>
              <w:rPr>
                <w:rFonts w:hint="eastAsia"/>
              </w:rPr>
              <w:t>具备音视频通讯类产品的设备安装和系统集成项目经验</w:t>
            </w:r>
          </w:p>
        </w:tc>
        <w:tc>
          <w:tcPr>
            <w:tcW w:w="0" w:type="auto"/>
            <w:shd w:val="clear" w:color="auto" w:fill="auto"/>
            <w:noWrap/>
            <w:vAlign w:val="center"/>
          </w:tcPr>
          <w:p w14:paraId="1B7C230B">
            <w:pPr>
              <w:widowControl/>
              <w:spacing w:line="240" w:lineRule="auto"/>
              <w:ind w:firstLine="0" w:firstLineChars="0"/>
              <w:jc w:val="center"/>
              <w:rPr>
                <w:rFonts w:hint="eastAsia"/>
              </w:rPr>
            </w:pPr>
            <w:r>
              <w:rPr>
                <w:rFonts w:hint="eastAsia"/>
              </w:rPr>
              <w:t>不驻场</w:t>
            </w:r>
          </w:p>
        </w:tc>
      </w:tr>
    </w:tbl>
    <w:p w14:paraId="68F936B2">
      <w:pPr>
        <w:pStyle w:val="3"/>
        <w:rPr>
          <w:rFonts w:hint="eastAsia"/>
        </w:rPr>
      </w:pPr>
      <w:bookmarkStart w:id="33" w:name="_Toc63785511"/>
      <w:r>
        <w:t>等级保护要求</w:t>
      </w:r>
      <w:bookmarkEnd w:id="33"/>
    </w:p>
    <w:p w14:paraId="0A536A3E">
      <w:pPr>
        <w:rPr>
          <w:rFonts w:hint="eastAsia" w:ascii="仿宋_GB2312" w:eastAsia="仿宋_GB2312" w:cs="仿宋_GB2312"/>
          <w:color w:val="000000"/>
          <w:kern w:val="0"/>
          <w:sz w:val="28"/>
          <w:szCs w:val="28"/>
        </w:rPr>
      </w:pPr>
      <w:r>
        <w:rPr>
          <w:rFonts w:hint="eastAsia"/>
        </w:rPr>
        <w:t>不涉及</w:t>
      </w:r>
    </w:p>
    <w:p w14:paraId="3D1F9162">
      <w:pPr>
        <w:pStyle w:val="3"/>
        <w:rPr>
          <w:rFonts w:hint="eastAsia"/>
        </w:rPr>
      </w:pPr>
      <w:r>
        <w:rPr>
          <w:rFonts w:hint="eastAsia"/>
        </w:rPr>
        <w:t>商业密码应用需求</w:t>
      </w:r>
    </w:p>
    <w:p w14:paraId="782BC26E">
      <w:pPr>
        <w:rPr>
          <w:rFonts w:hint="eastAsia"/>
        </w:rPr>
      </w:pPr>
      <w:r>
        <w:rPr>
          <w:rFonts w:hint="eastAsia"/>
        </w:rPr>
        <w:t>本项目为硬件采购项目，无密码测评要求</w:t>
      </w:r>
    </w:p>
    <w:p w14:paraId="04E00383">
      <w:pPr>
        <w:pStyle w:val="3"/>
        <w:rPr>
          <w:rFonts w:hint="eastAsia"/>
        </w:rPr>
      </w:pPr>
      <w:bookmarkStart w:id="34" w:name="_Toc63785512"/>
      <w:r>
        <w:rPr>
          <w:rFonts w:hint="eastAsia"/>
        </w:rPr>
        <w:t>技术文件要求</w:t>
      </w:r>
    </w:p>
    <w:p w14:paraId="20F36AB8">
      <w:pPr>
        <w:rPr>
          <w:rFonts w:hint="eastAsia"/>
        </w:rPr>
      </w:pPr>
      <w:r>
        <w:rPr>
          <w:rFonts w:hint="eastAsia"/>
          <w:lang w:eastAsia="zh-CN"/>
        </w:rPr>
        <w:t>供应商</w:t>
      </w:r>
      <w:r>
        <w:rPr>
          <w:rFonts w:hint="eastAsia"/>
        </w:rPr>
        <w:t>提供的书面技术资料应能确保系统正常运行所需的管理、运营及维护有关的全套文件。技术文件应该全面、完整、详细。</w:t>
      </w:r>
      <w:r>
        <w:rPr>
          <w:rFonts w:hint="eastAsia"/>
          <w:lang w:eastAsia="zh-CN"/>
        </w:rPr>
        <w:t>供应商</w:t>
      </w:r>
      <w:r>
        <w:rPr>
          <w:rFonts w:hint="eastAsia"/>
        </w:rPr>
        <w:t>提供的技术文件至少应包括：</w:t>
      </w:r>
    </w:p>
    <w:p w14:paraId="3551DC2D">
      <w:pPr>
        <w:rPr>
          <w:rFonts w:hint="eastAsia"/>
        </w:rPr>
      </w:pPr>
      <w:r>
        <w:rPr>
          <w:rFonts w:hint="eastAsia"/>
        </w:rPr>
        <w:t>－</w:t>
      </w:r>
      <w:r>
        <w:t xml:space="preserve"> 系统说明文件； </w:t>
      </w:r>
    </w:p>
    <w:p w14:paraId="20788131">
      <w:pPr>
        <w:rPr>
          <w:rFonts w:hint="eastAsia"/>
        </w:rPr>
      </w:pPr>
      <w:r>
        <w:rPr>
          <w:rFonts w:hint="eastAsia"/>
        </w:rPr>
        <w:t>－</w:t>
      </w:r>
      <w:r>
        <w:t xml:space="preserve"> 技术手册(安装、测试、操作、维护、故障排除等)； </w:t>
      </w:r>
    </w:p>
    <w:p w14:paraId="4A00FC48">
      <w:pPr>
        <w:rPr>
          <w:rFonts w:hint="eastAsia"/>
        </w:rPr>
      </w:pPr>
      <w:r>
        <w:rPr>
          <w:rFonts w:hint="eastAsia"/>
        </w:rPr>
        <w:t>－</w:t>
      </w:r>
      <w:r>
        <w:t xml:space="preserve"> 项目文档，应该包括：</w:t>
      </w:r>
    </w:p>
    <w:p w14:paraId="22DB3AF0">
      <w:pPr>
        <w:ind w:left="360"/>
        <w:rPr>
          <w:rFonts w:hint="eastAsia"/>
        </w:rPr>
      </w:pPr>
      <w:r>
        <w:t>(1)软件需求说明书</w:t>
      </w:r>
    </w:p>
    <w:p w14:paraId="4F70C86D">
      <w:pPr>
        <w:ind w:left="360"/>
        <w:rPr>
          <w:rFonts w:hint="eastAsia"/>
        </w:rPr>
      </w:pPr>
      <w:r>
        <w:t>(2)</w:t>
      </w:r>
      <w:r>
        <w:tab/>
      </w:r>
      <w:r>
        <w:t>系统总体设计说明书</w:t>
      </w:r>
    </w:p>
    <w:p w14:paraId="34C5E320">
      <w:pPr>
        <w:ind w:left="360"/>
        <w:rPr>
          <w:rFonts w:hint="eastAsia"/>
        </w:rPr>
      </w:pPr>
      <w:r>
        <w:t>(3)</w:t>
      </w:r>
      <w:r>
        <w:tab/>
      </w:r>
      <w:r>
        <w:t>应用软件功能清单</w:t>
      </w:r>
    </w:p>
    <w:p w14:paraId="26A72130">
      <w:pPr>
        <w:rPr>
          <w:rFonts w:hint="eastAsia"/>
        </w:rPr>
      </w:pPr>
      <w:r>
        <w:rPr>
          <w:rFonts w:hint="eastAsia"/>
        </w:rPr>
        <w:t>提供全套技术文件纸介质</w:t>
      </w:r>
      <w:r>
        <w:t>3套以及电子文件1套。</w:t>
      </w:r>
    </w:p>
    <w:p w14:paraId="74B0EAC0">
      <w:pPr>
        <w:pStyle w:val="2"/>
        <w:rPr>
          <w:rFonts w:hint="eastAsia"/>
        </w:rPr>
      </w:pPr>
      <w:r>
        <w:rPr>
          <w:rFonts w:hint="eastAsia"/>
        </w:rPr>
        <w:t>供应商资质要求</w:t>
      </w:r>
    </w:p>
    <w:p w14:paraId="79191F53">
      <w:pPr>
        <w:rPr>
          <w:rFonts w:hint="eastAsia"/>
        </w:rPr>
      </w:pPr>
      <w:r>
        <w:rPr>
          <w:rFonts w:hint="eastAsia"/>
        </w:rPr>
        <w:t>供应商应当具有类似项目建设经验，具有IOS 27001信息安全管理体系认证证书、IOS 20000信息技术服务管理体系认证证书、IOS 9001质量管理体系认证证书、ISO14001环境管理体系认证证书、ISO45001职业健康安全管理体系认证证书，具备ITSS信息技术服务运维维护类二级及以上证书、信息系统建设和服务能力等级CS3级及以上证书的优先。</w:t>
      </w:r>
    </w:p>
    <w:p w14:paraId="3BA033AC">
      <w:pPr>
        <w:pStyle w:val="2"/>
        <w:rPr>
          <w:rFonts w:hint="eastAsia"/>
        </w:rPr>
      </w:pPr>
      <w:r>
        <w:rPr>
          <w:rFonts w:hint="eastAsia"/>
        </w:rPr>
        <w:t>供应商管理要求</w:t>
      </w:r>
      <w:bookmarkEnd w:id="34"/>
    </w:p>
    <w:p w14:paraId="1FBA4D9D">
      <w:pPr>
        <w:pStyle w:val="80"/>
        <w:ind w:firstLine="480"/>
        <w:rPr>
          <w:rFonts w:hint="eastAsia"/>
          <w:sz w:val="24"/>
          <w:szCs w:val="24"/>
        </w:rPr>
      </w:pPr>
      <w:r>
        <w:rPr>
          <w:rFonts w:hint="eastAsia"/>
          <w:sz w:val="24"/>
          <w:szCs w:val="24"/>
        </w:rPr>
        <w:t>1、在项目实施期间，</w:t>
      </w:r>
      <w:r>
        <w:rPr>
          <w:rFonts w:hint="eastAsia"/>
          <w:sz w:val="24"/>
          <w:szCs w:val="24"/>
          <w:lang w:eastAsia="zh-CN"/>
        </w:rPr>
        <w:t>成交供应商</w:t>
      </w:r>
      <w:r>
        <w:rPr>
          <w:rFonts w:hint="eastAsia"/>
          <w:sz w:val="24"/>
          <w:szCs w:val="24"/>
        </w:rPr>
        <w:t>应严格执行国家、地方、行业有关本项目业务管理和安全作业的法律、法规和制度并按规定承担相应的费用。</w:t>
      </w:r>
      <w:r>
        <w:rPr>
          <w:rFonts w:hint="eastAsia"/>
          <w:sz w:val="24"/>
          <w:szCs w:val="24"/>
          <w:lang w:eastAsia="zh-CN"/>
        </w:rPr>
        <w:t>成交供应商</w:t>
      </w:r>
      <w:r>
        <w:rPr>
          <w:rFonts w:hint="eastAsia"/>
          <w:sz w:val="24"/>
          <w:szCs w:val="24"/>
        </w:rPr>
        <w:t>因违反规定等原因造成的一切损失和责任由</w:t>
      </w:r>
      <w:r>
        <w:rPr>
          <w:rFonts w:hint="eastAsia"/>
          <w:sz w:val="24"/>
          <w:szCs w:val="24"/>
          <w:lang w:eastAsia="zh-CN"/>
        </w:rPr>
        <w:t>成交供应商</w:t>
      </w:r>
      <w:r>
        <w:rPr>
          <w:rFonts w:hint="eastAsia"/>
          <w:sz w:val="24"/>
          <w:szCs w:val="24"/>
        </w:rPr>
        <w:t>自行承担。</w:t>
      </w:r>
    </w:p>
    <w:p w14:paraId="494032FC">
      <w:pPr>
        <w:pStyle w:val="80"/>
        <w:ind w:firstLine="480"/>
        <w:rPr>
          <w:rFonts w:hint="eastAsia"/>
          <w:sz w:val="24"/>
          <w:szCs w:val="24"/>
        </w:rPr>
      </w:pPr>
      <w:r>
        <w:rPr>
          <w:rFonts w:hint="eastAsia"/>
          <w:sz w:val="24"/>
          <w:szCs w:val="24"/>
        </w:rPr>
        <w:t>2、</w:t>
      </w:r>
      <w:r>
        <w:rPr>
          <w:rFonts w:hint="eastAsia"/>
          <w:sz w:val="24"/>
          <w:szCs w:val="24"/>
          <w:lang w:eastAsia="zh-CN"/>
        </w:rPr>
        <w:t>成交供应商</w:t>
      </w:r>
      <w:r>
        <w:rPr>
          <w:rFonts w:hint="eastAsia"/>
          <w:sz w:val="24"/>
          <w:szCs w:val="24"/>
        </w:rPr>
        <w:t>在</w:t>
      </w:r>
      <w:r>
        <w:rPr>
          <w:rFonts w:hint="eastAsia"/>
          <w:sz w:val="24"/>
          <w:szCs w:val="24"/>
          <w:lang w:eastAsia="zh-CN"/>
        </w:rPr>
        <w:t>响应文件</w:t>
      </w:r>
      <w:r>
        <w:rPr>
          <w:rFonts w:hint="eastAsia"/>
          <w:sz w:val="24"/>
          <w:szCs w:val="24"/>
        </w:rPr>
        <w:t>中承诺并经</w:t>
      </w:r>
      <w:r>
        <w:rPr>
          <w:rFonts w:hint="eastAsia"/>
          <w:sz w:val="24"/>
          <w:szCs w:val="24"/>
          <w:lang w:eastAsia="zh-CN"/>
        </w:rPr>
        <w:t>采购</w:t>
      </w:r>
      <w:r>
        <w:rPr>
          <w:rFonts w:hint="eastAsia"/>
          <w:sz w:val="24"/>
          <w:szCs w:val="24"/>
        </w:rPr>
        <w:t>人认定的项目负责人及专业技术人员必须是本单位职工（在本单位缴纳社会保障金）和该项目实施现场的实际操作者，应具有类似本项目的实施经验，并应在软件应用调研、安装、试运行等期间常驻项目现场。未经采购人同意，</w:t>
      </w:r>
      <w:r>
        <w:rPr>
          <w:rFonts w:hint="eastAsia"/>
          <w:sz w:val="24"/>
          <w:szCs w:val="24"/>
          <w:lang w:eastAsia="zh-CN"/>
        </w:rPr>
        <w:t>成交供应商</w:t>
      </w:r>
      <w:r>
        <w:rPr>
          <w:rFonts w:hint="eastAsia"/>
          <w:sz w:val="24"/>
          <w:szCs w:val="24"/>
        </w:rPr>
        <w:t>不得调换或撤离上述人员。如采购人认为有必要，可要求</w:t>
      </w:r>
      <w:r>
        <w:rPr>
          <w:rFonts w:hint="eastAsia"/>
          <w:sz w:val="24"/>
          <w:szCs w:val="24"/>
          <w:lang w:eastAsia="zh-CN"/>
        </w:rPr>
        <w:t>成交供应商</w:t>
      </w:r>
      <w:r>
        <w:rPr>
          <w:rFonts w:hint="eastAsia"/>
          <w:sz w:val="24"/>
          <w:szCs w:val="24"/>
        </w:rPr>
        <w:t>对上述人员中的部分人员作出更好的调整。</w:t>
      </w:r>
    </w:p>
    <w:p w14:paraId="3EF0DB2B">
      <w:pPr>
        <w:pStyle w:val="80"/>
        <w:ind w:firstLine="480"/>
        <w:rPr>
          <w:rFonts w:hint="eastAsia"/>
          <w:sz w:val="24"/>
          <w:szCs w:val="24"/>
        </w:rPr>
      </w:pPr>
      <w:r>
        <w:rPr>
          <w:rFonts w:hint="eastAsia"/>
          <w:sz w:val="24"/>
          <w:szCs w:val="24"/>
        </w:rPr>
        <w:t>3、</w:t>
      </w:r>
      <w:r>
        <w:rPr>
          <w:rFonts w:hint="eastAsia"/>
          <w:sz w:val="24"/>
          <w:szCs w:val="24"/>
          <w:lang w:eastAsia="zh-CN"/>
        </w:rPr>
        <w:t>成交供应商</w:t>
      </w:r>
      <w:r>
        <w:rPr>
          <w:rFonts w:hint="eastAsia"/>
          <w:sz w:val="24"/>
          <w:szCs w:val="24"/>
        </w:rPr>
        <w:t>在项目实施期间，应按项目实际进度与环节落实所对应项目整体及各环节管理工作，按照规范做好项目实施期间相关管理与实施记录。</w:t>
      </w:r>
    </w:p>
    <w:p w14:paraId="3914D07F">
      <w:pPr>
        <w:pStyle w:val="80"/>
        <w:ind w:firstLine="480"/>
        <w:rPr>
          <w:rFonts w:hint="eastAsia"/>
          <w:sz w:val="24"/>
          <w:szCs w:val="24"/>
        </w:rPr>
      </w:pPr>
      <w:r>
        <w:rPr>
          <w:rFonts w:hint="eastAsia"/>
          <w:sz w:val="24"/>
          <w:szCs w:val="24"/>
        </w:rPr>
        <w:t>4、参与本项目的工作人员应严格遵循采购人的安全制度，保障采购人资料和设备的安全。</w:t>
      </w:r>
      <w:r>
        <w:rPr>
          <w:rFonts w:hint="eastAsia"/>
          <w:sz w:val="24"/>
          <w:szCs w:val="24"/>
          <w:lang w:eastAsia="zh-CN"/>
        </w:rPr>
        <w:t>成交供应商</w:t>
      </w:r>
      <w:r>
        <w:rPr>
          <w:rFonts w:hint="eastAsia"/>
          <w:sz w:val="24"/>
          <w:szCs w:val="24"/>
        </w:rPr>
        <w:t>如需进入采购人机房工作，只能在采购人规定的工作区域内对项目涉及的设备进行操作，严禁触动与项目无关的任何设备（包括任何操作行为），如需跨区操作必须得到采购人项目联系人确认。</w:t>
      </w:r>
    </w:p>
    <w:p w14:paraId="6E8F63BD">
      <w:pPr>
        <w:pStyle w:val="80"/>
        <w:ind w:firstLine="480"/>
        <w:rPr>
          <w:rFonts w:hint="eastAsia"/>
          <w:sz w:val="24"/>
          <w:szCs w:val="24"/>
        </w:rPr>
      </w:pPr>
      <w:r>
        <w:rPr>
          <w:rFonts w:hint="eastAsia"/>
          <w:sz w:val="24"/>
          <w:szCs w:val="24"/>
        </w:rPr>
        <w:t>5、</w:t>
      </w:r>
      <w:r>
        <w:rPr>
          <w:rFonts w:hint="eastAsia"/>
          <w:sz w:val="24"/>
          <w:szCs w:val="24"/>
          <w:lang w:eastAsia="zh-CN"/>
        </w:rPr>
        <w:t>成交供应商</w:t>
      </w:r>
      <w:r>
        <w:rPr>
          <w:rFonts w:hint="eastAsia"/>
          <w:sz w:val="24"/>
          <w:szCs w:val="24"/>
        </w:rPr>
        <w:t>在项目实施期间必须遵守采购人的规章制度并提供实施人员名单。</w:t>
      </w:r>
    </w:p>
    <w:p w14:paraId="0DF22E11">
      <w:pPr>
        <w:pStyle w:val="80"/>
        <w:ind w:firstLine="480"/>
        <w:rPr>
          <w:rFonts w:hint="eastAsia"/>
          <w:sz w:val="24"/>
          <w:szCs w:val="24"/>
        </w:rPr>
      </w:pPr>
      <w:r>
        <w:rPr>
          <w:rFonts w:hint="eastAsia"/>
          <w:sz w:val="24"/>
          <w:szCs w:val="24"/>
        </w:rPr>
        <w:t>6、各</w:t>
      </w:r>
      <w:r>
        <w:rPr>
          <w:rFonts w:hint="eastAsia"/>
          <w:sz w:val="24"/>
          <w:szCs w:val="24"/>
          <w:lang w:eastAsia="zh-CN"/>
        </w:rPr>
        <w:t>供应商</w:t>
      </w:r>
      <w:r>
        <w:rPr>
          <w:rFonts w:hint="eastAsia"/>
          <w:sz w:val="24"/>
          <w:szCs w:val="24"/>
        </w:rPr>
        <w:t>在</w:t>
      </w:r>
      <w:r>
        <w:rPr>
          <w:rFonts w:hint="eastAsia"/>
          <w:sz w:val="24"/>
          <w:szCs w:val="24"/>
          <w:lang w:eastAsia="zh-CN"/>
        </w:rPr>
        <w:t>响应文件</w:t>
      </w:r>
      <w:r>
        <w:rPr>
          <w:rFonts w:hint="eastAsia"/>
          <w:sz w:val="24"/>
          <w:szCs w:val="24"/>
        </w:rPr>
        <w:t>中要结合本项目的特点和采购人上述的具体要求制定相应的管理措施，并在报价中列支相应的费用清单，</w:t>
      </w:r>
      <w:r>
        <w:rPr>
          <w:rFonts w:hint="eastAsia"/>
          <w:sz w:val="24"/>
          <w:szCs w:val="24"/>
          <w:lang w:eastAsia="zh-CN"/>
        </w:rPr>
        <w:t>供应商</w:t>
      </w:r>
      <w:r>
        <w:rPr>
          <w:rFonts w:hint="eastAsia"/>
          <w:sz w:val="24"/>
          <w:szCs w:val="24"/>
        </w:rPr>
        <w:t>报价中未列支上述费用清单的，上述费用视为已包含在</w:t>
      </w:r>
      <w:r>
        <w:rPr>
          <w:rFonts w:hint="eastAsia"/>
          <w:sz w:val="24"/>
          <w:szCs w:val="24"/>
          <w:lang w:eastAsia="zh-CN"/>
        </w:rPr>
        <w:t>供应商</w:t>
      </w:r>
      <w:r>
        <w:rPr>
          <w:rFonts w:hint="eastAsia"/>
          <w:sz w:val="24"/>
          <w:szCs w:val="24"/>
        </w:rPr>
        <w:t>的总报价中。</w:t>
      </w:r>
    </w:p>
    <w:p w14:paraId="1EDE04F0">
      <w:pPr>
        <w:pStyle w:val="80"/>
        <w:ind w:firstLine="480"/>
        <w:rPr>
          <w:rFonts w:hint="eastAsia"/>
        </w:rPr>
      </w:pPr>
      <w:r>
        <w:rPr>
          <w:rFonts w:hint="eastAsia"/>
          <w:sz w:val="24"/>
          <w:szCs w:val="24"/>
        </w:rPr>
        <w:t>7、本项目软件开发及调试将纳入采购人的管理范围，</w:t>
      </w:r>
      <w:r>
        <w:rPr>
          <w:rFonts w:hint="eastAsia"/>
          <w:sz w:val="24"/>
          <w:szCs w:val="24"/>
          <w:lang w:eastAsia="zh-CN"/>
        </w:rPr>
        <w:t>成交供应商</w:t>
      </w:r>
      <w:r>
        <w:rPr>
          <w:rFonts w:hint="eastAsia"/>
          <w:sz w:val="24"/>
          <w:szCs w:val="24"/>
        </w:rPr>
        <w:t>在此过程中须服从上述单位的管理协调。</w:t>
      </w:r>
    </w:p>
    <w:p w14:paraId="5B2C19B0">
      <w:pPr>
        <w:pStyle w:val="2"/>
        <w:rPr>
          <w:rFonts w:hint="eastAsia"/>
        </w:rPr>
      </w:pPr>
      <w:bookmarkStart w:id="35" w:name="_Toc63785513"/>
      <w:r>
        <w:rPr>
          <w:rFonts w:hint="eastAsia"/>
        </w:rPr>
        <w:t>关于转让和分包的规定</w:t>
      </w:r>
    </w:p>
    <w:p w14:paraId="013E5587">
      <w:pPr>
        <w:pStyle w:val="80"/>
        <w:ind w:firstLine="480"/>
        <w:rPr>
          <w:rFonts w:hint="eastAsia"/>
          <w:sz w:val="24"/>
          <w:szCs w:val="24"/>
        </w:rPr>
      </w:pPr>
      <w:r>
        <w:rPr>
          <w:rFonts w:hint="eastAsia"/>
          <w:sz w:val="24"/>
          <w:szCs w:val="24"/>
        </w:rPr>
        <w:t>本项目，不得转让不得分包。</w:t>
      </w:r>
    </w:p>
    <w:p w14:paraId="43F1A96B">
      <w:pPr>
        <w:pStyle w:val="2"/>
        <w:rPr>
          <w:rFonts w:hint="eastAsia"/>
        </w:rPr>
      </w:pPr>
      <w:r>
        <w:rPr>
          <w:rFonts w:hint="eastAsia"/>
        </w:rPr>
        <w:t>知识产权及保密要求</w:t>
      </w:r>
      <w:bookmarkEnd w:id="35"/>
    </w:p>
    <w:p w14:paraId="1702C7DC">
      <w:pPr>
        <w:ind w:firstLine="482"/>
        <w:rPr>
          <w:rFonts w:hint="eastAsia"/>
          <w:b/>
        </w:rPr>
      </w:pPr>
      <w:r>
        <w:rPr>
          <w:b/>
        </w:rPr>
        <w:t>1、</w:t>
      </w:r>
      <w:r>
        <w:rPr>
          <w:rFonts w:hint="eastAsia"/>
          <w:b/>
          <w:lang w:eastAsia="zh-CN"/>
        </w:rPr>
        <w:t>成交供应商</w:t>
      </w:r>
      <w:r>
        <w:rPr>
          <w:b/>
        </w:rPr>
        <w:t>数据、文件、资料知识产权</w:t>
      </w:r>
    </w:p>
    <w:p w14:paraId="60BA053B">
      <w:pPr>
        <w:rPr>
          <w:rFonts w:hint="eastAsia"/>
        </w:rPr>
      </w:pPr>
      <w:r>
        <w:rPr>
          <w:rFonts w:hint="eastAsia"/>
          <w:lang w:eastAsia="zh-CN"/>
        </w:rPr>
        <w:t>成交供应商</w:t>
      </w:r>
      <w:r>
        <w:rPr>
          <w:rFonts w:hint="eastAsia"/>
        </w:rPr>
        <w:t>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w:t>
      </w:r>
      <w:r>
        <w:rPr>
          <w:rFonts w:hint="eastAsia"/>
          <w:lang w:eastAsia="zh-CN"/>
        </w:rPr>
        <w:t>成交供应商</w:t>
      </w:r>
      <w:r>
        <w:rPr>
          <w:rFonts w:hint="eastAsia"/>
        </w:rPr>
        <w:t>应负责与第三方解决纠纷，若因此导致采购人损失的，采购人有权要求</w:t>
      </w:r>
      <w:r>
        <w:rPr>
          <w:rFonts w:hint="eastAsia"/>
          <w:lang w:eastAsia="zh-CN"/>
        </w:rPr>
        <w:t>成交供应商</w:t>
      </w:r>
      <w:r>
        <w:rPr>
          <w:rFonts w:hint="eastAsia"/>
        </w:rPr>
        <w:t>赔偿采购人因此遭受的全部损失，包括但不限于直接损失、间接损失、诉讼费／仲裁费、律师费、公证费、鉴定费等。</w:t>
      </w:r>
    </w:p>
    <w:p w14:paraId="5B679F1E">
      <w:pPr>
        <w:rPr>
          <w:rFonts w:hint="eastAsia"/>
        </w:rPr>
      </w:pPr>
      <w:r>
        <w:rPr>
          <w:rFonts w:hint="eastAsia"/>
          <w:lang w:eastAsia="zh-CN"/>
        </w:rPr>
        <w:t>成交供应商</w:t>
      </w:r>
      <w:r>
        <w:rPr>
          <w:rFonts w:hint="eastAsia"/>
        </w:rPr>
        <w:t>因履行本项目而产生的所有成果的知识产权等权利均归采购人所有，</w:t>
      </w:r>
      <w:r>
        <w:rPr>
          <w:rFonts w:hint="eastAsia"/>
          <w:lang w:eastAsia="zh-CN"/>
        </w:rPr>
        <w:t>成交供应商</w:t>
      </w:r>
      <w:r>
        <w:rPr>
          <w:rFonts w:hint="eastAsia"/>
        </w:rPr>
        <w:t>应配合采购人进行相关权利登记或申请。未经采购人书面同意，</w:t>
      </w:r>
      <w:r>
        <w:rPr>
          <w:rFonts w:hint="eastAsia"/>
          <w:lang w:eastAsia="zh-CN"/>
        </w:rPr>
        <w:t>成交供应商</w:t>
      </w:r>
      <w:r>
        <w:rPr>
          <w:rFonts w:hint="eastAsia"/>
        </w:rPr>
        <w:t>不得以任何形式使用或许可他人使用本项目成果的相关内容，不得擅自对外公开发表或向任何第三方透露。</w:t>
      </w:r>
    </w:p>
    <w:p w14:paraId="31503750">
      <w:pPr>
        <w:rPr>
          <w:rFonts w:hint="eastAsia"/>
        </w:rPr>
      </w:pPr>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6D66C3BD">
      <w:pPr>
        <w:ind w:firstLine="482"/>
        <w:rPr>
          <w:rFonts w:hint="eastAsia"/>
          <w:b/>
        </w:rPr>
      </w:pPr>
      <w:r>
        <w:rPr>
          <w:b/>
        </w:rPr>
        <w:t>2、项目保密要求</w:t>
      </w:r>
    </w:p>
    <w:p w14:paraId="1A701509">
      <w:pPr>
        <w:rPr>
          <w:rFonts w:hint="eastAsia"/>
        </w:rPr>
      </w:pPr>
      <w:r>
        <w:rPr>
          <w:rFonts w:hint="eastAsia"/>
          <w:lang w:eastAsia="zh-CN"/>
        </w:rPr>
        <w:t>成交供应商</w:t>
      </w:r>
      <w:r>
        <w:rPr>
          <w:rFonts w:hint="eastAsia"/>
        </w:rPr>
        <w:t>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w:t>
      </w:r>
      <w:r>
        <w:rPr>
          <w:rFonts w:hint="eastAsia"/>
          <w:lang w:eastAsia="zh-CN"/>
        </w:rPr>
        <w:t>成交供应商</w:t>
      </w:r>
      <w:r>
        <w:rPr>
          <w:rFonts w:hint="eastAsia"/>
        </w:rPr>
        <w:t>不得对外泄露采购人要求保密的信息，不得用于其他用途，否则</w:t>
      </w:r>
      <w:r>
        <w:rPr>
          <w:rFonts w:hint="eastAsia"/>
          <w:lang w:eastAsia="zh-CN"/>
        </w:rPr>
        <w:t>成交供应商</w:t>
      </w:r>
      <w:r>
        <w:rPr>
          <w:rFonts w:hint="eastAsia"/>
        </w:rPr>
        <w:t>需承担由此引起的法律责任和经济责任，包括但不限于直接损失、间接损失、律师费、诉讼费/仲裁费、调查费、公证费等。</w:t>
      </w:r>
    </w:p>
    <w:p w14:paraId="58E3B8FC">
      <w:pPr>
        <w:rPr>
          <w:rFonts w:hint="eastAsia"/>
        </w:rPr>
      </w:pPr>
      <w:r>
        <w:rPr>
          <w:rFonts w:hint="eastAsia"/>
          <w:lang w:eastAsia="zh-CN"/>
        </w:rPr>
        <w:t>成交供应商</w:t>
      </w:r>
      <w:r>
        <w:rPr>
          <w:rFonts w:hint="eastAsia"/>
        </w:rPr>
        <w:t>应采取必要的有效措施保证其参与本项目的人员（包括</w:t>
      </w:r>
      <w:r>
        <w:rPr>
          <w:rFonts w:hint="eastAsia"/>
          <w:lang w:eastAsia="zh-CN"/>
        </w:rPr>
        <w:t>成交供应商</w:t>
      </w:r>
      <w:r>
        <w:rPr>
          <w:rFonts w:hint="eastAsia"/>
        </w:rPr>
        <w:t>聘用的人员、借调的人员、实习的人员）无论是在职或离职后，以及</w:t>
      </w:r>
      <w:r>
        <w:rPr>
          <w:rFonts w:hint="eastAsia"/>
          <w:lang w:eastAsia="zh-CN"/>
        </w:rPr>
        <w:t>成交供应商</w:t>
      </w:r>
      <w:r>
        <w:rPr>
          <w:rFonts w:hint="eastAsia"/>
        </w:rPr>
        <w:t>的合作方无论是合作中或合作终止后，都能够履行本项目约定的保密义务。若</w:t>
      </w:r>
      <w:r>
        <w:rPr>
          <w:rFonts w:hint="eastAsia"/>
          <w:lang w:eastAsia="zh-CN"/>
        </w:rPr>
        <w:t>成交供应商</w:t>
      </w:r>
      <w:r>
        <w:rPr>
          <w:rFonts w:hint="eastAsia"/>
        </w:rPr>
        <w:t>人员或</w:t>
      </w:r>
      <w:r>
        <w:rPr>
          <w:rFonts w:hint="eastAsia"/>
          <w:lang w:eastAsia="zh-CN"/>
        </w:rPr>
        <w:t>成交供应商</w:t>
      </w:r>
      <w:r>
        <w:rPr>
          <w:rFonts w:hint="eastAsia"/>
        </w:rPr>
        <w:t>合作方违反保密规定，</w:t>
      </w:r>
      <w:r>
        <w:rPr>
          <w:rFonts w:hint="eastAsia"/>
          <w:lang w:eastAsia="zh-CN"/>
        </w:rPr>
        <w:t>成交供应商</w:t>
      </w:r>
      <w:r>
        <w:rPr>
          <w:rFonts w:hint="eastAsia"/>
        </w:rPr>
        <w:t>应承担连带责任。</w:t>
      </w:r>
    </w:p>
    <w:p w14:paraId="333C76A9">
      <w:pPr>
        <w:rPr>
          <w:rFonts w:hint="eastAsia"/>
        </w:rPr>
      </w:pPr>
      <w:r>
        <w:rPr>
          <w:rFonts w:hint="eastAsia"/>
          <w:lang w:eastAsia="zh-CN"/>
        </w:rPr>
        <w:t>成交供应商</w:t>
      </w:r>
      <w:r>
        <w:rPr>
          <w:rFonts w:hint="eastAsia"/>
        </w:rPr>
        <w:t>（含</w:t>
      </w:r>
      <w:r>
        <w:rPr>
          <w:rFonts w:hint="eastAsia"/>
          <w:lang w:eastAsia="zh-CN"/>
        </w:rPr>
        <w:t>成交供应商</w:t>
      </w:r>
      <w:r>
        <w:rPr>
          <w:rFonts w:hint="eastAsia"/>
        </w:rPr>
        <w:t>参与本项目的人员以及其合作方）未经</w:t>
      </w:r>
      <w:r>
        <w:rPr>
          <w:rFonts w:hint="eastAsia"/>
          <w:lang w:eastAsia="zh-CN"/>
        </w:rPr>
        <w:t>采购人</w:t>
      </w:r>
      <w:r>
        <w:rPr>
          <w:rFonts w:hint="eastAsia"/>
        </w:rPr>
        <w:t>书面许可，不得以任何形式自行使用或以任何方式向第三方披露、转让、授权、出售与本项目有关的技术成果、计算机软件、源代码、策划文档、技术诀窍、秘密信息、技术资料和其他文件。</w:t>
      </w:r>
    </w:p>
    <w:p w14:paraId="31A10670">
      <w:pPr>
        <w:rPr>
          <w:rFonts w:hint="eastAsia"/>
        </w:rPr>
      </w:pPr>
      <w:r>
        <w:rPr>
          <w:rFonts w:hint="eastAsia"/>
        </w:rPr>
        <w:t>以上内容的保密期限自</w:t>
      </w:r>
      <w:r>
        <w:rPr>
          <w:rFonts w:hint="eastAsia"/>
          <w:lang w:eastAsia="zh-CN"/>
        </w:rPr>
        <w:t>成交供应商</w:t>
      </w:r>
      <w:r>
        <w:rPr>
          <w:rFonts w:hint="eastAsia"/>
        </w:rPr>
        <w:t>知悉保密信息起始至保密信息被合法公开之日止。</w:t>
      </w:r>
    </w:p>
    <w:p w14:paraId="0980D6C0">
      <w:pPr>
        <w:ind w:firstLine="482"/>
        <w:rPr>
          <w:rFonts w:hint="eastAsia"/>
          <w:b/>
        </w:rPr>
      </w:pPr>
      <w:r>
        <w:rPr>
          <w:b/>
        </w:rPr>
        <w:t>3、临时账号等使用要求</w:t>
      </w:r>
    </w:p>
    <w:p w14:paraId="2EBB31FB">
      <w:pPr>
        <w:rPr>
          <w:rFonts w:hint="eastAsia"/>
        </w:rPr>
      </w:pPr>
      <w:r>
        <w:rPr>
          <w:rFonts w:hint="eastAsia"/>
          <w:lang w:eastAsia="zh-CN"/>
        </w:rPr>
        <w:t>成交供应商</w:t>
      </w:r>
      <w:r>
        <w:rPr>
          <w:rFonts w:hint="eastAsia"/>
        </w:rPr>
        <w:t>对采购人提拱的临时使用账号要保密，不得公开，对组件开发的账号密码需进行加密，避免信息安全的泄露。未经采购人的同意不得利用采购人的网络及平台进行短信、彩信、微信发送</w:t>
      </w:r>
      <w:r>
        <w:t>,造成的一切后果由</w:t>
      </w:r>
      <w:r>
        <w:rPr>
          <w:rFonts w:hint="eastAsia"/>
          <w:lang w:eastAsia="zh-CN"/>
        </w:rPr>
        <w:t>成交供应商</w:t>
      </w:r>
      <w:r>
        <w:t>负责。</w:t>
      </w:r>
    </w:p>
    <w:p w14:paraId="5E7946CB">
      <w:pPr>
        <w:pStyle w:val="2"/>
        <w:rPr>
          <w:rFonts w:hint="eastAsia"/>
        </w:rPr>
      </w:pPr>
      <w:bookmarkStart w:id="36" w:name="_Toc65170093"/>
      <w:r>
        <w:t>项目的变更、解除和终止</w:t>
      </w:r>
    </w:p>
    <w:p w14:paraId="3EA9D75F">
      <w:pPr>
        <w:rPr>
          <w:rFonts w:hint="eastAsia"/>
        </w:rPr>
      </w:pPr>
      <w:r>
        <w:rPr>
          <w:rFonts w:hint="eastAsia"/>
        </w:rPr>
        <w:t>如果</w:t>
      </w:r>
      <w:r>
        <w:rPr>
          <w:rFonts w:hint="eastAsia"/>
          <w:lang w:eastAsia="zh-CN"/>
        </w:rPr>
        <w:t>成交供应商</w:t>
      </w:r>
      <w:r>
        <w:rPr>
          <w:rFonts w:hint="eastAsia"/>
        </w:rPr>
        <w:t>丧失履约能力、发生资不抵债或进入破产程序，采购人可在任何时候以书面形式通知</w:t>
      </w:r>
      <w:r>
        <w:rPr>
          <w:rFonts w:hint="eastAsia"/>
          <w:lang w:eastAsia="zh-CN"/>
        </w:rPr>
        <w:t>成交供应商</w:t>
      </w:r>
      <w:r>
        <w:rPr>
          <w:rFonts w:hint="eastAsia"/>
        </w:rPr>
        <w:t>终止本项目的执行而不给予</w:t>
      </w:r>
      <w:r>
        <w:rPr>
          <w:rFonts w:hint="eastAsia"/>
          <w:lang w:eastAsia="zh-CN"/>
        </w:rPr>
        <w:t>成交供应商</w:t>
      </w:r>
      <w:r>
        <w:rPr>
          <w:rFonts w:hint="eastAsia"/>
        </w:rPr>
        <w:t>补偿。该终止本项目将不损害或影响采购人已经采取或将要采取任何行动或补救措施的权利。</w:t>
      </w:r>
    </w:p>
    <w:p w14:paraId="14B821FE">
      <w:pPr>
        <w:rPr>
          <w:rFonts w:hint="eastAsia"/>
        </w:rPr>
      </w:pPr>
      <w:r>
        <w:rPr>
          <w:rFonts w:hint="eastAsia"/>
        </w:rPr>
        <w:t>如遇国家、行业管理部门等机构的有关标准和规定调整的，导致本项目内容须做相应调整时，双方应按照公平、合理的原则共同协商修改本项目对应的合同的相关条款。</w:t>
      </w:r>
    </w:p>
    <w:p w14:paraId="76FCD5E0">
      <w:pPr>
        <w:pStyle w:val="2"/>
        <w:rPr>
          <w:rFonts w:hint="eastAsia"/>
        </w:rPr>
      </w:pPr>
      <w:r>
        <w:rPr>
          <w:rFonts w:hint="eastAsia"/>
        </w:rPr>
        <w:t>违约责任</w:t>
      </w:r>
      <w:bookmarkEnd w:id="36"/>
    </w:p>
    <w:p w14:paraId="20035888">
      <w:pPr>
        <w:rPr>
          <w:rFonts w:hint="eastAsia"/>
        </w:rPr>
      </w:pPr>
      <w:r>
        <w:t>1、如</w:t>
      </w:r>
      <w:r>
        <w:rPr>
          <w:rFonts w:hint="eastAsia"/>
          <w:lang w:eastAsia="zh-CN"/>
        </w:rPr>
        <w:t>成交供应商</w:t>
      </w:r>
      <w:r>
        <w:t>未按约定的时间或服务标准完成建设工作，采购人可要求</w:t>
      </w:r>
      <w:r>
        <w:rPr>
          <w:rFonts w:hint="eastAsia"/>
          <w:lang w:eastAsia="zh-CN"/>
        </w:rPr>
        <w:t>成交供应商</w:t>
      </w:r>
      <w:r>
        <w:t>在规定的时间内采取补救措施。</w:t>
      </w:r>
      <w:r>
        <w:rPr>
          <w:rFonts w:hint="eastAsia"/>
          <w:lang w:eastAsia="zh-CN"/>
        </w:rPr>
        <w:t>成交供应商</w:t>
      </w:r>
      <w:r>
        <w:t>还应向采购人支付本项目费用总额30%的违约金，违约金不足以弥补采购人损失的，采购人有权要求</w:t>
      </w:r>
      <w:r>
        <w:rPr>
          <w:rFonts w:hint="eastAsia"/>
          <w:lang w:eastAsia="zh-CN"/>
        </w:rPr>
        <w:t>成交供应商</w:t>
      </w:r>
      <w:r>
        <w:t>赔偿超过部分。</w:t>
      </w:r>
    </w:p>
    <w:p w14:paraId="3B682981">
      <w:pPr>
        <w:rPr>
          <w:rFonts w:hint="eastAsia"/>
        </w:rPr>
      </w:pPr>
      <w:r>
        <w:t>2、因</w:t>
      </w:r>
      <w:r>
        <w:rPr>
          <w:rFonts w:hint="eastAsia"/>
          <w:lang w:eastAsia="zh-CN"/>
        </w:rPr>
        <w:t>成交供应商</w:t>
      </w:r>
      <w:r>
        <w:t>违反保密义务或知识产权约定的，采购人有权要求</w:t>
      </w:r>
      <w:r>
        <w:rPr>
          <w:rFonts w:hint="eastAsia"/>
          <w:lang w:eastAsia="zh-CN"/>
        </w:rPr>
        <w:t>成交供应商</w:t>
      </w:r>
      <w:r>
        <w:t>支付本项目费用总额30%的违约金，违约金不足以弥补采购人损失的，采购人有权要求</w:t>
      </w:r>
      <w:r>
        <w:rPr>
          <w:rFonts w:hint="eastAsia"/>
          <w:lang w:eastAsia="zh-CN"/>
        </w:rPr>
        <w:t>成交供应商</w:t>
      </w:r>
      <w:r>
        <w:t>赔偿超过部分。若</w:t>
      </w:r>
      <w:r>
        <w:rPr>
          <w:rFonts w:hint="eastAsia"/>
          <w:lang w:eastAsia="zh-CN"/>
        </w:rPr>
        <w:t>成交供应商</w:t>
      </w:r>
      <w:r>
        <w:t>违反保密义务，采购人还有权立即单方解除合同而不承担任何违约责任。</w:t>
      </w:r>
    </w:p>
    <w:p w14:paraId="260D1A5F">
      <w:pPr>
        <w:rPr>
          <w:rFonts w:hint="eastAsia"/>
        </w:rPr>
      </w:pPr>
      <w:r>
        <w:t>3、</w:t>
      </w:r>
      <w:r>
        <w:rPr>
          <w:rFonts w:hint="eastAsia"/>
          <w:lang w:eastAsia="zh-CN"/>
        </w:rPr>
        <w:t>成交供应商</w:t>
      </w:r>
      <w:r>
        <w:t>有其他违反本项目合同约定的行为，</w:t>
      </w:r>
      <w:r>
        <w:rPr>
          <w:rFonts w:hint="eastAsia"/>
          <w:lang w:eastAsia="zh-CN"/>
        </w:rPr>
        <w:t>成交供应商</w:t>
      </w:r>
      <w:r>
        <w:t>应当支付本项目总价款金额的20%作为违约金，违约金不足以弥补采购人损失的，采购人有权要求</w:t>
      </w:r>
      <w:r>
        <w:rPr>
          <w:rFonts w:hint="eastAsia"/>
          <w:lang w:eastAsia="zh-CN"/>
        </w:rPr>
        <w:t>成交供应商</w:t>
      </w:r>
      <w:r>
        <w:t>赔偿超过部分。</w:t>
      </w:r>
    </w:p>
    <w:p w14:paraId="5FB9868D">
      <w:pPr>
        <w:rPr>
          <w:rFonts w:hint="eastAsia"/>
        </w:rPr>
      </w:pPr>
      <w:r>
        <w:t>4、</w:t>
      </w:r>
      <w:r>
        <w:rPr>
          <w:rFonts w:hint="eastAsia"/>
          <w:lang w:eastAsia="zh-CN"/>
        </w:rPr>
        <w:t>成交供应商</w:t>
      </w:r>
      <w:r>
        <w:t>有下列情形之一，采购人有权解除合同：</w:t>
      </w:r>
    </w:p>
    <w:p w14:paraId="6B6BB978">
      <w:pPr>
        <w:rPr>
          <w:rFonts w:hint="eastAsia"/>
        </w:rPr>
      </w:pPr>
      <w:r>
        <w:rPr>
          <w:rFonts w:hint="eastAsia"/>
        </w:rPr>
        <w:t>（1</w:t>
      </w:r>
      <w:r>
        <w:t>）因</w:t>
      </w:r>
      <w:r>
        <w:rPr>
          <w:rFonts w:hint="eastAsia"/>
          <w:lang w:eastAsia="zh-CN"/>
        </w:rPr>
        <w:t>成交供应商</w:t>
      </w:r>
      <w:r>
        <w:t>服务质量问题导致采购人无法实现目的；</w:t>
      </w:r>
    </w:p>
    <w:p w14:paraId="1EB7202A">
      <w:pPr>
        <w:rPr>
          <w:rFonts w:hint="eastAsia"/>
        </w:rPr>
      </w:pPr>
      <w:r>
        <w:rPr>
          <w:rFonts w:hint="eastAsia"/>
        </w:rPr>
        <w:t>（2</w:t>
      </w:r>
      <w:r>
        <w:t>）擅自转让或者分包其应履行的义务的；</w:t>
      </w:r>
    </w:p>
    <w:p w14:paraId="1DE947D9">
      <w:pPr>
        <w:rPr>
          <w:rFonts w:hint="eastAsia"/>
        </w:rPr>
      </w:pPr>
      <w:r>
        <w:rPr>
          <w:rFonts w:hint="eastAsia"/>
        </w:rPr>
        <w:t>（3</w:t>
      </w:r>
      <w:r>
        <w:t>）违反或者未履行本项目合同约定的其他相关义务，且在采购人要求的合理时间内未能纠正的。</w:t>
      </w:r>
    </w:p>
    <w:p w14:paraId="2F55953D">
      <w:pPr>
        <w:rPr>
          <w:rFonts w:hint="eastAsia"/>
        </w:rPr>
      </w:pPr>
    </w:p>
    <w:p w14:paraId="5BEAE22A">
      <w:pPr>
        <w:ind w:firstLine="482"/>
        <w:rPr>
          <w:rFonts w:hint="eastAsia"/>
          <w:b/>
          <w:bCs/>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time">
    <w:altName w:val="宋体"/>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Microsoft Sans Serif">
    <w:panose1 w:val="020B0604020202020204"/>
    <w:charset w:val="00"/>
    <w:family w:val="swiss"/>
    <w:pitch w:val="default"/>
    <w:sig w:usb0="E5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E737">
    <w:pPr>
      <w:ind w:firstLine="0" w:firstLineChars="0"/>
      <w:jc w:val="center"/>
      <w:rPr>
        <w:rFonts w:hint="eastAsia"/>
      </w:rPr>
    </w:pPr>
    <w:r>
      <w:fldChar w:fldCharType="begin"/>
    </w:r>
    <w:r>
      <w:instrText xml:space="preserve">PAGE   \* MERGEFORMAT</w:instrText>
    </w:r>
    <w:r>
      <w:fldChar w:fldCharType="separate"/>
    </w:r>
    <w:r>
      <w:rPr>
        <w:lang w:val="zh-CN"/>
      </w:rPr>
      <w:t>20</w:t>
    </w:r>
    <w:r>
      <w:rPr>
        <w:lang w:val="zh-CN"/>
      </w:rPr>
      <w:fldChar w:fldCharType="end"/>
    </w:r>
  </w:p>
  <w:p w14:paraId="77771733">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8B788">
    <w:pPr>
      <w:rPr>
        <w:rFonts w:hint="eastAsia"/>
      </w:rPr>
    </w:pPr>
  </w:p>
  <w:p w14:paraId="2015DB56">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FE7D4">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72C8">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7A364C4D">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0379E">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995F6">
    <w:pPr>
      <w:rPr>
        <w:rFonts w:hint="eastAsia"/>
      </w:rPr>
    </w:pPr>
  </w:p>
  <w:p w14:paraId="08AADD9B">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6DC0B">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C0"/>
    <w:rsid w:val="0000005A"/>
    <w:rsid w:val="00000AED"/>
    <w:rsid w:val="00003516"/>
    <w:rsid w:val="0000380E"/>
    <w:rsid w:val="00005AFD"/>
    <w:rsid w:val="00006563"/>
    <w:rsid w:val="000074F1"/>
    <w:rsid w:val="00007A41"/>
    <w:rsid w:val="00007DA7"/>
    <w:rsid w:val="00012EF0"/>
    <w:rsid w:val="000156DE"/>
    <w:rsid w:val="000165AD"/>
    <w:rsid w:val="00016CE6"/>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64D8"/>
    <w:rsid w:val="00046DF3"/>
    <w:rsid w:val="00046ED9"/>
    <w:rsid w:val="00047915"/>
    <w:rsid w:val="00047D06"/>
    <w:rsid w:val="00050FBD"/>
    <w:rsid w:val="0005107A"/>
    <w:rsid w:val="0005192C"/>
    <w:rsid w:val="00052929"/>
    <w:rsid w:val="0005299F"/>
    <w:rsid w:val="00052A7A"/>
    <w:rsid w:val="000541D7"/>
    <w:rsid w:val="000545C0"/>
    <w:rsid w:val="0005586D"/>
    <w:rsid w:val="00056C0E"/>
    <w:rsid w:val="000574A8"/>
    <w:rsid w:val="000574F8"/>
    <w:rsid w:val="00057A49"/>
    <w:rsid w:val="0006231F"/>
    <w:rsid w:val="00062A05"/>
    <w:rsid w:val="00062EE6"/>
    <w:rsid w:val="0006344E"/>
    <w:rsid w:val="000638A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3D16"/>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1918"/>
    <w:rsid w:val="000D225C"/>
    <w:rsid w:val="000D36F2"/>
    <w:rsid w:val="000D4B26"/>
    <w:rsid w:val="000D74DB"/>
    <w:rsid w:val="000E24D6"/>
    <w:rsid w:val="000E6072"/>
    <w:rsid w:val="000E6D61"/>
    <w:rsid w:val="000E7A23"/>
    <w:rsid w:val="000F1C29"/>
    <w:rsid w:val="000F1E9E"/>
    <w:rsid w:val="000F2B10"/>
    <w:rsid w:val="000F3F72"/>
    <w:rsid w:val="00104750"/>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4BB2"/>
    <w:rsid w:val="001352F2"/>
    <w:rsid w:val="00136320"/>
    <w:rsid w:val="00136FFA"/>
    <w:rsid w:val="00137AC6"/>
    <w:rsid w:val="00142655"/>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767"/>
    <w:rsid w:val="001707CB"/>
    <w:rsid w:val="001710CE"/>
    <w:rsid w:val="00171477"/>
    <w:rsid w:val="00172545"/>
    <w:rsid w:val="00172A1A"/>
    <w:rsid w:val="00173251"/>
    <w:rsid w:val="00176BED"/>
    <w:rsid w:val="0017759D"/>
    <w:rsid w:val="001804A5"/>
    <w:rsid w:val="00181C94"/>
    <w:rsid w:val="00182C84"/>
    <w:rsid w:val="00187031"/>
    <w:rsid w:val="00191EA4"/>
    <w:rsid w:val="00192B6C"/>
    <w:rsid w:val="00192C30"/>
    <w:rsid w:val="00193531"/>
    <w:rsid w:val="0019381E"/>
    <w:rsid w:val="00194CF5"/>
    <w:rsid w:val="0019503C"/>
    <w:rsid w:val="00195D94"/>
    <w:rsid w:val="00196F7B"/>
    <w:rsid w:val="001971CB"/>
    <w:rsid w:val="0019795C"/>
    <w:rsid w:val="001A053A"/>
    <w:rsid w:val="001A22A2"/>
    <w:rsid w:val="001A2971"/>
    <w:rsid w:val="001A3D52"/>
    <w:rsid w:val="001A460A"/>
    <w:rsid w:val="001A4A4C"/>
    <w:rsid w:val="001A7760"/>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477B"/>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6C76"/>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3F23"/>
    <w:rsid w:val="002A4FA3"/>
    <w:rsid w:val="002B3606"/>
    <w:rsid w:val="002B3A5F"/>
    <w:rsid w:val="002B3D80"/>
    <w:rsid w:val="002B4402"/>
    <w:rsid w:val="002B4946"/>
    <w:rsid w:val="002B4C41"/>
    <w:rsid w:val="002B588D"/>
    <w:rsid w:val="002C1839"/>
    <w:rsid w:val="002C18A5"/>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37A9"/>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4E18"/>
    <w:rsid w:val="003A674D"/>
    <w:rsid w:val="003A7123"/>
    <w:rsid w:val="003B102E"/>
    <w:rsid w:val="003B2167"/>
    <w:rsid w:val="003B4F6C"/>
    <w:rsid w:val="003B5F5D"/>
    <w:rsid w:val="003B62C8"/>
    <w:rsid w:val="003C0BA0"/>
    <w:rsid w:val="003C0C62"/>
    <w:rsid w:val="003C12DC"/>
    <w:rsid w:val="003C2CDA"/>
    <w:rsid w:val="003D000A"/>
    <w:rsid w:val="003D31E9"/>
    <w:rsid w:val="003D544E"/>
    <w:rsid w:val="003D5980"/>
    <w:rsid w:val="003E0842"/>
    <w:rsid w:val="003E13B0"/>
    <w:rsid w:val="003E2580"/>
    <w:rsid w:val="003E2800"/>
    <w:rsid w:val="003E3DEE"/>
    <w:rsid w:val="003E3EBB"/>
    <w:rsid w:val="003E4A4C"/>
    <w:rsid w:val="003E4CBA"/>
    <w:rsid w:val="003E4D2F"/>
    <w:rsid w:val="003E4EDC"/>
    <w:rsid w:val="003E599D"/>
    <w:rsid w:val="003E5C81"/>
    <w:rsid w:val="003E6965"/>
    <w:rsid w:val="003F00E8"/>
    <w:rsid w:val="003F1936"/>
    <w:rsid w:val="003F1BDD"/>
    <w:rsid w:val="003F1F52"/>
    <w:rsid w:val="003F2800"/>
    <w:rsid w:val="003F3BA3"/>
    <w:rsid w:val="003F3BD5"/>
    <w:rsid w:val="003F400E"/>
    <w:rsid w:val="003F6F35"/>
    <w:rsid w:val="003F7768"/>
    <w:rsid w:val="00400E8C"/>
    <w:rsid w:val="004017DC"/>
    <w:rsid w:val="00401B53"/>
    <w:rsid w:val="00402668"/>
    <w:rsid w:val="004032CE"/>
    <w:rsid w:val="00404FEC"/>
    <w:rsid w:val="0040534D"/>
    <w:rsid w:val="00405FAD"/>
    <w:rsid w:val="00407DBC"/>
    <w:rsid w:val="004117AB"/>
    <w:rsid w:val="00412B2F"/>
    <w:rsid w:val="00415281"/>
    <w:rsid w:val="00415716"/>
    <w:rsid w:val="0041604D"/>
    <w:rsid w:val="00417842"/>
    <w:rsid w:val="00417A6E"/>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23BE"/>
    <w:rsid w:val="00456784"/>
    <w:rsid w:val="00456DCA"/>
    <w:rsid w:val="00461140"/>
    <w:rsid w:val="004611DB"/>
    <w:rsid w:val="004658B0"/>
    <w:rsid w:val="0046614B"/>
    <w:rsid w:val="00467FD7"/>
    <w:rsid w:val="00470073"/>
    <w:rsid w:val="004730F8"/>
    <w:rsid w:val="00474353"/>
    <w:rsid w:val="00474555"/>
    <w:rsid w:val="004750F4"/>
    <w:rsid w:val="00475A48"/>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24E"/>
    <w:rsid w:val="004A5F2C"/>
    <w:rsid w:val="004A6E4F"/>
    <w:rsid w:val="004A720D"/>
    <w:rsid w:val="004B00D0"/>
    <w:rsid w:val="004B6084"/>
    <w:rsid w:val="004B7AE0"/>
    <w:rsid w:val="004C06D8"/>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1979"/>
    <w:rsid w:val="004F2124"/>
    <w:rsid w:val="004F271B"/>
    <w:rsid w:val="004F3A52"/>
    <w:rsid w:val="004F449F"/>
    <w:rsid w:val="004F4E7E"/>
    <w:rsid w:val="004F63AB"/>
    <w:rsid w:val="004F6B76"/>
    <w:rsid w:val="004F6C7C"/>
    <w:rsid w:val="004F7F1A"/>
    <w:rsid w:val="004F7FBB"/>
    <w:rsid w:val="005042B3"/>
    <w:rsid w:val="005045AB"/>
    <w:rsid w:val="0050656A"/>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3178"/>
    <w:rsid w:val="005559FE"/>
    <w:rsid w:val="005560D6"/>
    <w:rsid w:val="00556D07"/>
    <w:rsid w:val="005611F2"/>
    <w:rsid w:val="00561734"/>
    <w:rsid w:val="00561952"/>
    <w:rsid w:val="00564B9A"/>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43AA"/>
    <w:rsid w:val="005B61DD"/>
    <w:rsid w:val="005B6735"/>
    <w:rsid w:val="005B7831"/>
    <w:rsid w:val="005C0CAC"/>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5F6EF1"/>
    <w:rsid w:val="00602C10"/>
    <w:rsid w:val="00602EBD"/>
    <w:rsid w:val="006048F0"/>
    <w:rsid w:val="00604CF2"/>
    <w:rsid w:val="0060541C"/>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0D44"/>
    <w:rsid w:val="00621EB4"/>
    <w:rsid w:val="00622F8E"/>
    <w:rsid w:val="00626AC8"/>
    <w:rsid w:val="00627912"/>
    <w:rsid w:val="0063195F"/>
    <w:rsid w:val="00636C0A"/>
    <w:rsid w:val="00637EC6"/>
    <w:rsid w:val="00641780"/>
    <w:rsid w:val="006420D5"/>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576EC"/>
    <w:rsid w:val="00660BB9"/>
    <w:rsid w:val="0066109F"/>
    <w:rsid w:val="00664B26"/>
    <w:rsid w:val="0066596B"/>
    <w:rsid w:val="00670295"/>
    <w:rsid w:val="006704F5"/>
    <w:rsid w:val="00670D07"/>
    <w:rsid w:val="0067218D"/>
    <w:rsid w:val="00672894"/>
    <w:rsid w:val="00674B47"/>
    <w:rsid w:val="0067609E"/>
    <w:rsid w:val="00677749"/>
    <w:rsid w:val="00680E07"/>
    <w:rsid w:val="00682B9D"/>
    <w:rsid w:val="00683806"/>
    <w:rsid w:val="00685055"/>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5A9B"/>
    <w:rsid w:val="006B60AA"/>
    <w:rsid w:val="006B62B2"/>
    <w:rsid w:val="006B7626"/>
    <w:rsid w:val="006C1C57"/>
    <w:rsid w:val="006C5760"/>
    <w:rsid w:val="006C6D6F"/>
    <w:rsid w:val="006D0D78"/>
    <w:rsid w:val="006D1128"/>
    <w:rsid w:val="006D2848"/>
    <w:rsid w:val="006D30E0"/>
    <w:rsid w:val="006D4611"/>
    <w:rsid w:val="006D5521"/>
    <w:rsid w:val="006D5FE9"/>
    <w:rsid w:val="006D6CBB"/>
    <w:rsid w:val="006D76A9"/>
    <w:rsid w:val="006D77F4"/>
    <w:rsid w:val="006E0898"/>
    <w:rsid w:val="006E41CD"/>
    <w:rsid w:val="006F1F57"/>
    <w:rsid w:val="006F366E"/>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60338"/>
    <w:rsid w:val="00760451"/>
    <w:rsid w:val="0077182A"/>
    <w:rsid w:val="00771913"/>
    <w:rsid w:val="00772718"/>
    <w:rsid w:val="00772A3C"/>
    <w:rsid w:val="00775BCF"/>
    <w:rsid w:val="007818AA"/>
    <w:rsid w:val="00783140"/>
    <w:rsid w:val="007838B6"/>
    <w:rsid w:val="00783E77"/>
    <w:rsid w:val="00784E8F"/>
    <w:rsid w:val="007906F1"/>
    <w:rsid w:val="0079187C"/>
    <w:rsid w:val="0079243D"/>
    <w:rsid w:val="00794A9B"/>
    <w:rsid w:val="0079583B"/>
    <w:rsid w:val="00796602"/>
    <w:rsid w:val="00797185"/>
    <w:rsid w:val="007976B7"/>
    <w:rsid w:val="00797A7E"/>
    <w:rsid w:val="00797ABC"/>
    <w:rsid w:val="00797D6F"/>
    <w:rsid w:val="007B014B"/>
    <w:rsid w:val="007B0D88"/>
    <w:rsid w:val="007B306F"/>
    <w:rsid w:val="007B4714"/>
    <w:rsid w:val="007B4E82"/>
    <w:rsid w:val="007C02C0"/>
    <w:rsid w:val="007C1996"/>
    <w:rsid w:val="007C3773"/>
    <w:rsid w:val="007C3F1F"/>
    <w:rsid w:val="007D2D0D"/>
    <w:rsid w:val="007D3325"/>
    <w:rsid w:val="007D3818"/>
    <w:rsid w:val="007D6DC5"/>
    <w:rsid w:val="007D7425"/>
    <w:rsid w:val="007E320E"/>
    <w:rsid w:val="007E3280"/>
    <w:rsid w:val="007E3D35"/>
    <w:rsid w:val="007E4A02"/>
    <w:rsid w:val="007E595C"/>
    <w:rsid w:val="007E59A5"/>
    <w:rsid w:val="007F3B8C"/>
    <w:rsid w:val="007F41D0"/>
    <w:rsid w:val="007F4B8B"/>
    <w:rsid w:val="007F5957"/>
    <w:rsid w:val="007F70B6"/>
    <w:rsid w:val="007F74CA"/>
    <w:rsid w:val="00800F1E"/>
    <w:rsid w:val="0080195A"/>
    <w:rsid w:val="0080239C"/>
    <w:rsid w:val="00802841"/>
    <w:rsid w:val="00803007"/>
    <w:rsid w:val="008037D5"/>
    <w:rsid w:val="00805447"/>
    <w:rsid w:val="008054FA"/>
    <w:rsid w:val="0080717A"/>
    <w:rsid w:val="00807DFA"/>
    <w:rsid w:val="0081009F"/>
    <w:rsid w:val="00810152"/>
    <w:rsid w:val="008115AB"/>
    <w:rsid w:val="00812D2C"/>
    <w:rsid w:val="008159F4"/>
    <w:rsid w:val="008167C1"/>
    <w:rsid w:val="008167C6"/>
    <w:rsid w:val="00816B8F"/>
    <w:rsid w:val="00817845"/>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4527"/>
    <w:rsid w:val="0084558B"/>
    <w:rsid w:val="0084654A"/>
    <w:rsid w:val="00847654"/>
    <w:rsid w:val="00851064"/>
    <w:rsid w:val="00852F7F"/>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30"/>
    <w:rsid w:val="00885F7A"/>
    <w:rsid w:val="00886B07"/>
    <w:rsid w:val="00890712"/>
    <w:rsid w:val="00890D81"/>
    <w:rsid w:val="00892955"/>
    <w:rsid w:val="00893628"/>
    <w:rsid w:val="008941EB"/>
    <w:rsid w:val="0089545A"/>
    <w:rsid w:val="00895A02"/>
    <w:rsid w:val="008A01EE"/>
    <w:rsid w:val="008A0DAC"/>
    <w:rsid w:val="008A3B78"/>
    <w:rsid w:val="008A4166"/>
    <w:rsid w:val="008A7DBF"/>
    <w:rsid w:val="008B0BFA"/>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7EA"/>
    <w:rsid w:val="00900A7F"/>
    <w:rsid w:val="0090127C"/>
    <w:rsid w:val="009036EE"/>
    <w:rsid w:val="00904343"/>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25C62"/>
    <w:rsid w:val="00934461"/>
    <w:rsid w:val="00934F7E"/>
    <w:rsid w:val="009352B9"/>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16E4"/>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34BB"/>
    <w:rsid w:val="009B42E3"/>
    <w:rsid w:val="009B5859"/>
    <w:rsid w:val="009C67DF"/>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E64AA"/>
    <w:rsid w:val="009F107C"/>
    <w:rsid w:val="009F110B"/>
    <w:rsid w:val="009F1498"/>
    <w:rsid w:val="009F1E9F"/>
    <w:rsid w:val="009F3635"/>
    <w:rsid w:val="009F3793"/>
    <w:rsid w:val="009F54F2"/>
    <w:rsid w:val="00A0056B"/>
    <w:rsid w:val="00A01657"/>
    <w:rsid w:val="00A01C65"/>
    <w:rsid w:val="00A01DC6"/>
    <w:rsid w:val="00A0213D"/>
    <w:rsid w:val="00A029EE"/>
    <w:rsid w:val="00A04C73"/>
    <w:rsid w:val="00A0679A"/>
    <w:rsid w:val="00A07A2B"/>
    <w:rsid w:val="00A11373"/>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2A8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67A47"/>
    <w:rsid w:val="00A708E5"/>
    <w:rsid w:val="00A70F02"/>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23FA"/>
    <w:rsid w:val="00AA45E2"/>
    <w:rsid w:val="00AA7AC1"/>
    <w:rsid w:val="00AB6327"/>
    <w:rsid w:val="00AB6B8F"/>
    <w:rsid w:val="00AC0C65"/>
    <w:rsid w:val="00AC0FB2"/>
    <w:rsid w:val="00AC3721"/>
    <w:rsid w:val="00AC3F65"/>
    <w:rsid w:val="00AC41C6"/>
    <w:rsid w:val="00AC46DF"/>
    <w:rsid w:val="00AC4A63"/>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F98"/>
    <w:rsid w:val="00AE3602"/>
    <w:rsid w:val="00AE5342"/>
    <w:rsid w:val="00AE5987"/>
    <w:rsid w:val="00AE6472"/>
    <w:rsid w:val="00AF1345"/>
    <w:rsid w:val="00AF38A8"/>
    <w:rsid w:val="00AF63EB"/>
    <w:rsid w:val="00B016D2"/>
    <w:rsid w:val="00B018EC"/>
    <w:rsid w:val="00B01EB8"/>
    <w:rsid w:val="00B0200B"/>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6FD2"/>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81B46"/>
    <w:rsid w:val="00B900FE"/>
    <w:rsid w:val="00B9064C"/>
    <w:rsid w:val="00BA0A14"/>
    <w:rsid w:val="00BA1816"/>
    <w:rsid w:val="00BA228D"/>
    <w:rsid w:val="00BA398D"/>
    <w:rsid w:val="00BA39D3"/>
    <w:rsid w:val="00BA3CA6"/>
    <w:rsid w:val="00BA5C56"/>
    <w:rsid w:val="00BA776F"/>
    <w:rsid w:val="00BB0C0D"/>
    <w:rsid w:val="00BB0D69"/>
    <w:rsid w:val="00BB0F7E"/>
    <w:rsid w:val="00BB366E"/>
    <w:rsid w:val="00BB3AF0"/>
    <w:rsid w:val="00BB4F70"/>
    <w:rsid w:val="00BB67FF"/>
    <w:rsid w:val="00BC11B9"/>
    <w:rsid w:val="00BC138C"/>
    <w:rsid w:val="00BC14CF"/>
    <w:rsid w:val="00BC1659"/>
    <w:rsid w:val="00BC2C91"/>
    <w:rsid w:val="00BC3A9C"/>
    <w:rsid w:val="00BC4366"/>
    <w:rsid w:val="00BC5288"/>
    <w:rsid w:val="00BC6A71"/>
    <w:rsid w:val="00BC6B2F"/>
    <w:rsid w:val="00BD0637"/>
    <w:rsid w:val="00BD08A8"/>
    <w:rsid w:val="00BD1BAC"/>
    <w:rsid w:val="00BD1FA8"/>
    <w:rsid w:val="00BD25A6"/>
    <w:rsid w:val="00BD4C95"/>
    <w:rsid w:val="00BD65FC"/>
    <w:rsid w:val="00BD7660"/>
    <w:rsid w:val="00BE0666"/>
    <w:rsid w:val="00BE200E"/>
    <w:rsid w:val="00BE24B9"/>
    <w:rsid w:val="00BE2AE8"/>
    <w:rsid w:val="00BE2D55"/>
    <w:rsid w:val="00BE38DD"/>
    <w:rsid w:val="00BE4AB1"/>
    <w:rsid w:val="00BE63C6"/>
    <w:rsid w:val="00BF0462"/>
    <w:rsid w:val="00BF16C3"/>
    <w:rsid w:val="00BF1E87"/>
    <w:rsid w:val="00BF38E0"/>
    <w:rsid w:val="00BF44FA"/>
    <w:rsid w:val="00BF57E1"/>
    <w:rsid w:val="00C003B4"/>
    <w:rsid w:val="00C00A5F"/>
    <w:rsid w:val="00C042E0"/>
    <w:rsid w:val="00C0472B"/>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4E46"/>
    <w:rsid w:val="00C35362"/>
    <w:rsid w:val="00C357EA"/>
    <w:rsid w:val="00C379F8"/>
    <w:rsid w:val="00C37A1C"/>
    <w:rsid w:val="00C42323"/>
    <w:rsid w:val="00C4316E"/>
    <w:rsid w:val="00C453A9"/>
    <w:rsid w:val="00C464C2"/>
    <w:rsid w:val="00C465D5"/>
    <w:rsid w:val="00C4756A"/>
    <w:rsid w:val="00C47C39"/>
    <w:rsid w:val="00C50649"/>
    <w:rsid w:val="00C50E1F"/>
    <w:rsid w:val="00C51C09"/>
    <w:rsid w:val="00C52BB6"/>
    <w:rsid w:val="00C53471"/>
    <w:rsid w:val="00C53FEE"/>
    <w:rsid w:val="00C55143"/>
    <w:rsid w:val="00C5611B"/>
    <w:rsid w:val="00C5695E"/>
    <w:rsid w:val="00C61528"/>
    <w:rsid w:val="00C63457"/>
    <w:rsid w:val="00C64964"/>
    <w:rsid w:val="00C6631E"/>
    <w:rsid w:val="00C67473"/>
    <w:rsid w:val="00C67AA4"/>
    <w:rsid w:val="00C7148C"/>
    <w:rsid w:val="00C72192"/>
    <w:rsid w:val="00C732E5"/>
    <w:rsid w:val="00C73D0B"/>
    <w:rsid w:val="00C73EB9"/>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260A"/>
    <w:rsid w:val="00CA41C5"/>
    <w:rsid w:val="00CA42B7"/>
    <w:rsid w:val="00CA4A53"/>
    <w:rsid w:val="00CA51F5"/>
    <w:rsid w:val="00CA731F"/>
    <w:rsid w:val="00CB218A"/>
    <w:rsid w:val="00CB225A"/>
    <w:rsid w:val="00CB69E6"/>
    <w:rsid w:val="00CB761B"/>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55C9"/>
    <w:rsid w:val="00D06705"/>
    <w:rsid w:val="00D06A9B"/>
    <w:rsid w:val="00D0750D"/>
    <w:rsid w:val="00D07DD8"/>
    <w:rsid w:val="00D1038F"/>
    <w:rsid w:val="00D10BF7"/>
    <w:rsid w:val="00D10FEB"/>
    <w:rsid w:val="00D140A0"/>
    <w:rsid w:val="00D203D1"/>
    <w:rsid w:val="00D2057A"/>
    <w:rsid w:val="00D205CE"/>
    <w:rsid w:val="00D21C15"/>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671D"/>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3C41"/>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224"/>
    <w:rsid w:val="00DF3DD0"/>
    <w:rsid w:val="00DF4D50"/>
    <w:rsid w:val="00DF538C"/>
    <w:rsid w:val="00E021C2"/>
    <w:rsid w:val="00E024A3"/>
    <w:rsid w:val="00E0423D"/>
    <w:rsid w:val="00E057B5"/>
    <w:rsid w:val="00E0581E"/>
    <w:rsid w:val="00E079C5"/>
    <w:rsid w:val="00E07CBD"/>
    <w:rsid w:val="00E07F56"/>
    <w:rsid w:val="00E10A16"/>
    <w:rsid w:val="00E10DF1"/>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1DDB"/>
    <w:rsid w:val="00E34446"/>
    <w:rsid w:val="00E3633B"/>
    <w:rsid w:val="00E36870"/>
    <w:rsid w:val="00E3738B"/>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43BC"/>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5EB5"/>
    <w:rsid w:val="00EE742D"/>
    <w:rsid w:val="00EF037C"/>
    <w:rsid w:val="00EF0A22"/>
    <w:rsid w:val="00EF1267"/>
    <w:rsid w:val="00EF180C"/>
    <w:rsid w:val="00EF25FA"/>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37316"/>
    <w:rsid w:val="00F402B5"/>
    <w:rsid w:val="00F4072F"/>
    <w:rsid w:val="00F42839"/>
    <w:rsid w:val="00F44AA2"/>
    <w:rsid w:val="00F44CC0"/>
    <w:rsid w:val="00F450BA"/>
    <w:rsid w:val="00F4684B"/>
    <w:rsid w:val="00F46BE9"/>
    <w:rsid w:val="00F47C3B"/>
    <w:rsid w:val="00F506CA"/>
    <w:rsid w:val="00F53A7A"/>
    <w:rsid w:val="00F54FCD"/>
    <w:rsid w:val="00F5785C"/>
    <w:rsid w:val="00F62AC9"/>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26AF"/>
    <w:rsid w:val="00FF408B"/>
    <w:rsid w:val="00FF43E1"/>
    <w:rsid w:val="03430854"/>
    <w:rsid w:val="039F5FA6"/>
    <w:rsid w:val="09305ADA"/>
    <w:rsid w:val="0BD777E1"/>
    <w:rsid w:val="0E8013B7"/>
    <w:rsid w:val="10D604C6"/>
    <w:rsid w:val="11B515E0"/>
    <w:rsid w:val="13A53267"/>
    <w:rsid w:val="13F970D2"/>
    <w:rsid w:val="14AA4136"/>
    <w:rsid w:val="163A420B"/>
    <w:rsid w:val="19413B26"/>
    <w:rsid w:val="1C6D3688"/>
    <w:rsid w:val="1CC63D0A"/>
    <w:rsid w:val="1DC2081A"/>
    <w:rsid w:val="1DD94266"/>
    <w:rsid w:val="1E6D7CAF"/>
    <w:rsid w:val="1F9D0947"/>
    <w:rsid w:val="1FFB29C6"/>
    <w:rsid w:val="22AF3620"/>
    <w:rsid w:val="22E70AD4"/>
    <w:rsid w:val="24F1508D"/>
    <w:rsid w:val="266F634F"/>
    <w:rsid w:val="291059EA"/>
    <w:rsid w:val="2A88659C"/>
    <w:rsid w:val="2BBF12EC"/>
    <w:rsid w:val="2BC649D9"/>
    <w:rsid w:val="2E2E3FBE"/>
    <w:rsid w:val="3515160D"/>
    <w:rsid w:val="3C7D00D8"/>
    <w:rsid w:val="3CA06C0C"/>
    <w:rsid w:val="3E9F12F5"/>
    <w:rsid w:val="3EA25851"/>
    <w:rsid w:val="3F6C3757"/>
    <w:rsid w:val="405D6A10"/>
    <w:rsid w:val="40E35E83"/>
    <w:rsid w:val="41DA6594"/>
    <w:rsid w:val="444C1A75"/>
    <w:rsid w:val="44A3526F"/>
    <w:rsid w:val="44B032F4"/>
    <w:rsid w:val="457D25F7"/>
    <w:rsid w:val="468341CD"/>
    <w:rsid w:val="472C2589"/>
    <w:rsid w:val="4A760AEB"/>
    <w:rsid w:val="4DFA480C"/>
    <w:rsid w:val="4F3162CA"/>
    <w:rsid w:val="50662841"/>
    <w:rsid w:val="50D95873"/>
    <w:rsid w:val="526102AF"/>
    <w:rsid w:val="528444DA"/>
    <w:rsid w:val="537745D5"/>
    <w:rsid w:val="552306F6"/>
    <w:rsid w:val="56E352D5"/>
    <w:rsid w:val="57E435FE"/>
    <w:rsid w:val="582D0655"/>
    <w:rsid w:val="58F05189"/>
    <w:rsid w:val="5951205C"/>
    <w:rsid w:val="59D079E8"/>
    <w:rsid w:val="59D40847"/>
    <w:rsid w:val="5AE37F25"/>
    <w:rsid w:val="5CB23D47"/>
    <w:rsid w:val="5F9606E2"/>
    <w:rsid w:val="5FAF09C4"/>
    <w:rsid w:val="6001450E"/>
    <w:rsid w:val="608C4642"/>
    <w:rsid w:val="62795572"/>
    <w:rsid w:val="62BB20EF"/>
    <w:rsid w:val="64DD6417"/>
    <w:rsid w:val="66004745"/>
    <w:rsid w:val="6A567F20"/>
    <w:rsid w:val="6C223E13"/>
    <w:rsid w:val="6C2905ED"/>
    <w:rsid w:val="6CD97953"/>
    <w:rsid w:val="6ED30FD7"/>
    <w:rsid w:val="727D78FD"/>
    <w:rsid w:val="73CC655F"/>
    <w:rsid w:val="73DC4939"/>
    <w:rsid w:val="75957445"/>
    <w:rsid w:val="75D01AE1"/>
    <w:rsid w:val="772B56E6"/>
    <w:rsid w:val="77524363"/>
    <w:rsid w:val="77B917B5"/>
    <w:rsid w:val="78703975"/>
    <w:rsid w:val="7BE420FD"/>
    <w:rsid w:val="7D0D296B"/>
    <w:rsid w:val="7D4E0B54"/>
    <w:rsid w:val="7D503E78"/>
    <w:rsid w:val="7E016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可研正文"/>
    <w:basedOn w:val="1"/>
    <w:link w:val="135"/>
    <w:qFormat/>
    <w:uiPriority w:val="0"/>
    <w:pPr>
      <w:ind w:firstLine="200"/>
    </w:pPr>
    <w:rPr>
      <w:rFonts w:ascii="仿宋" w:hAnsi="仿宋" w:eastAsia="仿宋" w:cstheme="minorBidi"/>
      <w:sz w:val="28"/>
      <w:szCs w:val="28"/>
    </w:rPr>
  </w:style>
  <w:style w:type="character" w:customStyle="1" w:styleId="135">
    <w:name w:val="可研正文 Char"/>
    <w:link w:val="134"/>
    <w:qFormat/>
    <w:uiPriority w:val="0"/>
    <w:rPr>
      <w:rFonts w:ascii="仿宋" w:hAnsi="仿宋" w:eastAsia="仿宋" w:cstheme="minorBidi"/>
      <w:kern w:val="2"/>
      <w:sz w:val="28"/>
      <w:szCs w:val="28"/>
    </w:rPr>
  </w:style>
  <w:style w:type="paragraph" w:customStyle="1" w:styleId="136">
    <w:name w:val="B-表正文"/>
    <w:qFormat/>
    <w:uiPriority w:val="0"/>
    <w:rPr>
      <w:rFonts w:ascii="Times New Roman" w:hAnsi="Times New Roman" w:eastAsia="仿宋" w:cstheme="minorBidi"/>
      <w:kern w:val="2"/>
      <w:sz w:val="21"/>
      <w:szCs w:val="24"/>
      <w:lang w:val="en-US" w:eastAsia="zh-CN" w:bidi="ar-SA"/>
    </w:rPr>
  </w:style>
  <w:style w:type="paragraph" w:customStyle="1" w:styleId="137">
    <w:name w:val="Revision"/>
    <w:hidden/>
    <w:semiHidden/>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D4F3B-CBAC-4EF1-8FD5-66397B3CD57B}">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2355</Words>
  <Characters>2713</Characters>
  <Lines>103</Lines>
  <Paragraphs>29</Paragraphs>
  <TotalTime>54</TotalTime>
  <ScaleCrop>false</ScaleCrop>
  <LinksUpToDate>false</LinksUpToDate>
  <CharactersWithSpaces>2739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2025-01-06T01:50:00Z</dcterms:created>
  <dc:creator>gtig_tzb</dc:creator>
  <cp:lastModifiedBy>李瑶</cp:lastModifiedBy>
  <cp:lastPrinted>2020-08-06T12:08:00Z</cp:lastPrinted>
  <dcterms:modified xsi:type="dcterms:W3CDTF">2025-02-25T08:52:32Z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7B1B559467934515ACE5E2FEBA8368EA_13</vt:lpwstr>
  </property>
  <property fmtid="{D5CDD505-2E9C-101B-9397-08002B2CF9AE}" pid="4" name="KSOTemplateDocerSaveRecord">
    <vt:lpwstr>eyJoZGlkIjoiZDQxN2FjZjljN2U2YzMwZGExNTNmMzQwOGNkMDA4NmIiLCJ1c2VySWQiOiIxNjQ0MDgyNjc3In0=</vt:lpwstr>
  </property>
</Properties>
</file>