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360" w:lineRule="auto"/>
        <w:ind w:left="432" w:firstLine="0" w:firstLineChars="0"/>
        <w:contextualSpacing w:val="0"/>
        <w:jc w:val="center"/>
        <w:outlineLvl w:val="9"/>
        <w:rPr>
          <w:rFonts w:hint="eastAsia" w:ascii="宋体" w:hAnsi="宋体" w:eastAsia="宋体" w:cs="宋体"/>
          <w:b/>
          <w:bCs/>
          <w:color w:val="auto"/>
          <w:spacing w:val="-1"/>
          <w:sz w:val="44"/>
          <w:szCs w:val="44"/>
          <w:highlight w:val="none"/>
          <w:lang w:eastAsia="zh-CN"/>
        </w:rPr>
      </w:pPr>
      <w:r>
        <w:rPr>
          <w:rFonts w:hint="eastAsia" w:ascii="宋体" w:hAnsi="宋体" w:eastAsia="宋体" w:cs="宋体"/>
          <w:b/>
          <w:bCs/>
          <w:color w:val="auto"/>
          <w:spacing w:val="-1"/>
          <w:sz w:val="44"/>
          <w:szCs w:val="44"/>
          <w:highlight w:val="none"/>
          <w:lang w:val="en-US" w:eastAsia="zh-CN"/>
        </w:rPr>
        <w:t>绿化专项整治项目（主城区与与芦潮港社区绿地）</w:t>
      </w:r>
      <w:r>
        <w:rPr>
          <w:rFonts w:hint="eastAsia" w:ascii="宋体" w:hAnsi="宋体" w:eastAsia="宋体" w:cs="宋体"/>
          <w:b/>
          <w:bCs/>
          <w:color w:val="auto"/>
          <w:spacing w:val="-1"/>
          <w:sz w:val="44"/>
          <w:szCs w:val="44"/>
          <w:highlight w:val="none"/>
          <w:lang w:eastAsia="zh-CN"/>
        </w:rPr>
        <w:t>采购需求</w:t>
      </w:r>
    </w:p>
    <w:p>
      <w:pPr>
        <w:spacing w:before="97" w:line="360" w:lineRule="auto"/>
        <w:ind w:left="9"/>
        <w:outlineLvl w:val="1"/>
        <w:rPr>
          <w:rFonts w:ascii="宋体" w:hAnsi="宋体" w:eastAsia="宋体" w:cs="宋体"/>
          <w:color w:val="auto"/>
          <w:sz w:val="30"/>
          <w:szCs w:val="30"/>
          <w:highlight w:val="none"/>
          <w:lang w:eastAsia="zh-CN"/>
        </w:rPr>
      </w:pPr>
      <w:r>
        <w:rPr>
          <w:rFonts w:ascii="宋体" w:hAnsi="宋体" w:eastAsia="宋体" w:cs="宋体"/>
          <w:b/>
          <w:bCs/>
          <w:color w:val="auto"/>
          <w:spacing w:val="-8"/>
          <w:sz w:val="30"/>
          <w:szCs w:val="30"/>
          <w:highlight w:val="none"/>
          <w:lang w:eastAsia="zh-CN"/>
        </w:rPr>
        <w:t>一、项目概况</w:t>
      </w:r>
    </w:p>
    <w:p>
      <w:pPr>
        <w:spacing w:before="115" w:line="360" w:lineRule="auto"/>
        <w:ind w:left="438"/>
        <w:outlineLvl w:val="2"/>
        <w:rPr>
          <w:rFonts w:ascii="宋体" w:hAnsi="宋体" w:eastAsia="宋体" w:cs="宋体"/>
          <w:color w:val="auto"/>
          <w:sz w:val="22"/>
          <w:szCs w:val="22"/>
          <w:highlight w:val="none"/>
          <w:lang w:eastAsia="zh-CN"/>
        </w:rPr>
      </w:pPr>
      <w:r>
        <w:rPr>
          <w:rFonts w:ascii="Times New Roman" w:hAnsi="Times New Roman" w:eastAsia="Times New Roman" w:cs="Times New Roman"/>
          <w:b/>
          <w:bCs/>
          <w:color w:val="auto"/>
          <w:spacing w:val="-4"/>
          <w:sz w:val="22"/>
          <w:szCs w:val="22"/>
          <w:highlight w:val="none"/>
          <w:lang w:eastAsia="zh-CN"/>
        </w:rPr>
        <w:t>1.</w:t>
      </w:r>
      <w:r>
        <w:rPr>
          <w:rFonts w:ascii="宋体" w:hAnsi="宋体" w:eastAsia="宋体" w:cs="宋体"/>
          <w:b/>
          <w:bCs/>
          <w:color w:val="auto"/>
          <w:spacing w:val="-4"/>
          <w:sz w:val="22"/>
          <w:szCs w:val="22"/>
          <w:highlight w:val="none"/>
          <w:lang w:eastAsia="zh-CN"/>
        </w:rPr>
        <w:t>项目名称</w:t>
      </w:r>
    </w:p>
    <w:p>
      <w:pPr>
        <w:spacing w:before="93" w:line="360" w:lineRule="auto"/>
        <w:ind w:left="432" w:firstLine="0" w:firstLineChars="0"/>
        <w:contextualSpacing w:val="0"/>
        <w:outlineLvl w:val="9"/>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绿化专项整治（主城区与与芦潮港社区绿地）</w:t>
      </w:r>
    </w:p>
    <w:p>
      <w:pPr>
        <w:spacing w:before="94" w:line="360" w:lineRule="auto"/>
        <w:ind w:left="428"/>
        <w:outlineLvl w:val="2"/>
        <w:rPr>
          <w:rFonts w:ascii="宋体" w:hAnsi="宋体" w:eastAsia="宋体" w:cs="宋体"/>
          <w:color w:val="auto"/>
          <w:sz w:val="22"/>
          <w:szCs w:val="22"/>
          <w:highlight w:val="none"/>
          <w:lang w:eastAsia="zh-CN"/>
        </w:rPr>
      </w:pPr>
      <w:r>
        <w:rPr>
          <w:rFonts w:ascii="Times New Roman" w:hAnsi="Times New Roman" w:eastAsia="Times New Roman" w:cs="Times New Roman"/>
          <w:b/>
          <w:bCs/>
          <w:color w:val="auto"/>
          <w:spacing w:val="-3"/>
          <w:sz w:val="22"/>
          <w:szCs w:val="22"/>
          <w:highlight w:val="none"/>
          <w:lang w:eastAsia="zh-CN"/>
        </w:rPr>
        <w:t>2.</w:t>
      </w:r>
      <w:r>
        <w:rPr>
          <w:rFonts w:ascii="宋体" w:hAnsi="宋体" w:eastAsia="宋体" w:cs="宋体"/>
          <w:b/>
          <w:bCs/>
          <w:color w:val="auto"/>
          <w:spacing w:val="-3"/>
          <w:sz w:val="22"/>
          <w:szCs w:val="22"/>
          <w:highlight w:val="none"/>
          <w:lang w:eastAsia="zh-CN"/>
        </w:rPr>
        <w:t>项目地点</w:t>
      </w:r>
    </w:p>
    <w:p>
      <w:pPr>
        <w:spacing w:before="93" w:line="360" w:lineRule="auto"/>
        <w:ind w:left="432" w:firstLine="0" w:firstLineChars="0"/>
        <w:contextualSpacing w:val="0"/>
        <w:outlineLvl w:val="9"/>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临港新片区</w:t>
      </w:r>
    </w:p>
    <w:p>
      <w:pPr>
        <w:spacing w:before="96" w:line="360" w:lineRule="auto"/>
        <w:ind w:left="427"/>
        <w:outlineLvl w:val="2"/>
        <w:rPr>
          <w:rFonts w:ascii="宋体" w:hAnsi="宋体" w:eastAsia="宋体" w:cs="宋体"/>
          <w:color w:val="auto"/>
          <w:sz w:val="22"/>
          <w:szCs w:val="22"/>
          <w:highlight w:val="none"/>
        </w:rPr>
      </w:pPr>
      <w:r>
        <w:rPr>
          <w:rFonts w:ascii="Times New Roman" w:hAnsi="Times New Roman" w:eastAsia="Times New Roman" w:cs="Times New Roman"/>
          <w:b/>
          <w:bCs/>
          <w:color w:val="auto"/>
          <w:spacing w:val="-2"/>
          <w:sz w:val="22"/>
          <w:szCs w:val="22"/>
          <w:highlight w:val="none"/>
        </w:rPr>
        <w:t>3.</w:t>
      </w:r>
      <w:r>
        <w:rPr>
          <w:rFonts w:hint="eastAsia" w:ascii="宋体" w:hAnsi="宋体" w:eastAsia="宋体" w:cs="宋体"/>
          <w:b/>
          <w:bCs/>
          <w:color w:val="auto"/>
          <w:spacing w:val="-2"/>
          <w:sz w:val="22"/>
          <w:szCs w:val="22"/>
          <w:highlight w:val="none"/>
          <w:lang w:eastAsia="zh-CN"/>
        </w:rPr>
        <w:t>采购</w:t>
      </w:r>
      <w:r>
        <w:rPr>
          <w:rFonts w:ascii="宋体" w:hAnsi="宋体" w:eastAsia="宋体" w:cs="宋体"/>
          <w:b/>
          <w:bCs/>
          <w:color w:val="auto"/>
          <w:spacing w:val="-2"/>
          <w:sz w:val="22"/>
          <w:szCs w:val="22"/>
          <w:highlight w:val="none"/>
        </w:rPr>
        <w:t>范围与内容</w:t>
      </w:r>
    </w:p>
    <w:p>
      <w:pPr>
        <w:spacing w:before="94" w:line="360" w:lineRule="auto"/>
        <w:ind w:left="442"/>
        <w:rPr>
          <w:rFonts w:ascii="宋体" w:hAnsi="宋体" w:eastAsia="宋体" w:cs="宋体"/>
          <w:color w:val="auto"/>
          <w:sz w:val="22"/>
          <w:szCs w:val="22"/>
          <w:highlight w:val="none"/>
          <w:lang w:eastAsia="zh-CN"/>
        </w:rPr>
      </w:pPr>
      <w:r>
        <w:rPr>
          <w:rFonts w:ascii="Times New Roman" w:hAnsi="Times New Roman" w:eastAsia="Times New Roman" w:cs="Times New Roman"/>
          <w:color w:val="auto"/>
          <w:spacing w:val="-1"/>
          <w:sz w:val="22"/>
          <w:szCs w:val="22"/>
          <w:highlight w:val="none"/>
          <w:lang w:eastAsia="zh-CN"/>
        </w:rPr>
        <w:t>3.1</w:t>
      </w:r>
      <w:r>
        <w:rPr>
          <w:rFonts w:ascii="宋体" w:hAnsi="宋体" w:eastAsia="宋体" w:cs="宋体"/>
          <w:color w:val="auto"/>
          <w:spacing w:val="-1"/>
          <w:sz w:val="22"/>
          <w:szCs w:val="22"/>
          <w:highlight w:val="none"/>
          <w:lang w:eastAsia="zh-CN"/>
        </w:rPr>
        <w:t>项目</w:t>
      </w:r>
      <w:r>
        <w:rPr>
          <w:rFonts w:hint="eastAsia" w:ascii="宋体" w:hAnsi="宋体" w:eastAsia="宋体" w:cs="宋体"/>
          <w:color w:val="auto"/>
          <w:spacing w:val="-1"/>
          <w:sz w:val="22"/>
          <w:szCs w:val="22"/>
          <w:highlight w:val="none"/>
          <w:lang w:eastAsia="zh-CN"/>
        </w:rPr>
        <w:t>采购</w:t>
      </w:r>
      <w:r>
        <w:rPr>
          <w:rFonts w:ascii="宋体" w:hAnsi="宋体" w:eastAsia="宋体" w:cs="宋体"/>
          <w:color w:val="auto"/>
          <w:spacing w:val="-1"/>
          <w:sz w:val="22"/>
          <w:szCs w:val="22"/>
          <w:highlight w:val="none"/>
          <w:lang w:eastAsia="zh-CN"/>
        </w:rPr>
        <w:t>范围及内容</w:t>
      </w:r>
    </w:p>
    <w:p>
      <w:pPr>
        <w:spacing w:before="94" w:line="360" w:lineRule="auto"/>
        <w:ind w:left="1" w:right="176" w:firstLine="440"/>
        <w:rPr>
          <w:rFonts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val="en-US" w:eastAsia="zh-CN"/>
        </w:rPr>
        <w:t>根据《临港新片区绿地养护管理指导意见》和《临港新片区绿地养护考核办法（试行）》，按照分级、分类标准要求，对规划</w:t>
      </w:r>
      <w:r>
        <w:rPr>
          <w:rFonts w:hint="default" w:ascii="宋体" w:hAnsi="宋体" w:eastAsia="宋体" w:cs="宋体"/>
          <w:color w:val="auto"/>
          <w:spacing w:val="-2"/>
          <w:sz w:val="22"/>
          <w:szCs w:val="22"/>
          <w:highlight w:val="none"/>
          <w:lang w:val="en-US" w:eastAsia="zh-CN"/>
        </w:rPr>
        <w:t>21-01</w:t>
      </w:r>
      <w:r>
        <w:rPr>
          <w:rFonts w:hint="eastAsia" w:ascii="宋体" w:hAnsi="宋体" w:eastAsia="宋体" w:cs="宋体"/>
          <w:color w:val="auto"/>
          <w:spacing w:val="-2"/>
          <w:sz w:val="22"/>
          <w:szCs w:val="22"/>
          <w:highlight w:val="none"/>
          <w:lang w:val="en-US" w:eastAsia="zh-CN"/>
        </w:rPr>
        <w:t>地块、</w:t>
      </w:r>
      <w:r>
        <w:rPr>
          <w:rFonts w:hint="default" w:ascii="宋体" w:hAnsi="宋体" w:eastAsia="宋体" w:cs="宋体"/>
          <w:color w:val="auto"/>
          <w:spacing w:val="-2"/>
          <w:sz w:val="22"/>
          <w:szCs w:val="22"/>
          <w:highlight w:val="none"/>
          <w:lang w:val="en-US" w:eastAsia="zh-CN"/>
        </w:rPr>
        <w:t>WSW-C3-1-2</w:t>
      </w:r>
      <w:r>
        <w:rPr>
          <w:rFonts w:hint="eastAsia" w:ascii="宋体" w:hAnsi="宋体" w:eastAsia="宋体" w:cs="宋体"/>
          <w:color w:val="auto"/>
          <w:spacing w:val="-2"/>
          <w:sz w:val="22"/>
          <w:szCs w:val="22"/>
          <w:highlight w:val="none"/>
          <w:lang w:val="en-US" w:eastAsia="zh-CN"/>
        </w:rPr>
        <w:t>地块绿地、</w:t>
      </w:r>
      <w:r>
        <w:rPr>
          <w:rFonts w:hint="default" w:ascii="宋体" w:hAnsi="宋体" w:eastAsia="宋体" w:cs="宋体"/>
          <w:color w:val="auto"/>
          <w:spacing w:val="-2"/>
          <w:sz w:val="22"/>
          <w:szCs w:val="22"/>
          <w:highlight w:val="none"/>
          <w:lang w:val="en-US" w:eastAsia="zh-CN"/>
        </w:rPr>
        <w:t>C04-03</w:t>
      </w:r>
      <w:r>
        <w:rPr>
          <w:rFonts w:hint="eastAsia" w:ascii="宋体" w:hAnsi="宋体" w:eastAsia="宋体" w:cs="宋体"/>
          <w:color w:val="auto"/>
          <w:spacing w:val="-2"/>
          <w:sz w:val="22"/>
          <w:szCs w:val="22"/>
          <w:highlight w:val="none"/>
          <w:lang w:val="en-US" w:eastAsia="zh-CN"/>
        </w:rPr>
        <w:t>地块绿地开展环境整治，整治内容包括杂草清除、土地平整、垃圾外运及播种草籽等，共计整治面积约16568.51平方米</w:t>
      </w:r>
      <w:r>
        <w:rPr>
          <w:rFonts w:hint="eastAsia" w:ascii="宋体" w:hAnsi="宋体" w:eastAsia="宋体" w:cs="宋体"/>
          <w:color w:val="auto"/>
          <w:spacing w:val="-2"/>
          <w:sz w:val="22"/>
          <w:szCs w:val="22"/>
          <w:highlight w:val="none"/>
          <w:lang w:eastAsia="zh-CN"/>
        </w:rPr>
        <w:t>。</w:t>
      </w:r>
    </w:p>
    <w:p>
      <w:pPr>
        <w:spacing w:before="94" w:line="360" w:lineRule="auto"/>
        <w:ind w:left="1" w:right="176" w:firstLine="440"/>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2"/>
          <w:sz w:val="22"/>
          <w:szCs w:val="22"/>
          <w:highlight w:val="none"/>
          <w:lang w:eastAsia="zh-CN"/>
        </w:rPr>
        <w:t>根据《临港新片区绿地养护管理指导意见》和《临港新片区绿地养护考核办法（试行）》以及相关规范文件的要求，按照公园绿地中</w:t>
      </w:r>
      <w:r>
        <w:rPr>
          <w:rFonts w:hint="eastAsia" w:ascii="宋体" w:hAnsi="宋体" w:eastAsia="宋体" w:cs="宋体"/>
          <w:color w:val="auto"/>
          <w:spacing w:val="-2"/>
          <w:sz w:val="22"/>
          <w:szCs w:val="22"/>
          <w:highlight w:val="none"/>
          <w:lang w:val="en-US" w:eastAsia="zh-CN"/>
        </w:rPr>
        <w:t>三</w:t>
      </w:r>
      <w:r>
        <w:rPr>
          <w:rFonts w:hint="eastAsia" w:ascii="宋体" w:hAnsi="宋体" w:eastAsia="宋体" w:cs="宋体"/>
          <w:color w:val="auto"/>
          <w:spacing w:val="-2"/>
          <w:sz w:val="22"/>
          <w:szCs w:val="22"/>
          <w:highlight w:val="none"/>
          <w:lang w:eastAsia="zh-CN"/>
        </w:rPr>
        <w:t>类</w:t>
      </w:r>
      <w:r>
        <w:rPr>
          <w:rFonts w:hint="eastAsia" w:ascii="宋体" w:hAnsi="宋体" w:eastAsia="宋体" w:cs="宋体"/>
          <w:color w:val="auto"/>
          <w:spacing w:val="-2"/>
          <w:sz w:val="22"/>
          <w:szCs w:val="22"/>
          <w:highlight w:val="none"/>
          <w:lang w:val="en-US" w:eastAsia="zh-CN"/>
        </w:rPr>
        <w:t>生态型</w:t>
      </w:r>
      <w:r>
        <w:rPr>
          <w:rFonts w:hint="eastAsia" w:ascii="宋体" w:hAnsi="宋体" w:eastAsia="宋体" w:cs="宋体"/>
          <w:color w:val="auto"/>
          <w:spacing w:val="-2"/>
          <w:sz w:val="22"/>
          <w:szCs w:val="22"/>
          <w:highlight w:val="none"/>
          <w:lang w:eastAsia="zh-CN"/>
        </w:rPr>
        <w:t>养护标准，落实</w:t>
      </w:r>
      <w:r>
        <w:rPr>
          <w:rFonts w:hint="eastAsia" w:ascii="宋体" w:hAnsi="宋体" w:eastAsia="宋体" w:cs="宋体"/>
          <w:color w:val="auto"/>
          <w:spacing w:val="-2"/>
          <w:sz w:val="22"/>
          <w:szCs w:val="22"/>
          <w:highlight w:val="none"/>
          <w:lang w:val="en-US" w:eastAsia="zh-CN"/>
        </w:rPr>
        <w:t>上述绿地管养工作</w:t>
      </w:r>
      <w:r>
        <w:rPr>
          <w:rFonts w:hint="eastAsia" w:ascii="宋体" w:hAnsi="宋体" w:eastAsia="宋体" w:cs="宋体"/>
          <w:color w:val="auto"/>
          <w:spacing w:val="-2"/>
          <w:sz w:val="22"/>
          <w:szCs w:val="22"/>
          <w:highlight w:val="none"/>
          <w:lang w:eastAsia="zh-CN"/>
        </w:rPr>
        <w:t>，包括</w:t>
      </w:r>
      <w:r>
        <w:rPr>
          <w:rFonts w:hint="eastAsia" w:ascii="宋体" w:hAnsi="宋体" w:eastAsia="宋体" w:cs="宋体"/>
          <w:color w:val="auto"/>
          <w:spacing w:val="-2"/>
          <w:sz w:val="22"/>
          <w:szCs w:val="22"/>
          <w:highlight w:val="none"/>
          <w:lang w:val="en-US" w:eastAsia="zh-CN"/>
        </w:rPr>
        <w:t>本区域绿化修剪</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lang w:val="en-US" w:eastAsia="zh-CN"/>
        </w:rPr>
        <w:t>环境保洁等因供应商施工原因引起的相关信访投诉案件处理</w:t>
      </w:r>
      <w:r>
        <w:rPr>
          <w:rFonts w:hint="eastAsia" w:ascii="宋体" w:hAnsi="宋体" w:eastAsia="宋体" w:cs="宋体"/>
          <w:color w:val="auto"/>
          <w:spacing w:val="-2"/>
          <w:sz w:val="22"/>
          <w:szCs w:val="22"/>
          <w:highlight w:val="none"/>
          <w:lang w:eastAsia="zh-CN"/>
        </w:rPr>
        <w:t>等内容</w:t>
      </w:r>
      <w:r>
        <w:rPr>
          <w:rFonts w:hint="eastAsia" w:ascii="宋体" w:hAnsi="宋体" w:eastAsia="宋体" w:cs="宋体"/>
          <w:color w:val="auto"/>
          <w:spacing w:val="-1"/>
          <w:sz w:val="22"/>
          <w:szCs w:val="22"/>
          <w:highlight w:val="none"/>
          <w:lang w:eastAsia="zh-CN"/>
        </w:rPr>
        <w:t>。</w:t>
      </w:r>
    </w:p>
    <w:p>
      <w:pPr>
        <w:spacing w:before="32" w:line="360" w:lineRule="auto"/>
        <w:ind w:left="438"/>
        <w:outlineLvl w:val="2"/>
        <w:rPr>
          <w:rFonts w:ascii="宋体" w:hAnsi="宋体" w:eastAsia="宋体" w:cs="宋体"/>
          <w:color w:val="auto"/>
          <w:sz w:val="22"/>
          <w:szCs w:val="22"/>
          <w:highlight w:val="none"/>
          <w:lang w:eastAsia="zh-CN"/>
        </w:rPr>
      </w:pPr>
      <w:r>
        <w:rPr>
          <w:rFonts w:hint="eastAsia" w:ascii="宋体" w:hAnsi="宋体" w:eastAsia="宋体" w:cs="宋体"/>
          <w:b/>
          <w:bCs/>
          <w:color w:val="auto"/>
          <w:spacing w:val="-5"/>
          <w:sz w:val="22"/>
          <w:szCs w:val="22"/>
          <w:highlight w:val="none"/>
          <w:lang w:eastAsia="zh-CN"/>
        </w:rPr>
        <w:t>4</w:t>
      </w:r>
      <w:r>
        <w:rPr>
          <w:rFonts w:ascii="宋体" w:hAnsi="宋体" w:eastAsia="宋体" w:cs="宋体"/>
          <w:b/>
          <w:bCs/>
          <w:color w:val="auto"/>
          <w:spacing w:val="-5"/>
          <w:sz w:val="22"/>
          <w:szCs w:val="22"/>
          <w:highlight w:val="none"/>
          <w:lang w:eastAsia="zh-CN"/>
        </w:rPr>
        <w:t>、</w:t>
      </w:r>
      <w:r>
        <w:rPr>
          <w:rFonts w:hint="eastAsia" w:ascii="宋体" w:hAnsi="宋体" w:eastAsia="宋体" w:cs="宋体"/>
          <w:b/>
          <w:bCs/>
          <w:color w:val="auto"/>
          <w:spacing w:val="-5"/>
          <w:sz w:val="22"/>
          <w:szCs w:val="22"/>
          <w:highlight w:val="none"/>
          <w:lang w:eastAsia="zh-CN"/>
        </w:rPr>
        <w:t>服务</w:t>
      </w:r>
      <w:r>
        <w:rPr>
          <w:rFonts w:ascii="宋体" w:hAnsi="宋体" w:eastAsia="宋体" w:cs="宋体"/>
          <w:b/>
          <w:bCs/>
          <w:color w:val="auto"/>
          <w:spacing w:val="-5"/>
          <w:sz w:val="22"/>
          <w:szCs w:val="22"/>
          <w:highlight w:val="none"/>
          <w:lang w:eastAsia="zh-CN"/>
        </w:rPr>
        <w:t>工作内容</w:t>
      </w:r>
    </w:p>
    <w:p>
      <w:pPr>
        <w:spacing w:before="94" w:line="360" w:lineRule="auto"/>
        <w:ind w:left="3" w:right="176" w:firstLine="440"/>
        <w:rPr>
          <w:rFonts w:ascii="宋体" w:hAnsi="宋体" w:eastAsia="宋体" w:cs="宋体"/>
          <w:color w:val="auto"/>
          <w:spacing w:val="-11"/>
          <w:sz w:val="22"/>
          <w:szCs w:val="22"/>
          <w:highlight w:val="none"/>
          <w:lang w:eastAsia="zh-CN"/>
        </w:rPr>
      </w:pPr>
      <w:r>
        <w:rPr>
          <w:rFonts w:hint="eastAsia" w:ascii="宋体" w:hAnsi="宋体" w:eastAsia="宋体" w:cs="宋体"/>
          <w:color w:val="auto"/>
          <w:sz w:val="22"/>
          <w:szCs w:val="22"/>
          <w:highlight w:val="none"/>
          <w:lang w:eastAsia="zh-CN"/>
        </w:rPr>
        <w:t>服务工作</w:t>
      </w:r>
      <w:r>
        <w:rPr>
          <w:rFonts w:ascii="宋体" w:hAnsi="宋体" w:eastAsia="宋体" w:cs="宋体"/>
          <w:color w:val="auto"/>
          <w:sz w:val="22"/>
          <w:szCs w:val="22"/>
          <w:highlight w:val="none"/>
          <w:lang w:eastAsia="zh-CN"/>
        </w:rPr>
        <w:t>内容包括</w:t>
      </w:r>
      <w:r>
        <w:rPr>
          <w:rFonts w:hint="eastAsia" w:ascii="宋体" w:hAnsi="宋体" w:eastAsia="宋体" w:cs="宋体"/>
          <w:color w:val="auto"/>
          <w:spacing w:val="-2"/>
          <w:sz w:val="22"/>
          <w:szCs w:val="22"/>
          <w:highlight w:val="none"/>
          <w:lang w:val="en-US" w:eastAsia="zh-CN"/>
        </w:rPr>
        <w:t>杂草清除、土地平整、垃圾外运及播种草籽</w:t>
      </w:r>
      <w:r>
        <w:rPr>
          <w:rFonts w:ascii="宋体" w:hAnsi="宋体" w:eastAsia="宋体" w:cs="宋体"/>
          <w:color w:val="auto"/>
          <w:spacing w:val="-11"/>
          <w:sz w:val="22"/>
          <w:szCs w:val="22"/>
          <w:highlight w:val="none"/>
          <w:lang w:eastAsia="zh-CN"/>
        </w:rPr>
        <w:t>等。</w:t>
      </w:r>
    </w:p>
    <w:p>
      <w:pPr>
        <w:pStyle w:val="2"/>
        <w:rPr>
          <w:color w:val="auto"/>
          <w:highlight w:val="none"/>
          <w:lang w:eastAsia="zh-CN"/>
        </w:rPr>
      </w:pPr>
    </w:p>
    <w:p>
      <w:pPr>
        <w:spacing w:before="45" w:line="360" w:lineRule="auto"/>
        <w:ind w:left="9"/>
        <w:outlineLvl w:val="1"/>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二、技术质量要求</w:t>
      </w:r>
    </w:p>
    <w:p>
      <w:pPr>
        <w:spacing w:before="94" w:line="360" w:lineRule="auto"/>
        <w:ind w:left="1" w:right="176" w:firstLine="440"/>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本项目的</w:t>
      </w:r>
      <w:r>
        <w:rPr>
          <w:rFonts w:hint="eastAsia" w:ascii="宋体" w:hAnsi="宋体" w:eastAsia="宋体" w:cs="宋体"/>
          <w:color w:val="auto"/>
          <w:sz w:val="22"/>
          <w:szCs w:val="22"/>
          <w:highlight w:val="none"/>
          <w:lang w:eastAsia="zh-CN"/>
        </w:rPr>
        <w:t>服务工作</w:t>
      </w:r>
      <w:r>
        <w:rPr>
          <w:rFonts w:ascii="宋体" w:hAnsi="宋体" w:eastAsia="宋体" w:cs="宋体"/>
          <w:color w:val="auto"/>
          <w:spacing w:val="-1"/>
          <w:sz w:val="22"/>
          <w:szCs w:val="22"/>
          <w:highlight w:val="none"/>
          <w:lang w:eastAsia="zh-CN"/>
        </w:rPr>
        <w:t>要求</w:t>
      </w:r>
      <w:r>
        <w:rPr>
          <w:rFonts w:ascii="宋体" w:hAnsi="宋体" w:eastAsia="宋体" w:cs="宋体"/>
          <w:color w:val="auto"/>
          <w:spacing w:val="-2"/>
          <w:sz w:val="22"/>
          <w:szCs w:val="22"/>
          <w:highlight w:val="none"/>
          <w:lang w:eastAsia="zh-CN"/>
        </w:rPr>
        <w:t>适用国家现行法律、规范、规程、标准以及上海市现行规范标准，具体包括：</w:t>
      </w:r>
    </w:p>
    <w:p>
      <w:pPr>
        <w:spacing w:before="30" w:line="360" w:lineRule="auto"/>
        <w:ind w:left="3"/>
        <w:rPr>
          <w:rFonts w:ascii="Times New Roman" w:hAnsi="Times New Roman" w:eastAsia="Times New Roman" w:cs="Times New Roman"/>
          <w:color w:val="auto"/>
          <w:highlight w:val="none"/>
          <w:lang w:eastAsia="zh-CN"/>
        </w:rPr>
      </w:pPr>
      <w:r>
        <w:rPr>
          <w:rFonts w:ascii="Times New Roman" w:hAnsi="Times New Roman" w:eastAsia="Times New Roman" w:cs="Times New Roman"/>
          <w:color w:val="auto"/>
          <w:spacing w:val="-1"/>
          <w:sz w:val="22"/>
          <w:szCs w:val="22"/>
          <w:highlight w:val="none"/>
          <w:lang w:eastAsia="zh-CN"/>
        </w:rPr>
        <w:t>(1)</w:t>
      </w:r>
      <w:r>
        <w:rPr>
          <w:rFonts w:ascii="宋体" w:hAnsi="宋体" w:eastAsia="宋体" w:cs="宋体"/>
          <w:color w:val="auto"/>
          <w:spacing w:val="-1"/>
          <w:highlight w:val="none"/>
          <w:lang w:eastAsia="zh-CN"/>
        </w:rPr>
        <w:t>《园林绿化工程项目规范》</w:t>
      </w:r>
      <w:r>
        <w:rPr>
          <w:rFonts w:ascii="Times New Roman" w:hAnsi="Times New Roman" w:eastAsia="Times New Roman" w:cs="Times New Roman"/>
          <w:color w:val="auto"/>
          <w:spacing w:val="-1"/>
          <w:highlight w:val="none"/>
          <w:lang w:eastAsia="zh-CN"/>
        </w:rPr>
        <w:t>GB55014-2021</w:t>
      </w:r>
    </w:p>
    <w:p>
      <w:pPr>
        <w:spacing w:before="166" w:line="360" w:lineRule="auto"/>
        <w:ind w:left="3"/>
        <w:rPr>
          <w:rFonts w:ascii="Times New Roman" w:hAnsi="Times New Roman" w:eastAsia="Times New Roman" w:cs="Times New Roman"/>
          <w:color w:val="auto"/>
          <w:highlight w:val="none"/>
          <w:lang w:eastAsia="zh-CN"/>
        </w:rPr>
      </w:pPr>
      <w:r>
        <w:rPr>
          <w:rFonts w:ascii="Times New Roman" w:hAnsi="Times New Roman" w:eastAsia="Times New Roman" w:cs="Times New Roman"/>
          <w:color w:val="auto"/>
          <w:spacing w:val="-1"/>
          <w:sz w:val="22"/>
          <w:szCs w:val="22"/>
          <w:highlight w:val="none"/>
          <w:lang w:eastAsia="zh-CN"/>
        </w:rPr>
        <w:t>(</w:t>
      </w:r>
      <w:r>
        <w:rPr>
          <w:rFonts w:hint="eastAsia" w:ascii="Times New Roman" w:hAnsi="Times New Roman" w:eastAsia="Times New Roman" w:cs="Times New Roman"/>
          <w:color w:val="auto"/>
          <w:spacing w:val="-1"/>
          <w:sz w:val="22"/>
          <w:szCs w:val="22"/>
          <w:highlight w:val="none"/>
          <w:lang w:val="en-US" w:eastAsia="zh-CN"/>
        </w:rPr>
        <w:t>2</w:t>
      </w:r>
      <w:r>
        <w:rPr>
          <w:rFonts w:ascii="Times New Roman" w:hAnsi="Times New Roman" w:eastAsia="Times New Roman" w:cs="Times New Roman"/>
          <w:color w:val="auto"/>
          <w:spacing w:val="-1"/>
          <w:sz w:val="22"/>
          <w:szCs w:val="22"/>
          <w:highlight w:val="none"/>
          <w:lang w:eastAsia="zh-CN"/>
        </w:rPr>
        <w:t>)</w:t>
      </w:r>
      <w:r>
        <w:rPr>
          <w:rFonts w:ascii="宋体" w:hAnsi="宋体" w:eastAsia="宋体" w:cs="宋体"/>
          <w:color w:val="auto"/>
          <w:spacing w:val="-1"/>
          <w:highlight w:val="none"/>
          <w:lang w:eastAsia="zh-CN"/>
        </w:rPr>
        <w:t>《上海市河道绿化建设导则》</w:t>
      </w:r>
      <w:r>
        <w:rPr>
          <w:rFonts w:ascii="Times New Roman" w:hAnsi="Times New Roman" w:eastAsia="Times New Roman" w:cs="Times New Roman"/>
          <w:color w:val="auto"/>
          <w:spacing w:val="-1"/>
          <w:highlight w:val="none"/>
          <w:lang w:eastAsia="zh-CN"/>
        </w:rPr>
        <w:t>2009</w:t>
      </w:r>
    </w:p>
    <w:p>
      <w:pPr>
        <w:spacing w:before="166" w:line="360" w:lineRule="auto"/>
        <w:ind w:left="3"/>
        <w:rPr>
          <w:rFonts w:ascii="Times New Roman" w:hAnsi="Times New Roman" w:eastAsia="Times New Roman" w:cs="Times New Roman"/>
          <w:color w:val="auto"/>
          <w:spacing w:val="-1"/>
          <w:sz w:val="22"/>
          <w:szCs w:val="22"/>
          <w:highlight w:val="none"/>
          <w:lang w:eastAsia="zh-CN"/>
        </w:rPr>
      </w:pPr>
      <w:r>
        <w:rPr>
          <w:rFonts w:ascii="Times New Roman" w:hAnsi="Times New Roman" w:eastAsia="Times New Roman" w:cs="Times New Roman"/>
          <w:color w:val="auto"/>
          <w:spacing w:val="-1"/>
          <w:sz w:val="22"/>
          <w:szCs w:val="22"/>
          <w:highlight w:val="none"/>
          <w:lang w:eastAsia="zh-CN"/>
        </w:rPr>
        <w:t>(</w:t>
      </w:r>
      <w:r>
        <w:rPr>
          <w:rFonts w:hint="eastAsia" w:ascii="Times New Roman" w:hAnsi="Times New Roman" w:eastAsia="Times New Roman" w:cs="Times New Roman"/>
          <w:color w:val="auto"/>
          <w:spacing w:val="-1"/>
          <w:sz w:val="22"/>
          <w:szCs w:val="22"/>
          <w:highlight w:val="none"/>
          <w:lang w:val="en-US" w:eastAsia="zh-CN"/>
        </w:rPr>
        <w:t>3</w:t>
      </w:r>
      <w:r>
        <w:rPr>
          <w:rFonts w:ascii="Times New Roman" w:hAnsi="Times New Roman" w:eastAsia="Times New Roman" w:cs="Times New Roman"/>
          <w:color w:val="auto"/>
          <w:spacing w:val="-1"/>
          <w:sz w:val="22"/>
          <w:szCs w:val="22"/>
          <w:highlight w:val="none"/>
          <w:lang w:eastAsia="zh-CN"/>
        </w:rPr>
        <w:t>)</w:t>
      </w:r>
      <w:r>
        <w:rPr>
          <w:rFonts w:hint="eastAsia" w:ascii="宋体" w:hAnsi="宋体" w:eastAsia="宋体" w:cs="宋体"/>
          <w:color w:val="auto"/>
          <w:spacing w:val="-1"/>
          <w:sz w:val="22"/>
          <w:szCs w:val="22"/>
          <w:highlight w:val="none"/>
          <w:lang w:eastAsia="zh-CN"/>
        </w:rPr>
        <w:t>《上海市绿化条例》（</w:t>
      </w:r>
      <w:r>
        <w:rPr>
          <w:rFonts w:ascii="Times New Roman" w:hAnsi="Times New Roman" w:eastAsia="Times New Roman" w:cs="Times New Roman"/>
          <w:color w:val="auto"/>
          <w:spacing w:val="-1"/>
          <w:sz w:val="22"/>
          <w:szCs w:val="22"/>
          <w:highlight w:val="none"/>
          <w:lang w:eastAsia="zh-CN"/>
        </w:rPr>
        <w:t>2018</w:t>
      </w:r>
      <w:r>
        <w:rPr>
          <w:rFonts w:hint="eastAsia" w:ascii="宋体" w:hAnsi="宋体" w:eastAsia="宋体" w:cs="宋体"/>
          <w:color w:val="auto"/>
          <w:spacing w:val="-1"/>
          <w:sz w:val="22"/>
          <w:szCs w:val="22"/>
          <w:highlight w:val="none"/>
          <w:lang w:eastAsia="zh-CN"/>
        </w:rPr>
        <w:t>年修正</w:t>
      </w:r>
      <w:r>
        <w:rPr>
          <w:rFonts w:ascii="Times New Roman" w:hAnsi="Times New Roman" w:eastAsia="Times New Roman" w:cs="Times New Roman"/>
          <w:color w:val="auto"/>
          <w:spacing w:val="-1"/>
          <w:sz w:val="22"/>
          <w:szCs w:val="22"/>
          <w:highlight w:val="none"/>
          <w:lang w:eastAsia="zh-CN"/>
        </w:rPr>
        <w:t>)</w:t>
      </w:r>
      <w:r>
        <w:rPr>
          <w:rFonts w:hint="eastAsia" w:ascii="宋体" w:hAnsi="宋体" w:eastAsia="宋体" w:cs="宋体"/>
          <w:color w:val="auto"/>
          <w:spacing w:val="-1"/>
          <w:sz w:val="22"/>
          <w:szCs w:val="22"/>
          <w:highlight w:val="none"/>
          <w:lang w:eastAsia="zh-CN"/>
        </w:rPr>
        <w:t>上海市人民代表大会常</w:t>
      </w:r>
      <w:bookmarkStart w:id="0" w:name="_GoBack"/>
      <w:bookmarkEnd w:id="0"/>
      <w:r>
        <w:rPr>
          <w:rFonts w:hint="eastAsia" w:ascii="宋体" w:hAnsi="宋体" w:eastAsia="宋体" w:cs="宋体"/>
          <w:color w:val="auto"/>
          <w:spacing w:val="-1"/>
          <w:sz w:val="22"/>
          <w:szCs w:val="22"/>
          <w:highlight w:val="none"/>
          <w:lang w:eastAsia="zh-CN"/>
        </w:rPr>
        <w:t>务委员会公告第</w:t>
      </w:r>
      <w:r>
        <w:rPr>
          <w:rFonts w:ascii="Times New Roman" w:hAnsi="Times New Roman" w:eastAsia="Times New Roman" w:cs="Times New Roman"/>
          <w:color w:val="auto"/>
          <w:spacing w:val="-1"/>
          <w:sz w:val="22"/>
          <w:szCs w:val="22"/>
          <w:highlight w:val="none"/>
          <w:lang w:eastAsia="zh-CN"/>
        </w:rPr>
        <w:t>15</w:t>
      </w:r>
      <w:r>
        <w:rPr>
          <w:rFonts w:hint="eastAsia" w:ascii="宋体" w:hAnsi="宋体" w:eastAsia="宋体" w:cs="宋体"/>
          <w:color w:val="auto"/>
          <w:spacing w:val="-1"/>
          <w:sz w:val="22"/>
          <w:szCs w:val="22"/>
          <w:highlight w:val="none"/>
          <w:lang w:eastAsia="zh-CN"/>
        </w:rPr>
        <w:t>号</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4</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《建筑设计防火规范》（</w:t>
      </w:r>
      <w:r>
        <w:rPr>
          <w:rFonts w:ascii="Times New Roman" w:hAnsi="Times New Roman" w:eastAsia="Times New Roman" w:cs="Times New Roman"/>
          <w:color w:val="auto"/>
          <w:spacing w:val="-3"/>
          <w:highlight w:val="none"/>
          <w:lang w:eastAsia="zh-CN"/>
        </w:rPr>
        <w:t>GB50016-2014(</w:t>
      </w:r>
      <w:r>
        <w:rPr>
          <w:rFonts w:ascii="Times New Roman" w:hAnsi="Times New Roman" w:eastAsia="Times New Roman" w:cs="Times New Roman"/>
          <w:color w:val="auto"/>
          <w:spacing w:val="-4"/>
          <w:highlight w:val="none"/>
          <w:lang w:eastAsia="zh-CN"/>
        </w:rPr>
        <w:t>2018</w:t>
      </w:r>
      <w:r>
        <w:rPr>
          <w:rFonts w:ascii="宋体" w:hAnsi="宋体" w:eastAsia="宋体" w:cs="宋体"/>
          <w:color w:val="auto"/>
          <w:spacing w:val="-4"/>
          <w:highlight w:val="none"/>
          <w:lang w:eastAsia="zh-CN"/>
        </w:rPr>
        <w:t>版</w:t>
      </w:r>
      <w:r>
        <w:rPr>
          <w:rFonts w:ascii="Times New Roman" w:hAnsi="Times New Roman" w:eastAsia="Times New Roman" w:cs="Times New Roman"/>
          <w:color w:val="auto"/>
          <w:spacing w:val="-4"/>
          <w:highlight w:val="none"/>
          <w:lang w:eastAsia="zh-CN"/>
        </w:rPr>
        <w:t>)</w:t>
      </w:r>
      <w:r>
        <w:rPr>
          <w:rFonts w:ascii="宋体" w:hAnsi="宋体" w:eastAsia="宋体" w:cs="宋体"/>
          <w:color w:val="auto"/>
          <w:spacing w:val="-4"/>
          <w:highlight w:val="none"/>
          <w:lang w:eastAsia="zh-CN"/>
        </w:rPr>
        <w:t>）</w:t>
      </w:r>
    </w:p>
    <w:p>
      <w:pPr>
        <w:spacing w:before="166" w:line="360" w:lineRule="auto"/>
        <w:ind w:left="1"/>
        <w:rPr>
          <w:rFonts w:ascii="Times New Roman" w:hAnsi="Times New Roman" w:eastAsia="Times New Roman" w:cs="Times New Roman"/>
          <w:color w:val="auto"/>
          <w:highlight w:val="none"/>
          <w:lang w:eastAsia="zh-CN"/>
        </w:rPr>
      </w:pPr>
      <w:r>
        <w:rPr>
          <w:rFonts w:ascii="Times New Roman" w:hAnsi="Times New Roman" w:eastAsia="Times New Roman" w:cs="Times New Roman"/>
          <w:color w:val="auto"/>
          <w:spacing w:val="-1"/>
          <w:highlight w:val="none"/>
          <w:lang w:eastAsia="zh-CN"/>
        </w:rPr>
        <w:t>(</w:t>
      </w:r>
      <w:r>
        <w:rPr>
          <w:rFonts w:hint="eastAsia" w:ascii="Times New Roman" w:hAnsi="Times New Roman" w:eastAsia="Times New Roman" w:cs="Times New Roman"/>
          <w:color w:val="auto"/>
          <w:spacing w:val="-1"/>
          <w:highlight w:val="none"/>
          <w:lang w:val="en-US" w:eastAsia="zh-CN"/>
        </w:rPr>
        <w:t>5</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《建筑内部装修设计防火规范》</w:t>
      </w:r>
      <w:r>
        <w:rPr>
          <w:rFonts w:ascii="Times New Roman" w:hAnsi="Times New Roman" w:eastAsia="Times New Roman" w:cs="Times New Roman"/>
          <w:color w:val="auto"/>
          <w:spacing w:val="-1"/>
          <w:highlight w:val="none"/>
          <w:lang w:eastAsia="zh-CN"/>
        </w:rPr>
        <w:t>(GB50222-2017)</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7"/>
          <w:highlight w:val="none"/>
          <w:lang w:eastAsia="zh-CN"/>
        </w:rPr>
        <w:t>(</w:t>
      </w:r>
      <w:r>
        <w:rPr>
          <w:rFonts w:hint="eastAsia" w:ascii="Times New Roman" w:hAnsi="Times New Roman" w:eastAsia="Times New Roman" w:cs="Times New Roman"/>
          <w:color w:val="auto"/>
          <w:spacing w:val="-7"/>
          <w:highlight w:val="none"/>
          <w:lang w:val="en-US" w:eastAsia="zh-CN"/>
        </w:rPr>
        <w:t>6</w:t>
      </w:r>
      <w:r>
        <w:rPr>
          <w:rFonts w:ascii="Times New Roman" w:hAnsi="Times New Roman" w:eastAsia="Times New Roman" w:cs="Times New Roman"/>
          <w:color w:val="auto"/>
          <w:spacing w:val="-7"/>
          <w:highlight w:val="none"/>
          <w:lang w:eastAsia="zh-CN"/>
        </w:rPr>
        <w:t>)</w:t>
      </w:r>
      <w:r>
        <w:rPr>
          <w:rFonts w:ascii="宋体" w:hAnsi="宋体" w:eastAsia="宋体" w:cs="宋体"/>
          <w:color w:val="auto"/>
          <w:spacing w:val="-7"/>
          <w:highlight w:val="none"/>
          <w:lang w:eastAsia="zh-CN"/>
        </w:rPr>
        <w:t>《上海市绿化条例》（</w:t>
      </w:r>
      <w:r>
        <w:rPr>
          <w:rFonts w:ascii="Times New Roman" w:hAnsi="Times New Roman" w:eastAsia="Times New Roman" w:cs="Times New Roman"/>
          <w:color w:val="auto"/>
          <w:spacing w:val="-7"/>
          <w:highlight w:val="none"/>
          <w:lang w:eastAsia="zh-CN"/>
        </w:rPr>
        <w:t>2015</w:t>
      </w:r>
      <w:r>
        <w:rPr>
          <w:rFonts w:ascii="宋体" w:hAnsi="宋体" w:eastAsia="宋体" w:cs="宋体"/>
          <w:color w:val="auto"/>
          <w:spacing w:val="-7"/>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7</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《园林绿化养护技术等级标准》（</w:t>
      </w:r>
      <w:r>
        <w:rPr>
          <w:rFonts w:ascii="Times New Roman" w:hAnsi="Times New Roman" w:eastAsia="Times New Roman" w:cs="Times New Roman"/>
          <w:color w:val="auto"/>
          <w:spacing w:val="-3"/>
          <w:highlight w:val="none"/>
          <w:lang w:eastAsia="zh-CN"/>
        </w:rPr>
        <w:t>DG/TJ08-0702-2</w:t>
      </w:r>
      <w:r>
        <w:rPr>
          <w:rFonts w:ascii="Times New Roman" w:hAnsi="Times New Roman" w:eastAsia="Times New Roman" w:cs="Times New Roman"/>
          <w:color w:val="auto"/>
          <w:spacing w:val="-4"/>
          <w:highlight w:val="none"/>
          <w:lang w:eastAsia="zh-CN"/>
        </w:rPr>
        <w:t>011</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8</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《园林绿化植物栽植技术规程》（</w:t>
      </w:r>
      <w:r>
        <w:rPr>
          <w:rFonts w:ascii="Times New Roman" w:hAnsi="Times New Roman" w:eastAsia="Times New Roman" w:cs="Times New Roman"/>
          <w:color w:val="auto"/>
          <w:spacing w:val="-3"/>
          <w:highlight w:val="none"/>
          <w:lang w:eastAsia="zh-CN"/>
        </w:rPr>
        <w:t>DG/TJ0</w:t>
      </w:r>
      <w:r>
        <w:rPr>
          <w:rFonts w:ascii="Times New Roman" w:hAnsi="Times New Roman" w:eastAsia="Times New Roman" w:cs="Times New Roman"/>
          <w:color w:val="auto"/>
          <w:spacing w:val="-4"/>
          <w:highlight w:val="none"/>
          <w:lang w:eastAsia="zh-CN"/>
        </w:rPr>
        <w:t>8-18-2011</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w:t>
      </w:r>
      <w:r>
        <w:rPr>
          <w:rFonts w:hint="eastAsia" w:ascii="Times New Roman" w:hAnsi="Times New Roman" w:eastAsia="Times New Roman" w:cs="Times New Roman"/>
          <w:color w:val="auto"/>
          <w:spacing w:val="-4"/>
          <w:highlight w:val="none"/>
          <w:lang w:val="en-US" w:eastAsia="zh-CN"/>
        </w:rPr>
        <w:t>9</w:t>
      </w:r>
      <w:r>
        <w:rPr>
          <w:rFonts w:ascii="Times New Roman" w:hAnsi="Times New Roman" w:eastAsia="Times New Roman" w:cs="Times New Roman"/>
          <w:color w:val="auto"/>
          <w:spacing w:val="-4"/>
          <w:highlight w:val="none"/>
          <w:lang w:eastAsia="zh-CN"/>
        </w:rPr>
        <w:t>)</w:t>
      </w:r>
      <w:r>
        <w:rPr>
          <w:rFonts w:ascii="宋体" w:hAnsi="宋体" w:eastAsia="宋体" w:cs="宋体"/>
          <w:color w:val="auto"/>
          <w:spacing w:val="-4"/>
          <w:highlight w:val="none"/>
          <w:lang w:eastAsia="zh-CN"/>
        </w:rPr>
        <w:t>《园林绿化养护技术规程》（</w:t>
      </w:r>
      <w:r>
        <w:rPr>
          <w:rFonts w:ascii="Times New Roman" w:hAnsi="Times New Roman" w:eastAsia="Times New Roman" w:cs="Times New Roman"/>
          <w:color w:val="auto"/>
          <w:spacing w:val="-4"/>
          <w:highlight w:val="none"/>
          <w:lang w:eastAsia="zh-CN"/>
        </w:rPr>
        <w:t>DG/TJ08-19-2011</w:t>
      </w:r>
      <w:r>
        <w:rPr>
          <w:rFonts w:ascii="宋体" w:hAnsi="宋体" w:eastAsia="宋体" w:cs="宋体"/>
          <w:color w:val="auto"/>
          <w:spacing w:val="-4"/>
          <w:highlight w:val="none"/>
          <w:lang w:eastAsia="zh-CN"/>
        </w:rPr>
        <w:t>）</w:t>
      </w:r>
    </w:p>
    <w:p>
      <w:pPr>
        <w:spacing w:before="167"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10</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《行道树养护技术规程》（</w:t>
      </w:r>
      <w:r>
        <w:rPr>
          <w:rFonts w:ascii="Times New Roman" w:hAnsi="Times New Roman" w:eastAsia="Times New Roman" w:cs="Times New Roman"/>
          <w:color w:val="auto"/>
          <w:spacing w:val="-3"/>
          <w:highlight w:val="none"/>
          <w:lang w:eastAsia="zh-CN"/>
        </w:rPr>
        <w:t>DG/TJ</w:t>
      </w:r>
      <w:r>
        <w:rPr>
          <w:rFonts w:ascii="Times New Roman" w:hAnsi="Times New Roman" w:eastAsia="Times New Roman" w:cs="Times New Roman"/>
          <w:color w:val="auto"/>
          <w:spacing w:val="-4"/>
          <w:highlight w:val="none"/>
          <w:lang w:eastAsia="zh-CN"/>
        </w:rPr>
        <w:t>08-2105-2012</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w:t>
      </w:r>
      <w:r>
        <w:rPr>
          <w:rFonts w:hint="eastAsia" w:ascii="Times New Roman" w:hAnsi="Times New Roman" w:eastAsia="Times New Roman" w:cs="Times New Roman"/>
          <w:color w:val="auto"/>
          <w:spacing w:val="-4"/>
          <w:highlight w:val="none"/>
          <w:lang w:val="en-US" w:eastAsia="zh-CN"/>
        </w:rPr>
        <w:t>11</w:t>
      </w:r>
      <w:r>
        <w:rPr>
          <w:rFonts w:ascii="Times New Roman" w:hAnsi="Times New Roman" w:eastAsia="Times New Roman" w:cs="Times New Roman"/>
          <w:color w:val="auto"/>
          <w:spacing w:val="-4"/>
          <w:highlight w:val="none"/>
          <w:lang w:eastAsia="zh-CN"/>
        </w:rPr>
        <w:t>)</w:t>
      </w:r>
      <w:r>
        <w:rPr>
          <w:rFonts w:ascii="宋体" w:hAnsi="宋体" w:eastAsia="宋体" w:cs="宋体"/>
          <w:color w:val="auto"/>
          <w:spacing w:val="-4"/>
          <w:highlight w:val="none"/>
          <w:lang w:eastAsia="zh-CN"/>
        </w:rPr>
        <w:t>《行道树栽植技术规程》（</w:t>
      </w:r>
      <w:r>
        <w:rPr>
          <w:rFonts w:ascii="Times New Roman" w:hAnsi="Times New Roman" w:eastAsia="Times New Roman" w:cs="Times New Roman"/>
          <w:color w:val="auto"/>
          <w:spacing w:val="-4"/>
          <w:highlight w:val="none"/>
          <w:lang w:eastAsia="zh-CN"/>
        </w:rPr>
        <w:t>DG/TJ08-54-2014</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w:t>
      </w:r>
      <w:r>
        <w:rPr>
          <w:rFonts w:hint="eastAsia" w:ascii="Times New Roman" w:hAnsi="Times New Roman" w:eastAsia="Times New Roman" w:cs="Times New Roman"/>
          <w:color w:val="auto"/>
          <w:spacing w:val="-4"/>
          <w:highlight w:val="none"/>
          <w:lang w:val="en-US" w:eastAsia="zh-CN"/>
        </w:rPr>
        <w:t>12</w:t>
      </w:r>
      <w:r>
        <w:rPr>
          <w:rFonts w:ascii="Times New Roman" w:hAnsi="Times New Roman" w:eastAsia="Times New Roman" w:cs="Times New Roman"/>
          <w:color w:val="auto"/>
          <w:spacing w:val="-4"/>
          <w:highlight w:val="none"/>
          <w:lang w:eastAsia="zh-CN"/>
        </w:rPr>
        <w:t>)</w:t>
      </w:r>
      <w:r>
        <w:rPr>
          <w:rFonts w:ascii="宋体" w:hAnsi="宋体" w:eastAsia="宋体" w:cs="宋体"/>
          <w:color w:val="auto"/>
          <w:spacing w:val="-4"/>
          <w:highlight w:val="none"/>
          <w:lang w:eastAsia="zh-CN"/>
        </w:rPr>
        <w:t>《花坛、花镜技术规程》（</w:t>
      </w:r>
      <w:r>
        <w:rPr>
          <w:rFonts w:ascii="Times New Roman" w:hAnsi="Times New Roman" w:eastAsia="Times New Roman" w:cs="Times New Roman"/>
          <w:color w:val="auto"/>
          <w:spacing w:val="-4"/>
          <w:highlight w:val="none"/>
          <w:lang w:eastAsia="zh-CN"/>
        </w:rPr>
        <w:t>DG/TJ08-66-2016</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13</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《花坪建植和养护技术规程》（</w:t>
      </w:r>
      <w:r>
        <w:rPr>
          <w:rFonts w:ascii="Times New Roman" w:hAnsi="Times New Roman" w:eastAsia="Times New Roman" w:cs="Times New Roman"/>
          <w:color w:val="auto"/>
          <w:spacing w:val="-3"/>
          <w:highlight w:val="none"/>
          <w:lang w:eastAsia="zh-CN"/>
        </w:rPr>
        <w:t>DG/TJ0</w:t>
      </w:r>
      <w:r>
        <w:rPr>
          <w:rFonts w:ascii="Times New Roman" w:hAnsi="Times New Roman" w:eastAsia="Times New Roman" w:cs="Times New Roman"/>
          <w:color w:val="auto"/>
          <w:spacing w:val="-4"/>
          <w:highlight w:val="none"/>
          <w:lang w:eastAsia="zh-CN"/>
        </w:rPr>
        <w:t>8-67-2015</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w:t>
      </w:r>
      <w:r>
        <w:rPr>
          <w:rFonts w:hint="eastAsia" w:ascii="Times New Roman" w:hAnsi="Times New Roman" w:eastAsia="Times New Roman" w:cs="Times New Roman"/>
          <w:color w:val="auto"/>
          <w:spacing w:val="-4"/>
          <w:highlight w:val="none"/>
          <w:lang w:val="en-US" w:eastAsia="zh-CN"/>
        </w:rPr>
        <w:t>14</w:t>
      </w:r>
      <w:r>
        <w:rPr>
          <w:rFonts w:ascii="Times New Roman" w:hAnsi="Times New Roman" w:eastAsia="Times New Roman" w:cs="Times New Roman"/>
          <w:color w:val="auto"/>
          <w:spacing w:val="-4"/>
          <w:highlight w:val="none"/>
          <w:lang w:eastAsia="zh-CN"/>
        </w:rPr>
        <w:t>)</w:t>
      </w:r>
      <w:r>
        <w:rPr>
          <w:rFonts w:ascii="宋体" w:hAnsi="宋体" w:eastAsia="宋体" w:cs="宋体"/>
          <w:color w:val="auto"/>
          <w:spacing w:val="-4"/>
          <w:highlight w:val="none"/>
          <w:lang w:eastAsia="zh-CN"/>
        </w:rPr>
        <w:t>《立体绿化技术规程》（</w:t>
      </w:r>
      <w:r>
        <w:rPr>
          <w:rFonts w:ascii="Times New Roman" w:hAnsi="Times New Roman" w:eastAsia="Times New Roman" w:cs="Times New Roman"/>
          <w:color w:val="auto"/>
          <w:spacing w:val="-4"/>
          <w:highlight w:val="none"/>
          <w:lang w:eastAsia="zh-CN"/>
        </w:rPr>
        <w:t>DG/TJ08-75-2014</w:t>
      </w:r>
      <w:r>
        <w:rPr>
          <w:rFonts w:ascii="宋体" w:hAnsi="宋体" w:eastAsia="宋体" w:cs="宋体"/>
          <w:color w:val="auto"/>
          <w:spacing w:val="-4"/>
          <w:highlight w:val="none"/>
          <w:lang w:eastAsia="zh-CN"/>
        </w:rPr>
        <w:t>）</w:t>
      </w:r>
    </w:p>
    <w:p>
      <w:pPr>
        <w:spacing w:before="167"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15</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《绿化植物保护技术规程》（</w:t>
      </w:r>
      <w:r>
        <w:rPr>
          <w:rFonts w:ascii="Times New Roman" w:hAnsi="Times New Roman" w:eastAsia="Times New Roman" w:cs="Times New Roman"/>
          <w:color w:val="auto"/>
          <w:spacing w:val="-3"/>
          <w:highlight w:val="none"/>
          <w:lang w:eastAsia="zh-CN"/>
        </w:rPr>
        <w:t>DG/T</w:t>
      </w:r>
      <w:r>
        <w:rPr>
          <w:rFonts w:ascii="Times New Roman" w:hAnsi="Times New Roman" w:eastAsia="Times New Roman" w:cs="Times New Roman"/>
          <w:color w:val="auto"/>
          <w:spacing w:val="-4"/>
          <w:highlight w:val="none"/>
          <w:lang w:eastAsia="zh-CN"/>
        </w:rPr>
        <w:t>J08-35-2014</w:t>
      </w:r>
      <w:r>
        <w:rPr>
          <w:rFonts w:ascii="宋体" w:hAnsi="宋体" w:eastAsia="宋体" w:cs="宋体"/>
          <w:color w:val="auto"/>
          <w:spacing w:val="-4"/>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w:t>
      </w:r>
      <w:r>
        <w:rPr>
          <w:rFonts w:hint="eastAsia" w:ascii="Times New Roman" w:hAnsi="Times New Roman" w:eastAsia="Times New Roman" w:cs="Times New Roman"/>
          <w:color w:val="auto"/>
          <w:spacing w:val="-1"/>
          <w:highlight w:val="none"/>
          <w:lang w:val="en-US" w:eastAsia="zh-CN"/>
        </w:rPr>
        <w:t>16</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《上海市古树名木和古树后续资源保护条例》</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w:t>
      </w:r>
      <w:r>
        <w:rPr>
          <w:rFonts w:hint="eastAsia" w:ascii="Times New Roman" w:hAnsi="Times New Roman" w:eastAsia="Times New Roman" w:cs="Times New Roman"/>
          <w:color w:val="auto"/>
          <w:spacing w:val="-3"/>
          <w:highlight w:val="none"/>
          <w:lang w:val="en-US" w:eastAsia="zh-CN"/>
        </w:rPr>
        <w:t>17</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《绿化市容专用轮式电动作业机具安全技术规范》（</w:t>
      </w:r>
      <w:r>
        <w:rPr>
          <w:rFonts w:ascii="Times New Roman" w:hAnsi="Times New Roman" w:eastAsia="Times New Roman" w:cs="Times New Roman"/>
          <w:color w:val="auto"/>
          <w:spacing w:val="-3"/>
          <w:highlight w:val="none"/>
          <w:lang w:eastAsia="zh-CN"/>
        </w:rPr>
        <w:t>DB31/T923-2015</w:t>
      </w:r>
      <w:r>
        <w:rPr>
          <w:rFonts w:ascii="宋体" w:hAnsi="宋体" w:eastAsia="宋体" w:cs="宋体"/>
          <w:color w:val="auto"/>
          <w:spacing w:val="-3"/>
          <w:highlight w:val="none"/>
          <w:lang w:eastAsia="zh-CN"/>
        </w:rPr>
        <w:t>）</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w:t>
      </w:r>
      <w:r>
        <w:rPr>
          <w:rFonts w:hint="eastAsia" w:ascii="Times New Roman" w:hAnsi="Times New Roman" w:eastAsia="Times New Roman" w:cs="Times New Roman"/>
          <w:color w:val="auto"/>
          <w:spacing w:val="-1"/>
          <w:highlight w:val="none"/>
          <w:lang w:val="en-US" w:eastAsia="zh-CN"/>
        </w:rPr>
        <w:t>18</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《上海市建设工程文明施工管理规定》</w:t>
      </w:r>
    </w:p>
    <w:p>
      <w:pPr>
        <w:spacing w:before="166"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w:t>
      </w:r>
      <w:r>
        <w:rPr>
          <w:rFonts w:hint="eastAsia" w:ascii="Times New Roman" w:hAnsi="Times New Roman" w:eastAsia="Times New Roman" w:cs="Times New Roman"/>
          <w:color w:val="auto"/>
          <w:spacing w:val="-1"/>
          <w:highlight w:val="none"/>
          <w:lang w:val="en-US" w:eastAsia="zh-CN"/>
        </w:rPr>
        <w:t>19</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《上海市建设工程文明施工标准》</w:t>
      </w:r>
    </w:p>
    <w:p>
      <w:pPr>
        <w:spacing w:before="167" w:line="360" w:lineRule="auto"/>
        <w:ind w:left="1"/>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w:t>
      </w:r>
      <w:r>
        <w:rPr>
          <w:rFonts w:hint="eastAsia" w:ascii="Times New Roman" w:hAnsi="Times New Roman" w:eastAsia="Times New Roman" w:cs="Times New Roman"/>
          <w:color w:val="auto"/>
          <w:spacing w:val="-1"/>
          <w:highlight w:val="none"/>
          <w:lang w:val="en-US" w:eastAsia="zh-CN"/>
        </w:rPr>
        <w:t>20</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《中华人民共和国突发事件应对法》</w:t>
      </w:r>
    </w:p>
    <w:p>
      <w:pPr>
        <w:spacing w:before="166" w:line="360" w:lineRule="auto"/>
        <w:ind w:left="1"/>
        <w:rPr>
          <w:rFonts w:ascii="宋体" w:hAnsi="宋体" w:eastAsia="宋体" w:cs="宋体"/>
          <w:color w:val="auto"/>
          <w:spacing w:val="-1"/>
          <w:highlight w:val="none"/>
          <w:lang w:eastAsia="zh-CN"/>
        </w:rPr>
      </w:pPr>
      <w:r>
        <w:rPr>
          <w:rFonts w:ascii="Times New Roman" w:hAnsi="Times New Roman" w:eastAsia="Times New Roman" w:cs="Times New Roman"/>
          <w:color w:val="auto"/>
          <w:spacing w:val="-1"/>
          <w:highlight w:val="none"/>
          <w:lang w:eastAsia="zh-CN"/>
        </w:rPr>
        <w:t>(2</w:t>
      </w:r>
      <w:r>
        <w:rPr>
          <w:rFonts w:hint="eastAsia" w:ascii="Times New Roman" w:hAnsi="Times New Roman" w:eastAsia="Times New Roman" w:cs="Times New Roman"/>
          <w:color w:val="auto"/>
          <w:spacing w:val="-1"/>
          <w:highlight w:val="none"/>
          <w:lang w:val="en-US" w:eastAsia="zh-CN"/>
        </w:rPr>
        <w:t>1</w:t>
      </w:r>
      <w:r>
        <w:rPr>
          <w:rFonts w:ascii="Times New Roman" w:hAnsi="Times New Roman" w:eastAsia="Times New Roman" w:cs="Times New Roman"/>
          <w:color w:val="auto"/>
          <w:spacing w:val="-1"/>
          <w:highlight w:val="none"/>
          <w:lang w:eastAsia="zh-CN"/>
        </w:rPr>
        <w:t>)</w:t>
      </w:r>
      <w:r>
        <w:rPr>
          <w:rFonts w:ascii="宋体" w:hAnsi="宋体" w:eastAsia="宋体" w:cs="宋体"/>
          <w:color w:val="auto"/>
          <w:spacing w:val="-1"/>
          <w:highlight w:val="none"/>
          <w:lang w:eastAsia="zh-CN"/>
        </w:rPr>
        <w:t>《中华人民共和国安全生产法》</w:t>
      </w:r>
    </w:p>
    <w:p>
      <w:pPr>
        <w:spacing w:before="166" w:line="360" w:lineRule="auto"/>
        <w:ind w:left="1" w:firstLine="440" w:firstLineChars="200"/>
        <w:rPr>
          <w:rFonts w:ascii="宋体" w:hAnsi="宋体" w:eastAsia="宋体" w:cs="宋体"/>
          <w:color w:val="auto"/>
          <w:highlight w:val="none"/>
          <w:lang w:eastAsia="zh-CN"/>
        </w:rPr>
      </w:pPr>
      <w:r>
        <w:rPr>
          <w:color w:val="auto"/>
          <w:sz w:val="22"/>
          <w:szCs w:val="20"/>
          <w:highlight w:val="none"/>
        </w:rPr>
        <w:t>各</w:t>
      </w:r>
      <w:r>
        <w:rPr>
          <w:rFonts w:hint="eastAsia" w:eastAsia="宋体"/>
          <w:color w:val="auto"/>
          <w:sz w:val="22"/>
          <w:szCs w:val="20"/>
          <w:highlight w:val="none"/>
          <w:lang w:eastAsia="zh-CN"/>
        </w:rPr>
        <w:t>供应商</w:t>
      </w:r>
      <w:r>
        <w:rPr>
          <w:color w:val="auto"/>
          <w:sz w:val="22"/>
          <w:szCs w:val="20"/>
          <w:highlight w:val="none"/>
        </w:rPr>
        <w:t>应充分注意，凡涉及国家或行业管理部门颁发的相关规范、规程和标准，无论其是否在本</w:t>
      </w:r>
      <w:r>
        <w:rPr>
          <w:rFonts w:hint="eastAsia" w:eastAsia="宋体"/>
          <w:color w:val="auto"/>
          <w:sz w:val="22"/>
          <w:szCs w:val="20"/>
          <w:highlight w:val="none"/>
          <w:lang w:eastAsia="zh-CN"/>
        </w:rPr>
        <w:t>采购</w:t>
      </w:r>
      <w:r>
        <w:rPr>
          <w:color w:val="auto"/>
          <w:sz w:val="22"/>
          <w:szCs w:val="20"/>
          <w:highlight w:val="none"/>
        </w:rPr>
        <w:t>文件中列明，</w:t>
      </w:r>
      <w:r>
        <w:rPr>
          <w:rFonts w:hint="eastAsia" w:eastAsia="宋体"/>
          <w:color w:val="auto"/>
          <w:sz w:val="22"/>
          <w:szCs w:val="20"/>
          <w:highlight w:val="none"/>
          <w:lang w:eastAsia="zh-CN"/>
        </w:rPr>
        <w:t>供应商</w:t>
      </w:r>
      <w:r>
        <w:rPr>
          <w:color w:val="auto"/>
          <w:sz w:val="22"/>
          <w:szCs w:val="20"/>
          <w:highlight w:val="none"/>
        </w:rPr>
        <w:t>应无条件执行。标准、规范等不一致的，以要求高者为准。</w:t>
      </w:r>
    </w:p>
    <w:p>
      <w:pPr>
        <w:spacing w:before="180" w:line="360" w:lineRule="auto"/>
        <w:ind w:left="3"/>
        <w:outlineLvl w:val="1"/>
        <w:rPr>
          <w:rFonts w:ascii="宋体" w:hAnsi="宋体" w:eastAsia="宋体" w:cs="宋体"/>
          <w:b/>
          <w:bCs/>
          <w:color w:val="auto"/>
          <w:spacing w:val="-4"/>
          <w:sz w:val="30"/>
          <w:szCs w:val="30"/>
          <w:highlight w:val="none"/>
          <w:lang w:eastAsia="zh-CN"/>
        </w:rPr>
      </w:pPr>
      <w:r>
        <w:rPr>
          <w:rFonts w:ascii="宋体" w:hAnsi="宋体" w:eastAsia="宋体" w:cs="宋体"/>
          <w:b/>
          <w:bCs/>
          <w:color w:val="auto"/>
          <w:spacing w:val="-4"/>
          <w:sz w:val="30"/>
          <w:szCs w:val="30"/>
          <w:highlight w:val="none"/>
          <w:lang w:eastAsia="zh-CN"/>
        </w:rPr>
        <w:t>三</w:t>
      </w:r>
      <w:r>
        <w:rPr>
          <w:rFonts w:hint="eastAsia" w:ascii="宋体" w:hAnsi="宋体" w:eastAsia="宋体" w:cs="宋体"/>
          <w:color w:val="auto"/>
          <w:spacing w:val="-4"/>
          <w:sz w:val="30"/>
          <w:szCs w:val="30"/>
          <w:highlight w:val="none"/>
          <w:lang w:eastAsia="zh-CN"/>
        </w:rPr>
        <w:t>、</w:t>
      </w:r>
      <w:r>
        <w:rPr>
          <w:rFonts w:hint="eastAsia" w:ascii="宋体" w:hAnsi="宋体" w:eastAsia="宋体" w:cs="宋体"/>
          <w:b/>
          <w:bCs/>
          <w:color w:val="auto"/>
          <w:spacing w:val="-4"/>
          <w:sz w:val="30"/>
          <w:szCs w:val="30"/>
          <w:highlight w:val="none"/>
          <w:lang w:eastAsia="zh-CN"/>
        </w:rPr>
        <w:t>采购</w:t>
      </w:r>
      <w:r>
        <w:rPr>
          <w:rFonts w:ascii="宋体" w:hAnsi="宋体" w:eastAsia="宋体" w:cs="宋体"/>
          <w:b/>
          <w:bCs/>
          <w:color w:val="auto"/>
          <w:spacing w:val="-4"/>
          <w:sz w:val="30"/>
          <w:szCs w:val="30"/>
          <w:highlight w:val="none"/>
          <w:lang w:eastAsia="zh-CN"/>
        </w:rPr>
        <w:t>实施内容及要求</w:t>
      </w:r>
    </w:p>
    <w:p>
      <w:pPr>
        <w:spacing w:before="0" w:line="360" w:lineRule="auto"/>
        <w:ind w:left="0" w:firstLine="476" w:firstLineChars="200"/>
        <w:outlineLvl w:val="9"/>
        <w:rPr>
          <w:rFonts w:hint="eastAsia" w:ascii="CESI宋体-GB2312" w:hAnsi="CESI宋体-GB2312" w:eastAsia="CESI宋体-GB2312" w:cs="CESI宋体-GB2312"/>
          <w:b/>
          <w:bCs/>
          <w:color w:val="auto"/>
          <w:spacing w:val="-1"/>
          <w:sz w:val="24"/>
          <w:szCs w:val="24"/>
          <w:highlight w:val="none"/>
          <w:lang w:eastAsia="zh-CN"/>
        </w:rPr>
      </w:pPr>
      <w:r>
        <w:rPr>
          <w:rFonts w:hint="eastAsia" w:ascii="CESI宋体-GB2312" w:hAnsi="CESI宋体-GB2312" w:eastAsia="CESI宋体-GB2312" w:cs="CESI宋体-GB2312"/>
          <w:b/>
          <w:bCs/>
          <w:color w:val="auto"/>
          <w:spacing w:val="-1"/>
          <w:sz w:val="24"/>
          <w:szCs w:val="24"/>
          <w:highlight w:val="none"/>
          <w:lang w:eastAsia="zh-CN"/>
        </w:rPr>
        <w:t>3.1场地现状及整治工作内容</w:t>
      </w:r>
    </w:p>
    <w:p>
      <w:pPr>
        <w:keepNext w:val="0"/>
        <w:keepLines w:val="0"/>
        <w:widowControl/>
        <w:suppressLineNumbers w:val="0"/>
        <w:spacing w:line="360" w:lineRule="auto"/>
        <w:ind w:firstLine="436" w:firstLineChars="200"/>
        <w:jc w:val="left"/>
        <w:rPr>
          <w:rFonts w:hint="eastAsia" w:ascii="CESI宋体-GB2312" w:hAnsi="CESI宋体-GB2312" w:eastAsia="CESI宋体-GB2312" w:cs="CESI宋体-GB2312"/>
          <w:color w:val="auto"/>
          <w:spacing w:val="-1"/>
          <w:sz w:val="22"/>
          <w:szCs w:val="22"/>
          <w:highlight w:val="none"/>
          <w:lang w:eastAsia="zh-CN"/>
        </w:rPr>
      </w:pPr>
      <w:r>
        <w:rPr>
          <w:rFonts w:hint="eastAsia" w:ascii="CESI宋体-GB2312" w:hAnsi="CESI宋体-GB2312" w:eastAsia="CESI宋体-GB2312" w:cs="CESI宋体-GB2312"/>
          <w:color w:val="auto"/>
          <w:spacing w:val="-1"/>
          <w:sz w:val="22"/>
          <w:szCs w:val="22"/>
          <w:highlight w:val="none"/>
          <w:lang w:val="en-US" w:eastAsia="zh-CN"/>
        </w:rPr>
        <w:t>21-01地块绿地，位于夏栎路西侧，上海财经大学附属中学北侧，麦冬路南侧，赤松三路东侧。方竹路北侧 WSW-C3-1-2 地块绿地，位于环湖西三路西侧，方竹路北侧，停车场围栏南侧，紫荆花路东侧。C04-03 地块绿地，东至海洋五路，西至海洋四路，南至地块红线，北至地块红线。上述三个区域周边为学校、办公楼宇，目前现状环境效果较差、杂草丛生、存在较多垃圾。本次整治内容包括杂草清除、土地平整、垃圾外运及播种草籽等</w:t>
      </w:r>
      <w:r>
        <w:rPr>
          <w:rFonts w:hint="eastAsia" w:ascii="CESI宋体-GB2312" w:hAnsi="CESI宋体-GB2312" w:eastAsia="CESI宋体-GB2312" w:cs="CESI宋体-GB2312"/>
          <w:color w:val="auto"/>
          <w:spacing w:val="-1"/>
          <w:sz w:val="22"/>
          <w:szCs w:val="22"/>
          <w:highlight w:val="none"/>
          <w:lang w:eastAsia="zh-CN"/>
        </w:rPr>
        <w:t>。</w:t>
      </w:r>
    </w:p>
    <w:p>
      <w:pPr>
        <w:spacing w:before="0" w:line="360" w:lineRule="auto"/>
        <w:ind w:left="0" w:right="0" w:firstLine="436" w:firstLineChars="200"/>
        <w:rPr>
          <w:rFonts w:hint="eastAsia" w:ascii="CESI宋体-GB2312" w:hAnsi="CESI宋体-GB2312" w:eastAsia="CESI宋体-GB2312" w:cs="CESI宋体-GB2312"/>
          <w:color w:val="auto"/>
          <w:spacing w:val="-1"/>
          <w:sz w:val="22"/>
          <w:szCs w:val="22"/>
          <w:highlight w:val="none"/>
          <w:lang w:eastAsia="zh-CN"/>
        </w:rPr>
      </w:pPr>
      <w:r>
        <w:rPr>
          <w:rFonts w:hint="eastAsia" w:ascii="CESI宋体-GB2312" w:hAnsi="CESI宋体-GB2312" w:eastAsia="CESI宋体-GB2312" w:cs="CESI宋体-GB2312"/>
          <w:color w:val="auto"/>
          <w:spacing w:val="-1"/>
          <w:sz w:val="22"/>
          <w:szCs w:val="22"/>
          <w:highlight w:val="none"/>
          <w:lang w:eastAsia="zh-CN"/>
        </w:rPr>
        <w:t>整治服务完成期限：合同签订生效后</w:t>
      </w:r>
      <w:r>
        <w:rPr>
          <w:rFonts w:hint="eastAsia" w:ascii="CESI宋体-GB2312" w:hAnsi="CESI宋体-GB2312" w:eastAsia="CESI宋体-GB2312" w:cs="CESI宋体-GB2312"/>
          <w:color w:val="auto"/>
          <w:spacing w:val="-1"/>
          <w:sz w:val="22"/>
          <w:szCs w:val="22"/>
          <w:highlight w:val="none"/>
          <w:lang w:val="en-US" w:eastAsia="zh-CN"/>
        </w:rPr>
        <w:t>60</w:t>
      </w:r>
      <w:r>
        <w:rPr>
          <w:rFonts w:hint="eastAsia" w:ascii="CESI宋体-GB2312" w:hAnsi="CESI宋体-GB2312" w:eastAsia="CESI宋体-GB2312" w:cs="CESI宋体-GB2312"/>
          <w:color w:val="auto"/>
          <w:spacing w:val="-1"/>
          <w:sz w:val="22"/>
          <w:szCs w:val="22"/>
          <w:highlight w:val="none"/>
          <w:lang w:eastAsia="zh-CN"/>
        </w:rPr>
        <w:t>天内，完成合同约定的全部服务工作并通过采购人验收。</w:t>
      </w:r>
    </w:p>
    <w:p>
      <w:pPr>
        <w:pStyle w:val="2"/>
        <w:ind w:firstLine="420" w:firstLineChars="0"/>
        <w:rPr>
          <w:rFonts w:hint="eastAsia"/>
          <w:lang w:eastAsia="zh-CN"/>
        </w:rPr>
      </w:pPr>
      <w:r>
        <w:rPr>
          <w:rFonts w:hint="eastAsia" w:ascii="仿宋_GB2312" w:hAnsi="仿宋_GB2312" w:eastAsia="仿宋_GB2312" w:cs="仿宋_GB2312"/>
          <w:color w:val="FF0000"/>
          <w:lang w:eastAsia="zh-CN"/>
        </w:rPr>
        <w:t>★</w:t>
      </w:r>
      <w:r>
        <w:rPr>
          <w:rFonts w:hint="eastAsia" w:ascii="CESI宋体-GB2312" w:hAnsi="CESI宋体-GB2312" w:eastAsia="CESI宋体-GB2312" w:cs="CESI宋体-GB2312"/>
          <w:color w:val="auto"/>
          <w:spacing w:val="-1"/>
          <w:sz w:val="22"/>
          <w:szCs w:val="22"/>
          <w:highlight w:val="none"/>
          <w:lang w:eastAsia="zh-CN"/>
        </w:rPr>
        <w:t>对《设施量清单》内的数量与内容不得进行缩减，否则视为实质性未响应。</w:t>
      </w:r>
    </w:p>
    <w:p>
      <w:pPr>
        <w:pStyle w:val="2"/>
        <w:jc w:val="center"/>
        <w:rPr>
          <w:rFonts w:hint="eastAsia" w:ascii="宋体" w:hAnsi="宋体" w:eastAsia="宋体" w:cs="宋体"/>
          <w:b/>
          <w:bCs/>
          <w:color w:val="auto"/>
          <w:spacing w:val="-1"/>
          <w:sz w:val="22"/>
          <w:szCs w:val="22"/>
          <w:highlight w:val="none"/>
          <w:vertAlign w:val="baseline"/>
          <w:lang w:val="en-US" w:eastAsia="zh-CN"/>
        </w:rPr>
      </w:pPr>
      <w:r>
        <w:rPr>
          <w:rFonts w:hint="eastAsia" w:ascii="宋体" w:hAnsi="宋体" w:eastAsia="宋体" w:cs="宋体"/>
          <w:b/>
          <w:bCs/>
          <w:color w:val="auto"/>
          <w:spacing w:val="-1"/>
          <w:sz w:val="22"/>
          <w:szCs w:val="22"/>
          <w:highlight w:val="none"/>
          <w:lang w:val="en-US" w:eastAsia="zh-CN"/>
        </w:rPr>
        <w:t>设施量清单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2635"/>
        <w:gridCol w:w="3501"/>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515"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项目名称</w:t>
            </w:r>
          </w:p>
        </w:tc>
        <w:tc>
          <w:tcPr>
            <w:tcW w:w="2013"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工程内容</w:t>
            </w:r>
          </w:p>
        </w:tc>
        <w:tc>
          <w:tcPr>
            <w:tcW w:w="735"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数量</w:t>
            </w:r>
          </w:p>
        </w:tc>
        <w:tc>
          <w:tcPr>
            <w:tcW w:w="735"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35" w:hRule="atLeast"/>
          <w:jc w:val="center"/>
        </w:trPr>
        <w:tc>
          <w:tcPr>
            <w:tcW w:w="1515" w:type="pct"/>
            <w:shd w:val="clear" w:color="auto" w:fill="auto"/>
            <w:vAlign w:val="center"/>
          </w:tcPr>
          <w:p>
            <w:pPr>
              <w:keepNext w:val="0"/>
              <w:keepLines w:val="0"/>
              <w:widowControl/>
              <w:suppressLineNumbers w:val="0"/>
              <w:snapToGrid w:val="0"/>
              <w:jc w:val="center"/>
              <w:textAlignment w:val="center"/>
              <w:rPr>
                <w:rFonts w:hint="eastAsia" w:ascii="仿宋_GB2312" w:hAnsi="宋体" w:eastAsia="仿宋_GB2312" w:cs="仿宋_GB2312"/>
                <w:i w:val="0"/>
                <w:iCs w:val="0"/>
                <w:snapToGrid w:val="0"/>
                <w:color w:val="000000"/>
                <w:sz w:val="24"/>
                <w:szCs w:val="24"/>
                <w:u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规划21-01地块</w:t>
            </w:r>
          </w:p>
        </w:tc>
        <w:tc>
          <w:tcPr>
            <w:tcW w:w="2013"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清表（杂草清除、土地平整、垃圾外运）</w:t>
            </w:r>
          </w:p>
        </w:tc>
        <w:tc>
          <w:tcPr>
            <w:tcW w:w="735" w:type="pct"/>
            <w:vAlign w:val="center"/>
          </w:tcPr>
          <w:p>
            <w:pPr>
              <w:pStyle w:val="2"/>
              <w:tabs>
                <w:tab w:val="left" w:pos="294"/>
              </w:tabs>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6606</w:t>
            </w:r>
          </w:p>
        </w:tc>
        <w:tc>
          <w:tcPr>
            <w:tcW w:w="735" w:type="pct"/>
            <w:vAlign w:val="center"/>
          </w:tcPr>
          <w:p>
            <w:pPr>
              <w:pStyle w:val="2"/>
              <w:tabs>
                <w:tab w:val="left" w:pos="294"/>
              </w:tabs>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40" w:hRule="atLeast"/>
          <w:jc w:val="center"/>
        </w:trPr>
        <w:tc>
          <w:tcPr>
            <w:tcW w:w="1515" w:type="pct"/>
            <w:vMerge w:val="restar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WSW-C3-1-2地块绿地</w:t>
            </w:r>
          </w:p>
        </w:tc>
        <w:tc>
          <w:tcPr>
            <w:tcW w:w="2013"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清表（杂草清除、土地平整、垃圾外运）</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855</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92" w:hRule="atLeast"/>
          <w:jc w:val="center"/>
        </w:trPr>
        <w:tc>
          <w:tcPr>
            <w:tcW w:w="1515" w:type="pct"/>
            <w:vMerge w:val="continue"/>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p>
        </w:tc>
        <w:tc>
          <w:tcPr>
            <w:tcW w:w="2013"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撒草籽</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855</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087" w:hRule="atLeast"/>
          <w:jc w:val="center"/>
        </w:trPr>
        <w:tc>
          <w:tcPr>
            <w:tcW w:w="1515" w:type="pct"/>
            <w:vMerge w:val="restar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C04-03地块绿地</w:t>
            </w:r>
          </w:p>
        </w:tc>
        <w:tc>
          <w:tcPr>
            <w:tcW w:w="2013" w:type="pct"/>
            <w:shd w:val="clear" w:color="auto" w:fill="auto"/>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清表（杂草清除、土地平整、垃圾外运）</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9107</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5" w:hRule="atLeast"/>
          <w:jc w:val="center"/>
        </w:trPr>
        <w:tc>
          <w:tcPr>
            <w:tcW w:w="1515" w:type="pct"/>
            <w:vMerge w:val="continue"/>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p>
        </w:tc>
        <w:tc>
          <w:tcPr>
            <w:tcW w:w="2013"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撒草籽</w:t>
            </w:r>
          </w:p>
        </w:tc>
        <w:tc>
          <w:tcPr>
            <w:tcW w:w="735" w:type="pct"/>
            <w:vAlign w:val="center"/>
          </w:tcPr>
          <w:p>
            <w:pPr>
              <w:pStyle w:val="2"/>
              <w:snapToGrid w:val="0"/>
              <w:jc w:val="center"/>
              <w:rPr>
                <w:rFonts w:hint="default"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9107</w:t>
            </w:r>
          </w:p>
        </w:tc>
        <w:tc>
          <w:tcPr>
            <w:tcW w:w="735" w:type="pct"/>
            <w:vAlign w:val="center"/>
          </w:tcPr>
          <w:p>
            <w:pPr>
              <w:pStyle w:val="2"/>
              <w:snapToGrid w:val="0"/>
              <w:jc w:val="center"/>
              <w:rPr>
                <w:rFonts w:hint="eastAsia" w:ascii="宋体" w:hAnsi="宋体" w:eastAsia="宋体" w:cs="宋体"/>
                <w:snapToGrid w:val="0"/>
                <w:color w:val="auto"/>
                <w:spacing w:val="-1"/>
                <w:sz w:val="22"/>
                <w:szCs w:val="22"/>
                <w:highlight w:val="none"/>
                <w:lang w:val="en-US" w:eastAsia="zh-CN" w:bidi="ar-SA"/>
              </w:rPr>
            </w:pPr>
            <w:r>
              <w:rPr>
                <w:rFonts w:hint="eastAsia" w:ascii="宋体" w:hAnsi="宋体" w:eastAsia="宋体" w:cs="宋体"/>
                <w:snapToGrid w:val="0"/>
                <w:color w:val="auto"/>
                <w:spacing w:val="-1"/>
                <w:sz w:val="22"/>
                <w:szCs w:val="22"/>
                <w:highlight w:val="none"/>
                <w:lang w:val="en-US" w:eastAsia="zh-CN" w:bidi="ar-SA"/>
              </w:rPr>
              <w:t>㎡</w:t>
            </w:r>
          </w:p>
        </w:tc>
      </w:tr>
    </w:tbl>
    <w:p>
      <w:pPr>
        <w:pStyle w:val="2"/>
        <w:jc w:val="center"/>
        <w:rPr>
          <w:rFonts w:hint="eastAsia" w:ascii="宋体" w:hAnsi="宋体" w:eastAsia="宋体" w:cs="宋体"/>
          <w:snapToGrid w:val="0"/>
          <w:color w:val="auto"/>
          <w:spacing w:val="-1"/>
          <w:sz w:val="22"/>
          <w:szCs w:val="22"/>
          <w:highlight w:val="none"/>
          <w:lang w:val="en-US" w:eastAsia="zh-CN" w:bidi="ar-SA"/>
        </w:rPr>
      </w:pPr>
    </w:p>
    <w:p>
      <w:pPr>
        <w:pStyle w:val="2"/>
        <w:jc w:val="center"/>
        <w:rPr>
          <w:rFonts w:hint="default" w:ascii="宋体" w:hAnsi="宋体" w:eastAsia="宋体" w:cs="宋体"/>
          <w:b/>
          <w:bCs/>
          <w:color w:val="auto"/>
          <w:spacing w:val="-1"/>
          <w:sz w:val="22"/>
          <w:szCs w:val="22"/>
          <w:highlight w:val="none"/>
          <w:lang w:val="en-US" w:eastAsia="zh-CN"/>
        </w:rPr>
      </w:pPr>
    </w:p>
    <w:p>
      <w:pPr>
        <w:spacing w:before="116" w:line="360" w:lineRule="auto"/>
        <w:ind w:left="444"/>
        <w:outlineLvl w:val="3"/>
        <w:rPr>
          <w:rFonts w:ascii="宋体" w:hAnsi="宋体" w:eastAsia="宋体" w:cs="宋体"/>
          <w:b/>
          <w:bCs/>
          <w:color w:val="auto"/>
          <w:spacing w:val="-6"/>
          <w:sz w:val="22"/>
          <w:szCs w:val="22"/>
          <w:highlight w:val="none"/>
          <w:lang w:eastAsia="zh-CN"/>
        </w:rPr>
      </w:pPr>
      <w:r>
        <w:rPr>
          <w:rFonts w:ascii="宋体" w:hAnsi="宋体" w:eastAsia="宋体" w:cs="宋体"/>
          <w:b/>
          <w:bCs/>
          <w:color w:val="auto"/>
          <w:spacing w:val="-6"/>
          <w:sz w:val="22"/>
          <w:szCs w:val="22"/>
          <w:highlight w:val="none"/>
          <w:lang w:eastAsia="zh-CN"/>
        </w:rPr>
        <w:t>3.</w:t>
      </w:r>
      <w:r>
        <w:rPr>
          <w:rFonts w:hint="default" w:ascii="宋体" w:hAnsi="宋体" w:eastAsia="宋体" w:cs="宋体"/>
          <w:b/>
          <w:bCs/>
          <w:color w:val="auto"/>
          <w:spacing w:val="-6"/>
          <w:sz w:val="22"/>
          <w:szCs w:val="22"/>
          <w:highlight w:val="none"/>
          <w:lang w:val="en-US" w:eastAsia="zh-CN"/>
        </w:rPr>
        <w:t>2</w:t>
      </w:r>
      <w:r>
        <w:rPr>
          <w:rFonts w:ascii="宋体" w:hAnsi="宋体" w:eastAsia="宋体" w:cs="宋体"/>
          <w:b/>
          <w:bCs/>
          <w:color w:val="auto"/>
          <w:spacing w:val="-6"/>
          <w:sz w:val="22"/>
          <w:szCs w:val="22"/>
          <w:highlight w:val="none"/>
          <w:lang w:eastAsia="zh-CN"/>
        </w:rPr>
        <w:t>整治</w:t>
      </w:r>
      <w:r>
        <w:rPr>
          <w:rFonts w:hint="default" w:ascii="宋体" w:hAnsi="宋体" w:eastAsia="宋体" w:cs="宋体"/>
          <w:b/>
          <w:bCs/>
          <w:color w:val="auto"/>
          <w:spacing w:val="-6"/>
          <w:sz w:val="22"/>
          <w:szCs w:val="22"/>
          <w:highlight w:val="none"/>
          <w:lang w:eastAsia="zh-CN"/>
        </w:rPr>
        <w:t>作业</w:t>
      </w:r>
      <w:r>
        <w:rPr>
          <w:rFonts w:ascii="宋体" w:hAnsi="宋体" w:eastAsia="宋体" w:cs="宋体"/>
          <w:b/>
          <w:bCs/>
          <w:color w:val="auto"/>
          <w:spacing w:val="-6"/>
          <w:sz w:val="22"/>
          <w:szCs w:val="22"/>
          <w:highlight w:val="none"/>
          <w:lang w:eastAsia="zh-CN"/>
        </w:rPr>
        <w:t>要求</w:t>
      </w:r>
    </w:p>
    <w:p>
      <w:pPr>
        <w:spacing w:before="94" w:line="360" w:lineRule="auto"/>
        <w:ind w:left="0" w:right="298" w:firstLine="440"/>
        <w:rPr>
          <w:rFonts w:ascii="宋体" w:hAnsi="宋体" w:eastAsia="宋体" w:cs="宋体"/>
          <w:color w:val="auto"/>
          <w:sz w:val="22"/>
          <w:szCs w:val="22"/>
          <w:highlight w:val="none"/>
          <w:lang w:eastAsia="zh-CN"/>
        </w:rPr>
      </w:pPr>
      <w:r>
        <w:rPr>
          <w:rFonts w:ascii="宋体" w:hAnsi="宋体" w:eastAsia="宋体" w:cs="宋体"/>
          <w:color w:val="auto"/>
          <w:spacing w:val="0"/>
          <w:sz w:val="22"/>
          <w:szCs w:val="22"/>
          <w:highlight w:val="none"/>
          <w:lang w:eastAsia="zh-CN"/>
        </w:rPr>
        <w:t>3.</w:t>
      </w:r>
      <w:r>
        <w:rPr>
          <w:rFonts w:hint="default" w:ascii="宋体" w:hAnsi="宋体" w:eastAsia="宋体" w:cs="宋体"/>
          <w:color w:val="auto"/>
          <w:spacing w:val="0"/>
          <w:sz w:val="22"/>
          <w:szCs w:val="22"/>
          <w:highlight w:val="none"/>
          <w:lang w:val="en-US" w:eastAsia="zh-CN"/>
        </w:rPr>
        <w:t>2</w:t>
      </w:r>
      <w:r>
        <w:rPr>
          <w:rFonts w:ascii="宋体" w:hAnsi="宋体" w:eastAsia="宋体" w:cs="宋体"/>
          <w:color w:val="auto"/>
          <w:spacing w:val="0"/>
          <w:sz w:val="22"/>
          <w:szCs w:val="22"/>
          <w:highlight w:val="none"/>
          <w:lang w:eastAsia="zh-CN"/>
        </w:rPr>
        <w:t>.1总体要求</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供应商必须</w:t>
      </w:r>
      <w:r>
        <w:rPr>
          <w:rFonts w:ascii="宋体" w:hAnsi="宋体" w:eastAsia="宋体" w:cs="宋体"/>
          <w:color w:val="auto"/>
          <w:sz w:val="22"/>
          <w:szCs w:val="22"/>
          <w:highlight w:val="none"/>
          <w:lang w:eastAsia="zh-CN"/>
        </w:rPr>
        <w:t>完成本项目中要求的</w:t>
      </w:r>
      <w:r>
        <w:rPr>
          <w:rFonts w:hint="eastAsia" w:ascii="宋体" w:hAnsi="宋体" w:eastAsia="宋体" w:cs="宋体"/>
          <w:color w:val="auto"/>
          <w:sz w:val="22"/>
          <w:szCs w:val="22"/>
          <w:highlight w:val="none"/>
          <w:lang w:eastAsia="zh-CN"/>
        </w:rPr>
        <w:t>全部工作内容</w:t>
      </w:r>
      <w:r>
        <w:rPr>
          <w:rFonts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并</w:t>
      </w:r>
      <w:r>
        <w:rPr>
          <w:rFonts w:ascii="宋体" w:hAnsi="宋体" w:eastAsia="宋体" w:cs="宋体"/>
          <w:color w:val="auto"/>
          <w:sz w:val="22"/>
          <w:szCs w:val="22"/>
          <w:highlight w:val="none"/>
          <w:lang w:eastAsia="zh-CN"/>
        </w:rPr>
        <w:t>根据项</w:t>
      </w:r>
      <w:r>
        <w:rPr>
          <w:rFonts w:ascii="宋体" w:hAnsi="宋体" w:eastAsia="宋体" w:cs="宋体"/>
          <w:color w:val="auto"/>
          <w:spacing w:val="-1"/>
          <w:sz w:val="22"/>
          <w:szCs w:val="22"/>
          <w:highlight w:val="none"/>
          <w:lang w:eastAsia="zh-CN"/>
        </w:rPr>
        <w:t>目实际状况制定工作计</w:t>
      </w:r>
      <w:r>
        <w:rPr>
          <w:rFonts w:ascii="宋体" w:hAnsi="宋体" w:eastAsia="宋体" w:cs="宋体"/>
          <w:color w:val="auto"/>
          <w:sz w:val="22"/>
          <w:szCs w:val="22"/>
          <w:highlight w:val="none"/>
          <w:lang w:eastAsia="zh-CN"/>
        </w:rPr>
        <w:t>划，保质保量完成任务。协同</w:t>
      </w:r>
      <w:r>
        <w:rPr>
          <w:rFonts w:hint="eastAsia" w:ascii="宋体" w:hAnsi="宋体" w:eastAsia="宋体" w:cs="宋体"/>
          <w:color w:val="auto"/>
          <w:sz w:val="22"/>
          <w:szCs w:val="22"/>
          <w:highlight w:val="none"/>
          <w:lang w:eastAsia="zh-CN"/>
        </w:rPr>
        <w:t>建设单位</w:t>
      </w:r>
      <w:r>
        <w:rPr>
          <w:rFonts w:ascii="宋体" w:hAnsi="宋体" w:eastAsia="宋体" w:cs="宋体"/>
          <w:color w:val="auto"/>
          <w:sz w:val="22"/>
          <w:szCs w:val="22"/>
          <w:highlight w:val="none"/>
          <w:lang w:eastAsia="zh-CN"/>
        </w:rPr>
        <w:t>及其它相关部门迅速处置应急事件</w:t>
      </w:r>
      <w:r>
        <w:rPr>
          <w:rFonts w:ascii="宋体" w:hAnsi="宋体" w:eastAsia="宋体" w:cs="宋体"/>
          <w:color w:val="auto"/>
          <w:spacing w:val="-1"/>
          <w:sz w:val="22"/>
          <w:szCs w:val="22"/>
          <w:highlight w:val="none"/>
          <w:lang w:eastAsia="zh-CN"/>
        </w:rPr>
        <w:t>，制定相应的应急预案，除发生不可抗力事件，其它任何情况下必须保持改造绿化处于良好的状</w:t>
      </w:r>
      <w:r>
        <w:rPr>
          <w:rFonts w:ascii="宋体" w:hAnsi="宋体" w:eastAsia="宋体" w:cs="宋体"/>
          <w:color w:val="auto"/>
          <w:spacing w:val="-2"/>
          <w:sz w:val="22"/>
          <w:szCs w:val="22"/>
          <w:highlight w:val="none"/>
          <w:lang w:eastAsia="zh-CN"/>
        </w:rPr>
        <w:t>态。</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default" w:ascii="宋体" w:hAnsi="宋体" w:eastAsia="宋体" w:cs="宋体"/>
          <w:color w:val="auto"/>
          <w:sz w:val="22"/>
          <w:szCs w:val="22"/>
          <w:highlight w:val="none"/>
          <w:lang w:val="en-US" w:eastAsia="zh-CN"/>
        </w:rPr>
        <w:t>3.2.2</w:t>
      </w:r>
      <w:r>
        <w:rPr>
          <w:rFonts w:hint="eastAsia" w:ascii="宋体" w:hAnsi="宋体" w:eastAsia="宋体" w:cs="宋体"/>
          <w:color w:val="auto"/>
          <w:spacing w:val="0"/>
          <w:sz w:val="22"/>
          <w:szCs w:val="22"/>
          <w:highlight w:val="none"/>
          <w:lang w:eastAsia="zh-CN"/>
        </w:rPr>
        <w:t>场地清理</w:t>
      </w:r>
    </w:p>
    <w:p>
      <w:pPr>
        <w:spacing w:before="94" w:line="360" w:lineRule="auto"/>
        <w:ind w:left="0" w:right="298"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供应商应在整治改造方案内充分考虑原有管线、地上地下障碍物及原有苗木等等一切因素。供应商在编制投标方案时要充分考虑由此而发生的费用，该费用摊销入每个子项的综合单价中，不再另行支付。</w:t>
      </w:r>
    </w:p>
    <w:p>
      <w:pPr>
        <w:spacing w:before="94" w:line="360" w:lineRule="auto"/>
        <w:ind w:left="0" w:right="298"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整治改造期间临时设施搭设和用料堆放场地：本项目施工期间临时设施搭设和施工用料堆放场地，由供应商根据本项目具体情况结合施工方案自行确定，但不得影响周边单位及市民的正常办公、出行，需注意沿街界面干净整洁。相应的措施费一并在投标文件中自报，并计入总报价闭口包干。中标后，采购人有权根据现场情况统一安排调整，未经采购人同意供应商不得随意搭建临时设施。</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）现场不得搭设临时生活设施。</w:t>
      </w:r>
    </w:p>
    <w:p>
      <w:pPr>
        <w:spacing w:before="94" w:line="360" w:lineRule="auto"/>
        <w:ind w:left="0" w:right="298"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）现场整治改造</w:t>
      </w:r>
      <w:r>
        <w:rPr>
          <w:rFonts w:ascii="宋体" w:hAnsi="宋体" w:eastAsia="宋体" w:cs="宋体"/>
          <w:color w:val="auto"/>
          <w:sz w:val="22"/>
          <w:szCs w:val="22"/>
          <w:highlight w:val="none"/>
          <w:lang w:eastAsia="zh-CN"/>
        </w:rPr>
        <w:t>期间应做到有关文明</w:t>
      </w:r>
      <w:r>
        <w:rPr>
          <w:rFonts w:hint="eastAsia" w:ascii="宋体" w:hAnsi="宋体" w:eastAsia="宋体" w:cs="宋体"/>
          <w:color w:val="auto"/>
          <w:spacing w:val="0"/>
          <w:sz w:val="22"/>
          <w:szCs w:val="22"/>
          <w:highlight w:val="none"/>
          <w:lang w:eastAsia="zh-CN"/>
        </w:rPr>
        <w:t>安全管理的规定，避免影响居民生活的扬尘、噪音及污染，并做到有效控制，所需费用在措施费</w:t>
      </w:r>
      <w:r>
        <w:rPr>
          <w:rFonts w:hint="eastAsia" w:ascii="宋体" w:hAnsi="宋体" w:eastAsia="宋体" w:cs="宋体"/>
          <w:color w:val="auto"/>
          <w:sz w:val="22"/>
          <w:szCs w:val="22"/>
          <w:highlight w:val="none"/>
          <w:lang w:eastAsia="zh-CN"/>
        </w:rPr>
        <w:t>计入总报价闭口包干。</w:t>
      </w:r>
    </w:p>
    <w:p>
      <w:pPr>
        <w:spacing w:before="94" w:line="360" w:lineRule="auto"/>
        <w:ind w:left="0" w:right="298" w:firstLine="440"/>
        <w:outlineLvl w:val="9"/>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3.</w:t>
      </w:r>
      <w:r>
        <w:rPr>
          <w:rFonts w:hint="eastAsia" w:ascii="宋体" w:hAnsi="宋体" w:eastAsia="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lang w:eastAsia="zh-CN"/>
        </w:rPr>
        <w:t>项目苗木、材料、制品的供应、运输、保护</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lang w:eastAsia="zh-CN"/>
        </w:rPr>
        <w:t>凡项目用的主要材料均须在商务标文件中提供详细的</w:t>
      </w:r>
      <w:r>
        <w:rPr>
          <w:rFonts w:hint="eastAsia" w:ascii="宋体" w:hAnsi="宋体" w:eastAsia="宋体" w:cs="宋体"/>
          <w:color w:val="auto"/>
          <w:spacing w:val="0"/>
          <w:sz w:val="22"/>
          <w:szCs w:val="22"/>
          <w:highlight w:val="none"/>
          <w:lang w:eastAsia="zh-CN"/>
        </w:rPr>
        <w:t>供货产地\制造商，以便采购人到实地进行质量监督。</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)整治改造所</w:t>
      </w:r>
      <w:r>
        <w:rPr>
          <w:rFonts w:ascii="宋体" w:hAnsi="宋体" w:eastAsia="宋体" w:cs="宋体"/>
          <w:color w:val="auto"/>
          <w:sz w:val="22"/>
          <w:szCs w:val="22"/>
          <w:highlight w:val="none"/>
          <w:lang w:eastAsia="zh-CN"/>
        </w:rPr>
        <w:t>用的各种材料、成品、半成品、苗木都必须符合</w:t>
      </w:r>
      <w:r>
        <w:rPr>
          <w:rFonts w:hint="eastAsia" w:ascii="宋体" w:hAnsi="宋体" w:eastAsia="宋体" w:cs="宋体"/>
          <w:color w:val="auto"/>
          <w:spacing w:val="0"/>
          <w:sz w:val="22"/>
          <w:szCs w:val="22"/>
          <w:highlight w:val="none"/>
          <w:lang w:eastAsia="zh-CN"/>
        </w:rPr>
        <w:t>质量标准、设计要求及国家规定</w:t>
      </w:r>
      <w:r>
        <w:rPr>
          <w:rFonts w:ascii="宋体" w:hAnsi="宋体" w:eastAsia="宋体" w:cs="宋体"/>
          <w:color w:val="auto"/>
          <w:sz w:val="22"/>
          <w:szCs w:val="22"/>
          <w:highlight w:val="none"/>
          <w:lang w:eastAsia="zh-CN"/>
        </w:rPr>
        <w:t>的技术指标；电缆、管材、配电箱等需注明提供品牌、厂商</w:t>
      </w:r>
      <w:r>
        <w:rPr>
          <w:rFonts w:hint="eastAsia" w:ascii="宋体" w:hAnsi="宋体" w:eastAsia="宋体" w:cs="宋体"/>
          <w:color w:val="auto"/>
          <w:spacing w:val="0"/>
          <w:sz w:val="22"/>
          <w:szCs w:val="22"/>
          <w:highlight w:val="none"/>
          <w:lang w:eastAsia="zh-CN"/>
        </w:rPr>
        <w:t>，并有质保书或出厂检验合格证等相关质保资料。如不符合要求，应及时整改，采购人保留对不合格供应商或不合格材料予以调换的权利。</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lang w:eastAsia="zh-CN"/>
        </w:rPr>
        <w:t>)植株应小心包裹、运送、拿放，以确保不受损伤。在栽种前除坏死部分外不要修剪，不得用有可能导致树皮破损、断枝或损坏树形的方式弄弯、捆、缚苗木。</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lang w:eastAsia="zh-CN"/>
        </w:rPr>
        <w:t>)若植株不处于休眠状态,要在运送前根据供应商建议在叶面上喷洒防脱水剂。</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lang w:eastAsia="zh-CN"/>
        </w:rPr>
        <w:t>任何对根系、茎干、枝叶不宜的保护措施都可以导致</w:t>
      </w:r>
      <w:r>
        <w:rPr>
          <w:rFonts w:hint="eastAsia" w:ascii="宋体" w:hAnsi="宋体" w:eastAsia="宋体" w:cs="宋体"/>
          <w:color w:val="auto"/>
          <w:spacing w:val="0"/>
          <w:sz w:val="22"/>
          <w:szCs w:val="22"/>
          <w:highlight w:val="none"/>
          <w:lang w:eastAsia="zh-CN"/>
        </w:rPr>
        <w:t>植株被淘汰。所有苗木在运输和储存期间均应保护湿润，不可将苗木置于工地两天以上而不栽种。</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6</w:t>
      </w:r>
      <w:r>
        <w:rPr>
          <w:rFonts w:hint="eastAsia" w:ascii="宋体" w:hAnsi="宋体" w:eastAsia="宋体" w:cs="宋体"/>
          <w:color w:val="auto"/>
          <w:spacing w:val="0"/>
          <w:sz w:val="22"/>
          <w:szCs w:val="22"/>
          <w:highlight w:val="none"/>
          <w:lang w:eastAsia="zh-CN"/>
        </w:rPr>
        <w:t>)避免持枝干抬举或移动苗木。</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7</w:t>
      </w:r>
      <w:r>
        <w:rPr>
          <w:rFonts w:hint="eastAsia" w:ascii="宋体" w:hAnsi="宋体" w:eastAsia="宋体" w:cs="宋体"/>
          <w:color w:val="auto"/>
          <w:spacing w:val="0"/>
          <w:sz w:val="22"/>
          <w:szCs w:val="22"/>
          <w:highlight w:val="none"/>
          <w:lang w:eastAsia="zh-CN"/>
        </w:rPr>
        <w:t>)在装卸苗木时须小心，以防枝干、根系受损伤,受损的苗木应被淘汰。</w:t>
      </w:r>
    </w:p>
    <w:p>
      <w:pPr>
        <w:spacing w:before="94" w:line="360" w:lineRule="auto"/>
        <w:ind w:left="0" w:right="298" w:firstLine="440"/>
        <w:outlineLvl w:val="9"/>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3.</w:t>
      </w:r>
      <w:r>
        <w:rPr>
          <w:rFonts w:hint="eastAsia" w:ascii="宋体" w:hAnsi="宋体" w:eastAsia="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lang w:eastAsia="zh-CN"/>
        </w:rPr>
        <w:t>整治改造质量要求</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(1)建设单位要求本项目中的绿化项目的质量达到《园林绿化项目施工质量验收规范》（DGTJ08-701-2008）的合格等级以上（含合格）标准并一次验收通过。</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w:t>
      </w:r>
      <w:r>
        <w:rPr>
          <w:rFonts w:ascii="宋体" w:hAnsi="宋体" w:eastAsia="宋体" w:cs="宋体"/>
          <w:color w:val="auto"/>
          <w:sz w:val="22"/>
          <w:szCs w:val="22"/>
          <w:highlight w:val="none"/>
          <w:lang w:eastAsia="zh-CN"/>
        </w:rPr>
        <w:t>本绿化种植项目要求供应的乔木、花、灌木都须无病</w:t>
      </w:r>
      <w:r>
        <w:rPr>
          <w:rFonts w:hint="eastAsia" w:ascii="宋体" w:hAnsi="宋体" w:eastAsia="宋体" w:cs="宋体"/>
          <w:color w:val="auto"/>
          <w:spacing w:val="0"/>
          <w:sz w:val="22"/>
          <w:szCs w:val="22"/>
          <w:highlight w:val="none"/>
          <w:lang w:eastAsia="zh-CN"/>
        </w:rPr>
        <w:t>虫害，未受污染和损伤，植株应分枝良好根系旺盛，每株植物的根系应主根、次根比例适宜。</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ascii="宋体" w:hAnsi="宋体" w:eastAsia="宋体" w:cs="宋体"/>
          <w:color w:val="auto"/>
          <w:sz w:val="22"/>
          <w:szCs w:val="22"/>
          <w:highlight w:val="none"/>
          <w:lang w:eastAsia="zh-CN"/>
        </w:rPr>
        <w:t>要求严格按照绿化施工规范施工，种植上木时应先清</w:t>
      </w:r>
      <w:r>
        <w:rPr>
          <w:rFonts w:hint="eastAsia" w:ascii="宋体" w:hAnsi="宋体" w:eastAsia="宋体" w:cs="宋体"/>
          <w:color w:val="auto"/>
          <w:spacing w:val="0"/>
          <w:sz w:val="22"/>
          <w:szCs w:val="22"/>
          <w:highlight w:val="none"/>
          <w:lang w:eastAsia="zh-CN"/>
        </w:rPr>
        <w:t>除房地基垃圾，所有种植区域进行必要的表层换土。</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r>
        <w:rPr>
          <w:rFonts w:ascii="宋体" w:hAnsi="宋体" w:eastAsia="宋体" w:cs="宋体"/>
          <w:color w:val="auto"/>
          <w:sz w:val="22"/>
          <w:szCs w:val="22"/>
          <w:highlight w:val="none"/>
          <w:lang w:eastAsia="zh-CN"/>
        </w:rPr>
        <w:t>要求每株乔木视土壤情况更换种植好土，种植土应根</w:t>
      </w:r>
      <w:r>
        <w:rPr>
          <w:rFonts w:hint="eastAsia" w:ascii="宋体" w:hAnsi="宋体" w:eastAsia="宋体" w:cs="宋体"/>
          <w:color w:val="auto"/>
          <w:spacing w:val="0"/>
          <w:sz w:val="22"/>
          <w:szCs w:val="22"/>
          <w:highlight w:val="none"/>
          <w:lang w:eastAsia="zh-CN"/>
        </w:rPr>
        <w:t>据植物对酸碱度的不同需求局部进行改良；应选用优质的种植土。</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w:t>
      </w:r>
      <w:r>
        <w:rPr>
          <w:rFonts w:ascii="宋体" w:hAnsi="宋体" w:eastAsia="宋体" w:cs="宋体"/>
          <w:color w:val="auto"/>
          <w:sz w:val="22"/>
          <w:szCs w:val="22"/>
          <w:highlight w:val="none"/>
          <w:lang w:eastAsia="zh-CN"/>
        </w:rPr>
        <w:t>每株乔木应做好规范支撑，牢固、美观、整齐。落叶</w:t>
      </w:r>
      <w:r>
        <w:rPr>
          <w:rFonts w:hint="eastAsia" w:ascii="宋体" w:hAnsi="宋体" w:eastAsia="宋体" w:cs="宋体"/>
          <w:color w:val="auto"/>
          <w:spacing w:val="0"/>
          <w:sz w:val="22"/>
          <w:szCs w:val="22"/>
          <w:highlight w:val="none"/>
          <w:lang w:eastAsia="zh-CN"/>
        </w:rPr>
        <w:t>乔木需保留三级以上叉枝（杉类除外），常绿乔木需全冠种植，保持树冠完整，切忌“杀头”处理。</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(6)种植时应避开各种地下管线，按规范要求确保树木与管线的最小距离。</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ascii="宋体" w:hAnsi="宋体" w:eastAsia="宋体" w:cs="宋体"/>
          <w:color w:val="auto"/>
          <w:sz w:val="22"/>
          <w:szCs w:val="22"/>
          <w:highlight w:val="none"/>
          <w:lang w:eastAsia="zh-CN"/>
        </w:rPr>
        <w:t>绿地内除种植乔</w:t>
      </w:r>
      <w:r>
        <w:rPr>
          <w:rFonts w:hint="eastAsia" w:ascii="宋体" w:hAnsi="宋体" w:eastAsia="宋体" w:cs="宋体"/>
          <w:color w:val="auto"/>
          <w:sz w:val="22"/>
          <w:szCs w:val="22"/>
          <w:highlight w:val="none"/>
          <w:lang w:val="en-US" w:eastAsia="zh-CN"/>
        </w:rPr>
        <w:t>木</w:t>
      </w:r>
      <w:r>
        <w:rPr>
          <w:rFonts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rPr>
        <w:t>还</w:t>
      </w:r>
      <w:r>
        <w:rPr>
          <w:rFonts w:ascii="宋体" w:hAnsi="宋体" w:eastAsia="宋体" w:cs="宋体"/>
          <w:color w:val="auto"/>
          <w:sz w:val="22"/>
          <w:szCs w:val="22"/>
          <w:highlight w:val="none"/>
          <w:lang w:eastAsia="zh-CN"/>
        </w:rPr>
        <w:t>应种植花卉</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pacing w:val="0"/>
          <w:sz w:val="22"/>
          <w:szCs w:val="22"/>
          <w:highlight w:val="none"/>
          <w:lang w:eastAsia="zh-CN"/>
        </w:rPr>
        <w:t>草坪，不能有土面裸露，同时要保证种植密度以确保近期的景观效果。</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(8)供应商对本项目的整治改造质量负全面责任。要求竣工及移交时一次验收合格率100%、苗木成活率100%，并且长势良好；并按《建设项目质量管理条例》有关规定执行，成活率养护期为竣工验收后的</w:t>
      </w:r>
      <w:r>
        <w:rPr>
          <w:rFonts w:hint="eastAsia" w:ascii="宋体" w:hAnsi="宋体" w:eastAsia="宋体" w:cs="宋体"/>
          <w:color w:val="auto"/>
          <w:spacing w:val="0"/>
          <w:sz w:val="22"/>
          <w:szCs w:val="22"/>
          <w:highlight w:val="none"/>
          <w:lang w:val="en-US" w:eastAsia="zh-CN"/>
        </w:rPr>
        <w:t>一</w:t>
      </w:r>
      <w:r>
        <w:rPr>
          <w:rFonts w:hint="eastAsia" w:ascii="宋体" w:hAnsi="宋体" w:eastAsia="宋体" w:cs="宋体"/>
          <w:color w:val="auto"/>
          <w:spacing w:val="0"/>
          <w:sz w:val="22"/>
          <w:szCs w:val="22"/>
          <w:highlight w:val="none"/>
          <w:lang w:eastAsia="zh-CN"/>
        </w:rPr>
        <w:t>年。</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w:t>
      </w:r>
      <w:r>
        <w:rPr>
          <w:rFonts w:ascii="宋体" w:hAnsi="宋体" w:eastAsia="宋体" w:cs="宋体"/>
          <w:color w:val="auto"/>
          <w:sz w:val="22"/>
          <w:szCs w:val="22"/>
          <w:highlight w:val="none"/>
          <w:lang w:eastAsia="zh-CN"/>
        </w:rPr>
        <w:t>园林栽植土必须具有满足园林栽植植物生长所需要的</w:t>
      </w:r>
      <w:r>
        <w:rPr>
          <w:rFonts w:hint="eastAsia" w:ascii="宋体" w:hAnsi="宋体" w:eastAsia="宋体" w:cs="宋体"/>
          <w:color w:val="auto"/>
          <w:spacing w:val="0"/>
          <w:sz w:val="22"/>
          <w:szCs w:val="22"/>
          <w:highlight w:val="none"/>
          <w:lang w:eastAsia="zh-CN"/>
        </w:rPr>
        <w:t>水、肥、气、热的能力。严禁建筑垃圾和有害物质混入。</w:t>
      </w:r>
    </w:p>
    <w:p>
      <w:pPr>
        <w:spacing w:before="94" w:line="360" w:lineRule="auto"/>
        <w:ind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(10)粘土、砂土等应根据栽植土质量要求进行改良后方可栽植。</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w:t>
      </w:r>
      <w:r>
        <w:rPr>
          <w:rFonts w:ascii="宋体" w:hAnsi="宋体" w:eastAsia="宋体" w:cs="宋体"/>
          <w:color w:val="auto"/>
          <w:sz w:val="22"/>
          <w:szCs w:val="22"/>
          <w:highlight w:val="none"/>
          <w:lang w:eastAsia="zh-CN"/>
        </w:rPr>
        <w:t>栽植喜酸性植物的土壤，</w:t>
      </w:r>
      <w:r>
        <w:rPr>
          <w:rFonts w:hint="eastAsia" w:ascii="宋体" w:hAnsi="宋体" w:eastAsia="宋体" w:cs="宋体"/>
          <w:color w:val="auto"/>
          <w:sz w:val="22"/>
          <w:szCs w:val="22"/>
          <w:highlight w:val="none"/>
          <w:lang w:eastAsia="zh-CN"/>
        </w:rPr>
        <w:t>pH</w:t>
      </w:r>
      <w:r>
        <w:rPr>
          <w:rFonts w:ascii="宋体" w:hAnsi="宋体" w:eastAsia="宋体" w:cs="宋体"/>
          <w:color w:val="auto"/>
          <w:sz w:val="22"/>
          <w:szCs w:val="22"/>
          <w:highlight w:val="none"/>
          <w:lang w:eastAsia="zh-CN"/>
        </w:rPr>
        <w:t>值必须控制在小于等于</w:t>
      </w:r>
      <w:r>
        <w:rPr>
          <w:rFonts w:hint="eastAsia" w:ascii="宋体" w:hAnsi="宋体" w:eastAsia="宋体" w:cs="宋体"/>
          <w:color w:val="auto"/>
          <w:sz w:val="22"/>
          <w:szCs w:val="22"/>
          <w:highlight w:val="none"/>
          <w:lang w:eastAsia="zh-CN"/>
        </w:rPr>
        <w:t>7.8</w:t>
      </w:r>
      <w:r>
        <w:rPr>
          <w:rFonts w:ascii="宋体" w:hAnsi="宋体" w:eastAsia="宋体" w:cs="宋体"/>
          <w:color w:val="auto"/>
          <w:sz w:val="22"/>
          <w:szCs w:val="22"/>
          <w:highlight w:val="none"/>
          <w:lang w:eastAsia="zh-CN"/>
        </w:rPr>
        <w:t>，无石灰反应。</w:t>
      </w:r>
      <w:r>
        <w:rPr>
          <w:rFonts w:hint="eastAsia" w:ascii="宋体" w:hAnsi="宋体" w:eastAsia="宋体" w:cs="宋体"/>
          <w:color w:val="auto"/>
          <w:spacing w:val="0"/>
          <w:sz w:val="22"/>
          <w:szCs w:val="22"/>
          <w:highlight w:val="none"/>
          <w:lang w:eastAsia="zh-CN"/>
        </w:rPr>
        <w:t>裸根种苗一经</w:t>
      </w:r>
      <w:r>
        <w:rPr>
          <w:rFonts w:ascii="宋体" w:hAnsi="宋体" w:eastAsia="宋体" w:cs="宋体"/>
          <w:color w:val="auto"/>
          <w:sz w:val="22"/>
          <w:szCs w:val="22"/>
          <w:highlight w:val="none"/>
          <w:lang w:eastAsia="zh-CN"/>
        </w:rPr>
        <w:t>挖起应扶土保护，并将其根部埋置于可保持湿润之材料中，加水</w:t>
      </w:r>
      <w:r>
        <w:rPr>
          <w:rFonts w:hint="eastAsia" w:ascii="宋体" w:hAnsi="宋体" w:eastAsia="宋体" w:cs="宋体"/>
          <w:color w:val="auto"/>
          <w:spacing w:val="0"/>
          <w:sz w:val="22"/>
          <w:szCs w:val="22"/>
          <w:highlight w:val="none"/>
          <w:lang w:eastAsia="zh-CN"/>
        </w:rPr>
        <w:t>以保持根部湿润直至</w:t>
      </w:r>
      <w:r>
        <w:rPr>
          <w:rFonts w:ascii="宋体" w:hAnsi="宋体" w:eastAsia="宋体" w:cs="宋体"/>
          <w:color w:val="auto"/>
          <w:sz w:val="22"/>
          <w:szCs w:val="22"/>
          <w:highlight w:val="none"/>
          <w:lang w:eastAsia="zh-CN"/>
        </w:rPr>
        <w:t>栽培；已栽或未栽种植物应加以保护以免干枯，如松针、麦草、</w:t>
      </w:r>
      <w:r>
        <w:rPr>
          <w:rFonts w:hint="eastAsia" w:ascii="宋体" w:hAnsi="宋体" w:eastAsia="宋体" w:cs="宋体"/>
          <w:color w:val="auto"/>
          <w:spacing w:val="0"/>
          <w:sz w:val="22"/>
          <w:szCs w:val="22"/>
          <w:highlight w:val="none"/>
          <w:lang w:eastAsia="zh-CN"/>
        </w:rPr>
        <w:t>锯末或树皮碎皮以麻</w:t>
      </w:r>
      <w:r>
        <w:rPr>
          <w:rFonts w:ascii="宋体" w:hAnsi="宋体" w:eastAsia="宋体" w:cs="宋体"/>
          <w:color w:val="auto"/>
          <w:sz w:val="22"/>
          <w:szCs w:val="22"/>
          <w:highlight w:val="none"/>
          <w:lang w:eastAsia="zh-CN"/>
        </w:rPr>
        <w:t>袋、帆布、塑料布、其他织物或用其他覆盖物，储存的植物每隔</w:t>
      </w:r>
      <w:r>
        <w:rPr>
          <w:rFonts w:hint="eastAsia" w:ascii="宋体" w:hAnsi="宋体" w:eastAsia="宋体" w:cs="宋体"/>
          <w:color w:val="auto"/>
          <w:spacing w:val="0"/>
          <w:sz w:val="22"/>
          <w:szCs w:val="22"/>
          <w:highlight w:val="none"/>
          <w:lang w:eastAsia="zh-CN"/>
        </w:rPr>
        <w:t>适当时间应喷水以维持根部湿润。</w:t>
      </w:r>
    </w:p>
    <w:p>
      <w:pPr>
        <w:spacing w:before="94" w:line="360" w:lineRule="auto"/>
        <w:ind w:left="0" w:right="298"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lang w:eastAsia="zh-CN"/>
        </w:rPr>
        <w:t>项目</w:t>
      </w:r>
      <w:r>
        <w:rPr>
          <w:rFonts w:hint="eastAsia" w:ascii="宋体" w:hAnsi="宋体" w:eastAsia="宋体" w:cs="宋体"/>
          <w:color w:val="auto"/>
          <w:sz w:val="22"/>
          <w:szCs w:val="22"/>
          <w:highlight w:val="none"/>
          <w:lang w:eastAsia="zh-CN"/>
        </w:rPr>
        <w:t>完成</w:t>
      </w:r>
      <w:r>
        <w:rPr>
          <w:rFonts w:ascii="宋体" w:hAnsi="宋体" w:eastAsia="宋体" w:cs="宋体"/>
          <w:color w:val="auto"/>
          <w:sz w:val="22"/>
          <w:szCs w:val="22"/>
          <w:highlight w:val="none"/>
          <w:lang w:eastAsia="zh-CN"/>
        </w:rPr>
        <w:t>时应当达到</w:t>
      </w:r>
      <w:r>
        <w:rPr>
          <w:rFonts w:hint="eastAsia" w:ascii="宋体" w:hAnsi="宋体" w:eastAsia="宋体" w:cs="宋体"/>
          <w:color w:val="auto"/>
          <w:sz w:val="22"/>
          <w:szCs w:val="22"/>
          <w:highlight w:val="none"/>
          <w:lang w:eastAsia="zh-CN"/>
        </w:rPr>
        <w:t>合同</w:t>
      </w:r>
      <w:r>
        <w:rPr>
          <w:rFonts w:ascii="宋体" w:hAnsi="宋体" w:eastAsia="宋体" w:cs="宋体"/>
          <w:color w:val="auto"/>
          <w:sz w:val="22"/>
          <w:szCs w:val="22"/>
          <w:highlight w:val="none"/>
          <w:lang w:eastAsia="zh-CN"/>
        </w:rPr>
        <w:t>约定的质量标准</w:t>
      </w:r>
      <w:r>
        <w:rPr>
          <w:rFonts w:hint="eastAsia" w:ascii="宋体" w:hAnsi="宋体" w:eastAsia="宋体" w:cs="宋体"/>
          <w:color w:val="auto"/>
          <w:spacing w:val="0"/>
          <w:sz w:val="22"/>
          <w:szCs w:val="22"/>
          <w:highlight w:val="none"/>
          <w:lang w:eastAsia="zh-CN"/>
        </w:rPr>
        <w:t>，质量的评定以国家或行业的质</w:t>
      </w:r>
      <w:r>
        <w:rPr>
          <w:rFonts w:ascii="宋体" w:hAnsi="宋体" w:eastAsia="宋体" w:cs="宋体"/>
          <w:color w:val="auto"/>
          <w:sz w:val="22"/>
          <w:szCs w:val="22"/>
          <w:highlight w:val="none"/>
          <w:lang w:eastAsia="zh-CN"/>
        </w:rPr>
        <w:t>量检验评定标准为依据。因</w:t>
      </w:r>
      <w:r>
        <w:rPr>
          <w:rFonts w:hint="eastAsia" w:ascii="宋体" w:hAnsi="宋体" w:eastAsia="宋体" w:cs="宋体"/>
          <w:color w:val="auto"/>
          <w:sz w:val="22"/>
          <w:szCs w:val="22"/>
          <w:highlight w:val="none"/>
          <w:lang w:eastAsia="zh-CN"/>
        </w:rPr>
        <w:t>供应商</w:t>
      </w:r>
      <w:r>
        <w:rPr>
          <w:rFonts w:ascii="宋体" w:hAnsi="宋体" w:eastAsia="宋体" w:cs="宋体"/>
          <w:color w:val="auto"/>
          <w:sz w:val="22"/>
          <w:szCs w:val="22"/>
          <w:highlight w:val="none"/>
          <w:lang w:eastAsia="zh-CN"/>
        </w:rPr>
        <w:t>原因质量达不到自报项目质</w:t>
      </w:r>
      <w:r>
        <w:rPr>
          <w:rFonts w:hint="eastAsia" w:ascii="宋体" w:hAnsi="宋体" w:eastAsia="宋体" w:cs="宋体"/>
          <w:color w:val="auto"/>
          <w:spacing w:val="0"/>
          <w:sz w:val="22"/>
          <w:szCs w:val="22"/>
          <w:highlight w:val="none"/>
          <w:lang w:eastAsia="zh-CN"/>
        </w:rPr>
        <w:t>量等级标准者，供应商</w:t>
      </w:r>
      <w:r>
        <w:rPr>
          <w:rFonts w:ascii="宋体" w:hAnsi="宋体" w:eastAsia="宋体" w:cs="宋体"/>
          <w:color w:val="auto"/>
          <w:sz w:val="22"/>
          <w:szCs w:val="22"/>
          <w:highlight w:val="none"/>
          <w:lang w:eastAsia="zh-CN"/>
        </w:rPr>
        <w:t>承担违约责任，并按合同总价的</w:t>
      </w:r>
      <w:r>
        <w:rPr>
          <w:rFonts w:hint="eastAsia" w:ascii="宋体" w:hAnsi="宋体" w:eastAsia="宋体" w:cs="宋体"/>
          <w:color w:val="auto"/>
          <w:sz w:val="22"/>
          <w:szCs w:val="22"/>
          <w:highlight w:val="none"/>
          <w:lang w:eastAsia="zh-CN"/>
        </w:rPr>
        <w:t>2%</w:t>
      </w:r>
      <w:r>
        <w:rPr>
          <w:rFonts w:ascii="宋体" w:hAnsi="宋体" w:eastAsia="宋体" w:cs="宋体"/>
          <w:color w:val="auto"/>
          <w:sz w:val="22"/>
          <w:szCs w:val="22"/>
          <w:highlight w:val="none"/>
          <w:lang w:eastAsia="zh-CN"/>
        </w:rPr>
        <w:t>的标准计算</w:t>
      </w:r>
      <w:r>
        <w:rPr>
          <w:rFonts w:hint="eastAsia" w:ascii="宋体" w:hAnsi="宋体" w:eastAsia="宋体" w:cs="宋体"/>
          <w:color w:val="auto"/>
          <w:spacing w:val="0"/>
          <w:sz w:val="22"/>
          <w:szCs w:val="22"/>
          <w:highlight w:val="none"/>
          <w:lang w:eastAsia="zh-CN"/>
        </w:rPr>
        <w:t>违约金。供应商也可在投标标书中自报</w:t>
      </w:r>
      <w:r>
        <w:rPr>
          <w:rFonts w:ascii="宋体" w:hAnsi="宋体" w:eastAsia="宋体" w:cs="宋体"/>
          <w:color w:val="auto"/>
          <w:sz w:val="22"/>
          <w:szCs w:val="22"/>
          <w:highlight w:val="none"/>
          <w:lang w:eastAsia="zh-CN"/>
        </w:rPr>
        <w:t>质量违约的处罚标准，以资竞争。质量违约金在项目结算时由</w:t>
      </w:r>
      <w:r>
        <w:rPr>
          <w:rFonts w:hint="eastAsia" w:ascii="宋体" w:hAnsi="宋体" w:eastAsia="宋体" w:cs="宋体"/>
          <w:color w:val="auto"/>
          <w:spacing w:val="0"/>
          <w:sz w:val="22"/>
          <w:szCs w:val="22"/>
          <w:highlight w:val="none"/>
          <w:lang w:eastAsia="zh-CN"/>
        </w:rPr>
        <w:t>采购人直接在供应商应得的项目款中扣除。</w:t>
      </w:r>
    </w:p>
    <w:p>
      <w:pPr>
        <w:spacing w:before="116" w:line="360" w:lineRule="auto"/>
        <w:ind w:left="444"/>
        <w:outlineLvl w:val="3"/>
        <w:rPr>
          <w:rFonts w:ascii="宋体" w:hAnsi="宋体" w:eastAsia="宋体" w:cs="宋体"/>
          <w:b/>
          <w:bCs/>
          <w:color w:val="auto"/>
          <w:spacing w:val="-6"/>
          <w:sz w:val="22"/>
          <w:szCs w:val="22"/>
          <w:highlight w:val="none"/>
          <w:lang w:eastAsia="zh-CN"/>
        </w:rPr>
      </w:pPr>
      <w:r>
        <w:rPr>
          <w:rFonts w:ascii="宋体" w:hAnsi="宋体" w:eastAsia="宋体" w:cs="宋体"/>
          <w:b/>
          <w:bCs/>
          <w:color w:val="auto"/>
          <w:spacing w:val="-6"/>
          <w:sz w:val="22"/>
          <w:szCs w:val="22"/>
          <w:highlight w:val="none"/>
          <w:lang w:eastAsia="zh-CN"/>
        </w:rPr>
        <w:t>3.</w:t>
      </w:r>
      <w:r>
        <w:rPr>
          <w:rFonts w:hint="default" w:ascii="宋体" w:hAnsi="宋体" w:eastAsia="宋体" w:cs="宋体"/>
          <w:b/>
          <w:bCs/>
          <w:color w:val="auto"/>
          <w:spacing w:val="-6"/>
          <w:sz w:val="22"/>
          <w:szCs w:val="22"/>
          <w:highlight w:val="none"/>
          <w:lang w:val="en-US" w:eastAsia="zh-CN"/>
        </w:rPr>
        <w:t>3</w:t>
      </w:r>
      <w:r>
        <w:rPr>
          <w:rFonts w:ascii="宋体" w:hAnsi="宋体" w:eastAsia="宋体" w:cs="宋体"/>
          <w:b/>
          <w:bCs/>
          <w:color w:val="auto"/>
          <w:spacing w:val="-6"/>
          <w:sz w:val="22"/>
          <w:szCs w:val="22"/>
          <w:highlight w:val="none"/>
          <w:lang w:eastAsia="zh-CN"/>
        </w:rPr>
        <w:t>安全文明作业及应急处置要求</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3.</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lang w:eastAsia="zh-CN"/>
        </w:rPr>
        <w:t>.1现场安全文明措施与要求</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w:t>
      </w:r>
      <w:r>
        <w:rPr>
          <w:rFonts w:ascii="宋体" w:hAnsi="宋体" w:eastAsia="宋体" w:cs="宋体"/>
          <w:color w:val="auto"/>
          <w:sz w:val="22"/>
          <w:szCs w:val="22"/>
          <w:highlight w:val="none"/>
          <w:lang w:eastAsia="zh-CN"/>
        </w:rPr>
        <w:t>应依据现行标准规范，结合合同标段实际环境、作业时</w:t>
      </w:r>
      <w:r>
        <w:rPr>
          <w:rFonts w:hint="eastAsia" w:ascii="宋体" w:hAnsi="宋体" w:eastAsia="宋体" w:cs="宋体"/>
          <w:color w:val="auto"/>
          <w:spacing w:val="0"/>
          <w:sz w:val="22"/>
          <w:szCs w:val="22"/>
          <w:highlight w:val="none"/>
          <w:lang w:eastAsia="zh-CN"/>
        </w:rPr>
        <w:t>间长短等，制定相应的安全、文明施工具体措施，确保安全生产。</w:t>
      </w:r>
    </w:p>
    <w:p>
      <w:pPr>
        <w:spacing w:before="94" w:line="360" w:lineRule="auto"/>
        <w:ind w:left="0" w:right="298"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(1)</w:t>
      </w:r>
      <w:r>
        <w:rPr>
          <w:rFonts w:ascii="宋体" w:hAnsi="宋体" w:eastAsia="宋体" w:cs="宋体"/>
          <w:color w:val="auto"/>
          <w:sz w:val="22"/>
          <w:szCs w:val="22"/>
          <w:highlight w:val="none"/>
          <w:lang w:eastAsia="zh-CN"/>
        </w:rPr>
        <w:t>供应商应对养护人员进</w:t>
      </w:r>
      <w:r>
        <w:rPr>
          <w:rFonts w:hint="eastAsia" w:ascii="宋体" w:hAnsi="宋体" w:eastAsia="宋体" w:cs="宋体"/>
          <w:color w:val="auto"/>
          <w:spacing w:val="0"/>
          <w:sz w:val="22"/>
          <w:szCs w:val="22"/>
          <w:highlight w:val="none"/>
          <w:lang w:eastAsia="zh-CN"/>
        </w:rPr>
        <w:t>行全员培训，有针对</w:t>
      </w:r>
      <w:r>
        <w:rPr>
          <w:rFonts w:ascii="宋体" w:hAnsi="宋体" w:eastAsia="宋体" w:cs="宋体"/>
          <w:color w:val="auto"/>
          <w:sz w:val="22"/>
          <w:szCs w:val="22"/>
          <w:highlight w:val="none"/>
          <w:lang w:eastAsia="zh-CN"/>
        </w:rPr>
        <w:t>性地开展安全交底活动，重点强调其岗位的安全风险及防范措施</w:t>
      </w:r>
      <w:r>
        <w:rPr>
          <w:rFonts w:hint="eastAsia" w:ascii="宋体" w:hAnsi="宋体" w:eastAsia="宋体" w:cs="宋体"/>
          <w:color w:val="auto"/>
          <w:spacing w:val="0"/>
          <w:sz w:val="22"/>
          <w:szCs w:val="22"/>
          <w:highlight w:val="none"/>
          <w:lang w:eastAsia="zh-CN"/>
        </w:rPr>
        <w:t>；特种作业人员必须接受专业培训，持证上岗。</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(2)建立职工（含劳务工等各种类型用工）花名册等档案资料，与职工签订劳动合同，为其办理国家规定的相关保险，并按规定标准安排专业健康体检和配备劳动防护用品。</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(3)建立健全安全生产工作责任体系和组织管理网络，设置安全生产监管部门，配备专职安全监管人员，对施工作业安全进行现场监督；按照“横向到边，纵向到底”责任制要求将安全责任分解，供应商法定代表人与项目部、项目部与下属各责任部门必须签订安全协议书；定期召开安全生产工作会议，每月不少于一次；组织开展安全生产检查，每旬不少于一次。</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(4)凡占用机动车道进行的项目作业，必须按照规范要求设置维修作业控制区，并配置专用标志车（防撞车）和各项安全器材；施工人员上路作业必须统一着装，乘坐专用车辆，不得乘坐在无专用设施的货车车斗内。</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(5)进入作业现场的作业机械和车辆，应按规定配置警示标志、灯具。</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(6)严格执行JGJ4688-2005《施工现场临时用电安全技术规范》规定，采用三级配电系统、TN-S接零保护系统、三级漏电保护系统；所有的配电箱、开关电箱符合要求，临时用电项目所用电器装置、元器件、电线电缆等电工产品必须按国家规定通过“3C”认证，并经市建设项目安全协会登记备案的进行配置。</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(7)如过程中发生重特大安全事故，供应商应快速、及时赶到现场，实施紧急处置，并协同有关单位和部门做好善后处理和稳定工作；紧急处置的结果须及时上报建设单位。</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(8)创建文明工地，做到工地规范有序，便民利民，工完料清场地清，将项目对交通的影响降到最低，每旬至少进行一次文明工地检查。</w:t>
      </w:r>
    </w:p>
    <w:p>
      <w:pPr>
        <w:spacing w:before="94" w:line="360" w:lineRule="auto"/>
        <w:ind w:left="0" w:right="298" w:firstLine="440"/>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(9)开展多方面的共建联建活动；开展立功竞赛活动。</w:t>
      </w:r>
    </w:p>
    <w:p>
      <w:pPr>
        <w:spacing w:before="94" w:line="360" w:lineRule="auto"/>
        <w:ind w:left="0" w:right="298" w:firstLine="44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lang w:eastAsia="zh-CN"/>
        </w:rPr>
        <w:t>3.</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lang w:eastAsia="zh-CN"/>
        </w:rPr>
        <w:t>.2应急处置要求</w:t>
      </w:r>
    </w:p>
    <w:p>
      <w:pPr>
        <w:spacing w:before="94" w:line="360" w:lineRule="auto"/>
        <w:ind w:left="125" w:right="300" w:firstLine="440"/>
        <w:rPr>
          <w:rFonts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lang w:eastAsia="zh-CN"/>
        </w:rPr>
        <w:t>供应商</w:t>
      </w:r>
      <w:r>
        <w:rPr>
          <w:rFonts w:ascii="宋体" w:hAnsi="宋体" w:eastAsia="宋体" w:cs="宋体"/>
          <w:color w:val="auto"/>
          <w:spacing w:val="-1"/>
          <w:sz w:val="22"/>
          <w:szCs w:val="22"/>
          <w:highlight w:val="none"/>
          <w:lang w:eastAsia="zh-CN"/>
        </w:rPr>
        <w:t>应结合项目实际，针对防台、防汛、防火、防震、突发事件处置、</w:t>
      </w:r>
      <w:r>
        <w:rPr>
          <w:rFonts w:ascii="宋体" w:hAnsi="宋体" w:eastAsia="宋体" w:cs="宋体"/>
          <w:color w:val="auto"/>
          <w:spacing w:val="-2"/>
          <w:sz w:val="22"/>
          <w:szCs w:val="22"/>
          <w:highlight w:val="none"/>
          <w:lang w:eastAsia="zh-CN"/>
        </w:rPr>
        <w:t>重大活动、迎检、信访等可能的事件制定有效可行的应急预案。</w:t>
      </w:r>
    </w:p>
    <w:p>
      <w:pPr>
        <w:spacing w:before="180" w:line="360" w:lineRule="auto"/>
        <w:ind w:left="3"/>
        <w:outlineLvl w:val="1"/>
        <w:rPr>
          <w:rFonts w:ascii="宋体" w:hAnsi="宋体" w:eastAsia="宋体" w:cs="宋体"/>
          <w:b/>
          <w:bCs/>
          <w:color w:val="auto"/>
          <w:spacing w:val="-4"/>
          <w:sz w:val="30"/>
          <w:szCs w:val="30"/>
          <w:highlight w:val="none"/>
          <w:lang w:eastAsia="zh-CN"/>
        </w:rPr>
      </w:pPr>
      <w:r>
        <w:rPr>
          <w:rFonts w:hint="eastAsia" w:ascii="宋体" w:hAnsi="宋体" w:eastAsia="宋体" w:cs="宋体"/>
          <w:b/>
          <w:bCs/>
          <w:color w:val="auto"/>
          <w:spacing w:val="-4"/>
          <w:sz w:val="30"/>
          <w:szCs w:val="30"/>
          <w:highlight w:val="none"/>
          <w:lang w:val="en-US" w:eastAsia="zh-CN"/>
        </w:rPr>
        <w:t>四、</w:t>
      </w:r>
      <w:r>
        <w:rPr>
          <w:rFonts w:ascii="宋体" w:hAnsi="宋体" w:eastAsia="宋体" w:cs="宋体"/>
          <w:b/>
          <w:bCs/>
          <w:color w:val="auto"/>
          <w:spacing w:val="-4"/>
          <w:sz w:val="30"/>
          <w:szCs w:val="30"/>
          <w:highlight w:val="none"/>
          <w:lang w:eastAsia="zh-CN"/>
        </w:rPr>
        <w:t>人员及设备要求</w:t>
      </w:r>
    </w:p>
    <w:p>
      <w:pPr>
        <w:snapToGrid/>
        <w:spacing w:before="94" w:line="360" w:lineRule="auto"/>
        <w:ind w:left="125" w:right="300" w:firstLine="440" w:firstLineChars="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val="en-US" w:eastAsia="zh-CN"/>
        </w:rPr>
        <w:t>4.1</w:t>
      </w:r>
      <w:r>
        <w:rPr>
          <w:rFonts w:hint="eastAsia" w:ascii="宋体" w:hAnsi="宋体" w:eastAsia="宋体" w:cs="宋体"/>
          <w:color w:val="auto"/>
          <w:spacing w:val="-1"/>
          <w:sz w:val="22"/>
          <w:szCs w:val="22"/>
          <w:highlight w:val="none"/>
          <w:lang w:eastAsia="zh-CN"/>
        </w:rPr>
        <w:t>人员要求</w:t>
      </w:r>
    </w:p>
    <w:p>
      <w:pPr>
        <w:spacing w:before="94" w:line="360" w:lineRule="auto"/>
        <w:ind w:left="125" w:right="300" w:firstLine="440" w:firstLineChars="0"/>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供应商拟派的管理人员，实际以养护专业要求为准，</w:t>
      </w:r>
      <w:r>
        <w:rPr>
          <w:rFonts w:hint="eastAsia" w:ascii="宋体" w:hAnsi="宋体" w:eastAsia="宋体" w:cs="宋体"/>
          <w:color w:val="auto"/>
          <w:spacing w:val="-1"/>
          <w:sz w:val="22"/>
          <w:szCs w:val="22"/>
          <w:highlight w:val="none"/>
          <w:lang w:eastAsia="zh-CN"/>
        </w:rPr>
        <w:t>供应商应根据项目特点，服务范围和服务要求，合理配备所需人员，并分配各岗点服务人数、安排班次，</w:t>
      </w:r>
      <w:r>
        <w:rPr>
          <w:rFonts w:hint="eastAsia" w:ascii="宋体" w:hAnsi="宋体" w:eastAsia="宋体" w:cs="宋体"/>
          <w:bCs w:val="0"/>
          <w:color w:val="auto"/>
          <w:spacing w:val="-1"/>
          <w:sz w:val="22"/>
          <w:szCs w:val="22"/>
          <w:highlight w:val="none"/>
          <w:lang w:eastAsia="zh-CN"/>
        </w:rPr>
        <w:t>且必须是本单位职工，且为该项目施工现场的实际操作者。未经采购人同意，供应商不得调换或撤离上述人员，如采购人认为有必要，可要求供应商对上述人员中的部分人员作出更好的调整。</w:t>
      </w:r>
    </w:p>
    <w:p>
      <w:pPr>
        <w:tabs>
          <w:tab w:val="left" w:pos="3060"/>
        </w:tabs>
        <w:snapToGrid w:val="0"/>
        <w:ind w:firstLine="440" w:firstLineChars="200"/>
        <w:rPr>
          <w:bCs/>
          <w:color w:val="auto"/>
          <w:sz w:val="22"/>
          <w:highlight w:val="none"/>
        </w:rPr>
      </w:pPr>
      <w:r>
        <w:rPr>
          <w:rFonts w:hint="eastAsia" w:eastAsia="宋体"/>
          <w:bCs/>
          <w:color w:val="auto"/>
          <w:sz w:val="22"/>
          <w:highlight w:val="none"/>
          <w:lang w:val="en-US" w:eastAsia="zh-CN"/>
        </w:rPr>
        <w:t>4.1.1</w:t>
      </w:r>
      <w:r>
        <w:rPr>
          <w:bCs/>
          <w:color w:val="auto"/>
          <w:sz w:val="22"/>
          <w:highlight w:val="none"/>
        </w:rPr>
        <w:t xml:space="preserve"> 管理人员配备要求</w:t>
      </w:r>
    </w:p>
    <w:p>
      <w:pPr>
        <w:snapToGrid w:val="0"/>
        <w:jc w:val="center"/>
        <w:rPr>
          <w:b/>
          <w:bCs/>
          <w:color w:val="auto"/>
          <w:kern w:val="0"/>
          <w:sz w:val="22"/>
          <w:highlight w:val="none"/>
        </w:rPr>
      </w:pPr>
      <w:r>
        <w:rPr>
          <w:b/>
          <w:bCs/>
          <w:color w:val="auto"/>
          <w:kern w:val="0"/>
          <w:sz w:val="22"/>
          <w:highlight w:val="none"/>
        </w:rPr>
        <w:t>管理人员配置表</w:t>
      </w:r>
    </w:p>
    <w:tbl>
      <w:tblPr>
        <w:tblStyle w:val="7"/>
        <w:tblW w:w="5000" w:type="pct"/>
        <w:jc w:val="center"/>
        <w:tblLayout w:type="autofit"/>
        <w:tblCellMar>
          <w:top w:w="0" w:type="dxa"/>
          <w:left w:w="108" w:type="dxa"/>
          <w:bottom w:w="0" w:type="dxa"/>
          <w:right w:w="108" w:type="dxa"/>
        </w:tblCellMar>
      </w:tblPr>
      <w:tblGrid>
        <w:gridCol w:w="494"/>
        <w:gridCol w:w="944"/>
        <w:gridCol w:w="1034"/>
        <w:gridCol w:w="1214"/>
        <w:gridCol w:w="542"/>
        <w:gridCol w:w="1526"/>
        <w:gridCol w:w="1777"/>
        <w:gridCol w:w="1190"/>
      </w:tblGrid>
      <w:tr>
        <w:tblPrEx>
          <w:tblCellMar>
            <w:top w:w="0" w:type="dxa"/>
            <w:left w:w="108" w:type="dxa"/>
            <w:bottom w:w="0" w:type="dxa"/>
            <w:right w:w="108" w:type="dxa"/>
          </w:tblCellMar>
        </w:tblPrEx>
        <w:trPr>
          <w:trHeight w:val="637" w:hRule="atLeast"/>
          <w:jc w:val="center"/>
        </w:trPr>
        <w:tc>
          <w:tcPr>
            <w:tcW w:w="283" w:type="pct"/>
            <w:tcBorders>
              <w:top w:val="single" w:color="auto" w:sz="8" w:space="0"/>
              <w:left w:val="single" w:color="auto" w:sz="8"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序号</w:t>
            </w:r>
          </w:p>
        </w:tc>
        <w:tc>
          <w:tcPr>
            <w:tcW w:w="541"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岗位类别</w:t>
            </w:r>
          </w:p>
        </w:tc>
        <w:tc>
          <w:tcPr>
            <w:tcW w:w="593"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岗位名称</w:t>
            </w:r>
          </w:p>
        </w:tc>
        <w:tc>
          <w:tcPr>
            <w:tcW w:w="696"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级别</w:t>
            </w:r>
          </w:p>
        </w:tc>
        <w:tc>
          <w:tcPr>
            <w:tcW w:w="311"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数量</w:t>
            </w:r>
          </w:p>
        </w:tc>
        <w:tc>
          <w:tcPr>
            <w:tcW w:w="875"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应提供资料</w:t>
            </w:r>
          </w:p>
        </w:tc>
        <w:tc>
          <w:tcPr>
            <w:tcW w:w="1019" w:type="pct"/>
            <w:tcBorders>
              <w:top w:val="single" w:color="auto" w:sz="8" w:space="0"/>
              <w:left w:val="single" w:color="auto" w:sz="4" w:space="0"/>
              <w:bottom w:val="single" w:color="auto" w:sz="4" w:space="0"/>
              <w:right w:val="single" w:color="auto" w:sz="8" w:space="0"/>
            </w:tcBorders>
            <w:vAlign w:val="center"/>
          </w:tcPr>
          <w:p>
            <w:pPr>
              <w:widowControl/>
              <w:jc w:val="center"/>
              <w:rPr>
                <w:b/>
                <w:bCs/>
                <w:color w:val="auto"/>
                <w:kern w:val="0"/>
                <w:sz w:val="20"/>
                <w:szCs w:val="20"/>
                <w:highlight w:val="none"/>
              </w:rPr>
            </w:pPr>
            <w:r>
              <w:rPr>
                <w:b/>
                <w:bCs/>
                <w:color w:val="auto"/>
                <w:kern w:val="0"/>
                <w:sz w:val="20"/>
                <w:szCs w:val="20"/>
                <w:highlight w:val="none"/>
              </w:rPr>
              <w:t>提供其他资料要求（若有，请提供证书扫描件）</w:t>
            </w:r>
          </w:p>
        </w:tc>
        <w:tc>
          <w:tcPr>
            <w:tcW w:w="679" w:type="pct"/>
            <w:tcBorders>
              <w:top w:val="single" w:color="auto" w:sz="8" w:space="0"/>
              <w:left w:val="single" w:color="auto" w:sz="4" w:space="0"/>
              <w:bottom w:val="single" w:color="auto" w:sz="4" w:space="0"/>
              <w:right w:val="single" w:color="auto" w:sz="8" w:space="0"/>
            </w:tcBorders>
            <w:vAlign w:val="center"/>
          </w:tcPr>
          <w:p>
            <w:pPr>
              <w:widowControl/>
              <w:jc w:val="center"/>
              <w:rPr>
                <w:b/>
                <w:bCs/>
                <w:color w:val="auto"/>
                <w:kern w:val="0"/>
                <w:sz w:val="20"/>
                <w:szCs w:val="20"/>
                <w:highlight w:val="none"/>
              </w:rPr>
            </w:pPr>
            <w:r>
              <w:rPr>
                <w:b/>
                <w:bCs/>
                <w:color w:val="auto"/>
                <w:kern w:val="0"/>
                <w:sz w:val="20"/>
                <w:szCs w:val="20"/>
                <w:highlight w:val="none"/>
              </w:rPr>
              <w:t>备注</w:t>
            </w:r>
          </w:p>
        </w:tc>
      </w:tr>
      <w:tr>
        <w:tblPrEx>
          <w:tblCellMar>
            <w:top w:w="0" w:type="dxa"/>
            <w:left w:w="108" w:type="dxa"/>
            <w:bottom w:w="0" w:type="dxa"/>
            <w:right w:w="108" w:type="dxa"/>
          </w:tblCellMar>
        </w:tblPrEx>
        <w:trPr>
          <w:trHeight w:val="1145" w:hRule="atLeast"/>
          <w:jc w:val="center"/>
        </w:trPr>
        <w:tc>
          <w:tcPr>
            <w:tcW w:w="283" w:type="pct"/>
            <w:tcBorders>
              <w:top w:val="single" w:color="auto" w:sz="4" w:space="0"/>
              <w:left w:val="single" w:color="auto" w:sz="8"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1</w:t>
            </w:r>
          </w:p>
        </w:tc>
        <w:tc>
          <w:tcPr>
            <w:tcW w:w="54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auto"/>
                <w:kern w:val="0"/>
                <w:sz w:val="20"/>
                <w:szCs w:val="20"/>
                <w:highlight w:val="none"/>
                <w:lang w:val="en-US" w:eastAsia="zh-CN"/>
              </w:rPr>
            </w:pPr>
            <w:r>
              <w:rPr>
                <w:rFonts w:hint="eastAsia" w:eastAsia="宋体"/>
                <w:color w:val="auto"/>
                <w:kern w:val="0"/>
                <w:sz w:val="20"/>
                <w:szCs w:val="20"/>
                <w:highlight w:val="none"/>
                <w:lang w:val="en-US" w:eastAsia="zh-CN"/>
              </w:rPr>
              <w:t>管理</w:t>
            </w:r>
          </w:p>
          <w:p>
            <w:pPr>
              <w:widowControl/>
              <w:jc w:val="center"/>
              <w:rPr>
                <w:rFonts w:hint="eastAsia" w:eastAsia="宋体"/>
                <w:color w:val="auto"/>
                <w:kern w:val="0"/>
                <w:sz w:val="20"/>
                <w:szCs w:val="20"/>
                <w:highlight w:val="none"/>
                <w:lang w:eastAsia="zh-CN"/>
              </w:rPr>
            </w:pPr>
            <w:r>
              <w:rPr>
                <w:rFonts w:hint="eastAsia" w:eastAsia="宋体"/>
                <w:color w:val="auto"/>
                <w:kern w:val="0"/>
                <w:sz w:val="20"/>
                <w:szCs w:val="20"/>
                <w:highlight w:val="none"/>
                <w:lang w:val="en-US" w:eastAsia="zh-CN"/>
              </w:rPr>
              <w:t>人员</w:t>
            </w:r>
          </w:p>
        </w:tc>
        <w:tc>
          <w:tcPr>
            <w:tcW w:w="593"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项目经理</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绿化专业</w:t>
            </w:r>
          </w:p>
          <w:p>
            <w:pPr>
              <w:widowControl/>
              <w:jc w:val="center"/>
              <w:rPr>
                <w:color w:val="auto"/>
                <w:kern w:val="0"/>
                <w:sz w:val="20"/>
                <w:szCs w:val="20"/>
                <w:highlight w:val="none"/>
              </w:rPr>
            </w:pPr>
            <w:r>
              <w:rPr>
                <w:color w:val="auto"/>
                <w:kern w:val="0"/>
                <w:sz w:val="20"/>
                <w:szCs w:val="20"/>
                <w:highlight w:val="none"/>
              </w:rPr>
              <w:t>中级</w:t>
            </w:r>
            <w:r>
              <w:rPr>
                <w:rFonts w:hint="eastAsia" w:eastAsia="宋体"/>
                <w:color w:val="auto"/>
                <w:kern w:val="0"/>
                <w:sz w:val="20"/>
                <w:szCs w:val="20"/>
                <w:highlight w:val="none"/>
                <w:lang w:eastAsia="zh-CN"/>
              </w:rPr>
              <w:t>及</w:t>
            </w:r>
            <w:r>
              <w:rPr>
                <w:rFonts w:hint="eastAsia" w:eastAsia="宋体"/>
                <w:color w:val="auto"/>
                <w:kern w:val="0"/>
                <w:sz w:val="20"/>
                <w:szCs w:val="20"/>
                <w:highlight w:val="none"/>
                <w:lang w:val="en-US" w:eastAsia="zh-CN"/>
              </w:rPr>
              <w:t>以上</w:t>
            </w:r>
            <w:r>
              <w:rPr>
                <w:color w:val="auto"/>
                <w:kern w:val="0"/>
                <w:sz w:val="20"/>
                <w:szCs w:val="20"/>
                <w:highlight w:val="none"/>
              </w:rPr>
              <w:t>工程师</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rPr>
                <w:color w:val="auto"/>
                <w:kern w:val="0"/>
                <w:sz w:val="20"/>
                <w:szCs w:val="20"/>
                <w:highlight w:val="none"/>
              </w:rPr>
            </w:pPr>
            <w:r>
              <w:rPr>
                <w:color w:val="auto"/>
                <w:kern w:val="0"/>
                <w:sz w:val="20"/>
                <w:szCs w:val="20"/>
                <w:highlight w:val="none"/>
              </w:rPr>
              <w:t>绿化专业中级工程师及以上</w:t>
            </w:r>
            <w:r>
              <w:rPr>
                <w:rFonts w:hint="eastAsia" w:eastAsia="宋体"/>
                <w:color w:val="auto"/>
                <w:kern w:val="0"/>
                <w:sz w:val="20"/>
                <w:szCs w:val="20"/>
                <w:highlight w:val="none"/>
                <w:lang w:eastAsia="zh-CN"/>
              </w:rPr>
              <w:t>、</w:t>
            </w:r>
            <w:r>
              <w:rPr>
                <w:color w:val="auto"/>
                <w:kern w:val="0"/>
                <w:sz w:val="20"/>
                <w:szCs w:val="20"/>
                <w:highlight w:val="none"/>
              </w:rPr>
              <w:t>社保缴金证明</w:t>
            </w:r>
          </w:p>
        </w:tc>
        <w:tc>
          <w:tcPr>
            <w:tcW w:w="1019" w:type="pct"/>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jc w:val="left"/>
              <w:rPr>
                <w:color w:val="auto"/>
                <w:kern w:val="0"/>
                <w:sz w:val="20"/>
                <w:szCs w:val="20"/>
                <w:highlight w:val="none"/>
              </w:rPr>
            </w:pPr>
          </w:p>
        </w:tc>
        <w:tc>
          <w:tcPr>
            <w:tcW w:w="67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r>
      <w:tr>
        <w:tblPrEx>
          <w:tblCellMar>
            <w:top w:w="0" w:type="dxa"/>
            <w:left w:w="108" w:type="dxa"/>
            <w:bottom w:w="0" w:type="dxa"/>
            <w:right w:w="108" w:type="dxa"/>
          </w:tblCellMar>
        </w:tblPrEx>
        <w:trPr>
          <w:trHeight w:val="567" w:hRule="atLeast"/>
          <w:jc w:val="center"/>
        </w:trPr>
        <w:tc>
          <w:tcPr>
            <w:tcW w:w="283" w:type="pct"/>
            <w:vMerge w:val="restart"/>
            <w:tcBorders>
              <w:top w:val="single" w:color="auto" w:sz="4" w:space="0"/>
              <w:left w:val="single" w:color="auto" w:sz="8"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2</w:t>
            </w:r>
          </w:p>
        </w:tc>
        <w:tc>
          <w:tcPr>
            <w:tcW w:w="541" w:type="pct"/>
            <w:vMerge w:val="restart"/>
            <w:tcBorders>
              <w:top w:val="single" w:color="auto" w:sz="4" w:space="0"/>
              <w:left w:val="single" w:color="auto" w:sz="4" w:space="0"/>
              <w:right w:val="single" w:color="auto" w:sz="4" w:space="0"/>
            </w:tcBorders>
            <w:vAlign w:val="center"/>
          </w:tcPr>
          <w:p>
            <w:pPr>
              <w:jc w:val="center"/>
              <w:rPr>
                <w:color w:val="auto"/>
                <w:kern w:val="0"/>
                <w:sz w:val="20"/>
                <w:szCs w:val="20"/>
                <w:highlight w:val="none"/>
              </w:rPr>
            </w:pPr>
            <w:r>
              <w:rPr>
                <w:color w:val="auto"/>
                <w:kern w:val="0"/>
                <w:sz w:val="20"/>
                <w:szCs w:val="20"/>
                <w:highlight w:val="none"/>
              </w:rPr>
              <w:t>其他专业技术人员</w:t>
            </w:r>
          </w:p>
        </w:tc>
        <w:tc>
          <w:tcPr>
            <w:tcW w:w="593"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质量员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社保缴金证明</w:t>
            </w:r>
          </w:p>
        </w:tc>
        <w:tc>
          <w:tcPr>
            <w:tcW w:w="101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c>
          <w:tcPr>
            <w:tcW w:w="67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r>
      <w:tr>
        <w:tblPrEx>
          <w:tblCellMar>
            <w:top w:w="0" w:type="dxa"/>
            <w:left w:w="108" w:type="dxa"/>
            <w:bottom w:w="0" w:type="dxa"/>
            <w:right w:w="108" w:type="dxa"/>
          </w:tblCellMar>
        </w:tblPrEx>
        <w:trPr>
          <w:trHeight w:val="1260" w:hRule="atLeast"/>
          <w:jc w:val="center"/>
        </w:trPr>
        <w:tc>
          <w:tcPr>
            <w:tcW w:w="283" w:type="pct"/>
            <w:vMerge w:val="continue"/>
            <w:tcBorders>
              <w:left w:val="single" w:color="auto" w:sz="8" w:space="0"/>
              <w:right w:val="single" w:color="auto" w:sz="4" w:space="0"/>
            </w:tcBorders>
            <w:vAlign w:val="center"/>
          </w:tcPr>
          <w:p>
            <w:pPr>
              <w:widowControl/>
              <w:jc w:val="center"/>
              <w:rPr>
                <w:color w:val="auto"/>
                <w:kern w:val="0"/>
                <w:sz w:val="20"/>
                <w:szCs w:val="20"/>
                <w:highlight w:val="none"/>
              </w:rPr>
            </w:pPr>
          </w:p>
        </w:tc>
        <w:tc>
          <w:tcPr>
            <w:tcW w:w="541" w:type="pct"/>
            <w:vMerge w:val="continue"/>
            <w:tcBorders>
              <w:left w:val="single" w:color="auto" w:sz="4" w:space="0"/>
              <w:right w:val="single" w:color="auto" w:sz="4" w:space="0"/>
            </w:tcBorders>
            <w:vAlign w:val="center"/>
          </w:tcPr>
          <w:p>
            <w:pPr>
              <w:widowControl/>
              <w:jc w:val="center"/>
              <w:rPr>
                <w:color w:val="auto"/>
                <w:kern w:val="0"/>
                <w:sz w:val="20"/>
                <w:szCs w:val="20"/>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安全员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社保缴金证明</w:t>
            </w:r>
          </w:p>
        </w:tc>
        <w:tc>
          <w:tcPr>
            <w:tcW w:w="101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r>
              <w:rPr>
                <w:rFonts w:hint="eastAsia" w:asciiTheme="minorEastAsia" w:hAnsiTheme="minorEastAsia" w:eastAsiaTheme="minorEastAsia" w:cstheme="minorEastAsia"/>
                <w:i w:val="0"/>
                <w:iCs w:val="0"/>
                <w:caps w:val="0"/>
                <w:snapToGrid w:val="0"/>
                <w:color w:val="auto"/>
                <w:spacing w:val="0"/>
                <w:kern w:val="0"/>
                <w:sz w:val="20"/>
                <w:szCs w:val="20"/>
                <w:highlight w:val="none"/>
                <w:lang w:val="en-US" w:eastAsia="zh-CN" w:bidi="ar"/>
              </w:rPr>
              <w:t>安全员C证</w:t>
            </w:r>
          </w:p>
        </w:tc>
        <w:tc>
          <w:tcPr>
            <w:tcW w:w="67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r>
      <w:tr>
        <w:tblPrEx>
          <w:tblCellMar>
            <w:top w:w="0" w:type="dxa"/>
            <w:left w:w="108" w:type="dxa"/>
            <w:bottom w:w="0" w:type="dxa"/>
            <w:right w:w="108" w:type="dxa"/>
          </w:tblCellMar>
        </w:tblPrEx>
        <w:trPr>
          <w:trHeight w:val="567" w:hRule="atLeast"/>
          <w:jc w:val="center"/>
        </w:trPr>
        <w:tc>
          <w:tcPr>
            <w:tcW w:w="283" w:type="pct"/>
            <w:vMerge w:val="continue"/>
            <w:tcBorders>
              <w:left w:val="single" w:color="auto" w:sz="8" w:space="0"/>
              <w:bottom w:val="single" w:color="auto" w:sz="4" w:space="0"/>
              <w:right w:val="single" w:color="auto" w:sz="4" w:space="0"/>
            </w:tcBorders>
            <w:vAlign w:val="center"/>
          </w:tcPr>
          <w:p>
            <w:pPr>
              <w:widowControl/>
              <w:jc w:val="center"/>
              <w:rPr>
                <w:color w:val="auto"/>
                <w:kern w:val="0"/>
                <w:sz w:val="20"/>
                <w:szCs w:val="20"/>
                <w:highlight w:val="none"/>
              </w:rPr>
            </w:pPr>
          </w:p>
        </w:tc>
        <w:tc>
          <w:tcPr>
            <w:tcW w:w="541" w:type="pct"/>
            <w:vMerge w:val="continue"/>
            <w:tcBorders>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资料员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社保缴金证明</w:t>
            </w:r>
          </w:p>
        </w:tc>
        <w:tc>
          <w:tcPr>
            <w:tcW w:w="101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c>
          <w:tcPr>
            <w:tcW w:w="679"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highlight w:val="none"/>
              </w:rPr>
            </w:pPr>
          </w:p>
        </w:tc>
      </w:tr>
      <w:tr>
        <w:tblPrEx>
          <w:tblCellMar>
            <w:top w:w="0" w:type="dxa"/>
            <w:left w:w="108" w:type="dxa"/>
            <w:bottom w:w="0" w:type="dxa"/>
            <w:right w:w="108" w:type="dxa"/>
          </w:tblCellMar>
        </w:tblPrEx>
        <w:trPr>
          <w:trHeight w:val="567" w:hRule="atLeast"/>
          <w:jc w:val="center"/>
        </w:trPr>
        <w:tc>
          <w:tcPr>
            <w:tcW w:w="5000" w:type="pct"/>
            <w:gridSpan w:val="8"/>
            <w:tcBorders>
              <w:top w:val="single" w:color="auto" w:sz="4" w:space="0"/>
              <w:left w:val="single" w:color="auto" w:sz="8" w:space="0"/>
              <w:bottom w:val="single" w:color="auto" w:sz="8" w:space="0"/>
              <w:right w:val="single" w:color="auto" w:sz="8" w:space="0"/>
            </w:tcBorders>
            <w:vAlign w:val="center"/>
          </w:tcPr>
          <w:p>
            <w:pPr>
              <w:widowControl/>
              <w:ind w:firstLine="400" w:firstLineChars="200"/>
              <w:jc w:val="left"/>
              <w:rPr>
                <w:color w:val="auto"/>
                <w:kern w:val="0"/>
                <w:sz w:val="20"/>
                <w:szCs w:val="20"/>
                <w:highlight w:val="none"/>
              </w:rPr>
            </w:pPr>
            <w:r>
              <w:rPr>
                <w:color w:val="auto"/>
                <w:kern w:val="0"/>
                <w:sz w:val="20"/>
                <w:szCs w:val="20"/>
                <w:highlight w:val="none"/>
              </w:rPr>
              <w:t>备注：1、表中人员需提供</w:t>
            </w:r>
            <w:r>
              <w:rPr>
                <w:color w:val="auto"/>
                <w:sz w:val="20"/>
                <w:szCs w:val="20"/>
                <w:highlight w:val="none"/>
              </w:rPr>
              <w:t>近</w:t>
            </w:r>
            <w:r>
              <w:rPr>
                <w:rFonts w:hint="eastAsia" w:eastAsia="宋体"/>
                <w:color w:val="auto"/>
                <w:sz w:val="20"/>
                <w:szCs w:val="20"/>
                <w:highlight w:val="none"/>
                <w:lang w:val="en-US" w:eastAsia="zh-CN"/>
              </w:rPr>
              <w:t>3</w:t>
            </w:r>
            <w:r>
              <w:rPr>
                <w:color w:val="auto"/>
                <w:sz w:val="20"/>
                <w:szCs w:val="20"/>
                <w:highlight w:val="none"/>
              </w:rPr>
              <w:t>个月内任一月份</w:t>
            </w:r>
            <w:r>
              <w:rPr>
                <w:color w:val="auto"/>
                <w:kern w:val="0"/>
                <w:sz w:val="20"/>
                <w:szCs w:val="20"/>
                <w:highlight w:val="none"/>
              </w:rPr>
              <w:t>在投标单位的</w:t>
            </w:r>
            <w:r>
              <w:rPr>
                <w:color w:val="auto"/>
                <w:sz w:val="20"/>
                <w:szCs w:val="20"/>
                <w:highlight w:val="none"/>
              </w:rPr>
              <w:t>的社保缴金证明</w:t>
            </w:r>
            <w:r>
              <w:rPr>
                <w:rFonts w:hint="eastAsia" w:eastAsia="宋体"/>
                <w:color w:val="auto"/>
                <w:sz w:val="20"/>
                <w:szCs w:val="20"/>
                <w:highlight w:val="none"/>
                <w:lang w:eastAsia="zh-CN"/>
              </w:rPr>
              <w:t>，</w:t>
            </w:r>
            <w:r>
              <w:rPr>
                <w:rFonts w:hint="eastAsia" w:eastAsia="宋体"/>
                <w:color w:val="auto"/>
                <w:sz w:val="20"/>
                <w:szCs w:val="20"/>
                <w:highlight w:val="none"/>
                <w:lang w:val="en-US" w:eastAsia="zh-CN"/>
              </w:rPr>
              <w:t>须在查询列表中做出标注，以便查找</w:t>
            </w:r>
            <w:r>
              <w:rPr>
                <w:color w:val="auto"/>
                <w:kern w:val="0"/>
                <w:sz w:val="20"/>
                <w:szCs w:val="20"/>
                <w:highlight w:val="none"/>
              </w:rPr>
              <w:t>；</w:t>
            </w:r>
          </w:p>
        </w:tc>
      </w:tr>
    </w:tbl>
    <w:p>
      <w:pPr>
        <w:tabs>
          <w:tab w:val="left" w:pos="3060"/>
        </w:tabs>
        <w:snapToGrid w:val="0"/>
        <w:ind w:firstLine="440" w:firstLineChars="200"/>
        <w:rPr>
          <w:bCs/>
          <w:color w:val="auto"/>
          <w:sz w:val="22"/>
          <w:highlight w:val="none"/>
        </w:rPr>
      </w:pPr>
      <w:r>
        <w:rPr>
          <w:rFonts w:hint="eastAsia" w:eastAsia="宋体"/>
          <w:bCs/>
          <w:color w:val="auto"/>
          <w:sz w:val="22"/>
          <w:highlight w:val="none"/>
          <w:lang w:val="en-US" w:eastAsia="zh-CN"/>
        </w:rPr>
        <w:t>4.1.2</w:t>
      </w:r>
      <w:r>
        <w:rPr>
          <w:bCs/>
          <w:color w:val="auto"/>
          <w:sz w:val="22"/>
          <w:highlight w:val="none"/>
        </w:rPr>
        <w:t xml:space="preserve"> 技术作业工人配备要求</w:t>
      </w:r>
    </w:p>
    <w:p>
      <w:pPr>
        <w:jc w:val="center"/>
        <w:rPr>
          <w:b/>
          <w:bCs/>
          <w:color w:val="auto"/>
          <w:kern w:val="0"/>
          <w:sz w:val="22"/>
          <w:highlight w:val="none"/>
        </w:rPr>
      </w:pPr>
      <w:r>
        <w:rPr>
          <w:b/>
          <w:bCs/>
          <w:color w:val="auto"/>
          <w:kern w:val="0"/>
          <w:sz w:val="22"/>
          <w:highlight w:val="none"/>
        </w:rPr>
        <w:t>主要技术工人（骨干）配置表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309"/>
        <w:gridCol w:w="1223"/>
        <w:gridCol w:w="792"/>
        <w:gridCol w:w="665"/>
        <w:gridCol w:w="1163"/>
        <w:gridCol w:w="156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39" w:type="pct"/>
            <w:vAlign w:val="center"/>
          </w:tcPr>
          <w:p>
            <w:pPr>
              <w:widowControl/>
              <w:jc w:val="center"/>
              <w:rPr>
                <w:b/>
                <w:bCs/>
                <w:color w:val="auto"/>
                <w:kern w:val="0"/>
                <w:sz w:val="20"/>
                <w:szCs w:val="20"/>
                <w:highlight w:val="none"/>
              </w:rPr>
            </w:pPr>
            <w:r>
              <w:rPr>
                <w:b/>
                <w:bCs/>
                <w:color w:val="auto"/>
                <w:kern w:val="0"/>
                <w:sz w:val="20"/>
                <w:szCs w:val="20"/>
                <w:highlight w:val="none"/>
              </w:rPr>
              <w:t>序号</w:t>
            </w:r>
          </w:p>
        </w:tc>
        <w:tc>
          <w:tcPr>
            <w:tcW w:w="751" w:type="pct"/>
            <w:vAlign w:val="center"/>
          </w:tcPr>
          <w:p>
            <w:pPr>
              <w:widowControl/>
              <w:jc w:val="center"/>
              <w:rPr>
                <w:b/>
                <w:bCs/>
                <w:color w:val="auto"/>
                <w:kern w:val="0"/>
                <w:sz w:val="20"/>
                <w:szCs w:val="20"/>
                <w:highlight w:val="none"/>
              </w:rPr>
            </w:pPr>
            <w:r>
              <w:rPr>
                <w:b/>
                <w:bCs/>
                <w:color w:val="auto"/>
                <w:kern w:val="0"/>
                <w:sz w:val="20"/>
                <w:szCs w:val="20"/>
                <w:highlight w:val="none"/>
              </w:rPr>
              <w:t>岗位类别</w:t>
            </w:r>
          </w:p>
        </w:tc>
        <w:tc>
          <w:tcPr>
            <w:tcW w:w="701" w:type="pct"/>
            <w:vAlign w:val="center"/>
          </w:tcPr>
          <w:p>
            <w:pPr>
              <w:widowControl/>
              <w:jc w:val="center"/>
              <w:rPr>
                <w:b/>
                <w:bCs/>
                <w:color w:val="auto"/>
                <w:kern w:val="0"/>
                <w:sz w:val="20"/>
                <w:szCs w:val="20"/>
                <w:highlight w:val="none"/>
              </w:rPr>
            </w:pPr>
            <w:r>
              <w:rPr>
                <w:b/>
                <w:bCs/>
                <w:color w:val="auto"/>
                <w:kern w:val="0"/>
                <w:sz w:val="20"/>
                <w:szCs w:val="20"/>
                <w:highlight w:val="none"/>
              </w:rPr>
              <w:t>专业名称</w:t>
            </w:r>
          </w:p>
        </w:tc>
        <w:tc>
          <w:tcPr>
            <w:tcW w:w="454" w:type="pct"/>
            <w:vAlign w:val="center"/>
          </w:tcPr>
          <w:p>
            <w:pPr>
              <w:widowControl/>
              <w:jc w:val="center"/>
              <w:rPr>
                <w:b/>
                <w:bCs/>
                <w:color w:val="auto"/>
                <w:kern w:val="0"/>
                <w:sz w:val="20"/>
                <w:szCs w:val="20"/>
                <w:highlight w:val="none"/>
              </w:rPr>
            </w:pPr>
            <w:r>
              <w:rPr>
                <w:b/>
                <w:bCs/>
                <w:color w:val="auto"/>
                <w:kern w:val="0"/>
                <w:sz w:val="20"/>
                <w:szCs w:val="20"/>
                <w:highlight w:val="none"/>
              </w:rPr>
              <w:t>级别</w:t>
            </w:r>
          </w:p>
        </w:tc>
        <w:tc>
          <w:tcPr>
            <w:tcW w:w="381" w:type="pct"/>
            <w:vAlign w:val="center"/>
          </w:tcPr>
          <w:p>
            <w:pPr>
              <w:widowControl/>
              <w:jc w:val="center"/>
              <w:rPr>
                <w:b/>
                <w:bCs/>
                <w:color w:val="auto"/>
                <w:kern w:val="0"/>
                <w:sz w:val="20"/>
                <w:szCs w:val="20"/>
                <w:highlight w:val="none"/>
              </w:rPr>
            </w:pPr>
            <w:r>
              <w:rPr>
                <w:rFonts w:hint="eastAsia" w:eastAsia="宋体"/>
                <w:b/>
                <w:bCs/>
                <w:color w:val="auto"/>
                <w:kern w:val="0"/>
                <w:sz w:val="20"/>
                <w:szCs w:val="20"/>
                <w:highlight w:val="none"/>
                <w:lang w:eastAsia="zh-CN"/>
              </w:rPr>
              <w:t>最少</w:t>
            </w:r>
            <w:r>
              <w:rPr>
                <w:b/>
                <w:bCs/>
                <w:color w:val="auto"/>
                <w:kern w:val="0"/>
                <w:sz w:val="20"/>
                <w:szCs w:val="20"/>
                <w:highlight w:val="none"/>
              </w:rPr>
              <w:t>数量</w:t>
            </w:r>
          </w:p>
        </w:tc>
        <w:tc>
          <w:tcPr>
            <w:tcW w:w="667" w:type="pct"/>
            <w:vAlign w:val="center"/>
          </w:tcPr>
          <w:p>
            <w:pPr>
              <w:widowControl/>
              <w:jc w:val="center"/>
              <w:rPr>
                <w:b/>
                <w:bCs/>
                <w:color w:val="auto"/>
                <w:kern w:val="0"/>
                <w:sz w:val="20"/>
                <w:szCs w:val="20"/>
                <w:highlight w:val="none"/>
              </w:rPr>
            </w:pPr>
            <w:r>
              <w:rPr>
                <w:b/>
                <w:bCs/>
                <w:color w:val="auto"/>
                <w:kern w:val="0"/>
                <w:sz w:val="20"/>
                <w:szCs w:val="20"/>
                <w:highlight w:val="none"/>
              </w:rPr>
              <w:t>应提供资料</w:t>
            </w:r>
          </w:p>
        </w:tc>
        <w:tc>
          <w:tcPr>
            <w:tcW w:w="897" w:type="pct"/>
            <w:vAlign w:val="center"/>
          </w:tcPr>
          <w:p>
            <w:pPr>
              <w:jc w:val="center"/>
              <w:rPr>
                <w:b/>
                <w:bCs/>
                <w:color w:val="auto"/>
                <w:kern w:val="0"/>
                <w:sz w:val="20"/>
                <w:szCs w:val="20"/>
                <w:highlight w:val="none"/>
              </w:rPr>
            </w:pPr>
            <w:r>
              <w:rPr>
                <w:b/>
                <w:bCs/>
                <w:color w:val="auto"/>
                <w:kern w:val="0"/>
                <w:sz w:val="20"/>
                <w:szCs w:val="20"/>
                <w:highlight w:val="none"/>
              </w:rPr>
              <w:t>提供其他资料要求（若有，请提供证书扫描件）</w:t>
            </w:r>
          </w:p>
        </w:tc>
        <w:tc>
          <w:tcPr>
            <w:tcW w:w="907" w:type="pct"/>
            <w:vAlign w:val="center"/>
          </w:tcPr>
          <w:p>
            <w:pPr>
              <w:jc w:val="center"/>
              <w:rPr>
                <w:b/>
                <w:bCs/>
                <w:color w:val="auto"/>
                <w:kern w:val="0"/>
                <w:sz w:val="20"/>
                <w:szCs w:val="20"/>
                <w:highlight w:val="none"/>
              </w:rPr>
            </w:pPr>
            <w:r>
              <w:rPr>
                <w:b/>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39" w:type="pct"/>
            <w:vAlign w:val="center"/>
          </w:tcPr>
          <w:p>
            <w:pPr>
              <w:widowControl/>
              <w:jc w:val="center"/>
              <w:rPr>
                <w:color w:val="auto"/>
                <w:kern w:val="0"/>
                <w:sz w:val="20"/>
                <w:szCs w:val="20"/>
                <w:highlight w:val="none"/>
              </w:rPr>
            </w:pPr>
            <w:r>
              <w:rPr>
                <w:color w:val="auto"/>
                <w:kern w:val="0"/>
                <w:sz w:val="20"/>
                <w:szCs w:val="20"/>
                <w:highlight w:val="none"/>
              </w:rPr>
              <w:t>1</w:t>
            </w:r>
          </w:p>
        </w:tc>
        <w:tc>
          <w:tcPr>
            <w:tcW w:w="751" w:type="pct"/>
            <w:vAlign w:val="center"/>
          </w:tcPr>
          <w:p>
            <w:pPr>
              <w:widowControl/>
              <w:jc w:val="center"/>
              <w:rPr>
                <w:rFonts w:hint="default" w:eastAsia="宋体"/>
                <w:color w:val="auto"/>
                <w:kern w:val="0"/>
                <w:sz w:val="20"/>
                <w:szCs w:val="20"/>
                <w:highlight w:val="none"/>
                <w:lang w:val="en-US" w:eastAsia="zh-CN"/>
              </w:rPr>
            </w:pPr>
            <w:r>
              <w:rPr>
                <w:rFonts w:hint="eastAsia" w:eastAsia="宋体"/>
                <w:color w:val="auto"/>
                <w:szCs w:val="20"/>
                <w:highlight w:val="none"/>
                <w:lang w:val="en-US" w:eastAsia="zh-CN"/>
              </w:rPr>
              <w:t>绿化工</w:t>
            </w:r>
          </w:p>
        </w:tc>
        <w:tc>
          <w:tcPr>
            <w:tcW w:w="701" w:type="pct"/>
            <w:vAlign w:val="center"/>
          </w:tcPr>
          <w:p>
            <w:pPr>
              <w:widowControl/>
              <w:jc w:val="center"/>
              <w:rPr>
                <w:color w:val="auto"/>
                <w:kern w:val="0"/>
                <w:sz w:val="20"/>
                <w:szCs w:val="20"/>
                <w:highlight w:val="none"/>
              </w:rPr>
            </w:pPr>
          </w:p>
        </w:tc>
        <w:tc>
          <w:tcPr>
            <w:tcW w:w="454" w:type="pct"/>
            <w:vAlign w:val="center"/>
          </w:tcPr>
          <w:p>
            <w:pPr>
              <w:widowControl/>
              <w:jc w:val="center"/>
              <w:rPr>
                <w:rFonts w:hint="eastAsia" w:eastAsia="宋体"/>
                <w:color w:val="auto"/>
                <w:kern w:val="0"/>
                <w:sz w:val="20"/>
                <w:szCs w:val="20"/>
                <w:highlight w:val="none"/>
                <w:lang w:val="en-US" w:eastAsia="zh-CN"/>
              </w:rPr>
            </w:pPr>
            <w:r>
              <w:rPr>
                <w:rFonts w:hint="eastAsia" w:eastAsia="宋体"/>
                <w:color w:val="auto"/>
                <w:kern w:val="0"/>
                <w:sz w:val="20"/>
                <w:szCs w:val="20"/>
                <w:highlight w:val="none"/>
                <w:lang w:val="en-US" w:eastAsia="zh-CN"/>
              </w:rPr>
              <w:t>中级</w:t>
            </w:r>
          </w:p>
        </w:tc>
        <w:tc>
          <w:tcPr>
            <w:tcW w:w="381" w:type="pct"/>
            <w:vAlign w:val="center"/>
          </w:tcPr>
          <w:p>
            <w:pPr>
              <w:widowControl/>
              <w:jc w:val="center"/>
              <w:rPr>
                <w:rFonts w:hint="eastAsia" w:eastAsia="宋体"/>
                <w:color w:val="auto"/>
                <w:kern w:val="0"/>
                <w:sz w:val="20"/>
                <w:szCs w:val="20"/>
                <w:highlight w:val="none"/>
                <w:lang w:eastAsia="zh-CN"/>
              </w:rPr>
            </w:pPr>
            <w:r>
              <w:rPr>
                <w:rFonts w:hint="eastAsia"/>
                <w:color w:val="auto"/>
                <w:kern w:val="0"/>
                <w:sz w:val="20"/>
                <w:szCs w:val="20"/>
                <w:highlight w:val="none"/>
                <w:lang w:val="en-US" w:eastAsia="zh-CN"/>
              </w:rPr>
              <w:t>1</w:t>
            </w:r>
          </w:p>
        </w:tc>
        <w:tc>
          <w:tcPr>
            <w:tcW w:w="667" w:type="pct"/>
            <w:vAlign w:val="center"/>
          </w:tcPr>
          <w:p>
            <w:pPr>
              <w:widowControl/>
              <w:jc w:val="center"/>
              <w:rPr>
                <w:color w:val="auto"/>
                <w:kern w:val="0"/>
                <w:sz w:val="20"/>
                <w:szCs w:val="20"/>
                <w:highlight w:val="none"/>
              </w:rPr>
            </w:pPr>
            <w:r>
              <w:rPr>
                <w:color w:val="auto"/>
                <w:kern w:val="0"/>
                <w:sz w:val="20"/>
                <w:szCs w:val="20"/>
                <w:highlight w:val="none"/>
              </w:rPr>
              <w:t>社保缴金证明</w:t>
            </w:r>
          </w:p>
        </w:tc>
        <w:tc>
          <w:tcPr>
            <w:tcW w:w="897" w:type="pct"/>
            <w:vAlign w:val="center"/>
          </w:tcPr>
          <w:p>
            <w:pPr>
              <w:widowControl/>
              <w:jc w:val="center"/>
              <w:rPr>
                <w:color w:val="auto"/>
                <w:kern w:val="0"/>
                <w:sz w:val="20"/>
                <w:szCs w:val="20"/>
                <w:highlight w:val="none"/>
              </w:rPr>
            </w:pPr>
          </w:p>
        </w:tc>
        <w:tc>
          <w:tcPr>
            <w:tcW w:w="907" w:type="pct"/>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000" w:type="pct"/>
            <w:gridSpan w:val="8"/>
            <w:vAlign w:val="center"/>
          </w:tcPr>
          <w:p>
            <w:pPr>
              <w:widowControl/>
              <w:ind w:firstLine="400" w:firstLineChars="200"/>
              <w:jc w:val="left"/>
              <w:rPr>
                <w:color w:val="auto"/>
                <w:kern w:val="0"/>
                <w:sz w:val="20"/>
                <w:szCs w:val="20"/>
                <w:highlight w:val="none"/>
              </w:rPr>
            </w:pPr>
            <w:r>
              <w:rPr>
                <w:color w:val="auto"/>
                <w:kern w:val="0"/>
                <w:sz w:val="20"/>
                <w:szCs w:val="20"/>
                <w:highlight w:val="none"/>
              </w:rPr>
              <w:t>备注：1、表中人员需提供</w:t>
            </w:r>
            <w:r>
              <w:rPr>
                <w:color w:val="auto"/>
                <w:sz w:val="20"/>
                <w:szCs w:val="20"/>
                <w:highlight w:val="none"/>
              </w:rPr>
              <w:t>近</w:t>
            </w:r>
            <w:r>
              <w:rPr>
                <w:rFonts w:hint="eastAsia" w:eastAsia="宋体"/>
                <w:color w:val="auto"/>
                <w:sz w:val="20"/>
                <w:szCs w:val="20"/>
                <w:highlight w:val="none"/>
                <w:lang w:val="en-US" w:eastAsia="zh-CN"/>
              </w:rPr>
              <w:t>3</w:t>
            </w:r>
            <w:r>
              <w:rPr>
                <w:color w:val="auto"/>
                <w:sz w:val="20"/>
                <w:szCs w:val="20"/>
                <w:highlight w:val="none"/>
              </w:rPr>
              <w:t>个月内任一月份</w:t>
            </w:r>
            <w:r>
              <w:rPr>
                <w:color w:val="auto"/>
                <w:kern w:val="0"/>
                <w:sz w:val="20"/>
                <w:szCs w:val="20"/>
                <w:highlight w:val="none"/>
              </w:rPr>
              <w:t>在投标单位的</w:t>
            </w:r>
            <w:r>
              <w:rPr>
                <w:color w:val="auto"/>
                <w:sz w:val="20"/>
                <w:szCs w:val="20"/>
                <w:highlight w:val="none"/>
              </w:rPr>
              <w:t>的社保缴金证明</w:t>
            </w:r>
            <w:r>
              <w:rPr>
                <w:rFonts w:hint="eastAsia" w:eastAsia="宋体"/>
                <w:color w:val="auto"/>
                <w:sz w:val="20"/>
                <w:szCs w:val="20"/>
                <w:highlight w:val="none"/>
                <w:lang w:eastAsia="zh-CN"/>
              </w:rPr>
              <w:t>，</w:t>
            </w:r>
            <w:r>
              <w:rPr>
                <w:rFonts w:hint="eastAsia" w:eastAsia="宋体"/>
                <w:color w:val="auto"/>
                <w:sz w:val="20"/>
                <w:szCs w:val="20"/>
                <w:highlight w:val="none"/>
                <w:lang w:val="en-US" w:eastAsia="zh-CN"/>
              </w:rPr>
              <w:t>须在查询列表中做出标注，以便查找</w:t>
            </w:r>
            <w:r>
              <w:rPr>
                <w:color w:val="auto"/>
                <w:kern w:val="0"/>
                <w:sz w:val="20"/>
                <w:szCs w:val="20"/>
                <w:highlight w:val="none"/>
              </w:rPr>
              <w:t xml:space="preserve">。 </w:t>
            </w:r>
          </w:p>
        </w:tc>
      </w:tr>
    </w:tbl>
    <w:p>
      <w:pPr>
        <w:tabs>
          <w:tab w:val="left" w:pos="3060"/>
        </w:tabs>
        <w:snapToGrid w:val="0"/>
        <w:ind w:firstLine="440" w:firstLineChars="200"/>
        <w:jc w:val="center"/>
        <w:rPr>
          <w:b/>
          <w:bCs/>
          <w:color w:val="auto"/>
          <w:kern w:val="0"/>
          <w:sz w:val="22"/>
          <w:highlight w:val="none"/>
        </w:rPr>
      </w:pPr>
    </w:p>
    <w:p>
      <w:pPr>
        <w:tabs>
          <w:tab w:val="left" w:pos="3060"/>
        </w:tabs>
        <w:snapToGrid w:val="0"/>
        <w:ind w:firstLine="440" w:firstLineChars="200"/>
        <w:jc w:val="center"/>
        <w:rPr>
          <w:b/>
          <w:bCs/>
          <w:color w:val="auto"/>
          <w:kern w:val="0"/>
          <w:sz w:val="22"/>
          <w:highlight w:val="none"/>
        </w:rPr>
      </w:pPr>
      <w:r>
        <w:rPr>
          <w:b/>
          <w:bCs/>
          <w:color w:val="auto"/>
          <w:kern w:val="0"/>
          <w:sz w:val="22"/>
          <w:highlight w:val="none"/>
        </w:rPr>
        <w:t>一线主要劳动力配置表</w:t>
      </w:r>
    </w:p>
    <w:tbl>
      <w:tblPr>
        <w:tblStyle w:val="7"/>
        <w:tblW w:w="4997" w:type="pct"/>
        <w:jc w:val="center"/>
        <w:tblLayout w:type="autofit"/>
        <w:tblCellMar>
          <w:top w:w="0" w:type="dxa"/>
          <w:left w:w="108" w:type="dxa"/>
          <w:bottom w:w="0" w:type="dxa"/>
          <w:right w:w="108" w:type="dxa"/>
        </w:tblCellMar>
      </w:tblPr>
      <w:tblGrid>
        <w:gridCol w:w="607"/>
        <w:gridCol w:w="1098"/>
        <w:gridCol w:w="1292"/>
        <w:gridCol w:w="647"/>
        <w:gridCol w:w="678"/>
        <w:gridCol w:w="1626"/>
        <w:gridCol w:w="2768"/>
      </w:tblGrid>
      <w:tr>
        <w:tblPrEx>
          <w:tblCellMar>
            <w:top w:w="0" w:type="dxa"/>
            <w:left w:w="108" w:type="dxa"/>
            <w:bottom w:w="0" w:type="dxa"/>
            <w:right w:w="108" w:type="dxa"/>
          </w:tblCellMar>
        </w:tblPrEx>
        <w:trPr>
          <w:trHeight w:val="607" w:hRule="atLeast"/>
          <w:jc w:val="center"/>
        </w:trPr>
        <w:tc>
          <w:tcPr>
            <w:tcW w:w="348" w:type="pct"/>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630"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岗位类别</w:t>
            </w:r>
          </w:p>
        </w:tc>
        <w:tc>
          <w:tcPr>
            <w:tcW w:w="741"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岗位名称</w:t>
            </w:r>
          </w:p>
        </w:tc>
        <w:tc>
          <w:tcPr>
            <w:tcW w:w="371"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级别</w:t>
            </w:r>
          </w:p>
        </w:tc>
        <w:tc>
          <w:tcPr>
            <w:tcW w:w="389"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数量</w:t>
            </w:r>
          </w:p>
        </w:tc>
        <w:tc>
          <w:tcPr>
            <w:tcW w:w="933"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应提供资料</w:t>
            </w:r>
          </w:p>
        </w:tc>
        <w:tc>
          <w:tcPr>
            <w:tcW w:w="1584" w:type="pct"/>
            <w:tcBorders>
              <w:top w:val="single" w:color="auto" w:sz="8"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备注</w:t>
            </w:r>
          </w:p>
        </w:tc>
      </w:tr>
      <w:tr>
        <w:tblPrEx>
          <w:tblCellMar>
            <w:top w:w="0" w:type="dxa"/>
            <w:left w:w="108" w:type="dxa"/>
            <w:bottom w:w="0" w:type="dxa"/>
            <w:right w:w="108" w:type="dxa"/>
          </w:tblCellMar>
        </w:tblPrEx>
        <w:trPr>
          <w:trHeight w:val="607" w:hRule="atLeast"/>
          <w:jc w:val="center"/>
        </w:trPr>
        <w:tc>
          <w:tcPr>
            <w:tcW w:w="348" w:type="pct"/>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rPr>
            </w:pPr>
            <w:r>
              <w:rPr>
                <w:rFonts w:hint="eastAsia" w:ascii="宋体" w:hAnsi="宋体" w:eastAsia="宋体" w:cs="宋体"/>
                <w:color w:val="auto"/>
                <w:kern w:val="0"/>
                <w:sz w:val="20"/>
                <w:szCs w:val="20"/>
                <w:highlight w:val="none"/>
              </w:rPr>
              <w:t>1</w:t>
            </w:r>
          </w:p>
        </w:tc>
        <w:tc>
          <w:tcPr>
            <w:tcW w:w="630"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rPr>
            </w:pPr>
            <w:r>
              <w:rPr>
                <w:rFonts w:hint="eastAsia" w:ascii="宋体" w:hAnsi="宋体" w:eastAsia="宋体" w:cs="宋体"/>
                <w:color w:val="auto"/>
                <w:kern w:val="0"/>
                <w:sz w:val="20"/>
                <w:szCs w:val="20"/>
                <w:highlight w:val="none"/>
              </w:rPr>
              <w:t>一线劳动力</w:t>
            </w:r>
          </w:p>
        </w:tc>
        <w:tc>
          <w:tcPr>
            <w:tcW w:w="741"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养护工</w:t>
            </w:r>
          </w:p>
        </w:tc>
        <w:tc>
          <w:tcPr>
            <w:tcW w:w="371"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w:t>
            </w:r>
          </w:p>
        </w:tc>
        <w:tc>
          <w:tcPr>
            <w:tcW w:w="389"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15</w:t>
            </w:r>
          </w:p>
        </w:tc>
        <w:tc>
          <w:tcPr>
            <w:tcW w:w="933" w:type="pct"/>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技术标内提供一线劳动力配备</w:t>
            </w:r>
          </w:p>
        </w:tc>
        <w:tc>
          <w:tcPr>
            <w:tcW w:w="1584" w:type="pct"/>
            <w:tcBorders>
              <w:top w:val="single" w:color="auto" w:sz="8"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Cs/>
                <w:color w:val="auto"/>
                <w:kern w:val="0"/>
                <w:sz w:val="20"/>
                <w:szCs w:val="20"/>
                <w:highlight w:val="none"/>
              </w:rPr>
            </w:pPr>
          </w:p>
        </w:tc>
      </w:tr>
      <w:tr>
        <w:tblPrEx>
          <w:tblCellMar>
            <w:top w:w="0" w:type="dxa"/>
            <w:left w:w="108" w:type="dxa"/>
            <w:bottom w:w="0" w:type="dxa"/>
            <w:right w:w="108" w:type="dxa"/>
          </w:tblCellMar>
        </w:tblPrEx>
        <w:trPr>
          <w:trHeight w:val="259" w:hRule="atLeast"/>
          <w:jc w:val="center"/>
        </w:trPr>
        <w:tc>
          <w:tcPr>
            <w:tcW w:w="5000" w:type="pct"/>
            <w:gridSpan w:val="7"/>
            <w:tcBorders>
              <w:top w:val="single" w:color="auto" w:sz="4" w:space="0"/>
              <w:left w:val="single" w:color="auto" w:sz="8" w:space="0"/>
              <w:bottom w:val="single" w:color="auto" w:sz="8" w:space="0"/>
              <w:right w:val="single" w:color="auto" w:sz="8" w:space="0"/>
            </w:tcBorders>
            <w:vAlign w:val="center"/>
          </w:tcPr>
          <w:p>
            <w:pPr>
              <w:widowControl/>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备注：表中一线劳动力</w:t>
            </w:r>
            <w:r>
              <w:rPr>
                <w:rFonts w:hint="eastAsia" w:ascii="宋体" w:hAnsi="宋体" w:eastAsia="宋体" w:cs="宋体"/>
                <w:color w:val="auto"/>
                <w:kern w:val="0"/>
                <w:sz w:val="20"/>
                <w:szCs w:val="20"/>
                <w:highlight w:val="none"/>
                <w:lang w:eastAsia="zh-CN"/>
              </w:rPr>
              <w:t>供应商</w:t>
            </w:r>
            <w:r>
              <w:rPr>
                <w:rFonts w:hint="eastAsia" w:ascii="宋体" w:hAnsi="宋体" w:eastAsia="宋体" w:cs="宋体"/>
                <w:color w:val="auto"/>
                <w:kern w:val="0"/>
                <w:sz w:val="20"/>
                <w:szCs w:val="20"/>
                <w:highlight w:val="none"/>
              </w:rPr>
              <w:t>可承诺在养护前配置到位。</w:t>
            </w:r>
          </w:p>
        </w:tc>
      </w:tr>
    </w:tbl>
    <w:p>
      <w:pPr>
        <w:snapToGrid/>
        <w:spacing w:before="94" w:line="360" w:lineRule="auto"/>
        <w:ind w:left="125" w:right="300" w:firstLine="440" w:firstLineChars="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val="en-US" w:eastAsia="zh-CN"/>
        </w:rPr>
        <w:t>4.1.3</w:t>
      </w:r>
      <w:r>
        <w:rPr>
          <w:rFonts w:hint="eastAsia" w:ascii="宋体" w:hAnsi="宋体" w:eastAsia="宋体" w:cs="宋体"/>
          <w:color w:val="auto"/>
          <w:spacing w:val="-1"/>
          <w:sz w:val="22"/>
          <w:szCs w:val="22"/>
          <w:highlight w:val="none"/>
          <w:lang w:eastAsia="zh-CN"/>
        </w:rPr>
        <w:t>设备要求</w:t>
      </w:r>
    </w:p>
    <w:p>
      <w:pPr>
        <w:adjustRightInd/>
        <w:snapToGrid/>
        <w:spacing w:before="94" w:line="360" w:lineRule="auto"/>
        <w:ind w:left="125" w:right="300" w:firstLine="440" w:firstLineChars="0"/>
        <w:jc w:val="left"/>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为提高养护工程质量和服务水平，供应商应采用机械化形式对设施的各类病害进行养护维修。本项目中设备要求（但不仅限于）详见下表。</w:t>
      </w:r>
    </w:p>
    <w:p>
      <w:pPr>
        <w:adjustRightInd w:val="0"/>
        <w:snapToGrid w:val="0"/>
        <w:ind w:firstLine="3862" w:firstLineChars="1892"/>
        <w:jc w:val="left"/>
        <w:rPr>
          <w:b/>
          <w:color w:val="auto"/>
          <w:spacing w:val="-3"/>
          <w:szCs w:val="20"/>
          <w:highlight w:val="none"/>
        </w:rPr>
      </w:pPr>
      <w:r>
        <w:rPr>
          <w:b/>
          <w:color w:val="auto"/>
          <w:spacing w:val="-3"/>
          <w:szCs w:val="20"/>
          <w:highlight w:val="none"/>
        </w:rPr>
        <w:t>机械设备配置表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146"/>
        <w:gridCol w:w="2394"/>
        <w:gridCol w:w="1060"/>
        <w:gridCol w:w="145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764" w:type="pct"/>
            <w:vAlign w:val="center"/>
          </w:tcPr>
          <w:p>
            <w:pPr>
              <w:jc w:val="center"/>
              <w:rPr>
                <w:b/>
                <w:color w:val="auto"/>
                <w:sz w:val="20"/>
                <w:szCs w:val="20"/>
                <w:highlight w:val="none"/>
              </w:rPr>
            </w:pPr>
            <w:r>
              <w:rPr>
                <w:b/>
                <w:color w:val="auto"/>
                <w:sz w:val="20"/>
                <w:szCs w:val="20"/>
                <w:highlight w:val="none"/>
              </w:rPr>
              <w:t>设备名称</w:t>
            </w:r>
          </w:p>
        </w:tc>
        <w:tc>
          <w:tcPr>
            <w:tcW w:w="657" w:type="pct"/>
            <w:vAlign w:val="center"/>
          </w:tcPr>
          <w:p>
            <w:pPr>
              <w:jc w:val="center"/>
              <w:rPr>
                <w:b/>
                <w:color w:val="auto"/>
                <w:sz w:val="20"/>
                <w:szCs w:val="20"/>
                <w:highlight w:val="none"/>
              </w:rPr>
            </w:pPr>
            <w:r>
              <w:rPr>
                <w:b/>
                <w:color w:val="auto"/>
                <w:sz w:val="20"/>
                <w:szCs w:val="20"/>
                <w:highlight w:val="none"/>
              </w:rPr>
              <w:t>型号规格</w:t>
            </w:r>
          </w:p>
        </w:tc>
        <w:tc>
          <w:tcPr>
            <w:tcW w:w="1373" w:type="pct"/>
            <w:vAlign w:val="center"/>
          </w:tcPr>
          <w:p>
            <w:pPr>
              <w:jc w:val="center"/>
              <w:rPr>
                <w:b/>
                <w:color w:val="auto"/>
                <w:sz w:val="20"/>
                <w:szCs w:val="20"/>
                <w:highlight w:val="none"/>
              </w:rPr>
            </w:pPr>
            <w:r>
              <w:rPr>
                <w:b/>
                <w:color w:val="auto"/>
                <w:sz w:val="20"/>
                <w:szCs w:val="20"/>
                <w:highlight w:val="none"/>
              </w:rPr>
              <w:t>配置要求</w:t>
            </w:r>
          </w:p>
        </w:tc>
        <w:tc>
          <w:tcPr>
            <w:tcW w:w="608" w:type="pct"/>
            <w:vAlign w:val="center"/>
          </w:tcPr>
          <w:p>
            <w:pPr>
              <w:jc w:val="center"/>
              <w:rPr>
                <w:b/>
                <w:color w:val="auto"/>
                <w:sz w:val="20"/>
                <w:szCs w:val="20"/>
                <w:highlight w:val="none"/>
              </w:rPr>
            </w:pPr>
            <w:r>
              <w:rPr>
                <w:b/>
                <w:color w:val="auto"/>
                <w:sz w:val="20"/>
                <w:szCs w:val="20"/>
                <w:highlight w:val="none"/>
              </w:rPr>
              <w:t>数量要求</w:t>
            </w:r>
          </w:p>
        </w:tc>
        <w:tc>
          <w:tcPr>
            <w:tcW w:w="836" w:type="pct"/>
            <w:vAlign w:val="center"/>
          </w:tcPr>
          <w:p>
            <w:pPr>
              <w:jc w:val="center"/>
              <w:rPr>
                <w:b/>
                <w:color w:val="auto"/>
                <w:sz w:val="20"/>
                <w:szCs w:val="20"/>
                <w:highlight w:val="none"/>
              </w:rPr>
            </w:pPr>
            <w:r>
              <w:rPr>
                <w:b/>
                <w:color w:val="auto"/>
                <w:sz w:val="20"/>
                <w:szCs w:val="20"/>
                <w:highlight w:val="none"/>
              </w:rPr>
              <w:t>设备年限要求</w:t>
            </w:r>
          </w:p>
        </w:tc>
        <w:tc>
          <w:tcPr>
            <w:tcW w:w="760" w:type="pct"/>
            <w:vAlign w:val="center"/>
          </w:tcPr>
          <w:p>
            <w:pPr>
              <w:jc w:val="center"/>
              <w:rPr>
                <w:b/>
                <w:color w:val="auto"/>
                <w:sz w:val="20"/>
                <w:szCs w:val="20"/>
                <w:highlight w:val="none"/>
              </w:rPr>
            </w:pPr>
            <w:r>
              <w:rPr>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4" w:type="pct"/>
            <w:vAlign w:val="center"/>
          </w:tcPr>
          <w:p>
            <w:pPr>
              <w:jc w:val="center"/>
              <w:rPr>
                <w:rFonts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载货汽车</w:t>
            </w:r>
          </w:p>
        </w:tc>
        <w:tc>
          <w:tcPr>
            <w:tcW w:w="657"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jc w:val="center"/>
              <w:rPr>
                <w:rFonts w:ascii="Times New Roman" w:hAnsi="Times New Roman" w:eastAsia="宋体" w:cs="Times New Roman"/>
                <w:color w:val="auto"/>
                <w:kern w:val="2"/>
                <w:sz w:val="20"/>
                <w:szCs w:val="20"/>
                <w:highlight w:val="none"/>
                <w:lang w:val="en-US" w:eastAsia="zh-CN" w:bidi="ar-SA"/>
              </w:rPr>
            </w:pPr>
            <w:r>
              <w:rPr>
                <w:rFonts w:hint="eastAsia" w:eastAsia="宋体"/>
                <w:color w:val="auto"/>
                <w:sz w:val="20"/>
                <w:szCs w:val="20"/>
                <w:highlight w:val="none"/>
                <w:lang w:val="en-US" w:eastAsia="zh-CN"/>
              </w:rPr>
              <w:t>1</w:t>
            </w:r>
            <w:r>
              <w:rPr>
                <w:rFonts w:hint="eastAsia"/>
                <w:color w:val="auto"/>
                <w:sz w:val="20"/>
                <w:szCs w:val="20"/>
                <w:highlight w:val="none"/>
              </w:rPr>
              <w:t>辆</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4" w:type="pct"/>
            <w:vAlign w:val="center"/>
          </w:tcPr>
          <w:p>
            <w:pPr>
              <w:jc w:val="center"/>
              <w:rPr>
                <w:rFonts w:hint="default"/>
                <w:color w:val="auto"/>
                <w:sz w:val="20"/>
                <w:szCs w:val="20"/>
                <w:highlight w:val="none"/>
                <w:lang w:val="en-US" w:eastAsia="zh-CN"/>
              </w:rPr>
            </w:pPr>
            <w:r>
              <w:rPr>
                <w:rFonts w:hint="eastAsia"/>
                <w:color w:val="auto"/>
                <w:sz w:val="20"/>
                <w:szCs w:val="20"/>
                <w:highlight w:val="none"/>
                <w:lang w:val="en-US" w:eastAsia="zh-CN"/>
              </w:rPr>
              <w:t>挖掘机</w:t>
            </w:r>
          </w:p>
        </w:tc>
        <w:tc>
          <w:tcPr>
            <w:tcW w:w="657"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p>
        </w:tc>
        <w:tc>
          <w:tcPr>
            <w:tcW w:w="1373" w:type="pct"/>
            <w:vAlign w:val="center"/>
          </w:tcPr>
          <w:p>
            <w:pPr>
              <w:widowControl/>
              <w:jc w:val="center"/>
              <w:rPr>
                <w:rFonts w:hint="default" w:eastAsia="宋体"/>
                <w:color w:val="auto"/>
                <w:sz w:val="20"/>
                <w:szCs w:val="20"/>
                <w:highlight w:val="none"/>
                <w:lang w:val="en-US" w:eastAsia="zh-CN"/>
              </w:rPr>
            </w:pPr>
            <w:r>
              <w:rPr>
                <w:rFonts w:hint="eastAsia" w:eastAsia="宋体"/>
                <w:color w:val="auto"/>
                <w:sz w:val="20"/>
                <w:szCs w:val="20"/>
                <w:highlight w:val="none"/>
                <w:lang w:val="en-US" w:eastAsia="zh-CN"/>
              </w:rPr>
              <w:t>自有或租赁</w:t>
            </w:r>
          </w:p>
        </w:tc>
        <w:tc>
          <w:tcPr>
            <w:tcW w:w="608" w:type="pct"/>
            <w:vAlign w:val="center"/>
          </w:tcPr>
          <w:p>
            <w:pPr>
              <w:jc w:val="center"/>
              <w:rPr>
                <w:rFonts w:hint="default" w:eastAsia="宋体"/>
                <w:color w:val="auto"/>
                <w:sz w:val="20"/>
                <w:szCs w:val="20"/>
                <w:highlight w:val="none"/>
                <w:lang w:val="en-US" w:eastAsia="zh-CN"/>
              </w:rPr>
            </w:pPr>
            <w:r>
              <w:rPr>
                <w:rFonts w:hint="eastAsia" w:eastAsia="宋体"/>
                <w:color w:val="auto"/>
                <w:sz w:val="20"/>
                <w:szCs w:val="20"/>
                <w:highlight w:val="none"/>
                <w:lang w:val="en-US" w:eastAsia="zh-CN"/>
              </w:rPr>
              <w:t>1台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4" w:type="pct"/>
            <w:vAlign w:val="center"/>
          </w:tcPr>
          <w:p>
            <w:pPr>
              <w:jc w:val="center"/>
              <w:rPr>
                <w:color w:val="auto"/>
                <w:sz w:val="20"/>
                <w:szCs w:val="20"/>
                <w:highlight w:val="none"/>
              </w:rPr>
            </w:pPr>
            <w:r>
              <w:rPr>
                <w:rFonts w:hint="eastAsia"/>
                <w:color w:val="auto"/>
                <w:sz w:val="20"/>
                <w:szCs w:val="20"/>
                <w:highlight w:val="none"/>
                <w:lang w:val="en-US" w:eastAsia="zh-CN"/>
              </w:rPr>
              <w:t>绿篱</w:t>
            </w:r>
            <w:r>
              <w:rPr>
                <w:rFonts w:hint="eastAsia"/>
                <w:color w:val="auto"/>
                <w:sz w:val="20"/>
                <w:szCs w:val="20"/>
                <w:highlight w:val="none"/>
              </w:rPr>
              <w:t>机</w:t>
            </w:r>
          </w:p>
        </w:tc>
        <w:tc>
          <w:tcPr>
            <w:tcW w:w="657" w:type="pct"/>
            <w:vAlign w:val="center"/>
          </w:tcPr>
          <w:p>
            <w:pPr>
              <w:widowControl/>
              <w:jc w:val="center"/>
              <w:rPr>
                <w:color w:val="auto"/>
                <w:sz w:val="20"/>
                <w:szCs w:val="20"/>
                <w:highlight w:val="none"/>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jc w:val="center"/>
              <w:rPr>
                <w:color w:val="auto"/>
                <w:sz w:val="20"/>
                <w:szCs w:val="20"/>
                <w:highlight w:val="none"/>
              </w:rPr>
            </w:pPr>
            <w:r>
              <w:rPr>
                <w:rFonts w:hint="eastAsia"/>
                <w:color w:val="auto"/>
                <w:sz w:val="20"/>
                <w:szCs w:val="20"/>
                <w:highlight w:val="none"/>
                <w:lang w:val="en-US" w:eastAsia="zh-CN"/>
              </w:rPr>
              <w:t>4</w:t>
            </w:r>
            <w:r>
              <w:rPr>
                <w:color w:val="auto"/>
                <w:sz w:val="20"/>
                <w:szCs w:val="20"/>
                <w:highlight w:val="none"/>
              </w:rPr>
              <w:t>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4" w:type="pct"/>
            <w:vAlign w:val="center"/>
          </w:tcPr>
          <w:p>
            <w:pPr>
              <w:tabs>
                <w:tab w:val="left" w:pos="482"/>
              </w:tabs>
              <w:jc w:val="center"/>
              <w:rPr>
                <w:rFonts w:hint="default"/>
                <w:color w:val="auto"/>
                <w:sz w:val="20"/>
                <w:szCs w:val="20"/>
                <w:highlight w:val="none"/>
                <w:lang w:val="en-US" w:eastAsia="zh-CN"/>
              </w:rPr>
            </w:pPr>
            <w:r>
              <w:rPr>
                <w:rFonts w:hint="eastAsia"/>
                <w:color w:val="auto"/>
                <w:sz w:val="20"/>
                <w:szCs w:val="20"/>
                <w:highlight w:val="none"/>
                <w:lang w:val="en-US" w:eastAsia="zh-CN"/>
              </w:rPr>
              <w:t>割灌机</w:t>
            </w:r>
          </w:p>
        </w:tc>
        <w:tc>
          <w:tcPr>
            <w:tcW w:w="657" w:type="pct"/>
            <w:vAlign w:val="center"/>
          </w:tcPr>
          <w:p>
            <w:pPr>
              <w:widowControl/>
              <w:jc w:val="center"/>
              <w:rPr>
                <w:color w:val="auto"/>
                <w:sz w:val="20"/>
                <w:szCs w:val="20"/>
                <w:highlight w:val="none"/>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jc w:val="center"/>
              <w:rPr>
                <w:rFonts w:hint="eastAsia"/>
                <w:color w:val="auto"/>
                <w:sz w:val="20"/>
                <w:szCs w:val="20"/>
                <w:highlight w:val="none"/>
              </w:rPr>
            </w:pPr>
            <w:r>
              <w:rPr>
                <w:rFonts w:hint="eastAsia" w:eastAsia="宋体"/>
                <w:color w:val="auto"/>
                <w:sz w:val="20"/>
                <w:szCs w:val="20"/>
                <w:highlight w:val="none"/>
                <w:lang w:val="en-US" w:eastAsia="zh-CN"/>
              </w:rPr>
              <w:t>2</w:t>
            </w:r>
            <w:r>
              <w:rPr>
                <w:color w:val="auto"/>
                <w:sz w:val="20"/>
                <w:szCs w:val="20"/>
                <w:highlight w:val="none"/>
              </w:rPr>
              <w:t>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4" w:type="pct"/>
            <w:vAlign w:val="center"/>
          </w:tcPr>
          <w:p>
            <w:pPr>
              <w:tabs>
                <w:tab w:val="left" w:pos="549"/>
              </w:tabs>
              <w:jc w:val="center"/>
              <w:rPr>
                <w:rFonts w:hint="default"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树木削枝机</w:t>
            </w:r>
          </w:p>
        </w:tc>
        <w:tc>
          <w:tcPr>
            <w:tcW w:w="657"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tabs>
                <w:tab w:val="left" w:pos="393"/>
              </w:tabs>
              <w:jc w:val="center"/>
              <w:rPr>
                <w:rFonts w:hint="default"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1</w:t>
            </w:r>
            <w:r>
              <w:rPr>
                <w:color w:val="auto"/>
                <w:sz w:val="20"/>
                <w:szCs w:val="20"/>
                <w:highlight w:val="none"/>
              </w:rPr>
              <w:t>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4" w:type="pct"/>
            <w:vAlign w:val="center"/>
          </w:tcPr>
          <w:p>
            <w:pPr>
              <w:tabs>
                <w:tab w:val="left" w:pos="549"/>
              </w:tabs>
              <w:jc w:val="center"/>
              <w:rPr>
                <w:rFonts w:hint="default"/>
                <w:color w:val="auto"/>
                <w:sz w:val="20"/>
                <w:szCs w:val="20"/>
                <w:highlight w:val="none"/>
                <w:lang w:val="en-US" w:eastAsia="zh-CN"/>
              </w:rPr>
            </w:pPr>
            <w:r>
              <w:rPr>
                <w:rFonts w:hint="eastAsia"/>
                <w:color w:val="auto"/>
                <w:sz w:val="20"/>
                <w:szCs w:val="20"/>
                <w:highlight w:val="none"/>
                <w:lang w:val="en-US" w:eastAsia="zh-CN"/>
              </w:rPr>
              <w:t>背式吹风机</w:t>
            </w:r>
          </w:p>
        </w:tc>
        <w:tc>
          <w:tcPr>
            <w:tcW w:w="657" w:type="pct"/>
            <w:vAlign w:val="center"/>
          </w:tcPr>
          <w:p>
            <w:pPr>
              <w:widowControl/>
              <w:jc w:val="center"/>
              <w:rPr>
                <w:color w:val="auto"/>
                <w:sz w:val="20"/>
                <w:szCs w:val="20"/>
                <w:highlight w:val="none"/>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tabs>
                <w:tab w:val="left" w:pos="393"/>
              </w:tabs>
              <w:jc w:val="center"/>
              <w:rPr>
                <w:rFonts w:hint="default"/>
                <w:color w:val="auto"/>
                <w:sz w:val="20"/>
                <w:szCs w:val="20"/>
                <w:highlight w:val="none"/>
                <w:lang w:val="en-US" w:eastAsia="zh-CN"/>
              </w:rPr>
            </w:pPr>
            <w:r>
              <w:rPr>
                <w:rFonts w:hint="eastAsia"/>
                <w:color w:val="auto"/>
                <w:sz w:val="20"/>
                <w:szCs w:val="20"/>
                <w:highlight w:val="none"/>
                <w:lang w:val="en-US" w:eastAsia="zh-CN"/>
              </w:rPr>
              <w:t>2台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4" w:type="pct"/>
            <w:vAlign w:val="center"/>
          </w:tcPr>
          <w:p>
            <w:pPr>
              <w:jc w:val="center"/>
              <w:rPr>
                <w:rFonts w:hint="default" w:ascii="Times New Roman" w:hAnsi="Times New Roman" w:eastAsia="宋体" w:cs="Times New Roman"/>
                <w:color w:val="auto"/>
                <w:kern w:val="2"/>
                <w:sz w:val="20"/>
                <w:szCs w:val="20"/>
                <w:highlight w:val="none"/>
                <w:lang w:val="en-US" w:eastAsia="zh-CN" w:bidi="ar-SA"/>
              </w:rPr>
            </w:pPr>
            <w:r>
              <w:rPr>
                <w:color w:val="auto"/>
                <w:sz w:val="20"/>
                <w:szCs w:val="20"/>
                <w:highlight w:val="none"/>
              </w:rPr>
              <w:t>水泵</w:t>
            </w:r>
          </w:p>
        </w:tc>
        <w:tc>
          <w:tcPr>
            <w:tcW w:w="657"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color w:val="auto"/>
                <w:sz w:val="20"/>
                <w:szCs w:val="20"/>
                <w:highlight w:val="none"/>
              </w:rPr>
              <w:t>自有或租赁</w:t>
            </w:r>
          </w:p>
        </w:tc>
        <w:tc>
          <w:tcPr>
            <w:tcW w:w="608" w:type="pct"/>
            <w:vAlign w:val="center"/>
          </w:tcPr>
          <w:p>
            <w:pPr>
              <w:jc w:val="center"/>
              <w:rPr>
                <w:rFonts w:hint="eastAsia"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w:t>
            </w:r>
            <w:r>
              <w:rPr>
                <w:color w:val="auto"/>
                <w:sz w:val="20"/>
                <w:szCs w:val="20"/>
                <w:highlight w:val="none"/>
              </w:rPr>
              <w:t>台</w:t>
            </w: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4" w:type="pct"/>
            <w:vAlign w:val="center"/>
          </w:tcPr>
          <w:p>
            <w:pPr>
              <w:widowControl/>
              <w:jc w:val="center"/>
              <w:rPr>
                <w:color w:val="auto"/>
                <w:sz w:val="20"/>
                <w:szCs w:val="20"/>
                <w:highlight w:val="none"/>
              </w:rPr>
            </w:pPr>
            <w:r>
              <w:rPr>
                <w:color w:val="auto"/>
                <w:sz w:val="20"/>
                <w:szCs w:val="20"/>
                <w:highlight w:val="none"/>
              </w:rPr>
              <w:t>应急设备及物资</w:t>
            </w:r>
          </w:p>
        </w:tc>
        <w:tc>
          <w:tcPr>
            <w:tcW w:w="657" w:type="pct"/>
            <w:vAlign w:val="center"/>
          </w:tcPr>
          <w:p>
            <w:pPr>
              <w:widowControl/>
              <w:jc w:val="center"/>
              <w:rPr>
                <w:color w:val="auto"/>
                <w:sz w:val="20"/>
                <w:szCs w:val="20"/>
                <w:highlight w:val="none"/>
              </w:rPr>
            </w:pPr>
          </w:p>
        </w:tc>
        <w:tc>
          <w:tcPr>
            <w:tcW w:w="1373" w:type="pct"/>
            <w:vAlign w:val="center"/>
          </w:tcPr>
          <w:p>
            <w:pPr>
              <w:widowControl/>
              <w:jc w:val="center"/>
              <w:rPr>
                <w:rFonts w:ascii="Times New Roman" w:hAnsi="Times New Roman" w:eastAsia="宋体" w:cs="Times New Roman"/>
                <w:color w:val="auto"/>
                <w:kern w:val="2"/>
                <w:sz w:val="20"/>
                <w:szCs w:val="20"/>
                <w:highlight w:val="none"/>
                <w:lang w:val="en-US" w:eastAsia="zh-CN" w:bidi="ar-SA"/>
              </w:rPr>
            </w:pPr>
            <w:r>
              <w:rPr>
                <w:rFonts w:hint="eastAsia" w:eastAsia="宋体"/>
                <w:color w:val="auto"/>
                <w:sz w:val="20"/>
                <w:szCs w:val="20"/>
                <w:highlight w:val="none"/>
                <w:lang w:eastAsia="zh-CN"/>
              </w:rPr>
              <w:t>供应商</w:t>
            </w:r>
            <w:r>
              <w:rPr>
                <w:color w:val="auto"/>
                <w:sz w:val="20"/>
                <w:szCs w:val="20"/>
                <w:highlight w:val="none"/>
              </w:rPr>
              <w:t>自报</w:t>
            </w:r>
          </w:p>
        </w:tc>
        <w:tc>
          <w:tcPr>
            <w:tcW w:w="608" w:type="pct"/>
            <w:vAlign w:val="center"/>
          </w:tcPr>
          <w:p>
            <w:pPr>
              <w:widowControl/>
              <w:jc w:val="center"/>
              <w:rPr>
                <w:color w:val="auto"/>
                <w:sz w:val="20"/>
                <w:szCs w:val="20"/>
                <w:highlight w:val="none"/>
              </w:rPr>
            </w:pPr>
          </w:p>
        </w:tc>
        <w:tc>
          <w:tcPr>
            <w:tcW w:w="836" w:type="pct"/>
            <w:vAlign w:val="center"/>
          </w:tcPr>
          <w:p>
            <w:pPr>
              <w:widowControl/>
              <w:jc w:val="center"/>
              <w:rPr>
                <w:color w:val="auto"/>
                <w:sz w:val="20"/>
                <w:szCs w:val="20"/>
                <w:highlight w:val="none"/>
              </w:rPr>
            </w:pPr>
          </w:p>
        </w:tc>
        <w:tc>
          <w:tcPr>
            <w:tcW w:w="760" w:type="pct"/>
            <w:vAlign w:val="center"/>
          </w:tcPr>
          <w:p>
            <w:pPr>
              <w:widowControl/>
              <w:jc w:val="center"/>
              <w:rPr>
                <w:color w:val="auto"/>
                <w:sz w:val="20"/>
                <w:szCs w:val="20"/>
                <w:highlight w:val="none"/>
              </w:rPr>
            </w:pPr>
          </w:p>
        </w:tc>
      </w:tr>
    </w:tbl>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注：</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）上述设备中车辆的尾气排放标准必须符合国家和上海市的有关标准，严禁使用黄标车车辆。</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（2）上表中的机械，供应商可提供（如购买发票、租赁合同等原件及复印件）等相关证明材料复印件。若无或者不完整，应当提供</w:t>
      </w:r>
      <w:r>
        <w:rPr>
          <w:rFonts w:hint="eastAsia" w:ascii="CESI宋体-GB2312" w:hAnsi="CESI宋体-GB2312" w:eastAsia="CESI宋体-GB2312" w:cs="CESI宋体-GB2312"/>
          <w:color w:val="auto"/>
          <w:spacing w:val="-1"/>
          <w:sz w:val="22"/>
          <w:szCs w:val="22"/>
          <w:highlight w:val="none"/>
          <w:lang w:eastAsia="zh-CN"/>
        </w:rPr>
        <w:t>承诺函，承诺</w:t>
      </w:r>
      <w:r>
        <w:rPr>
          <w:rFonts w:hint="eastAsia" w:ascii="宋体" w:hAnsi="宋体" w:eastAsia="宋体" w:cs="宋体"/>
          <w:color w:val="auto"/>
          <w:spacing w:val="-1"/>
          <w:sz w:val="22"/>
          <w:szCs w:val="22"/>
          <w:highlight w:val="none"/>
          <w:lang w:eastAsia="zh-CN"/>
        </w:rPr>
        <w:t>中标后</w:t>
      </w:r>
      <w:r>
        <w:rPr>
          <w:rFonts w:hint="eastAsia" w:ascii="宋体" w:hAnsi="宋体" w:eastAsia="宋体" w:cs="宋体"/>
          <w:color w:val="auto"/>
          <w:spacing w:val="-1"/>
          <w:sz w:val="22"/>
          <w:szCs w:val="22"/>
          <w:highlight w:val="none"/>
          <w:lang w:val="en-US" w:eastAsia="zh-CN"/>
        </w:rPr>
        <w:t>5日</w:t>
      </w:r>
      <w:r>
        <w:rPr>
          <w:rFonts w:hint="eastAsia" w:ascii="宋体" w:hAnsi="宋体" w:eastAsia="宋体" w:cs="宋体"/>
          <w:color w:val="auto"/>
          <w:spacing w:val="-1"/>
          <w:sz w:val="22"/>
          <w:szCs w:val="22"/>
          <w:highlight w:val="none"/>
          <w:lang w:eastAsia="zh-CN"/>
        </w:rPr>
        <w:t>内补齐以上机械，否则采购人有权不签订合同。</w:t>
      </w:r>
    </w:p>
    <w:p>
      <w:pPr>
        <w:spacing w:before="69" w:line="360" w:lineRule="auto"/>
        <w:ind w:left="544"/>
        <w:outlineLvl w:val="1"/>
        <w:rPr>
          <w:rFonts w:ascii="宋体" w:hAnsi="宋体" w:eastAsia="宋体" w:cs="宋体"/>
          <w:color w:val="auto"/>
          <w:highlight w:val="none"/>
          <w:lang w:eastAsia="zh-CN"/>
        </w:rPr>
      </w:pPr>
      <w:r>
        <w:rPr>
          <w:rFonts w:ascii="宋体" w:hAnsi="宋体" w:eastAsia="宋体" w:cs="宋体"/>
          <w:b/>
          <w:bCs/>
          <w:color w:val="auto"/>
          <w:spacing w:val="-4"/>
          <w:highlight w:val="none"/>
          <w:lang w:eastAsia="zh-CN"/>
        </w:rPr>
        <w:t>五、投标报价依据与要求</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1.报价依据：</w:t>
      </w:r>
    </w:p>
    <w:p>
      <w:pPr>
        <w:snapToGrid/>
        <w:spacing w:before="94" w:line="360" w:lineRule="auto"/>
        <w:ind w:left="125" w:right="300" w:firstLine="440" w:firstLineChars="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1.1投标报价计算依据包括技术规范、本项目的采购文件（包括提供的附件）、采购文件答疑或修改的补充文书、设施量清单、项目现场条件等。本采购文件明确的服务范围、服务内容和管理要求、服务质量标准与考核要求等，及行业和物价管理部门有关收费标准。</w:t>
      </w:r>
    </w:p>
    <w:p>
      <w:pPr>
        <w:snapToGrid/>
        <w:spacing w:before="94" w:line="360" w:lineRule="auto"/>
        <w:ind w:left="125" w:right="300" w:firstLine="440" w:firstLineChars="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1.2</w:t>
      </w:r>
      <w:r>
        <w:rPr>
          <w:rFonts w:hint="eastAsia" w:ascii="宋体" w:hAnsi="宋体" w:eastAsia="宋体" w:cs="宋体"/>
          <w:color w:val="auto"/>
          <w:spacing w:val="-1"/>
          <w:sz w:val="22"/>
          <w:szCs w:val="22"/>
          <w:highlight w:val="none"/>
          <w:lang w:val="en-US" w:eastAsia="zh-CN"/>
        </w:rPr>
        <w:t>磋商</w:t>
      </w:r>
      <w:r>
        <w:rPr>
          <w:rFonts w:hint="eastAsia" w:ascii="宋体" w:hAnsi="宋体" w:eastAsia="宋体" w:cs="宋体"/>
          <w:color w:val="auto"/>
          <w:spacing w:val="-1"/>
          <w:sz w:val="22"/>
          <w:szCs w:val="22"/>
          <w:highlight w:val="none"/>
          <w:lang w:eastAsia="zh-CN"/>
        </w:rPr>
        <w:t>文件明确的养护范围、养护内容、养护期限、养护质量要求、养护标准及考核要求等。</w:t>
      </w:r>
    </w:p>
    <w:p>
      <w:pPr>
        <w:snapToGrid/>
        <w:spacing w:before="94" w:line="360" w:lineRule="auto"/>
        <w:ind w:left="125" w:right="300" w:firstLine="440" w:firstLineChars="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val="en-US" w:eastAsia="zh-CN"/>
        </w:rPr>
        <w:t>1.3</w:t>
      </w:r>
      <w:r>
        <w:rPr>
          <w:rFonts w:hint="eastAsia" w:ascii="宋体" w:hAnsi="宋体" w:eastAsia="宋体" w:cs="宋体"/>
          <w:color w:val="auto"/>
          <w:spacing w:val="-1"/>
          <w:sz w:val="22"/>
          <w:szCs w:val="22"/>
          <w:highlight w:val="none"/>
          <w:lang w:eastAsia="zh-CN"/>
        </w:rPr>
        <w:t>各供应商可以参考以上资料进行投标，也可结合自身企业实力、行业标准、市场行情等内容综合考虑后进行报价</w:t>
      </w:r>
    </w:p>
    <w:p>
      <w:pPr>
        <w:snapToGrid/>
        <w:spacing w:before="94" w:line="360" w:lineRule="auto"/>
        <w:ind w:left="125" w:right="300" w:firstLine="440" w:firstLineChars="0"/>
        <w:jc w:val="left"/>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val="en-US" w:eastAsia="zh-CN"/>
        </w:rPr>
        <w:t>1.4</w:t>
      </w:r>
      <w:r>
        <w:rPr>
          <w:rFonts w:hint="eastAsia" w:ascii="宋体" w:hAnsi="宋体" w:eastAsia="宋体" w:cs="宋体"/>
          <w:color w:val="auto"/>
          <w:spacing w:val="-1"/>
          <w:sz w:val="22"/>
          <w:szCs w:val="22"/>
          <w:highlight w:val="none"/>
          <w:lang w:eastAsia="zh-CN"/>
        </w:rPr>
        <w:t>本次采购设施量清单中所列设施量是经项目主管部门核定的当年计划养护设施量，作为投标的共同基础。</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2.报价要求：</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2.1为准确投标报价，各供应商应详细了解项目现状以及各种可能存在的影响因素。各供应商在报价时要充分考虑在服务期限内各项工作所必须发生的各类费用及应承担的相关责任后进行报价。</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2.2本采购文件明确的中标服务方式及其他供应商认为应考虑的各类影响报价因素也请在报价中统一考虑，并结合项目保障情况报出本单位能够承受的报价。</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2.3采购文件中整治费用包括了服务期内完成本项目全部工作内容的报酬。其中包括了项目管理前期工作准备、设备设施与绿化整治工具的添置、使用及绿化整治所需的劳务、材料、机械、质检(自检)、</w:t>
      </w:r>
      <w:r>
        <w:rPr>
          <w:rFonts w:hint="default" w:ascii="宋体" w:hAnsi="宋体" w:eastAsia="宋体" w:cs="宋体"/>
          <w:color w:val="auto"/>
          <w:spacing w:val="-1"/>
          <w:sz w:val="22"/>
          <w:szCs w:val="22"/>
          <w:highlight w:val="none"/>
          <w:lang w:val="en-US" w:eastAsia="zh-CN"/>
        </w:rPr>
        <w:t>绿化整治垃圾处理、</w:t>
      </w:r>
      <w:r>
        <w:rPr>
          <w:rFonts w:hint="eastAsia" w:ascii="宋体" w:hAnsi="宋体" w:eastAsia="宋体" w:cs="宋体"/>
          <w:color w:val="auto"/>
          <w:spacing w:val="-1"/>
          <w:sz w:val="22"/>
          <w:szCs w:val="22"/>
          <w:highlight w:val="none"/>
          <w:lang w:eastAsia="zh-CN"/>
        </w:rPr>
        <w:t>缺陷修复、检测费、措施费、地下管理、利润等费用，以及合同明示或暗示的所有责任、义务和一般风险投标报价必须是唯一的。</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2.4各供应商应</w:t>
      </w:r>
      <w:r>
        <w:rPr>
          <w:rFonts w:hint="eastAsia" w:ascii="CESI宋体-GB2312" w:hAnsi="CESI宋体-GB2312" w:eastAsia="CESI宋体-GB2312" w:cs="CESI宋体-GB2312"/>
          <w:color w:val="auto"/>
          <w:spacing w:val="-1"/>
          <w:sz w:val="22"/>
          <w:szCs w:val="22"/>
          <w:highlight w:val="none"/>
          <w:lang w:eastAsia="zh-CN"/>
        </w:rPr>
        <w:t>充分了解现场情况</w:t>
      </w:r>
      <w:r>
        <w:rPr>
          <w:rFonts w:hint="eastAsia" w:ascii="宋体" w:hAnsi="宋体" w:eastAsia="宋体" w:cs="宋体"/>
          <w:color w:val="auto"/>
          <w:spacing w:val="-1"/>
          <w:sz w:val="22"/>
          <w:szCs w:val="22"/>
          <w:highlight w:val="none"/>
          <w:lang w:eastAsia="zh-CN"/>
        </w:rPr>
        <w:t>，并充分考虑可能影响投标价格的各种因素。一旦中标，采购范围内的合同总价不做任何调整。</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2.5供应商报价中相应的各类安全文明措施费，人工工资、社会保障、福利、社会管理等各类费用应符合国家、地方相关管理部门的规定，并摊销在绿化整治单价中。</w:t>
      </w:r>
    </w:p>
    <w:p>
      <w:pPr>
        <w:snapToGrid/>
        <w:spacing w:before="94" w:line="360" w:lineRule="auto"/>
        <w:ind w:left="125" w:right="300"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2.6供应商提供的绿化整治及相关服务，应当符合国家有关法律、法规和标准规范，满足合同约定的服务内容和质量等要求。供应商不得违反标准规范规定或合同约定，通过降低服务质量、减少服务内容等手段进行恶性低价竞争，扰乱正常市场秩序。</w:t>
      </w:r>
    </w:p>
    <w:p>
      <w:pPr>
        <w:spacing w:before="158" w:line="360" w:lineRule="auto"/>
        <w:ind w:left="7" w:right="58" w:firstLine="420"/>
        <w:rPr>
          <w:color w:val="auto"/>
          <w:highlight w:val="none"/>
          <w:lang w:eastAsia="zh-CN"/>
        </w:rPr>
      </w:pPr>
    </w:p>
    <w:p>
      <w:pPr>
        <w:spacing w:before="158" w:line="360" w:lineRule="auto"/>
        <w:ind w:left="7" w:right="58" w:firstLine="420"/>
        <w:rPr>
          <w:color w:val="auto"/>
          <w:highlight w:val="none"/>
          <w:lang w:eastAsia="zh-CN"/>
        </w:rPr>
      </w:pPr>
    </w:p>
    <w:p>
      <w:pPr>
        <w:spacing w:before="158" w:line="360" w:lineRule="auto"/>
        <w:ind w:left="7" w:right="58" w:firstLine="420"/>
        <w:rPr>
          <w:color w:val="auto"/>
          <w:highlight w:val="none"/>
          <w:lang w:eastAsia="zh-CN"/>
        </w:rPr>
      </w:pPr>
    </w:p>
    <w:p>
      <w:pPr>
        <w:rPr>
          <w:highlight w:val="none"/>
        </w:rPr>
      </w:pPr>
    </w:p>
    <w:sectPr>
      <w:footerReference r:id="rId3" w:type="default"/>
      <w:type w:val="continuous"/>
      <w:pgSz w:w="11907" w:h="16840"/>
      <w:pgMar w:top="1418" w:right="1701" w:bottom="1134" w:left="1701" w:header="1086" w:footer="824" w:gutter="0"/>
      <w:pgBorders>
        <w:top w:val="none" w:sz="0" w:space="0"/>
        <w:left w:val="none" w:sz="0" w:space="0"/>
        <w:bottom w:val="none" w:sz="0" w:space="0"/>
        <w:right w:val="none" w:sz="0" w:space="0"/>
      </w:pgBorders>
      <w:pgNumType w:fmt="decimal"/>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Adobe 宋体 Std L">
    <w:panose1 w:val="02020300000000000000"/>
    <w:charset w:val="86"/>
    <w:family w:val="roman"/>
    <w:pitch w:val="default"/>
    <w:sig w:usb0="00000001" w:usb1="0A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2ZTExMDU4NDI0OTk2MjcyNDQzZTc5ZTQwZjY4MmEifQ=="/>
  </w:docVars>
  <w:rsids>
    <w:rsidRoot w:val="00FC4B5D"/>
    <w:rsid w:val="00022B6D"/>
    <w:rsid w:val="00057866"/>
    <w:rsid w:val="00097552"/>
    <w:rsid w:val="000A0ECB"/>
    <w:rsid w:val="00185280"/>
    <w:rsid w:val="0019223B"/>
    <w:rsid w:val="001C30C2"/>
    <w:rsid w:val="002074E0"/>
    <w:rsid w:val="002A00D5"/>
    <w:rsid w:val="00301F07"/>
    <w:rsid w:val="003060CB"/>
    <w:rsid w:val="003A5884"/>
    <w:rsid w:val="003F2226"/>
    <w:rsid w:val="00464D77"/>
    <w:rsid w:val="00567E10"/>
    <w:rsid w:val="00573D15"/>
    <w:rsid w:val="005D54C1"/>
    <w:rsid w:val="006322A8"/>
    <w:rsid w:val="00661C6C"/>
    <w:rsid w:val="007063EC"/>
    <w:rsid w:val="00773A22"/>
    <w:rsid w:val="007840D5"/>
    <w:rsid w:val="00790319"/>
    <w:rsid w:val="007E2715"/>
    <w:rsid w:val="007E5C49"/>
    <w:rsid w:val="00832EB5"/>
    <w:rsid w:val="008505B5"/>
    <w:rsid w:val="008D6A0F"/>
    <w:rsid w:val="009069BB"/>
    <w:rsid w:val="00940604"/>
    <w:rsid w:val="009C78E7"/>
    <w:rsid w:val="00A97239"/>
    <w:rsid w:val="00B13653"/>
    <w:rsid w:val="00C05DD0"/>
    <w:rsid w:val="00C13C1D"/>
    <w:rsid w:val="00C33C32"/>
    <w:rsid w:val="00DD6A3C"/>
    <w:rsid w:val="00DE30DA"/>
    <w:rsid w:val="00E065A1"/>
    <w:rsid w:val="00EF04D7"/>
    <w:rsid w:val="00FC4B5D"/>
    <w:rsid w:val="047C599F"/>
    <w:rsid w:val="06185FDB"/>
    <w:rsid w:val="08743B2B"/>
    <w:rsid w:val="08BC18B4"/>
    <w:rsid w:val="09014D4D"/>
    <w:rsid w:val="093B163F"/>
    <w:rsid w:val="15583838"/>
    <w:rsid w:val="17510FF4"/>
    <w:rsid w:val="18153CE9"/>
    <w:rsid w:val="18283B2F"/>
    <w:rsid w:val="1948751F"/>
    <w:rsid w:val="1A1D2DB6"/>
    <w:rsid w:val="1AC238B9"/>
    <w:rsid w:val="1C1C55AF"/>
    <w:rsid w:val="26857802"/>
    <w:rsid w:val="26BB4929"/>
    <w:rsid w:val="28002CFE"/>
    <w:rsid w:val="29064D5E"/>
    <w:rsid w:val="295C540A"/>
    <w:rsid w:val="29703D5F"/>
    <w:rsid w:val="297D524A"/>
    <w:rsid w:val="29870F46"/>
    <w:rsid w:val="2B5F38A4"/>
    <w:rsid w:val="2C24219E"/>
    <w:rsid w:val="2C6721E1"/>
    <w:rsid w:val="2DAA0AF8"/>
    <w:rsid w:val="2EA81517"/>
    <w:rsid w:val="2ECB4C2B"/>
    <w:rsid w:val="2F436871"/>
    <w:rsid w:val="300D3087"/>
    <w:rsid w:val="31070C66"/>
    <w:rsid w:val="327E2385"/>
    <w:rsid w:val="32CE7B43"/>
    <w:rsid w:val="35866B83"/>
    <w:rsid w:val="37A60062"/>
    <w:rsid w:val="3BFF0B74"/>
    <w:rsid w:val="3E491747"/>
    <w:rsid w:val="3FB65A86"/>
    <w:rsid w:val="40557F70"/>
    <w:rsid w:val="446C6849"/>
    <w:rsid w:val="46A62856"/>
    <w:rsid w:val="49DF11B1"/>
    <w:rsid w:val="4EB10E69"/>
    <w:rsid w:val="4FCD046C"/>
    <w:rsid w:val="5029523F"/>
    <w:rsid w:val="510855B5"/>
    <w:rsid w:val="51DA5080"/>
    <w:rsid w:val="51F320C1"/>
    <w:rsid w:val="54403171"/>
    <w:rsid w:val="567D5FDA"/>
    <w:rsid w:val="580E5B17"/>
    <w:rsid w:val="5BF46D3E"/>
    <w:rsid w:val="5DD04FD5"/>
    <w:rsid w:val="5DF10480"/>
    <w:rsid w:val="5F474CD5"/>
    <w:rsid w:val="60EF296D"/>
    <w:rsid w:val="628446C2"/>
    <w:rsid w:val="63BA052B"/>
    <w:rsid w:val="671A6654"/>
    <w:rsid w:val="671B730B"/>
    <w:rsid w:val="68616B2A"/>
    <w:rsid w:val="6A812F93"/>
    <w:rsid w:val="6C291CCA"/>
    <w:rsid w:val="6CB70ED0"/>
    <w:rsid w:val="6DFB9616"/>
    <w:rsid w:val="6F0926A9"/>
    <w:rsid w:val="6F147156"/>
    <w:rsid w:val="6FFF0EC6"/>
    <w:rsid w:val="72083B25"/>
    <w:rsid w:val="76D23D43"/>
    <w:rsid w:val="77E51079"/>
    <w:rsid w:val="78AE78F7"/>
    <w:rsid w:val="78B53D94"/>
    <w:rsid w:val="79D41E97"/>
    <w:rsid w:val="7CA31CDD"/>
    <w:rsid w:val="7E512BDA"/>
    <w:rsid w:val="7EFD0FA7"/>
    <w:rsid w:val="7F1724B9"/>
    <w:rsid w:val="7F273047"/>
    <w:rsid w:val="7F65732A"/>
    <w:rsid w:val="7F89D3B5"/>
    <w:rsid w:val="9F2A2400"/>
    <w:rsid w:val="ABEF8C78"/>
    <w:rsid w:val="CF7B7D64"/>
    <w:rsid w:val="E9FE57D8"/>
    <w:rsid w:val="EE7F14A4"/>
    <w:rsid w:val="EFFAA55F"/>
    <w:rsid w:val="F67EBE32"/>
    <w:rsid w:val="FBFF7DB7"/>
    <w:rsid w:val="FD6507FD"/>
    <w:rsid w:val="FEFB8D8A"/>
    <w:rsid w:val="FF6E7284"/>
    <w:rsid w:val="FFBFD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autoRedefine/>
    <w:qFormat/>
    <w:uiPriority w:val="99"/>
    <w:pPr>
      <w:spacing w:after="120" w:line="480" w:lineRule="auto"/>
    </w:pPr>
  </w:style>
  <w:style w:type="paragraph" w:styleId="3">
    <w:name w:val="annotation text"/>
    <w:basedOn w:val="1"/>
    <w:autoRedefine/>
    <w:qFormat/>
    <w:uiPriority w:val="0"/>
    <w:pPr>
      <w:jc w:val="left"/>
    </w:pPr>
  </w:style>
  <w:style w:type="paragraph" w:styleId="4">
    <w:name w:val="Body Text"/>
    <w:basedOn w:val="1"/>
    <w:autoRedefine/>
    <w:semiHidden/>
    <w:qFormat/>
    <w:uiPriority w:val="0"/>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rPr>
  </w:style>
  <w:style w:type="paragraph" w:customStyle="1" w:styleId="13">
    <w:name w:val="[基本段落]"/>
    <w:basedOn w:val="1"/>
    <w:autoRedefine/>
    <w:qFormat/>
    <w:uiPriority w:val="99"/>
    <w:pPr>
      <w:widowControl w:val="0"/>
      <w:kinsoku/>
      <w:snapToGrid/>
      <w:spacing w:line="288" w:lineRule="auto"/>
      <w:jc w:val="both"/>
      <w:textAlignment w:val="center"/>
    </w:pPr>
    <w:rPr>
      <w:rFonts w:ascii="Adobe 宋体 Std L" w:hAnsi="Calibri" w:eastAsia="Adobe 宋体 Std L" w:cs="Adobe 宋体 Std L"/>
      <w:snapToGrid/>
      <w:sz w:val="24"/>
      <w:szCs w:val="24"/>
      <w:lang w:val="zh-CN" w:eastAsia="zh-CN"/>
    </w:rPr>
  </w:style>
  <w:style w:type="character" w:customStyle="1" w:styleId="14">
    <w:name w:val="font31"/>
    <w:basedOn w:val="9"/>
    <w:autoRedefine/>
    <w:qFormat/>
    <w:uiPriority w:val="0"/>
    <w:rPr>
      <w:rFonts w:hint="eastAsia" w:ascii="宋体" w:hAnsi="宋体" w:eastAsia="宋体" w:cs="宋体"/>
      <w:color w:val="000000"/>
      <w:sz w:val="24"/>
      <w:szCs w:val="24"/>
      <w:u w:val="none"/>
    </w:rPr>
  </w:style>
  <w:style w:type="character" w:customStyle="1" w:styleId="15">
    <w:name w:val="font41"/>
    <w:basedOn w:val="9"/>
    <w:autoRedefine/>
    <w:qFormat/>
    <w:uiPriority w:val="0"/>
    <w:rPr>
      <w:rFonts w:hint="default" w:ascii="Arial" w:hAnsi="Arial" w:cs="Arial"/>
      <w:color w:val="000000"/>
      <w:sz w:val="24"/>
      <w:szCs w:val="24"/>
      <w:u w:val="none"/>
    </w:rPr>
  </w:style>
  <w:style w:type="character" w:customStyle="1" w:styleId="16">
    <w:name w:val="font51"/>
    <w:basedOn w:val="9"/>
    <w:autoRedefine/>
    <w:qFormat/>
    <w:uiPriority w:val="0"/>
    <w:rPr>
      <w:rFonts w:hint="default" w:ascii="Calibri" w:hAnsi="Calibri" w:cs="Calibri"/>
      <w:color w:val="000000"/>
      <w:sz w:val="24"/>
      <w:szCs w:val="24"/>
      <w:u w:val="none"/>
    </w:rPr>
  </w:style>
  <w:style w:type="character" w:customStyle="1" w:styleId="17">
    <w:name w:val="font61"/>
    <w:basedOn w:val="9"/>
    <w:autoRedefine/>
    <w:qFormat/>
    <w:uiPriority w:val="0"/>
    <w:rPr>
      <w:rFonts w:hint="default" w:ascii="Calibri" w:hAnsi="Calibri" w:cs="Calibri"/>
      <w:color w:val="000000"/>
      <w:sz w:val="24"/>
      <w:szCs w:val="24"/>
      <w:u w:val="none"/>
    </w:rPr>
  </w:style>
  <w:style w:type="paragraph" w:styleId="18">
    <w:name w:val="List Paragraph"/>
    <w:basedOn w:val="1"/>
    <w:autoRedefine/>
    <w:qFormat/>
    <w:uiPriority w:val="34"/>
    <w:pPr>
      <w:ind w:firstLine="420" w:firstLineChars="200"/>
    </w:pPr>
  </w:style>
  <w:style w:type="character" w:customStyle="1" w:styleId="19">
    <w:name w:val="font11"/>
    <w:basedOn w:val="9"/>
    <w:autoRedefine/>
    <w:qFormat/>
    <w:uiPriority w:val="0"/>
    <w:rPr>
      <w:rFonts w:hint="default" w:ascii="仿宋_GB2312" w:eastAsia="仿宋_GB2312" w:cs="仿宋_GB2312"/>
      <w:color w:val="000000"/>
      <w:sz w:val="24"/>
      <w:szCs w:val="24"/>
      <w:u w:val="none"/>
    </w:rPr>
  </w:style>
  <w:style w:type="character" w:customStyle="1" w:styleId="20">
    <w:name w:val="font21"/>
    <w:basedOn w:val="9"/>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4780</Words>
  <Characters>5281</Characters>
  <Lines>56</Lines>
  <Paragraphs>15</Paragraphs>
  <TotalTime>0</TotalTime>
  <ScaleCrop>false</ScaleCrop>
  <LinksUpToDate>false</LinksUpToDate>
  <CharactersWithSpaces>5287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2024-06-18T06:06:00Z</dcterms:created>
  <dc:creator>吴天</dc:creator>
  <cp:lastModifiedBy>高际航</cp:lastModifiedBy>
  <dcterms:modified xsi:type="dcterms:W3CDTF">2025-09-17T16:51:24Z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2024-06-13T16:28:19Z</vt:filetime>
  </property>
  <property fmtid="{D5CDD505-2E9C-101B-9397-08002B2CF9AE}" pid="4" name="KSOProductBuildVer">
    <vt:lpwstr>2052-12.8.2.1113</vt:lpwstr>
  </property>
  <property fmtid="{D5CDD505-2E9C-101B-9397-08002B2CF9AE}" pid="5" name="ICV">
    <vt:lpwstr>E990ADAA5A65AC1FB81FCA68AF4E6157_43</vt:lpwstr>
  </property>
  <property fmtid="{D5CDD505-2E9C-101B-9397-08002B2CF9AE}" pid="6" name="KSOTemplateDocerSaveRecord">
    <vt:lpwstr>eyJoZGlkIjoiMTY1NGUyZjM5ZDg3YjFlYjY3ZjY0YTllMWY0ZGM5ZmYiLCJ1c2VySWQiOiIyMzA3MDIzNTUifQ==</vt:lpwstr>
  </property>
</Properties>
</file>