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1800">
      <w:pPr>
        <w:adjustRightInd w:val="0"/>
        <w:snapToGrid w:val="0"/>
        <w:jc w:val="center"/>
        <w:rPr>
          <w:rFonts w:ascii="黑体" w:hAnsi="黑体" w:eastAsia="黑体" w:cs="宋体"/>
          <w:sz w:val="32"/>
          <w:szCs w:val="24"/>
        </w:rPr>
      </w:pPr>
      <w:r>
        <w:rPr>
          <w:rFonts w:hint="eastAsia" w:ascii="黑体" w:hAnsi="黑体" w:eastAsia="黑体" w:cs="宋体"/>
          <w:sz w:val="32"/>
          <w:szCs w:val="24"/>
        </w:rPr>
        <w:t>东方枢纽规划支撑系统专题研究</w:t>
      </w:r>
    </w:p>
    <w:p w14:paraId="76C15815">
      <w:pPr>
        <w:adjustRightInd w:val="0"/>
        <w:snapToGrid w:val="0"/>
        <w:jc w:val="center"/>
        <w:rPr>
          <w:rFonts w:ascii="黑体" w:hAnsi="黑体" w:eastAsia="黑体" w:cs="宋体"/>
          <w:sz w:val="32"/>
          <w:szCs w:val="24"/>
        </w:rPr>
      </w:pPr>
      <w:r>
        <w:rPr>
          <w:rFonts w:hint="eastAsia" w:ascii="黑体" w:hAnsi="黑体" w:eastAsia="黑体" w:cs="宋体"/>
          <w:sz w:val="32"/>
          <w:szCs w:val="24"/>
        </w:rPr>
        <w:t>采购需求</w:t>
      </w:r>
    </w:p>
    <w:p w14:paraId="7C35B9F0"/>
    <w:p w14:paraId="360DFAFD">
      <w:pPr>
        <w:pStyle w:val="6"/>
        <w:numPr>
          <w:ilvl w:val="0"/>
          <w:numId w:val="1"/>
        </w:numPr>
        <w:spacing w:line="360" w:lineRule="auto"/>
        <w:ind w:left="567" w:hanging="567" w:firstLineChars="0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工作背景</w:t>
      </w:r>
    </w:p>
    <w:p w14:paraId="521805B7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东方枢纽及周边地区地处浦东中部，西邻张江科学城，南接临港新片区，涵盖祝桥、川沙、惠南、宣桥、老港等多镇，历史文化底蕴深厚，生态比较优势显著，产业经济门类齐备。为进一步稳定东方枢纽地区骨干综合交通系统方案、市政基础设施方案，并支撑地区单元规划、控详规划等编制，推进东方枢纽及周边地区建设，特开展本次规划研究工作。</w:t>
      </w:r>
    </w:p>
    <w:p w14:paraId="5DF72BF5">
      <w:pPr>
        <w:pStyle w:val="6"/>
        <w:numPr>
          <w:ilvl w:val="0"/>
          <w:numId w:val="1"/>
        </w:numPr>
        <w:spacing w:line="360" w:lineRule="auto"/>
        <w:ind w:left="567" w:hanging="567" w:firstLineChars="0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工作内容</w:t>
      </w:r>
    </w:p>
    <w:p w14:paraId="0BA63FBA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本次工作包括两项内容，具体要求如下：</w:t>
      </w:r>
    </w:p>
    <w:p w14:paraId="478B4E60">
      <w:pPr>
        <w:rPr>
          <w:rFonts w:ascii="楷体_GB2312" w:eastAsia="楷体_GB2312"/>
          <w:b/>
          <w:bCs/>
          <w:sz w:val="28"/>
          <w:szCs w:val="32"/>
        </w:rPr>
      </w:pPr>
      <w:r>
        <w:rPr>
          <w:rFonts w:hint="eastAsia" w:ascii="楷体_GB2312" w:eastAsia="楷体_GB2312"/>
          <w:b/>
          <w:bCs/>
          <w:sz w:val="28"/>
          <w:szCs w:val="32"/>
        </w:rPr>
        <w:t>1、东方枢纽地区综合交通深化专题研究</w:t>
      </w:r>
    </w:p>
    <w:p w14:paraId="59FB3A57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结合区域空间结构和功能布局，深化研究东方枢纽及周边地区专项规划范围内的轨道交通、高快速路等方案，支撑地区专项规划编制并做好相关规划控制。具体研究内容包括：</w:t>
      </w:r>
    </w:p>
    <w:p w14:paraId="537675FB">
      <w:pPr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（</w:t>
      </w:r>
      <w:r>
        <w:rPr>
          <w:rFonts w:ascii="仿宋_GB2312" w:eastAsia="仿宋_GB2312"/>
          <w:b/>
          <w:bCs/>
          <w:sz w:val="28"/>
          <w:szCs w:val="32"/>
        </w:rPr>
        <w:t>1</w:t>
      </w:r>
      <w:r>
        <w:rPr>
          <w:rFonts w:hint="eastAsia" w:ascii="仿宋_GB2312" w:eastAsia="仿宋_GB2312"/>
          <w:b/>
          <w:bCs/>
          <w:sz w:val="28"/>
          <w:szCs w:val="32"/>
        </w:rPr>
        <w:t>）轨道交通规划深化</w:t>
      </w:r>
    </w:p>
    <w:p w14:paraId="071E8884">
      <w:pPr>
        <w:pStyle w:val="6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现状分析：剖析现状轨道交通网络相关指标、存在的短板。</w:t>
      </w:r>
    </w:p>
    <w:p w14:paraId="6C22DC0D">
      <w:pPr>
        <w:pStyle w:val="6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规划梳理：分析上位规划的轨交系统布局、指标要求，提出本次东方枢纽及周边地区轨道交通发展思路、系统模式。</w:t>
      </w:r>
    </w:p>
    <w:p w14:paraId="3ED1AC28">
      <w:pPr>
        <w:pStyle w:val="6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方案深化：结合全市轨道交通线网实施深化，深化东方枢纽及周边地区轨道交通网络研究，包括市域线、市区线总体布局、通道选取、设站方案等以及局域线功能层次、线位比选方案研究、与重点功能组团衔接等。</w:t>
      </w:r>
    </w:p>
    <w:p w14:paraId="1B3884A6">
      <w:pPr>
        <w:pStyle w:val="6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系统评价：针对轨交网络的规划指标、空间支撑、网络运行等方面进行合理评价。</w:t>
      </w:r>
    </w:p>
    <w:p w14:paraId="4811F1C5">
      <w:pPr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（2）高快速路规划深化</w:t>
      </w:r>
    </w:p>
    <w:p w14:paraId="6FF47FB7">
      <w:pPr>
        <w:pStyle w:val="6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现状分析及规划梳理：分析地区现状高快速路的空间分布、网络密度、交通流量等，梳理相关规划并总结存在的问题。</w:t>
      </w:r>
    </w:p>
    <w:p w14:paraId="234037EC">
      <w:pPr>
        <w:pStyle w:val="6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总体方案：基于地区空间布局提出高快速路系统的总体发展目标和规划指标，进一步明确地区高快速路网结构，做好与全市骨干道路系统方案衔接，</w:t>
      </w:r>
    </w:p>
    <w:p w14:paraId="4BD60269">
      <w:pPr>
        <w:pStyle w:val="6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方案深化：重点研究华东-南六快速路、下盐快速路、凌空快速路、海天大道等的功能定位、重要节点方案、规划控制要求。针对快速化道路改建方案，研究川南奉公路功能提升的功能定位、建设规模、建设型式、节点方案，明确规划控制要求，并做好与东方枢纽中心区城市设计方案衔接。</w:t>
      </w:r>
    </w:p>
    <w:p w14:paraId="6F45FA4E">
      <w:pPr>
        <w:pStyle w:val="6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系统评价：针对高快速路的规划指标、空间支撑、网络运行等方面进行合理评价。</w:t>
      </w:r>
    </w:p>
    <w:p w14:paraId="4860C894">
      <w:pPr>
        <w:rPr>
          <w:rFonts w:ascii="楷体_GB2312" w:eastAsia="楷体_GB2312"/>
          <w:b/>
          <w:bCs/>
          <w:sz w:val="28"/>
          <w:szCs w:val="32"/>
        </w:rPr>
      </w:pPr>
      <w:r>
        <w:rPr>
          <w:rFonts w:hint="eastAsia" w:ascii="楷体_GB2312" w:eastAsia="楷体_GB2312"/>
          <w:b/>
          <w:bCs/>
          <w:sz w:val="28"/>
          <w:szCs w:val="32"/>
        </w:rPr>
        <w:t>2、500千伏川沙输变电及相关工程梳理论证研究</w:t>
      </w:r>
    </w:p>
    <w:p w14:paraId="671F1853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电力作为最重要的基础支撑要素，在地区发展新形势下也面临着新要求，为确保地区供电安全稳定，保障地区高质量、可持续发展，拟对浦东中部地区500kV、220kV输变电工程开展系统性论证。</w:t>
      </w:r>
    </w:p>
    <w:p w14:paraId="2A9F0C4F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本次研究定位为总体规划层面的市级专项规划研究，保障浦东新区重大战略项目，评估地区电力供需平衡情况，指导地区220kV以上电网设施布局规划。研究内容包括：</w:t>
      </w:r>
    </w:p>
    <w:p w14:paraId="32A80CC4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（1）上位规划梳理：梳理市、区、镇相关国土空间规划及电力专项规划，明确上位规划要求。</w:t>
      </w:r>
    </w:p>
    <w:p w14:paraId="73FE7B6A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（2）电力需求评估：结合全市、浦东新区十四五电力消费情况，对2035总规电力需求开展复核评估，修正浦东地区电力需求规模。</w:t>
      </w:r>
    </w:p>
    <w:p w14:paraId="04D184E7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（3）供需平衡分析：对浦东主要地区开展电力平衡分析，从总体和分区层面合理确定地区电力设施规模。</w:t>
      </w:r>
    </w:p>
    <w:p w14:paraId="6FE05094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（4）布局规划指引：根据东方枢纽、特殊项目具体电力需求，评估相关电力设施的空间布局，指导川沙、唐镇等在编电力专项规划工作。</w:t>
      </w:r>
    </w:p>
    <w:p w14:paraId="010551FF">
      <w:pPr>
        <w:pStyle w:val="6"/>
        <w:numPr>
          <w:ilvl w:val="0"/>
          <w:numId w:val="1"/>
        </w:numPr>
        <w:spacing w:line="360" w:lineRule="auto"/>
        <w:ind w:left="567" w:hanging="567" w:firstLineChars="0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成果要求</w:t>
      </w:r>
    </w:p>
    <w:p w14:paraId="2B19132A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成果形式包括打印的纸质文本和电子文件，电子文件应包括PDF文件和可编辑的WORD格式文件等。</w:t>
      </w:r>
    </w:p>
    <w:p w14:paraId="56D4017D">
      <w:pPr>
        <w:pStyle w:val="6"/>
        <w:numPr>
          <w:ilvl w:val="0"/>
          <w:numId w:val="1"/>
        </w:numPr>
        <w:spacing w:line="360" w:lineRule="auto"/>
        <w:ind w:left="567" w:hanging="567" w:firstLineChars="0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工作进度安排</w:t>
      </w:r>
    </w:p>
    <w:p w14:paraId="1E49F2B3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初步方案阶段：202</w:t>
      </w:r>
      <w:r>
        <w:rPr>
          <w:rFonts w:ascii="仿宋_GB2312" w:eastAsia="仿宋_GB2312"/>
          <w:sz w:val="28"/>
          <w:szCs w:val="32"/>
        </w:rPr>
        <w:t>5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ascii="仿宋_GB2312" w:eastAsia="仿宋_GB2312"/>
          <w:sz w:val="28"/>
          <w:szCs w:val="32"/>
        </w:rPr>
        <w:t>3</w:t>
      </w:r>
      <w:r>
        <w:rPr>
          <w:rFonts w:hint="eastAsia" w:ascii="仿宋_GB2312" w:eastAsia="仿宋_GB2312"/>
          <w:sz w:val="28"/>
          <w:szCs w:val="32"/>
        </w:rPr>
        <w:t>月—2</w:t>
      </w:r>
      <w:r>
        <w:rPr>
          <w:rFonts w:ascii="仿宋_GB2312" w:eastAsia="仿宋_GB2312"/>
          <w:sz w:val="28"/>
          <w:szCs w:val="32"/>
        </w:rPr>
        <w:t>025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ascii="仿宋_GB2312" w:eastAsia="仿宋_GB2312"/>
          <w:sz w:val="28"/>
          <w:szCs w:val="32"/>
        </w:rPr>
        <w:t>5</w:t>
      </w:r>
      <w:r>
        <w:rPr>
          <w:rFonts w:hint="eastAsia" w:ascii="仿宋_GB2312" w:eastAsia="仿宋_GB2312"/>
          <w:sz w:val="28"/>
          <w:szCs w:val="32"/>
        </w:rPr>
        <w:t>月</w:t>
      </w:r>
    </w:p>
    <w:p w14:paraId="15F09226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正式启动工作，开展工作调研和相关资料收集，明确重点问题，提出初步系统方案。</w:t>
      </w:r>
    </w:p>
    <w:p w14:paraId="49237C78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中间成果阶段：20</w:t>
      </w:r>
      <w:r>
        <w:rPr>
          <w:rFonts w:ascii="仿宋_GB2312" w:eastAsia="仿宋_GB2312"/>
          <w:sz w:val="28"/>
          <w:szCs w:val="32"/>
        </w:rPr>
        <w:t>25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ascii="仿宋_GB2312" w:eastAsia="仿宋_GB2312"/>
          <w:sz w:val="28"/>
          <w:szCs w:val="32"/>
        </w:rPr>
        <w:t>6</w:t>
      </w:r>
      <w:r>
        <w:rPr>
          <w:rFonts w:hint="eastAsia" w:ascii="仿宋_GB2312" w:eastAsia="仿宋_GB2312"/>
          <w:sz w:val="28"/>
          <w:szCs w:val="32"/>
        </w:rPr>
        <w:t>月—2</w:t>
      </w:r>
      <w:r>
        <w:rPr>
          <w:rFonts w:ascii="仿宋_GB2312" w:eastAsia="仿宋_GB2312"/>
          <w:sz w:val="28"/>
          <w:szCs w:val="32"/>
        </w:rPr>
        <w:t>025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ascii="仿宋_GB2312" w:eastAsia="仿宋_GB2312"/>
          <w:sz w:val="28"/>
          <w:szCs w:val="32"/>
        </w:rPr>
        <w:t>8</w:t>
      </w:r>
      <w:r>
        <w:rPr>
          <w:rFonts w:hint="eastAsia" w:ascii="仿宋_GB2312" w:eastAsia="仿宋_GB2312"/>
          <w:sz w:val="28"/>
          <w:szCs w:val="32"/>
        </w:rPr>
        <w:t>月</w:t>
      </w:r>
    </w:p>
    <w:p w14:paraId="716AD810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深化规划研究方案，开展专家评审。</w:t>
      </w:r>
    </w:p>
    <w:p w14:paraId="2AEFE12A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最终成果阶段：202</w:t>
      </w:r>
      <w:r>
        <w:rPr>
          <w:rFonts w:ascii="仿宋_GB2312" w:eastAsia="仿宋_GB2312"/>
          <w:sz w:val="28"/>
          <w:szCs w:val="32"/>
        </w:rPr>
        <w:t>5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ascii="仿宋_GB2312" w:eastAsia="仿宋_GB2312"/>
          <w:sz w:val="28"/>
          <w:szCs w:val="32"/>
        </w:rPr>
        <w:t>9</w:t>
      </w:r>
      <w:r>
        <w:rPr>
          <w:rFonts w:hint="eastAsia" w:ascii="仿宋_GB2312" w:eastAsia="仿宋_GB2312"/>
          <w:sz w:val="28"/>
          <w:szCs w:val="32"/>
        </w:rPr>
        <w:t>月-</w:t>
      </w:r>
      <w:r>
        <w:rPr>
          <w:rFonts w:ascii="仿宋_GB2312" w:eastAsia="仿宋_GB2312"/>
          <w:sz w:val="28"/>
          <w:szCs w:val="32"/>
        </w:rPr>
        <w:t>2025</w:t>
      </w:r>
      <w:r>
        <w:rPr>
          <w:rFonts w:hint="eastAsia" w:ascii="仿宋_GB2312" w:eastAsia="仿宋_GB2312"/>
          <w:sz w:val="28"/>
          <w:szCs w:val="32"/>
        </w:rPr>
        <w:t>年1</w:t>
      </w:r>
      <w:r>
        <w:rPr>
          <w:rFonts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</w:rPr>
        <w:t>月</w:t>
      </w:r>
    </w:p>
    <w:p w14:paraId="4F9DCBC5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组织成果评审，完善后形成最终成果。</w:t>
      </w:r>
    </w:p>
    <w:p w14:paraId="31CB2A12">
      <w:pPr>
        <w:pStyle w:val="6"/>
        <w:numPr>
          <w:ilvl w:val="0"/>
          <w:numId w:val="1"/>
        </w:numPr>
        <w:spacing w:line="360" w:lineRule="auto"/>
        <w:ind w:left="567" w:hanging="567" w:firstLineChars="0"/>
        <w:rPr>
          <w:rFonts w:ascii="黑体" w:hAnsi="黑体" w:eastAsia="黑体" w:cs="宋体"/>
          <w:b/>
          <w:bCs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sz w:val="28"/>
          <w:szCs w:val="32"/>
        </w:rPr>
        <w:t>项目组人员要求</w:t>
      </w:r>
    </w:p>
    <w:p w14:paraId="5A19CE9A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1、项目组人员数量和专业组成结构等方面应满足本项目服务需求，在服务期限内，项目组人员应保持相对稳定，以保证服务工作的正常进行。</w:t>
      </w:r>
    </w:p>
    <w:p w14:paraId="2B17D086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2、项目负责人需具有高级工程师及以上职称。</w:t>
      </w:r>
    </w:p>
    <w:p w14:paraId="4BA771B5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3、供应商提供负责本项目的服务团队人数（不包含项目负责人）不少于</w:t>
      </w:r>
      <w:r>
        <w:rPr>
          <w:rFonts w:ascii="仿宋_GB2312" w:eastAsia="仿宋_GB2312"/>
          <w:sz w:val="28"/>
          <w:szCs w:val="32"/>
        </w:rPr>
        <w:t>5</w:t>
      </w:r>
      <w:r>
        <w:rPr>
          <w:rFonts w:hint="eastAsia" w:ascii="仿宋_GB2312" w:eastAsia="仿宋_GB2312"/>
          <w:sz w:val="28"/>
          <w:szCs w:val="32"/>
        </w:rPr>
        <w:t>人，具有相关行业高级职称证书或硕士及以上学历人数不少于</w:t>
      </w:r>
      <w:r>
        <w:rPr>
          <w:rFonts w:ascii="仿宋_GB2312" w:eastAsia="仿宋_GB2312"/>
          <w:sz w:val="28"/>
          <w:szCs w:val="32"/>
        </w:rPr>
        <w:t>3</w:t>
      </w:r>
      <w:r>
        <w:rPr>
          <w:rFonts w:hint="eastAsia" w:ascii="仿宋_GB2312" w:eastAsia="仿宋_GB2312"/>
          <w:sz w:val="28"/>
          <w:szCs w:val="32"/>
        </w:rPr>
        <w:t>人的优先考虑。</w:t>
      </w:r>
    </w:p>
    <w:p w14:paraId="39F158FF">
      <w:pPr>
        <w:pStyle w:val="6"/>
        <w:numPr>
          <w:ilvl w:val="0"/>
          <w:numId w:val="1"/>
        </w:numPr>
        <w:spacing w:line="360" w:lineRule="auto"/>
        <w:ind w:left="567" w:hanging="567" w:firstLineChars="0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企业工作能力要求</w:t>
      </w:r>
    </w:p>
    <w:p w14:paraId="7AF009AC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1、供应商通过质量管理体系认证（ISO 9001或GB/T 19001认证）的优先考虑；</w:t>
      </w:r>
    </w:p>
    <w:p w14:paraId="65AFFFEC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2、供应商近三年具有类似业绩的优先考虑。</w:t>
      </w:r>
    </w:p>
    <w:p w14:paraId="2CD578F8">
      <w:pPr>
        <w:pStyle w:val="6"/>
        <w:numPr>
          <w:ilvl w:val="0"/>
          <w:numId w:val="1"/>
        </w:numPr>
        <w:spacing w:line="360" w:lineRule="auto"/>
        <w:ind w:left="567" w:hanging="567" w:firstLineChars="0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其他要求</w:t>
      </w:r>
    </w:p>
    <w:p w14:paraId="4A2F5253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投标人应按照委托方要求，负责项目进行过程中阶段性成果及最终成果的打印，承担打印费用，并承担专家评审等费用支出。</w:t>
      </w:r>
    </w:p>
    <w:p w14:paraId="33C46B07">
      <w:pPr>
        <w:ind w:firstLine="0" w:firstLineChars="0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九、上位规划</w:t>
      </w:r>
    </w:p>
    <w:p w14:paraId="69AD5439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1、《上海市城市总体规划（2017-2035年）》（国函〔</w:t>
      </w:r>
      <w:r>
        <w:rPr>
          <w:rFonts w:ascii="仿宋_GB2312" w:eastAsia="仿宋_GB2312"/>
          <w:sz w:val="28"/>
          <w:szCs w:val="32"/>
        </w:rPr>
        <w:t>2017</w:t>
      </w:r>
      <w:r>
        <w:rPr>
          <w:rFonts w:hint="eastAsia" w:ascii="仿宋_GB2312" w:eastAsia="仿宋_GB2312"/>
          <w:sz w:val="28"/>
          <w:szCs w:val="32"/>
        </w:rPr>
        <w:t>〕</w:t>
      </w:r>
      <w:r>
        <w:rPr>
          <w:rFonts w:ascii="仿宋_GB2312" w:eastAsia="仿宋_GB2312"/>
          <w:sz w:val="28"/>
          <w:szCs w:val="32"/>
        </w:rPr>
        <w:t>147</w:t>
      </w:r>
      <w:r>
        <w:rPr>
          <w:rFonts w:hint="eastAsia" w:ascii="仿宋_GB2312" w:eastAsia="仿宋_GB2312"/>
          <w:sz w:val="28"/>
          <w:szCs w:val="32"/>
        </w:rPr>
        <w:t>号）</w:t>
      </w:r>
    </w:p>
    <w:p w14:paraId="5652C17A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2、《上海市浦东新区国土空间总体规划（2017-2035）》（沪府规划〔2019〕561号）</w:t>
      </w:r>
    </w:p>
    <w:p w14:paraId="04E872D4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3、《上海浦东综合交通枢纽专项规划》（沪府〔2020〕43号）</w:t>
      </w:r>
    </w:p>
    <w:p w14:paraId="6A2FBC95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4、《上海市中心城220kV及以上等级变电站专项规划》（沪府规〔20</w:t>
      </w:r>
      <w:r>
        <w:rPr>
          <w:rFonts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</w:rPr>
        <w:t>0〕104号）</w:t>
      </w:r>
    </w:p>
    <w:p w14:paraId="0695F06E">
      <w:pPr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5</w:t>
      </w:r>
      <w:r>
        <w:rPr>
          <w:rFonts w:hint="eastAsia" w:ascii="仿宋_GB2312" w:eastAsia="仿宋_GB2312"/>
          <w:sz w:val="28"/>
          <w:szCs w:val="32"/>
        </w:rPr>
        <w:t>、《南汇区电力黄线规划》（沪规划〔20</w:t>
      </w:r>
      <w:r>
        <w:rPr>
          <w:rFonts w:ascii="仿宋_GB2312" w:eastAsia="仿宋_GB2312"/>
          <w:sz w:val="28"/>
          <w:szCs w:val="32"/>
        </w:rPr>
        <w:t>06</w:t>
      </w:r>
      <w:r>
        <w:rPr>
          <w:rFonts w:hint="eastAsia" w:ascii="仿宋_GB2312" w:eastAsia="仿宋_GB2312"/>
          <w:sz w:val="28"/>
          <w:szCs w:val="32"/>
        </w:rPr>
        <w:t>〕1329号）</w:t>
      </w:r>
    </w:p>
    <w:p w14:paraId="43F0DE10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6</w:t>
      </w:r>
      <w:r>
        <w:rPr>
          <w:rFonts w:hint="eastAsia" w:ascii="仿宋_GB2312" w:eastAsia="仿宋_GB2312"/>
          <w:sz w:val="28"/>
          <w:szCs w:val="32"/>
        </w:rPr>
        <w:t>、《上海市浦东新区川沙新镇国土空间总体规划（</w:t>
      </w:r>
      <w:r>
        <w:rPr>
          <w:rFonts w:ascii="仿宋_GB2312" w:eastAsia="仿宋_GB2312"/>
          <w:sz w:val="28"/>
          <w:szCs w:val="32"/>
        </w:rPr>
        <w:t>2024-2035</w:t>
      </w:r>
      <w:r>
        <w:rPr>
          <w:rFonts w:hint="eastAsia" w:ascii="仿宋_GB2312" w:eastAsia="仿宋_GB2312"/>
          <w:sz w:val="28"/>
          <w:szCs w:val="32"/>
        </w:rPr>
        <w:t>）》（沪府规划〔</w:t>
      </w:r>
      <w:r>
        <w:rPr>
          <w:rFonts w:ascii="仿宋_GB2312" w:eastAsia="仿宋_GB2312"/>
          <w:sz w:val="28"/>
          <w:szCs w:val="32"/>
        </w:rPr>
        <w:t>2023</w:t>
      </w:r>
      <w:r>
        <w:rPr>
          <w:rFonts w:hint="eastAsia" w:ascii="仿宋_GB2312" w:eastAsia="仿宋_GB2312"/>
          <w:sz w:val="28"/>
          <w:szCs w:val="32"/>
        </w:rPr>
        <w:t>〕</w:t>
      </w:r>
      <w:r>
        <w:rPr>
          <w:rFonts w:ascii="仿宋_GB2312" w:eastAsia="仿宋_GB2312"/>
          <w:sz w:val="28"/>
          <w:szCs w:val="32"/>
        </w:rPr>
        <w:t>23</w:t>
      </w:r>
      <w:r>
        <w:rPr>
          <w:rFonts w:hint="eastAsia" w:ascii="仿宋_GB2312" w:eastAsia="仿宋_GB2312"/>
          <w:sz w:val="28"/>
          <w:szCs w:val="32"/>
        </w:rPr>
        <w:t>号）</w:t>
      </w:r>
    </w:p>
    <w:p w14:paraId="32BF8207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7</w:t>
      </w:r>
      <w:r>
        <w:rPr>
          <w:rFonts w:hint="eastAsia" w:ascii="仿宋_GB2312" w:eastAsia="仿宋_GB2312"/>
          <w:sz w:val="28"/>
          <w:szCs w:val="32"/>
        </w:rPr>
        <w:t>、《上海市浦东新区祝桥镇国土空间总体规划（</w:t>
      </w:r>
      <w:r>
        <w:rPr>
          <w:rFonts w:ascii="仿宋_GB2312" w:eastAsia="仿宋_GB2312"/>
          <w:sz w:val="28"/>
          <w:szCs w:val="32"/>
        </w:rPr>
        <w:t>2017-2035</w:t>
      </w:r>
      <w:r>
        <w:rPr>
          <w:rFonts w:hint="eastAsia" w:ascii="仿宋_GB2312" w:eastAsia="仿宋_GB2312"/>
          <w:sz w:val="28"/>
          <w:szCs w:val="32"/>
        </w:rPr>
        <w:t>）》（沪府规划〔</w:t>
      </w:r>
      <w:r>
        <w:rPr>
          <w:rFonts w:ascii="仿宋_GB2312" w:eastAsia="仿宋_GB2312"/>
          <w:sz w:val="28"/>
          <w:szCs w:val="32"/>
        </w:rPr>
        <w:t>2019</w:t>
      </w:r>
      <w:r>
        <w:rPr>
          <w:rFonts w:hint="eastAsia" w:ascii="仿宋_GB2312" w:eastAsia="仿宋_GB2312"/>
          <w:sz w:val="28"/>
          <w:szCs w:val="32"/>
        </w:rPr>
        <w:t>〕</w:t>
      </w:r>
      <w:r>
        <w:rPr>
          <w:rFonts w:ascii="仿宋_GB2312" w:eastAsia="仿宋_GB2312"/>
          <w:sz w:val="28"/>
          <w:szCs w:val="32"/>
        </w:rPr>
        <w:t>78</w:t>
      </w:r>
      <w:r>
        <w:rPr>
          <w:rFonts w:hint="eastAsia" w:ascii="仿宋_GB2312" w:eastAsia="仿宋_GB2312"/>
          <w:sz w:val="28"/>
          <w:szCs w:val="32"/>
        </w:rPr>
        <w:t>号）</w:t>
      </w:r>
    </w:p>
    <w:p w14:paraId="7E987C77">
      <w:pPr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8</w:t>
      </w:r>
      <w:r>
        <w:rPr>
          <w:rFonts w:hint="eastAsia" w:ascii="仿宋_GB2312" w:eastAsia="仿宋_GB2312"/>
          <w:sz w:val="28"/>
          <w:szCs w:val="32"/>
        </w:rPr>
        <w:t>、《中国（上海）自由贸易试验区临港新片区机场南片区单元规划》沪府规划〔2023〕207号</w:t>
      </w:r>
    </w:p>
    <w:p w14:paraId="0F4B52EF">
      <w:pPr>
        <w:ind w:firstLine="560" w:firstLineChars="200"/>
        <w:rPr>
          <w:rFonts w:hint="eastAsia" w:ascii="仿宋_GB2312" w:eastAsia="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A64E4"/>
    <w:multiLevelType w:val="multilevel"/>
    <w:tmpl w:val="4ACA64E4"/>
    <w:lvl w:ilvl="0" w:tentative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D83D52"/>
    <w:multiLevelType w:val="multilevel"/>
    <w:tmpl w:val="57D83D52"/>
    <w:lvl w:ilvl="0" w:tentative="0">
      <w:start w:val="1"/>
      <w:numFmt w:val="bullet"/>
      <w:lvlText w:val="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2">
    <w:nsid w:val="721B490B"/>
    <w:multiLevelType w:val="multilevel"/>
    <w:tmpl w:val="721B490B"/>
    <w:lvl w:ilvl="0" w:tentative="0">
      <w:start w:val="1"/>
      <w:numFmt w:val="bullet"/>
      <w:lvlText w:val="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zJiYTgyNTJkM2E5NzA5NDNiNGU0YmVkYTRiODEifQ=="/>
  </w:docVars>
  <w:rsids>
    <w:rsidRoot w:val="00BD416C"/>
    <w:rsid w:val="00001F83"/>
    <w:rsid w:val="000E7C65"/>
    <w:rsid w:val="001172BD"/>
    <w:rsid w:val="002B1F7F"/>
    <w:rsid w:val="002C0029"/>
    <w:rsid w:val="003246BC"/>
    <w:rsid w:val="00393835"/>
    <w:rsid w:val="003A1399"/>
    <w:rsid w:val="00414762"/>
    <w:rsid w:val="00463EB3"/>
    <w:rsid w:val="004A729F"/>
    <w:rsid w:val="004E729A"/>
    <w:rsid w:val="004E7E2B"/>
    <w:rsid w:val="005754F7"/>
    <w:rsid w:val="005754FA"/>
    <w:rsid w:val="005F475B"/>
    <w:rsid w:val="00657F4E"/>
    <w:rsid w:val="0070599B"/>
    <w:rsid w:val="00735D26"/>
    <w:rsid w:val="007A206F"/>
    <w:rsid w:val="0086267E"/>
    <w:rsid w:val="0093460E"/>
    <w:rsid w:val="00943C8F"/>
    <w:rsid w:val="00970118"/>
    <w:rsid w:val="00A01F9D"/>
    <w:rsid w:val="00A40D46"/>
    <w:rsid w:val="00A932AB"/>
    <w:rsid w:val="00AC51C9"/>
    <w:rsid w:val="00AF74DF"/>
    <w:rsid w:val="00B3613D"/>
    <w:rsid w:val="00BA5BD2"/>
    <w:rsid w:val="00BD416C"/>
    <w:rsid w:val="00BE364D"/>
    <w:rsid w:val="00BE5076"/>
    <w:rsid w:val="00C75E1C"/>
    <w:rsid w:val="00CF09A1"/>
    <w:rsid w:val="00D50403"/>
    <w:rsid w:val="00E92A4A"/>
    <w:rsid w:val="00EB27F7"/>
    <w:rsid w:val="00F76803"/>
    <w:rsid w:val="00F770DE"/>
    <w:rsid w:val="00F9028F"/>
    <w:rsid w:val="00FE2A15"/>
    <w:rsid w:val="00FE767E"/>
    <w:rsid w:val="3FFD69A0"/>
    <w:rsid w:val="7DFD7AE5"/>
    <w:rsid w:val="ECEBC7FF"/>
    <w:rsid w:val="FD7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</Words>
  <Characters>1816</Characters>
  <Lines>15</Lines>
  <Paragraphs>4</Paragraphs>
  <TotalTime>305</TotalTime>
  <ScaleCrop>false</ScaleCrop>
  <LinksUpToDate>false</LinksUpToDate>
  <CharactersWithSpaces>2130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2024-08-24T07:52:00Z</dcterms:created>
  <dc:creator>Administrator</dc:creator>
  <cp:lastModifiedBy>user</cp:lastModifiedBy>
  <dcterms:modified xsi:type="dcterms:W3CDTF">2025-03-06T16:34:29Z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69F8777560444689A576C567C3A9AFE5_42</vt:lpwstr>
  </property>
</Properties>
</file>