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right="680" w:rightChars="0"/>
        <w:jc w:val="center"/>
        <w:rPr>
          <w:rFonts w:hint="eastAsia"/>
        </w:rPr>
      </w:pPr>
      <w:r>
        <w:rPr>
          <w:rFonts w:hint="eastAsia"/>
        </w:rPr>
        <w:t>长宁区卫生数据中心2024年度信息化硬件维护服务竞争性磋商项目</w:t>
      </w:r>
      <w:r>
        <w:rPr>
          <w:rFonts w:hint="eastAsia"/>
        </w:rPr>
        <w:t>需求文件</w:t>
      </w:r>
    </w:p>
    <w:p/>
    <w:p>
      <w:pPr>
        <w:rPr>
          <w:rFonts w:hAnsi="Arial"/>
          <w:b/>
          <w:sz w:val="28"/>
          <w:szCs w:val="24"/>
        </w:rPr>
      </w:pPr>
    </w:p>
    <w:p>
      <w:pPr>
        <w:pStyle w:val="2"/>
      </w:pPr>
      <w:bookmarkStart w:id="0" w:name="_Toc139901759"/>
      <w:bookmarkStart w:id="1" w:name="_Toc125220191"/>
      <w:r>
        <w:rPr>
          <w:rFonts w:hint="eastAsia"/>
        </w:rPr>
        <w:t>项目</w:t>
      </w:r>
      <w:r>
        <w:t>概述</w:t>
      </w:r>
      <w:bookmarkEnd w:id="0"/>
      <w:bookmarkEnd w:id="1"/>
    </w:p>
    <w:p>
      <w:pPr>
        <w:pStyle w:val="3"/>
      </w:pPr>
      <w:bookmarkStart w:id="2" w:name="_Toc139901760"/>
      <w:r>
        <w:t>项目背景</w:t>
      </w:r>
      <w:r>
        <w:rPr>
          <w:rFonts w:hint="eastAsia"/>
        </w:rPr>
        <w:t>和概述</w:t>
      </w:r>
      <w:bookmarkEnd w:id="2"/>
    </w:p>
    <w:p>
      <w:pPr>
        <w:spacing w:line="360" w:lineRule="auto"/>
        <w:ind w:firstLine="482"/>
        <w:rPr>
          <w:sz w:val="24"/>
          <w:szCs w:val="24"/>
        </w:rPr>
      </w:pPr>
      <w:r>
        <w:rPr>
          <w:rFonts w:hint="eastAsia"/>
          <w:sz w:val="24"/>
          <w:szCs w:val="24"/>
        </w:rPr>
        <w:t>自2006年长宁区开展卫生信息化建设至今，已经建设了覆盖</w:t>
      </w:r>
      <w:bookmarkStart w:id="101" w:name="_GoBack"/>
      <w:bookmarkEnd w:id="101"/>
      <w:r>
        <w:rPr>
          <w:rFonts w:hint="eastAsia"/>
          <w:sz w:val="24"/>
          <w:szCs w:val="24"/>
        </w:rPr>
        <w:t>全区的医疗卫生机构的卫生健康信息网，有机地整合公共卫生、基本医疗、卫生经济等系统，实现多种信息模式的协同，通过区域数据中心管理交互门户和居民健康在线咨询门户，实现医院、卫生机构、社区卫生服务中心、居民家庭卫生健康信息的互联互通。</w:t>
      </w:r>
    </w:p>
    <w:p>
      <w:pPr>
        <w:spacing w:line="360" w:lineRule="auto"/>
        <w:ind w:firstLine="482"/>
        <w:rPr>
          <w:sz w:val="24"/>
          <w:szCs w:val="24"/>
        </w:rPr>
      </w:pPr>
      <w:r>
        <w:rPr>
          <w:rFonts w:hint="eastAsia"/>
          <w:sz w:val="24"/>
          <w:szCs w:val="24"/>
        </w:rPr>
        <w:t>长宁区域卫生信息平台建设初期进行了统一规划，硬件设备均提供了独立的数据库服务器、应用服务器，并具有相关的备份容灾手段，如双机热备，异地备份等。通过前期基础数据中心以及区域卫生信息平台两期对基础设施的升级改造，长宁区卫健委在市经信局专用机房内已经建立了满足市级区域卫生信息平台（含市卫生数据中心）运行包括服务主机、数据交换、存储、备份和安全设备等组成的基础设施环境。</w:t>
      </w:r>
    </w:p>
    <w:p>
      <w:pPr>
        <w:spacing w:line="360" w:lineRule="auto"/>
        <w:ind w:firstLine="482"/>
        <w:rPr>
          <w:sz w:val="24"/>
          <w:szCs w:val="24"/>
        </w:rPr>
      </w:pPr>
      <w:r>
        <w:rPr>
          <w:rFonts w:hint="eastAsia"/>
          <w:sz w:val="24"/>
          <w:szCs w:val="24"/>
        </w:rPr>
        <w:t>随着长宁区医疗卫生信息化的发展，区卫生数据中心项目不断发展和完善，目前长宁区卫生健康委员会卫生信息数据中心的硬件产品、系统软件、安全产品和数据中心应用系统运行平稳，且已经进入有偿服务期，为保障各信息系统安全、连续、可靠的有效运行，本次项目拟对长宁区卫生数据中心硬件系统2024年度的运维服务进行采购。</w:t>
      </w:r>
    </w:p>
    <w:p>
      <w:pPr>
        <w:spacing w:line="360" w:lineRule="auto"/>
        <w:ind w:firstLine="482"/>
        <w:rPr>
          <w:sz w:val="24"/>
          <w:szCs w:val="24"/>
        </w:rPr>
      </w:pPr>
      <w:r>
        <w:rPr>
          <w:rFonts w:hint="eastAsia"/>
          <w:sz w:val="24"/>
          <w:szCs w:val="24"/>
        </w:rPr>
        <w:t>由响应人为长宁区卫生健康委员会卫生信息数据中心的硬件产品、安全产品和机房环境监控系统提供运行维护保修服务工作，发挥专业运维优势，保障各信息系统的安全、连续、可靠的有效运行。</w:t>
      </w:r>
    </w:p>
    <w:p>
      <w:pPr>
        <w:spacing w:line="360" w:lineRule="auto"/>
        <w:ind w:firstLine="482"/>
        <w:rPr>
          <w:sz w:val="24"/>
          <w:szCs w:val="24"/>
        </w:rPr>
      </w:pPr>
      <w:r>
        <w:rPr>
          <w:rFonts w:hint="eastAsia"/>
          <w:sz w:val="24"/>
          <w:szCs w:val="24"/>
        </w:rPr>
        <w:t>本次采购内容为对长宁区卫生数据中心的硬件产品、安全产品和机房环境监控系统购买运行维护保修服务。本次采购范围为一年的维保服务。</w:t>
      </w:r>
    </w:p>
    <w:p>
      <w:pPr>
        <w:pStyle w:val="3"/>
      </w:pPr>
      <w:bookmarkStart w:id="3" w:name="_Toc139901761"/>
      <w:r>
        <w:rPr>
          <w:rFonts w:hint="eastAsia"/>
        </w:rPr>
        <w:t>服务目标</w:t>
      </w:r>
      <w:bookmarkEnd w:id="3"/>
    </w:p>
    <w:p>
      <w:pPr>
        <w:pStyle w:val="72"/>
        <w:spacing w:line="360" w:lineRule="auto"/>
        <w:ind w:firstLine="566" w:firstLineChars="236"/>
        <w:rPr>
          <w:rFonts w:hAnsi="Arial"/>
          <w:sz w:val="24"/>
          <w:szCs w:val="24"/>
        </w:rPr>
      </w:pPr>
      <w:r>
        <w:rPr>
          <w:rFonts w:hint="eastAsia" w:hAnsi="Arial"/>
          <w:sz w:val="24"/>
          <w:szCs w:val="24"/>
        </w:rPr>
        <w:t>本项目由专业运维服务商承担数据中心系统软硬件设备的运行维护工作，提供系统软硬件设备保修维护及技术支持服务，处理相关系统技术问题，紧急故障响应，为长宁卫健委核心系统设备提供维护保障，从而确保长宁卫健委业务系统的安全、连续、可靠、有效运行。</w:t>
      </w:r>
    </w:p>
    <w:p>
      <w:pPr>
        <w:pStyle w:val="3"/>
      </w:pPr>
      <w:bookmarkStart w:id="4" w:name="_Toc139901762"/>
      <w:r>
        <w:rPr>
          <w:rFonts w:hint="eastAsia"/>
        </w:rPr>
        <w:t>服务地点</w:t>
      </w:r>
      <w:bookmarkEnd w:id="4"/>
    </w:p>
    <w:p>
      <w:pPr>
        <w:spacing w:line="360" w:lineRule="auto"/>
        <w:ind w:firstLine="420"/>
        <w:rPr>
          <w:rFonts w:ascii="宋体" w:hAnsi="宋体"/>
          <w:sz w:val="24"/>
          <w:szCs w:val="24"/>
        </w:rPr>
      </w:pPr>
      <w:r>
        <w:rPr>
          <w:rFonts w:hint="eastAsia" w:ascii="宋体" w:hAnsi="宋体"/>
          <w:sz w:val="24"/>
          <w:szCs w:val="24"/>
        </w:rPr>
        <w:t>长宁区卫生数据中心。</w:t>
      </w:r>
    </w:p>
    <w:p>
      <w:pPr>
        <w:pStyle w:val="3"/>
      </w:pPr>
      <w:bookmarkStart w:id="5" w:name="_Toc139901763"/>
      <w:r>
        <w:rPr>
          <w:rFonts w:hint="eastAsia"/>
        </w:rPr>
        <w:t>服务内容</w:t>
      </w:r>
      <w:bookmarkEnd w:id="5"/>
    </w:p>
    <w:tbl>
      <w:tblPr>
        <w:tblStyle w:val="42"/>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41"/>
        <w:gridCol w:w="2318"/>
        <w:gridCol w:w="2730"/>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75" w:type="dxa"/>
            <w:vAlign w:val="center"/>
          </w:tcPr>
          <w:p>
            <w:pPr>
              <w:jc w:val="center"/>
              <w:rPr>
                <w:rFonts w:ascii="宋体" w:hAnsi="宋体"/>
                <w:b/>
                <w:color w:val="000000"/>
                <w:sz w:val="21"/>
              </w:rPr>
            </w:pPr>
            <w:r>
              <w:rPr>
                <w:rFonts w:ascii="宋体" w:hAnsi="宋体"/>
                <w:b/>
                <w:color w:val="000000"/>
                <w:sz w:val="21"/>
              </w:rPr>
              <w:t>序号</w:t>
            </w:r>
          </w:p>
        </w:tc>
        <w:tc>
          <w:tcPr>
            <w:tcW w:w="1341" w:type="dxa"/>
            <w:vAlign w:val="center"/>
          </w:tcPr>
          <w:p>
            <w:pPr>
              <w:jc w:val="center"/>
              <w:rPr>
                <w:rFonts w:ascii="宋体" w:hAnsi="宋体"/>
                <w:b/>
                <w:color w:val="000000"/>
                <w:sz w:val="21"/>
              </w:rPr>
            </w:pPr>
            <w:r>
              <w:rPr>
                <w:rFonts w:ascii="宋体" w:hAnsi="宋体"/>
                <w:b/>
                <w:color w:val="000000"/>
                <w:sz w:val="21"/>
              </w:rPr>
              <w:t>分类</w:t>
            </w:r>
          </w:p>
        </w:tc>
        <w:tc>
          <w:tcPr>
            <w:tcW w:w="2318" w:type="dxa"/>
            <w:vAlign w:val="center"/>
          </w:tcPr>
          <w:p>
            <w:pPr>
              <w:jc w:val="center"/>
              <w:rPr>
                <w:rFonts w:ascii="宋体" w:hAnsi="宋体"/>
                <w:b/>
                <w:color w:val="000000"/>
                <w:sz w:val="21"/>
              </w:rPr>
            </w:pPr>
            <w:r>
              <w:rPr>
                <w:rFonts w:ascii="宋体" w:hAnsi="宋体"/>
                <w:b/>
                <w:color w:val="000000"/>
                <w:sz w:val="21"/>
              </w:rPr>
              <w:t>维护内容</w:t>
            </w:r>
          </w:p>
        </w:tc>
        <w:tc>
          <w:tcPr>
            <w:tcW w:w="2730" w:type="dxa"/>
            <w:vAlign w:val="center"/>
          </w:tcPr>
          <w:p>
            <w:pPr>
              <w:rPr>
                <w:rFonts w:ascii="宋体" w:hAnsi="宋体"/>
                <w:b/>
                <w:color w:val="000000"/>
                <w:sz w:val="21"/>
              </w:rPr>
            </w:pPr>
            <w:r>
              <w:rPr>
                <w:rFonts w:hint="eastAsia" w:ascii="宋体" w:hAnsi="宋体"/>
                <w:b/>
                <w:color w:val="000000"/>
                <w:sz w:val="21"/>
              </w:rPr>
              <w:t>服务方式和内容</w:t>
            </w:r>
          </w:p>
        </w:tc>
        <w:tc>
          <w:tcPr>
            <w:tcW w:w="1140" w:type="dxa"/>
            <w:vAlign w:val="center"/>
          </w:tcPr>
          <w:p>
            <w:pPr>
              <w:jc w:val="center"/>
              <w:rPr>
                <w:rFonts w:ascii="宋体" w:hAnsi="宋体"/>
                <w:b/>
                <w:color w:val="000000"/>
                <w:sz w:val="21"/>
              </w:rPr>
            </w:pPr>
            <w:r>
              <w:rPr>
                <w:rFonts w:hint="eastAsia" w:ascii="宋体" w:hAnsi="宋体"/>
                <w:b/>
                <w:color w:val="000000"/>
                <w:sz w:val="21"/>
              </w:rPr>
              <w:t>授权</w:t>
            </w:r>
          </w:p>
        </w:tc>
        <w:tc>
          <w:tcPr>
            <w:tcW w:w="1140" w:type="dxa"/>
            <w:vAlign w:val="center"/>
          </w:tcPr>
          <w:p>
            <w:pPr>
              <w:jc w:val="center"/>
              <w:rPr>
                <w:rFonts w:ascii="宋体" w:hAnsi="宋体"/>
                <w:b/>
                <w:color w:val="000000"/>
                <w:sz w:val="21"/>
              </w:rPr>
            </w:pPr>
            <w:r>
              <w:rPr>
                <w:rFonts w:hint="eastAsia" w:ascii="宋体" w:hAnsi="宋体"/>
                <w:b/>
                <w:color w:val="000000"/>
                <w:sz w:val="21"/>
              </w:rPr>
              <w:t>续保年限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5" w:type="dxa"/>
            <w:vMerge w:val="restart"/>
            <w:vAlign w:val="center"/>
          </w:tcPr>
          <w:p>
            <w:pPr>
              <w:jc w:val="center"/>
              <w:rPr>
                <w:rFonts w:ascii="宋体" w:hAnsi="宋体"/>
                <w:color w:val="000000"/>
                <w:sz w:val="21"/>
              </w:rPr>
            </w:pPr>
            <w:r>
              <w:rPr>
                <w:rFonts w:hint="eastAsia" w:ascii="宋体" w:hAnsi="宋体"/>
                <w:color w:val="000000"/>
                <w:sz w:val="21"/>
              </w:rPr>
              <w:t>1.</w:t>
            </w:r>
          </w:p>
        </w:tc>
        <w:tc>
          <w:tcPr>
            <w:tcW w:w="1341" w:type="dxa"/>
            <w:vMerge w:val="restart"/>
            <w:vAlign w:val="center"/>
          </w:tcPr>
          <w:p>
            <w:pPr>
              <w:jc w:val="center"/>
              <w:rPr>
                <w:rFonts w:ascii="宋体" w:hAnsi="宋体"/>
                <w:color w:val="000000"/>
                <w:sz w:val="21"/>
              </w:rPr>
            </w:pPr>
            <w:r>
              <w:rPr>
                <w:rFonts w:hint="eastAsia" w:ascii="宋体" w:hAnsi="宋体"/>
                <w:color w:val="000000"/>
                <w:sz w:val="21"/>
              </w:rPr>
              <w:t>硬件产品</w:t>
            </w:r>
          </w:p>
        </w:tc>
        <w:tc>
          <w:tcPr>
            <w:tcW w:w="2318" w:type="dxa"/>
            <w:vAlign w:val="center"/>
          </w:tcPr>
          <w:p>
            <w:pPr>
              <w:jc w:val="center"/>
              <w:rPr>
                <w:rFonts w:ascii="宋体" w:hAnsi="宋体"/>
                <w:color w:val="000000"/>
                <w:sz w:val="21"/>
              </w:rPr>
            </w:pPr>
            <w:r>
              <w:rPr>
                <w:rFonts w:ascii="宋体" w:hAnsi="宋体"/>
                <w:color w:val="000000"/>
                <w:sz w:val="21"/>
              </w:rPr>
              <w:t>网络设备</w:t>
            </w:r>
            <w:r>
              <w:rPr>
                <w:rFonts w:hint="eastAsia" w:ascii="宋体" w:hAnsi="宋体"/>
                <w:color w:val="000000"/>
                <w:sz w:val="21"/>
              </w:rPr>
              <w:t>保修与</w:t>
            </w:r>
            <w:r>
              <w:rPr>
                <w:rFonts w:ascii="宋体" w:hAnsi="宋体"/>
                <w:color w:val="000000"/>
                <w:sz w:val="21"/>
              </w:rPr>
              <w:t>服务</w:t>
            </w:r>
          </w:p>
        </w:tc>
        <w:tc>
          <w:tcPr>
            <w:tcW w:w="2730" w:type="dxa"/>
            <w:vAlign w:val="center"/>
          </w:tcPr>
          <w:p>
            <w:pPr>
              <w:rPr>
                <w:rFonts w:ascii="宋体" w:hAnsi="宋体"/>
                <w:color w:val="000000"/>
                <w:sz w:val="21"/>
              </w:rPr>
            </w:pPr>
            <w:r>
              <w:rPr>
                <w:rFonts w:hint="eastAsia" w:ascii="宋体" w:hAnsi="宋体"/>
                <w:color w:val="000000"/>
                <w:sz w:val="21"/>
              </w:rPr>
              <w:t>维保服务、备品备件库服务</w:t>
            </w:r>
          </w:p>
        </w:tc>
        <w:tc>
          <w:tcPr>
            <w:tcW w:w="1140" w:type="dxa"/>
            <w:vAlign w:val="center"/>
          </w:tcPr>
          <w:p>
            <w:pPr>
              <w:jc w:val="center"/>
              <w:rPr>
                <w:rFonts w:ascii="宋体" w:hAnsi="宋体"/>
                <w:color w:val="000000"/>
                <w:sz w:val="21"/>
              </w:rPr>
            </w:pPr>
            <w:r>
              <w:rPr>
                <w:rFonts w:hint="eastAsia" w:ascii="宋体" w:hAnsi="宋体"/>
                <w:color w:val="000000"/>
                <w:sz w:val="21"/>
              </w:rPr>
              <w:t>否</w:t>
            </w:r>
          </w:p>
        </w:tc>
        <w:tc>
          <w:tcPr>
            <w:tcW w:w="1140" w:type="dxa"/>
            <w:vAlign w:val="center"/>
          </w:tcPr>
          <w:p>
            <w:pPr>
              <w:jc w:val="center"/>
              <w:rPr>
                <w:rFonts w:ascii="宋体" w:hAnsi="宋体"/>
                <w:color w:val="000000"/>
                <w:sz w:val="21"/>
              </w:rPr>
            </w:pPr>
            <w:r>
              <w:rPr>
                <w:rFonts w:hint="eastAsia" w:ascii="宋体" w:hAnsi="宋体"/>
                <w:color w:val="000000"/>
                <w:sz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5" w:type="dxa"/>
            <w:vMerge w:val="continue"/>
            <w:vAlign w:val="center"/>
          </w:tcPr>
          <w:p>
            <w:pPr>
              <w:rPr>
                <w:rFonts w:ascii="宋体" w:hAnsi="宋体"/>
                <w:color w:val="000000"/>
                <w:sz w:val="21"/>
              </w:rPr>
            </w:pPr>
          </w:p>
        </w:tc>
        <w:tc>
          <w:tcPr>
            <w:tcW w:w="1341" w:type="dxa"/>
            <w:vMerge w:val="continue"/>
            <w:vAlign w:val="center"/>
          </w:tcPr>
          <w:p>
            <w:pPr>
              <w:rPr>
                <w:rFonts w:ascii="宋体" w:hAnsi="宋体"/>
                <w:color w:val="000000"/>
                <w:sz w:val="21"/>
              </w:rPr>
            </w:pPr>
          </w:p>
        </w:tc>
        <w:tc>
          <w:tcPr>
            <w:tcW w:w="2318" w:type="dxa"/>
            <w:vAlign w:val="center"/>
          </w:tcPr>
          <w:p>
            <w:pPr>
              <w:jc w:val="center"/>
              <w:rPr>
                <w:rFonts w:ascii="宋体" w:hAnsi="宋体"/>
                <w:color w:val="000000"/>
                <w:sz w:val="21"/>
              </w:rPr>
            </w:pPr>
            <w:r>
              <w:rPr>
                <w:rFonts w:ascii="宋体" w:hAnsi="宋体"/>
                <w:color w:val="000000"/>
                <w:sz w:val="21"/>
              </w:rPr>
              <w:t>服务器设备</w:t>
            </w:r>
            <w:r>
              <w:rPr>
                <w:rFonts w:hint="eastAsia" w:ascii="宋体" w:hAnsi="宋体"/>
                <w:color w:val="000000"/>
                <w:sz w:val="21"/>
              </w:rPr>
              <w:t>保修与</w:t>
            </w:r>
            <w:r>
              <w:rPr>
                <w:rFonts w:ascii="宋体" w:hAnsi="宋体"/>
                <w:color w:val="000000"/>
                <w:sz w:val="21"/>
              </w:rPr>
              <w:t>服务</w:t>
            </w:r>
          </w:p>
        </w:tc>
        <w:tc>
          <w:tcPr>
            <w:tcW w:w="2730" w:type="dxa"/>
          </w:tcPr>
          <w:p>
            <w:pPr>
              <w:rPr>
                <w:rFonts w:ascii="宋体" w:hAnsi="宋体"/>
                <w:color w:val="000000"/>
                <w:sz w:val="21"/>
              </w:rPr>
            </w:pPr>
            <w:r>
              <w:rPr>
                <w:rFonts w:hint="eastAsia" w:ascii="宋体" w:hAnsi="宋体"/>
                <w:color w:val="000000"/>
                <w:sz w:val="21"/>
              </w:rPr>
              <w:t>维保服务、备品备件库服务</w:t>
            </w:r>
          </w:p>
        </w:tc>
        <w:tc>
          <w:tcPr>
            <w:tcW w:w="1140" w:type="dxa"/>
            <w:vAlign w:val="center"/>
          </w:tcPr>
          <w:p>
            <w:pPr>
              <w:jc w:val="center"/>
              <w:rPr>
                <w:rFonts w:ascii="宋体" w:hAnsi="宋体"/>
                <w:color w:val="000000"/>
                <w:sz w:val="21"/>
              </w:rPr>
            </w:pPr>
            <w:r>
              <w:rPr>
                <w:rFonts w:hint="eastAsia" w:ascii="宋体" w:hAnsi="宋体"/>
                <w:color w:val="000000"/>
                <w:sz w:val="21"/>
              </w:rPr>
              <w:t>否</w:t>
            </w:r>
          </w:p>
        </w:tc>
        <w:tc>
          <w:tcPr>
            <w:tcW w:w="1140" w:type="dxa"/>
            <w:vAlign w:val="center"/>
          </w:tcPr>
          <w:p>
            <w:pPr>
              <w:jc w:val="center"/>
              <w:rPr>
                <w:rFonts w:ascii="宋体" w:hAnsi="宋体"/>
                <w:color w:val="000000"/>
                <w:sz w:val="21"/>
              </w:rPr>
            </w:pPr>
            <w:r>
              <w:rPr>
                <w:rFonts w:hint="eastAsia" w:ascii="宋体" w:hAnsi="宋体"/>
                <w:color w:val="000000"/>
                <w:sz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Merge w:val="continue"/>
            <w:vAlign w:val="center"/>
          </w:tcPr>
          <w:p>
            <w:pPr>
              <w:rPr>
                <w:rFonts w:ascii="宋体" w:hAnsi="宋体"/>
                <w:color w:val="000000"/>
                <w:sz w:val="21"/>
              </w:rPr>
            </w:pPr>
          </w:p>
        </w:tc>
        <w:tc>
          <w:tcPr>
            <w:tcW w:w="1341" w:type="dxa"/>
            <w:vMerge w:val="continue"/>
            <w:vAlign w:val="center"/>
          </w:tcPr>
          <w:p>
            <w:pPr>
              <w:rPr>
                <w:rFonts w:ascii="宋体" w:hAnsi="宋体"/>
                <w:color w:val="000000"/>
                <w:sz w:val="21"/>
              </w:rPr>
            </w:pPr>
          </w:p>
        </w:tc>
        <w:tc>
          <w:tcPr>
            <w:tcW w:w="2318" w:type="dxa"/>
            <w:vAlign w:val="center"/>
          </w:tcPr>
          <w:p>
            <w:pPr>
              <w:jc w:val="center"/>
              <w:rPr>
                <w:rFonts w:ascii="宋体" w:hAnsi="宋体"/>
                <w:color w:val="000000"/>
                <w:sz w:val="21"/>
              </w:rPr>
            </w:pPr>
            <w:r>
              <w:rPr>
                <w:rFonts w:ascii="宋体" w:hAnsi="宋体"/>
                <w:color w:val="000000"/>
                <w:sz w:val="21"/>
              </w:rPr>
              <w:t>存储设备</w:t>
            </w:r>
            <w:r>
              <w:rPr>
                <w:rFonts w:hint="eastAsia" w:ascii="宋体" w:hAnsi="宋体"/>
                <w:color w:val="000000"/>
                <w:sz w:val="21"/>
              </w:rPr>
              <w:t>保修与</w:t>
            </w:r>
            <w:r>
              <w:rPr>
                <w:rFonts w:ascii="宋体" w:hAnsi="宋体"/>
                <w:color w:val="000000"/>
                <w:sz w:val="21"/>
              </w:rPr>
              <w:t>服务</w:t>
            </w:r>
          </w:p>
        </w:tc>
        <w:tc>
          <w:tcPr>
            <w:tcW w:w="2730" w:type="dxa"/>
          </w:tcPr>
          <w:p>
            <w:pPr>
              <w:rPr>
                <w:rFonts w:ascii="宋体" w:hAnsi="宋体"/>
                <w:color w:val="000000"/>
                <w:sz w:val="21"/>
              </w:rPr>
            </w:pPr>
            <w:r>
              <w:rPr>
                <w:rFonts w:hint="eastAsia" w:ascii="宋体" w:hAnsi="宋体"/>
                <w:color w:val="000000"/>
                <w:sz w:val="21"/>
              </w:rPr>
              <w:t>维保服务、备品备件库服务</w:t>
            </w:r>
          </w:p>
        </w:tc>
        <w:tc>
          <w:tcPr>
            <w:tcW w:w="1140" w:type="dxa"/>
            <w:vAlign w:val="center"/>
          </w:tcPr>
          <w:p>
            <w:pPr>
              <w:jc w:val="center"/>
              <w:rPr>
                <w:rFonts w:ascii="宋体" w:hAnsi="宋体"/>
                <w:color w:val="000000"/>
                <w:sz w:val="21"/>
              </w:rPr>
            </w:pPr>
            <w:r>
              <w:rPr>
                <w:rFonts w:hint="eastAsia" w:ascii="宋体" w:hAnsi="宋体"/>
                <w:color w:val="000000"/>
                <w:sz w:val="21"/>
              </w:rPr>
              <w:t>否</w:t>
            </w:r>
          </w:p>
        </w:tc>
        <w:tc>
          <w:tcPr>
            <w:tcW w:w="1140" w:type="dxa"/>
            <w:vAlign w:val="center"/>
          </w:tcPr>
          <w:p>
            <w:pPr>
              <w:jc w:val="center"/>
              <w:rPr>
                <w:rFonts w:ascii="宋体" w:hAnsi="宋体"/>
                <w:color w:val="000000"/>
                <w:sz w:val="21"/>
              </w:rPr>
            </w:pPr>
            <w:r>
              <w:rPr>
                <w:rFonts w:hint="eastAsia" w:ascii="宋体" w:hAnsi="宋体"/>
                <w:color w:val="000000"/>
                <w:sz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75" w:type="dxa"/>
            <w:vMerge w:val="continue"/>
            <w:vAlign w:val="center"/>
          </w:tcPr>
          <w:p>
            <w:pPr>
              <w:jc w:val="center"/>
              <w:rPr>
                <w:rFonts w:ascii="宋体" w:hAnsi="宋体"/>
                <w:color w:val="000000"/>
                <w:sz w:val="21"/>
              </w:rPr>
            </w:pPr>
          </w:p>
        </w:tc>
        <w:tc>
          <w:tcPr>
            <w:tcW w:w="1341" w:type="dxa"/>
            <w:vMerge w:val="continue"/>
            <w:vAlign w:val="center"/>
          </w:tcPr>
          <w:p>
            <w:pPr>
              <w:jc w:val="center"/>
              <w:rPr>
                <w:rFonts w:ascii="宋体" w:hAnsi="宋体"/>
                <w:color w:val="000000"/>
                <w:sz w:val="21"/>
              </w:rPr>
            </w:pPr>
          </w:p>
        </w:tc>
        <w:tc>
          <w:tcPr>
            <w:tcW w:w="2318" w:type="dxa"/>
            <w:vAlign w:val="center"/>
          </w:tcPr>
          <w:p>
            <w:pPr>
              <w:jc w:val="center"/>
              <w:rPr>
                <w:rFonts w:ascii="宋体" w:hAnsi="宋体"/>
                <w:color w:val="000000"/>
                <w:sz w:val="21"/>
              </w:rPr>
            </w:pPr>
            <w:r>
              <w:rPr>
                <w:rFonts w:hint="eastAsia" w:ascii="宋体" w:hAnsi="宋体"/>
                <w:color w:val="000000"/>
                <w:sz w:val="21"/>
              </w:rPr>
              <w:t>安全</w:t>
            </w:r>
            <w:r>
              <w:rPr>
                <w:rFonts w:ascii="宋体" w:hAnsi="宋体"/>
                <w:color w:val="000000"/>
                <w:sz w:val="21"/>
              </w:rPr>
              <w:t>设备</w:t>
            </w:r>
            <w:r>
              <w:rPr>
                <w:rFonts w:hint="eastAsia" w:ascii="宋体" w:hAnsi="宋体"/>
                <w:color w:val="000000"/>
                <w:sz w:val="21"/>
              </w:rPr>
              <w:t>保修与</w:t>
            </w:r>
            <w:r>
              <w:rPr>
                <w:rFonts w:ascii="宋体" w:hAnsi="宋体"/>
                <w:color w:val="000000"/>
                <w:sz w:val="21"/>
              </w:rPr>
              <w:t>服务</w:t>
            </w:r>
          </w:p>
        </w:tc>
        <w:tc>
          <w:tcPr>
            <w:tcW w:w="2730" w:type="dxa"/>
          </w:tcPr>
          <w:p>
            <w:pPr>
              <w:rPr>
                <w:rFonts w:ascii="宋体" w:hAnsi="宋体"/>
                <w:color w:val="000000"/>
                <w:sz w:val="21"/>
              </w:rPr>
            </w:pPr>
            <w:r>
              <w:rPr>
                <w:rFonts w:hint="eastAsia" w:ascii="宋体" w:hAnsi="宋体"/>
                <w:color w:val="000000"/>
                <w:sz w:val="21"/>
              </w:rPr>
              <w:t>维保服务、备品备件库服务</w:t>
            </w:r>
          </w:p>
        </w:tc>
        <w:tc>
          <w:tcPr>
            <w:tcW w:w="1140" w:type="dxa"/>
            <w:vAlign w:val="center"/>
          </w:tcPr>
          <w:p>
            <w:pPr>
              <w:jc w:val="center"/>
              <w:rPr>
                <w:rFonts w:ascii="宋体" w:hAnsi="宋体"/>
                <w:color w:val="000000"/>
                <w:sz w:val="21"/>
              </w:rPr>
            </w:pPr>
            <w:r>
              <w:rPr>
                <w:rFonts w:hint="eastAsia" w:ascii="宋体" w:hAnsi="宋体"/>
                <w:color w:val="000000"/>
                <w:sz w:val="21"/>
              </w:rPr>
              <w:t>是</w:t>
            </w:r>
          </w:p>
        </w:tc>
        <w:tc>
          <w:tcPr>
            <w:tcW w:w="1140" w:type="dxa"/>
            <w:vAlign w:val="center"/>
          </w:tcPr>
          <w:p>
            <w:pPr>
              <w:jc w:val="center"/>
              <w:rPr>
                <w:rFonts w:ascii="宋体" w:hAnsi="宋体"/>
                <w:color w:val="000000"/>
                <w:sz w:val="21"/>
              </w:rPr>
            </w:pPr>
            <w:r>
              <w:rPr>
                <w:rFonts w:hint="eastAsia" w:ascii="宋体" w:hAnsi="宋体"/>
                <w:color w:val="000000"/>
                <w:sz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675" w:type="dxa"/>
            <w:vAlign w:val="center"/>
          </w:tcPr>
          <w:p>
            <w:pPr>
              <w:jc w:val="center"/>
              <w:rPr>
                <w:rFonts w:ascii="宋体" w:hAnsi="宋体"/>
                <w:color w:val="000000"/>
                <w:sz w:val="21"/>
              </w:rPr>
            </w:pPr>
            <w:r>
              <w:rPr>
                <w:rFonts w:ascii="宋体" w:hAnsi="宋体"/>
                <w:color w:val="000000"/>
                <w:sz w:val="21"/>
              </w:rPr>
              <w:t>2</w:t>
            </w:r>
            <w:r>
              <w:rPr>
                <w:rFonts w:hint="eastAsia" w:ascii="宋体" w:hAnsi="宋体"/>
                <w:color w:val="000000"/>
                <w:sz w:val="21"/>
              </w:rPr>
              <w:t>.</w:t>
            </w:r>
          </w:p>
        </w:tc>
        <w:tc>
          <w:tcPr>
            <w:tcW w:w="1341" w:type="dxa"/>
            <w:vAlign w:val="center"/>
          </w:tcPr>
          <w:p>
            <w:pPr>
              <w:jc w:val="center"/>
              <w:rPr>
                <w:rFonts w:ascii="宋体" w:hAnsi="宋体"/>
                <w:color w:val="000000"/>
                <w:sz w:val="21"/>
              </w:rPr>
            </w:pPr>
            <w:r>
              <w:rPr>
                <w:rFonts w:hint="eastAsia" w:ascii="宋体" w:hAnsi="宋体"/>
                <w:color w:val="000000"/>
                <w:sz w:val="21"/>
              </w:rPr>
              <w:t>机房环</w:t>
            </w:r>
          </w:p>
          <w:p>
            <w:pPr>
              <w:jc w:val="center"/>
              <w:rPr>
                <w:rFonts w:ascii="宋体" w:hAnsi="宋体"/>
                <w:color w:val="000000"/>
                <w:sz w:val="21"/>
              </w:rPr>
            </w:pPr>
            <w:r>
              <w:rPr>
                <w:rFonts w:hint="eastAsia" w:ascii="宋体" w:hAnsi="宋体"/>
                <w:color w:val="000000"/>
                <w:sz w:val="21"/>
              </w:rPr>
              <w:t>境监控</w:t>
            </w:r>
          </w:p>
        </w:tc>
        <w:tc>
          <w:tcPr>
            <w:tcW w:w="2318" w:type="dxa"/>
            <w:vAlign w:val="center"/>
          </w:tcPr>
          <w:p>
            <w:pPr>
              <w:jc w:val="center"/>
              <w:rPr>
                <w:rFonts w:ascii="宋体" w:hAnsi="宋体"/>
                <w:color w:val="000000"/>
                <w:sz w:val="21"/>
              </w:rPr>
            </w:pPr>
            <w:r>
              <w:rPr>
                <w:rFonts w:hint="eastAsia" w:ascii="宋体" w:hAnsi="宋体"/>
                <w:color w:val="000000"/>
                <w:sz w:val="21"/>
              </w:rPr>
              <w:t>机房环境监控运维</w:t>
            </w:r>
          </w:p>
        </w:tc>
        <w:tc>
          <w:tcPr>
            <w:tcW w:w="2730" w:type="dxa"/>
            <w:vAlign w:val="center"/>
          </w:tcPr>
          <w:p>
            <w:pPr>
              <w:rPr>
                <w:rFonts w:ascii="宋体" w:hAnsi="宋体"/>
                <w:color w:val="000000"/>
                <w:sz w:val="21"/>
              </w:rPr>
            </w:pPr>
            <w:r>
              <w:rPr>
                <w:rFonts w:hint="eastAsia" w:ascii="宋体" w:hAnsi="宋体"/>
                <w:color w:val="000000"/>
                <w:sz w:val="21"/>
              </w:rPr>
              <w:t>故障响应、定期日志维护</w:t>
            </w:r>
          </w:p>
        </w:tc>
        <w:tc>
          <w:tcPr>
            <w:tcW w:w="1140" w:type="dxa"/>
            <w:vAlign w:val="center"/>
          </w:tcPr>
          <w:p>
            <w:pPr>
              <w:jc w:val="center"/>
              <w:rPr>
                <w:rFonts w:ascii="宋体" w:hAnsi="宋体"/>
                <w:color w:val="000000"/>
                <w:sz w:val="21"/>
              </w:rPr>
            </w:pPr>
            <w:r>
              <w:rPr>
                <w:rFonts w:hint="eastAsia" w:ascii="宋体" w:hAnsi="宋体"/>
                <w:color w:val="000000"/>
                <w:sz w:val="21"/>
              </w:rPr>
              <w:t>否</w:t>
            </w:r>
          </w:p>
        </w:tc>
        <w:tc>
          <w:tcPr>
            <w:tcW w:w="1140" w:type="dxa"/>
            <w:vAlign w:val="center"/>
          </w:tcPr>
          <w:p>
            <w:pPr>
              <w:jc w:val="center"/>
              <w:rPr>
                <w:rFonts w:ascii="宋体" w:hAnsi="宋体"/>
                <w:color w:val="000000"/>
                <w:sz w:val="21"/>
              </w:rPr>
            </w:pPr>
            <w:r>
              <w:rPr>
                <w:rFonts w:hint="eastAsia" w:ascii="宋体" w:hAnsi="宋体"/>
                <w:color w:val="000000"/>
                <w:sz w:val="21"/>
              </w:rPr>
              <w:t>一年</w:t>
            </w:r>
          </w:p>
        </w:tc>
      </w:tr>
    </w:tbl>
    <w:p>
      <w:pPr>
        <w:pStyle w:val="5"/>
      </w:pPr>
      <w:bookmarkStart w:id="6" w:name="_Toc139901764"/>
      <w:r>
        <w:rPr>
          <w:rFonts w:hint="eastAsia"/>
        </w:rPr>
        <w:t>服务器情况</w:t>
      </w:r>
      <w:bookmarkEnd w:id="6"/>
    </w:p>
    <w:p>
      <w:pPr>
        <w:spacing w:line="360" w:lineRule="auto"/>
        <w:ind w:firstLine="482"/>
        <w:jc w:val="both"/>
        <w:rPr>
          <w:rFonts w:ascii="宋体" w:hAnsi="宋体"/>
          <w:sz w:val="24"/>
          <w:szCs w:val="24"/>
        </w:rPr>
      </w:pPr>
      <w:r>
        <w:rPr>
          <w:rFonts w:hint="eastAsia" w:ascii="宋体" w:hAnsi="宋体"/>
          <w:sz w:val="24"/>
          <w:szCs w:val="24"/>
        </w:rPr>
        <w:t>长宁区卫生数据中心信息平台服务器根据使用情况主要包括以下5大类型：</w:t>
      </w:r>
    </w:p>
    <w:p>
      <w:pPr>
        <w:spacing w:line="360" w:lineRule="auto"/>
        <w:ind w:firstLine="482"/>
        <w:jc w:val="both"/>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区域卫生平台数据库服务器：独立数据库服务器，置于长宁区卫健委中心机房。</w:t>
      </w:r>
    </w:p>
    <w:p>
      <w:pPr>
        <w:spacing w:line="360" w:lineRule="auto"/>
        <w:ind w:firstLine="482"/>
        <w:jc w:val="both"/>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区域卫生平台应用虚拟机：支撑区域平台应用、区域健康档案应用、区域家庭医生应用等，置于长宁区卫健委中心机房。</w:t>
      </w:r>
    </w:p>
    <w:p>
      <w:pPr>
        <w:spacing w:line="360" w:lineRule="auto"/>
        <w:ind w:firstLine="482"/>
        <w:jc w:val="both"/>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备份服务器：备份服务器支持实时和定时的备份机制，置于长宁区卫健委中心机房。</w:t>
      </w:r>
    </w:p>
    <w:p>
      <w:pPr>
        <w:spacing w:line="360" w:lineRule="auto"/>
        <w:ind w:firstLine="482"/>
        <w:jc w:val="both"/>
        <w:rPr>
          <w:rFonts w:ascii="宋体" w:hAnsi="宋体"/>
          <w:sz w:val="24"/>
          <w:szCs w:val="24"/>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管理服务器：包括部署了安全软件的管理服务器，置于长宁区卫健委中心机房。</w:t>
      </w:r>
    </w:p>
    <w:p>
      <w:pPr>
        <w:spacing w:line="360" w:lineRule="auto"/>
        <w:ind w:firstLine="482"/>
        <w:jc w:val="both"/>
        <w:rPr>
          <w:rFonts w:ascii="宋体" w:hAnsi="宋体"/>
          <w:sz w:val="24"/>
          <w:szCs w:val="24"/>
        </w:rPr>
      </w:pPr>
      <w:r>
        <w:rPr>
          <w:rFonts w:hint="eastAsia" w:ascii="宋体" w:hAnsi="宋体"/>
          <w:sz w:val="24"/>
          <w:szCs w:val="24"/>
        </w:rPr>
        <w:t>5.</w:t>
      </w:r>
      <w:r>
        <w:rPr>
          <w:rFonts w:hint="eastAsia" w:ascii="宋体" w:hAnsi="宋体"/>
          <w:sz w:val="24"/>
          <w:szCs w:val="24"/>
        </w:rPr>
        <w:tab/>
      </w:r>
      <w:r>
        <w:rPr>
          <w:rFonts w:hint="eastAsia" w:ascii="宋体" w:hAnsi="宋体"/>
          <w:sz w:val="24"/>
          <w:szCs w:val="24"/>
        </w:rPr>
        <w:t>前置机：作为二级医院或者社区卫生服务器中心前置机，置于各家医疗机构。</w:t>
      </w:r>
    </w:p>
    <w:p>
      <w:pPr>
        <w:pStyle w:val="5"/>
      </w:pPr>
      <w:bookmarkStart w:id="7" w:name="_Toc139901765"/>
      <w:r>
        <w:rPr>
          <w:rFonts w:hint="eastAsia"/>
        </w:rPr>
        <w:t>存储情况</w:t>
      </w:r>
      <w:bookmarkEnd w:id="7"/>
    </w:p>
    <w:p>
      <w:pPr>
        <w:spacing w:line="360" w:lineRule="auto"/>
        <w:ind w:firstLine="482"/>
        <w:jc w:val="both"/>
        <w:rPr>
          <w:rFonts w:ascii="宋体" w:hAnsi="宋体"/>
          <w:sz w:val="24"/>
          <w:szCs w:val="24"/>
        </w:rPr>
      </w:pPr>
      <w:r>
        <w:rPr>
          <w:rFonts w:hint="eastAsia" w:ascii="宋体" w:hAnsi="宋体"/>
          <w:sz w:val="24"/>
          <w:szCs w:val="24"/>
        </w:rPr>
        <w:t>长宁区卫生数据中心信息平台已建设有总容量达18T的EMC大容量在线存储设备及电信异地容灾备份。</w:t>
      </w:r>
    </w:p>
    <w:p>
      <w:pPr>
        <w:pStyle w:val="5"/>
      </w:pPr>
      <w:bookmarkStart w:id="8" w:name="_Toc437447299"/>
      <w:bookmarkStart w:id="9" w:name="_Toc139901766"/>
      <w:bookmarkStart w:id="10" w:name="_Toc437430979"/>
      <w:r>
        <w:t>网络设备情况</w:t>
      </w:r>
      <w:bookmarkEnd w:id="8"/>
      <w:bookmarkEnd w:id="9"/>
      <w:bookmarkEnd w:id="10"/>
    </w:p>
    <w:p>
      <w:pPr>
        <w:spacing w:line="360" w:lineRule="auto"/>
        <w:ind w:firstLine="482"/>
        <w:jc w:val="both"/>
        <w:rPr>
          <w:rFonts w:ascii="宋体" w:hAnsi="宋体"/>
          <w:sz w:val="24"/>
          <w:szCs w:val="24"/>
        </w:rPr>
      </w:pPr>
      <w:r>
        <w:rPr>
          <w:rFonts w:hint="eastAsia" w:ascii="宋体" w:hAnsi="宋体"/>
          <w:sz w:val="24"/>
          <w:szCs w:val="24"/>
        </w:rPr>
        <w:t>长宁区依托电子政务外网和卫生专网光纤，建立了上联市卫健委、市政府，横联区政务事业单位，下联区属卫生医疗机构的卫生系统虚拟专用网络。</w:t>
      </w:r>
    </w:p>
    <w:p>
      <w:pPr>
        <w:spacing w:line="360" w:lineRule="auto"/>
        <w:jc w:val="both"/>
        <w:rPr>
          <w:rFonts w:ascii="宋体" w:hAnsi="宋体"/>
          <w:sz w:val="24"/>
          <w:szCs w:val="24"/>
        </w:rPr>
      </w:pPr>
      <w:r>
        <w:drawing>
          <wp:inline distT="0" distB="0" distL="0" distR="0">
            <wp:extent cx="5274310" cy="56292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5629275"/>
                    </a:xfrm>
                    <a:prstGeom prst="rect">
                      <a:avLst/>
                    </a:prstGeom>
                  </pic:spPr>
                </pic:pic>
              </a:graphicData>
            </a:graphic>
          </wp:inline>
        </w:drawing>
      </w:r>
    </w:p>
    <w:p>
      <w:pPr>
        <w:spacing w:line="360" w:lineRule="auto"/>
        <w:ind w:left="567"/>
        <w:jc w:val="center"/>
        <w:rPr>
          <w:rFonts w:ascii="宋体" w:hAnsi="宋体"/>
          <w:sz w:val="22"/>
          <w:szCs w:val="24"/>
        </w:rPr>
      </w:pPr>
      <w:r>
        <w:rPr>
          <w:rFonts w:hint="eastAsia" w:ascii="宋体" w:hAnsi="宋体"/>
          <w:sz w:val="22"/>
          <w:szCs w:val="24"/>
        </w:rPr>
        <w:t>长宁区域平台网络拓扑图</w:t>
      </w:r>
    </w:p>
    <w:p>
      <w:pPr>
        <w:pStyle w:val="5"/>
      </w:pPr>
      <w:bookmarkStart w:id="11" w:name="_Toc511155690"/>
      <w:bookmarkStart w:id="12" w:name="_Toc139901767"/>
      <w:r>
        <w:rPr>
          <w:rFonts w:hint="eastAsia"/>
        </w:rPr>
        <w:t>机房环境</w:t>
      </w:r>
      <w:bookmarkEnd w:id="11"/>
      <w:bookmarkEnd w:id="12"/>
    </w:p>
    <w:p>
      <w:pPr>
        <w:pStyle w:val="72"/>
        <w:spacing w:line="360" w:lineRule="auto"/>
        <w:ind w:firstLine="424" w:firstLineChars="177"/>
        <w:rPr>
          <w:rFonts w:hAnsi="Arial"/>
          <w:sz w:val="24"/>
          <w:szCs w:val="24"/>
        </w:rPr>
      </w:pPr>
      <w:r>
        <w:rPr>
          <w:rFonts w:hint="eastAsia" w:hAnsi="Arial"/>
          <w:sz w:val="24"/>
          <w:szCs w:val="24"/>
        </w:rPr>
        <w:t>机房环境监控系统对机房环境状况进行监控，监控内容包括：供电系统、</w:t>
      </w:r>
      <w:r>
        <w:rPr>
          <w:rFonts w:hAnsi="Arial"/>
          <w:sz w:val="24"/>
          <w:szCs w:val="24"/>
        </w:rPr>
        <w:t>ups系统、精密空调系统、机房温湿度、漏水检测等。</w:t>
      </w:r>
    </w:p>
    <w:p>
      <w:pPr>
        <w:pStyle w:val="72"/>
        <w:spacing w:line="360" w:lineRule="auto"/>
        <w:ind w:firstLine="424" w:firstLineChars="177"/>
        <w:rPr>
          <w:rFonts w:hAnsi="Arial"/>
          <w:sz w:val="24"/>
          <w:szCs w:val="24"/>
        </w:rPr>
      </w:pPr>
    </w:p>
    <w:p>
      <w:pPr>
        <w:pStyle w:val="72"/>
        <w:spacing w:line="360" w:lineRule="auto"/>
        <w:ind w:firstLine="424" w:firstLineChars="177"/>
        <w:rPr>
          <w:rFonts w:hAnsi="Arial"/>
          <w:sz w:val="24"/>
          <w:szCs w:val="24"/>
        </w:rPr>
      </w:pPr>
    </w:p>
    <w:p>
      <w:pPr>
        <w:pStyle w:val="2"/>
      </w:pPr>
      <w:bookmarkStart w:id="13" w:name="_Toc139901768"/>
      <w:r>
        <w:rPr>
          <w:rFonts w:hint="eastAsia"/>
        </w:rPr>
        <w:t>项目目标</w:t>
      </w:r>
      <w:bookmarkEnd w:id="13"/>
    </w:p>
    <w:p>
      <w:pPr>
        <w:pStyle w:val="3"/>
      </w:pPr>
      <w:bookmarkStart w:id="14" w:name="_Toc139901769"/>
      <w:r>
        <w:rPr>
          <w:rFonts w:hint="eastAsia"/>
        </w:rPr>
        <w:t>服务周期</w:t>
      </w:r>
      <w:bookmarkEnd w:id="14"/>
    </w:p>
    <w:p>
      <w:pPr>
        <w:spacing w:line="360" w:lineRule="auto"/>
        <w:ind w:firstLine="482"/>
        <w:jc w:val="both"/>
        <w:rPr>
          <w:rFonts w:ascii="宋体" w:hAnsi="宋体"/>
          <w:sz w:val="24"/>
          <w:szCs w:val="24"/>
        </w:rPr>
      </w:pPr>
      <w:r>
        <w:rPr>
          <w:rFonts w:hint="eastAsia" w:ascii="宋体" w:hAnsi="宋体"/>
          <w:sz w:val="24"/>
          <w:szCs w:val="24"/>
        </w:rPr>
        <w:t>本项目服务期为：1年。</w:t>
      </w:r>
    </w:p>
    <w:p>
      <w:pPr>
        <w:pStyle w:val="3"/>
      </w:pPr>
      <w:bookmarkStart w:id="15" w:name="_Toc139901770"/>
      <w:r>
        <w:rPr>
          <w:rFonts w:hint="eastAsia"/>
        </w:rPr>
        <w:t>运维服务总则</w:t>
      </w:r>
      <w:bookmarkEnd w:id="15"/>
    </w:p>
    <w:p>
      <w:pPr>
        <w:pStyle w:val="72"/>
        <w:numPr>
          <w:ilvl w:val="0"/>
          <w:numId w:val="5"/>
        </w:numPr>
        <w:spacing w:line="360" w:lineRule="auto"/>
        <w:rPr>
          <w:rFonts w:hAnsi="Arial"/>
          <w:sz w:val="24"/>
          <w:szCs w:val="24"/>
        </w:rPr>
      </w:pPr>
      <w:r>
        <w:rPr>
          <w:rFonts w:hint="eastAsia" w:hAnsi="Arial"/>
          <w:sz w:val="24"/>
          <w:szCs w:val="24"/>
        </w:rPr>
        <w:t>安全性</w:t>
      </w:r>
    </w:p>
    <w:p>
      <w:pPr>
        <w:pStyle w:val="72"/>
        <w:spacing w:line="360" w:lineRule="auto"/>
        <w:ind w:firstLine="424" w:firstLineChars="177"/>
        <w:rPr>
          <w:rFonts w:hAnsi="Arial"/>
          <w:sz w:val="24"/>
          <w:szCs w:val="24"/>
        </w:rPr>
      </w:pPr>
      <w:r>
        <w:rPr>
          <w:rFonts w:hint="eastAsia" w:hAnsi="Arial"/>
          <w:sz w:val="24"/>
          <w:szCs w:val="24"/>
        </w:rPr>
        <w:t>由于长宁区卫生信息数据中心是长宁卫生健康委员会的核心业务系统，因此必须确保系统的设备安全、有效，并且在出现故障后能得到及时的修复，在出现损坏的情况下，应能及时进行备件更换。</w:t>
      </w:r>
    </w:p>
    <w:p>
      <w:pPr>
        <w:pStyle w:val="72"/>
        <w:numPr>
          <w:ilvl w:val="0"/>
          <w:numId w:val="5"/>
        </w:numPr>
        <w:spacing w:line="360" w:lineRule="auto"/>
        <w:rPr>
          <w:rFonts w:hAnsi="Arial"/>
          <w:sz w:val="24"/>
          <w:szCs w:val="24"/>
        </w:rPr>
      </w:pPr>
      <w:r>
        <w:rPr>
          <w:rFonts w:hint="eastAsia" w:hAnsi="Arial"/>
          <w:sz w:val="24"/>
          <w:szCs w:val="24"/>
        </w:rPr>
        <w:t>可用性</w:t>
      </w:r>
    </w:p>
    <w:p>
      <w:pPr>
        <w:pStyle w:val="72"/>
        <w:spacing w:line="360" w:lineRule="auto"/>
        <w:ind w:firstLine="424" w:firstLineChars="177"/>
        <w:rPr>
          <w:rFonts w:hAnsi="Arial"/>
          <w:sz w:val="24"/>
          <w:szCs w:val="24"/>
        </w:rPr>
      </w:pPr>
      <w:r>
        <w:rPr>
          <w:rFonts w:hint="eastAsia" w:hAnsi="Arial"/>
          <w:sz w:val="24"/>
          <w:szCs w:val="24"/>
        </w:rPr>
        <w:t>由于长宁区卫生健康委员会卫生信息数据中心是长宁卫生健康委员会的核心业务系统，因此必须确保系统的可用性，尽可能减少故障的发生。</w:t>
      </w:r>
    </w:p>
    <w:p>
      <w:pPr>
        <w:pStyle w:val="72"/>
        <w:numPr>
          <w:ilvl w:val="0"/>
          <w:numId w:val="5"/>
        </w:numPr>
        <w:spacing w:line="360" w:lineRule="auto"/>
        <w:rPr>
          <w:rFonts w:hAnsi="Arial"/>
          <w:sz w:val="24"/>
          <w:szCs w:val="24"/>
        </w:rPr>
      </w:pPr>
      <w:r>
        <w:rPr>
          <w:rFonts w:hint="eastAsia" w:hAnsi="Arial"/>
          <w:sz w:val="24"/>
          <w:szCs w:val="24"/>
        </w:rPr>
        <w:t>保护原有投资</w:t>
      </w:r>
    </w:p>
    <w:p>
      <w:pPr>
        <w:pStyle w:val="72"/>
        <w:spacing w:line="360" w:lineRule="auto"/>
        <w:ind w:firstLine="424" w:firstLineChars="177"/>
        <w:rPr>
          <w:rFonts w:hAnsi="Arial"/>
          <w:sz w:val="24"/>
          <w:szCs w:val="24"/>
        </w:rPr>
      </w:pPr>
      <w:r>
        <w:rPr>
          <w:rFonts w:hint="eastAsia" w:hAnsi="Arial"/>
          <w:sz w:val="24"/>
          <w:szCs w:val="24"/>
        </w:rPr>
        <w:t>国家财政要求尽可能保护原有的投资，因此，将采用“有保续保”的原则，尽可能采用购买续保的方式，对原有系统的设备进行充分的利用，保护原有投资。</w:t>
      </w:r>
    </w:p>
    <w:p>
      <w:pPr>
        <w:pStyle w:val="3"/>
      </w:pPr>
      <w:bookmarkStart w:id="16" w:name="_Toc360778308"/>
      <w:bookmarkStart w:id="17" w:name="_Toc139901771"/>
      <w:bookmarkStart w:id="18" w:name="_Toc511155696"/>
      <w:r>
        <w:rPr>
          <w:rFonts w:hint="eastAsia"/>
        </w:rPr>
        <w:t>服务总体要求</w:t>
      </w:r>
      <w:bookmarkEnd w:id="16"/>
      <w:bookmarkEnd w:id="17"/>
      <w:bookmarkEnd w:id="18"/>
    </w:p>
    <w:p>
      <w:pPr>
        <w:pStyle w:val="72"/>
        <w:numPr>
          <w:ilvl w:val="0"/>
          <w:numId w:val="6"/>
        </w:numPr>
        <w:spacing w:line="360" w:lineRule="auto"/>
        <w:rPr>
          <w:rFonts w:hAnsi="Arial"/>
          <w:sz w:val="24"/>
          <w:szCs w:val="24"/>
        </w:rPr>
      </w:pPr>
      <w:r>
        <w:rPr>
          <w:rFonts w:hint="eastAsia" w:hAnsi="Arial"/>
          <w:sz w:val="24"/>
          <w:szCs w:val="24"/>
        </w:rPr>
        <w:t>提供5×8常驻现场服务，每日检查系统运行情况，第一时间发现和解决故障。</w:t>
      </w:r>
    </w:p>
    <w:p>
      <w:pPr>
        <w:pStyle w:val="72"/>
        <w:numPr>
          <w:ilvl w:val="0"/>
          <w:numId w:val="6"/>
        </w:numPr>
        <w:spacing w:line="360" w:lineRule="auto"/>
        <w:rPr>
          <w:rFonts w:hAnsi="Arial"/>
          <w:sz w:val="24"/>
          <w:szCs w:val="24"/>
        </w:rPr>
      </w:pPr>
      <w:r>
        <w:rPr>
          <w:rFonts w:hint="eastAsia" w:hAnsi="Arial"/>
          <w:sz w:val="24"/>
          <w:szCs w:val="24"/>
        </w:rPr>
        <w:t>在突发事件发生时提供7×24小时的服务和驻点保障，并且配备相应的人员予以积极配合。</w:t>
      </w:r>
    </w:p>
    <w:p>
      <w:pPr>
        <w:pStyle w:val="72"/>
        <w:numPr>
          <w:ilvl w:val="0"/>
          <w:numId w:val="6"/>
        </w:numPr>
        <w:spacing w:line="360" w:lineRule="auto"/>
        <w:rPr>
          <w:rFonts w:hAnsi="Arial"/>
          <w:sz w:val="24"/>
          <w:szCs w:val="24"/>
        </w:rPr>
      </w:pPr>
      <w:r>
        <w:rPr>
          <w:rFonts w:hint="eastAsia" w:hAnsi="Arial"/>
          <w:sz w:val="24"/>
          <w:szCs w:val="24"/>
        </w:rPr>
        <w:t>如有驻场工程师临时离开，需向卫生信息中心提前请假。</w:t>
      </w:r>
    </w:p>
    <w:p>
      <w:pPr>
        <w:pStyle w:val="72"/>
        <w:numPr>
          <w:ilvl w:val="0"/>
          <w:numId w:val="6"/>
        </w:numPr>
        <w:spacing w:line="360" w:lineRule="auto"/>
        <w:rPr>
          <w:rFonts w:hAnsi="Arial"/>
          <w:sz w:val="24"/>
          <w:szCs w:val="24"/>
        </w:rPr>
      </w:pPr>
      <w:r>
        <w:rPr>
          <w:rFonts w:hint="eastAsia" w:hAnsi="Arial"/>
          <w:sz w:val="24"/>
          <w:szCs w:val="24"/>
        </w:rPr>
        <w:t>保证应用系统灾难性恢复，保证一般灾难情况下系统发生不能运行时的2小时诊断、4小时基本修复的要求。</w:t>
      </w:r>
    </w:p>
    <w:p>
      <w:pPr>
        <w:pStyle w:val="72"/>
        <w:numPr>
          <w:ilvl w:val="0"/>
          <w:numId w:val="6"/>
        </w:numPr>
        <w:spacing w:line="360" w:lineRule="auto"/>
        <w:rPr>
          <w:rFonts w:hAnsi="Arial"/>
          <w:sz w:val="24"/>
          <w:szCs w:val="24"/>
        </w:rPr>
      </w:pPr>
      <w:r>
        <w:rPr>
          <w:rFonts w:hint="eastAsia" w:hAnsi="Arial"/>
          <w:sz w:val="24"/>
          <w:szCs w:val="24"/>
        </w:rPr>
        <w:t>保证系统不发生重大安全问题，保密数据没有外泄。网络和安全策略得到有效保障。</w:t>
      </w:r>
    </w:p>
    <w:p>
      <w:pPr>
        <w:pStyle w:val="72"/>
        <w:numPr>
          <w:ilvl w:val="0"/>
          <w:numId w:val="6"/>
        </w:numPr>
        <w:spacing w:line="360" w:lineRule="auto"/>
        <w:rPr>
          <w:rFonts w:hAnsi="Arial"/>
          <w:sz w:val="24"/>
          <w:szCs w:val="24"/>
        </w:rPr>
      </w:pPr>
      <w:r>
        <w:rPr>
          <w:rFonts w:hint="eastAsia" w:hAnsi="Arial"/>
          <w:sz w:val="24"/>
          <w:szCs w:val="24"/>
        </w:rPr>
        <w:t>定期对系统进行性能监控，保持系统运行过程中性能稳定。</w:t>
      </w:r>
    </w:p>
    <w:p>
      <w:pPr>
        <w:pStyle w:val="72"/>
        <w:numPr>
          <w:ilvl w:val="0"/>
          <w:numId w:val="6"/>
        </w:numPr>
        <w:spacing w:line="360" w:lineRule="auto"/>
        <w:rPr>
          <w:rFonts w:hAnsi="Arial"/>
          <w:sz w:val="24"/>
          <w:szCs w:val="24"/>
        </w:rPr>
      </w:pPr>
      <w:r>
        <w:rPr>
          <w:rFonts w:hint="eastAsia" w:hAnsi="Arial"/>
          <w:sz w:val="24"/>
          <w:szCs w:val="24"/>
        </w:rPr>
        <w:t>完成对用户方的技术培训。</w:t>
      </w:r>
    </w:p>
    <w:p>
      <w:pPr>
        <w:pStyle w:val="3"/>
      </w:pPr>
      <w:bookmarkStart w:id="19" w:name="_Toc139901772"/>
      <w:bookmarkStart w:id="20" w:name="_Toc511155701"/>
      <w:r>
        <w:rPr>
          <w:rFonts w:hint="eastAsia"/>
        </w:rPr>
        <w:t>硬件产品维保部分</w:t>
      </w:r>
      <w:bookmarkEnd w:id="19"/>
      <w:bookmarkEnd w:id="20"/>
    </w:p>
    <w:p>
      <w:pPr>
        <w:pStyle w:val="5"/>
      </w:pPr>
      <w:bookmarkStart w:id="21" w:name="_Toc139901773"/>
      <w:r>
        <w:rPr>
          <w:rFonts w:hint="eastAsia"/>
        </w:rPr>
        <w:t>服务器存储及网络产品清单</w:t>
      </w:r>
      <w:bookmarkEnd w:id="21"/>
    </w:p>
    <w:tbl>
      <w:tblPr>
        <w:tblStyle w:val="42"/>
        <w:tblW w:w="8364" w:type="dxa"/>
        <w:tblInd w:w="-10" w:type="dxa"/>
        <w:tblLayout w:type="fixed"/>
        <w:tblCellMar>
          <w:top w:w="0" w:type="dxa"/>
          <w:left w:w="108" w:type="dxa"/>
          <w:bottom w:w="0" w:type="dxa"/>
          <w:right w:w="108" w:type="dxa"/>
        </w:tblCellMar>
      </w:tblPr>
      <w:tblGrid>
        <w:gridCol w:w="662"/>
        <w:gridCol w:w="1502"/>
        <w:gridCol w:w="1807"/>
        <w:gridCol w:w="622"/>
        <w:gridCol w:w="1673"/>
        <w:gridCol w:w="1462"/>
        <w:gridCol w:w="636"/>
      </w:tblGrid>
      <w:tr>
        <w:tblPrEx>
          <w:tblLayout w:type="fixed"/>
          <w:tblCellMar>
            <w:top w:w="0" w:type="dxa"/>
            <w:left w:w="108" w:type="dxa"/>
            <w:bottom w:w="0" w:type="dxa"/>
            <w:right w:w="108" w:type="dxa"/>
          </w:tblCellMar>
        </w:tblPrEx>
        <w:trPr>
          <w:trHeight w:val="300" w:hRule="atLeast"/>
        </w:trPr>
        <w:tc>
          <w:tcPr>
            <w:tcW w:w="6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b/>
                <w:bCs/>
                <w:color w:val="000000"/>
                <w:sz w:val="21"/>
                <w:szCs w:val="21"/>
              </w:rPr>
            </w:pPr>
            <w:bookmarkStart w:id="22" w:name="_Toc356150897"/>
            <w:r>
              <w:rPr>
                <w:rFonts w:hint="eastAsia" w:ascii="宋体" w:hAnsi="宋体" w:cs="宋体"/>
                <w:b/>
                <w:bCs/>
                <w:color w:val="000000"/>
                <w:sz w:val="21"/>
                <w:szCs w:val="21"/>
              </w:rPr>
              <w:t>序号</w:t>
            </w:r>
          </w:p>
        </w:tc>
        <w:tc>
          <w:tcPr>
            <w:tcW w:w="1502"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硬件名称</w:t>
            </w:r>
          </w:p>
        </w:tc>
        <w:tc>
          <w:tcPr>
            <w:tcW w:w="1807"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型号</w:t>
            </w:r>
          </w:p>
        </w:tc>
        <w:tc>
          <w:tcPr>
            <w:tcW w:w="622"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数量</w:t>
            </w:r>
          </w:p>
        </w:tc>
        <w:tc>
          <w:tcPr>
            <w:tcW w:w="1673"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服务方式和内容</w:t>
            </w:r>
          </w:p>
        </w:tc>
        <w:tc>
          <w:tcPr>
            <w:tcW w:w="1462"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服务范围</w:t>
            </w:r>
          </w:p>
        </w:tc>
        <w:tc>
          <w:tcPr>
            <w:tcW w:w="636"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1"/>
                <w:szCs w:val="21"/>
              </w:rPr>
            </w:pPr>
            <w:r>
              <w:rPr>
                <w:rFonts w:hint="eastAsia" w:ascii="宋体" w:hAnsi="宋体" w:cs="宋体"/>
                <w:b/>
                <w:bCs/>
                <w:color w:val="000000"/>
                <w:sz w:val="21"/>
                <w:szCs w:val="21"/>
              </w:rPr>
              <w:t>服务级别</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刀片服务器机箱</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HP C7000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刀片服务器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HP BL680C G5</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刀片服务器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HP BL480C G1</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刀片服务器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HP BL460C G1</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15</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5</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内网应用服务器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IBM X3650 M2</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6</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外网数据库及应用服务器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IBM X3850 M2</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内网数据库服务器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IBM X3850 M2</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8</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内网存储设备</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存储 IBM DS3400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9</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外网存储设备</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存储 IBM DS4700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10</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PC服务器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DELL R710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14</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区属医疗机构</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11</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PC服务器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 xml:space="preserve">联想Think Server </w:t>
            </w:r>
          </w:p>
          <w:p>
            <w:pPr>
              <w:jc w:val="center"/>
              <w:rPr>
                <w:rFonts w:ascii="宋体" w:hAnsi="宋体" w:cs="宋体"/>
                <w:color w:val="000000"/>
                <w:sz w:val="21"/>
                <w:szCs w:val="21"/>
              </w:rPr>
            </w:pPr>
            <w:r>
              <w:rPr>
                <w:rFonts w:hint="eastAsia" w:ascii="宋体" w:hAnsi="宋体" w:cs="宋体"/>
                <w:color w:val="000000"/>
                <w:sz w:val="21"/>
                <w:szCs w:val="21"/>
              </w:rPr>
              <w:t>SR630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10</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区属医疗机构</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12</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PC服务器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DELL R720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8</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13</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光纤交换机</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Brocade 300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525"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14</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PC服务器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联想Think Server RD630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15</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PC服务器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联想万全 R680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525"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16</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存储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联想 EMC存储 VNX 5300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525"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17</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PC服务器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联想Think Server RD630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18</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PC服务器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IBM X366</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19</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PC服务器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DELL R730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20</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PC服务器</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HP</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 xml:space="preserve">DL388 GEN10 </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21</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服务器</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浪潮</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SA5212M5</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22</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存储</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DELL</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SCv2020</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23</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光纤交换机</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CISCO光纤交换机</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24</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小型机</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IBM Power 740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25</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存储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EMC VNX5500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26</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PC服务器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DELL R910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27</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虚拟带库</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EMC DD640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28</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存储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DELL 存储 MD3600f</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29</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服务器</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IBM X3650 M4</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30</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负载均衡</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Array APV 4600</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31</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政务外网汇聚交换机</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华为5752-EI</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32</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外网汇聚交换机</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华为5752-Hi</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33</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外网核心交换机</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华为9706</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34</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楼层交换机</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华为5748</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19</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35</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双活数据复制容灾设备</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EMC VPLEX</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36</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核心交换机</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华为</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S12708</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37</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核心交换机</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华为</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S7706</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38</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交换机(社区卫生服务站点)</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ELT5506</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39</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交换机</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H3C</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S3600</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40</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交换机（监控用）</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H3C</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S2126</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41</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交换机（监控用）</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H3C</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S5500</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42</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交换机</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华为</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S5720</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43</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社区接入汇聚交换机</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华为</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S7703</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44</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交换机</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华为</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5683T</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285" w:hRule="atLeast"/>
        </w:trPr>
        <w:tc>
          <w:tcPr>
            <w:tcW w:w="6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45</w:t>
            </w:r>
          </w:p>
        </w:tc>
        <w:tc>
          <w:tcPr>
            <w:tcW w:w="150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交换机</w:t>
            </w:r>
          </w:p>
        </w:tc>
        <w:tc>
          <w:tcPr>
            <w:tcW w:w="1807" w:type="dxa"/>
            <w:tcBorders>
              <w:top w:val="nil"/>
              <w:left w:val="nil"/>
              <w:bottom w:val="nil"/>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华为</w:t>
            </w:r>
          </w:p>
        </w:tc>
        <w:tc>
          <w:tcPr>
            <w:tcW w:w="62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r>
        <w:tblPrEx>
          <w:tblLayout w:type="fixed"/>
          <w:tblCellMar>
            <w:top w:w="0" w:type="dxa"/>
            <w:left w:w="108" w:type="dxa"/>
            <w:bottom w:w="0" w:type="dxa"/>
            <w:right w:w="108" w:type="dxa"/>
          </w:tblCellMar>
        </w:tblPrEx>
        <w:trPr>
          <w:trHeight w:val="300" w:hRule="atLeast"/>
        </w:trPr>
        <w:tc>
          <w:tcPr>
            <w:tcW w:w="6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50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S5720</w:t>
            </w:r>
          </w:p>
        </w:tc>
        <w:tc>
          <w:tcPr>
            <w:tcW w:w="62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673"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1462"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c>
          <w:tcPr>
            <w:tcW w:w="63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300" w:hRule="atLeast"/>
        </w:trPr>
        <w:tc>
          <w:tcPr>
            <w:tcW w:w="662"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46</w:t>
            </w:r>
          </w:p>
        </w:tc>
        <w:tc>
          <w:tcPr>
            <w:tcW w:w="150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社区接入核心交换机</w:t>
            </w:r>
          </w:p>
        </w:tc>
        <w:tc>
          <w:tcPr>
            <w:tcW w:w="1807"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华为9706</w:t>
            </w:r>
          </w:p>
        </w:tc>
        <w:tc>
          <w:tcPr>
            <w:tcW w:w="62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1</w:t>
            </w:r>
          </w:p>
        </w:tc>
        <w:tc>
          <w:tcPr>
            <w:tcW w:w="1673"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维保服务、备品备件库服务</w:t>
            </w:r>
          </w:p>
        </w:tc>
        <w:tc>
          <w:tcPr>
            <w:tcW w:w="1462"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36"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7*24</w:t>
            </w:r>
          </w:p>
        </w:tc>
      </w:tr>
    </w:tbl>
    <w:p>
      <w:pPr>
        <w:pStyle w:val="5"/>
      </w:pPr>
      <w:bookmarkStart w:id="23" w:name="_Toc139901774"/>
      <w:r>
        <w:rPr>
          <w:rFonts w:hint="eastAsia"/>
        </w:rPr>
        <w:t>安全产品清单</w:t>
      </w:r>
      <w:bookmarkEnd w:id="23"/>
    </w:p>
    <w:tbl>
      <w:tblPr>
        <w:tblStyle w:val="42"/>
        <w:tblW w:w="8522" w:type="dxa"/>
        <w:tblInd w:w="0" w:type="dxa"/>
        <w:tblLayout w:type="fixed"/>
        <w:tblCellMar>
          <w:top w:w="0" w:type="dxa"/>
          <w:left w:w="108" w:type="dxa"/>
          <w:bottom w:w="0" w:type="dxa"/>
          <w:right w:w="108" w:type="dxa"/>
        </w:tblCellMar>
      </w:tblPr>
      <w:tblGrid>
        <w:gridCol w:w="437"/>
        <w:gridCol w:w="1714"/>
        <w:gridCol w:w="2417"/>
        <w:gridCol w:w="503"/>
        <w:gridCol w:w="990"/>
        <w:gridCol w:w="769"/>
        <w:gridCol w:w="656"/>
        <w:gridCol w:w="1036"/>
      </w:tblGrid>
      <w:tr>
        <w:tblPrEx>
          <w:tblLayout w:type="fixed"/>
          <w:tblCellMar>
            <w:top w:w="0" w:type="dxa"/>
            <w:left w:w="108" w:type="dxa"/>
            <w:bottom w:w="0" w:type="dxa"/>
            <w:right w:w="108" w:type="dxa"/>
          </w:tblCellMar>
        </w:tblPrEx>
        <w:trPr>
          <w:trHeight w:val="285"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17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系统名称</w:t>
            </w:r>
          </w:p>
        </w:tc>
        <w:tc>
          <w:tcPr>
            <w:tcW w:w="241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设备型号</w:t>
            </w:r>
          </w:p>
        </w:tc>
        <w:tc>
          <w:tcPr>
            <w:tcW w:w="50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数量</w:t>
            </w:r>
          </w:p>
        </w:tc>
        <w:tc>
          <w:tcPr>
            <w:tcW w:w="99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服务方式和内容</w:t>
            </w:r>
          </w:p>
        </w:tc>
        <w:tc>
          <w:tcPr>
            <w:tcW w:w="7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服务范围</w:t>
            </w:r>
          </w:p>
        </w:tc>
        <w:tc>
          <w:tcPr>
            <w:tcW w:w="65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服务级别</w:t>
            </w:r>
          </w:p>
        </w:tc>
        <w:tc>
          <w:tcPr>
            <w:tcW w:w="1036" w:type="dxa"/>
            <w:tcBorders>
              <w:top w:val="single" w:color="auto" w:sz="4" w:space="0"/>
              <w:left w:val="nil"/>
              <w:bottom w:val="single" w:color="auto" w:sz="4" w:space="0"/>
              <w:right w:val="single" w:color="auto" w:sz="4" w:space="0"/>
            </w:tcBorders>
          </w:tcPr>
          <w:p>
            <w:pPr>
              <w:jc w:val="center"/>
              <w:rPr>
                <w:rFonts w:ascii="宋体" w:hAnsi="宋体" w:cs="宋体"/>
                <w:b/>
                <w:bCs/>
                <w:color w:val="000000"/>
                <w:sz w:val="22"/>
                <w:szCs w:val="22"/>
              </w:rPr>
            </w:pPr>
            <w:r>
              <w:rPr>
                <w:rFonts w:hint="eastAsia" w:ascii="宋体" w:hAnsi="宋体" w:cs="宋体"/>
                <w:b/>
                <w:bCs/>
                <w:color w:val="000000"/>
                <w:sz w:val="22"/>
                <w:szCs w:val="22"/>
              </w:rPr>
              <w:t>备注</w:t>
            </w: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奇安信网神数据库审计与防护系统V6.0</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K6000-H-TF10P</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网神Sec IDS 3600入侵检测系统V40</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D5000-TG2M</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天融信数据库安全网关系统V3</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TDSM-DBGW</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4</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天融信防火墙系统V3</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NGFW4000-UF</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5</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美创数据脱敏</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DM-G10SH</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6</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美创库防水坝</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DW-G30SH</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525"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深信服防火墙</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AF-1000-B1180</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16</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区域卫生数据中心及区属医疗机构</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555"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8</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日志收集与分析系统</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网神SecFox R2000-T1624</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555"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ascii="宋体" w:hAnsi="宋体" w:cs="宋体"/>
                <w:color w:val="000000"/>
                <w:sz w:val="22"/>
                <w:szCs w:val="22"/>
              </w:rPr>
              <w:t>9</w:t>
            </w:r>
          </w:p>
        </w:tc>
        <w:tc>
          <w:tcPr>
            <w:tcW w:w="171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威胁感知系统</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奇安信网神探针</w:t>
            </w:r>
          </w:p>
          <w:p>
            <w:pPr>
              <w:jc w:val="center"/>
              <w:rPr>
                <w:rFonts w:ascii="宋体" w:hAnsi="宋体" w:cs="宋体"/>
                <w:color w:val="000000"/>
                <w:sz w:val="22"/>
                <w:szCs w:val="22"/>
              </w:rPr>
            </w:pPr>
            <w:r>
              <w:rPr>
                <w:rFonts w:hint="eastAsia" w:ascii="宋体" w:hAnsi="宋体" w:cs="宋体"/>
                <w:color w:val="000000"/>
                <w:sz w:val="22"/>
                <w:szCs w:val="22"/>
              </w:rPr>
              <w:t>TSS10000-S53-WS</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0</w:t>
            </w:r>
          </w:p>
        </w:tc>
        <w:tc>
          <w:tcPr>
            <w:tcW w:w="171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奇安信网神</w:t>
            </w:r>
          </w:p>
          <w:p>
            <w:pPr>
              <w:jc w:val="center"/>
              <w:rPr>
                <w:rFonts w:ascii="宋体" w:hAnsi="宋体" w:cs="宋体"/>
                <w:color w:val="000000"/>
                <w:sz w:val="22"/>
                <w:szCs w:val="22"/>
              </w:rPr>
            </w:pPr>
            <w:r>
              <w:rPr>
                <w:rFonts w:hint="eastAsia" w:ascii="宋体" w:hAnsi="宋体" w:cs="宋体"/>
                <w:color w:val="000000"/>
                <w:sz w:val="22"/>
                <w:szCs w:val="22"/>
              </w:rPr>
              <w:t>态势感知平台</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555"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1</w:t>
            </w:r>
          </w:p>
        </w:tc>
        <w:tc>
          <w:tcPr>
            <w:tcW w:w="171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奇安信网神</w:t>
            </w:r>
          </w:p>
          <w:p>
            <w:pPr>
              <w:jc w:val="center"/>
              <w:rPr>
                <w:rFonts w:ascii="宋体" w:hAnsi="宋体" w:cs="宋体"/>
                <w:color w:val="000000"/>
                <w:sz w:val="22"/>
                <w:szCs w:val="22"/>
              </w:rPr>
            </w:pPr>
            <w:r>
              <w:rPr>
                <w:rFonts w:hint="eastAsia" w:ascii="宋体" w:hAnsi="宋体" w:cs="宋体"/>
                <w:color w:val="000000"/>
                <w:sz w:val="22"/>
                <w:szCs w:val="22"/>
              </w:rPr>
              <w:t>文件威胁鉴定器</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2</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堡垒机</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天融信TopSAG</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3</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社区医院专网防火墙</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网神SecGate3600-A1500</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555"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4</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社区医院专网IPS</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网神SecIPS3600</w:t>
            </w:r>
          </w:p>
          <w:p>
            <w:pPr>
              <w:jc w:val="center"/>
              <w:rPr>
                <w:rFonts w:ascii="宋体" w:hAnsi="宋体" w:cs="宋体"/>
                <w:color w:val="000000"/>
                <w:sz w:val="22"/>
                <w:szCs w:val="22"/>
              </w:rPr>
            </w:pPr>
            <w:r>
              <w:rPr>
                <w:rFonts w:hint="eastAsia" w:ascii="宋体" w:hAnsi="宋体" w:cs="宋体"/>
                <w:color w:val="000000"/>
                <w:sz w:val="22"/>
                <w:szCs w:val="22"/>
              </w:rPr>
              <w:t>入侵防御系统</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5</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防毒墙</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天融信TF51338-VIRUS</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55"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6</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边界防火墙</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360网神天堤防火墙</w:t>
            </w:r>
          </w:p>
          <w:p>
            <w:pPr>
              <w:jc w:val="center"/>
              <w:rPr>
                <w:rFonts w:ascii="宋体" w:hAnsi="宋体" w:cs="宋体"/>
                <w:color w:val="000000"/>
                <w:sz w:val="22"/>
                <w:szCs w:val="22"/>
              </w:rPr>
            </w:pPr>
            <w:r>
              <w:rPr>
                <w:rFonts w:hint="eastAsia" w:ascii="宋体" w:hAnsi="宋体" w:cs="宋体"/>
                <w:color w:val="000000"/>
                <w:sz w:val="22"/>
                <w:szCs w:val="22"/>
              </w:rPr>
              <w:t>NSG3000-TE45</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555"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7</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服务器区域防火墙1</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360网神防火墙系统</w:t>
            </w:r>
          </w:p>
          <w:p>
            <w:pPr>
              <w:jc w:val="center"/>
              <w:rPr>
                <w:rFonts w:ascii="宋体" w:hAnsi="宋体" w:cs="宋体"/>
                <w:color w:val="000000"/>
                <w:sz w:val="22"/>
                <w:szCs w:val="22"/>
              </w:rPr>
            </w:pPr>
            <w:r>
              <w:rPr>
                <w:rFonts w:hint="eastAsia" w:ascii="宋体" w:hAnsi="宋体" w:cs="宋体"/>
                <w:color w:val="000000"/>
                <w:sz w:val="22"/>
                <w:szCs w:val="22"/>
              </w:rPr>
              <w:t>NSG5000-TG30</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8</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互联网区域网络VPN</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安达通JJ1207B+</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3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ascii="宋体" w:hAnsi="宋体" w:cs="宋体"/>
                <w:color w:val="000000"/>
                <w:sz w:val="22"/>
                <w:szCs w:val="22"/>
              </w:rPr>
              <w:t>19</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外网隔离防火墙</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深信服AF-1000-B1180</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555"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w:t>
            </w:r>
            <w:r>
              <w:rPr>
                <w:rFonts w:ascii="宋体" w:hAnsi="宋体" w:cs="宋体"/>
                <w:color w:val="000000"/>
                <w:sz w:val="22"/>
                <w:szCs w:val="22"/>
              </w:rPr>
              <w:t>0</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外网出口防火墙</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网神SecGate 3600 G30-HWS66</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555"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w:t>
            </w:r>
            <w:r>
              <w:rPr>
                <w:rFonts w:ascii="宋体" w:hAnsi="宋体" w:cs="宋体"/>
                <w:color w:val="000000"/>
                <w:sz w:val="22"/>
                <w:szCs w:val="22"/>
              </w:rPr>
              <w:t>1</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政务外网边界防火墙</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网神SecGate3600 A1500-T150P</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r>
        <w:tblPrEx>
          <w:tblLayout w:type="fixed"/>
          <w:tblCellMar>
            <w:top w:w="0" w:type="dxa"/>
            <w:left w:w="108" w:type="dxa"/>
            <w:bottom w:w="0" w:type="dxa"/>
            <w:right w:w="108" w:type="dxa"/>
          </w:tblCellMar>
        </w:tblPrEx>
        <w:trPr>
          <w:trHeight w:val="555"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w:t>
            </w:r>
            <w:r>
              <w:rPr>
                <w:rFonts w:ascii="宋体" w:hAnsi="宋体" w:cs="宋体"/>
                <w:color w:val="000000"/>
                <w:sz w:val="22"/>
                <w:szCs w:val="22"/>
              </w:rPr>
              <w:t>2</w:t>
            </w:r>
          </w:p>
        </w:tc>
        <w:tc>
          <w:tcPr>
            <w:tcW w:w="17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政务外网接入防火墙</w:t>
            </w:r>
          </w:p>
        </w:tc>
        <w:tc>
          <w:tcPr>
            <w:tcW w:w="2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网神SecGate3600 A3000-T550M</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99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维保服务、备品备件库服务</w:t>
            </w:r>
          </w:p>
        </w:tc>
        <w:tc>
          <w:tcPr>
            <w:tcW w:w="769"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区域卫生数据中心</w:t>
            </w:r>
          </w:p>
        </w:tc>
        <w:tc>
          <w:tcPr>
            <w:tcW w:w="65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7*24</w:t>
            </w:r>
          </w:p>
        </w:tc>
        <w:tc>
          <w:tcPr>
            <w:tcW w:w="1036" w:type="dxa"/>
            <w:tcBorders>
              <w:top w:val="nil"/>
              <w:left w:val="single" w:color="auto" w:sz="4" w:space="0"/>
              <w:bottom w:val="single" w:color="auto" w:sz="4" w:space="0"/>
              <w:right w:val="single" w:color="auto" w:sz="4" w:space="0"/>
            </w:tcBorders>
          </w:tcPr>
          <w:p>
            <w:pPr>
              <w:jc w:val="center"/>
              <w:rPr>
                <w:rFonts w:ascii="宋体" w:hAnsi="宋体" w:cs="宋体"/>
                <w:color w:val="000000"/>
                <w:sz w:val="22"/>
                <w:szCs w:val="22"/>
              </w:rPr>
            </w:pPr>
            <w:r>
              <w:rPr>
                <w:rFonts w:hint="eastAsia" w:ascii="宋体" w:hAnsi="宋体" w:cs="宋体"/>
                <w:color w:val="000000"/>
                <w:sz w:val="22"/>
                <w:szCs w:val="22"/>
              </w:rPr>
              <w:t>需提供</w:t>
            </w:r>
            <w:r>
              <w:rPr>
                <w:rFonts w:ascii="宋体" w:hAnsi="宋体" w:cs="宋体"/>
                <w:color w:val="000000"/>
                <w:sz w:val="22"/>
                <w:szCs w:val="22"/>
              </w:rPr>
              <w:t>原厂售后服务承诺函</w:t>
            </w:r>
          </w:p>
        </w:tc>
      </w:tr>
    </w:tbl>
    <w:p>
      <w:pPr>
        <w:pStyle w:val="5"/>
      </w:pPr>
      <w:bookmarkStart w:id="24" w:name="_Toc139901775"/>
      <w:r>
        <w:t>响应时间和服务要求</w:t>
      </w:r>
      <w:bookmarkEnd w:id="24"/>
    </w:p>
    <w:p>
      <w:pPr>
        <w:pStyle w:val="72"/>
        <w:numPr>
          <w:ilvl w:val="0"/>
          <w:numId w:val="7"/>
        </w:numPr>
        <w:spacing w:line="360" w:lineRule="auto"/>
        <w:rPr>
          <w:rFonts w:hAnsi="Arial"/>
          <w:sz w:val="24"/>
          <w:szCs w:val="24"/>
        </w:rPr>
      </w:pPr>
      <w:r>
        <w:rPr>
          <w:rFonts w:hAnsi="Arial"/>
          <w:sz w:val="24"/>
          <w:szCs w:val="24"/>
        </w:rPr>
        <w:t>热线电话支持：提供</w:t>
      </w:r>
      <w:r>
        <w:rPr>
          <w:rFonts w:hint="eastAsia" w:hAnsi="Arial"/>
          <w:sz w:val="24"/>
          <w:szCs w:val="24"/>
        </w:rPr>
        <w:t>全年</w:t>
      </w:r>
      <w:r>
        <w:rPr>
          <w:rFonts w:hAnsi="Arial"/>
          <w:sz w:val="24"/>
          <w:szCs w:val="24"/>
        </w:rPr>
        <w:t>24小时电话技术支持。</w:t>
      </w:r>
    </w:p>
    <w:p>
      <w:pPr>
        <w:pStyle w:val="72"/>
        <w:numPr>
          <w:ilvl w:val="0"/>
          <w:numId w:val="7"/>
        </w:numPr>
        <w:spacing w:line="360" w:lineRule="auto"/>
        <w:rPr>
          <w:rFonts w:hAnsi="Arial"/>
          <w:sz w:val="24"/>
          <w:szCs w:val="24"/>
        </w:rPr>
      </w:pPr>
      <w:r>
        <w:rPr>
          <w:rFonts w:hAnsi="Arial"/>
          <w:sz w:val="24"/>
          <w:szCs w:val="24"/>
        </w:rPr>
        <w:t>设备返修维修支持：报障响应时间30分钟内，提供每周</w:t>
      </w:r>
      <w:r>
        <w:rPr>
          <w:rFonts w:hint="eastAsia" w:hAnsi="Arial"/>
          <w:sz w:val="24"/>
          <w:szCs w:val="24"/>
        </w:rPr>
        <w:t>7</w:t>
      </w:r>
      <w:r>
        <w:rPr>
          <w:rFonts w:hAnsi="Arial"/>
          <w:sz w:val="24"/>
          <w:szCs w:val="24"/>
        </w:rPr>
        <w:t>天×</w:t>
      </w:r>
      <w:r>
        <w:rPr>
          <w:rFonts w:hint="eastAsia" w:hAnsi="Arial"/>
          <w:sz w:val="24"/>
          <w:szCs w:val="24"/>
        </w:rPr>
        <w:t>24</w:t>
      </w:r>
      <w:r>
        <w:rPr>
          <w:rFonts w:hAnsi="Arial"/>
          <w:sz w:val="24"/>
          <w:szCs w:val="24"/>
        </w:rPr>
        <w:t>小时的设备返修维修支持服务，在接到设备维修电话后，在4小时内派遣工程师至现场处理维修。</w:t>
      </w:r>
    </w:p>
    <w:p>
      <w:pPr>
        <w:pStyle w:val="72"/>
        <w:numPr>
          <w:ilvl w:val="0"/>
          <w:numId w:val="7"/>
        </w:numPr>
        <w:spacing w:line="360" w:lineRule="auto"/>
        <w:rPr>
          <w:rFonts w:hAnsi="Arial"/>
          <w:sz w:val="24"/>
          <w:szCs w:val="24"/>
        </w:rPr>
      </w:pPr>
      <w:r>
        <w:rPr>
          <w:rFonts w:hAnsi="Arial"/>
          <w:sz w:val="24"/>
          <w:szCs w:val="24"/>
        </w:rPr>
        <w:t>备品备件：提供备品备件服务。</w:t>
      </w:r>
    </w:p>
    <w:p>
      <w:pPr>
        <w:pStyle w:val="3"/>
      </w:pPr>
      <w:bookmarkStart w:id="25" w:name="_Toc106283148"/>
      <w:bookmarkEnd w:id="25"/>
      <w:bookmarkStart w:id="26" w:name="_Toc106283143"/>
      <w:bookmarkEnd w:id="26"/>
      <w:bookmarkStart w:id="27" w:name="_Toc106283154"/>
      <w:bookmarkEnd w:id="27"/>
      <w:bookmarkStart w:id="28" w:name="_Toc106283138"/>
      <w:bookmarkEnd w:id="28"/>
      <w:bookmarkStart w:id="29" w:name="_Toc106283156"/>
      <w:bookmarkEnd w:id="29"/>
      <w:bookmarkStart w:id="30" w:name="_Toc106283144"/>
      <w:bookmarkEnd w:id="30"/>
      <w:bookmarkStart w:id="31" w:name="_Toc106283153"/>
      <w:bookmarkEnd w:id="31"/>
      <w:bookmarkStart w:id="32" w:name="_Toc106283157"/>
      <w:bookmarkEnd w:id="32"/>
      <w:bookmarkStart w:id="33" w:name="_Toc106283107"/>
      <w:bookmarkEnd w:id="33"/>
      <w:bookmarkStart w:id="34" w:name="_Toc106283152"/>
      <w:bookmarkEnd w:id="34"/>
      <w:bookmarkStart w:id="35" w:name="_Toc106283158"/>
      <w:bookmarkEnd w:id="35"/>
      <w:bookmarkStart w:id="36" w:name="_Toc106283150"/>
      <w:bookmarkEnd w:id="36"/>
      <w:bookmarkStart w:id="37" w:name="_Toc106283147"/>
      <w:bookmarkEnd w:id="37"/>
      <w:bookmarkStart w:id="38" w:name="_Toc106283141"/>
      <w:bookmarkEnd w:id="38"/>
      <w:bookmarkStart w:id="39" w:name="_Toc106283140"/>
      <w:bookmarkEnd w:id="39"/>
      <w:bookmarkStart w:id="40" w:name="_Toc106283151"/>
      <w:bookmarkEnd w:id="40"/>
      <w:bookmarkStart w:id="41" w:name="_Toc106283146"/>
      <w:bookmarkEnd w:id="41"/>
      <w:bookmarkStart w:id="42" w:name="_Toc106283145"/>
      <w:bookmarkEnd w:id="42"/>
      <w:bookmarkStart w:id="43" w:name="_Toc106283106"/>
      <w:bookmarkEnd w:id="43"/>
      <w:bookmarkStart w:id="44" w:name="_Toc106283155"/>
      <w:bookmarkEnd w:id="44"/>
      <w:bookmarkStart w:id="45" w:name="_Toc106283142"/>
      <w:bookmarkEnd w:id="45"/>
      <w:bookmarkStart w:id="46" w:name="_Toc106283149"/>
      <w:bookmarkEnd w:id="46"/>
      <w:bookmarkStart w:id="47" w:name="_Toc106283139"/>
      <w:bookmarkEnd w:id="47"/>
      <w:bookmarkStart w:id="48" w:name="_Toc139901776"/>
      <w:bookmarkStart w:id="49" w:name="_Toc511155703"/>
      <w:r>
        <w:rPr>
          <w:rFonts w:hint="eastAsia"/>
        </w:rPr>
        <w:t>机房环境监控维保部分</w:t>
      </w:r>
      <w:bookmarkEnd w:id="48"/>
      <w:bookmarkEnd w:id="49"/>
    </w:p>
    <w:tbl>
      <w:tblPr>
        <w:tblStyle w:val="42"/>
        <w:tblW w:w="8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41"/>
        <w:gridCol w:w="2318"/>
        <w:gridCol w:w="273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75" w:type="dxa"/>
            <w:vAlign w:val="center"/>
          </w:tcPr>
          <w:p>
            <w:pPr>
              <w:jc w:val="center"/>
              <w:rPr>
                <w:rFonts w:ascii="宋体" w:hAnsi="宋体"/>
                <w:b/>
                <w:color w:val="000000"/>
                <w:sz w:val="21"/>
              </w:rPr>
            </w:pPr>
            <w:r>
              <w:rPr>
                <w:rFonts w:ascii="宋体" w:hAnsi="宋体"/>
                <w:b/>
                <w:color w:val="000000"/>
                <w:sz w:val="21"/>
              </w:rPr>
              <w:t>序号</w:t>
            </w:r>
          </w:p>
        </w:tc>
        <w:tc>
          <w:tcPr>
            <w:tcW w:w="1341" w:type="dxa"/>
            <w:vAlign w:val="center"/>
          </w:tcPr>
          <w:p>
            <w:pPr>
              <w:jc w:val="center"/>
              <w:rPr>
                <w:rFonts w:ascii="宋体" w:hAnsi="宋体"/>
                <w:b/>
                <w:color w:val="000000"/>
                <w:sz w:val="21"/>
              </w:rPr>
            </w:pPr>
            <w:r>
              <w:rPr>
                <w:rFonts w:ascii="宋体" w:hAnsi="宋体"/>
                <w:b/>
                <w:color w:val="000000"/>
                <w:sz w:val="21"/>
              </w:rPr>
              <w:t>分类</w:t>
            </w:r>
          </w:p>
        </w:tc>
        <w:tc>
          <w:tcPr>
            <w:tcW w:w="2318" w:type="dxa"/>
            <w:vAlign w:val="center"/>
          </w:tcPr>
          <w:p>
            <w:pPr>
              <w:jc w:val="center"/>
              <w:rPr>
                <w:rFonts w:ascii="宋体" w:hAnsi="宋体"/>
                <w:b/>
                <w:color w:val="000000"/>
                <w:sz w:val="21"/>
              </w:rPr>
            </w:pPr>
            <w:r>
              <w:rPr>
                <w:rFonts w:ascii="宋体" w:hAnsi="宋体"/>
                <w:b/>
                <w:color w:val="000000"/>
                <w:sz w:val="21"/>
              </w:rPr>
              <w:t>维护内容</w:t>
            </w:r>
          </w:p>
        </w:tc>
        <w:tc>
          <w:tcPr>
            <w:tcW w:w="2730" w:type="dxa"/>
            <w:vAlign w:val="center"/>
          </w:tcPr>
          <w:p>
            <w:pPr>
              <w:rPr>
                <w:rFonts w:ascii="宋体" w:hAnsi="宋体"/>
                <w:b/>
                <w:color w:val="000000"/>
                <w:sz w:val="21"/>
              </w:rPr>
            </w:pPr>
            <w:r>
              <w:rPr>
                <w:rFonts w:hint="eastAsia" w:ascii="宋体" w:hAnsi="宋体"/>
                <w:b/>
                <w:color w:val="000000"/>
                <w:sz w:val="21"/>
              </w:rPr>
              <w:t>服务方式和内容</w:t>
            </w:r>
          </w:p>
        </w:tc>
        <w:tc>
          <w:tcPr>
            <w:tcW w:w="1140" w:type="dxa"/>
            <w:vAlign w:val="center"/>
          </w:tcPr>
          <w:p>
            <w:pPr>
              <w:jc w:val="center"/>
              <w:rPr>
                <w:rFonts w:ascii="宋体" w:hAnsi="宋体"/>
                <w:b/>
                <w:color w:val="000000"/>
                <w:sz w:val="21"/>
              </w:rPr>
            </w:pPr>
            <w:r>
              <w:rPr>
                <w:rFonts w:hint="eastAsia" w:ascii="宋体" w:hAnsi="宋体"/>
                <w:b/>
                <w:color w:val="000000"/>
                <w:sz w:val="21"/>
              </w:rPr>
              <w:t>续保年限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675" w:type="dxa"/>
            <w:vAlign w:val="center"/>
          </w:tcPr>
          <w:p>
            <w:pPr>
              <w:jc w:val="center"/>
              <w:rPr>
                <w:rFonts w:ascii="宋体" w:hAnsi="宋体"/>
                <w:color w:val="000000"/>
                <w:sz w:val="21"/>
              </w:rPr>
            </w:pPr>
            <w:r>
              <w:rPr>
                <w:rFonts w:ascii="宋体" w:hAnsi="宋体"/>
                <w:color w:val="000000"/>
                <w:sz w:val="21"/>
              </w:rPr>
              <w:t>1</w:t>
            </w:r>
            <w:r>
              <w:rPr>
                <w:rFonts w:hint="eastAsia" w:ascii="宋体" w:hAnsi="宋体"/>
                <w:color w:val="000000"/>
                <w:sz w:val="21"/>
              </w:rPr>
              <w:t>.</w:t>
            </w:r>
          </w:p>
        </w:tc>
        <w:tc>
          <w:tcPr>
            <w:tcW w:w="1341" w:type="dxa"/>
            <w:vAlign w:val="center"/>
          </w:tcPr>
          <w:p>
            <w:pPr>
              <w:jc w:val="center"/>
              <w:rPr>
                <w:rFonts w:ascii="宋体" w:hAnsi="宋体"/>
                <w:color w:val="000000"/>
                <w:sz w:val="21"/>
              </w:rPr>
            </w:pPr>
            <w:r>
              <w:rPr>
                <w:rFonts w:hint="eastAsia" w:ascii="宋体" w:hAnsi="宋体"/>
                <w:color w:val="000000"/>
                <w:sz w:val="21"/>
              </w:rPr>
              <w:t>机房环</w:t>
            </w:r>
          </w:p>
          <w:p>
            <w:pPr>
              <w:jc w:val="center"/>
              <w:rPr>
                <w:rFonts w:ascii="宋体" w:hAnsi="宋体"/>
                <w:color w:val="000000"/>
                <w:sz w:val="21"/>
              </w:rPr>
            </w:pPr>
            <w:r>
              <w:rPr>
                <w:rFonts w:hint="eastAsia" w:ascii="宋体" w:hAnsi="宋体"/>
                <w:color w:val="000000"/>
                <w:sz w:val="21"/>
              </w:rPr>
              <w:t>境监控</w:t>
            </w:r>
          </w:p>
        </w:tc>
        <w:tc>
          <w:tcPr>
            <w:tcW w:w="2318" w:type="dxa"/>
            <w:vAlign w:val="center"/>
          </w:tcPr>
          <w:p>
            <w:pPr>
              <w:jc w:val="center"/>
              <w:rPr>
                <w:rFonts w:ascii="宋体" w:hAnsi="宋体"/>
                <w:color w:val="000000"/>
                <w:sz w:val="21"/>
              </w:rPr>
            </w:pPr>
            <w:r>
              <w:rPr>
                <w:rFonts w:hint="eastAsia" w:ascii="宋体" w:hAnsi="宋体"/>
                <w:color w:val="000000"/>
                <w:sz w:val="21"/>
              </w:rPr>
              <w:t>机房环境监控运维</w:t>
            </w:r>
          </w:p>
        </w:tc>
        <w:tc>
          <w:tcPr>
            <w:tcW w:w="2730" w:type="dxa"/>
            <w:vAlign w:val="center"/>
          </w:tcPr>
          <w:p>
            <w:pPr>
              <w:rPr>
                <w:rFonts w:ascii="宋体" w:hAnsi="宋体"/>
                <w:color w:val="000000"/>
                <w:sz w:val="21"/>
              </w:rPr>
            </w:pPr>
            <w:r>
              <w:rPr>
                <w:rFonts w:hint="eastAsia" w:ascii="宋体" w:hAnsi="宋体"/>
                <w:color w:val="000000"/>
                <w:sz w:val="21"/>
              </w:rPr>
              <w:t>故障响应、定期日志维护</w:t>
            </w:r>
          </w:p>
        </w:tc>
        <w:tc>
          <w:tcPr>
            <w:tcW w:w="1140" w:type="dxa"/>
            <w:vAlign w:val="center"/>
          </w:tcPr>
          <w:p>
            <w:pPr>
              <w:jc w:val="center"/>
              <w:rPr>
                <w:rFonts w:ascii="宋体" w:hAnsi="宋体"/>
                <w:color w:val="000000"/>
                <w:sz w:val="21"/>
              </w:rPr>
            </w:pPr>
            <w:r>
              <w:rPr>
                <w:rFonts w:hint="eastAsia" w:ascii="宋体" w:hAnsi="宋体"/>
                <w:color w:val="000000"/>
                <w:sz w:val="21"/>
              </w:rPr>
              <w:t>一年</w:t>
            </w:r>
          </w:p>
        </w:tc>
      </w:tr>
    </w:tbl>
    <w:p>
      <w:pPr>
        <w:pStyle w:val="4"/>
      </w:pPr>
    </w:p>
    <w:p>
      <w:pPr>
        <w:pStyle w:val="5"/>
      </w:pPr>
      <w:bookmarkStart w:id="50" w:name="_Toc139901777"/>
      <w:r>
        <w:t>响应时间和服务要求</w:t>
      </w:r>
      <w:bookmarkEnd w:id="50"/>
    </w:p>
    <w:p>
      <w:pPr>
        <w:pStyle w:val="72"/>
        <w:numPr>
          <w:ilvl w:val="0"/>
          <w:numId w:val="8"/>
        </w:numPr>
        <w:spacing w:line="360" w:lineRule="auto"/>
        <w:rPr>
          <w:rFonts w:hAnsi="Arial"/>
          <w:sz w:val="24"/>
          <w:szCs w:val="24"/>
        </w:rPr>
      </w:pPr>
      <w:r>
        <w:rPr>
          <w:rFonts w:hint="eastAsia" w:hAnsi="Arial"/>
          <w:sz w:val="24"/>
          <w:szCs w:val="24"/>
        </w:rPr>
        <w:t>热线电话支持：提供全年</w:t>
      </w:r>
      <w:r>
        <w:rPr>
          <w:rFonts w:hAnsi="Arial"/>
          <w:sz w:val="24"/>
          <w:szCs w:val="24"/>
        </w:rPr>
        <w:t>24小时电话技术支持，报障响应时间30分钟内。</w:t>
      </w:r>
    </w:p>
    <w:p>
      <w:pPr>
        <w:pStyle w:val="72"/>
        <w:numPr>
          <w:ilvl w:val="0"/>
          <w:numId w:val="8"/>
        </w:numPr>
        <w:spacing w:line="360" w:lineRule="auto"/>
        <w:rPr>
          <w:rFonts w:hAnsi="Arial"/>
          <w:sz w:val="24"/>
          <w:szCs w:val="24"/>
        </w:rPr>
      </w:pPr>
      <w:r>
        <w:rPr>
          <w:rFonts w:hint="eastAsia" w:hAnsi="Arial"/>
          <w:sz w:val="24"/>
          <w:szCs w:val="24"/>
        </w:rPr>
        <w:t>远程技术支持：提供远程故障诊断处理服务。要求5</w:t>
      </w:r>
      <w:r>
        <w:rPr>
          <w:rFonts w:hAnsi="Arial"/>
          <w:sz w:val="24"/>
          <w:szCs w:val="24"/>
        </w:rPr>
        <w:t>×</w:t>
      </w:r>
      <w:r>
        <w:rPr>
          <w:rFonts w:hint="eastAsia" w:hAnsi="Arial"/>
          <w:sz w:val="24"/>
          <w:szCs w:val="24"/>
        </w:rPr>
        <w:t>8</w:t>
      </w:r>
      <w:r>
        <w:rPr>
          <w:rFonts w:hAnsi="Arial"/>
          <w:sz w:val="24"/>
          <w:szCs w:val="24"/>
        </w:rPr>
        <w:t>小时受理。</w:t>
      </w:r>
    </w:p>
    <w:p>
      <w:pPr>
        <w:pStyle w:val="72"/>
        <w:numPr>
          <w:ilvl w:val="0"/>
          <w:numId w:val="8"/>
        </w:numPr>
        <w:spacing w:line="360" w:lineRule="auto"/>
        <w:rPr>
          <w:rFonts w:hAnsi="Arial"/>
          <w:sz w:val="24"/>
          <w:szCs w:val="24"/>
        </w:rPr>
      </w:pPr>
      <w:r>
        <w:rPr>
          <w:rFonts w:hint="eastAsia" w:hAnsi="Arial"/>
          <w:sz w:val="24"/>
          <w:szCs w:val="24"/>
        </w:rPr>
        <w:t>电子化支持：提供全年</w:t>
      </w:r>
      <w:r>
        <w:rPr>
          <w:rFonts w:hAnsi="Arial"/>
          <w:sz w:val="24"/>
          <w:szCs w:val="24"/>
        </w:rPr>
        <w:t>24小时的在线方式的WEB网站技术支持。</w:t>
      </w:r>
    </w:p>
    <w:p>
      <w:pPr>
        <w:pStyle w:val="72"/>
        <w:spacing w:line="360" w:lineRule="auto"/>
        <w:ind w:left="425"/>
        <w:rPr>
          <w:rFonts w:hAnsi="Arial"/>
          <w:sz w:val="24"/>
          <w:szCs w:val="24"/>
        </w:rPr>
      </w:pPr>
    </w:p>
    <w:bookmarkEnd w:id="22"/>
    <w:p/>
    <w:p>
      <w:pPr>
        <w:pStyle w:val="2"/>
      </w:pPr>
      <w:bookmarkStart w:id="51" w:name="_Toc139901778"/>
      <w:r>
        <w:rPr>
          <w:rFonts w:hint="eastAsia"/>
        </w:rPr>
        <w:t>运维服务管理要求</w:t>
      </w:r>
      <w:bookmarkEnd w:id="51"/>
      <w:r>
        <w:t xml:space="preserve"> </w:t>
      </w:r>
    </w:p>
    <w:p>
      <w:pPr>
        <w:spacing w:line="360" w:lineRule="auto"/>
        <w:ind w:left="567"/>
        <w:rPr>
          <w:rFonts w:ascii="宋体" w:hAnsi="宋体"/>
          <w:sz w:val="24"/>
          <w:szCs w:val="24"/>
        </w:rPr>
      </w:pPr>
      <w:r>
        <w:rPr>
          <w:rFonts w:hint="eastAsia" w:ascii="宋体" w:hAnsi="宋体"/>
          <w:sz w:val="24"/>
          <w:szCs w:val="24"/>
        </w:rPr>
        <w:t>本项目运维服务商应满足并达到以下要求。</w:t>
      </w:r>
      <w:r>
        <w:rPr>
          <w:rFonts w:ascii="宋体" w:hAnsi="宋体"/>
          <w:sz w:val="24"/>
          <w:szCs w:val="24"/>
        </w:rPr>
        <w:t xml:space="preserve"> </w:t>
      </w:r>
    </w:p>
    <w:p>
      <w:pPr>
        <w:pStyle w:val="3"/>
      </w:pPr>
      <w:bookmarkStart w:id="52" w:name="_Toc139901779"/>
      <w:r>
        <w:rPr>
          <w:rFonts w:hint="eastAsia"/>
        </w:rPr>
        <w:t>运维服务商职责</w:t>
      </w:r>
      <w:bookmarkEnd w:id="52"/>
      <w:r>
        <w:t xml:space="preserve"> </w:t>
      </w:r>
    </w:p>
    <w:p>
      <w:pPr>
        <w:pStyle w:val="72"/>
        <w:spacing w:line="360" w:lineRule="auto"/>
        <w:ind w:firstLine="566" w:firstLineChars="236"/>
        <w:rPr>
          <w:rFonts w:hAnsi="Arial"/>
          <w:sz w:val="24"/>
          <w:szCs w:val="24"/>
        </w:rPr>
      </w:pPr>
      <w:r>
        <w:rPr>
          <w:rFonts w:hint="eastAsia" w:hAnsi="Arial"/>
          <w:sz w:val="24"/>
          <w:szCs w:val="24"/>
        </w:rPr>
        <w:t>在本项目中，运维服务商作为整体运维服务的提供方，承担运维服务的技术管理、实施和协调工作。包括</w:t>
      </w:r>
      <w:r>
        <w:rPr>
          <w:rFonts w:hAnsi="Arial"/>
          <w:sz w:val="24"/>
          <w:szCs w:val="24"/>
        </w:rPr>
        <w:t xml:space="preserve"> </w:t>
      </w:r>
      <w:r>
        <w:rPr>
          <w:rFonts w:hint="eastAsia" w:hAnsi="Arial"/>
          <w:sz w:val="24"/>
          <w:szCs w:val="24"/>
        </w:rPr>
        <w:t>：</w:t>
      </w:r>
    </w:p>
    <w:p>
      <w:pPr>
        <w:pStyle w:val="72"/>
        <w:spacing w:line="360" w:lineRule="auto"/>
        <w:ind w:firstLine="566" w:firstLineChars="236"/>
        <w:rPr>
          <w:rFonts w:hAnsi="Arial"/>
          <w:sz w:val="24"/>
          <w:szCs w:val="24"/>
        </w:rPr>
      </w:pPr>
      <w:r>
        <w:rPr>
          <w:rFonts w:hAnsi="Arial"/>
          <w:sz w:val="24"/>
          <w:szCs w:val="24"/>
        </w:rPr>
        <w:t xml:space="preserve">1. </w:t>
      </w:r>
      <w:r>
        <w:rPr>
          <w:rFonts w:hint="eastAsia" w:hAnsi="Arial"/>
          <w:sz w:val="24"/>
          <w:szCs w:val="24"/>
        </w:rPr>
        <w:t>制定切实可行的维保计划，提供本招标书所要求的相关服务；</w:t>
      </w:r>
      <w:r>
        <w:rPr>
          <w:rFonts w:hAnsi="Arial"/>
          <w:sz w:val="24"/>
          <w:szCs w:val="24"/>
        </w:rPr>
        <w:t xml:space="preserve"> </w:t>
      </w:r>
    </w:p>
    <w:p>
      <w:pPr>
        <w:pStyle w:val="72"/>
        <w:spacing w:line="360" w:lineRule="auto"/>
        <w:ind w:firstLine="566" w:firstLineChars="236"/>
        <w:rPr>
          <w:rFonts w:hAnsi="Arial"/>
          <w:sz w:val="24"/>
          <w:szCs w:val="24"/>
        </w:rPr>
      </w:pPr>
      <w:r>
        <w:rPr>
          <w:rFonts w:hAnsi="Arial"/>
          <w:sz w:val="24"/>
          <w:szCs w:val="24"/>
        </w:rPr>
        <w:t xml:space="preserve">2. </w:t>
      </w:r>
      <w:r>
        <w:rPr>
          <w:rFonts w:hint="eastAsia" w:hAnsi="Arial"/>
          <w:sz w:val="24"/>
          <w:szCs w:val="24"/>
        </w:rPr>
        <w:t>提供合格的技术人员，来保证项目的顺利实施；</w:t>
      </w:r>
      <w:r>
        <w:rPr>
          <w:rFonts w:hAnsi="Arial"/>
          <w:sz w:val="24"/>
          <w:szCs w:val="24"/>
        </w:rPr>
        <w:t xml:space="preserve"> </w:t>
      </w:r>
    </w:p>
    <w:p>
      <w:pPr>
        <w:pStyle w:val="72"/>
        <w:spacing w:line="360" w:lineRule="auto"/>
        <w:ind w:firstLine="566" w:firstLineChars="236"/>
        <w:rPr>
          <w:rFonts w:hAnsi="Arial"/>
          <w:sz w:val="24"/>
          <w:szCs w:val="24"/>
        </w:rPr>
      </w:pPr>
      <w:r>
        <w:rPr>
          <w:rFonts w:hAnsi="Arial"/>
          <w:sz w:val="24"/>
          <w:szCs w:val="24"/>
        </w:rPr>
        <w:t xml:space="preserve">3. </w:t>
      </w:r>
      <w:r>
        <w:rPr>
          <w:rFonts w:hint="eastAsia" w:hAnsi="Arial"/>
          <w:sz w:val="24"/>
          <w:szCs w:val="24"/>
        </w:rPr>
        <w:t>提供完整的技术文档资料、完整的测试、调优、维护建议；</w:t>
      </w:r>
      <w:r>
        <w:rPr>
          <w:rFonts w:hAnsi="Arial"/>
          <w:sz w:val="24"/>
          <w:szCs w:val="24"/>
        </w:rPr>
        <w:t xml:space="preserve"> </w:t>
      </w:r>
    </w:p>
    <w:p>
      <w:pPr>
        <w:pStyle w:val="72"/>
        <w:spacing w:line="360" w:lineRule="auto"/>
        <w:ind w:firstLine="566" w:firstLineChars="236"/>
        <w:rPr>
          <w:rFonts w:hAnsi="Arial"/>
          <w:sz w:val="24"/>
          <w:szCs w:val="24"/>
        </w:rPr>
      </w:pPr>
      <w:r>
        <w:rPr>
          <w:rFonts w:hAnsi="Arial"/>
          <w:sz w:val="24"/>
          <w:szCs w:val="24"/>
        </w:rPr>
        <w:t xml:space="preserve">4. </w:t>
      </w:r>
      <w:r>
        <w:rPr>
          <w:rFonts w:hint="eastAsia" w:hAnsi="Arial"/>
          <w:sz w:val="24"/>
          <w:szCs w:val="24"/>
        </w:rPr>
        <w:t>在服务期内持续进行系统的优化和良好的技术支持；</w:t>
      </w:r>
      <w:r>
        <w:rPr>
          <w:rFonts w:hAnsi="Arial"/>
          <w:sz w:val="24"/>
          <w:szCs w:val="24"/>
        </w:rPr>
        <w:t xml:space="preserve"> </w:t>
      </w:r>
    </w:p>
    <w:p>
      <w:pPr>
        <w:pStyle w:val="72"/>
        <w:spacing w:line="360" w:lineRule="auto"/>
        <w:ind w:firstLine="566" w:firstLineChars="236"/>
        <w:rPr>
          <w:rFonts w:hAnsi="Arial"/>
          <w:sz w:val="24"/>
          <w:szCs w:val="24"/>
        </w:rPr>
      </w:pPr>
      <w:r>
        <w:rPr>
          <w:rFonts w:hAnsi="Arial"/>
          <w:sz w:val="24"/>
          <w:szCs w:val="24"/>
        </w:rPr>
        <w:t xml:space="preserve">5. </w:t>
      </w:r>
      <w:r>
        <w:rPr>
          <w:rFonts w:hint="eastAsia" w:hAnsi="Arial"/>
          <w:sz w:val="24"/>
          <w:szCs w:val="24"/>
        </w:rPr>
        <w:t>配合招标方相关软件、硬件的安装、测试、升级和调优等工作；</w:t>
      </w:r>
      <w:r>
        <w:rPr>
          <w:rFonts w:hAnsi="Arial"/>
          <w:sz w:val="24"/>
          <w:szCs w:val="24"/>
        </w:rPr>
        <w:t xml:space="preserve"> </w:t>
      </w:r>
    </w:p>
    <w:p>
      <w:pPr>
        <w:pStyle w:val="72"/>
        <w:spacing w:line="360" w:lineRule="auto"/>
        <w:ind w:firstLine="566" w:firstLineChars="236"/>
        <w:rPr>
          <w:rFonts w:hAnsi="Arial"/>
          <w:sz w:val="24"/>
          <w:szCs w:val="24"/>
        </w:rPr>
      </w:pPr>
      <w:r>
        <w:rPr>
          <w:rFonts w:hint="eastAsia" w:hAnsi="Arial"/>
          <w:sz w:val="24"/>
          <w:szCs w:val="24"/>
        </w:rPr>
        <w:t>6</w:t>
      </w:r>
      <w:r>
        <w:rPr>
          <w:rFonts w:hAnsi="Arial"/>
          <w:sz w:val="24"/>
          <w:szCs w:val="24"/>
        </w:rPr>
        <w:t xml:space="preserve">. </w:t>
      </w:r>
      <w:r>
        <w:rPr>
          <w:rFonts w:hint="eastAsia" w:hAnsi="Arial"/>
          <w:sz w:val="24"/>
          <w:szCs w:val="24"/>
        </w:rPr>
        <w:t>在维保服务期内，若系统发生突发事件，提供恢复系统的临时软硬件设备，及时恢复系统运行。</w:t>
      </w:r>
    </w:p>
    <w:p>
      <w:pPr>
        <w:pStyle w:val="3"/>
      </w:pPr>
      <w:bookmarkStart w:id="53" w:name="_Toc139901780"/>
      <w:r>
        <w:rPr>
          <w:rFonts w:hint="eastAsia"/>
        </w:rPr>
        <w:t>运维</w:t>
      </w:r>
      <w:r>
        <w:t>服务体系</w:t>
      </w:r>
      <w:bookmarkEnd w:id="53"/>
      <w:r>
        <w:t xml:space="preserve"> </w:t>
      </w:r>
    </w:p>
    <w:p>
      <w:pPr>
        <w:pStyle w:val="72"/>
        <w:spacing w:line="360" w:lineRule="auto"/>
        <w:ind w:firstLine="424" w:firstLineChars="177"/>
        <w:rPr>
          <w:rFonts w:hAnsi="Arial"/>
          <w:sz w:val="24"/>
          <w:szCs w:val="24"/>
        </w:rPr>
      </w:pPr>
      <w:r>
        <w:rPr>
          <w:rFonts w:hint="eastAsia" w:hAnsi="Arial"/>
          <w:sz w:val="24"/>
          <w:szCs w:val="24"/>
        </w:rPr>
        <w:t>运维服务商应</w:t>
      </w:r>
      <w:r>
        <w:rPr>
          <w:rFonts w:hAnsi="Arial"/>
          <w:sz w:val="24"/>
          <w:szCs w:val="24"/>
        </w:rPr>
        <w:t>提交正式的文件，说明其具备专业的支持服务管理机构，管理流程和服务保障体系。运维服务商应</w:t>
      </w:r>
      <w:r>
        <w:rPr>
          <w:rFonts w:hint="eastAsia" w:hAnsi="Arial"/>
          <w:sz w:val="24"/>
          <w:szCs w:val="24"/>
        </w:rPr>
        <w:t>配备</w:t>
      </w:r>
      <w:r>
        <w:rPr>
          <w:rFonts w:hAnsi="Arial"/>
          <w:sz w:val="24"/>
          <w:szCs w:val="24"/>
        </w:rPr>
        <w:t xml:space="preserve">专业的服务响应中心，能够7*24小时响应招标方的服务请求，并具有流程化的管理处理能力。 </w:t>
      </w:r>
    </w:p>
    <w:p>
      <w:pPr>
        <w:pStyle w:val="3"/>
      </w:pPr>
      <w:bookmarkStart w:id="54" w:name="_Toc139901781"/>
      <w:r>
        <w:rPr>
          <w:rFonts w:hint="eastAsia"/>
        </w:rPr>
        <w:t>运维团队构成</w:t>
      </w:r>
      <w:bookmarkEnd w:id="54"/>
    </w:p>
    <w:p>
      <w:pPr>
        <w:pStyle w:val="72"/>
        <w:spacing w:line="360" w:lineRule="auto"/>
        <w:ind w:firstLine="566" w:firstLineChars="236"/>
        <w:rPr>
          <w:rFonts w:hAnsi="Arial"/>
          <w:sz w:val="24"/>
          <w:szCs w:val="24"/>
        </w:rPr>
      </w:pPr>
      <w:r>
        <w:rPr>
          <w:rFonts w:hint="eastAsia" w:hAnsi="Arial"/>
          <w:sz w:val="24"/>
          <w:szCs w:val="24"/>
        </w:rPr>
        <w:t>为完成本项目，响应人应组建项目小组，在提交的投标文件中需明确项目组成员。运维服务商在组建运维技术团队时</w:t>
      </w:r>
      <w:r>
        <w:rPr>
          <w:rFonts w:hAnsi="Arial"/>
          <w:sz w:val="24"/>
          <w:szCs w:val="24"/>
        </w:rPr>
        <w:t>,</w:t>
      </w:r>
      <w:r>
        <w:rPr>
          <w:rFonts w:hint="eastAsia" w:hAnsi="Arial"/>
          <w:sz w:val="24"/>
          <w:szCs w:val="24"/>
        </w:rPr>
        <w:t>必须满足以下要求：</w:t>
      </w:r>
    </w:p>
    <w:p>
      <w:pPr>
        <w:pStyle w:val="72"/>
        <w:spacing w:line="360" w:lineRule="auto"/>
        <w:ind w:firstLine="566" w:firstLineChars="236"/>
        <w:rPr>
          <w:rFonts w:hAnsi="Arial"/>
          <w:sz w:val="24"/>
          <w:szCs w:val="24"/>
        </w:rPr>
      </w:pPr>
      <w:r>
        <w:rPr>
          <w:rFonts w:hint="eastAsia" w:hAnsi="Arial"/>
          <w:sz w:val="24"/>
          <w:szCs w:val="24"/>
        </w:rPr>
        <w:t>本项目项目经理需具备PMP项目经理资质与CISP安全认证；团队技术驻场人员具备CISP安全认证、CISAW安全运维或同等级、安全等设备维护能力和技术，</w:t>
      </w:r>
      <w:r>
        <w:rPr>
          <w:rFonts w:hint="eastAsia" w:hAnsi="宋体"/>
          <w:sz w:val="24"/>
          <w:szCs w:val="24"/>
        </w:rPr>
        <w:t>工作时间与长宁卫健委办公人员的工作时间一致</w:t>
      </w:r>
      <w:r>
        <w:rPr>
          <w:rFonts w:hint="eastAsia" w:hAnsi="Arial"/>
          <w:sz w:val="24"/>
          <w:szCs w:val="24"/>
        </w:rPr>
        <w:t>。并</w:t>
      </w:r>
      <w:r>
        <w:rPr>
          <w:rFonts w:hAnsi="Arial"/>
          <w:sz w:val="24"/>
          <w:szCs w:val="24"/>
        </w:rPr>
        <w:t>提供二线</w:t>
      </w:r>
      <w:r>
        <w:rPr>
          <w:rFonts w:hint="eastAsia" w:hAnsi="Arial"/>
          <w:sz w:val="24"/>
          <w:szCs w:val="24"/>
        </w:rPr>
        <w:t>技术</w:t>
      </w:r>
      <w:r>
        <w:rPr>
          <w:rFonts w:hAnsi="Arial"/>
          <w:sz w:val="24"/>
          <w:szCs w:val="24"/>
        </w:rPr>
        <w:t>支持团队，</w:t>
      </w:r>
      <w:r>
        <w:rPr>
          <w:rFonts w:hint="eastAsia" w:hAnsi="Arial"/>
          <w:sz w:val="24"/>
          <w:szCs w:val="24"/>
        </w:rPr>
        <w:t>团队</w:t>
      </w:r>
      <w:r>
        <w:rPr>
          <w:rFonts w:hAnsi="Arial"/>
          <w:sz w:val="24"/>
          <w:szCs w:val="24"/>
        </w:rPr>
        <w:t>成员</w:t>
      </w:r>
      <w:r>
        <w:rPr>
          <w:rFonts w:hint="eastAsia" w:hAnsi="Arial"/>
          <w:sz w:val="24"/>
          <w:szCs w:val="24"/>
        </w:rPr>
        <w:t>（以下岗位可兼职）</w:t>
      </w:r>
      <w:r>
        <w:rPr>
          <w:rFonts w:hAnsi="Arial"/>
          <w:sz w:val="24"/>
          <w:szCs w:val="24"/>
        </w:rPr>
        <w:t>包括</w:t>
      </w:r>
      <w:r>
        <w:rPr>
          <w:rFonts w:hint="eastAsia" w:hAnsi="Arial"/>
          <w:sz w:val="24"/>
          <w:szCs w:val="24"/>
        </w:rPr>
        <w:t>：项目经理、运维工程师等，</w:t>
      </w:r>
      <w:r>
        <w:rPr>
          <w:rFonts w:hint="eastAsia" w:hAnsi="宋体"/>
          <w:sz w:val="24"/>
          <w:szCs w:val="24"/>
        </w:rPr>
        <w:t>提供故障解决方案和咨询服务，紧急情况下进驻现场提供服务</w:t>
      </w:r>
      <w:r>
        <w:rPr>
          <w:rFonts w:hint="eastAsia" w:hAnsi="Arial"/>
          <w:sz w:val="24"/>
          <w:szCs w:val="24"/>
        </w:rPr>
        <w:t>。</w:t>
      </w:r>
    </w:p>
    <w:p>
      <w:pPr>
        <w:pStyle w:val="72"/>
        <w:spacing w:line="360" w:lineRule="auto"/>
        <w:ind w:firstLine="566" w:firstLineChars="236"/>
        <w:rPr>
          <w:rFonts w:hAnsi="宋体"/>
          <w:color w:val="000000"/>
          <w:szCs w:val="24"/>
        </w:rPr>
      </w:pPr>
      <w:r>
        <w:rPr>
          <w:rFonts w:hint="eastAsia" w:hAnsi="Arial"/>
          <w:sz w:val="24"/>
          <w:szCs w:val="24"/>
        </w:rPr>
        <w:t>响应人在中标后，应认真组织好技术及管理队伍，做好运维工作。维护期内原则上不允许更换项目技术人员。维护期间确需人员变动，须配备同资质人员，并提前一个月报请招标方认可。</w:t>
      </w:r>
    </w:p>
    <w:p>
      <w:pPr>
        <w:pStyle w:val="3"/>
      </w:pPr>
      <w:bookmarkStart w:id="55" w:name="_Toc139901782"/>
      <w:r>
        <w:rPr>
          <w:rFonts w:hint="eastAsia"/>
        </w:rPr>
        <w:t>现场支持管理</w:t>
      </w:r>
      <w:bookmarkEnd w:id="55"/>
      <w:r>
        <w:t xml:space="preserve"> </w:t>
      </w:r>
    </w:p>
    <w:p>
      <w:pPr>
        <w:pStyle w:val="72"/>
        <w:spacing w:line="360" w:lineRule="auto"/>
        <w:ind w:firstLine="566" w:firstLineChars="236"/>
        <w:rPr>
          <w:rFonts w:hAnsi="Arial"/>
          <w:sz w:val="24"/>
          <w:szCs w:val="24"/>
        </w:rPr>
      </w:pPr>
      <w:r>
        <w:rPr>
          <w:rFonts w:hint="eastAsia" w:hAnsi="Arial"/>
          <w:sz w:val="24"/>
          <w:szCs w:val="24"/>
        </w:rPr>
        <w:t>遵守招标方的管理制度要求。提供现场支持服务，统一接受用户的服务请求，现场支持服务作为系统运维的统一入口，统一接受用户服务请求。要求运维服务商负责现场支持中心服务工作，配备提供人员驻场，负责协调系统软硬件维护，以及保障长宁卫健委业务正常运行等工作。</w:t>
      </w:r>
    </w:p>
    <w:p>
      <w:pPr>
        <w:pStyle w:val="72"/>
        <w:spacing w:line="360" w:lineRule="auto"/>
        <w:ind w:firstLine="566" w:firstLineChars="236"/>
        <w:rPr>
          <w:rFonts w:hAnsi="Arial"/>
          <w:sz w:val="24"/>
          <w:szCs w:val="24"/>
        </w:rPr>
      </w:pPr>
      <w:r>
        <w:rPr>
          <w:rFonts w:hint="eastAsia" w:hAnsi="Arial"/>
          <w:sz w:val="24"/>
          <w:szCs w:val="24"/>
        </w:rPr>
        <w:t>同时，运维服务商应为本项目成立二线技术支持团队，负责协助一线人员，为本项目提供高层次技术支持和重大事项处理服务。</w:t>
      </w:r>
    </w:p>
    <w:p>
      <w:pPr>
        <w:pStyle w:val="3"/>
      </w:pPr>
      <w:bookmarkStart w:id="56" w:name="_Toc139901783"/>
      <w:r>
        <w:rPr>
          <w:rFonts w:hint="eastAsia"/>
        </w:rPr>
        <w:t>设备维护管理</w:t>
      </w:r>
      <w:bookmarkEnd w:id="56"/>
    </w:p>
    <w:p>
      <w:pPr>
        <w:pStyle w:val="72"/>
        <w:spacing w:line="360" w:lineRule="auto"/>
        <w:ind w:firstLine="566" w:firstLineChars="236"/>
        <w:rPr>
          <w:rFonts w:hAnsi="Arial"/>
          <w:sz w:val="24"/>
          <w:szCs w:val="24"/>
        </w:rPr>
      </w:pPr>
      <w:r>
        <w:rPr>
          <w:rFonts w:hint="eastAsia" w:hAnsi="Arial"/>
          <w:sz w:val="24"/>
          <w:szCs w:val="24"/>
        </w:rPr>
        <w:t>为确保业务系统软硬件设备的正常可用，运维服务商对</w:t>
      </w:r>
      <w:r>
        <w:rPr>
          <w:rFonts w:hint="eastAsia"/>
          <w:sz w:val="24"/>
          <w:szCs w:val="24"/>
        </w:rPr>
        <w:t>系统运行支撑环境和系统运行平台中的各类硬件</w:t>
      </w:r>
      <w:r>
        <w:rPr>
          <w:rFonts w:hint="eastAsia" w:hAnsi="Arial"/>
          <w:sz w:val="24"/>
          <w:szCs w:val="24"/>
        </w:rPr>
        <w:t>设备进行常规性例行的检查，在每次维保服务完成后，应在及时提交《</w:t>
      </w:r>
      <w:r>
        <w:rPr>
          <w:rFonts w:hint="eastAsia" w:hAnsi="宋体"/>
          <w:sz w:val="24"/>
          <w:szCs w:val="24"/>
          <w:lang w:val="zh-CN"/>
        </w:rPr>
        <w:t>系统运行维护记录</w:t>
      </w:r>
      <w:r>
        <w:rPr>
          <w:rFonts w:hint="eastAsia" w:hAnsi="Arial"/>
          <w:sz w:val="24"/>
          <w:szCs w:val="24"/>
        </w:rPr>
        <w:t>》，包括故障原因分析、处理过程、维护建议等。运维服务商按月向招标方报送《系统运行状况月度报告》、按季向招标方报送《系统巡检报告》。</w:t>
      </w:r>
    </w:p>
    <w:p>
      <w:pPr>
        <w:pStyle w:val="3"/>
      </w:pPr>
      <w:bookmarkStart w:id="57" w:name="_Toc139901784"/>
      <w:r>
        <w:rPr>
          <w:rFonts w:hint="eastAsia"/>
        </w:rPr>
        <w:t>信息系统监控管理</w:t>
      </w:r>
      <w:bookmarkEnd w:id="57"/>
    </w:p>
    <w:p>
      <w:pPr>
        <w:pStyle w:val="72"/>
        <w:spacing w:line="360" w:lineRule="auto"/>
        <w:ind w:firstLine="566" w:firstLineChars="236"/>
        <w:rPr>
          <w:rFonts w:hAnsi="Arial"/>
          <w:sz w:val="24"/>
          <w:szCs w:val="24"/>
        </w:rPr>
      </w:pPr>
      <w:r>
        <w:rPr>
          <w:rFonts w:hint="eastAsia" w:hAnsi="Arial"/>
          <w:sz w:val="24"/>
          <w:szCs w:val="24"/>
        </w:rPr>
        <w:t>为确保信息系统的可用性和连续性，运维服务商应提供主动发现问题、排除故障的服务，从应用层面检查各业务应用，主动发现问题，保障业务的可持续性。</w:t>
      </w:r>
    </w:p>
    <w:p>
      <w:pPr>
        <w:pStyle w:val="3"/>
      </w:pPr>
      <w:bookmarkStart w:id="58" w:name="_Toc139901785"/>
      <w:r>
        <w:rPr>
          <w:rFonts w:hint="eastAsia"/>
        </w:rPr>
        <w:t>安全服务管理</w:t>
      </w:r>
      <w:bookmarkEnd w:id="58"/>
    </w:p>
    <w:p>
      <w:pPr>
        <w:pStyle w:val="72"/>
        <w:spacing w:line="360" w:lineRule="auto"/>
        <w:ind w:firstLine="424" w:firstLineChars="177"/>
        <w:rPr>
          <w:rFonts w:hAnsi="Arial"/>
          <w:sz w:val="24"/>
          <w:szCs w:val="24"/>
        </w:rPr>
      </w:pPr>
      <w:r>
        <w:rPr>
          <w:rFonts w:hint="eastAsia" w:hAnsi="Arial"/>
          <w:sz w:val="24"/>
          <w:szCs w:val="24"/>
        </w:rPr>
        <w:t>运维服务商必须服从招标方对安全管理规定和要求，配合落实安全管理的各项工作，提供技术保障服务。</w:t>
      </w:r>
    </w:p>
    <w:p>
      <w:pPr>
        <w:pStyle w:val="3"/>
      </w:pPr>
      <w:bookmarkStart w:id="59" w:name="_Toc139901786"/>
      <w:r>
        <w:rPr>
          <w:rFonts w:hint="eastAsia"/>
        </w:rPr>
        <w:t>资产管理</w:t>
      </w:r>
      <w:bookmarkEnd w:id="59"/>
      <w:r>
        <w:t xml:space="preserve"> </w:t>
      </w:r>
    </w:p>
    <w:p>
      <w:pPr>
        <w:pStyle w:val="72"/>
        <w:spacing w:line="360" w:lineRule="auto"/>
        <w:ind w:firstLine="566" w:firstLineChars="236"/>
        <w:rPr>
          <w:rFonts w:hAnsi="Arial"/>
          <w:sz w:val="24"/>
          <w:szCs w:val="24"/>
        </w:rPr>
      </w:pPr>
      <w:r>
        <w:rPr>
          <w:rFonts w:hint="eastAsia" w:hAnsi="Arial"/>
          <w:sz w:val="24"/>
          <w:szCs w:val="24"/>
        </w:rPr>
        <w:t>在运维服务期间，运维服务商有责任保证信息系统在线资产的完整、可用，并协助招标方提供系统资源管理、服务。</w:t>
      </w:r>
    </w:p>
    <w:p>
      <w:pPr>
        <w:pStyle w:val="3"/>
      </w:pPr>
      <w:bookmarkStart w:id="60" w:name="_Toc139901787"/>
      <w:r>
        <w:rPr>
          <w:rFonts w:hint="eastAsia"/>
        </w:rPr>
        <w:t>信息保密制度</w:t>
      </w:r>
      <w:bookmarkEnd w:id="60"/>
      <w:r>
        <w:t xml:space="preserve"> </w:t>
      </w:r>
    </w:p>
    <w:p>
      <w:pPr>
        <w:pStyle w:val="72"/>
        <w:spacing w:line="360" w:lineRule="auto"/>
        <w:ind w:firstLine="566" w:firstLineChars="236"/>
        <w:rPr>
          <w:rFonts w:hAnsi="Arial"/>
          <w:sz w:val="24"/>
          <w:szCs w:val="24"/>
        </w:rPr>
      </w:pPr>
      <w:r>
        <w:rPr>
          <w:rFonts w:hint="eastAsia" w:hAnsi="Arial"/>
          <w:sz w:val="24"/>
          <w:szCs w:val="24"/>
        </w:rPr>
        <w:t>运维服务商对本项目维护服务内容有保守秘密的义务，需要做到以下几点：</w:t>
      </w:r>
      <w:r>
        <w:rPr>
          <w:rFonts w:hAnsi="Arial"/>
          <w:sz w:val="24"/>
          <w:szCs w:val="24"/>
        </w:rPr>
        <w:t xml:space="preserve"> </w:t>
      </w:r>
    </w:p>
    <w:p>
      <w:pPr>
        <w:pStyle w:val="72"/>
        <w:numPr>
          <w:ilvl w:val="0"/>
          <w:numId w:val="9"/>
        </w:numPr>
        <w:spacing w:line="360" w:lineRule="auto"/>
        <w:rPr>
          <w:rFonts w:hAnsi="Arial"/>
          <w:sz w:val="24"/>
          <w:szCs w:val="24"/>
        </w:rPr>
      </w:pPr>
      <w:r>
        <w:rPr>
          <w:rFonts w:hint="eastAsia" w:hAnsi="Arial"/>
          <w:sz w:val="24"/>
          <w:szCs w:val="24"/>
        </w:rPr>
        <w:t>“保密信息”是指长宁卫健委在履行本合同中提供或传授给供应商人员，或者供应商人员在履行本合同中知晓的信息，无论是口头或书面形式、无论是否标明保密或拥有所有权，包括但不限于专利、版权、商业秘密、专有技术、专有信息、技巧、草图、绘图、模型、发明、工序、规则系统（算法）、软件程序、软件资料，硬件信息和应用程序接口等任何技术和非技术的信息；也指与现有、未来和预计的产品和服务相关的任何方案，包括但不限于研发、设计、规格、工程、财务、采购、生产、客户表、市场预测和销售等信息。</w:t>
      </w:r>
    </w:p>
    <w:p>
      <w:pPr>
        <w:pStyle w:val="72"/>
        <w:numPr>
          <w:ilvl w:val="0"/>
          <w:numId w:val="9"/>
        </w:numPr>
        <w:spacing w:line="360" w:lineRule="auto"/>
        <w:rPr>
          <w:rFonts w:hAnsi="Arial"/>
          <w:sz w:val="24"/>
          <w:szCs w:val="24"/>
        </w:rPr>
      </w:pPr>
      <w:r>
        <w:rPr>
          <w:rFonts w:hint="eastAsia" w:hAnsi="Arial"/>
          <w:sz w:val="24"/>
          <w:szCs w:val="24"/>
        </w:rPr>
        <w:t>供应商同意对保密信息予以保密；未经长宁卫健委事先书面同意，在任何情况下都不泄露或披露保密信息；履行期限届满后，不保留任何保密信息的原件，复印件和电子信息。供应商不得向任何第三方透露任何或部分保密信息。供应商不得将长宁卫健委透露的任何保密信息用于执行合同以外的事务。</w:t>
      </w:r>
    </w:p>
    <w:p>
      <w:pPr>
        <w:pStyle w:val="72"/>
        <w:numPr>
          <w:ilvl w:val="0"/>
          <w:numId w:val="9"/>
        </w:numPr>
        <w:spacing w:line="360" w:lineRule="auto"/>
        <w:rPr>
          <w:rFonts w:hAnsi="Arial"/>
          <w:sz w:val="24"/>
          <w:szCs w:val="24"/>
        </w:rPr>
      </w:pPr>
      <w:r>
        <w:rPr>
          <w:rFonts w:hint="eastAsia" w:hAnsi="Arial"/>
          <w:sz w:val="24"/>
          <w:szCs w:val="24"/>
        </w:rPr>
        <w:t>未经长宁卫健委同意，供应商不得在广告或任何公开材料或活动中使用长宁卫健委的名称。</w:t>
      </w:r>
    </w:p>
    <w:p>
      <w:pPr>
        <w:pStyle w:val="72"/>
        <w:numPr>
          <w:ilvl w:val="0"/>
          <w:numId w:val="9"/>
        </w:numPr>
        <w:spacing w:line="360" w:lineRule="auto"/>
        <w:rPr>
          <w:rFonts w:hAnsi="Arial"/>
          <w:sz w:val="24"/>
          <w:szCs w:val="24"/>
        </w:rPr>
      </w:pPr>
      <w:r>
        <w:rPr>
          <w:rFonts w:hint="eastAsia" w:hAnsi="Arial"/>
          <w:sz w:val="24"/>
          <w:szCs w:val="24"/>
        </w:rPr>
        <w:t>如果供应商应政府机构、法院或其它经授权的官方部门的要求公布该保密信息，供应商同意及时通知长宁卫健委以便长宁卫健委对此提出异议或获取保护令。供应商应采用一切措施保护保密资料。</w:t>
      </w:r>
    </w:p>
    <w:p>
      <w:pPr>
        <w:pStyle w:val="72"/>
        <w:numPr>
          <w:ilvl w:val="0"/>
          <w:numId w:val="9"/>
        </w:numPr>
        <w:spacing w:line="360" w:lineRule="auto"/>
        <w:rPr>
          <w:rFonts w:hAnsi="Arial"/>
          <w:sz w:val="24"/>
          <w:szCs w:val="24"/>
        </w:rPr>
      </w:pPr>
      <w:r>
        <w:rPr>
          <w:rFonts w:hint="eastAsia" w:hAnsi="Arial"/>
          <w:sz w:val="24"/>
          <w:szCs w:val="24"/>
        </w:rPr>
        <w:t>供应商违反本协议规定向任何第三方透露保密信息，应承担违约责任，并赔偿长宁卫健委因此受到的损失。</w:t>
      </w:r>
    </w:p>
    <w:p>
      <w:pPr>
        <w:pStyle w:val="72"/>
        <w:numPr>
          <w:ilvl w:val="0"/>
          <w:numId w:val="9"/>
        </w:numPr>
        <w:spacing w:line="360" w:lineRule="auto"/>
        <w:rPr>
          <w:rFonts w:hAnsi="Arial"/>
          <w:sz w:val="24"/>
          <w:szCs w:val="24"/>
        </w:rPr>
      </w:pPr>
      <w:r>
        <w:rPr>
          <w:rFonts w:hint="eastAsia" w:hAnsi="Arial"/>
          <w:sz w:val="24"/>
          <w:szCs w:val="24"/>
        </w:rPr>
        <w:t>本条的上述义务，在合同终止后将继续有效三年。</w:t>
      </w:r>
    </w:p>
    <w:p>
      <w:pPr>
        <w:pStyle w:val="2"/>
      </w:pPr>
      <w:r>
        <w:br w:type="page"/>
      </w:r>
    </w:p>
    <w:p>
      <w:pPr>
        <w:pStyle w:val="2"/>
        <w:numPr>
          <w:ilvl w:val="0"/>
          <w:numId w:val="10"/>
        </w:numPr>
      </w:pPr>
      <w:bookmarkStart w:id="61" w:name="_Toc139901788"/>
      <w:bookmarkStart w:id="62" w:name="_Toc508804556"/>
      <w:bookmarkStart w:id="63" w:name="_Toc511155711"/>
      <w:r>
        <w:rPr>
          <w:rFonts w:hint="eastAsia"/>
        </w:rPr>
        <w:t>运维服务技术要求</w:t>
      </w:r>
      <w:bookmarkEnd w:id="61"/>
      <w:r>
        <w:t xml:space="preserve"> </w:t>
      </w:r>
    </w:p>
    <w:p>
      <w:pPr>
        <w:pStyle w:val="3"/>
      </w:pPr>
      <w:bookmarkStart w:id="64" w:name="_Toc139901789"/>
      <w:r>
        <w:rPr>
          <w:rFonts w:hint="eastAsia"/>
        </w:rPr>
        <w:t>服务要求</w:t>
      </w:r>
      <w:bookmarkEnd w:id="64"/>
    </w:p>
    <w:p>
      <w:pPr>
        <w:pStyle w:val="5"/>
      </w:pPr>
      <w:bookmarkStart w:id="65" w:name="_Toc510450036"/>
      <w:bookmarkStart w:id="66" w:name="_Toc503882915"/>
      <w:bookmarkStart w:id="67" w:name="_Toc139901790"/>
      <w:r>
        <w:rPr>
          <w:rFonts w:hint="eastAsia"/>
        </w:rPr>
        <w:t>系统数据保密要求</w:t>
      </w:r>
      <w:bookmarkEnd w:id="65"/>
      <w:bookmarkEnd w:id="66"/>
      <w:bookmarkEnd w:id="67"/>
    </w:p>
    <w:p>
      <w:pPr>
        <w:pStyle w:val="72"/>
        <w:spacing w:line="360" w:lineRule="auto"/>
        <w:ind w:firstLine="566" w:firstLineChars="236"/>
        <w:rPr>
          <w:rFonts w:hAnsi="Arial"/>
          <w:sz w:val="24"/>
          <w:szCs w:val="24"/>
        </w:rPr>
      </w:pPr>
      <w:r>
        <w:rPr>
          <w:rFonts w:hint="eastAsia" w:hAnsi="Arial"/>
          <w:sz w:val="24"/>
          <w:szCs w:val="24"/>
        </w:rPr>
        <w:t>负责遵守职业道德，确保系统及业务数据不会因运维服务商原因外泄，如发生以上问题，运维服务商必须承担全部法律责任。</w:t>
      </w:r>
    </w:p>
    <w:p>
      <w:pPr>
        <w:pStyle w:val="5"/>
      </w:pPr>
      <w:bookmarkStart w:id="68" w:name="_Toc503882916"/>
      <w:bookmarkStart w:id="69" w:name="_Toc139901791"/>
      <w:bookmarkStart w:id="70" w:name="_Toc510450037"/>
      <w:r>
        <w:rPr>
          <w:rFonts w:hint="eastAsia"/>
        </w:rPr>
        <w:t>系统及数据安全要求</w:t>
      </w:r>
      <w:bookmarkEnd w:id="68"/>
      <w:bookmarkEnd w:id="69"/>
      <w:bookmarkEnd w:id="70"/>
    </w:p>
    <w:p>
      <w:pPr>
        <w:pStyle w:val="72"/>
        <w:spacing w:line="360" w:lineRule="auto"/>
        <w:ind w:firstLine="566" w:firstLineChars="236"/>
        <w:rPr>
          <w:rFonts w:hAnsi="Arial"/>
          <w:sz w:val="24"/>
          <w:szCs w:val="24"/>
        </w:rPr>
      </w:pPr>
      <w:r>
        <w:rPr>
          <w:rFonts w:hint="eastAsia" w:hAnsi="Arial"/>
          <w:sz w:val="24"/>
          <w:szCs w:val="24"/>
        </w:rPr>
        <w:t>负责在实施服务的过程中提供完善的工作内容说明及操作步骤，并通过备份等方法确保系统及数据不被损坏或能及时恢复，如发生以上问题，承担全部法律责任。</w:t>
      </w:r>
    </w:p>
    <w:p>
      <w:pPr>
        <w:pStyle w:val="5"/>
      </w:pPr>
      <w:bookmarkStart w:id="71" w:name="_Toc139901792"/>
      <w:r>
        <w:rPr>
          <w:rFonts w:hint="eastAsia"/>
        </w:rPr>
        <w:t>电话支持服务</w:t>
      </w:r>
      <w:bookmarkEnd w:id="71"/>
      <w:r>
        <w:t xml:space="preserve"> </w:t>
      </w:r>
    </w:p>
    <w:p>
      <w:pPr>
        <w:pStyle w:val="72"/>
        <w:spacing w:line="360" w:lineRule="auto"/>
        <w:ind w:firstLine="424" w:firstLineChars="177"/>
        <w:rPr>
          <w:rFonts w:hAnsi="Arial"/>
          <w:sz w:val="24"/>
          <w:szCs w:val="24"/>
        </w:rPr>
      </w:pPr>
      <w:r>
        <w:rPr>
          <w:rFonts w:hint="eastAsia" w:hAnsi="Arial"/>
          <w:sz w:val="24"/>
          <w:szCs w:val="24"/>
        </w:rPr>
        <w:t>运维服务商应设立热线响应电话，并安排有经验的工程师接受申报。当设备出现故障时，招标方通过运维服务商指定的热线响应电话进行故障报修或技术咨询。电话支持的响应时间为7*24小时。</w:t>
      </w:r>
    </w:p>
    <w:p>
      <w:pPr>
        <w:pStyle w:val="5"/>
      </w:pPr>
      <w:bookmarkStart w:id="72" w:name="_Toc139901793"/>
      <w:r>
        <w:rPr>
          <w:rFonts w:hint="eastAsia"/>
        </w:rPr>
        <w:t>现场支持服务</w:t>
      </w:r>
      <w:bookmarkEnd w:id="72"/>
    </w:p>
    <w:p>
      <w:pPr>
        <w:pStyle w:val="72"/>
        <w:spacing w:line="360" w:lineRule="auto"/>
        <w:ind w:firstLine="424" w:firstLineChars="177"/>
        <w:rPr>
          <w:rFonts w:hAnsi="Arial"/>
          <w:sz w:val="24"/>
          <w:szCs w:val="24"/>
        </w:rPr>
      </w:pPr>
      <w:r>
        <w:rPr>
          <w:rFonts w:hint="eastAsia" w:hAnsi="Arial"/>
          <w:sz w:val="24"/>
          <w:szCs w:val="24"/>
        </w:rPr>
        <w:t>运维服务商提供现场支持服务时，应安排具有相关专业技术能力的工程师赴现场分析故障原因，制定故障解决方案，并最终排除故障。现场支持的响应时间为7*24小时。</w:t>
      </w:r>
    </w:p>
    <w:p>
      <w:pPr>
        <w:pStyle w:val="72"/>
        <w:spacing w:line="360" w:lineRule="auto"/>
        <w:ind w:firstLine="424" w:firstLineChars="177"/>
        <w:rPr>
          <w:rFonts w:hAnsi="Arial"/>
          <w:sz w:val="24"/>
          <w:szCs w:val="24"/>
        </w:rPr>
      </w:pPr>
      <w:r>
        <w:rPr>
          <w:rFonts w:hint="eastAsia" w:hAnsi="Arial"/>
          <w:sz w:val="24"/>
          <w:szCs w:val="24"/>
        </w:rPr>
        <w:t>运维服务商的技术人员在处理故障时不能影响到其他设备的正常运行；在必须进行系统重装或系统启动等较大操作时，须经招标方相关主管批准后方可实施。</w:t>
      </w:r>
    </w:p>
    <w:p>
      <w:pPr>
        <w:pStyle w:val="72"/>
        <w:spacing w:line="360" w:lineRule="auto"/>
        <w:ind w:firstLine="424" w:firstLineChars="177"/>
        <w:rPr>
          <w:rFonts w:hAnsi="Arial"/>
          <w:sz w:val="24"/>
          <w:szCs w:val="24"/>
        </w:rPr>
      </w:pPr>
      <w:r>
        <w:rPr>
          <w:rFonts w:hint="eastAsia" w:hAnsi="Arial"/>
          <w:sz w:val="24"/>
          <w:szCs w:val="24"/>
        </w:rPr>
        <w:t>运维服务商服务人员在处理故障时，要认真填写《故障处理报告》，并需得到用户签字确认及存档后方可离开，《故障处理报告》同时存入运维服务商的用户故障处理数据库（知识库）。</w:t>
      </w:r>
    </w:p>
    <w:p>
      <w:pPr>
        <w:pStyle w:val="72"/>
        <w:spacing w:line="360" w:lineRule="auto"/>
        <w:ind w:firstLine="566" w:firstLineChars="236"/>
        <w:rPr>
          <w:rFonts w:hAnsi="Arial"/>
          <w:sz w:val="24"/>
          <w:szCs w:val="24"/>
        </w:rPr>
      </w:pPr>
      <w:r>
        <w:rPr>
          <w:rFonts w:hint="eastAsia" w:hAnsi="Arial"/>
          <w:sz w:val="24"/>
          <w:szCs w:val="24"/>
        </w:rPr>
        <w:t>负责在服务过程中遵守规章制度，并根据要求，提供以下说明材料：</w:t>
      </w:r>
    </w:p>
    <w:p>
      <w:pPr>
        <w:pStyle w:val="72"/>
        <w:numPr>
          <w:ilvl w:val="0"/>
          <w:numId w:val="11"/>
        </w:numPr>
        <w:spacing w:line="360" w:lineRule="auto"/>
        <w:rPr>
          <w:rFonts w:hAnsi="Arial"/>
          <w:sz w:val="24"/>
          <w:szCs w:val="24"/>
        </w:rPr>
      </w:pPr>
      <w:r>
        <w:rPr>
          <w:rFonts w:hint="eastAsia" w:hAnsi="Arial"/>
          <w:sz w:val="24"/>
          <w:szCs w:val="24"/>
        </w:rPr>
        <w:t>提供工作内容、操作方法；</w:t>
      </w:r>
    </w:p>
    <w:p>
      <w:pPr>
        <w:pStyle w:val="72"/>
        <w:numPr>
          <w:ilvl w:val="0"/>
          <w:numId w:val="11"/>
        </w:numPr>
        <w:spacing w:line="360" w:lineRule="auto"/>
        <w:rPr>
          <w:rFonts w:hAnsi="Arial"/>
          <w:sz w:val="24"/>
          <w:szCs w:val="24"/>
        </w:rPr>
      </w:pPr>
      <w:r>
        <w:rPr>
          <w:rFonts w:hint="eastAsia" w:hAnsi="Arial"/>
          <w:sz w:val="24"/>
          <w:szCs w:val="24"/>
        </w:rPr>
        <w:t>风险分析及风险应对承诺签字；</w:t>
      </w:r>
    </w:p>
    <w:p>
      <w:pPr>
        <w:pStyle w:val="72"/>
        <w:numPr>
          <w:ilvl w:val="0"/>
          <w:numId w:val="11"/>
        </w:numPr>
        <w:spacing w:line="360" w:lineRule="auto"/>
        <w:rPr>
          <w:rFonts w:hAnsi="Arial"/>
          <w:sz w:val="24"/>
          <w:szCs w:val="24"/>
        </w:rPr>
      </w:pPr>
      <w:r>
        <w:rPr>
          <w:rFonts w:hint="eastAsia" w:hAnsi="Arial"/>
          <w:sz w:val="24"/>
          <w:szCs w:val="24"/>
        </w:rPr>
        <w:t>操作者姓名；</w:t>
      </w:r>
    </w:p>
    <w:p>
      <w:pPr>
        <w:pStyle w:val="72"/>
        <w:numPr>
          <w:ilvl w:val="0"/>
          <w:numId w:val="11"/>
        </w:numPr>
        <w:spacing w:line="360" w:lineRule="auto"/>
        <w:rPr>
          <w:rFonts w:hAnsi="Arial"/>
          <w:sz w:val="24"/>
          <w:szCs w:val="24"/>
        </w:rPr>
      </w:pPr>
      <w:r>
        <w:rPr>
          <w:rFonts w:hint="eastAsia" w:hAnsi="Arial"/>
          <w:sz w:val="24"/>
          <w:szCs w:val="24"/>
        </w:rPr>
        <w:t>需要软件商配合事项；</w:t>
      </w:r>
    </w:p>
    <w:p>
      <w:pPr>
        <w:pStyle w:val="5"/>
      </w:pPr>
      <w:bookmarkStart w:id="73" w:name="_Toc139901794"/>
      <w:r>
        <w:rPr>
          <w:rFonts w:hint="eastAsia"/>
        </w:rPr>
        <w:t>备品备件服务</w:t>
      </w:r>
      <w:bookmarkEnd w:id="73"/>
    </w:p>
    <w:p>
      <w:pPr>
        <w:spacing w:line="360" w:lineRule="auto"/>
        <w:ind w:firstLine="420"/>
        <w:rPr>
          <w:rFonts w:ascii="宋体" w:hAnsi="宋体"/>
          <w:sz w:val="24"/>
          <w:szCs w:val="24"/>
        </w:rPr>
      </w:pPr>
      <w:r>
        <w:rPr>
          <w:rFonts w:hint="eastAsia" w:ascii="宋体" w:hAnsi="宋体"/>
          <w:sz w:val="24"/>
          <w:szCs w:val="24"/>
        </w:rPr>
        <w:t>当设备出现故障，运维服务商确认故障部件后，协调设备提供商发出替换备件（</w:t>
      </w:r>
      <w:r>
        <w:rPr>
          <w:rFonts w:hint="eastAsia" w:ascii="宋体" w:hAnsi="宋体"/>
          <w:color w:val="000000"/>
          <w:sz w:val="24"/>
        </w:rPr>
        <w:t>不另行收取费用</w:t>
      </w:r>
      <w:r>
        <w:rPr>
          <w:rFonts w:hint="eastAsia" w:ascii="宋体" w:hAnsi="宋体"/>
          <w:sz w:val="24"/>
          <w:szCs w:val="24"/>
        </w:rPr>
        <w:t>），而不必等待坏损设备退回设备提供商，使得在最快时间内排除故障，避免严重后果和业务长时间中断。</w:t>
      </w:r>
    </w:p>
    <w:p>
      <w:pPr>
        <w:pStyle w:val="5"/>
      </w:pPr>
      <w:bookmarkStart w:id="74" w:name="_Toc139901795"/>
      <w:r>
        <w:rPr>
          <w:rFonts w:hint="eastAsia"/>
        </w:rPr>
        <w:t>故障级别与服务响应速度、故障恢复时间要求</w:t>
      </w:r>
      <w:bookmarkEnd w:id="74"/>
    </w:p>
    <w:p>
      <w:pPr>
        <w:pStyle w:val="72"/>
        <w:spacing w:line="360" w:lineRule="auto"/>
        <w:ind w:firstLine="424" w:firstLineChars="177"/>
        <w:rPr>
          <w:rFonts w:hAnsi="Arial"/>
          <w:sz w:val="24"/>
          <w:szCs w:val="24"/>
        </w:rPr>
      </w:pPr>
      <w:r>
        <w:rPr>
          <w:rFonts w:hint="eastAsia" w:hAnsi="Arial"/>
          <w:sz w:val="24"/>
          <w:szCs w:val="24"/>
        </w:rPr>
        <w:t>当招标方的设备发生问题时，根据招标方对故障的定级，运维服务商需提供不同的响应速度及故障恢复时间。</w:t>
      </w:r>
      <w:r>
        <w:rPr>
          <w:rFonts w:hAnsi="Arial"/>
          <w:sz w:val="24"/>
          <w:szCs w:val="24"/>
        </w:rPr>
        <w:t xml:space="preserve"> </w:t>
      </w:r>
    </w:p>
    <w:p>
      <w:pPr>
        <w:pStyle w:val="72"/>
        <w:spacing w:line="360" w:lineRule="auto"/>
        <w:ind w:firstLine="424" w:firstLineChars="177"/>
        <w:rPr>
          <w:rFonts w:hAnsi="Arial"/>
          <w:sz w:val="24"/>
          <w:szCs w:val="24"/>
        </w:rPr>
      </w:pPr>
      <w:r>
        <w:rPr>
          <w:rFonts w:hint="eastAsia" w:hAnsi="Arial"/>
          <w:sz w:val="24"/>
          <w:szCs w:val="24"/>
        </w:rPr>
        <w:t>故障级别定义：</w:t>
      </w:r>
    </w:p>
    <w:p>
      <w:pPr>
        <w:pStyle w:val="72"/>
        <w:numPr>
          <w:ilvl w:val="0"/>
          <w:numId w:val="4"/>
        </w:numPr>
        <w:spacing w:line="360" w:lineRule="auto"/>
        <w:rPr>
          <w:rFonts w:hAnsi="Arial"/>
          <w:sz w:val="24"/>
          <w:szCs w:val="24"/>
        </w:rPr>
      </w:pPr>
      <w:r>
        <w:rPr>
          <w:rFonts w:hint="eastAsia" w:hAnsi="Arial"/>
          <w:sz w:val="24"/>
          <w:szCs w:val="24"/>
        </w:rPr>
        <w:t>一级：现有的系统停机，或造成业务中断或数据丢失。</w:t>
      </w:r>
      <w:r>
        <w:rPr>
          <w:rFonts w:hAnsi="Arial"/>
          <w:sz w:val="24"/>
          <w:szCs w:val="24"/>
        </w:rPr>
        <w:t xml:space="preserve"> </w:t>
      </w:r>
    </w:p>
    <w:p>
      <w:pPr>
        <w:pStyle w:val="72"/>
        <w:numPr>
          <w:ilvl w:val="0"/>
          <w:numId w:val="4"/>
        </w:numPr>
        <w:spacing w:line="360" w:lineRule="auto"/>
        <w:rPr>
          <w:rFonts w:hAnsi="Arial"/>
          <w:sz w:val="24"/>
          <w:szCs w:val="24"/>
        </w:rPr>
      </w:pPr>
      <w:r>
        <w:rPr>
          <w:rFonts w:hint="eastAsia" w:hAnsi="Arial"/>
          <w:sz w:val="24"/>
          <w:szCs w:val="24"/>
        </w:rPr>
        <w:t>二级：现有系统的可操作性严重降级，或由于系统性能降低严重影响业务运作。</w:t>
      </w:r>
      <w:r>
        <w:rPr>
          <w:rFonts w:hAnsi="Arial"/>
          <w:sz w:val="24"/>
          <w:szCs w:val="24"/>
        </w:rPr>
        <w:t xml:space="preserve"> </w:t>
      </w:r>
    </w:p>
    <w:p>
      <w:pPr>
        <w:pStyle w:val="72"/>
        <w:numPr>
          <w:ilvl w:val="0"/>
          <w:numId w:val="4"/>
        </w:numPr>
        <w:spacing w:line="360" w:lineRule="auto"/>
        <w:rPr>
          <w:rFonts w:hAnsi="Arial"/>
          <w:sz w:val="24"/>
          <w:szCs w:val="24"/>
        </w:rPr>
      </w:pPr>
      <w:r>
        <w:rPr>
          <w:rFonts w:hint="eastAsia" w:hAnsi="Arial"/>
          <w:sz w:val="24"/>
          <w:szCs w:val="24"/>
        </w:rPr>
        <w:t>三级：系统可操作性受损，但业务运作仍可正常工作。</w:t>
      </w:r>
    </w:p>
    <w:p>
      <w:pPr>
        <w:pStyle w:val="72"/>
        <w:numPr>
          <w:ilvl w:val="0"/>
          <w:numId w:val="4"/>
        </w:numPr>
        <w:spacing w:line="360" w:lineRule="auto"/>
        <w:rPr>
          <w:rFonts w:hAnsi="Arial"/>
          <w:sz w:val="24"/>
          <w:szCs w:val="24"/>
        </w:rPr>
      </w:pPr>
      <w:r>
        <w:rPr>
          <w:rFonts w:hint="eastAsia" w:hAnsi="Arial"/>
          <w:sz w:val="24"/>
          <w:szCs w:val="24"/>
        </w:rPr>
        <w:t>四级</w:t>
      </w:r>
      <w:r>
        <w:rPr>
          <w:rFonts w:hAnsi="Arial"/>
          <w:sz w:val="24"/>
          <w:szCs w:val="24"/>
        </w:rPr>
        <w:t xml:space="preserve">: </w:t>
      </w:r>
      <w:r>
        <w:rPr>
          <w:rFonts w:hint="eastAsia" w:hAnsi="Arial"/>
          <w:sz w:val="24"/>
          <w:szCs w:val="24"/>
        </w:rPr>
        <w:t>系统功能、安装或配置方面需要改进，但明显对业务运作影响度低，或根本没有影响。</w:t>
      </w:r>
    </w:p>
    <w:p>
      <w:pPr>
        <w:pStyle w:val="72"/>
        <w:spacing w:line="360" w:lineRule="auto"/>
        <w:ind w:firstLine="424" w:firstLineChars="177"/>
        <w:rPr>
          <w:rFonts w:hAnsi="Arial"/>
          <w:sz w:val="24"/>
          <w:szCs w:val="24"/>
        </w:rPr>
      </w:pPr>
      <w:r>
        <w:rPr>
          <w:rFonts w:hint="eastAsia" w:hAnsi="Arial"/>
          <w:sz w:val="24"/>
          <w:szCs w:val="24"/>
        </w:rPr>
        <w:t>维护方在接到故障报告后，10分钟内给出口头应急措施，1小时内给出完整解决方案。一级故障或二级故障，在电话或其他即时通讯软件无法提供解决办法的情况下，尽可能在应急措施后先恢复网络正常，并在45分钟内赶赴现场处理。三级故障和四级故障一般以远程支持的方式解决，由于产品本身原因无法解决的，维护方需要在两天内赶赴现场负责处理。</w:t>
      </w:r>
    </w:p>
    <w:p>
      <w:pPr>
        <w:pStyle w:val="72"/>
        <w:spacing w:line="360" w:lineRule="auto"/>
        <w:ind w:firstLine="424" w:firstLineChars="177"/>
        <w:rPr>
          <w:rFonts w:hAnsi="Arial"/>
          <w:sz w:val="24"/>
          <w:szCs w:val="24"/>
        </w:rPr>
      </w:pPr>
      <w:r>
        <w:rPr>
          <w:rFonts w:hAnsi="Arial"/>
          <w:sz w:val="24"/>
          <w:szCs w:val="24"/>
        </w:rPr>
        <w:t>要求故障处理结束后2个工作日内，提交</w:t>
      </w:r>
      <w:r>
        <w:rPr>
          <w:rFonts w:hint="eastAsia" w:hAnsi="Arial"/>
          <w:sz w:val="24"/>
          <w:szCs w:val="24"/>
        </w:rPr>
        <w:t>《</w:t>
      </w:r>
      <w:r>
        <w:rPr>
          <w:rFonts w:hAnsi="Arial"/>
          <w:sz w:val="24"/>
          <w:szCs w:val="24"/>
        </w:rPr>
        <w:t>故障</w:t>
      </w:r>
      <w:r>
        <w:rPr>
          <w:rFonts w:hint="eastAsia" w:hAnsi="Arial"/>
          <w:sz w:val="24"/>
          <w:szCs w:val="24"/>
        </w:rPr>
        <w:t>处置工作小结》</w:t>
      </w:r>
      <w:r>
        <w:rPr>
          <w:rFonts w:hAnsi="Arial"/>
          <w:sz w:val="24"/>
          <w:szCs w:val="24"/>
        </w:rPr>
        <w:t>。</w:t>
      </w:r>
    </w:p>
    <w:p>
      <w:pPr>
        <w:pStyle w:val="3"/>
      </w:pPr>
      <w:bookmarkStart w:id="75" w:name="_Toc299352265"/>
      <w:bookmarkStart w:id="76" w:name="_Toc503882921"/>
      <w:bookmarkStart w:id="77" w:name="_Toc139901796"/>
      <w:bookmarkStart w:id="78" w:name="_Toc7351225"/>
      <w:r>
        <w:rPr>
          <w:rFonts w:hint="eastAsia"/>
        </w:rPr>
        <w:t>服务报告</w:t>
      </w:r>
      <w:bookmarkEnd w:id="75"/>
      <w:bookmarkEnd w:id="76"/>
      <w:r>
        <w:rPr>
          <w:rFonts w:hint="eastAsia"/>
        </w:rPr>
        <w:t>要求</w:t>
      </w:r>
      <w:bookmarkEnd w:id="77"/>
      <w:bookmarkEnd w:id="78"/>
    </w:p>
    <w:p>
      <w:pPr>
        <w:pStyle w:val="72"/>
        <w:spacing w:line="360" w:lineRule="auto"/>
        <w:ind w:firstLine="566" w:firstLineChars="236"/>
        <w:rPr>
          <w:rFonts w:hAnsi="Arial"/>
          <w:sz w:val="24"/>
          <w:szCs w:val="24"/>
        </w:rPr>
      </w:pPr>
      <w:r>
        <w:rPr>
          <w:rFonts w:hint="eastAsia" w:hAnsi="Arial"/>
          <w:sz w:val="24"/>
          <w:szCs w:val="24"/>
        </w:rPr>
        <w:t>负责提供以下报告：</w:t>
      </w:r>
    </w:p>
    <w:tbl>
      <w:tblPr>
        <w:tblStyle w:val="42"/>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227"/>
        <w:gridCol w:w="2993"/>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04" w:hRule="atLeast"/>
        </w:trPr>
        <w:tc>
          <w:tcPr>
            <w:tcW w:w="2227" w:type="dxa"/>
            <w:tcBorders>
              <w:top w:val="single" w:color="auto" w:sz="4" w:space="0"/>
              <w:left w:val="single" w:color="auto" w:sz="4" w:space="0"/>
              <w:bottom w:val="single" w:color="auto" w:sz="4" w:space="0"/>
              <w:right w:val="single" w:color="auto" w:sz="4" w:space="0"/>
            </w:tcBorders>
            <w:shd w:val="clear" w:color="auto" w:fill="D9D9D9"/>
          </w:tcPr>
          <w:p>
            <w:pPr>
              <w:spacing w:line="360" w:lineRule="auto"/>
              <w:rPr>
                <w:rFonts w:ascii="宋体" w:hAnsi="宋体"/>
                <w:b/>
                <w:sz w:val="24"/>
              </w:rPr>
            </w:pPr>
            <w:r>
              <w:rPr>
                <w:rFonts w:hint="eastAsia" w:ascii="宋体" w:hAnsi="宋体"/>
                <w:b/>
                <w:sz w:val="24"/>
              </w:rPr>
              <w:t>报告</w:t>
            </w:r>
          </w:p>
        </w:tc>
        <w:tc>
          <w:tcPr>
            <w:tcW w:w="2993" w:type="dxa"/>
            <w:tcBorders>
              <w:top w:val="single" w:color="auto" w:sz="4" w:space="0"/>
              <w:left w:val="single" w:color="auto" w:sz="4" w:space="0"/>
              <w:bottom w:val="single" w:color="auto" w:sz="4" w:space="0"/>
              <w:right w:val="single" w:color="auto" w:sz="4" w:space="0"/>
            </w:tcBorders>
            <w:shd w:val="clear" w:color="auto" w:fill="D9D9D9"/>
          </w:tcPr>
          <w:p>
            <w:pPr>
              <w:spacing w:line="360" w:lineRule="auto"/>
              <w:rPr>
                <w:rFonts w:ascii="宋体" w:hAnsi="宋体"/>
                <w:b/>
                <w:sz w:val="24"/>
              </w:rPr>
            </w:pPr>
            <w:r>
              <w:rPr>
                <w:rFonts w:hint="eastAsia" w:ascii="宋体" w:hAnsi="宋体"/>
                <w:b/>
                <w:sz w:val="24"/>
              </w:rPr>
              <w:t>内容</w:t>
            </w:r>
          </w:p>
        </w:tc>
        <w:tc>
          <w:tcPr>
            <w:tcW w:w="3284" w:type="dxa"/>
            <w:tcBorders>
              <w:top w:val="single" w:color="auto" w:sz="4" w:space="0"/>
              <w:left w:val="single" w:color="auto" w:sz="4" w:space="0"/>
              <w:bottom w:val="single" w:color="auto" w:sz="4" w:space="0"/>
              <w:right w:val="single" w:color="auto" w:sz="4" w:space="0"/>
            </w:tcBorders>
            <w:shd w:val="clear" w:color="auto" w:fill="D9D9D9"/>
          </w:tcPr>
          <w:p>
            <w:pPr>
              <w:spacing w:line="360" w:lineRule="auto"/>
              <w:rPr>
                <w:rFonts w:ascii="宋体" w:hAnsi="宋体"/>
                <w:b/>
                <w:sz w:val="24"/>
              </w:rPr>
            </w:pPr>
            <w:r>
              <w:rPr>
                <w:rFonts w:hint="eastAsia" w:ascii="宋体" w:hAnsi="宋体"/>
                <w:b/>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04" w:hRule="atLeast"/>
        </w:trPr>
        <w:tc>
          <w:tcPr>
            <w:tcW w:w="222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rPr>
                <w:rFonts w:ascii="宋体" w:hAnsi="宋体"/>
                <w:b/>
                <w:sz w:val="24"/>
              </w:rPr>
            </w:pPr>
            <w:r>
              <w:rPr>
                <w:rFonts w:hint="eastAsia" w:ascii="宋体" w:hAnsi="宋体"/>
                <w:sz w:val="24"/>
              </w:rPr>
              <w:t>月度巡检报告</w:t>
            </w:r>
          </w:p>
        </w:tc>
        <w:tc>
          <w:tcPr>
            <w:tcW w:w="299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rPr>
                <w:rFonts w:ascii="宋体" w:hAnsi="宋体"/>
                <w:b/>
                <w:sz w:val="24"/>
              </w:rPr>
            </w:pPr>
            <w:r>
              <w:rPr>
                <w:rFonts w:hint="eastAsia" w:ascii="宋体" w:hAnsi="宋体"/>
                <w:sz w:val="24"/>
              </w:rPr>
              <w:t>总结本月的巡检结果</w:t>
            </w:r>
          </w:p>
        </w:tc>
        <w:tc>
          <w:tcPr>
            <w:tcW w:w="328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rPr>
                <w:rFonts w:ascii="宋体" w:hAnsi="宋体"/>
                <w:b/>
                <w:sz w:val="24"/>
              </w:rPr>
            </w:pPr>
            <w:r>
              <w:rPr>
                <w:rFonts w:hint="eastAsia" w:ascii="宋体" w:hAnsi="宋体"/>
                <w:sz w:val="24"/>
              </w:rPr>
              <w:t>1次/月，下月5日内提交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2" w:hRule="atLeast"/>
        </w:trPr>
        <w:tc>
          <w:tcPr>
            <w:tcW w:w="22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季度巡检报告</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总结本季度的巡检结果</w:t>
            </w:r>
          </w:p>
        </w:tc>
        <w:tc>
          <w:tcPr>
            <w:tcW w:w="3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1次/季度，下月5日内提交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2" w:hRule="atLeast"/>
        </w:trPr>
        <w:tc>
          <w:tcPr>
            <w:tcW w:w="22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服务年报告</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总结全年的工作情况和资源使用情况</w:t>
            </w:r>
          </w:p>
        </w:tc>
        <w:tc>
          <w:tcPr>
            <w:tcW w:w="3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1次/年，年后10日内提交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2" w:hRule="atLeast"/>
        </w:trPr>
        <w:tc>
          <w:tcPr>
            <w:tcW w:w="22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重大事件服务报告</w:t>
            </w:r>
          </w:p>
        </w:tc>
        <w:tc>
          <w:tcPr>
            <w:tcW w:w="2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总结重要事件的服务情况</w:t>
            </w:r>
          </w:p>
        </w:tc>
        <w:tc>
          <w:tcPr>
            <w:tcW w:w="32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重大故障发生的下一工作日提交</w:t>
            </w:r>
          </w:p>
        </w:tc>
      </w:tr>
    </w:tbl>
    <w:p>
      <w:pPr>
        <w:pStyle w:val="3"/>
      </w:pPr>
      <w:bookmarkStart w:id="79" w:name="_Toc139901797"/>
      <w:r>
        <w:t>技术支撑服务</w:t>
      </w:r>
      <w:bookmarkEnd w:id="79"/>
    </w:p>
    <w:p>
      <w:pPr>
        <w:pStyle w:val="5"/>
      </w:pPr>
      <w:bookmarkStart w:id="80" w:name="_Toc139901798"/>
      <w:r>
        <w:t>现场设备检查服务</w:t>
      </w:r>
      <w:bookmarkEnd w:id="80"/>
    </w:p>
    <w:p>
      <w:pPr>
        <w:pStyle w:val="72"/>
        <w:spacing w:line="360" w:lineRule="auto"/>
        <w:ind w:firstLine="424" w:firstLineChars="177"/>
        <w:rPr>
          <w:rFonts w:hAnsi="Arial"/>
          <w:sz w:val="24"/>
          <w:szCs w:val="24"/>
        </w:rPr>
      </w:pPr>
      <w:r>
        <w:rPr>
          <w:rFonts w:hAnsi="Arial"/>
          <w:sz w:val="24"/>
          <w:szCs w:val="24"/>
        </w:rPr>
        <w:t>现场设备检查</w:t>
      </w:r>
      <w:r>
        <w:rPr>
          <w:rFonts w:hint="eastAsia" w:hAnsi="Arial"/>
          <w:sz w:val="24"/>
          <w:szCs w:val="24"/>
        </w:rPr>
        <w:t>服务要求包括：</w:t>
      </w:r>
    </w:p>
    <w:p>
      <w:pPr>
        <w:pStyle w:val="72"/>
        <w:spacing w:line="360" w:lineRule="auto"/>
        <w:ind w:firstLine="424" w:firstLineChars="177"/>
        <w:rPr>
          <w:rFonts w:hAnsi="Arial"/>
          <w:sz w:val="24"/>
          <w:szCs w:val="24"/>
        </w:rPr>
      </w:pPr>
      <w:r>
        <w:rPr>
          <w:rFonts w:hint="eastAsia" w:hAnsi="Arial"/>
          <w:sz w:val="24"/>
          <w:szCs w:val="24"/>
        </w:rPr>
        <w:t>1</w:t>
      </w:r>
      <w:r>
        <w:rPr>
          <w:rFonts w:hAnsi="Arial"/>
          <w:sz w:val="24"/>
          <w:szCs w:val="24"/>
        </w:rPr>
        <w:t xml:space="preserve">. </w:t>
      </w:r>
      <w:r>
        <w:rPr>
          <w:rFonts w:hint="eastAsia" w:hAnsi="Arial"/>
          <w:sz w:val="24"/>
          <w:szCs w:val="24"/>
        </w:rPr>
        <w:t>巡检工作应有相关记录，并形成工作小结，涉及整改内容的需在规定时间内完成整改方案，并提交整改结果报告。</w:t>
      </w:r>
    </w:p>
    <w:p>
      <w:pPr>
        <w:pStyle w:val="72"/>
        <w:spacing w:line="360" w:lineRule="auto"/>
        <w:ind w:firstLine="424" w:firstLineChars="177"/>
        <w:rPr>
          <w:rFonts w:hAnsi="Arial"/>
          <w:sz w:val="24"/>
          <w:szCs w:val="24"/>
        </w:rPr>
      </w:pPr>
      <w:r>
        <w:rPr>
          <w:rFonts w:hint="eastAsia" w:hAnsi="Arial"/>
          <w:sz w:val="24"/>
          <w:szCs w:val="24"/>
        </w:rPr>
        <w:t>2</w:t>
      </w:r>
      <w:r>
        <w:rPr>
          <w:rFonts w:hAnsi="Arial"/>
          <w:sz w:val="24"/>
          <w:szCs w:val="24"/>
        </w:rPr>
        <w:t>.运维服务商需为招标方建立设备维修档案，并根据设备运行情况向招标方提供设备升级、改造、更换的建议和方案。</w:t>
      </w:r>
    </w:p>
    <w:p>
      <w:pPr>
        <w:pStyle w:val="72"/>
        <w:spacing w:line="360" w:lineRule="auto"/>
        <w:ind w:firstLine="424" w:firstLineChars="177"/>
        <w:rPr>
          <w:rFonts w:hAnsi="Arial"/>
          <w:sz w:val="24"/>
          <w:szCs w:val="24"/>
        </w:rPr>
      </w:pPr>
      <w:r>
        <w:rPr>
          <w:rFonts w:hint="eastAsia" w:hAnsi="Arial"/>
          <w:sz w:val="24"/>
          <w:szCs w:val="24"/>
        </w:rPr>
        <w:t>3</w:t>
      </w:r>
      <w:r>
        <w:rPr>
          <w:rFonts w:hAnsi="Arial"/>
          <w:sz w:val="24"/>
          <w:szCs w:val="24"/>
        </w:rPr>
        <w:t>．多厂商多平台技术支持服务</w:t>
      </w:r>
    </w:p>
    <w:p>
      <w:pPr>
        <w:pStyle w:val="72"/>
        <w:spacing w:line="360" w:lineRule="auto"/>
        <w:ind w:firstLine="424" w:firstLineChars="177"/>
        <w:rPr>
          <w:rFonts w:hAnsi="Arial"/>
          <w:sz w:val="24"/>
          <w:szCs w:val="24"/>
        </w:rPr>
      </w:pPr>
      <w:r>
        <w:rPr>
          <w:rFonts w:hint="eastAsia" w:hAnsi="Arial"/>
          <w:sz w:val="24"/>
          <w:szCs w:val="24"/>
        </w:rPr>
        <w:t>根据招标方运维服务要求，如需原厂商或第三方服务机构提供技术支持的，</w:t>
      </w:r>
      <w:r>
        <w:rPr>
          <w:rFonts w:hAnsi="Arial"/>
          <w:sz w:val="24"/>
          <w:szCs w:val="24"/>
        </w:rPr>
        <w:t>运维服务商应能够为招标方提供多厂商多平台技术协作支持</w:t>
      </w:r>
      <w:r>
        <w:rPr>
          <w:rFonts w:hint="eastAsia" w:hAnsi="Arial"/>
          <w:sz w:val="24"/>
          <w:szCs w:val="24"/>
        </w:rPr>
        <w:t>（包括</w:t>
      </w:r>
      <w:r>
        <w:rPr>
          <w:rFonts w:hAnsi="Arial"/>
          <w:sz w:val="24"/>
          <w:szCs w:val="24"/>
        </w:rPr>
        <w:t>主机、存储等</w:t>
      </w:r>
      <w:r>
        <w:rPr>
          <w:rFonts w:hint="eastAsia" w:hAnsi="Arial"/>
          <w:sz w:val="24"/>
          <w:szCs w:val="24"/>
        </w:rPr>
        <w:t>）</w:t>
      </w:r>
      <w:r>
        <w:rPr>
          <w:rFonts w:hAnsi="Arial"/>
          <w:sz w:val="24"/>
          <w:szCs w:val="24"/>
        </w:rPr>
        <w:t xml:space="preserve">。 </w:t>
      </w:r>
    </w:p>
    <w:p>
      <w:pPr>
        <w:pStyle w:val="5"/>
      </w:pPr>
      <w:bookmarkStart w:id="81" w:name="_Toc106283182"/>
      <w:bookmarkEnd w:id="81"/>
      <w:bookmarkStart w:id="82" w:name="_Toc106283183"/>
      <w:bookmarkEnd w:id="82"/>
      <w:r>
        <w:br w:type="page"/>
      </w:r>
      <w:bookmarkStart w:id="83" w:name="_Toc139901799"/>
      <w:r>
        <w:rPr>
          <w:rFonts w:hint="eastAsia"/>
        </w:rPr>
        <w:t>安全维护服务支持要求</w:t>
      </w:r>
      <w:bookmarkEnd w:id="83"/>
    </w:p>
    <w:p>
      <w:pPr>
        <w:pStyle w:val="72"/>
        <w:spacing w:line="360" w:lineRule="auto"/>
        <w:ind w:firstLine="424" w:firstLineChars="177"/>
        <w:rPr>
          <w:rFonts w:hAnsi="Arial"/>
          <w:sz w:val="24"/>
          <w:szCs w:val="24"/>
        </w:rPr>
      </w:pPr>
      <w:r>
        <w:rPr>
          <w:rFonts w:hint="eastAsia" w:hAnsi="Arial"/>
          <w:sz w:val="24"/>
          <w:szCs w:val="24"/>
        </w:rPr>
        <w:t>安全维护服务支持要求包括：</w:t>
      </w:r>
    </w:p>
    <w:p>
      <w:pPr>
        <w:pStyle w:val="72"/>
        <w:numPr>
          <w:ilvl w:val="0"/>
          <w:numId w:val="12"/>
        </w:numPr>
        <w:spacing w:line="360" w:lineRule="auto"/>
        <w:rPr>
          <w:rFonts w:hAnsi="Arial"/>
          <w:sz w:val="24"/>
          <w:szCs w:val="24"/>
        </w:rPr>
      </w:pPr>
      <w:r>
        <w:rPr>
          <w:rFonts w:hint="eastAsia" w:hAnsi="Arial"/>
          <w:sz w:val="24"/>
          <w:szCs w:val="24"/>
        </w:rPr>
        <w:t>日常安全监测、监控。安全相关设备的状态及日志分析；安全配置、策略优化、备份。安全相关设备、相关系统的配置、策略优化及定期备份工作。</w:t>
      </w:r>
    </w:p>
    <w:p>
      <w:pPr>
        <w:pStyle w:val="72"/>
        <w:numPr>
          <w:ilvl w:val="0"/>
          <w:numId w:val="12"/>
        </w:numPr>
        <w:spacing w:line="360" w:lineRule="auto"/>
        <w:rPr>
          <w:rFonts w:hAnsi="Arial"/>
          <w:sz w:val="24"/>
          <w:szCs w:val="24"/>
        </w:rPr>
      </w:pPr>
      <w:r>
        <w:rPr>
          <w:rFonts w:hint="eastAsia" w:hAnsi="Arial"/>
          <w:sz w:val="24"/>
          <w:szCs w:val="24"/>
        </w:rPr>
        <w:t>安全事件处置及应急响应。当出现安全事件时，及时协调包括运维服务商技术团队、原厂技术支持在内的多方资源进行事件处理，同时根据安全事件级别启动应急响应相关应急预案。</w:t>
      </w:r>
    </w:p>
    <w:p>
      <w:pPr>
        <w:pStyle w:val="72"/>
        <w:spacing w:line="360" w:lineRule="auto"/>
        <w:ind w:firstLine="424" w:firstLineChars="177"/>
        <w:rPr>
          <w:rFonts w:hAnsi="Arial"/>
          <w:sz w:val="24"/>
          <w:szCs w:val="24"/>
        </w:rPr>
      </w:pPr>
    </w:p>
    <w:p>
      <w:pPr>
        <w:pStyle w:val="3"/>
      </w:pPr>
      <w:bookmarkStart w:id="84" w:name="_Toc139901800"/>
      <w:r>
        <w:rPr>
          <w:rFonts w:hint="eastAsia"/>
        </w:rPr>
        <w:t>技术</w:t>
      </w:r>
      <w:r>
        <w:t>文档</w:t>
      </w:r>
      <w:r>
        <w:rPr>
          <w:rFonts w:hint="eastAsia"/>
        </w:rPr>
        <w:t>要求</w:t>
      </w:r>
      <w:bookmarkEnd w:id="84"/>
    </w:p>
    <w:p>
      <w:pPr>
        <w:pStyle w:val="5"/>
      </w:pPr>
      <w:bookmarkStart w:id="85" w:name="_Toc139901801"/>
      <w:r>
        <w:t>系统维护档案</w:t>
      </w:r>
      <w:r>
        <w:rPr>
          <w:rFonts w:hint="eastAsia"/>
        </w:rPr>
        <w:t>管理</w:t>
      </w:r>
      <w:bookmarkEnd w:id="85"/>
      <w:r>
        <w:t xml:space="preserve"> </w:t>
      </w:r>
    </w:p>
    <w:p>
      <w:pPr>
        <w:pStyle w:val="72"/>
        <w:spacing w:line="360" w:lineRule="auto"/>
        <w:ind w:firstLine="424" w:firstLineChars="177"/>
        <w:rPr>
          <w:rFonts w:hAnsi="Arial"/>
          <w:sz w:val="24"/>
          <w:szCs w:val="24"/>
        </w:rPr>
      </w:pPr>
      <w:r>
        <w:rPr>
          <w:rFonts w:hint="eastAsia" w:hAnsi="Arial"/>
          <w:sz w:val="24"/>
          <w:szCs w:val="24"/>
        </w:rPr>
        <w:t>运维服务商应配备专人负责系统维护档案的管理。</w:t>
      </w:r>
      <w:r>
        <w:rPr>
          <w:rFonts w:hAnsi="Arial"/>
          <w:sz w:val="24"/>
          <w:szCs w:val="24"/>
        </w:rPr>
        <w:t>建立</w:t>
      </w:r>
      <w:r>
        <w:rPr>
          <w:rFonts w:hint="eastAsia" w:hAnsi="Arial"/>
          <w:sz w:val="24"/>
          <w:szCs w:val="24"/>
        </w:rPr>
        <w:t>维护档案版本管理、文档规范管理等制度。维护档案内容包括，</w:t>
      </w:r>
      <w:r>
        <w:rPr>
          <w:rFonts w:hAnsi="Arial"/>
          <w:sz w:val="24"/>
          <w:szCs w:val="24"/>
        </w:rPr>
        <w:t>设备详细配置清单、所使用的操作系统、</w:t>
      </w:r>
      <w:r>
        <w:rPr>
          <w:rFonts w:hint="eastAsia" w:hAnsi="Arial"/>
          <w:sz w:val="24"/>
          <w:szCs w:val="24"/>
        </w:rPr>
        <w:t>软件系统</w:t>
      </w:r>
      <w:r>
        <w:rPr>
          <w:rFonts w:hAnsi="Arial"/>
          <w:sz w:val="24"/>
          <w:szCs w:val="24"/>
        </w:rPr>
        <w:t>版本号、系统的使用情况及系统的配置参数</w:t>
      </w:r>
      <w:r>
        <w:rPr>
          <w:rFonts w:hint="eastAsia" w:hAnsi="Arial"/>
          <w:sz w:val="24"/>
          <w:szCs w:val="24"/>
        </w:rPr>
        <w:t>等</w:t>
      </w:r>
      <w:r>
        <w:rPr>
          <w:rFonts w:hAnsi="Arial"/>
          <w:sz w:val="24"/>
          <w:szCs w:val="24"/>
        </w:rPr>
        <w:t>。</w:t>
      </w:r>
    </w:p>
    <w:p>
      <w:pPr>
        <w:pStyle w:val="5"/>
      </w:pPr>
      <w:bookmarkStart w:id="86" w:name="_Toc139901802"/>
      <w:r>
        <w:rPr>
          <w:rFonts w:hint="eastAsia"/>
        </w:rPr>
        <w:t>技术文档清单</w:t>
      </w:r>
      <w:bookmarkEnd w:id="86"/>
    </w:p>
    <w:p>
      <w:pPr>
        <w:pStyle w:val="72"/>
        <w:spacing w:line="360" w:lineRule="auto"/>
        <w:ind w:firstLine="424" w:firstLineChars="177"/>
        <w:rPr>
          <w:rFonts w:hAnsi="Arial"/>
          <w:sz w:val="24"/>
          <w:szCs w:val="24"/>
        </w:rPr>
      </w:pPr>
      <w:r>
        <w:rPr>
          <w:rFonts w:hAnsi="Arial"/>
          <w:sz w:val="24"/>
          <w:szCs w:val="24"/>
        </w:rPr>
        <w:t>运维服务商</w:t>
      </w:r>
      <w:r>
        <w:rPr>
          <w:rFonts w:hint="eastAsia" w:hAnsi="Arial"/>
          <w:sz w:val="24"/>
          <w:szCs w:val="24"/>
        </w:rPr>
        <w:t>需定期提交以下技术文档。</w:t>
      </w:r>
    </w:p>
    <w:tbl>
      <w:tblPr>
        <w:tblStyle w:val="4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75"/>
        <w:gridCol w:w="1559"/>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shd w:val="clear" w:color="auto" w:fill="auto"/>
            <w:vAlign w:val="center"/>
          </w:tcPr>
          <w:p>
            <w:pPr>
              <w:widowControl w:val="0"/>
              <w:spacing w:line="360" w:lineRule="auto"/>
              <w:jc w:val="center"/>
              <w:rPr>
                <w:rFonts w:ascii="宋体" w:hAnsi="宋体"/>
                <w:sz w:val="24"/>
                <w:szCs w:val="24"/>
                <w:lang w:val="zh-CN"/>
              </w:rPr>
            </w:pPr>
            <w:r>
              <w:rPr>
                <w:rFonts w:hint="eastAsia" w:ascii="宋体" w:hAnsi="宋体"/>
                <w:sz w:val="24"/>
                <w:szCs w:val="24"/>
                <w:lang w:val="zh-CN"/>
              </w:rPr>
              <w:t>序号</w:t>
            </w:r>
          </w:p>
        </w:tc>
        <w:tc>
          <w:tcPr>
            <w:tcW w:w="2275" w:type="dxa"/>
            <w:shd w:val="clear" w:color="auto" w:fill="auto"/>
            <w:vAlign w:val="center"/>
          </w:tcPr>
          <w:p>
            <w:pPr>
              <w:widowControl w:val="0"/>
              <w:spacing w:line="360" w:lineRule="auto"/>
              <w:jc w:val="center"/>
              <w:rPr>
                <w:rFonts w:ascii="宋体" w:hAnsi="宋体"/>
                <w:sz w:val="24"/>
                <w:szCs w:val="24"/>
                <w:lang w:val="zh-CN"/>
              </w:rPr>
            </w:pPr>
            <w:r>
              <w:rPr>
                <w:rFonts w:hint="eastAsia" w:ascii="宋体" w:hAnsi="宋体"/>
                <w:sz w:val="24"/>
                <w:szCs w:val="24"/>
                <w:lang w:val="zh-CN"/>
              </w:rPr>
              <w:t>工作产出</w:t>
            </w:r>
          </w:p>
        </w:tc>
        <w:tc>
          <w:tcPr>
            <w:tcW w:w="1559" w:type="dxa"/>
            <w:shd w:val="clear" w:color="auto" w:fill="auto"/>
            <w:vAlign w:val="center"/>
          </w:tcPr>
          <w:p>
            <w:pPr>
              <w:widowControl w:val="0"/>
              <w:spacing w:line="360" w:lineRule="auto"/>
              <w:jc w:val="center"/>
              <w:rPr>
                <w:rFonts w:ascii="宋体" w:hAnsi="宋体"/>
                <w:sz w:val="24"/>
                <w:szCs w:val="24"/>
                <w:lang w:val="zh-CN"/>
              </w:rPr>
            </w:pPr>
            <w:r>
              <w:rPr>
                <w:rFonts w:hint="eastAsia" w:ascii="宋体" w:hAnsi="宋体"/>
                <w:sz w:val="24"/>
                <w:szCs w:val="24"/>
                <w:lang w:val="zh-CN"/>
              </w:rPr>
              <w:t>提交频度</w:t>
            </w:r>
          </w:p>
        </w:tc>
        <w:tc>
          <w:tcPr>
            <w:tcW w:w="3736" w:type="dxa"/>
            <w:shd w:val="clear" w:color="auto" w:fill="auto"/>
            <w:vAlign w:val="center"/>
          </w:tcPr>
          <w:p>
            <w:pPr>
              <w:widowControl w:val="0"/>
              <w:spacing w:line="360" w:lineRule="auto"/>
              <w:jc w:val="center"/>
              <w:rPr>
                <w:rFonts w:ascii="宋体" w:hAnsi="宋体"/>
                <w:sz w:val="24"/>
                <w:szCs w:val="24"/>
                <w:lang w:val="zh-CN"/>
              </w:rPr>
            </w:pPr>
            <w:r>
              <w:rPr>
                <w:rFonts w:hint="eastAsia" w:ascii="宋体" w:hAnsi="宋体"/>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shd w:val="clear" w:color="auto" w:fill="auto"/>
            <w:vAlign w:val="center"/>
          </w:tcPr>
          <w:p>
            <w:pPr>
              <w:widowControl w:val="0"/>
              <w:numPr>
                <w:ilvl w:val="0"/>
                <w:numId w:val="13"/>
              </w:numPr>
              <w:spacing w:line="360" w:lineRule="auto"/>
              <w:jc w:val="both"/>
              <w:rPr>
                <w:rFonts w:ascii="宋体" w:hAnsi="宋体"/>
                <w:sz w:val="24"/>
                <w:szCs w:val="24"/>
                <w:lang w:val="zh-CN"/>
              </w:rPr>
            </w:pPr>
          </w:p>
        </w:tc>
        <w:tc>
          <w:tcPr>
            <w:tcW w:w="2275" w:type="dxa"/>
            <w:shd w:val="clear" w:color="auto" w:fill="auto"/>
            <w:vAlign w:val="center"/>
          </w:tcPr>
          <w:p>
            <w:pPr>
              <w:widowControl w:val="0"/>
              <w:spacing w:line="360" w:lineRule="auto"/>
              <w:jc w:val="both"/>
              <w:rPr>
                <w:rFonts w:ascii="宋体" w:hAnsi="宋体"/>
                <w:sz w:val="24"/>
                <w:szCs w:val="24"/>
                <w:lang w:val="zh-CN"/>
              </w:rPr>
            </w:pPr>
            <w:r>
              <w:rPr>
                <w:rFonts w:hint="eastAsia" w:ascii="宋体" w:hAnsi="宋体"/>
                <w:sz w:val="24"/>
                <w:szCs w:val="24"/>
                <w:lang w:val="zh-CN"/>
              </w:rPr>
              <w:t>系统运行维护记录</w:t>
            </w:r>
          </w:p>
        </w:tc>
        <w:tc>
          <w:tcPr>
            <w:tcW w:w="1559" w:type="dxa"/>
            <w:shd w:val="clear" w:color="auto" w:fill="auto"/>
            <w:vAlign w:val="center"/>
          </w:tcPr>
          <w:p>
            <w:pPr>
              <w:widowControl w:val="0"/>
              <w:spacing w:line="360" w:lineRule="auto"/>
              <w:jc w:val="both"/>
              <w:rPr>
                <w:rFonts w:ascii="宋体" w:hAnsi="宋体"/>
                <w:sz w:val="24"/>
                <w:szCs w:val="24"/>
                <w:lang w:val="zh-CN"/>
              </w:rPr>
            </w:pPr>
            <w:r>
              <w:rPr>
                <w:rFonts w:hint="eastAsia"/>
                <w:sz w:val="24"/>
                <w:szCs w:val="24"/>
              </w:rPr>
              <w:t>不定期</w:t>
            </w:r>
          </w:p>
        </w:tc>
        <w:tc>
          <w:tcPr>
            <w:tcW w:w="3736" w:type="dxa"/>
            <w:shd w:val="clear" w:color="auto" w:fill="auto"/>
            <w:vAlign w:val="center"/>
          </w:tcPr>
          <w:p>
            <w:pPr>
              <w:widowControl w:val="0"/>
              <w:spacing w:line="360" w:lineRule="auto"/>
              <w:jc w:val="both"/>
              <w:rPr>
                <w:rFonts w:ascii="宋体" w:hAnsi="宋体"/>
                <w:sz w:val="24"/>
                <w:szCs w:val="24"/>
                <w:lang w:val="zh-CN"/>
              </w:rPr>
            </w:pPr>
            <w:r>
              <w:rPr>
                <w:rFonts w:hint="eastAsia" w:ascii="宋体" w:hAnsi="宋体"/>
                <w:sz w:val="24"/>
                <w:szCs w:val="24"/>
                <w:lang w:val="zh-CN"/>
              </w:rPr>
              <w:t>包括运维基本情况、故障处理记录、系统备份记录、系统升级记录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shd w:val="clear" w:color="auto" w:fill="auto"/>
            <w:vAlign w:val="center"/>
          </w:tcPr>
          <w:p>
            <w:pPr>
              <w:widowControl w:val="0"/>
              <w:numPr>
                <w:ilvl w:val="0"/>
                <w:numId w:val="13"/>
              </w:numPr>
              <w:spacing w:line="360" w:lineRule="auto"/>
              <w:jc w:val="both"/>
              <w:rPr>
                <w:rFonts w:ascii="宋体" w:hAnsi="宋体"/>
                <w:sz w:val="24"/>
                <w:szCs w:val="24"/>
                <w:lang w:val="zh-CN"/>
              </w:rPr>
            </w:pPr>
          </w:p>
        </w:tc>
        <w:tc>
          <w:tcPr>
            <w:tcW w:w="2275" w:type="dxa"/>
            <w:shd w:val="clear" w:color="auto" w:fill="auto"/>
            <w:vAlign w:val="center"/>
          </w:tcPr>
          <w:p>
            <w:pPr>
              <w:widowControl w:val="0"/>
              <w:spacing w:line="360" w:lineRule="auto"/>
              <w:jc w:val="both"/>
              <w:rPr>
                <w:rFonts w:ascii="宋体" w:hAnsi="宋体"/>
                <w:sz w:val="24"/>
                <w:szCs w:val="24"/>
                <w:lang w:val="zh-CN"/>
              </w:rPr>
            </w:pPr>
            <w:r>
              <w:rPr>
                <w:rFonts w:hint="eastAsia" w:ascii="宋体" w:hAnsi="宋体"/>
                <w:sz w:val="24"/>
                <w:szCs w:val="24"/>
                <w:lang w:val="zh-CN"/>
              </w:rPr>
              <w:t>故障处置工作小结</w:t>
            </w:r>
          </w:p>
        </w:tc>
        <w:tc>
          <w:tcPr>
            <w:tcW w:w="1559" w:type="dxa"/>
            <w:shd w:val="clear" w:color="auto" w:fill="auto"/>
            <w:vAlign w:val="center"/>
          </w:tcPr>
          <w:p>
            <w:pPr>
              <w:widowControl w:val="0"/>
              <w:spacing w:line="360" w:lineRule="auto"/>
              <w:jc w:val="both"/>
              <w:rPr>
                <w:sz w:val="24"/>
                <w:szCs w:val="24"/>
              </w:rPr>
            </w:pPr>
            <w:r>
              <w:rPr>
                <w:rFonts w:hint="eastAsia"/>
                <w:sz w:val="24"/>
                <w:szCs w:val="24"/>
              </w:rPr>
              <w:t>不定期</w:t>
            </w:r>
          </w:p>
        </w:tc>
        <w:tc>
          <w:tcPr>
            <w:tcW w:w="3736" w:type="dxa"/>
            <w:shd w:val="clear" w:color="auto" w:fill="auto"/>
            <w:vAlign w:val="center"/>
          </w:tcPr>
          <w:p>
            <w:pPr>
              <w:widowControl w:val="0"/>
              <w:spacing w:line="360" w:lineRule="auto"/>
              <w:jc w:val="both"/>
              <w:rPr>
                <w:rFonts w:ascii="宋体"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shd w:val="clear" w:color="auto" w:fill="auto"/>
            <w:vAlign w:val="center"/>
          </w:tcPr>
          <w:p>
            <w:pPr>
              <w:widowControl w:val="0"/>
              <w:numPr>
                <w:ilvl w:val="0"/>
                <w:numId w:val="13"/>
              </w:numPr>
              <w:spacing w:line="360" w:lineRule="auto"/>
              <w:jc w:val="both"/>
              <w:rPr>
                <w:rFonts w:ascii="宋体" w:hAnsi="宋体"/>
                <w:sz w:val="24"/>
                <w:szCs w:val="24"/>
                <w:lang w:val="zh-CN"/>
              </w:rPr>
            </w:pPr>
          </w:p>
        </w:tc>
        <w:tc>
          <w:tcPr>
            <w:tcW w:w="2275" w:type="dxa"/>
            <w:shd w:val="clear" w:color="auto" w:fill="auto"/>
            <w:vAlign w:val="center"/>
          </w:tcPr>
          <w:p>
            <w:pPr>
              <w:widowControl w:val="0"/>
              <w:spacing w:line="360" w:lineRule="auto"/>
              <w:jc w:val="both"/>
              <w:rPr>
                <w:rFonts w:ascii="宋体" w:hAnsi="宋体"/>
                <w:sz w:val="24"/>
                <w:szCs w:val="24"/>
                <w:lang w:val="zh-CN"/>
              </w:rPr>
            </w:pPr>
            <w:r>
              <w:rPr>
                <w:rFonts w:hint="eastAsia" w:ascii="宋体" w:hAnsi="宋体"/>
                <w:sz w:val="24"/>
                <w:szCs w:val="24"/>
                <w:lang w:val="zh-CN"/>
              </w:rPr>
              <w:t>IT突发事件/故障处理报告</w:t>
            </w:r>
          </w:p>
        </w:tc>
        <w:tc>
          <w:tcPr>
            <w:tcW w:w="1559" w:type="dxa"/>
            <w:shd w:val="clear" w:color="auto" w:fill="auto"/>
            <w:vAlign w:val="center"/>
          </w:tcPr>
          <w:p>
            <w:pPr>
              <w:widowControl w:val="0"/>
              <w:spacing w:line="360" w:lineRule="auto"/>
              <w:jc w:val="both"/>
              <w:rPr>
                <w:sz w:val="24"/>
                <w:szCs w:val="24"/>
              </w:rPr>
            </w:pPr>
            <w:r>
              <w:rPr>
                <w:rFonts w:hint="eastAsia"/>
                <w:sz w:val="24"/>
                <w:szCs w:val="24"/>
              </w:rPr>
              <w:t>不定期</w:t>
            </w:r>
          </w:p>
        </w:tc>
        <w:tc>
          <w:tcPr>
            <w:tcW w:w="3736" w:type="dxa"/>
            <w:shd w:val="clear" w:color="auto" w:fill="auto"/>
            <w:vAlign w:val="center"/>
          </w:tcPr>
          <w:p>
            <w:pPr>
              <w:widowControl w:val="0"/>
              <w:spacing w:line="360" w:lineRule="auto"/>
              <w:jc w:val="both"/>
              <w:rPr>
                <w:rFonts w:ascii="宋体"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shd w:val="clear" w:color="auto" w:fill="auto"/>
            <w:vAlign w:val="center"/>
          </w:tcPr>
          <w:p>
            <w:pPr>
              <w:widowControl w:val="0"/>
              <w:numPr>
                <w:ilvl w:val="0"/>
                <w:numId w:val="13"/>
              </w:numPr>
              <w:spacing w:line="360" w:lineRule="auto"/>
              <w:jc w:val="both"/>
              <w:rPr>
                <w:rFonts w:ascii="宋体" w:hAnsi="宋体"/>
                <w:sz w:val="24"/>
                <w:szCs w:val="24"/>
                <w:lang w:val="zh-CN"/>
              </w:rPr>
            </w:pPr>
          </w:p>
        </w:tc>
        <w:tc>
          <w:tcPr>
            <w:tcW w:w="2275" w:type="dxa"/>
            <w:shd w:val="clear" w:color="auto" w:fill="auto"/>
            <w:vAlign w:val="center"/>
          </w:tcPr>
          <w:p>
            <w:pPr>
              <w:widowControl w:val="0"/>
              <w:spacing w:line="360" w:lineRule="auto"/>
              <w:jc w:val="both"/>
              <w:rPr>
                <w:rFonts w:ascii="宋体" w:hAnsi="宋体"/>
                <w:sz w:val="24"/>
                <w:szCs w:val="24"/>
                <w:lang w:val="zh-CN"/>
              </w:rPr>
            </w:pPr>
            <w:r>
              <w:rPr>
                <w:rFonts w:hint="eastAsia" w:ascii="宋体" w:hAnsi="宋体"/>
                <w:sz w:val="24"/>
                <w:szCs w:val="24"/>
                <w:lang w:val="zh-CN"/>
              </w:rPr>
              <w:t>系统应急响应操作记录</w:t>
            </w:r>
          </w:p>
        </w:tc>
        <w:tc>
          <w:tcPr>
            <w:tcW w:w="1559" w:type="dxa"/>
            <w:shd w:val="clear" w:color="auto" w:fill="auto"/>
            <w:vAlign w:val="center"/>
          </w:tcPr>
          <w:p>
            <w:pPr>
              <w:widowControl w:val="0"/>
              <w:spacing w:line="360" w:lineRule="auto"/>
              <w:jc w:val="both"/>
              <w:rPr>
                <w:sz w:val="24"/>
                <w:szCs w:val="24"/>
              </w:rPr>
            </w:pPr>
            <w:r>
              <w:rPr>
                <w:rFonts w:hint="eastAsia"/>
                <w:sz w:val="24"/>
                <w:szCs w:val="24"/>
              </w:rPr>
              <w:t>不定期</w:t>
            </w:r>
          </w:p>
        </w:tc>
        <w:tc>
          <w:tcPr>
            <w:tcW w:w="3736" w:type="dxa"/>
            <w:shd w:val="clear" w:color="auto" w:fill="auto"/>
            <w:vAlign w:val="center"/>
          </w:tcPr>
          <w:p>
            <w:pPr>
              <w:widowControl w:val="0"/>
              <w:spacing w:line="360" w:lineRule="auto"/>
              <w:jc w:val="both"/>
              <w:rPr>
                <w:rFonts w:ascii="宋体"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shd w:val="clear" w:color="auto" w:fill="auto"/>
            <w:vAlign w:val="center"/>
          </w:tcPr>
          <w:p>
            <w:pPr>
              <w:widowControl w:val="0"/>
              <w:numPr>
                <w:ilvl w:val="0"/>
                <w:numId w:val="13"/>
              </w:numPr>
              <w:spacing w:line="360" w:lineRule="auto"/>
              <w:jc w:val="both"/>
              <w:rPr>
                <w:rFonts w:ascii="宋体" w:hAnsi="宋体"/>
                <w:sz w:val="24"/>
                <w:szCs w:val="24"/>
                <w:lang w:val="zh-CN"/>
              </w:rPr>
            </w:pPr>
          </w:p>
        </w:tc>
        <w:tc>
          <w:tcPr>
            <w:tcW w:w="2275" w:type="dxa"/>
            <w:shd w:val="clear" w:color="auto" w:fill="auto"/>
            <w:vAlign w:val="center"/>
          </w:tcPr>
          <w:p>
            <w:pPr>
              <w:widowControl w:val="0"/>
              <w:spacing w:line="360" w:lineRule="auto"/>
              <w:jc w:val="both"/>
              <w:rPr>
                <w:rFonts w:ascii="宋体" w:hAnsi="宋体"/>
                <w:sz w:val="24"/>
                <w:szCs w:val="24"/>
                <w:lang w:val="zh-CN"/>
              </w:rPr>
            </w:pPr>
            <w:r>
              <w:rPr>
                <w:rFonts w:hint="eastAsia" w:ascii="宋体" w:hAnsi="宋体"/>
                <w:sz w:val="24"/>
                <w:szCs w:val="24"/>
                <w:lang w:val="zh-CN"/>
              </w:rPr>
              <w:t>年度运维总报告</w:t>
            </w:r>
          </w:p>
        </w:tc>
        <w:tc>
          <w:tcPr>
            <w:tcW w:w="1559" w:type="dxa"/>
            <w:shd w:val="clear" w:color="auto" w:fill="auto"/>
            <w:vAlign w:val="center"/>
          </w:tcPr>
          <w:p>
            <w:pPr>
              <w:widowControl w:val="0"/>
              <w:spacing w:line="360" w:lineRule="auto"/>
              <w:jc w:val="both"/>
              <w:rPr>
                <w:rFonts w:ascii="宋体" w:hAnsi="宋体"/>
                <w:sz w:val="24"/>
                <w:szCs w:val="24"/>
                <w:lang w:val="zh-CN"/>
              </w:rPr>
            </w:pPr>
            <w:r>
              <w:rPr>
                <w:rFonts w:hint="eastAsia" w:ascii="宋体" w:hAnsi="宋体"/>
                <w:sz w:val="24"/>
                <w:szCs w:val="24"/>
                <w:lang w:val="zh-CN"/>
              </w:rPr>
              <w:t>每年一次</w:t>
            </w:r>
          </w:p>
        </w:tc>
        <w:tc>
          <w:tcPr>
            <w:tcW w:w="3736" w:type="dxa"/>
            <w:shd w:val="clear" w:color="auto" w:fill="auto"/>
            <w:vAlign w:val="center"/>
          </w:tcPr>
          <w:p>
            <w:pPr>
              <w:widowControl w:val="0"/>
              <w:spacing w:line="360" w:lineRule="auto"/>
              <w:jc w:val="both"/>
              <w:rPr>
                <w:rFonts w:ascii="宋体"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 w:type="dxa"/>
            <w:shd w:val="clear" w:color="auto" w:fill="auto"/>
            <w:vAlign w:val="center"/>
          </w:tcPr>
          <w:p>
            <w:pPr>
              <w:widowControl w:val="0"/>
              <w:numPr>
                <w:ilvl w:val="0"/>
                <w:numId w:val="13"/>
              </w:numPr>
              <w:spacing w:line="360" w:lineRule="auto"/>
              <w:jc w:val="both"/>
              <w:rPr>
                <w:rFonts w:ascii="宋体" w:hAnsi="宋体"/>
                <w:sz w:val="24"/>
                <w:szCs w:val="24"/>
                <w:lang w:val="zh-CN"/>
              </w:rPr>
            </w:pPr>
          </w:p>
        </w:tc>
        <w:tc>
          <w:tcPr>
            <w:tcW w:w="2275" w:type="dxa"/>
            <w:shd w:val="clear" w:color="auto" w:fill="auto"/>
            <w:vAlign w:val="center"/>
          </w:tcPr>
          <w:p>
            <w:pPr>
              <w:widowControl w:val="0"/>
              <w:spacing w:line="360" w:lineRule="auto"/>
              <w:jc w:val="both"/>
              <w:rPr>
                <w:rFonts w:ascii="宋体" w:hAnsi="宋体"/>
                <w:sz w:val="24"/>
                <w:szCs w:val="24"/>
                <w:lang w:val="zh-CN"/>
              </w:rPr>
            </w:pPr>
            <w:r>
              <w:rPr>
                <w:rFonts w:hint="eastAsia" w:ascii="宋体" w:hAnsi="宋体"/>
                <w:sz w:val="24"/>
                <w:szCs w:val="24"/>
                <w:lang w:val="zh-CN"/>
              </w:rPr>
              <w:t>故障案例分析报告</w:t>
            </w:r>
          </w:p>
        </w:tc>
        <w:tc>
          <w:tcPr>
            <w:tcW w:w="1559" w:type="dxa"/>
            <w:shd w:val="clear" w:color="auto" w:fill="auto"/>
            <w:vAlign w:val="center"/>
          </w:tcPr>
          <w:p>
            <w:pPr>
              <w:widowControl w:val="0"/>
              <w:spacing w:line="360" w:lineRule="auto"/>
              <w:jc w:val="both"/>
              <w:rPr>
                <w:rFonts w:ascii="宋体" w:hAnsi="宋体"/>
                <w:sz w:val="24"/>
                <w:szCs w:val="24"/>
                <w:lang w:val="zh-CN"/>
              </w:rPr>
            </w:pPr>
            <w:r>
              <w:rPr>
                <w:rFonts w:hint="eastAsia" w:ascii="宋体" w:hAnsi="宋体"/>
                <w:sz w:val="24"/>
                <w:szCs w:val="24"/>
                <w:lang w:val="zh-CN"/>
              </w:rPr>
              <w:t>不定期</w:t>
            </w:r>
          </w:p>
        </w:tc>
        <w:tc>
          <w:tcPr>
            <w:tcW w:w="3736" w:type="dxa"/>
            <w:shd w:val="clear" w:color="auto" w:fill="auto"/>
            <w:vAlign w:val="center"/>
          </w:tcPr>
          <w:p>
            <w:pPr>
              <w:widowControl w:val="0"/>
              <w:spacing w:line="360" w:lineRule="auto"/>
              <w:jc w:val="both"/>
              <w:rPr>
                <w:rFonts w:ascii="宋体" w:hAnsi="宋体"/>
                <w:sz w:val="24"/>
                <w:szCs w:val="24"/>
                <w:lang w:val="zh-CN"/>
              </w:rPr>
            </w:pPr>
          </w:p>
        </w:tc>
      </w:tr>
    </w:tbl>
    <w:p>
      <w:pPr>
        <w:pStyle w:val="4"/>
      </w:pPr>
    </w:p>
    <w:p>
      <w:pPr>
        <w:pStyle w:val="3"/>
      </w:pPr>
      <w:bookmarkStart w:id="87" w:name="_Toc139901803"/>
      <w:r>
        <w:rPr>
          <w:rFonts w:hint="eastAsia"/>
        </w:rPr>
        <w:t>其他</w:t>
      </w:r>
      <w:r>
        <w:rPr>
          <w:rFonts w:hint="eastAsia"/>
          <w:lang w:val="en-US"/>
        </w:rPr>
        <w:t>运维服务</w:t>
      </w:r>
      <w:r>
        <w:rPr>
          <w:rFonts w:hint="eastAsia"/>
        </w:rPr>
        <w:t>要求</w:t>
      </w:r>
      <w:bookmarkEnd w:id="87"/>
    </w:p>
    <w:p>
      <w:pPr>
        <w:pStyle w:val="5"/>
      </w:pPr>
      <w:bookmarkStart w:id="88" w:name="_Toc139901804"/>
      <w:r>
        <w:rPr>
          <w:rFonts w:hint="eastAsia"/>
        </w:rPr>
        <w:t>一般要求</w:t>
      </w:r>
      <w:bookmarkEnd w:id="88"/>
    </w:p>
    <w:p>
      <w:pPr>
        <w:pStyle w:val="72"/>
        <w:numPr>
          <w:ilvl w:val="0"/>
          <w:numId w:val="14"/>
        </w:numPr>
        <w:spacing w:line="360" w:lineRule="auto"/>
        <w:rPr>
          <w:rFonts w:hAnsi="Arial"/>
          <w:sz w:val="24"/>
          <w:szCs w:val="24"/>
        </w:rPr>
      </w:pPr>
      <w:r>
        <w:rPr>
          <w:rFonts w:hint="eastAsia" w:hAnsi="Arial"/>
          <w:sz w:val="24"/>
          <w:szCs w:val="24"/>
        </w:rPr>
        <w:t>供应商在上海本地有固定的售后服务团队。</w:t>
      </w:r>
    </w:p>
    <w:p>
      <w:pPr>
        <w:pStyle w:val="72"/>
        <w:numPr>
          <w:ilvl w:val="0"/>
          <w:numId w:val="14"/>
        </w:numPr>
        <w:spacing w:line="360" w:lineRule="auto"/>
        <w:rPr>
          <w:rFonts w:hAnsi="Arial"/>
          <w:sz w:val="24"/>
          <w:szCs w:val="24"/>
        </w:rPr>
      </w:pPr>
      <w:r>
        <w:rPr>
          <w:rFonts w:hint="eastAsia" w:hAnsi="Arial"/>
          <w:sz w:val="24"/>
          <w:szCs w:val="24"/>
        </w:rPr>
        <w:t>供应商应本着认真负责的态度，组织技术队伍，认真做好服务维护工作。</w:t>
      </w:r>
    </w:p>
    <w:p>
      <w:pPr>
        <w:pStyle w:val="72"/>
        <w:numPr>
          <w:ilvl w:val="0"/>
          <w:numId w:val="14"/>
        </w:numPr>
        <w:spacing w:line="360" w:lineRule="auto"/>
        <w:rPr>
          <w:rFonts w:hAnsi="Arial"/>
          <w:sz w:val="24"/>
          <w:szCs w:val="24"/>
        </w:rPr>
      </w:pPr>
      <w:r>
        <w:rPr>
          <w:rFonts w:hint="eastAsia" w:hAnsi="Arial"/>
          <w:sz w:val="24"/>
          <w:szCs w:val="24"/>
        </w:rPr>
        <w:t>供应商必须提供服务实施计划，经用户方同意后，严格执行。</w:t>
      </w:r>
    </w:p>
    <w:p>
      <w:pPr>
        <w:pStyle w:val="5"/>
      </w:pPr>
      <w:bookmarkStart w:id="89" w:name="_Toc139901805"/>
      <w:r>
        <w:rPr>
          <w:rFonts w:hint="eastAsia" w:hAnsi="Arial"/>
          <w:sz w:val="24"/>
          <w:szCs w:val="24"/>
          <w:lang w:val="en-US" w:eastAsia="zh-CN"/>
        </w:rPr>
        <w:t>其他资质要求</w:t>
      </w:r>
    </w:p>
    <w:p>
      <w:pPr>
        <w:pStyle w:val="72"/>
        <w:numPr>
          <w:ilvl w:val="0"/>
          <w:numId w:val="14"/>
        </w:numPr>
        <w:spacing w:line="360" w:lineRule="auto"/>
        <w:rPr>
          <w:rFonts w:hint="eastAsia" w:hAnsi="Arial"/>
          <w:sz w:val="24"/>
          <w:szCs w:val="24"/>
        </w:rPr>
      </w:pPr>
      <w:r>
        <w:rPr>
          <w:rFonts w:hint="eastAsia" w:hAnsi="Arial"/>
          <w:sz w:val="24"/>
          <w:szCs w:val="24"/>
        </w:rPr>
        <w:t>供应商</w:t>
      </w:r>
      <w:r>
        <w:rPr>
          <w:rFonts w:hint="eastAsia" w:hAnsi="Arial"/>
          <w:sz w:val="24"/>
          <w:szCs w:val="24"/>
          <w:lang w:val="en-US" w:eastAsia="zh-CN"/>
        </w:rPr>
        <w:t>需</w:t>
      </w:r>
      <w:r>
        <w:rPr>
          <w:rFonts w:hint="eastAsia" w:hAnsi="Arial"/>
          <w:sz w:val="24"/>
          <w:szCs w:val="24"/>
        </w:rPr>
        <w:t>具有运行维护货物的原始厂商服务授权</w:t>
      </w:r>
      <w:r>
        <w:rPr>
          <w:rFonts w:hint="eastAsia" w:hAnsi="Arial"/>
          <w:sz w:val="24"/>
          <w:szCs w:val="24"/>
          <w:lang w:eastAsia="zh-CN"/>
        </w:rPr>
        <w:t>。</w:t>
      </w:r>
    </w:p>
    <w:p>
      <w:pPr>
        <w:pStyle w:val="72"/>
        <w:numPr>
          <w:ilvl w:val="0"/>
          <w:numId w:val="14"/>
        </w:numPr>
        <w:spacing w:line="360" w:lineRule="auto"/>
        <w:rPr>
          <w:rFonts w:hint="eastAsia" w:hAnsi="Arial"/>
          <w:sz w:val="24"/>
          <w:szCs w:val="24"/>
        </w:rPr>
      </w:pPr>
      <w:r>
        <w:rPr>
          <w:rFonts w:hint="eastAsia" w:hAnsi="Arial"/>
          <w:sz w:val="24"/>
          <w:szCs w:val="24"/>
        </w:rPr>
        <w:t>投标人具有CNCERT国家互联网应急中心网络安全应急服务支撑单位证书</w:t>
      </w:r>
      <w:r>
        <w:rPr>
          <w:rFonts w:hint="eastAsia" w:hAnsi="Arial"/>
          <w:sz w:val="24"/>
          <w:szCs w:val="24"/>
          <w:lang w:eastAsia="zh-CN"/>
        </w:rPr>
        <w:t>。</w:t>
      </w:r>
    </w:p>
    <w:p>
      <w:pPr>
        <w:pStyle w:val="72"/>
        <w:numPr>
          <w:ilvl w:val="0"/>
          <w:numId w:val="14"/>
        </w:numPr>
        <w:spacing w:line="360" w:lineRule="auto"/>
        <w:rPr>
          <w:rFonts w:hint="eastAsia" w:hAnsi="Arial"/>
          <w:sz w:val="24"/>
          <w:szCs w:val="24"/>
        </w:rPr>
      </w:pPr>
      <w:r>
        <w:rPr>
          <w:rFonts w:hint="eastAsia" w:hAnsi="Arial"/>
          <w:sz w:val="24"/>
          <w:szCs w:val="24"/>
        </w:rPr>
        <w:t>投标人具有中国信息安全测评中心颁发的信息安全服务资质风险评估证书</w:t>
      </w:r>
      <w:r>
        <w:rPr>
          <w:rFonts w:hint="eastAsia" w:hAnsi="Arial"/>
          <w:sz w:val="24"/>
          <w:szCs w:val="24"/>
          <w:lang w:eastAsia="zh-CN"/>
        </w:rPr>
        <w:t>。</w:t>
      </w:r>
    </w:p>
    <w:p>
      <w:pPr>
        <w:pStyle w:val="72"/>
        <w:numPr>
          <w:ilvl w:val="0"/>
          <w:numId w:val="14"/>
        </w:numPr>
        <w:spacing w:line="360" w:lineRule="auto"/>
        <w:rPr>
          <w:rFonts w:hint="eastAsia" w:hAnsi="Arial"/>
          <w:sz w:val="24"/>
          <w:szCs w:val="24"/>
        </w:rPr>
      </w:pPr>
      <w:r>
        <w:rPr>
          <w:rFonts w:hint="eastAsia" w:hAnsi="Arial"/>
          <w:sz w:val="24"/>
          <w:szCs w:val="24"/>
        </w:rPr>
        <w:t>投标人具有CCRC信息安全服务资质认证证书（信息系统安全运维服务二级或以上）、CCRC信息安全服务资质认证证书（信息系统安全集成三级或以上）、CCRC信息安全服务资质认证证书（信息安全应急处理二级或以上）、CCRC信息安全服务资质认证证书（信息安全风险评估一级）</w:t>
      </w:r>
      <w:r>
        <w:rPr>
          <w:rFonts w:hint="eastAsia" w:hAnsi="Arial"/>
          <w:sz w:val="24"/>
          <w:szCs w:val="24"/>
          <w:lang w:eastAsia="zh-CN"/>
        </w:rPr>
        <w:t>。</w:t>
      </w:r>
    </w:p>
    <w:p>
      <w:pPr>
        <w:pStyle w:val="72"/>
        <w:numPr>
          <w:ilvl w:val="0"/>
          <w:numId w:val="14"/>
        </w:numPr>
        <w:spacing w:line="360" w:lineRule="auto"/>
        <w:rPr>
          <w:rFonts w:hint="eastAsia" w:hAnsi="Arial"/>
          <w:sz w:val="24"/>
          <w:szCs w:val="24"/>
        </w:rPr>
      </w:pPr>
      <w:r>
        <w:rPr>
          <w:rFonts w:hint="eastAsia" w:hAnsi="Arial"/>
          <w:sz w:val="24"/>
          <w:szCs w:val="24"/>
        </w:rPr>
        <w:t>投标人具有ISO9001质量管理体系认证证书、ISO20000信息技术服务管理体系认证证书、ISO27001信息安全管理体系认证证书。</w:t>
      </w:r>
    </w:p>
    <w:p>
      <w:pPr>
        <w:pStyle w:val="5"/>
      </w:pPr>
      <w:r>
        <w:rPr>
          <w:rFonts w:hint="eastAsia"/>
        </w:rPr>
        <w:t>人员培训</w:t>
      </w:r>
      <w:bookmarkEnd w:id="89"/>
    </w:p>
    <w:p>
      <w:pPr>
        <w:pStyle w:val="72"/>
        <w:numPr>
          <w:ilvl w:val="0"/>
          <w:numId w:val="15"/>
        </w:numPr>
        <w:spacing w:line="360" w:lineRule="auto"/>
        <w:rPr>
          <w:rFonts w:hAnsi="Arial"/>
          <w:sz w:val="24"/>
          <w:szCs w:val="24"/>
        </w:rPr>
      </w:pPr>
      <w:r>
        <w:rPr>
          <w:rFonts w:hint="eastAsia" w:hAnsi="Arial"/>
          <w:sz w:val="24"/>
          <w:szCs w:val="24"/>
        </w:rPr>
        <w:t>供应商应负责对使用人员进行培训及考核，保证技术人员能够正常使用相关设备。</w:t>
      </w:r>
    </w:p>
    <w:p>
      <w:pPr>
        <w:pStyle w:val="72"/>
        <w:numPr>
          <w:ilvl w:val="0"/>
          <w:numId w:val="15"/>
        </w:numPr>
        <w:spacing w:line="360" w:lineRule="auto"/>
        <w:rPr>
          <w:rFonts w:hAnsi="Arial"/>
          <w:sz w:val="24"/>
          <w:szCs w:val="24"/>
        </w:rPr>
      </w:pPr>
      <w:r>
        <w:rPr>
          <w:rFonts w:hint="eastAsia" w:hAnsi="Arial"/>
          <w:sz w:val="24"/>
          <w:szCs w:val="24"/>
        </w:rPr>
        <w:t>供应商应在投标文件中提供详细的培训计划和培训课程。</w:t>
      </w:r>
    </w:p>
    <w:p>
      <w:pPr>
        <w:pStyle w:val="5"/>
      </w:pPr>
      <w:bookmarkStart w:id="90" w:name="_Toc139901806"/>
      <w:bookmarkStart w:id="91" w:name="_Toc497402435"/>
      <w:bookmarkStart w:id="92" w:name="_Toc525705023"/>
      <w:r>
        <w:t>重要保障服务</w:t>
      </w:r>
      <w:bookmarkEnd w:id="90"/>
    </w:p>
    <w:p>
      <w:pPr>
        <w:pStyle w:val="72"/>
        <w:spacing w:line="360" w:lineRule="auto"/>
        <w:ind w:firstLine="424" w:firstLineChars="177"/>
        <w:rPr>
          <w:rFonts w:hAnsi="Arial"/>
          <w:sz w:val="24"/>
          <w:szCs w:val="24"/>
        </w:rPr>
      </w:pPr>
      <w:r>
        <w:rPr>
          <w:rFonts w:hAnsi="Arial"/>
          <w:sz w:val="24"/>
          <w:szCs w:val="24"/>
        </w:rPr>
        <w:t>根据招标方</w:t>
      </w:r>
      <w:r>
        <w:rPr>
          <w:rFonts w:hint="eastAsia" w:hAnsi="Arial"/>
          <w:sz w:val="24"/>
          <w:szCs w:val="24"/>
        </w:rPr>
        <w:t>特定时间段的工作</w:t>
      </w:r>
      <w:r>
        <w:rPr>
          <w:rFonts w:hAnsi="Arial"/>
          <w:sz w:val="24"/>
          <w:szCs w:val="24"/>
        </w:rPr>
        <w:t>需要，运维服务商</w:t>
      </w:r>
      <w:r>
        <w:rPr>
          <w:rFonts w:hint="eastAsia" w:hAnsi="Arial"/>
          <w:sz w:val="24"/>
          <w:szCs w:val="24"/>
        </w:rPr>
        <w:t>应向</w:t>
      </w:r>
      <w:r>
        <w:rPr>
          <w:rFonts w:hAnsi="Arial"/>
          <w:sz w:val="24"/>
          <w:szCs w:val="24"/>
        </w:rPr>
        <w:t>招标方</w:t>
      </w:r>
      <w:r>
        <w:rPr>
          <w:rFonts w:hint="eastAsia" w:hAnsi="Arial"/>
          <w:sz w:val="24"/>
          <w:szCs w:val="24"/>
        </w:rPr>
        <w:t>提供相关重要</w:t>
      </w:r>
      <w:r>
        <w:rPr>
          <w:rFonts w:hAnsi="Arial"/>
          <w:sz w:val="24"/>
          <w:szCs w:val="24"/>
        </w:rPr>
        <w:t>保障</w:t>
      </w:r>
      <w:r>
        <w:rPr>
          <w:rFonts w:hint="eastAsia" w:hAnsi="Arial"/>
          <w:sz w:val="24"/>
          <w:szCs w:val="24"/>
        </w:rPr>
        <w:t>服务</w:t>
      </w:r>
      <w:r>
        <w:rPr>
          <w:rFonts w:hAnsi="Arial"/>
          <w:sz w:val="24"/>
          <w:szCs w:val="24"/>
        </w:rPr>
        <w:t>。重要保障</w:t>
      </w:r>
      <w:r>
        <w:rPr>
          <w:rFonts w:hint="eastAsia" w:hAnsi="Arial"/>
          <w:sz w:val="24"/>
          <w:szCs w:val="24"/>
        </w:rPr>
        <w:t>服务</w:t>
      </w:r>
      <w:r>
        <w:rPr>
          <w:rFonts w:hAnsi="Arial"/>
          <w:sz w:val="24"/>
          <w:szCs w:val="24"/>
        </w:rPr>
        <w:t>，包括汛期、重大节假日、国家军事</w:t>
      </w:r>
      <w:r>
        <w:rPr>
          <w:rFonts w:hint="eastAsia" w:hAnsi="Arial"/>
          <w:sz w:val="24"/>
          <w:szCs w:val="24"/>
        </w:rPr>
        <w:t>或</w:t>
      </w:r>
      <w:r>
        <w:rPr>
          <w:rFonts w:hAnsi="Arial"/>
          <w:sz w:val="24"/>
          <w:szCs w:val="24"/>
        </w:rPr>
        <w:t>政治活动等期间的</w:t>
      </w:r>
      <w:r>
        <w:rPr>
          <w:rFonts w:hint="eastAsia" w:hAnsi="Arial"/>
          <w:sz w:val="24"/>
          <w:szCs w:val="24"/>
        </w:rPr>
        <w:t>系统运行</w:t>
      </w:r>
      <w:r>
        <w:rPr>
          <w:rFonts w:hAnsi="Arial"/>
          <w:sz w:val="24"/>
          <w:szCs w:val="24"/>
        </w:rPr>
        <w:t>服务保障工作。</w:t>
      </w:r>
    </w:p>
    <w:p>
      <w:pPr>
        <w:rPr>
          <w:b/>
          <w:sz w:val="32"/>
          <w:szCs w:val="32"/>
          <w:lang w:val="zh-CN"/>
        </w:rPr>
      </w:pPr>
      <w:r>
        <w:br w:type="page"/>
      </w:r>
    </w:p>
    <w:bookmarkEnd w:id="91"/>
    <w:bookmarkEnd w:id="92"/>
    <w:p>
      <w:pPr>
        <w:pStyle w:val="2"/>
      </w:pPr>
      <w:bookmarkStart w:id="93" w:name="_Toc139901807"/>
      <w:r>
        <w:rPr>
          <w:rFonts w:hint="eastAsia"/>
        </w:rPr>
        <w:t>信息安全要求</w:t>
      </w:r>
      <w:bookmarkEnd w:id="62"/>
      <w:bookmarkEnd w:id="63"/>
      <w:bookmarkEnd w:id="93"/>
    </w:p>
    <w:p>
      <w:pPr>
        <w:spacing w:line="360" w:lineRule="auto"/>
        <w:ind w:firstLine="482"/>
        <w:jc w:val="both"/>
        <w:rPr>
          <w:rFonts w:ascii="宋体" w:hAnsi="宋体"/>
          <w:sz w:val="24"/>
          <w:szCs w:val="24"/>
        </w:rPr>
      </w:pPr>
      <w:r>
        <w:rPr>
          <w:rFonts w:hint="eastAsia" w:ascii="宋体" w:hAnsi="宋体"/>
          <w:sz w:val="24"/>
          <w:szCs w:val="24"/>
        </w:rPr>
        <w:t>对于原有通过信息安全等级保护三级水平评测的系统，响应人提供的运维服务需达到信息安全等级保护三级水平的要求，同时具备区域卫生信息系统承建能力及软硬件安全等保服务能力厂商，需提供相关合同及资质证明。</w:t>
      </w:r>
      <w:bookmarkStart w:id="94" w:name="_Toc511155712"/>
      <w:bookmarkStart w:id="95" w:name="_Toc508804559"/>
    </w:p>
    <w:p>
      <w:pPr>
        <w:spacing w:line="360" w:lineRule="auto"/>
        <w:ind w:firstLine="482"/>
        <w:jc w:val="both"/>
        <w:rPr>
          <w:rFonts w:ascii="宋体" w:hAnsi="宋体"/>
          <w:color w:val="000000"/>
          <w:szCs w:val="24"/>
        </w:rPr>
      </w:pPr>
    </w:p>
    <w:p>
      <w:pPr>
        <w:pStyle w:val="2"/>
      </w:pPr>
      <w:bookmarkStart w:id="96" w:name="_Toc139901808"/>
      <w:r>
        <w:rPr>
          <w:rFonts w:hint="eastAsia"/>
        </w:rPr>
        <w:t>售后服务要求</w:t>
      </w:r>
      <w:bookmarkEnd w:id="94"/>
      <w:bookmarkEnd w:id="95"/>
      <w:bookmarkEnd w:id="96"/>
    </w:p>
    <w:p>
      <w:pPr>
        <w:pStyle w:val="72"/>
        <w:numPr>
          <w:ilvl w:val="0"/>
          <w:numId w:val="16"/>
        </w:numPr>
        <w:spacing w:line="360" w:lineRule="auto"/>
        <w:rPr>
          <w:rFonts w:hAnsi="Arial"/>
          <w:sz w:val="24"/>
          <w:szCs w:val="24"/>
        </w:rPr>
      </w:pPr>
      <w:r>
        <w:rPr>
          <w:rFonts w:hint="eastAsia" w:hAnsi="Arial"/>
          <w:sz w:val="24"/>
          <w:szCs w:val="24"/>
        </w:rPr>
        <w:t>供应商</w:t>
      </w:r>
      <w:r>
        <w:rPr>
          <w:rFonts w:hAnsi="Arial"/>
          <w:sz w:val="24"/>
          <w:szCs w:val="24"/>
        </w:rPr>
        <w:t>在上海应设立</w:t>
      </w:r>
      <w:r>
        <w:rPr>
          <w:rFonts w:hint="eastAsia" w:hAnsi="Arial"/>
          <w:sz w:val="24"/>
          <w:szCs w:val="24"/>
        </w:rPr>
        <w:t>分公司</w:t>
      </w:r>
      <w:r>
        <w:rPr>
          <w:rFonts w:hAnsi="Arial"/>
          <w:sz w:val="24"/>
          <w:szCs w:val="24"/>
        </w:rPr>
        <w:t>或常驻售后技术支持服务机构。</w:t>
      </w:r>
    </w:p>
    <w:p>
      <w:pPr>
        <w:pStyle w:val="72"/>
        <w:numPr>
          <w:ilvl w:val="0"/>
          <w:numId w:val="16"/>
        </w:numPr>
        <w:spacing w:line="360" w:lineRule="auto"/>
        <w:rPr>
          <w:rFonts w:hAnsi="Arial"/>
          <w:sz w:val="24"/>
          <w:szCs w:val="24"/>
        </w:rPr>
      </w:pPr>
      <w:r>
        <w:rPr>
          <w:rFonts w:hAnsi="Arial"/>
          <w:sz w:val="24"/>
          <w:szCs w:val="24"/>
        </w:rPr>
        <w:t>维护内容包括定期预防性维护、定期优化改进维护、应急故障维护。</w:t>
      </w:r>
    </w:p>
    <w:p>
      <w:pPr>
        <w:pStyle w:val="72"/>
        <w:numPr>
          <w:ilvl w:val="0"/>
          <w:numId w:val="16"/>
        </w:numPr>
        <w:spacing w:line="360" w:lineRule="auto"/>
        <w:rPr>
          <w:rFonts w:hAnsi="Arial"/>
          <w:sz w:val="24"/>
          <w:szCs w:val="24"/>
        </w:rPr>
      </w:pPr>
      <w:r>
        <w:rPr>
          <w:rFonts w:hint="eastAsia" w:hAnsi="Arial"/>
          <w:sz w:val="24"/>
          <w:szCs w:val="24"/>
        </w:rPr>
        <w:t>要求供应商提供5*8常驻现场服务，未经用户方同意成交供应商不得随意变更现场服务人员。</w:t>
      </w:r>
    </w:p>
    <w:p>
      <w:pPr>
        <w:pStyle w:val="72"/>
        <w:numPr>
          <w:ilvl w:val="0"/>
          <w:numId w:val="16"/>
        </w:numPr>
        <w:spacing w:line="360" w:lineRule="auto"/>
        <w:rPr>
          <w:rFonts w:hAnsi="Arial"/>
          <w:sz w:val="24"/>
          <w:szCs w:val="24"/>
        </w:rPr>
      </w:pPr>
      <w:r>
        <w:rPr>
          <w:rFonts w:hint="eastAsia" w:hAnsi="Arial"/>
          <w:sz w:val="24"/>
          <w:szCs w:val="24"/>
        </w:rPr>
        <w:t>对于本次要求的硬件设备维护，供应商需要根据巡检情况提交系统运行报告。</w:t>
      </w:r>
      <w:bookmarkStart w:id="97" w:name="_Toc511155714"/>
    </w:p>
    <w:bookmarkEnd w:id="97"/>
    <w:p>
      <w:pPr>
        <w:spacing w:line="360" w:lineRule="auto"/>
        <w:rPr>
          <w:rFonts w:ascii="宋体" w:hAnsi="宋体"/>
          <w:color w:val="000000"/>
          <w:szCs w:val="24"/>
        </w:rPr>
      </w:pPr>
      <w:bookmarkStart w:id="98" w:name="_Toc511155717"/>
    </w:p>
    <w:p>
      <w:pPr>
        <w:pStyle w:val="2"/>
      </w:pPr>
      <w:bookmarkStart w:id="99" w:name="_Toc139901810"/>
      <w:r>
        <w:rPr>
          <w:rFonts w:hint="eastAsia"/>
        </w:rPr>
        <w:t>其他要求</w:t>
      </w:r>
      <w:bookmarkEnd w:id="98"/>
      <w:bookmarkEnd w:id="99"/>
    </w:p>
    <w:p>
      <w:pPr>
        <w:pStyle w:val="72"/>
        <w:numPr>
          <w:ilvl w:val="0"/>
          <w:numId w:val="17"/>
        </w:numPr>
        <w:spacing w:line="360" w:lineRule="auto"/>
        <w:rPr>
          <w:rFonts w:hAnsi="Arial"/>
          <w:sz w:val="24"/>
          <w:szCs w:val="24"/>
        </w:rPr>
      </w:pPr>
      <w:r>
        <w:rPr>
          <w:rFonts w:hint="eastAsia" w:hAnsi="Arial"/>
          <w:sz w:val="24"/>
          <w:szCs w:val="24"/>
        </w:rPr>
        <w:t>供应商</w:t>
      </w:r>
      <w:r>
        <w:rPr>
          <w:rFonts w:hAnsi="Arial"/>
          <w:sz w:val="24"/>
          <w:szCs w:val="24"/>
        </w:rPr>
        <w:t>提供的</w:t>
      </w:r>
      <w:r>
        <w:rPr>
          <w:rFonts w:hint="eastAsia" w:hAnsi="Arial"/>
          <w:sz w:val="24"/>
          <w:szCs w:val="24"/>
        </w:rPr>
        <w:t>服务，如涉及</w:t>
      </w:r>
      <w:r>
        <w:rPr>
          <w:rFonts w:hAnsi="Arial"/>
          <w:sz w:val="24"/>
          <w:szCs w:val="24"/>
        </w:rPr>
        <w:t>产品升级、</w:t>
      </w:r>
      <w:r>
        <w:rPr>
          <w:rFonts w:hint="eastAsia" w:hAnsi="Arial"/>
          <w:sz w:val="24"/>
          <w:szCs w:val="24"/>
        </w:rPr>
        <w:t>设备更换</w:t>
      </w:r>
      <w:r>
        <w:rPr>
          <w:rFonts w:hAnsi="Arial"/>
          <w:sz w:val="24"/>
          <w:szCs w:val="24"/>
        </w:rPr>
        <w:t>扩展时不应改变整个系统的结构、通信方式、管理模式，不应破坏应用软件的正常工作环境。</w:t>
      </w:r>
    </w:p>
    <w:p>
      <w:pPr>
        <w:pStyle w:val="72"/>
        <w:numPr>
          <w:ilvl w:val="0"/>
          <w:numId w:val="17"/>
        </w:numPr>
        <w:spacing w:line="360" w:lineRule="auto"/>
        <w:rPr>
          <w:rFonts w:hAnsi="Arial"/>
          <w:sz w:val="24"/>
          <w:szCs w:val="24"/>
        </w:rPr>
      </w:pPr>
      <w:r>
        <w:rPr>
          <w:rFonts w:hint="eastAsia" w:hAnsi="Arial"/>
          <w:sz w:val="24"/>
          <w:szCs w:val="24"/>
        </w:rPr>
        <w:t>供应商</w:t>
      </w:r>
      <w:r>
        <w:rPr>
          <w:rFonts w:hAnsi="Arial"/>
          <w:sz w:val="24"/>
          <w:szCs w:val="24"/>
        </w:rPr>
        <w:t>应该保证所提供的所有产品</w:t>
      </w:r>
      <w:r>
        <w:rPr>
          <w:rFonts w:hint="eastAsia" w:hAnsi="Arial"/>
          <w:sz w:val="24"/>
          <w:szCs w:val="24"/>
        </w:rPr>
        <w:t>或服务</w:t>
      </w:r>
      <w:r>
        <w:rPr>
          <w:rFonts w:hAnsi="Arial"/>
          <w:sz w:val="24"/>
          <w:szCs w:val="24"/>
        </w:rPr>
        <w:t>皆不侵犯任何第三方的版权、知识产权和其他合法权利。</w:t>
      </w:r>
    </w:p>
    <w:p>
      <w:pPr>
        <w:pStyle w:val="72"/>
        <w:numPr>
          <w:ilvl w:val="0"/>
          <w:numId w:val="17"/>
        </w:numPr>
        <w:spacing w:line="360" w:lineRule="auto"/>
        <w:rPr>
          <w:rFonts w:hAnsi="Arial"/>
          <w:sz w:val="24"/>
          <w:szCs w:val="24"/>
        </w:rPr>
      </w:pPr>
      <w:r>
        <w:rPr>
          <w:rFonts w:hAnsi="Arial"/>
          <w:sz w:val="24"/>
          <w:szCs w:val="24"/>
        </w:rPr>
        <w:t>业主有权根据本项目应用需求和预算情况，在有关规定的范围内增减上述</w:t>
      </w:r>
      <w:r>
        <w:rPr>
          <w:rFonts w:hint="eastAsia" w:hAnsi="Arial"/>
          <w:sz w:val="24"/>
          <w:szCs w:val="24"/>
        </w:rPr>
        <w:t>所购买服务</w:t>
      </w:r>
      <w:r>
        <w:rPr>
          <w:rFonts w:hAnsi="Arial"/>
          <w:sz w:val="24"/>
          <w:szCs w:val="24"/>
        </w:rPr>
        <w:t>产品的数量和配置。</w:t>
      </w:r>
    </w:p>
    <w:p>
      <w:pPr>
        <w:pStyle w:val="72"/>
        <w:numPr>
          <w:ilvl w:val="0"/>
          <w:numId w:val="17"/>
        </w:numPr>
        <w:spacing w:line="360" w:lineRule="auto"/>
        <w:rPr>
          <w:rFonts w:hAnsi="Arial"/>
          <w:sz w:val="24"/>
          <w:szCs w:val="24"/>
        </w:rPr>
      </w:pPr>
      <w:r>
        <w:rPr>
          <w:rFonts w:hint="eastAsia" w:hAnsi="Arial"/>
          <w:sz w:val="24"/>
          <w:szCs w:val="24"/>
        </w:rPr>
        <w:t>供应商必须根据上述服务要求和服务响应时间作出无推诿承诺。</w:t>
      </w:r>
    </w:p>
    <w:p>
      <w:pPr>
        <w:pStyle w:val="72"/>
        <w:numPr>
          <w:ilvl w:val="0"/>
          <w:numId w:val="17"/>
        </w:numPr>
        <w:spacing w:line="360" w:lineRule="auto"/>
        <w:rPr>
          <w:rFonts w:hAnsi="Arial"/>
          <w:sz w:val="24"/>
          <w:szCs w:val="24"/>
        </w:rPr>
      </w:pPr>
      <w:r>
        <w:rPr>
          <w:rFonts w:hint="eastAsia" w:hAnsi="Arial"/>
          <w:sz w:val="24"/>
          <w:szCs w:val="24"/>
        </w:rPr>
        <w:t>响应人应在投标书中详细列出服务项目清单，对每项服务，需明确服务提供方名称、服务内容、服务方式、服务人员技术要求以及服务响应时间等。所有服务费用单列，计入投标总价。</w:t>
      </w:r>
    </w:p>
    <w:p>
      <w:pPr>
        <w:pStyle w:val="72"/>
        <w:spacing w:line="360" w:lineRule="auto"/>
        <w:ind w:left="425"/>
        <w:rPr>
          <w:rFonts w:hAnsi="Arial"/>
          <w:sz w:val="24"/>
          <w:szCs w:val="24"/>
        </w:rPr>
      </w:pPr>
    </w:p>
    <w:p>
      <w:bookmarkStart w:id="100" w:name="_Toc139901811"/>
      <w:r>
        <w:rPr>
          <w:rFonts w:hint="eastAsia"/>
        </w:rPr>
        <w:br w:type="page"/>
      </w:r>
    </w:p>
    <w:p>
      <w:pPr>
        <w:pStyle w:val="2"/>
      </w:pPr>
      <w:r>
        <w:rPr>
          <w:rFonts w:hint="eastAsia"/>
        </w:rPr>
        <w:t>付款方式</w:t>
      </w:r>
      <w:bookmarkEnd w:id="100"/>
    </w:p>
    <w:p>
      <w:pPr>
        <w:pStyle w:val="72"/>
        <w:spacing w:line="360" w:lineRule="auto"/>
        <w:ind w:left="425"/>
        <w:rPr>
          <w:rFonts w:hAnsi="Arial"/>
          <w:sz w:val="24"/>
          <w:szCs w:val="24"/>
        </w:rPr>
      </w:pPr>
    </w:p>
    <w:tbl>
      <w:tblPr>
        <w:tblStyle w:val="4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3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980" w:type="dxa"/>
          </w:tcPr>
          <w:p>
            <w:pPr>
              <w:widowControl w:val="0"/>
              <w:spacing w:line="360" w:lineRule="auto"/>
              <w:jc w:val="both"/>
              <w:rPr>
                <w:rFonts w:ascii="宋体" w:hAnsi="宋体"/>
                <w:b/>
                <w:bCs/>
                <w:sz w:val="24"/>
                <w:szCs w:val="24"/>
                <w:lang w:val="zh-CN"/>
              </w:rPr>
            </w:pPr>
            <w:r>
              <w:rPr>
                <w:rFonts w:hint="eastAsia" w:ascii="宋体" w:hAnsi="宋体"/>
                <w:b/>
                <w:bCs/>
                <w:sz w:val="24"/>
                <w:szCs w:val="24"/>
                <w:lang w:val="zh-CN"/>
              </w:rPr>
              <w:t>进度</w:t>
            </w:r>
          </w:p>
        </w:tc>
        <w:tc>
          <w:tcPr>
            <w:tcW w:w="2835" w:type="dxa"/>
          </w:tcPr>
          <w:p>
            <w:pPr>
              <w:widowControl w:val="0"/>
              <w:spacing w:line="360" w:lineRule="auto"/>
              <w:jc w:val="both"/>
              <w:rPr>
                <w:rFonts w:ascii="宋体" w:hAnsi="宋体"/>
                <w:b/>
                <w:bCs/>
                <w:sz w:val="24"/>
                <w:szCs w:val="24"/>
                <w:lang w:val="zh-CN"/>
              </w:rPr>
            </w:pPr>
            <w:r>
              <w:rPr>
                <w:rFonts w:hint="eastAsia" w:ascii="宋体" w:hAnsi="宋体"/>
                <w:b/>
                <w:bCs/>
                <w:sz w:val="24"/>
                <w:szCs w:val="24"/>
                <w:lang w:val="zh-CN"/>
              </w:rPr>
              <w:t>乙方应向甲方提交的资料</w:t>
            </w:r>
          </w:p>
        </w:tc>
        <w:tc>
          <w:tcPr>
            <w:tcW w:w="3544" w:type="dxa"/>
          </w:tcPr>
          <w:p>
            <w:pPr>
              <w:widowControl w:val="0"/>
              <w:spacing w:line="360" w:lineRule="auto"/>
              <w:jc w:val="both"/>
              <w:rPr>
                <w:rFonts w:ascii="宋体" w:hAnsi="宋体"/>
                <w:b/>
                <w:bCs/>
                <w:sz w:val="24"/>
                <w:szCs w:val="24"/>
                <w:lang w:val="zh-CN"/>
              </w:rPr>
            </w:pPr>
            <w:r>
              <w:rPr>
                <w:rFonts w:hint="eastAsia" w:ascii="宋体" w:hAnsi="宋体"/>
                <w:b/>
                <w:bCs/>
                <w:sz w:val="24"/>
                <w:szCs w:val="24"/>
                <w:lang w:val="zh-CN"/>
              </w:rPr>
              <w:t>进度款的支付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980" w:type="dxa"/>
            <w:vMerge w:val="restart"/>
          </w:tcPr>
          <w:p>
            <w:pPr>
              <w:widowControl w:val="0"/>
              <w:spacing w:line="360" w:lineRule="auto"/>
              <w:jc w:val="both"/>
              <w:rPr>
                <w:rFonts w:ascii="宋体" w:hAnsi="宋体"/>
                <w:sz w:val="24"/>
                <w:szCs w:val="24"/>
                <w:lang w:val="zh-CN"/>
              </w:rPr>
            </w:pPr>
            <w:r>
              <w:rPr>
                <w:rFonts w:hint="eastAsia" w:ascii="宋体" w:hAnsi="宋体"/>
                <w:sz w:val="24"/>
                <w:szCs w:val="24"/>
                <w:lang w:val="zh-CN"/>
              </w:rPr>
              <w:t>合同签订后</w:t>
            </w:r>
          </w:p>
        </w:tc>
        <w:tc>
          <w:tcPr>
            <w:tcW w:w="2835" w:type="dxa"/>
          </w:tcPr>
          <w:p>
            <w:pPr>
              <w:widowControl w:val="0"/>
              <w:spacing w:line="360" w:lineRule="auto"/>
              <w:jc w:val="both"/>
              <w:rPr>
                <w:rFonts w:ascii="宋体" w:hAnsi="宋体"/>
                <w:sz w:val="24"/>
                <w:szCs w:val="24"/>
                <w:lang w:val="zh-CN"/>
              </w:rPr>
            </w:pPr>
            <w:r>
              <w:rPr>
                <w:rFonts w:hint="eastAsia" w:ascii="宋体" w:hAnsi="宋体"/>
                <w:sz w:val="24"/>
                <w:szCs w:val="24"/>
                <w:lang w:val="zh-CN"/>
              </w:rPr>
              <w:t>发票</w:t>
            </w:r>
          </w:p>
        </w:tc>
        <w:tc>
          <w:tcPr>
            <w:tcW w:w="3544" w:type="dxa"/>
          </w:tcPr>
          <w:p>
            <w:pPr>
              <w:widowControl w:val="0"/>
              <w:spacing w:line="360" w:lineRule="auto"/>
              <w:jc w:val="left"/>
              <w:rPr>
                <w:rFonts w:ascii="宋体" w:hAnsi="宋体"/>
                <w:sz w:val="24"/>
                <w:szCs w:val="24"/>
                <w:lang w:val="zh-CN"/>
              </w:rPr>
            </w:pPr>
            <w:r>
              <w:rPr>
                <w:rFonts w:hint="eastAsia" w:ascii="宋体" w:hAnsi="宋体"/>
                <w:sz w:val="24"/>
                <w:szCs w:val="24"/>
                <w:lang w:val="zh-CN"/>
              </w:rPr>
              <w:t>合同签订后</w:t>
            </w:r>
            <w:r>
              <w:rPr>
                <w:rFonts w:hint="eastAsia" w:ascii="宋体" w:hAnsi="宋体"/>
                <w:sz w:val="24"/>
                <w:szCs w:val="24"/>
              </w:rPr>
              <w:t>10</w:t>
            </w:r>
            <w:r>
              <w:rPr>
                <w:rFonts w:ascii="宋体" w:hAnsi="宋体"/>
                <w:sz w:val="24"/>
                <w:szCs w:val="24"/>
                <w:lang w:val="zh-CN"/>
              </w:rPr>
              <w:t>个日历天内，向乙方支付合同价的</w:t>
            </w:r>
            <w:r>
              <w:rPr>
                <w:rFonts w:hint="eastAsia" w:ascii="宋体" w:hAnsi="宋体"/>
                <w:sz w:val="24"/>
                <w:szCs w:val="24"/>
                <w:lang w:val="zh-CN"/>
              </w:rPr>
              <w:t>35</w:t>
            </w:r>
            <w:r>
              <w:rPr>
                <w:rFonts w:ascii="宋体" w:hAnsi="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80" w:type="dxa"/>
            <w:vMerge w:val="continue"/>
          </w:tcPr>
          <w:p>
            <w:pPr>
              <w:widowControl w:val="0"/>
              <w:spacing w:line="360" w:lineRule="auto"/>
              <w:jc w:val="both"/>
              <w:rPr>
                <w:rFonts w:ascii="宋体" w:hAnsi="宋体"/>
                <w:sz w:val="24"/>
                <w:szCs w:val="24"/>
                <w:lang w:val="zh-CN"/>
              </w:rPr>
            </w:pPr>
          </w:p>
        </w:tc>
        <w:tc>
          <w:tcPr>
            <w:tcW w:w="2835" w:type="dxa"/>
          </w:tcPr>
          <w:p>
            <w:pPr>
              <w:widowControl w:val="0"/>
              <w:spacing w:line="360" w:lineRule="auto"/>
              <w:jc w:val="both"/>
              <w:rPr>
                <w:rFonts w:ascii="宋体" w:hAnsi="宋体"/>
                <w:sz w:val="24"/>
                <w:szCs w:val="24"/>
                <w:lang w:val="zh-CN"/>
              </w:rPr>
            </w:pPr>
            <w:r>
              <w:rPr>
                <w:rFonts w:ascii="宋体" w:hAnsi="宋体"/>
                <w:sz w:val="24"/>
                <w:szCs w:val="24"/>
                <w:lang w:val="zh-CN"/>
              </w:rPr>
              <w:t>发票</w:t>
            </w:r>
          </w:p>
          <w:p>
            <w:pPr>
              <w:widowControl w:val="0"/>
              <w:spacing w:line="360" w:lineRule="auto"/>
              <w:jc w:val="both"/>
              <w:rPr>
                <w:rFonts w:ascii="宋体" w:hAnsi="宋体"/>
                <w:sz w:val="24"/>
                <w:szCs w:val="24"/>
                <w:lang w:val="zh-CN"/>
              </w:rPr>
            </w:pPr>
            <w:r>
              <w:rPr>
                <w:rFonts w:ascii="宋体" w:hAnsi="宋体"/>
                <w:sz w:val="24"/>
                <w:szCs w:val="24"/>
                <w:lang w:val="zh-CN"/>
              </w:rPr>
              <w:t xml:space="preserve"> </w:t>
            </w:r>
          </w:p>
        </w:tc>
        <w:tc>
          <w:tcPr>
            <w:tcW w:w="3544" w:type="dxa"/>
          </w:tcPr>
          <w:p>
            <w:pPr>
              <w:widowControl w:val="0"/>
              <w:spacing w:line="360" w:lineRule="auto"/>
              <w:jc w:val="left"/>
              <w:rPr>
                <w:rFonts w:ascii="宋体" w:hAnsi="宋体"/>
                <w:sz w:val="24"/>
                <w:szCs w:val="24"/>
                <w:lang w:val="zh-CN"/>
              </w:rPr>
            </w:pPr>
            <w:r>
              <w:rPr>
                <w:rFonts w:hint="eastAsia" w:ascii="宋体" w:hAnsi="宋体"/>
                <w:sz w:val="24"/>
                <w:szCs w:val="24"/>
                <w:lang w:val="zh-CN"/>
              </w:rPr>
              <w:t>运维服务到期经甲方确认合格</w:t>
            </w:r>
            <w:r>
              <w:rPr>
                <w:rFonts w:ascii="宋体" w:hAnsi="宋体"/>
                <w:sz w:val="24"/>
                <w:szCs w:val="24"/>
                <w:lang w:val="zh-CN"/>
              </w:rPr>
              <w:t>，向乙方</w:t>
            </w:r>
            <w:r>
              <w:rPr>
                <w:rFonts w:hint="eastAsia" w:ascii="宋体" w:hAnsi="宋体"/>
                <w:sz w:val="24"/>
                <w:szCs w:val="24"/>
                <w:lang w:val="zh-CN"/>
              </w:rPr>
              <w:t>支付合同价的65</w:t>
            </w:r>
            <w:r>
              <w:rPr>
                <w:rFonts w:ascii="宋体" w:hAnsi="宋体"/>
                <w:sz w:val="24"/>
                <w:szCs w:val="24"/>
                <w:lang w:val="zh-CN"/>
              </w:rPr>
              <w:t xml:space="preserve">%。 </w:t>
            </w:r>
          </w:p>
        </w:tc>
      </w:tr>
    </w:tbl>
    <w:p>
      <w:pPr>
        <w:rPr>
          <w:b/>
          <w:sz w:val="32"/>
          <w:szCs w:val="32"/>
        </w:rPr>
      </w:pPr>
    </w:p>
    <w:p>
      <w:pPr>
        <w:widowControl w:val="0"/>
        <w:spacing w:line="360" w:lineRule="auto"/>
        <w:jc w:val="both"/>
        <w:rPr>
          <w:rFonts w:hint="default" w:ascii="宋体" w:hAnsi="宋体"/>
          <w:sz w:val="24"/>
          <w:szCs w:val="24"/>
          <w:lang w:val="en-US" w:eastAsia="zh-CN"/>
        </w:rPr>
      </w:pPr>
      <w:r>
        <w:rPr>
          <w:rFonts w:hint="eastAsia" w:ascii="宋体" w:hAnsi="宋体"/>
          <w:sz w:val="24"/>
          <w:szCs w:val="24"/>
          <w:lang w:val="en-US" w:eastAsia="zh-CN"/>
        </w:rPr>
        <w:t>如出现逾期支付相关费用等情况，采购人将支付中标单位相应利息；如对中标单位造成损失的，依法给予中标单位相关补偿。</w:t>
      </w:r>
    </w:p>
    <w:p>
      <w:pPr>
        <w:rPr>
          <w:b/>
          <w:sz w:val="32"/>
          <w:szCs w:val="32"/>
        </w:rPr>
      </w:pPr>
    </w:p>
    <w:sectPr>
      <w:headerReference r:id="rId3" w:type="default"/>
      <w:footerReference r:id="rId4"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23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default" w:eastAsia="宋体"/>
        <w:lang w:val="en-US" w:eastAsia="zh-CN"/>
      </w:rPr>
    </w:pPr>
    <w:r>
      <w:rPr>
        <w:rFonts w:hint="eastAsia"/>
        <w:lang w:val="en-US" w:eastAsia="zh-CN"/>
      </w:rPr>
      <w:t>ZC20240146      长宁区卫生数据中心2024年度信息化硬件维护服务竞争性磋商项目       需求文件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1DA"/>
    <w:multiLevelType w:val="multilevel"/>
    <w:tmpl w:val="01B521D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104D0722"/>
    <w:multiLevelType w:val="multilevel"/>
    <w:tmpl w:val="104D07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886440"/>
    <w:multiLevelType w:val="multilevel"/>
    <w:tmpl w:val="108864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2A7564"/>
    <w:multiLevelType w:val="multilevel"/>
    <w:tmpl w:val="132A7564"/>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3513225"/>
    <w:multiLevelType w:val="multilevel"/>
    <w:tmpl w:val="135132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2B43F1"/>
    <w:multiLevelType w:val="multilevel"/>
    <w:tmpl w:val="152B43F1"/>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165F799C"/>
    <w:multiLevelType w:val="multilevel"/>
    <w:tmpl w:val="165F799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1F790FEA"/>
    <w:multiLevelType w:val="multilevel"/>
    <w:tmpl w:val="1F790FE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218E7DAF"/>
    <w:multiLevelType w:val="multilevel"/>
    <w:tmpl w:val="218E7DAF"/>
    <w:lvl w:ilvl="0" w:tentative="0">
      <w:start w:val="1"/>
      <w:numFmt w:val="bullet"/>
      <w:pStyle w:val="181"/>
      <w:lvlText w:val=""/>
      <w:lvlJc w:val="left"/>
      <w:pPr>
        <w:tabs>
          <w:tab w:val="left" w:pos="624"/>
        </w:tabs>
        <w:ind w:left="567" w:hanging="283"/>
      </w:pPr>
      <w:rPr>
        <w:rFonts w:hint="default" w:ascii="Wingdings" w:hAnsi="Wingdings"/>
      </w:r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DD214EF"/>
    <w:multiLevelType w:val="multilevel"/>
    <w:tmpl w:val="2DD214EF"/>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449B3AD9"/>
    <w:multiLevelType w:val="multilevel"/>
    <w:tmpl w:val="449B3AD9"/>
    <w:lvl w:ilvl="0" w:tentative="0">
      <w:start w:val="1"/>
      <w:numFmt w:val="decimal"/>
      <w:pStyle w:val="196"/>
      <w:suff w:val="space"/>
      <w:lvlText w:val="%1"/>
      <w:lvlJc w:val="left"/>
      <w:pPr>
        <w:ind w:left="0" w:firstLine="0"/>
      </w:pPr>
      <w:rPr>
        <w:rFonts w:hint="eastAsia"/>
        <w:sz w:val="21"/>
        <w:szCs w:val="44"/>
      </w:rPr>
    </w:lvl>
    <w:lvl w:ilvl="1" w:tentative="0">
      <w:start w:val="1"/>
      <w:numFmt w:val="decimal"/>
      <w:pStyle w:val="197"/>
      <w:suff w:val="space"/>
      <w:lvlText w:val="%1.%2"/>
      <w:lvlJc w:val="left"/>
      <w:pPr>
        <w:ind w:left="0" w:firstLine="0"/>
      </w:pPr>
      <w:rPr>
        <w:rFonts w:hint="eastAsia"/>
        <w:sz w:val="21"/>
      </w:rPr>
    </w:lvl>
    <w:lvl w:ilvl="2" w:tentative="0">
      <w:start w:val="1"/>
      <w:numFmt w:val="decimal"/>
      <w:pStyle w:val="198"/>
      <w:suff w:val="space"/>
      <w:lvlText w:val="%1.%2.%3"/>
      <w:lvlJc w:val="left"/>
      <w:pPr>
        <w:ind w:left="0" w:firstLine="0"/>
      </w:pPr>
      <w:rPr>
        <w:rFonts w:hint="eastAsia"/>
      </w:rPr>
    </w:lvl>
    <w:lvl w:ilvl="3" w:tentative="0">
      <w:start w:val="1"/>
      <w:numFmt w:val="decimal"/>
      <w:pStyle w:val="199"/>
      <w:suff w:val="space"/>
      <w:lvlText w:val="%1.%2.%3.%4"/>
      <w:lvlJc w:val="left"/>
      <w:pPr>
        <w:ind w:left="0" w:firstLine="0"/>
      </w:pPr>
      <w:rPr>
        <w:rFonts w:hint="eastAsia"/>
      </w:rPr>
    </w:lvl>
    <w:lvl w:ilvl="4" w:tentative="0">
      <w:start w:val="1"/>
      <w:numFmt w:val="decimal"/>
      <w:pStyle w:val="200"/>
      <w:suff w:val="space"/>
      <w:lvlText w:val="%1.%2.%3.%4.%5"/>
      <w:lvlJc w:val="left"/>
      <w:pPr>
        <w:ind w:left="0" w:firstLine="0"/>
      </w:pPr>
      <w:rPr>
        <w:rFonts w:hint="eastAsia"/>
      </w:rPr>
    </w:lvl>
    <w:lvl w:ilvl="5" w:tentative="0">
      <w:start w:val="1"/>
      <w:numFmt w:val="decimal"/>
      <w:pStyle w:val="201"/>
      <w:suff w:val="space"/>
      <w:lvlText w:val="%1.%2.%3.%4.%5.%6"/>
      <w:lvlJc w:val="left"/>
      <w:pPr>
        <w:ind w:left="0" w:firstLine="0"/>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508D747A"/>
    <w:multiLevelType w:val="multilevel"/>
    <w:tmpl w:val="508D747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54AD44DB"/>
    <w:multiLevelType w:val="multilevel"/>
    <w:tmpl w:val="54AD44DB"/>
    <w:lvl w:ilvl="0" w:tentative="0">
      <w:start w:val="1"/>
      <w:numFmt w:val="decimal"/>
      <w:pStyle w:val="2"/>
      <w:suff w:val="nothing"/>
      <w:lvlText w:val="第%1章  "/>
      <w:lvlJc w:val="left"/>
      <w:pPr>
        <w:ind w:left="0" w:firstLine="0"/>
      </w:pPr>
      <w:rPr>
        <w:rFonts w:hint="eastAsia"/>
      </w:rPr>
    </w:lvl>
    <w:lvl w:ilvl="1" w:tentative="0">
      <w:start w:val="1"/>
      <w:numFmt w:val="decimal"/>
      <w:pStyle w:val="3"/>
      <w:suff w:val="nothing"/>
      <w:lvlText w:val="%1.%2  "/>
      <w:lvlJc w:val="left"/>
      <w:pPr>
        <w:ind w:left="0" w:firstLine="0"/>
      </w:pPr>
      <w:rPr>
        <w:rFonts w:hint="eastAsia"/>
      </w:rPr>
    </w:lvl>
    <w:lvl w:ilvl="2" w:tentative="0">
      <w:start w:val="1"/>
      <w:numFmt w:val="decimal"/>
      <w:pStyle w:val="5"/>
      <w:suff w:val="nothing"/>
      <w:lvlText w:val="%1.%2.%3  "/>
      <w:lvlJc w:val="left"/>
      <w:pPr>
        <w:ind w:left="0" w:firstLine="0"/>
      </w:pPr>
      <w:rPr>
        <w:rFonts w:hint="eastAsia"/>
      </w:rPr>
    </w:lvl>
    <w:lvl w:ilvl="3" w:tentative="0">
      <w:start w:val="1"/>
      <w:numFmt w:val="decimal"/>
      <w:pStyle w:val="6"/>
      <w:suff w:val="nothing"/>
      <w:lvlText w:val="%1.%2.%3.%4  "/>
      <w:lvlJc w:val="left"/>
      <w:pPr>
        <w:ind w:left="0" w:firstLine="0"/>
      </w:pPr>
      <w:rPr>
        <w:rFonts w:hint="default" w:ascii="Times New Roman" w:hAnsi="Times New Roman" w:cs="Times New Roman"/>
        <w:lang w:val="en-US"/>
      </w:rPr>
    </w:lvl>
    <w:lvl w:ilvl="4" w:tentative="0">
      <w:start w:val="1"/>
      <w:numFmt w:val="decimal"/>
      <w:pStyle w:val="7"/>
      <w:suff w:val="space"/>
      <w:lvlText w:val="%1.%2.%3.%4.%5"/>
      <w:lvlJc w:val="left"/>
      <w:pPr>
        <w:ind w:left="0" w:firstLine="0"/>
      </w:pPr>
      <w:rPr>
        <w:rFonts w:hint="eastAsia"/>
      </w:rPr>
    </w:lvl>
    <w:lvl w:ilvl="5" w:tentative="0">
      <w:start w:val="1"/>
      <w:numFmt w:val="decimal"/>
      <w:pStyle w:val="8"/>
      <w:lvlText w:val="%6"/>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3">
    <w:nsid w:val="5EA07C58"/>
    <w:multiLevelType w:val="multilevel"/>
    <w:tmpl w:val="5EA07C58"/>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777F0DC0"/>
    <w:multiLevelType w:val="multilevel"/>
    <w:tmpl w:val="777F0DC0"/>
    <w:lvl w:ilvl="0" w:tentative="0">
      <w:start w:val="1"/>
      <w:numFmt w:val="bullet"/>
      <w:lvlText w:val=""/>
      <w:lvlJc w:val="left"/>
      <w:pPr>
        <w:ind w:left="845" w:hanging="420"/>
      </w:pPr>
      <w:rPr>
        <w:rFonts w:hint="default" w:ascii="Wingdings" w:hAnsi="Wingdings"/>
      </w:rPr>
    </w:lvl>
    <w:lvl w:ilvl="1" w:tentative="0">
      <w:start w:val="1"/>
      <w:numFmt w:val="bullet"/>
      <w:pStyle w:val="309"/>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pStyle w:val="307"/>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5">
    <w:nsid w:val="77845352"/>
    <w:multiLevelType w:val="multilevel"/>
    <w:tmpl w:val="77845352"/>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2"/>
  </w:num>
  <w:num w:numId="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3">
    <w:abstractNumId w:val="10"/>
  </w:num>
  <w:num w:numId="4">
    <w:abstractNumId w:val="14"/>
  </w:num>
  <w:num w:numId="5">
    <w:abstractNumId w:val="0"/>
  </w:num>
  <w:num w:numId="6">
    <w:abstractNumId w:val="7"/>
  </w:num>
  <w:num w:numId="7">
    <w:abstractNumId w:val="13"/>
  </w:num>
  <w:num w:numId="8">
    <w:abstractNumId w:val="3"/>
  </w:num>
  <w:num w:numId="9">
    <w:abstractNumId w:val="2"/>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1"/>
  </w:num>
  <w:num w:numId="14">
    <w:abstractNumId w:val="11"/>
  </w:num>
  <w:num w:numId="15">
    <w:abstractNumId w:val="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NmM0NTI3NGNkNDM1NmIzOTkwNjM0YjQ5NjljNjIifQ=="/>
  </w:docVars>
  <w:rsids>
    <w:rsidRoot w:val="00583566"/>
    <w:rsid w:val="00000098"/>
    <w:rsid w:val="000008C0"/>
    <w:rsid w:val="00001605"/>
    <w:rsid w:val="000017FF"/>
    <w:rsid w:val="000018B1"/>
    <w:rsid w:val="00003E14"/>
    <w:rsid w:val="00004795"/>
    <w:rsid w:val="0000591F"/>
    <w:rsid w:val="00005CEF"/>
    <w:rsid w:val="00005FFD"/>
    <w:rsid w:val="00006379"/>
    <w:rsid w:val="00007D05"/>
    <w:rsid w:val="0001003F"/>
    <w:rsid w:val="00010BE2"/>
    <w:rsid w:val="000110BA"/>
    <w:rsid w:val="000114CA"/>
    <w:rsid w:val="00012BBF"/>
    <w:rsid w:val="00013725"/>
    <w:rsid w:val="00013835"/>
    <w:rsid w:val="00013CD1"/>
    <w:rsid w:val="00014D2B"/>
    <w:rsid w:val="0001557E"/>
    <w:rsid w:val="00015665"/>
    <w:rsid w:val="00015CFE"/>
    <w:rsid w:val="0001644B"/>
    <w:rsid w:val="00016E84"/>
    <w:rsid w:val="00017123"/>
    <w:rsid w:val="00017533"/>
    <w:rsid w:val="000179D0"/>
    <w:rsid w:val="00020012"/>
    <w:rsid w:val="0002088E"/>
    <w:rsid w:val="00021125"/>
    <w:rsid w:val="0002270C"/>
    <w:rsid w:val="0002298F"/>
    <w:rsid w:val="00024B41"/>
    <w:rsid w:val="0002688B"/>
    <w:rsid w:val="00027D77"/>
    <w:rsid w:val="00032232"/>
    <w:rsid w:val="00032B25"/>
    <w:rsid w:val="00032ED6"/>
    <w:rsid w:val="00033285"/>
    <w:rsid w:val="00033837"/>
    <w:rsid w:val="00034838"/>
    <w:rsid w:val="00035473"/>
    <w:rsid w:val="00035528"/>
    <w:rsid w:val="0003696A"/>
    <w:rsid w:val="00037D33"/>
    <w:rsid w:val="000402D2"/>
    <w:rsid w:val="00040E58"/>
    <w:rsid w:val="00040FC8"/>
    <w:rsid w:val="00041E64"/>
    <w:rsid w:val="00041FDA"/>
    <w:rsid w:val="00042BEC"/>
    <w:rsid w:val="00043B5B"/>
    <w:rsid w:val="00044821"/>
    <w:rsid w:val="00044A01"/>
    <w:rsid w:val="000450EF"/>
    <w:rsid w:val="00045124"/>
    <w:rsid w:val="00050654"/>
    <w:rsid w:val="00051FBB"/>
    <w:rsid w:val="00052BCD"/>
    <w:rsid w:val="00052D31"/>
    <w:rsid w:val="000540F7"/>
    <w:rsid w:val="00054C63"/>
    <w:rsid w:val="000551F3"/>
    <w:rsid w:val="00055EE4"/>
    <w:rsid w:val="000560C4"/>
    <w:rsid w:val="000572A1"/>
    <w:rsid w:val="00057F5A"/>
    <w:rsid w:val="000630FD"/>
    <w:rsid w:val="0007278D"/>
    <w:rsid w:val="00074CC8"/>
    <w:rsid w:val="0007579E"/>
    <w:rsid w:val="0007751B"/>
    <w:rsid w:val="0008109D"/>
    <w:rsid w:val="000819EA"/>
    <w:rsid w:val="00081B39"/>
    <w:rsid w:val="00082093"/>
    <w:rsid w:val="000832F0"/>
    <w:rsid w:val="000833FC"/>
    <w:rsid w:val="000856D2"/>
    <w:rsid w:val="000857B4"/>
    <w:rsid w:val="0008610C"/>
    <w:rsid w:val="0009060F"/>
    <w:rsid w:val="000927D3"/>
    <w:rsid w:val="00093212"/>
    <w:rsid w:val="00093521"/>
    <w:rsid w:val="00093DA5"/>
    <w:rsid w:val="000953CE"/>
    <w:rsid w:val="00095A87"/>
    <w:rsid w:val="0009652E"/>
    <w:rsid w:val="000969B3"/>
    <w:rsid w:val="000976A3"/>
    <w:rsid w:val="0009771F"/>
    <w:rsid w:val="00097D57"/>
    <w:rsid w:val="000A0691"/>
    <w:rsid w:val="000A09B6"/>
    <w:rsid w:val="000A160A"/>
    <w:rsid w:val="000A2662"/>
    <w:rsid w:val="000A2AB6"/>
    <w:rsid w:val="000A358E"/>
    <w:rsid w:val="000A3A24"/>
    <w:rsid w:val="000A4013"/>
    <w:rsid w:val="000A523F"/>
    <w:rsid w:val="000A60C3"/>
    <w:rsid w:val="000A6289"/>
    <w:rsid w:val="000A6533"/>
    <w:rsid w:val="000A6FFF"/>
    <w:rsid w:val="000B16D6"/>
    <w:rsid w:val="000B1D37"/>
    <w:rsid w:val="000B57FB"/>
    <w:rsid w:val="000B6460"/>
    <w:rsid w:val="000B6ABF"/>
    <w:rsid w:val="000C0059"/>
    <w:rsid w:val="000C08A5"/>
    <w:rsid w:val="000C08E9"/>
    <w:rsid w:val="000C2562"/>
    <w:rsid w:val="000C5196"/>
    <w:rsid w:val="000D080A"/>
    <w:rsid w:val="000D1484"/>
    <w:rsid w:val="000D2D66"/>
    <w:rsid w:val="000D6A5E"/>
    <w:rsid w:val="000D78A6"/>
    <w:rsid w:val="000E10C8"/>
    <w:rsid w:val="000E15FA"/>
    <w:rsid w:val="000E1E8A"/>
    <w:rsid w:val="000E268C"/>
    <w:rsid w:val="000E2C81"/>
    <w:rsid w:val="000E2EEE"/>
    <w:rsid w:val="000E34A1"/>
    <w:rsid w:val="000E6002"/>
    <w:rsid w:val="000E6DBE"/>
    <w:rsid w:val="000E74C6"/>
    <w:rsid w:val="000E7677"/>
    <w:rsid w:val="000F08EE"/>
    <w:rsid w:val="000F1ED6"/>
    <w:rsid w:val="000F1EDC"/>
    <w:rsid w:val="000F2258"/>
    <w:rsid w:val="000F2D37"/>
    <w:rsid w:val="000F2DA4"/>
    <w:rsid w:val="000F365F"/>
    <w:rsid w:val="000F3779"/>
    <w:rsid w:val="000F3B63"/>
    <w:rsid w:val="000F42FE"/>
    <w:rsid w:val="000F5F00"/>
    <w:rsid w:val="000F685D"/>
    <w:rsid w:val="000F6ECE"/>
    <w:rsid w:val="000F7007"/>
    <w:rsid w:val="000F7096"/>
    <w:rsid w:val="000F7387"/>
    <w:rsid w:val="00100468"/>
    <w:rsid w:val="0010077B"/>
    <w:rsid w:val="00101081"/>
    <w:rsid w:val="00101197"/>
    <w:rsid w:val="00103534"/>
    <w:rsid w:val="001036B5"/>
    <w:rsid w:val="0010649D"/>
    <w:rsid w:val="001069FA"/>
    <w:rsid w:val="00111406"/>
    <w:rsid w:val="00111912"/>
    <w:rsid w:val="001147E8"/>
    <w:rsid w:val="00114E94"/>
    <w:rsid w:val="00114FB0"/>
    <w:rsid w:val="0011502E"/>
    <w:rsid w:val="001159FF"/>
    <w:rsid w:val="00115B5C"/>
    <w:rsid w:val="0011735C"/>
    <w:rsid w:val="001234B8"/>
    <w:rsid w:val="001239B8"/>
    <w:rsid w:val="00124174"/>
    <w:rsid w:val="001247F5"/>
    <w:rsid w:val="00125698"/>
    <w:rsid w:val="00125B1F"/>
    <w:rsid w:val="00130630"/>
    <w:rsid w:val="001333E2"/>
    <w:rsid w:val="00135206"/>
    <w:rsid w:val="0013563A"/>
    <w:rsid w:val="00137280"/>
    <w:rsid w:val="00137CAF"/>
    <w:rsid w:val="0014196F"/>
    <w:rsid w:val="00142826"/>
    <w:rsid w:val="00142BBD"/>
    <w:rsid w:val="001441DD"/>
    <w:rsid w:val="00145B13"/>
    <w:rsid w:val="001464AB"/>
    <w:rsid w:val="0014692B"/>
    <w:rsid w:val="00147501"/>
    <w:rsid w:val="0015021C"/>
    <w:rsid w:val="00151F89"/>
    <w:rsid w:val="001523FA"/>
    <w:rsid w:val="0015465E"/>
    <w:rsid w:val="001549E5"/>
    <w:rsid w:val="00154CD4"/>
    <w:rsid w:val="00163582"/>
    <w:rsid w:val="00164901"/>
    <w:rsid w:val="00164B5E"/>
    <w:rsid w:val="00164BDC"/>
    <w:rsid w:val="00166033"/>
    <w:rsid w:val="001663B3"/>
    <w:rsid w:val="00166459"/>
    <w:rsid w:val="00167881"/>
    <w:rsid w:val="00167C7E"/>
    <w:rsid w:val="00167ED9"/>
    <w:rsid w:val="00170563"/>
    <w:rsid w:val="00170709"/>
    <w:rsid w:val="00170E56"/>
    <w:rsid w:val="00170E88"/>
    <w:rsid w:val="0017131D"/>
    <w:rsid w:val="0017313B"/>
    <w:rsid w:val="001753E4"/>
    <w:rsid w:val="00175631"/>
    <w:rsid w:val="00176594"/>
    <w:rsid w:val="001769A5"/>
    <w:rsid w:val="001778A2"/>
    <w:rsid w:val="00183A46"/>
    <w:rsid w:val="00186D7C"/>
    <w:rsid w:val="0018707A"/>
    <w:rsid w:val="00190DF0"/>
    <w:rsid w:val="00190FD9"/>
    <w:rsid w:val="001926FE"/>
    <w:rsid w:val="001959BB"/>
    <w:rsid w:val="00196908"/>
    <w:rsid w:val="00196C55"/>
    <w:rsid w:val="001A1918"/>
    <w:rsid w:val="001A1A83"/>
    <w:rsid w:val="001A23EB"/>
    <w:rsid w:val="001A292E"/>
    <w:rsid w:val="001A39C5"/>
    <w:rsid w:val="001A3CD9"/>
    <w:rsid w:val="001A5DD5"/>
    <w:rsid w:val="001A7C97"/>
    <w:rsid w:val="001B09E1"/>
    <w:rsid w:val="001B0A25"/>
    <w:rsid w:val="001B1118"/>
    <w:rsid w:val="001B77D9"/>
    <w:rsid w:val="001C1060"/>
    <w:rsid w:val="001C15BD"/>
    <w:rsid w:val="001C1644"/>
    <w:rsid w:val="001C3619"/>
    <w:rsid w:val="001C53F4"/>
    <w:rsid w:val="001C5616"/>
    <w:rsid w:val="001C5E5D"/>
    <w:rsid w:val="001C7F8F"/>
    <w:rsid w:val="001C7FCB"/>
    <w:rsid w:val="001D046F"/>
    <w:rsid w:val="001D078D"/>
    <w:rsid w:val="001D0C4A"/>
    <w:rsid w:val="001D1F0F"/>
    <w:rsid w:val="001D2143"/>
    <w:rsid w:val="001D2E30"/>
    <w:rsid w:val="001D2FBF"/>
    <w:rsid w:val="001D3D5C"/>
    <w:rsid w:val="001D45C8"/>
    <w:rsid w:val="001D52E8"/>
    <w:rsid w:val="001D5A27"/>
    <w:rsid w:val="001D6ABC"/>
    <w:rsid w:val="001D6C44"/>
    <w:rsid w:val="001D7E81"/>
    <w:rsid w:val="001E0421"/>
    <w:rsid w:val="001E07F7"/>
    <w:rsid w:val="001E0D53"/>
    <w:rsid w:val="001E168E"/>
    <w:rsid w:val="001E1D89"/>
    <w:rsid w:val="001E276B"/>
    <w:rsid w:val="001E402B"/>
    <w:rsid w:val="001E5430"/>
    <w:rsid w:val="001F08A4"/>
    <w:rsid w:val="001F0C5A"/>
    <w:rsid w:val="001F1322"/>
    <w:rsid w:val="001F2275"/>
    <w:rsid w:val="001F2C92"/>
    <w:rsid w:val="001F2E0F"/>
    <w:rsid w:val="001F4EFE"/>
    <w:rsid w:val="001F591A"/>
    <w:rsid w:val="001F5A34"/>
    <w:rsid w:val="001F5A74"/>
    <w:rsid w:val="001F64DD"/>
    <w:rsid w:val="001F7917"/>
    <w:rsid w:val="001F7C95"/>
    <w:rsid w:val="001F7DE0"/>
    <w:rsid w:val="0020003F"/>
    <w:rsid w:val="00200D7C"/>
    <w:rsid w:val="002018C5"/>
    <w:rsid w:val="00202A71"/>
    <w:rsid w:val="00202E39"/>
    <w:rsid w:val="0020394F"/>
    <w:rsid w:val="0020431F"/>
    <w:rsid w:val="00206D6C"/>
    <w:rsid w:val="00210895"/>
    <w:rsid w:val="002108B8"/>
    <w:rsid w:val="002115E4"/>
    <w:rsid w:val="00211CF1"/>
    <w:rsid w:val="00213178"/>
    <w:rsid w:val="0021366A"/>
    <w:rsid w:val="00213D52"/>
    <w:rsid w:val="00214B19"/>
    <w:rsid w:val="002161EA"/>
    <w:rsid w:val="00217082"/>
    <w:rsid w:val="0022243C"/>
    <w:rsid w:val="00222629"/>
    <w:rsid w:val="00222E4E"/>
    <w:rsid w:val="00223093"/>
    <w:rsid w:val="0022430F"/>
    <w:rsid w:val="00226CA0"/>
    <w:rsid w:val="002277D9"/>
    <w:rsid w:val="00227FC7"/>
    <w:rsid w:val="002331A4"/>
    <w:rsid w:val="002334E5"/>
    <w:rsid w:val="0023576F"/>
    <w:rsid w:val="00235C0B"/>
    <w:rsid w:val="002366A7"/>
    <w:rsid w:val="0023784B"/>
    <w:rsid w:val="0024037C"/>
    <w:rsid w:val="00241FB9"/>
    <w:rsid w:val="00242501"/>
    <w:rsid w:val="002442DE"/>
    <w:rsid w:val="00245944"/>
    <w:rsid w:val="00245DDC"/>
    <w:rsid w:val="0025054A"/>
    <w:rsid w:val="002520E1"/>
    <w:rsid w:val="0025211F"/>
    <w:rsid w:val="00252923"/>
    <w:rsid w:val="00253859"/>
    <w:rsid w:val="0025546F"/>
    <w:rsid w:val="00255515"/>
    <w:rsid w:val="00256F91"/>
    <w:rsid w:val="00257601"/>
    <w:rsid w:val="002577E4"/>
    <w:rsid w:val="00257A2B"/>
    <w:rsid w:val="00260A09"/>
    <w:rsid w:val="00260D49"/>
    <w:rsid w:val="00262D28"/>
    <w:rsid w:val="00264459"/>
    <w:rsid w:val="00266962"/>
    <w:rsid w:val="0027032E"/>
    <w:rsid w:val="00270B5D"/>
    <w:rsid w:val="00271BE4"/>
    <w:rsid w:val="00273F27"/>
    <w:rsid w:val="0027515E"/>
    <w:rsid w:val="00275E3B"/>
    <w:rsid w:val="00277B27"/>
    <w:rsid w:val="00280047"/>
    <w:rsid w:val="00280642"/>
    <w:rsid w:val="00280B32"/>
    <w:rsid w:val="00280E15"/>
    <w:rsid w:val="00282AE0"/>
    <w:rsid w:val="00284146"/>
    <w:rsid w:val="002857AB"/>
    <w:rsid w:val="00285F31"/>
    <w:rsid w:val="0028635E"/>
    <w:rsid w:val="002868EC"/>
    <w:rsid w:val="00287BE7"/>
    <w:rsid w:val="00287BF2"/>
    <w:rsid w:val="00290C95"/>
    <w:rsid w:val="00292C69"/>
    <w:rsid w:val="00293309"/>
    <w:rsid w:val="00293700"/>
    <w:rsid w:val="002940A1"/>
    <w:rsid w:val="002944FB"/>
    <w:rsid w:val="00295325"/>
    <w:rsid w:val="0029640E"/>
    <w:rsid w:val="00296506"/>
    <w:rsid w:val="002A12D5"/>
    <w:rsid w:val="002A1EAF"/>
    <w:rsid w:val="002A2D6D"/>
    <w:rsid w:val="002A3AE7"/>
    <w:rsid w:val="002A495B"/>
    <w:rsid w:val="002A693B"/>
    <w:rsid w:val="002A6FE4"/>
    <w:rsid w:val="002B0F3D"/>
    <w:rsid w:val="002B11C3"/>
    <w:rsid w:val="002B2195"/>
    <w:rsid w:val="002B286E"/>
    <w:rsid w:val="002B37E7"/>
    <w:rsid w:val="002B3CE2"/>
    <w:rsid w:val="002B3FEB"/>
    <w:rsid w:val="002B4791"/>
    <w:rsid w:val="002B4A96"/>
    <w:rsid w:val="002B4DD3"/>
    <w:rsid w:val="002B57E7"/>
    <w:rsid w:val="002B674E"/>
    <w:rsid w:val="002B681D"/>
    <w:rsid w:val="002B71AE"/>
    <w:rsid w:val="002C0DED"/>
    <w:rsid w:val="002C2BED"/>
    <w:rsid w:val="002C38A8"/>
    <w:rsid w:val="002C38BA"/>
    <w:rsid w:val="002C3C5A"/>
    <w:rsid w:val="002C5572"/>
    <w:rsid w:val="002C5F4B"/>
    <w:rsid w:val="002C6759"/>
    <w:rsid w:val="002C698D"/>
    <w:rsid w:val="002C7D64"/>
    <w:rsid w:val="002D35B7"/>
    <w:rsid w:val="002D4C6A"/>
    <w:rsid w:val="002D4DF8"/>
    <w:rsid w:val="002D7A2C"/>
    <w:rsid w:val="002D7A81"/>
    <w:rsid w:val="002E038C"/>
    <w:rsid w:val="002E03FA"/>
    <w:rsid w:val="002E41E0"/>
    <w:rsid w:val="002E558D"/>
    <w:rsid w:val="002E5891"/>
    <w:rsid w:val="002E7A13"/>
    <w:rsid w:val="002E7A7A"/>
    <w:rsid w:val="002F0369"/>
    <w:rsid w:val="002F182E"/>
    <w:rsid w:val="002F2528"/>
    <w:rsid w:val="002F3C43"/>
    <w:rsid w:val="002F40FC"/>
    <w:rsid w:val="002F4236"/>
    <w:rsid w:val="002F551A"/>
    <w:rsid w:val="002F5FE6"/>
    <w:rsid w:val="002F610F"/>
    <w:rsid w:val="002F6754"/>
    <w:rsid w:val="002F6DC7"/>
    <w:rsid w:val="003033A7"/>
    <w:rsid w:val="00303442"/>
    <w:rsid w:val="00303824"/>
    <w:rsid w:val="00303B16"/>
    <w:rsid w:val="00304021"/>
    <w:rsid w:val="00306269"/>
    <w:rsid w:val="00312D2B"/>
    <w:rsid w:val="003164E4"/>
    <w:rsid w:val="0031794E"/>
    <w:rsid w:val="00320DEA"/>
    <w:rsid w:val="003224C2"/>
    <w:rsid w:val="00322E99"/>
    <w:rsid w:val="00324CAE"/>
    <w:rsid w:val="0032506C"/>
    <w:rsid w:val="00326225"/>
    <w:rsid w:val="003262D5"/>
    <w:rsid w:val="00326856"/>
    <w:rsid w:val="00326B94"/>
    <w:rsid w:val="0032777F"/>
    <w:rsid w:val="00327E65"/>
    <w:rsid w:val="00330DD1"/>
    <w:rsid w:val="00331B1B"/>
    <w:rsid w:val="00331F92"/>
    <w:rsid w:val="0033495D"/>
    <w:rsid w:val="0033497E"/>
    <w:rsid w:val="003354C3"/>
    <w:rsid w:val="00336C41"/>
    <w:rsid w:val="00336EF2"/>
    <w:rsid w:val="0034233E"/>
    <w:rsid w:val="003423D6"/>
    <w:rsid w:val="00343050"/>
    <w:rsid w:val="00343630"/>
    <w:rsid w:val="00343DD6"/>
    <w:rsid w:val="00344898"/>
    <w:rsid w:val="00344D94"/>
    <w:rsid w:val="00344EEE"/>
    <w:rsid w:val="00344FA0"/>
    <w:rsid w:val="003460FB"/>
    <w:rsid w:val="00350EA1"/>
    <w:rsid w:val="00356654"/>
    <w:rsid w:val="00356EB4"/>
    <w:rsid w:val="00356F2E"/>
    <w:rsid w:val="00361ACD"/>
    <w:rsid w:val="00361D88"/>
    <w:rsid w:val="00361ECE"/>
    <w:rsid w:val="003625AD"/>
    <w:rsid w:val="00362F1C"/>
    <w:rsid w:val="003630C2"/>
    <w:rsid w:val="003630E5"/>
    <w:rsid w:val="00364C22"/>
    <w:rsid w:val="00364E1F"/>
    <w:rsid w:val="003653F4"/>
    <w:rsid w:val="00365964"/>
    <w:rsid w:val="003661FF"/>
    <w:rsid w:val="00367149"/>
    <w:rsid w:val="0037112F"/>
    <w:rsid w:val="00371224"/>
    <w:rsid w:val="00371577"/>
    <w:rsid w:val="00371E89"/>
    <w:rsid w:val="00371EBC"/>
    <w:rsid w:val="00372038"/>
    <w:rsid w:val="003721A4"/>
    <w:rsid w:val="00375A60"/>
    <w:rsid w:val="00375CCF"/>
    <w:rsid w:val="00377A55"/>
    <w:rsid w:val="00384714"/>
    <w:rsid w:val="003871C1"/>
    <w:rsid w:val="0039007F"/>
    <w:rsid w:val="0039256D"/>
    <w:rsid w:val="003945F7"/>
    <w:rsid w:val="00395BEE"/>
    <w:rsid w:val="00396A45"/>
    <w:rsid w:val="00397100"/>
    <w:rsid w:val="003977E4"/>
    <w:rsid w:val="003A137A"/>
    <w:rsid w:val="003A1C3F"/>
    <w:rsid w:val="003A2E72"/>
    <w:rsid w:val="003A3EA1"/>
    <w:rsid w:val="003A43D9"/>
    <w:rsid w:val="003A49C4"/>
    <w:rsid w:val="003A4BEC"/>
    <w:rsid w:val="003A75D0"/>
    <w:rsid w:val="003A7BA1"/>
    <w:rsid w:val="003B0CD8"/>
    <w:rsid w:val="003B1E20"/>
    <w:rsid w:val="003B26CC"/>
    <w:rsid w:val="003B33F9"/>
    <w:rsid w:val="003B473C"/>
    <w:rsid w:val="003B4C44"/>
    <w:rsid w:val="003B5F00"/>
    <w:rsid w:val="003B62E4"/>
    <w:rsid w:val="003B691C"/>
    <w:rsid w:val="003B6BEA"/>
    <w:rsid w:val="003B6C80"/>
    <w:rsid w:val="003B6EF0"/>
    <w:rsid w:val="003C30CD"/>
    <w:rsid w:val="003C442A"/>
    <w:rsid w:val="003C5668"/>
    <w:rsid w:val="003C7A07"/>
    <w:rsid w:val="003D0594"/>
    <w:rsid w:val="003D0A77"/>
    <w:rsid w:val="003D24B4"/>
    <w:rsid w:val="003D24CF"/>
    <w:rsid w:val="003D2AB9"/>
    <w:rsid w:val="003D2EEB"/>
    <w:rsid w:val="003D4433"/>
    <w:rsid w:val="003D6BC6"/>
    <w:rsid w:val="003D7140"/>
    <w:rsid w:val="003E15FA"/>
    <w:rsid w:val="003E1709"/>
    <w:rsid w:val="003E1969"/>
    <w:rsid w:val="003E21AC"/>
    <w:rsid w:val="003E509E"/>
    <w:rsid w:val="003E55A6"/>
    <w:rsid w:val="003E6848"/>
    <w:rsid w:val="003E690D"/>
    <w:rsid w:val="003E6E85"/>
    <w:rsid w:val="003E7273"/>
    <w:rsid w:val="003F0BC4"/>
    <w:rsid w:val="003F11E4"/>
    <w:rsid w:val="003F12A5"/>
    <w:rsid w:val="003F2214"/>
    <w:rsid w:val="003F2400"/>
    <w:rsid w:val="003F2ED2"/>
    <w:rsid w:val="003F36A2"/>
    <w:rsid w:val="003F3A0E"/>
    <w:rsid w:val="003F40AF"/>
    <w:rsid w:val="003F49C5"/>
    <w:rsid w:val="003F5288"/>
    <w:rsid w:val="003F6757"/>
    <w:rsid w:val="003F6D3A"/>
    <w:rsid w:val="003F6DBF"/>
    <w:rsid w:val="003F76BB"/>
    <w:rsid w:val="003F7A1E"/>
    <w:rsid w:val="003F7A3E"/>
    <w:rsid w:val="003F7D67"/>
    <w:rsid w:val="00400CF1"/>
    <w:rsid w:val="00401CE2"/>
    <w:rsid w:val="00403033"/>
    <w:rsid w:val="00403DD2"/>
    <w:rsid w:val="00403F55"/>
    <w:rsid w:val="0040458D"/>
    <w:rsid w:val="0040559C"/>
    <w:rsid w:val="00406A9F"/>
    <w:rsid w:val="004076C3"/>
    <w:rsid w:val="00410EFA"/>
    <w:rsid w:val="004122B9"/>
    <w:rsid w:val="00412526"/>
    <w:rsid w:val="00413176"/>
    <w:rsid w:val="00413FD5"/>
    <w:rsid w:val="00415412"/>
    <w:rsid w:val="00415F88"/>
    <w:rsid w:val="00415FB1"/>
    <w:rsid w:val="00417E42"/>
    <w:rsid w:val="004215E6"/>
    <w:rsid w:val="004218D9"/>
    <w:rsid w:val="00423588"/>
    <w:rsid w:val="00423F28"/>
    <w:rsid w:val="00424353"/>
    <w:rsid w:val="00425A5C"/>
    <w:rsid w:val="004266E1"/>
    <w:rsid w:val="00426874"/>
    <w:rsid w:val="00426A2B"/>
    <w:rsid w:val="00427D9F"/>
    <w:rsid w:val="00430242"/>
    <w:rsid w:val="00430419"/>
    <w:rsid w:val="0043061F"/>
    <w:rsid w:val="004311FD"/>
    <w:rsid w:val="004317C6"/>
    <w:rsid w:val="00431B41"/>
    <w:rsid w:val="00432872"/>
    <w:rsid w:val="004336EA"/>
    <w:rsid w:val="004375F8"/>
    <w:rsid w:val="0044128E"/>
    <w:rsid w:val="0044136E"/>
    <w:rsid w:val="004419E8"/>
    <w:rsid w:val="00442E45"/>
    <w:rsid w:val="00443908"/>
    <w:rsid w:val="00444663"/>
    <w:rsid w:val="00444D5D"/>
    <w:rsid w:val="00445352"/>
    <w:rsid w:val="00447439"/>
    <w:rsid w:val="00447538"/>
    <w:rsid w:val="0044761B"/>
    <w:rsid w:val="0045061C"/>
    <w:rsid w:val="00450965"/>
    <w:rsid w:val="00451394"/>
    <w:rsid w:val="00452918"/>
    <w:rsid w:val="0045390E"/>
    <w:rsid w:val="004539AE"/>
    <w:rsid w:val="00454E6A"/>
    <w:rsid w:val="00455659"/>
    <w:rsid w:val="0045583E"/>
    <w:rsid w:val="00455CBD"/>
    <w:rsid w:val="0045670F"/>
    <w:rsid w:val="004575C1"/>
    <w:rsid w:val="004578A4"/>
    <w:rsid w:val="00460D82"/>
    <w:rsid w:val="0046431A"/>
    <w:rsid w:val="00465C2F"/>
    <w:rsid w:val="0046657C"/>
    <w:rsid w:val="004701B2"/>
    <w:rsid w:val="00470C7B"/>
    <w:rsid w:val="00473D30"/>
    <w:rsid w:val="00473DF3"/>
    <w:rsid w:val="0047413B"/>
    <w:rsid w:val="004750DA"/>
    <w:rsid w:val="004757C2"/>
    <w:rsid w:val="0047681F"/>
    <w:rsid w:val="00476DC3"/>
    <w:rsid w:val="00477044"/>
    <w:rsid w:val="00477323"/>
    <w:rsid w:val="00480181"/>
    <w:rsid w:val="004803B4"/>
    <w:rsid w:val="004812AD"/>
    <w:rsid w:val="00482940"/>
    <w:rsid w:val="004857CB"/>
    <w:rsid w:val="00485AC7"/>
    <w:rsid w:val="00485DCA"/>
    <w:rsid w:val="004862F4"/>
    <w:rsid w:val="00487B46"/>
    <w:rsid w:val="0049018B"/>
    <w:rsid w:val="00491C7D"/>
    <w:rsid w:val="00491F0B"/>
    <w:rsid w:val="00492F09"/>
    <w:rsid w:val="00494E7E"/>
    <w:rsid w:val="0049592C"/>
    <w:rsid w:val="004965E5"/>
    <w:rsid w:val="00497681"/>
    <w:rsid w:val="00497E2B"/>
    <w:rsid w:val="00497F51"/>
    <w:rsid w:val="004A042D"/>
    <w:rsid w:val="004A067B"/>
    <w:rsid w:val="004A2045"/>
    <w:rsid w:val="004A32F1"/>
    <w:rsid w:val="004A3658"/>
    <w:rsid w:val="004A4DE1"/>
    <w:rsid w:val="004A52CD"/>
    <w:rsid w:val="004A67E0"/>
    <w:rsid w:val="004B2D42"/>
    <w:rsid w:val="004B49A8"/>
    <w:rsid w:val="004B5C49"/>
    <w:rsid w:val="004C136C"/>
    <w:rsid w:val="004C21D0"/>
    <w:rsid w:val="004C2CA2"/>
    <w:rsid w:val="004C3E2D"/>
    <w:rsid w:val="004C45C7"/>
    <w:rsid w:val="004C5DE7"/>
    <w:rsid w:val="004C629C"/>
    <w:rsid w:val="004C67D8"/>
    <w:rsid w:val="004C69A9"/>
    <w:rsid w:val="004C7C72"/>
    <w:rsid w:val="004C7E65"/>
    <w:rsid w:val="004D09B0"/>
    <w:rsid w:val="004D0C58"/>
    <w:rsid w:val="004D0EAD"/>
    <w:rsid w:val="004D1489"/>
    <w:rsid w:val="004D2260"/>
    <w:rsid w:val="004D2DC5"/>
    <w:rsid w:val="004D31C4"/>
    <w:rsid w:val="004D55D7"/>
    <w:rsid w:val="004D6B9F"/>
    <w:rsid w:val="004D7379"/>
    <w:rsid w:val="004D7399"/>
    <w:rsid w:val="004D7548"/>
    <w:rsid w:val="004D7F76"/>
    <w:rsid w:val="004E027E"/>
    <w:rsid w:val="004E28D8"/>
    <w:rsid w:val="004E386B"/>
    <w:rsid w:val="004E5A4A"/>
    <w:rsid w:val="004E6D56"/>
    <w:rsid w:val="004F2B20"/>
    <w:rsid w:val="004F2EDE"/>
    <w:rsid w:val="004F3857"/>
    <w:rsid w:val="004F3CE7"/>
    <w:rsid w:val="004F3E61"/>
    <w:rsid w:val="004F4C5B"/>
    <w:rsid w:val="004F517D"/>
    <w:rsid w:val="0050100F"/>
    <w:rsid w:val="0050195B"/>
    <w:rsid w:val="005024FD"/>
    <w:rsid w:val="005033E0"/>
    <w:rsid w:val="00503E5D"/>
    <w:rsid w:val="00503E85"/>
    <w:rsid w:val="00505970"/>
    <w:rsid w:val="00505C2F"/>
    <w:rsid w:val="00506869"/>
    <w:rsid w:val="00506993"/>
    <w:rsid w:val="00507CA3"/>
    <w:rsid w:val="005107C4"/>
    <w:rsid w:val="0051160E"/>
    <w:rsid w:val="005123E2"/>
    <w:rsid w:val="00512908"/>
    <w:rsid w:val="00512DF3"/>
    <w:rsid w:val="00512EA2"/>
    <w:rsid w:val="00512ED3"/>
    <w:rsid w:val="0051531D"/>
    <w:rsid w:val="00516A4A"/>
    <w:rsid w:val="00516C12"/>
    <w:rsid w:val="00521556"/>
    <w:rsid w:val="0052184D"/>
    <w:rsid w:val="005254AD"/>
    <w:rsid w:val="00526B34"/>
    <w:rsid w:val="0052728A"/>
    <w:rsid w:val="005275F0"/>
    <w:rsid w:val="00532E87"/>
    <w:rsid w:val="00533DA7"/>
    <w:rsid w:val="005349CF"/>
    <w:rsid w:val="00535525"/>
    <w:rsid w:val="00535D9C"/>
    <w:rsid w:val="00536B27"/>
    <w:rsid w:val="005405A7"/>
    <w:rsid w:val="00540792"/>
    <w:rsid w:val="00541D1B"/>
    <w:rsid w:val="00541E55"/>
    <w:rsid w:val="0054335D"/>
    <w:rsid w:val="00543BEA"/>
    <w:rsid w:val="00544EE7"/>
    <w:rsid w:val="00544FA3"/>
    <w:rsid w:val="00545CCB"/>
    <w:rsid w:val="00546D70"/>
    <w:rsid w:val="005478B8"/>
    <w:rsid w:val="00547CFA"/>
    <w:rsid w:val="00547D3D"/>
    <w:rsid w:val="005508EA"/>
    <w:rsid w:val="005524F5"/>
    <w:rsid w:val="00552FD0"/>
    <w:rsid w:val="00554091"/>
    <w:rsid w:val="005544A7"/>
    <w:rsid w:val="005572E5"/>
    <w:rsid w:val="00557720"/>
    <w:rsid w:val="00557780"/>
    <w:rsid w:val="00560695"/>
    <w:rsid w:val="005616A5"/>
    <w:rsid w:val="0056230F"/>
    <w:rsid w:val="00562D81"/>
    <w:rsid w:val="00563A96"/>
    <w:rsid w:val="005660ED"/>
    <w:rsid w:val="005673C7"/>
    <w:rsid w:val="00573601"/>
    <w:rsid w:val="005737FD"/>
    <w:rsid w:val="00574FBB"/>
    <w:rsid w:val="0057506E"/>
    <w:rsid w:val="005755DF"/>
    <w:rsid w:val="00577317"/>
    <w:rsid w:val="00580985"/>
    <w:rsid w:val="00580E1E"/>
    <w:rsid w:val="00580EC1"/>
    <w:rsid w:val="00581032"/>
    <w:rsid w:val="005819AA"/>
    <w:rsid w:val="00581C0E"/>
    <w:rsid w:val="00581C7D"/>
    <w:rsid w:val="00583566"/>
    <w:rsid w:val="0058392F"/>
    <w:rsid w:val="00583E19"/>
    <w:rsid w:val="00583F51"/>
    <w:rsid w:val="00584774"/>
    <w:rsid w:val="00584E33"/>
    <w:rsid w:val="00586792"/>
    <w:rsid w:val="00591CAC"/>
    <w:rsid w:val="00595018"/>
    <w:rsid w:val="00596420"/>
    <w:rsid w:val="0059798A"/>
    <w:rsid w:val="00597FB5"/>
    <w:rsid w:val="005A4152"/>
    <w:rsid w:val="005A448C"/>
    <w:rsid w:val="005A4AAB"/>
    <w:rsid w:val="005A7933"/>
    <w:rsid w:val="005A7DB8"/>
    <w:rsid w:val="005B0CE7"/>
    <w:rsid w:val="005B2E48"/>
    <w:rsid w:val="005B357D"/>
    <w:rsid w:val="005B5078"/>
    <w:rsid w:val="005B6D44"/>
    <w:rsid w:val="005C0E00"/>
    <w:rsid w:val="005C1082"/>
    <w:rsid w:val="005C38D0"/>
    <w:rsid w:val="005C3B10"/>
    <w:rsid w:val="005C3BF5"/>
    <w:rsid w:val="005C423F"/>
    <w:rsid w:val="005C6660"/>
    <w:rsid w:val="005C6983"/>
    <w:rsid w:val="005C702B"/>
    <w:rsid w:val="005C70F2"/>
    <w:rsid w:val="005C79DD"/>
    <w:rsid w:val="005D01DD"/>
    <w:rsid w:val="005D287F"/>
    <w:rsid w:val="005D3B8E"/>
    <w:rsid w:val="005D44E3"/>
    <w:rsid w:val="005D6270"/>
    <w:rsid w:val="005D684B"/>
    <w:rsid w:val="005D70EC"/>
    <w:rsid w:val="005E02E7"/>
    <w:rsid w:val="005E03BE"/>
    <w:rsid w:val="005E4366"/>
    <w:rsid w:val="005E4E6D"/>
    <w:rsid w:val="005E5D81"/>
    <w:rsid w:val="005E6510"/>
    <w:rsid w:val="005E6BA3"/>
    <w:rsid w:val="005F0552"/>
    <w:rsid w:val="005F0893"/>
    <w:rsid w:val="005F2A06"/>
    <w:rsid w:val="005F2F71"/>
    <w:rsid w:val="005F5975"/>
    <w:rsid w:val="005F5A4A"/>
    <w:rsid w:val="005F601E"/>
    <w:rsid w:val="005F682D"/>
    <w:rsid w:val="0060293B"/>
    <w:rsid w:val="00603837"/>
    <w:rsid w:val="006069E6"/>
    <w:rsid w:val="006070F5"/>
    <w:rsid w:val="00610A82"/>
    <w:rsid w:val="00611CCC"/>
    <w:rsid w:val="0061286A"/>
    <w:rsid w:val="0061289F"/>
    <w:rsid w:val="00612D29"/>
    <w:rsid w:val="006144A9"/>
    <w:rsid w:val="00614C71"/>
    <w:rsid w:val="00615A59"/>
    <w:rsid w:val="00616103"/>
    <w:rsid w:val="00617283"/>
    <w:rsid w:val="006200FB"/>
    <w:rsid w:val="00620819"/>
    <w:rsid w:val="00620D23"/>
    <w:rsid w:val="00622D23"/>
    <w:rsid w:val="006261A2"/>
    <w:rsid w:val="00626C21"/>
    <w:rsid w:val="00627488"/>
    <w:rsid w:val="006323AA"/>
    <w:rsid w:val="00640CC7"/>
    <w:rsid w:val="00642C73"/>
    <w:rsid w:val="00643A00"/>
    <w:rsid w:val="00643B76"/>
    <w:rsid w:val="00644E45"/>
    <w:rsid w:val="00645952"/>
    <w:rsid w:val="00646BF8"/>
    <w:rsid w:val="0065019F"/>
    <w:rsid w:val="006514FA"/>
    <w:rsid w:val="00651A3B"/>
    <w:rsid w:val="00652304"/>
    <w:rsid w:val="00652425"/>
    <w:rsid w:val="00652B18"/>
    <w:rsid w:val="0065458E"/>
    <w:rsid w:val="0065502F"/>
    <w:rsid w:val="00657552"/>
    <w:rsid w:val="00657D43"/>
    <w:rsid w:val="006614E9"/>
    <w:rsid w:val="00661DBB"/>
    <w:rsid w:val="00662C8C"/>
    <w:rsid w:val="00664A8C"/>
    <w:rsid w:val="00664D51"/>
    <w:rsid w:val="00665ACB"/>
    <w:rsid w:val="00665EAA"/>
    <w:rsid w:val="00665F09"/>
    <w:rsid w:val="00665F64"/>
    <w:rsid w:val="00666F53"/>
    <w:rsid w:val="006702DD"/>
    <w:rsid w:val="00670C90"/>
    <w:rsid w:val="00671C30"/>
    <w:rsid w:val="00674DAF"/>
    <w:rsid w:val="00675526"/>
    <w:rsid w:val="00675BD2"/>
    <w:rsid w:val="00677CC5"/>
    <w:rsid w:val="006804C5"/>
    <w:rsid w:val="00680A9C"/>
    <w:rsid w:val="006864FA"/>
    <w:rsid w:val="006914FB"/>
    <w:rsid w:val="00691DC6"/>
    <w:rsid w:val="00692607"/>
    <w:rsid w:val="006926AD"/>
    <w:rsid w:val="00692F75"/>
    <w:rsid w:val="006A0021"/>
    <w:rsid w:val="006A178D"/>
    <w:rsid w:val="006A1DD4"/>
    <w:rsid w:val="006A277D"/>
    <w:rsid w:val="006A2F11"/>
    <w:rsid w:val="006A39A1"/>
    <w:rsid w:val="006B1162"/>
    <w:rsid w:val="006B19CB"/>
    <w:rsid w:val="006B2FDD"/>
    <w:rsid w:val="006B4460"/>
    <w:rsid w:val="006B4C77"/>
    <w:rsid w:val="006B5001"/>
    <w:rsid w:val="006B51C8"/>
    <w:rsid w:val="006B59E7"/>
    <w:rsid w:val="006B5FE5"/>
    <w:rsid w:val="006C2583"/>
    <w:rsid w:val="006C292E"/>
    <w:rsid w:val="006C4716"/>
    <w:rsid w:val="006C5D5A"/>
    <w:rsid w:val="006D0B6A"/>
    <w:rsid w:val="006D137D"/>
    <w:rsid w:val="006D14A1"/>
    <w:rsid w:val="006D1B9D"/>
    <w:rsid w:val="006D3DC5"/>
    <w:rsid w:val="006D512C"/>
    <w:rsid w:val="006D52CF"/>
    <w:rsid w:val="006D5B7C"/>
    <w:rsid w:val="006E0755"/>
    <w:rsid w:val="006E126C"/>
    <w:rsid w:val="006E2010"/>
    <w:rsid w:val="006E2A81"/>
    <w:rsid w:val="006E2EA3"/>
    <w:rsid w:val="006E2F77"/>
    <w:rsid w:val="006E3DE6"/>
    <w:rsid w:val="006E43B0"/>
    <w:rsid w:val="006E75BF"/>
    <w:rsid w:val="006E781A"/>
    <w:rsid w:val="006F09F0"/>
    <w:rsid w:val="006F205A"/>
    <w:rsid w:val="006F2216"/>
    <w:rsid w:val="006F3485"/>
    <w:rsid w:val="006F3BA0"/>
    <w:rsid w:val="006F41B5"/>
    <w:rsid w:val="006F4B19"/>
    <w:rsid w:val="006F4F3E"/>
    <w:rsid w:val="006F5DE1"/>
    <w:rsid w:val="006F5F10"/>
    <w:rsid w:val="007023B5"/>
    <w:rsid w:val="00704187"/>
    <w:rsid w:val="0070496B"/>
    <w:rsid w:val="00704A19"/>
    <w:rsid w:val="00711F85"/>
    <w:rsid w:val="00713E0A"/>
    <w:rsid w:val="0071488A"/>
    <w:rsid w:val="007151D1"/>
    <w:rsid w:val="00716B4F"/>
    <w:rsid w:val="00720A4F"/>
    <w:rsid w:val="00720BCA"/>
    <w:rsid w:val="00722D65"/>
    <w:rsid w:val="0072677D"/>
    <w:rsid w:val="0072742F"/>
    <w:rsid w:val="0073179F"/>
    <w:rsid w:val="00731A7B"/>
    <w:rsid w:val="00731E37"/>
    <w:rsid w:val="0073324D"/>
    <w:rsid w:val="00740BA8"/>
    <w:rsid w:val="00740F1C"/>
    <w:rsid w:val="0074137F"/>
    <w:rsid w:val="00741383"/>
    <w:rsid w:val="007413B6"/>
    <w:rsid w:val="00741A27"/>
    <w:rsid w:val="00742E1C"/>
    <w:rsid w:val="007437F6"/>
    <w:rsid w:val="0074443C"/>
    <w:rsid w:val="00745504"/>
    <w:rsid w:val="007455B2"/>
    <w:rsid w:val="0074661B"/>
    <w:rsid w:val="007478BC"/>
    <w:rsid w:val="00747B2A"/>
    <w:rsid w:val="00752587"/>
    <w:rsid w:val="0075560F"/>
    <w:rsid w:val="00755687"/>
    <w:rsid w:val="00755B50"/>
    <w:rsid w:val="0075732D"/>
    <w:rsid w:val="00761075"/>
    <w:rsid w:val="00762BCE"/>
    <w:rsid w:val="00762C68"/>
    <w:rsid w:val="00763B86"/>
    <w:rsid w:val="00764D5F"/>
    <w:rsid w:val="007658F0"/>
    <w:rsid w:val="007667AC"/>
    <w:rsid w:val="00766804"/>
    <w:rsid w:val="007703AB"/>
    <w:rsid w:val="00770801"/>
    <w:rsid w:val="0077103A"/>
    <w:rsid w:val="0077179A"/>
    <w:rsid w:val="00771883"/>
    <w:rsid w:val="00771D84"/>
    <w:rsid w:val="00772169"/>
    <w:rsid w:val="00773775"/>
    <w:rsid w:val="00773BDC"/>
    <w:rsid w:val="00773E2E"/>
    <w:rsid w:val="00773FED"/>
    <w:rsid w:val="00775CF6"/>
    <w:rsid w:val="0077689A"/>
    <w:rsid w:val="00776C5D"/>
    <w:rsid w:val="00777175"/>
    <w:rsid w:val="00780792"/>
    <w:rsid w:val="007816B2"/>
    <w:rsid w:val="00783176"/>
    <w:rsid w:val="007838F3"/>
    <w:rsid w:val="00783F94"/>
    <w:rsid w:val="0078413B"/>
    <w:rsid w:val="007851E0"/>
    <w:rsid w:val="00785E19"/>
    <w:rsid w:val="00786646"/>
    <w:rsid w:val="007869BC"/>
    <w:rsid w:val="0078737D"/>
    <w:rsid w:val="007877F7"/>
    <w:rsid w:val="00790198"/>
    <w:rsid w:val="00790E6B"/>
    <w:rsid w:val="00791AD4"/>
    <w:rsid w:val="00792028"/>
    <w:rsid w:val="00792164"/>
    <w:rsid w:val="007926B4"/>
    <w:rsid w:val="007939F1"/>
    <w:rsid w:val="00793BA2"/>
    <w:rsid w:val="007946B3"/>
    <w:rsid w:val="00795E4F"/>
    <w:rsid w:val="00796B55"/>
    <w:rsid w:val="00797349"/>
    <w:rsid w:val="00797935"/>
    <w:rsid w:val="007A0144"/>
    <w:rsid w:val="007A031C"/>
    <w:rsid w:val="007A1202"/>
    <w:rsid w:val="007A39D4"/>
    <w:rsid w:val="007A5A73"/>
    <w:rsid w:val="007B3124"/>
    <w:rsid w:val="007B3157"/>
    <w:rsid w:val="007B35CC"/>
    <w:rsid w:val="007B3BD3"/>
    <w:rsid w:val="007B43A2"/>
    <w:rsid w:val="007B44C0"/>
    <w:rsid w:val="007B532D"/>
    <w:rsid w:val="007B5C01"/>
    <w:rsid w:val="007B5E78"/>
    <w:rsid w:val="007B6180"/>
    <w:rsid w:val="007B6516"/>
    <w:rsid w:val="007C19FD"/>
    <w:rsid w:val="007C26AB"/>
    <w:rsid w:val="007C49B0"/>
    <w:rsid w:val="007C587E"/>
    <w:rsid w:val="007C6C55"/>
    <w:rsid w:val="007C6E65"/>
    <w:rsid w:val="007D017E"/>
    <w:rsid w:val="007D0C3D"/>
    <w:rsid w:val="007D220A"/>
    <w:rsid w:val="007D33E4"/>
    <w:rsid w:val="007D51BF"/>
    <w:rsid w:val="007D59A7"/>
    <w:rsid w:val="007D664F"/>
    <w:rsid w:val="007E125F"/>
    <w:rsid w:val="007E3E46"/>
    <w:rsid w:val="007E7872"/>
    <w:rsid w:val="007E7BA5"/>
    <w:rsid w:val="007F07AB"/>
    <w:rsid w:val="007F16DD"/>
    <w:rsid w:val="007F1785"/>
    <w:rsid w:val="007F1DBD"/>
    <w:rsid w:val="007F5B23"/>
    <w:rsid w:val="007F76F7"/>
    <w:rsid w:val="00800982"/>
    <w:rsid w:val="00801AD8"/>
    <w:rsid w:val="0080279F"/>
    <w:rsid w:val="00802A22"/>
    <w:rsid w:val="00802F9C"/>
    <w:rsid w:val="00804D82"/>
    <w:rsid w:val="00805F7F"/>
    <w:rsid w:val="008073F5"/>
    <w:rsid w:val="00807BF0"/>
    <w:rsid w:val="00807D12"/>
    <w:rsid w:val="00807F3C"/>
    <w:rsid w:val="00810B11"/>
    <w:rsid w:val="00810C89"/>
    <w:rsid w:val="00814454"/>
    <w:rsid w:val="00816F45"/>
    <w:rsid w:val="00817241"/>
    <w:rsid w:val="0082072C"/>
    <w:rsid w:val="00820986"/>
    <w:rsid w:val="00820EAA"/>
    <w:rsid w:val="00822DCA"/>
    <w:rsid w:val="00825510"/>
    <w:rsid w:val="00826BA9"/>
    <w:rsid w:val="0082736E"/>
    <w:rsid w:val="0082796B"/>
    <w:rsid w:val="00830086"/>
    <w:rsid w:val="008307BF"/>
    <w:rsid w:val="00832A7D"/>
    <w:rsid w:val="00835465"/>
    <w:rsid w:val="00836265"/>
    <w:rsid w:val="00836298"/>
    <w:rsid w:val="0083684D"/>
    <w:rsid w:val="00837547"/>
    <w:rsid w:val="008411F1"/>
    <w:rsid w:val="00841DD4"/>
    <w:rsid w:val="00841E34"/>
    <w:rsid w:val="00841FF4"/>
    <w:rsid w:val="00842366"/>
    <w:rsid w:val="00843935"/>
    <w:rsid w:val="00843B02"/>
    <w:rsid w:val="00843FB3"/>
    <w:rsid w:val="008453E0"/>
    <w:rsid w:val="00847016"/>
    <w:rsid w:val="00847806"/>
    <w:rsid w:val="0085154A"/>
    <w:rsid w:val="00851623"/>
    <w:rsid w:val="00851CC8"/>
    <w:rsid w:val="00856B05"/>
    <w:rsid w:val="00856C7D"/>
    <w:rsid w:val="008573A1"/>
    <w:rsid w:val="00860F67"/>
    <w:rsid w:val="008614E8"/>
    <w:rsid w:val="00863976"/>
    <w:rsid w:val="0086446A"/>
    <w:rsid w:val="008647D6"/>
    <w:rsid w:val="008648BB"/>
    <w:rsid w:val="00864C0A"/>
    <w:rsid w:val="00867C1E"/>
    <w:rsid w:val="00870386"/>
    <w:rsid w:val="00871F42"/>
    <w:rsid w:val="008726DC"/>
    <w:rsid w:val="0087335B"/>
    <w:rsid w:val="008739DA"/>
    <w:rsid w:val="0087458A"/>
    <w:rsid w:val="00875E33"/>
    <w:rsid w:val="00876167"/>
    <w:rsid w:val="008816F9"/>
    <w:rsid w:val="0088195F"/>
    <w:rsid w:val="0088268D"/>
    <w:rsid w:val="00883A7B"/>
    <w:rsid w:val="00884ECC"/>
    <w:rsid w:val="00885A58"/>
    <w:rsid w:val="00885D37"/>
    <w:rsid w:val="0088611A"/>
    <w:rsid w:val="00886216"/>
    <w:rsid w:val="008864FC"/>
    <w:rsid w:val="0089704A"/>
    <w:rsid w:val="00897628"/>
    <w:rsid w:val="008A0D6E"/>
    <w:rsid w:val="008A1977"/>
    <w:rsid w:val="008A27E6"/>
    <w:rsid w:val="008A2860"/>
    <w:rsid w:val="008A3CEF"/>
    <w:rsid w:val="008B0AD6"/>
    <w:rsid w:val="008B37BE"/>
    <w:rsid w:val="008B3883"/>
    <w:rsid w:val="008B43B6"/>
    <w:rsid w:val="008B52AD"/>
    <w:rsid w:val="008B5B29"/>
    <w:rsid w:val="008B63C4"/>
    <w:rsid w:val="008B7223"/>
    <w:rsid w:val="008B7D2F"/>
    <w:rsid w:val="008C1C5D"/>
    <w:rsid w:val="008C3D7A"/>
    <w:rsid w:val="008C57FB"/>
    <w:rsid w:val="008C7469"/>
    <w:rsid w:val="008D207C"/>
    <w:rsid w:val="008D3669"/>
    <w:rsid w:val="008D4112"/>
    <w:rsid w:val="008D4630"/>
    <w:rsid w:val="008D4E12"/>
    <w:rsid w:val="008D5D73"/>
    <w:rsid w:val="008D7E72"/>
    <w:rsid w:val="008E0577"/>
    <w:rsid w:val="008E0794"/>
    <w:rsid w:val="008E09A8"/>
    <w:rsid w:val="008E1BFA"/>
    <w:rsid w:val="008E3772"/>
    <w:rsid w:val="008E51C7"/>
    <w:rsid w:val="008E6307"/>
    <w:rsid w:val="008E6849"/>
    <w:rsid w:val="008E6980"/>
    <w:rsid w:val="008E7C83"/>
    <w:rsid w:val="008F0CA6"/>
    <w:rsid w:val="008F3392"/>
    <w:rsid w:val="008F3574"/>
    <w:rsid w:val="008F4DC7"/>
    <w:rsid w:val="008F5569"/>
    <w:rsid w:val="008F5877"/>
    <w:rsid w:val="00900CBD"/>
    <w:rsid w:val="0090193F"/>
    <w:rsid w:val="0090206A"/>
    <w:rsid w:val="009032A8"/>
    <w:rsid w:val="00903A0F"/>
    <w:rsid w:val="00904E6E"/>
    <w:rsid w:val="00906663"/>
    <w:rsid w:val="00907294"/>
    <w:rsid w:val="0091087E"/>
    <w:rsid w:val="00910D2B"/>
    <w:rsid w:val="0091143E"/>
    <w:rsid w:val="00911886"/>
    <w:rsid w:val="00911C21"/>
    <w:rsid w:val="00915B51"/>
    <w:rsid w:val="009164BC"/>
    <w:rsid w:val="009165FF"/>
    <w:rsid w:val="00916DB8"/>
    <w:rsid w:val="009179AF"/>
    <w:rsid w:val="0092097D"/>
    <w:rsid w:val="00926A12"/>
    <w:rsid w:val="00927575"/>
    <w:rsid w:val="00927F88"/>
    <w:rsid w:val="00933D2B"/>
    <w:rsid w:val="00936755"/>
    <w:rsid w:val="00940BAF"/>
    <w:rsid w:val="00940E5D"/>
    <w:rsid w:val="009415E8"/>
    <w:rsid w:val="00942213"/>
    <w:rsid w:val="00942D0E"/>
    <w:rsid w:val="00943E31"/>
    <w:rsid w:val="00945941"/>
    <w:rsid w:val="00946EA9"/>
    <w:rsid w:val="00947E16"/>
    <w:rsid w:val="00951542"/>
    <w:rsid w:val="00951D23"/>
    <w:rsid w:val="00952FB4"/>
    <w:rsid w:val="00956028"/>
    <w:rsid w:val="00957829"/>
    <w:rsid w:val="00957AD0"/>
    <w:rsid w:val="009608DF"/>
    <w:rsid w:val="009614EA"/>
    <w:rsid w:val="009621CE"/>
    <w:rsid w:val="00962BE3"/>
    <w:rsid w:val="00963A97"/>
    <w:rsid w:val="0096437C"/>
    <w:rsid w:val="009678C8"/>
    <w:rsid w:val="009701B2"/>
    <w:rsid w:val="00971517"/>
    <w:rsid w:val="00972B19"/>
    <w:rsid w:val="009739DE"/>
    <w:rsid w:val="00977689"/>
    <w:rsid w:val="009809D2"/>
    <w:rsid w:val="00980E5B"/>
    <w:rsid w:val="00981C9E"/>
    <w:rsid w:val="00981F57"/>
    <w:rsid w:val="00981FB8"/>
    <w:rsid w:val="00983F5C"/>
    <w:rsid w:val="0098439D"/>
    <w:rsid w:val="00985435"/>
    <w:rsid w:val="00985A80"/>
    <w:rsid w:val="00985BB9"/>
    <w:rsid w:val="00987070"/>
    <w:rsid w:val="00987B37"/>
    <w:rsid w:val="00990DA0"/>
    <w:rsid w:val="0099173A"/>
    <w:rsid w:val="00992223"/>
    <w:rsid w:val="00992DD8"/>
    <w:rsid w:val="0099408E"/>
    <w:rsid w:val="00994589"/>
    <w:rsid w:val="00994850"/>
    <w:rsid w:val="00995386"/>
    <w:rsid w:val="009A021D"/>
    <w:rsid w:val="009A0C84"/>
    <w:rsid w:val="009A18ED"/>
    <w:rsid w:val="009A2682"/>
    <w:rsid w:val="009A61C8"/>
    <w:rsid w:val="009A6CF1"/>
    <w:rsid w:val="009A6D32"/>
    <w:rsid w:val="009B0581"/>
    <w:rsid w:val="009B10B0"/>
    <w:rsid w:val="009B252F"/>
    <w:rsid w:val="009B2B6B"/>
    <w:rsid w:val="009B3929"/>
    <w:rsid w:val="009B52E5"/>
    <w:rsid w:val="009B6706"/>
    <w:rsid w:val="009B7568"/>
    <w:rsid w:val="009B79DB"/>
    <w:rsid w:val="009B7BF7"/>
    <w:rsid w:val="009C0036"/>
    <w:rsid w:val="009C205B"/>
    <w:rsid w:val="009C216C"/>
    <w:rsid w:val="009C2ECB"/>
    <w:rsid w:val="009C39F7"/>
    <w:rsid w:val="009C4223"/>
    <w:rsid w:val="009C457A"/>
    <w:rsid w:val="009C5691"/>
    <w:rsid w:val="009C59ED"/>
    <w:rsid w:val="009C65C2"/>
    <w:rsid w:val="009C69B6"/>
    <w:rsid w:val="009C7425"/>
    <w:rsid w:val="009D11A2"/>
    <w:rsid w:val="009D133D"/>
    <w:rsid w:val="009D2AB7"/>
    <w:rsid w:val="009D3E53"/>
    <w:rsid w:val="009D4603"/>
    <w:rsid w:val="009D5758"/>
    <w:rsid w:val="009D5CEB"/>
    <w:rsid w:val="009D6793"/>
    <w:rsid w:val="009D7D74"/>
    <w:rsid w:val="009E0CCB"/>
    <w:rsid w:val="009E1779"/>
    <w:rsid w:val="009E23CC"/>
    <w:rsid w:val="009E2BCE"/>
    <w:rsid w:val="009E465C"/>
    <w:rsid w:val="009E466C"/>
    <w:rsid w:val="009E4F85"/>
    <w:rsid w:val="009E71A6"/>
    <w:rsid w:val="009F0569"/>
    <w:rsid w:val="009F0F1D"/>
    <w:rsid w:val="009F1C23"/>
    <w:rsid w:val="009F1DB1"/>
    <w:rsid w:val="009F48C9"/>
    <w:rsid w:val="009F49C1"/>
    <w:rsid w:val="009F4FD9"/>
    <w:rsid w:val="009F666D"/>
    <w:rsid w:val="009F66F3"/>
    <w:rsid w:val="009F7043"/>
    <w:rsid w:val="009F7AF2"/>
    <w:rsid w:val="00A03D15"/>
    <w:rsid w:val="00A03DAA"/>
    <w:rsid w:val="00A04C46"/>
    <w:rsid w:val="00A077EC"/>
    <w:rsid w:val="00A07B6C"/>
    <w:rsid w:val="00A10061"/>
    <w:rsid w:val="00A10A6F"/>
    <w:rsid w:val="00A10ECB"/>
    <w:rsid w:val="00A114D0"/>
    <w:rsid w:val="00A14BF5"/>
    <w:rsid w:val="00A215BA"/>
    <w:rsid w:val="00A228A4"/>
    <w:rsid w:val="00A22BDD"/>
    <w:rsid w:val="00A22E1F"/>
    <w:rsid w:val="00A2342C"/>
    <w:rsid w:val="00A23BD2"/>
    <w:rsid w:val="00A25291"/>
    <w:rsid w:val="00A256FB"/>
    <w:rsid w:val="00A26487"/>
    <w:rsid w:val="00A314BD"/>
    <w:rsid w:val="00A31EC5"/>
    <w:rsid w:val="00A3280B"/>
    <w:rsid w:val="00A32D15"/>
    <w:rsid w:val="00A33BA4"/>
    <w:rsid w:val="00A34997"/>
    <w:rsid w:val="00A34CEF"/>
    <w:rsid w:val="00A34DC6"/>
    <w:rsid w:val="00A353AF"/>
    <w:rsid w:val="00A366FB"/>
    <w:rsid w:val="00A41CC1"/>
    <w:rsid w:val="00A4353C"/>
    <w:rsid w:val="00A43D1D"/>
    <w:rsid w:val="00A50E81"/>
    <w:rsid w:val="00A513C3"/>
    <w:rsid w:val="00A524DF"/>
    <w:rsid w:val="00A53F44"/>
    <w:rsid w:val="00A546BE"/>
    <w:rsid w:val="00A54BD1"/>
    <w:rsid w:val="00A5566A"/>
    <w:rsid w:val="00A603FE"/>
    <w:rsid w:val="00A60D6B"/>
    <w:rsid w:val="00A61624"/>
    <w:rsid w:val="00A63BF9"/>
    <w:rsid w:val="00A65D56"/>
    <w:rsid w:val="00A66745"/>
    <w:rsid w:val="00A67C7F"/>
    <w:rsid w:val="00A701C0"/>
    <w:rsid w:val="00A707AC"/>
    <w:rsid w:val="00A7232F"/>
    <w:rsid w:val="00A72B39"/>
    <w:rsid w:val="00A73AB1"/>
    <w:rsid w:val="00A73E03"/>
    <w:rsid w:val="00A74535"/>
    <w:rsid w:val="00A7559C"/>
    <w:rsid w:val="00A756D9"/>
    <w:rsid w:val="00A75A7A"/>
    <w:rsid w:val="00A81657"/>
    <w:rsid w:val="00A81FAA"/>
    <w:rsid w:val="00A84499"/>
    <w:rsid w:val="00A85176"/>
    <w:rsid w:val="00A86037"/>
    <w:rsid w:val="00A864B5"/>
    <w:rsid w:val="00A86C86"/>
    <w:rsid w:val="00A86E03"/>
    <w:rsid w:val="00A87FC8"/>
    <w:rsid w:val="00A901C0"/>
    <w:rsid w:val="00A90235"/>
    <w:rsid w:val="00A9044F"/>
    <w:rsid w:val="00A907F3"/>
    <w:rsid w:val="00A90C34"/>
    <w:rsid w:val="00A917E3"/>
    <w:rsid w:val="00A91C1F"/>
    <w:rsid w:val="00A92023"/>
    <w:rsid w:val="00A9220B"/>
    <w:rsid w:val="00A922D4"/>
    <w:rsid w:val="00A92FC2"/>
    <w:rsid w:val="00A956D0"/>
    <w:rsid w:val="00A9676B"/>
    <w:rsid w:val="00A97658"/>
    <w:rsid w:val="00A97E90"/>
    <w:rsid w:val="00AA040A"/>
    <w:rsid w:val="00AA04FA"/>
    <w:rsid w:val="00AA10F1"/>
    <w:rsid w:val="00AA1B9F"/>
    <w:rsid w:val="00AA1F16"/>
    <w:rsid w:val="00AA2360"/>
    <w:rsid w:val="00AA2F63"/>
    <w:rsid w:val="00AA3D1C"/>
    <w:rsid w:val="00AA3EB8"/>
    <w:rsid w:val="00AA46A0"/>
    <w:rsid w:val="00AA4FBC"/>
    <w:rsid w:val="00AA6127"/>
    <w:rsid w:val="00AA6FAA"/>
    <w:rsid w:val="00AB13EB"/>
    <w:rsid w:val="00AB246B"/>
    <w:rsid w:val="00AB2877"/>
    <w:rsid w:val="00AC06AE"/>
    <w:rsid w:val="00AC2256"/>
    <w:rsid w:val="00AC6966"/>
    <w:rsid w:val="00AC6C53"/>
    <w:rsid w:val="00AC75F8"/>
    <w:rsid w:val="00AD0048"/>
    <w:rsid w:val="00AD1717"/>
    <w:rsid w:val="00AD20A2"/>
    <w:rsid w:val="00AD357D"/>
    <w:rsid w:val="00AD3643"/>
    <w:rsid w:val="00AD4A6D"/>
    <w:rsid w:val="00AD6C6A"/>
    <w:rsid w:val="00AD6D13"/>
    <w:rsid w:val="00AD744F"/>
    <w:rsid w:val="00AE0BEC"/>
    <w:rsid w:val="00AE3CF9"/>
    <w:rsid w:val="00AE41DF"/>
    <w:rsid w:val="00AE4228"/>
    <w:rsid w:val="00AE52A9"/>
    <w:rsid w:val="00AE5592"/>
    <w:rsid w:val="00AE56CE"/>
    <w:rsid w:val="00AE63EC"/>
    <w:rsid w:val="00AE6502"/>
    <w:rsid w:val="00AF0A6F"/>
    <w:rsid w:val="00AF292C"/>
    <w:rsid w:val="00AF2F4A"/>
    <w:rsid w:val="00AF3FC1"/>
    <w:rsid w:val="00AF4A60"/>
    <w:rsid w:val="00AF54EE"/>
    <w:rsid w:val="00AF5E60"/>
    <w:rsid w:val="00AF74D9"/>
    <w:rsid w:val="00AF7D41"/>
    <w:rsid w:val="00B01A41"/>
    <w:rsid w:val="00B0229B"/>
    <w:rsid w:val="00B03C24"/>
    <w:rsid w:val="00B043DA"/>
    <w:rsid w:val="00B04AAF"/>
    <w:rsid w:val="00B056B9"/>
    <w:rsid w:val="00B100B8"/>
    <w:rsid w:val="00B10C5E"/>
    <w:rsid w:val="00B12B9B"/>
    <w:rsid w:val="00B12E8D"/>
    <w:rsid w:val="00B13536"/>
    <w:rsid w:val="00B15EC2"/>
    <w:rsid w:val="00B16683"/>
    <w:rsid w:val="00B16CB0"/>
    <w:rsid w:val="00B17AEF"/>
    <w:rsid w:val="00B211DA"/>
    <w:rsid w:val="00B21352"/>
    <w:rsid w:val="00B2152B"/>
    <w:rsid w:val="00B21D98"/>
    <w:rsid w:val="00B22D5F"/>
    <w:rsid w:val="00B24825"/>
    <w:rsid w:val="00B24FC8"/>
    <w:rsid w:val="00B25148"/>
    <w:rsid w:val="00B27316"/>
    <w:rsid w:val="00B27BB6"/>
    <w:rsid w:val="00B27DA8"/>
    <w:rsid w:val="00B30A12"/>
    <w:rsid w:val="00B30D35"/>
    <w:rsid w:val="00B316F0"/>
    <w:rsid w:val="00B32510"/>
    <w:rsid w:val="00B333CA"/>
    <w:rsid w:val="00B3450D"/>
    <w:rsid w:val="00B34D47"/>
    <w:rsid w:val="00B3577B"/>
    <w:rsid w:val="00B35FBD"/>
    <w:rsid w:val="00B3625C"/>
    <w:rsid w:val="00B37586"/>
    <w:rsid w:val="00B376C6"/>
    <w:rsid w:val="00B4056E"/>
    <w:rsid w:val="00B407CD"/>
    <w:rsid w:val="00B42967"/>
    <w:rsid w:val="00B42C1C"/>
    <w:rsid w:val="00B4501D"/>
    <w:rsid w:val="00B452C6"/>
    <w:rsid w:val="00B4688D"/>
    <w:rsid w:val="00B476E8"/>
    <w:rsid w:val="00B50F44"/>
    <w:rsid w:val="00B51561"/>
    <w:rsid w:val="00B51B3D"/>
    <w:rsid w:val="00B55AF5"/>
    <w:rsid w:val="00B55C5E"/>
    <w:rsid w:val="00B560B7"/>
    <w:rsid w:val="00B56EF1"/>
    <w:rsid w:val="00B571C7"/>
    <w:rsid w:val="00B60227"/>
    <w:rsid w:val="00B614CB"/>
    <w:rsid w:val="00B62E96"/>
    <w:rsid w:val="00B6334A"/>
    <w:rsid w:val="00B6442D"/>
    <w:rsid w:val="00B65FB2"/>
    <w:rsid w:val="00B66518"/>
    <w:rsid w:val="00B668DE"/>
    <w:rsid w:val="00B66D15"/>
    <w:rsid w:val="00B67144"/>
    <w:rsid w:val="00B673EE"/>
    <w:rsid w:val="00B7090E"/>
    <w:rsid w:val="00B70926"/>
    <w:rsid w:val="00B72B1D"/>
    <w:rsid w:val="00B73A69"/>
    <w:rsid w:val="00B75BE6"/>
    <w:rsid w:val="00B7683B"/>
    <w:rsid w:val="00B81B21"/>
    <w:rsid w:val="00B827CB"/>
    <w:rsid w:val="00B82CBE"/>
    <w:rsid w:val="00B83535"/>
    <w:rsid w:val="00B8773F"/>
    <w:rsid w:val="00B90FB8"/>
    <w:rsid w:val="00B91228"/>
    <w:rsid w:val="00B93660"/>
    <w:rsid w:val="00B93C1C"/>
    <w:rsid w:val="00B93D35"/>
    <w:rsid w:val="00B9471E"/>
    <w:rsid w:val="00B94B91"/>
    <w:rsid w:val="00B956C4"/>
    <w:rsid w:val="00B9589B"/>
    <w:rsid w:val="00B95C14"/>
    <w:rsid w:val="00B95DA0"/>
    <w:rsid w:val="00B961FD"/>
    <w:rsid w:val="00B97031"/>
    <w:rsid w:val="00B97DFB"/>
    <w:rsid w:val="00B97EDF"/>
    <w:rsid w:val="00BA1E10"/>
    <w:rsid w:val="00BA236B"/>
    <w:rsid w:val="00BA31C5"/>
    <w:rsid w:val="00BA41E6"/>
    <w:rsid w:val="00BA72BA"/>
    <w:rsid w:val="00BB044D"/>
    <w:rsid w:val="00BB1F59"/>
    <w:rsid w:val="00BB26ED"/>
    <w:rsid w:val="00BB2E0C"/>
    <w:rsid w:val="00BB34FF"/>
    <w:rsid w:val="00BB3AB7"/>
    <w:rsid w:val="00BB4F65"/>
    <w:rsid w:val="00BB511F"/>
    <w:rsid w:val="00BB52BA"/>
    <w:rsid w:val="00BB5E2F"/>
    <w:rsid w:val="00BB6D2B"/>
    <w:rsid w:val="00BB7BCD"/>
    <w:rsid w:val="00BC0E81"/>
    <w:rsid w:val="00BC1A8F"/>
    <w:rsid w:val="00BC203D"/>
    <w:rsid w:val="00BC22BA"/>
    <w:rsid w:val="00BC29FD"/>
    <w:rsid w:val="00BC4589"/>
    <w:rsid w:val="00BC4943"/>
    <w:rsid w:val="00BC61AC"/>
    <w:rsid w:val="00BC6A2E"/>
    <w:rsid w:val="00BC7B2F"/>
    <w:rsid w:val="00BD07E7"/>
    <w:rsid w:val="00BD1D45"/>
    <w:rsid w:val="00BD267C"/>
    <w:rsid w:val="00BD2C6B"/>
    <w:rsid w:val="00BD307E"/>
    <w:rsid w:val="00BD486B"/>
    <w:rsid w:val="00BD4CF1"/>
    <w:rsid w:val="00BE0036"/>
    <w:rsid w:val="00BE288B"/>
    <w:rsid w:val="00BE3F9D"/>
    <w:rsid w:val="00BE4223"/>
    <w:rsid w:val="00BE4CC1"/>
    <w:rsid w:val="00BE533B"/>
    <w:rsid w:val="00BE73D6"/>
    <w:rsid w:val="00BF0915"/>
    <w:rsid w:val="00BF1198"/>
    <w:rsid w:val="00BF3928"/>
    <w:rsid w:val="00BF56D7"/>
    <w:rsid w:val="00BF5ADB"/>
    <w:rsid w:val="00BF6203"/>
    <w:rsid w:val="00BF63EC"/>
    <w:rsid w:val="00BF6A6D"/>
    <w:rsid w:val="00C00AC9"/>
    <w:rsid w:val="00C03033"/>
    <w:rsid w:val="00C0368A"/>
    <w:rsid w:val="00C04E97"/>
    <w:rsid w:val="00C05EAE"/>
    <w:rsid w:val="00C06D0B"/>
    <w:rsid w:val="00C07058"/>
    <w:rsid w:val="00C11099"/>
    <w:rsid w:val="00C11329"/>
    <w:rsid w:val="00C124BA"/>
    <w:rsid w:val="00C14244"/>
    <w:rsid w:val="00C17654"/>
    <w:rsid w:val="00C17D05"/>
    <w:rsid w:val="00C2053B"/>
    <w:rsid w:val="00C20B40"/>
    <w:rsid w:val="00C20BB2"/>
    <w:rsid w:val="00C21ACE"/>
    <w:rsid w:val="00C21DF1"/>
    <w:rsid w:val="00C22E5A"/>
    <w:rsid w:val="00C23231"/>
    <w:rsid w:val="00C244B0"/>
    <w:rsid w:val="00C246E3"/>
    <w:rsid w:val="00C24849"/>
    <w:rsid w:val="00C25586"/>
    <w:rsid w:val="00C27310"/>
    <w:rsid w:val="00C3235C"/>
    <w:rsid w:val="00C3517B"/>
    <w:rsid w:val="00C357E2"/>
    <w:rsid w:val="00C35E1B"/>
    <w:rsid w:val="00C36AD0"/>
    <w:rsid w:val="00C377E1"/>
    <w:rsid w:val="00C400F9"/>
    <w:rsid w:val="00C40225"/>
    <w:rsid w:val="00C40FF1"/>
    <w:rsid w:val="00C416EF"/>
    <w:rsid w:val="00C437F5"/>
    <w:rsid w:val="00C438F5"/>
    <w:rsid w:val="00C45026"/>
    <w:rsid w:val="00C45658"/>
    <w:rsid w:val="00C45A2A"/>
    <w:rsid w:val="00C45C0F"/>
    <w:rsid w:val="00C53220"/>
    <w:rsid w:val="00C534A4"/>
    <w:rsid w:val="00C56BBB"/>
    <w:rsid w:val="00C56F4D"/>
    <w:rsid w:val="00C5705D"/>
    <w:rsid w:val="00C57B3B"/>
    <w:rsid w:val="00C604E3"/>
    <w:rsid w:val="00C60D8F"/>
    <w:rsid w:val="00C625F4"/>
    <w:rsid w:val="00C62F8E"/>
    <w:rsid w:val="00C65608"/>
    <w:rsid w:val="00C6676C"/>
    <w:rsid w:val="00C67675"/>
    <w:rsid w:val="00C67A8C"/>
    <w:rsid w:val="00C67C17"/>
    <w:rsid w:val="00C71194"/>
    <w:rsid w:val="00C71BB8"/>
    <w:rsid w:val="00C735D9"/>
    <w:rsid w:val="00C73AD5"/>
    <w:rsid w:val="00C7426A"/>
    <w:rsid w:val="00C7621E"/>
    <w:rsid w:val="00C7652D"/>
    <w:rsid w:val="00C7702A"/>
    <w:rsid w:val="00C7757F"/>
    <w:rsid w:val="00C778D6"/>
    <w:rsid w:val="00C77B52"/>
    <w:rsid w:val="00C77F50"/>
    <w:rsid w:val="00C81984"/>
    <w:rsid w:val="00C83040"/>
    <w:rsid w:val="00C8309B"/>
    <w:rsid w:val="00C855C3"/>
    <w:rsid w:val="00C860B7"/>
    <w:rsid w:val="00C8615C"/>
    <w:rsid w:val="00C86C2B"/>
    <w:rsid w:val="00C86E2E"/>
    <w:rsid w:val="00C90769"/>
    <w:rsid w:val="00C90A55"/>
    <w:rsid w:val="00C91173"/>
    <w:rsid w:val="00C914DF"/>
    <w:rsid w:val="00C91E4F"/>
    <w:rsid w:val="00C92972"/>
    <w:rsid w:val="00C92FD6"/>
    <w:rsid w:val="00C94C8B"/>
    <w:rsid w:val="00C9571A"/>
    <w:rsid w:val="00C95A37"/>
    <w:rsid w:val="00C95AEA"/>
    <w:rsid w:val="00C95CFB"/>
    <w:rsid w:val="00C95F41"/>
    <w:rsid w:val="00C96EF6"/>
    <w:rsid w:val="00CA2182"/>
    <w:rsid w:val="00CA25AC"/>
    <w:rsid w:val="00CA2B4E"/>
    <w:rsid w:val="00CA3DA5"/>
    <w:rsid w:val="00CA4E77"/>
    <w:rsid w:val="00CB192D"/>
    <w:rsid w:val="00CB22E5"/>
    <w:rsid w:val="00CB2697"/>
    <w:rsid w:val="00CB4A7D"/>
    <w:rsid w:val="00CB669C"/>
    <w:rsid w:val="00CC082E"/>
    <w:rsid w:val="00CC0952"/>
    <w:rsid w:val="00CC1340"/>
    <w:rsid w:val="00CC3663"/>
    <w:rsid w:val="00CC3954"/>
    <w:rsid w:val="00CC3D76"/>
    <w:rsid w:val="00CC58E5"/>
    <w:rsid w:val="00CC5F45"/>
    <w:rsid w:val="00CC623F"/>
    <w:rsid w:val="00CC6EB8"/>
    <w:rsid w:val="00CC6F13"/>
    <w:rsid w:val="00CD1D16"/>
    <w:rsid w:val="00CD29BC"/>
    <w:rsid w:val="00CD4A18"/>
    <w:rsid w:val="00CD582D"/>
    <w:rsid w:val="00CD5972"/>
    <w:rsid w:val="00CD5C2D"/>
    <w:rsid w:val="00CD65A0"/>
    <w:rsid w:val="00CD70C4"/>
    <w:rsid w:val="00CD7E61"/>
    <w:rsid w:val="00CE0DE5"/>
    <w:rsid w:val="00CE2425"/>
    <w:rsid w:val="00CE2D22"/>
    <w:rsid w:val="00CE36A2"/>
    <w:rsid w:val="00CE40BC"/>
    <w:rsid w:val="00CE4994"/>
    <w:rsid w:val="00CE4A38"/>
    <w:rsid w:val="00CE4EAE"/>
    <w:rsid w:val="00CE6BD7"/>
    <w:rsid w:val="00CF0683"/>
    <w:rsid w:val="00CF29C7"/>
    <w:rsid w:val="00CF3844"/>
    <w:rsid w:val="00CF6E04"/>
    <w:rsid w:val="00CF7255"/>
    <w:rsid w:val="00D00D86"/>
    <w:rsid w:val="00D011D3"/>
    <w:rsid w:val="00D03ECD"/>
    <w:rsid w:val="00D04ECA"/>
    <w:rsid w:val="00D05321"/>
    <w:rsid w:val="00D0538D"/>
    <w:rsid w:val="00D062F9"/>
    <w:rsid w:val="00D120EA"/>
    <w:rsid w:val="00D12646"/>
    <w:rsid w:val="00D13591"/>
    <w:rsid w:val="00D139E4"/>
    <w:rsid w:val="00D14233"/>
    <w:rsid w:val="00D14F0B"/>
    <w:rsid w:val="00D150E4"/>
    <w:rsid w:val="00D15F09"/>
    <w:rsid w:val="00D2339D"/>
    <w:rsid w:val="00D26B2F"/>
    <w:rsid w:val="00D3057C"/>
    <w:rsid w:val="00D31746"/>
    <w:rsid w:val="00D32E8B"/>
    <w:rsid w:val="00D32EC8"/>
    <w:rsid w:val="00D32F52"/>
    <w:rsid w:val="00D35761"/>
    <w:rsid w:val="00D35D0E"/>
    <w:rsid w:val="00D37267"/>
    <w:rsid w:val="00D37814"/>
    <w:rsid w:val="00D37AA8"/>
    <w:rsid w:val="00D405AE"/>
    <w:rsid w:val="00D4085E"/>
    <w:rsid w:val="00D41DF9"/>
    <w:rsid w:val="00D42BAB"/>
    <w:rsid w:val="00D43A6E"/>
    <w:rsid w:val="00D44933"/>
    <w:rsid w:val="00D44C32"/>
    <w:rsid w:val="00D46952"/>
    <w:rsid w:val="00D50821"/>
    <w:rsid w:val="00D522FD"/>
    <w:rsid w:val="00D53105"/>
    <w:rsid w:val="00D5387B"/>
    <w:rsid w:val="00D5509D"/>
    <w:rsid w:val="00D55FE5"/>
    <w:rsid w:val="00D56E11"/>
    <w:rsid w:val="00D577BD"/>
    <w:rsid w:val="00D57813"/>
    <w:rsid w:val="00D60B87"/>
    <w:rsid w:val="00D60FF9"/>
    <w:rsid w:val="00D62AC9"/>
    <w:rsid w:val="00D63862"/>
    <w:rsid w:val="00D63C92"/>
    <w:rsid w:val="00D648E8"/>
    <w:rsid w:val="00D6689D"/>
    <w:rsid w:val="00D7206B"/>
    <w:rsid w:val="00D7289B"/>
    <w:rsid w:val="00D7321C"/>
    <w:rsid w:val="00D73321"/>
    <w:rsid w:val="00D7507E"/>
    <w:rsid w:val="00D76103"/>
    <w:rsid w:val="00D77200"/>
    <w:rsid w:val="00D8078D"/>
    <w:rsid w:val="00D81874"/>
    <w:rsid w:val="00D8194A"/>
    <w:rsid w:val="00D83FAE"/>
    <w:rsid w:val="00D84847"/>
    <w:rsid w:val="00D84FD5"/>
    <w:rsid w:val="00D85EE2"/>
    <w:rsid w:val="00D872D4"/>
    <w:rsid w:val="00D90634"/>
    <w:rsid w:val="00D92429"/>
    <w:rsid w:val="00D9264C"/>
    <w:rsid w:val="00D93131"/>
    <w:rsid w:val="00D939FF"/>
    <w:rsid w:val="00D93AB9"/>
    <w:rsid w:val="00D93DEF"/>
    <w:rsid w:val="00D9509A"/>
    <w:rsid w:val="00D95AF4"/>
    <w:rsid w:val="00D96A24"/>
    <w:rsid w:val="00DA061F"/>
    <w:rsid w:val="00DA0A14"/>
    <w:rsid w:val="00DA168E"/>
    <w:rsid w:val="00DA2FB4"/>
    <w:rsid w:val="00DA38E9"/>
    <w:rsid w:val="00DA3AED"/>
    <w:rsid w:val="00DA3FB0"/>
    <w:rsid w:val="00DA5AB0"/>
    <w:rsid w:val="00DA6802"/>
    <w:rsid w:val="00DA68AF"/>
    <w:rsid w:val="00DA72DC"/>
    <w:rsid w:val="00DA75ED"/>
    <w:rsid w:val="00DA7653"/>
    <w:rsid w:val="00DA7D85"/>
    <w:rsid w:val="00DB0EE3"/>
    <w:rsid w:val="00DB104D"/>
    <w:rsid w:val="00DB3D32"/>
    <w:rsid w:val="00DB4CCD"/>
    <w:rsid w:val="00DB58AB"/>
    <w:rsid w:val="00DB658F"/>
    <w:rsid w:val="00DC10B5"/>
    <w:rsid w:val="00DC3431"/>
    <w:rsid w:val="00DC36C2"/>
    <w:rsid w:val="00DC3970"/>
    <w:rsid w:val="00DC5E31"/>
    <w:rsid w:val="00DC61BC"/>
    <w:rsid w:val="00DD0668"/>
    <w:rsid w:val="00DD0A59"/>
    <w:rsid w:val="00DD2AE3"/>
    <w:rsid w:val="00DD33F7"/>
    <w:rsid w:val="00DD37AA"/>
    <w:rsid w:val="00DD398D"/>
    <w:rsid w:val="00DD7331"/>
    <w:rsid w:val="00DD7542"/>
    <w:rsid w:val="00DE0C84"/>
    <w:rsid w:val="00DE183C"/>
    <w:rsid w:val="00DE1DAC"/>
    <w:rsid w:val="00DE2D07"/>
    <w:rsid w:val="00DE3A9B"/>
    <w:rsid w:val="00DE4230"/>
    <w:rsid w:val="00DE4CB3"/>
    <w:rsid w:val="00DE6D9A"/>
    <w:rsid w:val="00DE772F"/>
    <w:rsid w:val="00DE7C1D"/>
    <w:rsid w:val="00DE7F19"/>
    <w:rsid w:val="00DF0FF0"/>
    <w:rsid w:val="00DF24B1"/>
    <w:rsid w:val="00DF2FF2"/>
    <w:rsid w:val="00DF3AF0"/>
    <w:rsid w:val="00DF497C"/>
    <w:rsid w:val="00DF505E"/>
    <w:rsid w:val="00DF6648"/>
    <w:rsid w:val="00DF67C3"/>
    <w:rsid w:val="00DF7864"/>
    <w:rsid w:val="00E003CD"/>
    <w:rsid w:val="00E00FEA"/>
    <w:rsid w:val="00E01E8F"/>
    <w:rsid w:val="00E03585"/>
    <w:rsid w:val="00E06F72"/>
    <w:rsid w:val="00E07AA5"/>
    <w:rsid w:val="00E10492"/>
    <w:rsid w:val="00E108EE"/>
    <w:rsid w:val="00E10CE1"/>
    <w:rsid w:val="00E114B1"/>
    <w:rsid w:val="00E13B5C"/>
    <w:rsid w:val="00E13EC4"/>
    <w:rsid w:val="00E17AA7"/>
    <w:rsid w:val="00E17B98"/>
    <w:rsid w:val="00E20195"/>
    <w:rsid w:val="00E20507"/>
    <w:rsid w:val="00E22631"/>
    <w:rsid w:val="00E22F9C"/>
    <w:rsid w:val="00E23ED1"/>
    <w:rsid w:val="00E2407E"/>
    <w:rsid w:val="00E259D7"/>
    <w:rsid w:val="00E26702"/>
    <w:rsid w:val="00E27B32"/>
    <w:rsid w:val="00E27BEB"/>
    <w:rsid w:val="00E27D6B"/>
    <w:rsid w:val="00E30188"/>
    <w:rsid w:val="00E310CE"/>
    <w:rsid w:val="00E34932"/>
    <w:rsid w:val="00E3608C"/>
    <w:rsid w:val="00E36949"/>
    <w:rsid w:val="00E37878"/>
    <w:rsid w:val="00E4110C"/>
    <w:rsid w:val="00E42624"/>
    <w:rsid w:val="00E42A75"/>
    <w:rsid w:val="00E45818"/>
    <w:rsid w:val="00E46428"/>
    <w:rsid w:val="00E46CED"/>
    <w:rsid w:val="00E557CA"/>
    <w:rsid w:val="00E563E9"/>
    <w:rsid w:val="00E575B5"/>
    <w:rsid w:val="00E61AEE"/>
    <w:rsid w:val="00E61CB1"/>
    <w:rsid w:val="00E624EB"/>
    <w:rsid w:val="00E62C7A"/>
    <w:rsid w:val="00E668E2"/>
    <w:rsid w:val="00E6744E"/>
    <w:rsid w:val="00E67705"/>
    <w:rsid w:val="00E678FC"/>
    <w:rsid w:val="00E70220"/>
    <w:rsid w:val="00E70D25"/>
    <w:rsid w:val="00E70E1F"/>
    <w:rsid w:val="00E71107"/>
    <w:rsid w:val="00E7320F"/>
    <w:rsid w:val="00E74303"/>
    <w:rsid w:val="00E746D9"/>
    <w:rsid w:val="00E75718"/>
    <w:rsid w:val="00E75B9C"/>
    <w:rsid w:val="00E75E95"/>
    <w:rsid w:val="00E80C5F"/>
    <w:rsid w:val="00E80C6D"/>
    <w:rsid w:val="00E83300"/>
    <w:rsid w:val="00E8330D"/>
    <w:rsid w:val="00E84701"/>
    <w:rsid w:val="00E85F0D"/>
    <w:rsid w:val="00E86BC1"/>
    <w:rsid w:val="00E90091"/>
    <w:rsid w:val="00E9197C"/>
    <w:rsid w:val="00E92AF8"/>
    <w:rsid w:val="00E9319D"/>
    <w:rsid w:val="00E947D8"/>
    <w:rsid w:val="00E962CA"/>
    <w:rsid w:val="00E96D28"/>
    <w:rsid w:val="00EA06D5"/>
    <w:rsid w:val="00EA15A3"/>
    <w:rsid w:val="00EA2349"/>
    <w:rsid w:val="00EA2D5E"/>
    <w:rsid w:val="00EA30A2"/>
    <w:rsid w:val="00EA33CA"/>
    <w:rsid w:val="00EA46F6"/>
    <w:rsid w:val="00EA72CA"/>
    <w:rsid w:val="00EB137C"/>
    <w:rsid w:val="00EB3149"/>
    <w:rsid w:val="00EB3876"/>
    <w:rsid w:val="00EB43CB"/>
    <w:rsid w:val="00EB449F"/>
    <w:rsid w:val="00EB50DA"/>
    <w:rsid w:val="00EB52DD"/>
    <w:rsid w:val="00EB623C"/>
    <w:rsid w:val="00EB647E"/>
    <w:rsid w:val="00EB6C55"/>
    <w:rsid w:val="00EB6EE8"/>
    <w:rsid w:val="00EB7A38"/>
    <w:rsid w:val="00EB7B31"/>
    <w:rsid w:val="00EC08F7"/>
    <w:rsid w:val="00EC1297"/>
    <w:rsid w:val="00EC17E0"/>
    <w:rsid w:val="00EC5872"/>
    <w:rsid w:val="00EC5BC1"/>
    <w:rsid w:val="00EC620C"/>
    <w:rsid w:val="00ED18D3"/>
    <w:rsid w:val="00ED22C0"/>
    <w:rsid w:val="00ED3A3E"/>
    <w:rsid w:val="00ED77C7"/>
    <w:rsid w:val="00EE1559"/>
    <w:rsid w:val="00EE3214"/>
    <w:rsid w:val="00EE3C33"/>
    <w:rsid w:val="00EE4995"/>
    <w:rsid w:val="00EE7AA6"/>
    <w:rsid w:val="00EF058A"/>
    <w:rsid w:val="00EF0ED6"/>
    <w:rsid w:val="00EF11BD"/>
    <w:rsid w:val="00EF462C"/>
    <w:rsid w:val="00EF70E3"/>
    <w:rsid w:val="00EF7B0B"/>
    <w:rsid w:val="00EF7DEA"/>
    <w:rsid w:val="00F022D9"/>
    <w:rsid w:val="00F03DBE"/>
    <w:rsid w:val="00F0475C"/>
    <w:rsid w:val="00F04DF9"/>
    <w:rsid w:val="00F05969"/>
    <w:rsid w:val="00F05CCB"/>
    <w:rsid w:val="00F06D5A"/>
    <w:rsid w:val="00F1208D"/>
    <w:rsid w:val="00F12BC5"/>
    <w:rsid w:val="00F131F1"/>
    <w:rsid w:val="00F15881"/>
    <w:rsid w:val="00F16147"/>
    <w:rsid w:val="00F1618A"/>
    <w:rsid w:val="00F16316"/>
    <w:rsid w:val="00F17780"/>
    <w:rsid w:val="00F209F1"/>
    <w:rsid w:val="00F20C0B"/>
    <w:rsid w:val="00F21150"/>
    <w:rsid w:val="00F2292C"/>
    <w:rsid w:val="00F232FB"/>
    <w:rsid w:val="00F23537"/>
    <w:rsid w:val="00F2395C"/>
    <w:rsid w:val="00F23FEB"/>
    <w:rsid w:val="00F24D33"/>
    <w:rsid w:val="00F277D2"/>
    <w:rsid w:val="00F27BA9"/>
    <w:rsid w:val="00F27EAA"/>
    <w:rsid w:val="00F30201"/>
    <w:rsid w:val="00F312D5"/>
    <w:rsid w:val="00F312E7"/>
    <w:rsid w:val="00F328A5"/>
    <w:rsid w:val="00F32A59"/>
    <w:rsid w:val="00F3373E"/>
    <w:rsid w:val="00F34258"/>
    <w:rsid w:val="00F34595"/>
    <w:rsid w:val="00F35E50"/>
    <w:rsid w:val="00F3618F"/>
    <w:rsid w:val="00F36439"/>
    <w:rsid w:val="00F364F9"/>
    <w:rsid w:val="00F36A9F"/>
    <w:rsid w:val="00F41DC7"/>
    <w:rsid w:val="00F4201F"/>
    <w:rsid w:val="00F429FF"/>
    <w:rsid w:val="00F43BBA"/>
    <w:rsid w:val="00F44571"/>
    <w:rsid w:val="00F44E25"/>
    <w:rsid w:val="00F46053"/>
    <w:rsid w:val="00F462DF"/>
    <w:rsid w:val="00F46785"/>
    <w:rsid w:val="00F517E1"/>
    <w:rsid w:val="00F51D22"/>
    <w:rsid w:val="00F5722D"/>
    <w:rsid w:val="00F607D0"/>
    <w:rsid w:val="00F60E99"/>
    <w:rsid w:val="00F619A2"/>
    <w:rsid w:val="00F6255D"/>
    <w:rsid w:val="00F625C0"/>
    <w:rsid w:val="00F63550"/>
    <w:rsid w:val="00F63714"/>
    <w:rsid w:val="00F65E74"/>
    <w:rsid w:val="00F65F5E"/>
    <w:rsid w:val="00F66FAA"/>
    <w:rsid w:val="00F67669"/>
    <w:rsid w:val="00F6777B"/>
    <w:rsid w:val="00F70F2E"/>
    <w:rsid w:val="00F7494F"/>
    <w:rsid w:val="00F74AC2"/>
    <w:rsid w:val="00F76C1F"/>
    <w:rsid w:val="00F803CE"/>
    <w:rsid w:val="00F827CC"/>
    <w:rsid w:val="00F8320A"/>
    <w:rsid w:val="00F8497F"/>
    <w:rsid w:val="00F84B6E"/>
    <w:rsid w:val="00F905BD"/>
    <w:rsid w:val="00F90B01"/>
    <w:rsid w:val="00F94876"/>
    <w:rsid w:val="00F976FC"/>
    <w:rsid w:val="00FA01FE"/>
    <w:rsid w:val="00FA0DB8"/>
    <w:rsid w:val="00FA667A"/>
    <w:rsid w:val="00FA6FBF"/>
    <w:rsid w:val="00FB0CFC"/>
    <w:rsid w:val="00FB17E0"/>
    <w:rsid w:val="00FB2DB0"/>
    <w:rsid w:val="00FB39D5"/>
    <w:rsid w:val="00FB47E1"/>
    <w:rsid w:val="00FB49F4"/>
    <w:rsid w:val="00FB4AF3"/>
    <w:rsid w:val="00FB5DFB"/>
    <w:rsid w:val="00FC0EC3"/>
    <w:rsid w:val="00FC3BE6"/>
    <w:rsid w:val="00FC3D27"/>
    <w:rsid w:val="00FC46B4"/>
    <w:rsid w:val="00FC51EC"/>
    <w:rsid w:val="00FC611C"/>
    <w:rsid w:val="00FC7E0C"/>
    <w:rsid w:val="00FD0DD0"/>
    <w:rsid w:val="00FD3CEA"/>
    <w:rsid w:val="00FD54B7"/>
    <w:rsid w:val="00FD75FF"/>
    <w:rsid w:val="00FE0214"/>
    <w:rsid w:val="00FE0B1A"/>
    <w:rsid w:val="00FE2482"/>
    <w:rsid w:val="00FE2CC0"/>
    <w:rsid w:val="00FE318D"/>
    <w:rsid w:val="00FE381B"/>
    <w:rsid w:val="00FE4155"/>
    <w:rsid w:val="00FE47A8"/>
    <w:rsid w:val="00FE5E70"/>
    <w:rsid w:val="00FE6188"/>
    <w:rsid w:val="00FF11CE"/>
    <w:rsid w:val="00FF1E74"/>
    <w:rsid w:val="00FF25E9"/>
    <w:rsid w:val="00FF2F2A"/>
    <w:rsid w:val="00FF42EE"/>
    <w:rsid w:val="00FF4A5B"/>
    <w:rsid w:val="00FF4D5C"/>
    <w:rsid w:val="00FF787D"/>
    <w:rsid w:val="00FF7942"/>
    <w:rsid w:val="04390A47"/>
    <w:rsid w:val="075836F3"/>
    <w:rsid w:val="150F2029"/>
    <w:rsid w:val="15471976"/>
    <w:rsid w:val="17975D08"/>
    <w:rsid w:val="24E46106"/>
    <w:rsid w:val="26D87FAD"/>
    <w:rsid w:val="2B410857"/>
    <w:rsid w:val="373E6FB2"/>
    <w:rsid w:val="38211F31"/>
    <w:rsid w:val="3DF71617"/>
    <w:rsid w:val="3F6E666F"/>
    <w:rsid w:val="41FE3821"/>
    <w:rsid w:val="45134D4D"/>
    <w:rsid w:val="482A27D1"/>
    <w:rsid w:val="4BC45697"/>
    <w:rsid w:val="57984414"/>
    <w:rsid w:val="5805486B"/>
    <w:rsid w:val="62861C80"/>
    <w:rsid w:val="63742966"/>
    <w:rsid w:val="64F96A5E"/>
    <w:rsid w:val="6EE50E19"/>
    <w:rsid w:val="708132A7"/>
    <w:rsid w:val="70C425E5"/>
    <w:rsid w:val="755D8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50"/>
    <w:qFormat/>
    <w:uiPriority w:val="0"/>
    <w:pPr>
      <w:widowControl w:val="0"/>
      <w:numPr>
        <w:ilvl w:val="0"/>
        <w:numId w:val="1"/>
      </w:numPr>
      <w:adjustRightInd w:val="0"/>
      <w:snapToGrid w:val="0"/>
      <w:spacing w:line="360" w:lineRule="auto"/>
      <w:ind w:right="680"/>
      <w:textAlignment w:val="baseline"/>
      <w:outlineLvl w:val="0"/>
    </w:pPr>
    <w:rPr>
      <w:b/>
      <w:sz w:val="32"/>
      <w:szCs w:val="32"/>
      <w:lang w:val="zh-CN"/>
    </w:rPr>
  </w:style>
  <w:style w:type="paragraph" w:styleId="3">
    <w:name w:val="heading 2"/>
    <w:basedOn w:val="1"/>
    <w:next w:val="4"/>
    <w:link w:val="52"/>
    <w:qFormat/>
    <w:uiPriority w:val="0"/>
    <w:pPr>
      <w:keepNext/>
      <w:keepLines/>
      <w:widowControl w:val="0"/>
      <w:numPr>
        <w:ilvl w:val="1"/>
        <w:numId w:val="1"/>
      </w:numPr>
      <w:spacing w:before="120" w:after="60" w:line="360" w:lineRule="auto"/>
      <w:jc w:val="both"/>
      <w:outlineLvl w:val="1"/>
    </w:pPr>
    <w:rPr>
      <w:rFonts w:ascii="Arial" w:hAnsi="Arial"/>
      <w:b/>
      <w:kern w:val="2"/>
      <w:sz w:val="30"/>
      <w:szCs w:val="30"/>
      <w:lang w:val="zh-CN"/>
    </w:rPr>
  </w:style>
  <w:style w:type="paragraph" w:styleId="5">
    <w:name w:val="heading 3"/>
    <w:basedOn w:val="1"/>
    <w:next w:val="4"/>
    <w:link w:val="53"/>
    <w:qFormat/>
    <w:uiPriority w:val="0"/>
    <w:pPr>
      <w:keepNext/>
      <w:keepLines/>
      <w:widowControl w:val="0"/>
      <w:numPr>
        <w:ilvl w:val="2"/>
        <w:numId w:val="1"/>
      </w:numPr>
      <w:spacing w:before="60" w:after="20" w:line="415" w:lineRule="auto"/>
      <w:jc w:val="both"/>
      <w:outlineLvl w:val="2"/>
    </w:pPr>
    <w:rPr>
      <w:b/>
      <w:kern w:val="2"/>
      <w:sz w:val="28"/>
      <w:lang w:val="zh-CN"/>
    </w:rPr>
  </w:style>
  <w:style w:type="paragraph" w:styleId="6">
    <w:name w:val="heading 4"/>
    <w:basedOn w:val="1"/>
    <w:next w:val="4"/>
    <w:link w:val="54"/>
    <w:qFormat/>
    <w:uiPriority w:val="0"/>
    <w:pPr>
      <w:keepNext/>
      <w:keepLines/>
      <w:widowControl w:val="0"/>
      <w:numPr>
        <w:ilvl w:val="3"/>
        <w:numId w:val="1"/>
      </w:numPr>
      <w:spacing w:before="280" w:after="290" w:line="376" w:lineRule="auto"/>
      <w:jc w:val="both"/>
      <w:outlineLvl w:val="3"/>
    </w:pPr>
    <w:rPr>
      <w:rFonts w:ascii="Arial" w:hAnsi="Arial" w:eastAsia="黑体"/>
      <w:b/>
      <w:kern w:val="2"/>
      <w:sz w:val="28"/>
      <w:lang w:val="zh-CN"/>
    </w:rPr>
  </w:style>
  <w:style w:type="paragraph" w:styleId="7">
    <w:name w:val="heading 5"/>
    <w:basedOn w:val="1"/>
    <w:next w:val="4"/>
    <w:link w:val="55"/>
    <w:qFormat/>
    <w:uiPriority w:val="0"/>
    <w:pPr>
      <w:keepNext/>
      <w:keepLines/>
      <w:widowControl w:val="0"/>
      <w:numPr>
        <w:ilvl w:val="4"/>
        <w:numId w:val="1"/>
      </w:numPr>
      <w:spacing w:before="280" w:after="290" w:line="376" w:lineRule="auto"/>
      <w:jc w:val="both"/>
      <w:outlineLvl w:val="4"/>
    </w:pPr>
    <w:rPr>
      <w:b/>
      <w:kern w:val="2"/>
      <w:sz w:val="28"/>
      <w:lang w:val="zh-CN"/>
    </w:rPr>
  </w:style>
  <w:style w:type="paragraph" w:styleId="8">
    <w:name w:val="heading 6"/>
    <w:basedOn w:val="1"/>
    <w:next w:val="4"/>
    <w:link w:val="56"/>
    <w:qFormat/>
    <w:uiPriority w:val="0"/>
    <w:pPr>
      <w:keepNext/>
      <w:keepLines/>
      <w:widowControl w:val="0"/>
      <w:numPr>
        <w:ilvl w:val="5"/>
        <w:numId w:val="1"/>
      </w:numPr>
      <w:spacing w:before="240" w:after="64" w:line="320" w:lineRule="auto"/>
      <w:jc w:val="both"/>
      <w:outlineLvl w:val="5"/>
    </w:pPr>
    <w:rPr>
      <w:rFonts w:ascii="Arial" w:hAnsi="Arial" w:eastAsia="黑体"/>
      <w:b/>
      <w:kern w:val="2"/>
      <w:sz w:val="24"/>
      <w:lang w:val="zh-CN"/>
    </w:rPr>
  </w:style>
  <w:style w:type="paragraph" w:styleId="9">
    <w:name w:val="heading 7"/>
    <w:basedOn w:val="1"/>
    <w:next w:val="4"/>
    <w:link w:val="57"/>
    <w:qFormat/>
    <w:uiPriority w:val="0"/>
    <w:pPr>
      <w:keepNext/>
      <w:keepLines/>
      <w:widowControl w:val="0"/>
      <w:numPr>
        <w:ilvl w:val="6"/>
        <w:numId w:val="1"/>
      </w:numPr>
      <w:spacing w:before="240" w:after="64" w:line="320" w:lineRule="auto"/>
      <w:jc w:val="both"/>
      <w:outlineLvl w:val="6"/>
    </w:pPr>
    <w:rPr>
      <w:b/>
      <w:kern w:val="2"/>
      <w:sz w:val="24"/>
      <w:lang w:val="zh-CN"/>
    </w:rPr>
  </w:style>
  <w:style w:type="paragraph" w:styleId="10">
    <w:name w:val="heading 8"/>
    <w:basedOn w:val="1"/>
    <w:next w:val="4"/>
    <w:link w:val="58"/>
    <w:qFormat/>
    <w:uiPriority w:val="0"/>
    <w:pPr>
      <w:keepNext/>
      <w:keepLines/>
      <w:widowControl w:val="0"/>
      <w:numPr>
        <w:ilvl w:val="7"/>
        <w:numId w:val="1"/>
      </w:numPr>
      <w:spacing w:before="240" w:after="64" w:line="320" w:lineRule="auto"/>
      <w:jc w:val="both"/>
      <w:outlineLvl w:val="7"/>
    </w:pPr>
    <w:rPr>
      <w:rFonts w:ascii="Arial" w:hAnsi="Arial" w:eastAsia="黑体"/>
      <w:kern w:val="2"/>
      <w:sz w:val="24"/>
      <w:lang w:val="zh-CN"/>
    </w:rPr>
  </w:style>
  <w:style w:type="paragraph" w:styleId="11">
    <w:name w:val="heading 9"/>
    <w:basedOn w:val="1"/>
    <w:next w:val="4"/>
    <w:link w:val="59"/>
    <w:qFormat/>
    <w:uiPriority w:val="0"/>
    <w:pPr>
      <w:keepNext/>
      <w:keepLines/>
      <w:widowControl w:val="0"/>
      <w:numPr>
        <w:ilvl w:val="8"/>
        <w:numId w:val="1"/>
      </w:numPr>
      <w:spacing w:before="240" w:after="64" w:line="320" w:lineRule="auto"/>
      <w:jc w:val="both"/>
      <w:outlineLvl w:val="8"/>
    </w:pPr>
    <w:rPr>
      <w:rFonts w:ascii="Arial" w:hAnsi="Arial" w:eastAsia="黑体"/>
      <w:kern w:val="2"/>
      <w:sz w:val="21"/>
      <w:lang w:val="zh-CN"/>
    </w:rPr>
  </w:style>
  <w:style w:type="character" w:default="1" w:styleId="44">
    <w:name w:val="Default Paragraph Font"/>
    <w:semiHidden/>
    <w:unhideWhenUsed/>
    <w:qFormat/>
    <w:uiPriority w:val="1"/>
  </w:style>
  <w:style w:type="table" w:default="1" w:styleId="42">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link w:val="51"/>
    <w:qFormat/>
    <w:uiPriority w:val="0"/>
    <w:pPr>
      <w:widowControl w:val="0"/>
      <w:jc w:val="both"/>
    </w:pPr>
    <w:rPr>
      <w:kern w:val="2"/>
      <w:sz w:val="21"/>
      <w:szCs w:val="24"/>
      <w:lang w:val="zh-CN"/>
    </w:rPr>
  </w:style>
  <w:style w:type="paragraph" w:styleId="12">
    <w:name w:val="toc 7"/>
    <w:basedOn w:val="1"/>
    <w:next w:val="1"/>
    <w:qFormat/>
    <w:uiPriority w:val="39"/>
    <w:pPr>
      <w:ind w:left="1200"/>
    </w:pPr>
    <w:rPr>
      <w:rFonts w:ascii="Calibri" w:hAnsi="Calibri" w:cs="Calibri"/>
      <w:sz w:val="18"/>
      <w:szCs w:val="18"/>
    </w:rPr>
  </w:style>
  <w:style w:type="paragraph" w:styleId="13">
    <w:name w:val="List Number 2"/>
    <w:basedOn w:val="1"/>
    <w:qFormat/>
    <w:uiPriority w:val="0"/>
    <w:pPr>
      <w:widowControl w:val="0"/>
      <w:tabs>
        <w:tab w:val="left" w:pos="780"/>
      </w:tabs>
      <w:ind w:left="780" w:leftChars="200" w:hanging="360" w:hangingChars="200"/>
      <w:jc w:val="both"/>
    </w:pPr>
    <w:rPr>
      <w:kern w:val="2"/>
      <w:sz w:val="21"/>
      <w:szCs w:val="24"/>
    </w:rPr>
  </w:style>
  <w:style w:type="paragraph" w:styleId="14">
    <w:name w:val="caption"/>
    <w:basedOn w:val="1"/>
    <w:next w:val="1"/>
    <w:unhideWhenUsed/>
    <w:qFormat/>
    <w:uiPriority w:val="35"/>
    <w:rPr>
      <w:rFonts w:ascii="Calibri Light" w:hAnsi="Calibri Light" w:eastAsia="黑体"/>
    </w:rPr>
  </w:style>
  <w:style w:type="paragraph" w:styleId="15">
    <w:name w:val="List Bullet"/>
    <w:basedOn w:val="1"/>
    <w:qFormat/>
    <w:uiPriority w:val="0"/>
    <w:pPr>
      <w:widowControl w:val="0"/>
      <w:tabs>
        <w:tab w:val="left" w:pos="360"/>
      </w:tabs>
      <w:ind w:left="360" w:hanging="360" w:hangingChars="200"/>
      <w:jc w:val="both"/>
    </w:pPr>
    <w:rPr>
      <w:kern w:val="2"/>
      <w:sz w:val="21"/>
      <w:szCs w:val="24"/>
    </w:rPr>
  </w:style>
  <w:style w:type="paragraph" w:styleId="16">
    <w:name w:val="Document Map"/>
    <w:basedOn w:val="1"/>
    <w:link w:val="62"/>
    <w:semiHidden/>
    <w:qFormat/>
    <w:uiPriority w:val="0"/>
    <w:pPr>
      <w:shd w:val="clear" w:color="auto" w:fill="000080"/>
    </w:pPr>
    <w:rPr>
      <w:lang w:val="zh-CN"/>
    </w:rPr>
  </w:style>
  <w:style w:type="paragraph" w:styleId="17">
    <w:name w:val="annotation text"/>
    <w:basedOn w:val="1"/>
    <w:link w:val="175"/>
    <w:qFormat/>
    <w:uiPriority w:val="0"/>
    <w:rPr>
      <w:lang w:val="zh-CN"/>
    </w:rPr>
  </w:style>
  <w:style w:type="paragraph" w:styleId="18">
    <w:name w:val="Salutation"/>
    <w:basedOn w:val="1"/>
    <w:next w:val="1"/>
    <w:link w:val="236"/>
    <w:qFormat/>
    <w:uiPriority w:val="0"/>
    <w:pPr>
      <w:widowControl w:val="0"/>
      <w:jc w:val="both"/>
    </w:pPr>
    <w:rPr>
      <w:rFonts w:ascii="宋体"/>
      <w:kern w:val="2"/>
      <w:sz w:val="21"/>
      <w:szCs w:val="21"/>
      <w:lang w:val="zh-CN"/>
    </w:rPr>
  </w:style>
  <w:style w:type="paragraph" w:styleId="19">
    <w:name w:val="Closing"/>
    <w:basedOn w:val="1"/>
    <w:link w:val="235"/>
    <w:qFormat/>
    <w:uiPriority w:val="0"/>
    <w:pPr>
      <w:widowControl w:val="0"/>
      <w:ind w:left="4320"/>
      <w:jc w:val="both"/>
    </w:pPr>
    <w:rPr>
      <w:rFonts w:ascii="宋体"/>
      <w:kern w:val="2"/>
      <w:sz w:val="21"/>
      <w:szCs w:val="21"/>
      <w:lang w:val="zh-CN"/>
    </w:rPr>
  </w:style>
  <w:style w:type="paragraph" w:styleId="20">
    <w:name w:val="Body Text"/>
    <w:basedOn w:val="1"/>
    <w:link w:val="66"/>
    <w:qFormat/>
    <w:uiPriority w:val="0"/>
    <w:pPr>
      <w:widowControl w:val="0"/>
      <w:spacing w:line="360" w:lineRule="auto"/>
      <w:jc w:val="both"/>
    </w:pPr>
    <w:rPr>
      <w:rFonts w:eastAsia="仿宋_GB2312"/>
      <w:sz w:val="24"/>
      <w:lang w:val="zh-CN"/>
    </w:rPr>
  </w:style>
  <w:style w:type="paragraph" w:styleId="21">
    <w:name w:val="Body Text Indent"/>
    <w:basedOn w:val="1"/>
    <w:link w:val="61"/>
    <w:qFormat/>
    <w:uiPriority w:val="0"/>
    <w:pPr>
      <w:widowControl w:val="0"/>
      <w:ind w:firstLine="570"/>
      <w:jc w:val="both"/>
    </w:pPr>
    <w:rPr>
      <w:rFonts w:ascii="宋体"/>
      <w:sz w:val="28"/>
      <w:lang w:val="zh-CN"/>
    </w:rPr>
  </w:style>
  <w:style w:type="paragraph" w:styleId="22">
    <w:name w:val="toc 5"/>
    <w:basedOn w:val="1"/>
    <w:next w:val="1"/>
    <w:qFormat/>
    <w:uiPriority w:val="39"/>
    <w:pPr>
      <w:ind w:left="800"/>
    </w:pPr>
    <w:rPr>
      <w:rFonts w:ascii="Calibri" w:hAnsi="Calibri" w:cs="Calibri"/>
      <w:sz w:val="18"/>
      <w:szCs w:val="18"/>
    </w:rPr>
  </w:style>
  <w:style w:type="paragraph" w:styleId="23">
    <w:name w:val="toc 3"/>
    <w:basedOn w:val="1"/>
    <w:next w:val="1"/>
    <w:qFormat/>
    <w:uiPriority w:val="39"/>
    <w:pPr>
      <w:ind w:left="400"/>
    </w:pPr>
    <w:rPr>
      <w:rFonts w:ascii="Calibri" w:hAnsi="Calibri" w:cs="Calibri"/>
      <w:i/>
      <w:iCs/>
    </w:rPr>
  </w:style>
  <w:style w:type="paragraph" w:styleId="24">
    <w:name w:val="Plain Text"/>
    <w:basedOn w:val="1"/>
    <w:link w:val="69"/>
    <w:qFormat/>
    <w:uiPriority w:val="0"/>
    <w:pPr>
      <w:widowControl w:val="0"/>
      <w:jc w:val="both"/>
    </w:pPr>
    <w:rPr>
      <w:rFonts w:ascii="宋体" w:hAnsi="Courier New"/>
      <w:snapToGrid w:val="0"/>
      <w:lang w:val="zh-CN"/>
    </w:rPr>
  </w:style>
  <w:style w:type="paragraph" w:styleId="25">
    <w:name w:val="toc 8"/>
    <w:basedOn w:val="1"/>
    <w:next w:val="1"/>
    <w:qFormat/>
    <w:uiPriority w:val="39"/>
    <w:pPr>
      <w:ind w:left="1400"/>
    </w:pPr>
    <w:rPr>
      <w:rFonts w:ascii="Calibri" w:hAnsi="Calibri" w:cs="Calibri"/>
      <w:sz w:val="18"/>
      <w:szCs w:val="18"/>
    </w:rPr>
  </w:style>
  <w:style w:type="paragraph" w:styleId="26">
    <w:name w:val="Date"/>
    <w:basedOn w:val="1"/>
    <w:next w:val="1"/>
    <w:link w:val="60"/>
    <w:qFormat/>
    <w:uiPriority w:val="0"/>
    <w:pPr>
      <w:widowControl w:val="0"/>
      <w:jc w:val="both"/>
    </w:pPr>
    <w:rPr>
      <w:lang w:val="zh-CN"/>
    </w:rPr>
  </w:style>
  <w:style w:type="paragraph" w:styleId="27">
    <w:name w:val="Body Text Indent 2"/>
    <w:basedOn w:val="1"/>
    <w:link w:val="65"/>
    <w:qFormat/>
    <w:uiPriority w:val="0"/>
    <w:pPr>
      <w:ind w:left="795"/>
    </w:pPr>
    <w:rPr>
      <w:sz w:val="28"/>
      <w:lang w:val="zh-CN"/>
    </w:rPr>
  </w:style>
  <w:style w:type="paragraph" w:styleId="28">
    <w:name w:val="Balloon Text"/>
    <w:basedOn w:val="1"/>
    <w:link w:val="174"/>
    <w:semiHidden/>
    <w:qFormat/>
    <w:uiPriority w:val="0"/>
    <w:rPr>
      <w:sz w:val="18"/>
      <w:szCs w:val="18"/>
      <w:lang w:val="zh-CN"/>
    </w:rPr>
  </w:style>
  <w:style w:type="paragraph" w:styleId="29">
    <w:name w:val="footer"/>
    <w:basedOn w:val="1"/>
    <w:link w:val="63"/>
    <w:qFormat/>
    <w:uiPriority w:val="0"/>
    <w:pPr>
      <w:tabs>
        <w:tab w:val="center" w:pos="4153"/>
        <w:tab w:val="right" w:pos="8306"/>
      </w:tabs>
      <w:snapToGrid w:val="0"/>
    </w:pPr>
    <w:rPr>
      <w:sz w:val="18"/>
      <w:lang w:val="zh-CN"/>
    </w:rPr>
  </w:style>
  <w:style w:type="paragraph" w:styleId="30">
    <w:name w:val="header"/>
    <w:basedOn w:val="1"/>
    <w:link w:val="64"/>
    <w:qFormat/>
    <w:uiPriority w:val="0"/>
    <w:pPr>
      <w:pBdr>
        <w:bottom w:val="single" w:color="auto" w:sz="6" w:space="1"/>
      </w:pBdr>
      <w:tabs>
        <w:tab w:val="center" w:pos="4153"/>
        <w:tab w:val="right" w:pos="8306"/>
      </w:tabs>
      <w:snapToGrid w:val="0"/>
      <w:jc w:val="center"/>
    </w:pPr>
    <w:rPr>
      <w:sz w:val="18"/>
      <w:lang w:val="zh-CN"/>
    </w:rPr>
  </w:style>
  <w:style w:type="paragraph" w:styleId="31">
    <w:name w:val="toc 1"/>
    <w:basedOn w:val="1"/>
    <w:next w:val="1"/>
    <w:qFormat/>
    <w:uiPriority w:val="39"/>
    <w:pPr>
      <w:spacing w:before="120" w:after="120"/>
    </w:pPr>
    <w:rPr>
      <w:rFonts w:ascii="Calibri" w:hAnsi="Calibri" w:cs="Calibri"/>
      <w:b/>
      <w:bCs/>
      <w:caps/>
    </w:rPr>
  </w:style>
  <w:style w:type="paragraph" w:styleId="32">
    <w:name w:val="toc 4"/>
    <w:basedOn w:val="1"/>
    <w:next w:val="1"/>
    <w:qFormat/>
    <w:uiPriority w:val="39"/>
    <w:pPr>
      <w:ind w:left="600"/>
    </w:pPr>
    <w:rPr>
      <w:rFonts w:ascii="Calibri" w:hAnsi="Calibri" w:cs="Calibri"/>
      <w:sz w:val="18"/>
      <w:szCs w:val="18"/>
    </w:rPr>
  </w:style>
  <w:style w:type="paragraph" w:styleId="33">
    <w:name w:val="toc 6"/>
    <w:basedOn w:val="1"/>
    <w:next w:val="1"/>
    <w:qFormat/>
    <w:uiPriority w:val="39"/>
    <w:pPr>
      <w:ind w:left="1000"/>
    </w:pPr>
    <w:rPr>
      <w:rFonts w:ascii="Calibri" w:hAnsi="Calibri" w:cs="Calibri"/>
      <w:sz w:val="18"/>
      <w:szCs w:val="18"/>
    </w:rPr>
  </w:style>
  <w:style w:type="paragraph" w:styleId="34">
    <w:name w:val="Body Text Indent 3"/>
    <w:basedOn w:val="1"/>
    <w:link w:val="70"/>
    <w:qFormat/>
    <w:uiPriority w:val="0"/>
    <w:pPr>
      <w:widowControl w:val="0"/>
      <w:tabs>
        <w:tab w:val="left" w:pos="0"/>
        <w:tab w:val="left" w:pos="900"/>
      </w:tabs>
      <w:spacing w:line="360" w:lineRule="auto"/>
      <w:ind w:firstLine="540"/>
      <w:jc w:val="both"/>
    </w:pPr>
    <w:rPr>
      <w:rFonts w:ascii="宋体"/>
      <w:sz w:val="24"/>
      <w:lang w:val="zh-CN"/>
    </w:rPr>
  </w:style>
  <w:style w:type="paragraph" w:styleId="35">
    <w:name w:val="toc 2"/>
    <w:basedOn w:val="1"/>
    <w:next w:val="1"/>
    <w:qFormat/>
    <w:uiPriority w:val="39"/>
    <w:pPr>
      <w:ind w:left="200"/>
    </w:pPr>
    <w:rPr>
      <w:rFonts w:ascii="Calibri" w:hAnsi="Calibri" w:cs="Calibri"/>
      <w:smallCaps/>
    </w:rPr>
  </w:style>
  <w:style w:type="paragraph" w:styleId="36">
    <w:name w:val="toc 9"/>
    <w:basedOn w:val="1"/>
    <w:next w:val="1"/>
    <w:qFormat/>
    <w:uiPriority w:val="39"/>
    <w:pPr>
      <w:ind w:left="1600"/>
    </w:pPr>
    <w:rPr>
      <w:rFonts w:ascii="Calibri" w:hAnsi="Calibri" w:cs="Calibri"/>
      <w:sz w:val="18"/>
      <w:szCs w:val="18"/>
    </w:rPr>
  </w:style>
  <w:style w:type="paragraph" w:styleId="37">
    <w:name w:val="Body Text 2"/>
    <w:basedOn w:val="1"/>
    <w:link w:val="67"/>
    <w:qFormat/>
    <w:uiPriority w:val="0"/>
    <w:pPr>
      <w:spacing w:after="120" w:line="480" w:lineRule="auto"/>
    </w:pPr>
    <w:rPr>
      <w:lang w:val="zh-CN"/>
    </w:rPr>
  </w:style>
  <w:style w:type="paragraph" w:styleId="38">
    <w:name w:val="Normal (Web)"/>
    <w:basedOn w:val="1"/>
    <w:qFormat/>
    <w:uiPriority w:val="0"/>
    <w:pPr>
      <w:spacing w:before="100" w:beforeAutospacing="1" w:after="100" w:afterAutospacing="1"/>
    </w:pPr>
    <w:rPr>
      <w:rFonts w:eastAsia="Arial Unicode MS" w:cs="Arial Unicode MS"/>
      <w:color w:val="000000"/>
      <w:sz w:val="18"/>
      <w:szCs w:val="18"/>
    </w:rPr>
  </w:style>
  <w:style w:type="paragraph" w:styleId="39">
    <w:name w:val="Title"/>
    <w:basedOn w:val="1"/>
    <w:link w:val="76"/>
    <w:qFormat/>
    <w:uiPriority w:val="0"/>
    <w:pPr>
      <w:widowControl w:val="0"/>
      <w:autoSpaceDE w:val="0"/>
      <w:autoSpaceDN w:val="0"/>
      <w:adjustRightInd w:val="0"/>
      <w:jc w:val="center"/>
    </w:pPr>
    <w:rPr>
      <w:i/>
      <w:iCs/>
      <w:snapToGrid w:val="0"/>
      <w:sz w:val="30"/>
      <w:szCs w:val="30"/>
      <w:lang w:val="zh-CN"/>
    </w:rPr>
  </w:style>
  <w:style w:type="paragraph" w:styleId="40">
    <w:name w:val="annotation subject"/>
    <w:basedOn w:val="17"/>
    <w:next w:val="17"/>
    <w:link w:val="176"/>
    <w:semiHidden/>
    <w:qFormat/>
    <w:uiPriority w:val="0"/>
    <w:rPr>
      <w:b/>
      <w:bCs/>
    </w:rPr>
  </w:style>
  <w:style w:type="paragraph" w:styleId="41">
    <w:name w:val="Body Text First Indent"/>
    <w:basedOn w:val="1"/>
    <w:link w:val="161"/>
    <w:qFormat/>
    <w:uiPriority w:val="0"/>
    <w:pPr>
      <w:widowControl w:val="0"/>
      <w:spacing w:beforeLines="50" w:afterLines="50" w:line="360" w:lineRule="auto"/>
      <w:ind w:firstLine="200" w:firstLineChars="200"/>
      <w:jc w:val="both"/>
    </w:pPr>
    <w:rPr>
      <w:sz w:val="24"/>
      <w:szCs w:val="24"/>
      <w:lang w:val="zh-CN"/>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customStyle="1" w:styleId="50">
    <w:name w:val="标题 1 Char1"/>
    <w:link w:val="2"/>
    <w:qFormat/>
    <w:uiPriority w:val="0"/>
    <w:rPr>
      <w:rFonts w:ascii="Times New Roman" w:hAnsi="Times New Roman"/>
      <w:b/>
      <w:sz w:val="32"/>
      <w:szCs w:val="32"/>
      <w:lang w:val="zh-CN" w:eastAsia="zh-CN"/>
    </w:rPr>
  </w:style>
  <w:style w:type="character" w:customStyle="1" w:styleId="51">
    <w:name w:val="正文缩进 Char"/>
    <w:link w:val="4"/>
    <w:qFormat/>
    <w:uiPriority w:val="0"/>
    <w:rPr>
      <w:rFonts w:ascii="Times New Roman" w:hAnsi="Times New Roman"/>
      <w:kern w:val="2"/>
      <w:sz w:val="21"/>
      <w:szCs w:val="24"/>
    </w:rPr>
  </w:style>
  <w:style w:type="character" w:customStyle="1" w:styleId="52">
    <w:name w:val="标题 2 Char1"/>
    <w:link w:val="3"/>
    <w:qFormat/>
    <w:uiPriority w:val="0"/>
    <w:rPr>
      <w:rFonts w:ascii="Arial" w:hAnsi="Arial"/>
      <w:b/>
      <w:kern w:val="2"/>
      <w:sz w:val="30"/>
      <w:szCs w:val="30"/>
      <w:lang w:val="zh-CN" w:eastAsia="zh-CN"/>
    </w:rPr>
  </w:style>
  <w:style w:type="character" w:customStyle="1" w:styleId="53">
    <w:name w:val="标题 3 Char1"/>
    <w:link w:val="5"/>
    <w:qFormat/>
    <w:uiPriority w:val="0"/>
    <w:rPr>
      <w:rFonts w:ascii="Times New Roman" w:hAnsi="Times New Roman"/>
      <w:b/>
      <w:kern w:val="2"/>
      <w:sz w:val="28"/>
      <w:lang w:val="zh-CN" w:eastAsia="zh-CN"/>
    </w:rPr>
  </w:style>
  <w:style w:type="character" w:customStyle="1" w:styleId="54">
    <w:name w:val="标题 4 Char1"/>
    <w:link w:val="6"/>
    <w:qFormat/>
    <w:uiPriority w:val="0"/>
    <w:rPr>
      <w:rFonts w:ascii="Arial" w:hAnsi="Arial" w:eastAsia="黑体"/>
      <w:b/>
      <w:kern w:val="2"/>
      <w:sz w:val="28"/>
      <w:lang w:val="zh-CN" w:eastAsia="zh-CN"/>
    </w:rPr>
  </w:style>
  <w:style w:type="character" w:customStyle="1" w:styleId="55">
    <w:name w:val="标题 5 Char1"/>
    <w:link w:val="7"/>
    <w:qFormat/>
    <w:uiPriority w:val="0"/>
    <w:rPr>
      <w:rFonts w:ascii="Times New Roman" w:hAnsi="Times New Roman"/>
      <w:b/>
      <w:kern w:val="2"/>
      <w:sz w:val="28"/>
      <w:lang w:val="zh-CN" w:eastAsia="zh-CN"/>
    </w:rPr>
  </w:style>
  <w:style w:type="character" w:customStyle="1" w:styleId="56">
    <w:name w:val="标题 6 Char1"/>
    <w:link w:val="8"/>
    <w:qFormat/>
    <w:uiPriority w:val="0"/>
    <w:rPr>
      <w:rFonts w:ascii="Arial" w:hAnsi="Arial" w:eastAsia="黑体"/>
      <w:b/>
      <w:kern w:val="2"/>
      <w:sz w:val="24"/>
      <w:lang w:val="zh-CN" w:eastAsia="zh-CN"/>
    </w:rPr>
  </w:style>
  <w:style w:type="character" w:customStyle="1" w:styleId="57">
    <w:name w:val="标题 7 Char1"/>
    <w:link w:val="9"/>
    <w:qFormat/>
    <w:uiPriority w:val="0"/>
    <w:rPr>
      <w:rFonts w:ascii="Times New Roman" w:hAnsi="Times New Roman"/>
      <w:b/>
      <w:kern w:val="2"/>
      <w:sz w:val="24"/>
      <w:lang w:val="zh-CN" w:eastAsia="zh-CN"/>
    </w:rPr>
  </w:style>
  <w:style w:type="character" w:customStyle="1" w:styleId="58">
    <w:name w:val="标题 8 Char1"/>
    <w:link w:val="10"/>
    <w:qFormat/>
    <w:uiPriority w:val="0"/>
    <w:rPr>
      <w:rFonts w:ascii="Arial" w:hAnsi="Arial" w:eastAsia="黑体"/>
      <w:kern w:val="2"/>
      <w:sz w:val="24"/>
      <w:lang w:val="zh-CN" w:eastAsia="zh-CN"/>
    </w:rPr>
  </w:style>
  <w:style w:type="character" w:customStyle="1" w:styleId="59">
    <w:name w:val="标题 9 Char1"/>
    <w:link w:val="11"/>
    <w:qFormat/>
    <w:uiPriority w:val="0"/>
    <w:rPr>
      <w:rFonts w:ascii="Arial" w:hAnsi="Arial" w:eastAsia="黑体"/>
      <w:kern w:val="2"/>
      <w:sz w:val="21"/>
      <w:lang w:val="zh-CN" w:eastAsia="zh-CN"/>
    </w:rPr>
  </w:style>
  <w:style w:type="character" w:customStyle="1" w:styleId="60">
    <w:name w:val="日期 Char1"/>
    <w:link w:val="26"/>
    <w:qFormat/>
    <w:uiPriority w:val="0"/>
    <w:rPr>
      <w:rFonts w:ascii="Times New Roman" w:hAnsi="Times New Roman" w:eastAsia="宋体" w:cs="Times New Roman"/>
      <w:szCs w:val="20"/>
    </w:rPr>
  </w:style>
  <w:style w:type="character" w:customStyle="1" w:styleId="61">
    <w:name w:val="正文文本缩进 Char1"/>
    <w:link w:val="21"/>
    <w:qFormat/>
    <w:uiPriority w:val="0"/>
    <w:rPr>
      <w:rFonts w:ascii="宋体" w:hAnsi="Times New Roman" w:eastAsia="宋体" w:cs="Times New Roman"/>
      <w:sz w:val="28"/>
      <w:szCs w:val="20"/>
    </w:rPr>
  </w:style>
  <w:style w:type="character" w:customStyle="1" w:styleId="62">
    <w:name w:val="文档结构图 Char"/>
    <w:link w:val="16"/>
    <w:semiHidden/>
    <w:qFormat/>
    <w:uiPriority w:val="0"/>
    <w:rPr>
      <w:rFonts w:ascii="Times New Roman" w:hAnsi="Times New Roman" w:eastAsia="宋体" w:cs="Times New Roman"/>
      <w:kern w:val="0"/>
      <w:sz w:val="20"/>
      <w:szCs w:val="20"/>
      <w:shd w:val="clear" w:color="auto" w:fill="000080"/>
    </w:rPr>
  </w:style>
  <w:style w:type="character" w:customStyle="1" w:styleId="63">
    <w:name w:val="页脚 Char1"/>
    <w:link w:val="29"/>
    <w:qFormat/>
    <w:uiPriority w:val="0"/>
    <w:rPr>
      <w:rFonts w:ascii="Times New Roman" w:hAnsi="Times New Roman" w:eastAsia="宋体" w:cs="Times New Roman"/>
      <w:kern w:val="0"/>
      <w:sz w:val="18"/>
      <w:szCs w:val="20"/>
    </w:rPr>
  </w:style>
  <w:style w:type="character" w:customStyle="1" w:styleId="64">
    <w:name w:val="页眉 Char1"/>
    <w:link w:val="30"/>
    <w:qFormat/>
    <w:uiPriority w:val="0"/>
    <w:rPr>
      <w:rFonts w:ascii="Times New Roman" w:hAnsi="Times New Roman" w:eastAsia="宋体" w:cs="Times New Roman"/>
      <w:kern w:val="0"/>
      <w:sz w:val="18"/>
      <w:szCs w:val="20"/>
    </w:rPr>
  </w:style>
  <w:style w:type="character" w:customStyle="1" w:styleId="65">
    <w:name w:val="正文文本缩进 2 Char1"/>
    <w:link w:val="27"/>
    <w:qFormat/>
    <w:uiPriority w:val="0"/>
    <w:rPr>
      <w:rFonts w:ascii="Times New Roman" w:hAnsi="Times New Roman" w:eastAsia="宋体" w:cs="Times New Roman"/>
      <w:kern w:val="0"/>
      <w:sz w:val="28"/>
      <w:szCs w:val="20"/>
    </w:rPr>
  </w:style>
  <w:style w:type="character" w:customStyle="1" w:styleId="66">
    <w:name w:val="正文文本 Char1"/>
    <w:link w:val="20"/>
    <w:qFormat/>
    <w:uiPriority w:val="0"/>
    <w:rPr>
      <w:rFonts w:ascii="Times New Roman" w:hAnsi="Times New Roman" w:eastAsia="仿宋_GB2312" w:cs="Times New Roman"/>
      <w:sz w:val="24"/>
      <w:szCs w:val="20"/>
    </w:rPr>
  </w:style>
  <w:style w:type="character" w:customStyle="1" w:styleId="67">
    <w:name w:val="正文文本 2 Char1"/>
    <w:link w:val="37"/>
    <w:qFormat/>
    <w:uiPriority w:val="0"/>
    <w:rPr>
      <w:rFonts w:ascii="Times New Roman" w:hAnsi="Times New Roman" w:eastAsia="宋体" w:cs="Times New Roman"/>
      <w:kern w:val="0"/>
      <w:sz w:val="20"/>
      <w:szCs w:val="20"/>
    </w:rPr>
  </w:style>
  <w:style w:type="paragraph" w:customStyle="1" w:styleId="68">
    <w:name w:val="正文缩进:  2 字符"/>
    <w:basedOn w:val="1"/>
    <w:qFormat/>
    <w:uiPriority w:val="0"/>
    <w:pPr>
      <w:widowControl w:val="0"/>
      <w:spacing w:before="60" w:after="60" w:line="300" w:lineRule="auto"/>
      <w:ind w:firstLine="210" w:firstLineChars="210"/>
      <w:jc w:val="both"/>
    </w:pPr>
    <w:rPr>
      <w:kern w:val="2"/>
      <w:sz w:val="24"/>
    </w:rPr>
  </w:style>
  <w:style w:type="character" w:customStyle="1" w:styleId="69">
    <w:name w:val="纯文本 Char1"/>
    <w:link w:val="24"/>
    <w:qFormat/>
    <w:uiPriority w:val="0"/>
    <w:rPr>
      <w:rFonts w:ascii="宋体" w:hAnsi="Courier New" w:eastAsia="宋体" w:cs="Times New Roman"/>
      <w:snapToGrid w:val="0"/>
      <w:szCs w:val="20"/>
    </w:rPr>
  </w:style>
  <w:style w:type="character" w:customStyle="1" w:styleId="70">
    <w:name w:val="正文文本缩进 3 Char1"/>
    <w:link w:val="34"/>
    <w:qFormat/>
    <w:uiPriority w:val="0"/>
    <w:rPr>
      <w:rFonts w:ascii="宋体" w:hAnsi="Times New Roman" w:eastAsia="宋体" w:cs="Times New Roman"/>
      <w:sz w:val="24"/>
      <w:szCs w:val="20"/>
    </w:rPr>
  </w:style>
  <w:style w:type="paragraph" w:customStyle="1" w:styleId="71">
    <w:name w:val="Item"/>
    <w:basedOn w:val="1"/>
    <w:qFormat/>
    <w:uiPriority w:val="0"/>
    <w:pPr>
      <w:widowControl w:val="0"/>
      <w:tabs>
        <w:tab w:val="left" w:pos="0"/>
      </w:tabs>
      <w:spacing w:line="360" w:lineRule="auto"/>
      <w:ind w:hanging="420"/>
      <w:jc w:val="both"/>
    </w:pPr>
    <w:rPr>
      <w:kern w:val="2"/>
      <w:sz w:val="24"/>
      <w:szCs w:val="24"/>
    </w:rPr>
  </w:style>
  <w:style w:type="paragraph" w:customStyle="1" w:styleId="72">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73">
    <w:name w:val="v20title"/>
    <w:basedOn w:val="1"/>
    <w:qFormat/>
    <w:uiPriority w:val="0"/>
    <w:pPr>
      <w:spacing w:before="100" w:beforeAutospacing="1" w:after="100" w:afterAutospacing="1" w:line="280" w:lineRule="atLeast"/>
    </w:pPr>
    <w:rPr>
      <w:rFonts w:eastAsia="Arial Unicode MS" w:cs="Arial Unicode MS"/>
      <w:b/>
      <w:bCs/>
      <w:color w:val="FF6600"/>
      <w:sz w:val="22"/>
      <w:szCs w:val="22"/>
    </w:rPr>
  </w:style>
  <w:style w:type="paragraph" w:customStyle="1" w:styleId="74">
    <w:name w:val="118"/>
    <w:basedOn w:val="1"/>
    <w:qFormat/>
    <w:uiPriority w:val="0"/>
    <w:pPr>
      <w:spacing w:before="30" w:after="100" w:afterAutospacing="1"/>
      <w:ind w:left="90"/>
    </w:pPr>
    <w:rPr>
      <w:rFonts w:ascii="Arial Unicode MS" w:hAnsi="Arial Unicode MS" w:eastAsia="Arial Unicode MS" w:cs="Arial Unicode MS"/>
      <w:color w:val="000000"/>
      <w:sz w:val="18"/>
      <w:szCs w:val="18"/>
    </w:rPr>
  </w:style>
  <w:style w:type="paragraph" w:customStyle="1" w:styleId="75">
    <w:name w:val="l18"/>
    <w:basedOn w:val="1"/>
    <w:qFormat/>
    <w:uiPriority w:val="0"/>
    <w:pPr>
      <w:spacing w:before="30" w:after="100" w:afterAutospacing="1" w:line="270" w:lineRule="atLeast"/>
      <w:ind w:left="90"/>
    </w:pPr>
    <w:rPr>
      <w:rFonts w:ascii="Arial Unicode MS" w:hAnsi="Arial Unicode MS" w:eastAsia="Arial Unicode MS" w:cs="Arial Unicode MS"/>
      <w:color w:val="000000"/>
      <w:sz w:val="18"/>
      <w:szCs w:val="18"/>
    </w:rPr>
  </w:style>
  <w:style w:type="character" w:customStyle="1" w:styleId="76">
    <w:name w:val="标题 Char1"/>
    <w:link w:val="39"/>
    <w:qFormat/>
    <w:uiPriority w:val="0"/>
    <w:rPr>
      <w:rFonts w:ascii="Times New Roman" w:hAnsi="Times New Roman" w:eastAsia="宋体" w:cs="Times New Roman"/>
      <w:i/>
      <w:iCs/>
      <w:snapToGrid w:val="0"/>
      <w:kern w:val="0"/>
      <w:sz w:val="30"/>
      <w:szCs w:val="30"/>
    </w:rPr>
  </w:style>
  <w:style w:type="character" w:customStyle="1" w:styleId="77">
    <w:name w:val="body21"/>
    <w:qFormat/>
    <w:uiPriority w:val="0"/>
    <w:rPr>
      <w:color w:val="000000"/>
      <w:sz w:val="18"/>
      <w:szCs w:val="18"/>
    </w:rPr>
  </w:style>
  <w:style w:type="character" w:customStyle="1" w:styleId="78">
    <w:name w:val="textfont1"/>
    <w:qFormat/>
    <w:uiPriority w:val="0"/>
    <w:rPr>
      <w:sz w:val="26"/>
      <w:szCs w:val="26"/>
    </w:rPr>
  </w:style>
  <w:style w:type="paragraph" w:customStyle="1" w:styleId="79">
    <w:name w:val="font5"/>
    <w:basedOn w:val="1"/>
    <w:qFormat/>
    <w:uiPriority w:val="0"/>
    <w:pPr>
      <w:spacing w:before="100" w:beforeAutospacing="1" w:after="100" w:afterAutospacing="1"/>
    </w:pPr>
    <w:rPr>
      <w:rFonts w:hint="eastAsia" w:ascii="宋体" w:hAnsi="宋体" w:cs="Arial Unicode MS"/>
      <w:sz w:val="18"/>
      <w:szCs w:val="18"/>
    </w:rPr>
  </w:style>
  <w:style w:type="paragraph" w:customStyle="1" w:styleId="80">
    <w:name w:val="font6"/>
    <w:basedOn w:val="1"/>
    <w:qFormat/>
    <w:uiPriority w:val="0"/>
    <w:pPr>
      <w:spacing w:before="100" w:beforeAutospacing="1" w:after="100" w:afterAutospacing="1"/>
    </w:pPr>
    <w:rPr>
      <w:rFonts w:hint="eastAsia" w:ascii="宋体" w:hAnsi="宋体" w:cs="Arial Unicode MS"/>
    </w:rPr>
  </w:style>
  <w:style w:type="paragraph" w:customStyle="1" w:styleId="81">
    <w:name w:val="font7"/>
    <w:basedOn w:val="1"/>
    <w:qFormat/>
    <w:uiPriority w:val="0"/>
    <w:pPr>
      <w:spacing w:before="100" w:beforeAutospacing="1" w:after="100" w:afterAutospacing="1"/>
    </w:pPr>
    <w:rPr>
      <w:rFonts w:eastAsia="Arial Unicode MS"/>
    </w:rPr>
  </w:style>
  <w:style w:type="paragraph" w:customStyle="1" w:styleId="82">
    <w:name w:val="font8"/>
    <w:basedOn w:val="1"/>
    <w:qFormat/>
    <w:uiPriority w:val="0"/>
    <w:pPr>
      <w:spacing w:before="100" w:beforeAutospacing="1" w:after="100" w:afterAutospacing="1"/>
    </w:pPr>
    <w:rPr>
      <w:rFonts w:hint="eastAsia" w:ascii="宋体" w:hAnsi="宋体" w:cs="Arial Unicode MS"/>
      <w:b/>
      <w:bCs/>
    </w:rPr>
  </w:style>
  <w:style w:type="paragraph" w:customStyle="1" w:styleId="83">
    <w:name w:val="font9"/>
    <w:basedOn w:val="1"/>
    <w:qFormat/>
    <w:uiPriority w:val="0"/>
    <w:pPr>
      <w:spacing w:before="100" w:beforeAutospacing="1" w:after="100" w:afterAutospacing="1"/>
    </w:pPr>
    <w:rPr>
      <w:rFonts w:eastAsia="Arial Unicode MS"/>
      <w:b/>
      <w:bCs/>
    </w:rPr>
  </w:style>
  <w:style w:type="paragraph" w:customStyle="1" w:styleId="84">
    <w:name w:val="font10"/>
    <w:basedOn w:val="1"/>
    <w:qFormat/>
    <w:uiPriority w:val="0"/>
    <w:pPr>
      <w:spacing w:before="100" w:beforeAutospacing="1" w:after="100" w:afterAutospacing="1"/>
    </w:pPr>
    <w:rPr>
      <w:rFonts w:eastAsia="Arial Unicode MS"/>
      <w:color w:val="000000"/>
    </w:rPr>
  </w:style>
  <w:style w:type="paragraph" w:customStyle="1" w:styleId="85">
    <w:name w:val="font11"/>
    <w:basedOn w:val="1"/>
    <w:qFormat/>
    <w:uiPriority w:val="0"/>
    <w:pPr>
      <w:spacing w:before="100" w:beforeAutospacing="1" w:after="100" w:afterAutospacing="1"/>
    </w:pPr>
    <w:rPr>
      <w:rFonts w:hint="eastAsia" w:ascii="宋体" w:hAnsi="宋体" w:cs="Arial Unicode MS"/>
      <w:color w:val="000000"/>
    </w:rPr>
  </w:style>
  <w:style w:type="paragraph" w:customStyle="1" w:styleId="86">
    <w:name w:val="xl27"/>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87">
    <w:name w:val="xl28"/>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88">
    <w:name w:val="xl2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89">
    <w:name w:val="xl30"/>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90">
    <w:name w:val="xl31"/>
    <w:basedOn w:val="1"/>
    <w:qFormat/>
    <w:uiPriority w:val="0"/>
    <w:pPr>
      <w:pBdr>
        <w:top w:val="single" w:color="auto" w:sz="4" w:space="0"/>
        <w:left w:val="single" w:color="auto" w:sz="8" w:space="0"/>
        <w:right w:val="single" w:color="auto" w:sz="4"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9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92">
    <w:name w:val="xl33"/>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93">
    <w:name w:val="xl34"/>
    <w:basedOn w:val="1"/>
    <w:qFormat/>
    <w:uiPriority w:val="0"/>
    <w:pPr>
      <w:pBdr>
        <w:top w:val="single" w:color="auto" w:sz="4" w:space="0"/>
        <w:bottom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94">
    <w:name w:val="xl35"/>
    <w:basedOn w:val="1"/>
    <w:qFormat/>
    <w:uiPriority w:val="0"/>
    <w:pPr>
      <w:pBdr>
        <w:top w:val="single" w:color="auto" w:sz="4" w:space="0"/>
        <w:bottom w:val="single" w:color="auto" w:sz="4" w:space="0"/>
        <w:right w:val="single" w:color="auto" w:sz="8" w:space="0"/>
      </w:pBdr>
      <w:spacing w:before="100" w:beforeAutospacing="1" w:after="100" w:afterAutospacing="1"/>
      <w:textAlignment w:val="center"/>
    </w:pPr>
    <w:rPr>
      <w:rFonts w:ascii="Arial Unicode MS" w:hAnsi="Arial Unicode MS" w:eastAsia="Arial Unicode MS" w:cs="Arial Unicode MS"/>
    </w:rPr>
  </w:style>
  <w:style w:type="paragraph" w:customStyle="1" w:styleId="95">
    <w:name w:val="xl36"/>
    <w:basedOn w:val="1"/>
    <w:qFormat/>
    <w:uiPriority w:val="0"/>
    <w:pPr>
      <w:pBdr>
        <w:left w:val="single" w:color="auto" w:sz="8" w:space="0"/>
        <w:right w:val="single" w:color="auto" w:sz="4"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96">
    <w:name w:val="xl3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97">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rPr>
  </w:style>
  <w:style w:type="paragraph" w:customStyle="1" w:styleId="98">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rPr>
  </w:style>
  <w:style w:type="paragraph" w:customStyle="1" w:styleId="9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0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rPr>
  </w:style>
  <w:style w:type="paragraph" w:customStyle="1" w:styleId="101">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02">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rPr>
  </w:style>
  <w:style w:type="paragraph" w:customStyle="1" w:styleId="103">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04">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05">
    <w:name w:val="xl46"/>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06">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rPr>
  </w:style>
  <w:style w:type="paragraph" w:customStyle="1" w:styleId="107">
    <w:name w:val="xl48"/>
    <w:basedOn w:val="1"/>
    <w:qFormat/>
    <w:uiPriority w:val="0"/>
    <w:pPr>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08">
    <w:name w:val="xl4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09">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10">
    <w:name w:val="xl51"/>
    <w:basedOn w:val="1"/>
    <w:qFormat/>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eastAsia="Arial Unicode MS" w:cs="Arial Unicode MS"/>
      <w:b/>
      <w:bCs/>
    </w:rPr>
  </w:style>
  <w:style w:type="paragraph" w:customStyle="1" w:styleId="111">
    <w:name w:val="xl52"/>
    <w:basedOn w:val="1"/>
    <w:qFormat/>
    <w:uiPriority w:val="0"/>
    <w:pPr>
      <w:pBdr>
        <w:top w:val="single" w:color="auto" w:sz="4" w:space="0"/>
        <w:bottom w:val="single" w:color="auto" w:sz="4" w:space="0"/>
      </w:pBdr>
      <w:spacing w:before="100" w:beforeAutospacing="1" w:after="100" w:afterAutospacing="1"/>
      <w:jc w:val="right"/>
      <w:textAlignment w:val="center"/>
    </w:pPr>
    <w:rPr>
      <w:rFonts w:ascii="Arial Unicode MS" w:hAnsi="Arial Unicode MS" w:eastAsia="Arial Unicode MS" w:cs="Arial Unicode MS"/>
      <w:b/>
      <w:bCs/>
    </w:rPr>
  </w:style>
  <w:style w:type="paragraph" w:customStyle="1" w:styleId="112">
    <w:name w:val="xl53"/>
    <w:basedOn w:val="1"/>
    <w:qFormat/>
    <w:uiPriority w:val="0"/>
    <w:pPr>
      <w:pBdr>
        <w:top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rPr>
  </w:style>
  <w:style w:type="paragraph" w:customStyle="1" w:styleId="113">
    <w:name w:val="xl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rPr>
  </w:style>
  <w:style w:type="paragraph" w:customStyle="1" w:styleId="114">
    <w:name w:val="xl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rPr>
  </w:style>
  <w:style w:type="paragraph" w:customStyle="1" w:styleId="115">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116">
    <w:name w:val="xl5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Arial Unicode MS" w:hAnsi="Arial Unicode MS" w:eastAsia="Arial Unicode MS" w:cs="Arial Unicode MS"/>
    </w:rPr>
  </w:style>
  <w:style w:type="paragraph" w:customStyle="1" w:styleId="117">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118">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b/>
      <w:bCs/>
    </w:rPr>
  </w:style>
  <w:style w:type="paragraph" w:customStyle="1" w:styleId="119">
    <w:name w:val="xl6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Arial Unicode MS" w:hAnsi="Arial Unicode MS" w:eastAsia="Arial Unicode MS" w:cs="Arial Unicode MS"/>
      <w:b/>
      <w:bCs/>
    </w:rPr>
  </w:style>
  <w:style w:type="paragraph" w:customStyle="1" w:styleId="120">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rPr>
  </w:style>
  <w:style w:type="paragraph" w:customStyle="1" w:styleId="121">
    <w:name w:val="xl62"/>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122">
    <w:name w:val="xl63"/>
    <w:basedOn w:val="1"/>
    <w:qFormat/>
    <w:uiPriority w:val="0"/>
    <w:pPr>
      <w:spacing w:before="100" w:beforeAutospacing="1" w:after="100" w:afterAutospacing="1"/>
      <w:jc w:val="center"/>
      <w:textAlignment w:val="center"/>
    </w:pPr>
    <w:rPr>
      <w:rFonts w:ascii="Arial Unicode MS" w:hAnsi="Arial Unicode MS" w:eastAsia="Arial Unicode MS" w:cs="Arial Unicode MS"/>
    </w:rPr>
  </w:style>
  <w:style w:type="paragraph" w:customStyle="1" w:styleId="12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rPr>
  </w:style>
  <w:style w:type="paragraph" w:customStyle="1" w:styleId="124">
    <w:name w:val="xl65"/>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2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rPr>
  </w:style>
  <w:style w:type="paragraph" w:customStyle="1" w:styleId="126">
    <w:name w:val="xl67"/>
    <w:basedOn w:val="1"/>
    <w:qFormat/>
    <w:uiPriority w:val="0"/>
    <w:pPr>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27">
    <w:name w:val="xl6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128">
    <w:name w:val="xl69"/>
    <w:basedOn w:val="1"/>
    <w:qFormat/>
    <w:uiPriority w:val="0"/>
    <w:pPr>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2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color w:val="000000"/>
    </w:rPr>
  </w:style>
  <w:style w:type="paragraph" w:customStyle="1" w:styleId="130">
    <w:name w:val="xl7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Arial Unicode MS"/>
    </w:rPr>
  </w:style>
  <w:style w:type="paragraph" w:customStyle="1" w:styleId="131">
    <w:name w:val="xl72"/>
    <w:basedOn w:val="1"/>
    <w:qFormat/>
    <w:uiPriority w:val="0"/>
    <w:pPr>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132">
    <w:name w:val="xl73"/>
    <w:basedOn w:val="1"/>
    <w:qFormat/>
    <w:uiPriority w:val="0"/>
    <w:pPr>
      <w:pBdr>
        <w:left w:val="single" w:color="auto" w:sz="4" w:space="0"/>
        <w:right w:val="single" w:color="auto" w:sz="4" w:space="0"/>
      </w:pBdr>
      <w:spacing w:before="100" w:beforeAutospacing="1" w:after="100" w:afterAutospacing="1"/>
      <w:jc w:val="center"/>
      <w:textAlignment w:val="center"/>
    </w:pPr>
    <w:rPr>
      <w:rFonts w:eastAsia="Arial Unicode MS"/>
    </w:rPr>
  </w:style>
  <w:style w:type="paragraph" w:customStyle="1" w:styleId="133">
    <w:name w:val="xl7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rPr>
  </w:style>
  <w:style w:type="paragraph" w:customStyle="1" w:styleId="134">
    <w:name w:val="xl75"/>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eastAsia="Arial Unicode MS"/>
    </w:rPr>
  </w:style>
  <w:style w:type="paragraph" w:customStyle="1" w:styleId="135">
    <w:name w:val="xl76"/>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rPr>
  </w:style>
  <w:style w:type="paragraph" w:customStyle="1" w:styleId="136">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37">
    <w:name w:val="xl78"/>
    <w:basedOn w:val="1"/>
    <w:qFormat/>
    <w:uiPriority w:val="0"/>
    <w:pPr>
      <w:pBdr>
        <w:left w:val="single" w:color="auto" w:sz="8" w:space="0"/>
        <w:bottom w:val="single" w:color="auto" w:sz="4"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138">
    <w:name w:val="xl79"/>
    <w:basedOn w:val="1"/>
    <w:qFormat/>
    <w:uiPriority w:val="0"/>
    <w:pPr>
      <w:pBdr>
        <w:top w:val="single" w:color="auto" w:sz="8" w:space="0"/>
        <w:left w:val="single" w:color="auto" w:sz="8" w:space="0"/>
        <w:bottom w:val="single" w:color="auto" w:sz="8" w:space="0"/>
      </w:pBdr>
      <w:spacing w:before="100" w:beforeAutospacing="1" w:after="100" w:afterAutospacing="1"/>
      <w:jc w:val="right"/>
      <w:textAlignment w:val="center"/>
    </w:pPr>
    <w:rPr>
      <w:rFonts w:ascii="Arial Unicode MS" w:hAnsi="Arial Unicode MS" w:eastAsia="Arial Unicode MS" w:cs="Arial Unicode MS"/>
      <w:b/>
      <w:bCs/>
    </w:rPr>
  </w:style>
  <w:style w:type="paragraph" w:customStyle="1" w:styleId="139">
    <w:name w:val="xl80"/>
    <w:basedOn w:val="1"/>
    <w:qFormat/>
    <w:uiPriority w:val="0"/>
    <w:pPr>
      <w:pBdr>
        <w:top w:val="single" w:color="auto" w:sz="8" w:space="0"/>
        <w:bottom w:val="single" w:color="auto" w:sz="8" w:space="0"/>
      </w:pBdr>
      <w:spacing w:before="100" w:beforeAutospacing="1" w:after="100" w:afterAutospacing="1"/>
      <w:jc w:val="right"/>
      <w:textAlignment w:val="center"/>
    </w:pPr>
    <w:rPr>
      <w:rFonts w:ascii="Arial Unicode MS" w:hAnsi="Arial Unicode MS" w:eastAsia="Arial Unicode MS" w:cs="Arial Unicode MS"/>
      <w:b/>
      <w:bCs/>
    </w:rPr>
  </w:style>
  <w:style w:type="paragraph" w:customStyle="1" w:styleId="140">
    <w:name w:val="xl81"/>
    <w:basedOn w:val="1"/>
    <w:qFormat/>
    <w:uiPriority w:val="0"/>
    <w:pPr>
      <w:pBdr>
        <w:top w:val="single" w:color="auto" w:sz="8" w:space="0"/>
        <w:bottom w:val="single" w:color="auto" w:sz="8"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rPr>
  </w:style>
  <w:style w:type="paragraph" w:customStyle="1" w:styleId="141">
    <w:name w:val="xl82"/>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rPr>
  </w:style>
  <w:style w:type="paragraph" w:customStyle="1" w:styleId="142">
    <w:name w:val="xl83"/>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rPr>
  </w:style>
  <w:style w:type="paragraph" w:customStyle="1" w:styleId="143">
    <w:name w:val="xl84"/>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jc w:val="center"/>
      <w:textAlignment w:val="top"/>
    </w:pPr>
    <w:rPr>
      <w:rFonts w:ascii="Arial Unicode MS" w:hAnsi="Arial Unicode MS" w:eastAsia="Arial Unicode MS" w:cs="Arial Unicode MS"/>
      <w:b/>
      <w:bCs/>
    </w:rPr>
  </w:style>
  <w:style w:type="paragraph" w:customStyle="1" w:styleId="144">
    <w:name w:val="xl8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eastAsia="Arial Unicode MS"/>
    </w:rPr>
  </w:style>
  <w:style w:type="paragraph" w:customStyle="1" w:styleId="145">
    <w:name w:val="xl86"/>
    <w:basedOn w:val="1"/>
    <w:qFormat/>
    <w:uiPriority w:val="0"/>
    <w:pPr>
      <w:pBdr>
        <w:right w:val="single" w:color="auto" w:sz="4"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146">
    <w:name w:val="xl87"/>
    <w:basedOn w:val="1"/>
    <w:qFormat/>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rPr>
  </w:style>
  <w:style w:type="paragraph" w:customStyle="1" w:styleId="147">
    <w:name w:val="xl8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48">
    <w:name w:val="xl89"/>
    <w:basedOn w:val="1"/>
    <w:qFormat/>
    <w:uiPriority w:val="0"/>
    <w:pPr>
      <w:pBdr>
        <w:top w:val="single" w:color="auto" w:sz="8"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49">
    <w:name w:val="xl90"/>
    <w:basedOn w:val="1"/>
    <w:qFormat/>
    <w:uiPriority w:val="0"/>
    <w:pPr>
      <w:pBdr>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150">
    <w:name w:val="xl91"/>
    <w:basedOn w:val="1"/>
    <w:qFormat/>
    <w:uiPriority w:val="0"/>
    <w:pPr>
      <w:pBdr>
        <w:left w:val="single" w:color="auto" w:sz="4" w:space="0"/>
        <w:bottom w:val="single" w:color="auto" w:sz="4" w:space="0"/>
        <w:right w:val="single" w:color="auto" w:sz="8"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151">
    <w:name w:val="xl9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152">
    <w:name w:val="xl93"/>
    <w:basedOn w:val="1"/>
    <w:qFormat/>
    <w:uiPriority w:val="0"/>
    <w:pPr>
      <w:pBdr>
        <w:top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rPr>
  </w:style>
  <w:style w:type="paragraph" w:customStyle="1" w:styleId="153">
    <w:name w:val="xl9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Arial Unicode MS"/>
    </w:rPr>
  </w:style>
  <w:style w:type="paragraph" w:customStyle="1" w:styleId="154">
    <w:name w:val="xl95"/>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bCs/>
    </w:rPr>
  </w:style>
  <w:style w:type="paragraph" w:customStyle="1" w:styleId="15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rPr>
  </w:style>
  <w:style w:type="paragraph" w:customStyle="1" w:styleId="156">
    <w:name w:val="xl97"/>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top"/>
    </w:pPr>
    <w:rPr>
      <w:rFonts w:eastAsia="Arial Unicode MS"/>
    </w:rPr>
  </w:style>
  <w:style w:type="paragraph" w:customStyle="1" w:styleId="157">
    <w:name w:val="xl9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rPr>
  </w:style>
  <w:style w:type="paragraph" w:customStyle="1" w:styleId="158">
    <w:name w:val="xl9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rPr>
  </w:style>
  <w:style w:type="paragraph" w:customStyle="1" w:styleId="159">
    <w:name w:val="xl10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160">
    <w:name w:val="xl101"/>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rPr>
  </w:style>
  <w:style w:type="character" w:customStyle="1" w:styleId="161">
    <w:name w:val="正文首行缩进 Char1"/>
    <w:link w:val="41"/>
    <w:qFormat/>
    <w:uiPriority w:val="0"/>
    <w:rPr>
      <w:rFonts w:ascii="Times New Roman" w:hAnsi="Times New Roman" w:eastAsia="宋体" w:cs="Times New Roman"/>
      <w:sz w:val="24"/>
      <w:szCs w:val="24"/>
    </w:rPr>
  </w:style>
  <w:style w:type="paragraph" w:customStyle="1" w:styleId="162">
    <w:name w:val="缺省文本"/>
    <w:basedOn w:val="1"/>
    <w:qFormat/>
    <w:uiPriority w:val="0"/>
    <w:pPr>
      <w:widowControl w:val="0"/>
      <w:autoSpaceDE w:val="0"/>
      <w:autoSpaceDN w:val="0"/>
      <w:adjustRightInd w:val="0"/>
    </w:pPr>
    <w:rPr>
      <w:sz w:val="24"/>
      <w:szCs w:val="24"/>
    </w:rPr>
  </w:style>
  <w:style w:type="paragraph" w:customStyle="1" w:styleId="163">
    <w:name w:val="IBM 正文"/>
    <w:basedOn w:val="1"/>
    <w:qFormat/>
    <w:uiPriority w:val="0"/>
    <w:pPr>
      <w:widowControl w:val="0"/>
      <w:spacing w:line="400" w:lineRule="exact"/>
      <w:jc w:val="both"/>
    </w:pPr>
    <w:rPr>
      <w:spacing w:val="20"/>
      <w:kern w:val="2"/>
      <w:sz w:val="24"/>
    </w:rPr>
  </w:style>
  <w:style w:type="paragraph" w:customStyle="1" w:styleId="164">
    <w:name w:val="font0"/>
    <w:basedOn w:val="1"/>
    <w:qFormat/>
    <w:uiPriority w:val="0"/>
    <w:pPr>
      <w:spacing w:before="100" w:beforeAutospacing="1" w:after="100" w:afterAutospacing="1"/>
    </w:pPr>
    <w:rPr>
      <w:rFonts w:hint="eastAsia" w:ascii="宋体" w:hAnsi="宋体" w:cs="Arial Unicode MS"/>
      <w:sz w:val="24"/>
      <w:szCs w:val="24"/>
    </w:rPr>
  </w:style>
  <w:style w:type="paragraph" w:customStyle="1" w:styleId="165">
    <w:name w:val="font12"/>
    <w:basedOn w:val="1"/>
    <w:qFormat/>
    <w:uiPriority w:val="0"/>
    <w:pPr>
      <w:spacing w:before="100" w:beforeAutospacing="1" w:after="100" w:afterAutospacing="1"/>
    </w:pPr>
    <w:rPr>
      <w:rFonts w:eastAsia="Arial Unicode MS"/>
      <w:b/>
      <w:bCs/>
    </w:rPr>
  </w:style>
  <w:style w:type="paragraph" w:customStyle="1" w:styleId="166">
    <w:name w:val="font13"/>
    <w:basedOn w:val="1"/>
    <w:qFormat/>
    <w:uiPriority w:val="0"/>
    <w:pPr>
      <w:spacing w:before="100" w:beforeAutospacing="1" w:after="100" w:afterAutospacing="1"/>
    </w:pPr>
    <w:rPr>
      <w:rFonts w:hint="eastAsia" w:ascii="宋体" w:hAnsi="宋体" w:cs="Arial Unicode MS"/>
      <w:b/>
      <w:bCs/>
    </w:rPr>
  </w:style>
  <w:style w:type="paragraph" w:customStyle="1" w:styleId="16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1"/>
      <w:szCs w:val="21"/>
    </w:rPr>
  </w:style>
  <w:style w:type="paragraph" w:customStyle="1" w:styleId="168">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16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rPr>
  </w:style>
  <w:style w:type="paragraph" w:customStyle="1" w:styleId="170">
    <w:name w:val="List2"/>
    <w:basedOn w:val="1"/>
    <w:qFormat/>
    <w:uiPriority w:val="0"/>
    <w:pPr>
      <w:widowControl w:val="0"/>
      <w:tabs>
        <w:tab w:val="left" w:pos="643"/>
      </w:tabs>
      <w:spacing w:line="360" w:lineRule="auto"/>
      <w:ind w:left="643"/>
      <w:jc w:val="both"/>
    </w:pPr>
    <w:rPr>
      <w:kern w:val="2"/>
      <w:sz w:val="24"/>
    </w:rPr>
  </w:style>
  <w:style w:type="paragraph" w:customStyle="1" w:styleId="171">
    <w:name w:val="文字列表"/>
    <w:basedOn w:val="41"/>
    <w:qFormat/>
    <w:uiPriority w:val="0"/>
    <w:pPr>
      <w:tabs>
        <w:tab w:val="left" w:pos="987"/>
      </w:tabs>
      <w:spacing w:beforeLines="0" w:afterLines="0" w:line="300" w:lineRule="auto"/>
      <w:ind w:left="987" w:hanging="420" w:firstLineChars="0"/>
    </w:pPr>
    <w:rPr>
      <w:rFonts w:ascii="楷体_GB2312" w:eastAsia="楷体_GB2312"/>
      <w:szCs w:val="20"/>
    </w:rPr>
  </w:style>
  <w:style w:type="character" w:customStyle="1" w:styleId="172">
    <w:name w:val="p9black1"/>
    <w:qFormat/>
    <w:uiPriority w:val="0"/>
    <w:rPr>
      <w:rFonts w:hint="default"/>
      <w:color w:val="000000"/>
      <w:sz w:val="24"/>
      <w:szCs w:val="24"/>
    </w:rPr>
  </w:style>
  <w:style w:type="paragraph" w:customStyle="1" w:styleId="173">
    <w:name w:val="Char"/>
    <w:basedOn w:val="16"/>
    <w:qFormat/>
    <w:uiPriority w:val="0"/>
    <w:pPr>
      <w:widowControl w:val="0"/>
      <w:jc w:val="both"/>
    </w:pPr>
    <w:rPr>
      <w:rFonts w:ascii="Tahoma" w:hAnsi="Tahoma"/>
      <w:kern w:val="2"/>
      <w:sz w:val="24"/>
      <w:szCs w:val="24"/>
    </w:rPr>
  </w:style>
  <w:style w:type="character" w:customStyle="1" w:styleId="174">
    <w:name w:val="批注框文本 Char"/>
    <w:link w:val="28"/>
    <w:semiHidden/>
    <w:qFormat/>
    <w:uiPriority w:val="0"/>
    <w:rPr>
      <w:rFonts w:ascii="Times New Roman" w:hAnsi="Times New Roman" w:eastAsia="宋体" w:cs="Times New Roman"/>
      <w:kern w:val="0"/>
      <w:sz w:val="18"/>
      <w:szCs w:val="18"/>
    </w:rPr>
  </w:style>
  <w:style w:type="character" w:customStyle="1" w:styleId="175">
    <w:name w:val="批注文字 Char1"/>
    <w:link w:val="17"/>
    <w:qFormat/>
    <w:uiPriority w:val="0"/>
    <w:rPr>
      <w:rFonts w:ascii="Times New Roman" w:hAnsi="Times New Roman" w:eastAsia="宋体" w:cs="Times New Roman"/>
      <w:kern w:val="0"/>
      <w:sz w:val="20"/>
      <w:szCs w:val="20"/>
    </w:rPr>
  </w:style>
  <w:style w:type="character" w:customStyle="1" w:styleId="176">
    <w:name w:val="批注主题 Char"/>
    <w:link w:val="40"/>
    <w:semiHidden/>
    <w:qFormat/>
    <w:uiPriority w:val="0"/>
    <w:rPr>
      <w:rFonts w:ascii="Times New Roman" w:hAnsi="Times New Roman" w:eastAsia="宋体" w:cs="Times New Roman"/>
      <w:b/>
      <w:bCs/>
      <w:kern w:val="0"/>
      <w:sz w:val="20"/>
      <w:szCs w:val="20"/>
    </w:rPr>
  </w:style>
  <w:style w:type="paragraph" w:customStyle="1" w:styleId="177">
    <w:name w:val="Char Char Char Char Char Char Char Char"/>
    <w:basedOn w:val="1"/>
    <w:qFormat/>
    <w:uiPriority w:val="0"/>
    <w:pPr>
      <w:widowControl w:val="0"/>
      <w:tabs>
        <w:tab w:val="left" w:pos="360"/>
      </w:tabs>
      <w:jc w:val="both"/>
    </w:pPr>
    <w:rPr>
      <w:kern w:val="2"/>
      <w:sz w:val="24"/>
      <w:szCs w:val="24"/>
    </w:rPr>
  </w:style>
  <w:style w:type="paragraph" w:customStyle="1" w:styleId="178">
    <w:name w:val="修订1"/>
    <w:hidden/>
    <w:semiHidden/>
    <w:qFormat/>
    <w:uiPriority w:val="99"/>
    <w:rPr>
      <w:rFonts w:ascii="Times New Roman" w:hAnsi="Times New Roman" w:eastAsia="宋体" w:cs="Times New Roman"/>
      <w:lang w:val="en-US" w:eastAsia="zh-CN" w:bidi="ar-SA"/>
    </w:rPr>
  </w:style>
  <w:style w:type="paragraph" w:styleId="179">
    <w:name w:val="List Paragraph"/>
    <w:basedOn w:val="1"/>
    <w:link w:val="303"/>
    <w:qFormat/>
    <w:uiPriority w:val="34"/>
    <w:pPr>
      <w:ind w:firstLine="420" w:firstLineChars="200"/>
    </w:pPr>
  </w:style>
  <w:style w:type="paragraph" w:customStyle="1" w:styleId="180">
    <w:name w:val="chart text"/>
    <w:basedOn w:val="1"/>
    <w:qFormat/>
    <w:uiPriority w:val="0"/>
    <w:pPr>
      <w:spacing w:line="180" w:lineRule="exact"/>
    </w:pPr>
    <w:rPr>
      <w:rFonts w:ascii="Futura Bk" w:hAnsi="Futura Bk" w:cs="Futura Bk"/>
      <w:sz w:val="14"/>
      <w:szCs w:val="14"/>
    </w:rPr>
  </w:style>
  <w:style w:type="paragraph" w:customStyle="1" w:styleId="181">
    <w:name w:val="样式1-o"/>
    <w:basedOn w:val="1"/>
    <w:qFormat/>
    <w:uiPriority w:val="0"/>
    <w:pPr>
      <w:widowControl w:val="0"/>
      <w:numPr>
        <w:ilvl w:val="0"/>
        <w:numId w:val="2"/>
      </w:numPr>
      <w:tabs>
        <w:tab w:val="left" w:pos="-1980"/>
      </w:tabs>
      <w:spacing w:beforeLines="50" w:afterLines="50"/>
      <w:ind w:left="360" w:firstLine="480" w:firstLineChars="200"/>
      <w:jc w:val="both"/>
    </w:pPr>
    <w:rPr>
      <w:kern w:val="2"/>
      <w:sz w:val="24"/>
      <w:szCs w:val="24"/>
    </w:rPr>
  </w:style>
  <w:style w:type="paragraph" w:customStyle="1" w:styleId="182">
    <w:name w:val="CM15"/>
    <w:basedOn w:val="72"/>
    <w:next w:val="72"/>
    <w:qFormat/>
    <w:uiPriority w:val="0"/>
    <w:pPr>
      <w:spacing w:line="468" w:lineRule="atLeast"/>
    </w:pPr>
    <w:rPr>
      <w:rFonts w:cs="宋体"/>
      <w:sz w:val="24"/>
      <w:szCs w:val="24"/>
    </w:rPr>
  </w:style>
  <w:style w:type="character" w:customStyle="1" w:styleId="183">
    <w:name w:val="Body Text Char"/>
    <w:qFormat/>
    <w:locked/>
    <w:uiPriority w:val="0"/>
    <w:rPr>
      <w:rFonts w:eastAsia="宋体"/>
      <w:sz w:val="24"/>
      <w:lang w:val="en-US" w:eastAsia="zh-CN"/>
    </w:rPr>
  </w:style>
  <w:style w:type="character" w:customStyle="1" w:styleId="184">
    <w:name w:val="Header Char"/>
    <w:qFormat/>
    <w:locked/>
    <w:uiPriority w:val="0"/>
    <w:rPr>
      <w:kern w:val="2"/>
      <w:sz w:val="18"/>
    </w:rPr>
  </w:style>
  <w:style w:type="character" w:customStyle="1" w:styleId="185">
    <w:name w:val="Footer Char"/>
    <w:qFormat/>
    <w:locked/>
    <w:uiPriority w:val="0"/>
    <w:rPr>
      <w:kern w:val="2"/>
      <w:sz w:val="18"/>
    </w:rPr>
  </w:style>
  <w:style w:type="paragraph" w:customStyle="1" w:styleId="186">
    <w:name w:val="My正文"/>
    <w:basedOn w:val="1"/>
    <w:link w:val="187"/>
    <w:qFormat/>
    <w:uiPriority w:val="0"/>
    <w:pPr>
      <w:widowControl w:val="0"/>
      <w:adjustRightInd w:val="0"/>
      <w:spacing w:before="120" w:line="360" w:lineRule="auto"/>
      <w:ind w:firstLine="567"/>
      <w:jc w:val="both"/>
    </w:pPr>
    <w:rPr>
      <w:rFonts w:ascii="Arial" w:hAnsi="Arial"/>
      <w:sz w:val="24"/>
    </w:rPr>
  </w:style>
  <w:style w:type="character" w:customStyle="1" w:styleId="187">
    <w:name w:val="My正文 Char Char"/>
    <w:link w:val="186"/>
    <w:qFormat/>
    <w:locked/>
    <w:uiPriority w:val="0"/>
    <w:rPr>
      <w:rFonts w:ascii="Arial" w:hAnsi="Arial" w:eastAsia="宋体"/>
      <w:sz w:val="24"/>
      <w:lang w:val="en-US" w:eastAsia="zh-CN" w:bidi="ar-SA"/>
    </w:rPr>
  </w:style>
  <w:style w:type="paragraph" w:customStyle="1" w:styleId="188">
    <w:name w:val="默认段落字体 Para Char Char Char"/>
    <w:basedOn w:val="1"/>
    <w:qFormat/>
    <w:uiPriority w:val="0"/>
    <w:pPr>
      <w:widowControl w:val="0"/>
      <w:jc w:val="both"/>
    </w:pPr>
    <w:rPr>
      <w:kern w:val="2"/>
      <w:sz w:val="21"/>
    </w:rPr>
  </w:style>
  <w:style w:type="paragraph" w:customStyle="1" w:styleId="189">
    <w:name w:val="修订11"/>
    <w:hidden/>
    <w:semiHidden/>
    <w:qFormat/>
    <w:uiPriority w:val="0"/>
    <w:rPr>
      <w:rFonts w:ascii="Times New Roman" w:hAnsi="Times New Roman" w:eastAsia="宋体" w:cs="Times New Roman"/>
      <w:kern w:val="2"/>
      <w:sz w:val="21"/>
      <w:szCs w:val="24"/>
      <w:lang w:val="en-US" w:eastAsia="zh-CN" w:bidi="ar-SA"/>
    </w:rPr>
  </w:style>
  <w:style w:type="character" w:customStyle="1" w:styleId="190">
    <w:name w:val="明显引用 Char1"/>
    <w:link w:val="191"/>
    <w:qFormat/>
    <w:uiPriority w:val="30"/>
    <w:rPr>
      <w:rFonts w:ascii="Times New Roman" w:hAnsi="Times New Roman"/>
      <w:b/>
      <w:bCs/>
      <w:i/>
      <w:iCs/>
      <w:color w:val="4F81BD"/>
      <w:sz w:val="24"/>
      <w:szCs w:val="24"/>
    </w:rPr>
  </w:style>
  <w:style w:type="paragraph" w:styleId="191">
    <w:name w:val="Intense Quote"/>
    <w:basedOn w:val="1"/>
    <w:next w:val="1"/>
    <w:link w:val="190"/>
    <w:qFormat/>
    <w:uiPriority w:val="30"/>
    <w:pPr>
      <w:pBdr>
        <w:bottom w:val="single" w:color="4F81BD" w:sz="4" w:space="4"/>
      </w:pBdr>
      <w:spacing w:before="200" w:after="280"/>
      <w:ind w:left="936" w:right="936"/>
    </w:pPr>
    <w:rPr>
      <w:b/>
      <w:bCs/>
      <w:i/>
      <w:iCs/>
      <w:color w:val="4F81BD"/>
      <w:sz w:val="24"/>
      <w:szCs w:val="24"/>
      <w:lang w:val="zh-CN"/>
    </w:rPr>
  </w:style>
  <w:style w:type="paragraph" w:customStyle="1" w:styleId="192">
    <w:name w:val="明显引用1"/>
    <w:basedOn w:val="1"/>
    <w:next w:val="1"/>
    <w:link w:val="193"/>
    <w:qFormat/>
    <w:uiPriority w:val="0"/>
    <w:pPr>
      <w:pBdr>
        <w:bottom w:val="single" w:color="4F81BD" w:sz="4" w:space="4"/>
      </w:pBdr>
      <w:spacing w:before="200" w:after="280"/>
      <w:ind w:left="936" w:right="936"/>
    </w:pPr>
    <w:rPr>
      <w:b/>
      <w:bCs/>
      <w:i/>
      <w:iCs/>
      <w:color w:val="4F81BD"/>
      <w:sz w:val="24"/>
      <w:szCs w:val="24"/>
      <w:lang w:val="zh-CN"/>
    </w:rPr>
  </w:style>
  <w:style w:type="character" w:customStyle="1" w:styleId="193">
    <w:name w:val="Intense Quote Char"/>
    <w:link w:val="192"/>
    <w:qFormat/>
    <w:locked/>
    <w:uiPriority w:val="0"/>
    <w:rPr>
      <w:rFonts w:ascii="Times New Roman" w:hAnsi="Times New Roman"/>
      <w:b/>
      <w:bCs/>
      <w:i/>
      <w:iCs/>
      <w:color w:val="4F81BD"/>
      <w:sz w:val="24"/>
      <w:szCs w:val="24"/>
    </w:rPr>
  </w:style>
  <w:style w:type="character" w:customStyle="1" w:styleId="194">
    <w:name w:val="四号 Char"/>
    <w:qFormat/>
    <w:uiPriority w:val="0"/>
    <w:rPr>
      <w:rFonts w:ascii="Calibri" w:hAnsi="Calibri"/>
      <w:kern w:val="2"/>
      <w:sz w:val="21"/>
      <w:szCs w:val="22"/>
    </w:rPr>
  </w:style>
  <w:style w:type="paragraph" w:customStyle="1" w:styleId="195">
    <w:name w:val="列出段落2"/>
    <w:basedOn w:val="1"/>
    <w:qFormat/>
    <w:uiPriority w:val="0"/>
    <w:pPr>
      <w:widowControl w:val="0"/>
      <w:ind w:firstLine="420" w:firstLineChars="200"/>
      <w:jc w:val="both"/>
    </w:pPr>
    <w:rPr>
      <w:rFonts w:ascii="Calibri" w:hAnsi="Calibri"/>
      <w:kern w:val="2"/>
      <w:sz w:val="21"/>
      <w:szCs w:val="22"/>
    </w:rPr>
  </w:style>
  <w:style w:type="paragraph" w:customStyle="1" w:styleId="196">
    <w:name w:val="MM Topic 1"/>
    <w:basedOn w:val="2"/>
    <w:qFormat/>
    <w:uiPriority w:val="0"/>
    <w:pPr>
      <w:keepNext/>
      <w:keepLines/>
      <w:numPr>
        <w:numId w:val="3"/>
      </w:numPr>
      <w:adjustRightInd/>
      <w:snapToGrid/>
      <w:spacing w:before="340" w:after="330" w:line="578" w:lineRule="auto"/>
      <w:ind w:right="0"/>
      <w:jc w:val="both"/>
      <w:textAlignment w:val="auto"/>
    </w:pPr>
    <w:rPr>
      <w:bCs/>
      <w:kern w:val="44"/>
      <w:sz w:val="44"/>
      <w:szCs w:val="44"/>
      <w:lang w:val="en-US"/>
    </w:rPr>
  </w:style>
  <w:style w:type="paragraph" w:customStyle="1" w:styleId="197">
    <w:name w:val="MM Topic 2"/>
    <w:basedOn w:val="3"/>
    <w:qFormat/>
    <w:uiPriority w:val="0"/>
    <w:pPr>
      <w:numPr>
        <w:numId w:val="3"/>
      </w:numPr>
      <w:spacing w:before="260" w:after="260" w:line="416" w:lineRule="auto"/>
    </w:pPr>
    <w:rPr>
      <w:rFonts w:eastAsia="黑体"/>
      <w:bCs/>
      <w:sz w:val="32"/>
      <w:szCs w:val="32"/>
    </w:rPr>
  </w:style>
  <w:style w:type="paragraph" w:customStyle="1" w:styleId="198">
    <w:name w:val="MM Topic 3"/>
    <w:basedOn w:val="5"/>
    <w:link w:val="301"/>
    <w:qFormat/>
    <w:uiPriority w:val="0"/>
    <w:pPr>
      <w:numPr>
        <w:numId w:val="3"/>
      </w:numPr>
      <w:spacing w:before="260" w:after="260" w:line="416" w:lineRule="auto"/>
    </w:pPr>
    <w:rPr>
      <w:bCs/>
      <w:sz w:val="32"/>
      <w:szCs w:val="32"/>
      <w:lang w:val="en-US"/>
    </w:rPr>
  </w:style>
  <w:style w:type="paragraph" w:customStyle="1" w:styleId="199">
    <w:name w:val="MM Topic 4"/>
    <w:basedOn w:val="6"/>
    <w:qFormat/>
    <w:uiPriority w:val="99"/>
    <w:pPr>
      <w:numPr>
        <w:numId w:val="3"/>
      </w:numPr>
    </w:pPr>
    <w:rPr>
      <w:bCs/>
      <w:szCs w:val="28"/>
    </w:rPr>
  </w:style>
  <w:style w:type="paragraph" w:customStyle="1" w:styleId="200">
    <w:name w:val="MM Topic 5"/>
    <w:basedOn w:val="7"/>
    <w:qFormat/>
    <w:uiPriority w:val="99"/>
    <w:pPr>
      <w:numPr>
        <w:numId w:val="3"/>
      </w:numPr>
      <w:tabs>
        <w:tab w:val="left" w:pos="2100"/>
      </w:tabs>
      <w:ind w:left="2100" w:hanging="420"/>
    </w:pPr>
    <w:rPr>
      <w:bCs/>
      <w:szCs w:val="28"/>
    </w:rPr>
  </w:style>
  <w:style w:type="paragraph" w:customStyle="1" w:styleId="201">
    <w:name w:val="MM Topic 6"/>
    <w:basedOn w:val="8"/>
    <w:qFormat/>
    <w:uiPriority w:val="99"/>
    <w:pPr>
      <w:numPr>
        <w:numId w:val="3"/>
      </w:numPr>
      <w:tabs>
        <w:tab w:val="left" w:pos="2520"/>
      </w:tabs>
      <w:ind w:left="2520" w:hanging="420"/>
    </w:pPr>
    <w:rPr>
      <w:bCs/>
      <w:szCs w:val="24"/>
    </w:rPr>
  </w:style>
  <w:style w:type="paragraph" w:customStyle="1" w:styleId="202">
    <w:name w:val="样式 首行缩进:  0.99 厘米 段后: 自动"/>
    <w:basedOn w:val="1"/>
    <w:qFormat/>
    <w:uiPriority w:val="0"/>
    <w:pPr>
      <w:widowControl w:val="0"/>
      <w:adjustRightInd w:val="0"/>
      <w:spacing w:before="100" w:beforeAutospacing="1" w:after="100" w:afterAutospacing="1" w:line="400" w:lineRule="atLeast"/>
      <w:ind w:firstLine="200" w:firstLineChars="200"/>
      <w:jc w:val="both"/>
      <w:textAlignment w:val="baseline"/>
    </w:pPr>
    <w:rPr>
      <w:rFonts w:cs="宋体"/>
      <w:sz w:val="24"/>
    </w:rPr>
  </w:style>
  <w:style w:type="paragraph" w:customStyle="1" w:styleId="203">
    <w:name w:val="标点1"/>
    <w:basedOn w:val="1"/>
    <w:link w:val="204"/>
    <w:qFormat/>
    <w:uiPriority w:val="0"/>
    <w:pPr>
      <w:widowControl w:val="0"/>
      <w:spacing w:line="360" w:lineRule="auto"/>
      <w:jc w:val="both"/>
    </w:pPr>
    <w:rPr>
      <w:b/>
      <w:kern w:val="2"/>
      <w:sz w:val="24"/>
      <w:szCs w:val="24"/>
      <w:lang w:val="zh-CN"/>
    </w:rPr>
  </w:style>
  <w:style w:type="character" w:customStyle="1" w:styleId="204">
    <w:name w:val="标点1 Char"/>
    <w:link w:val="203"/>
    <w:qFormat/>
    <w:uiPriority w:val="0"/>
    <w:rPr>
      <w:rFonts w:ascii="Times New Roman" w:hAnsi="Times New Roman"/>
      <w:b/>
      <w:kern w:val="2"/>
      <w:sz w:val="24"/>
      <w:szCs w:val="24"/>
    </w:rPr>
  </w:style>
  <w:style w:type="paragraph" w:customStyle="1" w:styleId="205">
    <w:name w:val="Char Char Char Char"/>
    <w:basedOn w:val="1"/>
    <w:qFormat/>
    <w:uiPriority w:val="0"/>
    <w:pPr>
      <w:widowControl w:val="0"/>
      <w:jc w:val="both"/>
    </w:pPr>
    <w:rPr>
      <w:rFonts w:ascii="Tahoma" w:hAnsi="Tahoma"/>
      <w:kern w:val="2"/>
      <w:sz w:val="24"/>
    </w:rPr>
  </w:style>
  <w:style w:type="paragraph" w:customStyle="1" w:styleId="206">
    <w:name w:val="xl102"/>
    <w:basedOn w:val="1"/>
    <w:qFormat/>
    <w:uiPriority w:val="0"/>
    <w:pPr>
      <w:pBdr>
        <w:top w:val="single" w:color="auto" w:sz="4" w:space="0"/>
        <w:left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07">
    <w:name w:val="xl10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0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09">
    <w:name w:val="xl10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10">
    <w:name w:val="xl10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11">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4"/>
      <w:szCs w:val="24"/>
    </w:rPr>
  </w:style>
  <w:style w:type="paragraph" w:customStyle="1" w:styleId="212">
    <w:name w:val="xl108"/>
    <w:basedOn w:val="1"/>
    <w:qFormat/>
    <w:uiPriority w:val="0"/>
    <w:pPr>
      <w:pBdr>
        <w:top w:val="single" w:color="auto" w:sz="4" w:space="0"/>
        <w:left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1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14">
    <w:name w:val="xl110"/>
    <w:basedOn w:val="1"/>
    <w:qFormat/>
    <w:uiPriority w:val="0"/>
    <w:pPr>
      <w:spacing w:before="100" w:beforeAutospacing="1" w:after="100" w:afterAutospacing="1"/>
    </w:pPr>
    <w:rPr>
      <w:rFonts w:ascii="宋体" w:hAnsi="宋体" w:cs="宋体"/>
      <w:sz w:val="24"/>
      <w:szCs w:val="24"/>
    </w:rPr>
  </w:style>
  <w:style w:type="paragraph" w:customStyle="1" w:styleId="215">
    <w:name w:val="xl11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16">
    <w:name w:val="xl112"/>
    <w:basedOn w:val="1"/>
    <w:qFormat/>
    <w:uiPriority w:val="0"/>
    <w:pPr>
      <w:pBdr>
        <w:top w:val="single" w:color="auto" w:sz="4" w:space="0"/>
        <w:left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17">
    <w:name w:val="xl113"/>
    <w:basedOn w:val="1"/>
    <w:qFormat/>
    <w:uiPriority w:val="0"/>
    <w:pPr>
      <w:pBdr>
        <w:left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18">
    <w:name w:val="xl114"/>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19">
    <w:name w:val="xl115"/>
    <w:basedOn w:val="1"/>
    <w:qFormat/>
    <w:uiPriority w:val="0"/>
    <w:pPr>
      <w:pBdr>
        <w:left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20">
    <w:name w:val="xl116"/>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21">
    <w:name w:val="xl117"/>
    <w:basedOn w:val="1"/>
    <w:qFormat/>
    <w:uiPriority w:val="0"/>
    <w:pPr>
      <w:pBdr>
        <w:left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22">
    <w:name w:val="xl118"/>
    <w:basedOn w:val="1"/>
    <w:qFormat/>
    <w:uiPriority w:val="0"/>
    <w:pPr>
      <w:pBdr>
        <w:left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23">
    <w:name w:val="xl119"/>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24">
    <w:name w:val="xl120"/>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25">
    <w:name w:val="xl121"/>
    <w:basedOn w:val="1"/>
    <w:qFormat/>
    <w:uiPriority w:val="0"/>
    <w:pPr>
      <w:pBdr>
        <w:left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26">
    <w:name w:val="xl122"/>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27">
    <w:name w:val="xl123"/>
    <w:basedOn w:val="1"/>
    <w:qFormat/>
    <w:uiPriority w:val="0"/>
    <w:pPr>
      <w:pBdr>
        <w:left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28">
    <w:name w:val="xl124"/>
    <w:basedOn w:val="1"/>
    <w:qFormat/>
    <w:uiPriority w:val="0"/>
    <w:pPr>
      <w:pBdr>
        <w:left w:val="single" w:color="auto" w:sz="8"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29">
    <w:name w:val="xl125"/>
    <w:basedOn w:val="1"/>
    <w:qFormat/>
    <w:uiPriority w:val="0"/>
    <w:pPr>
      <w:pBdr>
        <w:top w:val="single" w:color="auto" w:sz="4" w:space="0"/>
        <w:left w:val="single" w:color="auto" w:sz="8" w:space="0"/>
        <w:right w:val="single" w:color="auto" w:sz="4" w:space="0"/>
      </w:pBdr>
      <w:spacing w:before="100" w:beforeAutospacing="1" w:after="100" w:afterAutospacing="1"/>
      <w:jc w:val="center"/>
      <w:textAlignment w:val="bottom"/>
    </w:pPr>
    <w:rPr>
      <w:rFonts w:ascii="宋体" w:hAnsi="宋体" w:cs="宋体"/>
      <w:color w:val="000000"/>
      <w:sz w:val="24"/>
      <w:szCs w:val="24"/>
    </w:rPr>
  </w:style>
  <w:style w:type="paragraph" w:customStyle="1" w:styleId="230">
    <w:name w:val="xl126"/>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sz w:val="24"/>
      <w:szCs w:val="24"/>
    </w:rPr>
  </w:style>
  <w:style w:type="paragraph" w:customStyle="1" w:styleId="231">
    <w:name w:val="xl1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32">
    <w:name w:val="xl128"/>
    <w:basedOn w:val="1"/>
    <w:qFormat/>
    <w:uiPriority w:val="0"/>
    <w:pPr>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233">
    <w:name w:val="xl129"/>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234">
    <w:name w:val="1."/>
    <w:basedOn w:val="1"/>
    <w:qFormat/>
    <w:uiPriority w:val="0"/>
    <w:pPr>
      <w:widowControl w:val="0"/>
      <w:spacing w:line="360" w:lineRule="auto"/>
      <w:ind w:firstLine="480" w:firstLineChars="200"/>
      <w:jc w:val="both"/>
    </w:pPr>
    <w:rPr>
      <w:kern w:val="2"/>
      <w:sz w:val="24"/>
      <w:szCs w:val="24"/>
    </w:rPr>
  </w:style>
  <w:style w:type="character" w:customStyle="1" w:styleId="235">
    <w:name w:val="结束语 Char1"/>
    <w:link w:val="19"/>
    <w:qFormat/>
    <w:uiPriority w:val="0"/>
    <w:rPr>
      <w:rFonts w:ascii="宋体" w:hAnsi="Times New Roman"/>
      <w:kern w:val="2"/>
      <w:sz w:val="21"/>
      <w:szCs w:val="21"/>
      <w:lang w:val="zh-CN" w:eastAsia="zh-CN"/>
    </w:rPr>
  </w:style>
  <w:style w:type="character" w:customStyle="1" w:styleId="236">
    <w:name w:val="称呼 Char1"/>
    <w:link w:val="18"/>
    <w:qFormat/>
    <w:uiPriority w:val="0"/>
    <w:rPr>
      <w:rFonts w:ascii="宋体" w:hAnsi="Times New Roman"/>
      <w:kern w:val="2"/>
      <w:sz w:val="21"/>
      <w:szCs w:val="21"/>
      <w:lang w:val="zh-CN" w:eastAsia="zh-CN"/>
    </w:rPr>
  </w:style>
  <w:style w:type="paragraph" w:customStyle="1" w:styleId="237">
    <w:name w:val="列出段落1"/>
    <w:basedOn w:val="1"/>
    <w:qFormat/>
    <w:uiPriority w:val="0"/>
    <w:pPr>
      <w:widowControl w:val="0"/>
      <w:ind w:firstLine="420" w:firstLineChars="200"/>
      <w:jc w:val="both"/>
    </w:pPr>
    <w:rPr>
      <w:rFonts w:ascii="Calibri" w:hAnsi="Calibri"/>
      <w:kern w:val="2"/>
      <w:sz w:val="21"/>
      <w:szCs w:val="22"/>
    </w:rPr>
  </w:style>
  <w:style w:type="paragraph" w:customStyle="1" w:styleId="238">
    <w:name w:val="_Style 237"/>
    <w:unhideWhenUsed/>
    <w:qFormat/>
    <w:uiPriority w:val="99"/>
    <w:rPr>
      <w:rFonts w:ascii="Times New Roman" w:hAnsi="Times New Roman" w:eastAsia="宋体" w:cs="Times New Roman"/>
      <w:lang w:val="en-US" w:eastAsia="zh-CN" w:bidi="ar-SA"/>
    </w:rPr>
  </w:style>
  <w:style w:type="paragraph" w:customStyle="1" w:styleId="239">
    <w:name w:val="Char Char Char Char1"/>
    <w:basedOn w:val="1"/>
    <w:qFormat/>
    <w:uiPriority w:val="0"/>
    <w:pPr>
      <w:widowControl w:val="0"/>
      <w:jc w:val="both"/>
    </w:pPr>
    <w:rPr>
      <w:rFonts w:ascii="Tahoma" w:hAnsi="Tahoma"/>
      <w:kern w:val="2"/>
      <w:sz w:val="24"/>
    </w:rPr>
  </w:style>
  <w:style w:type="paragraph" w:customStyle="1" w:styleId="240">
    <w:name w:val="_Style 239"/>
    <w:unhideWhenUsed/>
    <w:qFormat/>
    <w:uiPriority w:val="99"/>
    <w:rPr>
      <w:rFonts w:ascii="Times New Roman" w:hAnsi="Times New Roman" w:eastAsia="宋体" w:cs="Times New Roman"/>
      <w:lang w:val="en-US" w:eastAsia="zh-CN" w:bidi="ar-SA"/>
    </w:rPr>
  </w:style>
  <w:style w:type="paragraph" w:customStyle="1" w:styleId="241">
    <w:name w:val="设计-三级标题"/>
    <w:basedOn w:val="1"/>
    <w:next w:val="1"/>
    <w:qFormat/>
    <w:uiPriority w:val="0"/>
    <w:pPr>
      <w:widowControl w:val="0"/>
      <w:spacing w:line="360" w:lineRule="auto"/>
      <w:jc w:val="both"/>
      <w:outlineLvl w:val="2"/>
    </w:pPr>
    <w:rPr>
      <w:rFonts w:eastAsia="黑体"/>
      <w:kern w:val="2"/>
      <w:sz w:val="28"/>
    </w:rPr>
  </w:style>
  <w:style w:type="paragraph" w:customStyle="1" w:styleId="242">
    <w:name w:val="设计-一级标题"/>
    <w:basedOn w:val="1"/>
    <w:next w:val="1"/>
    <w:qFormat/>
    <w:uiPriority w:val="0"/>
    <w:pPr>
      <w:widowControl w:val="0"/>
      <w:spacing w:line="360" w:lineRule="auto"/>
      <w:jc w:val="both"/>
      <w:outlineLvl w:val="0"/>
    </w:pPr>
    <w:rPr>
      <w:rFonts w:eastAsia="黑体"/>
      <w:kern w:val="2"/>
      <w:sz w:val="28"/>
      <w:szCs w:val="28"/>
    </w:rPr>
  </w:style>
  <w:style w:type="paragraph" w:customStyle="1" w:styleId="243">
    <w:name w:val="msonormal"/>
    <w:basedOn w:val="1"/>
    <w:qFormat/>
    <w:uiPriority w:val="0"/>
    <w:pPr>
      <w:spacing w:before="100" w:beforeAutospacing="1" w:after="100" w:afterAutospacing="1"/>
    </w:pPr>
    <w:rPr>
      <w:rFonts w:ascii="宋体" w:hAnsi="宋体" w:cs="宋体"/>
      <w:sz w:val="24"/>
      <w:szCs w:val="24"/>
    </w:rPr>
  </w:style>
  <w:style w:type="paragraph" w:customStyle="1" w:styleId="244">
    <w:name w:val="xl1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45">
    <w:name w:val="xl1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46">
    <w:name w:val="xl168"/>
    <w:basedOn w:val="1"/>
    <w:qFormat/>
    <w:uiPriority w:val="0"/>
    <w:pPr>
      <w:spacing w:before="100" w:beforeAutospacing="1" w:after="100" w:afterAutospacing="1"/>
    </w:pPr>
  </w:style>
  <w:style w:type="paragraph" w:customStyle="1" w:styleId="247">
    <w:name w:val="xl1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48">
    <w:name w:val="xl1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49">
    <w:name w:val="xl1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rPr>
  </w:style>
  <w:style w:type="paragraph" w:customStyle="1" w:styleId="250">
    <w:name w:val="xl1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51">
    <w:name w:val="xl173"/>
    <w:basedOn w:val="1"/>
    <w:qFormat/>
    <w:uiPriority w:val="0"/>
    <w:pPr>
      <w:spacing w:before="100" w:beforeAutospacing="1" w:after="100" w:afterAutospacing="1"/>
    </w:pPr>
    <w:rPr>
      <w:sz w:val="24"/>
      <w:szCs w:val="24"/>
    </w:rPr>
  </w:style>
  <w:style w:type="paragraph" w:customStyle="1" w:styleId="252">
    <w:name w:val="xl174"/>
    <w:basedOn w:val="1"/>
    <w:qFormat/>
    <w:uiPriority w:val="0"/>
    <w:pPr>
      <w:shd w:val="clear" w:color="000000" w:fill="F2DCDB"/>
      <w:spacing w:before="100" w:beforeAutospacing="1" w:after="100" w:afterAutospacing="1"/>
    </w:pPr>
  </w:style>
  <w:style w:type="paragraph" w:customStyle="1" w:styleId="253">
    <w:name w:val="xl175"/>
    <w:basedOn w:val="1"/>
    <w:qFormat/>
    <w:uiPriority w:val="0"/>
    <w:pPr>
      <w:shd w:val="clear" w:color="000000" w:fill="FFFF00"/>
      <w:spacing w:before="100" w:beforeAutospacing="1" w:after="100" w:afterAutospacing="1"/>
    </w:pPr>
  </w:style>
  <w:style w:type="paragraph" w:customStyle="1" w:styleId="254">
    <w:name w:val="xl1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55">
    <w:name w:val="xl177"/>
    <w:basedOn w:val="1"/>
    <w:qFormat/>
    <w:uiPriority w:val="0"/>
    <w:pPr>
      <w:pBdr>
        <w:top w:val="single" w:color="auto" w:sz="4" w:space="0"/>
        <w:left w:val="single" w:color="auto" w:sz="4" w:space="0"/>
        <w:bottom w:val="single" w:color="auto" w:sz="4" w:space="0"/>
        <w:right w:val="single" w:color="auto" w:sz="4" w:space="0"/>
      </w:pBdr>
      <w:shd w:val="clear" w:color="000000" w:fill="F2DCDB"/>
      <w:spacing w:before="100" w:beforeAutospacing="1" w:after="100" w:afterAutospacing="1"/>
      <w:jc w:val="center"/>
      <w:textAlignment w:val="center"/>
    </w:pPr>
    <w:rPr>
      <w:b/>
      <w:bCs/>
    </w:rPr>
  </w:style>
  <w:style w:type="paragraph" w:customStyle="1" w:styleId="256">
    <w:name w:val="xl1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57">
    <w:name w:val="xl1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58">
    <w:name w:val="xl1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259">
    <w:name w:val="xl1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60">
    <w:name w:val="xl1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61">
    <w:name w:val="xl1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rPr>
  </w:style>
  <w:style w:type="paragraph" w:customStyle="1" w:styleId="262">
    <w:name w:val="xl1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rPr>
  </w:style>
  <w:style w:type="paragraph" w:customStyle="1" w:styleId="263">
    <w:name w:val="xl1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64">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rPr>
  </w:style>
  <w:style w:type="paragraph" w:customStyle="1" w:styleId="265">
    <w:name w:val="xl18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rPr>
  </w:style>
  <w:style w:type="paragraph" w:customStyle="1" w:styleId="266">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267">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268">
    <w:name w:val="xl190"/>
    <w:basedOn w:val="1"/>
    <w:qFormat/>
    <w:uiPriority w:val="0"/>
    <w:pPr>
      <w:spacing w:before="100" w:beforeAutospacing="1" w:after="100" w:afterAutospacing="1"/>
      <w:jc w:val="center"/>
      <w:textAlignment w:val="center"/>
    </w:pPr>
    <w:rPr>
      <w:rFonts w:ascii="宋体" w:hAnsi="宋体" w:cs="宋体"/>
    </w:rPr>
  </w:style>
  <w:style w:type="paragraph" w:customStyle="1" w:styleId="269">
    <w:name w:val="xl19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rPr>
  </w:style>
  <w:style w:type="paragraph" w:customStyle="1" w:styleId="270">
    <w:name w:val="xl192"/>
    <w:basedOn w:val="1"/>
    <w:qFormat/>
    <w:uiPriority w:val="0"/>
    <w:pPr>
      <w:pBdr>
        <w:top w:val="single" w:color="auto" w:sz="4" w:space="0"/>
        <w:left w:val="single" w:color="auto" w:sz="4" w:space="0"/>
        <w:bottom w:val="single" w:color="auto" w:sz="4" w:space="0"/>
        <w:right w:val="single" w:color="auto" w:sz="4" w:space="0"/>
      </w:pBdr>
      <w:shd w:val="clear" w:color="000000" w:fill="F2DCDB"/>
      <w:spacing w:before="100" w:beforeAutospacing="1" w:after="100" w:afterAutospacing="1"/>
      <w:textAlignment w:val="center"/>
    </w:pPr>
    <w:rPr>
      <w:b/>
      <w:bCs/>
    </w:rPr>
  </w:style>
  <w:style w:type="paragraph" w:customStyle="1" w:styleId="271">
    <w:name w:val="xl193"/>
    <w:basedOn w:val="1"/>
    <w:qFormat/>
    <w:uiPriority w:val="0"/>
    <w:pPr>
      <w:pBdr>
        <w:top w:val="single" w:color="auto" w:sz="4" w:space="0"/>
        <w:left w:val="single" w:color="auto" w:sz="4" w:space="0"/>
        <w:bottom w:val="single" w:color="auto" w:sz="4" w:space="0"/>
        <w:right w:val="single" w:color="auto" w:sz="4" w:space="0"/>
      </w:pBdr>
      <w:shd w:val="clear" w:color="000000" w:fill="F2DCDB"/>
      <w:spacing w:before="100" w:beforeAutospacing="1" w:after="100" w:afterAutospacing="1"/>
      <w:textAlignment w:val="center"/>
    </w:pPr>
    <w:rPr>
      <w:rFonts w:ascii="宋体" w:hAnsi="宋体" w:cs="宋体"/>
      <w:b/>
      <w:bCs/>
    </w:rPr>
  </w:style>
  <w:style w:type="paragraph" w:customStyle="1" w:styleId="272">
    <w:name w:val="xl19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ascii="宋体" w:hAnsi="宋体" w:cs="宋体"/>
      <w:b/>
      <w:bCs/>
    </w:rPr>
  </w:style>
  <w:style w:type="character" w:customStyle="1" w:styleId="273">
    <w:name w:val="标题 1 Char"/>
    <w:qFormat/>
    <w:uiPriority w:val="0"/>
    <w:rPr>
      <w:rFonts w:ascii="Times New Roman" w:hAnsi="Times New Roman"/>
      <w:b/>
      <w:sz w:val="32"/>
      <w:szCs w:val="32"/>
      <w:lang w:val="zh-CN" w:eastAsia="zh-CN"/>
    </w:rPr>
  </w:style>
  <w:style w:type="character" w:customStyle="1" w:styleId="274">
    <w:name w:val="正文缩进 Char1"/>
    <w:qFormat/>
    <w:uiPriority w:val="0"/>
    <w:rPr>
      <w:rFonts w:ascii="Times New Roman" w:hAnsi="Times New Roman"/>
      <w:kern w:val="2"/>
      <w:sz w:val="21"/>
      <w:szCs w:val="24"/>
    </w:rPr>
  </w:style>
  <w:style w:type="character" w:customStyle="1" w:styleId="275">
    <w:name w:val="标题 2 Char"/>
    <w:qFormat/>
    <w:uiPriority w:val="0"/>
    <w:rPr>
      <w:rFonts w:ascii="Arial" w:hAnsi="Arial"/>
      <w:b/>
      <w:kern w:val="2"/>
      <w:sz w:val="30"/>
      <w:szCs w:val="30"/>
      <w:lang w:val="zh-CN"/>
    </w:rPr>
  </w:style>
  <w:style w:type="character" w:customStyle="1" w:styleId="276">
    <w:name w:val="标题 3 Char"/>
    <w:qFormat/>
    <w:uiPriority w:val="0"/>
    <w:rPr>
      <w:rFonts w:ascii="Times New Roman" w:hAnsi="Times New Roman"/>
      <w:b/>
      <w:kern w:val="2"/>
      <w:sz w:val="28"/>
      <w:lang w:val="zh-CN" w:eastAsia="zh-CN"/>
    </w:rPr>
  </w:style>
  <w:style w:type="character" w:customStyle="1" w:styleId="277">
    <w:name w:val="标题 4 Char"/>
    <w:qFormat/>
    <w:uiPriority w:val="0"/>
    <w:rPr>
      <w:rFonts w:ascii="Arial" w:hAnsi="Arial" w:eastAsia="黑体"/>
      <w:b/>
      <w:kern w:val="2"/>
      <w:sz w:val="28"/>
      <w:lang w:val="zh-CN" w:eastAsia="zh-CN"/>
    </w:rPr>
  </w:style>
  <w:style w:type="character" w:customStyle="1" w:styleId="278">
    <w:name w:val="标题 5 Char"/>
    <w:qFormat/>
    <w:uiPriority w:val="0"/>
    <w:rPr>
      <w:rFonts w:ascii="Times New Roman" w:hAnsi="Times New Roman"/>
      <w:b/>
      <w:kern w:val="2"/>
      <w:sz w:val="28"/>
      <w:lang w:val="zh-CN" w:eastAsia="zh-CN"/>
    </w:rPr>
  </w:style>
  <w:style w:type="character" w:customStyle="1" w:styleId="279">
    <w:name w:val="标题 6 Char"/>
    <w:qFormat/>
    <w:uiPriority w:val="0"/>
    <w:rPr>
      <w:rFonts w:ascii="Arial" w:hAnsi="Arial" w:eastAsia="黑体"/>
      <w:b/>
      <w:kern w:val="2"/>
      <w:sz w:val="24"/>
      <w:lang w:val="zh-CN" w:eastAsia="zh-CN"/>
    </w:rPr>
  </w:style>
  <w:style w:type="character" w:customStyle="1" w:styleId="280">
    <w:name w:val="标题 7 Char"/>
    <w:qFormat/>
    <w:uiPriority w:val="0"/>
    <w:rPr>
      <w:rFonts w:ascii="Times New Roman" w:hAnsi="Times New Roman"/>
      <w:b/>
      <w:kern w:val="2"/>
      <w:sz w:val="24"/>
      <w:lang w:val="zh-CN" w:eastAsia="zh-CN"/>
    </w:rPr>
  </w:style>
  <w:style w:type="character" w:customStyle="1" w:styleId="281">
    <w:name w:val="标题 8 Char"/>
    <w:qFormat/>
    <w:uiPriority w:val="0"/>
    <w:rPr>
      <w:rFonts w:ascii="Arial" w:hAnsi="Arial" w:eastAsia="黑体"/>
      <w:kern w:val="2"/>
      <w:sz w:val="24"/>
      <w:lang w:val="zh-CN" w:eastAsia="zh-CN"/>
    </w:rPr>
  </w:style>
  <w:style w:type="character" w:customStyle="1" w:styleId="282">
    <w:name w:val="标题 9 Char"/>
    <w:qFormat/>
    <w:uiPriority w:val="0"/>
    <w:rPr>
      <w:rFonts w:ascii="Arial" w:hAnsi="Arial" w:eastAsia="黑体"/>
      <w:kern w:val="2"/>
      <w:sz w:val="21"/>
      <w:lang w:val="zh-CN" w:eastAsia="zh-CN"/>
    </w:rPr>
  </w:style>
  <w:style w:type="character" w:customStyle="1" w:styleId="283">
    <w:name w:val="日期 Char"/>
    <w:qFormat/>
    <w:uiPriority w:val="0"/>
    <w:rPr>
      <w:rFonts w:ascii="Times New Roman" w:hAnsi="Times New Roman" w:eastAsia="宋体" w:cs="Times New Roman"/>
      <w:szCs w:val="20"/>
    </w:rPr>
  </w:style>
  <w:style w:type="character" w:customStyle="1" w:styleId="284">
    <w:name w:val="正文文本缩进 Char"/>
    <w:qFormat/>
    <w:uiPriority w:val="0"/>
    <w:rPr>
      <w:rFonts w:ascii="宋体" w:hAnsi="Times New Roman" w:eastAsia="宋体" w:cs="Times New Roman"/>
      <w:sz w:val="28"/>
      <w:szCs w:val="20"/>
    </w:rPr>
  </w:style>
  <w:style w:type="character" w:customStyle="1" w:styleId="285">
    <w:name w:val="页脚 Char"/>
    <w:qFormat/>
    <w:uiPriority w:val="0"/>
    <w:rPr>
      <w:rFonts w:ascii="Times New Roman" w:hAnsi="Times New Roman" w:eastAsia="宋体" w:cs="Times New Roman"/>
      <w:kern w:val="0"/>
      <w:sz w:val="18"/>
      <w:szCs w:val="20"/>
    </w:rPr>
  </w:style>
  <w:style w:type="character" w:customStyle="1" w:styleId="286">
    <w:name w:val="页眉 Char"/>
    <w:qFormat/>
    <w:uiPriority w:val="0"/>
    <w:rPr>
      <w:rFonts w:ascii="Times New Roman" w:hAnsi="Times New Roman" w:eastAsia="宋体" w:cs="Times New Roman"/>
      <w:kern w:val="0"/>
      <w:sz w:val="18"/>
      <w:szCs w:val="20"/>
    </w:rPr>
  </w:style>
  <w:style w:type="character" w:customStyle="1" w:styleId="287">
    <w:name w:val="正文文本缩进 2 Char"/>
    <w:qFormat/>
    <w:uiPriority w:val="0"/>
    <w:rPr>
      <w:rFonts w:ascii="Times New Roman" w:hAnsi="Times New Roman" w:eastAsia="宋体" w:cs="Times New Roman"/>
      <w:kern w:val="0"/>
      <w:sz w:val="28"/>
      <w:szCs w:val="20"/>
    </w:rPr>
  </w:style>
  <w:style w:type="character" w:customStyle="1" w:styleId="288">
    <w:name w:val="正文文本 Char"/>
    <w:qFormat/>
    <w:uiPriority w:val="0"/>
    <w:rPr>
      <w:rFonts w:ascii="Times New Roman" w:hAnsi="Times New Roman" w:eastAsia="仿宋_GB2312" w:cs="Times New Roman"/>
      <w:sz w:val="24"/>
      <w:szCs w:val="20"/>
    </w:rPr>
  </w:style>
  <w:style w:type="character" w:customStyle="1" w:styleId="289">
    <w:name w:val="正文文本 2 Char"/>
    <w:qFormat/>
    <w:uiPriority w:val="0"/>
    <w:rPr>
      <w:rFonts w:ascii="Times New Roman" w:hAnsi="Times New Roman" w:eastAsia="宋体" w:cs="Times New Roman"/>
      <w:kern w:val="0"/>
      <w:sz w:val="20"/>
      <w:szCs w:val="20"/>
    </w:rPr>
  </w:style>
  <w:style w:type="character" w:customStyle="1" w:styleId="290">
    <w:name w:val="纯文本 Char"/>
    <w:qFormat/>
    <w:uiPriority w:val="0"/>
    <w:rPr>
      <w:rFonts w:ascii="宋体" w:hAnsi="Courier New" w:eastAsia="宋体" w:cs="Times New Roman"/>
      <w:snapToGrid w:val="0"/>
      <w:szCs w:val="20"/>
    </w:rPr>
  </w:style>
  <w:style w:type="character" w:customStyle="1" w:styleId="291">
    <w:name w:val="正文文本缩进 3 Char"/>
    <w:qFormat/>
    <w:uiPriority w:val="0"/>
    <w:rPr>
      <w:rFonts w:ascii="宋体" w:hAnsi="Times New Roman" w:eastAsia="宋体" w:cs="Times New Roman"/>
      <w:sz w:val="24"/>
      <w:szCs w:val="20"/>
    </w:rPr>
  </w:style>
  <w:style w:type="character" w:customStyle="1" w:styleId="292">
    <w:name w:val="标题 Char"/>
    <w:qFormat/>
    <w:uiPriority w:val="0"/>
    <w:rPr>
      <w:rFonts w:ascii="Times New Roman" w:hAnsi="Times New Roman" w:eastAsia="宋体" w:cs="Times New Roman"/>
      <w:i/>
      <w:iCs/>
      <w:snapToGrid w:val="0"/>
      <w:kern w:val="0"/>
      <w:sz w:val="30"/>
      <w:szCs w:val="30"/>
    </w:rPr>
  </w:style>
  <w:style w:type="character" w:customStyle="1" w:styleId="293">
    <w:name w:val="正文首行缩进 Char"/>
    <w:qFormat/>
    <w:uiPriority w:val="0"/>
    <w:rPr>
      <w:rFonts w:ascii="Times New Roman" w:hAnsi="Times New Roman" w:eastAsia="宋体" w:cs="Times New Roman"/>
      <w:sz w:val="24"/>
      <w:szCs w:val="24"/>
    </w:rPr>
  </w:style>
  <w:style w:type="character" w:customStyle="1" w:styleId="294">
    <w:name w:val="批注文字 Char"/>
    <w:qFormat/>
    <w:uiPriority w:val="0"/>
    <w:rPr>
      <w:rFonts w:ascii="Times New Roman" w:hAnsi="Times New Roman" w:eastAsia="宋体" w:cs="Times New Roman"/>
      <w:kern w:val="0"/>
      <w:sz w:val="20"/>
      <w:szCs w:val="20"/>
    </w:rPr>
  </w:style>
  <w:style w:type="character" w:customStyle="1" w:styleId="295">
    <w:name w:val="明显引用 Char"/>
    <w:qFormat/>
    <w:uiPriority w:val="30"/>
    <w:rPr>
      <w:rFonts w:ascii="Times New Roman" w:hAnsi="Times New Roman"/>
      <w:b/>
      <w:bCs/>
      <w:i/>
      <w:iCs/>
      <w:color w:val="4F81BD"/>
      <w:sz w:val="24"/>
      <w:szCs w:val="24"/>
    </w:rPr>
  </w:style>
  <w:style w:type="paragraph" w:customStyle="1" w:styleId="296">
    <w:name w:val="Char Char Char Char2"/>
    <w:basedOn w:val="1"/>
    <w:qFormat/>
    <w:uiPriority w:val="0"/>
    <w:pPr>
      <w:widowControl w:val="0"/>
      <w:jc w:val="both"/>
    </w:pPr>
    <w:rPr>
      <w:rFonts w:ascii="Tahoma" w:hAnsi="Tahoma"/>
      <w:kern w:val="2"/>
      <w:sz w:val="24"/>
    </w:rPr>
  </w:style>
  <w:style w:type="character" w:customStyle="1" w:styleId="297">
    <w:name w:val="结束语 Char"/>
    <w:qFormat/>
    <w:uiPriority w:val="0"/>
    <w:rPr>
      <w:rFonts w:ascii="宋体" w:hAnsi="Times New Roman"/>
      <w:kern w:val="2"/>
      <w:sz w:val="21"/>
      <w:szCs w:val="21"/>
      <w:lang w:val="zh-CN" w:eastAsia="zh-CN"/>
    </w:rPr>
  </w:style>
  <w:style w:type="character" w:customStyle="1" w:styleId="298">
    <w:name w:val="称呼 Char"/>
    <w:qFormat/>
    <w:uiPriority w:val="0"/>
    <w:rPr>
      <w:rFonts w:ascii="宋体" w:hAnsi="Times New Roman"/>
      <w:kern w:val="2"/>
      <w:sz w:val="21"/>
      <w:szCs w:val="21"/>
      <w:lang w:val="zh-CN" w:eastAsia="zh-CN"/>
    </w:rPr>
  </w:style>
  <w:style w:type="paragraph" w:customStyle="1" w:styleId="299">
    <w:name w:val="列出段落3"/>
    <w:basedOn w:val="1"/>
    <w:qFormat/>
    <w:uiPriority w:val="0"/>
    <w:pPr>
      <w:widowControl w:val="0"/>
      <w:ind w:firstLine="420" w:firstLineChars="200"/>
      <w:jc w:val="both"/>
    </w:pPr>
    <w:rPr>
      <w:rFonts w:ascii="Calibri" w:hAnsi="Calibri"/>
      <w:kern w:val="2"/>
      <w:sz w:val="21"/>
      <w:szCs w:val="22"/>
    </w:rPr>
  </w:style>
  <w:style w:type="paragraph" w:customStyle="1" w:styleId="300">
    <w:name w:val="TOC 标题1"/>
    <w:basedOn w:val="2"/>
    <w:next w:val="1"/>
    <w:unhideWhenUsed/>
    <w:qFormat/>
    <w:uiPriority w:val="39"/>
    <w:pPr>
      <w:keepNext/>
      <w:keepLines/>
      <w:widowControl/>
      <w:numPr>
        <w:numId w:val="0"/>
      </w:numPr>
      <w:adjustRightInd/>
      <w:snapToGrid/>
      <w:spacing w:before="240" w:line="259" w:lineRule="auto"/>
      <w:ind w:right="0"/>
      <w:textAlignment w:val="auto"/>
      <w:outlineLvl w:val="9"/>
    </w:pPr>
    <w:rPr>
      <w:rFonts w:asciiTheme="majorHAnsi" w:hAnsiTheme="majorHAnsi" w:eastAsiaTheme="majorEastAsia" w:cstheme="majorBidi"/>
      <w:b w:val="0"/>
      <w:color w:val="2E75B6" w:themeColor="accent1" w:themeShade="BF"/>
      <w:lang w:val="en-US"/>
    </w:rPr>
  </w:style>
  <w:style w:type="character" w:customStyle="1" w:styleId="301">
    <w:name w:val="MM Topic 3 Char"/>
    <w:link w:val="198"/>
    <w:qFormat/>
    <w:uiPriority w:val="0"/>
    <w:rPr>
      <w:rFonts w:ascii="Times New Roman" w:hAnsi="Times New Roman"/>
      <w:b/>
      <w:bCs/>
      <w:kern w:val="2"/>
      <w:sz w:val="32"/>
      <w:szCs w:val="32"/>
    </w:rPr>
  </w:style>
  <w:style w:type="table" w:customStyle="1" w:styleId="302">
    <w:name w:val="TableGrid"/>
    <w:qFormat/>
    <w:uiPriority w:val="0"/>
    <w:rPr>
      <w:rFonts w:asciiTheme="minorHAnsi" w:hAnsiTheme="minorHAnsi" w:eastAsiaTheme="minorEastAsia" w:cstheme="minorBidi"/>
      <w:kern w:val="2"/>
      <w:sz w:val="21"/>
      <w:szCs w:val="22"/>
    </w:rPr>
    <w:tblPr>
      <w:tblLayout w:type="fixed"/>
      <w:tblCellMar>
        <w:top w:w="0" w:type="dxa"/>
        <w:left w:w="0" w:type="dxa"/>
        <w:bottom w:w="0" w:type="dxa"/>
        <w:right w:w="0" w:type="dxa"/>
      </w:tblCellMar>
    </w:tblPr>
  </w:style>
  <w:style w:type="character" w:customStyle="1" w:styleId="303">
    <w:name w:val="列出段落 Char1"/>
    <w:link w:val="179"/>
    <w:qFormat/>
    <w:locked/>
    <w:uiPriority w:val="34"/>
    <w:rPr>
      <w:rFonts w:ascii="Times New Roman" w:hAnsi="Times New Roman"/>
    </w:rPr>
  </w:style>
  <w:style w:type="character" w:customStyle="1" w:styleId="304">
    <w:name w:val="列出段落 Char"/>
    <w:link w:val="305"/>
    <w:qFormat/>
    <w:locked/>
    <w:uiPriority w:val="0"/>
    <w:rPr>
      <w:kern w:val="2"/>
      <w:sz w:val="21"/>
      <w:szCs w:val="22"/>
    </w:rPr>
  </w:style>
  <w:style w:type="paragraph" w:customStyle="1" w:styleId="305">
    <w:name w:val="_Style 307"/>
    <w:basedOn w:val="1"/>
    <w:next w:val="179"/>
    <w:link w:val="304"/>
    <w:qFormat/>
    <w:uiPriority w:val="0"/>
    <w:pPr>
      <w:widowControl w:val="0"/>
      <w:ind w:firstLine="200" w:firstLineChars="200"/>
      <w:jc w:val="both"/>
    </w:pPr>
    <w:rPr>
      <w:rFonts w:ascii="Calibri" w:hAnsi="Calibri"/>
      <w:kern w:val="2"/>
      <w:sz w:val="21"/>
      <w:szCs w:val="22"/>
    </w:rPr>
  </w:style>
  <w:style w:type="character" w:customStyle="1" w:styleId="306">
    <w:name w:val="N.N.N.N Char"/>
    <w:link w:val="307"/>
    <w:qFormat/>
    <w:locked/>
    <w:uiPriority w:val="0"/>
    <w:rPr>
      <w:rFonts w:ascii="微软雅黑" w:hAnsi="微软雅黑" w:eastAsia="微软雅黑"/>
      <w:b/>
      <w:kern w:val="2"/>
      <w:sz w:val="28"/>
      <w:szCs w:val="28"/>
      <w:lang w:val="zh-CN"/>
    </w:rPr>
  </w:style>
  <w:style w:type="paragraph" w:customStyle="1" w:styleId="307">
    <w:name w:val="N.N.N.N"/>
    <w:basedOn w:val="1"/>
    <w:next w:val="1"/>
    <w:link w:val="306"/>
    <w:qFormat/>
    <w:uiPriority w:val="0"/>
    <w:pPr>
      <w:widowControl w:val="0"/>
      <w:numPr>
        <w:ilvl w:val="3"/>
        <w:numId w:val="4"/>
      </w:numPr>
      <w:spacing w:before="156" w:beforeLines="50" w:after="156" w:afterLines="50" w:line="400" w:lineRule="exact"/>
      <w:ind w:right="240" w:rightChars="100"/>
      <w:outlineLvl w:val="3"/>
    </w:pPr>
    <w:rPr>
      <w:rFonts w:ascii="微软雅黑" w:hAnsi="微软雅黑" w:eastAsia="微软雅黑"/>
      <w:b/>
      <w:kern w:val="2"/>
      <w:sz w:val="28"/>
      <w:szCs w:val="28"/>
      <w:lang w:val="zh-CN"/>
    </w:rPr>
  </w:style>
  <w:style w:type="character" w:customStyle="1" w:styleId="308">
    <w:name w:val="N.N Char"/>
    <w:link w:val="309"/>
    <w:qFormat/>
    <w:uiPriority w:val="99"/>
    <w:rPr>
      <w:rFonts w:ascii="微软雅黑" w:hAnsi="微软雅黑" w:eastAsia="微软雅黑"/>
      <w:b/>
      <w:kern w:val="2"/>
      <w:sz w:val="32"/>
      <w:szCs w:val="32"/>
      <w:lang w:val="zh-CN"/>
    </w:rPr>
  </w:style>
  <w:style w:type="paragraph" w:customStyle="1" w:styleId="309">
    <w:name w:val="N.N"/>
    <w:basedOn w:val="1"/>
    <w:next w:val="1"/>
    <w:link w:val="308"/>
    <w:qFormat/>
    <w:uiPriority w:val="99"/>
    <w:pPr>
      <w:widowControl w:val="0"/>
      <w:numPr>
        <w:ilvl w:val="1"/>
        <w:numId w:val="4"/>
      </w:numPr>
      <w:spacing w:line="720" w:lineRule="auto"/>
      <w:outlineLvl w:val="1"/>
    </w:pPr>
    <w:rPr>
      <w:rFonts w:ascii="微软雅黑" w:hAnsi="微软雅黑" w:eastAsia="微软雅黑"/>
      <w:b/>
      <w:kern w:val="2"/>
      <w:sz w:val="32"/>
      <w:szCs w:val="32"/>
      <w:lang w:val="zh-CN"/>
    </w:rPr>
  </w:style>
  <w:style w:type="paragraph" w:styleId="310">
    <w:name w:val="No Spacing"/>
    <w:qFormat/>
    <w:uiPriority w:val="1"/>
    <w:rPr>
      <w:rFonts w:ascii="Times New Roman" w:hAnsi="Times New Roman" w:eastAsia="宋体" w:cs="Times New Roman"/>
      <w:lang w:val="en-US" w:eastAsia="zh-CN" w:bidi="ar-SA"/>
    </w:rPr>
  </w:style>
  <w:style w:type="paragraph" w:customStyle="1" w:styleId="311">
    <w:name w:val="列出段落4"/>
    <w:basedOn w:val="1"/>
    <w:qFormat/>
    <w:uiPriority w:val="0"/>
    <w:pPr>
      <w:widowControl w:val="0"/>
      <w:ind w:firstLine="420" w:firstLineChars="200"/>
      <w:jc w:val="both"/>
    </w:pPr>
    <w:rPr>
      <w:rFonts w:ascii="Calibri" w:hAnsi="Calibri"/>
      <w:kern w:val="2"/>
      <w:sz w:val="21"/>
      <w:szCs w:val="21"/>
    </w:rPr>
  </w:style>
  <w:style w:type="paragraph" w:customStyle="1" w:styleId="312">
    <w:name w:val="修订2"/>
    <w:hidden/>
    <w:semiHidden/>
    <w:qFormat/>
    <w:uiPriority w:val="99"/>
    <w:rPr>
      <w:rFonts w:ascii="Times New Roman" w:hAnsi="Times New Roman" w:eastAsia="宋体" w:cs="Times New Roman"/>
      <w:lang w:val="en-US" w:eastAsia="zh-CN" w:bidi="ar-SA"/>
    </w:rPr>
  </w:style>
  <w:style w:type="paragraph" w:customStyle="1" w:styleId="313">
    <w:name w:val="修订3"/>
    <w:hidden/>
    <w:unhideWhenUsed/>
    <w:qFormat/>
    <w:uiPriority w:val="99"/>
    <w:rPr>
      <w:rFonts w:ascii="Times New Roman" w:hAnsi="Times New Roman" w:eastAsia="宋体" w:cs="Times New Roman"/>
      <w:lang w:val="en-US" w:eastAsia="zh-CN" w:bidi="ar-SA"/>
    </w:rPr>
  </w:style>
  <w:style w:type="paragraph" w:customStyle="1" w:styleId="314">
    <w:name w:val="Table Text"/>
    <w:basedOn w:val="1"/>
    <w:semiHidden/>
    <w:qFormat/>
    <w:uiPriority w:val="0"/>
    <w:rPr>
      <w:rFonts w:ascii="宋体" w:hAnsi="宋体" w:cs="宋体"/>
      <w:sz w:val="21"/>
      <w:szCs w:val="21"/>
      <w:lang w:eastAsia="en-US"/>
    </w:rPr>
  </w:style>
  <w:style w:type="table" w:customStyle="1" w:styleId="31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23</Pages>
  <Words>1998</Words>
  <Characters>11392</Characters>
  <Lines>94</Lines>
  <Paragraphs>26</Paragraphs>
  <TotalTime>0</TotalTime>
  <ScaleCrop>false</ScaleCrop>
  <LinksUpToDate>false</LinksUpToDate>
  <CharactersWithSpaces>13364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2023-07-10T17:12:00Z</dcterms:created>
  <dc:creator> </dc:creator>
  <cp:lastModifiedBy>Administrator</cp:lastModifiedBy>
  <cp:lastPrinted>2011-12-20T18:52:00Z</cp:lastPrinted>
  <dcterms:modified xsi:type="dcterms:W3CDTF">2024-09-23T05:35:31Z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8510E9D441A1425E923AE318F0CEF976_13</vt:lpwstr>
  </property>
</Properties>
</file>