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hint="eastAsia" w:ascii="Times New Roman" w:cs="Times New Roman"/>
          <w:b/>
          <w:sz w:val="28"/>
          <w:szCs w:val="28"/>
          <w:lang w:eastAsia="zh-CN"/>
        </w:rPr>
      </w:pPr>
      <w:r>
        <w:rPr>
          <w:rFonts w:hint="eastAsia" w:asciiTheme="majorEastAsia" w:hAnsiTheme="majorEastAsia" w:eastAsiaTheme="majorEastAsia" w:cstheme="majorEastAsia"/>
          <w:b/>
          <w:sz w:val="36"/>
          <w:szCs w:val="36"/>
          <w:lang w:eastAsia="zh-CN"/>
        </w:rPr>
        <w:t>上海市长宁区</w:t>
      </w:r>
      <w:r>
        <w:rPr>
          <w:rFonts w:hint="eastAsia" w:asciiTheme="majorEastAsia" w:hAnsiTheme="majorEastAsia" w:eastAsiaTheme="majorEastAsia" w:cstheme="majorEastAsia"/>
          <w:b/>
          <w:sz w:val="36"/>
          <w:szCs w:val="36"/>
        </w:rPr>
        <w:t>虹桥街道社区综合为老服务中心</w:t>
      </w:r>
      <w:r>
        <w:rPr>
          <w:rFonts w:hint="eastAsia" w:asciiTheme="majorEastAsia" w:hAnsiTheme="majorEastAsia" w:eastAsiaTheme="majorEastAsia" w:cstheme="majorEastAsia"/>
          <w:b/>
          <w:sz w:val="36"/>
          <w:szCs w:val="36"/>
          <w:lang w:eastAsia="zh-CN"/>
        </w:rPr>
        <w:t>托管服务竞争性磋商</w:t>
      </w:r>
      <w:r>
        <w:rPr>
          <w:rFonts w:hint="eastAsia" w:asciiTheme="majorEastAsia" w:hAnsiTheme="majorEastAsia" w:eastAsiaTheme="majorEastAsia" w:cstheme="majorEastAsia"/>
          <w:b/>
          <w:sz w:val="36"/>
          <w:szCs w:val="36"/>
        </w:rPr>
        <w:t>项目</w:t>
      </w:r>
      <w:r>
        <w:rPr>
          <w:rFonts w:hint="eastAsia" w:asciiTheme="majorEastAsia" w:hAnsiTheme="majorEastAsia" w:eastAsiaTheme="majorEastAsia" w:cstheme="majorEastAsia"/>
          <w:b/>
          <w:sz w:val="36"/>
          <w:szCs w:val="36"/>
          <w:lang w:eastAsia="zh-CN"/>
        </w:rPr>
        <w:t>采购</w:t>
      </w:r>
      <w:r>
        <w:rPr>
          <w:rFonts w:hint="eastAsia" w:asciiTheme="majorEastAsia" w:hAnsiTheme="majorEastAsia" w:eastAsiaTheme="majorEastAsia" w:cstheme="majorEastAsia"/>
          <w:b/>
          <w:sz w:val="36"/>
          <w:szCs w:val="36"/>
        </w:rPr>
        <w:t>需求</w:t>
      </w:r>
      <w:r>
        <w:rPr>
          <w:rFonts w:hint="eastAsia" w:asciiTheme="majorEastAsia" w:hAnsiTheme="majorEastAsia" w:eastAsiaTheme="majorEastAsia" w:cstheme="majorEastAsia"/>
          <w:b/>
          <w:sz w:val="36"/>
          <w:szCs w:val="36"/>
          <w:lang w:eastAsia="zh-CN"/>
        </w:rPr>
        <w:t>文件</w:t>
      </w:r>
    </w:p>
    <w:p>
      <w:pPr>
        <w:spacing w:line="360" w:lineRule="auto"/>
        <w:jc w:val="center"/>
        <w:rPr>
          <w:rFonts w:hint="eastAsia" w:asciiTheme="majorEastAsia" w:hAnsiTheme="majorEastAsia" w:eastAsiaTheme="majorEastAsia" w:cstheme="majorEastAsia"/>
          <w:b w:val="0"/>
          <w:bCs/>
          <w:sz w:val="21"/>
          <w:szCs w:val="21"/>
          <w:lang w:eastAsia="zh-CN"/>
        </w:rPr>
      </w:pPr>
    </w:p>
    <w:p>
      <w:pPr>
        <w:spacing w:line="360" w:lineRule="auto"/>
        <w:rPr>
          <w:rFonts w:hint="eastAsia" w:asciiTheme="minorEastAsia" w:hAnsiTheme="minorEastAsia" w:eastAsiaTheme="minorEastAsia" w:cstheme="minorEastAsia"/>
          <w:b/>
          <w:sz w:val="28"/>
          <w:szCs w:val="28"/>
        </w:rPr>
      </w:pPr>
      <w:r>
        <w:rPr>
          <w:rFonts w:hint="eastAsia" w:asciiTheme="minorEastAsia" w:hAnsiTheme="minorEastAsia" w:eastAsiaTheme="minorEastAsia" w:cstheme="minorEastAsia"/>
          <w:b/>
          <w:sz w:val="28"/>
          <w:szCs w:val="28"/>
        </w:rPr>
        <w:t>一、基本情况</w:t>
      </w:r>
    </w:p>
    <w:p>
      <w:pPr>
        <w:spacing w:line="360" w:lineRule="auto"/>
        <w:ind w:firstLine="560" w:firstLineChars="200"/>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该项目位于长宁区中山西路 1030 弄8号，位于虹一小区内，老龄化程度较高，总建筑面积 3072平米，二楼为社区嵌入式养老机构</w:t>
      </w:r>
      <w:r>
        <w:rPr>
          <w:rFonts w:hint="eastAsia" w:asciiTheme="minorEastAsia" w:hAnsiTheme="minorEastAsia" w:eastAsiaTheme="minorEastAsia" w:cstheme="minorEastAsia"/>
          <w:sz w:val="28"/>
          <w:szCs w:val="28"/>
          <w:lang w:val="en-US" w:eastAsia="zh-CN"/>
        </w:rPr>
        <w:t>上海虹桥敬老院</w:t>
      </w:r>
      <w:r>
        <w:rPr>
          <w:rFonts w:hint="eastAsia" w:asciiTheme="minorEastAsia" w:hAnsiTheme="minorEastAsia" w:eastAsiaTheme="minorEastAsia" w:cstheme="minorEastAsia"/>
          <w:sz w:val="28"/>
          <w:szCs w:val="28"/>
        </w:rPr>
        <w:t>，同时设置了日间照料、喘息服务、</w:t>
      </w:r>
      <w:r>
        <w:rPr>
          <w:rFonts w:hint="eastAsia" w:asciiTheme="minorEastAsia" w:hAnsiTheme="minorEastAsia" w:eastAsiaTheme="minorEastAsia" w:cstheme="minorEastAsia"/>
          <w:sz w:val="28"/>
          <w:szCs w:val="28"/>
          <w:lang w:val="en-US" w:eastAsia="zh-CN"/>
        </w:rPr>
        <w:t>社区长者食堂堂食及送餐服务</w:t>
      </w:r>
      <w:r>
        <w:rPr>
          <w:rFonts w:hint="eastAsia" w:asciiTheme="minorEastAsia" w:hAnsiTheme="minorEastAsia" w:eastAsiaTheme="minorEastAsia" w:cstheme="minorEastAsia"/>
          <w:sz w:val="28"/>
          <w:szCs w:val="28"/>
        </w:rPr>
        <w:t>、居家养老服务、护理站等多项综合为老服务功能。</w:t>
      </w:r>
    </w:p>
    <w:p>
      <w:pPr>
        <w:spacing w:line="360" w:lineRule="auto"/>
        <w:ind w:firstLine="560" w:firstLineChars="200"/>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虹桥街道</w:t>
      </w:r>
      <w:r>
        <w:rPr>
          <w:rFonts w:hint="eastAsia" w:asciiTheme="minorEastAsia" w:hAnsiTheme="minorEastAsia" w:eastAsiaTheme="minorEastAsia" w:cstheme="minorEastAsia"/>
          <w:sz w:val="28"/>
          <w:szCs w:val="28"/>
          <w:lang w:val="en-US" w:eastAsia="zh-CN"/>
        </w:rPr>
        <w:t>社区</w:t>
      </w:r>
      <w:r>
        <w:rPr>
          <w:rFonts w:hint="eastAsia" w:asciiTheme="minorEastAsia" w:hAnsiTheme="minorEastAsia" w:eastAsiaTheme="minorEastAsia" w:cstheme="minorEastAsia"/>
          <w:sz w:val="28"/>
          <w:szCs w:val="28"/>
        </w:rPr>
        <w:t>综合为老服务中心服务宗旨是让在中心入住和活动的长者可以减少孤独感，建立归宿感，</w:t>
      </w:r>
      <w:r>
        <w:rPr>
          <w:rFonts w:hint="eastAsia" w:asciiTheme="minorEastAsia" w:hAnsiTheme="minorEastAsia" w:eastAsiaTheme="minorEastAsia" w:cstheme="minorEastAsia"/>
          <w:sz w:val="28"/>
          <w:szCs w:val="28"/>
          <w:lang w:val="en-US" w:eastAsia="zh-CN"/>
        </w:rPr>
        <w:t>希望通过</w:t>
      </w:r>
      <w:r>
        <w:rPr>
          <w:rFonts w:hint="eastAsia" w:asciiTheme="minorEastAsia" w:hAnsiTheme="minorEastAsia" w:eastAsiaTheme="minorEastAsia" w:cstheme="minorEastAsia"/>
          <w:sz w:val="28"/>
          <w:szCs w:val="28"/>
        </w:rPr>
        <w:t>专业的照护团队</w:t>
      </w:r>
      <w:r>
        <w:rPr>
          <w:rFonts w:hint="eastAsia" w:asciiTheme="minorEastAsia" w:hAnsiTheme="minorEastAsia" w:eastAsiaTheme="minorEastAsia" w:cstheme="minorEastAsia"/>
          <w:sz w:val="28"/>
          <w:szCs w:val="28"/>
          <w:lang w:val="en-US" w:eastAsia="zh-CN"/>
        </w:rPr>
        <w:t>的生活照料</w:t>
      </w:r>
      <w:r>
        <w:rPr>
          <w:rFonts w:hint="eastAsia" w:asciiTheme="minorEastAsia" w:hAnsiTheme="minorEastAsia" w:eastAsiaTheme="minorEastAsia" w:cstheme="minorEastAsia"/>
          <w:sz w:val="28"/>
          <w:szCs w:val="28"/>
        </w:rPr>
        <w:t>给长者带来安全感，</w:t>
      </w:r>
      <w:r>
        <w:rPr>
          <w:rFonts w:hint="eastAsia" w:asciiTheme="minorEastAsia" w:hAnsiTheme="minorEastAsia" w:eastAsiaTheme="minorEastAsia" w:cstheme="minorEastAsia"/>
          <w:sz w:val="28"/>
          <w:szCs w:val="28"/>
          <w:lang w:val="en-US" w:eastAsia="zh-CN"/>
        </w:rPr>
        <w:t>提升他们的生活质量，</w:t>
      </w:r>
      <w:r>
        <w:rPr>
          <w:rFonts w:hint="eastAsia" w:asciiTheme="minorEastAsia" w:hAnsiTheme="minorEastAsia" w:eastAsiaTheme="minorEastAsia" w:cstheme="minorEastAsia"/>
          <w:sz w:val="28"/>
          <w:szCs w:val="28"/>
        </w:rPr>
        <w:t>减轻子女及家庭的负担</w:t>
      </w:r>
      <w:r>
        <w:rPr>
          <w:rFonts w:hint="eastAsia" w:asciiTheme="minorEastAsia" w:hAnsiTheme="minorEastAsia" w:eastAsiaTheme="minorEastAsia" w:cstheme="minorEastAsia"/>
          <w:sz w:val="28"/>
          <w:szCs w:val="28"/>
          <w:lang w:eastAsia="zh-CN"/>
        </w:rPr>
        <w:t>。</w:t>
      </w:r>
      <w:r>
        <w:rPr>
          <w:rFonts w:hint="eastAsia" w:asciiTheme="minorEastAsia" w:hAnsiTheme="minorEastAsia" w:eastAsiaTheme="minorEastAsia" w:cstheme="minorEastAsia"/>
          <w:sz w:val="28"/>
          <w:szCs w:val="28"/>
        </w:rPr>
        <w:t>在关注长者的身体</w:t>
      </w:r>
      <w:r>
        <w:rPr>
          <w:rFonts w:hint="eastAsia" w:asciiTheme="minorEastAsia" w:hAnsiTheme="minorEastAsia" w:eastAsiaTheme="minorEastAsia" w:cstheme="minorEastAsia"/>
          <w:sz w:val="28"/>
          <w:szCs w:val="28"/>
          <w:lang w:val="en-US" w:eastAsia="zh-CN"/>
        </w:rPr>
        <w:t>状态</w:t>
      </w:r>
      <w:r>
        <w:rPr>
          <w:rFonts w:hint="eastAsia" w:asciiTheme="minorEastAsia" w:hAnsiTheme="minorEastAsia" w:eastAsiaTheme="minorEastAsia" w:cstheme="minorEastAsia"/>
          <w:sz w:val="28"/>
          <w:szCs w:val="28"/>
        </w:rPr>
        <w:t>，心理健康</w:t>
      </w:r>
      <w:r>
        <w:rPr>
          <w:rFonts w:hint="eastAsia" w:asciiTheme="minorEastAsia" w:hAnsiTheme="minorEastAsia" w:eastAsiaTheme="minorEastAsia" w:cstheme="minorEastAsia"/>
          <w:sz w:val="28"/>
          <w:szCs w:val="28"/>
          <w:lang w:val="en-US" w:eastAsia="zh-CN"/>
        </w:rPr>
        <w:t>的同时</w:t>
      </w:r>
      <w:r>
        <w:rPr>
          <w:rFonts w:hint="eastAsia" w:asciiTheme="minorEastAsia" w:hAnsiTheme="minorEastAsia" w:eastAsiaTheme="minorEastAsia" w:cstheme="minorEastAsia"/>
          <w:sz w:val="28"/>
          <w:szCs w:val="28"/>
        </w:rPr>
        <w:t>，</w:t>
      </w:r>
      <w:r>
        <w:rPr>
          <w:rFonts w:hint="eastAsia" w:asciiTheme="minorEastAsia" w:hAnsiTheme="minorEastAsia" w:eastAsiaTheme="minorEastAsia" w:cstheme="minorEastAsia"/>
          <w:sz w:val="28"/>
          <w:szCs w:val="28"/>
          <w:lang w:val="en-US" w:eastAsia="zh-CN"/>
        </w:rPr>
        <w:t>为老中心也为长者</w:t>
      </w:r>
      <w:r>
        <w:rPr>
          <w:rFonts w:hint="eastAsia" w:asciiTheme="minorEastAsia" w:hAnsiTheme="minorEastAsia" w:eastAsiaTheme="minorEastAsia" w:cstheme="minorEastAsia"/>
          <w:sz w:val="28"/>
          <w:szCs w:val="28"/>
        </w:rPr>
        <w:t>提供丰富多彩的娱乐活动，并根据长者的喜好进行调节，满足长者老有所学、老有所乐的需求。</w:t>
      </w:r>
    </w:p>
    <w:p>
      <w:pPr>
        <w:spacing w:line="360" w:lineRule="auto"/>
        <w:ind w:firstLine="560" w:firstLineChars="200"/>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该项目以政府购买服务方式，采用“委托管理”模式，通过对运营方的公开招标、择优遴选，以及对委托项目的定期评估、绩效考核，秉承家庭式照护理念，为服务对象营造家庭化、现代化、人性化、无障碍化的住养照护环境，为入住长者提供安全、积极、适宜的照护服务。</w:t>
      </w:r>
    </w:p>
    <w:p>
      <w:pPr>
        <w:spacing w:line="360" w:lineRule="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b/>
          <w:bCs/>
          <w:sz w:val="28"/>
          <w:szCs w:val="28"/>
        </w:rPr>
        <w:t>二、</w:t>
      </w:r>
      <w:r>
        <w:rPr>
          <w:rFonts w:hint="eastAsia" w:asciiTheme="minorEastAsia" w:hAnsiTheme="minorEastAsia" w:cstheme="minorEastAsia"/>
          <w:b/>
          <w:bCs/>
          <w:sz w:val="28"/>
          <w:szCs w:val="28"/>
          <w:lang w:eastAsia="zh-CN"/>
        </w:rPr>
        <w:t>服务</w:t>
      </w:r>
      <w:r>
        <w:rPr>
          <w:rFonts w:hint="eastAsia" w:asciiTheme="minorEastAsia" w:hAnsiTheme="minorEastAsia" w:eastAsiaTheme="minorEastAsia" w:cstheme="minorEastAsia"/>
          <w:b/>
          <w:bCs/>
          <w:sz w:val="28"/>
          <w:szCs w:val="28"/>
        </w:rPr>
        <w:t>内容</w:t>
      </w:r>
    </w:p>
    <w:p>
      <w:pPr>
        <w:spacing w:line="360" w:lineRule="auto"/>
        <w:ind w:firstLine="560" w:firstLineChars="200"/>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本次主要是对</w:t>
      </w:r>
      <w:r>
        <w:rPr>
          <w:rFonts w:hint="eastAsia" w:asciiTheme="minorEastAsia" w:hAnsiTheme="minorEastAsia" w:eastAsiaTheme="minorEastAsia" w:cstheme="minorEastAsia"/>
          <w:sz w:val="28"/>
          <w:szCs w:val="28"/>
          <w:lang w:eastAsia="zh-CN"/>
        </w:rPr>
        <w:t>虹桥街道社区综合为老服务中心</w:t>
      </w:r>
      <w:r>
        <w:rPr>
          <w:rFonts w:hint="eastAsia" w:asciiTheme="minorEastAsia" w:hAnsiTheme="minorEastAsia" w:eastAsiaTheme="minorEastAsia" w:cstheme="minorEastAsia"/>
          <w:sz w:val="28"/>
          <w:szCs w:val="28"/>
          <w:highlight w:val="none"/>
        </w:rPr>
        <w:t>的一、二、三楼</w:t>
      </w:r>
      <w:r>
        <w:rPr>
          <w:rFonts w:hint="eastAsia" w:asciiTheme="minorEastAsia" w:hAnsiTheme="minorEastAsia" w:eastAsiaTheme="minorEastAsia" w:cstheme="minorEastAsia"/>
          <w:sz w:val="28"/>
          <w:szCs w:val="28"/>
          <w:highlight w:val="none"/>
          <w:lang w:val="en-US" w:eastAsia="zh-CN"/>
        </w:rPr>
        <w:t>以及长者运动健康之家</w:t>
      </w:r>
      <w:r>
        <w:rPr>
          <w:rFonts w:hint="eastAsia" w:asciiTheme="minorEastAsia" w:hAnsiTheme="minorEastAsia" w:eastAsiaTheme="minorEastAsia" w:cstheme="minorEastAsia"/>
          <w:sz w:val="28"/>
          <w:szCs w:val="28"/>
          <w:highlight w:val="none"/>
        </w:rPr>
        <w:t>区域</w:t>
      </w:r>
      <w:r>
        <w:rPr>
          <w:rFonts w:hint="eastAsia" w:asciiTheme="minorEastAsia" w:hAnsiTheme="minorEastAsia" w:eastAsiaTheme="minorEastAsia" w:cstheme="minorEastAsia"/>
          <w:sz w:val="28"/>
          <w:szCs w:val="28"/>
          <w:lang w:val="en-US" w:eastAsia="zh-CN"/>
        </w:rPr>
        <w:t>的</w:t>
      </w:r>
      <w:r>
        <w:rPr>
          <w:rFonts w:hint="eastAsia" w:asciiTheme="minorEastAsia" w:hAnsiTheme="minorEastAsia" w:eastAsiaTheme="minorEastAsia" w:cstheme="minorEastAsia"/>
          <w:sz w:val="28"/>
          <w:szCs w:val="28"/>
        </w:rPr>
        <w:t>委托运营管理进行招标。</w:t>
      </w:r>
    </w:p>
    <w:p>
      <w:pPr>
        <w:spacing w:line="360" w:lineRule="auto"/>
        <w:rPr>
          <w:rFonts w:hint="eastAsia"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b/>
          <w:bCs/>
          <w:sz w:val="28"/>
          <w:szCs w:val="28"/>
          <w:lang w:eastAsia="zh-CN"/>
        </w:rPr>
        <w:t>（</w:t>
      </w:r>
      <w:r>
        <w:rPr>
          <w:rFonts w:hint="eastAsia" w:asciiTheme="minorEastAsia" w:hAnsiTheme="minorEastAsia" w:eastAsiaTheme="minorEastAsia" w:cstheme="minorEastAsia"/>
          <w:b/>
          <w:bCs/>
          <w:sz w:val="28"/>
          <w:szCs w:val="28"/>
          <w:lang w:val="en-US" w:eastAsia="zh-CN"/>
        </w:rPr>
        <w:t>一</w:t>
      </w:r>
      <w:r>
        <w:rPr>
          <w:rFonts w:hint="eastAsia" w:asciiTheme="minorEastAsia" w:hAnsiTheme="minorEastAsia" w:eastAsiaTheme="minorEastAsia" w:cstheme="minorEastAsia"/>
          <w:b/>
          <w:bCs/>
          <w:sz w:val="28"/>
          <w:szCs w:val="28"/>
          <w:lang w:eastAsia="zh-CN"/>
        </w:rPr>
        <w:t>）</w:t>
      </w:r>
      <w:r>
        <w:rPr>
          <w:rFonts w:hint="eastAsia" w:asciiTheme="minorEastAsia" w:hAnsiTheme="minorEastAsia" w:eastAsiaTheme="minorEastAsia" w:cstheme="minorEastAsia"/>
          <w:b/>
          <w:bCs/>
          <w:sz w:val="28"/>
          <w:szCs w:val="28"/>
          <w:lang w:val="en-US" w:eastAsia="zh-CN"/>
        </w:rPr>
        <w:t>日常运营管理</w:t>
      </w:r>
    </w:p>
    <w:p>
      <w:pPr>
        <w:pStyle w:val="12"/>
        <w:numPr>
          <w:ilvl w:val="0"/>
          <w:numId w:val="0"/>
        </w:numPr>
        <w:spacing w:line="360" w:lineRule="auto"/>
        <w:ind w:leftChars="0"/>
        <w:rPr>
          <w:rFonts w:hint="eastAsia" w:asciiTheme="minorEastAsia" w:hAnsiTheme="minorEastAsia" w:eastAsiaTheme="minorEastAsia" w:cstheme="minorEastAsia"/>
          <w:sz w:val="28"/>
          <w:szCs w:val="28"/>
          <w:highlight w:val="none"/>
        </w:rPr>
      </w:pPr>
      <w:r>
        <w:rPr>
          <w:rFonts w:hint="eastAsia" w:asciiTheme="minorEastAsia" w:hAnsiTheme="minorEastAsia" w:cstheme="minorEastAsia"/>
          <w:sz w:val="28"/>
          <w:szCs w:val="28"/>
          <w:highlight w:val="none"/>
          <w:lang w:val="en-US" w:eastAsia="zh-CN"/>
        </w:rPr>
        <w:t>1、</w:t>
      </w:r>
      <w:r>
        <w:rPr>
          <w:rFonts w:hint="eastAsia" w:asciiTheme="minorEastAsia" w:hAnsiTheme="minorEastAsia" w:eastAsiaTheme="minorEastAsia" w:cstheme="minorEastAsia"/>
          <w:sz w:val="28"/>
          <w:szCs w:val="28"/>
          <w:highlight w:val="none"/>
        </w:rPr>
        <w:t>1F：</w:t>
      </w:r>
      <w:r>
        <w:rPr>
          <w:rFonts w:hint="eastAsia" w:asciiTheme="minorEastAsia" w:hAnsiTheme="minorEastAsia" w:eastAsiaTheme="minorEastAsia" w:cstheme="minorEastAsia"/>
          <w:sz w:val="28"/>
          <w:szCs w:val="28"/>
          <w:highlight w:val="none"/>
          <w:lang w:val="en-US" w:eastAsia="zh-CN"/>
        </w:rPr>
        <w:t>提供社区综合为老服务</w:t>
      </w:r>
    </w:p>
    <w:p>
      <w:pPr>
        <w:pStyle w:val="12"/>
        <w:numPr>
          <w:ilvl w:val="0"/>
          <w:numId w:val="0"/>
        </w:numPr>
        <w:spacing w:line="360" w:lineRule="auto"/>
        <w:ind w:leftChars="0"/>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（1）</w:t>
      </w:r>
      <w:r>
        <w:rPr>
          <w:rFonts w:hint="eastAsia" w:asciiTheme="minorEastAsia" w:hAnsiTheme="minorEastAsia" w:eastAsiaTheme="minorEastAsia" w:cstheme="minorEastAsia"/>
          <w:sz w:val="28"/>
          <w:szCs w:val="28"/>
          <w:lang w:val="en-US" w:eastAsia="zh-CN"/>
        </w:rPr>
        <w:t>负责社区长者食堂的日常运营，提供堂吃及送餐等</w:t>
      </w:r>
      <w:r>
        <w:rPr>
          <w:rFonts w:hint="eastAsia" w:asciiTheme="minorEastAsia" w:hAnsiTheme="minorEastAsia" w:eastAsiaTheme="minorEastAsia" w:cstheme="minorEastAsia"/>
          <w:sz w:val="28"/>
          <w:szCs w:val="28"/>
        </w:rPr>
        <w:t>助餐服务；</w:t>
      </w:r>
    </w:p>
    <w:p>
      <w:pPr>
        <w:pStyle w:val="12"/>
        <w:spacing w:line="360" w:lineRule="auto"/>
        <w:ind w:left="0" w:leftChars="0" w:firstLine="0" w:firstLineChars="0"/>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（2）便民服务（理发、扦脚、助浴等）；</w:t>
      </w:r>
    </w:p>
    <w:p>
      <w:pPr>
        <w:pStyle w:val="12"/>
        <w:spacing w:line="360" w:lineRule="auto"/>
        <w:ind w:left="0" w:leftChars="0" w:firstLine="0" w:firstLineChars="0"/>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（3）养老顾问</w:t>
      </w:r>
      <w:r>
        <w:rPr>
          <w:rFonts w:hint="eastAsia" w:asciiTheme="minorEastAsia" w:hAnsiTheme="minorEastAsia" w:eastAsiaTheme="minorEastAsia" w:cstheme="minorEastAsia"/>
          <w:sz w:val="28"/>
          <w:szCs w:val="28"/>
          <w:lang w:val="en-US" w:eastAsia="zh-CN"/>
        </w:rPr>
        <w:t>咨询服务</w:t>
      </w:r>
      <w:r>
        <w:rPr>
          <w:rFonts w:hint="eastAsia" w:asciiTheme="minorEastAsia" w:hAnsiTheme="minorEastAsia" w:eastAsiaTheme="minorEastAsia" w:cstheme="minorEastAsia"/>
          <w:sz w:val="28"/>
          <w:szCs w:val="28"/>
        </w:rPr>
        <w:t>；</w:t>
      </w:r>
    </w:p>
    <w:p>
      <w:pPr>
        <w:pStyle w:val="12"/>
        <w:spacing w:line="360" w:lineRule="auto"/>
        <w:ind w:left="0" w:leftChars="0" w:firstLine="0" w:firstLineChars="0"/>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（4）</w:t>
      </w:r>
      <w:r>
        <w:rPr>
          <w:rFonts w:hint="eastAsia" w:asciiTheme="minorEastAsia" w:hAnsiTheme="minorEastAsia" w:eastAsiaTheme="minorEastAsia" w:cstheme="minorEastAsia"/>
          <w:sz w:val="28"/>
          <w:szCs w:val="28"/>
          <w:lang w:val="en-US" w:eastAsia="zh-CN"/>
        </w:rPr>
        <w:t>中心品牌主题活动及</w:t>
      </w:r>
      <w:r>
        <w:rPr>
          <w:rFonts w:hint="eastAsia" w:asciiTheme="minorEastAsia" w:hAnsiTheme="minorEastAsia" w:eastAsiaTheme="minorEastAsia" w:cstheme="minorEastAsia"/>
          <w:sz w:val="28"/>
          <w:szCs w:val="28"/>
        </w:rPr>
        <w:t>老年文化交流活动；</w:t>
      </w:r>
    </w:p>
    <w:p>
      <w:pPr>
        <w:pStyle w:val="12"/>
        <w:spacing w:line="360" w:lineRule="auto"/>
        <w:ind w:left="0" w:leftChars="0" w:firstLine="0" w:firstLineChars="0"/>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（5）中心宣传工作（包含微信公众号维护）；</w:t>
      </w:r>
    </w:p>
    <w:p>
      <w:pPr>
        <w:spacing w:line="360" w:lineRule="auto"/>
        <w:rPr>
          <w:rFonts w:hint="eastAsia" w:asciiTheme="minorEastAsia" w:hAnsiTheme="minorEastAsia" w:eastAsiaTheme="minorEastAsia" w:cstheme="minorEastAsia"/>
          <w:sz w:val="28"/>
          <w:szCs w:val="28"/>
          <w:highlight w:val="none"/>
          <w:lang w:val="en-US" w:eastAsia="zh-CN"/>
        </w:rPr>
      </w:pPr>
      <w:r>
        <w:rPr>
          <w:rFonts w:hint="eastAsia" w:asciiTheme="minorEastAsia" w:hAnsiTheme="minorEastAsia" w:eastAsiaTheme="minorEastAsia" w:cstheme="minorEastAsia"/>
          <w:sz w:val="28"/>
          <w:szCs w:val="28"/>
          <w:highlight w:val="none"/>
        </w:rPr>
        <w:t>2、2F：</w:t>
      </w:r>
      <w:r>
        <w:rPr>
          <w:rFonts w:hint="eastAsia" w:asciiTheme="minorEastAsia" w:hAnsiTheme="minorEastAsia" w:eastAsiaTheme="minorEastAsia" w:cstheme="minorEastAsia"/>
          <w:sz w:val="28"/>
          <w:szCs w:val="28"/>
          <w:highlight w:val="none"/>
          <w:lang w:val="en-US" w:eastAsia="zh-CN"/>
        </w:rPr>
        <w:t>负责上海虹桥敬老院的日常运营，提供机构照护服务。</w:t>
      </w:r>
    </w:p>
    <w:p>
      <w:pPr>
        <w:spacing w:line="360" w:lineRule="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（1）基本生活照护：协助长者进餐、进水、吃药；晨晚间护理、皮肤护理等；</w:t>
      </w:r>
    </w:p>
    <w:p>
      <w:pPr>
        <w:spacing w:line="360" w:lineRule="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（2）康复服务：对长者进行康复评估后制定康复计划，逐步对长者进行肢体关节训练、床上训练及康复宣教等；</w:t>
      </w:r>
    </w:p>
    <w:p>
      <w:pPr>
        <w:spacing w:line="360" w:lineRule="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（3）医疗照护：定期对长者进行健康管理保证基本医疗需求，对长者的病情进行跟踪建立病历；</w:t>
      </w:r>
    </w:p>
    <w:p>
      <w:pPr>
        <w:spacing w:line="360" w:lineRule="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（4）娱乐活动：通过开展形式多样，内容丰富的文体娱乐活动，培养长者兴趣爱好，促进“老有所学”、“老有所乐”的快乐养老观念；</w:t>
      </w:r>
    </w:p>
    <w:p>
      <w:pPr>
        <w:spacing w:line="360" w:lineRule="auto"/>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rPr>
        <w:t>（5）其他精神慰藉、心理咨询等服务</w:t>
      </w:r>
      <w:r>
        <w:rPr>
          <w:rFonts w:hint="eastAsia" w:asciiTheme="minorEastAsia" w:hAnsiTheme="minorEastAsia" w:eastAsiaTheme="minorEastAsia" w:cstheme="minorEastAsia"/>
          <w:sz w:val="28"/>
          <w:szCs w:val="28"/>
          <w:lang w:eastAsia="zh-CN"/>
        </w:rPr>
        <w:t>；</w:t>
      </w:r>
    </w:p>
    <w:p>
      <w:pPr>
        <w:spacing w:line="360" w:lineRule="auto"/>
        <w:rPr>
          <w:rFonts w:hint="eastAsia" w:asciiTheme="minorEastAsia" w:hAnsiTheme="minorEastAsia" w:eastAsiaTheme="minorEastAsia" w:cstheme="minorEastAsia"/>
          <w:sz w:val="28"/>
          <w:szCs w:val="28"/>
          <w:highlight w:val="yellow"/>
        </w:rPr>
      </w:pPr>
      <w:r>
        <w:rPr>
          <w:rFonts w:hint="eastAsia" w:asciiTheme="minorEastAsia" w:hAnsiTheme="minorEastAsia" w:eastAsiaTheme="minorEastAsia" w:cstheme="minorEastAsia"/>
          <w:sz w:val="28"/>
          <w:szCs w:val="28"/>
        </w:rPr>
        <w:t>（6）其他上级业务主管单位要求养老机构开展的服务。</w:t>
      </w:r>
    </w:p>
    <w:p>
      <w:pPr>
        <w:spacing w:line="360" w:lineRule="auto"/>
        <w:rPr>
          <w:rFonts w:hint="eastAsia" w:asciiTheme="minorEastAsia" w:hAnsiTheme="minorEastAsia" w:eastAsiaTheme="minorEastAsia" w:cstheme="minorEastAsia"/>
          <w:sz w:val="28"/>
          <w:szCs w:val="28"/>
          <w:highlight w:val="none"/>
          <w:lang w:val="en-US" w:eastAsia="zh-CN"/>
        </w:rPr>
      </w:pPr>
      <w:r>
        <w:rPr>
          <w:rFonts w:hint="eastAsia" w:asciiTheme="minorEastAsia" w:hAnsiTheme="minorEastAsia" w:eastAsiaTheme="minorEastAsia" w:cstheme="minorEastAsia"/>
          <w:sz w:val="28"/>
          <w:szCs w:val="28"/>
          <w:highlight w:val="none"/>
        </w:rPr>
        <w:t>3、3F：</w:t>
      </w:r>
      <w:r>
        <w:rPr>
          <w:rFonts w:hint="eastAsia" w:asciiTheme="minorEastAsia" w:hAnsiTheme="minorEastAsia" w:eastAsiaTheme="minorEastAsia" w:cstheme="minorEastAsia"/>
          <w:sz w:val="28"/>
          <w:szCs w:val="28"/>
          <w:highlight w:val="none"/>
          <w:lang w:val="en-US" w:eastAsia="zh-CN"/>
        </w:rPr>
        <w:t>负责</w:t>
      </w:r>
      <w:r>
        <w:rPr>
          <w:rFonts w:hint="eastAsia" w:asciiTheme="minorEastAsia" w:hAnsiTheme="minorEastAsia" w:eastAsiaTheme="minorEastAsia" w:cstheme="minorEastAsia"/>
          <w:sz w:val="28"/>
          <w:szCs w:val="28"/>
          <w:highlight w:val="none"/>
        </w:rPr>
        <w:t>日间</w:t>
      </w:r>
      <w:r>
        <w:rPr>
          <w:rFonts w:hint="eastAsia" w:asciiTheme="minorEastAsia" w:hAnsiTheme="minorEastAsia" w:eastAsiaTheme="minorEastAsia" w:cstheme="minorEastAsia"/>
          <w:sz w:val="28"/>
          <w:szCs w:val="28"/>
          <w:highlight w:val="none"/>
          <w:lang w:val="en-US" w:eastAsia="zh-CN"/>
        </w:rPr>
        <w:t>照料中心的日常运营，提供日间照料</w:t>
      </w:r>
      <w:r>
        <w:rPr>
          <w:rFonts w:hint="eastAsia" w:asciiTheme="minorEastAsia" w:hAnsiTheme="minorEastAsia" w:eastAsiaTheme="minorEastAsia" w:cstheme="minorEastAsia"/>
          <w:sz w:val="28"/>
          <w:szCs w:val="28"/>
          <w:highlight w:val="none"/>
        </w:rPr>
        <w:t>服务</w:t>
      </w:r>
      <w:r>
        <w:rPr>
          <w:rFonts w:hint="eastAsia" w:asciiTheme="minorEastAsia" w:hAnsiTheme="minorEastAsia" w:eastAsiaTheme="minorEastAsia" w:cstheme="minorEastAsia"/>
          <w:sz w:val="28"/>
          <w:szCs w:val="28"/>
          <w:highlight w:val="none"/>
          <w:lang w:eastAsia="zh-CN"/>
        </w:rPr>
        <w:t>。</w:t>
      </w:r>
    </w:p>
    <w:p>
      <w:pPr>
        <w:spacing w:line="360" w:lineRule="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（1）日间照护服务，包括生活协助、康护服务、陪伴聊天等；</w:t>
      </w:r>
    </w:p>
    <w:p>
      <w:pPr>
        <w:spacing w:line="360" w:lineRule="auto"/>
        <w:rPr>
          <w:rFonts w:hint="eastAsia"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rPr>
        <w:t>（2）专业干预</w:t>
      </w:r>
      <w:r>
        <w:rPr>
          <w:rFonts w:hint="eastAsia" w:asciiTheme="minorEastAsia" w:hAnsiTheme="minorEastAsia" w:eastAsiaTheme="minorEastAsia" w:cstheme="minorEastAsia"/>
          <w:sz w:val="28"/>
          <w:szCs w:val="28"/>
          <w:lang w:eastAsia="zh-CN"/>
        </w:rPr>
        <w:t>，</w:t>
      </w:r>
      <w:r>
        <w:rPr>
          <w:rFonts w:hint="eastAsia" w:asciiTheme="minorEastAsia" w:hAnsiTheme="minorEastAsia" w:eastAsiaTheme="minorEastAsia" w:cstheme="minorEastAsia"/>
          <w:sz w:val="28"/>
          <w:szCs w:val="28"/>
        </w:rPr>
        <w:t>认知症非药物干预服务</w:t>
      </w:r>
      <w:r>
        <w:rPr>
          <w:rFonts w:hint="eastAsia" w:asciiTheme="minorEastAsia" w:hAnsiTheme="minorEastAsia" w:eastAsiaTheme="minorEastAsia" w:cstheme="minorEastAsia"/>
          <w:sz w:val="28"/>
          <w:szCs w:val="28"/>
          <w:lang w:val="en-US" w:eastAsia="zh-CN"/>
        </w:rPr>
        <w:t>及文娱活动等；</w:t>
      </w:r>
    </w:p>
    <w:p>
      <w:pPr>
        <w:spacing w:line="360" w:lineRule="auto"/>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rPr>
        <w:t>（3）康复服务</w:t>
      </w:r>
      <w:r>
        <w:rPr>
          <w:rFonts w:hint="eastAsia" w:asciiTheme="minorEastAsia" w:hAnsiTheme="minorEastAsia" w:eastAsiaTheme="minorEastAsia" w:cstheme="minorEastAsia"/>
          <w:sz w:val="28"/>
          <w:szCs w:val="28"/>
          <w:lang w:eastAsia="zh-CN"/>
        </w:rPr>
        <w:t>：</w:t>
      </w:r>
      <w:r>
        <w:rPr>
          <w:rFonts w:hint="eastAsia" w:asciiTheme="minorEastAsia" w:hAnsiTheme="minorEastAsia" w:eastAsiaTheme="minorEastAsia" w:cstheme="minorEastAsia"/>
          <w:sz w:val="28"/>
          <w:szCs w:val="28"/>
        </w:rPr>
        <w:t>逐步对长者进行肢体关节训练、床上训练及康复宣教等</w:t>
      </w:r>
      <w:r>
        <w:rPr>
          <w:rFonts w:hint="eastAsia" w:asciiTheme="minorEastAsia" w:hAnsiTheme="minorEastAsia" w:eastAsiaTheme="minorEastAsia" w:cstheme="minorEastAsia"/>
          <w:sz w:val="28"/>
          <w:szCs w:val="28"/>
          <w:lang w:eastAsia="zh-CN"/>
        </w:rPr>
        <w:t>。</w:t>
      </w:r>
    </w:p>
    <w:p>
      <w:pPr>
        <w:numPr>
          <w:ilvl w:val="0"/>
          <w:numId w:val="0"/>
        </w:numPr>
        <w:spacing w:line="360" w:lineRule="auto"/>
        <w:rPr>
          <w:rFonts w:hint="eastAsia" w:asciiTheme="minorEastAsia" w:hAnsiTheme="minorEastAsia" w:eastAsiaTheme="minorEastAsia" w:cstheme="minorEastAsia"/>
          <w:sz w:val="28"/>
          <w:szCs w:val="28"/>
          <w:highlight w:val="none"/>
          <w:lang w:val="en-US" w:eastAsia="zh-CN"/>
        </w:rPr>
      </w:pPr>
      <w:r>
        <w:rPr>
          <w:rFonts w:hint="eastAsia" w:asciiTheme="minorEastAsia" w:hAnsiTheme="minorEastAsia" w:cstheme="minorEastAsia"/>
          <w:sz w:val="28"/>
          <w:szCs w:val="28"/>
          <w:highlight w:val="none"/>
          <w:lang w:val="en-US" w:eastAsia="zh-CN"/>
        </w:rPr>
        <w:t>4、</w:t>
      </w:r>
      <w:r>
        <w:rPr>
          <w:rFonts w:hint="eastAsia" w:asciiTheme="minorEastAsia" w:hAnsiTheme="minorEastAsia" w:eastAsiaTheme="minorEastAsia" w:cstheme="minorEastAsia"/>
          <w:sz w:val="28"/>
          <w:szCs w:val="28"/>
          <w:highlight w:val="none"/>
          <w:lang w:val="en-US" w:eastAsia="zh-CN"/>
        </w:rPr>
        <w:t>负责长者照护之家的日常运营，提供体养结合服务。</w:t>
      </w:r>
    </w:p>
    <w:p>
      <w:pPr>
        <w:spacing w:line="360" w:lineRule="auto"/>
        <w:ind w:firstLine="420"/>
        <w:rPr>
          <w:rFonts w:hint="eastAsia"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lang w:val="en-US" w:eastAsia="zh-CN"/>
        </w:rPr>
        <w:t>为社区长者提供健身体养活动。</w:t>
      </w:r>
    </w:p>
    <w:p>
      <w:pPr>
        <w:numPr>
          <w:ilvl w:val="0"/>
          <w:numId w:val="0"/>
        </w:numPr>
        <w:spacing w:line="360" w:lineRule="auto"/>
        <w:rPr>
          <w:rFonts w:hint="eastAsia" w:asciiTheme="minorEastAsia" w:hAnsiTheme="minorEastAsia" w:eastAsiaTheme="minorEastAsia" w:cstheme="minorEastAsia"/>
          <w:sz w:val="28"/>
          <w:szCs w:val="28"/>
          <w:lang w:val="en-US" w:eastAsia="zh-CN"/>
        </w:rPr>
      </w:pPr>
      <w:r>
        <w:rPr>
          <w:rFonts w:hint="eastAsia" w:asciiTheme="minorEastAsia" w:hAnsiTheme="minorEastAsia" w:cstheme="minorEastAsia"/>
          <w:b/>
          <w:bCs/>
          <w:sz w:val="28"/>
          <w:szCs w:val="28"/>
          <w:lang w:val="en-US" w:eastAsia="zh-CN"/>
        </w:rPr>
        <w:t>（二）</w:t>
      </w:r>
      <w:r>
        <w:rPr>
          <w:rFonts w:hint="eastAsia" w:asciiTheme="minorEastAsia" w:hAnsiTheme="minorEastAsia" w:eastAsiaTheme="minorEastAsia" w:cstheme="minorEastAsia"/>
          <w:b/>
          <w:bCs/>
          <w:sz w:val="28"/>
          <w:szCs w:val="28"/>
          <w:lang w:val="en-US" w:eastAsia="zh-CN"/>
        </w:rPr>
        <w:t>主题活动的策划与执行</w:t>
      </w:r>
    </w:p>
    <w:p>
      <w:pPr>
        <w:spacing w:line="360" w:lineRule="auto"/>
        <w:rPr>
          <w:rFonts w:hint="eastAsia"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lang w:val="en-US" w:eastAsia="zh-CN"/>
        </w:rPr>
        <w:t>1、中心品牌活动及节庆主题活动</w:t>
      </w:r>
    </w:p>
    <w:p>
      <w:pPr>
        <w:spacing w:line="360" w:lineRule="auto"/>
        <w:rPr>
          <w:rFonts w:hint="eastAsia"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lang w:val="en-US" w:eastAsia="zh-CN"/>
        </w:rPr>
        <w:t>（1）每月至少开展2次品牌或节庆主题活动；</w:t>
      </w:r>
    </w:p>
    <w:p>
      <w:pPr>
        <w:spacing w:line="360" w:lineRule="auto"/>
        <w:rPr>
          <w:rFonts w:hint="eastAsia"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lang w:val="en-US" w:eastAsia="zh-CN"/>
        </w:rPr>
        <w:t>（2）场均参与人次目标：不低于40人次/场，全年累计覆盖不低于960人次；</w:t>
      </w:r>
    </w:p>
    <w:p>
      <w:pPr>
        <w:spacing w:line="360" w:lineRule="auto"/>
        <w:rPr>
          <w:rFonts w:hint="eastAsia"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lang w:val="en-US" w:eastAsia="zh-CN"/>
        </w:rPr>
        <w:t>（3）活动内容需体现文化传承、健康促进、社区融合等主题。</w:t>
      </w:r>
    </w:p>
    <w:p>
      <w:pPr>
        <w:spacing w:line="360" w:lineRule="auto"/>
        <w:rPr>
          <w:rFonts w:hint="eastAsia" w:asciiTheme="minorEastAsia" w:hAnsiTheme="minorEastAsia" w:eastAsiaTheme="minorEastAsia" w:cstheme="minorEastAsia"/>
          <w:sz w:val="28"/>
          <w:szCs w:val="28"/>
          <w:highlight w:val="none"/>
          <w:lang w:val="en-US" w:eastAsia="zh-CN"/>
        </w:rPr>
      </w:pPr>
      <w:r>
        <w:rPr>
          <w:rFonts w:hint="eastAsia" w:asciiTheme="minorEastAsia" w:hAnsiTheme="minorEastAsia" w:eastAsiaTheme="minorEastAsia" w:cstheme="minorEastAsia"/>
          <w:sz w:val="28"/>
          <w:szCs w:val="28"/>
          <w:highlight w:val="none"/>
          <w:lang w:val="en-US" w:eastAsia="zh-CN"/>
        </w:rPr>
        <w:t>2、老年文化交流活动</w:t>
      </w:r>
    </w:p>
    <w:p>
      <w:pPr>
        <w:spacing w:line="360" w:lineRule="auto"/>
        <w:rPr>
          <w:rFonts w:hint="eastAsia" w:asciiTheme="minorEastAsia" w:hAnsiTheme="minorEastAsia" w:eastAsiaTheme="minorEastAsia" w:cstheme="minorEastAsia"/>
          <w:sz w:val="28"/>
          <w:szCs w:val="28"/>
          <w:highlight w:val="none"/>
          <w:lang w:val="en-US" w:eastAsia="zh-CN"/>
        </w:rPr>
      </w:pPr>
      <w:r>
        <w:rPr>
          <w:rFonts w:hint="eastAsia" w:asciiTheme="minorEastAsia" w:hAnsiTheme="minorEastAsia" w:eastAsiaTheme="minorEastAsia" w:cstheme="minorEastAsia"/>
          <w:sz w:val="28"/>
          <w:szCs w:val="28"/>
          <w:highlight w:val="none"/>
          <w:lang w:val="en-US" w:eastAsia="zh-CN"/>
        </w:rPr>
        <w:t>（1）每月至少开展15场老年文化交流活动（如书画课程、智能化教辅课程、甲骨文课程、手机课程、活力健康操、沪剧沙龙等多元化主题活动）；</w:t>
      </w:r>
    </w:p>
    <w:p>
      <w:pPr>
        <w:spacing w:line="360" w:lineRule="auto"/>
        <w:rPr>
          <w:rFonts w:hint="eastAsia" w:asciiTheme="minorEastAsia" w:hAnsiTheme="minorEastAsia" w:eastAsiaTheme="minorEastAsia" w:cstheme="minorEastAsia"/>
          <w:sz w:val="28"/>
          <w:szCs w:val="28"/>
          <w:highlight w:val="none"/>
          <w:lang w:val="en-US" w:eastAsia="zh-CN"/>
        </w:rPr>
      </w:pPr>
      <w:r>
        <w:rPr>
          <w:rFonts w:hint="eastAsia" w:asciiTheme="minorEastAsia" w:hAnsiTheme="minorEastAsia" w:eastAsiaTheme="minorEastAsia" w:cstheme="minorEastAsia"/>
          <w:sz w:val="28"/>
          <w:szCs w:val="28"/>
          <w:highlight w:val="none"/>
          <w:lang w:val="en-US" w:eastAsia="zh-CN"/>
        </w:rPr>
        <w:t>（2）场均参与人次目标：不低于12人次/场，全年累计覆盖不低于3200人次；</w:t>
      </w:r>
    </w:p>
    <w:p>
      <w:pPr>
        <w:spacing w:line="360" w:lineRule="auto"/>
        <w:rPr>
          <w:rFonts w:hint="eastAsia" w:asciiTheme="minorEastAsia" w:hAnsiTheme="minorEastAsia" w:eastAsiaTheme="minorEastAsia" w:cstheme="minorEastAsia"/>
          <w:sz w:val="28"/>
          <w:szCs w:val="28"/>
          <w:highlight w:val="none"/>
          <w:lang w:val="en-US" w:eastAsia="zh-CN"/>
        </w:rPr>
      </w:pPr>
      <w:r>
        <w:rPr>
          <w:rFonts w:hint="eastAsia" w:asciiTheme="minorEastAsia" w:hAnsiTheme="minorEastAsia" w:eastAsiaTheme="minorEastAsia" w:cstheme="minorEastAsia"/>
          <w:sz w:val="28"/>
          <w:szCs w:val="28"/>
          <w:highlight w:val="none"/>
          <w:lang w:val="en-US" w:eastAsia="zh-CN"/>
        </w:rPr>
        <w:t>（3）活动需覆盖不同老年群体兴趣需求，提升社区文化氛围；</w:t>
      </w:r>
    </w:p>
    <w:p>
      <w:pPr>
        <w:spacing w:line="360" w:lineRule="auto"/>
        <w:rPr>
          <w:rFonts w:hint="eastAsia"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lang w:val="en-US" w:eastAsia="zh-CN"/>
        </w:rPr>
        <w:t>3、下沉式社区美好生活服务站活动</w:t>
      </w:r>
    </w:p>
    <w:p>
      <w:pPr>
        <w:spacing w:line="360" w:lineRule="auto"/>
        <w:rPr>
          <w:rFonts w:hint="eastAsia"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lang w:val="en-US" w:eastAsia="zh-CN"/>
        </w:rPr>
        <w:t>（1）结合社区实际需求，每月开展3场便民服务、健康讲座、文娱手工等主题活动；</w:t>
      </w:r>
    </w:p>
    <w:p>
      <w:pPr>
        <w:spacing w:line="360" w:lineRule="auto"/>
        <w:rPr>
          <w:rFonts w:hint="eastAsia"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lang w:val="en-US" w:eastAsia="zh-CN"/>
        </w:rPr>
        <w:t>（2）场均参与人次目标：不低于10人次/场，全年累计覆盖不低于360人次；</w:t>
      </w:r>
    </w:p>
    <w:p>
      <w:pPr>
        <w:spacing w:line="360" w:lineRule="auto"/>
        <w:rPr>
          <w:rFonts w:hint="eastAsia"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lang w:val="en-US" w:eastAsia="zh-CN"/>
        </w:rPr>
        <w:t>（3）深入社区“家门口”服务，将服务精准对接老年人精神文化、健康管理等高频需求，切实提升服务可及性与群众获得感。</w:t>
      </w:r>
    </w:p>
    <w:p>
      <w:pPr>
        <w:spacing w:line="360" w:lineRule="auto"/>
        <w:rPr>
          <w:rFonts w:hint="eastAsia" w:asciiTheme="minorEastAsia" w:hAnsiTheme="minorEastAsia" w:eastAsiaTheme="minorEastAsia" w:cstheme="minorEastAsia"/>
          <w:b/>
          <w:bCs/>
          <w:sz w:val="28"/>
          <w:szCs w:val="28"/>
        </w:rPr>
      </w:pPr>
      <w:r>
        <w:rPr>
          <w:rFonts w:hint="eastAsia" w:asciiTheme="minorEastAsia" w:hAnsiTheme="minorEastAsia" w:eastAsiaTheme="minorEastAsia" w:cstheme="minorEastAsia"/>
          <w:b/>
          <w:bCs/>
          <w:sz w:val="28"/>
          <w:szCs w:val="28"/>
        </w:rPr>
        <w:t>三、服务对象</w:t>
      </w:r>
    </w:p>
    <w:p>
      <w:pPr>
        <w:spacing w:line="360" w:lineRule="auto"/>
        <w:ind w:firstLine="560" w:firstLineChars="200"/>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虹桥街道辖区内60 周岁及以上的老年群体。</w:t>
      </w:r>
    </w:p>
    <w:p>
      <w:pPr>
        <w:spacing w:line="360" w:lineRule="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b/>
          <w:bCs/>
          <w:sz w:val="28"/>
          <w:szCs w:val="28"/>
        </w:rPr>
        <w:t>四、服务期限</w:t>
      </w:r>
    </w:p>
    <w:p>
      <w:pPr>
        <w:spacing w:line="360" w:lineRule="auto"/>
        <w:ind w:firstLine="560" w:firstLineChars="200"/>
        <w:rPr>
          <w:rFonts w:hint="eastAsia" w:asciiTheme="minorEastAsia" w:hAnsiTheme="minorEastAsia" w:eastAsiaTheme="minorEastAsia" w:cstheme="minorEastAsia"/>
          <w:color w:val="FF0000"/>
          <w:sz w:val="28"/>
          <w:szCs w:val="28"/>
        </w:rPr>
      </w:pPr>
      <w:r>
        <w:rPr>
          <w:rFonts w:hint="eastAsia" w:asciiTheme="minorEastAsia" w:hAnsiTheme="minorEastAsia" w:eastAsiaTheme="minorEastAsia" w:cstheme="minorEastAsia"/>
          <w:sz w:val="28"/>
          <w:szCs w:val="28"/>
        </w:rPr>
        <w:t>本项目报价按服务期限为12个月。</w:t>
      </w:r>
    </w:p>
    <w:p>
      <w:pPr>
        <w:spacing w:line="360" w:lineRule="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b/>
          <w:bCs/>
          <w:sz w:val="28"/>
          <w:szCs w:val="28"/>
        </w:rPr>
        <w:t>五、服务费用</w:t>
      </w:r>
    </w:p>
    <w:p>
      <w:pPr>
        <w:spacing w:line="360" w:lineRule="auto"/>
        <w:ind w:firstLine="560" w:firstLineChars="200"/>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lang w:eastAsia="zh-CN"/>
        </w:rPr>
        <w:t>虹桥街道社区综合为老服务中心</w:t>
      </w:r>
      <w:r>
        <w:rPr>
          <w:rFonts w:hint="eastAsia" w:asciiTheme="minorEastAsia" w:hAnsiTheme="minorEastAsia" w:eastAsiaTheme="minorEastAsia" w:cstheme="minorEastAsia"/>
          <w:sz w:val="28"/>
          <w:szCs w:val="28"/>
        </w:rPr>
        <w:t>运营管理项目服务费用主要为人员成本</w:t>
      </w:r>
      <w:r>
        <w:rPr>
          <w:rFonts w:hint="eastAsia" w:asciiTheme="minorEastAsia" w:hAnsiTheme="minorEastAsia" w:eastAsiaTheme="minorEastAsia" w:cstheme="minorEastAsia"/>
          <w:sz w:val="28"/>
          <w:szCs w:val="28"/>
          <w:lang w:eastAsia="zh-CN"/>
        </w:rPr>
        <w:t>（</w:t>
      </w:r>
      <w:r>
        <w:rPr>
          <w:rFonts w:hint="eastAsia" w:asciiTheme="minorEastAsia" w:hAnsiTheme="minorEastAsia" w:eastAsiaTheme="minorEastAsia" w:cstheme="minorEastAsia"/>
          <w:sz w:val="28"/>
          <w:szCs w:val="28"/>
          <w:lang w:val="en-US" w:eastAsia="zh-CN"/>
        </w:rPr>
        <w:t>含外部</w:t>
      </w:r>
      <w:r>
        <w:rPr>
          <w:rFonts w:hint="eastAsia" w:asciiTheme="minorEastAsia" w:hAnsiTheme="minorEastAsia" w:eastAsiaTheme="minorEastAsia" w:cstheme="minorEastAsia"/>
          <w:sz w:val="28"/>
          <w:szCs w:val="28"/>
        </w:rPr>
        <w:t>讲师及志愿者费用</w:t>
      </w:r>
      <w:r>
        <w:rPr>
          <w:rFonts w:hint="eastAsia" w:asciiTheme="minorEastAsia" w:hAnsiTheme="minorEastAsia" w:eastAsiaTheme="minorEastAsia" w:cstheme="minorEastAsia"/>
          <w:sz w:val="28"/>
          <w:szCs w:val="28"/>
          <w:lang w:eastAsia="zh-CN"/>
        </w:rPr>
        <w:t>）</w:t>
      </w:r>
      <w:r>
        <w:rPr>
          <w:rFonts w:hint="eastAsia" w:asciiTheme="minorEastAsia" w:hAnsiTheme="minorEastAsia" w:eastAsiaTheme="minorEastAsia" w:cstheme="minorEastAsia"/>
          <w:sz w:val="28"/>
          <w:szCs w:val="28"/>
        </w:rPr>
        <w:t>、活动物料费用、送餐费用等。</w:t>
      </w:r>
    </w:p>
    <w:p>
      <w:pPr>
        <w:spacing w:line="360" w:lineRule="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b/>
          <w:bCs/>
          <w:sz w:val="28"/>
          <w:szCs w:val="28"/>
        </w:rPr>
        <w:t>六、相关要求</w:t>
      </w:r>
    </w:p>
    <w:p>
      <w:pPr>
        <w:spacing w:line="360" w:lineRule="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b/>
          <w:bCs/>
          <w:sz w:val="28"/>
          <w:szCs w:val="28"/>
        </w:rPr>
        <w:t>（一）对</w:t>
      </w:r>
      <w:r>
        <w:rPr>
          <w:rFonts w:hint="eastAsia" w:asciiTheme="minorEastAsia" w:hAnsiTheme="minorEastAsia" w:cstheme="minorEastAsia"/>
          <w:b/>
          <w:bCs/>
          <w:sz w:val="28"/>
          <w:szCs w:val="28"/>
          <w:lang w:eastAsia="zh-CN"/>
        </w:rPr>
        <w:t>响应</w:t>
      </w:r>
      <w:r>
        <w:rPr>
          <w:rFonts w:hint="eastAsia" w:asciiTheme="minorEastAsia" w:hAnsiTheme="minorEastAsia" w:eastAsiaTheme="minorEastAsia" w:cstheme="minorEastAsia"/>
          <w:b/>
          <w:bCs/>
          <w:sz w:val="28"/>
          <w:szCs w:val="28"/>
        </w:rPr>
        <w:t>人的相关要求</w:t>
      </w:r>
    </w:p>
    <w:p>
      <w:pPr>
        <w:spacing w:line="360" w:lineRule="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1、基本要求</w:t>
      </w:r>
    </w:p>
    <w:p>
      <w:pPr>
        <w:numPr>
          <w:ilvl w:val="0"/>
          <w:numId w:val="0"/>
        </w:numPr>
        <w:spacing w:line="360" w:lineRule="auto"/>
        <w:ind w:leftChars="0"/>
        <w:rPr>
          <w:rFonts w:hint="eastAsia" w:asciiTheme="minorEastAsia" w:hAnsiTheme="minorEastAsia" w:eastAsiaTheme="minorEastAsia" w:cstheme="minorEastAsia"/>
          <w:sz w:val="28"/>
          <w:szCs w:val="28"/>
          <w:lang w:eastAsia="zh-CN"/>
        </w:rPr>
      </w:pPr>
      <w:r>
        <w:rPr>
          <w:rFonts w:hint="eastAsia" w:asciiTheme="minorEastAsia" w:hAnsiTheme="minorEastAsia" w:cstheme="minorEastAsia"/>
          <w:sz w:val="28"/>
          <w:szCs w:val="28"/>
          <w:lang w:eastAsia="zh-CN"/>
        </w:rPr>
        <w:t>（</w:t>
      </w:r>
      <w:r>
        <w:rPr>
          <w:rFonts w:hint="eastAsia" w:asciiTheme="minorEastAsia" w:hAnsiTheme="minorEastAsia" w:cstheme="minorEastAsia"/>
          <w:sz w:val="28"/>
          <w:szCs w:val="28"/>
          <w:lang w:val="en-US" w:eastAsia="zh-CN"/>
        </w:rPr>
        <w:t>1</w:t>
      </w:r>
      <w:r>
        <w:rPr>
          <w:rFonts w:hint="eastAsia" w:asciiTheme="minorEastAsia" w:hAnsiTheme="minorEastAsia" w:cstheme="minorEastAsia"/>
          <w:sz w:val="28"/>
          <w:szCs w:val="28"/>
          <w:lang w:eastAsia="zh-CN"/>
        </w:rPr>
        <w:t>）</w:t>
      </w:r>
      <w:r>
        <w:rPr>
          <w:rFonts w:hint="eastAsia" w:asciiTheme="minorEastAsia" w:hAnsiTheme="minorEastAsia" w:eastAsiaTheme="minorEastAsia" w:cstheme="minorEastAsia"/>
          <w:sz w:val="28"/>
          <w:szCs w:val="28"/>
        </w:rPr>
        <w:t>具有独立承担民事责任的能力</w:t>
      </w:r>
      <w:r>
        <w:rPr>
          <w:rFonts w:hint="eastAsia" w:asciiTheme="minorEastAsia" w:hAnsiTheme="minorEastAsia" w:cstheme="minorEastAsia"/>
          <w:sz w:val="28"/>
          <w:szCs w:val="28"/>
          <w:lang w:eastAsia="zh-CN"/>
        </w:rPr>
        <w:t>。</w:t>
      </w:r>
    </w:p>
    <w:p>
      <w:pPr>
        <w:numPr>
          <w:ilvl w:val="0"/>
          <w:numId w:val="0"/>
        </w:numPr>
        <w:spacing w:line="360" w:lineRule="auto"/>
        <w:ind w:leftChars="0"/>
        <w:rPr>
          <w:rFonts w:hint="eastAsia" w:asciiTheme="minorEastAsia" w:hAnsiTheme="minorEastAsia" w:eastAsiaTheme="minorEastAsia" w:cstheme="minorEastAsia"/>
          <w:sz w:val="28"/>
          <w:szCs w:val="28"/>
          <w:lang w:eastAsia="zh-CN"/>
        </w:rPr>
      </w:pPr>
      <w:r>
        <w:rPr>
          <w:rFonts w:hint="eastAsia" w:asciiTheme="minorEastAsia" w:hAnsiTheme="minorEastAsia" w:cstheme="minorEastAsia"/>
          <w:sz w:val="28"/>
          <w:szCs w:val="28"/>
          <w:lang w:eastAsia="zh-CN"/>
        </w:rPr>
        <w:t>（</w:t>
      </w:r>
      <w:r>
        <w:rPr>
          <w:rFonts w:hint="eastAsia" w:asciiTheme="minorEastAsia" w:hAnsiTheme="minorEastAsia" w:cstheme="minorEastAsia"/>
          <w:sz w:val="28"/>
          <w:szCs w:val="28"/>
          <w:lang w:val="en-US" w:eastAsia="zh-CN"/>
        </w:rPr>
        <w:t>2</w:t>
      </w:r>
      <w:r>
        <w:rPr>
          <w:rFonts w:hint="eastAsia" w:asciiTheme="minorEastAsia" w:hAnsiTheme="minorEastAsia" w:cstheme="minorEastAsia"/>
          <w:sz w:val="28"/>
          <w:szCs w:val="28"/>
          <w:lang w:eastAsia="zh-CN"/>
        </w:rPr>
        <w:t>）</w:t>
      </w:r>
      <w:r>
        <w:rPr>
          <w:rFonts w:hint="eastAsia" w:asciiTheme="minorEastAsia" w:hAnsiTheme="minorEastAsia" w:eastAsiaTheme="minorEastAsia" w:cstheme="minorEastAsia"/>
          <w:sz w:val="28"/>
          <w:szCs w:val="28"/>
        </w:rPr>
        <w:t>具有良好的商业信誉和健全的财务会计制度</w:t>
      </w:r>
      <w:r>
        <w:rPr>
          <w:rFonts w:hint="eastAsia" w:asciiTheme="minorEastAsia" w:hAnsiTheme="minorEastAsia" w:cstheme="minorEastAsia"/>
          <w:sz w:val="28"/>
          <w:szCs w:val="28"/>
          <w:lang w:eastAsia="zh-CN"/>
        </w:rPr>
        <w:t>。</w:t>
      </w:r>
    </w:p>
    <w:p>
      <w:pPr>
        <w:numPr>
          <w:ilvl w:val="0"/>
          <w:numId w:val="0"/>
        </w:numPr>
        <w:spacing w:line="360" w:lineRule="auto"/>
        <w:ind w:leftChars="0"/>
        <w:rPr>
          <w:rFonts w:hint="eastAsia" w:asciiTheme="minorEastAsia" w:hAnsiTheme="minorEastAsia" w:eastAsiaTheme="minorEastAsia" w:cstheme="minorEastAsia"/>
          <w:sz w:val="28"/>
          <w:szCs w:val="28"/>
          <w:lang w:eastAsia="zh-CN"/>
        </w:rPr>
      </w:pPr>
      <w:r>
        <w:rPr>
          <w:rFonts w:hint="eastAsia" w:asciiTheme="minorEastAsia" w:hAnsiTheme="minorEastAsia" w:cstheme="minorEastAsia"/>
          <w:sz w:val="28"/>
          <w:szCs w:val="28"/>
          <w:lang w:eastAsia="zh-CN"/>
        </w:rPr>
        <w:t>（</w:t>
      </w:r>
      <w:r>
        <w:rPr>
          <w:rFonts w:hint="eastAsia" w:asciiTheme="minorEastAsia" w:hAnsiTheme="minorEastAsia" w:cstheme="minorEastAsia"/>
          <w:sz w:val="28"/>
          <w:szCs w:val="28"/>
          <w:lang w:val="en-US" w:eastAsia="zh-CN"/>
        </w:rPr>
        <w:t>3</w:t>
      </w:r>
      <w:r>
        <w:rPr>
          <w:rFonts w:hint="eastAsia" w:asciiTheme="minorEastAsia" w:hAnsiTheme="minorEastAsia" w:cstheme="minorEastAsia"/>
          <w:sz w:val="28"/>
          <w:szCs w:val="28"/>
          <w:lang w:eastAsia="zh-CN"/>
        </w:rPr>
        <w:t>）</w:t>
      </w:r>
      <w:r>
        <w:rPr>
          <w:rFonts w:hint="eastAsia" w:asciiTheme="minorEastAsia" w:hAnsiTheme="minorEastAsia" w:eastAsiaTheme="minorEastAsia" w:cstheme="minorEastAsia"/>
          <w:sz w:val="28"/>
          <w:szCs w:val="28"/>
        </w:rPr>
        <w:t>具有履行合同所必需的设备和专业技术能力</w:t>
      </w:r>
      <w:r>
        <w:rPr>
          <w:rFonts w:hint="eastAsia" w:asciiTheme="minorEastAsia" w:hAnsiTheme="minorEastAsia" w:cstheme="minorEastAsia"/>
          <w:sz w:val="28"/>
          <w:szCs w:val="28"/>
          <w:lang w:eastAsia="zh-CN"/>
        </w:rPr>
        <w:t>。</w:t>
      </w:r>
    </w:p>
    <w:p>
      <w:pPr>
        <w:numPr>
          <w:ilvl w:val="0"/>
          <w:numId w:val="0"/>
        </w:numPr>
        <w:spacing w:line="360" w:lineRule="auto"/>
        <w:ind w:leftChars="0"/>
        <w:rPr>
          <w:rFonts w:hint="eastAsia" w:asciiTheme="minorEastAsia" w:hAnsiTheme="minorEastAsia" w:eastAsiaTheme="minorEastAsia" w:cstheme="minorEastAsia"/>
          <w:sz w:val="28"/>
          <w:szCs w:val="28"/>
          <w:lang w:eastAsia="zh-CN"/>
        </w:rPr>
      </w:pPr>
      <w:r>
        <w:rPr>
          <w:rFonts w:hint="eastAsia" w:asciiTheme="minorEastAsia" w:hAnsiTheme="minorEastAsia" w:cstheme="minorEastAsia"/>
          <w:sz w:val="28"/>
          <w:szCs w:val="28"/>
          <w:lang w:eastAsia="zh-CN"/>
        </w:rPr>
        <w:t>（</w:t>
      </w:r>
      <w:r>
        <w:rPr>
          <w:rFonts w:hint="eastAsia" w:asciiTheme="minorEastAsia" w:hAnsiTheme="minorEastAsia" w:cstheme="minorEastAsia"/>
          <w:sz w:val="28"/>
          <w:szCs w:val="28"/>
          <w:lang w:val="en-US" w:eastAsia="zh-CN"/>
        </w:rPr>
        <w:t>4</w:t>
      </w:r>
      <w:r>
        <w:rPr>
          <w:rFonts w:hint="eastAsia" w:asciiTheme="minorEastAsia" w:hAnsiTheme="minorEastAsia" w:cstheme="minorEastAsia"/>
          <w:sz w:val="28"/>
          <w:szCs w:val="28"/>
          <w:lang w:eastAsia="zh-CN"/>
        </w:rPr>
        <w:t>）</w:t>
      </w:r>
      <w:r>
        <w:rPr>
          <w:rFonts w:hint="eastAsia" w:asciiTheme="minorEastAsia" w:hAnsiTheme="minorEastAsia" w:eastAsiaTheme="minorEastAsia" w:cstheme="minorEastAsia"/>
          <w:sz w:val="28"/>
          <w:szCs w:val="28"/>
        </w:rPr>
        <w:t>有依法缴纳税收和社会保障资金的良好记录</w:t>
      </w:r>
      <w:r>
        <w:rPr>
          <w:rFonts w:hint="eastAsia" w:asciiTheme="minorEastAsia" w:hAnsiTheme="minorEastAsia" w:cstheme="minorEastAsia"/>
          <w:sz w:val="28"/>
          <w:szCs w:val="28"/>
          <w:lang w:eastAsia="zh-CN"/>
        </w:rPr>
        <w:t>。</w:t>
      </w:r>
    </w:p>
    <w:p>
      <w:pPr>
        <w:numPr>
          <w:ilvl w:val="0"/>
          <w:numId w:val="0"/>
        </w:numPr>
        <w:spacing w:line="360" w:lineRule="auto"/>
        <w:ind w:leftChars="0"/>
        <w:rPr>
          <w:rFonts w:hint="eastAsia" w:asciiTheme="minorEastAsia" w:hAnsiTheme="minorEastAsia" w:eastAsiaTheme="minorEastAsia" w:cstheme="minorEastAsia"/>
          <w:sz w:val="28"/>
          <w:szCs w:val="28"/>
        </w:rPr>
      </w:pPr>
      <w:r>
        <w:rPr>
          <w:rFonts w:hint="eastAsia" w:asciiTheme="minorEastAsia" w:hAnsiTheme="minorEastAsia" w:cstheme="minorEastAsia"/>
          <w:sz w:val="28"/>
          <w:szCs w:val="28"/>
          <w:lang w:eastAsia="zh-CN"/>
        </w:rPr>
        <w:t>（</w:t>
      </w:r>
      <w:r>
        <w:rPr>
          <w:rFonts w:hint="eastAsia" w:asciiTheme="minorEastAsia" w:hAnsiTheme="minorEastAsia" w:cstheme="minorEastAsia"/>
          <w:sz w:val="28"/>
          <w:szCs w:val="28"/>
          <w:lang w:val="en-US" w:eastAsia="zh-CN"/>
        </w:rPr>
        <w:t>5</w:t>
      </w:r>
      <w:r>
        <w:rPr>
          <w:rFonts w:hint="eastAsia" w:asciiTheme="minorEastAsia" w:hAnsiTheme="minorEastAsia" w:cstheme="minorEastAsia"/>
          <w:sz w:val="28"/>
          <w:szCs w:val="28"/>
          <w:lang w:eastAsia="zh-CN"/>
        </w:rPr>
        <w:t>）</w:t>
      </w:r>
      <w:r>
        <w:rPr>
          <w:rFonts w:hint="eastAsia" w:asciiTheme="minorEastAsia" w:hAnsiTheme="minorEastAsia" w:eastAsiaTheme="minorEastAsia" w:cstheme="minorEastAsia"/>
          <w:sz w:val="28"/>
          <w:szCs w:val="28"/>
        </w:rPr>
        <w:t>投标人应当具备承担招标项目的能力；国家有关规定对投标人资格条件或者招标文件对投标人资格条件有规定的，投标人应当具备规定的资格条件。</w:t>
      </w:r>
    </w:p>
    <w:p>
      <w:pPr>
        <w:numPr>
          <w:ilvl w:val="0"/>
          <w:numId w:val="0"/>
        </w:numPr>
        <w:spacing w:line="360" w:lineRule="auto"/>
        <w:ind w:leftChars="0"/>
        <w:rPr>
          <w:rFonts w:hint="eastAsia" w:asciiTheme="minorEastAsia" w:hAnsiTheme="minorEastAsia" w:eastAsiaTheme="minorEastAsia" w:cstheme="minorEastAsia"/>
          <w:sz w:val="28"/>
          <w:szCs w:val="28"/>
          <w:lang w:val="en-US" w:eastAsia="zh-CN"/>
        </w:rPr>
      </w:pPr>
      <w:r>
        <w:rPr>
          <w:rFonts w:hint="eastAsia" w:asciiTheme="minorEastAsia" w:hAnsiTheme="minorEastAsia" w:cstheme="minorEastAsia"/>
          <w:sz w:val="28"/>
          <w:szCs w:val="28"/>
          <w:lang w:eastAsia="zh-CN"/>
        </w:rPr>
        <w:t>（</w:t>
      </w:r>
      <w:r>
        <w:rPr>
          <w:rFonts w:hint="eastAsia" w:asciiTheme="minorEastAsia" w:hAnsiTheme="minorEastAsia" w:cstheme="minorEastAsia"/>
          <w:sz w:val="28"/>
          <w:szCs w:val="28"/>
          <w:lang w:val="en-US" w:eastAsia="zh-CN"/>
        </w:rPr>
        <w:t>6</w:t>
      </w:r>
      <w:r>
        <w:rPr>
          <w:rFonts w:hint="eastAsia" w:asciiTheme="minorEastAsia" w:hAnsiTheme="minorEastAsia" w:cstheme="minorEastAsia"/>
          <w:sz w:val="28"/>
          <w:szCs w:val="28"/>
          <w:lang w:eastAsia="zh-CN"/>
        </w:rPr>
        <w:t>）</w:t>
      </w:r>
      <w:r>
        <w:rPr>
          <w:rFonts w:hint="eastAsia" w:asciiTheme="minorEastAsia" w:hAnsiTheme="minorEastAsia" w:eastAsiaTheme="minorEastAsia" w:cstheme="minorEastAsia"/>
          <w:sz w:val="28"/>
          <w:szCs w:val="28"/>
        </w:rPr>
        <w:t>本项目不接受联合体投标。</w:t>
      </w:r>
    </w:p>
    <w:p>
      <w:pPr>
        <w:spacing w:line="360" w:lineRule="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lang w:val="en-US" w:eastAsia="zh-CN"/>
        </w:rPr>
        <w:t>2、</w:t>
      </w:r>
      <w:r>
        <w:rPr>
          <w:rFonts w:hint="eastAsia" w:asciiTheme="minorEastAsia" w:hAnsiTheme="minorEastAsia" w:eastAsiaTheme="minorEastAsia" w:cstheme="minorEastAsia"/>
          <w:sz w:val="28"/>
          <w:szCs w:val="28"/>
        </w:rPr>
        <w:t>专业要求</w:t>
      </w:r>
    </w:p>
    <w:p>
      <w:pPr>
        <w:numPr>
          <w:ilvl w:val="0"/>
          <w:numId w:val="0"/>
        </w:numPr>
        <w:spacing w:line="360" w:lineRule="auto"/>
        <w:ind w:leftChars="0"/>
        <w:rPr>
          <w:rFonts w:hint="eastAsia" w:asciiTheme="minorEastAsia" w:hAnsiTheme="minorEastAsia" w:eastAsiaTheme="minorEastAsia" w:cstheme="minorEastAsia"/>
          <w:sz w:val="28"/>
          <w:szCs w:val="28"/>
          <w:lang w:eastAsia="zh-CN"/>
        </w:rPr>
      </w:pPr>
      <w:r>
        <w:rPr>
          <w:rFonts w:hint="eastAsia" w:asciiTheme="minorEastAsia" w:hAnsiTheme="minorEastAsia" w:cstheme="minorEastAsia"/>
          <w:sz w:val="28"/>
          <w:szCs w:val="28"/>
          <w:lang w:eastAsia="zh-CN"/>
        </w:rPr>
        <w:t>（</w:t>
      </w:r>
      <w:r>
        <w:rPr>
          <w:rFonts w:hint="eastAsia" w:asciiTheme="minorEastAsia" w:hAnsiTheme="minorEastAsia" w:cstheme="minorEastAsia"/>
          <w:sz w:val="28"/>
          <w:szCs w:val="28"/>
          <w:lang w:val="en-US" w:eastAsia="zh-CN"/>
        </w:rPr>
        <w:t>1</w:t>
      </w:r>
      <w:r>
        <w:rPr>
          <w:rFonts w:hint="eastAsia" w:asciiTheme="minorEastAsia" w:hAnsiTheme="minorEastAsia" w:cstheme="minorEastAsia"/>
          <w:sz w:val="28"/>
          <w:szCs w:val="28"/>
          <w:lang w:eastAsia="zh-CN"/>
        </w:rPr>
        <w:t>）</w:t>
      </w:r>
      <w:r>
        <w:rPr>
          <w:rFonts w:hint="eastAsia" w:asciiTheme="minorEastAsia" w:hAnsiTheme="minorEastAsia" w:eastAsiaTheme="minorEastAsia" w:cstheme="minorEastAsia"/>
          <w:sz w:val="28"/>
          <w:szCs w:val="28"/>
        </w:rPr>
        <w:t>本项目为保基本项目，投标人需有管理运营保基本养老机构的运营经验</w:t>
      </w:r>
      <w:r>
        <w:rPr>
          <w:rFonts w:hint="eastAsia" w:asciiTheme="minorEastAsia" w:hAnsiTheme="minorEastAsia" w:cstheme="minorEastAsia"/>
          <w:sz w:val="28"/>
          <w:szCs w:val="28"/>
          <w:lang w:eastAsia="zh-CN"/>
        </w:rPr>
        <w:t>。</w:t>
      </w:r>
    </w:p>
    <w:p>
      <w:pPr>
        <w:numPr>
          <w:ilvl w:val="0"/>
          <w:numId w:val="0"/>
        </w:numPr>
        <w:spacing w:line="360" w:lineRule="auto"/>
        <w:ind w:leftChars="0"/>
        <w:rPr>
          <w:rFonts w:hint="eastAsia" w:asciiTheme="minorEastAsia" w:hAnsiTheme="minorEastAsia" w:eastAsiaTheme="minorEastAsia" w:cstheme="minorEastAsia"/>
          <w:sz w:val="28"/>
          <w:szCs w:val="28"/>
          <w:lang w:eastAsia="zh-CN"/>
        </w:rPr>
      </w:pPr>
      <w:r>
        <w:rPr>
          <w:rFonts w:hint="eastAsia" w:asciiTheme="minorEastAsia" w:hAnsiTheme="minorEastAsia" w:cstheme="minorEastAsia"/>
          <w:sz w:val="28"/>
          <w:szCs w:val="28"/>
          <w:lang w:eastAsia="zh-CN"/>
        </w:rPr>
        <w:t>（</w:t>
      </w:r>
      <w:r>
        <w:rPr>
          <w:rFonts w:hint="eastAsia" w:asciiTheme="minorEastAsia" w:hAnsiTheme="minorEastAsia" w:cstheme="minorEastAsia"/>
          <w:sz w:val="28"/>
          <w:szCs w:val="28"/>
          <w:lang w:val="en-US" w:eastAsia="zh-CN"/>
        </w:rPr>
        <w:t>2</w:t>
      </w:r>
      <w:r>
        <w:rPr>
          <w:rFonts w:hint="eastAsia" w:asciiTheme="minorEastAsia" w:hAnsiTheme="minorEastAsia" w:cstheme="minorEastAsia"/>
          <w:sz w:val="28"/>
          <w:szCs w:val="28"/>
          <w:lang w:eastAsia="zh-CN"/>
        </w:rPr>
        <w:t>）</w:t>
      </w:r>
      <w:r>
        <w:rPr>
          <w:rFonts w:hint="eastAsia" w:asciiTheme="minorEastAsia" w:hAnsiTheme="minorEastAsia" w:eastAsiaTheme="minorEastAsia" w:cstheme="minorEastAsia"/>
          <w:sz w:val="28"/>
          <w:szCs w:val="28"/>
        </w:rPr>
        <w:t>本项目为机构</w:t>
      </w:r>
      <w:r>
        <w:rPr>
          <w:rFonts w:hint="eastAsia" w:asciiTheme="minorEastAsia" w:hAnsiTheme="minorEastAsia" w:eastAsiaTheme="minorEastAsia" w:cstheme="minorEastAsia"/>
          <w:sz w:val="28"/>
          <w:szCs w:val="28"/>
          <w:lang w:eastAsia="zh-CN"/>
        </w:rPr>
        <w:t>（</w:t>
      </w:r>
      <w:r>
        <w:rPr>
          <w:rFonts w:hint="eastAsia" w:asciiTheme="minorEastAsia" w:hAnsiTheme="minorEastAsia" w:eastAsiaTheme="minorEastAsia" w:cstheme="minorEastAsia"/>
          <w:sz w:val="28"/>
          <w:szCs w:val="28"/>
          <w:lang w:val="en-US" w:eastAsia="zh-CN"/>
        </w:rPr>
        <w:t>上海虹桥敬老院</w:t>
      </w:r>
      <w:r>
        <w:rPr>
          <w:rFonts w:hint="eastAsia" w:asciiTheme="minorEastAsia" w:hAnsiTheme="minorEastAsia" w:eastAsiaTheme="minorEastAsia" w:cstheme="minorEastAsia"/>
          <w:sz w:val="28"/>
          <w:szCs w:val="28"/>
          <w:lang w:eastAsia="zh-CN"/>
        </w:rPr>
        <w:t>）</w:t>
      </w:r>
      <w:r>
        <w:rPr>
          <w:rFonts w:hint="eastAsia" w:asciiTheme="minorEastAsia" w:hAnsiTheme="minorEastAsia" w:eastAsiaTheme="minorEastAsia" w:cstheme="minorEastAsia"/>
          <w:sz w:val="28"/>
          <w:szCs w:val="28"/>
        </w:rPr>
        <w:t>、日托、助老便民服务为一体的机构，投标人需有 1 家含有机构、日间照料中心、便民服务为一体的养老综合体或者</w:t>
      </w:r>
      <w:r>
        <w:rPr>
          <w:rFonts w:hint="eastAsia" w:asciiTheme="minorEastAsia" w:hAnsiTheme="minorEastAsia" w:eastAsiaTheme="minorEastAsia" w:cstheme="minorEastAsia"/>
          <w:sz w:val="28"/>
          <w:szCs w:val="28"/>
          <w:lang w:val="en-US" w:eastAsia="zh-CN"/>
        </w:rPr>
        <w:t>社区</w:t>
      </w:r>
      <w:r>
        <w:rPr>
          <w:rFonts w:hint="eastAsia" w:asciiTheme="minorEastAsia" w:hAnsiTheme="minorEastAsia" w:eastAsiaTheme="minorEastAsia" w:cstheme="minorEastAsia"/>
          <w:sz w:val="28"/>
          <w:szCs w:val="28"/>
        </w:rPr>
        <w:t>综合为老服务中心</w:t>
      </w:r>
      <w:r>
        <w:rPr>
          <w:rFonts w:hint="eastAsia" w:asciiTheme="minorEastAsia" w:hAnsiTheme="minorEastAsia" w:cstheme="minorEastAsia"/>
          <w:sz w:val="28"/>
          <w:szCs w:val="28"/>
          <w:lang w:eastAsia="zh-CN"/>
        </w:rPr>
        <w:t>。</w:t>
      </w:r>
    </w:p>
    <w:p>
      <w:pPr>
        <w:numPr>
          <w:ilvl w:val="0"/>
          <w:numId w:val="0"/>
        </w:numPr>
        <w:spacing w:line="360" w:lineRule="auto"/>
        <w:ind w:leftChars="0"/>
        <w:rPr>
          <w:rFonts w:hint="eastAsia" w:asciiTheme="minorEastAsia" w:hAnsiTheme="minorEastAsia" w:eastAsiaTheme="minorEastAsia" w:cstheme="minorEastAsia"/>
          <w:sz w:val="28"/>
          <w:szCs w:val="28"/>
        </w:rPr>
      </w:pPr>
      <w:r>
        <w:rPr>
          <w:rFonts w:hint="eastAsia" w:asciiTheme="minorEastAsia" w:hAnsiTheme="minorEastAsia" w:cstheme="minorEastAsia"/>
          <w:sz w:val="28"/>
          <w:szCs w:val="28"/>
          <w:lang w:eastAsia="zh-CN"/>
        </w:rPr>
        <w:t>（</w:t>
      </w:r>
      <w:r>
        <w:rPr>
          <w:rFonts w:hint="eastAsia" w:asciiTheme="minorEastAsia" w:hAnsiTheme="minorEastAsia" w:cstheme="minorEastAsia"/>
          <w:sz w:val="28"/>
          <w:szCs w:val="28"/>
          <w:lang w:val="en-US" w:eastAsia="zh-CN"/>
        </w:rPr>
        <w:t>3</w:t>
      </w:r>
      <w:r>
        <w:rPr>
          <w:rFonts w:hint="eastAsia" w:asciiTheme="minorEastAsia" w:hAnsiTheme="minorEastAsia" w:cstheme="minorEastAsia"/>
          <w:sz w:val="28"/>
          <w:szCs w:val="28"/>
          <w:lang w:eastAsia="zh-CN"/>
        </w:rPr>
        <w:t>）</w:t>
      </w:r>
      <w:r>
        <w:rPr>
          <w:rFonts w:hint="eastAsia" w:asciiTheme="minorEastAsia" w:hAnsiTheme="minorEastAsia" w:eastAsiaTheme="minorEastAsia" w:cstheme="minorEastAsia"/>
          <w:sz w:val="28"/>
          <w:szCs w:val="28"/>
        </w:rPr>
        <w:t>鉴于医养结合是今后养老服务的主要方向，投标人或其发起成立的管理机构需有与医疗机构合作经验。</w:t>
      </w:r>
    </w:p>
    <w:p>
      <w:pPr>
        <w:numPr>
          <w:ilvl w:val="0"/>
          <w:numId w:val="0"/>
        </w:numPr>
        <w:spacing w:line="360" w:lineRule="auto"/>
        <w:ind w:leftChars="0"/>
        <w:rPr>
          <w:rFonts w:hint="eastAsia" w:asciiTheme="minorEastAsia" w:hAnsiTheme="minorEastAsia" w:eastAsiaTheme="minorEastAsia" w:cstheme="minorEastAsia"/>
          <w:sz w:val="28"/>
          <w:szCs w:val="28"/>
        </w:rPr>
      </w:pPr>
      <w:r>
        <w:rPr>
          <w:rFonts w:hint="eastAsia" w:asciiTheme="minorEastAsia" w:hAnsiTheme="minorEastAsia" w:cstheme="minorEastAsia"/>
          <w:sz w:val="28"/>
          <w:szCs w:val="28"/>
          <w:lang w:eastAsia="zh-CN"/>
        </w:rPr>
        <w:t>（</w:t>
      </w:r>
      <w:r>
        <w:rPr>
          <w:rFonts w:hint="eastAsia" w:asciiTheme="minorEastAsia" w:hAnsiTheme="minorEastAsia" w:cstheme="minorEastAsia"/>
          <w:sz w:val="28"/>
          <w:szCs w:val="28"/>
          <w:lang w:val="en-US" w:eastAsia="zh-CN"/>
        </w:rPr>
        <w:t>4</w:t>
      </w:r>
      <w:r>
        <w:rPr>
          <w:rFonts w:hint="eastAsia" w:asciiTheme="minorEastAsia" w:hAnsiTheme="minorEastAsia" w:cstheme="minorEastAsia"/>
          <w:sz w:val="28"/>
          <w:szCs w:val="28"/>
          <w:lang w:eastAsia="zh-CN"/>
        </w:rPr>
        <w:t>）</w:t>
      </w:r>
      <w:r>
        <w:rPr>
          <w:rFonts w:hint="eastAsia" w:asciiTheme="minorEastAsia" w:hAnsiTheme="minorEastAsia" w:eastAsiaTheme="minorEastAsia" w:cstheme="minorEastAsia"/>
          <w:sz w:val="28"/>
          <w:szCs w:val="28"/>
        </w:rPr>
        <w:t>鉴于养老机构</w:t>
      </w:r>
      <w:r>
        <w:rPr>
          <w:rFonts w:hint="eastAsia" w:asciiTheme="minorEastAsia" w:hAnsiTheme="minorEastAsia" w:eastAsiaTheme="minorEastAsia" w:cstheme="minorEastAsia"/>
          <w:sz w:val="28"/>
          <w:szCs w:val="28"/>
          <w:lang w:eastAsia="zh-CN"/>
        </w:rPr>
        <w:t>（</w:t>
      </w:r>
      <w:r>
        <w:rPr>
          <w:rFonts w:hint="eastAsia" w:asciiTheme="minorEastAsia" w:hAnsiTheme="minorEastAsia" w:eastAsiaTheme="minorEastAsia" w:cstheme="minorEastAsia"/>
          <w:sz w:val="28"/>
          <w:szCs w:val="28"/>
          <w:lang w:val="en-US" w:eastAsia="zh-CN"/>
        </w:rPr>
        <w:t>上海虹桥敬老院</w:t>
      </w:r>
      <w:r>
        <w:rPr>
          <w:rFonts w:hint="eastAsia" w:asciiTheme="minorEastAsia" w:hAnsiTheme="minorEastAsia" w:eastAsiaTheme="minorEastAsia" w:cstheme="minorEastAsia"/>
          <w:sz w:val="28"/>
          <w:szCs w:val="28"/>
          <w:lang w:eastAsia="zh-CN"/>
        </w:rPr>
        <w:t>）</w:t>
      </w:r>
      <w:r>
        <w:rPr>
          <w:rFonts w:hint="eastAsia" w:asciiTheme="minorEastAsia" w:hAnsiTheme="minorEastAsia" w:eastAsiaTheme="minorEastAsia" w:cstheme="minorEastAsia"/>
          <w:sz w:val="28"/>
          <w:szCs w:val="28"/>
        </w:rPr>
        <w:t>需要进行医养结合，投标人或其发起成立的管理机构需要有设立、管理内设医疗机构的经验。</w:t>
      </w:r>
    </w:p>
    <w:p>
      <w:pPr>
        <w:numPr>
          <w:ilvl w:val="0"/>
          <w:numId w:val="0"/>
        </w:numPr>
        <w:spacing w:line="360" w:lineRule="auto"/>
        <w:ind w:leftChars="0"/>
        <w:rPr>
          <w:rFonts w:hint="eastAsia" w:asciiTheme="minorEastAsia" w:hAnsiTheme="minorEastAsia" w:eastAsiaTheme="minorEastAsia" w:cstheme="minorEastAsia"/>
          <w:sz w:val="28"/>
          <w:szCs w:val="28"/>
        </w:rPr>
      </w:pPr>
      <w:r>
        <w:rPr>
          <w:rFonts w:hint="eastAsia" w:asciiTheme="minorEastAsia" w:hAnsiTheme="minorEastAsia" w:cstheme="minorEastAsia"/>
          <w:sz w:val="28"/>
          <w:szCs w:val="28"/>
          <w:lang w:eastAsia="zh-CN"/>
        </w:rPr>
        <w:t>（</w:t>
      </w:r>
      <w:r>
        <w:rPr>
          <w:rFonts w:hint="eastAsia" w:asciiTheme="minorEastAsia" w:hAnsiTheme="minorEastAsia" w:cstheme="minorEastAsia"/>
          <w:sz w:val="28"/>
          <w:szCs w:val="28"/>
          <w:lang w:val="en-US" w:eastAsia="zh-CN"/>
        </w:rPr>
        <w:t>5</w:t>
      </w:r>
      <w:r>
        <w:rPr>
          <w:rFonts w:hint="eastAsia" w:asciiTheme="minorEastAsia" w:hAnsiTheme="minorEastAsia" w:cstheme="minorEastAsia"/>
          <w:sz w:val="28"/>
          <w:szCs w:val="28"/>
          <w:lang w:eastAsia="zh-CN"/>
        </w:rPr>
        <w:t>）</w:t>
      </w:r>
      <w:r>
        <w:rPr>
          <w:rFonts w:hint="eastAsia" w:asciiTheme="minorEastAsia" w:hAnsiTheme="minorEastAsia" w:eastAsiaTheme="minorEastAsia" w:cstheme="minorEastAsia"/>
          <w:sz w:val="28"/>
          <w:szCs w:val="28"/>
        </w:rPr>
        <w:t>鉴于各类活动组织和安排对老人的服务与管理具有重要作用，养教结合中，组织一些专业的学习活动对于老人的情绪疏导有积极作用，投标人或其发起成立的管理机构如与老年大学有合作经验者尤佳。</w:t>
      </w:r>
    </w:p>
    <w:p>
      <w:pPr>
        <w:numPr>
          <w:ilvl w:val="0"/>
          <w:numId w:val="0"/>
        </w:numPr>
        <w:spacing w:line="360" w:lineRule="auto"/>
        <w:ind w:leftChars="0"/>
        <w:rPr>
          <w:rFonts w:hint="eastAsia" w:asciiTheme="minorEastAsia" w:hAnsiTheme="minorEastAsia" w:eastAsiaTheme="minorEastAsia" w:cstheme="minorEastAsia"/>
          <w:sz w:val="28"/>
          <w:szCs w:val="28"/>
        </w:rPr>
      </w:pPr>
      <w:r>
        <w:rPr>
          <w:rFonts w:hint="eastAsia" w:asciiTheme="minorEastAsia" w:hAnsiTheme="minorEastAsia" w:cstheme="minorEastAsia"/>
          <w:sz w:val="28"/>
          <w:szCs w:val="28"/>
          <w:lang w:eastAsia="zh-CN"/>
        </w:rPr>
        <w:t>（</w:t>
      </w:r>
      <w:r>
        <w:rPr>
          <w:rFonts w:hint="eastAsia" w:asciiTheme="minorEastAsia" w:hAnsiTheme="minorEastAsia" w:cstheme="minorEastAsia"/>
          <w:sz w:val="28"/>
          <w:szCs w:val="28"/>
          <w:lang w:val="en-US" w:eastAsia="zh-CN"/>
        </w:rPr>
        <w:t>6</w:t>
      </w:r>
      <w:r>
        <w:rPr>
          <w:rFonts w:hint="eastAsia" w:asciiTheme="minorEastAsia" w:hAnsiTheme="minorEastAsia" w:cstheme="minorEastAsia"/>
          <w:sz w:val="28"/>
          <w:szCs w:val="28"/>
          <w:lang w:eastAsia="zh-CN"/>
        </w:rPr>
        <w:t>）</w:t>
      </w:r>
      <w:r>
        <w:rPr>
          <w:rFonts w:hint="eastAsia" w:asciiTheme="minorEastAsia" w:hAnsiTheme="minorEastAsia" w:eastAsiaTheme="minorEastAsia" w:cstheme="minorEastAsia"/>
          <w:sz w:val="28"/>
          <w:szCs w:val="28"/>
        </w:rPr>
        <w:t>鉴于老人与中小学生乃至幼儿园小朋友的互动对老人的情绪疏导、精神慰藉有积极作用，投标人或其发起成立的管理机构如有与中小学校结对共建经验尤佳。</w:t>
      </w:r>
    </w:p>
    <w:p>
      <w:pPr>
        <w:numPr>
          <w:ilvl w:val="0"/>
          <w:numId w:val="0"/>
        </w:numPr>
        <w:spacing w:line="360" w:lineRule="auto"/>
        <w:ind w:leftChars="0"/>
        <w:rPr>
          <w:rFonts w:hint="eastAsia" w:asciiTheme="minorEastAsia" w:hAnsiTheme="minorEastAsia" w:eastAsiaTheme="minorEastAsia" w:cstheme="minorEastAsia"/>
          <w:sz w:val="28"/>
          <w:szCs w:val="28"/>
        </w:rPr>
      </w:pPr>
      <w:r>
        <w:rPr>
          <w:rFonts w:hint="eastAsia" w:asciiTheme="minorEastAsia" w:hAnsiTheme="minorEastAsia" w:cstheme="minorEastAsia"/>
          <w:sz w:val="28"/>
          <w:szCs w:val="28"/>
          <w:lang w:eastAsia="zh-CN"/>
        </w:rPr>
        <w:t>（</w:t>
      </w:r>
      <w:r>
        <w:rPr>
          <w:rFonts w:hint="eastAsia" w:asciiTheme="minorEastAsia" w:hAnsiTheme="minorEastAsia" w:cstheme="minorEastAsia"/>
          <w:sz w:val="28"/>
          <w:szCs w:val="28"/>
          <w:lang w:val="en-US" w:eastAsia="zh-CN"/>
        </w:rPr>
        <w:t>7</w:t>
      </w:r>
      <w:r>
        <w:rPr>
          <w:rFonts w:hint="eastAsia" w:asciiTheme="minorEastAsia" w:hAnsiTheme="minorEastAsia" w:cstheme="minorEastAsia"/>
          <w:sz w:val="28"/>
          <w:szCs w:val="28"/>
          <w:lang w:eastAsia="zh-CN"/>
        </w:rPr>
        <w:t>）</w:t>
      </w:r>
      <w:r>
        <w:rPr>
          <w:rFonts w:hint="eastAsia" w:asciiTheme="minorEastAsia" w:hAnsiTheme="minorEastAsia" w:eastAsiaTheme="minorEastAsia" w:cstheme="minorEastAsia"/>
          <w:sz w:val="28"/>
          <w:szCs w:val="28"/>
        </w:rPr>
        <w:t xml:space="preserve">鉴于志愿者是养老机构不可或缺的社会资源，投标人或其发起成立的机构需要有 1 家区级精神文明委员会办公室认定的志愿者服务基地，有组织和管理志愿者公益活动的经验和能力。 </w:t>
      </w:r>
    </w:p>
    <w:p>
      <w:pPr>
        <w:numPr>
          <w:ilvl w:val="0"/>
          <w:numId w:val="0"/>
        </w:numPr>
        <w:spacing w:line="360" w:lineRule="auto"/>
        <w:ind w:leftChars="0"/>
        <w:rPr>
          <w:rFonts w:hint="eastAsia" w:asciiTheme="minorEastAsia" w:hAnsiTheme="minorEastAsia" w:eastAsiaTheme="minorEastAsia" w:cstheme="minorEastAsia"/>
          <w:sz w:val="28"/>
          <w:szCs w:val="28"/>
        </w:rPr>
      </w:pPr>
      <w:r>
        <w:rPr>
          <w:rFonts w:hint="eastAsia" w:asciiTheme="minorEastAsia" w:hAnsiTheme="minorEastAsia" w:cstheme="minorEastAsia"/>
          <w:sz w:val="28"/>
          <w:szCs w:val="28"/>
          <w:lang w:eastAsia="zh-CN"/>
        </w:rPr>
        <w:t>（</w:t>
      </w:r>
      <w:r>
        <w:rPr>
          <w:rFonts w:hint="eastAsia" w:asciiTheme="minorEastAsia" w:hAnsiTheme="minorEastAsia" w:cstheme="minorEastAsia"/>
          <w:sz w:val="28"/>
          <w:szCs w:val="28"/>
          <w:lang w:val="en-US" w:eastAsia="zh-CN"/>
        </w:rPr>
        <w:t>8</w:t>
      </w:r>
      <w:r>
        <w:rPr>
          <w:rFonts w:hint="eastAsia" w:asciiTheme="minorEastAsia" w:hAnsiTheme="minorEastAsia" w:cstheme="minorEastAsia"/>
          <w:sz w:val="28"/>
          <w:szCs w:val="28"/>
          <w:lang w:eastAsia="zh-CN"/>
        </w:rPr>
        <w:t>）</w:t>
      </w:r>
      <w:r>
        <w:rPr>
          <w:rFonts w:hint="eastAsia" w:asciiTheme="minorEastAsia" w:hAnsiTheme="minorEastAsia" w:eastAsiaTheme="minorEastAsia" w:cstheme="minorEastAsia"/>
          <w:sz w:val="28"/>
          <w:szCs w:val="28"/>
        </w:rPr>
        <w:t xml:space="preserve">鉴于该项目敬老院有较多认知症的长者，投标人或其发起成立的机构需要有管理和服务失智失能老人的经验。 </w:t>
      </w:r>
    </w:p>
    <w:p>
      <w:pPr>
        <w:numPr>
          <w:ilvl w:val="0"/>
          <w:numId w:val="0"/>
        </w:numPr>
        <w:spacing w:line="360" w:lineRule="auto"/>
        <w:ind w:leftChars="0"/>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b/>
          <w:bCs/>
          <w:sz w:val="28"/>
          <w:szCs w:val="28"/>
        </w:rPr>
        <w:t>（二）人员配置要求</w:t>
      </w:r>
      <w:r>
        <w:rPr>
          <w:rFonts w:hint="eastAsia" w:asciiTheme="minorEastAsia" w:hAnsiTheme="minorEastAsia" w:eastAsiaTheme="minorEastAsia" w:cstheme="minorEastAsia"/>
          <w:sz w:val="28"/>
          <w:szCs w:val="28"/>
        </w:rPr>
        <w:t xml:space="preserve"> </w:t>
      </w:r>
    </w:p>
    <w:p>
      <w:pPr>
        <w:numPr>
          <w:ilvl w:val="0"/>
          <w:numId w:val="0"/>
        </w:numPr>
        <w:spacing w:line="360" w:lineRule="auto"/>
        <w:ind w:leftChars="0"/>
        <w:rPr>
          <w:rFonts w:hint="eastAsia" w:asciiTheme="minorEastAsia" w:hAnsiTheme="minorEastAsia" w:eastAsiaTheme="minorEastAsia" w:cstheme="minorEastAsia"/>
          <w:sz w:val="28"/>
          <w:szCs w:val="28"/>
        </w:rPr>
      </w:pPr>
    </w:p>
    <w:p>
      <w:pPr>
        <w:numPr>
          <w:ilvl w:val="0"/>
          <w:numId w:val="0"/>
        </w:numPr>
        <w:spacing w:line="360" w:lineRule="auto"/>
        <w:ind w:leftChars="0"/>
        <w:rPr>
          <w:rFonts w:hint="eastAsia" w:asciiTheme="minorEastAsia" w:hAnsiTheme="minorEastAsia" w:eastAsiaTheme="minorEastAsia" w:cstheme="minorEastAsia"/>
          <w:sz w:val="28"/>
          <w:szCs w:val="28"/>
        </w:rPr>
      </w:pPr>
    </w:p>
    <w:p>
      <w:pPr>
        <w:numPr>
          <w:ilvl w:val="0"/>
          <w:numId w:val="0"/>
        </w:numPr>
        <w:spacing w:line="360" w:lineRule="auto"/>
        <w:ind w:leftChars="0"/>
        <w:rPr>
          <w:rFonts w:hint="eastAsia" w:asciiTheme="minorEastAsia" w:hAnsiTheme="minorEastAsia" w:eastAsiaTheme="minorEastAsia" w:cstheme="minorEastAsia"/>
          <w:sz w:val="28"/>
          <w:szCs w:val="28"/>
        </w:rPr>
      </w:pPr>
    </w:p>
    <w:tbl>
      <w:tblPr>
        <w:tblStyle w:val="9"/>
        <w:tblW w:w="7827" w:type="dxa"/>
        <w:jc w:val="center"/>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fixed"/>
        <w:tblCellMar>
          <w:top w:w="0" w:type="dxa"/>
          <w:left w:w="108" w:type="dxa"/>
          <w:bottom w:w="0" w:type="dxa"/>
          <w:right w:w="108" w:type="dxa"/>
        </w:tblCellMar>
      </w:tblPr>
      <w:tblGrid>
        <w:gridCol w:w="536"/>
        <w:gridCol w:w="406"/>
        <w:gridCol w:w="591"/>
        <w:gridCol w:w="595"/>
        <w:gridCol w:w="600"/>
        <w:gridCol w:w="429"/>
        <w:gridCol w:w="428"/>
        <w:gridCol w:w="442"/>
        <w:gridCol w:w="1168"/>
        <w:gridCol w:w="911"/>
        <w:gridCol w:w="380"/>
        <w:gridCol w:w="361"/>
        <w:gridCol w:w="433"/>
        <w:gridCol w:w="547"/>
      </w:tblGrid>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fixed"/>
          <w:tblCellMar>
            <w:top w:w="0" w:type="dxa"/>
            <w:left w:w="108" w:type="dxa"/>
            <w:bottom w:w="0" w:type="dxa"/>
            <w:right w:w="108" w:type="dxa"/>
          </w:tblCellMar>
        </w:tblPrEx>
        <w:trPr>
          <w:trHeight w:val="0" w:hRule="atLeast"/>
          <w:jc w:val="center"/>
        </w:trPr>
        <w:tc>
          <w:tcPr>
            <w:tcW w:w="536" w:type="dxa"/>
            <w:vAlign w:val="center"/>
          </w:tcPr>
          <w:p>
            <w:pPr>
              <w:spacing w:line="360" w:lineRule="auto"/>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岗位</w:t>
            </w:r>
          </w:p>
          <w:p>
            <w:pPr>
              <w:spacing w:line="360" w:lineRule="auto"/>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名称</w:t>
            </w:r>
          </w:p>
        </w:tc>
        <w:tc>
          <w:tcPr>
            <w:tcW w:w="406" w:type="dxa"/>
            <w:vAlign w:val="center"/>
          </w:tcPr>
          <w:p>
            <w:pPr>
              <w:spacing w:line="360" w:lineRule="auto"/>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院长</w:t>
            </w:r>
          </w:p>
        </w:tc>
        <w:tc>
          <w:tcPr>
            <w:tcW w:w="591" w:type="dxa"/>
            <w:vAlign w:val="center"/>
          </w:tcPr>
          <w:p>
            <w:pPr>
              <w:spacing w:line="360" w:lineRule="auto"/>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行政</w:t>
            </w:r>
          </w:p>
          <w:p>
            <w:pPr>
              <w:spacing w:line="360" w:lineRule="auto"/>
              <w:jc w:val="center"/>
              <w:rPr>
                <w:rFonts w:hint="eastAsia" w:asciiTheme="minorEastAsia" w:hAnsiTheme="minorEastAsia" w:eastAsiaTheme="minorEastAsia" w:cstheme="minorEastAsia"/>
                <w:sz w:val="21"/>
                <w:szCs w:val="21"/>
                <w:lang w:eastAsia="zh-CN"/>
              </w:rPr>
            </w:pPr>
            <w:r>
              <w:rPr>
                <w:rFonts w:hint="eastAsia" w:asciiTheme="minorEastAsia" w:hAnsiTheme="minorEastAsia" w:eastAsiaTheme="minorEastAsia" w:cstheme="minorEastAsia"/>
                <w:sz w:val="21"/>
                <w:szCs w:val="21"/>
                <w:lang w:val="en-US" w:eastAsia="zh-CN"/>
              </w:rPr>
              <w:t>主管</w:t>
            </w:r>
          </w:p>
        </w:tc>
        <w:tc>
          <w:tcPr>
            <w:tcW w:w="595" w:type="dxa"/>
            <w:vAlign w:val="center"/>
          </w:tcPr>
          <w:p>
            <w:pPr>
              <w:spacing w:line="360" w:lineRule="auto"/>
              <w:jc w:val="center"/>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后勤主管</w:t>
            </w:r>
          </w:p>
        </w:tc>
        <w:tc>
          <w:tcPr>
            <w:tcW w:w="600" w:type="dxa"/>
            <w:vAlign w:val="center"/>
          </w:tcPr>
          <w:p>
            <w:pPr>
              <w:spacing w:line="360" w:lineRule="auto"/>
              <w:jc w:val="center"/>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护理</w:t>
            </w:r>
          </w:p>
          <w:p>
            <w:pPr>
              <w:spacing w:line="360" w:lineRule="auto"/>
              <w:jc w:val="center"/>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主管</w:t>
            </w:r>
          </w:p>
        </w:tc>
        <w:tc>
          <w:tcPr>
            <w:tcW w:w="429" w:type="dxa"/>
            <w:vAlign w:val="center"/>
          </w:tcPr>
          <w:p>
            <w:pPr>
              <w:spacing w:line="360" w:lineRule="auto"/>
              <w:jc w:val="center"/>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护</w:t>
            </w:r>
          </w:p>
          <w:p>
            <w:pPr>
              <w:spacing w:line="360" w:lineRule="auto"/>
              <w:jc w:val="center"/>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士</w:t>
            </w:r>
          </w:p>
        </w:tc>
        <w:tc>
          <w:tcPr>
            <w:tcW w:w="428" w:type="dxa"/>
            <w:vAlign w:val="center"/>
          </w:tcPr>
          <w:p>
            <w:pPr>
              <w:spacing w:line="360" w:lineRule="auto"/>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行政</w:t>
            </w:r>
          </w:p>
          <w:p>
            <w:pPr>
              <w:spacing w:line="360" w:lineRule="auto"/>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接待</w:t>
            </w:r>
          </w:p>
        </w:tc>
        <w:tc>
          <w:tcPr>
            <w:tcW w:w="442" w:type="dxa"/>
            <w:vAlign w:val="center"/>
          </w:tcPr>
          <w:p>
            <w:pPr>
              <w:spacing w:line="360" w:lineRule="auto"/>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社</w:t>
            </w:r>
          </w:p>
          <w:p>
            <w:pPr>
              <w:spacing w:line="360" w:lineRule="auto"/>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工</w:t>
            </w:r>
          </w:p>
        </w:tc>
        <w:tc>
          <w:tcPr>
            <w:tcW w:w="1168" w:type="dxa"/>
            <w:vAlign w:val="center"/>
          </w:tcPr>
          <w:p>
            <w:pPr>
              <w:spacing w:line="360" w:lineRule="auto"/>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照护员</w:t>
            </w:r>
          </w:p>
          <w:p>
            <w:pPr>
              <w:spacing w:line="360" w:lineRule="auto"/>
              <w:jc w:val="center"/>
              <w:rPr>
                <w:rFonts w:hint="eastAsia" w:asciiTheme="minorEastAsia" w:hAnsiTheme="minorEastAsia" w:eastAsiaTheme="minorEastAsia" w:cstheme="minorEastAsia"/>
                <w:sz w:val="21"/>
                <w:szCs w:val="21"/>
                <w:lang w:eastAsia="zh-CN"/>
              </w:rPr>
            </w:pPr>
            <w:r>
              <w:rPr>
                <w:rFonts w:hint="eastAsia" w:asciiTheme="minorEastAsia" w:hAnsiTheme="minorEastAsia" w:eastAsiaTheme="minorEastAsia" w:cstheme="minorEastAsia"/>
                <w:sz w:val="21"/>
                <w:szCs w:val="21"/>
                <w:lang w:eastAsia="zh-CN"/>
              </w:rPr>
              <w:t>（</w:t>
            </w:r>
            <w:r>
              <w:rPr>
                <w:rFonts w:hint="eastAsia" w:asciiTheme="minorEastAsia" w:hAnsiTheme="minorEastAsia" w:eastAsiaTheme="minorEastAsia" w:cstheme="minorEastAsia"/>
                <w:sz w:val="21"/>
                <w:szCs w:val="21"/>
                <w:lang w:val="en-US" w:eastAsia="zh-CN"/>
              </w:rPr>
              <w:t>含日托</w:t>
            </w:r>
            <w:r>
              <w:rPr>
                <w:rFonts w:hint="eastAsia" w:asciiTheme="minorEastAsia" w:hAnsiTheme="minorEastAsia" w:eastAsiaTheme="minorEastAsia" w:cstheme="minorEastAsia"/>
                <w:sz w:val="21"/>
                <w:szCs w:val="21"/>
                <w:lang w:eastAsia="zh-CN"/>
              </w:rPr>
              <w:t>）</w:t>
            </w:r>
          </w:p>
        </w:tc>
        <w:tc>
          <w:tcPr>
            <w:tcW w:w="911" w:type="dxa"/>
            <w:vAlign w:val="center"/>
          </w:tcPr>
          <w:p>
            <w:pPr>
              <w:spacing w:line="720" w:lineRule="auto"/>
              <w:jc w:val="center"/>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rPr>
              <w:t>洗衣员</w:t>
            </w:r>
          </w:p>
        </w:tc>
        <w:tc>
          <w:tcPr>
            <w:tcW w:w="380" w:type="dxa"/>
            <w:vAlign w:val="center"/>
          </w:tcPr>
          <w:p>
            <w:pPr>
              <w:spacing w:line="360" w:lineRule="auto"/>
              <w:jc w:val="center"/>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厨</w:t>
            </w:r>
          </w:p>
          <w:p>
            <w:pPr>
              <w:spacing w:line="360" w:lineRule="auto"/>
              <w:jc w:val="center"/>
              <w:rPr>
                <w:rFonts w:hint="eastAsia" w:asciiTheme="minorEastAsia" w:hAnsiTheme="minorEastAsia" w:eastAsiaTheme="minorEastAsia" w:cstheme="minorEastAsia"/>
                <w:sz w:val="21"/>
                <w:szCs w:val="21"/>
                <w:lang w:eastAsia="zh-CN"/>
              </w:rPr>
            </w:pPr>
            <w:r>
              <w:rPr>
                <w:rFonts w:hint="eastAsia" w:asciiTheme="minorEastAsia" w:hAnsiTheme="minorEastAsia" w:eastAsiaTheme="minorEastAsia" w:cstheme="minorEastAsia"/>
                <w:sz w:val="21"/>
                <w:szCs w:val="21"/>
                <w:lang w:val="en-US" w:eastAsia="zh-CN"/>
              </w:rPr>
              <w:t>师</w:t>
            </w:r>
          </w:p>
        </w:tc>
        <w:tc>
          <w:tcPr>
            <w:tcW w:w="361" w:type="dxa"/>
            <w:vAlign w:val="center"/>
          </w:tcPr>
          <w:p>
            <w:pPr>
              <w:spacing w:line="360" w:lineRule="auto"/>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厨</w:t>
            </w:r>
          </w:p>
          <w:p>
            <w:pPr>
              <w:spacing w:line="360" w:lineRule="auto"/>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工</w:t>
            </w:r>
          </w:p>
        </w:tc>
        <w:tc>
          <w:tcPr>
            <w:tcW w:w="433" w:type="dxa"/>
            <w:vAlign w:val="center"/>
          </w:tcPr>
          <w:p>
            <w:pPr>
              <w:spacing w:line="360" w:lineRule="auto"/>
              <w:jc w:val="center"/>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出纳</w:t>
            </w:r>
          </w:p>
        </w:tc>
        <w:tc>
          <w:tcPr>
            <w:tcW w:w="547" w:type="dxa"/>
            <w:vAlign w:val="center"/>
          </w:tcPr>
          <w:p>
            <w:pPr>
              <w:spacing w:line="360" w:lineRule="auto"/>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合计</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fixed"/>
          <w:tblCellMar>
            <w:top w:w="0" w:type="dxa"/>
            <w:left w:w="108" w:type="dxa"/>
            <w:bottom w:w="0" w:type="dxa"/>
            <w:right w:w="108" w:type="dxa"/>
          </w:tblCellMar>
        </w:tblPrEx>
        <w:trPr>
          <w:trHeight w:val="0" w:hRule="atLeast"/>
          <w:jc w:val="center"/>
        </w:trPr>
        <w:tc>
          <w:tcPr>
            <w:tcW w:w="536" w:type="dxa"/>
            <w:vAlign w:val="center"/>
          </w:tcPr>
          <w:p>
            <w:pPr>
              <w:spacing w:line="360" w:lineRule="auto"/>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人数</w:t>
            </w:r>
          </w:p>
        </w:tc>
        <w:tc>
          <w:tcPr>
            <w:tcW w:w="406" w:type="dxa"/>
            <w:vAlign w:val="center"/>
          </w:tcPr>
          <w:p>
            <w:pPr>
              <w:spacing w:line="360" w:lineRule="auto"/>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1</w:t>
            </w:r>
          </w:p>
        </w:tc>
        <w:tc>
          <w:tcPr>
            <w:tcW w:w="591" w:type="dxa"/>
            <w:vAlign w:val="center"/>
          </w:tcPr>
          <w:p>
            <w:pPr>
              <w:spacing w:line="360" w:lineRule="auto"/>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1</w:t>
            </w:r>
          </w:p>
        </w:tc>
        <w:tc>
          <w:tcPr>
            <w:tcW w:w="595" w:type="dxa"/>
            <w:vAlign w:val="center"/>
          </w:tcPr>
          <w:p>
            <w:pPr>
              <w:spacing w:line="360" w:lineRule="auto"/>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1</w:t>
            </w:r>
          </w:p>
        </w:tc>
        <w:tc>
          <w:tcPr>
            <w:tcW w:w="600" w:type="dxa"/>
            <w:vAlign w:val="center"/>
          </w:tcPr>
          <w:p>
            <w:pPr>
              <w:spacing w:line="360" w:lineRule="auto"/>
              <w:jc w:val="center"/>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1</w:t>
            </w:r>
          </w:p>
        </w:tc>
        <w:tc>
          <w:tcPr>
            <w:tcW w:w="429" w:type="dxa"/>
            <w:vAlign w:val="center"/>
          </w:tcPr>
          <w:p>
            <w:pPr>
              <w:spacing w:line="360" w:lineRule="auto"/>
              <w:jc w:val="center"/>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1</w:t>
            </w:r>
          </w:p>
        </w:tc>
        <w:tc>
          <w:tcPr>
            <w:tcW w:w="428" w:type="dxa"/>
            <w:vAlign w:val="center"/>
          </w:tcPr>
          <w:p>
            <w:pPr>
              <w:spacing w:line="360" w:lineRule="auto"/>
              <w:jc w:val="center"/>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1</w:t>
            </w:r>
          </w:p>
        </w:tc>
        <w:tc>
          <w:tcPr>
            <w:tcW w:w="442" w:type="dxa"/>
            <w:vAlign w:val="center"/>
          </w:tcPr>
          <w:p>
            <w:pPr>
              <w:spacing w:line="360" w:lineRule="auto"/>
              <w:jc w:val="center"/>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2</w:t>
            </w:r>
          </w:p>
        </w:tc>
        <w:tc>
          <w:tcPr>
            <w:tcW w:w="1168" w:type="dxa"/>
            <w:vAlign w:val="center"/>
          </w:tcPr>
          <w:p>
            <w:pPr>
              <w:spacing w:line="360" w:lineRule="auto"/>
              <w:jc w:val="center"/>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12</w:t>
            </w:r>
          </w:p>
        </w:tc>
        <w:tc>
          <w:tcPr>
            <w:tcW w:w="911" w:type="dxa"/>
            <w:vAlign w:val="center"/>
          </w:tcPr>
          <w:p>
            <w:pPr>
              <w:spacing w:line="360" w:lineRule="auto"/>
              <w:jc w:val="center"/>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2</w:t>
            </w:r>
          </w:p>
        </w:tc>
        <w:tc>
          <w:tcPr>
            <w:tcW w:w="380" w:type="dxa"/>
            <w:vAlign w:val="center"/>
          </w:tcPr>
          <w:p>
            <w:pPr>
              <w:spacing w:line="360" w:lineRule="auto"/>
              <w:jc w:val="center"/>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2</w:t>
            </w:r>
          </w:p>
        </w:tc>
        <w:tc>
          <w:tcPr>
            <w:tcW w:w="361" w:type="dxa"/>
            <w:vAlign w:val="center"/>
          </w:tcPr>
          <w:p>
            <w:pPr>
              <w:spacing w:line="360" w:lineRule="auto"/>
              <w:jc w:val="center"/>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3</w:t>
            </w:r>
          </w:p>
        </w:tc>
        <w:tc>
          <w:tcPr>
            <w:tcW w:w="433" w:type="dxa"/>
            <w:vAlign w:val="center"/>
          </w:tcPr>
          <w:p>
            <w:pPr>
              <w:spacing w:line="360" w:lineRule="auto"/>
              <w:jc w:val="center"/>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1</w:t>
            </w:r>
          </w:p>
        </w:tc>
        <w:tc>
          <w:tcPr>
            <w:tcW w:w="547" w:type="dxa"/>
            <w:vAlign w:val="center"/>
          </w:tcPr>
          <w:p>
            <w:pPr>
              <w:spacing w:line="360" w:lineRule="auto"/>
              <w:jc w:val="center"/>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28</w:t>
            </w:r>
          </w:p>
        </w:tc>
      </w:tr>
    </w:tbl>
    <w:p>
      <w:pPr>
        <w:spacing w:line="360" w:lineRule="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b/>
          <w:bCs/>
          <w:sz w:val="28"/>
          <w:szCs w:val="28"/>
        </w:rPr>
        <w:t>（三）服务内容要求</w:t>
      </w:r>
      <w:r>
        <w:rPr>
          <w:rFonts w:hint="eastAsia" w:asciiTheme="minorEastAsia" w:hAnsiTheme="minorEastAsia" w:eastAsiaTheme="minorEastAsia" w:cstheme="minorEastAsia"/>
          <w:sz w:val="28"/>
          <w:szCs w:val="28"/>
        </w:rPr>
        <w:t xml:space="preserve"> </w:t>
      </w:r>
    </w:p>
    <w:p>
      <w:pPr>
        <w:spacing w:line="360" w:lineRule="auto"/>
        <w:ind w:firstLine="560" w:firstLineChars="200"/>
        <w:rPr>
          <w:rFonts w:hint="eastAsia" w:asciiTheme="minorEastAsia" w:hAnsiTheme="minorEastAsia" w:eastAsiaTheme="minorEastAsia" w:cstheme="minorEastAsia"/>
          <w:sz w:val="28"/>
          <w:szCs w:val="28"/>
          <w:highlight w:val="none"/>
          <w:lang w:eastAsia="zh-CN"/>
        </w:rPr>
      </w:pPr>
      <w:r>
        <w:rPr>
          <w:rFonts w:hint="eastAsia" w:asciiTheme="minorEastAsia" w:hAnsiTheme="minorEastAsia" w:eastAsiaTheme="minorEastAsia" w:cstheme="minorEastAsia"/>
          <w:sz w:val="28"/>
          <w:szCs w:val="28"/>
        </w:rPr>
        <w:t>该项目各项服务内容满意度不低于 95%，</w:t>
      </w:r>
      <w:r>
        <w:rPr>
          <w:rFonts w:hint="eastAsia" w:asciiTheme="minorEastAsia" w:hAnsiTheme="minorEastAsia" w:eastAsiaTheme="minorEastAsia" w:cstheme="minorEastAsia"/>
          <w:sz w:val="28"/>
          <w:szCs w:val="28"/>
          <w:highlight w:val="none"/>
        </w:rPr>
        <w:t>知晓率不低于 9</w:t>
      </w:r>
      <w:r>
        <w:rPr>
          <w:rFonts w:hint="eastAsia" w:asciiTheme="minorEastAsia" w:hAnsiTheme="minorEastAsia" w:eastAsiaTheme="minorEastAsia" w:cstheme="minorEastAsia"/>
          <w:sz w:val="28"/>
          <w:szCs w:val="28"/>
          <w:highlight w:val="none"/>
          <w:lang w:val="en-US" w:eastAsia="zh-CN"/>
        </w:rPr>
        <w:t>0</w:t>
      </w:r>
      <w:r>
        <w:rPr>
          <w:rFonts w:hint="eastAsia" w:asciiTheme="minorEastAsia" w:hAnsiTheme="minorEastAsia" w:eastAsiaTheme="minorEastAsia" w:cstheme="minorEastAsia"/>
          <w:sz w:val="28"/>
          <w:szCs w:val="28"/>
          <w:highlight w:val="none"/>
        </w:rPr>
        <w:t>%</w:t>
      </w:r>
      <w:r>
        <w:rPr>
          <w:rFonts w:hint="eastAsia" w:asciiTheme="minorEastAsia" w:hAnsiTheme="minorEastAsia" w:cstheme="minorEastAsia"/>
          <w:sz w:val="28"/>
          <w:szCs w:val="28"/>
          <w:highlight w:val="none"/>
          <w:lang w:eastAsia="zh-CN"/>
        </w:rPr>
        <w:t>。</w:t>
      </w:r>
    </w:p>
    <w:p>
      <w:pPr>
        <w:spacing w:line="360" w:lineRule="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b/>
          <w:bCs/>
          <w:sz w:val="28"/>
          <w:szCs w:val="28"/>
        </w:rPr>
        <w:t>（四）技术方案要求</w:t>
      </w:r>
      <w:r>
        <w:rPr>
          <w:rFonts w:hint="eastAsia" w:asciiTheme="minorEastAsia" w:hAnsiTheme="minorEastAsia" w:eastAsiaTheme="minorEastAsia" w:cstheme="minorEastAsia"/>
          <w:sz w:val="28"/>
          <w:szCs w:val="28"/>
        </w:rPr>
        <w:t xml:space="preserve"> </w:t>
      </w:r>
    </w:p>
    <w:p>
      <w:pPr>
        <w:spacing w:line="360" w:lineRule="auto"/>
        <w:ind w:firstLine="560" w:firstLineChars="200"/>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投标人对养老行业有深刻的理解，在投标文件中提出具体的运营方案和管理思路。</w:t>
      </w:r>
    </w:p>
    <w:p>
      <w:pPr>
        <w:spacing w:line="360" w:lineRule="auto"/>
        <w:ind w:firstLine="560" w:firstLineChars="200"/>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投标人制定的管理运营方案要阐述“相关管理体系，运营策略，团队配置，业务塑造和服务研发的具体做法”，（包括但不限于：运营成本测算、员工招募和培训工作的安排、伙食费收费标准的测算、以及本招标需求中未提及但有助于项目推进的有关做法）。</w:t>
      </w:r>
    </w:p>
    <w:p>
      <w:pPr>
        <w:spacing w:line="360" w:lineRule="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b/>
          <w:bCs/>
          <w:sz w:val="28"/>
          <w:szCs w:val="28"/>
        </w:rPr>
        <w:t>（五）其他要求</w:t>
      </w:r>
    </w:p>
    <w:p>
      <w:pPr>
        <w:spacing w:line="360" w:lineRule="auto"/>
        <w:ind w:firstLine="560" w:firstLineChars="200"/>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参加本次招标活动前三年内，投标人自觉遵守国家法律法规，在经营活动中无违法记录，无利用不正当手段骗取中标，无重大经济刑事案件。 </w:t>
      </w:r>
    </w:p>
    <w:p>
      <w:pPr>
        <w:spacing w:line="360" w:lineRule="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b/>
          <w:bCs/>
          <w:sz w:val="28"/>
          <w:szCs w:val="28"/>
        </w:rPr>
        <w:t>七、实施进度要求</w:t>
      </w:r>
      <w:r>
        <w:rPr>
          <w:rFonts w:hint="eastAsia" w:asciiTheme="minorEastAsia" w:hAnsiTheme="minorEastAsia" w:eastAsiaTheme="minorEastAsia" w:cstheme="minorEastAsia"/>
          <w:sz w:val="28"/>
          <w:szCs w:val="28"/>
        </w:rPr>
        <w:t xml:space="preserve"> </w:t>
      </w:r>
    </w:p>
    <w:p>
      <w:pPr>
        <w:spacing w:line="360" w:lineRule="auto"/>
        <w:ind w:firstLine="560" w:firstLineChars="200"/>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根据项目服务内容，编制服务方案，并根据服务方案具体落实，保证项目实施的完整性和连贯性。 </w:t>
      </w:r>
    </w:p>
    <w:p>
      <w:pPr>
        <w:spacing w:line="360" w:lineRule="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b/>
          <w:bCs/>
          <w:sz w:val="28"/>
          <w:szCs w:val="28"/>
        </w:rPr>
        <w:t>八、项目合同约定</w:t>
      </w:r>
      <w:r>
        <w:rPr>
          <w:rFonts w:hint="eastAsia" w:asciiTheme="minorEastAsia" w:hAnsiTheme="minorEastAsia" w:eastAsiaTheme="minorEastAsia" w:cstheme="minorEastAsia"/>
          <w:sz w:val="28"/>
          <w:szCs w:val="28"/>
        </w:rPr>
        <w:t xml:space="preserve"> </w:t>
      </w:r>
    </w:p>
    <w:p>
      <w:pPr>
        <w:spacing w:line="360" w:lineRule="auto"/>
        <w:ind w:firstLine="560" w:firstLineChars="200"/>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为明确招标人和中标人的权责，双方应及时签订合同，主要约定以下事项： </w:t>
      </w:r>
    </w:p>
    <w:p>
      <w:pPr>
        <w:spacing w:line="360" w:lineRule="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b/>
          <w:bCs/>
          <w:sz w:val="28"/>
          <w:szCs w:val="28"/>
        </w:rPr>
        <w:t>（一）财务管理</w:t>
      </w:r>
    </w:p>
    <w:p>
      <w:pPr>
        <w:spacing w:line="360" w:lineRule="auto"/>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rPr>
        <w:t>1、</w:t>
      </w:r>
      <w:r>
        <w:rPr>
          <w:rFonts w:hint="eastAsia" w:asciiTheme="minorEastAsia" w:hAnsiTheme="minorEastAsia" w:eastAsiaTheme="minorEastAsia" w:cstheme="minorEastAsia"/>
          <w:sz w:val="28"/>
          <w:szCs w:val="28"/>
          <w:lang w:eastAsia="zh-CN"/>
        </w:rPr>
        <w:t>虹桥街道社区综合为老服务中心</w:t>
      </w:r>
      <w:r>
        <w:rPr>
          <w:rFonts w:hint="eastAsia" w:asciiTheme="minorEastAsia" w:hAnsiTheme="minorEastAsia" w:eastAsiaTheme="minorEastAsia" w:cstheme="minorEastAsia"/>
          <w:sz w:val="28"/>
          <w:szCs w:val="28"/>
        </w:rPr>
        <w:t>（以下简称</w:t>
      </w:r>
      <w:r>
        <w:rPr>
          <w:rFonts w:hint="eastAsia" w:asciiTheme="minorEastAsia" w:hAnsiTheme="minorEastAsia" w:eastAsiaTheme="minorEastAsia" w:cstheme="minorEastAsia"/>
          <w:sz w:val="28"/>
          <w:szCs w:val="28"/>
          <w:lang w:eastAsia="zh-CN"/>
        </w:rPr>
        <w:t>“</w:t>
      </w:r>
      <w:r>
        <w:rPr>
          <w:rFonts w:hint="eastAsia" w:asciiTheme="minorEastAsia" w:hAnsiTheme="minorEastAsia" w:eastAsiaTheme="minorEastAsia" w:cstheme="minorEastAsia"/>
          <w:sz w:val="28"/>
          <w:szCs w:val="28"/>
        </w:rPr>
        <w:t>本机构</w:t>
      </w:r>
      <w:r>
        <w:rPr>
          <w:rFonts w:hint="eastAsia" w:asciiTheme="minorEastAsia" w:hAnsiTheme="minorEastAsia" w:eastAsiaTheme="minorEastAsia" w:cstheme="minorEastAsia"/>
          <w:sz w:val="28"/>
          <w:szCs w:val="28"/>
          <w:lang w:eastAsia="zh-CN"/>
        </w:rPr>
        <w:t>”</w:t>
      </w:r>
      <w:r>
        <w:rPr>
          <w:rFonts w:hint="eastAsia" w:asciiTheme="minorEastAsia" w:hAnsiTheme="minorEastAsia" w:eastAsiaTheme="minorEastAsia" w:cstheme="minorEastAsia"/>
          <w:sz w:val="28"/>
          <w:szCs w:val="28"/>
        </w:rPr>
        <w:t>）具体财务管理方式由街道与运营方在区相关部门指导下协商沟通确定</w:t>
      </w:r>
      <w:r>
        <w:rPr>
          <w:rFonts w:hint="eastAsia" w:asciiTheme="minorEastAsia" w:hAnsiTheme="minorEastAsia" w:cstheme="minorEastAsia"/>
          <w:sz w:val="28"/>
          <w:szCs w:val="28"/>
          <w:lang w:eastAsia="zh-CN"/>
        </w:rPr>
        <w:t>。</w:t>
      </w:r>
    </w:p>
    <w:p>
      <w:pPr>
        <w:spacing w:line="360" w:lineRule="auto"/>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rPr>
        <w:t>2、本机构在委托管理运营期内发生的各项运营费用及工作人员薪酬福利由中标人承担，日常报账由中标人负责</w:t>
      </w:r>
      <w:r>
        <w:rPr>
          <w:rFonts w:hint="eastAsia" w:asciiTheme="minorEastAsia" w:hAnsiTheme="minorEastAsia" w:cstheme="minorEastAsia"/>
          <w:sz w:val="28"/>
          <w:szCs w:val="28"/>
          <w:lang w:eastAsia="zh-CN"/>
        </w:rPr>
        <w:t>。</w:t>
      </w:r>
    </w:p>
    <w:p>
      <w:pPr>
        <w:spacing w:line="360" w:lineRule="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3、中标人对机构财务应做到管理规范、收支有据、账目清楚；强化项目成本管理，减少不必要的开支，以最终达到服务提升、成本降低、社会影响力提高。若出现违规使用机构资金，侵占、挪用、滥用机构的资金、财产，故意损坏、隐匿或丢弃凭证、账簿等不法行为的，招标人有权提前终止合同。 </w:t>
      </w:r>
    </w:p>
    <w:p>
      <w:pPr>
        <w:spacing w:line="360" w:lineRule="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b/>
          <w:bCs/>
          <w:sz w:val="28"/>
          <w:szCs w:val="28"/>
        </w:rPr>
        <w:t>（二）服务收费</w:t>
      </w:r>
    </w:p>
    <w:p>
      <w:pPr>
        <w:spacing w:line="360" w:lineRule="auto"/>
        <w:ind w:firstLine="560" w:firstLineChars="200"/>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本机构服务收费根据市、区养老机构服务收费管理规定执行，实行政府指导价，由区发改委（物价局）对其按成本核价，中标人不得另立名目自行扩大收费范围、内容和标准。 </w:t>
      </w:r>
    </w:p>
    <w:p>
      <w:pPr>
        <w:spacing w:line="360" w:lineRule="auto"/>
        <w:rPr>
          <w:rFonts w:hint="eastAsia" w:asciiTheme="minorEastAsia" w:hAnsiTheme="minorEastAsia" w:eastAsiaTheme="minorEastAsia" w:cstheme="minorEastAsia"/>
          <w:b/>
          <w:bCs/>
          <w:sz w:val="28"/>
          <w:szCs w:val="28"/>
        </w:rPr>
      </w:pPr>
      <w:r>
        <w:rPr>
          <w:rFonts w:hint="eastAsia" w:asciiTheme="minorEastAsia" w:hAnsiTheme="minorEastAsia" w:eastAsiaTheme="minorEastAsia" w:cstheme="minorEastAsia"/>
          <w:b/>
          <w:bCs/>
          <w:sz w:val="28"/>
          <w:szCs w:val="28"/>
        </w:rPr>
        <w:t>（三）员工管理</w:t>
      </w:r>
    </w:p>
    <w:p>
      <w:pPr>
        <w:spacing w:line="360" w:lineRule="auto"/>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rPr>
        <w:t>1、中标人根据本机构运营需要，按照上海市地方标准《养老机构设施与服务要求》（DB31/T685-2013）规范配备各岗位工作人员</w:t>
      </w:r>
      <w:r>
        <w:rPr>
          <w:rFonts w:hint="eastAsia" w:asciiTheme="minorEastAsia" w:hAnsiTheme="minorEastAsia" w:cstheme="minorEastAsia"/>
          <w:sz w:val="28"/>
          <w:szCs w:val="28"/>
          <w:lang w:eastAsia="zh-CN"/>
        </w:rPr>
        <w:t>。</w:t>
      </w:r>
    </w:p>
    <w:p>
      <w:pPr>
        <w:spacing w:line="360" w:lineRule="auto"/>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rPr>
        <w:t>2、中标人可以自主招聘员工，并与员工签订劳动合同，做到规范用工</w:t>
      </w:r>
      <w:r>
        <w:rPr>
          <w:rFonts w:hint="eastAsia" w:asciiTheme="minorEastAsia" w:hAnsiTheme="minorEastAsia" w:cstheme="minorEastAsia"/>
          <w:sz w:val="28"/>
          <w:szCs w:val="28"/>
          <w:lang w:eastAsia="zh-CN"/>
        </w:rPr>
        <w:t>。</w:t>
      </w:r>
    </w:p>
    <w:p>
      <w:pPr>
        <w:spacing w:line="360" w:lineRule="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3、中标人负责对员工进行日常管理、绩效考核、业务培训，健全员工晋升、奖惩考核机制，做好养老服务人员队伍建设，提升员工的业务能力及服务水平。</w:t>
      </w:r>
    </w:p>
    <w:p>
      <w:pPr>
        <w:spacing w:line="360" w:lineRule="auto"/>
        <w:rPr>
          <w:rFonts w:hint="eastAsia" w:asciiTheme="minorEastAsia" w:hAnsiTheme="minorEastAsia" w:eastAsiaTheme="minorEastAsia" w:cstheme="minorEastAsia"/>
          <w:b/>
          <w:bCs/>
          <w:sz w:val="28"/>
          <w:szCs w:val="28"/>
        </w:rPr>
      </w:pPr>
      <w:r>
        <w:rPr>
          <w:rFonts w:hint="eastAsia" w:asciiTheme="minorEastAsia" w:hAnsiTheme="minorEastAsia" w:eastAsiaTheme="minorEastAsia" w:cstheme="minorEastAsia"/>
          <w:b/>
          <w:bCs/>
          <w:sz w:val="28"/>
          <w:szCs w:val="28"/>
        </w:rPr>
        <w:t>（四）固定资产</w:t>
      </w:r>
    </w:p>
    <w:p>
      <w:pPr>
        <w:spacing w:line="360" w:lineRule="auto"/>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rPr>
        <w:t>1、本机构固定资产归属于招标人所有，中标人根据委托约定拥有使用权。招标人需保证中标人运营所必需的硬件设施的齐整完好，确保移交给中标人的固定资产能够正常使用</w:t>
      </w:r>
      <w:r>
        <w:rPr>
          <w:rFonts w:hint="eastAsia" w:asciiTheme="minorEastAsia" w:hAnsiTheme="minorEastAsia" w:cstheme="minorEastAsia"/>
          <w:sz w:val="28"/>
          <w:szCs w:val="28"/>
          <w:lang w:eastAsia="zh-CN"/>
        </w:rPr>
        <w:t>。</w:t>
      </w:r>
    </w:p>
    <w:p>
      <w:pPr>
        <w:spacing w:line="360" w:lineRule="auto"/>
        <w:rPr>
          <w:rFonts w:hint="eastAsia"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rPr>
        <w:t>2、中标人应保证本机构固定资产的安全，做好定期维修、保养、年检，中标人需跟踪固定资产的使用情况，设施设备日常维修由中标人负责出资维修，非人员违规操作导致设施设备重大维修由中标人及时通报招标人，申请区财政专项维修资金开展维修工作</w:t>
      </w:r>
      <w:r>
        <w:rPr>
          <w:rFonts w:hint="eastAsia" w:asciiTheme="minorEastAsia" w:hAnsiTheme="minorEastAsia" w:cstheme="minorEastAsia"/>
          <w:sz w:val="28"/>
          <w:szCs w:val="28"/>
          <w:lang w:eastAsia="zh-CN"/>
        </w:rPr>
        <w:t>。</w:t>
      </w:r>
    </w:p>
    <w:p>
      <w:pPr>
        <w:spacing w:line="360" w:lineRule="auto"/>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rPr>
        <w:t>3、本机构固定资产的申购、报废均需由中标人报请招标人批准认可方可实施，中标人不得私自处置机构固定资产</w:t>
      </w:r>
      <w:r>
        <w:rPr>
          <w:rFonts w:hint="eastAsia" w:asciiTheme="minorEastAsia" w:hAnsiTheme="minorEastAsia" w:cstheme="minorEastAsia"/>
          <w:sz w:val="28"/>
          <w:szCs w:val="28"/>
          <w:lang w:eastAsia="zh-CN"/>
        </w:rPr>
        <w:t>。</w:t>
      </w:r>
    </w:p>
    <w:p>
      <w:pPr>
        <w:spacing w:line="360" w:lineRule="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4、中标人应配合招标人做好固定资产清查，不得无故拒绝任何形式的资产清查。</w:t>
      </w:r>
    </w:p>
    <w:p>
      <w:pPr>
        <w:spacing w:line="360" w:lineRule="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b/>
          <w:bCs/>
          <w:sz w:val="28"/>
          <w:szCs w:val="28"/>
        </w:rPr>
        <w:t>（五）维护修缮</w:t>
      </w:r>
    </w:p>
    <w:p>
      <w:pPr>
        <w:spacing w:line="360" w:lineRule="auto"/>
        <w:ind w:firstLine="560" w:firstLineChars="200"/>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中标人负责对本机构建筑物内外设施的日常维护、保养及修缮，如有重大修缮项目由中标人报请招标人批准，申请区财政专项资金进行修缮。 </w:t>
      </w:r>
    </w:p>
    <w:p>
      <w:pPr>
        <w:spacing w:line="360" w:lineRule="auto"/>
        <w:rPr>
          <w:rFonts w:hint="eastAsia" w:asciiTheme="minorEastAsia" w:hAnsiTheme="minorEastAsia" w:eastAsiaTheme="minorEastAsia" w:cstheme="minorEastAsia"/>
          <w:b/>
          <w:bCs/>
          <w:sz w:val="28"/>
          <w:szCs w:val="28"/>
        </w:rPr>
      </w:pPr>
      <w:r>
        <w:rPr>
          <w:rFonts w:hint="eastAsia" w:asciiTheme="minorEastAsia" w:hAnsiTheme="minorEastAsia" w:eastAsiaTheme="minorEastAsia" w:cstheme="minorEastAsia"/>
          <w:b/>
          <w:bCs/>
          <w:sz w:val="28"/>
          <w:szCs w:val="28"/>
        </w:rPr>
        <w:t>（六）期满交接</w:t>
      </w:r>
    </w:p>
    <w:p>
      <w:pPr>
        <w:spacing w:line="360" w:lineRule="auto"/>
        <w:ind w:firstLine="560" w:firstLineChars="200"/>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在合同届满或提前终止时，中标人应配合招标人做好人、财、物的交接，并移交以下资料：</w:t>
      </w:r>
    </w:p>
    <w:p>
      <w:pPr>
        <w:spacing w:line="360" w:lineRule="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1、设施设备使用、维护、保养、年检资料； </w:t>
      </w:r>
    </w:p>
    <w:p>
      <w:pPr>
        <w:spacing w:line="360" w:lineRule="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2、做好留用员工的交接</w:t>
      </w:r>
      <w:r>
        <w:rPr>
          <w:rFonts w:hint="eastAsia" w:asciiTheme="minorEastAsia" w:hAnsiTheme="minorEastAsia" w:cstheme="minorEastAsia"/>
          <w:sz w:val="28"/>
          <w:szCs w:val="28"/>
          <w:lang w:eastAsia="zh-CN"/>
        </w:rPr>
        <w:t>。</w:t>
      </w:r>
    </w:p>
    <w:p>
      <w:pPr>
        <w:spacing w:line="360" w:lineRule="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b/>
          <w:bCs/>
          <w:sz w:val="28"/>
          <w:szCs w:val="28"/>
        </w:rPr>
        <w:t>九、项目验收方式</w:t>
      </w:r>
    </w:p>
    <w:p>
      <w:pPr>
        <w:spacing w:line="360" w:lineRule="auto"/>
        <w:ind w:firstLine="560" w:firstLineChars="200"/>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招标人负责对本机构的日常运营进行监管，同时委托第三方专业机构对本项目执行情况进行评估并出具评估报告，作为项目经费拨付的依据。</w:t>
      </w:r>
    </w:p>
    <w:p>
      <w:pPr>
        <w:spacing w:line="360" w:lineRule="auto"/>
        <w:ind w:firstLine="560" w:firstLineChars="200"/>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招标人购买服务费用与机构监管情况、考核绩效挂钩。绩效考核内容包括：服务满意度、设施设备维护情况、养老机构服务质量大检查、绩效目标完成情况等。</w:t>
      </w:r>
    </w:p>
    <w:p>
      <w:pPr>
        <w:spacing w:line="360" w:lineRule="auto"/>
        <w:rPr>
          <w:rFonts w:hint="eastAsia" w:asciiTheme="minorEastAsia" w:hAnsiTheme="minorEastAsia" w:eastAsiaTheme="minorEastAsia" w:cstheme="minorEastAsia"/>
          <w:b/>
          <w:bCs/>
          <w:sz w:val="28"/>
          <w:szCs w:val="28"/>
        </w:rPr>
      </w:pPr>
      <w:r>
        <w:rPr>
          <w:rFonts w:hint="eastAsia" w:asciiTheme="minorEastAsia" w:hAnsiTheme="minorEastAsia" w:eastAsiaTheme="minorEastAsia" w:cstheme="minorEastAsia"/>
          <w:b/>
          <w:bCs/>
          <w:sz w:val="28"/>
          <w:szCs w:val="28"/>
        </w:rPr>
        <w:t>十、投标人应响应的事项及承诺</w:t>
      </w:r>
    </w:p>
    <w:p>
      <w:pPr>
        <w:spacing w:line="360" w:lineRule="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b/>
          <w:bCs/>
          <w:sz w:val="28"/>
          <w:szCs w:val="28"/>
        </w:rPr>
        <w:t>（一）</w:t>
      </w:r>
      <w:r>
        <w:rPr>
          <w:rFonts w:hint="eastAsia" w:asciiTheme="minorEastAsia" w:hAnsiTheme="minorEastAsia" w:cstheme="minorEastAsia"/>
          <w:b/>
          <w:bCs/>
          <w:sz w:val="28"/>
          <w:szCs w:val="28"/>
          <w:lang w:eastAsia="zh-CN"/>
        </w:rPr>
        <w:t>响应人</w:t>
      </w:r>
      <w:r>
        <w:rPr>
          <w:rFonts w:hint="eastAsia" w:asciiTheme="minorEastAsia" w:hAnsiTheme="minorEastAsia" w:eastAsiaTheme="minorEastAsia" w:cstheme="minorEastAsia"/>
          <w:b/>
          <w:bCs/>
          <w:sz w:val="28"/>
          <w:szCs w:val="28"/>
        </w:rPr>
        <w:t>需响应的事项</w:t>
      </w:r>
    </w:p>
    <w:p>
      <w:pPr>
        <w:spacing w:line="360" w:lineRule="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1、投标人对养老行业有深刻的理解，在投标文件中提出具体的运营方案和管理思路。（包括但不限于：运营成本测算、员工招募和培训工作的安排、伙食费收费标准的测算、对养老机构投入力度的测算、以及本招标需求中未提及但有助于项目推进的有关做法。）</w:t>
      </w:r>
    </w:p>
    <w:p>
      <w:pPr>
        <w:spacing w:line="360" w:lineRule="auto"/>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rPr>
        <w:t>2、投标人须在投标文件中提出养老机构管理和服务团队的组成情况。管理和服务团队须符合相关要求和资质。管理人员数量必须与开展业务工作相适应，主要管理人员须有大型养老机构管理经验，有管理失能住养老人的相关经验；有运营社区嵌入式长照、日照等经验；护理人员数量必须满足《养老机构设施与服务要求》（DB31/T685-2013）且必须持证上岗（上岗证及健康证）</w:t>
      </w:r>
      <w:r>
        <w:rPr>
          <w:rFonts w:hint="eastAsia" w:asciiTheme="minorEastAsia" w:hAnsiTheme="minorEastAsia" w:cstheme="minorEastAsia"/>
          <w:sz w:val="28"/>
          <w:szCs w:val="28"/>
          <w:lang w:eastAsia="zh-CN"/>
        </w:rPr>
        <w:t>。</w:t>
      </w:r>
    </w:p>
    <w:p>
      <w:pPr>
        <w:spacing w:line="360" w:lineRule="auto"/>
        <w:rPr>
          <w:rFonts w:hint="eastAsia" w:asciiTheme="minorEastAsia" w:hAnsiTheme="minorEastAsia" w:eastAsiaTheme="minorEastAsia" w:cstheme="minorEastAsia"/>
          <w:b/>
          <w:bCs/>
          <w:sz w:val="28"/>
          <w:szCs w:val="28"/>
        </w:rPr>
      </w:pPr>
      <w:r>
        <w:rPr>
          <w:rFonts w:hint="eastAsia" w:asciiTheme="minorEastAsia" w:hAnsiTheme="minorEastAsia" w:eastAsiaTheme="minorEastAsia" w:cstheme="minorEastAsia"/>
          <w:b/>
          <w:bCs/>
          <w:sz w:val="28"/>
          <w:szCs w:val="28"/>
        </w:rPr>
        <w:t>（二）</w:t>
      </w:r>
      <w:r>
        <w:rPr>
          <w:rFonts w:hint="eastAsia" w:asciiTheme="minorEastAsia" w:hAnsiTheme="minorEastAsia" w:cstheme="minorEastAsia"/>
          <w:b/>
          <w:bCs/>
          <w:sz w:val="28"/>
          <w:szCs w:val="28"/>
          <w:lang w:eastAsia="zh-CN"/>
        </w:rPr>
        <w:t>响应人</w:t>
      </w:r>
      <w:r>
        <w:rPr>
          <w:rFonts w:hint="eastAsia" w:asciiTheme="minorEastAsia" w:hAnsiTheme="minorEastAsia" w:eastAsiaTheme="minorEastAsia" w:cstheme="minorEastAsia"/>
          <w:b/>
          <w:bCs/>
          <w:sz w:val="28"/>
          <w:szCs w:val="28"/>
        </w:rPr>
        <w:t>须作出的承诺</w:t>
      </w:r>
    </w:p>
    <w:p>
      <w:pPr>
        <w:spacing w:line="360" w:lineRule="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1、本项目存在各类风险（包括但不限于：安全生产风险、投资风险等），投标人应承诺自行制定风险防范措施，给予妥善实施。 </w:t>
      </w:r>
    </w:p>
    <w:p>
      <w:pPr>
        <w:spacing w:line="360" w:lineRule="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2、投标人承诺按照《上海市养老机构条例》、《上海市养老机构管理和服务基本标准》、《养老机构设施与服务要求》（DB31/T685-2013）等规定配备管理人员、医技人员、护理人员、其他专业技术人员、后勤人员等。 </w:t>
      </w:r>
    </w:p>
    <w:p>
      <w:pPr>
        <w:spacing w:line="360" w:lineRule="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3、投标人应具有良好的社会责任感，必须愿意接受主管单位的监督管理和考核，能积极配合政府做好保障性床位的安排。 </w:t>
      </w:r>
    </w:p>
    <w:p>
      <w:pPr>
        <w:spacing w:line="360" w:lineRule="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4、若中标人提前终止租赁，退出项目管理，承诺会提前 2 个月告知主管部门，并承担相应违约责任。 </w:t>
      </w:r>
    </w:p>
    <w:p>
      <w:pPr>
        <w:spacing w:line="360" w:lineRule="auto"/>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b/>
          <w:bCs/>
          <w:sz w:val="28"/>
          <w:szCs w:val="28"/>
        </w:rPr>
        <w:t>十一、其他声明</w:t>
      </w:r>
    </w:p>
    <w:p>
      <w:pPr>
        <w:spacing w:line="360" w:lineRule="auto"/>
        <w:ind w:firstLine="560" w:firstLineChars="200"/>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在项目合同履行期间，若招标人主体资格、机构性质等发生变更，影响到中标人履行项目合同的，中标人应配合招标人在主管单位的指导下变更项目合同。</w:t>
      </w:r>
    </w:p>
    <w:p>
      <w:pPr>
        <w:spacing w:line="360" w:lineRule="auto"/>
        <w:ind w:firstLine="560" w:firstLineChars="200"/>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其他未尽事宜由招标人与中标签订的项目合同中具体约定。</w:t>
      </w:r>
    </w:p>
    <w:p>
      <w:pPr>
        <w:numPr>
          <w:ilvl w:val="0"/>
          <w:numId w:val="0"/>
        </w:numPr>
        <w:spacing w:line="360" w:lineRule="auto"/>
        <w:rPr>
          <w:rFonts w:hint="eastAsia" w:asciiTheme="minorEastAsia" w:hAnsiTheme="minorEastAsia" w:eastAsiaTheme="minorEastAsia" w:cstheme="minorEastAsia"/>
          <w:b/>
          <w:bCs/>
          <w:sz w:val="28"/>
          <w:szCs w:val="28"/>
        </w:rPr>
      </w:pPr>
      <w:r>
        <w:rPr>
          <w:rFonts w:hint="eastAsia" w:asciiTheme="minorEastAsia" w:hAnsiTheme="minorEastAsia" w:cstheme="minorEastAsia"/>
          <w:b/>
          <w:bCs/>
          <w:sz w:val="28"/>
          <w:szCs w:val="28"/>
          <w:lang w:eastAsia="zh-CN"/>
        </w:rPr>
        <w:t>十二、</w:t>
      </w:r>
      <w:r>
        <w:rPr>
          <w:rFonts w:hint="eastAsia" w:asciiTheme="minorEastAsia" w:hAnsiTheme="minorEastAsia" w:eastAsiaTheme="minorEastAsia" w:cstheme="minorEastAsia"/>
          <w:b/>
          <w:bCs/>
          <w:sz w:val="28"/>
          <w:szCs w:val="28"/>
        </w:rPr>
        <w:t>付款方式</w:t>
      </w:r>
    </w:p>
    <w:p>
      <w:pPr>
        <w:numPr>
          <w:ilvl w:val="0"/>
          <w:numId w:val="0"/>
        </w:numPr>
        <w:spacing w:line="360" w:lineRule="auto"/>
        <w:ind w:firstLine="560"/>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签订合同后拨付总金额的 50%，运行一半时间评估合格后拨付总金额的 40%，服务期限结束并评估验收合格后拨付总金额的10%。</w:t>
      </w:r>
    </w:p>
    <w:p>
      <w:pPr>
        <w:numPr>
          <w:ilvl w:val="0"/>
          <w:numId w:val="0"/>
        </w:numPr>
        <w:spacing w:line="360" w:lineRule="auto"/>
        <w:ind w:firstLine="560"/>
        <w:rPr>
          <w:rFonts w:hint="eastAsia" w:asciiTheme="minorEastAsia" w:hAnsiTheme="minorEastAsia" w:eastAsiaTheme="minorEastAsia" w:cstheme="minorEastAsia"/>
          <w:sz w:val="28"/>
          <w:szCs w:val="28"/>
        </w:rPr>
      </w:pPr>
      <w:r>
        <w:rPr>
          <w:rFonts w:hint="eastAsia" w:ascii="宋体" w:hAnsi="宋体" w:eastAsia="宋体" w:cs="宋体"/>
          <w:sz w:val="28"/>
          <w:szCs w:val="28"/>
        </w:rPr>
        <w:t>注：如出现逾期支付相关费用等情况，采购人将支付中标单位相应利息，如对中标单位造成损失的，依法给予中标单位相关补偿。</w:t>
      </w:r>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DejaVu Sans"/>
    <w:panose1 w:val="02020603050405020304"/>
    <w:charset w:val="CC"/>
    <w:family w:val="roman"/>
    <w:pitch w:val="default"/>
    <w:sig w:usb0="00000000" w:usb1="00000000" w:usb2="00000009" w:usb3="00000000" w:csb0="400001FF" w:csb1="FFFF0000"/>
  </w:font>
  <w:font w:name="宋体">
    <w:altName w:val="方正书宋_GBK"/>
    <w:panose1 w:val="00000000000000000000"/>
    <w:charset w:val="86"/>
    <w:family w:val="auto"/>
    <w:pitch w:val="default"/>
    <w:sig w:usb0="00000000" w:usb1="00000000" w:usb2="00000000" w:usb3="00000000" w:csb0="00000000" w:csb1="00000000"/>
  </w:font>
  <w:font w:name="DejaVu Sans">
    <w:panose1 w:val="020B0603030804020204"/>
    <w:charset w:val="00"/>
    <w:family w:val="roman"/>
    <w:pitch w:val="default"/>
    <w:sig w:usb0="E7006EFF" w:usb1="D200FDFF" w:usb2="0A246029" w:usb3="0400200C" w:csb0="600001FF" w:csb1="DFFF0000"/>
  </w:font>
  <w:font w:name="方正书宋_GBK">
    <w:panose1 w:val="02000000000000000000"/>
    <w:charset w:val="86"/>
    <w:family w:val="auto"/>
    <w:pitch w:val="default"/>
    <w:sig w:usb0="00000001" w:usb1="08000000" w:usb2="00000000" w:usb3="00000000" w:csb0="00040000" w:csb1="00000000"/>
  </w:font>
  <w:font w:name="方正黑体_GBK">
    <w:panose1 w:val="02000000000000000000"/>
    <w:charset w:val="86"/>
    <w:family w:val="auto"/>
    <w:pitch w:val="default"/>
    <w:sig w:usb0="00000001" w:usb1="08000000" w:usb2="00000000" w:usb3="00000000" w:csb0="00040000" w:csb1="00000000"/>
  </w:font>
  <w:font w:name="Calibri">
    <w:altName w:val="DejaVu Sans"/>
    <w:panose1 w:val="020F0502020204030204"/>
    <w:charset w:val="00"/>
    <w:family w:val="swiss"/>
    <w:pitch w:val="default"/>
    <w:sig w:usb0="00000000" w:usb1="00000000"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2"/>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2"/>
  </w:compat>
  <w:docVars>
    <w:docVar w:name="commondata" w:val="eyJoZGlkIjoiYTY4NjA4ZGVhNTA5M2NlMTUzNTk2NDJkYjYzNTNmY2IifQ=="/>
  </w:docVars>
  <w:rsids>
    <w:rsidRoot w:val="00F37A4A"/>
    <w:rsid w:val="00030D49"/>
    <w:rsid w:val="002328D6"/>
    <w:rsid w:val="00232C53"/>
    <w:rsid w:val="00257ED0"/>
    <w:rsid w:val="0027080E"/>
    <w:rsid w:val="00293BE8"/>
    <w:rsid w:val="002A4C9D"/>
    <w:rsid w:val="003752C8"/>
    <w:rsid w:val="00660B94"/>
    <w:rsid w:val="00723C16"/>
    <w:rsid w:val="00773227"/>
    <w:rsid w:val="00832247"/>
    <w:rsid w:val="009015FC"/>
    <w:rsid w:val="009C56A6"/>
    <w:rsid w:val="00AF746E"/>
    <w:rsid w:val="00B2133D"/>
    <w:rsid w:val="00B74B8F"/>
    <w:rsid w:val="00CA7201"/>
    <w:rsid w:val="00CB5522"/>
    <w:rsid w:val="00EC4ED0"/>
    <w:rsid w:val="00F37A4A"/>
    <w:rsid w:val="01A4698D"/>
    <w:rsid w:val="021A6C4F"/>
    <w:rsid w:val="04BF3ADE"/>
    <w:rsid w:val="04BF763A"/>
    <w:rsid w:val="05355B4E"/>
    <w:rsid w:val="057C19CF"/>
    <w:rsid w:val="05D11D1B"/>
    <w:rsid w:val="05ED6802"/>
    <w:rsid w:val="065B7836"/>
    <w:rsid w:val="07373DFF"/>
    <w:rsid w:val="07C338E5"/>
    <w:rsid w:val="089B5FAD"/>
    <w:rsid w:val="09322AD0"/>
    <w:rsid w:val="09524F20"/>
    <w:rsid w:val="098D7D07"/>
    <w:rsid w:val="09B07E99"/>
    <w:rsid w:val="0A5371A2"/>
    <w:rsid w:val="0AC15283"/>
    <w:rsid w:val="0C321039"/>
    <w:rsid w:val="0C825B1D"/>
    <w:rsid w:val="0D643474"/>
    <w:rsid w:val="0D6D057B"/>
    <w:rsid w:val="0E67321C"/>
    <w:rsid w:val="0E925DBF"/>
    <w:rsid w:val="0F977B31"/>
    <w:rsid w:val="0FE95EB3"/>
    <w:rsid w:val="10303AE2"/>
    <w:rsid w:val="1170063A"/>
    <w:rsid w:val="129F0AAB"/>
    <w:rsid w:val="12CC7AF2"/>
    <w:rsid w:val="13A02D2C"/>
    <w:rsid w:val="13BB7B66"/>
    <w:rsid w:val="13D12EE6"/>
    <w:rsid w:val="13DA623E"/>
    <w:rsid w:val="154D0C92"/>
    <w:rsid w:val="170830C2"/>
    <w:rsid w:val="171952CF"/>
    <w:rsid w:val="176A5B2B"/>
    <w:rsid w:val="18291542"/>
    <w:rsid w:val="183B1275"/>
    <w:rsid w:val="189A41EE"/>
    <w:rsid w:val="18E67433"/>
    <w:rsid w:val="190A3122"/>
    <w:rsid w:val="1A736AA5"/>
    <w:rsid w:val="1AE9320B"/>
    <w:rsid w:val="1B5543FC"/>
    <w:rsid w:val="1B866CAC"/>
    <w:rsid w:val="1EB06519"/>
    <w:rsid w:val="1FC63B1B"/>
    <w:rsid w:val="20C55B80"/>
    <w:rsid w:val="20E406FC"/>
    <w:rsid w:val="22E20C6B"/>
    <w:rsid w:val="23264FFC"/>
    <w:rsid w:val="2342795C"/>
    <w:rsid w:val="23720241"/>
    <w:rsid w:val="24125580"/>
    <w:rsid w:val="24243121"/>
    <w:rsid w:val="24771887"/>
    <w:rsid w:val="24E94533"/>
    <w:rsid w:val="26D27249"/>
    <w:rsid w:val="27BB09FE"/>
    <w:rsid w:val="29D532D8"/>
    <w:rsid w:val="2A465F84"/>
    <w:rsid w:val="2B966A97"/>
    <w:rsid w:val="2BA54F2C"/>
    <w:rsid w:val="2BCC4267"/>
    <w:rsid w:val="2BCF1FA9"/>
    <w:rsid w:val="2C5F332D"/>
    <w:rsid w:val="2CB03B88"/>
    <w:rsid w:val="2D5B1D46"/>
    <w:rsid w:val="2E057F04"/>
    <w:rsid w:val="2E21502F"/>
    <w:rsid w:val="2E352597"/>
    <w:rsid w:val="2E450300"/>
    <w:rsid w:val="2E876B6B"/>
    <w:rsid w:val="2FF63FA8"/>
    <w:rsid w:val="304271ED"/>
    <w:rsid w:val="32250B75"/>
    <w:rsid w:val="33554EF0"/>
    <w:rsid w:val="33BB353F"/>
    <w:rsid w:val="35077936"/>
    <w:rsid w:val="352A1E29"/>
    <w:rsid w:val="353A0493"/>
    <w:rsid w:val="36E032BC"/>
    <w:rsid w:val="36EF5067"/>
    <w:rsid w:val="385C2E16"/>
    <w:rsid w:val="38CF3FEF"/>
    <w:rsid w:val="39400042"/>
    <w:rsid w:val="396401D4"/>
    <w:rsid w:val="3A34576A"/>
    <w:rsid w:val="3A9E3272"/>
    <w:rsid w:val="3B530501"/>
    <w:rsid w:val="3C2974B3"/>
    <w:rsid w:val="3C9B215F"/>
    <w:rsid w:val="3D167A38"/>
    <w:rsid w:val="3D1960DA"/>
    <w:rsid w:val="3E9E4690"/>
    <w:rsid w:val="3ECA2888"/>
    <w:rsid w:val="3FDB6D16"/>
    <w:rsid w:val="40AA6A5B"/>
    <w:rsid w:val="40B97058"/>
    <w:rsid w:val="40FF07E3"/>
    <w:rsid w:val="41EA1493"/>
    <w:rsid w:val="42100EF9"/>
    <w:rsid w:val="42240501"/>
    <w:rsid w:val="42642FF3"/>
    <w:rsid w:val="42D40179"/>
    <w:rsid w:val="434370AD"/>
    <w:rsid w:val="43C81360"/>
    <w:rsid w:val="44C9538F"/>
    <w:rsid w:val="453273D9"/>
    <w:rsid w:val="46151BF6"/>
    <w:rsid w:val="492C413F"/>
    <w:rsid w:val="4A4A6F73"/>
    <w:rsid w:val="4A62606A"/>
    <w:rsid w:val="4B81640F"/>
    <w:rsid w:val="4B9F628F"/>
    <w:rsid w:val="4C8F6EBF"/>
    <w:rsid w:val="4CB93F3C"/>
    <w:rsid w:val="4E6600F3"/>
    <w:rsid w:val="4EF37BD9"/>
    <w:rsid w:val="4F3B1580"/>
    <w:rsid w:val="4FB235F0"/>
    <w:rsid w:val="4FF43C08"/>
    <w:rsid w:val="4FF754A7"/>
    <w:rsid w:val="50502E09"/>
    <w:rsid w:val="5076286F"/>
    <w:rsid w:val="50A373DC"/>
    <w:rsid w:val="518E3BE9"/>
    <w:rsid w:val="525E180D"/>
    <w:rsid w:val="52750905"/>
    <w:rsid w:val="53AB0A82"/>
    <w:rsid w:val="5408718B"/>
    <w:rsid w:val="56020701"/>
    <w:rsid w:val="5648104F"/>
    <w:rsid w:val="56CF2CD9"/>
    <w:rsid w:val="57E427B4"/>
    <w:rsid w:val="59F111B9"/>
    <w:rsid w:val="5A5F6122"/>
    <w:rsid w:val="5A783688"/>
    <w:rsid w:val="5AA91EF3"/>
    <w:rsid w:val="5B035736"/>
    <w:rsid w:val="5BD7618C"/>
    <w:rsid w:val="5CBFD599"/>
    <w:rsid w:val="5D1A0A26"/>
    <w:rsid w:val="5E2356B9"/>
    <w:rsid w:val="5F04373C"/>
    <w:rsid w:val="5FAE0B5A"/>
    <w:rsid w:val="613A51F3"/>
    <w:rsid w:val="616B7AA3"/>
    <w:rsid w:val="616C7377"/>
    <w:rsid w:val="61907509"/>
    <w:rsid w:val="62347E94"/>
    <w:rsid w:val="62F53AC8"/>
    <w:rsid w:val="62FD0BCE"/>
    <w:rsid w:val="63500CFE"/>
    <w:rsid w:val="63AF268E"/>
    <w:rsid w:val="63E678B4"/>
    <w:rsid w:val="648C220A"/>
    <w:rsid w:val="64F93617"/>
    <w:rsid w:val="655B0F23"/>
    <w:rsid w:val="65870C23"/>
    <w:rsid w:val="65ED4F2A"/>
    <w:rsid w:val="666D7E19"/>
    <w:rsid w:val="66FB71D3"/>
    <w:rsid w:val="6707201B"/>
    <w:rsid w:val="670A38BA"/>
    <w:rsid w:val="686D2352"/>
    <w:rsid w:val="68D17128"/>
    <w:rsid w:val="68F92A58"/>
    <w:rsid w:val="691E53FA"/>
    <w:rsid w:val="69951B60"/>
    <w:rsid w:val="69FF6FDA"/>
    <w:rsid w:val="6BFE0DC5"/>
    <w:rsid w:val="6C3118E9"/>
    <w:rsid w:val="6C787517"/>
    <w:rsid w:val="6C975BF0"/>
    <w:rsid w:val="6CAE2F39"/>
    <w:rsid w:val="6D633D24"/>
    <w:rsid w:val="6D875C64"/>
    <w:rsid w:val="6DD9682B"/>
    <w:rsid w:val="6F6F4C02"/>
    <w:rsid w:val="6F9A7E0F"/>
    <w:rsid w:val="70313C65"/>
    <w:rsid w:val="70C1148D"/>
    <w:rsid w:val="711A0B9D"/>
    <w:rsid w:val="7185070D"/>
    <w:rsid w:val="726245AA"/>
    <w:rsid w:val="73967291"/>
    <w:rsid w:val="74C7103C"/>
    <w:rsid w:val="75969287"/>
    <w:rsid w:val="76B178AE"/>
    <w:rsid w:val="77735913"/>
    <w:rsid w:val="78621EDA"/>
    <w:rsid w:val="79352A18"/>
    <w:rsid w:val="795E2CD5"/>
    <w:rsid w:val="7A010B4C"/>
    <w:rsid w:val="7A0A5C53"/>
    <w:rsid w:val="7A747570"/>
    <w:rsid w:val="7ACE4ED2"/>
    <w:rsid w:val="7C3E7E36"/>
    <w:rsid w:val="7D913F95"/>
    <w:rsid w:val="7E7F9BAA"/>
    <w:rsid w:val="7EE54599"/>
    <w:rsid w:val="7F1D7B25"/>
    <w:rsid w:val="7F272E03"/>
    <w:rsid w:val="7F728669"/>
    <w:rsid w:val="BEFB88AF"/>
    <w:rsid w:val="D5CEA54F"/>
    <w:rsid w:val="E67C8B87"/>
    <w:rsid w:val="EFFEF200"/>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qFormat="1"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6">
    <w:name w:val="Default Paragraph Font"/>
    <w:semiHidden/>
    <w:unhideWhenUsed/>
    <w:qFormat/>
    <w:uiPriority w:val="1"/>
  </w:style>
  <w:style w:type="table" w:default="1" w:styleId="8">
    <w:name w:val="Normal Table"/>
    <w:semiHidden/>
    <w:unhideWhenUsed/>
    <w:qFormat/>
    <w:uiPriority w:val="99"/>
    <w:tblPr>
      <w:tblLayout w:type="fixed"/>
      <w:tblCellMar>
        <w:top w:w="0" w:type="dxa"/>
        <w:left w:w="108" w:type="dxa"/>
        <w:bottom w:w="0" w:type="dxa"/>
        <w:right w:w="108" w:type="dxa"/>
      </w:tblCellMar>
    </w:tblPr>
  </w:style>
  <w:style w:type="paragraph" w:styleId="2">
    <w:name w:val="Balloon Text"/>
    <w:basedOn w:val="1"/>
    <w:link w:val="13"/>
    <w:semiHidden/>
    <w:unhideWhenUsed/>
    <w:qFormat/>
    <w:uiPriority w:val="99"/>
    <w:rPr>
      <w:sz w:val="18"/>
      <w:szCs w:val="18"/>
    </w:rPr>
  </w:style>
  <w:style w:type="paragraph" w:styleId="3">
    <w:name w:val="footer"/>
    <w:basedOn w:val="1"/>
    <w:link w:val="11"/>
    <w:semiHidden/>
    <w:unhideWhenUsed/>
    <w:qFormat/>
    <w:uiPriority w:val="99"/>
    <w:pPr>
      <w:tabs>
        <w:tab w:val="center" w:pos="4153"/>
        <w:tab w:val="right" w:pos="8306"/>
      </w:tabs>
      <w:snapToGrid w:val="0"/>
      <w:jc w:val="left"/>
    </w:pPr>
    <w:rPr>
      <w:sz w:val="18"/>
      <w:szCs w:val="18"/>
    </w:rPr>
  </w:style>
  <w:style w:type="paragraph" w:styleId="4">
    <w:name w:val="header"/>
    <w:basedOn w:val="1"/>
    <w:link w:val="10"/>
    <w:semiHidden/>
    <w:unhideWhenUsed/>
    <w:qFormat/>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semiHidden/>
    <w:unhideWhenUsed/>
    <w:qFormat/>
    <w:uiPriority w:val="99"/>
    <w:pPr>
      <w:spacing w:before="0" w:beforeAutospacing="1" w:after="0" w:afterAutospacing="1"/>
      <w:ind w:left="0" w:right="0"/>
      <w:jc w:val="left"/>
    </w:pPr>
    <w:rPr>
      <w:kern w:val="0"/>
      <w:sz w:val="24"/>
      <w:lang w:val="en-US" w:eastAsia="zh-CN" w:bidi="ar"/>
    </w:rPr>
  </w:style>
  <w:style w:type="character" w:styleId="7">
    <w:name w:val="Strong"/>
    <w:basedOn w:val="6"/>
    <w:qFormat/>
    <w:uiPriority w:val="22"/>
    <w:rPr>
      <w:b/>
    </w:rPr>
  </w:style>
  <w:style w:type="table" w:styleId="9">
    <w:name w:val="Table Grid"/>
    <w:basedOn w:val="8"/>
    <w:qFormat/>
    <w:uiPriority w:val="59"/>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fixed"/>
      <w:tblCellMar>
        <w:top w:w="0" w:type="dxa"/>
        <w:left w:w="108" w:type="dxa"/>
        <w:bottom w:w="0" w:type="dxa"/>
        <w:right w:w="108" w:type="dxa"/>
      </w:tblCellMar>
    </w:tblPr>
  </w:style>
  <w:style w:type="character" w:customStyle="1" w:styleId="10">
    <w:name w:val="页眉 Char"/>
    <w:basedOn w:val="6"/>
    <w:link w:val="4"/>
    <w:semiHidden/>
    <w:qFormat/>
    <w:uiPriority w:val="99"/>
    <w:rPr>
      <w:sz w:val="18"/>
      <w:szCs w:val="18"/>
    </w:rPr>
  </w:style>
  <w:style w:type="character" w:customStyle="1" w:styleId="11">
    <w:name w:val="页脚 Char"/>
    <w:basedOn w:val="6"/>
    <w:link w:val="3"/>
    <w:semiHidden/>
    <w:qFormat/>
    <w:uiPriority w:val="99"/>
    <w:rPr>
      <w:sz w:val="18"/>
      <w:szCs w:val="18"/>
    </w:rPr>
  </w:style>
  <w:style w:type="paragraph" w:styleId="12">
    <w:name w:val="List Paragraph"/>
    <w:basedOn w:val="1"/>
    <w:qFormat/>
    <w:uiPriority w:val="34"/>
    <w:pPr>
      <w:ind w:firstLine="420" w:firstLineChars="200"/>
    </w:pPr>
  </w:style>
  <w:style w:type="character" w:customStyle="1" w:styleId="13">
    <w:name w:val="批注框文本 Char"/>
    <w:basedOn w:val="6"/>
    <w:link w:val="2"/>
    <w:semiHidden/>
    <w:qFormat/>
    <w:uiPriority w:val="99"/>
    <w:rPr>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8FAFD"/>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10</Pages>
  <Words>4465</Words>
  <Characters>4538</Characters>
  <Lines>30</Lines>
  <Paragraphs>8</Paragraphs>
  <TotalTime>0</TotalTime>
  <ScaleCrop>false</ScaleCrop>
  <LinksUpToDate>false</LinksUpToDate>
  <CharactersWithSpaces>4575</CharactersWithSpaces>
  <Application>WPS Office_10.1.0.7526_F1E327BC-269C-435d-A152-05C5408002CA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2019-03-13T21:58:00Z</dcterms:created>
  <dc:creator>user</dc:creator>
  <cp:lastModifiedBy>user</cp:lastModifiedBy>
  <dcterms:modified xsi:type="dcterms:W3CDTF">2025-03-27T15:42:04Z</dcterms:modified>
  <cp:revision>12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2052-10.1.0.7526</vt:lpwstr>
  </property>
  <property fmtid="{D5CDD505-2E9C-101B-9397-08002B2CF9AE}" pid="3" name="ICV">
    <vt:lpwstr>D3505917C49F4009AFAEE3A52B327439</vt:lpwstr>
  </property>
  <property fmtid="{D5CDD505-2E9C-101B-9397-08002B2CF9AE}" pid="4" name="KSOTemplateDocerSaveRecord">
    <vt:lpwstr>eyJoZGlkIjoiMjM0MzlmYjk2OGE2YjdmNzVlNzYyNDNkYzllZTVmOWMiLCJ1c2VySWQiOiI3MzEyODM2NTUifQ==</vt:lpwstr>
  </property>
</Properties>
</file>