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长宁区建管委交通中心交通诱导系统运营维护服务竞争性磋商项目</w:t>
      </w:r>
      <w:r>
        <w:rPr>
          <w:rFonts w:hint="eastAsia"/>
          <w:sz w:val="36"/>
          <w:szCs w:val="36"/>
          <w:lang w:val="en-US" w:eastAsia="zh-CN"/>
        </w:rPr>
        <w:t>需求文件</w:t>
      </w:r>
      <w:r>
        <w:rPr>
          <w:rFonts w:ascii="Arial" w:hAnsi="Arial" w:cs="Arial"/>
          <w:sz w:val="36"/>
          <w:szCs w:val="36"/>
        </w:rPr>
        <w:t>​</w:t>
      </w:r>
    </w:p>
    <w:p>
      <w:r>
        <w:t>一、项目背景</w:t>
      </w:r>
      <w:r>
        <w:rPr>
          <w:rFonts w:ascii="Arial" w:hAnsi="Arial" w:cs="Arial"/>
        </w:rPr>
        <w:t>​</w:t>
      </w:r>
    </w:p>
    <w:p>
      <w:pPr>
        <w:ind w:firstLine="440" w:firstLineChars="200"/>
      </w:pPr>
      <w:r>
        <w:t>交通诱导屏作为交通管理系统的重要组成部分，在实时路况信息发布、交通</w:t>
      </w:r>
      <w:bookmarkStart w:id="0" w:name="_GoBack"/>
      <w:bookmarkEnd w:id="0"/>
      <w:r>
        <w:t>疏导、出行引导等方面发挥着关键作用。为保障辖区内交通诱导屏的持续、稳定、高效运行，及时处理各类故障，提升交通管理水平，现需采购专业的运维服务。</w:t>
      </w:r>
      <w:r>
        <w:rPr>
          <w:rFonts w:ascii="Arial" w:hAnsi="Arial" w:cs="Arial"/>
        </w:rPr>
        <w:t>​</w:t>
      </w:r>
    </w:p>
    <w:p>
      <w:r>
        <w:t>二、采购目的</w:t>
      </w:r>
      <w:r>
        <w:rPr>
          <w:rFonts w:ascii="Arial" w:hAnsi="Arial" w:cs="Arial"/>
        </w:rPr>
        <w:t>​</w:t>
      </w:r>
    </w:p>
    <w:p>
      <w:pPr>
        <w:ind w:firstLine="440" w:firstLineChars="200"/>
      </w:pPr>
      <w:r>
        <w:t>通过引入专业的运维服务团队，确保交通诱导屏设备完好率达到98%以上，保障信息发布的及时性、准确性和有效性，为公众出行提供可靠指引，缓解交通拥堵，提高道路通行效率。</w:t>
      </w:r>
      <w:r>
        <w:rPr>
          <w:rFonts w:ascii="Arial" w:hAnsi="Arial" w:cs="Arial"/>
        </w:rPr>
        <w:t>​</w:t>
      </w:r>
    </w:p>
    <w:p>
      <w:r>
        <w:t>三、运维服务范围</w:t>
      </w:r>
      <w:r>
        <w:rPr>
          <w:rFonts w:ascii="Arial" w:hAnsi="Arial" w:cs="Arial"/>
        </w:rPr>
        <w:t>​</w:t>
      </w:r>
    </w:p>
    <w:p>
      <w:pPr>
        <w:ind w:firstLine="440" w:firstLineChars="200"/>
      </w:pPr>
      <w:r>
        <w:t>本次运维服务涵盖辖区内所有</w:t>
      </w:r>
      <w:r>
        <w:rPr>
          <w:rFonts w:hint="eastAsia"/>
        </w:rPr>
        <w:t>127处</w:t>
      </w:r>
      <w:r>
        <w:t>交通诱导屏，包括但不限于道路交叉口、城市主干道等位置安装的诱导屏</w:t>
      </w:r>
      <w:r>
        <w:rPr>
          <w:rFonts w:hint="eastAsia"/>
        </w:rPr>
        <w:t>，分类如下：</w:t>
      </w:r>
    </w:p>
    <w:tbl>
      <w:tblPr>
        <w:tblStyle w:val="15"/>
        <w:tblW w:w="5780" w:type="dxa"/>
        <w:tblInd w:w="0" w:type="dxa"/>
        <w:tblLayout w:type="fixed"/>
        <w:tblCellMar>
          <w:top w:w="0" w:type="dxa"/>
          <w:left w:w="108" w:type="dxa"/>
          <w:bottom w:w="0" w:type="dxa"/>
          <w:right w:w="108" w:type="dxa"/>
        </w:tblCellMar>
      </w:tblPr>
      <w:tblGrid>
        <w:gridCol w:w="680"/>
        <w:gridCol w:w="1700"/>
        <w:gridCol w:w="1700"/>
        <w:gridCol w:w="1700"/>
      </w:tblGrid>
      <w:tr>
        <w:tblPrEx>
          <w:tblLayout w:type="fixed"/>
          <w:tblCellMar>
            <w:top w:w="0" w:type="dxa"/>
            <w:left w:w="108" w:type="dxa"/>
            <w:bottom w:w="0" w:type="dxa"/>
            <w:right w:w="108" w:type="dxa"/>
          </w:tblCellMar>
        </w:tblPrEx>
        <w:trPr>
          <w:trHeight w:val="501" w:hRule="atLeast"/>
        </w:trPr>
        <w:tc>
          <w:tcPr>
            <w:tcW w:w="6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等线" w:hAnsi="等线" w:eastAsia="等线" w:cs="宋体"/>
                <w:color w:val="000000"/>
                <w:kern w:val="0"/>
                <w:sz w:val="20"/>
                <w:szCs w:val="20"/>
                <w14:ligatures w14:val="none"/>
              </w:rPr>
            </w:pPr>
            <w:r>
              <w:rPr>
                <w:rFonts w:hint="eastAsia" w:ascii="等线" w:hAnsi="等线" w:eastAsia="等线" w:cs="宋体"/>
                <w:color w:val="000000"/>
                <w:kern w:val="0"/>
                <w:sz w:val="20"/>
                <w:szCs w:val="20"/>
                <w14:ligatures w14:val="none"/>
              </w:rPr>
              <w:t>序号</w:t>
            </w:r>
          </w:p>
        </w:tc>
        <w:tc>
          <w:tcPr>
            <w:tcW w:w="1700" w:type="dxa"/>
            <w:tcBorders>
              <w:top w:val="single" w:color="auto" w:sz="4" w:space="0"/>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0"/>
                <w:szCs w:val="20"/>
                <w14:ligatures w14:val="none"/>
              </w:rPr>
            </w:pPr>
            <w:r>
              <w:rPr>
                <w:rFonts w:hint="eastAsia" w:ascii="等线" w:hAnsi="等线" w:eastAsia="等线" w:cs="宋体"/>
                <w:color w:val="000000"/>
                <w:kern w:val="0"/>
                <w:sz w:val="20"/>
                <w:szCs w:val="20"/>
                <w14:ligatures w14:val="none"/>
              </w:rPr>
              <w:t>设备类型</w:t>
            </w:r>
          </w:p>
        </w:tc>
        <w:tc>
          <w:tcPr>
            <w:tcW w:w="1700" w:type="dxa"/>
            <w:tcBorders>
              <w:top w:val="single" w:color="auto" w:sz="4" w:space="0"/>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0"/>
                <w:szCs w:val="20"/>
                <w14:ligatures w14:val="none"/>
              </w:rPr>
            </w:pPr>
            <w:r>
              <w:rPr>
                <w:rFonts w:hint="eastAsia" w:ascii="等线" w:hAnsi="等线" w:eastAsia="等线" w:cs="宋体"/>
                <w:color w:val="000000"/>
                <w:kern w:val="0"/>
                <w:sz w:val="20"/>
                <w:szCs w:val="20"/>
                <w14:ligatures w14:val="none"/>
              </w:rPr>
              <w:t>设备数量</w:t>
            </w:r>
          </w:p>
        </w:tc>
        <w:tc>
          <w:tcPr>
            <w:tcW w:w="1700" w:type="dxa"/>
            <w:tcBorders>
              <w:top w:val="single" w:color="auto" w:sz="4" w:space="0"/>
              <w:left w:val="nil"/>
              <w:bottom w:val="single" w:color="auto" w:sz="4" w:space="0"/>
              <w:right w:val="single" w:color="auto" w:sz="4" w:space="0"/>
            </w:tcBorders>
            <w:noWrap/>
            <w:vAlign w:val="center"/>
          </w:tcPr>
          <w:p>
            <w:pPr>
              <w:widowControl/>
              <w:jc w:val="center"/>
              <w:rPr>
                <w:rFonts w:hint="eastAsia" w:ascii="等线" w:hAnsi="等线" w:eastAsia="等线" w:cs="宋体"/>
                <w:color w:val="000000"/>
                <w:kern w:val="0"/>
                <w:sz w:val="20"/>
                <w:szCs w:val="20"/>
                <w14:ligatures w14:val="none"/>
              </w:rPr>
            </w:pPr>
            <w:r>
              <w:rPr>
                <w:rFonts w:hint="eastAsia" w:ascii="等线" w:hAnsi="等线" w:eastAsia="等线" w:cs="宋体"/>
                <w:color w:val="000000"/>
                <w:kern w:val="0"/>
                <w:sz w:val="20"/>
                <w:szCs w:val="20"/>
                <w14:ligatures w14:val="none"/>
              </w:rPr>
              <w:t>备  注</w:t>
            </w:r>
          </w:p>
        </w:tc>
      </w:tr>
      <w:tr>
        <w:tblPrEx>
          <w:tblLayout w:type="fixed"/>
          <w:tblCellMar>
            <w:top w:w="0" w:type="dxa"/>
            <w:left w:w="108" w:type="dxa"/>
            <w:bottom w:w="0" w:type="dxa"/>
            <w:right w:w="108" w:type="dxa"/>
          </w:tblCellMar>
        </w:tblPrEx>
        <w:trPr>
          <w:trHeight w:val="501" w:hRule="atLeast"/>
        </w:trPr>
        <w:tc>
          <w:tcPr>
            <w:tcW w:w="68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14:ligatures w14:val="none"/>
              </w:rPr>
            </w:pPr>
            <w:r>
              <w:rPr>
                <w:rFonts w:hint="eastAsia" w:ascii="等线" w:hAnsi="等线" w:eastAsia="等线" w:cs="宋体"/>
                <w:color w:val="000000"/>
                <w:kern w:val="0"/>
                <w14:ligatures w14:val="none"/>
              </w:rPr>
              <w:t>1</w:t>
            </w:r>
          </w:p>
        </w:tc>
        <w:tc>
          <w:tcPr>
            <w:tcW w:w="1700" w:type="dxa"/>
            <w:tcBorders>
              <w:top w:val="nil"/>
              <w:left w:val="nil"/>
              <w:bottom w:val="single" w:color="auto" w:sz="4" w:space="0"/>
              <w:right w:val="single" w:color="auto" w:sz="4" w:space="0"/>
            </w:tcBorders>
            <w:vAlign w:val="center"/>
          </w:tcPr>
          <w:p>
            <w:pPr>
              <w:widowControl/>
              <w:jc w:val="center"/>
              <w:rPr>
                <w:rFonts w:hint="eastAsia" w:ascii="等线" w:hAnsi="等线" w:eastAsia="等线" w:cs="宋体"/>
                <w:kern w:val="0"/>
                <w:sz w:val="21"/>
                <w:szCs w:val="21"/>
                <w14:ligatures w14:val="none"/>
              </w:rPr>
            </w:pPr>
            <w:r>
              <w:rPr>
                <w:rFonts w:ascii="Calibri" w:hAnsi="Calibri" w:eastAsia="等线" w:cs="Calibri"/>
                <w:kern w:val="0"/>
                <w:sz w:val="21"/>
                <w:szCs w:val="21"/>
                <w14:ligatures w14:val="none"/>
              </w:rPr>
              <w:t>LED</w:t>
            </w:r>
            <w:r>
              <w:rPr>
                <w:rFonts w:hint="eastAsia" w:ascii="宋体" w:hAnsi="宋体" w:eastAsia="宋体" w:cs="宋体"/>
                <w:kern w:val="0"/>
                <w:sz w:val="21"/>
                <w:szCs w:val="21"/>
                <w14:ligatures w14:val="none"/>
              </w:rPr>
              <w:t>全彩屏</w:t>
            </w:r>
          </w:p>
        </w:tc>
        <w:tc>
          <w:tcPr>
            <w:tcW w:w="1700" w:type="dxa"/>
            <w:tcBorders>
              <w:top w:val="nil"/>
              <w:left w:val="nil"/>
              <w:bottom w:val="single" w:color="auto" w:sz="4" w:space="0"/>
              <w:right w:val="single" w:color="auto" w:sz="4" w:space="0"/>
            </w:tcBorders>
            <w:noWrap/>
            <w:vAlign w:val="center"/>
          </w:tcPr>
          <w:p>
            <w:pPr>
              <w:widowControl/>
              <w:jc w:val="center"/>
              <w:rPr>
                <w:rFonts w:hint="eastAsia" w:ascii="Calibri" w:hAnsi="Calibri" w:eastAsia="等线" w:cs="Calibri"/>
                <w:color w:val="000000"/>
                <w:kern w:val="0"/>
                <w:sz w:val="21"/>
                <w:szCs w:val="21"/>
                <w14:ligatures w14:val="none"/>
              </w:rPr>
            </w:pPr>
            <w:r>
              <w:rPr>
                <w:rFonts w:ascii="Calibri" w:hAnsi="Calibri" w:eastAsia="等线" w:cs="Calibri"/>
                <w:color w:val="000000"/>
                <w:kern w:val="0"/>
                <w:sz w:val="21"/>
                <w:szCs w:val="21"/>
                <w14:ligatures w14:val="none"/>
              </w:rPr>
              <w:t>33</w:t>
            </w:r>
          </w:p>
        </w:tc>
        <w:tc>
          <w:tcPr>
            <w:tcW w:w="1700"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color w:val="000000"/>
                <w:kern w:val="0"/>
                <w14:ligatures w14:val="none"/>
              </w:rPr>
            </w:pPr>
            <w:r>
              <w:rPr>
                <w:rFonts w:hint="eastAsia" w:ascii="等线" w:hAnsi="等线" w:eastAsia="等线" w:cs="宋体"/>
                <w:color w:val="000000"/>
                <w:kern w:val="0"/>
                <w14:ligatures w14:val="none"/>
              </w:rPr>
              <w:t>　</w:t>
            </w:r>
          </w:p>
        </w:tc>
      </w:tr>
      <w:tr>
        <w:tblPrEx>
          <w:tblLayout w:type="fixed"/>
          <w:tblCellMar>
            <w:top w:w="0" w:type="dxa"/>
            <w:left w:w="108" w:type="dxa"/>
            <w:bottom w:w="0" w:type="dxa"/>
            <w:right w:w="108" w:type="dxa"/>
          </w:tblCellMar>
        </w:tblPrEx>
        <w:trPr>
          <w:trHeight w:val="501" w:hRule="atLeast"/>
        </w:trPr>
        <w:tc>
          <w:tcPr>
            <w:tcW w:w="68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14:ligatures w14:val="none"/>
              </w:rPr>
            </w:pPr>
            <w:r>
              <w:rPr>
                <w:rFonts w:hint="eastAsia" w:ascii="等线" w:hAnsi="等线" w:eastAsia="等线" w:cs="宋体"/>
                <w:color w:val="000000"/>
                <w:kern w:val="0"/>
                <w14:ligatures w14:val="none"/>
              </w:rPr>
              <w:t>2</w:t>
            </w:r>
          </w:p>
        </w:tc>
        <w:tc>
          <w:tcPr>
            <w:tcW w:w="17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14:ligatures w14:val="none"/>
              </w:rPr>
            </w:pPr>
            <w:r>
              <w:rPr>
                <w:rFonts w:hint="eastAsia" w:ascii="宋体" w:hAnsi="宋体" w:eastAsia="宋体" w:cs="宋体"/>
                <w:kern w:val="0"/>
                <w:sz w:val="21"/>
                <w:szCs w:val="21"/>
                <w14:ligatures w14:val="none"/>
              </w:rPr>
              <w:t>二级屏</w:t>
            </w:r>
          </w:p>
        </w:tc>
        <w:tc>
          <w:tcPr>
            <w:tcW w:w="1700" w:type="dxa"/>
            <w:tcBorders>
              <w:top w:val="nil"/>
              <w:left w:val="nil"/>
              <w:bottom w:val="single" w:color="auto" w:sz="4" w:space="0"/>
              <w:right w:val="single" w:color="auto" w:sz="4" w:space="0"/>
            </w:tcBorders>
            <w:noWrap/>
            <w:vAlign w:val="center"/>
          </w:tcPr>
          <w:p>
            <w:pPr>
              <w:widowControl/>
              <w:jc w:val="center"/>
              <w:rPr>
                <w:rFonts w:hint="eastAsia" w:ascii="Calibri" w:hAnsi="Calibri" w:eastAsia="等线" w:cs="Calibri"/>
                <w:color w:val="000000"/>
                <w:kern w:val="0"/>
                <w:sz w:val="21"/>
                <w:szCs w:val="21"/>
                <w14:ligatures w14:val="none"/>
              </w:rPr>
            </w:pPr>
            <w:r>
              <w:rPr>
                <w:rFonts w:ascii="Calibri" w:hAnsi="Calibri" w:eastAsia="等线" w:cs="Calibri"/>
                <w:color w:val="000000"/>
                <w:kern w:val="0"/>
                <w:sz w:val="21"/>
                <w:szCs w:val="21"/>
                <w14:ligatures w14:val="none"/>
              </w:rPr>
              <w:t>39</w:t>
            </w:r>
          </w:p>
        </w:tc>
        <w:tc>
          <w:tcPr>
            <w:tcW w:w="1700"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color w:val="000000"/>
                <w:kern w:val="0"/>
                <w14:ligatures w14:val="none"/>
              </w:rPr>
            </w:pPr>
            <w:r>
              <w:rPr>
                <w:rFonts w:hint="eastAsia" w:ascii="等线" w:hAnsi="等线" w:eastAsia="等线" w:cs="宋体"/>
                <w:color w:val="000000"/>
                <w:kern w:val="0"/>
                <w14:ligatures w14:val="none"/>
              </w:rPr>
              <w:t>　</w:t>
            </w:r>
          </w:p>
        </w:tc>
      </w:tr>
      <w:tr>
        <w:tblPrEx>
          <w:tblLayout w:type="fixed"/>
          <w:tblCellMar>
            <w:top w:w="0" w:type="dxa"/>
            <w:left w:w="108" w:type="dxa"/>
            <w:bottom w:w="0" w:type="dxa"/>
            <w:right w:w="108" w:type="dxa"/>
          </w:tblCellMar>
        </w:tblPrEx>
        <w:trPr>
          <w:trHeight w:val="501" w:hRule="atLeast"/>
        </w:trPr>
        <w:tc>
          <w:tcPr>
            <w:tcW w:w="680" w:type="dxa"/>
            <w:tcBorders>
              <w:top w:val="nil"/>
              <w:left w:val="single" w:color="auto" w:sz="4" w:space="0"/>
              <w:bottom w:val="single" w:color="auto" w:sz="4" w:space="0"/>
              <w:right w:val="single" w:color="auto" w:sz="4" w:space="0"/>
            </w:tcBorders>
            <w:noWrap/>
            <w:vAlign w:val="center"/>
          </w:tcPr>
          <w:p>
            <w:pPr>
              <w:widowControl/>
              <w:jc w:val="center"/>
              <w:rPr>
                <w:rFonts w:hint="eastAsia" w:ascii="等线" w:hAnsi="等线" w:eastAsia="等线" w:cs="宋体"/>
                <w:color w:val="000000"/>
                <w:kern w:val="0"/>
                <w14:ligatures w14:val="none"/>
              </w:rPr>
            </w:pPr>
            <w:r>
              <w:rPr>
                <w:rFonts w:hint="eastAsia" w:ascii="等线" w:hAnsi="等线" w:eastAsia="等线" w:cs="宋体"/>
                <w:color w:val="000000"/>
                <w:kern w:val="0"/>
                <w14:ligatures w14:val="none"/>
              </w:rPr>
              <w:t>3</w:t>
            </w:r>
          </w:p>
        </w:tc>
        <w:tc>
          <w:tcPr>
            <w:tcW w:w="17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14:ligatures w14:val="none"/>
              </w:rPr>
            </w:pPr>
            <w:r>
              <w:rPr>
                <w:rFonts w:hint="eastAsia" w:ascii="宋体" w:hAnsi="宋体" w:eastAsia="宋体" w:cs="宋体"/>
                <w:kern w:val="0"/>
                <w:sz w:val="21"/>
                <w:szCs w:val="21"/>
                <w14:ligatures w14:val="none"/>
              </w:rPr>
              <w:t>三级屏</w:t>
            </w:r>
          </w:p>
        </w:tc>
        <w:tc>
          <w:tcPr>
            <w:tcW w:w="1700" w:type="dxa"/>
            <w:tcBorders>
              <w:top w:val="nil"/>
              <w:left w:val="nil"/>
              <w:bottom w:val="single" w:color="auto" w:sz="4" w:space="0"/>
              <w:right w:val="single" w:color="auto" w:sz="4" w:space="0"/>
            </w:tcBorders>
            <w:noWrap/>
            <w:vAlign w:val="center"/>
          </w:tcPr>
          <w:p>
            <w:pPr>
              <w:widowControl/>
              <w:jc w:val="center"/>
              <w:rPr>
                <w:rFonts w:hint="eastAsia" w:ascii="Calibri" w:hAnsi="Calibri" w:eastAsia="等线" w:cs="Calibri"/>
                <w:color w:val="000000"/>
                <w:kern w:val="0"/>
                <w:sz w:val="21"/>
                <w:szCs w:val="21"/>
                <w14:ligatures w14:val="none"/>
              </w:rPr>
            </w:pPr>
            <w:r>
              <w:rPr>
                <w:rFonts w:ascii="Calibri" w:hAnsi="Calibri" w:eastAsia="等线" w:cs="Calibri"/>
                <w:color w:val="000000"/>
                <w:kern w:val="0"/>
                <w:sz w:val="21"/>
                <w:szCs w:val="21"/>
                <w14:ligatures w14:val="none"/>
              </w:rPr>
              <w:t>55</w:t>
            </w:r>
          </w:p>
        </w:tc>
        <w:tc>
          <w:tcPr>
            <w:tcW w:w="1700"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color w:val="000000"/>
                <w:kern w:val="0"/>
                <w14:ligatures w14:val="none"/>
              </w:rPr>
            </w:pPr>
            <w:r>
              <w:rPr>
                <w:rFonts w:hint="eastAsia" w:ascii="等线" w:hAnsi="等线" w:eastAsia="等线" w:cs="宋体"/>
                <w:color w:val="000000"/>
                <w:kern w:val="0"/>
                <w14:ligatures w14:val="none"/>
              </w:rPr>
              <w:t>　</w:t>
            </w:r>
          </w:p>
        </w:tc>
      </w:tr>
    </w:tbl>
    <w:p>
      <w:r>
        <w:rPr>
          <w:rFonts w:ascii="Arial" w:hAnsi="Arial" w:cs="Arial"/>
        </w:rPr>
        <w:t>​</w:t>
      </w:r>
    </w:p>
    <w:p>
      <w:r>
        <w:t>四、运维服务内容</w:t>
      </w:r>
      <w:r>
        <w:rPr>
          <w:rFonts w:ascii="Arial" w:hAnsi="Arial" w:cs="Arial"/>
        </w:rPr>
        <w:t>​</w:t>
      </w:r>
    </w:p>
    <w:p>
      <w:pPr>
        <w:numPr>
          <w:ilvl w:val="0"/>
          <w:numId w:val="1"/>
        </w:numPr>
        <w:rPr>
          <w:b/>
          <w:bCs/>
        </w:rPr>
      </w:pPr>
      <w:r>
        <w:rPr>
          <w:b/>
          <w:bCs/>
        </w:rPr>
        <w:t>日常巡检</w:t>
      </w:r>
      <w:r>
        <w:rPr>
          <w:rFonts w:ascii="Arial" w:hAnsi="Arial" w:cs="Arial"/>
          <w:b/>
          <w:bCs/>
        </w:rPr>
        <w:t>​</w:t>
      </w:r>
    </w:p>
    <w:p>
      <w:pPr>
        <w:numPr>
          <w:ilvl w:val="0"/>
          <w:numId w:val="2"/>
        </w:numPr>
      </w:pPr>
      <w:r>
        <w:t>每周至少进行一次全面巡检，检查诱导屏的显示效果（如有无黑屏、花屏、闪烁等现象）、设备外观（如有无破损、污渍、松动等情况）、线路连接（如有无脱落、老化、短路等问题）、控制设备运行状态等。</w:t>
      </w:r>
      <w:r>
        <w:rPr>
          <w:rFonts w:ascii="Arial" w:hAnsi="Arial" w:cs="Arial"/>
        </w:rPr>
        <w:t>​</w:t>
      </w:r>
    </w:p>
    <w:p>
      <w:pPr>
        <w:numPr>
          <w:ilvl w:val="0"/>
          <w:numId w:val="3"/>
        </w:numPr>
      </w:pPr>
      <w:r>
        <w:t>每次巡检需详细记录巡检情况，形成巡检报告，包括设备编号、巡检时间、存在问题、处理建议等内容。</w:t>
      </w:r>
      <w:r>
        <w:rPr>
          <w:rFonts w:ascii="Arial" w:hAnsi="Arial" w:cs="Arial"/>
        </w:rPr>
        <w:t>​</w:t>
      </w:r>
    </w:p>
    <w:p>
      <w:pPr>
        <w:numPr>
          <w:ilvl w:val="0"/>
          <w:numId w:val="4"/>
        </w:numPr>
        <w:rPr>
          <w:b/>
          <w:bCs/>
        </w:rPr>
      </w:pPr>
      <w:r>
        <w:rPr>
          <w:b/>
          <w:bCs/>
        </w:rPr>
        <w:t>清洁保养</w:t>
      </w:r>
      <w:r>
        <w:rPr>
          <w:rFonts w:ascii="Arial" w:hAnsi="Arial" w:cs="Arial"/>
          <w:b/>
          <w:bCs/>
        </w:rPr>
        <w:t>​</w:t>
      </w:r>
    </w:p>
    <w:p>
      <w:pPr>
        <w:numPr>
          <w:ilvl w:val="0"/>
          <w:numId w:val="5"/>
        </w:numPr>
      </w:pPr>
      <w:r>
        <w:t>每月对诱导屏进行一次清洁，清除屏幕表面的灰尘、污渍等，确保显示清晰。</w:t>
      </w:r>
      <w:r>
        <w:rPr>
          <w:rFonts w:ascii="Arial" w:hAnsi="Arial" w:cs="Arial"/>
        </w:rPr>
        <w:t>​</w:t>
      </w:r>
    </w:p>
    <w:p>
      <w:pPr>
        <w:numPr>
          <w:ilvl w:val="0"/>
          <w:numId w:val="6"/>
        </w:numPr>
      </w:pPr>
      <w:r>
        <w:t>每季度对设备内部进行一次除尘保养，检查散热系统是否正常，确保设备散热良好。</w:t>
      </w:r>
      <w:r>
        <w:rPr>
          <w:rFonts w:ascii="Arial" w:hAnsi="Arial" w:cs="Arial"/>
        </w:rPr>
        <w:t>​</w:t>
      </w:r>
    </w:p>
    <w:p>
      <w:pPr>
        <w:numPr>
          <w:ilvl w:val="0"/>
          <w:numId w:val="7"/>
        </w:numPr>
        <w:rPr>
          <w:b/>
          <w:bCs/>
        </w:rPr>
      </w:pPr>
      <w:r>
        <w:rPr>
          <w:b/>
          <w:bCs/>
        </w:rPr>
        <w:t>故障维修</w:t>
      </w:r>
      <w:r>
        <w:rPr>
          <w:rFonts w:ascii="Arial" w:hAnsi="Arial" w:cs="Arial"/>
          <w:b/>
          <w:bCs/>
        </w:rPr>
        <w:t>​</w:t>
      </w:r>
    </w:p>
    <w:p>
      <w:pPr>
        <w:numPr>
          <w:ilvl w:val="0"/>
          <w:numId w:val="8"/>
        </w:numPr>
      </w:pPr>
      <w:r>
        <w:t>接到故障通知后，维修人员需在1小时内响应， 2小时内到达现场进行处理。</w:t>
      </w:r>
      <w:r>
        <w:rPr>
          <w:rFonts w:ascii="Arial" w:hAnsi="Arial" w:cs="Arial"/>
        </w:rPr>
        <w:t>​</w:t>
      </w:r>
    </w:p>
    <w:p>
      <w:pPr>
        <w:numPr>
          <w:ilvl w:val="0"/>
          <w:numId w:val="9"/>
        </w:numPr>
      </w:pPr>
      <w:r>
        <w:t>对于一般性故障（如线路接触不良、小部件损坏等），需在</w:t>
      </w:r>
      <w:r>
        <w:rPr>
          <w:rFonts w:hint="eastAsia"/>
        </w:rPr>
        <w:t>2小时内</w:t>
      </w:r>
      <w:r>
        <w:t>修复；对于重大故障（如屏幕大面积损坏、控制主板故障等），需在</w:t>
      </w:r>
      <w:r>
        <w:rPr>
          <w:rFonts w:hint="eastAsia"/>
        </w:rPr>
        <w:t>8</w:t>
      </w:r>
      <w:r>
        <w:t>小时内提供解决方案，并尽快组织维修，确保在</w:t>
      </w:r>
      <w:r>
        <w:rPr>
          <w:rFonts w:hint="eastAsia"/>
        </w:rPr>
        <w:t>48</w:t>
      </w:r>
      <w:r>
        <w:t>小时内恢复正常运行。</w:t>
      </w:r>
      <w:r>
        <w:rPr>
          <w:rFonts w:ascii="Arial" w:hAnsi="Arial" w:cs="Arial"/>
        </w:rPr>
        <w:t>​</w:t>
      </w:r>
    </w:p>
    <w:p>
      <w:pPr>
        <w:numPr>
          <w:ilvl w:val="0"/>
          <w:numId w:val="10"/>
        </w:numPr>
      </w:pPr>
      <w:r>
        <w:t>维修过程中需更换的零部件必须是原厂正品或经甲方认可的合格产品，且更换下来的废旧零部件需交由甲方处理。</w:t>
      </w:r>
      <w:r>
        <w:rPr>
          <w:rFonts w:ascii="Arial" w:hAnsi="Arial" w:cs="Arial"/>
        </w:rPr>
        <w:t>​</w:t>
      </w:r>
    </w:p>
    <w:p>
      <w:pPr>
        <w:numPr>
          <w:ilvl w:val="0"/>
          <w:numId w:val="11"/>
        </w:numPr>
        <w:rPr>
          <w:b/>
          <w:bCs/>
        </w:rPr>
      </w:pPr>
      <w:r>
        <w:rPr>
          <w:b/>
          <w:bCs/>
        </w:rPr>
        <w:t>软件维护</w:t>
      </w:r>
      <w:r>
        <w:rPr>
          <w:rFonts w:ascii="Arial" w:hAnsi="Arial" w:cs="Arial"/>
          <w:b/>
          <w:bCs/>
        </w:rPr>
        <w:t>​</w:t>
      </w:r>
    </w:p>
    <w:p>
      <w:pPr>
        <w:numPr>
          <w:ilvl w:val="0"/>
          <w:numId w:val="12"/>
        </w:numPr>
      </w:pPr>
      <w:r>
        <w:t>定期对诱导屏的控制软件、操作系统等进行检查和升级，确保软件运行稳定，功能正常。</w:t>
      </w:r>
      <w:r>
        <w:rPr>
          <w:rFonts w:ascii="Arial" w:hAnsi="Arial" w:cs="Arial"/>
        </w:rPr>
        <w:t>​</w:t>
      </w:r>
    </w:p>
    <w:p>
      <w:pPr>
        <w:numPr>
          <w:ilvl w:val="0"/>
          <w:numId w:val="13"/>
        </w:numPr>
      </w:pPr>
      <w:r>
        <w:t>保障信息发布系统的正常运行，协助甲方进行信息发布操作，及时解决信息发布过程中出现的软件问题。</w:t>
      </w:r>
      <w:r>
        <w:rPr>
          <w:rFonts w:ascii="Arial" w:hAnsi="Arial" w:cs="Arial"/>
        </w:rPr>
        <w:t>​</w:t>
      </w:r>
    </w:p>
    <w:p>
      <w:pPr>
        <w:numPr>
          <w:ilvl w:val="0"/>
          <w:numId w:val="14"/>
        </w:numPr>
        <w:rPr>
          <w:b/>
          <w:bCs/>
        </w:rPr>
      </w:pPr>
      <w:r>
        <w:rPr>
          <w:b/>
          <w:bCs/>
        </w:rPr>
        <w:t>应急保障</w:t>
      </w:r>
      <w:r>
        <w:rPr>
          <w:rFonts w:ascii="Arial" w:hAnsi="Arial" w:cs="Arial"/>
          <w:b/>
          <w:bCs/>
        </w:rPr>
        <w:t>​</w:t>
      </w:r>
    </w:p>
    <w:p>
      <w:pPr>
        <w:numPr>
          <w:ilvl w:val="0"/>
          <w:numId w:val="15"/>
        </w:numPr>
      </w:pPr>
      <w:r>
        <w:t>在恶劣天气（如暴雨、大风、高温、严寒等）、重大活动、节假日等特殊时期，增加巡检频次，做好应急准备工作。</w:t>
      </w:r>
      <w:r>
        <w:rPr>
          <w:rFonts w:ascii="Arial" w:hAnsi="Arial" w:cs="Arial"/>
        </w:rPr>
        <w:t>​</w:t>
      </w:r>
    </w:p>
    <w:p>
      <w:pPr>
        <w:numPr>
          <w:ilvl w:val="0"/>
          <w:numId w:val="16"/>
        </w:numPr>
      </w:pPr>
      <w:r>
        <w:t>如遇突发故障，需优先处理，确保诱导屏在最短时间内恢复正常运行，保障交通秩序。</w:t>
      </w:r>
      <w:r>
        <w:rPr>
          <w:rFonts w:ascii="Arial" w:hAnsi="Arial" w:cs="Arial"/>
        </w:rPr>
        <w:t>​</w:t>
      </w:r>
    </w:p>
    <w:p>
      <w:pPr>
        <w:numPr>
          <w:ilvl w:val="0"/>
          <w:numId w:val="14"/>
        </w:numPr>
        <w:rPr>
          <w:b/>
          <w:bCs/>
        </w:rPr>
      </w:pPr>
      <w:r>
        <w:rPr>
          <w:rFonts w:hint="eastAsia"/>
          <w:b/>
          <w:bCs/>
        </w:rPr>
        <w:t>费用代缴</w:t>
      </w:r>
    </w:p>
    <w:p>
      <w:pPr>
        <w:numPr>
          <w:ilvl w:val="0"/>
          <w:numId w:val="15"/>
        </w:numPr>
      </w:pPr>
      <w:r>
        <w:rPr>
          <w:rFonts w:hint="eastAsia"/>
        </w:rPr>
        <w:t>所有设施涉及的网络与通信产生的费用</w:t>
      </w:r>
      <w:r>
        <w:t>。</w:t>
      </w:r>
      <w:r>
        <w:rPr>
          <w:rFonts w:ascii="Arial" w:hAnsi="Arial" w:cs="Arial"/>
        </w:rPr>
        <w:t>​</w:t>
      </w:r>
    </w:p>
    <w:p>
      <w:pPr>
        <w:numPr>
          <w:ilvl w:val="0"/>
          <w:numId w:val="15"/>
        </w:numPr>
      </w:pPr>
      <w:r>
        <w:rPr>
          <w:rFonts w:hint="eastAsia" w:ascii="Arial" w:hAnsi="Arial" w:cs="Arial"/>
        </w:rPr>
        <w:t>所有设施涉及的用电费用的缴纳。</w:t>
      </w:r>
    </w:p>
    <w:p>
      <w:pPr>
        <w:numPr>
          <w:ilvl w:val="0"/>
          <w:numId w:val="14"/>
        </w:numPr>
        <w:rPr>
          <w:b/>
          <w:bCs/>
        </w:rPr>
      </w:pPr>
      <w:r>
        <w:rPr>
          <w:rFonts w:hint="eastAsia"/>
          <w:b/>
          <w:bCs/>
        </w:rPr>
        <w:t>设施改造</w:t>
      </w:r>
      <w:r>
        <w:rPr>
          <w:rFonts w:ascii="Arial" w:hAnsi="Arial" w:cs="Arial"/>
          <w:b/>
          <w:bCs/>
        </w:rPr>
        <w:t>​</w:t>
      </w:r>
    </w:p>
    <w:p>
      <w:pPr>
        <w:numPr>
          <w:ilvl w:val="0"/>
          <w:numId w:val="15"/>
        </w:numPr>
      </w:pPr>
      <w:r>
        <w:rPr>
          <w:rFonts w:hint="eastAsia"/>
        </w:rPr>
        <w:t>交通诱导设施老旧电缆及管线的改造</w:t>
      </w:r>
      <w:r>
        <w:t>。</w:t>
      </w:r>
      <w:r>
        <w:rPr>
          <w:rFonts w:ascii="Arial" w:hAnsi="Arial" w:cs="Arial"/>
        </w:rPr>
        <w:t>​</w:t>
      </w:r>
    </w:p>
    <w:p>
      <w:pPr>
        <w:numPr>
          <w:ilvl w:val="0"/>
          <w:numId w:val="16"/>
        </w:numPr>
      </w:pPr>
      <w:r>
        <w:rPr>
          <w:rFonts w:hint="eastAsia"/>
        </w:rPr>
        <w:t>交通诱导设施老旧显示屏显示组件换新及改造</w:t>
      </w:r>
      <w:r>
        <w:t>。</w:t>
      </w:r>
      <w:r>
        <w:rPr>
          <w:rFonts w:ascii="Arial" w:hAnsi="Arial" w:cs="Arial"/>
        </w:rPr>
        <w:t>​</w:t>
      </w:r>
    </w:p>
    <w:p>
      <w:pPr>
        <w:numPr>
          <w:ilvl w:val="0"/>
          <w:numId w:val="16"/>
        </w:numPr>
      </w:pPr>
      <w:r>
        <w:rPr>
          <w:rFonts w:hint="eastAsia"/>
        </w:rPr>
        <w:t>交通诱导设施控制系统及功能改造</w:t>
      </w:r>
    </w:p>
    <w:p>
      <w:pPr>
        <w:ind w:left="720"/>
        <w:rPr>
          <w:rFonts w:hint="eastAsia"/>
        </w:rPr>
      </w:pPr>
    </w:p>
    <w:p>
      <w:r>
        <w:t>五、服务要求</w:t>
      </w:r>
      <w:r>
        <w:rPr>
          <w:rFonts w:ascii="Arial" w:hAnsi="Arial" w:cs="Arial"/>
        </w:rPr>
        <w:t>​</w:t>
      </w:r>
    </w:p>
    <w:p>
      <w:pPr>
        <w:numPr>
          <w:ilvl w:val="0"/>
          <w:numId w:val="17"/>
        </w:numPr>
        <w:rPr>
          <w:b/>
          <w:bCs/>
        </w:rPr>
      </w:pPr>
      <w:r>
        <w:rPr>
          <w:b/>
          <w:bCs/>
        </w:rPr>
        <w:t>服务团队</w:t>
      </w:r>
      <w:r>
        <w:rPr>
          <w:rFonts w:ascii="Arial" w:hAnsi="Arial" w:cs="Arial"/>
          <w:b/>
          <w:bCs/>
        </w:rPr>
        <w:t>​</w:t>
      </w:r>
    </w:p>
    <w:p>
      <w:pPr>
        <w:numPr>
          <w:ilvl w:val="0"/>
          <w:numId w:val="18"/>
        </w:numPr>
      </w:pPr>
      <w:r>
        <w:t>运维服务团队需配备足够数量的专业技术人员，所有技术人员需具备2年以上交通诱导屏运维经验，持有相关职业资格证书。</w:t>
      </w:r>
      <w:r>
        <w:rPr>
          <w:rFonts w:ascii="Arial" w:hAnsi="Arial" w:cs="Arial"/>
        </w:rPr>
        <w:t>​</w:t>
      </w:r>
    </w:p>
    <w:p>
      <w:pPr>
        <w:numPr>
          <w:ilvl w:val="0"/>
          <w:numId w:val="19"/>
        </w:numPr>
      </w:pPr>
      <w:r>
        <w:t>团队需设立专门的负责人，负责与甲方的沟通协调、运维工作的安排与监督等事宜。</w:t>
      </w:r>
      <w:r>
        <w:rPr>
          <w:rFonts w:ascii="Arial" w:hAnsi="Arial" w:cs="Arial"/>
        </w:rPr>
        <w:t>​</w:t>
      </w:r>
    </w:p>
    <w:p>
      <w:pPr>
        <w:numPr>
          <w:ilvl w:val="0"/>
          <w:numId w:val="20"/>
        </w:numPr>
      </w:pPr>
      <w:r>
        <w:t>技术人员需熟悉所运维诱导屏的设备性能、工作原理、维修方法等，能够熟练处理各类常见故障和突发问题。</w:t>
      </w:r>
      <w:r>
        <w:rPr>
          <w:rFonts w:ascii="Arial" w:hAnsi="Arial" w:cs="Arial"/>
        </w:rPr>
        <w:t>​</w:t>
      </w:r>
    </w:p>
    <w:p>
      <w:pPr>
        <w:numPr>
          <w:ilvl w:val="0"/>
          <w:numId w:val="21"/>
        </w:numPr>
        <w:rPr>
          <w:b/>
          <w:bCs/>
        </w:rPr>
      </w:pPr>
      <w:r>
        <w:rPr>
          <w:b/>
          <w:bCs/>
        </w:rPr>
        <w:t>响应机制</w:t>
      </w:r>
      <w:r>
        <w:rPr>
          <w:rFonts w:ascii="Arial" w:hAnsi="Arial" w:cs="Arial"/>
          <w:b/>
          <w:bCs/>
        </w:rPr>
        <w:t>​</w:t>
      </w:r>
    </w:p>
    <w:p>
      <w:pPr>
        <w:numPr>
          <w:ilvl w:val="0"/>
          <w:numId w:val="22"/>
        </w:numPr>
      </w:pPr>
      <w:r>
        <w:t>建立 24 小时故障报修热线，确保甲方能够随时联系到运维人员。</w:t>
      </w:r>
      <w:r>
        <w:rPr>
          <w:rFonts w:ascii="Arial" w:hAnsi="Arial" w:cs="Arial"/>
        </w:rPr>
        <w:t>​</w:t>
      </w:r>
    </w:p>
    <w:p>
      <w:pPr>
        <w:numPr>
          <w:ilvl w:val="0"/>
          <w:numId w:val="23"/>
        </w:numPr>
      </w:pPr>
      <w:r>
        <w:t>建立完善的故障处理流程和应急预案，确保故障得到及时、有效的处理。</w:t>
      </w:r>
      <w:r>
        <w:rPr>
          <w:rFonts w:ascii="Arial" w:hAnsi="Arial" w:cs="Arial"/>
        </w:rPr>
        <w:t>​</w:t>
      </w:r>
    </w:p>
    <w:p>
      <w:pPr>
        <w:numPr>
          <w:ilvl w:val="0"/>
          <w:numId w:val="24"/>
        </w:numPr>
        <w:rPr>
          <w:b/>
          <w:bCs/>
        </w:rPr>
      </w:pPr>
      <w:r>
        <w:rPr>
          <w:b/>
          <w:bCs/>
        </w:rPr>
        <w:t>报告制度</w:t>
      </w:r>
      <w:r>
        <w:rPr>
          <w:rFonts w:ascii="Arial" w:hAnsi="Arial" w:cs="Arial"/>
          <w:b/>
          <w:bCs/>
        </w:rPr>
        <w:t>​</w:t>
      </w:r>
    </w:p>
    <w:p>
      <w:pPr>
        <w:numPr>
          <w:ilvl w:val="0"/>
          <w:numId w:val="25"/>
        </w:numPr>
      </w:pPr>
      <w:r>
        <w:t>每月向甲方提交一份运维服务月报，内容包括本月巡检情况、故障处理情况、设备运行状态分析、下月工作计划等。</w:t>
      </w:r>
      <w:r>
        <w:rPr>
          <w:rFonts w:ascii="Arial" w:hAnsi="Arial" w:cs="Arial"/>
        </w:rPr>
        <w:t>​</w:t>
      </w:r>
    </w:p>
    <w:p>
      <w:pPr>
        <w:numPr>
          <w:ilvl w:val="0"/>
          <w:numId w:val="26"/>
        </w:numPr>
      </w:pPr>
      <w:r>
        <w:t>每季度提交一份季度运维报告，每年提交一份年度运维总结报告，全面总结运维工作情况，提出改进建议。</w:t>
      </w:r>
      <w:r>
        <w:rPr>
          <w:rFonts w:ascii="Arial" w:hAnsi="Arial" w:cs="Arial"/>
        </w:rPr>
        <w:t>​</w:t>
      </w:r>
    </w:p>
    <w:p>
      <w:pPr>
        <w:numPr>
          <w:ilvl w:val="0"/>
          <w:numId w:val="27"/>
        </w:numPr>
        <w:rPr>
          <w:b/>
          <w:bCs/>
        </w:rPr>
      </w:pPr>
      <w:r>
        <w:rPr>
          <w:b/>
          <w:bCs/>
        </w:rPr>
        <w:t>保密要求</w:t>
      </w:r>
      <w:r>
        <w:rPr>
          <w:rFonts w:ascii="Arial" w:hAnsi="Arial" w:cs="Arial"/>
          <w:b/>
          <w:bCs/>
        </w:rPr>
        <w:t>​</w:t>
      </w:r>
    </w:p>
    <w:p>
      <w:pPr>
        <w:ind w:left="720"/>
        <w:rPr>
          <w:rFonts w:hint="eastAsia"/>
        </w:rPr>
      </w:pPr>
      <w:r>
        <w:t>运维服务过程中</w:t>
      </w:r>
      <w:r>
        <w:rPr>
          <w:rFonts w:hint="eastAsia"/>
          <w:lang w:eastAsia="zh-CN"/>
        </w:rPr>
        <w:t>需对</w:t>
      </w:r>
      <w:r>
        <w:t>涉及的</w:t>
      </w:r>
      <w:r>
        <w:rPr>
          <w:rFonts w:hint="eastAsia"/>
          <w:lang w:eastAsia="zh-CN"/>
        </w:rPr>
        <w:t>相关信息</w:t>
      </w:r>
      <w:r>
        <w:rPr>
          <w:rFonts w:hint="eastAsia"/>
        </w:rPr>
        <w:t>保密：</w:t>
      </w:r>
    </w:p>
    <w:p>
      <w:pPr>
        <w:numPr>
          <w:ilvl w:val="0"/>
          <w:numId w:val="28"/>
        </w:numPr>
      </w:pPr>
      <w:r>
        <w:rPr>
          <w:b/>
          <w:bCs/>
        </w:rPr>
        <w:t>核心参数信息</w:t>
      </w:r>
      <w:r>
        <w:t>：包括诱导屏的硬件配置（如芯片型号、内存容量、处理器性能等）、技术指标（如亮度调节阈值、信号接收灵敏度、抗干扰参数等）。</w:t>
      </w:r>
    </w:p>
    <w:p>
      <w:pPr>
        <w:numPr>
          <w:ilvl w:val="0"/>
          <w:numId w:val="28"/>
        </w:numPr>
      </w:pPr>
      <w:r>
        <w:rPr>
          <w:b/>
          <w:bCs/>
        </w:rPr>
        <w:t>安装与布局信息</w:t>
      </w:r>
      <w:r>
        <w:t>：涵盖诱导屏的具体安装位置（精确到经纬度）、数量分布、安装方式（如吊装、壁挂的具体固定结构）、设备间的间距规划等。</w:t>
      </w:r>
    </w:p>
    <w:p>
      <w:pPr>
        <w:numPr>
          <w:ilvl w:val="0"/>
          <w:numId w:val="28"/>
        </w:numPr>
      </w:pPr>
      <w:r>
        <w:rPr>
          <w:b/>
          <w:bCs/>
        </w:rPr>
        <w:t>网络配置信息</w:t>
      </w:r>
      <w:r>
        <w:t>：涉及设备的 IP 地址分配表、子网掩码、网关设置、端口映射规则、VPN 配置参数、防火墙策略等网络拓扑相关数据。</w:t>
      </w:r>
    </w:p>
    <w:p>
      <w:pPr>
        <w:numPr>
          <w:ilvl w:val="0"/>
          <w:numId w:val="28"/>
        </w:numPr>
      </w:pPr>
      <w:r>
        <w:rPr>
          <w:b/>
          <w:bCs/>
        </w:rPr>
        <w:t>权限与认证信息</w:t>
      </w:r>
      <w:r>
        <w:t>：如系统管理员账号密码（包括历史密码及加密方式）、不同岗位运维人员的权限分配清单（如谁有权限修改核心参数、谁能查看全量数据）、身份认证方式（如动态口令的生成算法、生物识别的特征库索引）等。</w:t>
      </w:r>
    </w:p>
    <w:p>
      <w:pPr>
        <w:numPr>
          <w:ilvl w:val="0"/>
          <w:numId w:val="28"/>
        </w:numPr>
      </w:pPr>
      <w:r>
        <w:rPr>
          <w:b/>
          <w:bCs/>
        </w:rPr>
        <w:t>运维与故障数据</w:t>
      </w:r>
      <w:r>
        <w:t>：涵盖设备的故障记录（如故障类型、发生时间、修复方案）、运维日志（包括每次操作的人员、时间、内容）、预防性维护计划（如定期检修的周期、重点检查部位）等。</w:t>
      </w:r>
    </w:p>
    <w:p>
      <w:pPr>
        <w:numPr>
          <w:ilvl w:val="0"/>
          <w:numId w:val="28"/>
        </w:numPr>
      </w:pPr>
      <w:r>
        <w:rPr>
          <w:b/>
          <w:bCs/>
        </w:rPr>
        <w:t>应急与策略信息</w:t>
      </w:r>
      <w:r>
        <w:t>：如交通诱导屏的应急启动方案（如突发事故时的信息发布模板）、重大活动期间的交通疏导策略（包括诱导信息的切换逻辑）、极端天气下的设备保障预案等。</w:t>
      </w:r>
    </w:p>
    <w:p>
      <w:pPr>
        <w:numPr>
          <w:ilvl w:val="0"/>
          <w:numId w:val="28"/>
        </w:numPr>
      </w:pPr>
      <w:r>
        <w:rPr>
          <w:b/>
          <w:bCs/>
        </w:rPr>
        <w:t>外部协作信息</w:t>
      </w:r>
      <w:r>
        <w:t>：如与第三方技术服务商的合作范围（涉及的机密信息边界）、外包运维的考核标准及问题整改记录、外部人员的访问审批流程及记录等。</w:t>
      </w:r>
    </w:p>
    <w:p>
      <w:pPr>
        <w:ind w:left="720"/>
      </w:pPr>
      <w:r>
        <w:rPr>
          <w:rFonts w:hint="eastAsia"/>
          <w:lang w:eastAsia="zh-CN"/>
        </w:rPr>
        <w:t>服务单位需</w:t>
      </w:r>
      <w:r>
        <w:t>明确上述保密内容，针对性地制定</w:t>
      </w:r>
      <w:r>
        <w:rPr>
          <w:rFonts w:hint="eastAsia"/>
        </w:rPr>
        <w:t>保密</w:t>
      </w:r>
      <w:r>
        <w:t>措施，确保交通诱导屏运维过程中的信息安全，为交通系统的稳定运行提供保障。</w:t>
      </w:r>
      <w:r>
        <w:rPr>
          <w:rFonts w:ascii="Arial" w:hAnsi="Arial" w:cs="Arial"/>
        </w:rPr>
        <w:t>​</w:t>
      </w:r>
    </w:p>
    <w:p>
      <w:r>
        <w:t>六、人员与设备要求</w:t>
      </w:r>
      <w:r>
        <w:rPr>
          <w:rFonts w:ascii="Arial" w:hAnsi="Arial" w:cs="Arial"/>
        </w:rPr>
        <w:t>​</w:t>
      </w:r>
    </w:p>
    <w:p>
      <w:pPr>
        <w:numPr>
          <w:ilvl w:val="0"/>
          <w:numId w:val="29"/>
        </w:numPr>
        <w:rPr>
          <w:b/>
          <w:bCs/>
        </w:rPr>
      </w:pPr>
      <w:r>
        <w:rPr>
          <w:b/>
          <w:bCs/>
        </w:rPr>
        <w:t>人员要求</w:t>
      </w:r>
      <w:r>
        <w:rPr>
          <w:rFonts w:ascii="Arial" w:hAnsi="Arial" w:cs="Arial"/>
          <w:b/>
          <w:bCs/>
        </w:rPr>
        <w:t>​</w:t>
      </w:r>
    </w:p>
    <w:p>
      <w:pPr>
        <w:numPr>
          <w:ilvl w:val="0"/>
          <w:numId w:val="30"/>
        </w:numPr>
      </w:pPr>
      <w:r>
        <w:t>运维人员需统一着装，佩戴工作证件，遵守甲方的各项规章制度和工作纪律。</w:t>
      </w:r>
      <w:r>
        <w:rPr>
          <w:rFonts w:ascii="Arial" w:hAnsi="Arial" w:cs="Arial"/>
        </w:rPr>
        <w:t>​</w:t>
      </w:r>
    </w:p>
    <w:p>
      <w:pPr>
        <w:numPr>
          <w:ilvl w:val="0"/>
          <w:numId w:val="31"/>
        </w:numPr>
      </w:pPr>
      <w:r>
        <w:t>具备良好的服务意识和沟通能力，能够耐心解答甲方提出的问题。</w:t>
      </w:r>
      <w:r>
        <w:rPr>
          <w:rFonts w:ascii="Arial" w:hAnsi="Arial" w:cs="Arial"/>
        </w:rPr>
        <w:t>​</w:t>
      </w:r>
    </w:p>
    <w:p>
      <w:pPr>
        <w:numPr>
          <w:ilvl w:val="0"/>
          <w:numId w:val="31"/>
        </w:numPr>
      </w:pPr>
      <w:r>
        <w:rPr>
          <w:rFonts w:hint="eastAsia"/>
        </w:rPr>
        <w:t>项目经理1名，</w:t>
      </w:r>
      <w:r>
        <w:rPr>
          <w:rFonts w:hint="eastAsia" w:ascii="宋体" w:hAnsi="宋体"/>
          <w:color w:val="000000"/>
          <w:sz w:val="21"/>
          <w:szCs w:val="21"/>
        </w:rPr>
        <w:t>至少二名具有进网电工作业许可证的专业人员以及二名持证登高作业人员。</w:t>
      </w:r>
    </w:p>
    <w:p>
      <w:pPr>
        <w:numPr>
          <w:ilvl w:val="0"/>
          <w:numId w:val="32"/>
        </w:numPr>
        <w:rPr>
          <w:b/>
          <w:bCs/>
        </w:rPr>
      </w:pPr>
      <w:r>
        <w:rPr>
          <w:b/>
          <w:bCs/>
        </w:rPr>
        <w:t>设备要求</w:t>
      </w:r>
      <w:r>
        <w:rPr>
          <w:rFonts w:ascii="Arial" w:hAnsi="Arial" w:cs="Arial"/>
          <w:b/>
          <w:bCs/>
        </w:rPr>
        <w:t>​</w:t>
      </w:r>
    </w:p>
    <w:p>
      <w:pPr>
        <w:numPr>
          <w:ilvl w:val="0"/>
          <w:numId w:val="33"/>
        </w:numPr>
      </w:pPr>
      <w:r>
        <w:t>运维团队需配备必要的维修工具、检测设备、通讯设备等，如万用表、示波器、笔记本电脑、故障检测软件等，确保维修工作顺利进行。</w:t>
      </w:r>
      <w:r>
        <w:rPr>
          <w:rFonts w:ascii="Arial" w:hAnsi="Arial" w:cs="Arial"/>
        </w:rPr>
        <w:t>​</w:t>
      </w:r>
    </w:p>
    <w:p>
      <w:pPr>
        <w:numPr>
          <w:ilvl w:val="0"/>
          <w:numId w:val="34"/>
        </w:numPr>
      </w:pPr>
      <w:r>
        <w:rPr>
          <w:rFonts w:hint="eastAsia"/>
        </w:rPr>
        <w:t>常备10米及以上登高作业车辆不少于1台，</w:t>
      </w:r>
      <w:r>
        <w:t>保证能够及时到达故障现场。</w:t>
      </w:r>
      <w:r>
        <w:rPr>
          <w:rFonts w:ascii="Arial" w:hAnsi="Arial" w:cs="Arial"/>
        </w:rPr>
        <w:t>​</w:t>
      </w:r>
    </w:p>
    <w:p>
      <w:r>
        <w:t>七、验收标准</w:t>
      </w:r>
      <w:r>
        <w:rPr>
          <w:rFonts w:ascii="Arial" w:hAnsi="Arial" w:cs="Arial"/>
        </w:rPr>
        <w:t>​</w:t>
      </w:r>
    </w:p>
    <w:p>
      <w:pPr>
        <w:numPr>
          <w:ilvl w:val="0"/>
          <w:numId w:val="35"/>
        </w:numPr>
      </w:pPr>
      <w:r>
        <w:rPr>
          <w:b/>
          <w:bCs/>
        </w:rPr>
        <w:t>日常巡检</w:t>
      </w:r>
      <w:r>
        <w:t>：巡检报告内容完整、准确，无遗漏巡检项目，发现的问题得到及时处理或反馈。</w:t>
      </w:r>
      <w:r>
        <w:rPr>
          <w:rFonts w:ascii="Arial" w:hAnsi="Arial" w:cs="Arial"/>
        </w:rPr>
        <w:t>​</w:t>
      </w:r>
    </w:p>
    <w:p>
      <w:pPr>
        <w:numPr>
          <w:ilvl w:val="0"/>
          <w:numId w:val="36"/>
        </w:numPr>
      </w:pPr>
      <w:r>
        <w:rPr>
          <w:b/>
          <w:bCs/>
        </w:rPr>
        <w:t>故障维修</w:t>
      </w:r>
      <w:r>
        <w:t>：故障处理及时，修复后的设备运行正常，符合相关技术标准和使用要求，维修记录完整。</w:t>
      </w:r>
      <w:r>
        <w:rPr>
          <w:rFonts w:ascii="Arial" w:hAnsi="Arial" w:cs="Arial"/>
        </w:rPr>
        <w:t>​</w:t>
      </w:r>
    </w:p>
    <w:p>
      <w:pPr>
        <w:numPr>
          <w:ilvl w:val="0"/>
          <w:numId w:val="37"/>
        </w:numPr>
      </w:pPr>
      <w:r>
        <w:rPr>
          <w:b/>
          <w:bCs/>
        </w:rPr>
        <w:t>清洁保养</w:t>
      </w:r>
      <w:r>
        <w:t>：诱导屏显示清晰，设备外观整洁，内部无明显灰尘，散热良好。</w:t>
      </w:r>
      <w:r>
        <w:rPr>
          <w:rFonts w:ascii="Arial" w:hAnsi="Arial" w:cs="Arial"/>
        </w:rPr>
        <w:t>​</w:t>
      </w:r>
    </w:p>
    <w:p>
      <w:pPr>
        <w:numPr>
          <w:ilvl w:val="0"/>
          <w:numId w:val="38"/>
        </w:numPr>
      </w:pPr>
      <w:r>
        <w:rPr>
          <w:b/>
          <w:bCs/>
        </w:rPr>
        <w:t>服务报告</w:t>
      </w:r>
      <w:r>
        <w:t>：各类服务报告提交及时、内容详实、数据准确，能够真实反映运维服务情况。</w:t>
      </w:r>
      <w:r>
        <w:rPr>
          <w:rFonts w:ascii="Arial" w:hAnsi="Arial" w:cs="Arial"/>
        </w:rPr>
        <w:t>​</w:t>
      </w:r>
    </w:p>
    <w:p>
      <w:pPr>
        <w:numPr>
          <w:ilvl w:val="0"/>
          <w:numId w:val="39"/>
        </w:numPr>
      </w:pPr>
      <w:r>
        <w:rPr>
          <w:b/>
          <w:bCs/>
        </w:rPr>
        <w:t>设备完好率</w:t>
      </w:r>
      <w:r>
        <w:t>：在运维服务期内，交通诱导屏的设备完好率需达到 [具体数值，如 98%] 以上。</w:t>
      </w:r>
      <w:r>
        <w:rPr>
          <w:rFonts w:ascii="Arial" w:hAnsi="Arial" w:cs="Arial"/>
        </w:rPr>
        <w:t>​</w:t>
      </w:r>
    </w:p>
    <w:p>
      <w:r>
        <w:t>八、服务期限</w:t>
      </w:r>
      <w:r>
        <w:rPr>
          <w:rFonts w:ascii="Arial" w:hAnsi="Arial" w:cs="Arial"/>
        </w:rPr>
        <w:t>​</w:t>
      </w:r>
    </w:p>
    <w:p>
      <w:pPr>
        <w:ind w:firstLine="420" w:firstLineChars="200"/>
      </w:pPr>
      <w:r>
        <w:rPr>
          <w:rFonts w:hint="eastAsia" w:ascii="宋体" w:hAnsi="宋体"/>
          <w:sz w:val="21"/>
          <w:szCs w:val="16"/>
          <w:highlight w:val="none"/>
        </w:rPr>
        <w:t>本次招标服务期为一年（本项目采用一次招标三年沿用，分年度签订合同，每次签约有效期一年，每年度有效期终止前2个月，由采购人对成交单位进行年度考核和验收，如通过则可续签第二年合同，第三年的合同续签同第二年。第二年的合同价为第一年的原合同价。如遇特殊情况，则以当年度法定程序批准的预算执行）。</w:t>
      </w:r>
    </w:p>
    <w:p>
      <w:r>
        <w:t>九、报价要求</w:t>
      </w:r>
      <w:r>
        <w:rPr>
          <w:rFonts w:ascii="Arial" w:hAnsi="Arial" w:cs="Arial"/>
        </w:rPr>
        <w:t>​</w:t>
      </w:r>
    </w:p>
    <w:p>
      <w:pPr>
        <w:ind w:firstLine="440" w:firstLineChars="200"/>
      </w:pPr>
      <w:r>
        <w:t>供应商需根据本采购需求提供详细的报价单，包括服务费用总价、各项服务内容的单价、人员设备费用、零部件更换预估费用（如有）、税费等各项费用，报价应真实、合理。</w:t>
      </w:r>
    </w:p>
    <w:p>
      <w:r>
        <w:rPr>
          <w:rFonts w:hint="eastAsia"/>
          <w:lang w:val="en-US" w:eastAsia="zh-CN"/>
        </w:rPr>
        <w:t>十、付款方式</w:t>
      </w:r>
      <w:r>
        <w:t>​</w:t>
      </w:r>
    </w:p>
    <w:p>
      <w:pPr>
        <w:ind w:firstLine="440" w:firstLineChars="200"/>
        <w:rPr>
          <w:rFonts w:hint="eastAsia"/>
          <w:lang w:val="en-US" w:eastAsia="zh-CN"/>
        </w:rPr>
      </w:pPr>
      <w:r>
        <w:rPr>
          <w:rFonts w:hint="eastAsia"/>
          <w:lang w:val="en-US" w:eastAsia="zh-CN"/>
        </w:rPr>
        <w:t>第一笔：合同签订后7日内支付30%</w:t>
      </w:r>
    </w:p>
    <w:p>
      <w:pPr>
        <w:ind w:firstLine="440" w:firstLineChars="200"/>
        <w:rPr>
          <w:rFonts w:hint="eastAsia"/>
          <w:lang w:val="en-US" w:eastAsia="zh-CN"/>
        </w:rPr>
      </w:pPr>
      <w:r>
        <w:rPr>
          <w:rFonts w:hint="eastAsia"/>
          <w:lang w:val="en-US" w:eastAsia="zh-CN"/>
        </w:rPr>
        <w:t>第二笔：服务时间达到合同服务期限二分之一后7日内支付80%</w:t>
      </w:r>
    </w:p>
    <w:p>
      <w:pPr>
        <w:ind w:firstLine="440" w:firstLineChars="200"/>
        <w:rPr>
          <w:rFonts w:hint="default"/>
          <w:lang w:val="en-US" w:eastAsia="zh-CN"/>
        </w:rPr>
      </w:pPr>
      <w:r>
        <w:rPr>
          <w:rFonts w:hint="eastAsia"/>
          <w:lang w:val="en-US" w:eastAsia="zh-CN"/>
        </w:rPr>
        <w:t>第三笔：完成合同服务期限内规定的服务事项后，审价决算完成后7日内支付至审定价100%</w:t>
      </w:r>
    </w:p>
    <w:sectPr>
      <w:headerReference r:id="rId3" w:type="default"/>
      <w:pgSz w:w="12240" w:h="15840"/>
      <w:pgMar w:top="1440" w:right="1440" w:bottom="1440" w:left="144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Aptos">
    <w:altName w:val="Segoe Print"/>
    <w:panose1 w:val="00000000000000000000"/>
    <w:charset w:val="00"/>
    <w:family w:val="swiss"/>
    <w:pitch w:val="default"/>
    <w:sig w:usb0="00000000" w:usb1="00000000" w:usb2="00000000" w:usb3="00000000" w:csb0="0000019F" w:csb1="00000000"/>
  </w:font>
  <w:font w:name="等线">
    <w:panose1 w:val="02010600030101010101"/>
    <w:charset w:val="86"/>
    <w:family w:val="auto"/>
    <w:pitch w:val="default"/>
    <w:sig w:usb0="A00002BF" w:usb1="38CF7CFA" w:usb2="00000016" w:usb3="00000000" w:csb0="0004000F" w:csb1="00000000"/>
  </w:font>
  <w:font w:name="Aptos Display">
    <w:altName w:val="Segoe Print"/>
    <w:panose1 w:val="00000000000000000000"/>
    <w:charset w:val="00"/>
    <w:family w:val="swiss"/>
    <w:pitch w:val="default"/>
    <w:sig w:usb0="00000000" w:usb1="00000000" w:usb2="00000000" w:usb3="00000000" w:csb0="0000019F" w:csb1="00000000"/>
  </w:font>
  <w:font w:name="等线 Light">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default" w:eastAsiaTheme="minorEastAsia"/>
        <w:lang w:val="en-US" w:eastAsia="zh-CN"/>
      </w:rPr>
    </w:pPr>
    <w:r>
      <w:rPr>
        <w:rFonts w:hint="eastAsia"/>
        <w:lang w:val="en-US" w:eastAsia="zh-CN"/>
      </w:rPr>
      <w:t>ZC20250143          长宁区建管委交通中心交通诱导系统运营维护服务竞争性磋商项目            需求文件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3846"/>
    <w:multiLevelType w:val="multilevel"/>
    <w:tmpl w:val="0072384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6A404ED"/>
    <w:multiLevelType w:val="multilevel"/>
    <w:tmpl w:val="06A404ED"/>
    <w:lvl w:ilvl="0" w:tentative="0">
      <w:start w:val="5"/>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6CD0AD4"/>
    <w:multiLevelType w:val="multilevel"/>
    <w:tmpl w:val="06CD0AD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8B82348"/>
    <w:multiLevelType w:val="multilevel"/>
    <w:tmpl w:val="08B8234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0E9772B1"/>
    <w:multiLevelType w:val="multilevel"/>
    <w:tmpl w:val="0E9772B1"/>
    <w:lvl w:ilvl="0" w:tentative="0">
      <w:start w:val="5"/>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F212877"/>
    <w:multiLevelType w:val="multilevel"/>
    <w:tmpl w:val="0F21287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0F4B5331"/>
    <w:multiLevelType w:val="multilevel"/>
    <w:tmpl w:val="0F4B5331"/>
    <w:lvl w:ilvl="0" w:tentative="0">
      <w:start w:val="3"/>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10CF0F18"/>
    <w:multiLevelType w:val="multilevel"/>
    <w:tmpl w:val="10CF0F1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18007F97"/>
    <w:multiLevelType w:val="multilevel"/>
    <w:tmpl w:val="18007F9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1F1811A2"/>
    <w:multiLevelType w:val="multilevel"/>
    <w:tmpl w:val="1F1811A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273B4008"/>
    <w:multiLevelType w:val="multilevel"/>
    <w:tmpl w:val="273B4008"/>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2F9A71D4"/>
    <w:multiLevelType w:val="multilevel"/>
    <w:tmpl w:val="2F9A71D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312D4567"/>
    <w:multiLevelType w:val="multilevel"/>
    <w:tmpl w:val="312D456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320531CD"/>
    <w:multiLevelType w:val="multilevel"/>
    <w:tmpl w:val="320531CD"/>
    <w:lvl w:ilvl="0" w:tentative="0">
      <w:start w:val="4"/>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341E2E3A"/>
    <w:multiLevelType w:val="multilevel"/>
    <w:tmpl w:val="341E2E3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343C1E19"/>
    <w:multiLevelType w:val="multilevel"/>
    <w:tmpl w:val="343C1E1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35623B31"/>
    <w:multiLevelType w:val="multilevel"/>
    <w:tmpl w:val="35623B31"/>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369774C7"/>
    <w:multiLevelType w:val="multilevel"/>
    <w:tmpl w:val="369774C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3CD617BE"/>
    <w:multiLevelType w:val="multilevel"/>
    <w:tmpl w:val="3CD617B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9">
    <w:nsid w:val="3D7164C1"/>
    <w:multiLevelType w:val="multilevel"/>
    <w:tmpl w:val="3D7164C1"/>
    <w:lvl w:ilvl="0" w:tentative="0">
      <w:start w:val="3"/>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418C59F0"/>
    <w:multiLevelType w:val="multilevel"/>
    <w:tmpl w:val="418C59F0"/>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422A15DC"/>
    <w:multiLevelType w:val="multilevel"/>
    <w:tmpl w:val="422A15D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2">
    <w:nsid w:val="48F34D79"/>
    <w:multiLevelType w:val="multilevel"/>
    <w:tmpl w:val="48F34D7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3">
    <w:nsid w:val="4BCA51C0"/>
    <w:multiLevelType w:val="multilevel"/>
    <w:tmpl w:val="4BCA51C0"/>
    <w:lvl w:ilvl="0" w:tentative="0">
      <w:start w:val="4"/>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4EF26A70"/>
    <w:multiLevelType w:val="multilevel"/>
    <w:tmpl w:val="4EF26A7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5">
    <w:nsid w:val="4F2E5E49"/>
    <w:multiLevelType w:val="multilevel"/>
    <w:tmpl w:val="4F2E5E4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6">
    <w:nsid w:val="4FC62149"/>
    <w:multiLevelType w:val="multilevel"/>
    <w:tmpl w:val="4FC6214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7">
    <w:nsid w:val="532877B1"/>
    <w:multiLevelType w:val="multilevel"/>
    <w:tmpl w:val="532877B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8">
    <w:nsid w:val="541E5632"/>
    <w:multiLevelType w:val="multilevel"/>
    <w:tmpl w:val="541E5632"/>
    <w:lvl w:ilvl="0" w:tentative="0">
      <w:start w:val="3"/>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
    <w:nsid w:val="556E21EB"/>
    <w:multiLevelType w:val="multilevel"/>
    <w:tmpl w:val="556E21E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0">
    <w:nsid w:val="5AB92AE2"/>
    <w:multiLevelType w:val="multilevel"/>
    <w:tmpl w:val="5AB92AE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1">
    <w:nsid w:val="5BBA2C84"/>
    <w:multiLevelType w:val="multilevel"/>
    <w:tmpl w:val="5BBA2C8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2">
    <w:nsid w:val="61E856F9"/>
    <w:multiLevelType w:val="multilevel"/>
    <w:tmpl w:val="61E856F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3">
    <w:nsid w:val="63185961"/>
    <w:multiLevelType w:val="multilevel"/>
    <w:tmpl w:val="6318596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4">
    <w:nsid w:val="685266BC"/>
    <w:multiLevelType w:val="multilevel"/>
    <w:tmpl w:val="685266B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5">
    <w:nsid w:val="6FAB32D4"/>
    <w:multiLevelType w:val="multilevel"/>
    <w:tmpl w:val="6FAB32D4"/>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6">
    <w:nsid w:val="7A026B59"/>
    <w:multiLevelType w:val="multilevel"/>
    <w:tmpl w:val="7A026B59"/>
    <w:lvl w:ilvl="0" w:tentative="0">
      <w:start w:val="4"/>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7">
    <w:nsid w:val="7C1B78BF"/>
    <w:multiLevelType w:val="multilevel"/>
    <w:tmpl w:val="7C1B78B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8">
    <w:nsid w:val="7C231747"/>
    <w:multiLevelType w:val="multilevel"/>
    <w:tmpl w:val="7C23174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1"/>
  </w:num>
  <w:num w:numId="2">
    <w:abstractNumId w:val="21"/>
  </w:num>
  <w:num w:numId="3">
    <w:abstractNumId w:val="8"/>
  </w:num>
  <w:num w:numId="4">
    <w:abstractNumId w:val="20"/>
  </w:num>
  <w:num w:numId="5">
    <w:abstractNumId w:val="30"/>
  </w:num>
  <w:num w:numId="6">
    <w:abstractNumId w:val="5"/>
  </w:num>
  <w:num w:numId="7">
    <w:abstractNumId w:val="19"/>
  </w:num>
  <w:num w:numId="8">
    <w:abstractNumId w:val="24"/>
  </w:num>
  <w:num w:numId="9">
    <w:abstractNumId w:val="26"/>
  </w:num>
  <w:num w:numId="10">
    <w:abstractNumId w:val="3"/>
  </w:num>
  <w:num w:numId="11">
    <w:abstractNumId w:val="36"/>
  </w:num>
  <w:num w:numId="12">
    <w:abstractNumId w:val="22"/>
  </w:num>
  <w:num w:numId="13">
    <w:abstractNumId w:val="9"/>
  </w:num>
  <w:num w:numId="14">
    <w:abstractNumId w:val="4"/>
  </w:num>
  <w:num w:numId="15">
    <w:abstractNumId w:val="7"/>
  </w:num>
  <w:num w:numId="16">
    <w:abstractNumId w:val="12"/>
  </w:num>
  <w:num w:numId="17">
    <w:abstractNumId w:val="2"/>
  </w:num>
  <w:num w:numId="18">
    <w:abstractNumId w:val="32"/>
  </w:num>
  <w:num w:numId="19">
    <w:abstractNumId w:val="29"/>
  </w:num>
  <w:num w:numId="20">
    <w:abstractNumId w:val="27"/>
  </w:num>
  <w:num w:numId="21">
    <w:abstractNumId w:val="10"/>
  </w:num>
  <w:num w:numId="22">
    <w:abstractNumId w:val="25"/>
  </w:num>
  <w:num w:numId="23">
    <w:abstractNumId w:val="33"/>
  </w:num>
  <w:num w:numId="24">
    <w:abstractNumId w:val="28"/>
  </w:num>
  <w:num w:numId="25">
    <w:abstractNumId w:val="38"/>
  </w:num>
  <w:num w:numId="26">
    <w:abstractNumId w:val="31"/>
  </w:num>
  <w:num w:numId="27">
    <w:abstractNumId w:val="13"/>
  </w:num>
  <w:num w:numId="28">
    <w:abstractNumId w:val="37"/>
  </w:num>
  <w:num w:numId="29">
    <w:abstractNumId w:val="34"/>
  </w:num>
  <w:num w:numId="30">
    <w:abstractNumId w:val="18"/>
  </w:num>
  <w:num w:numId="31">
    <w:abstractNumId w:val="14"/>
  </w:num>
  <w:num w:numId="32">
    <w:abstractNumId w:val="35"/>
  </w:num>
  <w:num w:numId="33">
    <w:abstractNumId w:val="15"/>
  </w:num>
  <w:num w:numId="34">
    <w:abstractNumId w:val="0"/>
  </w:num>
  <w:num w:numId="35">
    <w:abstractNumId w:val="17"/>
  </w:num>
  <w:num w:numId="36">
    <w:abstractNumId w:val="16"/>
  </w:num>
  <w:num w:numId="37">
    <w:abstractNumId w:val="6"/>
  </w:num>
  <w:num w:numId="38">
    <w:abstractNumId w:val="23"/>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5E8"/>
    <w:rsid w:val="00001D67"/>
    <w:rsid w:val="001B4EAE"/>
    <w:rsid w:val="00492FE5"/>
    <w:rsid w:val="004A4334"/>
    <w:rsid w:val="005C642F"/>
    <w:rsid w:val="00704373"/>
    <w:rsid w:val="00773DFB"/>
    <w:rsid w:val="009574EB"/>
    <w:rsid w:val="00986D61"/>
    <w:rsid w:val="00BA6B25"/>
    <w:rsid w:val="00BC15E8"/>
    <w:rsid w:val="00BE1182"/>
    <w:rsid w:val="00E807CD"/>
    <w:rsid w:val="00E85048"/>
    <w:rsid w:val="00F56516"/>
    <w:rsid w:val="03D537F7"/>
    <w:rsid w:val="2BD01C3C"/>
    <w:rsid w:val="4C4028C9"/>
    <w:rsid w:val="655168D0"/>
    <w:rsid w:val="77A407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2"/>
      <w:szCs w:val="22"/>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11">
    <w:name w:val="footer"/>
    <w:basedOn w:val="1"/>
    <w:semiHidden/>
    <w:unhideWhenUsed/>
    <w:uiPriority w:val="99"/>
    <w:pPr>
      <w:tabs>
        <w:tab w:val="center" w:pos="4153"/>
        <w:tab w:val="right" w:pos="8306"/>
      </w:tabs>
      <w:snapToGrid w:val="0"/>
      <w:jc w:val="left"/>
    </w:pPr>
    <w:rPr>
      <w:sz w:val="18"/>
    </w:rPr>
  </w:style>
  <w:style w:type="paragraph" w:styleId="12">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szCs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2701</Words>
  <Characters>2726</Characters>
  <Lines>265</Lines>
  <Paragraphs>233</Paragraphs>
  <TotalTime>2703</TotalTime>
  <ScaleCrop>false</ScaleCrop>
  <LinksUpToDate>false</LinksUpToDate>
  <CharactersWithSpaces>2740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2025-08-11T03:36:00Z</dcterms:created>
  <dc:creator> </dc:creator>
  <cp:lastModifiedBy>Administrator</cp:lastModifiedBy>
  <dcterms:modified xsi:type="dcterms:W3CDTF">2025-08-28T02:06:30Z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eyJoZGlkIjoiZTZiYjZlZmU2ODViYmZhN2MyYzMzY2NlZjk0ZWUwN2IifQ==</vt:lpwstr>
  </property>
  <property fmtid="{D5CDD505-2E9C-101B-9397-08002B2CF9AE}" pid="3" name="KSOProductBuildVer">
    <vt:lpwstr>2052-11.8.2.8555</vt:lpwstr>
  </property>
  <property fmtid="{D5CDD505-2E9C-101B-9397-08002B2CF9AE}" pid="4" name="ICV">
    <vt:lpwstr>3A14CB16A1284F6DB3D2ADD16AFDE268_12</vt:lpwstr>
  </property>
</Properties>
</file>