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spacing w:before="0" w:after="0" w:line="360" w:lineRule="auto"/>
        <w:contextualSpacing/>
        <w:jc w:val="center"/>
        <w:rPr>
          <w:rFonts w:hint="eastAsia" w:ascii="宋体" w:hAnsi="宋体" w:eastAsia="宋体" w:cs="仿宋"/>
          <w:b/>
          <w:bCs/>
          <w:sz w:val="32"/>
          <w:szCs w:val="32"/>
          <w:lang w:eastAsia="zh-CN"/>
        </w:rPr>
      </w:pPr>
      <w:r>
        <w:rPr>
          <w:rFonts w:hint="eastAsia" w:ascii="宋体" w:hAnsi="宋体" w:eastAsia="宋体" w:cs="仿宋"/>
          <w:b/>
          <w:bCs/>
          <w:sz w:val="32"/>
          <w:szCs w:val="32"/>
          <w:lang w:eastAsia="zh-CN"/>
        </w:rPr>
        <w:t>上海市长宁区医管中心长宁卫生系统信息安全测评服务竞争性磋商项目</w:t>
      </w:r>
      <w:r>
        <w:rPr>
          <w:rFonts w:hint="eastAsia" w:ascii="宋体" w:hAnsi="宋体" w:eastAsia="宋体" w:cs="仿宋"/>
          <w:b/>
          <w:bCs/>
          <w:sz w:val="32"/>
          <w:szCs w:val="32"/>
        </w:rPr>
        <w:t>采购需求</w:t>
      </w:r>
      <w:r>
        <w:rPr>
          <w:rFonts w:hint="eastAsia" w:ascii="宋体" w:hAnsi="宋体" w:eastAsia="宋体" w:cs="仿宋"/>
          <w:b/>
          <w:bCs/>
          <w:sz w:val="32"/>
          <w:szCs w:val="32"/>
          <w:lang w:eastAsia="zh-CN"/>
        </w:rPr>
        <w:t>文件</w:t>
      </w:r>
    </w:p>
    <w:p>
      <w:pPr>
        <w:widowControl/>
        <w:shd w:val="clear" w:color="auto" w:fill="FFFFFF"/>
        <w:spacing w:line="495" w:lineRule="atLeast"/>
        <w:jc w:val="center"/>
        <w:outlineLvl w:val="1"/>
        <w:rPr>
          <w:rFonts w:ascii="宋体" w:hAnsi="宋体" w:eastAsia="宋体" w:cs="Arial"/>
          <w:b w:val="0"/>
          <w:bCs/>
          <w:kern w:val="0"/>
          <w:sz w:val="21"/>
          <w:szCs w:val="21"/>
        </w:rPr>
      </w:pPr>
      <w:bookmarkStart w:id="0" w:name="_Toc53217151"/>
    </w:p>
    <w:p>
      <w:pPr>
        <w:widowControl/>
        <w:shd w:val="clear" w:color="auto" w:fill="FFFFFF"/>
        <w:spacing w:line="495" w:lineRule="atLeast"/>
        <w:jc w:val="left"/>
        <w:outlineLvl w:val="1"/>
        <w:rPr>
          <w:rFonts w:hint="default" w:ascii="宋体" w:hAnsi="宋体" w:eastAsia="宋体" w:cs="宋体"/>
          <w:b/>
          <w:color w:val="000000"/>
          <w:kern w:val="0"/>
          <w:szCs w:val="32"/>
          <w:shd w:val="clear" w:color="auto" w:fill="FFFFFF"/>
        </w:rPr>
      </w:pPr>
      <w:r>
        <w:rPr>
          <w:rFonts w:ascii="宋体" w:hAnsi="宋体" w:eastAsia="宋体" w:cs="Arial"/>
          <w:b/>
          <w:kern w:val="0"/>
          <w:szCs w:val="32"/>
        </w:rPr>
        <w:t>1、项目概况</w:t>
      </w:r>
      <w:bookmarkEnd w:id="0"/>
    </w:p>
    <w:p>
      <w:pPr>
        <w:spacing w:line="360" w:lineRule="auto"/>
        <w:ind w:firstLine="480" w:firstLineChars="200"/>
        <w:rPr>
          <w:rFonts w:hint="default" w:ascii="宋体" w:hAnsi="宋体" w:eastAsia="宋体" w:cs="Arial"/>
          <w:kern w:val="0"/>
          <w:sz w:val="24"/>
        </w:rPr>
      </w:pPr>
      <w:bookmarkStart w:id="1" w:name="OLE_LINK5"/>
      <w:bookmarkStart w:id="2" w:name="OLE_LINK6"/>
      <w:r>
        <w:rPr>
          <w:rFonts w:ascii="宋体" w:hAnsi="宋体" w:eastAsia="宋体" w:cs="Arial"/>
          <w:kern w:val="0"/>
          <w:sz w:val="24"/>
        </w:rPr>
        <w:t>依据《中华人民共和国网络安全法》《信息安全等级保护管理办法》的相关要求，对</w:t>
      </w:r>
      <w:bookmarkStart w:id="3" w:name="OLE_LINK1"/>
      <w:bookmarkStart w:id="4" w:name="OLE_LINK2"/>
      <w:r>
        <w:rPr>
          <w:rFonts w:ascii="宋体" w:hAnsi="宋体" w:eastAsia="宋体" w:cs="Arial"/>
          <w:kern w:val="0"/>
          <w:sz w:val="24"/>
          <w:highlight w:val="none"/>
        </w:rPr>
        <w:t>上海市长宁区公立医院和社区卫生管理中心</w:t>
      </w:r>
      <w:bookmarkEnd w:id="3"/>
      <w:bookmarkEnd w:id="4"/>
      <w:r>
        <w:rPr>
          <w:rFonts w:ascii="宋体" w:hAnsi="宋体" w:eastAsia="宋体" w:cs="Arial"/>
          <w:kern w:val="0"/>
          <w:sz w:val="24"/>
        </w:rPr>
        <w:t>重要信息系统进行网络安全等级保护测评，包括：安全技术测评，安全管理测评，工具测试，编制系统安全整改方案，编制测评报告等。</w:t>
      </w:r>
    </w:p>
    <w:bookmarkEnd w:id="1"/>
    <w:bookmarkEnd w:id="2"/>
    <w:p>
      <w:pPr>
        <w:widowControl/>
        <w:shd w:val="clear" w:color="auto" w:fill="FFFFFF"/>
        <w:spacing w:line="495" w:lineRule="atLeast"/>
        <w:jc w:val="left"/>
        <w:outlineLvl w:val="1"/>
        <w:rPr>
          <w:rFonts w:hint="default" w:ascii="宋体" w:hAnsi="宋体" w:eastAsia="宋体" w:cs="Arial"/>
          <w:b/>
          <w:kern w:val="0"/>
          <w:szCs w:val="32"/>
        </w:rPr>
      </w:pPr>
      <w:bookmarkStart w:id="5" w:name="_Toc53217152"/>
      <w:r>
        <w:rPr>
          <w:rFonts w:ascii="宋体" w:hAnsi="宋体" w:eastAsia="宋体" w:cs="Arial"/>
          <w:b/>
          <w:kern w:val="0"/>
          <w:szCs w:val="32"/>
        </w:rPr>
        <w:t>2、项目实施范围</w:t>
      </w:r>
      <w:bookmarkEnd w:id="5"/>
    </w:p>
    <w:p>
      <w:pPr>
        <w:spacing w:after="156" w:afterLines="50" w:line="360" w:lineRule="auto"/>
        <w:rPr>
          <w:rFonts w:hint="default" w:ascii="宋体" w:hAnsi="宋体" w:eastAsia="宋体" w:cs="Arial"/>
          <w:kern w:val="0"/>
          <w:sz w:val="24"/>
        </w:rPr>
      </w:pPr>
      <w:r>
        <w:rPr>
          <w:rFonts w:ascii="宋体" w:hAnsi="宋体" w:eastAsia="宋体" w:cs="Arial"/>
          <w:kern w:val="0"/>
          <w:sz w:val="24"/>
        </w:rPr>
        <w:t>本次参于网络安全等级保护测评的系统如下：</w:t>
      </w:r>
    </w:p>
    <w:tbl>
      <w:tblPr>
        <w:tblStyle w:val="9"/>
        <w:tblW w:w="8500" w:type="dxa"/>
        <w:jc w:val="center"/>
        <w:tblInd w:w="0" w:type="dxa"/>
        <w:tblLayout w:type="fixed"/>
        <w:tblCellMar>
          <w:top w:w="0" w:type="dxa"/>
          <w:left w:w="108" w:type="dxa"/>
          <w:bottom w:w="0" w:type="dxa"/>
          <w:right w:w="108" w:type="dxa"/>
        </w:tblCellMar>
      </w:tblPr>
      <w:tblGrid>
        <w:gridCol w:w="660"/>
        <w:gridCol w:w="3333"/>
        <w:gridCol w:w="3232"/>
        <w:gridCol w:w="1275"/>
      </w:tblGrid>
      <w:tr>
        <w:tblPrEx>
          <w:tblLayout w:type="fixed"/>
          <w:tblCellMar>
            <w:top w:w="0" w:type="dxa"/>
            <w:left w:w="108" w:type="dxa"/>
            <w:bottom w:w="0" w:type="dxa"/>
            <w:right w:w="108" w:type="dxa"/>
          </w:tblCellMar>
        </w:tblPrEx>
        <w:trPr>
          <w:trHeight w:val="585"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bCs/>
                <w:color w:val="000000"/>
                <w:kern w:val="0"/>
                <w:sz w:val="22"/>
              </w:rPr>
            </w:pPr>
            <w:r>
              <w:rPr>
                <w:rFonts w:ascii="等线" w:hAnsi="等线" w:eastAsia="等线" w:cs="宋体"/>
                <w:b/>
                <w:bCs/>
                <w:color w:val="000000"/>
                <w:kern w:val="0"/>
                <w:sz w:val="22"/>
              </w:rPr>
              <w:t>序号</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bCs/>
                <w:color w:val="000000"/>
                <w:kern w:val="0"/>
                <w:sz w:val="22"/>
              </w:rPr>
            </w:pPr>
            <w:r>
              <w:rPr>
                <w:rFonts w:ascii="等线" w:hAnsi="等线" w:eastAsia="等线" w:cs="宋体"/>
                <w:b/>
                <w:bCs/>
                <w:color w:val="000000"/>
                <w:kern w:val="0"/>
                <w:sz w:val="22"/>
              </w:rPr>
              <w:t>单位名称</w:t>
            </w:r>
          </w:p>
        </w:tc>
        <w:tc>
          <w:tcPr>
            <w:tcW w:w="32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bCs/>
                <w:color w:val="000000"/>
                <w:kern w:val="0"/>
                <w:sz w:val="22"/>
              </w:rPr>
            </w:pPr>
            <w:r>
              <w:rPr>
                <w:rFonts w:ascii="等线" w:hAnsi="等线" w:eastAsia="等线" w:cs="宋体"/>
                <w:b/>
                <w:bCs/>
                <w:color w:val="000000"/>
                <w:kern w:val="0"/>
                <w:sz w:val="22"/>
              </w:rPr>
              <w:t>系统名称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bCs/>
                <w:color w:val="000000"/>
                <w:kern w:val="0"/>
                <w:sz w:val="22"/>
              </w:rPr>
            </w:pPr>
            <w:r>
              <w:rPr>
                <w:rFonts w:ascii="等线" w:hAnsi="等线" w:eastAsia="等线" w:cs="宋体"/>
                <w:b/>
                <w:bCs/>
                <w:color w:val="000000"/>
                <w:kern w:val="0"/>
                <w:sz w:val="22"/>
              </w:rPr>
              <w:t>备案等级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bookmarkStart w:id="6" w:name="_Hlk199427777"/>
            <w:r>
              <w:rPr>
                <w:rFonts w:ascii="等线" w:hAnsi="等线" w:eastAsia="等线" w:cs="宋体"/>
                <w:b w:val="0"/>
                <w:bCs w:val="0"/>
                <w:color w:val="000000"/>
                <w:kern w:val="0"/>
                <w:sz w:val="22"/>
              </w:rPr>
              <w:t>1</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上海市长宁区卫生健康委员会</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长宁区区域卫生信息共享交换平台</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2</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上海市长宁区卫生健康委员会</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长宁区电子票据统一服务平台</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3</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上海市长宁区卫生健康委员会</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长宁区域影像共享平台</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4</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上海市长宁区虹桥街道社区卫生服务中心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上海市长宁区虹桥街道社区卫生服务中心核心业务系统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5</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上海市长宁区天山路街道社区卫生服务中心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上海市长宁区天山路街道社区卫生服务中心核心业务系统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6</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上海市长宁区程家桥街道社区卫生服务中心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上海市长宁区程家桥街道社区卫生服务中心核心业务系统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7</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上海市长宁区江苏街道社区卫生服务中心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长宁区江苏街道社区卫生服务中心核心业务系统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8</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上海市长宁区华阳街道社区卫生服务中心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上海市长宁区华阳街道社区卫生服务中心核心业务系统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9</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上海市长宁区北新泾街道社区卫生服务中心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上海市长宁区北新泾街道社区卫生服务中心核心业务系统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10</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上海市长宁区新泾镇社区卫生服务中心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上海市长宁区新泾镇社区卫生服务中心核心业务系统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11</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上海市长宁区新华街道社区卫生服务中心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上海市长宁区新华街道社区卫生服务中心核心业务系统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12</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上海市长宁区仙霞街道社区卫生服务中心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上海市长宁区仙霞街道社区卫生服务中心核心业务系统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13</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上海市长宁区周家桥街道社区卫生服务中心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上海市长宁区周家桥街道社区卫生服务中心核心业务系统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14</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上海市长宁区程家桥街道社区卫生服务中心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程家桥街道互联网医院系统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15</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上海市长宁区北新泾街道社区卫生服务中心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北新泾街道互联网医院系统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16</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上海市长宁区虹桥街道社区卫生服务中心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上海市长宁区虹桥街道社区卫生服务中心互联网医院系统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17</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上海市长宁区华阳街道社区卫生服务中心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华阳街道互联网医院系统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18</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上海市长宁区江苏街道社区卫生服务中心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上海市长宁区江苏街道社区卫生服务中心互联网医院系统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19</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上海市长宁区天山路街道社区卫生服务中心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天山路街道互联网医院系统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20</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上海市长宁区仙霞街道社区卫生服务中心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仙霞街道社区卫生服务中心互联网医院系统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21</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上海市长宁区新华街道社区卫生服务中心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上海市长宁区新华街道社区卫生服务中心互联网医院系统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22</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上海市长宁区新泾镇社区卫生服务中心</w:t>
            </w:r>
          </w:p>
        </w:tc>
        <w:tc>
          <w:tcPr>
            <w:tcW w:w="3232"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新泾镇互联网医院系统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tr>
        <w:tblPrEx>
          <w:tblLayout w:type="fixed"/>
          <w:tblCellMar>
            <w:top w:w="0" w:type="dxa"/>
            <w:left w:w="108" w:type="dxa"/>
            <w:bottom w:w="0" w:type="dxa"/>
            <w:right w:w="108" w:type="dxa"/>
          </w:tblCellMar>
        </w:tblPrEx>
        <w:trPr>
          <w:trHeight w:val="585"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23</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上海市长宁区周家桥街道社区卫生服务中心</w:t>
            </w:r>
          </w:p>
        </w:tc>
        <w:tc>
          <w:tcPr>
            <w:tcW w:w="323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上海市长宁区周家桥街道社区卫生服务中心互联网医院系统</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b w:val="0"/>
                <w:bCs w:val="0"/>
                <w:color w:val="000000"/>
                <w:kern w:val="0"/>
                <w:sz w:val="22"/>
              </w:rPr>
            </w:pPr>
            <w:r>
              <w:rPr>
                <w:rFonts w:ascii="等线" w:hAnsi="等线" w:eastAsia="等线" w:cs="宋体"/>
                <w:b w:val="0"/>
                <w:bCs w:val="0"/>
                <w:color w:val="000000"/>
                <w:kern w:val="0"/>
                <w:sz w:val="22"/>
              </w:rPr>
              <w:t>三级</w:t>
            </w:r>
          </w:p>
        </w:tc>
      </w:tr>
      <w:bookmarkEnd w:id="6"/>
    </w:tbl>
    <w:p>
      <w:pPr>
        <w:widowControl/>
        <w:shd w:val="clear" w:color="auto" w:fill="FFFFFF"/>
        <w:tabs>
          <w:tab w:val="left" w:pos="4650"/>
        </w:tabs>
        <w:spacing w:before="240" w:after="120" w:line="480" w:lineRule="atLeast"/>
        <w:jc w:val="left"/>
        <w:outlineLvl w:val="1"/>
        <w:rPr>
          <w:rFonts w:hint="default" w:ascii="宋体" w:hAnsi="宋体" w:eastAsia="宋体" w:cs="Arial"/>
          <w:b/>
          <w:kern w:val="0"/>
          <w:szCs w:val="32"/>
        </w:rPr>
      </w:pPr>
      <w:bookmarkStart w:id="7" w:name="_Toc53217153"/>
      <w:r>
        <w:rPr>
          <w:rFonts w:ascii="宋体" w:hAnsi="宋体" w:eastAsia="宋体" w:cs="Arial"/>
          <w:b/>
          <w:kern w:val="0"/>
          <w:szCs w:val="32"/>
        </w:rPr>
        <w:t>3、指导思想和基本准则</w:t>
      </w:r>
      <w:bookmarkEnd w:id="7"/>
    </w:p>
    <w:p>
      <w:pPr>
        <w:pStyle w:val="14"/>
        <w:spacing w:line="360" w:lineRule="auto"/>
        <w:ind w:firstLine="480" w:firstLineChars="200"/>
        <w:rPr>
          <w:rFonts w:hAnsi="宋体" w:cs="Arial"/>
          <w:color w:val="auto"/>
          <w:kern w:val="2"/>
        </w:rPr>
      </w:pPr>
      <w:r>
        <w:rPr>
          <w:rFonts w:hint="eastAsia" w:hAnsi="宋体" w:cs="Arial"/>
          <w:color w:val="auto"/>
          <w:kern w:val="2"/>
        </w:rPr>
        <w:t>根据公安部、国家保密局、国家密码管理局、国信办联合印发的《信息安全等级保护管理办法》（公通字〔2007〕43号）、《关于信息安全等级保护工作的实施意见》（公通字〔2004〕66号）、《关于开展全国重要信息系统安全等级保护定级工作的通知》（公信安〔2007〕861 号）、公安部《关于开展信息安全等级保护安全建设整改工作的指导意见》（公信安[2009]1429号）等文件精神，结合</w:t>
      </w:r>
      <w:r>
        <w:rPr>
          <w:rFonts w:hAnsi="宋体" w:cs="Arial"/>
          <w:highlight w:val="none"/>
        </w:rPr>
        <w:t>上海市长宁区公立医院和社区卫生管理中心</w:t>
      </w:r>
      <w:r>
        <w:rPr>
          <w:rFonts w:hint="eastAsia" w:hAnsi="宋体" w:cs="Arial"/>
          <w:color w:val="auto"/>
          <w:kern w:val="2"/>
        </w:rPr>
        <w:t>工作实际，现拟对</w:t>
      </w:r>
      <w:r>
        <w:rPr>
          <w:rFonts w:hAnsi="宋体" w:cs="Arial"/>
          <w:highlight w:val="none"/>
        </w:rPr>
        <w:t>上海市长宁区公立医院和社区卫生管理中心</w:t>
      </w:r>
      <w:r>
        <w:rPr>
          <w:rFonts w:hint="eastAsia" w:hAnsi="宋体" w:cs="Arial"/>
          <w:color w:val="auto"/>
          <w:kern w:val="2"/>
        </w:rPr>
        <w:t>重要信息系统实施网络安全等级保护测评，以进一步完善信息系统安全管理体系和技术防护体系，切实提高系统信息安全防护能力。</w:t>
      </w:r>
      <w:r>
        <w:rPr>
          <w:rFonts w:hAnsi="宋体" w:cs="Arial"/>
          <w:color w:val="auto"/>
          <w:kern w:val="2"/>
        </w:rPr>
        <w:t xml:space="preserve"> </w:t>
      </w:r>
    </w:p>
    <w:p>
      <w:pPr>
        <w:widowControl/>
        <w:shd w:val="clear" w:color="auto" w:fill="FFFFFF"/>
        <w:spacing w:before="240" w:after="120" w:line="480" w:lineRule="atLeast"/>
        <w:jc w:val="left"/>
        <w:outlineLvl w:val="1"/>
        <w:rPr>
          <w:rFonts w:hint="default" w:ascii="宋体" w:hAnsi="宋体" w:eastAsia="宋体" w:cs="Arial"/>
          <w:b/>
          <w:kern w:val="0"/>
          <w:szCs w:val="32"/>
        </w:rPr>
      </w:pPr>
      <w:bookmarkStart w:id="8" w:name="_Toc53217154"/>
      <w:r>
        <w:rPr>
          <w:rFonts w:ascii="宋体" w:hAnsi="宋体" w:eastAsia="宋体" w:cs="Arial"/>
          <w:b/>
          <w:kern w:val="0"/>
          <w:szCs w:val="32"/>
        </w:rPr>
        <w:t>4、等级保护测评主要方面</w:t>
      </w:r>
      <w:bookmarkEnd w:id="8"/>
    </w:p>
    <w:p>
      <w:pPr>
        <w:pStyle w:val="5"/>
        <w:numPr>
          <w:ilvl w:val="0"/>
          <w:numId w:val="1"/>
        </w:numPr>
        <w:spacing w:before="240" w:after="120" w:line="360" w:lineRule="auto"/>
        <w:ind w:left="0" w:firstLine="482" w:firstLineChars="200"/>
        <w:rPr>
          <w:rFonts w:ascii="宋体" w:hAnsi="宋体"/>
          <w:b/>
          <w:sz w:val="24"/>
          <w:szCs w:val="24"/>
        </w:rPr>
      </w:pPr>
      <w:bookmarkStart w:id="9" w:name="_Toc46177951"/>
      <w:bookmarkStart w:id="10" w:name="_Hlk35596349"/>
      <w:r>
        <w:rPr>
          <w:rFonts w:hint="eastAsia" w:ascii="宋体" w:hAnsi="宋体"/>
          <w:b/>
          <w:sz w:val="24"/>
          <w:szCs w:val="24"/>
        </w:rPr>
        <w:t>等保测评：</w:t>
      </w:r>
      <w:r>
        <w:rPr>
          <w:rFonts w:hint="eastAsia" w:ascii="宋体" w:hAnsi="宋体"/>
          <w:bCs/>
          <w:sz w:val="24"/>
          <w:szCs w:val="24"/>
        </w:rPr>
        <w:t>完成包括安全物理环境、安全计算环境、安全区域边界、安全通信网络、安全管理中心和安全管理机构、安全管理制度、安全管理人员、安全建设管理和安全运维管理方面的测评工作；</w:t>
      </w:r>
      <w:bookmarkEnd w:id="9"/>
    </w:p>
    <w:p>
      <w:pPr>
        <w:pStyle w:val="5"/>
        <w:numPr>
          <w:ilvl w:val="0"/>
          <w:numId w:val="1"/>
        </w:numPr>
        <w:spacing w:before="240" w:after="120" w:line="360" w:lineRule="auto"/>
        <w:ind w:left="0" w:firstLine="482" w:firstLineChars="200"/>
        <w:rPr>
          <w:rFonts w:ascii="宋体" w:hAnsi="宋体"/>
          <w:b/>
          <w:sz w:val="24"/>
          <w:szCs w:val="24"/>
        </w:rPr>
      </w:pPr>
      <w:bookmarkStart w:id="11" w:name="_Toc46177952"/>
      <w:r>
        <w:rPr>
          <w:rFonts w:hint="eastAsia" w:ascii="宋体" w:hAnsi="宋体"/>
          <w:b/>
          <w:sz w:val="24"/>
          <w:szCs w:val="24"/>
        </w:rPr>
        <w:t>工具测试：</w:t>
      </w:r>
      <w:r>
        <w:rPr>
          <w:rFonts w:hint="eastAsia" w:ascii="宋体" w:hAnsi="宋体"/>
          <w:bCs/>
          <w:sz w:val="24"/>
          <w:szCs w:val="24"/>
        </w:rPr>
        <w:t>针对重要信息系统进行漏洞扫描、渗透测试等安全服务工作；</w:t>
      </w:r>
      <w:bookmarkEnd w:id="11"/>
    </w:p>
    <w:p>
      <w:pPr>
        <w:pStyle w:val="5"/>
        <w:numPr>
          <w:ilvl w:val="0"/>
          <w:numId w:val="1"/>
        </w:numPr>
        <w:spacing w:before="240" w:after="120" w:line="360" w:lineRule="auto"/>
        <w:ind w:left="0" w:firstLine="482" w:firstLineChars="200"/>
        <w:rPr>
          <w:rFonts w:ascii="宋体" w:hAnsi="宋体"/>
          <w:b/>
          <w:sz w:val="24"/>
          <w:szCs w:val="24"/>
        </w:rPr>
      </w:pPr>
      <w:bookmarkStart w:id="12" w:name="_Toc46177953"/>
      <w:r>
        <w:rPr>
          <w:rFonts w:hint="eastAsia" w:ascii="宋体" w:hAnsi="宋体"/>
          <w:b/>
          <w:sz w:val="24"/>
          <w:szCs w:val="24"/>
        </w:rPr>
        <w:t>整改建议：</w:t>
      </w:r>
      <w:r>
        <w:rPr>
          <w:rFonts w:hint="eastAsia" w:ascii="宋体" w:hAnsi="宋体"/>
          <w:bCs/>
          <w:sz w:val="24"/>
          <w:szCs w:val="24"/>
        </w:rPr>
        <w:t>投标人应根据现场测评中发现的问题，分析与GB/T 22239-2019、ISO/IEC 27001、ISO/IEC 20000、ISO 22301、ITIL和ITSS等行业最佳实践之间的差距，按照网络安全等级保护标准要求提出安全整改建议；</w:t>
      </w:r>
      <w:bookmarkEnd w:id="12"/>
    </w:p>
    <w:p>
      <w:pPr>
        <w:pStyle w:val="5"/>
        <w:numPr>
          <w:ilvl w:val="0"/>
          <w:numId w:val="1"/>
        </w:numPr>
        <w:spacing w:before="240" w:after="120" w:line="360" w:lineRule="auto"/>
        <w:ind w:left="0" w:firstLine="482" w:firstLineChars="200"/>
        <w:rPr>
          <w:rFonts w:ascii="宋体" w:hAnsi="宋体"/>
          <w:b/>
          <w:sz w:val="24"/>
          <w:szCs w:val="24"/>
        </w:rPr>
      </w:pPr>
      <w:bookmarkStart w:id="13" w:name="_Toc46177954"/>
      <w:r>
        <w:rPr>
          <w:rFonts w:hint="eastAsia" w:ascii="宋体" w:hAnsi="宋体"/>
          <w:b/>
          <w:sz w:val="24"/>
          <w:szCs w:val="24"/>
        </w:rPr>
        <w:t>编制测评报告：</w:t>
      </w:r>
      <w:r>
        <w:rPr>
          <w:rFonts w:hint="eastAsia" w:ascii="宋体" w:hAnsi="宋体"/>
          <w:bCs/>
          <w:sz w:val="24"/>
          <w:szCs w:val="24"/>
        </w:rPr>
        <w:t>完成上述工作后，投标人最后出具符合标准要求的信息系统网络安全等级保护测评报告。</w:t>
      </w:r>
      <w:bookmarkEnd w:id="10"/>
      <w:bookmarkEnd w:id="13"/>
    </w:p>
    <w:p>
      <w:pPr>
        <w:widowControl/>
        <w:shd w:val="clear" w:color="auto" w:fill="FFFFFF"/>
        <w:spacing w:before="240" w:after="120" w:line="480" w:lineRule="atLeast"/>
        <w:jc w:val="left"/>
        <w:outlineLvl w:val="1"/>
        <w:rPr>
          <w:rFonts w:hint="default" w:ascii="宋体" w:hAnsi="宋体" w:eastAsia="宋体" w:cs="Arial"/>
          <w:b/>
          <w:kern w:val="0"/>
          <w:szCs w:val="32"/>
        </w:rPr>
      </w:pPr>
      <w:bookmarkStart w:id="14" w:name="_Toc53217156"/>
      <w:r>
        <w:rPr>
          <w:rFonts w:ascii="宋体" w:hAnsi="宋体" w:eastAsia="宋体" w:cs="Arial"/>
          <w:b/>
          <w:kern w:val="0"/>
          <w:szCs w:val="32"/>
        </w:rPr>
        <w:t>5、工作要求</w:t>
      </w:r>
      <w:bookmarkEnd w:id="14"/>
    </w:p>
    <w:p>
      <w:pPr>
        <w:pStyle w:val="13"/>
        <w:numPr>
          <w:ilvl w:val="0"/>
          <w:numId w:val="2"/>
        </w:numPr>
        <w:spacing w:line="360" w:lineRule="auto"/>
        <w:ind w:firstLineChars="0"/>
        <w:outlineLvl w:val="2"/>
        <w:rPr>
          <w:rFonts w:ascii="宋体" w:hAnsi="宋体" w:eastAsia="宋体" w:cs="Arial"/>
          <w:b/>
          <w:sz w:val="24"/>
          <w:szCs w:val="24"/>
        </w:rPr>
      </w:pPr>
      <w:bookmarkStart w:id="15" w:name="_Toc46177957"/>
      <w:bookmarkStart w:id="16" w:name="_Toc53217157"/>
      <w:bookmarkStart w:id="17" w:name="_Toc52369337"/>
      <w:r>
        <w:rPr>
          <w:rFonts w:hint="eastAsia" w:ascii="宋体" w:hAnsi="宋体" w:eastAsia="宋体" w:cs="Arial"/>
          <w:b/>
          <w:sz w:val="24"/>
          <w:szCs w:val="24"/>
        </w:rPr>
        <w:t>实施原则</w:t>
      </w:r>
      <w:bookmarkEnd w:id="15"/>
      <w:bookmarkEnd w:id="16"/>
      <w:bookmarkEnd w:id="17"/>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规范性原则：成交供应商工作中的过程和文档，具有很好的规范性，可以便于项目的跟踪和控制；</w:t>
      </w:r>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标准性原则：测评方案的设计与实施应依据国家等级保护的相关标准进行。</w:t>
      </w:r>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可控性原则：测评的工具、方法和过程需在双方认可的范围之内并符合进度表的安排，保证采购人对服务工作的可控性；</w:t>
      </w:r>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整体性原则：测评和分析的范围和内容应当整体全面，包括安全涉及的各个层面，避免由于遗漏造成未来的安全隐患；</w:t>
      </w:r>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保密原则：对测评的过程数据和结果数据严格保密，未经授权不得泄露给任何单位和个人，不得利用此数据进行任何侵害采购人网络的行为，否则采购人有权追究责任。</w:t>
      </w:r>
    </w:p>
    <w:p>
      <w:pPr>
        <w:pStyle w:val="13"/>
        <w:numPr>
          <w:ilvl w:val="0"/>
          <w:numId w:val="2"/>
        </w:numPr>
        <w:spacing w:line="360" w:lineRule="auto"/>
        <w:ind w:firstLineChars="0"/>
        <w:outlineLvl w:val="2"/>
        <w:rPr>
          <w:rFonts w:ascii="宋体" w:hAnsi="宋体" w:eastAsia="宋体" w:cs="Arial"/>
          <w:b/>
          <w:sz w:val="24"/>
          <w:szCs w:val="24"/>
        </w:rPr>
      </w:pPr>
      <w:bookmarkStart w:id="18" w:name="_Toc53217158"/>
      <w:bookmarkStart w:id="19" w:name="_Toc52369338"/>
      <w:bookmarkStart w:id="20" w:name="_Toc46177958"/>
      <w:r>
        <w:rPr>
          <w:rFonts w:hint="eastAsia" w:ascii="宋体" w:hAnsi="宋体" w:eastAsia="宋体" w:cs="Arial"/>
          <w:b/>
          <w:sz w:val="24"/>
          <w:szCs w:val="24"/>
        </w:rPr>
        <w:t>测评依据</w:t>
      </w:r>
      <w:bookmarkEnd w:id="18"/>
      <w:bookmarkEnd w:id="19"/>
      <w:bookmarkEnd w:id="20"/>
    </w:p>
    <w:p>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 xml:space="preserve">《信息安全技术 网络安全等级保护基本要求》（GB/T 22239-2019） </w:t>
      </w:r>
    </w:p>
    <w:p>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《信息安全技术 网络安全等级保护定级指南》（GB/T 22240-2020）</w:t>
      </w:r>
    </w:p>
    <w:p>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 xml:space="preserve">《信息安全技术 网络安全等级保护测评要求》（GB/T 28448-2019） </w:t>
      </w:r>
    </w:p>
    <w:p>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《信息安全技术 网络安全等级保护测评过程指南》（GB∕T 28449-2018）</w:t>
      </w:r>
    </w:p>
    <w:p>
      <w:pPr>
        <w:pStyle w:val="13"/>
        <w:numPr>
          <w:ilvl w:val="0"/>
          <w:numId w:val="2"/>
        </w:numPr>
        <w:spacing w:line="360" w:lineRule="auto"/>
        <w:ind w:firstLineChars="0"/>
        <w:rPr>
          <w:rFonts w:ascii="宋体" w:hAnsi="宋体" w:eastAsia="宋体" w:cs="Arial"/>
          <w:b/>
          <w:sz w:val="24"/>
          <w:szCs w:val="24"/>
        </w:rPr>
      </w:pPr>
      <w:r>
        <w:rPr>
          <w:rFonts w:hint="eastAsia" w:ascii="宋体" w:hAnsi="宋体" w:eastAsia="宋体" w:cs="Arial"/>
          <w:b/>
          <w:sz w:val="24"/>
          <w:szCs w:val="24"/>
        </w:rPr>
        <w:t>等级保护测评内容</w:t>
      </w:r>
    </w:p>
    <w:p>
      <w:pPr>
        <w:snapToGrid w:val="0"/>
        <w:spacing w:line="360" w:lineRule="auto"/>
        <w:ind w:firstLine="480" w:firstLineChars="200"/>
        <w:rPr>
          <w:rFonts w:hint="default" w:ascii="宋体" w:hAnsi="宋体" w:eastAsia="宋体"/>
          <w:sz w:val="24"/>
          <w:szCs w:val="24"/>
        </w:rPr>
      </w:pPr>
      <w:bookmarkStart w:id="21" w:name="_Toc288574635"/>
      <w:bookmarkStart w:id="22" w:name="_Toc288552020"/>
      <w:bookmarkStart w:id="23" w:name="_Toc288570237"/>
      <w:bookmarkStart w:id="24" w:name="_Toc287704425"/>
      <w:r>
        <w:rPr>
          <w:rFonts w:ascii="宋体" w:hAnsi="宋体" w:eastAsia="宋体"/>
          <w:sz w:val="24"/>
          <w:szCs w:val="24"/>
        </w:rPr>
        <w:t>根据国家等级保护相关标准，本次项目的网络安全等级保护测评应包括以下内容：</w:t>
      </w:r>
    </w:p>
    <w:bookmarkEnd w:id="21"/>
    <w:bookmarkEnd w:id="22"/>
    <w:bookmarkEnd w:id="23"/>
    <w:bookmarkEnd w:id="24"/>
    <w:p>
      <w:pPr>
        <w:pStyle w:val="16"/>
        <w:overflowPunct w:val="0"/>
        <w:topLinePunct/>
        <w:spacing w:line="360" w:lineRule="auto"/>
        <w:ind w:firstLine="480" w:firstLineChars="200"/>
        <w:rPr>
          <w:color w:val="auto"/>
          <w:sz w:val="24"/>
          <w:szCs w:val="24"/>
        </w:rPr>
      </w:pPr>
      <w:r>
        <w:rPr>
          <w:color w:val="auto"/>
          <w:sz w:val="24"/>
          <w:szCs w:val="24"/>
        </w:rPr>
        <w:t>安全技术测评：</w:t>
      </w:r>
      <w:r>
        <w:rPr>
          <w:rFonts w:hint="eastAsia"/>
          <w:color w:val="auto"/>
          <w:sz w:val="24"/>
          <w:szCs w:val="24"/>
        </w:rPr>
        <w:t>包括安全物理环境</w:t>
      </w:r>
      <w:r>
        <w:rPr>
          <w:color w:val="auto"/>
          <w:sz w:val="24"/>
          <w:szCs w:val="24"/>
        </w:rPr>
        <w:t>、安全</w:t>
      </w:r>
      <w:r>
        <w:rPr>
          <w:rFonts w:hint="eastAsia"/>
          <w:color w:val="auto"/>
          <w:sz w:val="24"/>
          <w:szCs w:val="24"/>
        </w:rPr>
        <w:t>通信</w:t>
      </w:r>
      <w:r>
        <w:rPr>
          <w:color w:val="auto"/>
          <w:sz w:val="24"/>
          <w:szCs w:val="24"/>
        </w:rPr>
        <w:t>网络</w:t>
      </w:r>
      <w:r>
        <w:rPr>
          <w:rFonts w:hint="eastAsia"/>
          <w:color w:val="auto"/>
          <w:sz w:val="24"/>
          <w:szCs w:val="24"/>
        </w:rPr>
        <w:t>、</w:t>
      </w:r>
      <w:r>
        <w:rPr>
          <w:color w:val="auto"/>
          <w:sz w:val="24"/>
          <w:szCs w:val="24"/>
        </w:rPr>
        <w:t>安全</w:t>
      </w:r>
      <w:r>
        <w:rPr>
          <w:rFonts w:hint="eastAsia"/>
          <w:color w:val="auto"/>
          <w:sz w:val="24"/>
          <w:szCs w:val="24"/>
        </w:rPr>
        <w:t>区域边界、安全计算环境、安全管理中心</w:t>
      </w:r>
      <w:r>
        <w:rPr>
          <w:color w:val="auto"/>
          <w:sz w:val="24"/>
          <w:szCs w:val="24"/>
        </w:rPr>
        <w:t>等</w:t>
      </w:r>
      <w:r>
        <w:rPr>
          <w:rFonts w:hint="eastAsia"/>
          <w:color w:val="auto"/>
          <w:sz w:val="24"/>
          <w:szCs w:val="24"/>
        </w:rPr>
        <w:t>五个方面的安全</w:t>
      </w:r>
      <w:r>
        <w:rPr>
          <w:color w:val="auto"/>
          <w:sz w:val="24"/>
          <w:szCs w:val="24"/>
        </w:rPr>
        <w:t>测评；</w:t>
      </w:r>
    </w:p>
    <w:p>
      <w:pPr>
        <w:pStyle w:val="16"/>
        <w:overflowPunct w:val="0"/>
        <w:topLinePunct/>
        <w:spacing w:line="360" w:lineRule="auto"/>
        <w:ind w:firstLine="480" w:firstLineChars="200"/>
        <w:rPr>
          <w:color w:val="auto"/>
          <w:sz w:val="24"/>
          <w:szCs w:val="24"/>
        </w:rPr>
      </w:pPr>
      <w:r>
        <w:rPr>
          <w:color w:val="auto"/>
          <w:sz w:val="24"/>
          <w:szCs w:val="24"/>
        </w:rPr>
        <w:t>安全管理测评：</w:t>
      </w:r>
      <w:r>
        <w:rPr>
          <w:rFonts w:hint="eastAsia"/>
          <w:color w:val="auto"/>
          <w:sz w:val="24"/>
          <w:szCs w:val="24"/>
        </w:rPr>
        <w:t>包括</w:t>
      </w:r>
      <w:r>
        <w:rPr>
          <w:color w:val="auto"/>
          <w:sz w:val="24"/>
          <w:szCs w:val="24"/>
        </w:rPr>
        <w:t>安全管理</w:t>
      </w:r>
      <w:r>
        <w:rPr>
          <w:rFonts w:hint="eastAsia"/>
          <w:color w:val="auto"/>
          <w:sz w:val="24"/>
          <w:szCs w:val="24"/>
        </w:rPr>
        <w:t>制度</w:t>
      </w:r>
      <w:r>
        <w:rPr>
          <w:color w:val="auto"/>
          <w:sz w:val="24"/>
          <w:szCs w:val="24"/>
        </w:rPr>
        <w:t>、安全管理</w:t>
      </w:r>
      <w:r>
        <w:rPr>
          <w:rFonts w:hint="eastAsia"/>
          <w:color w:val="auto"/>
          <w:sz w:val="24"/>
          <w:szCs w:val="24"/>
        </w:rPr>
        <w:t>机构、</w:t>
      </w:r>
      <w:r>
        <w:rPr>
          <w:color w:val="auto"/>
          <w:sz w:val="24"/>
          <w:szCs w:val="24"/>
        </w:rPr>
        <w:t>安全管理人员、</w:t>
      </w:r>
      <w:r>
        <w:rPr>
          <w:rFonts w:hint="eastAsia"/>
          <w:color w:val="auto"/>
          <w:sz w:val="24"/>
          <w:szCs w:val="24"/>
        </w:rPr>
        <w:t>安全</w:t>
      </w:r>
      <w:r>
        <w:rPr>
          <w:color w:val="auto"/>
          <w:sz w:val="24"/>
          <w:szCs w:val="24"/>
        </w:rPr>
        <w:t>建设管理和</w:t>
      </w:r>
      <w:r>
        <w:rPr>
          <w:rFonts w:hint="eastAsia"/>
          <w:color w:val="auto"/>
          <w:sz w:val="24"/>
          <w:szCs w:val="24"/>
        </w:rPr>
        <w:t>安全</w:t>
      </w:r>
      <w:r>
        <w:rPr>
          <w:color w:val="auto"/>
          <w:sz w:val="24"/>
          <w:szCs w:val="24"/>
        </w:rPr>
        <w:t>运维管理等</w:t>
      </w:r>
      <w:r>
        <w:rPr>
          <w:rFonts w:hint="eastAsia"/>
          <w:color w:val="auto"/>
          <w:sz w:val="24"/>
          <w:szCs w:val="24"/>
        </w:rPr>
        <w:t>五</w:t>
      </w:r>
      <w:r>
        <w:rPr>
          <w:color w:val="auto"/>
          <w:sz w:val="24"/>
          <w:szCs w:val="24"/>
        </w:rPr>
        <w:t>个方面的安全测评</w:t>
      </w:r>
      <w:r>
        <w:rPr>
          <w:rFonts w:hint="eastAsia"/>
          <w:sz w:val="24"/>
          <w:szCs w:val="24"/>
        </w:rPr>
        <w:t>。</w:t>
      </w:r>
    </w:p>
    <w:p>
      <w:pPr>
        <w:numPr>
          <w:ilvl w:val="1"/>
          <w:numId w:val="3"/>
        </w:numPr>
        <w:spacing w:line="360" w:lineRule="auto"/>
        <w:ind w:left="640" w:leftChars="200" w:firstLine="0"/>
        <w:outlineLvl w:val="4"/>
        <w:rPr>
          <w:rFonts w:hint="default" w:ascii="宋体" w:hAnsi="宋体" w:eastAsia="宋体"/>
          <w:b/>
          <w:sz w:val="24"/>
          <w:szCs w:val="24"/>
        </w:rPr>
      </w:pPr>
      <w:bookmarkStart w:id="25" w:name="_Toc4424566"/>
      <w:r>
        <w:rPr>
          <w:rFonts w:ascii="宋体" w:hAnsi="宋体" w:eastAsia="宋体"/>
          <w:b/>
          <w:sz w:val="24"/>
          <w:szCs w:val="24"/>
        </w:rPr>
        <w:t>安全物理</w:t>
      </w:r>
      <w:bookmarkEnd w:id="25"/>
      <w:r>
        <w:rPr>
          <w:rFonts w:ascii="宋体" w:hAnsi="宋体" w:eastAsia="宋体"/>
          <w:b/>
          <w:sz w:val="24"/>
          <w:szCs w:val="24"/>
        </w:rPr>
        <w:t>环境</w:t>
      </w:r>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物理环境是对机房和办公场所的物理环境安全防护情况进行测评，包括物理位置选择、物理访问控制、防盗窃和防破坏、防雷击、防火、防水和防潮、防静电、温湿度控制、电力供应和电磁防护等方面的安全状况。</w:t>
      </w:r>
    </w:p>
    <w:p>
      <w:pPr>
        <w:numPr>
          <w:ilvl w:val="1"/>
          <w:numId w:val="3"/>
        </w:numPr>
        <w:spacing w:line="360" w:lineRule="auto"/>
        <w:ind w:left="640" w:leftChars="200" w:firstLine="0"/>
        <w:outlineLvl w:val="4"/>
        <w:rPr>
          <w:rFonts w:hint="default" w:ascii="宋体" w:hAnsi="宋体" w:eastAsia="宋体"/>
          <w:b/>
          <w:sz w:val="24"/>
          <w:szCs w:val="24"/>
        </w:rPr>
      </w:pPr>
      <w:bookmarkStart w:id="26" w:name="_Toc4424567"/>
      <w:r>
        <w:rPr>
          <w:rFonts w:ascii="宋体" w:hAnsi="宋体" w:eastAsia="宋体"/>
          <w:b/>
          <w:sz w:val="24"/>
          <w:szCs w:val="24"/>
        </w:rPr>
        <w:t>安全通信网络</w:t>
      </w:r>
      <w:bookmarkEnd w:id="26"/>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安全通信网络测评是对网络系统安全防护情况进行测评，包括网络架构、通信传输、可信验证等方面的安全状况。</w:t>
      </w:r>
    </w:p>
    <w:p>
      <w:pPr>
        <w:numPr>
          <w:ilvl w:val="1"/>
          <w:numId w:val="3"/>
        </w:numPr>
        <w:spacing w:line="360" w:lineRule="auto"/>
        <w:ind w:left="640" w:leftChars="200" w:firstLine="0"/>
        <w:outlineLvl w:val="4"/>
        <w:rPr>
          <w:rFonts w:hint="default" w:ascii="宋体" w:hAnsi="宋体" w:eastAsia="宋体"/>
          <w:b/>
          <w:sz w:val="24"/>
          <w:szCs w:val="24"/>
        </w:rPr>
      </w:pPr>
      <w:r>
        <w:rPr>
          <w:rFonts w:ascii="宋体" w:hAnsi="宋体" w:eastAsia="宋体"/>
          <w:b/>
          <w:sz w:val="24"/>
          <w:szCs w:val="24"/>
        </w:rPr>
        <w:t>安全区域边界</w:t>
      </w:r>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安全区域边界是对边界防护、访问控制、入侵防范、恶意代码防范、安全审计、可信验证等方面的测评。</w:t>
      </w:r>
    </w:p>
    <w:p>
      <w:pPr>
        <w:numPr>
          <w:ilvl w:val="1"/>
          <w:numId w:val="3"/>
        </w:numPr>
        <w:spacing w:line="360" w:lineRule="auto"/>
        <w:ind w:left="640" w:leftChars="200" w:firstLine="0"/>
        <w:outlineLvl w:val="4"/>
        <w:rPr>
          <w:rFonts w:hint="default" w:ascii="宋体" w:hAnsi="宋体" w:eastAsia="宋体"/>
          <w:b/>
          <w:sz w:val="24"/>
          <w:szCs w:val="24"/>
        </w:rPr>
      </w:pPr>
      <w:bookmarkStart w:id="27" w:name="_Toc4424569"/>
      <w:r>
        <w:rPr>
          <w:rFonts w:ascii="宋体" w:hAnsi="宋体" w:eastAsia="宋体"/>
          <w:b/>
          <w:sz w:val="24"/>
          <w:szCs w:val="24"/>
        </w:rPr>
        <w:t>安全</w:t>
      </w:r>
      <w:bookmarkEnd w:id="27"/>
      <w:r>
        <w:rPr>
          <w:rFonts w:ascii="宋体" w:hAnsi="宋体" w:eastAsia="宋体"/>
          <w:b/>
          <w:sz w:val="24"/>
          <w:szCs w:val="24"/>
        </w:rPr>
        <w:t>计算环境</w:t>
      </w:r>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安全计算环境是对身份鉴别、访问控制、安全审计、入侵防范、恶意代码防范、可信验证、数据完整性、数据保密性、数据备份恢复、剩余信息保护、个人信息保护等方面的测评。</w:t>
      </w:r>
    </w:p>
    <w:p>
      <w:pPr>
        <w:numPr>
          <w:ilvl w:val="1"/>
          <w:numId w:val="3"/>
        </w:numPr>
        <w:spacing w:line="360" w:lineRule="auto"/>
        <w:ind w:left="640" w:leftChars="200" w:firstLine="0"/>
        <w:outlineLvl w:val="4"/>
        <w:rPr>
          <w:rFonts w:hint="default" w:ascii="宋体" w:hAnsi="宋体" w:eastAsia="宋体"/>
          <w:b/>
          <w:sz w:val="24"/>
          <w:szCs w:val="24"/>
        </w:rPr>
      </w:pPr>
      <w:r>
        <w:rPr>
          <w:rFonts w:ascii="宋体" w:hAnsi="宋体" w:eastAsia="宋体"/>
          <w:b/>
          <w:sz w:val="24"/>
          <w:szCs w:val="24"/>
        </w:rPr>
        <w:t>安全管理中心</w:t>
      </w:r>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安全管理中心是对系统管理、审计管理、安全管理、集中管控等方面的测评。</w:t>
      </w:r>
    </w:p>
    <w:p>
      <w:pPr>
        <w:numPr>
          <w:ilvl w:val="1"/>
          <w:numId w:val="3"/>
        </w:numPr>
        <w:spacing w:line="360" w:lineRule="auto"/>
        <w:ind w:left="640" w:leftChars="200" w:firstLine="0"/>
        <w:outlineLvl w:val="4"/>
        <w:rPr>
          <w:rFonts w:hint="default" w:ascii="宋体" w:hAnsi="宋体" w:eastAsia="宋体"/>
          <w:b/>
          <w:sz w:val="24"/>
          <w:szCs w:val="24"/>
        </w:rPr>
      </w:pPr>
      <w:bookmarkStart w:id="28" w:name="_Toc4424571"/>
      <w:r>
        <w:rPr>
          <w:rFonts w:ascii="宋体" w:hAnsi="宋体" w:eastAsia="宋体"/>
          <w:b/>
          <w:sz w:val="24"/>
          <w:szCs w:val="24"/>
        </w:rPr>
        <w:t>安全管理制度</w:t>
      </w:r>
      <w:bookmarkEnd w:id="28"/>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安全管理制度测评是对安全策略、管理制度、制定和发布、评审和修订进行测评。</w:t>
      </w:r>
    </w:p>
    <w:p>
      <w:pPr>
        <w:numPr>
          <w:ilvl w:val="1"/>
          <w:numId w:val="3"/>
        </w:numPr>
        <w:spacing w:line="360" w:lineRule="auto"/>
        <w:ind w:left="640" w:leftChars="200" w:firstLine="0"/>
        <w:outlineLvl w:val="4"/>
        <w:rPr>
          <w:rFonts w:hint="default" w:ascii="宋体" w:hAnsi="宋体" w:eastAsia="宋体"/>
          <w:b/>
          <w:sz w:val="24"/>
          <w:szCs w:val="24"/>
        </w:rPr>
      </w:pPr>
      <w:bookmarkStart w:id="29" w:name="_Toc4424572"/>
      <w:r>
        <w:rPr>
          <w:rFonts w:ascii="宋体" w:hAnsi="宋体" w:eastAsia="宋体"/>
          <w:b/>
          <w:sz w:val="24"/>
          <w:szCs w:val="24"/>
        </w:rPr>
        <w:t>安全管理机构</w:t>
      </w:r>
      <w:bookmarkEnd w:id="29"/>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安全管理机构测评是对岗位设置、人员配备、授权和审批、沟通和合作、审核和检查等情况进行测评。</w:t>
      </w:r>
    </w:p>
    <w:p>
      <w:pPr>
        <w:numPr>
          <w:ilvl w:val="1"/>
          <w:numId w:val="3"/>
        </w:numPr>
        <w:spacing w:line="360" w:lineRule="auto"/>
        <w:ind w:left="640" w:leftChars="200" w:firstLine="0"/>
        <w:outlineLvl w:val="4"/>
        <w:rPr>
          <w:rFonts w:hint="default" w:ascii="宋体" w:hAnsi="宋体" w:eastAsia="宋体"/>
          <w:b/>
          <w:sz w:val="24"/>
          <w:szCs w:val="24"/>
        </w:rPr>
      </w:pPr>
      <w:bookmarkStart w:id="30" w:name="_Toc4424573"/>
      <w:r>
        <w:rPr>
          <w:rFonts w:ascii="宋体" w:hAnsi="宋体" w:eastAsia="宋体"/>
          <w:b/>
          <w:sz w:val="24"/>
          <w:szCs w:val="24"/>
        </w:rPr>
        <w:t>安全管理</w:t>
      </w:r>
      <w:bookmarkEnd w:id="30"/>
      <w:r>
        <w:rPr>
          <w:rFonts w:ascii="宋体" w:hAnsi="宋体" w:eastAsia="宋体"/>
          <w:b/>
          <w:sz w:val="24"/>
          <w:szCs w:val="24"/>
        </w:rPr>
        <w:t>人员</w:t>
      </w:r>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安全管理人员测评是对人员录用、人员离岗、安全意识教育和培训、外部人员访问管理等情况进行测评。</w:t>
      </w:r>
    </w:p>
    <w:p>
      <w:pPr>
        <w:numPr>
          <w:ilvl w:val="1"/>
          <w:numId w:val="3"/>
        </w:numPr>
        <w:spacing w:line="360" w:lineRule="auto"/>
        <w:ind w:left="640" w:leftChars="200" w:firstLine="0"/>
        <w:outlineLvl w:val="4"/>
        <w:rPr>
          <w:rFonts w:hint="default" w:ascii="宋体" w:hAnsi="宋体" w:eastAsia="宋体"/>
          <w:b/>
          <w:sz w:val="24"/>
          <w:szCs w:val="24"/>
        </w:rPr>
      </w:pPr>
      <w:bookmarkStart w:id="31" w:name="_Toc4424574"/>
      <w:r>
        <w:rPr>
          <w:rFonts w:ascii="宋体" w:hAnsi="宋体" w:eastAsia="宋体"/>
          <w:b/>
          <w:sz w:val="24"/>
          <w:szCs w:val="24"/>
        </w:rPr>
        <w:t>安全建设管理</w:t>
      </w:r>
      <w:bookmarkEnd w:id="31"/>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安全建设管理测评是对建设过程中安全方案设计、产品采购和使用、自行软件开发、外包软件开发、 工程实施、测试验收、系统交付、 等级测评、服务供应商选择等情况进行测评。</w:t>
      </w:r>
    </w:p>
    <w:p>
      <w:pPr>
        <w:numPr>
          <w:ilvl w:val="1"/>
          <w:numId w:val="3"/>
        </w:numPr>
        <w:spacing w:line="360" w:lineRule="auto"/>
        <w:ind w:left="640" w:leftChars="200" w:firstLine="0"/>
        <w:outlineLvl w:val="4"/>
        <w:rPr>
          <w:rFonts w:hint="default" w:ascii="宋体" w:hAnsi="宋体" w:eastAsia="宋体"/>
          <w:b/>
          <w:sz w:val="24"/>
          <w:szCs w:val="24"/>
        </w:rPr>
      </w:pPr>
      <w:bookmarkStart w:id="32" w:name="_Toc4424575"/>
      <w:r>
        <w:rPr>
          <w:rFonts w:ascii="宋体" w:hAnsi="宋体" w:eastAsia="宋体"/>
          <w:b/>
          <w:sz w:val="24"/>
          <w:szCs w:val="24"/>
        </w:rPr>
        <w:t>安全运维管理</w:t>
      </w:r>
      <w:bookmarkEnd w:id="32"/>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pPr>
        <w:widowControl/>
        <w:shd w:val="clear" w:color="auto" w:fill="FFFFFF"/>
        <w:spacing w:before="240" w:after="120" w:line="480" w:lineRule="atLeast"/>
        <w:jc w:val="left"/>
        <w:outlineLvl w:val="1"/>
        <w:rPr>
          <w:rFonts w:hint="default" w:ascii="宋体" w:hAnsi="宋体" w:eastAsia="宋体" w:cs="Arial"/>
          <w:b/>
          <w:kern w:val="0"/>
          <w:szCs w:val="32"/>
        </w:rPr>
      </w:pPr>
      <w:bookmarkStart w:id="33" w:name="_Toc53217159"/>
      <w:r>
        <w:rPr>
          <w:rFonts w:ascii="宋体" w:hAnsi="宋体" w:eastAsia="宋体" w:cs="Arial"/>
          <w:b/>
          <w:kern w:val="0"/>
          <w:szCs w:val="32"/>
        </w:rPr>
        <w:t>6、报价要求</w:t>
      </w:r>
      <w:bookmarkEnd w:id="33"/>
    </w:p>
    <w:p>
      <w:pPr>
        <w:tabs>
          <w:tab w:val="left" w:pos="284"/>
        </w:tabs>
        <w:spacing w:line="360" w:lineRule="auto"/>
        <w:ind w:firstLine="480" w:firstLineChars="200"/>
        <w:jc w:val="left"/>
        <w:rPr>
          <w:rFonts w:hint="default" w:ascii="宋体" w:hAnsi="宋体" w:eastAsia="宋体" w:cs="Arial"/>
          <w:sz w:val="24"/>
          <w:szCs w:val="24"/>
        </w:rPr>
      </w:pPr>
      <w:r>
        <w:rPr>
          <w:rFonts w:ascii="宋体" w:hAnsi="宋体" w:eastAsia="宋体" w:cs="Arial"/>
          <w:sz w:val="24"/>
          <w:szCs w:val="24"/>
        </w:rPr>
        <w:t>本项目报总价，报价包含完成本项目服务期间所产生的一切费用，采购人后期不再另行追加费用。</w:t>
      </w:r>
    </w:p>
    <w:p>
      <w:pPr>
        <w:widowControl/>
        <w:shd w:val="clear" w:color="auto" w:fill="FFFFFF"/>
        <w:spacing w:before="240" w:after="120" w:line="480" w:lineRule="atLeast"/>
        <w:jc w:val="left"/>
        <w:outlineLvl w:val="1"/>
        <w:rPr>
          <w:rFonts w:hint="default" w:ascii="宋体" w:hAnsi="宋体" w:eastAsia="宋体" w:cs="Arial"/>
          <w:b/>
          <w:kern w:val="0"/>
          <w:szCs w:val="32"/>
        </w:rPr>
      </w:pPr>
      <w:bookmarkStart w:id="34" w:name="_Toc53217161"/>
      <w:r>
        <w:rPr>
          <w:rFonts w:hint="default" w:ascii="宋体" w:hAnsi="宋体" w:eastAsia="宋体" w:cs="Arial"/>
          <w:b/>
          <w:kern w:val="0"/>
          <w:szCs w:val="32"/>
        </w:rPr>
        <w:t>7</w:t>
      </w:r>
      <w:r>
        <w:rPr>
          <w:rFonts w:ascii="宋体" w:hAnsi="宋体" w:eastAsia="宋体" w:cs="Arial"/>
          <w:b/>
          <w:kern w:val="0"/>
          <w:szCs w:val="32"/>
        </w:rPr>
        <w:t>、验收标准</w:t>
      </w:r>
      <w:bookmarkEnd w:id="34"/>
    </w:p>
    <w:p>
      <w:pPr>
        <w:pStyle w:val="14"/>
        <w:spacing w:line="360" w:lineRule="auto"/>
        <w:ind w:firstLine="480" w:firstLineChars="200"/>
      </w:pPr>
      <w:r>
        <w:t>本项目服务的验收将以成交供应商提交《测评报告》为准。</w:t>
      </w:r>
    </w:p>
    <w:p>
      <w:pPr>
        <w:widowControl/>
        <w:shd w:val="clear" w:color="auto" w:fill="FFFFFF"/>
        <w:spacing w:before="240" w:after="120" w:line="480" w:lineRule="atLeast"/>
        <w:jc w:val="left"/>
        <w:outlineLvl w:val="1"/>
        <w:rPr>
          <w:rFonts w:hint="eastAsia" w:ascii="宋体" w:hAnsi="宋体" w:eastAsia="宋体" w:cs="Arial"/>
          <w:b/>
          <w:kern w:val="0"/>
          <w:szCs w:val="32"/>
          <w:lang w:eastAsia="zh-CN"/>
        </w:rPr>
      </w:pPr>
      <w:r>
        <w:rPr>
          <w:rFonts w:hint="eastAsia" w:ascii="宋体" w:hAnsi="宋体" w:eastAsia="宋体" w:cs="Arial"/>
          <w:b/>
          <w:kern w:val="0"/>
          <w:szCs w:val="32"/>
          <w:lang w:val="en-US" w:eastAsia="zh-CN"/>
        </w:rPr>
        <w:t>8</w:t>
      </w:r>
      <w:r>
        <w:rPr>
          <w:rFonts w:ascii="宋体" w:hAnsi="宋体" w:eastAsia="宋体" w:cs="Arial"/>
          <w:b/>
          <w:kern w:val="0"/>
          <w:szCs w:val="32"/>
        </w:rPr>
        <w:t>、</w:t>
      </w:r>
      <w:r>
        <w:rPr>
          <w:rFonts w:hint="eastAsia" w:ascii="宋体" w:hAnsi="宋体" w:eastAsia="宋体" w:cs="Arial"/>
          <w:b/>
          <w:kern w:val="0"/>
          <w:szCs w:val="32"/>
          <w:lang w:eastAsia="zh-CN"/>
        </w:rPr>
        <w:t>付款方式</w:t>
      </w:r>
    </w:p>
    <w:p>
      <w:pPr>
        <w:pStyle w:val="14"/>
        <w:spacing w:line="360" w:lineRule="auto"/>
        <w:ind w:firstLine="48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合同签订生效</w:t>
      </w:r>
      <w:r>
        <w:rPr>
          <w:rFonts w:hint="eastAsia"/>
          <w:lang w:eastAsia="zh-CN"/>
        </w:rPr>
        <w:t>且</w:t>
      </w:r>
      <w:r>
        <w:rPr>
          <w:rFonts w:hint="eastAsia"/>
        </w:rPr>
        <w:t>收到</w:t>
      </w:r>
      <w:r>
        <w:rPr>
          <w:rFonts w:hint="eastAsia"/>
          <w:lang w:eastAsia="zh-CN"/>
        </w:rPr>
        <w:t>成交单位</w:t>
      </w:r>
      <w:r>
        <w:rPr>
          <w:rFonts w:hint="eastAsia"/>
        </w:rPr>
        <w:t>发票后</w:t>
      </w:r>
      <w:r>
        <w:rPr>
          <w:rFonts w:hint="eastAsia"/>
          <w:lang w:val="en-US" w:eastAsia="zh-CN"/>
        </w:rPr>
        <w:t>30个工作日内，采购人</w:t>
      </w:r>
      <w:r>
        <w:rPr>
          <w:rFonts w:hint="eastAsia"/>
        </w:rPr>
        <w:t>支付</w:t>
      </w:r>
      <w:r>
        <w:rPr>
          <w:rFonts w:hint="eastAsia"/>
          <w:lang w:eastAsia="zh-CN"/>
        </w:rPr>
        <w:t>成交单位</w:t>
      </w:r>
      <w:r>
        <w:rPr>
          <w:rFonts w:hint="eastAsia"/>
        </w:rPr>
        <w:t>50%</w:t>
      </w:r>
      <w:r>
        <w:rPr>
          <w:rFonts w:hint="eastAsia"/>
          <w:lang w:eastAsia="zh-CN"/>
        </w:rPr>
        <w:t>的款项</w:t>
      </w:r>
      <w:r>
        <w:rPr>
          <w:rFonts w:hint="eastAsia"/>
        </w:rPr>
        <w:t>；</w:t>
      </w:r>
    </w:p>
    <w:p>
      <w:pPr>
        <w:pStyle w:val="14"/>
        <w:spacing w:line="360" w:lineRule="auto"/>
        <w:ind w:firstLine="480" w:firstLineChars="200"/>
        <w:rPr>
          <w:rFonts w:hint="eastAsia"/>
        </w:rPr>
      </w:pPr>
      <w:r>
        <w:rPr>
          <w:rFonts w:hint="eastAsia"/>
          <w:lang w:eastAsia="zh-CN"/>
        </w:rPr>
        <w:t>（</w:t>
      </w:r>
      <w:r>
        <w:rPr>
          <w:rFonts w:hint="eastAsia"/>
          <w:lang w:val="en-US" w:eastAsia="zh-CN"/>
        </w:rPr>
        <w:t>2</w:t>
      </w:r>
      <w:r>
        <w:rPr>
          <w:rFonts w:hint="eastAsia"/>
          <w:lang w:eastAsia="zh-CN"/>
        </w:rPr>
        <w:t>）成交单位</w:t>
      </w:r>
      <w:r>
        <w:rPr>
          <w:rFonts w:hint="eastAsia"/>
        </w:rPr>
        <w:t>出具</w:t>
      </w:r>
      <w:r>
        <w:rPr>
          <w:rFonts w:hint="eastAsia"/>
          <w:lang w:eastAsia="zh-CN"/>
        </w:rPr>
        <w:t>的正式测评</w:t>
      </w:r>
      <w:r>
        <w:rPr>
          <w:rFonts w:hint="eastAsia"/>
        </w:rPr>
        <w:t>报告且经甲方确认</w:t>
      </w:r>
      <w:r>
        <w:rPr>
          <w:rFonts w:hint="eastAsia"/>
          <w:lang w:eastAsia="zh-CN"/>
        </w:rPr>
        <w:t>合格后</w:t>
      </w:r>
      <w:r>
        <w:rPr>
          <w:rFonts w:hint="eastAsia"/>
          <w:lang w:val="en-US" w:eastAsia="zh-CN"/>
        </w:rPr>
        <w:t>30个工作日内</w:t>
      </w:r>
      <w:r>
        <w:rPr>
          <w:rFonts w:hint="eastAsia"/>
        </w:rPr>
        <w:t>，支付</w:t>
      </w:r>
      <w:r>
        <w:rPr>
          <w:rFonts w:hint="eastAsia"/>
          <w:lang w:eastAsia="zh-CN"/>
        </w:rPr>
        <w:t>剩余</w:t>
      </w:r>
      <w:r>
        <w:rPr>
          <w:rFonts w:hint="eastAsia"/>
        </w:rPr>
        <w:t>50%</w:t>
      </w:r>
      <w:r>
        <w:rPr>
          <w:rFonts w:hint="eastAsia"/>
          <w:lang w:eastAsia="zh-CN"/>
        </w:rPr>
        <w:t>的款项</w:t>
      </w:r>
      <w:r>
        <w:rPr>
          <w:rFonts w:hint="eastAsia"/>
        </w:rPr>
        <w:t>。</w:t>
      </w:r>
    </w:p>
    <w:p>
      <w:pPr>
        <w:widowControl/>
        <w:shd w:val="clear" w:color="auto" w:fill="FFFFFF"/>
        <w:spacing w:before="240" w:after="120" w:line="480" w:lineRule="atLeast"/>
        <w:jc w:val="left"/>
        <w:outlineLvl w:val="1"/>
        <w:rPr>
          <w:rFonts w:ascii="宋体" w:hAnsi="宋体" w:eastAsia="宋体" w:cs="Arial"/>
          <w:b/>
          <w:kern w:val="0"/>
          <w:szCs w:val="32"/>
        </w:rPr>
      </w:pPr>
      <w:r>
        <w:rPr>
          <w:rFonts w:ascii="宋体" w:hAnsi="宋体" w:eastAsia="宋体" w:cs="Arial"/>
          <w:b/>
          <w:kern w:val="0"/>
          <w:szCs w:val="32"/>
        </w:rPr>
        <w:t>9、</w:t>
      </w:r>
      <w:r>
        <w:rPr>
          <w:rFonts w:hint="eastAsia" w:ascii="宋体" w:hAnsi="宋体" w:eastAsia="宋体" w:cs="Arial"/>
          <w:b/>
          <w:kern w:val="0"/>
          <w:szCs w:val="32"/>
          <w:lang w:eastAsia="zh-CN"/>
        </w:rPr>
        <w:t>人员</w:t>
      </w:r>
      <w:r>
        <w:rPr>
          <w:rFonts w:ascii="宋体" w:hAnsi="宋体" w:eastAsia="宋体" w:cs="Arial"/>
          <w:b/>
          <w:kern w:val="0"/>
          <w:szCs w:val="32"/>
        </w:rPr>
        <w:t>要求</w:t>
      </w:r>
    </w:p>
    <w:p>
      <w:pPr>
        <w:pStyle w:val="14"/>
        <w:spacing w:line="360" w:lineRule="auto"/>
        <w:ind w:firstLine="480" w:firstLineChars="200"/>
        <w:rPr>
          <w:rFonts w:hint="eastAsia"/>
        </w:rPr>
      </w:pPr>
      <w:r>
        <w:rPr>
          <w:rFonts w:hint="eastAsia"/>
        </w:rPr>
        <w:t>项目实施人员要求：</w:t>
      </w:r>
      <w:r>
        <w:t xml:space="preserve">依据2024年03月01日由公安部第三研究所发布实施的TRIMPS-JSGF-003:2024《网络安全服务认证技术规范(等级保护测评)》 </w:t>
      </w:r>
      <w:r>
        <w:rPr>
          <w:rFonts w:hint="eastAsia"/>
        </w:rPr>
        <w:t>中第</w:t>
      </w:r>
      <w:r>
        <w:t xml:space="preserve">5.2.5 </w:t>
      </w:r>
      <w:r>
        <w:rPr>
          <w:rFonts w:hint="eastAsia"/>
        </w:rPr>
        <w:t>条例：</w:t>
      </w:r>
      <w:r>
        <w:t>对第三级及以上等级保护对象提供等级保护测评服务的，测评师人数不应少于4名，其中需配备高级测评师1名、中级及以上测评组长1名。</w:t>
      </w:r>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思源黑体 CN"/>
    <w:panose1 w:val="00000000000000000000"/>
    <w:charset w:val="86"/>
    <w:family w:val="auto"/>
    <w:pitch w:val="default"/>
    <w:sig w:usb0="00000000" w:usb1="00000000" w:usb2="00000016" w:usb3="00000000" w:csb0="0004000F" w:csb1="00000000"/>
  </w:font>
  <w:font w:name="等线">
    <w:altName w:val="思源黑体 CN"/>
    <w:panose1 w:val="00000000000000000000"/>
    <w:charset w:val="86"/>
    <w:family w:val="auto"/>
    <w:pitch w:val="default"/>
    <w:sig w:usb0="00000000" w:usb1="00000000" w:usb2="00000000" w:usb3="00000000" w:csb0="00000000" w:csb1="00000000"/>
  </w:font>
  <w:font w:name="等线">
    <w:altName w:val="PakType Naskh Basic"/>
    <w:panose1 w:val="00000000000000000000"/>
    <w:charset w:val="86"/>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粗黑宋简体">
    <w:altName w:val="方正书宋_GBK"/>
    <w:panose1 w:val="00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PakType Naskh Basic">
    <w:panose1 w:val="00000400000000000000"/>
    <w:charset w:val="00"/>
    <w:family w:val="auto"/>
    <w:pitch w:val="default"/>
    <w:sig w:usb0="80006003" w:usb1="8000000A" w:usb2="00000008" w:usb3="00000000" w:csb0="00000041" w:csb1="20080000"/>
  </w:font>
  <w:font w:name="思源黑体 CN">
    <w:panose1 w:val="020B0600000000000000"/>
    <w:charset w:val="86"/>
    <w:family w:val="auto"/>
    <w:pitch w:val="default"/>
    <w:sig w:usb0="20000003" w:usb1="2ADF3C10" w:usb2="00000016" w:usb3="00000000" w:csb0="60060107" w:csb1="00000000"/>
  </w:font>
  <w:font w:name="DejaVa Sans">
    <w:altName w:val="PakType Naskh Basic"/>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等线">
    <w:altName w:val="PakType Naskh Basic"/>
    <w:panose1 w:val="00000000000000000000"/>
    <w:charset w:val="86"/>
    <w:family w:val="auto"/>
    <w:pitch w:val="default"/>
    <w:sig w:usb0="00000000" w:usb1="00000000" w:usb2="00000000" w:usb3="00000000" w:csb0="00000000" w:csb1="00000000"/>
  </w:font>
  <w:font w:name="等线">
    <w:altName w:val="PakType Naskh Basic"/>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3FE"/>
    <w:multiLevelType w:val="multilevel"/>
    <w:tmpl w:val="041303FE"/>
    <w:lvl w:ilvl="0" w:tentative="0">
      <w:start w:val="1"/>
      <w:numFmt w:val="decimal"/>
      <w:suff w:val="space"/>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1">
    <w:nsid w:val="1F7203B5"/>
    <w:multiLevelType w:val="multilevel"/>
    <w:tmpl w:val="1F7203B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2">
    <w:nsid w:val="6C792F9E"/>
    <w:multiLevelType w:val="multilevel"/>
    <w:tmpl w:val="6C792F9E"/>
    <w:lvl w:ilvl="0" w:tentative="0">
      <w:start w:val="1"/>
      <w:numFmt w:val="decimal"/>
      <w:lvlText w:val="%1"/>
      <w:lvlJc w:val="left"/>
      <w:pPr>
        <w:tabs>
          <w:tab w:val="left" w:pos="425"/>
        </w:tabs>
        <w:ind w:left="0" w:firstLine="0"/>
      </w:pPr>
      <w:rPr>
        <w:rFonts w:hint="eastAsia"/>
        <w:sz w:val="24"/>
        <w:szCs w:val="24"/>
      </w:rPr>
    </w:lvl>
    <w:lvl w:ilvl="1" w:tentative="0">
      <w:start w:val="1"/>
      <w:numFmt w:val="lowerLetter"/>
      <w:lvlText w:val="%2）"/>
      <w:lvlJc w:val="left"/>
      <w:pPr>
        <w:tabs>
          <w:tab w:val="left" w:pos="567"/>
        </w:tabs>
        <w:ind w:left="567" w:hanging="567"/>
      </w:pPr>
      <w:rPr>
        <w:rFonts w:hint="eastAsia"/>
        <w:sz w:val="24"/>
      </w:rPr>
    </w:lvl>
    <w:lvl w:ilvl="2" w:tentative="0">
      <w:start w:val="1"/>
      <w:numFmt w:val="decimal"/>
      <w:lvlText w:val="%1.%2.%3"/>
      <w:lvlJc w:val="left"/>
      <w:pPr>
        <w:tabs>
          <w:tab w:val="left" w:pos="851"/>
        </w:tabs>
        <w:ind w:left="851" w:hanging="709"/>
      </w:pPr>
      <w:rPr>
        <w:rFonts w:hint="eastAsia"/>
        <w:b w:val="0"/>
        <w:sz w:val="24"/>
        <w:szCs w:val="24"/>
      </w:rPr>
    </w:lvl>
    <w:lvl w:ilvl="3" w:tentative="0">
      <w:start w:val="1"/>
      <w:numFmt w:val="decimal"/>
      <w:lvlText w:val="%1.%2.%3.%4"/>
      <w:lvlJc w:val="left"/>
      <w:pPr>
        <w:tabs>
          <w:tab w:val="left" w:pos="851"/>
        </w:tabs>
        <w:ind w:left="851" w:hanging="851"/>
      </w:pPr>
      <w:rPr>
        <w:rFonts w:hint="default" w:ascii="等线" w:hAnsi="等线" w:eastAsia="等线"/>
        <w:b w:val="0"/>
        <w:i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07"/>
    <w:rsid w:val="00003688"/>
    <w:rsid w:val="00034B29"/>
    <w:rsid w:val="0008451E"/>
    <w:rsid w:val="00085C12"/>
    <w:rsid w:val="0012485F"/>
    <w:rsid w:val="0026286E"/>
    <w:rsid w:val="002E7FDC"/>
    <w:rsid w:val="00303715"/>
    <w:rsid w:val="003640D2"/>
    <w:rsid w:val="003C1D61"/>
    <w:rsid w:val="00417247"/>
    <w:rsid w:val="005302BB"/>
    <w:rsid w:val="0057654D"/>
    <w:rsid w:val="00652858"/>
    <w:rsid w:val="00892807"/>
    <w:rsid w:val="008A5AD6"/>
    <w:rsid w:val="00905661"/>
    <w:rsid w:val="00936C74"/>
    <w:rsid w:val="009B6673"/>
    <w:rsid w:val="00A42265"/>
    <w:rsid w:val="00BC6B4B"/>
    <w:rsid w:val="00CB206C"/>
    <w:rsid w:val="00CE1628"/>
    <w:rsid w:val="00D2748C"/>
    <w:rsid w:val="00D30C2C"/>
    <w:rsid w:val="00D832A0"/>
    <w:rsid w:val="00D90966"/>
    <w:rsid w:val="00DB17B4"/>
    <w:rsid w:val="00E83804"/>
    <w:rsid w:val="00EB5E6D"/>
    <w:rsid w:val="00FD55F0"/>
    <w:rsid w:val="1FDED088"/>
    <w:rsid w:val="7FF7EDBC"/>
    <w:rsid w:val="F7DFA014"/>
    <w:rsid w:val="FBA5B694"/>
    <w:rsid w:val="FBFF71DA"/>
    <w:rsid w:val="FD7BD6CC"/>
    <w:rsid w:val="FE37A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仿宋_GB2312" w:cs="Times New Roman"/>
      <w:kern w:val="2"/>
      <w:sz w:val="32"/>
      <w:szCs w:val="20"/>
      <w:lang w:val="en-US" w:eastAsia="zh-CN" w:bidi="ar-SA"/>
    </w:rPr>
  </w:style>
  <w:style w:type="paragraph" w:styleId="4">
    <w:name w:val="heading 1"/>
    <w:basedOn w:val="1"/>
    <w:next w:val="1"/>
    <w:link w:val="12"/>
    <w:qFormat/>
    <w:uiPriority w:val="0"/>
    <w:pPr>
      <w:keepNext/>
      <w:keepLines/>
      <w:spacing w:before="340" w:after="330" w:line="576" w:lineRule="auto"/>
      <w:outlineLvl w:val="0"/>
    </w:pPr>
    <w:rPr>
      <w:rFonts w:hint="default" w:eastAsia="方正粗黑宋简体"/>
      <w:kern w:val="44"/>
      <w:sz w:val="44"/>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8"/>
    <w:semiHidden/>
    <w:unhideWhenUsed/>
    <w:qFormat/>
    <w:uiPriority w:val="99"/>
    <w:pPr>
      <w:ind w:firstLine="420" w:firstLineChars="200"/>
    </w:pPr>
  </w:style>
  <w:style w:type="paragraph" w:styleId="3">
    <w:name w:val="Body Text Indent"/>
    <w:basedOn w:val="1"/>
    <w:link w:val="17"/>
    <w:semiHidden/>
    <w:unhideWhenUsed/>
    <w:qFormat/>
    <w:uiPriority w:val="99"/>
    <w:pPr>
      <w:spacing w:after="120"/>
      <w:ind w:left="420" w:leftChars="200"/>
    </w:pPr>
  </w:style>
  <w:style w:type="paragraph" w:styleId="5">
    <w:name w:val="Normal Indent"/>
    <w:basedOn w:val="1"/>
    <w:link w:val="15"/>
    <w:qFormat/>
    <w:uiPriority w:val="0"/>
    <w:pPr>
      <w:ind w:firstLine="420"/>
    </w:pPr>
    <w:rPr>
      <w:rFonts w:hint="default" w:eastAsia="宋体"/>
      <w:sz w:val="21"/>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qFormat/>
    <w:uiPriority w:val="99"/>
    <w:rPr>
      <w:sz w:val="18"/>
      <w:szCs w:val="18"/>
    </w:rPr>
  </w:style>
  <w:style w:type="character" w:customStyle="1" w:styleId="11">
    <w:name w:val="页脚 Char"/>
    <w:basedOn w:val="8"/>
    <w:link w:val="6"/>
    <w:qFormat/>
    <w:uiPriority w:val="99"/>
    <w:rPr>
      <w:sz w:val="18"/>
      <w:szCs w:val="18"/>
    </w:rPr>
  </w:style>
  <w:style w:type="character" w:customStyle="1" w:styleId="12">
    <w:name w:val="标题 1 Char"/>
    <w:basedOn w:val="8"/>
    <w:link w:val="4"/>
    <w:qFormat/>
    <w:uiPriority w:val="0"/>
    <w:rPr>
      <w:rFonts w:ascii="Times New Roman" w:hAnsi="Times New Roman" w:eastAsia="方正粗黑宋简体" w:cs="Times New Roman"/>
      <w:kern w:val="44"/>
      <w:sz w:val="44"/>
      <w:szCs w:val="20"/>
    </w:rPr>
  </w:style>
  <w:style w:type="paragraph" w:styleId="13">
    <w:name w:val="List Paragraph"/>
    <w:basedOn w:val="1"/>
    <w:link w:val="19"/>
    <w:qFormat/>
    <w:uiPriority w:val="34"/>
    <w:pPr>
      <w:ind w:firstLine="420" w:firstLineChars="200"/>
    </w:pPr>
    <w:rPr>
      <w:rFonts w:hint="default" w:asciiTheme="minorHAnsi" w:hAnsiTheme="minorHAnsi" w:eastAsiaTheme="minorEastAsia" w:cstheme="minorBidi"/>
      <w:sz w:val="21"/>
      <w:szCs w:val="22"/>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5">
    <w:name w:val="正文缩进 Char"/>
    <w:link w:val="5"/>
    <w:qFormat/>
    <w:uiPriority w:val="0"/>
    <w:rPr>
      <w:rFonts w:ascii="Times New Roman" w:hAnsi="Times New Roman" w:eastAsia="宋体" w:cs="Times New Roman"/>
      <w:szCs w:val="20"/>
    </w:rPr>
  </w:style>
  <w:style w:type="paragraph" w:customStyle="1" w:styleId="16">
    <w:name w:val="国标3级"/>
    <w:basedOn w:val="1"/>
    <w:semiHidden/>
    <w:qFormat/>
    <w:uiPriority w:val="0"/>
    <w:pPr>
      <w:snapToGrid w:val="0"/>
      <w:spacing w:line="312" w:lineRule="exact"/>
    </w:pPr>
    <w:rPr>
      <w:rFonts w:hint="default" w:ascii="宋体" w:hAnsi="宋体" w:eastAsia="宋体"/>
      <w:color w:val="000000"/>
      <w:sz w:val="21"/>
      <w:szCs w:val="22"/>
    </w:rPr>
  </w:style>
  <w:style w:type="character" w:customStyle="1" w:styleId="17">
    <w:name w:val="正文文本缩进 Char"/>
    <w:basedOn w:val="8"/>
    <w:link w:val="3"/>
    <w:semiHidden/>
    <w:qFormat/>
    <w:uiPriority w:val="99"/>
    <w:rPr>
      <w:rFonts w:ascii="Times New Roman" w:hAnsi="Times New Roman" w:eastAsia="仿宋_GB2312" w:cs="Times New Roman"/>
      <w:sz w:val="32"/>
      <w:szCs w:val="20"/>
    </w:rPr>
  </w:style>
  <w:style w:type="character" w:customStyle="1" w:styleId="18">
    <w:name w:val="正文首行缩进 2 Char"/>
    <w:basedOn w:val="17"/>
    <w:link w:val="2"/>
    <w:semiHidden/>
    <w:qFormat/>
    <w:uiPriority w:val="99"/>
    <w:rPr>
      <w:rFonts w:ascii="Times New Roman" w:hAnsi="Times New Roman" w:eastAsia="仿宋_GB2312" w:cs="Times New Roman"/>
      <w:sz w:val="32"/>
      <w:szCs w:val="20"/>
    </w:rPr>
  </w:style>
  <w:style w:type="character" w:customStyle="1" w:styleId="19">
    <w:name w:val="列出段落 Char"/>
    <w:link w:val="13"/>
    <w:qFormat/>
    <w:locked/>
    <w:uiPriority w:val="34"/>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3258</Words>
  <Characters>3418</Characters>
  <Lines>42</Lines>
  <Paragraphs>12</Paragraphs>
  <TotalTime>1</TotalTime>
  <ScaleCrop>false</ScaleCrop>
  <LinksUpToDate>false</LinksUpToDate>
  <CharactersWithSpaces>3439</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2022-10-09T10:23:00Z</dcterms:created>
  <dc:creator>user</dc:creator>
  <cp:lastModifiedBy>user</cp:lastModifiedBy>
  <dcterms:modified xsi:type="dcterms:W3CDTF">2025-08-12T09:54:15Z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ies>
</file>