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hint="eastAsia" w:ascii="宋体" w:hAnsi="宋体" w:eastAsia="宋体" w:cs="宋体"/>
          <w:b/>
          <w:bCs/>
          <w:sz w:val="28"/>
          <w:szCs w:val="28"/>
          <w:lang w:eastAsia="zh-CN"/>
        </w:rPr>
      </w:pPr>
      <w:bookmarkStart w:id="0" w:name="_GoBack"/>
      <w:bookmarkEnd w:id="0"/>
      <w:r>
        <w:rPr>
          <w:rFonts w:hint="eastAsia" w:ascii="宋体" w:hAnsi="宋体" w:cs="宋体"/>
          <w:b/>
          <w:bCs/>
          <w:sz w:val="28"/>
          <w:szCs w:val="28"/>
          <w:lang w:eastAsia="zh-CN"/>
        </w:rPr>
        <w:t>上海市长宁区市政工程管理中心雨污混接普查（一期）服务公开招标项目</w:t>
      </w:r>
    </w:p>
    <w:p>
      <w:pPr>
        <w:spacing w:line="360" w:lineRule="auto"/>
        <w:jc w:val="center"/>
        <w:rPr>
          <w:rFonts w:ascii="宋体" w:hAnsi="宋体" w:cs="宋体"/>
          <w:b/>
          <w:bCs/>
          <w:sz w:val="28"/>
          <w:szCs w:val="28"/>
        </w:rPr>
      </w:pPr>
      <w:r>
        <w:rPr>
          <w:rFonts w:hint="eastAsia" w:ascii="宋体" w:hAnsi="宋体" w:cs="宋体"/>
          <w:b/>
          <w:bCs/>
          <w:sz w:val="28"/>
          <w:szCs w:val="28"/>
        </w:rPr>
        <w:t>采购需求文件</w:t>
      </w:r>
    </w:p>
    <w:p>
      <w:pPr>
        <w:spacing w:line="360" w:lineRule="auto"/>
        <w:jc w:val="center"/>
        <w:rPr>
          <w:rFonts w:ascii="宋体" w:hAnsi="宋体" w:cs="宋体"/>
          <w:b/>
          <w:bCs/>
          <w:sz w:val="28"/>
          <w:szCs w:val="28"/>
        </w:rPr>
      </w:pPr>
    </w:p>
    <w:p>
      <w:pPr>
        <w:spacing w:line="440" w:lineRule="exact"/>
        <w:ind w:firstLine="211" w:firstLineChars="100"/>
        <w:outlineLvl w:val="0"/>
        <w:rPr>
          <w:rFonts w:hint="eastAsia" w:ascii="宋体" w:hAnsi="宋体" w:eastAsia="宋体" w:cs="宋体"/>
          <w:b/>
          <w:bCs/>
          <w:sz w:val="21"/>
          <w:szCs w:val="21"/>
          <w:lang w:eastAsia="zh-CN"/>
        </w:rPr>
      </w:pPr>
      <w:r>
        <w:rPr>
          <w:rFonts w:hint="eastAsia" w:ascii="宋体" w:hAnsi="宋体" w:cs="宋体"/>
          <w:b/>
          <w:bCs/>
          <w:sz w:val="21"/>
          <w:szCs w:val="21"/>
          <w:lang w:val="en-US" w:eastAsia="zh-CN"/>
        </w:rPr>
        <w:t>一</w:t>
      </w:r>
      <w:r>
        <w:rPr>
          <w:rFonts w:hint="eastAsia" w:ascii="宋体" w:hAnsi="宋体" w:cs="宋体"/>
          <w:b/>
          <w:bCs/>
          <w:sz w:val="21"/>
          <w:szCs w:val="21"/>
        </w:rPr>
        <w:t>、项目</w:t>
      </w:r>
      <w:r>
        <w:rPr>
          <w:rFonts w:hint="eastAsia" w:ascii="宋体" w:hAnsi="宋体" w:cs="宋体"/>
          <w:b/>
          <w:bCs/>
          <w:sz w:val="21"/>
          <w:szCs w:val="21"/>
          <w:lang w:val="en-US" w:eastAsia="zh-CN"/>
        </w:rPr>
        <w:t>背景</w:t>
      </w:r>
    </w:p>
    <w:p>
      <w:pPr>
        <w:spacing w:line="440" w:lineRule="exact"/>
        <w:ind w:firstLine="420" w:firstLineChars="200"/>
        <w:rPr>
          <w:rFonts w:hint="eastAsia" w:ascii="宋体" w:hAnsi="宋体" w:cs="宋体"/>
          <w:sz w:val="21"/>
          <w:szCs w:val="21"/>
        </w:rPr>
      </w:pPr>
      <w:r>
        <w:rPr>
          <w:rFonts w:hint="eastAsia" w:ascii="宋体" w:hAnsi="宋体" w:cs="宋体"/>
          <w:sz w:val="21"/>
          <w:szCs w:val="21"/>
        </w:rPr>
        <w:t>根据《城镇排水与污水处理条例》和《上海市排水与污水处理条例》等文件要求，为有效改善河道水质、提升污水收集效能，上海市在开展了两轮雨污混接整治工作的基础上，2023 年底发布了上海市总河长令1号《上海市雨污混接普查和整治工作方案》，启动新一轮雨污混接普查整治工作。根据市总河长令1号文件要求，长宁区结合本区实际情况，于 2024年2月发布了长宁区总河长令《长宁区雨污混接普查和整治工作方案（2024-2026年）》。按照市总河长令1号和长宁区总河长令要求，长宁区建管委全面启动全区住宅小区雨污混接普查工作，为下一阶段的雨污混接整治工作做好全面准备。</w:t>
      </w:r>
    </w:p>
    <w:p>
      <w:pPr>
        <w:spacing w:line="440" w:lineRule="exact"/>
        <w:outlineLvl w:val="0"/>
        <w:rPr>
          <w:rFonts w:hint="eastAsia" w:ascii="宋体" w:hAnsi="宋体" w:cs="宋体"/>
          <w:b/>
          <w:bCs/>
          <w:sz w:val="21"/>
          <w:szCs w:val="21"/>
        </w:rPr>
      </w:pPr>
    </w:p>
    <w:p>
      <w:pPr>
        <w:spacing w:line="440" w:lineRule="exact"/>
        <w:outlineLvl w:val="0"/>
        <w:rPr>
          <w:rFonts w:hint="eastAsia" w:ascii="宋体" w:hAnsi="宋体" w:cs="宋体"/>
          <w:b/>
          <w:bCs/>
          <w:sz w:val="21"/>
          <w:szCs w:val="21"/>
        </w:rPr>
      </w:pPr>
      <w:r>
        <w:rPr>
          <w:rFonts w:hint="eastAsia" w:ascii="宋体" w:hAnsi="宋体" w:cs="宋体"/>
          <w:b/>
          <w:bCs/>
          <w:sz w:val="21"/>
          <w:szCs w:val="21"/>
          <w:lang w:val="en-US" w:eastAsia="zh-CN"/>
        </w:rPr>
        <w:t>二</w:t>
      </w:r>
      <w:r>
        <w:rPr>
          <w:rFonts w:hint="eastAsia" w:ascii="宋体" w:hAnsi="宋体" w:cs="宋体"/>
          <w:b/>
          <w:bCs/>
          <w:sz w:val="21"/>
          <w:szCs w:val="21"/>
        </w:rPr>
        <w:t>、</w:t>
      </w:r>
      <w:r>
        <w:rPr>
          <w:rFonts w:hint="eastAsia" w:ascii="宋体" w:hAnsi="宋体" w:cs="宋体"/>
          <w:b/>
          <w:bCs/>
          <w:sz w:val="21"/>
          <w:szCs w:val="21"/>
          <w:lang w:val="en-US" w:eastAsia="zh-CN"/>
        </w:rPr>
        <w:t>项目总体要求</w:t>
      </w:r>
    </w:p>
    <w:p>
      <w:pPr>
        <w:spacing w:line="440" w:lineRule="exact"/>
        <w:ind w:firstLine="420" w:firstLineChars="200"/>
        <w:rPr>
          <w:rFonts w:hint="eastAsia" w:ascii="宋体" w:hAnsi="宋体" w:cs="宋体"/>
          <w:sz w:val="21"/>
          <w:szCs w:val="21"/>
        </w:rPr>
      </w:pPr>
      <w:r>
        <w:rPr>
          <w:rFonts w:hint="eastAsia" w:ascii="宋体" w:hAnsi="宋体" w:cs="宋体"/>
          <w:sz w:val="21"/>
          <w:szCs w:val="21"/>
        </w:rPr>
        <w:t>根据《上海市雨污混接普查和整治工作方案》、《长宁区雨污混接普查和整治工作方案（2024-2026年）》及《上海市雨污混接普查和整治技术导引》等相关规范明确的相关技术和手段要求，编制全区雨污混接普查工作方案，开展全区雨污混接排查工作并最终录入规定系统。建立全区排水用户排水档案，实现全区排水用户排水现状数据信息系统化管理，实时可查；针对全区排水用户雨污混接排查工作中发现的问题，提出切实可行的技术整改建议。通过公开招标方式，选取一家对雨污混接问题、存在弊端、现实影响和现场排查工作内容有较深入了解，相关组织能力优秀、服务意识强、服务团队专业技术能力突出，具有较丰富的相关工作经验的单位，承接本次全区雨污混接普查（一期）项目工作。</w:t>
      </w:r>
    </w:p>
    <w:p>
      <w:pPr>
        <w:spacing w:line="440" w:lineRule="exact"/>
        <w:ind w:firstLine="420" w:firstLineChars="200"/>
        <w:rPr>
          <w:rFonts w:hint="eastAsia" w:ascii="宋体" w:hAnsi="宋体" w:cs="宋体"/>
          <w:sz w:val="21"/>
          <w:szCs w:val="21"/>
        </w:rPr>
      </w:pPr>
      <w:r>
        <w:rPr>
          <w:rFonts w:hint="eastAsia" w:ascii="宋体" w:hAnsi="宋体" w:cs="宋体"/>
          <w:sz w:val="21"/>
          <w:szCs w:val="21"/>
        </w:rPr>
        <w:t xml:space="preserve">     </w:t>
      </w:r>
    </w:p>
    <w:p>
      <w:pPr>
        <w:spacing w:line="360" w:lineRule="auto"/>
        <w:outlineLvl w:val="0"/>
        <w:rPr>
          <w:rFonts w:hint="default" w:ascii="宋体" w:hAnsi="宋体" w:cs="宋体"/>
          <w:b/>
          <w:bCs/>
          <w:sz w:val="21"/>
          <w:szCs w:val="21"/>
          <w:lang w:val="en-US" w:eastAsia="zh-CN"/>
        </w:rPr>
      </w:pPr>
      <w:r>
        <w:rPr>
          <w:rFonts w:hint="eastAsia" w:ascii="宋体" w:hAnsi="宋体" w:cs="宋体"/>
          <w:b/>
          <w:bCs/>
          <w:sz w:val="21"/>
          <w:szCs w:val="21"/>
          <w:lang w:val="en-US" w:eastAsia="zh-CN"/>
        </w:rPr>
        <w:t>三、项目服务范围及内容</w:t>
      </w:r>
    </w:p>
    <w:p>
      <w:pPr>
        <w:bidi w:val="0"/>
        <w:spacing w:line="360" w:lineRule="auto"/>
        <w:ind w:firstLine="420" w:firstLineChars="200"/>
        <w:jc w:val="left"/>
        <w:rPr>
          <w:rFonts w:hint="eastAsia" w:ascii="宋体" w:hAnsi="宋体" w:cs="宋体"/>
          <w:sz w:val="21"/>
          <w:szCs w:val="21"/>
          <w:lang w:val="en-US" w:eastAsia="zh-CN"/>
        </w:rPr>
      </w:pPr>
      <w:r>
        <w:rPr>
          <w:rFonts w:hint="eastAsia" w:ascii="宋体" w:hAnsi="宋体" w:cs="宋体"/>
          <w:sz w:val="21"/>
          <w:szCs w:val="21"/>
          <w:lang w:val="en-US" w:eastAsia="zh-CN"/>
        </w:rPr>
        <w:t>本项目为长宁区辖区范围内的雨污混接普查（一期）项目，包括排水用户信息普查、排水用户混接排查（一级用户出门井全覆盖排查、首批62个住宅小区内部溯源排查）、城镇公共排水管道检测资料核查及入库等内容。</w:t>
      </w:r>
    </w:p>
    <w:p>
      <w:pPr>
        <w:bidi w:val="0"/>
        <w:spacing w:line="360" w:lineRule="auto"/>
        <w:ind w:firstLine="422" w:firstLineChars="200"/>
        <w:jc w:val="left"/>
        <w:rPr>
          <w:rFonts w:hint="eastAsia" w:ascii="宋体" w:hAnsi="宋体" w:cs="宋体"/>
          <w:b/>
          <w:bCs/>
          <w:sz w:val="21"/>
          <w:szCs w:val="21"/>
          <w:lang w:val="en-US" w:eastAsia="zh-CN"/>
        </w:rPr>
      </w:pPr>
      <w:r>
        <w:rPr>
          <w:rFonts w:hint="eastAsia" w:ascii="宋体" w:hAnsi="宋体" w:cs="宋体"/>
          <w:b/>
          <w:bCs/>
          <w:sz w:val="21"/>
          <w:szCs w:val="21"/>
          <w:lang w:val="en-US" w:eastAsia="zh-CN"/>
        </w:rPr>
        <w:t>1、排水用户信息普查</w:t>
      </w:r>
    </w:p>
    <w:p>
      <w:pPr>
        <w:bidi w:val="0"/>
        <w:spacing w:line="360" w:lineRule="auto"/>
        <w:ind w:firstLine="420" w:firstLineChars="200"/>
        <w:jc w:val="left"/>
        <w:rPr>
          <w:rFonts w:hint="eastAsia" w:ascii="宋体" w:hAnsi="宋体" w:cs="宋体"/>
          <w:sz w:val="21"/>
          <w:szCs w:val="21"/>
          <w:lang w:val="en-US" w:eastAsia="zh-CN"/>
        </w:rPr>
      </w:pPr>
      <w:r>
        <w:rPr>
          <w:rFonts w:hint="eastAsia" w:ascii="宋体" w:hAnsi="宋体" w:cs="宋体"/>
          <w:sz w:val="21"/>
          <w:szCs w:val="21"/>
          <w:lang w:val="en-US" w:eastAsia="zh-CN"/>
        </w:rPr>
        <w:t>依据排水收费用户信息，结合排污许可、排水许可、排水接入等资料，梳理长宁区辖区内排水用户底数。区分一级（直接纳管或排放水体）和二级（间接排水）用户，形成全覆盖的排水用户清单，建立排水用户与排水分区拓扑关系，录入上海排水用户小程序。</w:t>
      </w:r>
    </w:p>
    <w:p>
      <w:pPr>
        <w:bidi w:val="0"/>
        <w:spacing w:line="360" w:lineRule="auto"/>
        <w:ind w:firstLine="422" w:firstLineChars="200"/>
        <w:jc w:val="left"/>
        <w:rPr>
          <w:rFonts w:hint="eastAsia" w:ascii="宋体" w:hAnsi="宋体" w:cs="宋体"/>
          <w:b/>
          <w:bCs/>
          <w:sz w:val="21"/>
          <w:szCs w:val="21"/>
          <w:lang w:val="en-US" w:eastAsia="zh-CN"/>
        </w:rPr>
      </w:pPr>
      <w:r>
        <w:rPr>
          <w:rFonts w:hint="eastAsia" w:ascii="宋体" w:hAnsi="宋体" w:cs="宋体"/>
          <w:b/>
          <w:bCs/>
          <w:sz w:val="21"/>
          <w:szCs w:val="21"/>
          <w:lang w:val="en-US" w:eastAsia="zh-CN"/>
        </w:rPr>
        <w:t>2、排水用户混接排查</w:t>
      </w:r>
    </w:p>
    <w:p>
      <w:pPr>
        <w:bidi w:val="0"/>
        <w:spacing w:line="360" w:lineRule="auto"/>
        <w:ind w:firstLine="420" w:firstLineChars="200"/>
        <w:jc w:val="left"/>
        <w:rPr>
          <w:rFonts w:hint="eastAsia" w:ascii="宋体" w:hAnsi="宋体" w:cs="宋体"/>
          <w:sz w:val="21"/>
          <w:szCs w:val="21"/>
          <w:lang w:val="en-US" w:eastAsia="zh-CN"/>
        </w:rPr>
      </w:pPr>
      <w:r>
        <w:rPr>
          <w:rFonts w:hint="eastAsia" w:ascii="宋体" w:hAnsi="宋体" w:cs="宋体"/>
          <w:sz w:val="21"/>
          <w:szCs w:val="21"/>
          <w:lang w:val="en-US" w:eastAsia="zh-CN"/>
        </w:rPr>
        <w:t>根据排水用户清单，进行全覆盖一级排水用户出口核查；通过开井人工检查、水量水质监测等技术手段，对一级排水用户纳管出门井或入河排污口进行核查，排查排水用户雨污混接和排水管道外水入侵等问题， 对存在问题的用户指导开展内部设施及二级用户排查。</w:t>
      </w:r>
    </w:p>
    <w:p>
      <w:pPr>
        <w:bidi w:val="0"/>
        <w:spacing w:line="360" w:lineRule="auto"/>
        <w:ind w:firstLine="420" w:firstLineChars="200"/>
        <w:jc w:val="left"/>
        <w:rPr>
          <w:rFonts w:hint="eastAsia" w:ascii="宋体" w:hAnsi="宋体" w:cs="宋体"/>
          <w:sz w:val="21"/>
          <w:szCs w:val="21"/>
          <w:lang w:val="en-US" w:eastAsia="zh-CN"/>
        </w:rPr>
      </w:pPr>
      <w:r>
        <w:rPr>
          <w:rFonts w:hint="default" w:ascii="宋体" w:hAnsi="宋体" w:cs="宋体"/>
          <w:sz w:val="21"/>
          <w:szCs w:val="21"/>
          <w:lang w:val="en-US" w:eastAsia="zh-CN"/>
        </w:rPr>
        <w:t>①</w:t>
      </w:r>
      <w:r>
        <w:rPr>
          <w:rFonts w:hint="eastAsia" w:ascii="宋体" w:hAnsi="宋体" w:cs="宋体"/>
          <w:sz w:val="21"/>
          <w:szCs w:val="21"/>
          <w:lang w:val="en-US" w:eastAsia="zh-CN"/>
        </w:rPr>
        <w:t>全区一级排水用户出门井排查：含开井目视、水质分析、立管排查、水量监测、临封临排等内容。排查目标是查出存在混接及外水问题的排水户。</w:t>
      </w:r>
    </w:p>
    <w:p>
      <w:pPr>
        <w:bidi w:val="0"/>
        <w:spacing w:line="360" w:lineRule="auto"/>
        <w:ind w:firstLine="420" w:firstLineChars="200"/>
        <w:jc w:val="left"/>
        <w:rPr>
          <w:rFonts w:hint="eastAsia" w:ascii="宋体" w:hAnsi="宋体" w:cs="宋体"/>
          <w:sz w:val="21"/>
          <w:szCs w:val="21"/>
          <w:lang w:val="en-US" w:eastAsia="zh-CN"/>
        </w:rPr>
      </w:pPr>
      <w:r>
        <w:rPr>
          <w:rFonts w:hint="eastAsia" w:ascii="宋体" w:hAnsi="宋体" w:cs="宋体"/>
          <w:sz w:val="21"/>
          <w:szCs w:val="21"/>
          <w:lang w:val="en-US" w:eastAsia="zh-CN"/>
        </w:rPr>
        <w:t>②排水用户内部溯源排查：一期项目主要针对上一轮截流小区和部分重点区域小区进行混接及外水问题排查，含实地调查、开井检查、CCTV、报告编制等内容。</w:t>
      </w:r>
    </w:p>
    <w:p>
      <w:pPr>
        <w:spacing w:line="360" w:lineRule="auto"/>
        <w:ind w:firstLine="422" w:firstLineChars="200"/>
        <w:rPr>
          <w:rFonts w:ascii="Times New Roman" w:hAnsi="Times New Roman" w:cs="Times New Roman"/>
          <w:b/>
          <w:bCs/>
          <w:sz w:val="21"/>
        </w:rPr>
      </w:pPr>
      <w:r>
        <w:rPr>
          <w:rFonts w:ascii="Times New Roman" w:hAnsi="Times New Roman" w:cs="Times New Roman"/>
          <w:b/>
          <w:bCs/>
          <w:sz w:val="21"/>
        </w:rPr>
        <w:t>3、城镇公共排水管道混接普查</w:t>
      </w:r>
    </w:p>
    <w:p>
      <w:pPr>
        <w:bidi w:val="0"/>
        <w:spacing w:line="360" w:lineRule="auto"/>
        <w:ind w:firstLine="420" w:firstLineChars="200"/>
        <w:jc w:val="left"/>
        <w:rPr>
          <w:rFonts w:hint="eastAsia" w:ascii="宋体" w:hAnsi="宋体" w:cs="宋体"/>
          <w:sz w:val="21"/>
          <w:szCs w:val="21"/>
          <w:lang w:val="en-US" w:eastAsia="zh-CN"/>
        </w:rPr>
      </w:pPr>
      <w:r>
        <w:rPr>
          <w:rFonts w:hint="eastAsia" w:ascii="宋体" w:hAnsi="宋体" w:cs="宋体"/>
          <w:sz w:val="21"/>
          <w:szCs w:val="21"/>
          <w:lang w:val="en-US" w:eastAsia="zh-CN"/>
        </w:rPr>
        <w:t>结合养护，对现有的城镇公共排水管道的检测资料进行复核和信息化录入。</w:t>
      </w:r>
    </w:p>
    <w:p>
      <w:pPr>
        <w:spacing w:line="360" w:lineRule="auto"/>
        <w:ind w:firstLine="422" w:firstLineChars="200"/>
        <w:rPr>
          <w:rFonts w:ascii="Times New Roman" w:hAnsi="Times New Roman" w:cs="Times New Roman"/>
          <w:sz w:val="21"/>
        </w:rPr>
      </w:pPr>
      <w:r>
        <w:rPr>
          <w:rFonts w:ascii="Times New Roman" w:hAnsi="Times New Roman" w:cs="Times New Roman"/>
          <w:b/>
          <w:sz w:val="21"/>
        </w:rPr>
        <w:t>注：本项目所有成果文件均需按《上海市雨污混接普查和整治技术导引》中对应的成果要求完成，并通过验收。</w:t>
      </w:r>
      <w:r>
        <w:rPr>
          <w:rFonts w:ascii="Times New Roman" w:hAnsi="Times New Roman" w:cs="Times New Roman"/>
          <w:sz w:val="21"/>
        </w:rPr>
        <w:t xml:space="preserve"> </w:t>
      </w:r>
    </w:p>
    <w:p>
      <w:pPr>
        <w:spacing w:line="360" w:lineRule="auto"/>
        <w:ind w:firstLine="380" w:firstLineChars="200"/>
        <w:rPr>
          <w:rFonts w:ascii="Times New Roman" w:hAnsi="Times New Roman" w:cs="Times New Roman"/>
          <w:spacing w:val="-10"/>
          <w:sz w:val="21"/>
        </w:rPr>
      </w:pPr>
      <w:r>
        <w:rPr>
          <w:rFonts w:ascii="Times New Roman" w:hAnsi="Times New Roman" w:cs="Times New Roman"/>
          <w:spacing w:val="-10"/>
          <w:sz w:val="21"/>
        </w:rPr>
        <w:t>预估工作量（最终以实际发生数量为准）</w:t>
      </w:r>
    </w:p>
    <w:tbl>
      <w:tblPr>
        <w:tblStyle w:val="44"/>
        <w:tblW w:w="851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9"/>
        <w:gridCol w:w="1827"/>
        <w:gridCol w:w="3823"/>
        <w:gridCol w:w="21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7" w:hRule="atLeast"/>
          <w:tblHeader/>
        </w:trPr>
        <w:tc>
          <w:tcPr>
            <w:tcW w:w="739" w:type="dxa"/>
            <w:shd w:val="clear" w:color="auto" w:fill="auto"/>
            <w:vAlign w:val="center"/>
          </w:tcPr>
          <w:p>
            <w:pPr>
              <w:autoSpaceDE/>
              <w:autoSpaceDN/>
              <w:jc w:val="center"/>
              <w:rPr>
                <w:rFonts w:hint="eastAsia" w:ascii="宋体" w:hAnsi="宋体" w:eastAsia="宋体" w:cs="宋体"/>
                <w:b/>
                <w:bCs/>
                <w:kern w:val="2"/>
                <w:sz w:val="21"/>
                <w:szCs w:val="21"/>
                <w:shd w:val="clear" w:color="auto" w:fill="FFFFFF"/>
              </w:rPr>
            </w:pPr>
            <w:r>
              <w:rPr>
                <w:rFonts w:hint="eastAsia" w:ascii="宋体" w:hAnsi="宋体" w:eastAsia="宋体" w:cs="宋体"/>
                <w:b/>
                <w:bCs/>
                <w:kern w:val="2"/>
                <w:sz w:val="21"/>
                <w:szCs w:val="21"/>
                <w:shd w:val="clear" w:color="auto" w:fill="FFFFFF"/>
              </w:rPr>
              <w:t>序号</w:t>
            </w:r>
          </w:p>
        </w:tc>
        <w:tc>
          <w:tcPr>
            <w:tcW w:w="1827" w:type="dxa"/>
            <w:shd w:val="clear" w:color="auto" w:fill="auto"/>
            <w:vAlign w:val="center"/>
          </w:tcPr>
          <w:p>
            <w:pPr>
              <w:autoSpaceDE/>
              <w:autoSpaceDN/>
              <w:jc w:val="center"/>
              <w:rPr>
                <w:rFonts w:hint="eastAsia" w:ascii="宋体" w:hAnsi="宋体" w:eastAsia="宋体" w:cs="宋体"/>
                <w:b/>
                <w:bCs/>
                <w:kern w:val="2"/>
                <w:sz w:val="21"/>
                <w:szCs w:val="21"/>
                <w:shd w:val="clear" w:color="auto" w:fill="FFFFFF"/>
              </w:rPr>
            </w:pPr>
            <w:r>
              <w:rPr>
                <w:rFonts w:hint="eastAsia" w:ascii="宋体" w:hAnsi="宋体" w:eastAsia="宋体" w:cs="宋体"/>
                <w:b/>
                <w:bCs/>
                <w:kern w:val="2"/>
                <w:sz w:val="21"/>
                <w:szCs w:val="21"/>
                <w:shd w:val="clear" w:color="auto" w:fill="FFFFFF"/>
              </w:rPr>
              <w:t>内容</w:t>
            </w:r>
          </w:p>
        </w:tc>
        <w:tc>
          <w:tcPr>
            <w:tcW w:w="3823" w:type="dxa"/>
            <w:shd w:val="clear" w:color="auto" w:fill="auto"/>
            <w:vAlign w:val="center"/>
          </w:tcPr>
          <w:p>
            <w:pPr>
              <w:autoSpaceDE/>
              <w:autoSpaceDN/>
              <w:jc w:val="center"/>
              <w:rPr>
                <w:rFonts w:hint="eastAsia" w:ascii="宋体" w:hAnsi="宋体" w:eastAsia="宋体" w:cs="宋体"/>
                <w:b/>
                <w:bCs/>
                <w:kern w:val="2"/>
                <w:sz w:val="21"/>
                <w:szCs w:val="21"/>
                <w:shd w:val="clear" w:color="auto" w:fill="FFFFFF"/>
              </w:rPr>
            </w:pPr>
            <w:r>
              <w:rPr>
                <w:rFonts w:hint="eastAsia" w:ascii="宋体" w:hAnsi="宋体" w:eastAsia="宋体" w:cs="宋体"/>
                <w:b/>
                <w:bCs/>
                <w:kern w:val="2"/>
                <w:sz w:val="21"/>
                <w:szCs w:val="21"/>
                <w:shd w:val="clear" w:color="auto" w:fill="FFFFFF"/>
              </w:rPr>
              <w:t>预估工作量</w:t>
            </w:r>
          </w:p>
        </w:tc>
        <w:tc>
          <w:tcPr>
            <w:tcW w:w="2130" w:type="dxa"/>
            <w:shd w:val="clear" w:color="auto" w:fill="auto"/>
            <w:vAlign w:val="center"/>
          </w:tcPr>
          <w:p>
            <w:pPr>
              <w:autoSpaceDE/>
              <w:autoSpaceDN/>
              <w:jc w:val="center"/>
              <w:rPr>
                <w:rFonts w:hint="eastAsia" w:ascii="宋体" w:hAnsi="宋体" w:eastAsia="宋体" w:cs="宋体"/>
                <w:b/>
                <w:bCs/>
                <w:kern w:val="2"/>
                <w:sz w:val="21"/>
                <w:szCs w:val="21"/>
                <w:shd w:val="clear" w:color="auto" w:fill="FFFFFF"/>
              </w:rPr>
            </w:pPr>
            <w:r>
              <w:rPr>
                <w:rFonts w:hint="eastAsia" w:ascii="宋体" w:hAnsi="宋体" w:eastAsia="宋体" w:cs="宋体"/>
                <w:b/>
                <w:bCs/>
                <w:kern w:val="2"/>
                <w:sz w:val="21"/>
                <w:szCs w:val="21"/>
                <w:shd w:val="clear" w:color="auto" w:fill="FFFFFF"/>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39" w:type="dxa"/>
            <w:shd w:val="clear" w:color="auto" w:fill="auto"/>
            <w:vAlign w:val="center"/>
          </w:tcPr>
          <w:p>
            <w:pPr>
              <w:autoSpaceDE/>
              <w:autoSpaceDN/>
              <w:jc w:val="center"/>
              <w:rPr>
                <w:rFonts w:hint="eastAsia" w:ascii="宋体" w:hAnsi="宋体" w:eastAsia="宋体" w:cs="宋体"/>
                <w:kern w:val="2"/>
                <w:sz w:val="21"/>
                <w:szCs w:val="21"/>
                <w:shd w:val="clear" w:color="auto" w:fill="FFFFFF"/>
              </w:rPr>
            </w:pPr>
            <w:r>
              <w:rPr>
                <w:rFonts w:hint="eastAsia" w:ascii="宋体" w:hAnsi="宋体" w:eastAsia="宋体" w:cs="宋体"/>
                <w:kern w:val="2"/>
                <w:sz w:val="21"/>
                <w:szCs w:val="21"/>
                <w:shd w:val="clear" w:color="auto" w:fill="FFFFFF"/>
              </w:rPr>
              <w:t>1</w:t>
            </w:r>
          </w:p>
        </w:tc>
        <w:tc>
          <w:tcPr>
            <w:tcW w:w="1827" w:type="dxa"/>
            <w:shd w:val="clear" w:color="auto" w:fill="auto"/>
            <w:vAlign w:val="center"/>
          </w:tcPr>
          <w:p>
            <w:pPr>
              <w:autoSpaceDE/>
              <w:autoSpaceDN/>
              <w:jc w:val="center"/>
              <w:rPr>
                <w:rFonts w:hint="eastAsia" w:ascii="宋体" w:hAnsi="宋体" w:eastAsia="宋体" w:cs="宋体"/>
                <w:kern w:val="2"/>
                <w:sz w:val="21"/>
                <w:szCs w:val="21"/>
                <w:shd w:val="clear" w:color="auto" w:fill="FFFFFF"/>
              </w:rPr>
            </w:pPr>
            <w:r>
              <w:rPr>
                <w:rFonts w:hint="eastAsia" w:ascii="宋体" w:hAnsi="宋体" w:eastAsia="宋体" w:cs="宋体"/>
                <w:kern w:val="2"/>
                <w:sz w:val="21"/>
                <w:szCs w:val="21"/>
                <w:shd w:val="clear" w:color="auto" w:fill="FFFFFF"/>
              </w:rPr>
              <w:t>排水用户信息普查</w:t>
            </w:r>
          </w:p>
        </w:tc>
        <w:tc>
          <w:tcPr>
            <w:tcW w:w="3823" w:type="dxa"/>
            <w:shd w:val="clear" w:color="auto" w:fill="auto"/>
            <w:vAlign w:val="center"/>
          </w:tcPr>
          <w:p>
            <w:pPr>
              <w:autoSpaceDE/>
              <w:autoSpaceDN/>
              <w:jc w:val="both"/>
              <w:rPr>
                <w:rFonts w:hint="eastAsia" w:ascii="宋体" w:hAnsi="宋体" w:eastAsia="宋体" w:cs="宋体"/>
                <w:kern w:val="2"/>
                <w:sz w:val="21"/>
                <w:szCs w:val="21"/>
                <w:shd w:val="clear" w:color="auto" w:fill="FFFFFF"/>
              </w:rPr>
            </w:pPr>
            <w:r>
              <w:rPr>
                <w:rFonts w:hint="eastAsia" w:ascii="宋体" w:hAnsi="宋体" w:eastAsia="宋体" w:cs="宋体"/>
                <w:kern w:val="2"/>
                <w:sz w:val="21"/>
                <w:szCs w:val="21"/>
                <w:shd w:val="clear" w:color="auto" w:fill="FFFFFF"/>
              </w:rPr>
              <w:t>预估2075个一级排水用户</w:t>
            </w:r>
          </w:p>
          <w:p>
            <w:pPr>
              <w:autoSpaceDE/>
              <w:autoSpaceDN/>
              <w:jc w:val="both"/>
              <w:rPr>
                <w:rFonts w:hint="eastAsia" w:ascii="宋体" w:hAnsi="宋体" w:eastAsia="宋体" w:cs="宋体"/>
                <w:kern w:val="2"/>
                <w:sz w:val="21"/>
                <w:szCs w:val="21"/>
                <w:shd w:val="clear" w:color="auto" w:fill="FFFFFF"/>
              </w:rPr>
            </w:pPr>
            <w:r>
              <w:rPr>
                <w:rFonts w:hint="eastAsia" w:ascii="宋体" w:hAnsi="宋体" w:eastAsia="宋体" w:cs="宋体"/>
                <w:kern w:val="2"/>
                <w:sz w:val="21"/>
                <w:szCs w:val="21"/>
                <w:shd w:val="clear" w:color="auto" w:fill="FFFFFF"/>
              </w:rPr>
              <w:t>预估6564个二级排水用户</w:t>
            </w:r>
          </w:p>
        </w:tc>
        <w:tc>
          <w:tcPr>
            <w:tcW w:w="2130" w:type="dxa"/>
            <w:shd w:val="clear" w:color="auto" w:fill="auto"/>
            <w:vAlign w:val="center"/>
          </w:tcPr>
          <w:p>
            <w:pPr>
              <w:autoSpaceDE/>
              <w:autoSpaceDN/>
              <w:jc w:val="center"/>
              <w:rPr>
                <w:rFonts w:hint="eastAsia" w:ascii="宋体" w:hAnsi="宋体" w:eastAsia="宋体" w:cs="宋体"/>
                <w:kern w:val="2"/>
                <w:sz w:val="21"/>
                <w:szCs w:val="21"/>
                <w:shd w:val="clear" w:color="auto" w:fill="FFFFFF"/>
              </w:rPr>
            </w:pPr>
            <w:r>
              <w:rPr>
                <w:rFonts w:hint="eastAsia" w:ascii="宋体" w:hAnsi="宋体" w:eastAsia="宋体" w:cs="宋体"/>
                <w:kern w:val="2"/>
                <w:sz w:val="21"/>
                <w:szCs w:val="21"/>
                <w:shd w:val="clear" w:color="auto" w:fill="FFFFFF"/>
              </w:rPr>
              <w:t>全区全覆盖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39" w:type="dxa"/>
            <w:shd w:val="clear" w:color="auto" w:fill="auto"/>
            <w:vAlign w:val="center"/>
          </w:tcPr>
          <w:p>
            <w:pPr>
              <w:autoSpaceDE/>
              <w:autoSpaceDN/>
              <w:jc w:val="center"/>
              <w:rPr>
                <w:rFonts w:hint="eastAsia" w:ascii="宋体" w:hAnsi="宋体" w:eastAsia="宋体" w:cs="宋体"/>
                <w:kern w:val="2"/>
                <w:sz w:val="21"/>
                <w:szCs w:val="21"/>
                <w:shd w:val="clear" w:color="auto" w:fill="FFFFFF"/>
              </w:rPr>
            </w:pPr>
            <w:r>
              <w:rPr>
                <w:rFonts w:hint="eastAsia" w:ascii="宋体" w:hAnsi="宋体" w:eastAsia="宋体" w:cs="宋体"/>
                <w:kern w:val="2"/>
                <w:sz w:val="21"/>
                <w:szCs w:val="21"/>
                <w:shd w:val="clear" w:color="auto" w:fill="FFFFFF"/>
              </w:rPr>
              <w:t>2</w:t>
            </w:r>
          </w:p>
        </w:tc>
        <w:tc>
          <w:tcPr>
            <w:tcW w:w="1827" w:type="dxa"/>
            <w:shd w:val="clear" w:color="auto" w:fill="auto"/>
            <w:vAlign w:val="center"/>
          </w:tcPr>
          <w:p>
            <w:pPr>
              <w:autoSpaceDE/>
              <w:autoSpaceDN/>
              <w:jc w:val="center"/>
              <w:rPr>
                <w:rFonts w:hint="eastAsia" w:ascii="宋体" w:hAnsi="宋体" w:eastAsia="宋体" w:cs="宋体"/>
                <w:kern w:val="2"/>
                <w:sz w:val="21"/>
                <w:szCs w:val="21"/>
                <w:shd w:val="clear" w:color="auto" w:fill="FFFFFF"/>
              </w:rPr>
            </w:pPr>
            <w:r>
              <w:rPr>
                <w:rFonts w:hint="eastAsia" w:ascii="宋体" w:hAnsi="宋体" w:eastAsia="宋体" w:cs="宋体"/>
                <w:kern w:val="2"/>
                <w:sz w:val="21"/>
                <w:szCs w:val="21"/>
                <w:shd w:val="clear" w:color="auto" w:fill="FFFFFF"/>
              </w:rPr>
              <w:t>排水用户外部核查</w:t>
            </w:r>
          </w:p>
        </w:tc>
        <w:tc>
          <w:tcPr>
            <w:tcW w:w="3823" w:type="dxa"/>
            <w:shd w:val="clear" w:color="auto" w:fill="auto"/>
            <w:vAlign w:val="center"/>
          </w:tcPr>
          <w:p>
            <w:pPr>
              <w:autoSpaceDE/>
              <w:autoSpaceDN/>
              <w:jc w:val="both"/>
              <w:rPr>
                <w:rFonts w:hint="eastAsia" w:ascii="宋体" w:hAnsi="宋体" w:eastAsia="宋体" w:cs="宋体"/>
                <w:kern w:val="2"/>
                <w:sz w:val="21"/>
                <w:szCs w:val="21"/>
                <w:shd w:val="clear" w:color="auto" w:fill="FFFFFF"/>
              </w:rPr>
            </w:pPr>
            <w:r>
              <w:rPr>
                <w:rFonts w:hint="eastAsia" w:ascii="宋体" w:hAnsi="宋体" w:eastAsia="宋体" w:cs="宋体"/>
                <w:kern w:val="2"/>
                <w:sz w:val="21"/>
                <w:szCs w:val="21"/>
                <w:shd w:val="clear" w:color="auto" w:fill="FFFFFF"/>
              </w:rPr>
              <w:t>预估2075个一级排水用户外部核查</w:t>
            </w:r>
          </w:p>
        </w:tc>
        <w:tc>
          <w:tcPr>
            <w:tcW w:w="2130" w:type="dxa"/>
            <w:shd w:val="clear" w:color="auto" w:fill="auto"/>
            <w:vAlign w:val="center"/>
          </w:tcPr>
          <w:p>
            <w:pPr>
              <w:autoSpaceDE/>
              <w:autoSpaceDN/>
              <w:jc w:val="center"/>
              <w:rPr>
                <w:rFonts w:hint="eastAsia" w:ascii="宋体" w:hAnsi="宋体" w:eastAsia="宋体" w:cs="宋体"/>
                <w:kern w:val="2"/>
                <w:sz w:val="21"/>
                <w:szCs w:val="21"/>
                <w:shd w:val="clear" w:color="auto" w:fill="FFFFFF"/>
              </w:rPr>
            </w:pPr>
            <w:r>
              <w:rPr>
                <w:rFonts w:hint="eastAsia" w:ascii="宋体" w:hAnsi="宋体" w:eastAsia="宋体" w:cs="宋体"/>
                <w:kern w:val="2"/>
                <w:sz w:val="21"/>
                <w:szCs w:val="21"/>
                <w:shd w:val="clear" w:color="auto" w:fill="FFFFFF"/>
              </w:rPr>
              <w:t>全区全覆盖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trPr>
        <w:tc>
          <w:tcPr>
            <w:tcW w:w="739" w:type="dxa"/>
            <w:shd w:val="clear" w:color="auto" w:fill="auto"/>
            <w:vAlign w:val="center"/>
          </w:tcPr>
          <w:p>
            <w:pPr>
              <w:autoSpaceDE/>
              <w:autoSpaceDN/>
              <w:jc w:val="center"/>
              <w:rPr>
                <w:rFonts w:hint="eastAsia" w:ascii="宋体" w:hAnsi="宋体" w:eastAsia="宋体" w:cs="宋体"/>
                <w:kern w:val="2"/>
                <w:sz w:val="21"/>
                <w:szCs w:val="21"/>
                <w:shd w:val="clear" w:color="auto" w:fill="FFFFFF"/>
              </w:rPr>
            </w:pPr>
            <w:r>
              <w:rPr>
                <w:rFonts w:hint="eastAsia" w:ascii="宋体" w:hAnsi="宋体" w:eastAsia="宋体" w:cs="宋体"/>
                <w:kern w:val="2"/>
                <w:sz w:val="21"/>
                <w:szCs w:val="21"/>
                <w:shd w:val="clear" w:color="auto" w:fill="FFFFFF"/>
              </w:rPr>
              <w:t>3</w:t>
            </w:r>
          </w:p>
        </w:tc>
        <w:tc>
          <w:tcPr>
            <w:tcW w:w="1827" w:type="dxa"/>
            <w:shd w:val="clear" w:color="auto" w:fill="auto"/>
            <w:vAlign w:val="center"/>
          </w:tcPr>
          <w:p>
            <w:pPr>
              <w:autoSpaceDE/>
              <w:autoSpaceDN/>
              <w:jc w:val="center"/>
              <w:rPr>
                <w:rFonts w:hint="eastAsia" w:ascii="宋体" w:hAnsi="宋体" w:eastAsia="宋体" w:cs="宋体"/>
                <w:kern w:val="2"/>
                <w:sz w:val="21"/>
                <w:szCs w:val="21"/>
                <w:shd w:val="clear" w:color="auto" w:fill="FFFFFF"/>
              </w:rPr>
            </w:pPr>
            <w:r>
              <w:rPr>
                <w:rFonts w:hint="eastAsia" w:ascii="宋体" w:hAnsi="宋体" w:eastAsia="宋体" w:cs="宋体"/>
                <w:kern w:val="2"/>
                <w:sz w:val="21"/>
                <w:szCs w:val="21"/>
                <w:shd w:val="clear" w:color="auto" w:fill="FFFFFF"/>
              </w:rPr>
              <w:t>排水用户溯源排查</w:t>
            </w:r>
          </w:p>
        </w:tc>
        <w:tc>
          <w:tcPr>
            <w:tcW w:w="3823" w:type="dxa"/>
            <w:shd w:val="clear" w:color="auto" w:fill="auto"/>
            <w:vAlign w:val="center"/>
          </w:tcPr>
          <w:p>
            <w:pPr>
              <w:autoSpaceDE/>
              <w:autoSpaceDN/>
              <w:jc w:val="both"/>
              <w:rPr>
                <w:rFonts w:hint="eastAsia" w:ascii="宋体" w:hAnsi="宋体" w:eastAsia="宋体" w:cs="宋体"/>
                <w:kern w:val="2"/>
                <w:sz w:val="21"/>
                <w:szCs w:val="21"/>
                <w:shd w:val="clear" w:color="auto" w:fill="FFFFFF"/>
              </w:rPr>
            </w:pPr>
            <w:r>
              <w:rPr>
                <w:rFonts w:hint="eastAsia" w:ascii="宋体" w:hAnsi="宋体" w:eastAsia="宋体" w:cs="宋体"/>
                <w:kern w:val="2"/>
                <w:sz w:val="21"/>
                <w:szCs w:val="21"/>
                <w:shd w:val="clear" w:color="auto" w:fill="FFFFFF"/>
              </w:rPr>
              <w:t>62个住宅小区涉及1552378平方米的内部排查</w:t>
            </w:r>
          </w:p>
        </w:tc>
        <w:tc>
          <w:tcPr>
            <w:tcW w:w="2130" w:type="dxa"/>
            <w:shd w:val="clear" w:color="auto" w:fill="auto"/>
            <w:vAlign w:val="center"/>
          </w:tcPr>
          <w:p>
            <w:pPr>
              <w:autoSpaceDE/>
              <w:autoSpaceDN/>
              <w:jc w:val="center"/>
              <w:rPr>
                <w:rFonts w:hint="eastAsia" w:ascii="宋体" w:hAnsi="宋体" w:eastAsia="宋体" w:cs="宋体"/>
                <w:kern w:val="2"/>
                <w:sz w:val="21"/>
                <w:szCs w:val="21"/>
                <w:shd w:val="clear" w:color="auto" w:fill="FFFFFF"/>
              </w:rPr>
            </w:pPr>
            <w:r>
              <w:rPr>
                <w:rFonts w:hint="eastAsia" w:ascii="宋体" w:hAnsi="宋体" w:eastAsia="宋体" w:cs="宋体"/>
                <w:kern w:val="2"/>
                <w:sz w:val="21"/>
                <w:szCs w:val="21"/>
                <w:shd w:val="clear" w:color="auto" w:fill="FFFFFF"/>
              </w:rPr>
              <w:t>第一批截流小区和部分重点区域小区内部排查，其余混接小区纳入后续项目实施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39" w:type="dxa"/>
            <w:shd w:val="clear" w:color="auto" w:fill="auto"/>
            <w:vAlign w:val="center"/>
          </w:tcPr>
          <w:p>
            <w:pPr>
              <w:autoSpaceDE/>
              <w:autoSpaceDN/>
              <w:jc w:val="center"/>
              <w:rPr>
                <w:rFonts w:hint="eastAsia" w:ascii="宋体" w:hAnsi="宋体" w:eastAsia="宋体" w:cs="宋体"/>
                <w:kern w:val="2"/>
                <w:sz w:val="21"/>
                <w:szCs w:val="21"/>
                <w:shd w:val="clear" w:color="auto" w:fill="FFFFFF"/>
              </w:rPr>
            </w:pPr>
            <w:r>
              <w:rPr>
                <w:rFonts w:hint="eastAsia" w:ascii="宋体" w:hAnsi="宋体" w:eastAsia="宋体" w:cs="宋体"/>
                <w:kern w:val="2"/>
                <w:sz w:val="21"/>
                <w:szCs w:val="21"/>
                <w:shd w:val="clear" w:color="auto" w:fill="FFFFFF"/>
              </w:rPr>
              <w:t>4</w:t>
            </w:r>
          </w:p>
        </w:tc>
        <w:tc>
          <w:tcPr>
            <w:tcW w:w="1827" w:type="dxa"/>
            <w:shd w:val="clear" w:color="auto" w:fill="auto"/>
            <w:vAlign w:val="center"/>
          </w:tcPr>
          <w:p>
            <w:pPr>
              <w:autoSpaceDE/>
              <w:autoSpaceDN/>
              <w:jc w:val="center"/>
              <w:rPr>
                <w:rFonts w:hint="eastAsia" w:ascii="宋体" w:hAnsi="宋体" w:eastAsia="宋体" w:cs="宋体"/>
                <w:kern w:val="2"/>
                <w:sz w:val="21"/>
                <w:szCs w:val="21"/>
                <w:shd w:val="clear" w:color="auto" w:fill="FFFFFF"/>
              </w:rPr>
            </w:pPr>
            <w:r>
              <w:rPr>
                <w:rFonts w:hint="eastAsia" w:ascii="宋体" w:hAnsi="宋体" w:eastAsia="宋体" w:cs="宋体"/>
                <w:kern w:val="2"/>
                <w:sz w:val="21"/>
                <w:szCs w:val="21"/>
                <w:shd w:val="clear" w:color="auto" w:fill="FFFFFF"/>
              </w:rPr>
              <w:t>城镇公共排水管道混接普查中已有管道检测资料核查及入库</w:t>
            </w:r>
          </w:p>
        </w:tc>
        <w:tc>
          <w:tcPr>
            <w:tcW w:w="3823" w:type="dxa"/>
            <w:shd w:val="clear" w:color="auto" w:fill="auto"/>
            <w:vAlign w:val="center"/>
          </w:tcPr>
          <w:p>
            <w:pPr>
              <w:autoSpaceDE/>
              <w:autoSpaceDN/>
              <w:jc w:val="both"/>
              <w:rPr>
                <w:rFonts w:hint="eastAsia" w:ascii="宋体" w:hAnsi="宋体" w:eastAsia="宋体" w:cs="宋体"/>
                <w:kern w:val="2"/>
                <w:sz w:val="21"/>
                <w:szCs w:val="21"/>
                <w:shd w:val="clear" w:color="auto" w:fill="FFFFFF"/>
              </w:rPr>
            </w:pPr>
            <w:r>
              <w:rPr>
                <w:rFonts w:hint="eastAsia" w:ascii="宋体" w:hAnsi="宋体" w:eastAsia="宋体" w:cs="宋体"/>
                <w:kern w:val="2"/>
                <w:sz w:val="21"/>
                <w:szCs w:val="21"/>
                <w:shd w:val="clear" w:color="auto" w:fill="FFFFFF"/>
              </w:rPr>
              <w:t>约597.43千米管道检测数据核查及入库工作</w:t>
            </w:r>
          </w:p>
        </w:tc>
        <w:tc>
          <w:tcPr>
            <w:tcW w:w="2130" w:type="dxa"/>
            <w:shd w:val="clear" w:color="auto" w:fill="auto"/>
            <w:vAlign w:val="center"/>
          </w:tcPr>
          <w:p>
            <w:pPr>
              <w:autoSpaceDE/>
              <w:autoSpaceDN/>
              <w:jc w:val="center"/>
              <w:rPr>
                <w:rFonts w:hint="eastAsia" w:ascii="宋体" w:hAnsi="宋体" w:eastAsia="宋体" w:cs="宋体"/>
                <w:kern w:val="2"/>
                <w:sz w:val="21"/>
                <w:szCs w:val="21"/>
                <w:shd w:val="clear" w:color="auto" w:fill="FFFFFF"/>
              </w:rPr>
            </w:pPr>
          </w:p>
        </w:tc>
      </w:tr>
    </w:tbl>
    <w:p>
      <w:pPr>
        <w:spacing w:line="440" w:lineRule="exact"/>
        <w:ind w:firstLine="420" w:firstLineChars="200"/>
        <w:rPr>
          <w:rFonts w:hint="default" w:ascii="宋体" w:hAnsi="宋体" w:cs="宋体"/>
          <w:sz w:val="21"/>
          <w:szCs w:val="21"/>
          <w:lang w:val="en-US" w:eastAsia="zh-CN"/>
        </w:rPr>
      </w:pPr>
    </w:p>
    <w:p>
      <w:pPr>
        <w:spacing w:line="360" w:lineRule="auto"/>
        <w:rPr>
          <w:rFonts w:hint="default" w:ascii="宋体" w:hAnsi="宋体" w:eastAsia="宋体" w:cs="宋体"/>
          <w:b/>
          <w:bCs/>
          <w:sz w:val="21"/>
          <w:szCs w:val="21"/>
          <w:highlight w:val="none"/>
          <w:lang w:val="en-US" w:eastAsia="zh-CN"/>
        </w:rPr>
      </w:pPr>
      <w:r>
        <w:rPr>
          <w:rFonts w:hint="eastAsia" w:ascii="宋体" w:hAnsi="宋体" w:cs="宋体"/>
          <w:b/>
          <w:bCs/>
          <w:sz w:val="21"/>
          <w:szCs w:val="21"/>
          <w:highlight w:val="none"/>
        </w:rPr>
        <w:t>四、</w:t>
      </w:r>
      <w:r>
        <w:rPr>
          <w:rFonts w:hint="eastAsia" w:ascii="宋体" w:hAnsi="宋体" w:cs="宋体"/>
          <w:b/>
          <w:bCs/>
          <w:sz w:val="21"/>
          <w:szCs w:val="21"/>
          <w:highlight w:val="none"/>
          <w:lang w:val="en-US" w:eastAsia="zh-CN"/>
        </w:rPr>
        <w:t>人员要求</w:t>
      </w:r>
    </w:p>
    <w:p>
      <w:pPr>
        <w:bidi w:val="0"/>
        <w:spacing w:line="360" w:lineRule="auto"/>
        <w:ind w:firstLine="420" w:firstLineChars="200"/>
        <w:jc w:val="left"/>
        <w:rPr>
          <w:rFonts w:hint="eastAsia" w:ascii="宋体" w:hAnsi="宋体" w:cs="宋体"/>
          <w:sz w:val="21"/>
          <w:szCs w:val="21"/>
          <w:lang w:val="en-US" w:eastAsia="zh-CN"/>
        </w:rPr>
      </w:pPr>
      <w:r>
        <w:rPr>
          <w:rFonts w:hint="eastAsia" w:ascii="宋体" w:hAnsi="宋体" w:cs="宋体"/>
          <w:sz w:val="21"/>
          <w:szCs w:val="21"/>
          <w:lang w:val="en-US" w:eastAsia="zh-CN"/>
        </w:rPr>
        <w:t>投标人应根据《上海市雨污混接普查和整治工作方案》、《长宁区雨污混接普查和整治工作方案》和《上海市雨污混接普查和整治技术导引》，以及本采购需求，明确自身服务定位，合理分析、识别本项目重点、难点，针对项目重点、难点提出解决措施和合理化建议。分析项目重点、难点应全面、详细，解决措施应具有针对性、可行性、操作性，合理化建议应符合本项目实际。</w:t>
      </w:r>
    </w:p>
    <w:p>
      <w:pPr>
        <w:bidi w:val="0"/>
        <w:spacing w:line="360" w:lineRule="auto"/>
        <w:ind w:firstLine="420" w:firstLineChars="200"/>
        <w:jc w:val="left"/>
        <w:rPr>
          <w:rFonts w:hint="eastAsia" w:ascii="宋体" w:hAnsi="宋体" w:cs="宋体"/>
          <w:color w:val="auto"/>
          <w:sz w:val="21"/>
          <w:szCs w:val="21"/>
          <w:lang w:val="en-US" w:eastAsia="zh-CN"/>
        </w:rPr>
      </w:pPr>
      <w:r>
        <w:rPr>
          <w:rFonts w:hint="eastAsia" w:ascii="宋体" w:hAnsi="宋体" w:cs="宋体"/>
          <w:sz w:val="21"/>
          <w:szCs w:val="21"/>
          <w:lang w:val="en-US" w:eastAsia="zh-CN"/>
        </w:rPr>
        <w:t>为保证服务质量和现场工作及时响应，应成立专门的服务团队开展本次服务项目，除设置1 名经验丰富的给排水或相近专业的高级工程师为本项目总负责人外，要求至少有同时开展3个及以上排水分区现场工作的能力。排水分区的现场工作需设置专门的服务团队，每个团队需设置一名具有给排水或相近专业的工程师为项目经理，另设专业对口</w:t>
      </w:r>
      <w:r>
        <w:rPr>
          <w:rFonts w:hint="eastAsia" w:ascii="宋体" w:hAnsi="宋体" w:cs="宋体"/>
          <w:color w:val="auto"/>
          <w:sz w:val="21"/>
          <w:szCs w:val="21"/>
          <w:lang w:val="en-US" w:eastAsia="zh-CN"/>
        </w:rPr>
        <w:t>的项目组成员若干，每团队项目组成员不少于4人，项目组总成员不少于13人。</w:t>
      </w:r>
    </w:p>
    <w:p>
      <w:pPr>
        <w:bidi w:val="0"/>
        <w:spacing w:line="360" w:lineRule="auto"/>
        <w:ind w:firstLine="420" w:firstLineChars="200"/>
        <w:jc w:val="left"/>
        <w:rPr>
          <w:rFonts w:hint="eastAsia" w:ascii="宋体" w:hAnsi="宋体" w:cs="宋体"/>
          <w:color w:val="auto"/>
          <w:sz w:val="21"/>
          <w:szCs w:val="21"/>
          <w:lang w:val="en-US" w:eastAsia="zh-CN"/>
        </w:rPr>
      </w:pPr>
      <w:r>
        <w:rPr>
          <w:rFonts w:hint="eastAsia" w:ascii="宋体" w:hAnsi="宋体" w:cs="宋体"/>
          <w:color w:val="auto"/>
          <w:sz w:val="21"/>
          <w:szCs w:val="21"/>
          <w:lang w:val="en-US" w:eastAsia="zh-CN"/>
        </w:rPr>
        <w:t>配置人员专业和能力，需与本项目中任职和项目需求匹配。投标人需承诺一旦中标，将在中标后 1 周内配置到位，严格按照招标文件的规定投入相应人力。若投标文件中涉及招标文件中要求的项目负责人、主要技术人员（骨干）配置表所列人员重复配置的情形，中标后需更换，请投标人在投标文件中出具人员配置承诺书（具体格式自拟）。</w:t>
      </w:r>
    </w:p>
    <w:p>
      <w:pPr>
        <w:bidi w:val="0"/>
        <w:spacing w:line="360" w:lineRule="auto"/>
        <w:ind w:firstLine="420" w:firstLineChars="200"/>
        <w:jc w:val="left"/>
        <w:rPr>
          <w:rFonts w:hint="eastAsia" w:ascii="宋体" w:hAnsi="宋体" w:cs="宋体"/>
          <w:color w:val="auto"/>
          <w:sz w:val="21"/>
          <w:szCs w:val="21"/>
          <w:lang w:val="en-US" w:eastAsia="zh-CN"/>
        </w:rPr>
      </w:pPr>
      <w:r>
        <w:rPr>
          <w:rFonts w:hint="eastAsia" w:ascii="宋体" w:hAnsi="宋体" w:cs="宋体"/>
          <w:color w:val="auto"/>
          <w:sz w:val="21"/>
          <w:szCs w:val="21"/>
          <w:lang w:val="en-US" w:eastAsia="zh-CN"/>
        </w:rPr>
        <w:t>项目总负责人：为提升本次采购服务质量，项目总负责人应具备给排水或相近专业的高级及以上职称证书，且有类似项目经验。项目总负责人须为投标单位当前在职在岗人员，且不得与项目组成员为同一人。须提供人员的投标截止时间前六个月（不含投标截止时间的当月）中任一月份的响应单位为其缴纳的社会保障资金缴纳凭据复印件。</w:t>
      </w:r>
    </w:p>
    <w:p>
      <w:pPr>
        <w:bidi w:val="0"/>
        <w:spacing w:line="360" w:lineRule="auto"/>
        <w:ind w:firstLine="420" w:firstLineChars="200"/>
        <w:jc w:val="left"/>
        <w:rPr>
          <w:rFonts w:hint="eastAsia" w:ascii="宋体" w:hAnsi="宋体" w:cs="宋体"/>
          <w:color w:val="auto"/>
          <w:sz w:val="21"/>
          <w:szCs w:val="21"/>
          <w:lang w:val="en-US" w:eastAsia="zh-CN"/>
        </w:rPr>
      </w:pPr>
      <w:r>
        <w:rPr>
          <w:rFonts w:hint="eastAsia" w:ascii="宋体" w:hAnsi="宋体" w:cs="宋体"/>
          <w:color w:val="auto"/>
          <w:sz w:val="21"/>
          <w:szCs w:val="21"/>
          <w:lang w:val="en-US" w:eastAsia="zh-CN"/>
        </w:rPr>
        <w:t xml:space="preserve">项目经理：应具备给排水专业中级及以上职称证书，且有类似项目经验。项目经理须为投标单位当前在职在岗人员。须提供人员的投标截止时间前六个月（不含投标截止时间的当月）中任一月份的响应单位为其缴纳的社会保障资金缴纳凭据复印件。 </w:t>
      </w:r>
    </w:p>
    <w:p>
      <w:pPr>
        <w:bidi w:val="0"/>
        <w:spacing w:line="360" w:lineRule="auto"/>
        <w:ind w:firstLine="420" w:firstLineChars="200"/>
        <w:jc w:val="left"/>
        <w:rPr>
          <w:rFonts w:hint="eastAsia" w:ascii="宋体" w:hAnsi="宋体" w:cs="宋体"/>
          <w:color w:val="auto"/>
          <w:sz w:val="21"/>
          <w:szCs w:val="21"/>
          <w:lang w:val="en-US" w:eastAsia="zh-CN"/>
        </w:rPr>
      </w:pPr>
      <w:r>
        <w:rPr>
          <w:rFonts w:hint="eastAsia" w:ascii="宋体" w:hAnsi="宋体" w:cs="宋体"/>
          <w:color w:val="auto"/>
          <w:sz w:val="21"/>
          <w:szCs w:val="21"/>
          <w:lang w:val="en-US" w:eastAsia="zh-CN"/>
        </w:rPr>
        <w:t xml:space="preserve">项目组成员：专业技术人员等人员数量应能满足本项目工作需要，且有类似项目经验。项目组成员应配备相关专业技术人员，并取得相关职称证书。 </w:t>
      </w:r>
    </w:p>
    <w:p>
      <w:pPr>
        <w:bidi w:val="0"/>
        <w:spacing w:line="360" w:lineRule="auto"/>
        <w:ind w:firstLine="420" w:firstLineChars="200"/>
        <w:jc w:val="left"/>
        <w:rPr>
          <w:rFonts w:hint="eastAsia" w:ascii="宋体" w:hAnsi="宋体" w:cs="宋体"/>
          <w:color w:val="auto"/>
          <w:sz w:val="21"/>
          <w:szCs w:val="21"/>
          <w:lang w:val="en-US" w:eastAsia="zh-CN"/>
        </w:rPr>
      </w:pPr>
      <w:r>
        <w:rPr>
          <w:rFonts w:hint="eastAsia" w:ascii="宋体" w:hAnsi="宋体" w:cs="宋体"/>
          <w:color w:val="auto"/>
          <w:sz w:val="21"/>
          <w:szCs w:val="21"/>
          <w:lang w:val="en-US" w:eastAsia="zh-CN"/>
        </w:rPr>
        <w:t>如有下井作业，服务人员需要持有限空间作业证并做好充分通风和安全保障措施。</w:t>
      </w:r>
    </w:p>
    <w:p>
      <w:pPr>
        <w:bidi w:val="0"/>
        <w:spacing w:line="360" w:lineRule="auto"/>
        <w:ind w:firstLine="420" w:firstLineChars="200"/>
        <w:jc w:val="left"/>
        <w:rPr>
          <w:rFonts w:hint="eastAsia" w:ascii="宋体" w:hAnsi="宋体" w:cs="宋体"/>
          <w:color w:val="auto"/>
          <w:sz w:val="21"/>
          <w:szCs w:val="21"/>
          <w:lang w:val="en-US" w:eastAsia="zh-CN"/>
        </w:rPr>
      </w:pPr>
    </w:p>
    <w:p>
      <w:pPr>
        <w:spacing w:line="360" w:lineRule="auto"/>
        <w:rPr>
          <w:rFonts w:hint="eastAsia" w:ascii="宋体" w:hAnsi="宋体" w:cs="宋体"/>
          <w:b/>
          <w:bCs/>
          <w:color w:val="auto"/>
          <w:sz w:val="21"/>
          <w:szCs w:val="21"/>
          <w:highlight w:val="none"/>
        </w:rPr>
      </w:pPr>
      <w:r>
        <w:rPr>
          <w:rFonts w:hint="eastAsia" w:ascii="宋体" w:hAnsi="宋体" w:cs="宋体"/>
          <w:b/>
          <w:bCs/>
          <w:color w:val="auto"/>
          <w:sz w:val="21"/>
          <w:szCs w:val="21"/>
          <w:highlight w:val="none"/>
          <w:lang w:val="en-US" w:eastAsia="zh-CN"/>
        </w:rPr>
        <w:t>五</w:t>
      </w:r>
      <w:r>
        <w:rPr>
          <w:rFonts w:hint="eastAsia" w:ascii="宋体" w:hAnsi="宋体" w:cs="宋体"/>
          <w:b/>
          <w:bCs/>
          <w:color w:val="auto"/>
          <w:sz w:val="21"/>
          <w:szCs w:val="21"/>
          <w:highlight w:val="none"/>
        </w:rPr>
        <w:t>、安全文明作业及应急处置要求</w:t>
      </w:r>
    </w:p>
    <w:p>
      <w:pPr>
        <w:bidi w:val="0"/>
        <w:spacing w:line="360" w:lineRule="auto"/>
        <w:ind w:firstLine="422" w:firstLineChars="200"/>
        <w:jc w:val="left"/>
        <w:rPr>
          <w:rFonts w:hint="eastAsia" w:ascii="宋体" w:hAnsi="宋体" w:cs="宋体"/>
          <w:b/>
          <w:bCs/>
          <w:color w:val="auto"/>
          <w:sz w:val="21"/>
          <w:szCs w:val="21"/>
          <w:lang w:val="en-US" w:eastAsia="zh-CN"/>
        </w:rPr>
      </w:pPr>
      <w:r>
        <w:rPr>
          <w:rFonts w:hint="eastAsia" w:ascii="宋体" w:hAnsi="宋体" w:cs="宋体"/>
          <w:b/>
          <w:bCs/>
          <w:color w:val="auto"/>
          <w:sz w:val="21"/>
          <w:szCs w:val="21"/>
          <w:lang w:val="en-US" w:eastAsia="zh-CN"/>
        </w:rPr>
        <w:t xml:space="preserve">1、安全保证措施与要求 </w:t>
      </w:r>
    </w:p>
    <w:p>
      <w:pPr>
        <w:spacing w:line="360" w:lineRule="auto"/>
        <w:ind w:firstLine="420" w:firstLineChars="200"/>
        <w:rPr>
          <w:rFonts w:ascii="Times New Roman" w:hAnsi="Times New Roman" w:cs="Times New Roman"/>
          <w:color w:val="auto"/>
          <w:sz w:val="21"/>
        </w:rPr>
      </w:pPr>
      <w:r>
        <w:rPr>
          <w:rFonts w:ascii="Times New Roman" w:hAnsi="Times New Roman" w:cs="Times New Roman"/>
          <w:color w:val="auto"/>
          <w:sz w:val="21"/>
        </w:rPr>
        <w:t>结合本项目的</w:t>
      </w:r>
      <w:r>
        <w:rPr>
          <w:rFonts w:ascii="Times New Roman" w:hAnsi="Times New Roman" w:cs="Times New Roman"/>
          <w:color w:val="auto"/>
          <w:spacing w:val="-10"/>
          <w:sz w:val="21"/>
        </w:rPr>
        <w:t>特点</w:t>
      </w:r>
      <w:r>
        <w:rPr>
          <w:rFonts w:ascii="Times New Roman" w:hAnsi="Times New Roman" w:cs="Times New Roman"/>
          <w:color w:val="auto"/>
          <w:sz w:val="21"/>
        </w:rPr>
        <w:t xml:space="preserve">和采购有关要求制定相应的安全保证措施。  </w:t>
      </w:r>
    </w:p>
    <w:p>
      <w:pPr>
        <w:spacing w:line="360" w:lineRule="auto"/>
        <w:ind w:firstLine="400" w:firstLineChars="200"/>
        <w:rPr>
          <w:rFonts w:ascii="Times New Roman" w:hAnsi="Times New Roman" w:cs="Times New Roman"/>
          <w:color w:val="auto"/>
          <w:sz w:val="21"/>
        </w:rPr>
      </w:pPr>
      <w:r>
        <w:rPr>
          <w:rFonts w:hint="eastAsia" w:cs="Times New Roman"/>
          <w:color w:val="auto"/>
          <w:lang w:val="en-US" w:eastAsia="zh-CN"/>
        </w:rPr>
        <w:t>投标单位</w:t>
      </w:r>
      <w:r>
        <w:rPr>
          <w:rFonts w:ascii="Times New Roman" w:hAnsi="Times New Roman" w:cs="Times New Roman"/>
          <w:color w:val="auto"/>
          <w:spacing w:val="-3"/>
          <w:sz w:val="21"/>
        </w:rPr>
        <w:t>应具备进行相关服务所需的资质（包括国家和本市各类专业工种持证上岗要求）、资格和一切手续</w:t>
      </w:r>
      <w:r>
        <w:rPr>
          <w:rFonts w:ascii="Times New Roman" w:hAnsi="Times New Roman" w:cs="Times New Roman"/>
          <w:color w:val="auto"/>
          <w:sz w:val="21"/>
        </w:rPr>
        <w:t>（</w:t>
      </w:r>
      <w:r>
        <w:rPr>
          <w:rFonts w:ascii="Times New Roman" w:hAnsi="Times New Roman" w:cs="Times New Roman"/>
          <w:color w:val="auto"/>
          <w:spacing w:val="-2"/>
          <w:sz w:val="21"/>
        </w:rPr>
        <w:t>如有</w:t>
      </w:r>
      <w:r>
        <w:rPr>
          <w:rFonts w:ascii="Times New Roman" w:hAnsi="Times New Roman" w:cs="Times New Roman"/>
          <w:color w:val="auto"/>
          <w:sz w:val="21"/>
        </w:rPr>
        <w:t>）</w:t>
      </w:r>
      <w:r>
        <w:rPr>
          <w:rFonts w:ascii="Times New Roman" w:hAnsi="Times New Roman" w:cs="Times New Roman"/>
          <w:color w:val="auto"/>
          <w:spacing w:val="-3"/>
          <w:sz w:val="21"/>
        </w:rPr>
        <w:t xml:space="preserve">。 </w:t>
      </w:r>
      <w:r>
        <w:rPr>
          <w:rFonts w:ascii="Times New Roman" w:hAnsi="Times New Roman" w:cs="Times New Roman"/>
          <w:color w:val="auto"/>
          <w:sz w:val="21"/>
        </w:rPr>
        <w:t xml:space="preserve"> </w:t>
      </w:r>
    </w:p>
    <w:p>
      <w:pPr>
        <w:spacing w:line="360" w:lineRule="auto"/>
        <w:ind w:firstLine="408" w:firstLineChars="200"/>
        <w:rPr>
          <w:rFonts w:ascii="Times New Roman" w:hAnsi="Times New Roman" w:cs="Times New Roman"/>
          <w:color w:val="auto"/>
          <w:spacing w:val="-10"/>
          <w:sz w:val="21"/>
        </w:rPr>
      </w:pPr>
      <w:r>
        <w:rPr>
          <w:rFonts w:ascii="Times New Roman" w:hAnsi="Times New Roman" w:cs="Times New Roman"/>
          <w:color w:val="auto"/>
          <w:spacing w:val="-3"/>
          <w:sz w:val="21"/>
        </w:rPr>
        <w:t xml:space="preserve">在提供服务期间为确保服务区域及周围环境的整洁和不影响其他活动正常进行， </w:t>
      </w:r>
      <w:r>
        <w:rPr>
          <w:rFonts w:ascii="Times New Roman" w:hAnsi="Times New Roman" w:cs="Times New Roman"/>
          <w:color w:val="auto"/>
          <w:spacing w:val="-7"/>
          <w:sz w:val="21"/>
        </w:rPr>
        <w:t>供应商应严格执行国家与上海市有关安全文明施工管理的法律、法规和政策，积极主动加强</w:t>
      </w:r>
      <w:r>
        <w:rPr>
          <w:rFonts w:ascii="Times New Roman" w:hAnsi="Times New Roman" w:cs="Times New Roman"/>
          <w:color w:val="auto"/>
          <w:spacing w:val="-5"/>
          <w:sz w:val="21"/>
        </w:rPr>
        <w:t>和落实安全文明施工及环境</w:t>
      </w:r>
      <w:r>
        <w:rPr>
          <w:rFonts w:ascii="Times New Roman" w:hAnsi="Times New Roman" w:cs="Times New Roman"/>
          <w:color w:val="auto"/>
          <w:spacing w:val="-10"/>
          <w:sz w:val="21"/>
        </w:rPr>
        <w:t>保护等有关管理工作。</w:t>
      </w:r>
    </w:p>
    <w:p>
      <w:pPr>
        <w:spacing w:line="360" w:lineRule="auto"/>
        <w:ind w:firstLine="380" w:firstLineChars="200"/>
        <w:rPr>
          <w:rFonts w:ascii="Times New Roman" w:hAnsi="Times New Roman" w:cs="Times New Roman"/>
          <w:color w:val="auto"/>
          <w:sz w:val="21"/>
        </w:rPr>
      </w:pPr>
      <w:r>
        <w:rPr>
          <w:rFonts w:ascii="Times New Roman" w:hAnsi="Times New Roman" w:cs="Times New Roman"/>
          <w:color w:val="auto"/>
          <w:spacing w:val="-10"/>
          <w:sz w:val="21"/>
        </w:rPr>
        <w:t>在项目</w:t>
      </w:r>
      <w:r>
        <w:rPr>
          <w:rFonts w:ascii="Times New Roman" w:hAnsi="Times New Roman" w:cs="Times New Roman"/>
          <w:color w:val="auto"/>
          <w:spacing w:val="-3"/>
          <w:sz w:val="21"/>
        </w:rPr>
        <w:t>实施期间，须遵守国家与上海市各项有关安全作业规章、规范与制度，建立动用明火申请批准制度，安全用电等制度，杜绝各类事故的发生。</w:t>
      </w:r>
    </w:p>
    <w:p>
      <w:pPr>
        <w:spacing w:line="360" w:lineRule="auto"/>
        <w:ind w:firstLine="408" w:firstLineChars="200"/>
        <w:rPr>
          <w:rFonts w:ascii="Times New Roman" w:hAnsi="Times New Roman" w:cs="Times New Roman"/>
          <w:sz w:val="21"/>
        </w:rPr>
      </w:pPr>
      <w:r>
        <w:rPr>
          <w:rFonts w:ascii="Times New Roman" w:hAnsi="Times New Roman" w:cs="Times New Roman"/>
          <w:spacing w:val="-3"/>
          <w:sz w:val="21"/>
        </w:rPr>
        <w:t>建立健全安全生产工作责任体系和组织管理网络，建立安全生产监管制度，配备专职安全监管人员，对施工作业安全进行现场监督。</w:t>
      </w:r>
    </w:p>
    <w:p>
      <w:pPr>
        <w:bidi w:val="0"/>
        <w:spacing w:line="360" w:lineRule="auto"/>
        <w:ind w:firstLine="422" w:firstLineChars="200"/>
        <w:jc w:val="left"/>
        <w:rPr>
          <w:rFonts w:hint="eastAsia" w:ascii="宋体" w:hAnsi="宋体" w:cs="宋体"/>
          <w:b/>
          <w:bCs/>
          <w:sz w:val="21"/>
          <w:szCs w:val="21"/>
          <w:lang w:val="en-US" w:eastAsia="zh-CN"/>
        </w:rPr>
      </w:pPr>
      <w:r>
        <w:rPr>
          <w:rFonts w:hint="eastAsia" w:ascii="宋体" w:hAnsi="宋体" w:cs="宋体"/>
          <w:b/>
          <w:bCs/>
          <w:sz w:val="21"/>
          <w:szCs w:val="21"/>
          <w:lang w:val="en-US" w:eastAsia="zh-CN"/>
        </w:rPr>
        <w:t>2、应急处置预案与要求</w:t>
      </w:r>
    </w:p>
    <w:p>
      <w:pPr>
        <w:spacing w:line="360" w:lineRule="auto"/>
        <w:ind w:firstLine="408" w:firstLineChars="200"/>
        <w:rPr>
          <w:rFonts w:ascii="Times New Roman" w:hAnsi="Times New Roman" w:cs="Times New Roman"/>
          <w:sz w:val="21"/>
        </w:rPr>
      </w:pPr>
      <w:r>
        <w:rPr>
          <w:rFonts w:ascii="Times New Roman" w:hAnsi="Times New Roman" w:cs="Times New Roman"/>
          <w:spacing w:val="-3"/>
          <w:sz w:val="21"/>
        </w:rPr>
        <w:t>建立突发</w:t>
      </w:r>
      <w:r>
        <w:rPr>
          <w:rFonts w:ascii="Times New Roman" w:hAnsi="Times New Roman" w:cs="Times New Roman"/>
          <w:spacing w:val="-10"/>
          <w:sz w:val="21"/>
        </w:rPr>
        <w:t>事件</w:t>
      </w:r>
      <w:r>
        <w:rPr>
          <w:rFonts w:ascii="Times New Roman" w:hAnsi="Times New Roman" w:cs="Times New Roman"/>
          <w:spacing w:val="-3"/>
          <w:sz w:val="21"/>
        </w:rPr>
        <w:t>应急处置预案。</w:t>
      </w:r>
    </w:p>
    <w:p>
      <w:pPr>
        <w:spacing w:line="360" w:lineRule="auto"/>
        <w:ind w:firstLine="408" w:firstLineChars="200"/>
        <w:rPr>
          <w:rFonts w:ascii="Times New Roman" w:hAnsi="Times New Roman" w:cs="Times New Roman"/>
          <w:sz w:val="21"/>
        </w:rPr>
      </w:pPr>
      <w:r>
        <w:rPr>
          <w:rFonts w:ascii="Times New Roman" w:hAnsi="Times New Roman" w:cs="Times New Roman"/>
          <w:spacing w:val="-3"/>
          <w:sz w:val="21"/>
        </w:rPr>
        <w:t>应急处置预案应包括组织领导体系、预警和预防机制、应急响应工程措施、临时交通组织方案、保障措施</w:t>
      </w:r>
      <w:r>
        <w:rPr>
          <w:rFonts w:ascii="Times New Roman" w:hAnsi="Times New Roman" w:cs="Times New Roman"/>
          <w:sz w:val="21"/>
        </w:rPr>
        <w:t>（</w:t>
      </w:r>
      <w:r>
        <w:rPr>
          <w:rFonts w:ascii="Times New Roman" w:hAnsi="Times New Roman" w:cs="Times New Roman"/>
          <w:spacing w:val="-3"/>
          <w:sz w:val="21"/>
        </w:rPr>
        <w:t>包括应急人员、物资、机械设备、资金等）</w:t>
      </w:r>
      <w:r>
        <w:rPr>
          <w:rFonts w:ascii="Times New Roman" w:hAnsi="Times New Roman" w:cs="Times New Roman"/>
          <w:spacing w:val="-2"/>
          <w:sz w:val="21"/>
        </w:rPr>
        <w:t>等内容。</w:t>
      </w:r>
    </w:p>
    <w:p>
      <w:pPr>
        <w:spacing w:line="360" w:lineRule="auto"/>
        <w:rPr>
          <w:rFonts w:hint="eastAsia" w:ascii="宋体" w:hAnsi="宋体" w:cs="宋体"/>
          <w:b/>
          <w:bCs/>
          <w:sz w:val="21"/>
          <w:szCs w:val="21"/>
          <w:highlight w:val="none"/>
          <w:lang w:val="en-US" w:eastAsia="zh-CN"/>
        </w:rPr>
      </w:pPr>
    </w:p>
    <w:p>
      <w:pPr>
        <w:bidi w:val="0"/>
        <w:spacing w:line="360" w:lineRule="auto"/>
        <w:ind w:firstLine="422" w:firstLineChars="200"/>
        <w:jc w:val="left"/>
        <w:rPr>
          <w:rFonts w:hint="eastAsia" w:ascii="宋体" w:hAnsi="宋体" w:cs="宋体"/>
          <w:b/>
          <w:bCs/>
          <w:sz w:val="21"/>
          <w:szCs w:val="21"/>
          <w:lang w:val="en-US" w:eastAsia="zh-CN"/>
        </w:rPr>
      </w:pPr>
      <w:r>
        <w:rPr>
          <w:rFonts w:hint="eastAsia" w:ascii="宋体" w:hAnsi="宋体" w:cs="宋体"/>
          <w:b/>
          <w:bCs/>
          <w:sz w:val="21"/>
          <w:szCs w:val="21"/>
          <w:lang w:val="en-US" w:eastAsia="zh-CN"/>
        </w:rPr>
        <w:t>六、进度、质量保障措施</w:t>
      </w:r>
    </w:p>
    <w:p>
      <w:pPr>
        <w:bidi w:val="0"/>
        <w:spacing w:line="360" w:lineRule="auto"/>
        <w:ind w:firstLine="422" w:firstLineChars="200"/>
        <w:jc w:val="left"/>
        <w:rPr>
          <w:rFonts w:hint="default" w:ascii="宋体" w:hAnsi="宋体" w:cs="宋体"/>
          <w:b/>
          <w:bCs/>
          <w:color w:val="auto"/>
          <w:sz w:val="21"/>
          <w:szCs w:val="21"/>
          <w:lang w:val="en-US" w:eastAsia="zh-CN"/>
        </w:rPr>
      </w:pPr>
      <w:r>
        <w:rPr>
          <w:rFonts w:hint="eastAsia" w:ascii="宋体" w:hAnsi="宋体" w:cs="宋体"/>
          <w:b/>
          <w:bCs/>
          <w:color w:val="auto"/>
          <w:sz w:val="21"/>
          <w:szCs w:val="21"/>
          <w:lang w:val="en-US" w:eastAsia="zh-CN"/>
        </w:rPr>
        <w:t>1、服务期限：</w:t>
      </w:r>
      <w:r>
        <w:rPr>
          <w:rFonts w:hint="eastAsia" w:ascii="宋体" w:hAnsi="宋体" w:cs="宋体"/>
          <w:b w:val="0"/>
          <w:bCs w:val="0"/>
          <w:color w:val="auto"/>
          <w:sz w:val="21"/>
          <w:szCs w:val="21"/>
          <w:lang w:val="en-US" w:eastAsia="zh-CN"/>
        </w:rPr>
        <w:t>合同签订后 6 个月内完成，提交成果资料满足区级验收要求，并配合后续市级验收工作。</w:t>
      </w:r>
    </w:p>
    <w:p>
      <w:pPr>
        <w:bidi w:val="0"/>
        <w:spacing w:line="360" w:lineRule="auto"/>
        <w:ind w:firstLine="422" w:firstLineChars="200"/>
        <w:jc w:val="left"/>
        <w:rPr>
          <w:rFonts w:hint="eastAsia" w:ascii="宋体" w:hAnsi="宋体" w:cs="宋体"/>
          <w:b/>
          <w:bCs/>
          <w:sz w:val="21"/>
          <w:szCs w:val="21"/>
          <w:lang w:val="en-US" w:eastAsia="zh-CN"/>
        </w:rPr>
      </w:pPr>
      <w:r>
        <w:rPr>
          <w:rFonts w:hint="eastAsia" w:ascii="宋体" w:hAnsi="宋体" w:cs="宋体"/>
          <w:b/>
          <w:bCs/>
          <w:sz w:val="21"/>
          <w:szCs w:val="21"/>
          <w:lang w:val="en-US" w:eastAsia="zh-CN"/>
        </w:rPr>
        <w:t xml:space="preserve">2、进度保障措施  </w:t>
      </w:r>
    </w:p>
    <w:p>
      <w:pPr>
        <w:spacing w:line="360" w:lineRule="auto"/>
        <w:ind w:firstLine="408" w:firstLineChars="200"/>
        <w:rPr>
          <w:rFonts w:ascii="Times New Roman" w:hAnsi="Times New Roman" w:cs="Times New Roman"/>
          <w:spacing w:val="-3"/>
          <w:sz w:val="21"/>
        </w:rPr>
      </w:pPr>
      <w:r>
        <w:rPr>
          <w:rFonts w:ascii="Times New Roman" w:hAnsi="Times New Roman" w:cs="Times New Roman"/>
          <w:spacing w:val="-3"/>
          <w:sz w:val="21"/>
        </w:rPr>
        <w:t>分析本次服务中可能制约进度的关键环节。根据本次采购服务时间要求，合理制定工作进度计划。合理配备工作人员和相关工具、设备等，制定相关进度保障措施，确保按期完成服务内容。进度保障措施应科学、合理、操作性强。</w:t>
      </w:r>
    </w:p>
    <w:p>
      <w:pPr>
        <w:bidi w:val="0"/>
        <w:spacing w:line="360" w:lineRule="auto"/>
        <w:ind w:firstLine="422" w:firstLineChars="200"/>
        <w:jc w:val="left"/>
        <w:rPr>
          <w:rFonts w:hint="eastAsia" w:ascii="宋体" w:hAnsi="宋体" w:cs="宋体"/>
          <w:b/>
          <w:bCs/>
          <w:sz w:val="21"/>
          <w:szCs w:val="21"/>
          <w:lang w:val="en-US" w:eastAsia="zh-CN"/>
        </w:rPr>
      </w:pPr>
      <w:r>
        <w:rPr>
          <w:rFonts w:hint="eastAsia" w:ascii="宋体" w:hAnsi="宋体" w:cs="宋体"/>
          <w:b/>
          <w:bCs/>
          <w:sz w:val="21"/>
          <w:szCs w:val="21"/>
          <w:lang w:val="en-US" w:eastAsia="zh-CN"/>
        </w:rPr>
        <w:t xml:space="preserve">3、质量保障措施  </w:t>
      </w:r>
    </w:p>
    <w:p>
      <w:pPr>
        <w:spacing w:line="360" w:lineRule="auto"/>
        <w:ind w:firstLine="408" w:firstLineChars="200"/>
        <w:rPr>
          <w:rFonts w:ascii="Times New Roman" w:hAnsi="Times New Roman" w:cs="Times New Roman"/>
          <w:spacing w:val="-3"/>
          <w:sz w:val="21"/>
        </w:rPr>
      </w:pPr>
      <w:r>
        <w:rPr>
          <w:rFonts w:ascii="Times New Roman" w:hAnsi="Times New Roman" w:cs="Times New Roman"/>
          <w:spacing w:val="-3"/>
          <w:sz w:val="21"/>
        </w:rPr>
        <w:t>为使成果质量应满足《上海市雨污混接普查和整治技术导引》、《上海市住宅小区雨污混接改造技术导则》等相关规范及规范性文件的要求，应明确质量保证目标，建立质量保障体系，制定质量保障措施。包括水质、水量监测采样数据设备的校准和维护、数据审核和处理流程等。</w:t>
      </w:r>
    </w:p>
    <w:p>
      <w:pPr>
        <w:spacing w:line="360" w:lineRule="auto"/>
        <w:rPr>
          <w:rFonts w:hint="eastAsia" w:ascii="宋体" w:hAnsi="宋体" w:cs="宋体"/>
          <w:b/>
          <w:bCs/>
          <w:sz w:val="21"/>
          <w:szCs w:val="21"/>
          <w:highlight w:val="none"/>
        </w:rPr>
      </w:pPr>
    </w:p>
    <w:p>
      <w:pPr>
        <w:bidi w:val="0"/>
        <w:spacing w:line="360" w:lineRule="auto"/>
        <w:ind w:firstLine="422" w:firstLineChars="200"/>
        <w:jc w:val="left"/>
        <w:rPr>
          <w:rFonts w:hint="default" w:ascii="宋体" w:hAnsi="宋体" w:cs="宋体"/>
          <w:b/>
          <w:bCs/>
          <w:sz w:val="21"/>
          <w:szCs w:val="21"/>
          <w:lang w:val="en-US" w:eastAsia="zh-CN"/>
        </w:rPr>
      </w:pPr>
      <w:r>
        <w:rPr>
          <w:rFonts w:hint="eastAsia" w:ascii="宋体" w:hAnsi="宋体" w:cs="宋体"/>
          <w:b/>
          <w:bCs/>
          <w:sz w:val="21"/>
          <w:szCs w:val="21"/>
          <w:lang w:val="en-US" w:eastAsia="zh-CN"/>
        </w:rPr>
        <w:t>七、其他要求</w:t>
      </w:r>
    </w:p>
    <w:p>
      <w:pPr>
        <w:spacing w:line="360" w:lineRule="auto"/>
        <w:ind w:firstLine="420" w:firstLineChars="200"/>
        <w:rPr>
          <w:rFonts w:hint="eastAsia" w:ascii="宋体" w:hAnsi="宋体" w:cs="宋体"/>
          <w:b w:val="0"/>
          <w:bCs w:val="0"/>
          <w:sz w:val="21"/>
          <w:szCs w:val="21"/>
          <w:highlight w:val="none"/>
        </w:rPr>
      </w:pPr>
      <w:r>
        <w:rPr>
          <w:rFonts w:hint="eastAsia" w:ascii="宋体" w:hAnsi="宋体" w:cs="宋体"/>
          <w:b w:val="0"/>
          <w:bCs w:val="0"/>
          <w:sz w:val="21"/>
          <w:szCs w:val="21"/>
          <w:highlight w:val="none"/>
        </w:rPr>
        <w:t>1.</w:t>
      </w:r>
      <w:r>
        <w:rPr>
          <w:rFonts w:hint="eastAsia" w:ascii="宋体" w:hAnsi="宋体" w:cs="宋体"/>
          <w:b w:val="0"/>
          <w:bCs w:val="0"/>
          <w:sz w:val="21"/>
          <w:szCs w:val="21"/>
          <w:highlight w:val="none"/>
          <w:lang w:val="en-US" w:eastAsia="zh-CN"/>
        </w:rPr>
        <w:t>投标单位</w:t>
      </w:r>
      <w:r>
        <w:rPr>
          <w:rFonts w:hint="eastAsia" w:ascii="宋体" w:hAnsi="宋体" w:cs="宋体"/>
          <w:b w:val="0"/>
          <w:bCs w:val="0"/>
          <w:sz w:val="21"/>
          <w:szCs w:val="21"/>
          <w:highlight w:val="none"/>
        </w:rPr>
        <w:t>明确售后服务组织体系。</w:t>
      </w:r>
    </w:p>
    <w:p>
      <w:pPr>
        <w:spacing w:line="360" w:lineRule="auto"/>
        <w:ind w:firstLine="420" w:firstLineChars="200"/>
        <w:rPr>
          <w:rFonts w:hint="eastAsia" w:ascii="宋体" w:hAnsi="宋体" w:cs="宋体"/>
          <w:b w:val="0"/>
          <w:bCs w:val="0"/>
          <w:sz w:val="21"/>
          <w:szCs w:val="21"/>
          <w:highlight w:val="none"/>
        </w:rPr>
      </w:pPr>
      <w:r>
        <w:rPr>
          <w:rFonts w:hint="eastAsia" w:ascii="宋体" w:hAnsi="宋体" w:cs="宋体"/>
          <w:b w:val="0"/>
          <w:bCs w:val="0"/>
          <w:sz w:val="21"/>
          <w:szCs w:val="21"/>
          <w:highlight w:val="none"/>
        </w:rPr>
        <w:t>2.</w:t>
      </w:r>
      <w:r>
        <w:rPr>
          <w:rFonts w:hint="eastAsia" w:ascii="宋体" w:hAnsi="宋体" w:cs="宋体"/>
          <w:b w:val="0"/>
          <w:bCs w:val="0"/>
          <w:sz w:val="21"/>
          <w:szCs w:val="21"/>
          <w:highlight w:val="none"/>
          <w:lang w:val="en-US" w:eastAsia="zh-CN"/>
        </w:rPr>
        <w:t>投标单位</w:t>
      </w:r>
      <w:r>
        <w:rPr>
          <w:rFonts w:hint="eastAsia" w:ascii="宋体" w:hAnsi="宋体" w:cs="宋体"/>
          <w:b w:val="0"/>
          <w:bCs w:val="0"/>
          <w:sz w:val="21"/>
          <w:szCs w:val="21"/>
          <w:highlight w:val="none"/>
        </w:rPr>
        <w:t>配合采购人后期达标验收的措施为配合采购人后续达标验收工作，需配合采购人通过电话、邮件、必要时到达现场等方式提供技术支持。</w:t>
      </w:r>
    </w:p>
    <w:p>
      <w:pPr>
        <w:spacing w:line="360" w:lineRule="auto"/>
        <w:ind w:firstLine="420" w:firstLineChars="200"/>
        <w:rPr>
          <w:rFonts w:hint="eastAsia" w:ascii="宋体" w:hAnsi="宋体" w:cs="宋体"/>
          <w:b w:val="0"/>
          <w:bCs w:val="0"/>
          <w:sz w:val="21"/>
          <w:szCs w:val="21"/>
          <w:highlight w:val="none"/>
        </w:rPr>
      </w:pPr>
      <w:r>
        <w:rPr>
          <w:rFonts w:hint="eastAsia" w:ascii="宋体" w:hAnsi="宋体" w:cs="宋体"/>
          <w:b w:val="0"/>
          <w:bCs w:val="0"/>
          <w:sz w:val="21"/>
          <w:szCs w:val="21"/>
          <w:highlight w:val="none"/>
        </w:rPr>
        <w:t>3.</w:t>
      </w:r>
      <w:r>
        <w:rPr>
          <w:rFonts w:hint="eastAsia" w:ascii="宋体" w:hAnsi="宋体" w:cs="宋体"/>
          <w:b w:val="0"/>
          <w:bCs w:val="0"/>
          <w:sz w:val="21"/>
          <w:szCs w:val="21"/>
          <w:highlight w:val="none"/>
          <w:lang w:val="en-US" w:eastAsia="zh-CN"/>
        </w:rPr>
        <w:t>投标单位提供</w:t>
      </w:r>
      <w:r>
        <w:rPr>
          <w:rFonts w:hint="eastAsia" w:ascii="宋体" w:hAnsi="宋体" w:cs="宋体"/>
          <w:b w:val="0"/>
          <w:bCs w:val="0"/>
          <w:sz w:val="21"/>
          <w:szCs w:val="21"/>
          <w:highlight w:val="none"/>
        </w:rPr>
        <w:t>培训计划。</w:t>
      </w:r>
    </w:p>
    <w:p>
      <w:pPr>
        <w:spacing w:line="360" w:lineRule="auto"/>
        <w:ind w:firstLine="420" w:firstLineChars="200"/>
        <w:rPr>
          <w:rFonts w:hint="eastAsia" w:ascii="宋体" w:hAnsi="宋体" w:cs="宋体"/>
          <w:b w:val="0"/>
          <w:bCs w:val="0"/>
          <w:sz w:val="21"/>
          <w:szCs w:val="21"/>
          <w:highlight w:val="none"/>
        </w:rPr>
      </w:pPr>
      <w:r>
        <w:rPr>
          <w:rFonts w:hint="eastAsia" w:ascii="宋体" w:hAnsi="宋体" w:cs="宋体"/>
          <w:b w:val="0"/>
          <w:bCs w:val="0"/>
          <w:sz w:val="21"/>
          <w:szCs w:val="21"/>
          <w:highlight w:val="none"/>
        </w:rPr>
        <w:t>4.中标方应负责对采购人指定人员进行业务培训，提供不少于 2 次的培训。对于提供的所有培训，中标方必须保证师资力量。</w:t>
      </w:r>
    </w:p>
    <w:p>
      <w:pPr>
        <w:spacing w:line="360" w:lineRule="auto"/>
        <w:ind w:firstLine="420" w:firstLineChars="200"/>
        <w:rPr>
          <w:rFonts w:hint="eastAsia" w:ascii="宋体" w:hAnsi="宋体" w:cs="宋体"/>
          <w:b w:val="0"/>
          <w:bCs w:val="0"/>
          <w:sz w:val="21"/>
          <w:szCs w:val="21"/>
          <w:highlight w:val="none"/>
          <w:lang w:val="en-US" w:eastAsia="zh-CN"/>
        </w:rPr>
      </w:pPr>
      <w:r>
        <w:rPr>
          <w:rFonts w:hint="eastAsia" w:ascii="宋体" w:hAnsi="宋体" w:cs="宋体"/>
          <w:b w:val="0"/>
          <w:bCs w:val="0"/>
          <w:sz w:val="21"/>
          <w:szCs w:val="21"/>
          <w:highlight w:val="none"/>
          <w:lang w:val="en-US" w:eastAsia="zh-CN"/>
        </w:rPr>
        <w:t>5、投标单位提供工程咨询单位资信证书(业务范围包括市政公用工程等)。</w:t>
      </w:r>
    </w:p>
    <w:p>
      <w:pPr>
        <w:spacing w:line="360" w:lineRule="auto"/>
        <w:ind w:firstLine="420" w:firstLineChars="200"/>
        <w:rPr>
          <w:rFonts w:hint="default" w:ascii="宋体" w:hAnsi="宋体" w:cs="宋体"/>
          <w:b w:val="0"/>
          <w:bCs w:val="0"/>
          <w:sz w:val="21"/>
          <w:szCs w:val="21"/>
          <w:highlight w:val="none"/>
          <w:lang w:val="en-US" w:eastAsia="zh-CN"/>
        </w:rPr>
      </w:pPr>
      <w:r>
        <w:rPr>
          <w:rFonts w:hint="eastAsia" w:ascii="宋体" w:hAnsi="宋体" w:cs="宋体"/>
          <w:b w:val="0"/>
          <w:bCs w:val="0"/>
          <w:sz w:val="21"/>
          <w:szCs w:val="21"/>
          <w:highlight w:val="none"/>
          <w:lang w:val="en-US" w:eastAsia="zh-CN"/>
        </w:rPr>
        <w:t>6、投标单位提供的设备材料清单，包括但不限于管道疏通车、吸污车、管道检测设备（如CCTV、QV）、常规水质检测试纸等。</w:t>
      </w:r>
    </w:p>
    <w:p>
      <w:pPr>
        <w:spacing w:line="440" w:lineRule="exact"/>
        <w:rPr>
          <w:rFonts w:hint="eastAsia" w:ascii="宋体" w:hAnsi="宋体" w:cs="宋体"/>
          <w:b/>
          <w:bCs/>
          <w:sz w:val="21"/>
          <w:szCs w:val="21"/>
          <w:highlight w:val="none"/>
        </w:rPr>
      </w:pPr>
    </w:p>
    <w:p>
      <w:pPr>
        <w:bidi w:val="0"/>
        <w:spacing w:line="360" w:lineRule="auto"/>
        <w:ind w:firstLine="422" w:firstLineChars="200"/>
        <w:jc w:val="left"/>
        <w:rPr>
          <w:rFonts w:hint="default" w:ascii="宋体" w:hAnsi="宋体" w:cs="宋体"/>
          <w:b/>
          <w:bCs/>
          <w:sz w:val="21"/>
          <w:szCs w:val="21"/>
          <w:lang w:val="en-US" w:eastAsia="zh-CN"/>
        </w:rPr>
      </w:pPr>
      <w:r>
        <w:rPr>
          <w:rFonts w:hint="eastAsia" w:ascii="宋体" w:hAnsi="宋体" w:cs="宋体"/>
          <w:b/>
          <w:bCs/>
          <w:sz w:val="21"/>
          <w:szCs w:val="21"/>
          <w:lang w:val="en-US" w:eastAsia="zh-CN"/>
        </w:rPr>
        <w:t>八、技术质量要求</w:t>
      </w:r>
    </w:p>
    <w:p>
      <w:pPr>
        <w:spacing w:line="360" w:lineRule="auto"/>
        <w:ind w:firstLine="408" w:firstLineChars="200"/>
        <w:rPr>
          <w:rFonts w:ascii="Times New Roman" w:hAnsi="Times New Roman" w:cs="Times New Roman"/>
          <w:spacing w:val="-3"/>
          <w:sz w:val="21"/>
        </w:rPr>
      </w:pPr>
      <w:r>
        <w:rPr>
          <w:rFonts w:ascii="Times New Roman" w:hAnsi="Times New Roman" w:cs="Times New Roman"/>
          <w:spacing w:val="-3"/>
          <w:sz w:val="21"/>
        </w:rPr>
        <w:t>本项目的适用国家现行法律、规范、规程、标准以及上海市现行规范标准，具体包括：</w:t>
      </w:r>
    </w:p>
    <w:p>
      <w:pPr>
        <w:spacing w:line="360" w:lineRule="auto"/>
        <w:ind w:firstLine="408" w:firstLineChars="200"/>
        <w:rPr>
          <w:rFonts w:ascii="Times New Roman" w:hAnsi="Times New Roman" w:cs="Times New Roman"/>
          <w:spacing w:val="-3"/>
          <w:sz w:val="21"/>
        </w:rPr>
      </w:pPr>
      <w:r>
        <w:rPr>
          <w:rFonts w:ascii="Times New Roman" w:hAnsi="Times New Roman" w:cs="Times New Roman"/>
          <w:spacing w:val="-3"/>
          <w:sz w:val="21"/>
        </w:rPr>
        <w:t>1.</w:t>
      </w:r>
      <w:r>
        <w:rPr>
          <w:rFonts w:ascii="Times New Roman" w:hAnsi="Times New Roman" w:cs="Times New Roman"/>
          <w:spacing w:val="-3"/>
          <w:sz w:val="21"/>
        </w:rPr>
        <w:tab/>
      </w:r>
      <w:r>
        <w:rPr>
          <w:rFonts w:ascii="Times New Roman" w:hAnsi="Times New Roman" w:cs="Times New Roman"/>
          <w:spacing w:val="-3"/>
          <w:sz w:val="21"/>
        </w:rPr>
        <w:t>《上海市排水与污水处理条例》 2019 年 12 月</w:t>
      </w:r>
    </w:p>
    <w:p>
      <w:pPr>
        <w:spacing w:line="360" w:lineRule="auto"/>
        <w:ind w:firstLine="408" w:firstLineChars="200"/>
        <w:rPr>
          <w:rFonts w:ascii="Times New Roman" w:hAnsi="Times New Roman" w:cs="Times New Roman"/>
          <w:spacing w:val="-3"/>
          <w:sz w:val="21"/>
        </w:rPr>
      </w:pPr>
      <w:r>
        <w:rPr>
          <w:rFonts w:ascii="Times New Roman" w:hAnsi="Times New Roman" w:cs="Times New Roman"/>
          <w:spacing w:val="-3"/>
          <w:sz w:val="21"/>
        </w:rPr>
        <w:t>2.</w:t>
      </w:r>
      <w:r>
        <w:rPr>
          <w:rFonts w:ascii="Times New Roman" w:hAnsi="Times New Roman" w:cs="Times New Roman"/>
          <w:spacing w:val="-3"/>
          <w:sz w:val="21"/>
        </w:rPr>
        <w:tab/>
      </w:r>
      <w:r>
        <w:rPr>
          <w:rFonts w:ascii="Times New Roman" w:hAnsi="Times New Roman" w:cs="Times New Roman"/>
          <w:spacing w:val="-3"/>
          <w:sz w:val="21"/>
        </w:rPr>
        <w:t>《上海市雨污混接普查和整治工作方案》</w:t>
      </w:r>
    </w:p>
    <w:p>
      <w:pPr>
        <w:spacing w:line="360" w:lineRule="auto"/>
        <w:ind w:firstLine="408" w:firstLineChars="200"/>
        <w:rPr>
          <w:rFonts w:ascii="Times New Roman" w:hAnsi="Times New Roman" w:cs="Times New Roman"/>
          <w:spacing w:val="-3"/>
          <w:sz w:val="21"/>
        </w:rPr>
      </w:pPr>
      <w:r>
        <w:rPr>
          <w:rFonts w:ascii="Times New Roman" w:hAnsi="Times New Roman" w:cs="Times New Roman"/>
          <w:spacing w:val="-3"/>
          <w:sz w:val="21"/>
        </w:rPr>
        <w:t>3.</w:t>
      </w:r>
      <w:r>
        <w:rPr>
          <w:rFonts w:ascii="Times New Roman" w:hAnsi="Times New Roman" w:cs="Times New Roman"/>
          <w:spacing w:val="-3"/>
          <w:sz w:val="21"/>
        </w:rPr>
        <w:tab/>
      </w:r>
      <w:r>
        <w:rPr>
          <w:rFonts w:ascii="Times New Roman" w:hAnsi="Times New Roman" w:cs="Times New Roman"/>
          <w:spacing w:val="-3"/>
          <w:sz w:val="21"/>
        </w:rPr>
        <w:t>《上海市雨污混接普查和整治技术导引》 上海市水务局 2023.12 月</w:t>
      </w:r>
    </w:p>
    <w:p>
      <w:pPr>
        <w:spacing w:line="360" w:lineRule="auto"/>
        <w:ind w:firstLine="408" w:firstLineChars="200"/>
        <w:rPr>
          <w:rFonts w:ascii="Times New Roman" w:hAnsi="Times New Roman" w:cs="Times New Roman"/>
          <w:spacing w:val="-3"/>
          <w:sz w:val="21"/>
        </w:rPr>
      </w:pPr>
      <w:r>
        <w:rPr>
          <w:rFonts w:ascii="Times New Roman" w:hAnsi="Times New Roman" w:cs="Times New Roman"/>
          <w:spacing w:val="-3"/>
          <w:sz w:val="21"/>
        </w:rPr>
        <w:t>4.</w:t>
      </w:r>
      <w:r>
        <w:rPr>
          <w:rFonts w:ascii="Times New Roman" w:hAnsi="Times New Roman" w:cs="Times New Roman"/>
          <w:spacing w:val="-3"/>
          <w:sz w:val="21"/>
        </w:rPr>
        <w:tab/>
      </w:r>
      <w:r>
        <w:rPr>
          <w:rFonts w:ascii="Times New Roman" w:hAnsi="Times New Roman" w:cs="Times New Roman"/>
          <w:spacing w:val="-3"/>
          <w:sz w:val="21"/>
        </w:rPr>
        <w:t>《室外排水设计标准》 GB 50014-2021</w:t>
      </w:r>
    </w:p>
    <w:p>
      <w:pPr>
        <w:spacing w:line="360" w:lineRule="auto"/>
        <w:ind w:firstLine="408" w:firstLineChars="200"/>
        <w:rPr>
          <w:rFonts w:ascii="Times New Roman" w:hAnsi="Times New Roman" w:cs="Times New Roman"/>
          <w:spacing w:val="-3"/>
          <w:sz w:val="21"/>
        </w:rPr>
      </w:pPr>
      <w:r>
        <w:rPr>
          <w:rFonts w:ascii="Times New Roman" w:hAnsi="Times New Roman" w:cs="Times New Roman"/>
          <w:spacing w:val="-3"/>
          <w:sz w:val="21"/>
        </w:rPr>
        <w:t>5.</w:t>
      </w:r>
      <w:r>
        <w:rPr>
          <w:rFonts w:ascii="Times New Roman" w:hAnsi="Times New Roman" w:cs="Times New Roman"/>
          <w:spacing w:val="-3"/>
          <w:sz w:val="21"/>
        </w:rPr>
        <w:tab/>
      </w:r>
      <w:r>
        <w:rPr>
          <w:rFonts w:ascii="Times New Roman" w:hAnsi="Times New Roman" w:cs="Times New Roman"/>
          <w:spacing w:val="-3"/>
          <w:sz w:val="21"/>
        </w:rPr>
        <w:t>《城市排水防涝设施数据采集与维护技术规范》 GB/T51187-2016</w:t>
      </w:r>
    </w:p>
    <w:p>
      <w:pPr>
        <w:spacing w:line="360" w:lineRule="auto"/>
        <w:ind w:firstLine="408" w:firstLineChars="200"/>
        <w:rPr>
          <w:rFonts w:ascii="Times New Roman" w:hAnsi="Times New Roman" w:cs="Times New Roman"/>
          <w:spacing w:val="-3"/>
          <w:sz w:val="21"/>
        </w:rPr>
      </w:pPr>
      <w:r>
        <w:rPr>
          <w:rFonts w:ascii="Times New Roman" w:hAnsi="Times New Roman" w:cs="Times New Roman"/>
          <w:spacing w:val="-3"/>
          <w:sz w:val="21"/>
        </w:rPr>
        <w:t>6.</w:t>
      </w:r>
      <w:r>
        <w:rPr>
          <w:rFonts w:ascii="Times New Roman" w:hAnsi="Times New Roman" w:cs="Times New Roman"/>
          <w:spacing w:val="-3"/>
          <w:sz w:val="21"/>
        </w:rPr>
        <w:tab/>
      </w:r>
      <w:r>
        <w:rPr>
          <w:rFonts w:ascii="Times New Roman" w:hAnsi="Times New Roman" w:cs="Times New Roman"/>
          <w:spacing w:val="-3"/>
          <w:sz w:val="21"/>
        </w:rPr>
        <w:t>《地下管线数据获取规程》 GB/T 35644-2017</w:t>
      </w:r>
    </w:p>
    <w:p>
      <w:pPr>
        <w:spacing w:line="360" w:lineRule="auto"/>
        <w:ind w:firstLine="408" w:firstLineChars="200"/>
        <w:rPr>
          <w:rFonts w:ascii="Times New Roman" w:hAnsi="Times New Roman" w:cs="Times New Roman"/>
          <w:spacing w:val="-3"/>
          <w:sz w:val="21"/>
        </w:rPr>
      </w:pPr>
      <w:r>
        <w:rPr>
          <w:rFonts w:ascii="Times New Roman" w:hAnsi="Times New Roman" w:cs="Times New Roman"/>
          <w:spacing w:val="-3"/>
          <w:sz w:val="21"/>
        </w:rPr>
        <w:t>7.</w:t>
      </w:r>
      <w:r>
        <w:rPr>
          <w:rFonts w:ascii="Times New Roman" w:hAnsi="Times New Roman" w:cs="Times New Roman"/>
          <w:spacing w:val="-3"/>
          <w:sz w:val="21"/>
        </w:rPr>
        <w:tab/>
      </w:r>
      <w:r>
        <w:rPr>
          <w:rFonts w:ascii="Times New Roman" w:hAnsi="Times New Roman" w:cs="Times New Roman"/>
          <w:spacing w:val="-3"/>
          <w:sz w:val="21"/>
        </w:rPr>
        <w:t>《建筑中水设计标准》 GB50336-2018</w:t>
      </w:r>
    </w:p>
    <w:p>
      <w:pPr>
        <w:spacing w:line="360" w:lineRule="auto"/>
        <w:ind w:firstLine="408" w:firstLineChars="200"/>
        <w:rPr>
          <w:rFonts w:ascii="Times New Roman" w:hAnsi="Times New Roman" w:cs="Times New Roman"/>
          <w:spacing w:val="-3"/>
          <w:sz w:val="21"/>
        </w:rPr>
      </w:pPr>
      <w:r>
        <w:rPr>
          <w:rFonts w:ascii="Times New Roman" w:hAnsi="Times New Roman" w:cs="Times New Roman"/>
          <w:spacing w:val="-3"/>
          <w:sz w:val="21"/>
        </w:rPr>
        <w:t>8.</w:t>
      </w:r>
      <w:r>
        <w:rPr>
          <w:rFonts w:ascii="Times New Roman" w:hAnsi="Times New Roman" w:cs="Times New Roman"/>
          <w:spacing w:val="-3"/>
          <w:sz w:val="21"/>
        </w:rPr>
        <w:tab/>
      </w:r>
      <w:r>
        <w:rPr>
          <w:rFonts w:ascii="Times New Roman" w:hAnsi="Times New Roman" w:cs="Times New Roman"/>
          <w:spacing w:val="-3"/>
          <w:sz w:val="21"/>
        </w:rPr>
        <w:t>《城镇排水管渠与泵站运行、 维护及安全技术规程》 CJJ 68-2016</w:t>
      </w:r>
    </w:p>
    <w:p>
      <w:pPr>
        <w:spacing w:line="360" w:lineRule="auto"/>
        <w:ind w:firstLine="408" w:firstLineChars="200"/>
        <w:rPr>
          <w:rFonts w:ascii="Times New Roman" w:hAnsi="Times New Roman" w:cs="Times New Roman"/>
          <w:spacing w:val="-3"/>
          <w:sz w:val="21"/>
        </w:rPr>
      </w:pPr>
      <w:r>
        <w:rPr>
          <w:rFonts w:ascii="Times New Roman" w:hAnsi="Times New Roman" w:cs="Times New Roman"/>
          <w:spacing w:val="-3"/>
          <w:sz w:val="21"/>
        </w:rPr>
        <w:t>9.</w:t>
      </w:r>
      <w:r>
        <w:rPr>
          <w:rFonts w:ascii="Times New Roman" w:hAnsi="Times New Roman" w:cs="Times New Roman"/>
          <w:spacing w:val="-3"/>
          <w:sz w:val="21"/>
        </w:rPr>
        <w:tab/>
      </w:r>
      <w:r>
        <w:rPr>
          <w:rFonts w:ascii="Times New Roman" w:hAnsi="Times New Roman" w:cs="Times New Roman"/>
          <w:spacing w:val="-3"/>
          <w:sz w:val="21"/>
        </w:rPr>
        <w:t>《城镇排水管道检测与评估技术规程》 CJJ181-2012</w:t>
      </w:r>
    </w:p>
    <w:p>
      <w:pPr>
        <w:spacing w:line="360" w:lineRule="auto"/>
        <w:ind w:firstLine="408" w:firstLineChars="200"/>
        <w:rPr>
          <w:rFonts w:ascii="Times New Roman" w:hAnsi="Times New Roman" w:cs="Times New Roman"/>
          <w:spacing w:val="-3"/>
          <w:sz w:val="21"/>
        </w:rPr>
      </w:pPr>
      <w:r>
        <w:rPr>
          <w:rFonts w:ascii="Times New Roman" w:hAnsi="Times New Roman" w:cs="Times New Roman"/>
          <w:spacing w:val="-3"/>
          <w:sz w:val="21"/>
        </w:rPr>
        <w:t>10.</w:t>
      </w:r>
      <w:r>
        <w:rPr>
          <w:rFonts w:ascii="Times New Roman" w:hAnsi="Times New Roman" w:cs="Times New Roman"/>
          <w:spacing w:val="-3"/>
          <w:sz w:val="21"/>
        </w:rPr>
        <w:tab/>
      </w:r>
      <w:r>
        <w:rPr>
          <w:rFonts w:ascii="Times New Roman" w:hAnsi="Times New Roman" w:cs="Times New Roman"/>
          <w:spacing w:val="-3"/>
          <w:sz w:val="21"/>
        </w:rPr>
        <w:t>《城镇排水管道混接调查及治理技术规程》 T/CECS758-2020</w:t>
      </w:r>
    </w:p>
    <w:p>
      <w:pPr>
        <w:spacing w:line="360" w:lineRule="auto"/>
        <w:ind w:firstLine="408" w:firstLineChars="200"/>
        <w:rPr>
          <w:rFonts w:ascii="Times New Roman" w:hAnsi="Times New Roman" w:cs="Times New Roman"/>
          <w:spacing w:val="-3"/>
          <w:sz w:val="21"/>
        </w:rPr>
      </w:pPr>
      <w:r>
        <w:rPr>
          <w:rFonts w:ascii="Times New Roman" w:hAnsi="Times New Roman" w:cs="Times New Roman"/>
          <w:spacing w:val="-3"/>
          <w:sz w:val="21"/>
        </w:rPr>
        <w:t>11.</w:t>
      </w:r>
      <w:r>
        <w:rPr>
          <w:rFonts w:ascii="Times New Roman" w:hAnsi="Times New Roman" w:cs="Times New Roman"/>
          <w:spacing w:val="-3"/>
          <w:sz w:val="21"/>
        </w:rPr>
        <w:tab/>
      </w:r>
      <w:r>
        <w:rPr>
          <w:rFonts w:ascii="Times New Roman" w:hAnsi="Times New Roman" w:cs="Times New Roman"/>
          <w:spacing w:val="-3"/>
          <w:sz w:val="21"/>
        </w:rPr>
        <w:t>《 上海市住宅小区室外雨污水设施运行维护及管理技术导则(试行)》 DB31 SW/Z 009-2023</w:t>
      </w:r>
    </w:p>
    <w:p>
      <w:pPr>
        <w:spacing w:line="360" w:lineRule="auto"/>
        <w:ind w:firstLine="408" w:firstLineChars="200"/>
        <w:rPr>
          <w:rFonts w:ascii="Times New Roman" w:hAnsi="Times New Roman" w:cs="Times New Roman"/>
          <w:spacing w:val="-3"/>
          <w:sz w:val="21"/>
        </w:rPr>
      </w:pPr>
      <w:r>
        <w:rPr>
          <w:rFonts w:ascii="Times New Roman" w:hAnsi="Times New Roman" w:cs="Times New Roman"/>
          <w:spacing w:val="-3"/>
          <w:sz w:val="21"/>
        </w:rPr>
        <w:t>12.</w:t>
      </w:r>
      <w:r>
        <w:rPr>
          <w:rFonts w:ascii="Times New Roman" w:hAnsi="Times New Roman" w:cs="Times New Roman"/>
          <w:spacing w:val="-3"/>
          <w:sz w:val="21"/>
        </w:rPr>
        <w:tab/>
      </w:r>
      <w:r>
        <w:rPr>
          <w:rFonts w:ascii="Times New Roman" w:hAnsi="Times New Roman" w:cs="Times New Roman"/>
          <w:spacing w:val="-3"/>
          <w:sz w:val="21"/>
        </w:rPr>
        <w:t>《上海市分流制地区雨污混接调查技术导则》 SSH/Z 10005-2016</w:t>
      </w:r>
    </w:p>
    <w:p>
      <w:pPr>
        <w:spacing w:line="360" w:lineRule="auto"/>
        <w:ind w:firstLine="408" w:firstLineChars="200"/>
        <w:rPr>
          <w:rFonts w:ascii="Times New Roman" w:hAnsi="Times New Roman" w:cs="Times New Roman"/>
          <w:spacing w:val="-3"/>
          <w:sz w:val="21"/>
        </w:rPr>
      </w:pPr>
      <w:r>
        <w:rPr>
          <w:rFonts w:ascii="Times New Roman" w:hAnsi="Times New Roman" w:cs="Times New Roman"/>
          <w:spacing w:val="-3"/>
          <w:sz w:val="21"/>
        </w:rPr>
        <w:t>13.</w:t>
      </w:r>
      <w:r>
        <w:rPr>
          <w:rFonts w:ascii="Times New Roman" w:hAnsi="Times New Roman" w:cs="Times New Roman"/>
          <w:spacing w:val="-3"/>
          <w:sz w:val="21"/>
        </w:rPr>
        <w:tab/>
      </w:r>
      <w:r>
        <w:rPr>
          <w:rFonts w:ascii="Times New Roman" w:hAnsi="Times New Roman" w:cs="Times New Roman"/>
          <w:spacing w:val="-3"/>
          <w:sz w:val="21"/>
        </w:rPr>
        <w:t>《上海市住宅小区雨污混接改造技术导则》 SSH/Z 10015-2018</w:t>
      </w:r>
    </w:p>
    <w:p>
      <w:pPr>
        <w:spacing w:line="360" w:lineRule="auto"/>
        <w:ind w:firstLine="408" w:firstLineChars="200"/>
        <w:rPr>
          <w:rFonts w:hint="eastAsia" w:ascii="宋体" w:hAnsi="宋体" w:cs="宋体"/>
          <w:b/>
          <w:bCs/>
          <w:sz w:val="21"/>
          <w:szCs w:val="21"/>
          <w:highlight w:val="none"/>
        </w:rPr>
      </w:pPr>
      <w:r>
        <w:rPr>
          <w:rFonts w:ascii="Times New Roman" w:hAnsi="Times New Roman" w:cs="Times New Roman"/>
          <w:spacing w:val="-3"/>
          <w:sz w:val="21"/>
        </w:rPr>
        <w:t>14.</w:t>
      </w:r>
      <w:r>
        <w:rPr>
          <w:rFonts w:ascii="Times New Roman" w:hAnsi="Times New Roman" w:cs="Times New Roman"/>
          <w:spacing w:val="-3"/>
          <w:sz w:val="21"/>
        </w:rPr>
        <w:tab/>
      </w:r>
      <w:r>
        <w:rPr>
          <w:rFonts w:ascii="Times New Roman" w:hAnsi="Times New Roman" w:cs="Times New Roman"/>
          <w:spacing w:val="-3"/>
          <w:sz w:val="21"/>
        </w:rPr>
        <w:t>《城镇排水管渠在线监测技术标准》 上海市工程建设规范各投标人应充分注意，凡涉及国家或行业管理部门颁发的相关规范、规程和标准，无论其是否在本招标文件中列明，中标人应无条件执行。标准、规范等不一致的，以要求高者为准。</w:t>
      </w:r>
    </w:p>
    <w:p>
      <w:pPr>
        <w:spacing w:line="440" w:lineRule="exact"/>
        <w:rPr>
          <w:rFonts w:hint="eastAsia" w:ascii="宋体" w:hAnsi="宋体" w:cs="宋体"/>
          <w:b/>
          <w:bCs/>
          <w:sz w:val="21"/>
          <w:szCs w:val="21"/>
          <w:highlight w:val="none"/>
        </w:rPr>
      </w:pPr>
    </w:p>
    <w:p>
      <w:pPr>
        <w:spacing w:line="440" w:lineRule="exact"/>
        <w:ind w:firstLine="422" w:firstLineChars="200"/>
        <w:rPr>
          <w:rFonts w:hint="default" w:ascii="宋体" w:hAnsi="宋体" w:eastAsia="宋体" w:cs="宋体"/>
          <w:b/>
          <w:bCs/>
          <w:sz w:val="21"/>
          <w:szCs w:val="21"/>
          <w:highlight w:val="none"/>
          <w:lang w:val="en-US" w:eastAsia="zh-CN"/>
        </w:rPr>
      </w:pPr>
      <w:r>
        <w:rPr>
          <w:rFonts w:hint="eastAsia" w:ascii="宋体" w:hAnsi="宋体" w:cs="宋体"/>
          <w:b/>
          <w:bCs/>
          <w:sz w:val="21"/>
          <w:szCs w:val="21"/>
          <w:highlight w:val="none"/>
          <w:lang w:val="en-US" w:eastAsia="zh-CN"/>
        </w:rPr>
        <w:t>九、付款及验收方式</w:t>
      </w:r>
    </w:p>
    <w:p>
      <w:pPr>
        <w:spacing w:line="440" w:lineRule="exact"/>
        <w:ind w:firstLine="420" w:firstLineChars="200"/>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1、结算方式</w:t>
      </w:r>
    </w:p>
    <w:p>
      <w:pPr>
        <w:spacing w:line="440" w:lineRule="exact"/>
        <w:ind w:firstLine="420" w:firstLineChars="200"/>
        <w:rPr>
          <w:rFonts w:hint="default" w:ascii="宋体" w:hAnsi="宋体" w:cs="宋体"/>
          <w:sz w:val="21"/>
          <w:szCs w:val="21"/>
          <w:highlight w:val="none"/>
          <w:lang w:val="en-US" w:eastAsia="zh-CN"/>
        </w:rPr>
      </w:pPr>
      <w:r>
        <w:rPr>
          <w:rFonts w:hint="eastAsia" w:ascii="宋体" w:hAnsi="宋体" w:cs="宋体"/>
          <w:sz w:val="21"/>
          <w:szCs w:val="21"/>
          <w:highlight w:val="none"/>
          <w:lang w:val="en-US" w:eastAsia="zh-CN"/>
        </w:rPr>
        <w:t>按实结算。结算费用包括出具排查报告的费用以及与出具排查报告相关的其他一切费用。</w:t>
      </w:r>
    </w:p>
    <w:p>
      <w:pPr>
        <w:spacing w:line="440" w:lineRule="exact"/>
        <w:ind w:firstLine="420" w:firstLineChars="200"/>
        <w:rPr>
          <w:rFonts w:hint="eastAsia" w:ascii="宋体" w:hAnsi="宋体" w:cs="宋体"/>
          <w:sz w:val="21"/>
          <w:szCs w:val="21"/>
          <w:highlight w:val="none"/>
        </w:rPr>
      </w:pPr>
      <w:r>
        <w:rPr>
          <w:rFonts w:hint="eastAsia" w:ascii="宋体" w:hAnsi="宋体" w:cs="宋体"/>
          <w:sz w:val="21"/>
          <w:szCs w:val="21"/>
          <w:highlight w:val="none"/>
          <w:lang w:val="en-US" w:eastAsia="zh-CN"/>
        </w:rPr>
        <w:t>2、</w:t>
      </w:r>
      <w:r>
        <w:rPr>
          <w:rFonts w:hint="eastAsia" w:ascii="宋体" w:hAnsi="宋体" w:cs="宋体"/>
          <w:sz w:val="21"/>
          <w:szCs w:val="21"/>
          <w:highlight w:val="none"/>
        </w:rPr>
        <w:t>付款方式：</w:t>
      </w:r>
    </w:p>
    <w:p>
      <w:pPr>
        <w:spacing w:line="440" w:lineRule="exact"/>
        <w:ind w:firstLine="420" w:firstLineChars="200"/>
        <w:rPr>
          <w:rFonts w:hint="eastAsia" w:ascii="宋体" w:hAnsi="宋体" w:eastAsia="宋体" w:cs="宋体"/>
          <w:color w:val="000000"/>
          <w:kern w:val="0"/>
          <w:sz w:val="21"/>
          <w:szCs w:val="21"/>
          <w:highlight w:val="none"/>
          <w:lang w:val="en-US" w:eastAsia="zh-CN" w:bidi="ar"/>
        </w:rPr>
      </w:pPr>
      <w:r>
        <w:rPr>
          <w:rFonts w:hint="eastAsia" w:ascii="宋体" w:hAnsi="宋体" w:eastAsia="宋体" w:cs="宋体"/>
          <w:color w:val="000000"/>
          <w:kern w:val="0"/>
          <w:sz w:val="21"/>
          <w:szCs w:val="21"/>
          <w:highlight w:val="none"/>
          <w:lang w:val="en-US" w:eastAsia="zh-CN" w:bidi="ar"/>
        </w:rPr>
        <w:t>合同签订后，支付合同金额的30%作为项目预付款，乙方完成全部普查工作，并提交符合要求的排查报告，招标方支付至合同价的100%。前述款项的具体支付进度以财政拨款进度为准。</w:t>
      </w:r>
    </w:p>
    <w:p>
      <w:pPr>
        <w:spacing w:line="440" w:lineRule="exact"/>
        <w:ind w:firstLine="420" w:firstLineChars="200"/>
        <w:rPr>
          <w:rFonts w:hint="eastAsia" w:ascii="宋体" w:hAnsi="宋体" w:eastAsia="宋体" w:cs="宋体"/>
          <w:color w:val="000000"/>
          <w:kern w:val="0"/>
          <w:sz w:val="21"/>
          <w:szCs w:val="21"/>
          <w:highlight w:val="none"/>
          <w:lang w:val="en-US" w:eastAsia="zh-CN" w:bidi="ar"/>
        </w:rPr>
      </w:pPr>
      <w:r>
        <w:rPr>
          <w:rFonts w:hint="eastAsia" w:ascii="宋体" w:hAnsi="宋体" w:eastAsia="宋体" w:cs="宋体"/>
          <w:color w:val="000000"/>
          <w:kern w:val="0"/>
          <w:sz w:val="21"/>
          <w:szCs w:val="21"/>
          <w:highlight w:val="none"/>
          <w:lang w:val="en-US" w:eastAsia="zh-CN" w:bidi="ar"/>
        </w:rPr>
        <w:t>付款条件备注：服务提供方应当在采购方每次付款前提前至少10个工作日向采购方提供有效发票。</w:t>
      </w:r>
    </w:p>
    <w:p>
      <w:pPr>
        <w:spacing w:line="440" w:lineRule="exact"/>
        <w:ind w:firstLine="420" w:firstLineChars="200"/>
        <w:rPr>
          <w:rFonts w:hint="eastAsia" w:ascii="宋体" w:hAnsi="宋体" w:eastAsia="宋体" w:cs="宋体"/>
          <w:color w:val="000000"/>
          <w:kern w:val="0"/>
          <w:sz w:val="21"/>
          <w:szCs w:val="21"/>
          <w:highlight w:val="none"/>
          <w:lang w:val="en-US" w:eastAsia="zh-CN" w:bidi="ar"/>
        </w:rPr>
      </w:pPr>
      <w:r>
        <w:rPr>
          <w:rFonts w:hint="eastAsia" w:ascii="宋体" w:hAnsi="宋体" w:eastAsia="宋体" w:cs="宋体"/>
          <w:color w:val="000000"/>
          <w:kern w:val="0"/>
          <w:sz w:val="21"/>
          <w:szCs w:val="21"/>
          <w:highlight w:val="none"/>
          <w:lang w:val="en-US" w:eastAsia="zh-CN" w:bidi="ar"/>
        </w:rPr>
        <w:t>对于满足合同约定支付条件的，采购人原则上应当自收到发票后10个工作日内将资金支付到合同约定的供应商账户，鼓励采购人完善内部流程，自收到发票后1个工作日内完成资金支付事宜。采购人和供应商对资金支付产生争议的，应当按照法律规定和合同约定及时解决，保证资金支付效率。</w:t>
      </w:r>
    </w:p>
    <w:p>
      <w:pPr>
        <w:spacing w:line="440" w:lineRule="exact"/>
        <w:ind w:firstLine="420" w:firstLineChars="200"/>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2、验收方式：</w:t>
      </w:r>
    </w:p>
    <w:p>
      <w:pPr>
        <w:spacing w:line="440" w:lineRule="exact"/>
        <w:ind w:firstLine="420" w:firstLineChars="200"/>
        <w:rPr>
          <w:rFonts w:hint="eastAsia" w:ascii="宋体" w:hAnsi="宋体" w:eastAsia="宋体" w:cs="宋体"/>
          <w:color w:val="000000"/>
          <w:kern w:val="0"/>
          <w:sz w:val="21"/>
          <w:szCs w:val="21"/>
          <w:highlight w:val="none"/>
          <w:lang w:val="en-US" w:eastAsia="zh-CN" w:bidi="ar"/>
        </w:rPr>
      </w:pPr>
      <w:r>
        <w:rPr>
          <w:rFonts w:hint="eastAsia" w:ascii="宋体" w:hAnsi="宋体" w:cs="宋体"/>
          <w:color w:val="000000"/>
          <w:kern w:val="0"/>
          <w:sz w:val="21"/>
          <w:szCs w:val="21"/>
          <w:highlight w:val="none"/>
          <w:lang w:val="en-US" w:eastAsia="zh-CN" w:bidi="ar"/>
        </w:rPr>
        <w:t>中标单位</w:t>
      </w:r>
      <w:r>
        <w:rPr>
          <w:rFonts w:hint="eastAsia" w:ascii="宋体" w:hAnsi="宋体" w:eastAsia="宋体" w:cs="宋体"/>
          <w:color w:val="000000"/>
          <w:kern w:val="0"/>
          <w:sz w:val="21"/>
          <w:szCs w:val="21"/>
          <w:highlight w:val="none"/>
          <w:lang w:val="en-US" w:eastAsia="zh-CN" w:bidi="ar"/>
        </w:rPr>
        <w:t>按照合同约定，完成以下工作可提出最终验收申请：</w:t>
      </w:r>
    </w:p>
    <w:p>
      <w:pPr>
        <w:spacing w:line="440" w:lineRule="exact"/>
        <w:ind w:firstLine="420" w:firstLineChars="200"/>
        <w:rPr>
          <w:rFonts w:hint="eastAsia" w:ascii="宋体" w:hAnsi="宋体" w:eastAsia="宋体" w:cs="宋体"/>
          <w:color w:val="000000"/>
          <w:kern w:val="0"/>
          <w:sz w:val="21"/>
          <w:szCs w:val="21"/>
          <w:highlight w:val="none"/>
          <w:lang w:val="en-US" w:eastAsia="zh-CN" w:bidi="ar"/>
        </w:rPr>
      </w:pPr>
      <w:r>
        <w:rPr>
          <w:rFonts w:hint="eastAsia" w:ascii="宋体" w:hAnsi="宋体" w:eastAsia="宋体" w:cs="宋体"/>
          <w:color w:val="000000"/>
          <w:kern w:val="0"/>
          <w:sz w:val="21"/>
          <w:szCs w:val="21"/>
          <w:highlight w:val="none"/>
          <w:lang w:val="en-US" w:eastAsia="zh-CN" w:bidi="ar"/>
        </w:rPr>
        <w:t>（1）完成全区排水用户清单建立及小程序录入；</w:t>
      </w:r>
    </w:p>
    <w:p>
      <w:pPr>
        <w:spacing w:line="440" w:lineRule="exact"/>
        <w:ind w:firstLine="420" w:firstLineChars="200"/>
        <w:rPr>
          <w:rFonts w:hint="eastAsia" w:ascii="宋体" w:hAnsi="宋体" w:eastAsia="宋体" w:cs="宋体"/>
          <w:color w:val="000000"/>
          <w:kern w:val="0"/>
          <w:sz w:val="21"/>
          <w:szCs w:val="21"/>
          <w:highlight w:val="none"/>
          <w:lang w:val="en-US" w:eastAsia="zh-CN" w:bidi="ar"/>
        </w:rPr>
      </w:pPr>
      <w:r>
        <w:rPr>
          <w:rFonts w:hint="eastAsia" w:ascii="宋体" w:hAnsi="宋体" w:eastAsia="宋体" w:cs="宋体"/>
          <w:color w:val="000000"/>
          <w:kern w:val="0"/>
          <w:sz w:val="21"/>
          <w:szCs w:val="21"/>
          <w:highlight w:val="none"/>
          <w:lang w:val="en-US" w:eastAsia="zh-CN" w:bidi="ar"/>
        </w:rPr>
        <w:t>（2）提交全部的排水用户出门井排查报告；</w:t>
      </w:r>
    </w:p>
    <w:p>
      <w:pPr>
        <w:spacing w:line="440" w:lineRule="exact"/>
        <w:ind w:firstLine="420" w:firstLineChars="200"/>
        <w:rPr>
          <w:rFonts w:hint="eastAsia" w:ascii="宋体" w:hAnsi="宋体" w:cs="宋体"/>
          <w:sz w:val="21"/>
          <w:szCs w:val="21"/>
        </w:rPr>
      </w:pPr>
      <w:r>
        <w:rPr>
          <w:rFonts w:hint="eastAsia" w:ascii="宋体" w:hAnsi="宋体" w:eastAsia="宋体" w:cs="宋体"/>
          <w:color w:val="000000"/>
          <w:kern w:val="0"/>
          <w:sz w:val="21"/>
          <w:szCs w:val="21"/>
          <w:highlight w:val="none"/>
          <w:lang w:val="en-US" w:eastAsia="zh-CN" w:bidi="ar"/>
        </w:rPr>
        <w:t>（3）提交全部的62个小区内部溯源排查报告，内容完整（包括调查报告和图纸）。</w:t>
      </w:r>
    </w:p>
    <w:p>
      <w:pPr>
        <w:widowControl/>
        <w:spacing w:line="360" w:lineRule="auto"/>
        <w:jc w:val="left"/>
        <w:rPr>
          <w:rFonts w:ascii="宋体" w:hAnsi="宋体" w:cs="宋体"/>
          <w:b/>
          <w:color w:val="000000"/>
          <w:kern w:val="0"/>
          <w:sz w:val="24"/>
          <w:szCs w:val="24"/>
          <w:highlight w:val="none"/>
          <w:shd w:val="clear" w:color="auto" w:fill="FFFFFF"/>
          <w:lang w:bidi="ar"/>
        </w:rPr>
      </w:pPr>
    </w:p>
    <w:p>
      <w:pPr>
        <w:spacing w:line="440" w:lineRule="exact"/>
        <w:rPr>
          <w:rFonts w:hint="eastAsia" w:ascii="宋体" w:hAnsi="宋体" w:eastAsia="宋体" w:cs="宋体"/>
          <w:b/>
          <w:bCs/>
          <w:sz w:val="21"/>
          <w:szCs w:val="21"/>
          <w:highlight w:val="none"/>
          <w:lang w:eastAsia="zh-CN"/>
        </w:rPr>
      </w:pPr>
      <w:r>
        <w:rPr>
          <w:rFonts w:hint="eastAsia" w:ascii="宋体" w:hAnsi="宋体" w:cs="宋体"/>
          <w:b/>
          <w:bCs/>
          <w:sz w:val="21"/>
          <w:szCs w:val="21"/>
          <w:highlight w:val="none"/>
          <w:lang w:val="en-US" w:eastAsia="zh-CN"/>
        </w:rPr>
        <w:t>十</w:t>
      </w:r>
      <w:r>
        <w:rPr>
          <w:rFonts w:hint="eastAsia" w:ascii="宋体" w:hAnsi="宋体" w:cs="宋体"/>
          <w:b/>
          <w:bCs/>
          <w:sz w:val="21"/>
          <w:szCs w:val="21"/>
          <w:highlight w:val="none"/>
        </w:rPr>
        <w:t>、投标单位资质要求（详见本项目招标公告）</w:t>
      </w:r>
      <w:r>
        <w:rPr>
          <w:rFonts w:hint="eastAsia" w:ascii="宋体" w:hAnsi="宋体" w:cs="宋体"/>
          <w:b/>
          <w:bCs/>
          <w:sz w:val="21"/>
          <w:szCs w:val="21"/>
          <w:highlight w:val="none"/>
          <w:lang w:eastAsia="zh-CN"/>
        </w:rPr>
        <w:t>：</w:t>
      </w:r>
    </w:p>
    <w:p>
      <w:pPr>
        <w:spacing w:line="440" w:lineRule="exact"/>
        <w:ind w:firstLine="420" w:firstLineChars="200"/>
        <w:rPr>
          <w:rFonts w:ascii="宋体" w:hAnsi="宋体" w:cs="宋体"/>
          <w:sz w:val="21"/>
          <w:szCs w:val="21"/>
          <w:highlight w:val="none"/>
        </w:rPr>
      </w:pPr>
      <w:r>
        <w:rPr>
          <w:rFonts w:hint="eastAsia" w:ascii="宋体" w:hAnsi="宋体" w:cs="宋体"/>
          <w:sz w:val="21"/>
          <w:szCs w:val="21"/>
          <w:highlight w:val="none"/>
        </w:rPr>
        <w:t>1、供应商应当符合《中华人民共和国政府采购法》第22条所规定的条件；</w:t>
      </w:r>
    </w:p>
    <w:p>
      <w:pPr>
        <w:spacing w:line="440" w:lineRule="exact"/>
        <w:ind w:firstLine="420" w:firstLineChars="200"/>
        <w:rPr>
          <w:rFonts w:ascii="宋体" w:hAnsi="宋体" w:cs="宋体"/>
          <w:sz w:val="21"/>
          <w:szCs w:val="21"/>
          <w:highlight w:val="none"/>
        </w:rPr>
      </w:pPr>
      <w:r>
        <w:rPr>
          <w:rFonts w:hint="eastAsia" w:ascii="宋体" w:hAnsi="宋体" w:cs="宋体"/>
          <w:sz w:val="21"/>
          <w:szCs w:val="21"/>
          <w:highlight w:val="none"/>
        </w:rPr>
        <w:t>2、供应商及其投标的产品和服务符合国家法律法规及强制性规范所规定的条件；</w:t>
      </w:r>
    </w:p>
    <w:p>
      <w:pPr>
        <w:spacing w:line="440" w:lineRule="exact"/>
        <w:ind w:firstLine="420" w:firstLineChars="200"/>
        <w:rPr>
          <w:rFonts w:hint="eastAsia" w:ascii="宋体" w:hAnsi="宋体" w:eastAsia="宋体" w:cs="宋体"/>
          <w:sz w:val="21"/>
          <w:szCs w:val="21"/>
          <w:highlight w:val="none"/>
          <w:lang w:eastAsia="zh-CN"/>
        </w:rPr>
      </w:pPr>
      <w:r>
        <w:rPr>
          <w:rFonts w:hint="eastAsia" w:ascii="宋体" w:hAnsi="宋体" w:cs="宋体"/>
          <w:sz w:val="21"/>
          <w:szCs w:val="21"/>
          <w:highlight w:val="none"/>
        </w:rPr>
        <w:t>3、</w:t>
      </w:r>
      <w:r>
        <w:rPr>
          <w:rFonts w:hint="eastAsia" w:ascii="宋体" w:hAnsi="宋体" w:cs="宋体"/>
          <w:sz w:val="21"/>
          <w:szCs w:val="21"/>
          <w:highlight w:val="none"/>
          <w:lang w:val="en-US" w:eastAsia="zh-CN"/>
        </w:rPr>
        <w:t>供应商</w:t>
      </w:r>
      <w:r>
        <w:rPr>
          <w:rFonts w:hint="eastAsia" w:ascii="宋体" w:hAnsi="宋体" w:cs="宋体"/>
          <w:sz w:val="21"/>
          <w:szCs w:val="21"/>
          <w:highlight w:val="none"/>
        </w:rPr>
        <w:t>具备有效期内建设行政主管部门颁发的工程设计资质证书市政行业（排水工程专业）</w:t>
      </w:r>
      <w:r>
        <w:rPr>
          <w:rFonts w:hint="eastAsia" w:ascii="宋体" w:hAnsi="宋体" w:cs="宋体"/>
          <w:sz w:val="21"/>
          <w:szCs w:val="21"/>
          <w:highlight w:val="none"/>
          <w:lang w:val="en-US" w:eastAsia="zh-CN"/>
        </w:rPr>
        <w:t>乙</w:t>
      </w:r>
      <w:r>
        <w:rPr>
          <w:rFonts w:hint="eastAsia" w:ascii="宋体" w:hAnsi="宋体" w:cs="宋体"/>
          <w:sz w:val="21"/>
          <w:szCs w:val="21"/>
          <w:highlight w:val="none"/>
        </w:rPr>
        <w:t>级</w:t>
      </w:r>
      <w:r>
        <w:rPr>
          <w:rFonts w:hint="eastAsia" w:ascii="宋体" w:hAnsi="宋体" w:cs="宋体"/>
          <w:sz w:val="21"/>
          <w:szCs w:val="21"/>
          <w:highlight w:val="none"/>
          <w:lang w:val="en-US" w:eastAsia="zh-CN"/>
        </w:rPr>
        <w:t>及以上</w:t>
      </w:r>
      <w:r>
        <w:rPr>
          <w:rFonts w:hint="eastAsia" w:ascii="宋体" w:hAnsi="宋体" w:cs="宋体"/>
          <w:sz w:val="21"/>
          <w:szCs w:val="21"/>
          <w:highlight w:val="none"/>
        </w:rPr>
        <w:t>资质</w:t>
      </w:r>
      <w:r>
        <w:rPr>
          <w:rFonts w:hint="eastAsia" w:ascii="宋体" w:hAnsi="宋体" w:cs="宋体"/>
          <w:sz w:val="21"/>
          <w:szCs w:val="21"/>
          <w:highlight w:val="none"/>
          <w:lang w:eastAsia="zh-CN"/>
        </w:rPr>
        <w:t>；</w:t>
      </w:r>
    </w:p>
    <w:p>
      <w:pPr>
        <w:spacing w:line="440" w:lineRule="exact"/>
        <w:ind w:firstLine="420" w:firstLineChars="200"/>
        <w:rPr>
          <w:rFonts w:ascii="宋体" w:hAnsi="宋体" w:cs="宋体"/>
          <w:sz w:val="21"/>
          <w:szCs w:val="21"/>
          <w:highlight w:val="none"/>
        </w:rPr>
      </w:pPr>
      <w:r>
        <w:rPr>
          <w:rFonts w:hint="eastAsia" w:ascii="宋体" w:hAnsi="宋体" w:cs="宋体"/>
          <w:sz w:val="21"/>
          <w:szCs w:val="21"/>
          <w:highlight w:val="none"/>
          <w:lang w:val="en-US" w:eastAsia="zh-CN"/>
        </w:rPr>
        <w:t>4、</w:t>
      </w:r>
      <w:r>
        <w:rPr>
          <w:rFonts w:hint="eastAsia" w:ascii="宋体" w:hAnsi="宋体" w:cs="宋体"/>
          <w:sz w:val="21"/>
          <w:szCs w:val="21"/>
          <w:highlight w:val="none"/>
        </w:rPr>
        <w:t>供应商在本市有完善的服务体系，能够提供良好的技术与服务支持；</w:t>
      </w:r>
    </w:p>
    <w:p>
      <w:pPr>
        <w:spacing w:line="440" w:lineRule="exact"/>
        <w:ind w:firstLine="420" w:firstLineChars="200"/>
        <w:rPr>
          <w:rFonts w:hint="eastAsia" w:ascii="宋体" w:hAnsi="宋体" w:cs="宋体"/>
          <w:b/>
          <w:color w:val="000000"/>
          <w:kern w:val="0"/>
          <w:sz w:val="24"/>
          <w:szCs w:val="24"/>
          <w:highlight w:val="none"/>
          <w:shd w:val="clear" w:color="auto" w:fill="FFFFFF"/>
          <w:lang w:bidi="ar"/>
        </w:rPr>
      </w:pPr>
      <w:r>
        <w:rPr>
          <w:rFonts w:hint="eastAsia" w:ascii="宋体" w:hAnsi="宋体" w:cs="宋体"/>
          <w:sz w:val="21"/>
          <w:szCs w:val="21"/>
          <w:highlight w:val="none"/>
          <w:lang w:val="en-US" w:eastAsia="zh-CN"/>
        </w:rPr>
        <w:t>5、</w:t>
      </w:r>
      <w:r>
        <w:rPr>
          <w:rFonts w:hint="eastAsia" w:ascii="宋体" w:hAnsi="宋体" w:cs="宋体"/>
          <w:sz w:val="21"/>
          <w:szCs w:val="21"/>
          <w:highlight w:val="none"/>
        </w:rPr>
        <w:t>本项目不接受联合体投标</w:t>
      </w:r>
    </w:p>
    <w:p>
      <w:pPr>
        <w:spacing w:line="440" w:lineRule="exact"/>
        <w:rPr>
          <w:rFonts w:hint="eastAsia" w:ascii="宋体" w:hAnsi="宋体" w:cs="宋体"/>
          <w:b/>
          <w:color w:val="000000"/>
          <w:kern w:val="0"/>
          <w:sz w:val="24"/>
          <w:szCs w:val="24"/>
          <w:highlight w:val="none"/>
          <w:shd w:val="clear" w:color="auto" w:fill="FFFFFF"/>
          <w:lang w:bidi="ar"/>
        </w:rPr>
      </w:pPr>
    </w:p>
    <w:sectPr>
      <w:headerReference r:id="rId3" w:type="default"/>
      <w:footerReference r:id="rId4" w:type="default"/>
      <w:pgSz w:w="11906" w:h="16838"/>
      <w:pgMar w:top="1440" w:right="1077" w:bottom="1440" w:left="1077" w:header="851" w:footer="992"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DejaVu Sans">
    <w:panose1 w:val="020B0603030804020204"/>
    <w:charset w:val="00"/>
    <w:family w:val="roman"/>
    <w:pitch w:val="default"/>
    <w:sig w:usb0="E7006EFF" w:usb1="D200FDFF" w:usb2="0A246029" w:usb3="0400200C" w:csb0="600001FF" w:csb1="DFFF0000"/>
  </w:font>
  <w:font w:name="方正书宋_GBK">
    <w:panose1 w:val="02000000000000000000"/>
    <w:charset w:val="86"/>
    <w:family w:val="auto"/>
    <w:pitch w:val="default"/>
    <w:sig w:usb0="00000001" w:usb1="08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 w:name="Calibri">
    <w:altName w:val="DejaVu Sans"/>
    <w:panose1 w:val="020F0502020204030204"/>
    <w:charset w:val="00"/>
    <w:family w:val="swiss"/>
    <w:pitch w:val="default"/>
    <w:sig w:usb0="00000000" w:usb1="00000000" w:usb2="00000001" w:usb3="00000000" w:csb0="0000019F" w:csb1="00000000"/>
  </w:font>
  <w:font w:name="Cambria">
    <w:altName w:val="FreeSerif"/>
    <w:panose1 w:val="02040503050406030204"/>
    <w:charset w:val="00"/>
    <w:family w:val="roman"/>
    <w:pitch w:val="default"/>
    <w:sig w:usb0="00000000" w:usb1="00000000" w:usb2="02000000" w:usb3="00000000" w:csb0="2000019F" w:csb1="00000000"/>
  </w:font>
  <w:font w:name="Calibri Light">
    <w:altName w:val="DejaVu Sans"/>
    <w:panose1 w:val="020F0302020204030204"/>
    <w:charset w:val="00"/>
    <w:family w:val="swiss"/>
    <w:pitch w:val="default"/>
    <w:sig w:usb0="00000000" w:usb1="00000000" w:usb2="00000009" w:usb3="00000000" w:csb0="200001FF" w:csb1="00000000"/>
  </w:font>
  <w:font w:name="等线">
    <w:altName w:val="文鼎ＰＬ简中楷"/>
    <w:panose1 w:val="02010600030101010101"/>
    <w:charset w:val="86"/>
    <w:family w:val="auto"/>
    <w:pitch w:val="default"/>
    <w:sig w:usb0="00000000" w:usb1="00000000" w:usb2="00000016" w:usb3="00000000" w:csb0="0004000F" w:csb1="00000000"/>
  </w:font>
  <w:font w:name="Courier New">
    <w:altName w:val="DejaVu Sans"/>
    <w:panose1 w:val="02070309020205020404"/>
    <w:charset w:val="01"/>
    <w:family w:val="modern"/>
    <w:pitch w:val="default"/>
    <w:sig w:usb0="00000000" w:usb1="00000000" w:usb2="00000009" w:usb3="00000000" w:csb0="400001FF" w:csb1="FFFF0000"/>
  </w:font>
  <w:font w:name="微软雅黑">
    <w:altName w:val="黑体"/>
    <w:panose1 w:val="020B0503020204020204"/>
    <w:charset w:val="86"/>
    <w:family w:val="swiss"/>
    <w:pitch w:val="default"/>
    <w:sig w:usb0="00000000" w:usb1="00000000" w:usb2="00000016" w:usb3="00000000" w:csb0="0004001F" w:csb1="00000000"/>
  </w:font>
  <w:font w:name="Arial">
    <w:altName w:val="DejaVu Sans"/>
    <w:panose1 w:val="020B0604020202020204"/>
    <w:charset w:val="01"/>
    <w:family w:val="swiss"/>
    <w:pitch w:val="default"/>
    <w:sig w:usb0="00000000" w:usb1="00000000" w:usb2="00000009" w:usb3="00000000" w:csb0="400001FF" w:csb1="FFFF0000"/>
  </w:font>
  <w:font w:name="黑体">
    <w:panose1 w:val="02010609060101010101"/>
    <w:charset w:val="86"/>
    <w:family w:val="auto"/>
    <w:pitch w:val="default"/>
    <w:sig w:usb0="800002BF" w:usb1="38CF7CFA" w:usb2="00000016" w:usb3="00000000" w:csb0="00040001" w:csb1="00000000"/>
  </w:font>
  <w:font w:name="仿宋">
    <w:altName w:val="方正仿宋_GBK"/>
    <w:panose1 w:val="02010609060101010101"/>
    <w:charset w:val="86"/>
    <w:family w:val="modern"/>
    <w:pitch w:val="default"/>
    <w:sig w:usb0="00000000" w:usb1="00000000" w:usb2="00000016" w:usb3="00000000" w:csb0="00040001" w:csb1="00000000"/>
  </w:font>
  <w:font w:name="Arial Unicode MS">
    <w:altName w:val="DejaVu Sans"/>
    <w:panose1 w:val="020B0604020202020204"/>
    <w:charset w:val="86"/>
    <w:family w:val="swiss"/>
    <w:pitch w:val="default"/>
    <w:sig w:usb0="00000000" w:usb1="00000000" w:usb2="0000003F" w:usb3="00000000" w:csb0="603F01FF" w:csb1="FFFF0000"/>
  </w:font>
  <w:font w:name="Wingdings">
    <w:altName w:val="MT Extra"/>
    <w:panose1 w:val="05000000000000000000"/>
    <w:charset w:val="02"/>
    <w:family w:val="auto"/>
    <w:pitch w:val="default"/>
    <w:sig w:usb0="00000000" w:usb1="00000000" w:usb2="00000000" w:usb3="00000000" w:csb0="80000000" w:csb1="00000000"/>
  </w:font>
  <w:font w:name="Futura Bk">
    <w:altName w:val="PakType Naskh Basic"/>
    <w:panose1 w:val="00000000000000000000"/>
    <w:charset w:val="00"/>
    <w:family w:val="swiss"/>
    <w:pitch w:val="default"/>
    <w:sig w:usb0="00000000" w:usb1="00000000" w:usb2="00000000" w:usb3="00000000" w:csb0="0000009F" w:csb1="00000000"/>
  </w:font>
  <w:font w:name="仿宋_GB2312">
    <w:panose1 w:val="02010609030101010101"/>
    <w:charset w:val="86"/>
    <w:family w:val="modern"/>
    <w:pitch w:val="default"/>
    <w:sig w:usb0="00000001" w:usb1="080E0000" w:usb2="00000000" w:usb3="00000000" w:csb0="00040000" w:csb1="00000000"/>
  </w:font>
  <w:font w:name="方正仿宋_GBK">
    <w:panose1 w:val="02000000000000000000"/>
    <w:charset w:val="86"/>
    <w:family w:val="script"/>
    <w:pitch w:val="default"/>
    <w:sig w:usb0="00000001" w:usb1="08000000" w:usb2="00000000" w:usb3="00000000" w:csb0="00040000" w:csb1="00000000"/>
  </w:font>
  <w:font w:name="FreeSerif">
    <w:panose1 w:val="02020603050405020304"/>
    <w:charset w:val="00"/>
    <w:family w:val="auto"/>
    <w:pitch w:val="default"/>
    <w:sig w:usb0="E59FAFFF" w:usb1="C200FDFF" w:usb2="43501B29" w:usb3="04000043" w:csb0="6001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jc w:val="center"/>
    </w:pPr>
    <w:r>
      <w:rPr>
        <w:lang w:val="zh-CN"/>
      </w:rPr>
      <w:t xml:space="preserve"> </w:t>
    </w:r>
    <w:r>
      <w:rPr>
        <w:b/>
        <w:bCs/>
      </w:rPr>
      <w:fldChar w:fldCharType="begin"/>
    </w:r>
    <w:r>
      <w:rPr>
        <w:b/>
        <w:bCs/>
      </w:rPr>
      <w:instrText xml:space="preserve">PAGE  \* Arabic  \* MERGEFORMAT</w:instrText>
    </w:r>
    <w:r>
      <w:rPr>
        <w:b/>
        <w:bCs/>
      </w:rPr>
      <w:fldChar w:fldCharType="separate"/>
    </w:r>
    <w:r>
      <w:rPr>
        <w:b/>
        <w:bCs/>
        <w:lang w:val="zh-CN"/>
      </w:rPr>
      <w:t>8</w:t>
    </w:r>
    <w:r>
      <w:rPr>
        <w:b/>
        <w:bCs/>
      </w:rPr>
      <w:fldChar w:fldCharType="end"/>
    </w:r>
    <w:r>
      <w:rPr>
        <w:lang w:val="zh-CN"/>
      </w:rPr>
      <w:t xml:space="preserve"> / </w:t>
    </w:r>
    <w:r>
      <w:rPr>
        <w:b/>
        <w:bCs/>
      </w:rPr>
      <w:fldChar w:fldCharType="begin"/>
    </w:r>
    <w:r>
      <w:rPr>
        <w:b/>
        <w:bCs/>
      </w:rPr>
      <w:instrText xml:space="preserve">NUMPAGES  \* Arabic  \* MERGEFORMAT</w:instrText>
    </w:r>
    <w:r>
      <w:rPr>
        <w:b/>
        <w:bCs/>
      </w:rPr>
      <w:fldChar w:fldCharType="separate"/>
    </w:r>
    <w:r>
      <w:rPr>
        <w:b/>
        <w:bCs/>
        <w:lang w:val="zh-CN"/>
      </w:rPr>
      <w:t>8</w:t>
    </w:r>
    <w:r>
      <w:rPr>
        <w:b/>
        <w:bCs/>
      </w:rPr>
      <w:fldChar w:fldCharType="end"/>
    </w:r>
  </w:p>
  <w:p>
    <w:pPr>
      <w:pStyle w:val="27"/>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pBdr>
        <w:bottom w:val="single" w:color="auto" w:sz="6" w:space="0"/>
      </w:pBdr>
      <w:jc w:val="left"/>
    </w:pPr>
    <w:r>
      <w:rPr>
        <w:rFonts w:hint="eastAsia"/>
      </w:rPr>
      <w:t xml:space="preserve">ZC20250021   </w:t>
    </w:r>
    <w:r>
      <w:rPr>
        <w:rFonts w:hint="eastAsia"/>
        <w:lang w:eastAsia="zh-CN"/>
      </w:rPr>
      <w:t>上海市长宁区市政工程管理中心雨污混接普查（一期）服务公开招标项目</w:t>
    </w:r>
    <w:r>
      <w:rPr>
        <w:rFonts w:hint="eastAsia"/>
      </w:rPr>
      <w:t xml:space="preserve">              采购需求文件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8"/>
    <w:multiLevelType w:val="singleLevel"/>
    <w:tmpl w:val="FFFFFF88"/>
    <w:lvl w:ilvl="0" w:tentative="0">
      <w:start w:val="1"/>
      <w:numFmt w:val="decimal"/>
      <w:lvlText w:val="%1."/>
      <w:lvlJc w:val="left"/>
      <w:pPr>
        <w:tabs>
          <w:tab w:val="left" w:pos="360"/>
        </w:tabs>
        <w:ind w:left="360" w:hanging="360"/>
      </w:pPr>
    </w:lvl>
  </w:abstractNum>
  <w:abstractNum w:abstractNumId="1">
    <w:nsid w:val="00000040"/>
    <w:multiLevelType w:val="multilevel"/>
    <w:tmpl w:val="00000040"/>
    <w:lvl w:ilvl="0" w:tentative="0">
      <w:start w:val="1"/>
      <w:numFmt w:val="bullet"/>
      <w:pStyle w:val="97"/>
      <w:lvlText w:val=""/>
      <w:lvlJc w:val="left"/>
      <w:pPr>
        <w:tabs>
          <w:tab w:val="left" w:pos="960"/>
        </w:tabs>
        <w:ind w:left="960" w:hanging="420"/>
      </w:pPr>
      <w:rPr>
        <w:rFonts w:hint="default" w:ascii="Wingdings" w:hAnsi="Wingdings"/>
      </w:rPr>
    </w:lvl>
    <w:lvl w:ilvl="1" w:tentative="0">
      <w:start w:val="1"/>
      <w:numFmt w:val="bullet"/>
      <w:lvlText w:val=""/>
      <w:lvlJc w:val="left"/>
      <w:pPr>
        <w:tabs>
          <w:tab w:val="left" w:pos="1380"/>
        </w:tabs>
        <w:ind w:left="1380" w:hanging="420"/>
      </w:pPr>
      <w:rPr>
        <w:rFonts w:hint="default" w:ascii="Wingdings" w:hAnsi="Wingdings"/>
      </w:rPr>
    </w:lvl>
    <w:lvl w:ilvl="2" w:tentative="0">
      <w:start w:val="1"/>
      <w:numFmt w:val="bullet"/>
      <w:lvlText w:val=""/>
      <w:lvlJc w:val="left"/>
      <w:pPr>
        <w:tabs>
          <w:tab w:val="left" w:pos="1800"/>
        </w:tabs>
        <w:ind w:left="1800" w:hanging="420"/>
      </w:pPr>
      <w:rPr>
        <w:rFonts w:hint="default" w:ascii="Wingdings" w:hAnsi="Wingdings"/>
      </w:rPr>
    </w:lvl>
    <w:lvl w:ilvl="3" w:tentative="0">
      <w:start w:val="1"/>
      <w:numFmt w:val="bullet"/>
      <w:lvlText w:val=""/>
      <w:lvlJc w:val="left"/>
      <w:pPr>
        <w:tabs>
          <w:tab w:val="left" w:pos="2220"/>
        </w:tabs>
        <w:ind w:left="2220" w:hanging="420"/>
      </w:pPr>
      <w:rPr>
        <w:rFonts w:hint="default" w:ascii="Wingdings" w:hAnsi="Wingdings"/>
      </w:rPr>
    </w:lvl>
    <w:lvl w:ilvl="4" w:tentative="0">
      <w:start w:val="1"/>
      <w:numFmt w:val="bullet"/>
      <w:lvlText w:val=""/>
      <w:lvlJc w:val="left"/>
      <w:pPr>
        <w:tabs>
          <w:tab w:val="left" w:pos="2640"/>
        </w:tabs>
        <w:ind w:left="2640" w:hanging="420"/>
      </w:pPr>
      <w:rPr>
        <w:rFonts w:hint="default" w:ascii="Wingdings" w:hAnsi="Wingdings"/>
      </w:rPr>
    </w:lvl>
    <w:lvl w:ilvl="5" w:tentative="0">
      <w:start w:val="1"/>
      <w:numFmt w:val="bullet"/>
      <w:lvlText w:val=""/>
      <w:lvlJc w:val="left"/>
      <w:pPr>
        <w:tabs>
          <w:tab w:val="left" w:pos="3060"/>
        </w:tabs>
        <w:ind w:left="3060" w:hanging="420"/>
      </w:pPr>
      <w:rPr>
        <w:rFonts w:hint="default" w:ascii="Wingdings" w:hAnsi="Wingdings"/>
      </w:rPr>
    </w:lvl>
    <w:lvl w:ilvl="6" w:tentative="0">
      <w:start w:val="1"/>
      <w:numFmt w:val="bullet"/>
      <w:pStyle w:val="165"/>
      <w:lvlText w:val=""/>
      <w:lvlJc w:val="left"/>
      <w:pPr>
        <w:tabs>
          <w:tab w:val="left" w:pos="3480"/>
        </w:tabs>
        <w:ind w:left="3480" w:hanging="420"/>
      </w:pPr>
      <w:rPr>
        <w:rFonts w:hint="default" w:ascii="Wingdings" w:hAnsi="Wingdings"/>
      </w:rPr>
    </w:lvl>
    <w:lvl w:ilvl="7" w:tentative="0">
      <w:start w:val="1"/>
      <w:numFmt w:val="bullet"/>
      <w:pStyle w:val="164"/>
      <w:lvlText w:val=""/>
      <w:lvlJc w:val="left"/>
      <w:pPr>
        <w:tabs>
          <w:tab w:val="left" w:pos="3900"/>
        </w:tabs>
        <w:ind w:left="3900" w:hanging="420"/>
      </w:pPr>
      <w:rPr>
        <w:rFonts w:hint="default" w:ascii="Wingdings" w:hAnsi="Wingdings"/>
      </w:rPr>
    </w:lvl>
    <w:lvl w:ilvl="8" w:tentative="0">
      <w:start w:val="1"/>
      <w:numFmt w:val="bullet"/>
      <w:lvlText w:val=""/>
      <w:lvlJc w:val="left"/>
      <w:pPr>
        <w:tabs>
          <w:tab w:val="left" w:pos="4320"/>
        </w:tabs>
        <w:ind w:left="4320" w:hanging="420"/>
      </w:pPr>
      <w:rPr>
        <w:rFonts w:hint="default" w:ascii="Wingdings" w:hAnsi="Wingdings"/>
      </w:rPr>
    </w:lvl>
  </w:abstractNum>
  <w:abstractNum w:abstractNumId="2">
    <w:nsid w:val="10C333E1"/>
    <w:multiLevelType w:val="multilevel"/>
    <w:tmpl w:val="10C333E1"/>
    <w:lvl w:ilvl="0" w:tentative="0">
      <w:start w:val="1"/>
      <w:numFmt w:val="decimal"/>
      <w:pStyle w:val="121"/>
      <w:lvlText w:val="%1)"/>
      <w:lvlJc w:val="left"/>
      <w:pPr>
        <w:tabs>
          <w:tab w:val="left" w:pos="1320"/>
        </w:tabs>
        <w:ind w:left="1320" w:hanging="360"/>
      </w:pPr>
    </w:lvl>
    <w:lvl w:ilvl="1" w:tentative="0">
      <w:start w:val="1"/>
      <w:numFmt w:val="lowerLetter"/>
      <w:lvlText w:val="%2."/>
      <w:lvlJc w:val="left"/>
      <w:pPr>
        <w:tabs>
          <w:tab w:val="left" w:pos="2040"/>
        </w:tabs>
        <w:ind w:left="2040" w:hanging="360"/>
      </w:pPr>
    </w:lvl>
    <w:lvl w:ilvl="2" w:tentative="0">
      <w:start w:val="1"/>
      <w:numFmt w:val="lowerRoman"/>
      <w:lvlText w:val="%3."/>
      <w:lvlJc w:val="right"/>
      <w:pPr>
        <w:tabs>
          <w:tab w:val="left" w:pos="2760"/>
        </w:tabs>
        <w:ind w:left="2760" w:hanging="180"/>
      </w:pPr>
    </w:lvl>
    <w:lvl w:ilvl="3" w:tentative="0">
      <w:start w:val="1"/>
      <w:numFmt w:val="decimal"/>
      <w:lvlText w:val="%4."/>
      <w:lvlJc w:val="left"/>
      <w:pPr>
        <w:tabs>
          <w:tab w:val="left" w:pos="3480"/>
        </w:tabs>
        <w:ind w:left="3480" w:hanging="360"/>
      </w:pPr>
    </w:lvl>
    <w:lvl w:ilvl="4" w:tentative="0">
      <w:start w:val="1"/>
      <w:numFmt w:val="lowerLetter"/>
      <w:lvlText w:val="%5."/>
      <w:lvlJc w:val="left"/>
      <w:pPr>
        <w:tabs>
          <w:tab w:val="left" w:pos="4200"/>
        </w:tabs>
        <w:ind w:left="4200" w:hanging="360"/>
      </w:pPr>
    </w:lvl>
    <w:lvl w:ilvl="5" w:tentative="0">
      <w:start w:val="1"/>
      <w:numFmt w:val="lowerRoman"/>
      <w:lvlText w:val="%6."/>
      <w:lvlJc w:val="right"/>
      <w:pPr>
        <w:tabs>
          <w:tab w:val="left" w:pos="4920"/>
        </w:tabs>
        <w:ind w:left="4920" w:hanging="180"/>
      </w:pPr>
    </w:lvl>
    <w:lvl w:ilvl="6" w:tentative="0">
      <w:start w:val="1"/>
      <w:numFmt w:val="decimal"/>
      <w:lvlText w:val="%7."/>
      <w:lvlJc w:val="left"/>
      <w:pPr>
        <w:tabs>
          <w:tab w:val="left" w:pos="5640"/>
        </w:tabs>
        <w:ind w:left="5640" w:hanging="360"/>
      </w:pPr>
    </w:lvl>
    <w:lvl w:ilvl="7" w:tentative="0">
      <w:start w:val="1"/>
      <w:numFmt w:val="lowerLetter"/>
      <w:lvlText w:val="%8."/>
      <w:lvlJc w:val="left"/>
      <w:pPr>
        <w:tabs>
          <w:tab w:val="left" w:pos="6360"/>
        </w:tabs>
        <w:ind w:left="6360" w:hanging="360"/>
      </w:pPr>
    </w:lvl>
    <w:lvl w:ilvl="8" w:tentative="0">
      <w:start w:val="1"/>
      <w:numFmt w:val="lowerRoman"/>
      <w:lvlText w:val="%9."/>
      <w:lvlJc w:val="right"/>
      <w:pPr>
        <w:tabs>
          <w:tab w:val="left" w:pos="7080"/>
        </w:tabs>
        <w:ind w:left="7080" w:hanging="180"/>
      </w:pPr>
    </w:lvl>
  </w:abstractNum>
  <w:abstractNum w:abstractNumId="3">
    <w:nsid w:val="2C4C231E"/>
    <w:multiLevelType w:val="multilevel"/>
    <w:tmpl w:val="2C4C231E"/>
    <w:lvl w:ilvl="0" w:tentative="0">
      <w:start w:val="1"/>
      <w:numFmt w:val="bullet"/>
      <w:pStyle w:val="123"/>
      <w:lvlText w:val=""/>
      <w:lvlJc w:val="left"/>
      <w:pPr>
        <w:tabs>
          <w:tab w:val="left" w:pos="1320"/>
        </w:tabs>
        <w:ind w:left="1320" w:hanging="360"/>
      </w:pPr>
      <w:rPr>
        <w:rFonts w:hint="default" w:ascii="Wingdings" w:hAnsi="Wingdings"/>
      </w:rPr>
    </w:lvl>
    <w:lvl w:ilvl="1" w:tentative="0">
      <w:start w:val="1"/>
      <w:numFmt w:val="bullet"/>
      <w:lvlText w:val=""/>
      <w:lvlJc w:val="left"/>
      <w:pPr>
        <w:tabs>
          <w:tab w:val="left" w:pos="1800"/>
        </w:tabs>
        <w:ind w:left="1800" w:hanging="420"/>
      </w:pPr>
      <w:rPr>
        <w:rFonts w:hint="default" w:ascii="Wingdings" w:hAnsi="Wingdings"/>
      </w:rPr>
    </w:lvl>
    <w:lvl w:ilvl="2" w:tentative="0">
      <w:start w:val="1"/>
      <w:numFmt w:val="bullet"/>
      <w:lvlText w:val=""/>
      <w:lvlJc w:val="left"/>
      <w:pPr>
        <w:tabs>
          <w:tab w:val="left" w:pos="2220"/>
        </w:tabs>
        <w:ind w:left="2220" w:hanging="420"/>
      </w:pPr>
      <w:rPr>
        <w:rFonts w:hint="default" w:ascii="Wingdings" w:hAnsi="Wingdings"/>
      </w:rPr>
    </w:lvl>
    <w:lvl w:ilvl="3" w:tentative="0">
      <w:start w:val="1"/>
      <w:numFmt w:val="bullet"/>
      <w:lvlText w:val=""/>
      <w:lvlJc w:val="left"/>
      <w:pPr>
        <w:tabs>
          <w:tab w:val="left" w:pos="2640"/>
        </w:tabs>
        <w:ind w:left="2640" w:hanging="420"/>
      </w:pPr>
      <w:rPr>
        <w:rFonts w:hint="default" w:ascii="Wingdings" w:hAnsi="Wingdings"/>
      </w:rPr>
    </w:lvl>
    <w:lvl w:ilvl="4" w:tentative="0">
      <w:start w:val="1"/>
      <w:numFmt w:val="bullet"/>
      <w:lvlText w:val=""/>
      <w:lvlJc w:val="left"/>
      <w:pPr>
        <w:tabs>
          <w:tab w:val="left" w:pos="3060"/>
        </w:tabs>
        <w:ind w:left="3060" w:hanging="420"/>
      </w:pPr>
      <w:rPr>
        <w:rFonts w:hint="default" w:ascii="Wingdings" w:hAnsi="Wingdings"/>
      </w:rPr>
    </w:lvl>
    <w:lvl w:ilvl="5" w:tentative="0">
      <w:start w:val="1"/>
      <w:numFmt w:val="bullet"/>
      <w:lvlText w:val=""/>
      <w:lvlJc w:val="left"/>
      <w:pPr>
        <w:tabs>
          <w:tab w:val="left" w:pos="3480"/>
        </w:tabs>
        <w:ind w:left="3480" w:hanging="420"/>
      </w:pPr>
      <w:rPr>
        <w:rFonts w:hint="default" w:ascii="Wingdings" w:hAnsi="Wingdings"/>
      </w:rPr>
    </w:lvl>
    <w:lvl w:ilvl="6" w:tentative="0">
      <w:start w:val="1"/>
      <w:numFmt w:val="bullet"/>
      <w:lvlText w:val=""/>
      <w:lvlJc w:val="left"/>
      <w:pPr>
        <w:tabs>
          <w:tab w:val="left" w:pos="3900"/>
        </w:tabs>
        <w:ind w:left="3900" w:hanging="420"/>
      </w:pPr>
      <w:rPr>
        <w:rFonts w:hint="default" w:ascii="Wingdings" w:hAnsi="Wingdings"/>
      </w:rPr>
    </w:lvl>
    <w:lvl w:ilvl="7" w:tentative="0">
      <w:start w:val="1"/>
      <w:numFmt w:val="bullet"/>
      <w:lvlText w:val=""/>
      <w:lvlJc w:val="left"/>
      <w:pPr>
        <w:tabs>
          <w:tab w:val="left" w:pos="4320"/>
        </w:tabs>
        <w:ind w:left="4320" w:hanging="420"/>
      </w:pPr>
      <w:rPr>
        <w:rFonts w:hint="default" w:ascii="Wingdings" w:hAnsi="Wingdings"/>
      </w:rPr>
    </w:lvl>
    <w:lvl w:ilvl="8" w:tentative="0">
      <w:start w:val="1"/>
      <w:numFmt w:val="bullet"/>
      <w:lvlText w:val=""/>
      <w:lvlJc w:val="left"/>
      <w:pPr>
        <w:tabs>
          <w:tab w:val="left" w:pos="4740"/>
        </w:tabs>
        <w:ind w:left="4740" w:hanging="420"/>
      </w:pPr>
      <w:rPr>
        <w:rFonts w:hint="default" w:ascii="Wingdings" w:hAnsi="Wingdings"/>
      </w:rPr>
    </w:lvl>
  </w:abstractNum>
  <w:abstractNum w:abstractNumId="4">
    <w:nsid w:val="542F4E91"/>
    <w:multiLevelType w:val="multilevel"/>
    <w:tmpl w:val="542F4E91"/>
    <w:lvl w:ilvl="0" w:tentative="0">
      <w:start w:val="1"/>
      <w:numFmt w:val="decimal"/>
      <w:pStyle w:val="124"/>
      <w:lvlText w:val="%1、"/>
      <w:lvlJc w:val="left"/>
      <w:pPr>
        <w:tabs>
          <w:tab w:val="left" w:pos="960"/>
        </w:tabs>
        <w:ind w:left="960" w:hanging="360"/>
      </w:pPr>
    </w:lvl>
    <w:lvl w:ilvl="1" w:tentative="0">
      <w:start w:val="1"/>
      <w:numFmt w:val="lowerLetter"/>
      <w:lvlText w:val="%2."/>
      <w:lvlJc w:val="left"/>
      <w:pPr>
        <w:tabs>
          <w:tab w:val="left" w:pos="1440"/>
        </w:tabs>
        <w:ind w:left="1440" w:hanging="360"/>
      </w:pPr>
    </w:lvl>
    <w:lvl w:ilvl="2" w:tentative="0">
      <w:start w:val="1"/>
      <w:numFmt w:val="lowerRoman"/>
      <w:lvlText w:val="%3."/>
      <w:lvlJc w:val="right"/>
      <w:pPr>
        <w:tabs>
          <w:tab w:val="left" w:pos="2160"/>
        </w:tabs>
        <w:ind w:left="2160" w:hanging="180"/>
      </w:pPr>
    </w:lvl>
    <w:lvl w:ilvl="3" w:tentative="0">
      <w:start w:val="1"/>
      <w:numFmt w:val="decimal"/>
      <w:lvlText w:val="%4."/>
      <w:lvlJc w:val="left"/>
      <w:pPr>
        <w:tabs>
          <w:tab w:val="left" w:pos="2880"/>
        </w:tabs>
        <w:ind w:left="2880" w:hanging="360"/>
      </w:pPr>
    </w:lvl>
    <w:lvl w:ilvl="4" w:tentative="0">
      <w:start w:val="1"/>
      <w:numFmt w:val="lowerLetter"/>
      <w:lvlText w:val="%5."/>
      <w:lvlJc w:val="left"/>
      <w:pPr>
        <w:tabs>
          <w:tab w:val="left" w:pos="3600"/>
        </w:tabs>
        <w:ind w:left="3600" w:hanging="360"/>
      </w:pPr>
    </w:lvl>
    <w:lvl w:ilvl="5" w:tentative="0">
      <w:start w:val="1"/>
      <w:numFmt w:val="lowerRoman"/>
      <w:lvlText w:val="%6."/>
      <w:lvlJc w:val="right"/>
      <w:pPr>
        <w:tabs>
          <w:tab w:val="left" w:pos="4320"/>
        </w:tabs>
        <w:ind w:left="4320" w:hanging="180"/>
      </w:pPr>
    </w:lvl>
    <w:lvl w:ilvl="6" w:tentative="0">
      <w:start w:val="1"/>
      <w:numFmt w:val="decimal"/>
      <w:lvlText w:val="%7."/>
      <w:lvlJc w:val="left"/>
      <w:pPr>
        <w:tabs>
          <w:tab w:val="left" w:pos="5040"/>
        </w:tabs>
        <w:ind w:left="5040" w:hanging="360"/>
      </w:pPr>
    </w:lvl>
    <w:lvl w:ilvl="7" w:tentative="0">
      <w:start w:val="1"/>
      <w:numFmt w:val="lowerLetter"/>
      <w:lvlText w:val="%8."/>
      <w:lvlJc w:val="left"/>
      <w:pPr>
        <w:tabs>
          <w:tab w:val="left" w:pos="5760"/>
        </w:tabs>
        <w:ind w:left="5760" w:hanging="360"/>
      </w:pPr>
    </w:lvl>
    <w:lvl w:ilvl="8" w:tentative="0">
      <w:start w:val="1"/>
      <w:numFmt w:val="lowerRoman"/>
      <w:lvlText w:val="%9."/>
      <w:lvlJc w:val="right"/>
      <w:pPr>
        <w:tabs>
          <w:tab w:val="left" w:pos="6480"/>
        </w:tabs>
        <w:ind w:left="6480" w:hanging="180"/>
      </w:pPr>
    </w:lvl>
  </w:abstractNum>
  <w:abstractNum w:abstractNumId="5">
    <w:nsid w:val="596241FC"/>
    <w:multiLevelType w:val="singleLevel"/>
    <w:tmpl w:val="596241FC"/>
    <w:lvl w:ilvl="0" w:tentative="0">
      <w:start w:val="1"/>
      <w:numFmt w:val="bullet"/>
      <w:lvlText w:val=""/>
      <w:lvlJc w:val="left"/>
      <w:pPr>
        <w:tabs>
          <w:tab w:val="left" w:pos="780"/>
        </w:tabs>
        <w:ind w:left="780" w:hanging="360"/>
      </w:pPr>
      <w:rPr>
        <w:rFonts w:hint="default" w:ascii="Wingdings" w:hAnsi="Wingdings"/>
      </w:rPr>
    </w:lvl>
  </w:abstractNum>
  <w:abstractNum w:abstractNumId="6">
    <w:nsid w:val="6BD879AA"/>
    <w:multiLevelType w:val="multilevel"/>
    <w:tmpl w:val="6BD879AA"/>
    <w:lvl w:ilvl="0" w:tentative="0">
      <w:start w:val="1"/>
      <w:numFmt w:val="bullet"/>
      <w:pStyle w:val="103"/>
      <w:lvlText w:val=""/>
      <w:lvlJc w:val="left"/>
      <w:pPr>
        <w:ind w:left="900" w:hanging="420"/>
      </w:pPr>
      <w:rPr>
        <w:rFonts w:hint="default" w:ascii="Wingdings" w:hAnsi="Wingdings"/>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abstractNum w:abstractNumId="7">
    <w:nsid w:val="714C3954"/>
    <w:multiLevelType w:val="multilevel"/>
    <w:tmpl w:val="714C3954"/>
    <w:lvl w:ilvl="0" w:tentative="0">
      <w:start w:val="1"/>
      <w:numFmt w:val="bullet"/>
      <w:pStyle w:val="130"/>
      <w:lvlText w:val=""/>
      <w:lvlJc w:val="left"/>
      <w:pPr>
        <w:tabs>
          <w:tab w:val="left" w:pos="620"/>
        </w:tabs>
        <w:ind w:left="620" w:hanging="420"/>
      </w:pPr>
      <w:rPr>
        <w:rFonts w:hint="default" w:ascii="Wingdings" w:hAnsi="Wingdings"/>
      </w:rPr>
    </w:lvl>
    <w:lvl w:ilvl="1" w:tentative="0">
      <w:start w:val="1"/>
      <w:numFmt w:val="decimal"/>
      <w:lvlText w:val="%2)"/>
      <w:lvlJc w:val="left"/>
      <w:pPr>
        <w:tabs>
          <w:tab w:val="left" w:pos="840"/>
        </w:tabs>
        <w:ind w:left="840" w:hanging="420"/>
      </w:pPr>
      <w:rPr>
        <w:rFonts w:hint="default"/>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8">
    <w:nsid w:val="7CC3C27E"/>
    <w:multiLevelType w:val="singleLevel"/>
    <w:tmpl w:val="7CC3C27E"/>
    <w:lvl w:ilvl="0" w:tentative="0">
      <w:start w:val="1"/>
      <w:numFmt w:val="decimal"/>
      <w:pStyle w:val="76"/>
      <w:lvlText w:val="(%1)"/>
      <w:lvlJc w:val="left"/>
      <w:pPr>
        <w:ind w:left="425" w:hanging="425"/>
      </w:pPr>
      <w:rPr>
        <w:rFonts w:hint="default"/>
      </w:rPr>
    </w:lvl>
  </w:abstractNum>
  <w:num w:numId="1">
    <w:abstractNumId w:val="0"/>
  </w:num>
  <w:num w:numId="2">
    <w:abstractNumId w:val="8"/>
  </w:num>
  <w:num w:numId="3">
    <w:abstractNumId w:val="1"/>
  </w:num>
  <w:num w:numId="4">
    <w:abstractNumId w:val="6"/>
  </w:num>
  <w:num w:numId="5">
    <w:abstractNumId w:val="2"/>
  </w:num>
  <w:num w:numId="6">
    <w:abstractNumId w:val="3"/>
  </w:num>
  <w:num w:numId="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7"/>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bordersDoNotSurroundHeader w:val="0"/>
  <w:bordersDoNotSurroundFooter w:val="0"/>
  <w:documentProtection w:enforcement="0"/>
  <w:defaultTabStop w:val="420"/>
  <w:doNotHyphenateCaps/>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DViY2JkMjU3NGYzZTEwMzZmMGFkZWViYmNkYWU3NDIifQ=="/>
    <w:docVar w:name="KSO_WPS_MARK_KEY" w:val="65d34761-4703-4edb-afb2-c85fb610c406"/>
  </w:docVars>
  <w:rsids>
    <w:rsidRoot w:val="00FB57A8"/>
    <w:rsid w:val="00001798"/>
    <w:rsid w:val="00016876"/>
    <w:rsid w:val="0001736B"/>
    <w:rsid w:val="00021FC1"/>
    <w:rsid w:val="0002486F"/>
    <w:rsid w:val="00024CEE"/>
    <w:rsid w:val="00025A58"/>
    <w:rsid w:val="00026E71"/>
    <w:rsid w:val="0003726D"/>
    <w:rsid w:val="00040BF5"/>
    <w:rsid w:val="000474B5"/>
    <w:rsid w:val="000510D7"/>
    <w:rsid w:val="0005402E"/>
    <w:rsid w:val="000546BA"/>
    <w:rsid w:val="000558C5"/>
    <w:rsid w:val="00062A5C"/>
    <w:rsid w:val="0007152B"/>
    <w:rsid w:val="00080901"/>
    <w:rsid w:val="00081C75"/>
    <w:rsid w:val="00086D1E"/>
    <w:rsid w:val="000879C5"/>
    <w:rsid w:val="00092F6E"/>
    <w:rsid w:val="00093985"/>
    <w:rsid w:val="000A0488"/>
    <w:rsid w:val="000A2C3A"/>
    <w:rsid w:val="000A36CD"/>
    <w:rsid w:val="000A4CF3"/>
    <w:rsid w:val="000B64B1"/>
    <w:rsid w:val="000B7895"/>
    <w:rsid w:val="000C48B2"/>
    <w:rsid w:val="000C4AF0"/>
    <w:rsid w:val="000D6A5B"/>
    <w:rsid w:val="000E241B"/>
    <w:rsid w:val="000E3875"/>
    <w:rsid w:val="000F58E9"/>
    <w:rsid w:val="0010660B"/>
    <w:rsid w:val="00110EF5"/>
    <w:rsid w:val="00111562"/>
    <w:rsid w:val="00113CDB"/>
    <w:rsid w:val="00114E5F"/>
    <w:rsid w:val="00116B6D"/>
    <w:rsid w:val="001218FB"/>
    <w:rsid w:val="001246E6"/>
    <w:rsid w:val="00125173"/>
    <w:rsid w:val="00125795"/>
    <w:rsid w:val="00126B92"/>
    <w:rsid w:val="00126CCF"/>
    <w:rsid w:val="0013074D"/>
    <w:rsid w:val="001323DD"/>
    <w:rsid w:val="00132EDB"/>
    <w:rsid w:val="001429D5"/>
    <w:rsid w:val="00151283"/>
    <w:rsid w:val="001577F6"/>
    <w:rsid w:val="00160ADB"/>
    <w:rsid w:val="00162612"/>
    <w:rsid w:val="00163B4B"/>
    <w:rsid w:val="00171B43"/>
    <w:rsid w:val="00172281"/>
    <w:rsid w:val="001776DD"/>
    <w:rsid w:val="00181F44"/>
    <w:rsid w:val="00183531"/>
    <w:rsid w:val="00184AEA"/>
    <w:rsid w:val="0019177E"/>
    <w:rsid w:val="001924F9"/>
    <w:rsid w:val="00194A5D"/>
    <w:rsid w:val="001A0B0F"/>
    <w:rsid w:val="001A251D"/>
    <w:rsid w:val="001A72E4"/>
    <w:rsid w:val="001D1598"/>
    <w:rsid w:val="001D159B"/>
    <w:rsid w:val="001D1741"/>
    <w:rsid w:val="001D2D02"/>
    <w:rsid w:val="001D2FE5"/>
    <w:rsid w:val="001D467C"/>
    <w:rsid w:val="001D7518"/>
    <w:rsid w:val="001E7463"/>
    <w:rsid w:val="001F7B91"/>
    <w:rsid w:val="002011EF"/>
    <w:rsid w:val="00203746"/>
    <w:rsid w:val="002066FD"/>
    <w:rsid w:val="00210FFA"/>
    <w:rsid w:val="00212441"/>
    <w:rsid w:val="00214040"/>
    <w:rsid w:val="002154C8"/>
    <w:rsid w:val="00220671"/>
    <w:rsid w:val="002226DE"/>
    <w:rsid w:val="0022591E"/>
    <w:rsid w:val="00226060"/>
    <w:rsid w:val="002323A8"/>
    <w:rsid w:val="002327F0"/>
    <w:rsid w:val="0023643E"/>
    <w:rsid w:val="00243580"/>
    <w:rsid w:val="00245F5D"/>
    <w:rsid w:val="00250FA2"/>
    <w:rsid w:val="0025751D"/>
    <w:rsid w:val="00271D6C"/>
    <w:rsid w:val="00273141"/>
    <w:rsid w:val="00274068"/>
    <w:rsid w:val="002918A5"/>
    <w:rsid w:val="0029442F"/>
    <w:rsid w:val="00294875"/>
    <w:rsid w:val="002A148D"/>
    <w:rsid w:val="002B2538"/>
    <w:rsid w:val="002B6B2D"/>
    <w:rsid w:val="002D1BE9"/>
    <w:rsid w:val="002D3FA5"/>
    <w:rsid w:val="002D40B2"/>
    <w:rsid w:val="002E01C1"/>
    <w:rsid w:val="002E12A4"/>
    <w:rsid w:val="002E4F3C"/>
    <w:rsid w:val="002E5B01"/>
    <w:rsid w:val="002F6768"/>
    <w:rsid w:val="0030092A"/>
    <w:rsid w:val="00303226"/>
    <w:rsid w:val="0030554C"/>
    <w:rsid w:val="00324AB4"/>
    <w:rsid w:val="00325E67"/>
    <w:rsid w:val="003277F3"/>
    <w:rsid w:val="003364B2"/>
    <w:rsid w:val="00337553"/>
    <w:rsid w:val="00341160"/>
    <w:rsid w:val="0034134A"/>
    <w:rsid w:val="003566FD"/>
    <w:rsid w:val="00361162"/>
    <w:rsid w:val="00363AC0"/>
    <w:rsid w:val="00364976"/>
    <w:rsid w:val="00366544"/>
    <w:rsid w:val="00373E26"/>
    <w:rsid w:val="00376314"/>
    <w:rsid w:val="00376504"/>
    <w:rsid w:val="00376A86"/>
    <w:rsid w:val="00382792"/>
    <w:rsid w:val="00383AC2"/>
    <w:rsid w:val="00384197"/>
    <w:rsid w:val="00385461"/>
    <w:rsid w:val="00392CF1"/>
    <w:rsid w:val="00392F2B"/>
    <w:rsid w:val="00396F49"/>
    <w:rsid w:val="003A446A"/>
    <w:rsid w:val="003B017A"/>
    <w:rsid w:val="003B7611"/>
    <w:rsid w:val="003C0FC3"/>
    <w:rsid w:val="003C188D"/>
    <w:rsid w:val="003C354C"/>
    <w:rsid w:val="003C5B9C"/>
    <w:rsid w:val="003D18B0"/>
    <w:rsid w:val="003D45F9"/>
    <w:rsid w:val="003D666A"/>
    <w:rsid w:val="003D71EF"/>
    <w:rsid w:val="003E56AD"/>
    <w:rsid w:val="003E74C1"/>
    <w:rsid w:val="004061BB"/>
    <w:rsid w:val="004110B1"/>
    <w:rsid w:val="004334C2"/>
    <w:rsid w:val="00433729"/>
    <w:rsid w:val="00433894"/>
    <w:rsid w:val="004435DB"/>
    <w:rsid w:val="004513BC"/>
    <w:rsid w:val="004516D9"/>
    <w:rsid w:val="0045417B"/>
    <w:rsid w:val="00455EF5"/>
    <w:rsid w:val="00455FF4"/>
    <w:rsid w:val="00457656"/>
    <w:rsid w:val="00460416"/>
    <w:rsid w:val="0046416C"/>
    <w:rsid w:val="004647C3"/>
    <w:rsid w:val="0046652B"/>
    <w:rsid w:val="00470351"/>
    <w:rsid w:val="00472E67"/>
    <w:rsid w:val="0047655C"/>
    <w:rsid w:val="00486369"/>
    <w:rsid w:val="0049057F"/>
    <w:rsid w:val="004924E6"/>
    <w:rsid w:val="00492D57"/>
    <w:rsid w:val="00493D98"/>
    <w:rsid w:val="004944E7"/>
    <w:rsid w:val="004947B6"/>
    <w:rsid w:val="00497EE0"/>
    <w:rsid w:val="004A215E"/>
    <w:rsid w:val="004A7ABE"/>
    <w:rsid w:val="004B0730"/>
    <w:rsid w:val="004B1889"/>
    <w:rsid w:val="004B31D3"/>
    <w:rsid w:val="004B626E"/>
    <w:rsid w:val="004B733D"/>
    <w:rsid w:val="004B7AB8"/>
    <w:rsid w:val="004C47E7"/>
    <w:rsid w:val="004D15A5"/>
    <w:rsid w:val="004D1C16"/>
    <w:rsid w:val="004D319A"/>
    <w:rsid w:val="004D54DD"/>
    <w:rsid w:val="004D5FEC"/>
    <w:rsid w:val="004D687B"/>
    <w:rsid w:val="004E0A75"/>
    <w:rsid w:val="004E3C50"/>
    <w:rsid w:val="004E3CEF"/>
    <w:rsid w:val="004E53F2"/>
    <w:rsid w:val="004E60E9"/>
    <w:rsid w:val="004E6E8D"/>
    <w:rsid w:val="004F1679"/>
    <w:rsid w:val="004F33EB"/>
    <w:rsid w:val="004F621C"/>
    <w:rsid w:val="004F6277"/>
    <w:rsid w:val="005021D9"/>
    <w:rsid w:val="005063B0"/>
    <w:rsid w:val="00511B6B"/>
    <w:rsid w:val="005130C8"/>
    <w:rsid w:val="00514BD2"/>
    <w:rsid w:val="00514C0F"/>
    <w:rsid w:val="00521466"/>
    <w:rsid w:val="00521DB9"/>
    <w:rsid w:val="0052470B"/>
    <w:rsid w:val="00524FD9"/>
    <w:rsid w:val="005253EB"/>
    <w:rsid w:val="005256C9"/>
    <w:rsid w:val="0053097C"/>
    <w:rsid w:val="00531008"/>
    <w:rsid w:val="005333B2"/>
    <w:rsid w:val="0053679F"/>
    <w:rsid w:val="005413C5"/>
    <w:rsid w:val="00545E2C"/>
    <w:rsid w:val="00547A8A"/>
    <w:rsid w:val="00552B13"/>
    <w:rsid w:val="0056312D"/>
    <w:rsid w:val="00563466"/>
    <w:rsid w:val="0056415C"/>
    <w:rsid w:val="005832D9"/>
    <w:rsid w:val="0058797E"/>
    <w:rsid w:val="005A1A4C"/>
    <w:rsid w:val="005B557F"/>
    <w:rsid w:val="005C0BB5"/>
    <w:rsid w:val="005C7733"/>
    <w:rsid w:val="005D0AEE"/>
    <w:rsid w:val="005D1417"/>
    <w:rsid w:val="005D188C"/>
    <w:rsid w:val="005E2253"/>
    <w:rsid w:val="005E79AE"/>
    <w:rsid w:val="005F79DA"/>
    <w:rsid w:val="005F7B99"/>
    <w:rsid w:val="006017C5"/>
    <w:rsid w:val="00601A36"/>
    <w:rsid w:val="00605A10"/>
    <w:rsid w:val="00610934"/>
    <w:rsid w:val="00622956"/>
    <w:rsid w:val="00622D5C"/>
    <w:rsid w:val="00630790"/>
    <w:rsid w:val="006308D4"/>
    <w:rsid w:val="006441CF"/>
    <w:rsid w:val="00644619"/>
    <w:rsid w:val="00650408"/>
    <w:rsid w:val="006708AB"/>
    <w:rsid w:val="0067092D"/>
    <w:rsid w:val="00672A1D"/>
    <w:rsid w:val="006737D6"/>
    <w:rsid w:val="006737EC"/>
    <w:rsid w:val="006878A0"/>
    <w:rsid w:val="00696C28"/>
    <w:rsid w:val="00697575"/>
    <w:rsid w:val="006A7673"/>
    <w:rsid w:val="006B2011"/>
    <w:rsid w:val="006B4C08"/>
    <w:rsid w:val="006C4FED"/>
    <w:rsid w:val="006D788E"/>
    <w:rsid w:val="006E0A34"/>
    <w:rsid w:val="006E6F23"/>
    <w:rsid w:val="006F5C1B"/>
    <w:rsid w:val="006F79A0"/>
    <w:rsid w:val="006F7F85"/>
    <w:rsid w:val="00700459"/>
    <w:rsid w:val="00705000"/>
    <w:rsid w:val="007108B9"/>
    <w:rsid w:val="00710A59"/>
    <w:rsid w:val="0071290D"/>
    <w:rsid w:val="00714441"/>
    <w:rsid w:val="00714EC0"/>
    <w:rsid w:val="007156ED"/>
    <w:rsid w:val="00741997"/>
    <w:rsid w:val="007442C1"/>
    <w:rsid w:val="007444DC"/>
    <w:rsid w:val="00745C25"/>
    <w:rsid w:val="00754514"/>
    <w:rsid w:val="007642CC"/>
    <w:rsid w:val="007712F5"/>
    <w:rsid w:val="00772C61"/>
    <w:rsid w:val="007755DE"/>
    <w:rsid w:val="00775635"/>
    <w:rsid w:val="00775D14"/>
    <w:rsid w:val="00777E54"/>
    <w:rsid w:val="00781191"/>
    <w:rsid w:val="00785298"/>
    <w:rsid w:val="0079197A"/>
    <w:rsid w:val="007A7A2E"/>
    <w:rsid w:val="007B0E83"/>
    <w:rsid w:val="007B639B"/>
    <w:rsid w:val="007C0120"/>
    <w:rsid w:val="007C0A9E"/>
    <w:rsid w:val="007C0E4C"/>
    <w:rsid w:val="007C3D3A"/>
    <w:rsid w:val="007C4A5C"/>
    <w:rsid w:val="007D32FE"/>
    <w:rsid w:val="007E15AA"/>
    <w:rsid w:val="007E241E"/>
    <w:rsid w:val="007E40EC"/>
    <w:rsid w:val="007F0A5B"/>
    <w:rsid w:val="007F2AA9"/>
    <w:rsid w:val="00805EF3"/>
    <w:rsid w:val="008065F7"/>
    <w:rsid w:val="00811E3B"/>
    <w:rsid w:val="008123D3"/>
    <w:rsid w:val="00812CAE"/>
    <w:rsid w:val="00813ECD"/>
    <w:rsid w:val="00815F56"/>
    <w:rsid w:val="00820E42"/>
    <w:rsid w:val="008239EF"/>
    <w:rsid w:val="00832010"/>
    <w:rsid w:val="00835765"/>
    <w:rsid w:val="00835A10"/>
    <w:rsid w:val="00843F62"/>
    <w:rsid w:val="008453F0"/>
    <w:rsid w:val="00851ABF"/>
    <w:rsid w:val="008520BD"/>
    <w:rsid w:val="00876243"/>
    <w:rsid w:val="00882138"/>
    <w:rsid w:val="00882B0C"/>
    <w:rsid w:val="00887FE8"/>
    <w:rsid w:val="008909DB"/>
    <w:rsid w:val="0089380A"/>
    <w:rsid w:val="008A04A0"/>
    <w:rsid w:val="008A07F4"/>
    <w:rsid w:val="008B6BBE"/>
    <w:rsid w:val="008C44D3"/>
    <w:rsid w:val="008C6080"/>
    <w:rsid w:val="008D037C"/>
    <w:rsid w:val="008D0789"/>
    <w:rsid w:val="008D7E69"/>
    <w:rsid w:val="008E4E79"/>
    <w:rsid w:val="008F1AE4"/>
    <w:rsid w:val="008F1D7B"/>
    <w:rsid w:val="008F69D6"/>
    <w:rsid w:val="0090071B"/>
    <w:rsid w:val="00902460"/>
    <w:rsid w:val="009055EE"/>
    <w:rsid w:val="0090588C"/>
    <w:rsid w:val="00907474"/>
    <w:rsid w:val="00907BD7"/>
    <w:rsid w:val="009212F4"/>
    <w:rsid w:val="0092281A"/>
    <w:rsid w:val="009263A3"/>
    <w:rsid w:val="00927E69"/>
    <w:rsid w:val="009330D4"/>
    <w:rsid w:val="00945F36"/>
    <w:rsid w:val="00951CE1"/>
    <w:rsid w:val="009563FE"/>
    <w:rsid w:val="0096782F"/>
    <w:rsid w:val="0097322B"/>
    <w:rsid w:val="00974223"/>
    <w:rsid w:val="0097597C"/>
    <w:rsid w:val="0098077F"/>
    <w:rsid w:val="00983726"/>
    <w:rsid w:val="0098773A"/>
    <w:rsid w:val="00996C10"/>
    <w:rsid w:val="009A0A66"/>
    <w:rsid w:val="009A0D93"/>
    <w:rsid w:val="009A20B9"/>
    <w:rsid w:val="009A2424"/>
    <w:rsid w:val="009A2D75"/>
    <w:rsid w:val="009A4B56"/>
    <w:rsid w:val="009A54A3"/>
    <w:rsid w:val="009A60BF"/>
    <w:rsid w:val="009B312D"/>
    <w:rsid w:val="009B3548"/>
    <w:rsid w:val="009C5BD9"/>
    <w:rsid w:val="009D5B12"/>
    <w:rsid w:val="009D70CF"/>
    <w:rsid w:val="009D7594"/>
    <w:rsid w:val="009E3608"/>
    <w:rsid w:val="009E6E15"/>
    <w:rsid w:val="009F4259"/>
    <w:rsid w:val="009F49AD"/>
    <w:rsid w:val="009F542B"/>
    <w:rsid w:val="00A003B9"/>
    <w:rsid w:val="00A02A5D"/>
    <w:rsid w:val="00A061CF"/>
    <w:rsid w:val="00A06FBD"/>
    <w:rsid w:val="00A12041"/>
    <w:rsid w:val="00A204AC"/>
    <w:rsid w:val="00A21748"/>
    <w:rsid w:val="00A21C6C"/>
    <w:rsid w:val="00A322C2"/>
    <w:rsid w:val="00A35C70"/>
    <w:rsid w:val="00A37372"/>
    <w:rsid w:val="00A45339"/>
    <w:rsid w:val="00A661FC"/>
    <w:rsid w:val="00A67BE5"/>
    <w:rsid w:val="00A7298C"/>
    <w:rsid w:val="00A777DB"/>
    <w:rsid w:val="00A85547"/>
    <w:rsid w:val="00A94B47"/>
    <w:rsid w:val="00A950ED"/>
    <w:rsid w:val="00A96C2A"/>
    <w:rsid w:val="00AA4A2E"/>
    <w:rsid w:val="00AA7F65"/>
    <w:rsid w:val="00AB71ED"/>
    <w:rsid w:val="00AC0A36"/>
    <w:rsid w:val="00AC0E7D"/>
    <w:rsid w:val="00AC2677"/>
    <w:rsid w:val="00AC291E"/>
    <w:rsid w:val="00AC3F7C"/>
    <w:rsid w:val="00AC7523"/>
    <w:rsid w:val="00AD2995"/>
    <w:rsid w:val="00AD46DC"/>
    <w:rsid w:val="00AE043C"/>
    <w:rsid w:val="00AE29B8"/>
    <w:rsid w:val="00AE474C"/>
    <w:rsid w:val="00AF6153"/>
    <w:rsid w:val="00AF6F6B"/>
    <w:rsid w:val="00AF72AC"/>
    <w:rsid w:val="00B01656"/>
    <w:rsid w:val="00B0208E"/>
    <w:rsid w:val="00B04820"/>
    <w:rsid w:val="00B060BF"/>
    <w:rsid w:val="00B07843"/>
    <w:rsid w:val="00B1029C"/>
    <w:rsid w:val="00B150DE"/>
    <w:rsid w:val="00B22152"/>
    <w:rsid w:val="00B22833"/>
    <w:rsid w:val="00B265AA"/>
    <w:rsid w:val="00B27BC8"/>
    <w:rsid w:val="00B32A0D"/>
    <w:rsid w:val="00B35E34"/>
    <w:rsid w:val="00B413F0"/>
    <w:rsid w:val="00B438CD"/>
    <w:rsid w:val="00B439E3"/>
    <w:rsid w:val="00B50A07"/>
    <w:rsid w:val="00B550B1"/>
    <w:rsid w:val="00B56084"/>
    <w:rsid w:val="00B56D32"/>
    <w:rsid w:val="00B62846"/>
    <w:rsid w:val="00B658FD"/>
    <w:rsid w:val="00B659B4"/>
    <w:rsid w:val="00B66476"/>
    <w:rsid w:val="00B66B1B"/>
    <w:rsid w:val="00B77D7F"/>
    <w:rsid w:val="00B812C8"/>
    <w:rsid w:val="00B83F90"/>
    <w:rsid w:val="00B859FD"/>
    <w:rsid w:val="00B96BEF"/>
    <w:rsid w:val="00B974F6"/>
    <w:rsid w:val="00BA131F"/>
    <w:rsid w:val="00BA355D"/>
    <w:rsid w:val="00BA38AB"/>
    <w:rsid w:val="00BA586F"/>
    <w:rsid w:val="00BB521D"/>
    <w:rsid w:val="00BC0E91"/>
    <w:rsid w:val="00BC1627"/>
    <w:rsid w:val="00BC29E9"/>
    <w:rsid w:val="00BC6AE1"/>
    <w:rsid w:val="00BD44A5"/>
    <w:rsid w:val="00BD5738"/>
    <w:rsid w:val="00BD6C8D"/>
    <w:rsid w:val="00BD739C"/>
    <w:rsid w:val="00BE0815"/>
    <w:rsid w:val="00BE1848"/>
    <w:rsid w:val="00BE7EC9"/>
    <w:rsid w:val="00BF14FD"/>
    <w:rsid w:val="00BF1B13"/>
    <w:rsid w:val="00BF32D7"/>
    <w:rsid w:val="00BF3B5E"/>
    <w:rsid w:val="00BF7CB2"/>
    <w:rsid w:val="00C02CC0"/>
    <w:rsid w:val="00C03B9F"/>
    <w:rsid w:val="00C05ABD"/>
    <w:rsid w:val="00C113A7"/>
    <w:rsid w:val="00C1327B"/>
    <w:rsid w:val="00C16152"/>
    <w:rsid w:val="00C20BD7"/>
    <w:rsid w:val="00C23C4F"/>
    <w:rsid w:val="00C244EF"/>
    <w:rsid w:val="00C26617"/>
    <w:rsid w:val="00C2674E"/>
    <w:rsid w:val="00C27C43"/>
    <w:rsid w:val="00C37971"/>
    <w:rsid w:val="00C430CF"/>
    <w:rsid w:val="00C51127"/>
    <w:rsid w:val="00C52F45"/>
    <w:rsid w:val="00C54DCD"/>
    <w:rsid w:val="00C563D0"/>
    <w:rsid w:val="00C6262F"/>
    <w:rsid w:val="00C628AF"/>
    <w:rsid w:val="00C723C0"/>
    <w:rsid w:val="00C72743"/>
    <w:rsid w:val="00C80540"/>
    <w:rsid w:val="00C81625"/>
    <w:rsid w:val="00C8167B"/>
    <w:rsid w:val="00C8361A"/>
    <w:rsid w:val="00C90B87"/>
    <w:rsid w:val="00C90C4F"/>
    <w:rsid w:val="00C92215"/>
    <w:rsid w:val="00C92293"/>
    <w:rsid w:val="00C924A3"/>
    <w:rsid w:val="00C938F1"/>
    <w:rsid w:val="00C94143"/>
    <w:rsid w:val="00C94A77"/>
    <w:rsid w:val="00C94E9F"/>
    <w:rsid w:val="00C956A3"/>
    <w:rsid w:val="00C9671D"/>
    <w:rsid w:val="00CA1C85"/>
    <w:rsid w:val="00CB3A07"/>
    <w:rsid w:val="00CB40CB"/>
    <w:rsid w:val="00CC1B24"/>
    <w:rsid w:val="00CD2D38"/>
    <w:rsid w:val="00CD588F"/>
    <w:rsid w:val="00CD6FAB"/>
    <w:rsid w:val="00CE0DD6"/>
    <w:rsid w:val="00CE157C"/>
    <w:rsid w:val="00CE1A50"/>
    <w:rsid w:val="00CE283F"/>
    <w:rsid w:val="00CF53EA"/>
    <w:rsid w:val="00CF5A8C"/>
    <w:rsid w:val="00D00348"/>
    <w:rsid w:val="00D0256F"/>
    <w:rsid w:val="00D03359"/>
    <w:rsid w:val="00D05F95"/>
    <w:rsid w:val="00D13DE8"/>
    <w:rsid w:val="00D140D6"/>
    <w:rsid w:val="00D21D83"/>
    <w:rsid w:val="00D22575"/>
    <w:rsid w:val="00D2445F"/>
    <w:rsid w:val="00D255F9"/>
    <w:rsid w:val="00D41C4B"/>
    <w:rsid w:val="00D43688"/>
    <w:rsid w:val="00D448B0"/>
    <w:rsid w:val="00D47A2C"/>
    <w:rsid w:val="00D57600"/>
    <w:rsid w:val="00D66717"/>
    <w:rsid w:val="00D70528"/>
    <w:rsid w:val="00D70EE1"/>
    <w:rsid w:val="00D71D6F"/>
    <w:rsid w:val="00D770AF"/>
    <w:rsid w:val="00D80782"/>
    <w:rsid w:val="00D830E3"/>
    <w:rsid w:val="00D85A3B"/>
    <w:rsid w:val="00D85FC5"/>
    <w:rsid w:val="00D94E2E"/>
    <w:rsid w:val="00DA1135"/>
    <w:rsid w:val="00DA24DA"/>
    <w:rsid w:val="00DA2CA9"/>
    <w:rsid w:val="00DA41F8"/>
    <w:rsid w:val="00DB3DC2"/>
    <w:rsid w:val="00DB4203"/>
    <w:rsid w:val="00DB7CAD"/>
    <w:rsid w:val="00DC0A42"/>
    <w:rsid w:val="00DC3351"/>
    <w:rsid w:val="00DC3B79"/>
    <w:rsid w:val="00DC6C64"/>
    <w:rsid w:val="00DD7BDE"/>
    <w:rsid w:val="00DE30C6"/>
    <w:rsid w:val="00DE38C4"/>
    <w:rsid w:val="00DE6A8D"/>
    <w:rsid w:val="00DF2D33"/>
    <w:rsid w:val="00E03B48"/>
    <w:rsid w:val="00E07A46"/>
    <w:rsid w:val="00E1191E"/>
    <w:rsid w:val="00E1192A"/>
    <w:rsid w:val="00E14927"/>
    <w:rsid w:val="00E24CDA"/>
    <w:rsid w:val="00E33440"/>
    <w:rsid w:val="00E400A0"/>
    <w:rsid w:val="00E4047C"/>
    <w:rsid w:val="00E44A81"/>
    <w:rsid w:val="00E53293"/>
    <w:rsid w:val="00E635AE"/>
    <w:rsid w:val="00E662F3"/>
    <w:rsid w:val="00E74361"/>
    <w:rsid w:val="00E76D17"/>
    <w:rsid w:val="00E76FD8"/>
    <w:rsid w:val="00E813E5"/>
    <w:rsid w:val="00E83C00"/>
    <w:rsid w:val="00E90C46"/>
    <w:rsid w:val="00E90CFF"/>
    <w:rsid w:val="00EB17E2"/>
    <w:rsid w:val="00EB46D8"/>
    <w:rsid w:val="00EB5439"/>
    <w:rsid w:val="00EB6EF8"/>
    <w:rsid w:val="00EC0BFF"/>
    <w:rsid w:val="00EC2E78"/>
    <w:rsid w:val="00EC6E31"/>
    <w:rsid w:val="00ED2AC4"/>
    <w:rsid w:val="00ED2E35"/>
    <w:rsid w:val="00ED36E0"/>
    <w:rsid w:val="00EF1BFC"/>
    <w:rsid w:val="00F01B7C"/>
    <w:rsid w:val="00F02A6D"/>
    <w:rsid w:val="00F03B3E"/>
    <w:rsid w:val="00F10618"/>
    <w:rsid w:val="00F1372D"/>
    <w:rsid w:val="00F1493F"/>
    <w:rsid w:val="00F15525"/>
    <w:rsid w:val="00F16F19"/>
    <w:rsid w:val="00F171DC"/>
    <w:rsid w:val="00F24DC8"/>
    <w:rsid w:val="00F27CB5"/>
    <w:rsid w:val="00F30728"/>
    <w:rsid w:val="00F35D46"/>
    <w:rsid w:val="00F518BD"/>
    <w:rsid w:val="00F56416"/>
    <w:rsid w:val="00F60595"/>
    <w:rsid w:val="00F661D6"/>
    <w:rsid w:val="00F7423C"/>
    <w:rsid w:val="00F76B9B"/>
    <w:rsid w:val="00F817EE"/>
    <w:rsid w:val="00F85500"/>
    <w:rsid w:val="00F86F06"/>
    <w:rsid w:val="00F90562"/>
    <w:rsid w:val="00FA4F38"/>
    <w:rsid w:val="00FB094F"/>
    <w:rsid w:val="00FB1838"/>
    <w:rsid w:val="00FB57A8"/>
    <w:rsid w:val="00FD06D4"/>
    <w:rsid w:val="00FD4D71"/>
    <w:rsid w:val="00FE756B"/>
    <w:rsid w:val="00FF4CF5"/>
    <w:rsid w:val="00FF52D0"/>
    <w:rsid w:val="02F247CC"/>
    <w:rsid w:val="02F82CD6"/>
    <w:rsid w:val="06120DFE"/>
    <w:rsid w:val="06277B8D"/>
    <w:rsid w:val="07046D8D"/>
    <w:rsid w:val="07D91D17"/>
    <w:rsid w:val="086C25CA"/>
    <w:rsid w:val="097D102A"/>
    <w:rsid w:val="0A83110A"/>
    <w:rsid w:val="0AF65C36"/>
    <w:rsid w:val="0C136F47"/>
    <w:rsid w:val="0C9A7567"/>
    <w:rsid w:val="0D1234C3"/>
    <w:rsid w:val="0D3B0FD3"/>
    <w:rsid w:val="0D3B617E"/>
    <w:rsid w:val="0DB02A44"/>
    <w:rsid w:val="0EF326FF"/>
    <w:rsid w:val="106D0892"/>
    <w:rsid w:val="10A95343"/>
    <w:rsid w:val="112C1318"/>
    <w:rsid w:val="12922832"/>
    <w:rsid w:val="13FE2D9A"/>
    <w:rsid w:val="14407F41"/>
    <w:rsid w:val="14787805"/>
    <w:rsid w:val="18E9004D"/>
    <w:rsid w:val="1B645938"/>
    <w:rsid w:val="1C1E0317"/>
    <w:rsid w:val="1C6F6E69"/>
    <w:rsid w:val="1DF77F22"/>
    <w:rsid w:val="1FBF65AD"/>
    <w:rsid w:val="21F5284F"/>
    <w:rsid w:val="221C75C0"/>
    <w:rsid w:val="23303F4C"/>
    <w:rsid w:val="238503D1"/>
    <w:rsid w:val="23AA0A62"/>
    <w:rsid w:val="24DE624F"/>
    <w:rsid w:val="25FC0296"/>
    <w:rsid w:val="2713192D"/>
    <w:rsid w:val="27142199"/>
    <w:rsid w:val="276C4AAF"/>
    <w:rsid w:val="27BA3B0B"/>
    <w:rsid w:val="28BC6805"/>
    <w:rsid w:val="2A691145"/>
    <w:rsid w:val="2A96425F"/>
    <w:rsid w:val="2AE67BEE"/>
    <w:rsid w:val="2B0B06B2"/>
    <w:rsid w:val="2B6B5732"/>
    <w:rsid w:val="2B8A6344"/>
    <w:rsid w:val="2C1F704C"/>
    <w:rsid w:val="2E0B5CB0"/>
    <w:rsid w:val="2E8203DE"/>
    <w:rsid w:val="300E30A0"/>
    <w:rsid w:val="31752AE6"/>
    <w:rsid w:val="3319445B"/>
    <w:rsid w:val="334330FE"/>
    <w:rsid w:val="337323F4"/>
    <w:rsid w:val="34046FB6"/>
    <w:rsid w:val="35B53E09"/>
    <w:rsid w:val="35CF47BC"/>
    <w:rsid w:val="35E0728C"/>
    <w:rsid w:val="35FFB449"/>
    <w:rsid w:val="36066B48"/>
    <w:rsid w:val="36EE269E"/>
    <w:rsid w:val="377063EE"/>
    <w:rsid w:val="37B07132"/>
    <w:rsid w:val="37E1104B"/>
    <w:rsid w:val="384C70A8"/>
    <w:rsid w:val="38AE2BA2"/>
    <w:rsid w:val="38C20ECB"/>
    <w:rsid w:val="390C56EB"/>
    <w:rsid w:val="396C0E37"/>
    <w:rsid w:val="39BF81C0"/>
    <w:rsid w:val="3A7D3F97"/>
    <w:rsid w:val="3AF408AE"/>
    <w:rsid w:val="3CB545CD"/>
    <w:rsid w:val="3D663711"/>
    <w:rsid w:val="3EAE61C6"/>
    <w:rsid w:val="3EC24374"/>
    <w:rsid w:val="3F3814E8"/>
    <w:rsid w:val="40155096"/>
    <w:rsid w:val="402041B5"/>
    <w:rsid w:val="40A610D2"/>
    <w:rsid w:val="410118CC"/>
    <w:rsid w:val="410D2467"/>
    <w:rsid w:val="425A3F23"/>
    <w:rsid w:val="43811983"/>
    <w:rsid w:val="446A33C9"/>
    <w:rsid w:val="44E328F5"/>
    <w:rsid w:val="480C42AF"/>
    <w:rsid w:val="48324842"/>
    <w:rsid w:val="48921B71"/>
    <w:rsid w:val="492C046E"/>
    <w:rsid w:val="496F35AE"/>
    <w:rsid w:val="49DF11B1"/>
    <w:rsid w:val="4A880A40"/>
    <w:rsid w:val="4CC527A0"/>
    <w:rsid w:val="4CFA1D1B"/>
    <w:rsid w:val="4D31461A"/>
    <w:rsid w:val="4DB06571"/>
    <w:rsid w:val="4DE80F7C"/>
    <w:rsid w:val="4DF01093"/>
    <w:rsid w:val="4EE81CE9"/>
    <w:rsid w:val="4F7F6C87"/>
    <w:rsid w:val="501B74FB"/>
    <w:rsid w:val="50B213CE"/>
    <w:rsid w:val="50C218CF"/>
    <w:rsid w:val="50F66B94"/>
    <w:rsid w:val="5221349E"/>
    <w:rsid w:val="52455CFF"/>
    <w:rsid w:val="534837A7"/>
    <w:rsid w:val="54091C4C"/>
    <w:rsid w:val="54754922"/>
    <w:rsid w:val="5508395D"/>
    <w:rsid w:val="55233006"/>
    <w:rsid w:val="557D61BB"/>
    <w:rsid w:val="57F33423"/>
    <w:rsid w:val="57FC042D"/>
    <w:rsid w:val="58DA0434"/>
    <w:rsid w:val="59BD6C48"/>
    <w:rsid w:val="5A2E20C7"/>
    <w:rsid w:val="5CB00EB7"/>
    <w:rsid w:val="5D092B1C"/>
    <w:rsid w:val="5D972AB6"/>
    <w:rsid w:val="5EA042CC"/>
    <w:rsid w:val="5FCD7FD2"/>
    <w:rsid w:val="60007BE7"/>
    <w:rsid w:val="60082DB8"/>
    <w:rsid w:val="605D2BA3"/>
    <w:rsid w:val="6091610B"/>
    <w:rsid w:val="6160217E"/>
    <w:rsid w:val="61F07B19"/>
    <w:rsid w:val="63DC31CF"/>
    <w:rsid w:val="647B56A8"/>
    <w:rsid w:val="64842DDB"/>
    <w:rsid w:val="64F97173"/>
    <w:rsid w:val="65687A44"/>
    <w:rsid w:val="669C425A"/>
    <w:rsid w:val="67406646"/>
    <w:rsid w:val="6755062E"/>
    <w:rsid w:val="67F50995"/>
    <w:rsid w:val="68151B03"/>
    <w:rsid w:val="683F336B"/>
    <w:rsid w:val="685C1EF3"/>
    <w:rsid w:val="69C56B89"/>
    <w:rsid w:val="6A0445F0"/>
    <w:rsid w:val="6A0900F2"/>
    <w:rsid w:val="6A671B31"/>
    <w:rsid w:val="6ABF4435"/>
    <w:rsid w:val="6B9769B5"/>
    <w:rsid w:val="6C2947E2"/>
    <w:rsid w:val="6CCD7863"/>
    <w:rsid w:val="6CF4154E"/>
    <w:rsid w:val="6E0E30B7"/>
    <w:rsid w:val="6EC45356"/>
    <w:rsid w:val="6F274D57"/>
    <w:rsid w:val="6FAE4512"/>
    <w:rsid w:val="706B4917"/>
    <w:rsid w:val="70787AE6"/>
    <w:rsid w:val="718D33A2"/>
    <w:rsid w:val="71C76957"/>
    <w:rsid w:val="735A3913"/>
    <w:rsid w:val="740C0C71"/>
    <w:rsid w:val="743E350F"/>
    <w:rsid w:val="74D31A8A"/>
    <w:rsid w:val="74F3589D"/>
    <w:rsid w:val="74FA1909"/>
    <w:rsid w:val="75E55C1E"/>
    <w:rsid w:val="76366479"/>
    <w:rsid w:val="76E32CA4"/>
    <w:rsid w:val="78672ED2"/>
    <w:rsid w:val="791A291E"/>
    <w:rsid w:val="797E263C"/>
    <w:rsid w:val="797F098C"/>
    <w:rsid w:val="79961747"/>
    <w:rsid w:val="7A456C8B"/>
    <w:rsid w:val="7AA806E3"/>
    <w:rsid w:val="7AE15FA0"/>
    <w:rsid w:val="7C6A423D"/>
    <w:rsid w:val="7ECE71DB"/>
    <w:rsid w:val="7F0F63A8"/>
    <w:rsid w:val="7F695E91"/>
    <w:rsid w:val="7F9E6796"/>
    <w:rsid w:val="7FFE6286"/>
    <w:rsid w:val="AABD2531"/>
    <w:rsid w:val="BFF64C30"/>
    <w:rsid w:val="C71126E9"/>
    <w:rsid w:val="D4EBED56"/>
    <w:rsid w:val="DF9FAF51"/>
    <w:rsid w:val="EF733852"/>
    <w:rsid w:val="EFF7D260"/>
    <w:rsid w:val="FE553171"/>
    <w:rsid w:val="FF2BDEB3"/>
    <w:rsid w:val="FF37D0F5"/>
    <w:rsid w:val="FF6FF351"/>
    <w:rsid w:val="FFBF8E9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ocked="1"/>
    <w:lsdException w:qFormat="1" w:unhideWhenUsed="0" w:uiPriority="9" w:semiHidden="0" w:name="heading 3" w:locked="1"/>
    <w:lsdException w:qFormat="1" w:unhideWhenUsed="0" w:uiPriority="0" w:semiHidden="0" w:name="heading 4" w:locked="1"/>
    <w:lsdException w:qFormat="1" w:unhideWhenUsed="0" w:uiPriority="9" w:semiHidden="0" w:name="heading 5" w:locked="1"/>
    <w:lsdException w:qFormat="1" w:unhideWhenUsed="0" w:uiPriority="9" w:semiHidden="0" w:name="heading 6" w:locked="1"/>
    <w:lsdException w:qFormat="1" w:unhideWhenUsed="0" w:uiPriority="9" w:semiHidden="0" w:name="heading 7" w:locked="1"/>
    <w:lsdException w:qFormat="1" w:unhideWhenUsed="0" w:uiPriority="9" w:semiHidden="0" w:name="heading 8" w:locked="1"/>
    <w:lsdException w:qFormat="1" w:unhideWhenUsed="0" w:uiPriority="9" w:semiHidden="0" w:name="heading 9" w:locked="1"/>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qFormat="1" w:uiPriority="39" w:semiHidden="0" w:name="toc 1" w:locked="1"/>
    <w:lsdException w:qFormat="1" w:uiPriority="39" w:semiHidden="0" w:name="toc 2" w:locked="1"/>
    <w:lsdException w:qFormat="1" w:uiPriority="39" w:semiHidden="0" w:name="toc 3" w:locked="1"/>
    <w:lsdException w:qFormat="1" w:uiPriority="39" w:semiHidden="0" w:name="toc 4" w:locked="1"/>
    <w:lsdException w:qFormat="1" w:uiPriority="39" w:semiHidden="0" w:name="toc 5" w:locked="1"/>
    <w:lsdException w:qFormat="1" w:uiPriority="39" w:semiHidden="0" w:name="toc 6" w:locked="1"/>
    <w:lsdException w:qFormat="1" w:uiPriority="39" w:semiHidden="0" w:name="toc 7" w:locked="1"/>
    <w:lsdException w:qFormat="1" w:uiPriority="39" w:semiHidden="0" w:name="toc 8" w:locked="1"/>
    <w:lsdException w:qFormat="1" w:uiPriority="39" w:semiHidden="0" w:name="toc 9" w:locked="1"/>
    <w:lsdException w:qFormat="1" w:unhideWhenUsed="0" w:uiPriority="0" w:semiHidden="0" w:name="Normal Indent"/>
    <w:lsdException w:uiPriority="99" w:name="footnote text" w:locked="1"/>
    <w:lsdException w:qFormat="1" w:unhideWhenUsed="0" w:uiPriority="99" w:semiHidden="0" w:name="annotation text"/>
    <w:lsdException w:qFormat="1" w:unhideWhenUsed="0" w:uiPriority="0" w:semiHidden="0" w:name="header"/>
    <w:lsdException w:qFormat="1" w:unhideWhenUsed="0" w:uiPriority="99" w:semiHidden="0" w:name="footer"/>
    <w:lsdException w:uiPriority="99" w:name="index heading" w:locked="1"/>
    <w:lsdException w:qFormat="1" w:uiPriority="35" w:name="caption" w:locked="1"/>
    <w:lsdException w:uiPriority="99" w:name="table of figures" w:locked="1"/>
    <w:lsdException w:uiPriority="99" w:name="envelope address" w:locked="1"/>
    <w:lsdException w:uiPriority="99" w:name="envelope return" w:locked="1"/>
    <w:lsdException w:uiPriority="99" w:name="footnote reference" w:locked="1"/>
    <w:lsdException w:qFormat="1" w:unhideWhenUsed="0" w:uiPriority="0" w:semiHidden="0" w:name="annotation reference"/>
    <w:lsdException w:uiPriority="99" w:name="line number" w:locked="1"/>
    <w:lsdException w:qFormat="1" w:unhideWhenUsed="0" w:uiPriority="99" w:semiHidden="0" w:name="page number"/>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qFormat="1" w:uiPriority="99" w:semiHidden="0" w:name="List Number" w:locked="1"/>
    <w:lsdException w:uiPriority="99" w:name="List 2" w:locked="1"/>
    <w:lsdException w:uiPriority="99" w:name="List 3" w:locked="1"/>
    <w:lsdException w:uiPriority="99" w:name="List 4" w:locked="1"/>
    <w:lsdException w:uiPriority="99" w:name="List 5" w:locked="1"/>
    <w:lsdException w:qFormat="1" w:uiPriority="99" w:semiHidden="0"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10" w:semiHidden="0" w:name="Title" w:locked="1"/>
    <w:lsdException w:uiPriority="99" w:name="Closing" w:locked="1"/>
    <w:lsdException w:uiPriority="99" w:name="Signature" w:locked="1"/>
    <w:lsdException w:qFormat="1" w:uiPriority="1" w:name="Default Paragraph Font"/>
    <w:lsdException w:qFormat="1" w:unhideWhenUsed="0" w:uiPriority="0" w:semiHidden="0" w:name="Body Text"/>
    <w:lsdException w:qFormat="1" w:uiPriority="99" w:semiHidden="0" w:name="Body Text Indent" w:locked="1"/>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11" w:semiHidden="0" w:name="Subtitle" w:locked="1"/>
    <w:lsdException w:uiPriority="99" w:name="Salutation" w:locked="1"/>
    <w:lsdException w:uiPriority="99" w:name="Date" w:locked="1"/>
    <w:lsdException w:qFormat="1" w:unhideWhenUsed="0" w:uiPriority="0" w:semiHidden="0" w:name="Body Text First Indent" w:locked="1"/>
    <w:lsdException w:uiPriority="99" w:name="Body Text First Indent 2" w:locked="1"/>
    <w:lsdException w:uiPriority="99" w:name="Note Heading" w:locked="1"/>
    <w:lsdException w:qFormat="1" w:uiPriority="0" w:semiHidden="0" w:name="Body Text 2" w:locked="1"/>
    <w:lsdException w:uiPriority="99" w:name="Body Text 3" w:locked="1"/>
    <w:lsdException w:uiPriority="99" w:name="Body Text Indent 2" w:locked="1"/>
    <w:lsdException w:uiPriority="99" w:name="Body Text Indent 3" w:locked="1"/>
    <w:lsdException w:uiPriority="99" w:name="Block Text" w:locked="1"/>
    <w:lsdException w:qFormat="1" w:uiPriority="99" w:semiHidden="0" w:name="Hyperlink" w:locked="1"/>
    <w:lsdException w:uiPriority="99" w:name="FollowedHyperlink" w:locked="1"/>
    <w:lsdException w:qFormat="1" w:unhideWhenUsed="0" w:uiPriority="0" w:semiHidden="0" w:name="Strong" w:locked="1"/>
    <w:lsdException w:qFormat="1" w:unhideWhenUsed="0" w:uiPriority="20" w:semiHidden="0" w:name="Emphasis" w:locked="1"/>
    <w:lsdException w:qFormat="1" w:uiPriority="99" w:semiHidden="0" w:name="Document Map" w:locked="1"/>
    <w:lsdException w:qFormat="1" w:uiPriority="99" w:semiHidden="0" w:name="Plain Text" w:locked="1"/>
    <w:lsdException w:uiPriority="99" w:name="E-mail Signature" w:locked="1"/>
    <w:lsdException w:qFormat="1" w:uiPriority="99" w:semiHidden="0" w:name="Normal (Web)" w:locked="1"/>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qFormat="1" w:unhideWhenUsed="0" w:uiPriority="99" w:name="HTML Preformatted"/>
    <w:lsdException w:uiPriority="99" w:name="HTML Sample" w:locked="1"/>
    <w:lsdException w:uiPriority="99" w:name="HTML Typewriter" w:locked="1"/>
    <w:lsdException w:uiPriority="99" w:name="HTML Variable" w:locked="1"/>
    <w:lsdException w:qFormat="1" w:uiPriority="99" w:name="Normal Table"/>
    <w:lsdException w:qFormat="1" w:unhideWhenUsed="0" w:uiPriority="0" w:semiHidden="0" w:name="annotation subject"/>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qFormat="1" w:uiPriority="0"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0" w:semiHidden="0" w:name="Balloon Text"/>
    <w:lsdException w:qFormat="1" w:unhideWhenUsed="0" w:uiPriority="0" w:semiHidden="0" w:name="Table Grid" w:locked="1"/>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imes New Roman" w:hAnsi="Times New Roman" w:eastAsia="宋体" w:cs="Times New Roman"/>
      <w:lang w:val="en-US" w:eastAsia="zh-CN" w:bidi="ar-SA"/>
    </w:rPr>
  </w:style>
  <w:style w:type="paragraph" w:styleId="2">
    <w:name w:val="heading 1"/>
    <w:basedOn w:val="1"/>
    <w:next w:val="1"/>
    <w:link w:val="45"/>
    <w:qFormat/>
    <w:uiPriority w:val="9"/>
    <w:pPr>
      <w:keepNext/>
      <w:spacing w:line="440" w:lineRule="exact"/>
      <w:jc w:val="center"/>
      <w:outlineLvl w:val="0"/>
    </w:pPr>
    <w:rPr>
      <w:rFonts w:ascii="宋体" w:hAnsi="宋体" w:cs="宋体"/>
      <w:sz w:val="24"/>
      <w:szCs w:val="24"/>
    </w:rPr>
  </w:style>
  <w:style w:type="paragraph" w:styleId="3">
    <w:name w:val="heading 2"/>
    <w:basedOn w:val="1"/>
    <w:next w:val="4"/>
    <w:link w:val="46"/>
    <w:qFormat/>
    <w:locked/>
    <w:uiPriority w:val="9"/>
    <w:pPr>
      <w:keepNext/>
      <w:keepLines/>
      <w:widowControl w:val="0"/>
      <w:spacing w:before="260" w:after="260" w:line="416" w:lineRule="auto"/>
      <w:jc w:val="both"/>
      <w:outlineLvl w:val="1"/>
    </w:pPr>
    <w:rPr>
      <w:rFonts w:ascii="Cambria" w:hAnsi="Cambria" w:cs="Cambria"/>
      <w:b/>
      <w:bCs/>
      <w:kern w:val="2"/>
      <w:sz w:val="32"/>
      <w:szCs w:val="32"/>
    </w:rPr>
  </w:style>
  <w:style w:type="paragraph" w:styleId="5">
    <w:name w:val="heading 3"/>
    <w:basedOn w:val="1"/>
    <w:next w:val="1"/>
    <w:link w:val="48"/>
    <w:qFormat/>
    <w:locked/>
    <w:uiPriority w:val="9"/>
    <w:pPr>
      <w:keepNext/>
      <w:keepLines/>
      <w:spacing w:before="260" w:after="260" w:line="416" w:lineRule="auto"/>
      <w:outlineLvl w:val="2"/>
    </w:pPr>
    <w:rPr>
      <w:b/>
      <w:bCs/>
      <w:sz w:val="32"/>
      <w:szCs w:val="32"/>
    </w:rPr>
  </w:style>
  <w:style w:type="paragraph" w:styleId="6">
    <w:name w:val="heading 4"/>
    <w:basedOn w:val="1"/>
    <w:next w:val="1"/>
    <w:link w:val="49"/>
    <w:qFormat/>
    <w:locked/>
    <w:uiPriority w:val="0"/>
    <w:pPr>
      <w:keepNext/>
      <w:keepLines/>
      <w:spacing w:before="280" w:after="290" w:line="376" w:lineRule="auto"/>
      <w:outlineLvl w:val="3"/>
    </w:pPr>
    <w:rPr>
      <w:rFonts w:ascii="Cambria" w:hAnsi="Cambria" w:cs="Cambria"/>
      <w:b/>
      <w:bCs/>
      <w:sz w:val="28"/>
      <w:szCs w:val="28"/>
    </w:rPr>
  </w:style>
  <w:style w:type="paragraph" w:styleId="7">
    <w:name w:val="heading 5"/>
    <w:basedOn w:val="1"/>
    <w:next w:val="1"/>
    <w:link w:val="50"/>
    <w:qFormat/>
    <w:locked/>
    <w:uiPriority w:val="9"/>
    <w:pPr>
      <w:keepNext/>
      <w:keepLines/>
      <w:spacing w:before="280" w:after="290" w:line="376" w:lineRule="auto"/>
      <w:outlineLvl w:val="4"/>
    </w:pPr>
    <w:rPr>
      <w:b/>
      <w:bCs/>
      <w:sz w:val="28"/>
      <w:szCs w:val="28"/>
    </w:rPr>
  </w:style>
  <w:style w:type="paragraph" w:styleId="8">
    <w:name w:val="heading 6"/>
    <w:basedOn w:val="1"/>
    <w:next w:val="1"/>
    <w:link w:val="51"/>
    <w:qFormat/>
    <w:locked/>
    <w:uiPriority w:val="9"/>
    <w:pPr>
      <w:keepNext/>
      <w:keepLines/>
      <w:widowControl w:val="0"/>
      <w:numPr>
        <w:ilvl w:val="5"/>
        <w:numId w:val="1"/>
      </w:numPr>
      <w:tabs>
        <w:tab w:val="left" w:pos="360"/>
      </w:tabs>
      <w:spacing w:line="360" w:lineRule="auto"/>
      <w:ind w:firstLine="200" w:firstLineChars="200"/>
      <w:jc w:val="both"/>
      <w:outlineLvl w:val="5"/>
    </w:pPr>
    <w:rPr>
      <w:rFonts w:ascii="Calibri Light" w:hAnsi="Calibri Light"/>
      <w:b/>
      <w:bCs/>
      <w:kern w:val="2"/>
      <w:sz w:val="24"/>
      <w:szCs w:val="24"/>
    </w:rPr>
  </w:style>
  <w:style w:type="paragraph" w:styleId="9">
    <w:name w:val="heading 7"/>
    <w:basedOn w:val="1"/>
    <w:next w:val="1"/>
    <w:link w:val="52"/>
    <w:qFormat/>
    <w:locked/>
    <w:uiPriority w:val="9"/>
    <w:pPr>
      <w:keepNext/>
      <w:keepLines/>
      <w:widowControl w:val="0"/>
      <w:numPr>
        <w:ilvl w:val="6"/>
        <w:numId w:val="1"/>
      </w:numPr>
      <w:tabs>
        <w:tab w:val="left" w:pos="360"/>
      </w:tabs>
      <w:spacing w:line="360" w:lineRule="auto"/>
      <w:ind w:firstLine="200" w:firstLineChars="200"/>
      <w:jc w:val="both"/>
      <w:outlineLvl w:val="6"/>
    </w:pPr>
    <w:rPr>
      <w:b/>
      <w:bCs/>
      <w:kern w:val="2"/>
      <w:sz w:val="24"/>
      <w:szCs w:val="24"/>
    </w:rPr>
  </w:style>
  <w:style w:type="paragraph" w:styleId="10">
    <w:name w:val="heading 8"/>
    <w:basedOn w:val="1"/>
    <w:next w:val="1"/>
    <w:link w:val="53"/>
    <w:qFormat/>
    <w:locked/>
    <w:uiPriority w:val="9"/>
    <w:pPr>
      <w:keepNext/>
      <w:keepLines/>
      <w:widowControl w:val="0"/>
      <w:numPr>
        <w:ilvl w:val="7"/>
        <w:numId w:val="1"/>
      </w:numPr>
      <w:tabs>
        <w:tab w:val="left" w:pos="360"/>
      </w:tabs>
      <w:spacing w:line="360" w:lineRule="auto"/>
      <w:ind w:firstLine="200" w:firstLineChars="200"/>
      <w:jc w:val="both"/>
      <w:outlineLvl w:val="7"/>
    </w:pPr>
    <w:rPr>
      <w:rFonts w:ascii="Calibri Light" w:hAnsi="Calibri Light"/>
      <w:b/>
      <w:kern w:val="2"/>
      <w:sz w:val="24"/>
      <w:szCs w:val="24"/>
    </w:rPr>
  </w:style>
  <w:style w:type="paragraph" w:styleId="11">
    <w:name w:val="heading 9"/>
    <w:basedOn w:val="1"/>
    <w:next w:val="1"/>
    <w:link w:val="54"/>
    <w:qFormat/>
    <w:locked/>
    <w:uiPriority w:val="9"/>
    <w:pPr>
      <w:keepNext/>
      <w:keepLines/>
      <w:widowControl w:val="0"/>
      <w:numPr>
        <w:ilvl w:val="8"/>
        <w:numId w:val="1"/>
      </w:numPr>
      <w:tabs>
        <w:tab w:val="left" w:pos="360"/>
      </w:tabs>
      <w:spacing w:line="360" w:lineRule="auto"/>
      <w:ind w:left="-2" w:leftChars="-1" w:firstLine="2" w:firstLineChars="200"/>
      <w:jc w:val="both"/>
      <w:outlineLvl w:val="8"/>
    </w:pPr>
    <w:rPr>
      <w:rFonts w:ascii="Calibri Light" w:hAnsi="Calibri Light"/>
      <w:b/>
      <w:kern w:val="2"/>
      <w:sz w:val="24"/>
      <w:szCs w:val="21"/>
    </w:rPr>
  </w:style>
  <w:style w:type="character" w:default="1" w:styleId="38">
    <w:name w:val="Default Paragraph Font"/>
    <w:semiHidden/>
    <w:unhideWhenUsed/>
    <w:qFormat/>
    <w:uiPriority w:val="1"/>
  </w:style>
  <w:style w:type="table" w:default="1" w:styleId="43">
    <w:name w:val="Normal Table"/>
    <w:semiHidden/>
    <w:unhideWhenUsed/>
    <w:qFormat/>
    <w:uiPriority w:val="99"/>
    <w:tblPr>
      <w:tblLayout w:type="fixed"/>
      <w:tblCellMar>
        <w:top w:w="0" w:type="dxa"/>
        <w:left w:w="108" w:type="dxa"/>
        <w:bottom w:w="0" w:type="dxa"/>
        <w:right w:w="108" w:type="dxa"/>
      </w:tblCellMar>
    </w:tblPr>
  </w:style>
  <w:style w:type="paragraph" w:customStyle="1" w:styleId="4">
    <w:name w:val="方案文档"/>
    <w:basedOn w:val="1"/>
    <w:link w:val="47"/>
    <w:qFormat/>
    <w:uiPriority w:val="99"/>
    <w:pPr>
      <w:widowControl w:val="0"/>
      <w:adjustRightInd w:val="0"/>
      <w:spacing w:line="360" w:lineRule="auto"/>
      <w:ind w:firstLine="485" w:firstLineChars="202"/>
      <w:jc w:val="both"/>
    </w:pPr>
    <w:rPr>
      <w:rFonts w:ascii="宋体" w:hAnsi="宋体"/>
      <w:sz w:val="24"/>
    </w:rPr>
  </w:style>
  <w:style w:type="paragraph" w:styleId="12">
    <w:name w:val="annotation subject"/>
    <w:basedOn w:val="13"/>
    <w:next w:val="13"/>
    <w:link w:val="68"/>
    <w:qFormat/>
    <w:uiPriority w:val="0"/>
    <w:pPr>
      <w:widowControl w:val="0"/>
      <w:jc w:val="both"/>
    </w:pPr>
    <w:rPr>
      <w:rFonts w:ascii="Calibri" w:hAnsi="Calibri" w:eastAsia="微软雅黑" w:cs="Calibri"/>
      <w:kern w:val="2"/>
      <w:sz w:val="24"/>
      <w:szCs w:val="24"/>
    </w:rPr>
  </w:style>
  <w:style w:type="paragraph" w:styleId="13">
    <w:name w:val="annotation text"/>
    <w:basedOn w:val="1"/>
    <w:link w:val="57"/>
    <w:qFormat/>
    <w:uiPriority w:val="99"/>
  </w:style>
  <w:style w:type="paragraph" w:styleId="14">
    <w:name w:val="toc 7"/>
    <w:basedOn w:val="1"/>
    <w:next w:val="1"/>
    <w:unhideWhenUsed/>
    <w:qFormat/>
    <w:locked/>
    <w:uiPriority w:val="39"/>
    <w:pPr>
      <w:widowControl w:val="0"/>
      <w:ind w:left="2520" w:leftChars="1200"/>
      <w:jc w:val="both"/>
    </w:pPr>
    <w:rPr>
      <w:rFonts w:ascii="Calibri" w:hAnsi="Calibri"/>
      <w:kern w:val="2"/>
      <w:sz w:val="21"/>
      <w:szCs w:val="22"/>
    </w:rPr>
  </w:style>
  <w:style w:type="paragraph" w:styleId="15">
    <w:name w:val="Body Text First Indent"/>
    <w:basedOn w:val="16"/>
    <w:link w:val="69"/>
    <w:qFormat/>
    <w:locked/>
    <w:uiPriority w:val="0"/>
    <w:pPr>
      <w:spacing w:before="0" w:line="240" w:lineRule="auto"/>
      <w:ind w:firstLine="420" w:firstLineChars="100"/>
    </w:pPr>
    <w:rPr>
      <w:rFonts w:ascii="Times New Roman" w:hAnsi="Times New Roman" w:cs="Times New Roman"/>
      <w:szCs w:val="24"/>
    </w:rPr>
  </w:style>
  <w:style w:type="paragraph" w:styleId="16">
    <w:name w:val="Body Text"/>
    <w:basedOn w:val="1"/>
    <w:link w:val="58"/>
    <w:qFormat/>
    <w:uiPriority w:val="0"/>
    <w:pPr>
      <w:widowControl w:val="0"/>
      <w:spacing w:before="120" w:after="120" w:line="264" w:lineRule="auto"/>
      <w:jc w:val="both"/>
    </w:pPr>
    <w:rPr>
      <w:rFonts w:ascii="Calibri" w:hAnsi="Calibri" w:cs="Calibri"/>
      <w:kern w:val="2"/>
      <w:sz w:val="21"/>
      <w:szCs w:val="21"/>
    </w:rPr>
  </w:style>
  <w:style w:type="paragraph" w:styleId="17">
    <w:name w:val="List Number"/>
    <w:basedOn w:val="1"/>
    <w:unhideWhenUsed/>
    <w:qFormat/>
    <w:locked/>
    <w:uiPriority w:val="99"/>
    <w:pPr>
      <w:widowControl w:val="0"/>
      <w:tabs>
        <w:tab w:val="left" w:pos="360"/>
      </w:tabs>
      <w:adjustRightInd w:val="0"/>
      <w:spacing w:line="360" w:lineRule="auto"/>
      <w:ind w:left="360" w:firstLine="200" w:firstLineChars="200"/>
      <w:jc w:val="both"/>
    </w:pPr>
    <w:rPr>
      <w:rFonts w:ascii="Calibri" w:hAnsi="Calibri"/>
      <w:kern w:val="2"/>
      <w:sz w:val="28"/>
      <w:szCs w:val="24"/>
    </w:rPr>
  </w:style>
  <w:style w:type="paragraph" w:styleId="18">
    <w:name w:val="Normal Indent"/>
    <w:basedOn w:val="1"/>
    <w:link w:val="55"/>
    <w:qFormat/>
    <w:uiPriority w:val="0"/>
    <w:pPr>
      <w:widowControl w:val="0"/>
      <w:ind w:firstLine="480"/>
      <w:jc w:val="both"/>
    </w:pPr>
    <w:rPr>
      <w:rFonts w:ascii="等线" w:hAnsi="等线" w:eastAsia="等线" w:cs="等线"/>
      <w:kern w:val="2"/>
      <w:sz w:val="21"/>
      <w:szCs w:val="21"/>
    </w:rPr>
  </w:style>
  <w:style w:type="paragraph" w:styleId="19">
    <w:name w:val="Document Map"/>
    <w:basedOn w:val="1"/>
    <w:link w:val="56"/>
    <w:unhideWhenUsed/>
    <w:qFormat/>
    <w:locked/>
    <w:uiPriority w:val="99"/>
    <w:pPr>
      <w:widowControl w:val="0"/>
      <w:adjustRightInd w:val="0"/>
      <w:spacing w:line="360" w:lineRule="auto"/>
      <w:ind w:firstLine="560" w:firstLineChars="200"/>
      <w:jc w:val="both"/>
    </w:pPr>
    <w:rPr>
      <w:rFonts w:ascii="宋体" w:hAnsi="Calibri"/>
      <w:kern w:val="2"/>
      <w:sz w:val="24"/>
      <w:szCs w:val="24"/>
    </w:rPr>
  </w:style>
  <w:style w:type="paragraph" w:styleId="20">
    <w:name w:val="Body Text Indent"/>
    <w:basedOn w:val="1"/>
    <w:link w:val="59"/>
    <w:unhideWhenUsed/>
    <w:qFormat/>
    <w:locked/>
    <w:uiPriority w:val="99"/>
    <w:pPr>
      <w:widowControl w:val="0"/>
      <w:adjustRightInd w:val="0"/>
      <w:spacing w:after="120" w:line="360" w:lineRule="auto"/>
      <w:ind w:left="420" w:leftChars="200" w:firstLine="560" w:firstLineChars="200"/>
      <w:jc w:val="both"/>
    </w:pPr>
    <w:rPr>
      <w:rFonts w:ascii="Calibri" w:hAnsi="Calibri"/>
      <w:szCs w:val="24"/>
    </w:rPr>
  </w:style>
  <w:style w:type="paragraph" w:styleId="21">
    <w:name w:val="List Bullet 2"/>
    <w:basedOn w:val="1"/>
    <w:unhideWhenUsed/>
    <w:qFormat/>
    <w:locked/>
    <w:uiPriority w:val="99"/>
    <w:pPr>
      <w:widowControl w:val="0"/>
      <w:tabs>
        <w:tab w:val="left" w:pos="780"/>
      </w:tabs>
      <w:adjustRightInd w:val="0"/>
      <w:spacing w:line="360" w:lineRule="auto"/>
      <w:ind w:left="780" w:firstLine="200" w:firstLineChars="200"/>
      <w:jc w:val="both"/>
    </w:pPr>
    <w:rPr>
      <w:rFonts w:ascii="Calibri" w:hAnsi="Calibri"/>
      <w:kern w:val="2"/>
      <w:sz w:val="28"/>
      <w:szCs w:val="24"/>
    </w:rPr>
  </w:style>
  <w:style w:type="paragraph" w:styleId="22">
    <w:name w:val="toc 5"/>
    <w:basedOn w:val="1"/>
    <w:next w:val="1"/>
    <w:unhideWhenUsed/>
    <w:qFormat/>
    <w:locked/>
    <w:uiPriority w:val="39"/>
    <w:pPr>
      <w:widowControl w:val="0"/>
      <w:ind w:left="1680" w:leftChars="800"/>
      <w:jc w:val="both"/>
    </w:pPr>
    <w:rPr>
      <w:rFonts w:ascii="Calibri" w:hAnsi="Calibri"/>
      <w:kern w:val="2"/>
      <w:sz w:val="21"/>
      <w:szCs w:val="22"/>
    </w:rPr>
  </w:style>
  <w:style w:type="paragraph" w:styleId="23">
    <w:name w:val="toc 3"/>
    <w:basedOn w:val="1"/>
    <w:next w:val="1"/>
    <w:unhideWhenUsed/>
    <w:qFormat/>
    <w:locked/>
    <w:uiPriority w:val="39"/>
    <w:pPr>
      <w:widowControl w:val="0"/>
      <w:adjustRightInd w:val="0"/>
      <w:spacing w:line="360" w:lineRule="auto"/>
      <w:ind w:left="840" w:leftChars="400" w:firstLine="560" w:firstLineChars="200"/>
      <w:jc w:val="both"/>
    </w:pPr>
    <w:rPr>
      <w:rFonts w:ascii="Calibri" w:hAnsi="Calibri"/>
      <w:kern w:val="2"/>
      <w:sz w:val="28"/>
      <w:szCs w:val="24"/>
    </w:rPr>
  </w:style>
  <w:style w:type="paragraph" w:styleId="24">
    <w:name w:val="Plain Text"/>
    <w:basedOn w:val="1"/>
    <w:link w:val="60"/>
    <w:unhideWhenUsed/>
    <w:qFormat/>
    <w:locked/>
    <w:uiPriority w:val="99"/>
    <w:pPr>
      <w:widowControl w:val="0"/>
      <w:adjustRightInd w:val="0"/>
      <w:spacing w:line="360" w:lineRule="auto"/>
      <w:ind w:firstLine="560" w:firstLineChars="200"/>
      <w:jc w:val="both"/>
    </w:pPr>
    <w:rPr>
      <w:rFonts w:ascii="宋体" w:hAnsi="Courier New"/>
      <w:kern w:val="2"/>
      <w:sz w:val="18"/>
      <w:szCs w:val="24"/>
    </w:rPr>
  </w:style>
  <w:style w:type="paragraph" w:styleId="25">
    <w:name w:val="toc 8"/>
    <w:basedOn w:val="1"/>
    <w:next w:val="1"/>
    <w:unhideWhenUsed/>
    <w:qFormat/>
    <w:locked/>
    <w:uiPriority w:val="39"/>
    <w:pPr>
      <w:widowControl w:val="0"/>
      <w:ind w:left="2940" w:leftChars="1400"/>
      <w:jc w:val="both"/>
    </w:pPr>
    <w:rPr>
      <w:rFonts w:ascii="Calibri" w:hAnsi="Calibri"/>
      <w:kern w:val="2"/>
      <w:sz w:val="21"/>
      <w:szCs w:val="22"/>
    </w:rPr>
  </w:style>
  <w:style w:type="paragraph" w:styleId="26">
    <w:name w:val="Balloon Text"/>
    <w:basedOn w:val="1"/>
    <w:link w:val="61"/>
    <w:qFormat/>
    <w:uiPriority w:val="0"/>
    <w:rPr>
      <w:sz w:val="18"/>
      <w:szCs w:val="18"/>
    </w:rPr>
  </w:style>
  <w:style w:type="paragraph" w:styleId="27">
    <w:name w:val="footer"/>
    <w:basedOn w:val="1"/>
    <w:link w:val="62"/>
    <w:qFormat/>
    <w:uiPriority w:val="99"/>
    <w:pPr>
      <w:tabs>
        <w:tab w:val="center" w:pos="4153"/>
        <w:tab w:val="right" w:pos="8306"/>
      </w:tabs>
      <w:snapToGrid w:val="0"/>
    </w:pPr>
    <w:rPr>
      <w:sz w:val="18"/>
      <w:szCs w:val="18"/>
    </w:rPr>
  </w:style>
  <w:style w:type="paragraph" w:styleId="28">
    <w:name w:val="header"/>
    <w:basedOn w:val="1"/>
    <w:link w:val="63"/>
    <w:qFormat/>
    <w:uiPriority w:val="0"/>
    <w:pPr>
      <w:pBdr>
        <w:bottom w:val="single" w:color="auto" w:sz="6" w:space="1"/>
      </w:pBdr>
      <w:tabs>
        <w:tab w:val="center" w:pos="4153"/>
        <w:tab w:val="right" w:pos="8306"/>
      </w:tabs>
      <w:snapToGrid w:val="0"/>
      <w:jc w:val="center"/>
    </w:pPr>
    <w:rPr>
      <w:sz w:val="18"/>
      <w:szCs w:val="18"/>
    </w:rPr>
  </w:style>
  <w:style w:type="paragraph" w:styleId="29">
    <w:name w:val="toc 1"/>
    <w:basedOn w:val="1"/>
    <w:next w:val="1"/>
    <w:unhideWhenUsed/>
    <w:qFormat/>
    <w:locked/>
    <w:uiPriority w:val="39"/>
    <w:pPr>
      <w:widowControl w:val="0"/>
      <w:adjustRightInd w:val="0"/>
      <w:spacing w:line="360" w:lineRule="auto"/>
      <w:ind w:firstLine="560" w:firstLineChars="200"/>
      <w:jc w:val="both"/>
    </w:pPr>
    <w:rPr>
      <w:rFonts w:ascii="Calibri" w:hAnsi="Calibri"/>
      <w:kern w:val="2"/>
      <w:sz w:val="28"/>
      <w:szCs w:val="24"/>
    </w:rPr>
  </w:style>
  <w:style w:type="paragraph" w:styleId="30">
    <w:name w:val="toc 4"/>
    <w:basedOn w:val="1"/>
    <w:next w:val="1"/>
    <w:unhideWhenUsed/>
    <w:qFormat/>
    <w:locked/>
    <w:uiPriority w:val="39"/>
    <w:pPr>
      <w:widowControl w:val="0"/>
      <w:ind w:left="1260" w:leftChars="600"/>
      <w:jc w:val="both"/>
    </w:pPr>
    <w:rPr>
      <w:rFonts w:ascii="Calibri" w:hAnsi="Calibri"/>
      <w:kern w:val="2"/>
      <w:sz w:val="21"/>
      <w:szCs w:val="22"/>
    </w:rPr>
  </w:style>
  <w:style w:type="paragraph" w:styleId="31">
    <w:name w:val="toc 6"/>
    <w:basedOn w:val="1"/>
    <w:next w:val="1"/>
    <w:unhideWhenUsed/>
    <w:qFormat/>
    <w:locked/>
    <w:uiPriority w:val="39"/>
    <w:pPr>
      <w:widowControl w:val="0"/>
      <w:ind w:left="2100" w:leftChars="1000"/>
      <w:jc w:val="both"/>
    </w:pPr>
    <w:rPr>
      <w:rFonts w:ascii="Calibri" w:hAnsi="Calibri"/>
      <w:kern w:val="2"/>
      <w:sz w:val="21"/>
      <w:szCs w:val="22"/>
    </w:rPr>
  </w:style>
  <w:style w:type="paragraph" w:styleId="32">
    <w:name w:val="toc 2"/>
    <w:basedOn w:val="1"/>
    <w:next w:val="1"/>
    <w:unhideWhenUsed/>
    <w:qFormat/>
    <w:locked/>
    <w:uiPriority w:val="39"/>
    <w:pPr>
      <w:widowControl w:val="0"/>
      <w:adjustRightInd w:val="0"/>
      <w:spacing w:line="360" w:lineRule="auto"/>
      <w:ind w:left="420" w:leftChars="200" w:firstLine="560" w:firstLineChars="200"/>
      <w:jc w:val="both"/>
    </w:pPr>
    <w:rPr>
      <w:rFonts w:ascii="Calibri" w:hAnsi="Calibri"/>
      <w:kern w:val="2"/>
      <w:sz w:val="28"/>
      <w:szCs w:val="24"/>
    </w:rPr>
  </w:style>
  <w:style w:type="paragraph" w:styleId="33">
    <w:name w:val="toc 9"/>
    <w:basedOn w:val="1"/>
    <w:next w:val="1"/>
    <w:unhideWhenUsed/>
    <w:qFormat/>
    <w:locked/>
    <w:uiPriority w:val="39"/>
    <w:pPr>
      <w:widowControl w:val="0"/>
      <w:ind w:left="3360" w:leftChars="1600"/>
      <w:jc w:val="both"/>
    </w:pPr>
    <w:rPr>
      <w:rFonts w:ascii="Calibri" w:hAnsi="Calibri"/>
      <w:kern w:val="2"/>
      <w:sz w:val="21"/>
      <w:szCs w:val="22"/>
    </w:rPr>
  </w:style>
  <w:style w:type="paragraph" w:styleId="34">
    <w:name w:val="Body Text 2"/>
    <w:basedOn w:val="1"/>
    <w:link w:val="64"/>
    <w:unhideWhenUsed/>
    <w:qFormat/>
    <w:locked/>
    <w:uiPriority w:val="0"/>
    <w:pPr>
      <w:widowControl w:val="0"/>
      <w:spacing w:after="120" w:line="480" w:lineRule="auto"/>
      <w:jc w:val="both"/>
    </w:pPr>
    <w:rPr>
      <w:kern w:val="2"/>
      <w:sz w:val="21"/>
      <w:szCs w:val="24"/>
    </w:rPr>
  </w:style>
  <w:style w:type="paragraph" w:styleId="35">
    <w:name w:val="HTML Preformatted"/>
    <w:basedOn w:val="1"/>
    <w:link w:val="65"/>
    <w:semiHidden/>
    <w:qFormat/>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宋体" w:hAnsi="宋体" w:cs="宋体"/>
      <w:sz w:val="24"/>
      <w:szCs w:val="24"/>
    </w:rPr>
  </w:style>
  <w:style w:type="paragraph" w:styleId="36">
    <w:name w:val="Normal (Web)"/>
    <w:basedOn w:val="1"/>
    <w:link w:val="66"/>
    <w:unhideWhenUsed/>
    <w:qFormat/>
    <w:locked/>
    <w:uiPriority w:val="99"/>
    <w:pPr>
      <w:spacing w:before="100" w:beforeAutospacing="1" w:after="100" w:afterAutospacing="1"/>
    </w:pPr>
    <w:rPr>
      <w:rFonts w:ascii="宋体" w:hAnsi="宋体" w:cs="宋体"/>
      <w:sz w:val="24"/>
      <w:szCs w:val="24"/>
    </w:rPr>
  </w:style>
  <w:style w:type="paragraph" w:styleId="37">
    <w:name w:val="Title"/>
    <w:basedOn w:val="1"/>
    <w:next w:val="1"/>
    <w:link w:val="67"/>
    <w:qFormat/>
    <w:locked/>
    <w:uiPriority w:val="10"/>
    <w:pPr>
      <w:widowControl w:val="0"/>
      <w:spacing w:before="240" w:after="60"/>
      <w:jc w:val="center"/>
      <w:outlineLvl w:val="0"/>
    </w:pPr>
    <w:rPr>
      <w:rFonts w:ascii="Cambria" w:hAnsi="Cambria"/>
      <w:b/>
      <w:bCs/>
      <w:kern w:val="2"/>
      <w:sz w:val="32"/>
      <w:szCs w:val="32"/>
    </w:rPr>
  </w:style>
  <w:style w:type="character" w:styleId="39">
    <w:name w:val="Strong"/>
    <w:qFormat/>
    <w:locked/>
    <w:uiPriority w:val="0"/>
    <w:rPr>
      <w:b/>
      <w:bCs/>
    </w:rPr>
  </w:style>
  <w:style w:type="character" w:styleId="40">
    <w:name w:val="page number"/>
    <w:qFormat/>
    <w:uiPriority w:val="99"/>
  </w:style>
  <w:style w:type="character" w:styleId="41">
    <w:name w:val="Hyperlink"/>
    <w:unhideWhenUsed/>
    <w:qFormat/>
    <w:locked/>
    <w:uiPriority w:val="99"/>
    <w:rPr>
      <w:color w:val="0000FF"/>
      <w:u w:val="single"/>
    </w:rPr>
  </w:style>
  <w:style w:type="character" w:styleId="42">
    <w:name w:val="annotation reference"/>
    <w:qFormat/>
    <w:uiPriority w:val="0"/>
    <w:rPr>
      <w:sz w:val="21"/>
      <w:szCs w:val="21"/>
    </w:rPr>
  </w:style>
  <w:style w:type="table" w:styleId="44">
    <w:name w:val="Table Grid"/>
    <w:basedOn w:val="43"/>
    <w:qFormat/>
    <w:locked/>
    <w:uiPriority w:val="0"/>
    <w:rPr>
      <w:rFonts w:ascii="Calibri" w:hAnsi="Calibri" w:cs="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customStyle="1" w:styleId="45">
    <w:name w:val="标题 1 Char"/>
    <w:link w:val="2"/>
    <w:qFormat/>
    <w:locked/>
    <w:uiPriority w:val="0"/>
    <w:rPr>
      <w:rFonts w:ascii="宋体" w:hAnsi="宋体" w:eastAsia="宋体" w:cs="宋体"/>
      <w:kern w:val="0"/>
      <w:sz w:val="20"/>
      <w:szCs w:val="20"/>
    </w:rPr>
  </w:style>
  <w:style w:type="character" w:customStyle="1" w:styleId="46">
    <w:name w:val="标题 2 Char"/>
    <w:link w:val="3"/>
    <w:qFormat/>
    <w:locked/>
    <w:uiPriority w:val="9"/>
    <w:rPr>
      <w:rFonts w:ascii="Cambria" w:hAnsi="Cambria" w:eastAsia="宋体" w:cs="Cambria"/>
      <w:b/>
      <w:bCs/>
      <w:kern w:val="2"/>
      <w:sz w:val="32"/>
      <w:szCs w:val="32"/>
    </w:rPr>
  </w:style>
  <w:style w:type="character" w:customStyle="1" w:styleId="47">
    <w:name w:val="方案文档 Char"/>
    <w:link w:val="4"/>
    <w:qFormat/>
    <w:locked/>
    <w:uiPriority w:val="99"/>
    <w:rPr>
      <w:rFonts w:ascii="宋体" w:hAnsi="宋体"/>
      <w:sz w:val="24"/>
    </w:rPr>
  </w:style>
  <w:style w:type="character" w:customStyle="1" w:styleId="48">
    <w:name w:val="标题 3 Char"/>
    <w:link w:val="5"/>
    <w:qFormat/>
    <w:locked/>
    <w:uiPriority w:val="9"/>
    <w:rPr>
      <w:b/>
      <w:bCs/>
      <w:sz w:val="32"/>
      <w:szCs w:val="32"/>
    </w:rPr>
  </w:style>
  <w:style w:type="character" w:customStyle="1" w:styleId="49">
    <w:name w:val="标题 4 Char"/>
    <w:link w:val="6"/>
    <w:qFormat/>
    <w:locked/>
    <w:uiPriority w:val="0"/>
    <w:rPr>
      <w:rFonts w:ascii="Cambria" w:hAnsi="Cambria" w:eastAsia="宋体" w:cs="Cambria"/>
      <w:b/>
      <w:bCs/>
      <w:sz w:val="28"/>
      <w:szCs w:val="28"/>
    </w:rPr>
  </w:style>
  <w:style w:type="character" w:customStyle="1" w:styleId="50">
    <w:name w:val="标题 5 Char"/>
    <w:link w:val="7"/>
    <w:qFormat/>
    <w:uiPriority w:val="9"/>
    <w:rPr>
      <w:b/>
      <w:bCs/>
      <w:sz w:val="28"/>
      <w:szCs w:val="28"/>
    </w:rPr>
  </w:style>
  <w:style w:type="character" w:customStyle="1" w:styleId="51">
    <w:name w:val="标题 6 Char"/>
    <w:link w:val="8"/>
    <w:qFormat/>
    <w:uiPriority w:val="9"/>
    <w:rPr>
      <w:rFonts w:ascii="Calibri Light" w:hAnsi="Calibri Light"/>
      <w:b/>
      <w:bCs/>
      <w:kern w:val="2"/>
      <w:sz w:val="24"/>
      <w:szCs w:val="24"/>
    </w:rPr>
  </w:style>
  <w:style w:type="character" w:customStyle="1" w:styleId="52">
    <w:name w:val="标题 7 Char"/>
    <w:link w:val="9"/>
    <w:qFormat/>
    <w:uiPriority w:val="9"/>
    <w:rPr>
      <w:b/>
      <w:bCs/>
      <w:kern w:val="2"/>
      <w:sz w:val="24"/>
      <w:szCs w:val="24"/>
    </w:rPr>
  </w:style>
  <w:style w:type="character" w:customStyle="1" w:styleId="53">
    <w:name w:val="标题 8 Char"/>
    <w:link w:val="10"/>
    <w:qFormat/>
    <w:uiPriority w:val="9"/>
    <w:rPr>
      <w:rFonts w:ascii="Calibri Light" w:hAnsi="Calibri Light"/>
      <w:b/>
      <w:kern w:val="2"/>
      <w:sz w:val="24"/>
      <w:szCs w:val="24"/>
    </w:rPr>
  </w:style>
  <w:style w:type="character" w:customStyle="1" w:styleId="54">
    <w:name w:val="标题 9 Char"/>
    <w:link w:val="11"/>
    <w:qFormat/>
    <w:uiPriority w:val="9"/>
    <w:rPr>
      <w:rFonts w:ascii="Calibri Light" w:hAnsi="Calibri Light"/>
      <w:b/>
      <w:kern w:val="2"/>
      <w:sz w:val="24"/>
      <w:szCs w:val="21"/>
    </w:rPr>
  </w:style>
  <w:style w:type="character" w:customStyle="1" w:styleId="55">
    <w:name w:val="正文缩进 Char"/>
    <w:link w:val="18"/>
    <w:qFormat/>
    <w:uiPriority w:val="0"/>
    <w:rPr>
      <w:rFonts w:ascii="等线" w:hAnsi="等线" w:eastAsia="等线" w:cs="等线"/>
      <w:kern w:val="2"/>
      <w:sz w:val="21"/>
      <w:szCs w:val="21"/>
    </w:rPr>
  </w:style>
  <w:style w:type="character" w:customStyle="1" w:styleId="56">
    <w:name w:val="文档结构图 Char"/>
    <w:link w:val="19"/>
    <w:semiHidden/>
    <w:qFormat/>
    <w:uiPriority w:val="99"/>
    <w:rPr>
      <w:rFonts w:ascii="宋体" w:hAnsi="Calibri" w:cs="Times New Roman"/>
      <w:kern w:val="2"/>
      <w:sz w:val="24"/>
      <w:szCs w:val="24"/>
    </w:rPr>
  </w:style>
  <w:style w:type="character" w:customStyle="1" w:styleId="57">
    <w:name w:val="批注文字 Char"/>
    <w:link w:val="13"/>
    <w:qFormat/>
    <w:locked/>
    <w:uiPriority w:val="99"/>
  </w:style>
  <w:style w:type="character" w:customStyle="1" w:styleId="58">
    <w:name w:val="正文文本 Char"/>
    <w:link w:val="16"/>
    <w:qFormat/>
    <w:locked/>
    <w:uiPriority w:val="99"/>
    <w:rPr>
      <w:rFonts w:ascii="Calibri" w:hAnsi="Calibri" w:cs="Calibri"/>
      <w:kern w:val="2"/>
      <w:sz w:val="21"/>
      <w:szCs w:val="21"/>
    </w:rPr>
  </w:style>
  <w:style w:type="character" w:customStyle="1" w:styleId="59">
    <w:name w:val="正文文本缩进 Char"/>
    <w:link w:val="20"/>
    <w:qFormat/>
    <w:uiPriority w:val="99"/>
    <w:rPr>
      <w:rFonts w:ascii="Calibri" w:hAnsi="Calibri" w:eastAsia="宋体" w:cs="Times New Roman"/>
      <w:szCs w:val="24"/>
    </w:rPr>
  </w:style>
  <w:style w:type="character" w:customStyle="1" w:styleId="60">
    <w:name w:val="纯文本 Char"/>
    <w:link w:val="24"/>
    <w:qFormat/>
    <w:uiPriority w:val="99"/>
    <w:rPr>
      <w:rFonts w:ascii="宋体" w:hAnsi="Courier New" w:eastAsia="宋体" w:cs="Times New Roman"/>
      <w:kern w:val="2"/>
      <w:sz w:val="18"/>
      <w:szCs w:val="24"/>
    </w:rPr>
  </w:style>
  <w:style w:type="character" w:customStyle="1" w:styleId="61">
    <w:name w:val="批注框文本 Char"/>
    <w:link w:val="26"/>
    <w:semiHidden/>
    <w:qFormat/>
    <w:locked/>
    <w:uiPriority w:val="99"/>
    <w:rPr>
      <w:sz w:val="18"/>
      <w:szCs w:val="18"/>
    </w:rPr>
  </w:style>
  <w:style w:type="character" w:customStyle="1" w:styleId="62">
    <w:name w:val="页脚 Char"/>
    <w:link w:val="27"/>
    <w:qFormat/>
    <w:locked/>
    <w:uiPriority w:val="99"/>
    <w:rPr>
      <w:rFonts w:ascii="Times New Roman" w:hAnsi="Times New Roman" w:eastAsia="宋体" w:cs="Times New Roman"/>
      <w:kern w:val="0"/>
      <w:sz w:val="18"/>
      <w:szCs w:val="18"/>
    </w:rPr>
  </w:style>
  <w:style w:type="character" w:customStyle="1" w:styleId="63">
    <w:name w:val="页眉 Char"/>
    <w:link w:val="28"/>
    <w:qFormat/>
    <w:locked/>
    <w:uiPriority w:val="0"/>
    <w:rPr>
      <w:rFonts w:ascii="Times New Roman" w:hAnsi="Times New Roman" w:eastAsia="宋体" w:cs="Times New Roman"/>
      <w:kern w:val="0"/>
      <w:sz w:val="18"/>
      <w:szCs w:val="18"/>
    </w:rPr>
  </w:style>
  <w:style w:type="character" w:customStyle="1" w:styleId="64">
    <w:name w:val="正文文本 2 Char"/>
    <w:link w:val="34"/>
    <w:qFormat/>
    <w:uiPriority w:val="0"/>
    <w:rPr>
      <w:kern w:val="2"/>
      <w:sz w:val="21"/>
      <w:szCs w:val="24"/>
    </w:rPr>
  </w:style>
  <w:style w:type="character" w:customStyle="1" w:styleId="65">
    <w:name w:val="HTML 预设格式 Char"/>
    <w:link w:val="35"/>
    <w:semiHidden/>
    <w:qFormat/>
    <w:locked/>
    <w:uiPriority w:val="99"/>
    <w:rPr>
      <w:rFonts w:ascii="Courier New" w:hAnsi="Courier New" w:cs="Courier New"/>
      <w:kern w:val="0"/>
      <w:sz w:val="20"/>
      <w:szCs w:val="20"/>
    </w:rPr>
  </w:style>
  <w:style w:type="character" w:customStyle="1" w:styleId="66">
    <w:name w:val="普通(网站) Char"/>
    <w:link w:val="36"/>
    <w:qFormat/>
    <w:uiPriority w:val="99"/>
    <w:rPr>
      <w:rFonts w:ascii="宋体" w:hAnsi="宋体" w:cs="宋体"/>
      <w:sz w:val="24"/>
      <w:szCs w:val="24"/>
    </w:rPr>
  </w:style>
  <w:style w:type="character" w:customStyle="1" w:styleId="67">
    <w:name w:val="标题 Char1"/>
    <w:link w:val="37"/>
    <w:qFormat/>
    <w:uiPriority w:val="10"/>
    <w:rPr>
      <w:rFonts w:ascii="Cambria" w:hAnsi="Cambria"/>
      <w:b/>
      <w:bCs/>
      <w:kern w:val="2"/>
      <w:sz w:val="32"/>
      <w:szCs w:val="32"/>
    </w:rPr>
  </w:style>
  <w:style w:type="character" w:customStyle="1" w:styleId="68">
    <w:name w:val="批注主题 Char"/>
    <w:link w:val="12"/>
    <w:qFormat/>
    <w:locked/>
    <w:uiPriority w:val="0"/>
    <w:rPr>
      <w:rFonts w:ascii="Calibri" w:hAnsi="Calibri" w:eastAsia="微软雅黑" w:cs="Calibri"/>
      <w:kern w:val="2"/>
      <w:sz w:val="24"/>
      <w:szCs w:val="24"/>
    </w:rPr>
  </w:style>
  <w:style w:type="character" w:customStyle="1" w:styleId="69">
    <w:name w:val="正文首行缩进 Char"/>
    <w:link w:val="15"/>
    <w:qFormat/>
    <w:uiPriority w:val="0"/>
    <w:rPr>
      <w:rFonts w:ascii="Calibri" w:hAnsi="Calibri" w:cs="Calibri"/>
      <w:kern w:val="2"/>
      <w:sz w:val="21"/>
      <w:szCs w:val="24"/>
    </w:rPr>
  </w:style>
  <w:style w:type="paragraph" w:customStyle="1" w:styleId="70">
    <w:name w:val="样式 样式 样式 样式 标题 2 + 宋体 五号 非加粗 黑色 + 段前: 6 磅 段后: 0 磅 行距: 单倍行距 + 段前:..."/>
    <w:basedOn w:val="1"/>
    <w:qFormat/>
    <w:uiPriority w:val="99"/>
    <w:pPr>
      <w:keepNext/>
      <w:keepLines/>
      <w:widowControl w:val="0"/>
      <w:adjustRightInd w:val="0"/>
      <w:spacing w:before="240"/>
      <w:ind w:left="480"/>
      <w:outlineLvl w:val="1"/>
    </w:pPr>
    <w:rPr>
      <w:rFonts w:ascii="宋体" w:hAnsi="宋体" w:cs="宋体"/>
      <w:b/>
      <w:bCs/>
      <w:color w:val="000000"/>
      <w:sz w:val="21"/>
      <w:szCs w:val="21"/>
    </w:rPr>
  </w:style>
  <w:style w:type="paragraph" w:customStyle="1" w:styleId="71">
    <w:name w:val="正文文本样式"/>
    <w:basedOn w:val="1"/>
    <w:qFormat/>
    <w:uiPriority w:val="99"/>
    <w:pPr>
      <w:spacing w:line="360" w:lineRule="auto"/>
      <w:ind w:firstLine="200" w:firstLineChars="200"/>
    </w:pPr>
    <w:rPr>
      <w:rFonts w:ascii="Arial" w:hAnsi="Arial" w:cs="Arial"/>
      <w:kern w:val="2"/>
      <w:sz w:val="24"/>
      <w:szCs w:val="24"/>
    </w:rPr>
  </w:style>
  <w:style w:type="paragraph" w:customStyle="1" w:styleId="72">
    <w:name w:val="Normal_0_1"/>
    <w:qFormat/>
    <w:uiPriority w:val="99"/>
    <w:rPr>
      <w:rFonts w:ascii="Times New Roman" w:hAnsi="Times New Roman" w:eastAsia="宋体" w:cs="Times New Roman"/>
      <w:sz w:val="24"/>
      <w:szCs w:val="24"/>
      <w:lang w:val="en-US" w:eastAsia="zh-CN" w:bidi="ar-SA"/>
    </w:rPr>
  </w:style>
  <w:style w:type="paragraph" w:styleId="73">
    <w:name w:val="List Paragraph"/>
    <w:basedOn w:val="1"/>
    <w:link w:val="74"/>
    <w:qFormat/>
    <w:uiPriority w:val="34"/>
    <w:pPr>
      <w:ind w:firstLine="420" w:firstLineChars="200"/>
    </w:pPr>
  </w:style>
  <w:style w:type="character" w:customStyle="1" w:styleId="74">
    <w:name w:val="列出段落 Char"/>
    <w:link w:val="73"/>
    <w:qFormat/>
    <w:locked/>
    <w:uiPriority w:val="34"/>
  </w:style>
  <w:style w:type="paragraph" w:customStyle="1" w:styleId="75">
    <w:name w:val="修订1"/>
    <w:semiHidden/>
    <w:qFormat/>
    <w:uiPriority w:val="99"/>
    <w:rPr>
      <w:rFonts w:ascii="Times New Roman" w:hAnsi="Times New Roman" w:eastAsia="宋体" w:cs="Times New Roman"/>
      <w:lang w:val="en-US" w:eastAsia="zh-CN" w:bidi="ar-SA"/>
    </w:rPr>
  </w:style>
  <w:style w:type="paragraph" w:customStyle="1" w:styleId="76">
    <w:name w:val="3级标题"/>
    <w:basedOn w:val="1"/>
    <w:qFormat/>
    <w:uiPriority w:val="99"/>
    <w:pPr>
      <w:keepLines/>
      <w:widowControl w:val="0"/>
      <w:numPr>
        <w:ilvl w:val="0"/>
        <w:numId w:val="2"/>
      </w:numPr>
      <w:spacing w:before="120" w:after="120" w:line="360" w:lineRule="auto"/>
      <w:outlineLvl w:val="2"/>
    </w:pPr>
    <w:rPr>
      <w:rFonts w:ascii="黑体" w:hAnsi="黑体" w:eastAsia="黑体" w:cs="黑体"/>
      <w:sz w:val="28"/>
      <w:szCs w:val="28"/>
      <w:lang w:val="zh-CN" w:eastAsia="en-US"/>
    </w:rPr>
  </w:style>
  <w:style w:type="paragraph" w:customStyle="1" w:styleId="77">
    <w:name w:val="List Paragraph1"/>
    <w:basedOn w:val="1"/>
    <w:qFormat/>
    <w:uiPriority w:val="99"/>
    <w:pPr>
      <w:widowControl w:val="0"/>
      <w:ind w:firstLine="420" w:firstLineChars="200"/>
      <w:jc w:val="both"/>
    </w:pPr>
    <w:rPr>
      <w:kern w:val="2"/>
      <w:sz w:val="21"/>
      <w:szCs w:val="21"/>
    </w:rPr>
  </w:style>
  <w:style w:type="paragraph" w:customStyle="1" w:styleId="78">
    <w:name w:val="my正文"/>
    <w:basedOn w:val="1"/>
    <w:qFormat/>
    <w:uiPriority w:val="99"/>
    <w:pPr>
      <w:widowControl w:val="0"/>
      <w:spacing w:line="360" w:lineRule="auto"/>
      <w:ind w:firstLine="200" w:firstLineChars="200"/>
      <w:jc w:val="both"/>
    </w:pPr>
    <w:rPr>
      <w:rFonts w:ascii="宋体" w:hAnsi="宋体" w:eastAsia="仿宋" w:cs="宋体"/>
      <w:kern w:val="2"/>
      <w:sz w:val="28"/>
      <w:szCs w:val="28"/>
    </w:rPr>
  </w:style>
  <w:style w:type="paragraph" w:customStyle="1" w:styleId="79">
    <w:name w:val="首行缩进"/>
    <w:basedOn w:val="1"/>
    <w:qFormat/>
    <w:uiPriority w:val="99"/>
    <w:pPr>
      <w:widowControl w:val="0"/>
      <w:spacing w:line="360" w:lineRule="auto"/>
      <w:ind w:firstLine="480" w:firstLineChars="200"/>
    </w:pPr>
    <w:rPr>
      <w:rFonts w:ascii="宋体" w:hAnsi="宋体" w:cs="宋体"/>
      <w:kern w:val="2"/>
      <w:sz w:val="24"/>
      <w:szCs w:val="24"/>
    </w:rPr>
  </w:style>
  <w:style w:type="paragraph" w:customStyle="1" w:styleId="80">
    <w:name w:val="_Style 299"/>
    <w:basedOn w:val="1"/>
    <w:next w:val="73"/>
    <w:qFormat/>
    <w:uiPriority w:val="99"/>
    <w:pPr>
      <w:widowControl w:val="0"/>
      <w:ind w:firstLine="420" w:firstLineChars="200"/>
      <w:jc w:val="both"/>
    </w:pPr>
    <w:rPr>
      <w:rFonts w:ascii="Calibri" w:hAnsi="Calibri" w:cs="Calibri"/>
      <w:kern w:val="2"/>
      <w:sz w:val="21"/>
      <w:szCs w:val="21"/>
    </w:rPr>
  </w:style>
  <w:style w:type="paragraph" w:customStyle="1" w:styleId="81">
    <w:name w:val="_Style 4"/>
    <w:basedOn w:val="1"/>
    <w:next w:val="73"/>
    <w:qFormat/>
    <w:uiPriority w:val="99"/>
    <w:pPr>
      <w:widowControl w:val="0"/>
      <w:ind w:firstLine="420" w:firstLineChars="200"/>
      <w:jc w:val="both"/>
    </w:pPr>
    <w:rPr>
      <w:rFonts w:ascii="Calibri" w:hAnsi="Calibri" w:cs="Calibri"/>
      <w:kern w:val="2"/>
      <w:sz w:val="21"/>
      <w:szCs w:val="21"/>
      <w:lang w:val="zh-CN"/>
    </w:rPr>
  </w:style>
  <w:style w:type="paragraph" w:customStyle="1" w:styleId="82">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character" w:customStyle="1" w:styleId="83">
    <w:name w:val="font21"/>
    <w:qFormat/>
    <w:uiPriority w:val="0"/>
    <w:rPr>
      <w:rFonts w:ascii="微软雅黑" w:hAnsi="微软雅黑" w:eastAsia="微软雅黑" w:cs="微软雅黑"/>
      <w:color w:val="000000"/>
      <w:sz w:val="20"/>
      <w:szCs w:val="20"/>
      <w:u w:val="none"/>
    </w:rPr>
  </w:style>
  <w:style w:type="character" w:customStyle="1" w:styleId="84">
    <w:name w:val="font01"/>
    <w:qFormat/>
    <w:uiPriority w:val="0"/>
    <w:rPr>
      <w:rFonts w:ascii="宋体" w:hAnsi="宋体" w:eastAsia="宋体" w:cs="宋体"/>
      <w:color w:val="000000"/>
      <w:sz w:val="20"/>
      <w:szCs w:val="20"/>
      <w:u w:val="none"/>
    </w:rPr>
  </w:style>
  <w:style w:type="paragraph" w:customStyle="1" w:styleId="85">
    <w:name w:val="正文 A"/>
    <w:qFormat/>
    <w:uiPriority w:val="99"/>
    <w:pPr>
      <w:widowControl w:val="0"/>
      <w:jc w:val="both"/>
    </w:pPr>
    <w:rPr>
      <w:rFonts w:ascii="Times New Roman" w:hAnsi="Times New Roman" w:eastAsia="Arial Unicode MS" w:cs="Times New Roman"/>
      <w:color w:val="000000"/>
      <w:kern w:val="2"/>
      <w:sz w:val="21"/>
      <w:szCs w:val="21"/>
      <w:lang w:val="en-US" w:eastAsia="zh-CN" w:bidi="ar-SA"/>
    </w:rPr>
  </w:style>
  <w:style w:type="character" w:customStyle="1" w:styleId="86">
    <w:name w:val="fontstyle01"/>
    <w:qFormat/>
    <w:uiPriority w:val="0"/>
    <w:rPr>
      <w:rFonts w:ascii="宋体" w:hAnsi="宋体" w:eastAsia="宋体" w:cs="宋体"/>
      <w:color w:val="000000"/>
      <w:sz w:val="22"/>
      <w:szCs w:val="22"/>
    </w:rPr>
  </w:style>
  <w:style w:type="character" w:customStyle="1" w:styleId="87">
    <w:name w:val="font11"/>
    <w:qFormat/>
    <w:uiPriority w:val="0"/>
    <w:rPr>
      <w:rFonts w:ascii="宋体" w:hAnsi="宋体" w:eastAsia="宋体" w:cs="宋体"/>
      <w:color w:val="000000"/>
      <w:sz w:val="22"/>
      <w:szCs w:val="22"/>
      <w:u w:val="none"/>
    </w:rPr>
  </w:style>
  <w:style w:type="paragraph" w:customStyle="1" w:styleId="88">
    <w:name w:val="列表段落1"/>
    <w:basedOn w:val="1"/>
    <w:qFormat/>
    <w:uiPriority w:val="99"/>
    <w:pPr>
      <w:widowControl w:val="0"/>
      <w:ind w:firstLine="420" w:firstLineChars="200"/>
      <w:jc w:val="both"/>
    </w:pPr>
    <w:rPr>
      <w:rFonts w:ascii="等线" w:hAnsi="等线" w:eastAsia="等线" w:cs="等线"/>
      <w:kern w:val="2"/>
      <w:sz w:val="21"/>
      <w:szCs w:val="21"/>
    </w:rPr>
  </w:style>
  <w:style w:type="character" w:customStyle="1" w:styleId="89">
    <w:name w:val="msoins"/>
    <w:qFormat/>
    <w:uiPriority w:val="99"/>
    <w:rPr>
      <w:rFonts w:ascii="Arial" w:hAnsi="Arial" w:cs="Arial"/>
      <w:b/>
      <w:bCs/>
      <w:kern w:val="0"/>
      <w:sz w:val="24"/>
      <w:szCs w:val="24"/>
      <w:lang w:eastAsia="en-US"/>
    </w:rPr>
  </w:style>
  <w:style w:type="character" w:customStyle="1" w:styleId="90">
    <w:name w:val="页脚 Char1"/>
    <w:qFormat/>
    <w:uiPriority w:val="99"/>
    <w:rPr>
      <w:sz w:val="18"/>
      <w:szCs w:val="18"/>
    </w:rPr>
  </w:style>
  <w:style w:type="character" w:customStyle="1" w:styleId="91">
    <w:name w:val="textcontents"/>
    <w:qFormat/>
    <w:uiPriority w:val="0"/>
  </w:style>
  <w:style w:type="character" w:customStyle="1" w:styleId="92">
    <w:name w:val="标题 Char"/>
    <w:qFormat/>
    <w:uiPriority w:val="10"/>
    <w:rPr>
      <w:rFonts w:ascii="Cambria" w:hAnsi="Cambria" w:cs="Times New Roman"/>
      <w:b/>
      <w:bCs/>
      <w:sz w:val="32"/>
      <w:szCs w:val="32"/>
    </w:rPr>
  </w:style>
  <w:style w:type="paragraph" w:customStyle="1" w:styleId="93">
    <w:name w:val="_Style 16"/>
    <w:basedOn w:val="1"/>
    <w:next w:val="73"/>
    <w:qFormat/>
    <w:uiPriority w:val="34"/>
    <w:pPr>
      <w:widowControl w:val="0"/>
      <w:ind w:firstLine="420" w:firstLineChars="200"/>
      <w:jc w:val="both"/>
    </w:pPr>
    <w:rPr>
      <w:kern w:val="2"/>
      <w:sz w:val="21"/>
      <w:szCs w:val="24"/>
    </w:rPr>
  </w:style>
  <w:style w:type="paragraph" w:customStyle="1" w:styleId="94">
    <w:name w:val="列出段落5"/>
    <w:basedOn w:val="1"/>
    <w:qFormat/>
    <w:uiPriority w:val="99"/>
    <w:pPr>
      <w:widowControl w:val="0"/>
      <w:adjustRightInd w:val="0"/>
      <w:spacing w:line="360" w:lineRule="auto"/>
      <w:ind w:firstLine="420" w:firstLineChars="200"/>
      <w:jc w:val="both"/>
    </w:pPr>
    <w:rPr>
      <w:rFonts w:ascii="Calibri" w:hAnsi="Calibri"/>
      <w:kern w:val="2"/>
      <w:sz w:val="28"/>
      <w:szCs w:val="24"/>
    </w:rPr>
  </w:style>
  <w:style w:type="paragraph" w:customStyle="1" w:styleId="95">
    <w:name w:val="正文内容"/>
    <w:basedOn w:val="1"/>
    <w:link w:val="96"/>
    <w:qFormat/>
    <w:uiPriority w:val="0"/>
    <w:pPr>
      <w:widowControl w:val="0"/>
      <w:adjustRightInd w:val="0"/>
      <w:spacing w:line="360" w:lineRule="auto"/>
      <w:ind w:firstLine="480" w:firstLineChars="200"/>
      <w:jc w:val="both"/>
    </w:pPr>
    <w:rPr>
      <w:rFonts w:ascii="Calibri" w:hAnsi="Calibri"/>
      <w:kern w:val="2"/>
      <w:sz w:val="28"/>
      <w:szCs w:val="24"/>
    </w:rPr>
  </w:style>
  <w:style w:type="character" w:customStyle="1" w:styleId="96">
    <w:name w:val="正文内容 Char"/>
    <w:link w:val="95"/>
    <w:qFormat/>
    <w:uiPriority w:val="0"/>
    <w:rPr>
      <w:rFonts w:ascii="Calibri" w:hAnsi="Calibri" w:eastAsia="宋体" w:cs="Times New Roman"/>
      <w:kern w:val="2"/>
      <w:sz w:val="28"/>
      <w:szCs w:val="24"/>
    </w:rPr>
  </w:style>
  <w:style w:type="paragraph" w:customStyle="1" w:styleId="97">
    <w:name w:val="项目编号B"/>
    <w:basedOn w:val="1"/>
    <w:qFormat/>
    <w:uiPriority w:val="99"/>
    <w:pPr>
      <w:widowControl w:val="0"/>
      <w:numPr>
        <w:ilvl w:val="0"/>
        <w:numId w:val="3"/>
      </w:numPr>
      <w:adjustRightInd w:val="0"/>
      <w:spacing w:line="440" w:lineRule="exact"/>
      <w:ind w:firstLine="0"/>
      <w:jc w:val="both"/>
    </w:pPr>
    <w:rPr>
      <w:rFonts w:ascii="Arial" w:hAnsi="Arial"/>
      <w:kern w:val="2"/>
      <w:sz w:val="24"/>
      <w:szCs w:val="24"/>
    </w:rPr>
  </w:style>
  <w:style w:type="paragraph" w:customStyle="1" w:styleId="98">
    <w:name w:val="msolistparagraph"/>
    <w:basedOn w:val="1"/>
    <w:qFormat/>
    <w:uiPriority w:val="0"/>
    <w:pPr>
      <w:widowControl w:val="0"/>
      <w:adjustRightInd w:val="0"/>
      <w:spacing w:line="360" w:lineRule="auto"/>
      <w:ind w:firstLine="420" w:firstLineChars="200"/>
      <w:jc w:val="both"/>
    </w:pPr>
    <w:rPr>
      <w:rFonts w:ascii="Calibri" w:hAnsi="Calibri"/>
      <w:sz w:val="28"/>
      <w:szCs w:val="22"/>
    </w:rPr>
  </w:style>
  <w:style w:type="paragraph" w:customStyle="1" w:styleId="99">
    <w:name w:val="列出段落1"/>
    <w:basedOn w:val="1"/>
    <w:unhideWhenUsed/>
    <w:qFormat/>
    <w:uiPriority w:val="99"/>
    <w:pPr>
      <w:widowControl w:val="0"/>
      <w:adjustRightInd w:val="0"/>
      <w:spacing w:line="360" w:lineRule="auto"/>
      <w:ind w:firstLine="420" w:firstLineChars="200"/>
      <w:jc w:val="both"/>
    </w:pPr>
    <w:rPr>
      <w:rFonts w:ascii="Calibri" w:hAnsi="Calibri"/>
      <w:kern w:val="2"/>
      <w:sz w:val="28"/>
      <w:szCs w:val="24"/>
    </w:rPr>
  </w:style>
  <w:style w:type="paragraph" w:customStyle="1" w:styleId="100">
    <w:name w:val="列出段落2"/>
    <w:basedOn w:val="1"/>
    <w:unhideWhenUsed/>
    <w:qFormat/>
    <w:uiPriority w:val="99"/>
    <w:pPr>
      <w:widowControl w:val="0"/>
      <w:adjustRightInd w:val="0"/>
      <w:spacing w:line="360" w:lineRule="auto"/>
      <w:ind w:firstLine="420" w:firstLineChars="200"/>
      <w:jc w:val="both"/>
      <w:textAlignment w:val="baseline"/>
    </w:pPr>
    <w:rPr>
      <w:rFonts w:ascii="宋体" w:hAnsi="宋体"/>
      <w:sz w:val="28"/>
      <w:szCs w:val="28"/>
    </w:rPr>
  </w:style>
  <w:style w:type="paragraph" w:customStyle="1" w:styleId="101">
    <w:name w:val="正文-宋体"/>
    <w:basedOn w:val="1"/>
    <w:link w:val="102"/>
    <w:qFormat/>
    <w:uiPriority w:val="0"/>
    <w:pPr>
      <w:spacing w:line="360" w:lineRule="auto"/>
      <w:ind w:firstLine="200" w:firstLineChars="200"/>
      <w:jc w:val="both"/>
    </w:pPr>
    <w:rPr>
      <w:sz w:val="28"/>
      <w:szCs w:val="22"/>
    </w:rPr>
  </w:style>
  <w:style w:type="character" w:customStyle="1" w:styleId="102">
    <w:name w:val="正文-宋体 Char"/>
    <w:link w:val="101"/>
    <w:qFormat/>
    <w:uiPriority w:val="0"/>
    <w:rPr>
      <w:sz w:val="28"/>
      <w:szCs w:val="22"/>
    </w:rPr>
  </w:style>
  <w:style w:type="paragraph" w:customStyle="1" w:styleId="103">
    <w:name w:val="项目符号 1"/>
    <w:basedOn w:val="1"/>
    <w:link w:val="104"/>
    <w:qFormat/>
    <w:uiPriority w:val="0"/>
    <w:pPr>
      <w:numPr>
        <w:ilvl w:val="0"/>
        <w:numId w:val="4"/>
      </w:numPr>
      <w:adjustRightInd w:val="0"/>
      <w:spacing w:line="360" w:lineRule="auto"/>
      <w:ind w:left="0" w:firstLine="200" w:firstLineChars="200"/>
      <w:jc w:val="both"/>
    </w:pPr>
    <w:rPr>
      <w:rFonts w:ascii="Calibri" w:hAnsi="Calibri"/>
      <w:sz w:val="28"/>
      <w:szCs w:val="22"/>
    </w:rPr>
  </w:style>
  <w:style w:type="character" w:customStyle="1" w:styleId="104">
    <w:name w:val="项目符号 1 Char"/>
    <w:link w:val="103"/>
    <w:qFormat/>
    <w:uiPriority w:val="0"/>
    <w:rPr>
      <w:rFonts w:ascii="Calibri" w:hAnsi="Calibri"/>
      <w:sz w:val="28"/>
      <w:szCs w:val="22"/>
    </w:rPr>
  </w:style>
  <w:style w:type="paragraph" w:customStyle="1" w:styleId="105">
    <w:name w:val="正文1"/>
    <w:qFormat/>
    <w:uiPriority w:val="0"/>
    <w:pPr>
      <w:jc w:val="both"/>
    </w:pPr>
    <w:rPr>
      <w:rFonts w:ascii="Times New Roman" w:hAnsi="Times New Roman" w:eastAsia="宋体" w:cs="Times New Roman"/>
      <w:kern w:val="2"/>
      <w:sz w:val="21"/>
      <w:szCs w:val="21"/>
      <w:lang w:val="en-US" w:eastAsia="zh-CN" w:bidi="ar-SA"/>
    </w:rPr>
  </w:style>
  <w:style w:type="paragraph" w:customStyle="1" w:styleId="106">
    <w:name w:val="列出段落3"/>
    <w:basedOn w:val="1"/>
    <w:unhideWhenUsed/>
    <w:qFormat/>
    <w:uiPriority w:val="34"/>
    <w:pPr>
      <w:widowControl w:val="0"/>
      <w:adjustRightInd w:val="0"/>
      <w:spacing w:line="360" w:lineRule="auto"/>
      <w:ind w:firstLine="420" w:firstLineChars="200"/>
      <w:jc w:val="both"/>
      <w:textAlignment w:val="baseline"/>
    </w:pPr>
    <w:rPr>
      <w:rFonts w:ascii="Calibri" w:hAnsi="Calibri"/>
      <w:sz w:val="28"/>
      <w:szCs w:val="22"/>
    </w:rPr>
  </w:style>
  <w:style w:type="paragraph" w:customStyle="1" w:styleId="107">
    <w:name w:val="表格非标题文字"/>
    <w:link w:val="108"/>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108">
    <w:name w:val="表格非标题文字 Char"/>
    <w:link w:val="107"/>
    <w:qFormat/>
    <w:uiPriority w:val="0"/>
    <w:rPr>
      <w:rFonts w:ascii="Futura Bk" w:hAnsi="Futura Bk"/>
      <w:kern w:val="2"/>
      <w:sz w:val="18"/>
      <w:szCs w:val="21"/>
    </w:rPr>
  </w:style>
  <w:style w:type="paragraph" w:customStyle="1" w:styleId="109">
    <w:name w:val="Table Text"/>
    <w:basedOn w:val="1"/>
    <w:link w:val="110"/>
    <w:qFormat/>
    <w:uiPriority w:val="0"/>
    <w:pPr>
      <w:widowControl w:val="0"/>
      <w:jc w:val="both"/>
    </w:pPr>
    <w:rPr>
      <w:kern w:val="2"/>
      <w:sz w:val="18"/>
      <w:szCs w:val="24"/>
    </w:rPr>
  </w:style>
  <w:style w:type="character" w:customStyle="1" w:styleId="110">
    <w:name w:val="Table Text Char1"/>
    <w:link w:val="109"/>
    <w:qFormat/>
    <w:uiPriority w:val="0"/>
    <w:rPr>
      <w:kern w:val="2"/>
      <w:sz w:val="18"/>
      <w:szCs w:val="24"/>
    </w:rPr>
  </w:style>
  <w:style w:type="paragraph" w:customStyle="1" w:styleId="111">
    <w:name w:val="TOC 标题1"/>
    <w:basedOn w:val="2"/>
    <w:next w:val="1"/>
    <w:unhideWhenUsed/>
    <w:qFormat/>
    <w:uiPriority w:val="39"/>
    <w:pPr>
      <w:keepLines/>
      <w:spacing w:before="480" w:line="276" w:lineRule="auto"/>
      <w:jc w:val="left"/>
      <w:outlineLvl w:val="9"/>
    </w:pPr>
    <w:rPr>
      <w:rFonts w:ascii="Cambria" w:hAnsi="Cambria" w:cs="Times New Roman"/>
      <w:b/>
      <w:bCs/>
      <w:color w:val="366091"/>
      <w:sz w:val="28"/>
      <w:szCs w:val="28"/>
    </w:rPr>
  </w:style>
  <w:style w:type="paragraph" w:customStyle="1" w:styleId="112">
    <w:name w:val="TOC 标题2"/>
    <w:basedOn w:val="2"/>
    <w:next w:val="1"/>
    <w:unhideWhenUsed/>
    <w:qFormat/>
    <w:uiPriority w:val="39"/>
    <w:pPr>
      <w:keepLines/>
      <w:spacing w:before="480" w:line="276" w:lineRule="auto"/>
      <w:jc w:val="left"/>
      <w:outlineLvl w:val="9"/>
    </w:pPr>
    <w:rPr>
      <w:rFonts w:ascii="Cambria" w:hAnsi="Cambria" w:cs="Times New Roman"/>
      <w:b/>
      <w:bCs/>
      <w:color w:val="366091"/>
      <w:sz w:val="28"/>
      <w:szCs w:val="28"/>
    </w:rPr>
  </w:style>
  <w:style w:type="paragraph" w:customStyle="1" w:styleId="113">
    <w:name w:val="1"/>
    <w:basedOn w:val="1"/>
    <w:qFormat/>
    <w:uiPriority w:val="0"/>
    <w:pPr>
      <w:adjustRightInd w:val="0"/>
      <w:spacing w:before="100" w:beforeAutospacing="1" w:after="100" w:afterAutospacing="1" w:line="360" w:lineRule="auto"/>
      <w:ind w:firstLine="560" w:firstLineChars="200"/>
    </w:pPr>
    <w:rPr>
      <w:rFonts w:ascii="宋体" w:hAnsi="宋体" w:cs="宋体"/>
      <w:sz w:val="24"/>
      <w:szCs w:val="24"/>
    </w:rPr>
  </w:style>
  <w:style w:type="character" w:customStyle="1" w:styleId="114">
    <w:name w:val="apple-converted-space"/>
    <w:qFormat/>
    <w:uiPriority w:val="0"/>
  </w:style>
  <w:style w:type="paragraph" w:customStyle="1" w:styleId="115">
    <w:name w:val="列出段落4"/>
    <w:basedOn w:val="1"/>
    <w:qFormat/>
    <w:uiPriority w:val="34"/>
    <w:pPr>
      <w:adjustRightInd w:val="0"/>
      <w:spacing w:before="100" w:beforeAutospacing="1" w:after="100" w:afterAutospacing="1" w:line="360" w:lineRule="auto"/>
      <w:ind w:firstLine="560" w:firstLineChars="200"/>
    </w:pPr>
    <w:rPr>
      <w:rFonts w:ascii="宋体" w:hAnsi="宋体" w:cs="宋体"/>
      <w:sz w:val="24"/>
      <w:szCs w:val="24"/>
    </w:rPr>
  </w:style>
  <w:style w:type="paragraph" w:customStyle="1" w:styleId="116">
    <w:name w:val="标书正文格式"/>
    <w:qFormat/>
    <w:uiPriority w:val="0"/>
    <w:pPr>
      <w:ind w:firstLine="200" w:firstLineChars="200"/>
    </w:pPr>
    <w:rPr>
      <w:rFonts w:ascii="Times New Roman" w:hAnsi="Times New Roman" w:eastAsia="宋体" w:cs="Times New Roman"/>
      <w:kern w:val="2"/>
      <w:sz w:val="24"/>
      <w:szCs w:val="24"/>
      <w:lang w:val="en-US" w:eastAsia="zh-CN" w:bidi="ar-SA"/>
    </w:rPr>
  </w:style>
  <w:style w:type="paragraph" w:customStyle="1" w:styleId="117">
    <w:name w:val="0-0"/>
    <w:basedOn w:val="18"/>
    <w:qFormat/>
    <w:uiPriority w:val="0"/>
    <w:pPr>
      <w:widowControl/>
      <w:adjustRightInd w:val="0"/>
      <w:spacing w:line="360" w:lineRule="auto"/>
      <w:ind w:firstLine="0"/>
      <w:jc w:val="left"/>
    </w:pPr>
    <w:rPr>
      <w:rFonts w:ascii="宋体" w:hAnsi="Times New Roman" w:eastAsia="宋体" w:cs="Calibri"/>
      <w:kern w:val="0"/>
      <w:sz w:val="24"/>
      <w:szCs w:val="20"/>
    </w:rPr>
  </w:style>
  <w:style w:type="paragraph" w:customStyle="1" w:styleId="118">
    <w:name w:val="_Style 1"/>
    <w:basedOn w:val="1"/>
    <w:qFormat/>
    <w:uiPriority w:val="34"/>
    <w:pPr>
      <w:widowControl w:val="0"/>
      <w:adjustRightInd w:val="0"/>
      <w:spacing w:line="360" w:lineRule="auto"/>
      <w:ind w:firstLine="420" w:firstLineChars="200"/>
      <w:jc w:val="both"/>
    </w:pPr>
    <w:rPr>
      <w:rFonts w:ascii="Calibri" w:hAnsi="Calibri"/>
      <w:kern w:val="2"/>
      <w:sz w:val="28"/>
      <w:szCs w:val="24"/>
    </w:rPr>
  </w:style>
  <w:style w:type="paragraph" w:customStyle="1" w:styleId="119">
    <w:name w:val="正文（首行缩进）"/>
    <w:basedOn w:val="1"/>
    <w:qFormat/>
    <w:uiPriority w:val="0"/>
    <w:pPr>
      <w:adjustRightInd w:val="0"/>
      <w:spacing w:afterLines="50" w:line="276" w:lineRule="auto"/>
      <w:ind w:firstLine="480" w:firstLineChars="200"/>
    </w:pPr>
    <w:rPr>
      <w:rFonts w:ascii="宋体" w:hAnsi="Calibri"/>
      <w:sz w:val="24"/>
      <w:szCs w:val="24"/>
      <w:lang w:eastAsia="en-US" w:bidi="en-US"/>
    </w:rPr>
  </w:style>
  <w:style w:type="paragraph" w:customStyle="1" w:styleId="120">
    <w:name w:val="Style14"/>
    <w:basedOn w:val="1"/>
    <w:qFormat/>
    <w:uiPriority w:val="0"/>
    <w:pPr>
      <w:widowControl w:val="0"/>
      <w:adjustRightInd w:val="0"/>
      <w:spacing w:line="360" w:lineRule="auto"/>
      <w:ind w:left="706" w:leftChars="336" w:firstLine="1" w:firstLineChars="200"/>
      <w:jc w:val="both"/>
    </w:pPr>
    <w:rPr>
      <w:rFonts w:ascii="宋体" w:hAnsi="宋体" w:cs="Arial"/>
      <w:kern w:val="2"/>
      <w:sz w:val="24"/>
      <w:szCs w:val="24"/>
    </w:rPr>
  </w:style>
  <w:style w:type="paragraph" w:customStyle="1" w:styleId="121">
    <w:name w:val="Style15"/>
    <w:basedOn w:val="1"/>
    <w:qFormat/>
    <w:uiPriority w:val="0"/>
    <w:pPr>
      <w:widowControl w:val="0"/>
      <w:numPr>
        <w:ilvl w:val="0"/>
        <w:numId w:val="5"/>
      </w:numPr>
      <w:adjustRightInd w:val="0"/>
      <w:spacing w:before="120" w:after="120" w:line="360" w:lineRule="auto"/>
      <w:ind w:firstLine="200" w:firstLineChars="200"/>
      <w:jc w:val="both"/>
    </w:pPr>
    <w:rPr>
      <w:rFonts w:ascii="宋体" w:hAnsi="宋体"/>
      <w:kern w:val="2"/>
      <w:sz w:val="24"/>
      <w:szCs w:val="24"/>
    </w:rPr>
  </w:style>
  <w:style w:type="character" w:customStyle="1" w:styleId="122">
    <w:name w:val="fontstyle21"/>
    <w:qFormat/>
    <w:uiPriority w:val="0"/>
    <w:rPr>
      <w:rFonts w:hint="eastAsia" w:ascii="宋体" w:hAnsi="宋体" w:eastAsia="宋体"/>
      <w:color w:val="000000"/>
      <w:sz w:val="24"/>
      <w:szCs w:val="24"/>
    </w:rPr>
  </w:style>
  <w:style w:type="paragraph" w:customStyle="1" w:styleId="123">
    <w:name w:val="Style13"/>
    <w:basedOn w:val="1"/>
    <w:qFormat/>
    <w:uiPriority w:val="0"/>
    <w:pPr>
      <w:numPr>
        <w:ilvl w:val="0"/>
        <w:numId w:val="6"/>
      </w:numPr>
    </w:pPr>
    <w:rPr>
      <w:rFonts w:ascii="宋体" w:hAnsi="宋体"/>
      <w:szCs w:val="24"/>
    </w:rPr>
  </w:style>
  <w:style w:type="paragraph" w:customStyle="1" w:styleId="124">
    <w:name w:val="Style11"/>
    <w:basedOn w:val="1"/>
    <w:qFormat/>
    <w:uiPriority w:val="0"/>
    <w:pPr>
      <w:numPr>
        <w:ilvl w:val="0"/>
        <w:numId w:val="7"/>
      </w:numPr>
      <w:spacing w:line="360" w:lineRule="auto"/>
    </w:pPr>
    <w:rPr>
      <w:rFonts w:ascii="宋体" w:hAnsi="宋体"/>
      <w:szCs w:val="24"/>
    </w:rPr>
  </w:style>
  <w:style w:type="paragraph" w:customStyle="1" w:styleId="125">
    <w:name w:val="标书样式"/>
    <w:basedOn w:val="1"/>
    <w:qFormat/>
    <w:uiPriority w:val="0"/>
    <w:pPr>
      <w:adjustRightInd w:val="0"/>
      <w:spacing w:line="360" w:lineRule="auto"/>
      <w:ind w:firstLine="480" w:firstLineChars="200"/>
    </w:pPr>
    <w:rPr>
      <w:rFonts w:eastAsia="仿宋_GB2312"/>
      <w:sz w:val="24"/>
    </w:rPr>
  </w:style>
  <w:style w:type="paragraph" w:customStyle="1" w:styleId="126">
    <w:name w:val="WPSOffice手动目录 1"/>
    <w:qFormat/>
    <w:uiPriority w:val="0"/>
    <w:rPr>
      <w:rFonts w:ascii="Calibri" w:hAnsi="Calibri" w:eastAsia="宋体" w:cs="Times New Roman"/>
      <w:lang w:val="en-US" w:eastAsia="zh-CN" w:bidi="ar-SA"/>
    </w:rPr>
  </w:style>
  <w:style w:type="paragraph" w:customStyle="1" w:styleId="127">
    <w:name w:val="WPSOffice手动目录 2"/>
    <w:qFormat/>
    <w:uiPriority w:val="0"/>
    <w:pPr>
      <w:ind w:left="200" w:leftChars="200"/>
    </w:pPr>
    <w:rPr>
      <w:rFonts w:ascii="Calibri" w:hAnsi="Calibri" w:eastAsia="宋体" w:cs="Times New Roman"/>
      <w:lang w:val="en-US" w:eastAsia="zh-CN" w:bidi="ar-SA"/>
    </w:rPr>
  </w:style>
  <w:style w:type="paragraph" w:customStyle="1" w:styleId="128">
    <w:name w:val="WPSOffice手动目录 3"/>
    <w:qFormat/>
    <w:uiPriority w:val="0"/>
    <w:pPr>
      <w:ind w:left="400" w:leftChars="400"/>
    </w:pPr>
    <w:rPr>
      <w:rFonts w:ascii="Calibri" w:hAnsi="Calibri" w:eastAsia="宋体" w:cs="Times New Roman"/>
      <w:lang w:val="en-US" w:eastAsia="zh-CN" w:bidi="ar-SA"/>
    </w:rPr>
  </w:style>
  <w:style w:type="character" w:customStyle="1" w:styleId="129">
    <w:name w:val="列出段落 Char1"/>
    <w:qFormat/>
    <w:locked/>
    <w:uiPriority w:val="34"/>
    <w:rPr>
      <w:rFonts w:ascii="Calibri" w:hAnsi="Calibri"/>
      <w:kern w:val="2"/>
      <w:sz w:val="21"/>
      <w:szCs w:val="22"/>
    </w:rPr>
  </w:style>
  <w:style w:type="paragraph" w:customStyle="1" w:styleId="130">
    <w:name w:val="项目编号A"/>
    <w:qFormat/>
    <w:uiPriority w:val="0"/>
    <w:pPr>
      <w:numPr>
        <w:ilvl w:val="0"/>
        <w:numId w:val="8"/>
      </w:numPr>
      <w:tabs>
        <w:tab w:val="left" w:pos="840"/>
      </w:tabs>
      <w:spacing w:line="360" w:lineRule="auto"/>
    </w:pPr>
    <w:rPr>
      <w:rFonts w:ascii="Times New Roman" w:hAnsi="Times New Roman" w:eastAsia="宋体" w:cs="Times New Roman"/>
      <w:kern w:val="2"/>
      <w:sz w:val="24"/>
      <w:szCs w:val="24"/>
      <w:lang w:val="en-US" w:eastAsia="zh-CN" w:bidi="ar-SA"/>
    </w:rPr>
  </w:style>
  <w:style w:type="paragraph" w:customStyle="1" w:styleId="131">
    <w:name w:val="修订2"/>
    <w:unhideWhenUsed/>
    <w:qFormat/>
    <w:uiPriority w:val="99"/>
    <w:rPr>
      <w:rFonts w:ascii="Times New Roman" w:hAnsi="Times New Roman" w:eastAsia="宋体" w:cs="Times New Roman"/>
      <w:lang w:val="en-US" w:eastAsia="zh-CN" w:bidi="ar-SA"/>
    </w:rPr>
  </w:style>
  <w:style w:type="character" w:customStyle="1" w:styleId="132">
    <w:name w:val="普通(网站) Char2"/>
    <w:qFormat/>
    <w:uiPriority w:val="99"/>
    <w:rPr>
      <w:rFonts w:ascii="宋体" w:hAnsi="宋体"/>
      <w:sz w:val="18"/>
      <w:szCs w:val="18"/>
    </w:rPr>
  </w:style>
  <w:style w:type="paragraph" w:customStyle="1" w:styleId="133">
    <w:name w:val="正文11"/>
    <w:qFormat/>
    <w:uiPriority w:val="0"/>
    <w:pPr>
      <w:spacing w:line="360" w:lineRule="auto"/>
      <w:ind w:firstLine="482"/>
    </w:pPr>
    <w:rPr>
      <w:rFonts w:ascii="Times New Roman" w:hAnsi="Times New Roman" w:eastAsia="宋体" w:cs="宋体"/>
      <w:sz w:val="24"/>
      <w:lang w:val="en-US" w:eastAsia="zh-CN" w:bidi="ar-SA"/>
    </w:rPr>
  </w:style>
  <w:style w:type="paragraph" w:customStyle="1" w:styleId="134">
    <w:name w:val="_Style 2"/>
    <w:qFormat/>
    <w:uiPriority w:val="1"/>
    <w:pPr>
      <w:widowControl w:val="0"/>
      <w:jc w:val="both"/>
    </w:pPr>
    <w:rPr>
      <w:rFonts w:ascii="Times New Roman" w:hAnsi="Times New Roman" w:eastAsia="宋体" w:cs="Times New Roman"/>
      <w:kern w:val="2"/>
      <w:sz w:val="21"/>
      <w:szCs w:val="24"/>
      <w:lang w:val="en-US" w:eastAsia="zh-CN" w:bidi="ar-SA"/>
    </w:rPr>
  </w:style>
  <w:style w:type="paragraph" w:customStyle="1" w:styleId="135">
    <w:name w:val="列表段落"/>
    <w:basedOn w:val="1"/>
    <w:qFormat/>
    <w:uiPriority w:val="34"/>
    <w:pPr>
      <w:widowControl w:val="0"/>
      <w:ind w:firstLine="420" w:firstLineChars="200"/>
      <w:jc w:val="both"/>
    </w:pPr>
    <w:rPr>
      <w:rFonts w:ascii="Calibri" w:hAnsi="Calibri"/>
      <w:kern w:val="2"/>
      <w:sz w:val="21"/>
      <w:szCs w:val="22"/>
    </w:rPr>
  </w:style>
  <w:style w:type="character" w:customStyle="1" w:styleId="136">
    <w:name w:val="表格 字符"/>
    <w:link w:val="137"/>
    <w:qFormat/>
    <w:locked/>
    <w:uiPriority w:val="0"/>
    <w:rPr>
      <w:rFonts w:ascii="宋体" w:hAnsi="Courier New" w:cs="Courier New"/>
      <w:kern w:val="2"/>
      <w:sz w:val="21"/>
      <w:szCs w:val="21"/>
    </w:rPr>
  </w:style>
  <w:style w:type="paragraph" w:customStyle="1" w:styleId="137">
    <w:name w:val="表格"/>
    <w:basedOn w:val="24"/>
    <w:link w:val="136"/>
    <w:qFormat/>
    <w:uiPriority w:val="0"/>
    <w:pPr>
      <w:adjustRightInd/>
      <w:spacing w:line="240" w:lineRule="auto"/>
      <w:ind w:firstLine="0" w:firstLineChars="0"/>
      <w:jc w:val="left"/>
    </w:pPr>
    <w:rPr>
      <w:rFonts w:cs="Courier New"/>
      <w:sz w:val="21"/>
      <w:szCs w:val="21"/>
    </w:rPr>
  </w:style>
  <w:style w:type="character" w:customStyle="1" w:styleId="138">
    <w:name w:val="批注文字 Char1"/>
    <w:qFormat/>
    <w:uiPriority w:val="99"/>
    <w:rPr>
      <w:rFonts w:ascii="Times New Roman" w:hAnsi="Times New Roman" w:eastAsia="宋体" w:cs="Times New Roman"/>
      <w:kern w:val="0"/>
      <w:sz w:val="24"/>
      <w:szCs w:val="20"/>
    </w:rPr>
  </w:style>
  <w:style w:type="character" w:customStyle="1" w:styleId="139">
    <w:name w:val="批注框文本 Char1"/>
    <w:semiHidden/>
    <w:qFormat/>
    <w:uiPriority w:val="99"/>
    <w:rPr>
      <w:rFonts w:ascii="宋体" w:hAnsi="宋体" w:eastAsia="宋体" w:cs="宋体"/>
      <w:kern w:val="0"/>
      <w:sz w:val="18"/>
      <w:szCs w:val="18"/>
    </w:rPr>
  </w:style>
  <w:style w:type="character" w:customStyle="1" w:styleId="140">
    <w:name w:val="页眉 Char1"/>
    <w:qFormat/>
    <w:uiPriority w:val="99"/>
    <w:rPr>
      <w:sz w:val="18"/>
      <w:szCs w:val="18"/>
    </w:rPr>
  </w:style>
  <w:style w:type="character" w:customStyle="1" w:styleId="141">
    <w:name w:val="样式8 Char"/>
    <w:link w:val="142"/>
    <w:qFormat/>
    <w:locked/>
    <w:uiPriority w:val="0"/>
    <w:rPr>
      <w:rFonts w:ascii="黑体" w:hAnsi="黑体" w:eastAsia="黑体"/>
      <w:b/>
      <w:sz w:val="24"/>
      <w:szCs w:val="24"/>
    </w:rPr>
  </w:style>
  <w:style w:type="paragraph" w:customStyle="1" w:styleId="142">
    <w:name w:val="样式8"/>
    <w:basedOn w:val="143"/>
    <w:next w:val="1"/>
    <w:link w:val="141"/>
    <w:qFormat/>
    <w:uiPriority w:val="0"/>
    <w:pPr>
      <w:tabs>
        <w:tab w:val="left" w:pos="780"/>
      </w:tabs>
      <w:ind w:left="780"/>
      <w:outlineLvl w:val="7"/>
    </w:pPr>
    <w:rPr>
      <w:sz w:val="24"/>
      <w:szCs w:val="24"/>
    </w:rPr>
  </w:style>
  <w:style w:type="paragraph" w:customStyle="1" w:styleId="143">
    <w:name w:val="样式1"/>
    <w:basedOn w:val="73"/>
    <w:next w:val="1"/>
    <w:link w:val="144"/>
    <w:qFormat/>
    <w:uiPriority w:val="0"/>
    <w:pPr>
      <w:widowControl w:val="0"/>
      <w:tabs>
        <w:tab w:val="left" w:pos="780"/>
      </w:tabs>
      <w:spacing w:beforeLines="50" w:afterLines="50" w:line="360" w:lineRule="auto"/>
      <w:ind w:left="780" w:firstLine="0" w:firstLineChars="0"/>
      <w:outlineLvl w:val="0"/>
    </w:pPr>
    <w:rPr>
      <w:rFonts w:ascii="黑体" w:hAnsi="黑体" w:eastAsia="黑体"/>
      <w:b/>
      <w:sz w:val="36"/>
      <w:szCs w:val="36"/>
    </w:rPr>
  </w:style>
  <w:style w:type="character" w:customStyle="1" w:styleId="144">
    <w:name w:val="样式1 Char"/>
    <w:link w:val="143"/>
    <w:qFormat/>
    <w:locked/>
    <w:uiPriority w:val="0"/>
    <w:rPr>
      <w:rFonts w:ascii="黑体" w:hAnsi="黑体" w:eastAsia="黑体"/>
      <w:b/>
      <w:sz w:val="36"/>
      <w:szCs w:val="36"/>
    </w:rPr>
  </w:style>
  <w:style w:type="character" w:customStyle="1" w:styleId="145">
    <w:name w:val="样式9 Char"/>
    <w:link w:val="146"/>
    <w:qFormat/>
    <w:locked/>
    <w:uiPriority w:val="0"/>
  </w:style>
  <w:style w:type="paragraph" w:customStyle="1" w:styleId="146">
    <w:name w:val="样式9"/>
    <w:basedOn w:val="142"/>
    <w:link w:val="145"/>
    <w:qFormat/>
    <w:uiPriority w:val="0"/>
    <w:pPr>
      <w:ind w:left="780"/>
      <w:outlineLvl w:val="8"/>
    </w:pPr>
    <w:rPr>
      <w:rFonts w:ascii="Times New Roman" w:hAnsi="Times New Roman" w:eastAsia="宋体"/>
      <w:b w:val="0"/>
      <w:sz w:val="20"/>
      <w:szCs w:val="20"/>
    </w:rPr>
  </w:style>
  <w:style w:type="character" w:customStyle="1" w:styleId="147">
    <w:name w:val="图片 字符"/>
    <w:link w:val="148"/>
    <w:qFormat/>
    <w:locked/>
    <w:uiPriority w:val="0"/>
  </w:style>
  <w:style w:type="paragraph" w:customStyle="1" w:styleId="148">
    <w:name w:val="图片"/>
    <w:basedOn w:val="1"/>
    <w:next w:val="1"/>
    <w:link w:val="147"/>
    <w:qFormat/>
    <w:uiPriority w:val="0"/>
    <w:pPr>
      <w:widowControl w:val="0"/>
      <w:ind w:firstLine="200" w:firstLineChars="200"/>
      <w:jc w:val="center"/>
    </w:pPr>
  </w:style>
  <w:style w:type="character" w:customStyle="1" w:styleId="149">
    <w:name w:val="样式3 Char"/>
    <w:link w:val="150"/>
    <w:qFormat/>
    <w:locked/>
    <w:uiPriority w:val="0"/>
    <w:rPr>
      <w:rFonts w:ascii="黑体" w:hAnsi="黑体" w:eastAsia="黑体"/>
      <w:b/>
      <w:sz w:val="30"/>
      <w:szCs w:val="30"/>
    </w:rPr>
  </w:style>
  <w:style w:type="paragraph" w:customStyle="1" w:styleId="150">
    <w:name w:val="样式3"/>
    <w:basedOn w:val="73"/>
    <w:next w:val="1"/>
    <w:link w:val="149"/>
    <w:qFormat/>
    <w:uiPriority w:val="0"/>
    <w:pPr>
      <w:widowControl w:val="0"/>
      <w:numPr>
        <w:ilvl w:val="2"/>
        <w:numId w:val="9"/>
      </w:numPr>
      <w:tabs>
        <w:tab w:val="left" w:pos="780"/>
      </w:tabs>
      <w:spacing w:beforeLines="50" w:line="360" w:lineRule="auto"/>
      <w:ind w:firstLine="0" w:firstLineChars="0"/>
      <w:outlineLvl w:val="2"/>
    </w:pPr>
    <w:rPr>
      <w:rFonts w:ascii="黑体" w:hAnsi="黑体" w:eastAsia="黑体"/>
      <w:b/>
      <w:sz w:val="30"/>
      <w:szCs w:val="30"/>
    </w:rPr>
  </w:style>
  <w:style w:type="character" w:customStyle="1" w:styleId="151">
    <w:name w:val="样式7 Char"/>
    <w:link w:val="152"/>
    <w:qFormat/>
    <w:locked/>
    <w:uiPriority w:val="0"/>
    <w:rPr>
      <w:rFonts w:ascii="黑体" w:hAnsi="黑体" w:eastAsia="黑体"/>
      <w:b/>
      <w:sz w:val="24"/>
      <w:szCs w:val="24"/>
    </w:rPr>
  </w:style>
  <w:style w:type="paragraph" w:customStyle="1" w:styleId="152">
    <w:name w:val="样式7"/>
    <w:basedOn w:val="143"/>
    <w:next w:val="1"/>
    <w:link w:val="151"/>
    <w:qFormat/>
    <w:uiPriority w:val="0"/>
    <w:pPr>
      <w:ind w:left="780"/>
      <w:outlineLvl w:val="6"/>
    </w:pPr>
    <w:rPr>
      <w:sz w:val="24"/>
      <w:szCs w:val="24"/>
    </w:rPr>
  </w:style>
  <w:style w:type="character" w:customStyle="1" w:styleId="153">
    <w:name w:val="样式5 Char"/>
    <w:link w:val="154"/>
    <w:qFormat/>
    <w:locked/>
    <w:uiPriority w:val="0"/>
    <w:rPr>
      <w:rFonts w:ascii="宋体" w:hAnsi="宋体" w:eastAsia="黑体"/>
      <w:b/>
      <w:sz w:val="24"/>
      <w:szCs w:val="24"/>
    </w:rPr>
  </w:style>
  <w:style w:type="paragraph" w:customStyle="1" w:styleId="154">
    <w:name w:val="样式5"/>
    <w:basedOn w:val="73"/>
    <w:next w:val="1"/>
    <w:link w:val="153"/>
    <w:qFormat/>
    <w:uiPriority w:val="0"/>
    <w:pPr>
      <w:widowControl w:val="0"/>
      <w:numPr>
        <w:ilvl w:val="4"/>
        <w:numId w:val="9"/>
      </w:numPr>
      <w:tabs>
        <w:tab w:val="left" w:pos="780"/>
      </w:tabs>
      <w:spacing w:beforeLines="50" w:line="360" w:lineRule="auto"/>
      <w:ind w:firstLine="0" w:firstLineChars="0"/>
      <w:outlineLvl w:val="4"/>
    </w:pPr>
    <w:rPr>
      <w:rFonts w:ascii="宋体" w:hAnsi="宋体" w:eastAsia="黑体"/>
      <w:b/>
      <w:sz w:val="24"/>
      <w:szCs w:val="24"/>
    </w:rPr>
  </w:style>
  <w:style w:type="character" w:customStyle="1" w:styleId="155">
    <w:name w:val="样式10 Char"/>
    <w:link w:val="156"/>
    <w:qFormat/>
    <w:locked/>
    <w:uiPriority w:val="0"/>
    <w:rPr>
      <w:rFonts w:ascii="宋体" w:hAnsi="宋体"/>
      <w:sz w:val="28"/>
      <w:szCs w:val="28"/>
    </w:rPr>
  </w:style>
  <w:style w:type="paragraph" w:customStyle="1" w:styleId="156">
    <w:name w:val="样式10"/>
    <w:basedOn w:val="2"/>
    <w:link w:val="155"/>
    <w:qFormat/>
    <w:uiPriority w:val="0"/>
    <w:pPr>
      <w:keepNext w:val="0"/>
      <w:widowControl w:val="0"/>
      <w:spacing w:beforeLines="50" w:afterLines="50" w:line="360" w:lineRule="auto"/>
      <w:ind w:firstLine="562"/>
      <w:jc w:val="left"/>
    </w:pPr>
    <w:rPr>
      <w:rFonts w:cs="Times New Roman"/>
      <w:sz w:val="28"/>
      <w:szCs w:val="28"/>
    </w:rPr>
  </w:style>
  <w:style w:type="character" w:customStyle="1" w:styleId="157">
    <w:name w:val="样式4 Char"/>
    <w:link w:val="158"/>
    <w:qFormat/>
    <w:locked/>
    <w:uiPriority w:val="0"/>
    <w:rPr>
      <w:rFonts w:ascii="宋体" w:hAnsi="宋体" w:eastAsia="黑体"/>
      <w:b/>
      <w:sz w:val="28"/>
      <w:szCs w:val="28"/>
    </w:rPr>
  </w:style>
  <w:style w:type="paragraph" w:customStyle="1" w:styleId="158">
    <w:name w:val="样式4"/>
    <w:basedOn w:val="73"/>
    <w:next w:val="1"/>
    <w:link w:val="157"/>
    <w:qFormat/>
    <w:uiPriority w:val="0"/>
    <w:pPr>
      <w:widowControl w:val="0"/>
      <w:numPr>
        <w:ilvl w:val="3"/>
        <w:numId w:val="9"/>
      </w:numPr>
      <w:tabs>
        <w:tab w:val="left" w:pos="780"/>
      </w:tabs>
      <w:spacing w:beforeLines="50" w:line="360" w:lineRule="auto"/>
      <w:ind w:left="850" w:firstLine="0" w:firstLineChars="0"/>
      <w:outlineLvl w:val="3"/>
    </w:pPr>
    <w:rPr>
      <w:rFonts w:ascii="宋体" w:hAnsi="宋体" w:eastAsia="黑体"/>
      <w:b/>
      <w:sz w:val="28"/>
      <w:szCs w:val="28"/>
    </w:rPr>
  </w:style>
  <w:style w:type="character" w:customStyle="1" w:styleId="159">
    <w:name w:val="样式6 Char"/>
    <w:link w:val="160"/>
    <w:qFormat/>
    <w:locked/>
    <w:uiPriority w:val="0"/>
    <w:rPr>
      <w:rFonts w:ascii="宋体" w:hAnsi="宋体" w:eastAsia="黑体"/>
      <w:b/>
      <w:sz w:val="24"/>
      <w:szCs w:val="24"/>
    </w:rPr>
  </w:style>
  <w:style w:type="paragraph" w:customStyle="1" w:styleId="160">
    <w:name w:val="样式6"/>
    <w:basedOn w:val="154"/>
    <w:next w:val="1"/>
    <w:link w:val="159"/>
    <w:qFormat/>
    <w:uiPriority w:val="0"/>
    <w:pPr>
      <w:numPr>
        <w:ilvl w:val="5"/>
      </w:numPr>
      <w:ind w:left="4818"/>
      <w:outlineLvl w:val="5"/>
    </w:pPr>
  </w:style>
  <w:style w:type="character" w:customStyle="1" w:styleId="161">
    <w:name w:val="样式2 Char"/>
    <w:link w:val="162"/>
    <w:qFormat/>
    <w:locked/>
    <w:uiPriority w:val="0"/>
    <w:rPr>
      <w:rFonts w:ascii="黑体" w:hAnsi="黑体" w:eastAsia="黑体"/>
      <w:b/>
      <w:sz w:val="32"/>
      <w:szCs w:val="21"/>
    </w:rPr>
  </w:style>
  <w:style w:type="paragraph" w:customStyle="1" w:styleId="162">
    <w:name w:val="样式2"/>
    <w:basedOn w:val="73"/>
    <w:next w:val="1"/>
    <w:link w:val="161"/>
    <w:qFormat/>
    <w:uiPriority w:val="0"/>
    <w:pPr>
      <w:widowControl w:val="0"/>
      <w:numPr>
        <w:ilvl w:val="1"/>
        <w:numId w:val="9"/>
      </w:numPr>
      <w:tabs>
        <w:tab w:val="left" w:pos="780"/>
      </w:tabs>
      <w:spacing w:beforeLines="50" w:line="360" w:lineRule="auto"/>
      <w:ind w:firstLine="0" w:firstLineChars="0"/>
      <w:outlineLvl w:val="1"/>
    </w:pPr>
    <w:rPr>
      <w:rFonts w:ascii="黑体" w:hAnsi="黑体" w:eastAsia="黑体"/>
      <w:b/>
      <w:sz w:val="32"/>
      <w:szCs w:val="21"/>
    </w:rPr>
  </w:style>
  <w:style w:type="paragraph" w:customStyle="1" w:styleId="163">
    <w:name w:val="_Style 10"/>
    <w:basedOn w:val="1"/>
    <w:next w:val="73"/>
    <w:qFormat/>
    <w:uiPriority w:val="34"/>
    <w:pPr>
      <w:spacing w:line="360" w:lineRule="auto"/>
      <w:ind w:firstLine="420" w:firstLineChars="200"/>
      <w:jc w:val="both"/>
    </w:pPr>
    <w:rPr>
      <w:rFonts w:ascii="宋体" w:hAnsi="宋体" w:cs="宋体"/>
      <w:sz w:val="24"/>
      <w:szCs w:val="24"/>
    </w:rPr>
  </w:style>
  <w:style w:type="paragraph" w:customStyle="1" w:styleId="164">
    <w:name w:val="表格标注"/>
    <w:basedOn w:val="165"/>
    <w:next w:val="1"/>
    <w:qFormat/>
    <w:uiPriority w:val="99"/>
    <w:pPr>
      <w:numPr>
        <w:ilvl w:val="7"/>
      </w:numPr>
      <w:tabs>
        <w:tab w:val="left" w:pos="3480"/>
      </w:tabs>
    </w:pPr>
  </w:style>
  <w:style w:type="paragraph" w:customStyle="1" w:styleId="165">
    <w:name w:val="插图标注"/>
    <w:next w:val="1"/>
    <w:qFormat/>
    <w:uiPriority w:val="99"/>
    <w:pPr>
      <w:numPr>
        <w:ilvl w:val="6"/>
        <w:numId w:val="3"/>
      </w:numPr>
      <w:spacing w:after="156"/>
      <w:jc w:val="center"/>
    </w:pPr>
    <w:rPr>
      <w:rFonts w:ascii="Calibri Light" w:hAnsi="Calibri Light" w:eastAsia="宋体" w:cs="方正仿宋_GBK"/>
      <w:sz w:val="21"/>
      <w:szCs w:val="21"/>
      <w:lang w:val="en-US" w:eastAsia="zh-CN" w:bidi="ar-SA"/>
    </w:rPr>
  </w:style>
  <w:style w:type="table" w:customStyle="1" w:styleId="166">
    <w:name w:val="网格型1"/>
    <w:basedOn w:val="43"/>
    <w:qFormat/>
    <w:uiPriority w:val="99"/>
    <w:rPr>
      <w:rFonts w:ascii="Calibri" w:hAnsi="Calibri" w:cs="Calibri"/>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Pr>
  </w:style>
  <w:style w:type="paragraph" w:customStyle="1" w:styleId="167">
    <w:name w:val="List Paragraph2"/>
    <w:basedOn w:val="1"/>
    <w:qFormat/>
    <w:uiPriority w:val="0"/>
    <w:pPr>
      <w:widowControl w:val="0"/>
      <w:ind w:firstLine="420" w:firstLineChars="200"/>
      <w:jc w:val="both"/>
    </w:pPr>
    <w:rPr>
      <w:kern w:val="2"/>
      <w:sz w:val="21"/>
      <w:szCs w:val="24"/>
    </w:rPr>
  </w:style>
  <w:style w:type="paragraph" w:customStyle="1" w:styleId="168">
    <w:name w:val="！正文"/>
    <w:basedOn w:val="1"/>
    <w:qFormat/>
    <w:uiPriority w:val="99"/>
    <w:pPr>
      <w:widowControl w:val="0"/>
      <w:ind w:firstLine="200" w:firstLineChars="200"/>
      <w:jc w:val="both"/>
    </w:pPr>
    <w:rPr>
      <w:rFonts w:ascii="Calibri" w:hAnsi="Calibri"/>
      <w:kern w:val="2"/>
      <w:sz w:val="21"/>
      <w:szCs w:val="21"/>
    </w:rPr>
  </w:style>
  <w:style w:type="character" w:customStyle="1" w:styleId="169">
    <w:name w:val="font31"/>
    <w:qFormat/>
    <w:uiPriority w:val="0"/>
    <w:rPr>
      <w:rFonts w:hint="eastAsia" w:ascii="宋体" w:hAnsi="宋体" w:eastAsia="宋体" w:cs="宋体"/>
      <w:color w:val="417FF9"/>
      <w:sz w:val="22"/>
      <w:szCs w:val="22"/>
      <w:u w:val="none"/>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8FAFD"/>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6</Pages>
  <Words>4261</Words>
  <Characters>4471</Characters>
  <Lines>45</Lines>
  <Paragraphs>12</Paragraphs>
  <TotalTime>2</TotalTime>
  <ScaleCrop>false</ScaleCrop>
  <LinksUpToDate>false</LinksUpToDate>
  <CharactersWithSpaces>4540</CharactersWithSpaces>
  <Application>WPS Office_10.1.0.7526_F1E327BC-269C-435d-A152-05C5408002CA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2024-12-29T01:12:00Z</dcterms:created>
  <cp:lastPrinted>2024-03-13T16:27:00Z</cp:lastPrinted>
  <dcterms:modified xsi:type="dcterms:W3CDTF">2025-03-31T12:55:37Z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2052-10.1.0.7526</vt:lpwstr>
  </property>
  <property fmtid="{D5CDD505-2E9C-101B-9397-08002B2CF9AE}" pid="3" name="ICV">
    <vt:lpwstr>A81B1E9B001E44568C74B5BA77A28D76_13</vt:lpwstr>
  </property>
  <property fmtid="{D5CDD505-2E9C-101B-9397-08002B2CF9AE}" pid="4" name="KSOTemplateDocerSaveRecord">
    <vt:lpwstr>eyJoZGlkIjoiMDNjMDUyMWM2ZmFiMWM2ODk0OWM3NjAxNjcxOWRkOWIiLCJ1c2VySWQiOiIxMDU2MDU5OTkwIn0=</vt:lpwstr>
  </property>
</Properties>
</file>