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color w:val="auto"/>
          <w:sz w:val="28"/>
          <w:szCs w:val="28"/>
          <w:lang w:eastAsia="zh-CN"/>
        </w:rPr>
      </w:pPr>
      <w:bookmarkStart w:id="11" w:name="_GoBack"/>
      <w:r>
        <w:rPr>
          <w:rFonts w:hint="eastAsia" w:ascii="宋体" w:hAnsi="宋体" w:cs="宋体"/>
          <w:b/>
          <w:bCs/>
          <w:color w:val="auto"/>
          <w:sz w:val="28"/>
          <w:szCs w:val="28"/>
          <w:lang w:eastAsia="zh-CN"/>
        </w:rPr>
        <w:t>上海市公安局长宁分局2025年计算机通用设备运维服务项目</w:t>
      </w:r>
    </w:p>
    <w:p>
      <w:pPr>
        <w:spacing w:line="360" w:lineRule="auto"/>
        <w:rPr>
          <w:rFonts w:ascii="宋体"/>
          <w:b/>
          <w:bCs/>
          <w:color w:val="auto"/>
          <w:sz w:val="21"/>
          <w:szCs w:val="21"/>
        </w:rPr>
      </w:pPr>
    </w:p>
    <w:p>
      <w:pPr>
        <w:spacing w:line="360" w:lineRule="auto"/>
        <w:rPr>
          <w:rFonts w:ascii="宋体" w:hAnsi="宋体" w:cs="宋体"/>
          <w:b/>
          <w:bCs/>
          <w:color w:val="auto"/>
          <w:sz w:val="21"/>
          <w:szCs w:val="24"/>
        </w:rPr>
      </w:pPr>
      <w:r>
        <w:rPr>
          <w:rFonts w:hint="eastAsia" w:ascii="宋体" w:hAnsi="宋体" w:cs="宋体"/>
          <w:b/>
          <w:bCs/>
          <w:color w:val="auto"/>
          <w:sz w:val="21"/>
          <w:szCs w:val="24"/>
        </w:rPr>
        <w:t>一</w:t>
      </w:r>
      <w:r>
        <w:rPr>
          <w:rFonts w:ascii="宋体" w:hAnsi="宋体" w:cs="宋体"/>
          <w:b/>
          <w:bCs/>
          <w:color w:val="auto"/>
          <w:sz w:val="21"/>
          <w:szCs w:val="24"/>
        </w:rPr>
        <w:t>、</w:t>
      </w:r>
      <w:r>
        <w:rPr>
          <w:rFonts w:hint="eastAsia" w:ascii="宋体" w:hAnsi="宋体" w:cs="宋体"/>
          <w:b/>
          <w:bCs/>
          <w:color w:val="auto"/>
          <w:sz w:val="21"/>
          <w:szCs w:val="24"/>
        </w:rPr>
        <w:t>项目概况</w:t>
      </w:r>
    </w:p>
    <w:p>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上海市公安局长宁分局2025年计算机通用设备运维对象包括本采购单位所有计算机通用设备及配套设备（含PC主机、笔记本电脑、显示器、打印机、扫描仪、对外服务窗口配套设备等）, PC主机包括国产硬件和国产操作系统。</w:t>
      </w:r>
    </w:p>
    <w:p>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本项目运维服务类别包括现场应急维修维护、安全加固、临时服务等工作，主要目的是能在发生故障后能得到及时的响应和处置，把对工作的影响降到最低。</w:t>
      </w:r>
    </w:p>
    <w:p>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服务时间：2025年7月1日至2026年6月30日 </w:t>
      </w:r>
    </w:p>
    <w:p>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服务地点：上海市公安局长宁分局及辖区所有派驻单位 </w:t>
      </w:r>
    </w:p>
    <w:p>
      <w:pPr>
        <w:spacing w:line="360" w:lineRule="auto"/>
        <w:ind w:firstLine="420" w:firstLineChars="200"/>
        <w:rPr>
          <w:rFonts w:hint="eastAsia" w:ascii="宋体" w:hAnsi="宋体" w:eastAsia="宋体" w:cs="宋体"/>
          <w:color w:val="auto"/>
          <w:sz w:val="21"/>
          <w:szCs w:val="21"/>
        </w:rPr>
      </w:pPr>
    </w:p>
    <w:p>
      <w:pPr>
        <w:spacing w:line="360" w:lineRule="auto"/>
        <w:rPr>
          <w:rFonts w:hint="eastAsia" w:ascii="宋体" w:hAnsi="宋体" w:cs="宋体"/>
          <w:b/>
          <w:bCs/>
          <w:color w:val="auto"/>
          <w:sz w:val="21"/>
          <w:szCs w:val="24"/>
        </w:rPr>
      </w:pPr>
      <w:r>
        <w:rPr>
          <w:rFonts w:hint="eastAsia" w:ascii="宋体" w:hAnsi="宋体" w:cs="宋体"/>
          <w:b/>
          <w:bCs/>
          <w:color w:val="auto"/>
          <w:sz w:val="21"/>
          <w:szCs w:val="24"/>
          <w:lang w:val="en-US" w:eastAsia="zh-CN"/>
        </w:rPr>
        <w:t>二、</w:t>
      </w:r>
      <w:r>
        <w:rPr>
          <w:rFonts w:hint="eastAsia" w:ascii="宋体" w:hAnsi="宋体" w:cs="宋体"/>
          <w:b/>
          <w:bCs/>
          <w:color w:val="auto"/>
          <w:sz w:val="21"/>
          <w:szCs w:val="24"/>
        </w:rPr>
        <w:t>服务</w:t>
      </w:r>
      <w:r>
        <w:rPr>
          <w:rFonts w:hint="eastAsia" w:ascii="宋体" w:hAnsi="宋体" w:cs="宋体"/>
          <w:b/>
          <w:bCs/>
          <w:color w:val="auto"/>
          <w:sz w:val="21"/>
          <w:szCs w:val="24"/>
          <w:lang w:val="en-US" w:eastAsia="zh-CN"/>
        </w:rPr>
        <w:t>范围</w:t>
      </w:r>
    </w:p>
    <w:p>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本项目运维对象范围包括本采购单位所有计算机通用设备及配套设备（含PC主机、笔记本电脑、显示器、打印机、扫描仪、对外服务窗口配套设备等），其中PC主机包括国产硬件和国产操作系统。</w:t>
      </w:r>
    </w:p>
    <w:tbl>
      <w:tblPr>
        <w:tblStyle w:val="19"/>
        <w:tblW w:w="8364"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2880"/>
        <w:gridCol w:w="1476"/>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747"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2880"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设备类型</w:t>
            </w:r>
          </w:p>
        </w:tc>
        <w:tc>
          <w:tcPr>
            <w:tcW w:w="1476"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数量（估算）</w:t>
            </w:r>
          </w:p>
        </w:tc>
        <w:tc>
          <w:tcPr>
            <w:tcW w:w="3261"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747"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2880"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PC主机及笔记本电脑</w:t>
            </w:r>
          </w:p>
        </w:tc>
        <w:tc>
          <w:tcPr>
            <w:tcW w:w="1476"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3800</w:t>
            </w:r>
          </w:p>
        </w:tc>
        <w:tc>
          <w:tcPr>
            <w:tcW w:w="3261" w:type="dxa"/>
            <w:vMerge w:val="restart"/>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本部约800、外驻单位3000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747"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2880"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显示器</w:t>
            </w:r>
          </w:p>
        </w:tc>
        <w:tc>
          <w:tcPr>
            <w:tcW w:w="1476"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3800</w:t>
            </w:r>
          </w:p>
        </w:tc>
        <w:tc>
          <w:tcPr>
            <w:tcW w:w="3261"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747"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2880"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打印机</w:t>
            </w:r>
          </w:p>
        </w:tc>
        <w:tc>
          <w:tcPr>
            <w:tcW w:w="1476"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1500</w:t>
            </w:r>
          </w:p>
        </w:tc>
        <w:tc>
          <w:tcPr>
            <w:tcW w:w="3261"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本部约250、外驻单位1250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63" w:hRule="atLeast"/>
        </w:trPr>
        <w:tc>
          <w:tcPr>
            <w:tcW w:w="747"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2880"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扫描仪</w:t>
            </w:r>
          </w:p>
        </w:tc>
        <w:tc>
          <w:tcPr>
            <w:tcW w:w="1476"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800</w:t>
            </w:r>
          </w:p>
        </w:tc>
        <w:tc>
          <w:tcPr>
            <w:tcW w:w="3261"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本部约250、外驻单位550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747"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2880"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对外服务窗口配套设备（如摄像头、专业打印机等）</w:t>
            </w:r>
          </w:p>
        </w:tc>
        <w:tc>
          <w:tcPr>
            <w:tcW w:w="1476"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800</w:t>
            </w:r>
          </w:p>
        </w:tc>
        <w:tc>
          <w:tcPr>
            <w:tcW w:w="3261"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zh-CN"/>
              </w:rPr>
              <w:t>本部约250、外驻单位550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747"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w:t>
            </w:r>
          </w:p>
        </w:tc>
        <w:tc>
          <w:tcPr>
            <w:tcW w:w="2880"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其他设备</w:t>
            </w:r>
          </w:p>
        </w:tc>
        <w:tc>
          <w:tcPr>
            <w:tcW w:w="1476"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若干</w:t>
            </w:r>
          </w:p>
        </w:tc>
        <w:tc>
          <w:tcPr>
            <w:tcW w:w="3261"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p>
        </w:tc>
      </w:tr>
    </w:tbl>
    <w:p>
      <w:pPr>
        <w:spacing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说明：</w:t>
      </w:r>
    </w:p>
    <w:p>
      <w:pPr>
        <w:spacing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本表数量为估算值，在本项目本年度的运维实施过程中数量将可能有变化，拟增加的设备以新采购的国产电脑和打印机为主，数量约800台，其运维工作主要为国产操作系统的安装与授权、国产外部设备驱动程序的适配安装、国产办公软件与安全软件的安装与授权，以及日常使用过程中的操作咨询和技术支持服务。</w:t>
      </w:r>
    </w:p>
    <w:p>
      <w:pPr>
        <w:spacing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 本表所列设备类型也未穷尽，但以本项目实施过程中产生的报修工单为准。</w:t>
      </w:r>
    </w:p>
    <w:p>
      <w:pPr>
        <w:spacing w:line="360" w:lineRule="auto"/>
        <w:ind w:firstLine="420" w:firstLineChars="200"/>
        <w:rPr>
          <w:rFonts w:hint="eastAsia" w:ascii="宋体" w:hAnsi="宋体" w:eastAsia="宋体" w:cs="宋体"/>
          <w:color w:val="auto"/>
          <w:sz w:val="21"/>
          <w:szCs w:val="21"/>
          <w:highlight w:val="yellow"/>
        </w:rPr>
      </w:pPr>
    </w:p>
    <w:p>
      <w:pPr>
        <w:spacing w:line="360" w:lineRule="auto"/>
        <w:rPr>
          <w:rFonts w:hint="eastAsia" w:ascii="宋体" w:hAnsi="宋体" w:cs="宋体"/>
          <w:b/>
          <w:bCs/>
          <w:color w:val="auto"/>
          <w:sz w:val="21"/>
          <w:szCs w:val="24"/>
          <w:lang w:val="en-US" w:eastAsia="zh-CN"/>
        </w:rPr>
      </w:pPr>
      <w:r>
        <w:rPr>
          <w:rFonts w:hint="eastAsia" w:ascii="宋体" w:hAnsi="宋体" w:cs="宋体"/>
          <w:b/>
          <w:bCs/>
          <w:color w:val="auto"/>
          <w:sz w:val="21"/>
          <w:szCs w:val="24"/>
          <w:lang w:val="en-US" w:eastAsia="zh-CN"/>
        </w:rPr>
        <w:t>三、服务内容</w:t>
      </w:r>
    </w:p>
    <w:p>
      <w:pPr>
        <w:spacing w:line="360" w:lineRule="auto"/>
        <w:ind w:firstLine="422" w:firstLineChars="200"/>
        <w:rPr>
          <w:rFonts w:hint="eastAsia" w:ascii="宋体" w:hAnsi="宋体" w:cs="宋体"/>
          <w:b/>
          <w:bCs/>
          <w:color w:val="auto"/>
          <w:sz w:val="21"/>
          <w:szCs w:val="21"/>
        </w:rPr>
      </w:pPr>
      <w:r>
        <w:rPr>
          <w:rFonts w:hint="eastAsia" w:ascii="宋体" w:hAnsi="宋体" w:cs="宋体"/>
          <w:b/>
          <w:bCs/>
          <w:color w:val="auto"/>
          <w:sz w:val="21"/>
          <w:szCs w:val="21"/>
          <w:lang w:val="en-US" w:eastAsia="zh-CN"/>
        </w:rPr>
        <w:t>3.1.</w:t>
      </w:r>
      <w:r>
        <w:rPr>
          <w:rFonts w:hint="eastAsia" w:ascii="宋体" w:hAnsi="宋体" w:cs="宋体"/>
          <w:b/>
          <w:bCs/>
          <w:color w:val="auto"/>
          <w:sz w:val="21"/>
          <w:szCs w:val="21"/>
        </w:rPr>
        <w:t>计算机通用设备运维的工作内容</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计算机通用设备运维的工作内容分两大类：</w:t>
      </w:r>
    </w:p>
    <w:p>
      <w:pPr>
        <w:numPr>
          <w:ilvl w:val="0"/>
          <w:numId w:val="2"/>
        </w:numPr>
        <w:spacing w:line="360" w:lineRule="auto"/>
        <w:ind w:left="420" w:leftChars="0" w:hanging="420" w:firstLineChars="0"/>
        <w:rPr>
          <w:rFonts w:hint="eastAsia" w:ascii="宋体" w:hAnsi="宋体" w:cs="宋体"/>
          <w:b/>
          <w:bCs/>
          <w:color w:val="auto"/>
          <w:sz w:val="21"/>
          <w:szCs w:val="21"/>
        </w:rPr>
      </w:pPr>
      <w:r>
        <w:rPr>
          <w:rFonts w:hint="eastAsia" w:ascii="宋体" w:hAnsi="宋体" w:cs="宋体"/>
          <w:b/>
          <w:bCs/>
          <w:color w:val="auto"/>
          <w:sz w:val="21"/>
          <w:szCs w:val="21"/>
        </w:rPr>
        <w:t>简易运维服务，分三种：</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（1）普通设备安装及调试</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（2）常用软件安装及调试</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（3）其他普通服务</w:t>
      </w:r>
    </w:p>
    <w:p>
      <w:pPr>
        <w:numPr>
          <w:ilvl w:val="0"/>
          <w:numId w:val="2"/>
        </w:numPr>
        <w:spacing w:line="360" w:lineRule="auto"/>
        <w:ind w:left="420" w:leftChars="0" w:hanging="420" w:firstLineChars="0"/>
        <w:rPr>
          <w:rFonts w:hint="eastAsia" w:ascii="宋体" w:hAnsi="宋体" w:cs="宋体"/>
          <w:b/>
          <w:bCs/>
          <w:color w:val="auto"/>
          <w:sz w:val="21"/>
          <w:szCs w:val="21"/>
        </w:rPr>
      </w:pPr>
      <w:r>
        <w:rPr>
          <w:rFonts w:hint="eastAsia" w:ascii="宋体" w:hAnsi="宋体" w:cs="宋体"/>
          <w:b/>
          <w:bCs/>
          <w:color w:val="auto"/>
          <w:sz w:val="21"/>
          <w:szCs w:val="21"/>
        </w:rPr>
        <w:t>复杂运维服务，分六种：</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（1）硬盘批量消磁（次）</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（2）数据恢复或备份</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（3）系统重装并配置</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（4）网络打印机安装调试</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（5）设备硬软件故障分析及维护</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（6）其他维护服务</w:t>
      </w:r>
    </w:p>
    <w:p>
      <w:pPr>
        <w:spacing w:line="360" w:lineRule="auto"/>
        <w:ind w:firstLine="422" w:firstLineChars="200"/>
        <w:rPr>
          <w:rFonts w:hint="eastAsia" w:ascii="宋体" w:hAnsi="宋体" w:cs="宋体"/>
          <w:b/>
          <w:bCs/>
          <w:color w:val="auto"/>
          <w:sz w:val="21"/>
          <w:szCs w:val="21"/>
          <w:lang w:val="en-US" w:eastAsia="zh-CN"/>
        </w:rPr>
      </w:pPr>
      <w:r>
        <w:rPr>
          <w:rFonts w:hint="eastAsia" w:ascii="宋体" w:hAnsi="宋体" w:cs="宋体"/>
          <w:b/>
          <w:bCs/>
          <w:color w:val="auto"/>
          <w:sz w:val="21"/>
          <w:szCs w:val="21"/>
          <w:lang w:val="en-US" w:eastAsia="zh-CN"/>
        </w:rPr>
        <w:t>3.2.节假日和重大保卫活动的保障</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在节假日和有重大保卫活动时，根据甲方要求提供值班的保障。</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 </w:t>
      </w:r>
    </w:p>
    <w:p>
      <w:pPr>
        <w:spacing w:line="360" w:lineRule="auto"/>
        <w:rPr>
          <w:rFonts w:hint="eastAsia" w:ascii="宋体" w:hAnsi="宋体" w:cs="宋体"/>
          <w:b/>
          <w:bCs/>
          <w:color w:val="auto"/>
          <w:sz w:val="21"/>
          <w:szCs w:val="24"/>
          <w:lang w:val="en-US" w:eastAsia="zh-CN"/>
        </w:rPr>
      </w:pPr>
      <w:r>
        <w:rPr>
          <w:rFonts w:hint="eastAsia" w:ascii="宋体" w:hAnsi="宋体" w:cs="宋体"/>
          <w:b/>
          <w:bCs/>
          <w:color w:val="auto"/>
          <w:sz w:val="21"/>
          <w:szCs w:val="24"/>
          <w:lang w:val="en-US" w:eastAsia="zh-CN"/>
        </w:rPr>
        <w:t>四、服务要求</w:t>
      </w:r>
    </w:p>
    <w:p>
      <w:pPr>
        <w:spacing w:line="360" w:lineRule="auto"/>
        <w:ind w:firstLine="422" w:firstLineChars="200"/>
        <w:rPr>
          <w:rFonts w:hint="eastAsia" w:ascii="宋体" w:hAnsi="宋体" w:cs="宋体"/>
          <w:b/>
          <w:bCs/>
          <w:color w:val="auto"/>
          <w:sz w:val="21"/>
          <w:szCs w:val="21"/>
        </w:rPr>
      </w:pPr>
      <w:r>
        <w:rPr>
          <w:rFonts w:hint="eastAsia" w:ascii="宋体" w:hAnsi="宋体" w:cs="宋体"/>
          <w:b/>
          <w:bCs/>
          <w:color w:val="auto"/>
          <w:sz w:val="21"/>
          <w:szCs w:val="21"/>
          <w:lang w:val="en-US" w:eastAsia="zh-CN"/>
        </w:rPr>
        <w:t>4.1.</w:t>
      </w:r>
      <w:r>
        <w:rPr>
          <w:rFonts w:hint="eastAsia" w:ascii="宋体" w:hAnsi="宋体" w:cs="宋体"/>
          <w:b/>
          <w:bCs/>
          <w:color w:val="auto"/>
          <w:sz w:val="21"/>
          <w:szCs w:val="21"/>
        </w:rPr>
        <w:t>维护人员要求</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为加强维护的工作的力度和确保维护的质量，项目须配备项目经理1名，共派遣至少4个熟练计算机通用设备及配套设备运维技术人员常驻本项目采购单位及几十个外驻机构提供随时随地运维服务以及具备年处理运维工单能力量至少达5000单。</w:t>
      </w:r>
    </w:p>
    <w:p>
      <w:pPr>
        <w:spacing w:line="360" w:lineRule="auto"/>
        <w:ind w:firstLine="422" w:firstLineChars="200"/>
        <w:rPr>
          <w:rFonts w:hint="eastAsia" w:ascii="宋体" w:hAnsi="宋体" w:cs="宋体"/>
          <w:b/>
          <w:bCs/>
          <w:color w:val="auto"/>
          <w:sz w:val="21"/>
          <w:szCs w:val="21"/>
          <w:lang w:val="en-US" w:eastAsia="zh-CN"/>
        </w:rPr>
      </w:pPr>
      <w:r>
        <w:rPr>
          <w:rFonts w:hint="eastAsia" w:ascii="宋体" w:hAnsi="宋体" w:cs="宋体"/>
          <w:b/>
          <w:bCs/>
          <w:color w:val="auto"/>
          <w:sz w:val="21"/>
          <w:szCs w:val="21"/>
          <w:lang w:val="en-US" w:eastAsia="zh-CN"/>
        </w:rPr>
        <w:t>4.2.维护响应要求</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中标人须为采购人提供24小时的维护服务，设备发生故障时，中标人在接到采购后的服务响应时间按照本采购单位运维平台规定进行，解决各种软件故障和硬件故障。</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服务方式：上门服务。</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服务所需工具：由维护公司自配。</w:t>
      </w:r>
    </w:p>
    <w:p>
      <w:pPr>
        <w:spacing w:line="360" w:lineRule="auto"/>
        <w:ind w:firstLine="422" w:firstLineChars="200"/>
        <w:rPr>
          <w:rFonts w:hint="eastAsia" w:ascii="宋体" w:hAnsi="宋体" w:cs="宋体"/>
          <w:b/>
          <w:bCs/>
          <w:color w:val="auto"/>
          <w:sz w:val="21"/>
          <w:szCs w:val="21"/>
          <w:lang w:val="en-US" w:eastAsia="zh-CN"/>
        </w:rPr>
      </w:pPr>
      <w:bookmarkStart w:id="0" w:name="_Toc451178387"/>
      <w:bookmarkStart w:id="1" w:name="_Toc327900984"/>
      <w:bookmarkStart w:id="2" w:name="_Toc327901000"/>
      <w:r>
        <w:rPr>
          <w:rFonts w:hint="eastAsia" w:ascii="宋体" w:hAnsi="宋体" w:cs="宋体"/>
          <w:b/>
          <w:bCs/>
          <w:color w:val="auto"/>
          <w:sz w:val="21"/>
          <w:szCs w:val="21"/>
          <w:lang w:val="en-US" w:eastAsia="zh-CN"/>
        </w:rPr>
        <w:t>4.3.维护实施安全</w:t>
      </w:r>
      <w:bookmarkEnd w:id="0"/>
      <w:r>
        <w:rPr>
          <w:rFonts w:hint="eastAsia" w:ascii="宋体" w:hAnsi="宋体" w:cs="宋体"/>
          <w:b/>
          <w:bCs/>
          <w:color w:val="auto"/>
          <w:sz w:val="21"/>
          <w:szCs w:val="21"/>
          <w:lang w:val="en-US" w:eastAsia="zh-CN"/>
        </w:rPr>
        <w:t>要求</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中标人应严格按照《上海市安全生产条例（上海市第十五届人民代表大会常务委员会第三十六次会议于2021年10月28日通过，自2021年12月1日起施行）》进行维护、施工。</w:t>
      </w:r>
    </w:p>
    <w:bookmarkEnd w:id="1"/>
    <w:bookmarkEnd w:id="2"/>
    <w:p>
      <w:pPr>
        <w:spacing w:line="360" w:lineRule="auto"/>
        <w:ind w:firstLine="422" w:firstLineChars="200"/>
        <w:rPr>
          <w:rFonts w:hint="eastAsia" w:ascii="宋体" w:hAnsi="宋体" w:cs="宋体"/>
          <w:b/>
          <w:bCs/>
          <w:color w:val="auto"/>
          <w:sz w:val="21"/>
          <w:szCs w:val="21"/>
          <w:lang w:val="en-US" w:eastAsia="zh-CN"/>
        </w:rPr>
      </w:pPr>
      <w:bookmarkStart w:id="3" w:name="_Toc451178331"/>
      <w:bookmarkStart w:id="4" w:name="_Toc448999980"/>
      <w:r>
        <w:rPr>
          <w:rFonts w:hint="eastAsia" w:ascii="宋体" w:hAnsi="宋体" w:cs="宋体"/>
          <w:b/>
          <w:bCs/>
          <w:color w:val="auto"/>
          <w:sz w:val="21"/>
          <w:szCs w:val="21"/>
          <w:lang w:val="en-US" w:eastAsia="zh-CN"/>
        </w:rPr>
        <w:t>4.4.运维资料</w:t>
      </w:r>
      <w:bookmarkEnd w:id="3"/>
      <w:bookmarkEnd w:id="4"/>
      <w:r>
        <w:rPr>
          <w:rFonts w:hint="eastAsia" w:ascii="宋体" w:hAnsi="宋体" w:cs="宋体"/>
          <w:b/>
          <w:bCs/>
          <w:color w:val="auto"/>
          <w:sz w:val="21"/>
          <w:szCs w:val="21"/>
          <w:lang w:val="en-US" w:eastAsia="zh-CN"/>
        </w:rPr>
        <w:t>管理要求</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每次服务有记录，每月编写总结报告，提交业务主管部门和监理公司的监督。在年度验收前将所有基础台帐资料的电子文件或书面材料提交采购人归档。</w:t>
      </w:r>
    </w:p>
    <w:p>
      <w:pPr>
        <w:spacing w:line="360" w:lineRule="auto"/>
        <w:ind w:firstLine="422" w:firstLineChars="200"/>
        <w:rPr>
          <w:rFonts w:hint="eastAsia" w:ascii="宋体" w:hAnsi="宋体" w:cs="宋体"/>
          <w:b/>
          <w:bCs/>
          <w:color w:val="auto"/>
          <w:sz w:val="21"/>
          <w:szCs w:val="21"/>
          <w:lang w:val="en-US" w:eastAsia="zh-CN"/>
        </w:rPr>
      </w:pPr>
      <w:bookmarkStart w:id="5" w:name="_Toc451178332"/>
      <w:bookmarkStart w:id="6" w:name="_Toc448999981"/>
      <w:r>
        <w:rPr>
          <w:rFonts w:hint="eastAsia" w:ascii="宋体" w:hAnsi="宋体" w:cs="宋体"/>
          <w:b/>
          <w:bCs/>
          <w:color w:val="auto"/>
          <w:sz w:val="21"/>
          <w:szCs w:val="21"/>
          <w:lang w:val="en-US" w:eastAsia="zh-CN"/>
        </w:rPr>
        <w:t>4.5.维护安全保密</w:t>
      </w:r>
      <w:bookmarkEnd w:id="5"/>
      <w:bookmarkEnd w:id="6"/>
      <w:r>
        <w:rPr>
          <w:rFonts w:hint="eastAsia" w:ascii="宋体" w:hAnsi="宋体" w:cs="宋体"/>
          <w:b/>
          <w:bCs/>
          <w:color w:val="auto"/>
          <w:sz w:val="21"/>
          <w:szCs w:val="21"/>
          <w:lang w:val="en-US" w:eastAsia="zh-CN"/>
        </w:rPr>
        <w:t>要求</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维护公司与本采购单位签订保密协议；维护人员须参加安全培训会议。</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遵守上海GA的行业安全管理。</w:t>
      </w:r>
    </w:p>
    <w:p>
      <w:pPr>
        <w:spacing w:line="360" w:lineRule="auto"/>
        <w:ind w:firstLine="420" w:firstLineChars="200"/>
        <w:rPr>
          <w:rFonts w:hint="eastAsia" w:ascii="宋体" w:hAnsi="宋体" w:cs="宋体"/>
          <w:color w:val="auto"/>
          <w:sz w:val="21"/>
          <w:szCs w:val="21"/>
        </w:rPr>
      </w:pPr>
    </w:p>
    <w:p>
      <w:pPr>
        <w:spacing w:line="360" w:lineRule="auto"/>
        <w:rPr>
          <w:rFonts w:hint="eastAsia" w:ascii="宋体" w:hAnsi="宋体" w:cs="宋体"/>
          <w:b/>
          <w:bCs/>
          <w:color w:val="auto"/>
          <w:sz w:val="21"/>
          <w:szCs w:val="24"/>
          <w:lang w:val="en-US" w:eastAsia="zh-CN"/>
        </w:rPr>
      </w:pPr>
      <w:r>
        <w:rPr>
          <w:rFonts w:hint="eastAsia" w:ascii="宋体" w:hAnsi="宋体" w:cs="宋体"/>
          <w:b/>
          <w:bCs/>
          <w:color w:val="auto"/>
          <w:sz w:val="21"/>
          <w:szCs w:val="24"/>
          <w:lang w:val="en-US" w:eastAsia="zh-CN"/>
        </w:rPr>
        <w:t>五、保密要求、知识产权、工作纪律要求</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5</w:t>
      </w:r>
      <w:r>
        <w:rPr>
          <w:rFonts w:hint="eastAsia" w:ascii="宋体" w:hAnsi="宋体" w:cs="宋体"/>
          <w:color w:val="auto"/>
          <w:sz w:val="21"/>
          <w:szCs w:val="21"/>
        </w:rPr>
        <w:t xml:space="preserve">.1  </w:t>
      </w:r>
      <w:r>
        <w:rPr>
          <w:rFonts w:hint="eastAsia" w:ascii="宋体" w:hAnsi="宋体" w:cs="宋体"/>
          <w:color w:val="auto"/>
          <w:sz w:val="21"/>
          <w:szCs w:val="21"/>
          <w:lang w:eastAsia="zh-CN"/>
        </w:rPr>
        <w:t>合同签订时，甲乙双方</w:t>
      </w:r>
      <w:r>
        <w:rPr>
          <w:rFonts w:hint="eastAsia" w:ascii="宋体" w:hAnsi="宋体" w:cs="宋体"/>
          <w:color w:val="auto"/>
          <w:sz w:val="21"/>
          <w:szCs w:val="21"/>
        </w:rPr>
        <w:t>应签订保密协议，双方均有保密义务。</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54</w:t>
      </w:r>
      <w:r>
        <w:rPr>
          <w:rFonts w:hint="eastAsia" w:ascii="宋体" w:hAnsi="宋体" w:cs="宋体"/>
          <w:color w:val="auto"/>
          <w:sz w:val="21"/>
          <w:szCs w:val="21"/>
        </w:rPr>
        <w:t>.2  保密期限由保密内容提供方确定，保密期限届满后，保密内容公开时，应书面征得保密内容提供方同意。</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5</w:t>
      </w:r>
      <w:r>
        <w:rPr>
          <w:rFonts w:hint="eastAsia" w:ascii="宋体" w:hAnsi="宋体" w:cs="宋体"/>
          <w:color w:val="auto"/>
          <w:sz w:val="21"/>
          <w:szCs w:val="21"/>
        </w:rPr>
        <w:t>.3  委托开发软件的知识产权归</w:t>
      </w:r>
      <w:r>
        <w:rPr>
          <w:rFonts w:hint="eastAsia" w:ascii="宋体" w:hAnsi="宋体" w:cs="宋体"/>
          <w:color w:val="auto"/>
          <w:sz w:val="21"/>
          <w:szCs w:val="21"/>
          <w:lang w:eastAsia="zh-CN"/>
        </w:rPr>
        <w:t>委托方</w:t>
      </w:r>
      <w:r>
        <w:rPr>
          <w:rFonts w:hint="eastAsia" w:ascii="宋体" w:hAnsi="宋体" w:cs="宋体"/>
          <w:color w:val="auto"/>
          <w:sz w:val="21"/>
          <w:szCs w:val="21"/>
        </w:rPr>
        <w:t>所有。</w:t>
      </w:r>
      <w:r>
        <w:rPr>
          <w:rFonts w:hint="eastAsia" w:ascii="宋体" w:hAnsi="宋体" w:cs="宋体"/>
          <w:color w:val="auto"/>
          <w:sz w:val="21"/>
          <w:szCs w:val="21"/>
          <w:lang w:eastAsia="zh-CN"/>
        </w:rPr>
        <w:t>供应商</w:t>
      </w:r>
      <w:r>
        <w:rPr>
          <w:rFonts w:hint="eastAsia" w:ascii="宋体" w:hAnsi="宋体" w:cs="宋体"/>
          <w:color w:val="auto"/>
          <w:sz w:val="21"/>
          <w:szCs w:val="21"/>
        </w:rPr>
        <w:t>交付使用的信息系统已享有知识产权的，</w:t>
      </w:r>
      <w:r>
        <w:rPr>
          <w:rFonts w:hint="eastAsia" w:ascii="宋体" w:hAnsi="宋体" w:cs="宋体"/>
          <w:color w:val="auto"/>
          <w:sz w:val="21"/>
          <w:szCs w:val="21"/>
          <w:lang w:eastAsia="zh-CN"/>
        </w:rPr>
        <w:t>使用方</w:t>
      </w:r>
      <w:r>
        <w:rPr>
          <w:rFonts w:hint="eastAsia" w:ascii="宋体" w:hAnsi="宋体" w:cs="宋体"/>
          <w:color w:val="auto"/>
          <w:sz w:val="21"/>
          <w:szCs w:val="21"/>
        </w:rPr>
        <w:t>可在合同文件明确的范围内自主使用。信息系统中所有文档资料和数据、收集和储存的个人信息所有权均属于</w:t>
      </w:r>
      <w:r>
        <w:rPr>
          <w:rFonts w:hint="eastAsia" w:ascii="宋体" w:hAnsi="宋体" w:cs="宋体"/>
          <w:color w:val="auto"/>
          <w:sz w:val="21"/>
          <w:szCs w:val="21"/>
          <w:lang w:eastAsia="zh-CN"/>
        </w:rPr>
        <w:t>使用方</w:t>
      </w:r>
      <w:r>
        <w:rPr>
          <w:rFonts w:hint="eastAsia" w:ascii="宋体" w:hAnsi="宋体" w:cs="宋体"/>
          <w:color w:val="auto"/>
          <w:sz w:val="21"/>
          <w:szCs w:val="21"/>
        </w:rPr>
        <w:t>，未经</w:t>
      </w:r>
      <w:r>
        <w:rPr>
          <w:rFonts w:hint="eastAsia" w:ascii="宋体" w:hAnsi="宋体" w:cs="宋体"/>
          <w:color w:val="auto"/>
          <w:sz w:val="21"/>
          <w:szCs w:val="21"/>
          <w:lang w:eastAsia="zh-CN"/>
        </w:rPr>
        <w:t>使用方</w:t>
      </w:r>
      <w:r>
        <w:rPr>
          <w:rFonts w:hint="eastAsia" w:ascii="宋体" w:hAnsi="宋体" w:cs="宋体"/>
          <w:color w:val="auto"/>
          <w:sz w:val="21"/>
          <w:szCs w:val="21"/>
        </w:rPr>
        <w:t>允许不得访问、修改、披露、利用、转让、销毁。</w:t>
      </w:r>
    </w:p>
    <w:p>
      <w:pPr>
        <w:spacing w:line="360" w:lineRule="auto"/>
        <w:ind w:firstLine="420" w:firstLineChars="200"/>
        <w:rPr>
          <w:rFonts w:hint="eastAsia" w:ascii="宋体" w:hAnsi="宋体" w:cs="宋体"/>
          <w:color w:val="auto"/>
          <w:sz w:val="21"/>
          <w:szCs w:val="21"/>
        </w:rPr>
      </w:pPr>
      <w:bookmarkStart w:id="7" w:name="_Toc727073087"/>
      <w:bookmarkStart w:id="8" w:name="_Toc134435581"/>
      <w:r>
        <w:rPr>
          <w:rFonts w:hint="eastAsia" w:ascii="宋体" w:hAnsi="宋体" w:cs="宋体"/>
          <w:color w:val="auto"/>
          <w:sz w:val="21"/>
          <w:szCs w:val="21"/>
          <w:lang w:val="en-US" w:eastAsia="zh-CN"/>
        </w:rPr>
        <w:t>5</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4</w:t>
      </w:r>
      <w:bookmarkEnd w:id="7"/>
      <w:bookmarkEnd w:id="8"/>
      <w:r>
        <w:rPr>
          <w:rFonts w:hint="eastAsia" w:ascii="宋体" w:hAnsi="宋体" w:cs="宋体"/>
          <w:color w:val="auto"/>
          <w:sz w:val="21"/>
          <w:szCs w:val="21"/>
        </w:rPr>
        <w:t xml:space="preserve">  </w:t>
      </w:r>
      <w:r>
        <w:rPr>
          <w:rFonts w:hint="eastAsia" w:ascii="宋体" w:hAnsi="宋体" w:cs="宋体"/>
          <w:color w:val="auto"/>
          <w:sz w:val="21"/>
          <w:szCs w:val="21"/>
          <w:lang w:eastAsia="zh-CN"/>
        </w:rPr>
        <w:t>供应商</w:t>
      </w:r>
      <w:r>
        <w:rPr>
          <w:rFonts w:hint="eastAsia" w:ascii="宋体" w:hAnsi="宋体" w:cs="宋体"/>
          <w:color w:val="auto"/>
          <w:sz w:val="21"/>
          <w:szCs w:val="21"/>
        </w:rPr>
        <w:t>应在建设工作期间保证参与项目的技术人员的相对固定，不得随意调换。如确有原因需要调换的，需提前一个月向业主方提出并备案，经业主方同意后方可调换。</w:t>
      </w:r>
      <w:r>
        <w:rPr>
          <w:rFonts w:hint="eastAsia" w:ascii="宋体" w:hAnsi="宋体" w:cs="宋体"/>
          <w:color w:val="auto"/>
          <w:sz w:val="21"/>
          <w:szCs w:val="21"/>
          <w:lang w:eastAsia="zh-CN"/>
        </w:rPr>
        <w:t>供应商</w:t>
      </w:r>
      <w:r>
        <w:rPr>
          <w:rFonts w:hint="eastAsia" w:ascii="宋体" w:hAnsi="宋体" w:cs="宋体"/>
          <w:color w:val="auto"/>
          <w:sz w:val="21"/>
          <w:szCs w:val="21"/>
        </w:rPr>
        <w:t>应对技术人员调换的交接工作进行严格管理，确保数据不外泄、工作界面不留空白。</w:t>
      </w:r>
    </w:p>
    <w:p>
      <w:pPr>
        <w:spacing w:line="360" w:lineRule="auto"/>
        <w:ind w:firstLine="420" w:firstLineChars="200"/>
        <w:rPr>
          <w:rFonts w:hint="eastAsia" w:ascii="宋体" w:hAnsi="宋体" w:cs="宋体"/>
          <w:color w:val="auto"/>
          <w:sz w:val="21"/>
          <w:szCs w:val="21"/>
        </w:rPr>
      </w:pPr>
      <w:bookmarkStart w:id="9" w:name="_Toc134435582"/>
      <w:bookmarkStart w:id="10" w:name="_Toc956178045"/>
      <w:r>
        <w:rPr>
          <w:rFonts w:hint="eastAsia" w:ascii="宋体" w:hAnsi="宋体" w:cs="宋体"/>
          <w:color w:val="auto"/>
          <w:sz w:val="21"/>
          <w:szCs w:val="21"/>
          <w:lang w:val="en-US" w:eastAsia="zh-CN"/>
        </w:rPr>
        <w:t>5</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 xml:space="preserve">5  </w:t>
      </w:r>
      <w:bookmarkEnd w:id="9"/>
      <w:bookmarkEnd w:id="10"/>
      <w:r>
        <w:rPr>
          <w:rFonts w:hint="eastAsia" w:ascii="宋体" w:hAnsi="宋体" w:cs="宋体"/>
          <w:color w:val="auto"/>
          <w:sz w:val="21"/>
          <w:szCs w:val="21"/>
          <w:lang w:eastAsia="zh-CN"/>
        </w:rPr>
        <w:t>供应商</w:t>
      </w:r>
      <w:r>
        <w:rPr>
          <w:rFonts w:hint="eastAsia" w:ascii="宋体" w:hAnsi="宋体" w:cs="宋体"/>
          <w:color w:val="auto"/>
          <w:sz w:val="21"/>
          <w:szCs w:val="21"/>
        </w:rPr>
        <w:t>应参加业主方组织项目负责人及相关技术人员进行安全保密教育，并记录学习情况。所有参与项目的技术人员均应参加学习并在学习记录上签字。</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lang w:val="en-US" w:eastAsia="zh-CN"/>
        </w:rPr>
        <w:t>5</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 xml:space="preserve">6  </w:t>
      </w:r>
      <w:r>
        <w:rPr>
          <w:rFonts w:hint="eastAsia" w:ascii="宋体" w:hAnsi="宋体" w:cs="宋体"/>
          <w:color w:val="auto"/>
          <w:sz w:val="21"/>
          <w:szCs w:val="21"/>
        </w:rPr>
        <w:t>遵守</w:t>
      </w:r>
      <w:r>
        <w:rPr>
          <w:rFonts w:hint="eastAsia" w:ascii="宋体" w:hAnsi="宋体" w:cs="宋体"/>
          <w:color w:val="auto"/>
          <w:sz w:val="21"/>
          <w:szCs w:val="21"/>
          <w:lang w:eastAsia="zh-CN"/>
        </w:rPr>
        <w:t>以下</w:t>
      </w:r>
      <w:r>
        <w:rPr>
          <w:rFonts w:hint="eastAsia" w:ascii="宋体" w:hAnsi="宋体" w:cs="宋体"/>
          <w:color w:val="auto"/>
          <w:sz w:val="21"/>
          <w:szCs w:val="21"/>
        </w:rPr>
        <w:t>相关条款</w:t>
      </w:r>
      <w:r>
        <w:rPr>
          <w:rFonts w:hint="eastAsia" w:ascii="宋体" w:hAnsi="宋体" w:cs="宋体"/>
          <w:color w:val="auto"/>
          <w:sz w:val="21"/>
          <w:szCs w:val="21"/>
          <w:lang w:eastAsia="zh-CN"/>
        </w:rPr>
        <w:t>：</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（场所管理）合作单位及其技术人员未经允许，不得擅自进入民警办公区域、业务机房等重要场所。</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（设备管理）合作单位及其技术人员未经允许，不得使用公安网计算机和涉密计算机单机，严禁将自己携带的计算机联入公安网络和可存储警务秘密（含）以上密级信息的各类计算机、复印机、速印机等设备。</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（禁止行为）合作单位及其技术人员获得民警授权使用指定的公安网计算机时，须由民警全程陪同，并严格遵守以下规定：</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（一）不得违反禁止“一机两用”的有关规定，不得擅自删除监控程序、逃避监控、扰乱上网注册工作。</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（二）不得使用民警的数字身份证书访问公安业务系统，如确需使用的，必须由民警亲自使用证书进行操作。</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（三）不得擅自使用自带的移动存储介质或擅自开设FTP、共享文件夹在公安网计算机上进行文件拷贝与传递。</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（四）不得使用公安网计算机玩游戏、聊天或从事其它与本职工作无关的活动。</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（五）不得浏览、访问与本职工作无关的公安信息网站（页），不得尝试登录或使用与本职工作无关的公安业务系统。</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（六）严禁将公安网上发布的各类警务信息通过下载、打印等方式带出公安机关。</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（七）禁止使用点对点（P2P）文件共享类软件（如BitTorrent、BitComet、BitSpirit、eMule、eDonkey、Kazaa、WinMx、迅雷等软件）进行数据下载。</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（八）不得擅自对公安业务用计算机重新安装或加装操作系统，不得安装黑客类工具。</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（九）不得编制或故意传播破坏计算机功能、破坏信息数据的病毒，或者恶意攻击、删改各类信息网站和信息系统数据。</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（十）不得有其它违反党纪、政纪、社会公德、职业道德的网上行为。</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（操作管理）合作单位及其技术人员不得使用远程拨号上公安网方式进行系统维护、软件开发、设备调试等工作，只允许在项目建设单位指定的区域内使用专用设备进行操作，并由公安民警全程陪同。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（保密责任）对于警务工作秘密（含）以上的事项，合作单位及其技术人员应当做到不该问的不问，不该说的不说，并且在知悉秘密事项的情况下自觉负有保密义务，不得以任何形式泄露给无关人员。</w:t>
      </w:r>
    </w:p>
    <w:p>
      <w:pPr>
        <w:spacing w:line="360" w:lineRule="auto"/>
        <w:ind w:firstLine="420" w:firstLineChars="200"/>
        <w:rPr>
          <w:rFonts w:hint="eastAsia" w:ascii="宋体" w:hAnsi="宋体" w:cs="宋体"/>
          <w:color w:val="auto"/>
          <w:sz w:val="21"/>
          <w:szCs w:val="21"/>
        </w:rPr>
      </w:pPr>
    </w:p>
    <w:p>
      <w:pPr>
        <w:spacing w:line="360" w:lineRule="auto"/>
        <w:rPr>
          <w:rFonts w:hint="eastAsia" w:ascii="宋体" w:hAnsi="宋体" w:cs="宋体"/>
          <w:b/>
          <w:bCs/>
          <w:color w:val="auto"/>
          <w:sz w:val="21"/>
          <w:szCs w:val="24"/>
          <w:lang w:val="en-US" w:eastAsia="zh-CN"/>
        </w:rPr>
      </w:pPr>
      <w:r>
        <w:rPr>
          <w:rFonts w:hint="eastAsia" w:ascii="宋体" w:hAnsi="宋体" w:cs="宋体"/>
          <w:b/>
          <w:bCs/>
          <w:color w:val="auto"/>
          <w:sz w:val="21"/>
          <w:szCs w:val="24"/>
          <w:lang w:val="en-US" w:eastAsia="zh-CN"/>
        </w:rPr>
        <w:t>六、项目验收、服务、质保要求及违约罚则</w:t>
      </w:r>
    </w:p>
    <w:p>
      <w:pPr>
        <w:spacing w:line="360" w:lineRule="auto"/>
        <w:ind w:firstLine="422" w:firstLineChars="200"/>
        <w:rPr>
          <w:rFonts w:hint="default" w:ascii="宋体" w:hAnsi="宋体" w:cs="宋体"/>
          <w:b/>
          <w:bCs/>
          <w:color w:val="auto"/>
          <w:sz w:val="21"/>
          <w:szCs w:val="21"/>
          <w:lang w:val="en-US" w:eastAsia="zh-CN"/>
        </w:rPr>
      </w:pPr>
      <w:r>
        <w:rPr>
          <w:rFonts w:hint="eastAsia" w:ascii="宋体" w:hAnsi="宋体" w:cs="宋体"/>
          <w:b/>
          <w:bCs/>
          <w:color w:val="auto"/>
          <w:sz w:val="21"/>
          <w:szCs w:val="21"/>
          <w:lang w:val="en-US" w:eastAsia="zh-CN"/>
        </w:rPr>
        <w:t>6.1.验收标准</w:t>
      </w:r>
    </w:p>
    <w:p>
      <w:pPr>
        <w:spacing w:line="360" w:lineRule="auto"/>
        <w:ind w:firstLine="422" w:firstLineChars="200"/>
        <w:rPr>
          <w:rFonts w:hint="eastAsia" w:ascii="宋体" w:hAnsi="宋体" w:cs="宋体"/>
          <w:b/>
          <w:bCs/>
          <w:color w:val="auto"/>
          <w:sz w:val="21"/>
          <w:szCs w:val="21"/>
          <w:lang w:val="en-US" w:eastAsia="zh-CN"/>
        </w:rPr>
      </w:pPr>
      <w:r>
        <w:rPr>
          <w:rFonts w:hint="eastAsia" w:ascii="宋体" w:hAnsi="宋体" w:cs="宋体"/>
          <w:b/>
          <w:bCs/>
          <w:color w:val="auto"/>
          <w:sz w:val="21"/>
          <w:szCs w:val="21"/>
          <w:lang w:val="en-US" w:eastAsia="zh-CN"/>
        </w:rPr>
        <w:t>6.2 违约与罚则</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lang w:val="en-US" w:eastAsia="zh-CN"/>
        </w:rPr>
        <w:t>6</w:t>
      </w:r>
      <w:r>
        <w:rPr>
          <w:rFonts w:hint="eastAsia" w:ascii="宋体" w:hAnsi="宋体" w:cs="宋体"/>
          <w:color w:val="auto"/>
          <w:sz w:val="21"/>
          <w:szCs w:val="21"/>
          <w:lang w:eastAsia="zh-CN"/>
        </w:rPr>
        <w:t>.2.1 绩效考核要求。</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lang w:eastAsia="zh-CN"/>
        </w:rPr>
        <w:t>在履行本项目的过程中若因乙方违反维护需求未提供合格的维护服务导致甲方考核扣分发生，每发生一次，甲方有权根据问题影响的严重程度按合同总额的</w:t>
      </w:r>
      <w:r>
        <w:rPr>
          <w:rFonts w:hint="eastAsia" w:ascii="宋体" w:hAnsi="宋体" w:cs="宋体"/>
          <w:color w:val="auto"/>
          <w:sz w:val="21"/>
          <w:szCs w:val="21"/>
          <w:lang w:val="en-US" w:eastAsia="zh-CN"/>
        </w:rPr>
        <w:t>0.</w:t>
      </w:r>
      <w:r>
        <w:rPr>
          <w:rFonts w:hint="eastAsia" w:ascii="宋体" w:hAnsi="宋体" w:cs="宋体"/>
          <w:color w:val="auto"/>
          <w:sz w:val="21"/>
          <w:szCs w:val="21"/>
          <w:lang w:eastAsia="zh-CN"/>
        </w:rPr>
        <w:t>1</w:t>
      </w:r>
      <w:r>
        <w:rPr>
          <w:rFonts w:hint="eastAsia" w:ascii="宋体" w:hAnsi="宋体" w:cs="宋体"/>
          <w:color w:val="auto"/>
          <w:sz w:val="21"/>
          <w:szCs w:val="21"/>
          <w:lang w:val="en-US" w:eastAsia="zh-CN"/>
        </w:rPr>
        <w:t>%</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1</w:t>
      </w:r>
      <w:r>
        <w:rPr>
          <w:rFonts w:hint="eastAsia" w:ascii="宋体" w:hAnsi="宋体" w:cs="宋体"/>
          <w:color w:val="auto"/>
          <w:sz w:val="21"/>
          <w:szCs w:val="21"/>
          <w:lang w:eastAsia="zh-CN"/>
        </w:rPr>
        <w:t>%扣除。若全年度整体运维情况良好，分局顺利完成市局各项运维考核任务，全市排名靠前，则将对运维项目负责团队予以一定的激励措施。</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lang w:val="en-US" w:eastAsia="zh-CN"/>
        </w:rPr>
        <w:t>6</w:t>
      </w:r>
      <w:r>
        <w:rPr>
          <w:rFonts w:hint="eastAsia" w:ascii="宋体" w:hAnsi="宋体" w:cs="宋体"/>
          <w:color w:val="auto"/>
          <w:sz w:val="21"/>
          <w:szCs w:val="21"/>
          <w:lang w:eastAsia="zh-CN"/>
        </w:rPr>
        <w:t>.2.</w:t>
      </w:r>
      <w:r>
        <w:rPr>
          <w:rFonts w:hint="eastAsia" w:ascii="宋体" w:hAnsi="宋体" w:cs="宋体"/>
          <w:color w:val="auto"/>
          <w:sz w:val="21"/>
          <w:szCs w:val="21"/>
          <w:lang w:val="en-US" w:eastAsia="zh-CN"/>
        </w:rPr>
        <w:t>2</w:t>
      </w:r>
      <w:r>
        <w:rPr>
          <w:rFonts w:hint="eastAsia" w:ascii="宋体" w:hAnsi="宋体" w:cs="宋体"/>
          <w:color w:val="auto"/>
          <w:sz w:val="21"/>
          <w:szCs w:val="21"/>
          <w:lang w:eastAsia="zh-CN"/>
        </w:rPr>
        <w:t xml:space="preserve"> 服务过失整改与罚则。按照分局整体运维要求，无特殊原因超时的工单（包括接单超时、应急响应/设备维修/故障处理超时、工作记录提交超时等），每个工单（不含重复点位）扣罚500元人民币，每个黑名工单扣罚2000元人民币。</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lang w:eastAsia="zh-CN"/>
        </w:rPr>
        <w:t>根据运维管理规定、运维流程的要求，运维单位在运维工作期间，未按照合同要求完成相应工作（包括考核指标不达标、漏洞未按时修复、基础资料提交不完整、文档提交不及时、安全管理混乱等），招标方将会同运维监理视情节严重程度向运维单位予以警告或罚款，并开具整改通知书。首次收到整改通知书后，中标单位应于两个工作日内提交整改报告并落实整改要求；第二次收到整改通知书后，中标单位除上述要求外，罚款3000元，由运维经费中扣除；三次以上（含三次）收到整改通知书，中标单位每次罚款5000元，同时招标方可正式书面函告中标单位，并有权终止运维合同，取消中标方今后参与分局各项运维工作的资格。</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lang w:val="en-US" w:eastAsia="zh-CN"/>
        </w:rPr>
        <w:t>6</w:t>
      </w:r>
      <w:r>
        <w:rPr>
          <w:rFonts w:hint="eastAsia" w:ascii="宋体" w:hAnsi="宋体" w:cs="宋体"/>
          <w:color w:val="auto"/>
          <w:sz w:val="21"/>
          <w:szCs w:val="21"/>
          <w:lang w:eastAsia="zh-CN"/>
        </w:rPr>
        <w:t>.2.</w:t>
      </w:r>
      <w:r>
        <w:rPr>
          <w:rFonts w:hint="eastAsia" w:ascii="宋体" w:hAnsi="宋体" w:cs="宋体"/>
          <w:color w:val="auto"/>
          <w:sz w:val="21"/>
          <w:szCs w:val="21"/>
          <w:lang w:val="en-US" w:eastAsia="zh-CN"/>
        </w:rPr>
        <w:t>3</w:t>
      </w:r>
      <w:r>
        <w:rPr>
          <w:rFonts w:hint="eastAsia" w:ascii="宋体" w:hAnsi="宋体" w:cs="宋体"/>
          <w:color w:val="auto"/>
          <w:sz w:val="21"/>
          <w:szCs w:val="21"/>
          <w:lang w:eastAsia="zh-CN"/>
        </w:rPr>
        <w:t xml:space="preserve"> 人员过失整改与罚则。运维单位技术人员故意违反安全管理规定，或多次过失违反安全管理规定的，应当责令其工作单位将其带回，依照有关规定进行处罚，情节严重的应根据国家有关法律、法规，追究相应的法律责任，并另行安排技术人员顶替其工作；运维单位违反安全管理规定的，业主方有权依照有关规定进行处罚，情节严重的应立即终止合同，并根据国家有关法律、法规追究相应责任，取消今后项目合作建设的资格。</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lang w:val="en-US" w:eastAsia="zh-CN"/>
        </w:rPr>
        <w:t>6</w:t>
      </w:r>
      <w:r>
        <w:rPr>
          <w:rFonts w:hint="eastAsia" w:ascii="宋体" w:hAnsi="宋体" w:cs="宋体"/>
          <w:color w:val="auto"/>
          <w:sz w:val="21"/>
          <w:szCs w:val="21"/>
          <w:lang w:eastAsia="zh-CN"/>
        </w:rPr>
        <w:t>.2.</w:t>
      </w:r>
      <w:r>
        <w:rPr>
          <w:rFonts w:hint="eastAsia" w:ascii="宋体" w:hAnsi="宋体" w:cs="宋体"/>
          <w:color w:val="auto"/>
          <w:sz w:val="21"/>
          <w:szCs w:val="21"/>
          <w:lang w:val="en-US" w:eastAsia="zh-CN"/>
        </w:rPr>
        <w:t>4</w:t>
      </w:r>
      <w:r>
        <w:rPr>
          <w:rFonts w:hint="eastAsia" w:ascii="宋体" w:hAnsi="宋体" w:cs="宋体"/>
          <w:color w:val="auto"/>
          <w:sz w:val="21"/>
          <w:szCs w:val="21"/>
          <w:lang w:eastAsia="zh-CN"/>
        </w:rPr>
        <w:t xml:space="preserve"> 事故与财产损失罚则。在履行本项目的过程中若因乙方违反操作规范而导致事故发生，则乙方及时予以整改，并承担整改所需的费用。如果发生事故与财产损失，则甲乙双方友好协商解决或委托第三方具有事故认定资质的单位进行事故原因鉴定，乙方按认可的鉴定情况承担责任，乙方所承担的赔偿数额将按协商或鉴定结论中乙方应承担责任比例来计算，赔偿数额等于（责任比例*整改费用全额），因为甲方等单位的客观条件限制和在项目中的行为引起的责任，乙方免责。</w:t>
      </w:r>
    </w:p>
    <w:p>
      <w:pPr>
        <w:spacing w:line="360" w:lineRule="auto"/>
        <w:ind w:firstLine="420" w:firstLineChars="200"/>
        <w:rPr>
          <w:rFonts w:hint="eastAsia" w:ascii="宋体" w:hAnsi="宋体" w:cs="宋体"/>
          <w:color w:val="auto"/>
          <w:sz w:val="21"/>
          <w:szCs w:val="21"/>
          <w:lang w:eastAsia="zh-CN"/>
        </w:rPr>
      </w:pPr>
    </w:p>
    <w:p>
      <w:pPr>
        <w:spacing w:line="360" w:lineRule="auto"/>
        <w:rPr>
          <w:rFonts w:hint="eastAsia" w:ascii="宋体" w:hAnsi="宋体" w:cs="宋体"/>
          <w:b/>
          <w:bCs/>
          <w:color w:val="auto"/>
          <w:sz w:val="21"/>
          <w:szCs w:val="24"/>
          <w:lang w:val="en-US" w:eastAsia="zh-CN"/>
        </w:rPr>
      </w:pPr>
      <w:r>
        <w:rPr>
          <w:rFonts w:hint="eastAsia" w:ascii="宋体" w:hAnsi="宋体" w:cs="宋体"/>
          <w:b/>
          <w:bCs/>
          <w:color w:val="auto"/>
          <w:sz w:val="21"/>
          <w:szCs w:val="24"/>
          <w:lang w:val="en-US" w:eastAsia="zh-CN"/>
        </w:rPr>
        <w:t>七、付款方式</w:t>
      </w:r>
    </w:p>
    <w:p>
      <w:pPr>
        <w:spacing w:line="360" w:lineRule="auto"/>
        <w:ind w:firstLine="422" w:firstLineChars="200"/>
        <w:rPr>
          <w:rFonts w:hint="eastAsia" w:ascii="宋体" w:hAnsi="宋体" w:cs="宋体"/>
          <w:b/>
          <w:bCs/>
          <w:color w:val="auto"/>
          <w:sz w:val="21"/>
          <w:szCs w:val="21"/>
        </w:rPr>
      </w:pPr>
      <w:r>
        <w:rPr>
          <w:rFonts w:hint="eastAsia" w:ascii="宋体" w:hAnsi="宋体" w:cs="宋体"/>
          <w:b/>
          <w:bCs/>
          <w:color w:val="auto"/>
          <w:sz w:val="21"/>
          <w:szCs w:val="21"/>
          <w:lang w:val="en-US" w:eastAsia="zh-CN"/>
        </w:rPr>
        <w:t>7.1.</w:t>
      </w:r>
      <w:r>
        <w:rPr>
          <w:rFonts w:hint="eastAsia" w:ascii="宋体" w:hAnsi="宋体" w:cs="宋体"/>
          <w:b/>
          <w:bCs/>
          <w:color w:val="auto"/>
          <w:sz w:val="21"/>
          <w:szCs w:val="21"/>
        </w:rPr>
        <w:t>合同支付方式如下：</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1</w:t>
      </w:r>
      <w:r>
        <w:rPr>
          <w:rFonts w:hint="eastAsia" w:ascii="宋体" w:hAnsi="宋体" w:cs="宋体"/>
          <w:color w:val="auto"/>
          <w:sz w:val="21"/>
          <w:szCs w:val="21"/>
          <w:lang w:eastAsia="zh-CN"/>
        </w:rPr>
        <w:t>）</w:t>
      </w:r>
      <w:r>
        <w:rPr>
          <w:rFonts w:hint="eastAsia" w:ascii="宋体" w:hAnsi="宋体" w:cs="宋体"/>
          <w:color w:val="auto"/>
          <w:sz w:val="21"/>
          <w:szCs w:val="21"/>
        </w:rPr>
        <w:t>合同签订后收到发票，甲方向乙方支付18万元；</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2</w:t>
      </w:r>
      <w:r>
        <w:rPr>
          <w:rFonts w:hint="eastAsia" w:ascii="宋体" w:hAnsi="宋体" w:cs="宋体"/>
          <w:color w:val="auto"/>
          <w:sz w:val="21"/>
          <w:szCs w:val="21"/>
          <w:lang w:eastAsia="zh-CN"/>
        </w:rPr>
        <w:t>）</w:t>
      </w:r>
      <w:r>
        <w:rPr>
          <w:rFonts w:hint="eastAsia" w:ascii="宋体" w:hAnsi="宋体" w:cs="宋体"/>
          <w:color w:val="auto"/>
          <w:sz w:val="21"/>
          <w:szCs w:val="21"/>
        </w:rPr>
        <w:t>运维周期过半后双方进行项目阶段性简易总结，甲方向乙方支付中标总金额的50% ；</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3</w:t>
      </w:r>
      <w:r>
        <w:rPr>
          <w:rFonts w:hint="eastAsia" w:ascii="宋体" w:hAnsi="宋体" w:cs="宋体"/>
          <w:color w:val="auto"/>
          <w:sz w:val="21"/>
          <w:szCs w:val="21"/>
          <w:lang w:eastAsia="zh-CN"/>
        </w:rPr>
        <w:t>）</w:t>
      </w:r>
      <w:r>
        <w:rPr>
          <w:rFonts w:hint="eastAsia" w:ascii="宋体" w:hAnsi="宋体" w:cs="宋体"/>
          <w:color w:val="auto"/>
          <w:sz w:val="21"/>
          <w:szCs w:val="21"/>
        </w:rPr>
        <w:t xml:space="preserve">项目履行结束后进行年度结算审计，甲方按审定价支付余款。 </w:t>
      </w:r>
    </w:p>
    <w:p>
      <w:pPr>
        <w:spacing w:line="360" w:lineRule="auto"/>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lang w:val="en-US" w:eastAsia="zh-CN"/>
        </w:rPr>
        <w:t>7.2.</w:t>
      </w:r>
      <w:r>
        <w:rPr>
          <w:rFonts w:hint="eastAsia" w:ascii="宋体" w:hAnsi="宋体" w:cs="宋体"/>
          <w:b/>
          <w:bCs/>
          <w:color w:val="auto"/>
          <w:sz w:val="21"/>
          <w:szCs w:val="21"/>
          <w:highlight w:val="none"/>
        </w:rPr>
        <w:t>超前运维期的费用结算办法。</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超前运维期时间的计算办法约定。因为客观上运维工作需要连续性，所以采购方在上一年度运维合同到期出保后、在本项目合同生效之日前的时间段里仍需邀请2024年度运维合同的供应商提供延期服务保障，由此产生了“超前运维期”，本项目的超前运维期时间=（本项目合同生效之日-2025年6月30日）,按日历天计算。  </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超前运维期费用包括超前运维期内发生的所有费用，由本项目的成交供应商支付给2024年度运维合同的供应商。</w:t>
      </w:r>
    </w:p>
    <w:p>
      <w:pPr>
        <w:spacing w:line="360" w:lineRule="auto"/>
        <w:ind w:firstLine="420" w:firstLineChars="200"/>
        <w:rPr>
          <w:rFonts w:hint="eastAsia" w:ascii="宋体" w:hAnsi="宋体" w:cs="宋体"/>
          <w:color w:val="auto"/>
          <w:sz w:val="21"/>
          <w:szCs w:val="21"/>
        </w:rPr>
      </w:pPr>
    </w:p>
    <w:p>
      <w:pPr>
        <w:spacing w:line="360" w:lineRule="auto"/>
        <w:rPr>
          <w:rFonts w:hint="eastAsia" w:ascii="宋体" w:hAnsi="宋体" w:cs="宋体"/>
          <w:b/>
          <w:bCs/>
          <w:color w:val="auto"/>
          <w:sz w:val="21"/>
          <w:szCs w:val="24"/>
          <w:lang w:val="en-US" w:eastAsia="zh-CN"/>
        </w:rPr>
      </w:pPr>
      <w:r>
        <w:rPr>
          <w:rFonts w:hint="eastAsia" w:ascii="宋体" w:hAnsi="宋体" w:cs="宋体"/>
          <w:b/>
          <w:bCs/>
          <w:color w:val="auto"/>
          <w:sz w:val="21"/>
          <w:szCs w:val="24"/>
          <w:lang w:val="en-US" w:eastAsia="zh-CN"/>
        </w:rPr>
        <w:t>八、项目报价及结算要求</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（1）项目总预算。本项目总预算资金为180万元人民币，项目投标报价不能超过总预算。</w:t>
      </w:r>
    </w:p>
    <w:p>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（2）项目报价及费用结算要求</w:t>
      </w:r>
      <w:r>
        <w:rPr>
          <w:rFonts w:hint="eastAsia" w:ascii="宋体" w:hAnsi="宋体" w:cs="宋体"/>
          <w:color w:val="auto"/>
          <w:sz w:val="21"/>
          <w:szCs w:val="21"/>
          <w:highlight w:val="none"/>
          <w:lang w:eastAsia="zh-CN"/>
        </w:rPr>
        <w:t>：</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本项目中的费用包括“运维人工费用”、“配件备件、加值班补贴费用”二大类，全部按实际结算，在项目实施结束后进行汇总和审计，项目实际汇总结算费用不能超过项目招标成交价，如果项目实际汇总结算费用低于项目招标成交价，则在结算审计时予以裁减。</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以下对二大类费用分别描述如下：</w:t>
      </w:r>
    </w:p>
    <w:p>
      <w:pPr>
        <w:spacing w:line="360" w:lineRule="auto"/>
        <w:ind w:firstLine="422" w:firstLineChars="200"/>
        <w:rPr>
          <w:rFonts w:hint="eastAsia" w:ascii="宋体" w:hAnsi="宋体" w:cs="宋体"/>
          <w:b/>
          <w:bCs/>
          <w:color w:val="auto"/>
          <w:sz w:val="21"/>
          <w:szCs w:val="21"/>
        </w:rPr>
      </w:pPr>
      <w:r>
        <w:rPr>
          <w:rFonts w:hint="eastAsia" w:ascii="宋体" w:hAnsi="宋体" w:cs="宋体"/>
          <w:b/>
          <w:bCs/>
          <w:color w:val="auto"/>
          <w:sz w:val="21"/>
          <w:szCs w:val="21"/>
        </w:rPr>
        <w:t xml:space="preserve">A、“运维人工费用”的报价及结算办法说明 </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rPr>
        <w:t>投标供应商在项目投标报价时，“运维人工费用”类的报价金额要满足“派遣至少4个熟练计</w:t>
      </w:r>
      <w:r>
        <w:rPr>
          <w:rFonts w:hint="eastAsia" w:ascii="宋体" w:hAnsi="宋体" w:cs="宋体"/>
          <w:color w:val="auto"/>
          <w:sz w:val="21"/>
          <w:szCs w:val="21"/>
          <w:highlight w:val="none"/>
        </w:rPr>
        <w:t>算机通用设备及配套设备运维技术人员常驻本项目采购单位及几十个外驻机构提供随时随地运维服务以及具备年处理运维工单能力量至少达5000单”这个条件所需要的费用额度。</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但投标供应商在项目实际实施过程中，运维人工费是按维护工单按实际结算的，运维人工费用汇总=所有运维工单中“人工费用”之和，其中运维工单有两种：甲方运维软件上的电子工单以及科技工作流程管理系统申报表，每一种维护工单的审核流程均由甲方制定。        </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每张运维工单上“运维人工费用”的价格=上门费+技术服务维护费，费用金额如下(单位：元)：</w:t>
      </w:r>
    </w:p>
    <w:tbl>
      <w:tblPr>
        <w:tblStyle w:val="20"/>
        <w:tblW w:w="843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710"/>
        <w:gridCol w:w="1260"/>
        <w:gridCol w:w="4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765"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序号</w:t>
            </w:r>
          </w:p>
        </w:tc>
        <w:tc>
          <w:tcPr>
            <w:tcW w:w="1710"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费用组成</w:t>
            </w:r>
          </w:p>
        </w:tc>
        <w:tc>
          <w:tcPr>
            <w:tcW w:w="1260"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最高单价</w:t>
            </w:r>
          </w:p>
        </w:tc>
        <w:tc>
          <w:tcPr>
            <w:tcW w:w="4695"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服务内容选项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765" w:type="dxa"/>
            <w:vMerge w:val="restart"/>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710" w:type="dxa"/>
            <w:vMerge w:val="restart"/>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上门费</w:t>
            </w:r>
            <w:r>
              <w:rPr>
                <w:rFonts w:hint="eastAsia" w:ascii="宋体" w:hAnsi="宋体" w:eastAsia="宋体" w:cs="宋体"/>
                <w:color w:val="auto"/>
                <w:sz w:val="21"/>
                <w:szCs w:val="21"/>
                <w:lang w:val="en-US" w:eastAsia="zh-CN"/>
              </w:rPr>
              <w:t>单价</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(二选一)</w:t>
            </w:r>
          </w:p>
        </w:tc>
        <w:tc>
          <w:tcPr>
            <w:tcW w:w="1260"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4695"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本采购单位本部之内（一号楼、二号楼、三号楼、四号楼）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765"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c>
          <w:tcPr>
            <w:tcW w:w="1710"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p>
        </w:tc>
        <w:tc>
          <w:tcPr>
            <w:tcW w:w="1260"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120</w:t>
            </w:r>
          </w:p>
        </w:tc>
        <w:tc>
          <w:tcPr>
            <w:tcW w:w="4695"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本采购单位本部之外（本采购单位区域内所有外驻单位）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765" w:type="dxa"/>
            <w:vMerge w:val="restart"/>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1710" w:type="dxa"/>
            <w:vMerge w:val="restart"/>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技术服务费单价</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(二选一)</w:t>
            </w:r>
          </w:p>
        </w:tc>
        <w:tc>
          <w:tcPr>
            <w:tcW w:w="1260"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4695"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简易维护服务（三种选项）：</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（1）普通设备安装及调试</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（2）常用软件安装及调试</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（3）其他普通服务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63" w:hRule="atLeast"/>
        </w:trPr>
        <w:tc>
          <w:tcPr>
            <w:tcW w:w="765"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p>
        </w:tc>
        <w:tc>
          <w:tcPr>
            <w:tcW w:w="1710"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p>
        </w:tc>
        <w:tc>
          <w:tcPr>
            <w:tcW w:w="1260"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300</w:t>
            </w:r>
          </w:p>
        </w:tc>
        <w:tc>
          <w:tcPr>
            <w:tcW w:w="4695"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复杂维护服务（六种选项）：</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（1）硬盘批量消磁（次）</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（2）数据恢复或备份</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（3）系统重装并配置</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（4）网络打印机安装调试</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（5）设备硬软件故障分析及维护</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（6）其他维护服务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765" w:type="dxa"/>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0"/>
                <w:sz w:val="21"/>
                <w:szCs w:val="21"/>
              </w:rPr>
            </w:pPr>
          </w:p>
        </w:tc>
        <w:tc>
          <w:tcPr>
            <w:tcW w:w="7665" w:type="dxa"/>
            <w:gridSpan w:val="3"/>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说明：</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（1）上表中的上门费、技术服务费为最高单价； </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（2）上门费为平均价，与该工单实施地与本采购单位本部之间的远近程度无关；</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（3）技术服务费单价为平均价，与该工单维护所耗时间长短程度、技术复杂性无关；</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rPr>
              <w:t>（4）成交供应商自行负责运维人员</w:t>
            </w:r>
            <w:r>
              <w:rPr>
                <w:rFonts w:hint="eastAsia" w:ascii="宋体" w:hAnsi="宋体" w:eastAsia="宋体" w:cs="宋体"/>
                <w:color w:val="auto"/>
                <w:sz w:val="21"/>
                <w:szCs w:val="21"/>
              </w:rPr>
              <w:t>交通工具、停车费、交通意外保险，甲方不再另行支付此类费用。</w:t>
            </w:r>
          </w:p>
        </w:tc>
      </w:tr>
    </w:tbl>
    <w:p>
      <w:pPr>
        <w:adjustRightInd w:val="0"/>
        <w:snapToGrid w:val="0"/>
        <w:spacing w:line="360" w:lineRule="auto"/>
        <w:rPr>
          <w:rFonts w:ascii="宋体" w:hAnsi="宋体" w:eastAsia="宋体"/>
          <w:color w:val="auto"/>
          <w:sz w:val="24"/>
        </w:rPr>
      </w:pPr>
    </w:p>
    <w:p>
      <w:pPr>
        <w:spacing w:line="360" w:lineRule="auto"/>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B、“配件备件及加值班补贴费用”的报价及结算办法说明</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投标供应商在项目投标报价时，“配件备件及加值班补贴费用”类的报价金额至少为62万元人民币。</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highlight w:val="none"/>
        </w:rPr>
        <w:t>但投标供应商在项目实际实施过程中，“配件备件及加值班补贴费用”为按实际结算。客观上,</w:t>
      </w:r>
      <w:r>
        <w:rPr>
          <w:rFonts w:hint="eastAsia" w:ascii="宋体" w:hAnsi="宋体" w:cs="宋体"/>
          <w:color w:val="auto"/>
          <w:sz w:val="21"/>
          <w:szCs w:val="21"/>
        </w:rPr>
        <w:t>在维保实施过程中存在不可预见的因素，即本项目立项和招标时无法预测在未来一年维保过程中会有哪些设备和部件将会出现故障而需要维修。在本项目实施的过程中，该类费用的每一笔的使用都要办理审核流程手续，大概步骤如下：</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第1步，采购单位内部根据工作需要走科技工作流程管理系统申报审批流程，按需逐项进行；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第2步，采购单位将科技日常业务工作项目申报表提交中标供应商运维人员进行采购，按需逐项进行；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第3步，中标供应商每月整理进场设备及加值班清单等监理材料，提交施工监理按监理流程办事；</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第4步，中标供应商每月整理运维月报，月报总结当月的维护费用统计结果。</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说明：（1）以上流程中的价格已经包括供应商在实施该项维护相关事项时所发生的连带服务费用（含送货上门、配合监理验收、资金提前投入占用相关利息等），甲方不另行支付费用；现场安装调试等额外服务视具体事项在审核单中约定。（2）加值班补贴费用单价计算方式为：每人每天工作时间外加班一次不超过4小时按200元加班补贴计算；每人每天工作时间外加班一次超过4小时按400元加班补贴计算；国家法定节假日加班以普通加班补贴三倍计算。</w:t>
      </w:r>
    </w:p>
    <w:p>
      <w:pPr>
        <w:spacing w:line="360" w:lineRule="auto"/>
        <w:ind w:firstLine="422" w:firstLineChars="200"/>
        <w:rPr>
          <w:rFonts w:hint="eastAsia" w:ascii="宋体" w:hAnsi="宋体" w:cs="宋体"/>
          <w:b/>
          <w:bCs/>
          <w:color w:val="auto"/>
          <w:sz w:val="21"/>
          <w:szCs w:val="21"/>
        </w:rPr>
      </w:pPr>
      <w:r>
        <w:rPr>
          <w:rFonts w:hint="eastAsia" w:ascii="宋体" w:hAnsi="宋体" w:cs="宋体"/>
          <w:b/>
          <w:bCs/>
          <w:color w:val="auto"/>
          <w:sz w:val="21"/>
          <w:szCs w:val="21"/>
        </w:rPr>
        <w:t>C、项目费用汇总要求。</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rPr>
        <w:t>中标供应商负责在运维月报中对“运维人工费用”、“配件备件、加值班补贴费用”进行总结，</w:t>
      </w:r>
      <w:r>
        <w:rPr>
          <w:rFonts w:hint="eastAsia" w:ascii="宋体" w:hAnsi="宋体" w:cs="宋体"/>
          <w:color w:val="auto"/>
          <w:sz w:val="21"/>
          <w:szCs w:val="21"/>
          <w:highlight w:val="none"/>
        </w:rPr>
        <w:t>提交甲方和监理审阅。待本项目全部履行结束后，中标供应商整理整个项目验收材料提交项目验收。</w:t>
      </w:r>
    </w:p>
    <w:p>
      <w:pPr>
        <w:spacing w:line="360" w:lineRule="auto"/>
        <w:ind w:firstLine="420" w:firstLineChars="200"/>
        <w:rPr>
          <w:rFonts w:hint="eastAsia" w:ascii="宋体" w:hAnsi="宋体" w:cs="宋体"/>
          <w:color w:val="auto"/>
          <w:sz w:val="21"/>
          <w:szCs w:val="21"/>
          <w:highlight w:val="none"/>
        </w:rPr>
      </w:pPr>
    </w:p>
    <w:p>
      <w:pPr>
        <w:spacing w:line="360" w:lineRule="auto"/>
        <w:rPr>
          <w:rFonts w:hint="eastAsia" w:ascii="宋体" w:hAnsi="宋体" w:cs="宋体"/>
          <w:b/>
          <w:bCs/>
          <w:color w:val="auto"/>
          <w:sz w:val="21"/>
          <w:szCs w:val="24"/>
          <w:highlight w:val="none"/>
          <w:lang w:val="en-US" w:eastAsia="zh-CN"/>
        </w:rPr>
      </w:pPr>
      <w:r>
        <w:rPr>
          <w:rFonts w:hint="eastAsia" w:ascii="宋体" w:hAnsi="宋体" w:cs="宋体"/>
          <w:b/>
          <w:bCs/>
          <w:color w:val="auto"/>
          <w:sz w:val="21"/>
          <w:szCs w:val="24"/>
          <w:highlight w:val="none"/>
          <w:lang w:val="en-US" w:eastAsia="zh-CN"/>
        </w:rPr>
        <w:t>九、验收方式</w:t>
      </w:r>
    </w:p>
    <w:p>
      <w:pPr>
        <w:spacing w:line="360" w:lineRule="auto"/>
        <w:ind w:firstLine="420" w:firstLineChars="200"/>
        <w:rPr>
          <w:rFonts w:hint="default"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中标方</w:t>
      </w:r>
      <w:r>
        <w:rPr>
          <w:rFonts w:hint="eastAsia" w:ascii="宋体" w:hAnsi="宋体" w:eastAsia="宋体" w:cs="宋体"/>
          <w:color w:val="auto"/>
          <w:sz w:val="21"/>
          <w:szCs w:val="21"/>
          <w:highlight w:val="none"/>
        </w:rPr>
        <w:t>应在</w:t>
      </w:r>
      <w:r>
        <w:rPr>
          <w:rFonts w:hint="eastAsia" w:ascii="宋体" w:hAnsi="宋体" w:cs="宋体"/>
          <w:color w:val="auto"/>
          <w:sz w:val="21"/>
          <w:szCs w:val="21"/>
          <w:highlight w:val="none"/>
        </w:rPr>
        <w:t>运维周期结束后，按照甲方提交验收材料</w:t>
      </w:r>
      <w:r>
        <w:rPr>
          <w:rFonts w:hint="eastAsia" w:ascii="宋体" w:hAnsi="宋体" w:eastAsia="宋体" w:cs="宋体"/>
          <w:color w:val="auto"/>
          <w:sz w:val="21"/>
          <w:szCs w:val="21"/>
          <w:highlight w:val="none"/>
        </w:rPr>
        <w:t>，并由业主部门进行运维服务验收。</w:t>
      </w:r>
    </w:p>
    <w:p>
      <w:pPr>
        <w:spacing w:line="360" w:lineRule="auto"/>
        <w:ind w:firstLine="420" w:firstLineChars="200"/>
        <w:rPr>
          <w:rFonts w:hint="eastAsia" w:ascii="宋体" w:hAnsi="宋体" w:eastAsia="宋体" w:cs="宋体"/>
          <w:color w:val="auto"/>
          <w:sz w:val="21"/>
          <w:szCs w:val="21"/>
        </w:rPr>
      </w:pPr>
    </w:p>
    <w:p>
      <w:pPr>
        <w:spacing w:line="360" w:lineRule="auto"/>
        <w:rPr>
          <w:rFonts w:ascii="宋体" w:hAnsi="宋体" w:cs="宋体"/>
          <w:b/>
          <w:bCs/>
          <w:color w:val="auto"/>
          <w:sz w:val="24"/>
          <w:szCs w:val="24"/>
        </w:rPr>
      </w:pPr>
      <w:r>
        <w:rPr>
          <w:rFonts w:hint="eastAsia" w:ascii="宋体" w:hAnsi="宋体" w:cs="宋体"/>
          <w:b/>
          <w:bCs/>
          <w:color w:val="auto"/>
          <w:sz w:val="24"/>
          <w:szCs w:val="24"/>
          <w:lang w:val="en-US" w:eastAsia="zh-CN"/>
        </w:rPr>
        <w:t>十</w:t>
      </w:r>
      <w:r>
        <w:rPr>
          <w:rFonts w:hint="eastAsia" w:ascii="宋体" w:hAnsi="宋体" w:cs="宋体"/>
          <w:b/>
          <w:bCs/>
          <w:color w:val="auto"/>
          <w:sz w:val="24"/>
          <w:szCs w:val="24"/>
        </w:rPr>
        <w:t>、供应商基本要求（详见本项目招标公告）</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本项目供应商资格要求完整如下：</w:t>
      </w:r>
    </w:p>
    <w:p>
      <w:pPr>
        <w:spacing w:line="360" w:lineRule="auto"/>
        <w:ind w:firstLine="420" w:firstLineChars="200"/>
        <w:rPr>
          <w:rFonts w:ascii="宋体" w:hAnsi="宋体" w:cs="宋体"/>
          <w:color w:val="auto"/>
          <w:sz w:val="21"/>
          <w:szCs w:val="21"/>
        </w:rPr>
      </w:pPr>
      <w:r>
        <w:rPr>
          <w:rFonts w:ascii="宋体" w:hAnsi="宋体" w:cs="宋体"/>
          <w:color w:val="auto"/>
          <w:sz w:val="21"/>
          <w:szCs w:val="21"/>
        </w:rPr>
        <w:t>1</w:t>
      </w:r>
      <w:r>
        <w:rPr>
          <w:rFonts w:hint="eastAsia" w:ascii="宋体" w:hAnsi="宋体" w:cs="宋体"/>
          <w:color w:val="auto"/>
          <w:sz w:val="21"/>
          <w:szCs w:val="21"/>
        </w:rPr>
        <w:t>、供应商应当符合《中华人民共和国政府采购法》第</w:t>
      </w:r>
      <w:r>
        <w:rPr>
          <w:rFonts w:ascii="宋体" w:hAnsi="宋体" w:cs="宋体"/>
          <w:color w:val="auto"/>
          <w:sz w:val="21"/>
          <w:szCs w:val="21"/>
        </w:rPr>
        <w:t>22</w:t>
      </w:r>
      <w:r>
        <w:rPr>
          <w:rFonts w:hint="eastAsia" w:ascii="宋体" w:hAnsi="宋体" w:cs="宋体"/>
          <w:color w:val="auto"/>
          <w:sz w:val="21"/>
          <w:szCs w:val="21"/>
        </w:rPr>
        <w:t>条所规定的条件；</w:t>
      </w:r>
    </w:p>
    <w:p>
      <w:pPr>
        <w:spacing w:line="360" w:lineRule="auto"/>
        <w:ind w:firstLine="420" w:firstLineChars="200"/>
        <w:rPr>
          <w:rFonts w:ascii="宋体" w:hAnsi="宋体" w:eastAsia="宋体" w:cs="宋体"/>
          <w:color w:val="auto"/>
          <w:sz w:val="21"/>
          <w:szCs w:val="21"/>
        </w:rPr>
      </w:pPr>
      <w:r>
        <w:rPr>
          <w:rFonts w:ascii="宋体" w:hAnsi="宋体" w:eastAsia="宋体" w:cs="宋体"/>
          <w:color w:val="auto"/>
          <w:sz w:val="21"/>
          <w:szCs w:val="21"/>
        </w:rPr>
        <w:t>2</w:t>
      </w:r>
      <w:r>
        <w:rPr>
          <w:rFonts w:hint="eastAsia" w:ascii="宋体" w:hAnsi="宋体" w:eastAsia="宋体" w:cs="宋体"/>
          <w:color w:val="auto"/>
          <w:sz w:val="21"/>
          <w:szCs w:val="21"/>
        </w:rPr>
        <w:t>、供应商及其投标的产品和服务符合国家法律法规及强制性规范所规定的条件；</w:t>
      </w:r>
    </w:p>
    <w:p>
      <w:pPr>
        <w:spacing w:line="360" w:lineRule="auto"/>
        <w:ind w:firstLine="420" w:firstLineChars="200"/>
        <w:rPr>
          <w:rFonts w:hint="eastAsia" w:ascii="宋体" w:hAnsi="宋体" w:eastAsia="宋体" w:cs="宋体"/>
          <w:color w:val="auto"/>
          <w:sz w:val="21"/>
          <w:szCs w:val="21"/>
        </w:rPr>
      </w:pPr>
      <w:r>
        <w:rPr>
          <w:rFonts w:ascii="宋体" w:hAnsi="宋体" w:eastAsia="宋体" w:cs="宋体"/>
          <w:color w:val="auto"/>
          <w:sz w:val="21"/>
          <w:szCs w:val="21"/>
        </w:rPr>
        <w:t>3</w:t>
      </w:r>
      <w:r>
        <w:rPr>
          <w:rFonts w:hint="eastAsia" w:ascii="宋体" w:hAnsi="宋体" w:eastAsia="宋体" w:cs="宋体"/>
          <w:color w:val="auto"/>
          <w:sz w:val="21"/>
          <w:szCs w:val="21"/>
        </w:rPr>
        <w:t>、供应商在本市有完善的服务体系，能够提供良好的技术与服务支持；</w:t>
      </w:r>
    </w:p>
    <w:p>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4、本项目专门面向中小企业；</w:t>
      </w:r>
    </w:p>
    <w:p>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、本项目不接受联合体投标。</w:t>
      </w:r>
    </w:p>
    <w:p>
      <w:pPr>
        <w:bidi w:val="0"/>
        <w:rPr>
          <w:rFonts w:hint="eastAsia" w:ascii="Times New Roman" w:hAnsi="Times New Roman" w:eastAsia="宋体" w:cs="Times New Roman"/>
          <w:color w:val="auto"/>
          <w:lang w:val="en-US" w:eastAsia="zh-CN" w:bidi="ar-SA"/>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jc w:val="center"/>
        <w:rPr>
          <w:rFonts w:hint="eastAsia"/>
          <w:color w:val="auto"/>
          <w:lang w:val="en-US" w:eastAsia="zh-CN"/>
        </w:rPr>
      </w:pPr>
    </w:p>
    <w:bookmarkEnd w:id="11"/>
    <w:sectPr>
      <w:headerReference r:id="rId3" w:type="default"/>
      <w:pgSz w:w="11906" w:h="16838"/>
      <w:pgMar w:top="1440" w:right="155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等线">
    <w:altName w:val="文鼎ＰＬ简中楷"/>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Courier New">
    <w:altName w:val="DejaVu Sans"/>
    <w:panose1 w:val="02070309020205020404"/>
    <w:charset w:val="01"/>
    <w:family w:val="modern"/>
    <w:pitch w:val="default"/>
    <w:sig w:usb0="00000000" w:usb1="00000000" w:usb2="00000009" w:usb3="00000000" w:csb0="400001FF" w:csb1="FFFF0000"/>
  </w:font>
  <w:font w:name="Arial">
    <w:altName w:val="DejaVu Sans"/>
    <w:panose1 w:val="020B0604020202020204"/>
    <w:charset w:val="01"/>
    <w:family w:val="swiss"/>
    <w:pitch w:val="default"/>
    <w:sig w:usb0="00000000" w:usb1="00000000" w:usb2="00000009" w:usb3="00000000" w:csb0="400001FF" w:csb1="FFFF0000"/>
  </w:font>
  <w:font w:name="黑体">
    <w:panose1 w:val="02010609060101010101"/>
    <w:charset w:val="86"/>
    <w:family w:val="auto"/>
    <w:pitch w:val="default"/>
    <w:sig w:usb0="800002BF" w:usb1="38CF7CFA"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Arial Unicode MS">
    <w:altName w:val="DejaVu Sans"/>
    <w:panose1 w:val="020B0604020202020204"/>
    <w:charset w:val="86"/>
    <w:family w:val="swiss"/>
    <w:pitch w:val="default"/>
    <w:sig w:usb0="00000000" w:usb1="00000000" w:usb2="0000003F" w:usb3="00000000" w:csb0="603F01FF" w:csb1="FFFF0000"/>
  </w:font>
  <w:font w:name="Wingdings">
    <w:altName w:val="MT Extra"/>
    <w:panose1 w:val="05000000000000000000"/>
    <w:charset w:val="02"/>
    <w:family w:val="auto"/>
    <w:pitch w:val="default"/>
    <w:sig w:usb0="00000000" w:usb1="00000000" w:usb2="00000000" w:usb3="00000000" w:csb0="80000000" w:csb1="00000000"/>
  </w:font>
  <w:font w:name="DejaVa Sans">
    <w:altName w:val="PakType Naskh Basic"/>
    <w:panose1 w:val="00000000000000000000"/>
    <w:charset w:val="00"/>
    <w:family w:val="auto"/>
    <w:pitch w:val="default"/>
    <w:sig w:usb0="00000000" w:usb1="00000000" w:usb2="00000000" w:usb3="00000000" w:csb0="00000000" w:csb1="00000000"/>
  </w:font>
  <w:font w:name="PakType Naskh Basic">
    <w:panose1 w:val="00000400000000000000"/>
    <w:charset w:val="00"/>
    <w:family w:val="auto"/>
    <w:pitch w:val="default"/>
    <w:sig w:usb0="80006003" w:usb1="8000000A" w:usb2="00000008" w:usb3="00000000" w:csb0="00000041" w:csb1="20080000"/>
  </w:font>
  <w:font w:name="FreeSerif">
    <w:panose1 w:val="02020603050405020304"/>
    <w:charset w:val="00"/>
    <w:family w:val="auto"/>
    <w:pitch w:val="default"/>
    <w:sig w:usb0="E59FAFFF" w:usb1="C200FDFF" w:usb2="43501B29" w:usb3="04000043" w:csb0="6001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rPr>
        <w:u w:val="single"/>
      </w:rPr>
    </w:pPr>
    <w:r>
      <w:rPr>
        <w:rFonts w:hint="eastAsia" w:ascii="宋体" w:hAnsi="宋体" w:cs="宋体"/>
        <w:sz w:val="21"/>
        <w:szCs w:val="21"/>
        <w:u w:val="single"/>
        <w:lang w:eastAsia="zh-CN"/>
      </w:rPr>
      <w:t>ZC20250054</w:t>
    </w:r>
    <w:r>
      <w:rPr>
        <w:rFonts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 xml:space="preserve">   </w:t>
    </w:r>
    <w:r>
      <w:rPr>
        <w:rFonts w:hint="eastAsia" w:ascii="宋体" w:hAnsi="宋体" w:cs="宋体"/>
        <w:sz w:val="21"/>
        <w:szCs w:val="21"/>
        <w:u w:val="single"/>
        <w:lang w:eastAsia="zh-CN"/>
      </w:rPr>
      <w:t>上海市公安局长宁分局2025年计算机通用设备运维服务项目</w:t>
    </w:r>
    <w:r>
      <w:rPr>
        <w:rFonts w:hint="eastAsia" w:ascii="宋体" w:hAnsi="宋体" w:cs="宋体"/>
        <w:sz w:val="21"/>
        <w:szCs w:val="21"/>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49D369"/>
    <w:multiLevelType w:val="singleLevel"/>
    <w:tmpl w:val="6349D369"/>
    <w:lvl w:ilvl="0" w:tentative="0">
      <w:start w:val="1"/>
      <w:numFmt w:val="bullet"/>
      <w:lvlText w:val=""/>
      <w:lvlJc w:val="left"/>
      <w:pPr>
        <w:ind w:left="420" w:hanging="420"/>
      </w:pPr>
      <w:rPr>
        <w:rFonts w:hint="default" w:ascii="Wingdings" w:hAnsi="Wingdings"/>
      </w:rPr>
    </w:lvl>
  </w:abstractNum>
  <w:abstractNum w:abstractNumId="1">
    <w:nsid w:val="7CC3C27E"/>
    <w:multiLevelType w:val="singleLevel"/>
    <w:tmpl w:val="7CC3C27E"/>
    <w:lvl w:ilvl="0" w:tentative="0">
      <w:start w:val="1"/>
      <w:numFmt w:val="decimal"/>
      <w:pStyle w:val="38"/>
      <w:lvlText w:val="(%1)"/>
      <w:lvlJc w:val="left"/>
      <w:pPr>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0MGQyNGE0MWE5NDBlZGM2Y2IxN2NmMGMxNTJiMTcifQ=="/>
  </w:docVars>
  <w:rsids>
    <w:rsidRoot w:val="00FB57A8"/>
    <w:rsid w:val="0001736B"/>
    <w:rsid w:val="00021FC1"/>
    <w:rsid w:val="00026E71"/>
    <w:rsid w:val="0005402E"/>
    <w:rsid w:val="00062A5C"/>
    <w:rsid w:val="00080901"/>
    <w:rsid w:val="00084E76"/>
    <w:rsid w:val="000879C5"/>
    <w:rsid w:val="000A2C3A"/>
    <w:rsid w:val="000B7895"/>
    <w:rsid w:val="000C4AF0"/>
    <w:rsid w:val="000D16CB"/>
    <w:rsid w:val="0010660B"/>
    <w:rsid w:val="00110EF5"/>
    <w:rsid w:val="00111562"/>
    <w:rsid w:val="00116B6D"/>
    <w:rsid w:val="001218FB"/>
    <w:rsid w:val="001246E6"/>
    <w:rsid w:val="00160ADB"/>
    <w:rsid w:val="00181F44"/>
    <w:rsid w:val="001A1C7C"/>
    <w:rsid w:val="001C3E76"/>
    <w:rsid w:val="001D1741"/>
    <w:rsid w:val="001E7463"/>
    <w:rsid w:val="001F37B9"/>
    <w:rsid w:val="002011EF"/>
    <w:rsid w:val="0021031E"/>
    <w:rsid w:val="002154C8"/>
    <w:rsid w:val="0022591E"/>
    <w:rsid w:val="002269B5"/>
    <w:rsid w:val="002327F0"/>
    <w:rsid w:val="0023643E"/>
    <w:rsid w:val="0025509A"/>
    <w:rsid w:val="00274068"/>
    <w:rsid w:val="00290EAC"/>
    <w:rsid w:val="00294875"/>
    <w:rsid w:val="002B62CE"/>
    <w:rsid w:val="002B6B2D"/>
    <w:rsid w:val="002D3FA5"/>
    <w:rsid w:val="0030554C"/>
    <w:rsid w:val="00312252"/>
    <w:rsid w:val="00341160"/>
    <w:rsid w:val="00345AFB"/>
    <w:rsid w:val="003566FD"/>
    <w:rsid w:val="00361162"/>
    <w:rsid w:val="00366E26"/>
    <w:rsid w:val="00373E26"/>
    <w:rsid w:val="00385461"/>
    <w:rsid w:val="003A1002"/>
    <w:rsid w:val="003A446A"/>
    <w:rsid w:val="003C188D"/>
    <w:rsid w:val="003C354C"/>
    <w:rsid w:val="003D71EF"/>
    <w:rsid w:val="003E56AD"/>
    <w:rsid w:val="004061BB"/>
    <w:rsid w:val="00415CDF"/>
    <w:rsid w:val="00433894"/>
    <w:rsid w:val="004435DB"/>
    <w:rsid w:val="004513BC"/>
    <w:rsid w:val="00457656"/>
    <w:rsid w:val="004647C3"/>
    <w:rsid w:val="0046652B"/>
    <w:rsid w:val="0047655C"/>
    <w:rsid w:val="00481C2A"/>
    <w:rsid w:val="0049057F"/>
    <w:rsid w:val="00490B72"/>
    <w:rsid w:val="00492D57"/>
    <w:rsid w:val="00493D98"/>
    <w:rsid w:val="004947B6"/>
    <w:rsid w:val="00497EE0"/>
    <w:rsid w:val="004A1F27"/>
    <w:rsid w:val="004A7ABE"/>
    <w:rsid w:val="004B1889"/>
    <w:rsid w:val="004B733D"/>
    <w:rsid w:val="004B7AB8"/>
    <w:rsid w:val="004D15A5"/>
    <w:rsid w:val="004D1C16"/>
    <w:rsid w:val="004D319A"/>
    <w:rsid w:val="004D5FEC"/>
    <w:rsid w:val="004D687B"/>
    <w:rsid w:val="004E0A75"/>
    <w:rsid w:val="004E60E9"/>
    <w:rsid w:val="004F1679"/>
    <w:rsid w:val="004F528C"/>
    <w:rsid w:val="005063B0"/>
    <w:rsid w:val="00510217"/>
    <w:rsid w:val="00521DB9"/>
    <w:rsid w:val="005256C9"/>
    <w:rsid w:val="00531008"/>
    <w:rsid w:val="00552B13"/>
    <w:rsid w:val="0056312D"/>
    <w:rsid w:val="00563466"/>
    <w:rsid w:val="005832D9"/>
    <w:rsid w:val="0058797E"/>
    <w:rsid w:val="005A1AD4"/>
    <w:rsid w:val="005B4DF8"/>
    <w:rsid w:val="005B5099"/>
    <w:rsid w:val="005D1417"/>
    <w:rsid w:val="005D188C"/>
    <w:rsid w:val="005F7A88"/>
    <w:rsid w:val="00605384"/>
    <w:rsid w:val="00605A10"/>
    <w:rsid w:val="00622956"/>
    <w:rsid w:val="00641DAC"/>
    <w:rsid w:val="006441CF"/>
    <w:rsid w:val="00644619"/>
    <w:rsid w:val="00645808"/>
    <w:rsid w:val="00650C0F"/>
    <w:rsid w:val="00697575"/>
    <w:rsid w:val="006A7673"/>
    <w:rsid w:val="006C5C34"/>
    <w:rsid w:val="006C7E27"/>
    <w:rsid w:val="006D7944"/>
    <w:rsid w:val="006E0A34"/>
    <w:rsid w:val="006E6F23"/>
    <w:rsid w:val="006F5C1B"/>
    <w:rsid w:val="006F79A0"/>
    <w:rsid w:val="00700459"/>
    <w:rsid w:val="00714441"/>
    <w:rsid w:val="007156ED"/>
    <w:rsid w:val="00723B6B"/>
    <w:rsid w:val="00741997"/>
    <w:rsid w:val="00766829"/>
    <w:rsid w:val="007755DE"/>
    <w:rsid w:val="00781191"/>
    <w:rsid w:val="00785298"/>
    <w:rsid w:val="007B5809"/>
    <w:rsid w:val="007B639B"/>
    <w:rsid w:val="007C0120"/>
    <w:rsid w:val="007C4A5C"/>
    <w:rsid w:val="007E034C"/>
    <w:rsid w:val="007F0A5B"/>
    <w:rsid w:val="00811E3B"/>
    <w:rsid w:val="008123D3"/>
    <w:rsid w:val="00813ECD"/>
    <w:rsid w:val="00835A10"/>
    <w:rsid w:val="00845AEA"/>
    <w:rsid w:val="00852ED6"/>
    <w:rsid w:val="00857215"/>
    <w:rsid w:val="00876243"/>
    <w:rsid w:val="00886836"/>
    <w:rsid w:val="008918DD"/>
    <w:rsid w:val="00896080"/>
    <w:rsid w:val="008A07F4"/>
    <w:rsid w:val="008B6BBE"/>
    <w:rsid w:val="008D0789"/>
    <w:rsid w:val="008D7E21"/>
    <w:rsid w:val="008D7E69"/>
    <w:rsid w:val="0090071B"/>
    <w:rsid w:val="00907474"/>
    <w:rsid w:val="00921048"/>
    <w:rsid w:val="009212F4"/>
    <w:rsid w:val="009330D4"/>
    <w:rsid w:val="0097597C"/>
    <w:rsid w:val="00981F2F"/>
    <w:rsid w:val="00983726"/>
    <w:rsid w:val="009A0D93"/>
    <w:rsid w:val="009A54A3"/>
    <w:rsid w:val="009B0515"/>
    <w:rsid w:val="009B3D82"/>
    <w:rsid w:val="009D70CF"/>
    <w:rsid w:val="009F6317"/>
    <w:rsid w:val="00A21748"/>
    <w:rsid w:val="00A35C70"/>
    <w:rsid w:val="00A661FC"/>
    <w:rsid w:val="00A7298C"/>
    <w:rsid w:val="00A950ED"/>
    <w:rsid w:val="00AA4A2E"/>
    <w:rsid w:val="00AC0E7D"/>
    <w:rsid w:val="00AC3F7C"/>
    <w:rsid w:val="00AD46DC"/>
    <w:rsid w:val="00AE2520"/>
    <w:rsid w:val="00AE29B8"/>
    <w:rsid w:val="00AE474C"/>
    <w:rsid w:val="00AF6153"/>
    <w:rsid w:val="00B01656"/>
    <w:rsid w:val="00B0208E"/>
    <w:rsid w:val="00B04820"/>
    <w:rsid w:val="00B1029C"/>
    <w:rsid w:val="00B150DE"/>
    <w:rsid w:val="00B22833"/>
    <w:rsid w:val="00B265AA"/>
    <w:rsid w:val="00B32A0D"/>
    <w:rsid w:val="00B413F0"/>
    <w:rsid w:val="00B50A07"/>
    <w:rsid w:val="00B658FD"/>
    <w:rsid w:val="00B66476"/>
    <w:rsid w:val="00B812C8"/>
    <w:rsid w:val="00B83F90"/>
    <w:rsid w:val="00BB521D"/>
    <w:rsid w:val="00BC03B4"/>
    <w:rsid w:val="00BC6AE1"/>
    <w:rsid w:val="00BD44A5"/>
    <w:rsid w:val="00BD6C8D"/>
    <w:rsid w:val="00BE1848"/>
    <w:rsid w:val="00BE7EC9"/>
    <w:rsid w:val="00BF14FD"/>
    <w:rsid w:val="00BF3B5E"/>
    <w:rsid w:val="00C05ABD"/>
    <w:rsid w:val="00C201D5"/>
    <w:rsid w:val="00C23C4F"/>
    <w:rsid w:val="00C31CBD"/>
    <w:rsid w:val="00C43FC2"/>
    <w:rsid w:val="00C52F45"/>
    <w:rsid w:val="00C563D0"/>
    <w:rsid w:val="00C6262F"/>
    <w:rsid w:val="00C70AB7"/>
    <w:rsid w:val="00C80540"/>
    <w:rsid w:val="00C81625"/>
    <w:rsid w:val="00C8167B"/>
    <w:rsid w:val="00C92293"/>
    <w:rsid w:val="00C924A3"/>
    <w:rsid w:val="00C94A77"/>
    <w:rsid w:val="00C94E9F"/>
    <w:rsid w:val="00C956A3"/>
    <w:rsid w:val="00CD2D38"/>
    <w:rsid w:val="00CE0DD6"/>
    <w:rsid w:val="00CE1A50"/>
    <w:rsid w:val="00CF53EA"/>
    <w:rsid w:val="00D0256F"/>
    <w:rsid w:val="00D05F95"/>
    <w:rsid w:val="00D140D6"/>
    <w:rsid w:val="00D255F9"/>
    <w:rsid w:val="00D46E73"/>
    <w:rsid w:val="00D70EE1"/>
    <w:rsid w:val="00D80782"/>
    <w:rsid w:val="00D830E3"/>
    <w:rsid w:val="00DA2CA9"/>
    <w:rsid w:val="00DB4203"/>
    <w:rsid w:val="00DC0A42"/>
    <w:rsid w:val="00DE6A8D"/>
    <w:rsid w:val="00DE7D61"/>
    <w:rsid w:val="00DF2D33"/>
    <w:rsid w:val="00E03B48"/>
    <w:rsid w:val="00E07A46"/>
    <w:rsid w:val="00E24CDA"/>
    <w:rsid w:val="00E400A0"/>
    <w:rsid w:val="00E4047C"/>
    <w:rsid w:val="00E44A81"/>
    <w:rsid w:val="00E7509B"/>
    <w:rsid w:val="00E76D17"/>
    <w:rsid w:val="00E813E5"/>
    <w:rsid w:val="00EA115C"/>
    <w:rsid w:val="00EB17E2"/>
    <w:rsid w:val="00EB46D8"/>
    <w:rsid w:val="00EB6EF8"/>
    <w:rsid w:val="00ED2E35"/>
    <w:rsid w:val="00F03B3E"/>
    <w:rsid w:val="00F15525"/>
    <w:rsid w:val="00F16F19"/>
    <w:rsid w:val="00F171DC"/>
    <w:rsid w:val="00F518BD"/>
    <w:rsid w:val="00F56416"/>
    <w:rsid w:val="00F60595"/>
    <w:rsid w:val="00F61C68"/>
    <w:rsid w:val="00FA4F38"/>
    <w:rsid w:val="00FB094F"/>
    <w:rsid w:val="00FB0B88"/>
    <w:rsid w:val="00FB1838"/>
    <w:rsid w:val="00FB57A8"/>
    <w:rsid w:val="00FD06D4"/>
    <w:rsid w:val="00FF4CF5"/>
    <w:rsid w:val="03805DF8"/>
    <w:rsid w:val="0A4659A4"/>
    <w:rsid w:val="10401E91"/>
    <w:rsid w:val="11346DA8"/>
    <w:rsid w:val="16170B6A"/>
    <w:rsid w:val="1EC46F5D"/>
    <w:rsid w:val="20815987"/>
    <w:rsid w:val="21B231AC"/>
    <w:rsid w:val="285C4CC5"/>
    <w:rsid w:val="2A96425F"/>
    <w:rsid w:val="2B6D7ACB"/>
    <w:rsid w:val="30B47413"/>
    <w:rsid w:val="30C355E4"/>
    <w:rsid w:val="3566359A"/>
    <w:rsid w:val="35CF47BC"/>
    <w:rsid w:val="3D586693"/>
    <w:rsid w:val="3EC24374"/>
    <w:rsid w:val="4CFE1E39"/>
    <w:rsid w:val="51976B19"/>
    <w:rsid w:val="595BDCB7"/>
    <w:rsid w:val="6148798E"/>
    <w:rsid w:val="63DC31CF"/>
    <w:rsid w:val="69664AD4"/>
    <w:rsid w:val="6B9769B5"/>
    <w:rsid w:val="6F935A66"/>
    <w:rsid w:val="6FAE4512"/>
    <w:rsid w:val="73342A8E"/>
    <w:rsid w:val="743E350F"/>
    <w:rsid w:val="74B555C8"/>
    <w:rsid w:val="74BFD54C"/>
    <w:rsid w:val="76047E7B"/>
    <w:rsid w:val="7AA66B57"/>
    <w:rsid w:val="7AD0266B"/>
    <w:rsid w:val="7ECE71DB"/>
    <w:rsid w:val="7FEB8379"/>
    <w:rsid w:val="7FFF485E"/>
    <w:rsid w:val="9FF5A0EF"/>
    <w:rsid w:val="BFF64C30"/>
    <w:rsid w:val="EF733852"/>
    <w:rsid w:val="EFF7D260"/>
    <w:rsid w:val="FFBF8E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ocked="1"/>
    <w:lsdException w:qFormat="1" w:unhideWhenUsed="0" w:uiPriority="99" w:semiHidden="0" w:name="heading 3" w:locked="1"/>
    <w:lsdException w:qFormat="1" w:unhideWhenUsed="0" w:uiPriority="99" w:semiHidden="0"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name="HTML Preformatted"/>
    <w:lsdException w:qFormat="1" w:unhideWhenUsed="0" w:uiPriority="0" w:semiHidden="0"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zh-CN" w:bidi="ar-SA"/>
    </w:rPr>
  </w:style>
  <w:style w:type="paragraph" w:styleId="2">
    <w:name w:val="heading 1"/>
    <w:basedOn w:val="1"/>
    <w:next w:val="1"/>
    <w:link w:val="21"/>
    <w:qFormat/>
    <w:uiPriority w:val="99"/>
    <w:pPr>
      <w:keepNext/>
      <w:spacing w:line="440" w:lineRule="exact"/>
      <w:jc w:val="center"/>
      <w:outlineLvl w:val="0"/>
    </w:pPr>
    <w:rPr>
      <w:rFonts w:ascii="宋体" w:hAnsi="宋体" w:cs="宋体"/>
      <w:sz w:val="24"/>
      <w:szCs w:val="24"/>
    </w:rPr>
  </w:style>
  <w:style w:type="paragraph" w:styleId="3">
    <w:name w:val="heading 2"/>
    <w:basedOn w:val="1"/>
    <w:next w:val="1"/>
    <w:link w:val="22"/>
    <w:qFormat/>
    <w:locked/>
    <w:uiPriority w:val="99"/>
    <w:pPr>
      <w:keepNext/>
      <w:keepLines/>
      <w:widowControl w:val="0"/>
      <w:spacing w:before="260" w:after="260" w:line="416" w:lineRule="auto"/>
      <w:jc w:val="both"/>
      <w:outlineLvl w:val="1"/>
    </w:pPr>
    <w:rPr>
      <w:rFonts w:ascii="Cambria" w:hAnsi="Cambria" w:cs="Cambria"/>
      <w:b/>
      <w:bCs/>
      <w:kern w:val="2"/>
      <w:sz w:val="32"/>
      <w:szCs w:val="32"/>
    </w:rPr>
  </w:style>
  <w:style w:type="paragraph" w:styleId="4">
    <w:name w:val="heading 3"/>
    <w:basedOn w:val="1"/>
    <w:next w:val="1"/>
    <w:link w:val="23"/>
    <w:qFormat/>
    <w:locked/>
    <w:uiPriority w:val="99"/>
    <w:pPr>
      <w:keepNext/>
      <w:keepLines/>
      <w:spacing w:before="260" w:after="260" w:line="416" w:lineRule="auto"/>
      <w:outlineLvl w:val="2"/>
    </w:pPr>
    <w:rPr>
      <w:b/>
      <w:bCs/>
      <w:sz w:val="32"/>
      <w:szCs w:val="32"/>
    </w:rPr>
  </w:style>
  <w:style w:type="paragraph" w:styleId="5">
    <w:name w:val="heading 4"/>
    <w:basedOn w:val="1"/>
    <w:next w:val="1"/>
    <w:link w:val="24"/>
    <w:qFormat/>
    <w:locked/>
    <w:uiPriority w:val="99"/>
    <w:pPr>
      <w:keepNext/>
      <w:keepLines/>
      <w:spacing w:before="280" w:after="290" w:line="376" w:lineRule="auto"/>
      <w:outlineLvl w:val="3"/>
    </w:pPr>
    <w:rPr>
      <w:rFonts w:ascii="Cambria" w:hAnsi="Cambria" w:cs="Cambria"/>
      <w:b/>
      <w:bCs/>
      <w:sz w:val="28"/>
      <w:szCs w:val="28"/>
    </w:rPr>
  </w:style>
  <w:style w:type="character" w:default="1" w:styleId="15">
    <w:name w:val="Default Paragraph Font"/>
    <w:semiHidden/>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6">
    <w:name w:val="annotation subject"/>
    <w:basedOn w:val="7"/>
    <w:next w:val="7"/>
    <w:link w:val="26"/>
    <w:semiHidden/>
    <w:qFormat/>
    <w:uiPriority w:val="99"/>
    <w:pPr>
      <w:widowControl w:val="0"/>
      <w:jc w:val="both"/>
    </w:pPr>
    <w:rPr>
      <w:rFonts w:ascii="Calibri" w:hAnsi="Calibri" w:eastAsia="微软雅黑" w:cs="Calibri"/>
      <w:kern w:val="2"/>
      <w:sz w:val="24"/>
      <w:szCs w:val="24"/>
    </w:rPr>
  </w:style>
  <w:style w:type="paragraph" w:styleId="7">
    <w:name w:val="annotation text"/>
    <w:basedOn w:val="1"/>
    <w:link w:val="25"/>
    <w:semiHidden/>
    <w:qFormat/>
    <w:uiPriority w:val="99"/>
  </w:style>
  <w:style w:type="paragraph" w:styleId="8">
    <w:name w:val="Normal Indent"/>
    <w:basedOn w:val="1"/>
    <w:qFormat/>
    <w:uiPriority w:val="99"/>
    <w:pPr>
      <w:widowControl w:val="0"/>
      <w:ind w:firstLine="480"/>
      <w:jc w:val="both"/>
    </w:pPr>
    <w:rPr>
      <w:rFonts w:ascii="等线" w:hAnsi="等线" w:eastAsia="等线" w:cs="等线"/>
      <w:kern w:val="2"/>
      <w:sz w:val="21"/>
      <w:szCs w:val="21"/>
    </w:rPr>
  </w:style>
  <w:style w:type="paragraph" w:styleId="9">
    <w:name w:val="Body Text"/>
    <w:basedOn w:val="1"/>
    <w:next w:val="1"/>
    <w:link w:val="27"/>
    <w:qFormat/>
    <w:uiPriority w:val="99"/>
    <w:pPr>
      <w:widowControl w:val="0"/>
      <w:spacing w:before="120" w:after="120" w:line="264" w:lineRule="auto"/>
      <w:jc w:val="both"/>
    </w:pPr>
    <w:rPr>
      <w:rFonts w:ascii="Calibri" w:hAnsi="Calibri" w:cs="Calibri"/>
      <w:kern w:val="2"/>
      <w:sz w:val="21"/>
      <w:szCs w:val="21"/>
    </w:rPr>
  </w:style>
  <w:style w:type="paragraph" w:styleId="10">
    <w:name w:val="Balloon Text"/>
    <w:basedOn w:val="1"/>
    <w:link w:val="28"/>
    <w:semiHidden/>
    <w:qFormat/>
    <w:uiPriority w:val="99"/>
    <w:rPr>
      <w:sz w:val="18"/>
      <w:szCs w:val="18"/>
    </w:rPr>
  </w:style>
  <w:style w:type="paragraph" w:styleId="11">
    <w:name w:val="footer"/>
    <w:basedOn w:val="1"/>
    <w:link w:val="29"/>
    <w:qFormat/>
    <w:uiPriority w:val="99"/>
    <w:pPr>
      <w:tabs>
        <w:tab w:val="center" w:pos="4153"/>
        <w:tab w:val="right" w:pos="8306"/>
      </w:tabs>
      <w:snapToGrid w:val="0"/>
    </w:pPr>
    <w:rPr>
      <w:sz w:val="18"/>
      <w:szCs w:val="18"/>
    </w:rPr>
  </w:style>
  <w:style w:type="paragraph" w:styleId="12">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3">
    <w:name w:val="HTML Preformatted"/>
    <w:basedOn w:val="1"/>
    <w:link w:val="31"/>
    <w:semiHidden/>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paragraph" w:styleId="14">
    <w:name w:val="Normal (Web)"/>
    <w:basedOn w:val="1"/>
    <w:link w:val="52"/>
    <w:qFormat/>
    <w:locked/>
    <w:uiPriority w:val="99"/>
    <w:pPr>
      <w:spacing w:before="100" w:beforeAutospacing="1" w:after="100" w:afterAutospacing="1"/>
    </w:pPr>
    <w:rPr>
      <w:rFonts w:ascii="宋体" w:hAnsi="宋体"/>
      <w:sz w:val="18"/>
      <w:szCs w:val="18"/>
    </w:rPr>
  </w:style>
  <w:style w:type="character" w:styleId="16">
    <w:name w:val="page number"/>
    <w:basedOn w:val="15"/>
    <w:qFormat/>
    <w:uiPriority w:val="99"/>
  </w:style>
  <w:style w:type="character" w:styleId="17">
    <w:name w:val="annotation reference"/>
    <w:basedOn w:val="15"/>
    <w:semiHidden/>
    <w:qFormat/>
    <w:uiPriority w:val="99"/>
    <w:rPr>
      <w:sz w:val="21"/>
      <w:szCs w:val="21"/>
    </w:rPr>
  </w:style>
  <w:style w:type="character" w:styleId="18">
    <w:name w:val="HTML Sample"/>
    <w:qFormat/>
    <w:locked/>
    <w:uiPriority w:val="0"/>
    <w:rPr>
      <w:rFonts w:ascii="Courier New" w:hAnsi="Courier New"/>
    </w:rPr>
  </w:style>
  <w:style w:type="table" w:styleId="20">
    <w:name w:val="Table Grid"/>
    <w:basedOn w:val="19"/>
    <w:qFormat/>
    <w:locked/>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1">
    <w:name w:val="标题 1 字符"/>
    <w:basedOn w:val="15"/>
    <w:link w:val="2"/>
    <w:qFormat/>
    <w:locked/>
    <w:uiPriority w:val="99"/>
    <w:rPr>
      <w:rFonts w:ascii="宋体" w:hAnsi="宋体" w:eastAsia="宋体" w:cs="宋体"/>
      <w:kern w:val="0"/>
      <w:sz w:val="20"/>
      <w:szCs w:val="20"/>
    </w:rPr>
  </w:style>
  <w:style w:type="character" w:customStyle="1" w:styleId="22">
    <w:name w:val="标题 2 字符"/>
    <w:basedOn w:val="15"/>
    <w:link w:val="3"/>
    <w:qFormat/>
    <w:locked/>
    <w:uiPriority w:val="99"/>
    <w:rPr>
      <w:rFonts w:ascii="Cambria" w:hAnsi="Cambria" w:eastAsia="宋体" w:cs="Cambria"/>
      <w:b/>
      <w:bCs/>
      <w:kern w:val="2"/>
      <w:sz w:val="32"/>
      <w:szCs w:val="32"/>
    </w:rPr>
  </w:style>
  <w:style w:type="character" w:customStyle="1" w:styleId="23">
    <w:name w:val="标题 3 字符"/>
    <w:basedOn w:val="15"/>
    <w:link w:val="4"/>
    <w:qFormat/>
    <w:locked/>
    <w:uiPriority w:val="99"/>
    <w:rPr>
      <w:b/>
      <w:bCs/>
      <w:sz w:val="32"/>
      <w:szCs w:val="32"/>
    </w:rPr>
  </w:style>
  <w:style w:type="character" w:customStyle="1" w:styleId="24">
    <w:name w:val="标题 4 字符"/>
    <w:basedOn w:val="15"/>
    <w:link w:val="5"/>
    <w:semiHidden/>
    <w:qFormat/>
    <w:locked/>
    <w:uiPriority w:val="99"/>
    <w:rPr>
      <w:rFonts w:ascii="Cambria" w:hAnsi="Cambria" w:eastAsia="宋体" w:cs="Cambria"/>
      <w:b/>
      <w:bCs/>
      <w:sz w:val="28"/>
      <w:szCs w:val="28"/>
    </w:rPr>
  </w:style>
  <w:style w:type="character" w:customStyle="1" w:styleId="25">
    <w:name w:val="批注文字 字符"/>
    <w:basedOn w:val="15"/>
    <w:link w:val="7"/>
    <w:semiHidden/>
    <w:qFormat/>
    <w:locked/>
    <w:uiPriority w:val="99"/>
  </w:style>
  <w:style w:type="character" w:customStyle="1" w:styleId="26">
    <w:name w:val="批注主题 字符"/>
    <w:basedOn w:val="25"/>
    <w:link w:val="6"/>
    <w:qFormat/>
    <w:locked/>
    <w:uiPriority w:val="99"/>
    <w:rPr>
      <w:rFonts w:ascii="Calibri" w:hAnsi="Calibri" w:eastAsia="微软雅黑" w:cs="Calibri"/>
      <w:kern w:val="2"/>
      <w:sz w:val="24"/>
      <w:szCs w:val="24"/>
    </w:rPr>
  </w:style>
  <w:style w:type="character" w:customStyle="1" w:styleId="27">
    <w:name w:val="正文文本 字符"/>
    <w:basedOn w:val="15"/>
    <w:link w:val="9"/>
    <w:qFormat/>
    <w:locked/>
    <w:uiPriority w:val="99"/>
    <w:rPr>
      <w:rFonts w:ascii="Calibri" w:hAnsi="Calibri" w:cs="Calibri"/>
      <w:kern w:val="2"/>
      <w:sz w:val="21"/>
      <w:szCs w:val="21"/>
    </w:rPr>
  </w:style>
  <w:style w:type="character" w:customStyle="1" w:styleId="28">
    <w:name w:val="批注框文本 字符"/>
    <w:basedOn w:val="15"/>
    <w:link w:val="10"/>
    <w:semiHidden/>
    <w:qFormat/>
    <w:locked/>
    <w:uiPriority w:val="99"/>
    <w:rPr>
      <w:sz w:val="18"/>
      <w:szCs w:val="18"/>
    </w:rPr>
  </w:style>
  <w:style w:type="character" w:customStyle="1" w:styleId="29">
    <w:name w:val="页脚 字符"/>
    <w:basedOn w:val="15"/>
    <w:link w:val="11"/>
    <w:qFormat/>
    <w:locked/>
    <w:uiPriority w:val="99"/>
    <w:rPr>
      <w:rFonts w:ascii="Times New Roman" w:hAnsi="Times New Roman" w:eastAsia="宋体" w:cs="Times New Roman"/>
      <w:kern w:val="0"/>
      <w:sz w:val="18"/>
      <w:szCs w:val="18"/>
    </w:rPr>
  </w:style>
  <w:style w:type="character" w:customStyle="1" w:styleId="30">
    <w:name w:val="页眉 字符"/>
    <w:basedOn w:val="15"/>
    <w:link w:val="12"/>
    <w:qFormat/>
    <w:locked/>
    <w:uiPriority w:val="99"/>
    <w:rPr>
      <w:rFonts w:ascii="Times New Roman" w:hAnsi="Times New Roman" w:eastAsia="宋体" w:cs="Times New Roman"/>
      <w:kern w:val="0"/>
      <w:sz w:val="18"/>
      <w:szCs w:val="18"/>
    </w:rPr>
  </w:style>
  <w:style w:type="character" w:customStyle="1" w:styleId="31">
    <w:name w:val="HTML 预设格式 字符"/>
    <w:basedOn w:val="15"/>
    <w:link w:val="13"/>
    <w:semiHidden/>
    <w:qFormat/>
    <w:locked/>
    <w:uiPriority w:val="99"/>
    <w:rPr>
      <w:rFonts w:ascii="Courier New" w:hAnsi="Courier New" w:cs="Courier New"/>
      <w:kern w:val="0"/>
      <w:sz w:val="20"/>
      <w:szCs w:val="20"/>
    </w:rPr>
  </w:style>
  <w:style w:type="paragraph" w:customStyle="1" w:styleId="32">
    <w:name w:val="样式 样式 样式 样式 标题 2 + 宋体 五号 非加粗 黑色 + 段前: 6 磅 段后: 0 磅 行距: 单倍行距 + 段前:..."/>
    <w:basedOn w:val="1"/>
    <w:qFormat/>
    <w:uiPriority w:val="99"/>
    <w:pPr>
      <w:keepNext/>
      <w:keepLines/>
      <w:widowControl w:val="0"/>
      <w:adjustRightInd w:val="0"/>
      <w:spacing w:before="240"/>
      <w:ind w:left="480"/>
      <w:outlineLvl w:val="1"/>
    </w:pPr>
    <w:rPr>
      <w:rFonts w:ascii="宋体" w:hAnsi="宋体" w:cs="宋体"/>
      <w:b/>
      <w:bCs/>
      <w:color w:val="000000"/>
      <w:sz w:val="21"/>
      <w:szCs w:val="21"/>
    </w:rPr>
  </w:style>
  <w:style w:type="paragraph" w:customStyle="1" w:styleId="33">
    <w:name w:val="正文文本样式"/>
    <w:basedOn w:val="1"/>
    <w:qFormat/>
    <w:uiPriority w:val="99"/>
    <w:pPr>
      <w:spacing w:line="360" w:lineRule="auto"/>
      <w:ind w:firstLine="200" w:firstLineChars="200"/>
    </w:pPr>
    <w:rPr>
      <w:rFonts w:ascii="Arial" w:hAnsi="Arial" w:cs="Arial"/>
      <w:kern w:val="2"/>
      <w:sz w:val="24"/>
      <w:szCs w:val="24"/>
    </w:rPr>
  </w:style>
  <w:style w:type="paragraph" w:customStyle="1" w:styleId="34">
    <w:name w:val="Normal_0_1"/>
    <w:qFormat/>
    <w:uiPriority w:val="99"/>
    <w:rPr>
      <w:rFonts w:ascii="Times New Roman" w:hAnsi="Times New Roman" w:eastAsia="宋体" w:cs="Times New Roman"/>
      <w:sz w:val="24"/>
      <w:szCs w:val="24"/>
      <w:lang w:val="en-US" w:eastAsia="zh-CN" w:bidi="ar-SA"/>
    </w:rPr>
  </w:style>
  <w:style w:type="paragraph" w:styleId="35">
    <w:name w:val="List Paragraph"/>
    <w:basedOn w:val="1"/>
    <w:link w:val="36"/>
    <w:qFormat/>
    <w:uiPriority w:val="99"/>
    <w:pPr>
      <w:ind w:firstLine="420" w:firstLineChars="200"/>
    </w:pPr>
  </w:style>
  <w:style w:type="character" w:customStyle="1" w:styleId="36">
    <w:name w:val="列出段落 字符"/>
    <w:basedOn w:val="15"/>
    <w:link w:val="35"/>
    <w:qFormat/>
    <w:locked/>
    <w:uiPriority w:val="99"/>
  </w:style>
  <w:style w:type="paragraph" w:customStyle="1" w:styleId="37">
    <w:name w:val="修订1"/>
    <w:hidden/>
    <w:semiHidden/>
    <w:qFormat/>
    <w:uiPriority w:val="99"/>
    <w:rPr>
      <w:rFonts w:ascii="Times New Roman" w:hAnsi="Times New Roman" w:eastAsia="宋体" w:cs="Times New Roman"/>
      <w:lang w:val="en-US" w:eastAsia="zh-CN" w:bidi="ar-SA"/>
    </w:rPr>
  </w:style>
  <w:style w:type="paragraph" w:customStyle="1" w:styleId="38">
    <w:name w:val="3级标题"/>
    <w:basedOn w:val="1"/>
    <w:qFormat/>
    <w:uiPriority w:val="99"/>
    <w:pPr>
      <w:keepLines/>
      <w:widowControl w:val="0"/>
      <w:numPr>
        <w:ilvl w:val="0"/>
        <w:numId w:val="1"/>
      </w:numPr>
      <w:spacing w:before="120" w:after="120" w:line="360" w:lineRule="auto"/>
      <w:outlineLvl w:val="2"/>
    </w:pPr>
    <w:rPr>
      <w:rFonts w:ascii="黑体" w:hAnsi="黑体" w:eastAsia="黑体" w:cs="黑体"/>
      <w:sz w:val="28"/>
      <w:szCs w:val="28"/>
      <w:lang w:val="zh-CN" w:eastAsia="en-US"/>
    </w:rPr>
  </w:style>
  <w:style w:type="paragraph" w:customStyle="1" w:styleId="39">
    <w:name w:val="List Paragraph1"/>
    <w:basedOn w:val="1"/>
    <w:qFormat/>
    <w:uiPriority w:val="99"/>
    <w:pPr>
      <w:widowControl w:val="0"/>
      <w:ind w:firstLine="420" w:firstLineChars="200"/>
      <w:jc w:val="both"/>
    </w:pPr>
    <w:rPr>
      <w:kern w:val="2"/>
      <w:sz w:val="21"/>
      <w:szCs w:val="21"/>
    </w:rPr>
  </w:style>
  <w:style w:type="paragraph" w:customStyle="1" w:styleId="40">
    <w:name w:val="my正文"/>
    <w:basedOn w:val="1"/>
    <w:qFormat/>
    <w:uiPriority w:val="99"/>
    <w:pPr>
      <w:widowControl w:val="0"/>
      <w:spacing w:line="360" w:lineRule="auto"/>
      <w:ind w:firstLine="200" w:firstLineChars="200"/>
      <w:jc w:val="both"/>
    </w:pPr>
    <w:rPr>
      <w:rFonts w:ascii="宋体" w:hAnsi="宋体" w:eastAsia="仿宋" w:cs="宋体"/>
      <w:kern w:val="2"/>
      <w:sz w:val="28"/>
      <w:szCs w:val="28"/>
    </w:rPr>
  </w:style>
  <w:style w:type="paragraph" w:customStyle="1" w:styleId="41">
    <w:name w:val="首行缩进"/>
    <w:basedOn w:val="1"/>
    <w:qFormat/>
    <w:uiPriority w:val="99"/>
    <w:pPr>
      <w:widowControl w:val="0"/>
      <w:spacing w:line="360" w:lineRule="auto"/>
      <w:ind w:firstLine="480" w:firstLineChars="200"/>
    </w:pPr>
    <w:rPr>
      <w:rFonts w:ascii="宋体" w:hAnsi="宋体" w:cs="宋体"/>
      <w:kern w:val="2"/>
      <w:sz w:val="24"/>
      <w:szCs w:val="24"/>
    </w:rPr>
  </w:style>
  <w:style w:type="paragraph" w:customStyle="1" w:styleId="42">
    <w:name w:val="_Style 299"/>
    <w:basedOn w:val="1"/>
    <w:next w:val="35"/>
    <w:qFormat/>
    <w:uiPriority w:val="99"/>
    <w:pPr>
      <w:widowControl w:val="0"/>
      <w:ind w:firstLine="420" w:firstLineChars="200"/>
      <w:jc w:val="both"/>
    </w:pPr>
    <w:rPr>
      <w:rFonts w:ascii="Calibri" w:hAnsi="Calibri" w:cs="Calibri"/>
      <w:kern w:val="2"/>
      <w:sz w:val="21"/>
      <w:szCs w:val="21"/>
    </w:rPr>
  </w:style>
  <w:style w:type="paragraph" w:customStyle="1" w:styleId="43">
    <w:name w:val="_Style 4"/>
    <w:basedOn w:val="1"/>
    <w:next w:val="35"/>
    <w:qFormat/>
    <w:uiPriority w:val="99"/>
    <w:pPr>
      <w:widowControl w:val="0"/>
      <w:ind w:firstLine="420" w:firstLineChars="200"/>
      <w:jc w:val="both"/>
    </w:pPr>
    <w:rPr>
      <w:rFonts w:ascii="Calibri" w:hAnsi="Calibri" w:cs="Calibri"/>
      <w:kern w:val="2"/>
      <w:sz w:val="21"/>
      <w:szCs w:val="21"/>
      <w:lang w:val="zh-CN"/>
    </w:rPr>
  </w:style>
  <w:style w:type="paragraph" w:customStyle="1" w:styleId="4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21"/>
    <w:basedOn w:val="15"/>
    <w:qFormat/>
    <w:uiPriority w:val="99"/>
    <w:rPr>
      <w:rFonts w:ascii="微软雅黑" w:hAnsi="微软雅黑" w:eastAsia="微软雅黑" w:cs="微软雅黑"/>
      <w:color w:val="000000"/>
      <w:sz w:val="20"/>
      <w:szCs w:val="20"/>
      <w:u w:val="none"/>
    </w:rPr>
  </w:style>
  <w:style w:type="character" w:customStyle="1" w:styleId="46">
    <w:name w:val="font01"/>
    <w:basedOn w:val="15"/>
    <w:qFormat/>
    <w:uiPriority w:val="99"/>
    <w:rPr>
      <w:rFonts w:ascii="宋体" w:hAnsi="宋体" w:eastAsia="宋体" w:cs="宋体"/>
      <w:color w:val="000000"/>
      <w:sz w:val="20"/>
      <w:szCs w:val="20"/>
      <w:u w:val="none"/>
    </w:rPr>
  </w:style>
  <w:style w:type="paragraph" w:customStyle="1" w:styleId="47">
    <w:name w:val="正文 A"/>
    <w:qFormat/>
    <w:uiPriority w:val="99"/>
    <w:pPr>
      <w:widowControl w:val="0"/>
      <w:jc w:val="both"/>
    </w:pPr>
    <w:rPr>
      <w:rFonts w:ascii="Times New Roman" w:hAnsi="Times New Roman" w:eastAsia="Arial Unicode MS" w:cs="Times New Roman"/>
      <w:color w:val="000000"/>
      <w:kern w:val="2"/>
      <w:sz w:val="21"/>
      <w:szCs w:val="21"/>
      <w:u w:color="000000"/>
      <w:lang w:val="en-US" w:eastAsia="zh-CN" w:bidi="ar-SA"/>
    </w:rPr>
  </w:style>
  <w:style w:type="character" w:customStyle="1" w:styleId="48">
    <w:name w:val="fontstyle01"/>
    <w:qFormat/>
    <w:uiPriority w:val="99"/>
    <w:rPr>
      <w:rFonts w:ascii="宋体" w:hAnsi="宋体" w:eastAsia="宋体" w:cs="宋体"/>
      <w:color w:val="000000"/>
      <w:sz w:val="22"/>
      <w:szCs w:val="22"/>
    </w:rPr>
  </w:style>
  <w:style w:type="character" w:customStyle="1" w:styleId="49">
    <w:name w:val="font11"/>
    <w:basedOn w:val="15"/>
    <w:qFormat/>
    <w:uiPriority w:val="99"/>
    <w:rPr>
      <w:rFonts w:ascii="宋体" w:hAnsi="宋体" w:eastAsia="宋体" w:cs="宋体"/>
      <w:color w:val="000000"/>
      <w:sz w:val="22"/>
      <w:szCs w:val="22"/>
      <w:u w:val="none"/>
    </w:rPr>
  </w:style>
  <w:style w:type="paragraph" w:customStyle="1" w:styleId="50">
    <w:name w:val="列表段落1"/>
    <w:basedOn w:val="1"/>
    <w:qFormat/>
    <w:uiPriority w:val="99"/>
    <w:pPr>
      <w:widowControl w:val="0"/>
      <w:ind w:firstLine="420" w:firstLineChars="200"/>
      <w:jc w:val="both"/>
    </w:pPr>
    <w:rPr>
      <w:rFonts w:ascii="等线" w:hAnsi="等线" w:eastAsia="等线" w:cs="等线"/>
      <w:kern w:val="2"/>
      <w:sz w:val="21"/>
      <w:szCs w:val="21"/>
    </w:rPr>
  </w:style>
  <w:style w:type="character" w:customStyle="1" w:styleId="51">
    <w:name w:val="msoins"/>
    <w:qFormat/>
    <w:uiPriority w:val="99"/>
    <w:rPr>
      <w:rFonts w:ascii="Arial" w:hAnsi="Arial" w:cs="Arial"/>
      <w:b/>
      <w:bCs/>
      <w:kern w:val="0"/>
      <w:sz w:val="24"/>
      <w:szCs w:val="24"/>
      <w:lang w:eastAsia="en-US"/>
    </w:rPr>
  </w:style>
  <w:style w:type="character" w:customStyle="1" w:styleId="52">
    <w:name w:val="普通(网站) 字符"/>
    <w:link w:val="14"/>
    <w:qFormat/>
    <w:uiPriority w:val="99"/>
    <w:rPr>
      <w:rFonts w:ascii="宋体" w:hAnsi="宋体"/>
      <w:sz w:val="18"/>
      <w:szCs w:val="18"/>
    </w:rPr>
  </w:style>
  <w:style w:type="paragraph" w:customStyle="1" w:styleId="53">
    <w:name w:val="Other|1"/>
    <w:basedOn w:val="1"/>
    <w:qFormat/>
    <w:uiPriority w:val="0"/>
    <w:pPr>
      <w:jc w:val="left"/>
    </w:pPr>
    <w:rPr>
      <w:rFonts w:ascii="宋体" w:hAnsi="宋体" w:cs="宋体"/>
      <w:kern w:val="0"/>
      <w:sz w:val="20"/>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5443</Words>
  <Characters>5664</Characters>
  <Lines>43</Lines>
  <Paragraphs>12</Paragraphs>
  <TotalTime>1</TotalTime>
  <ScaleCrop>false</ScaleCrop>
  <LinksUpToDate>false</LinksUpToDate>
  <CharactersWithSpaces>5700</CharactersWithSpaces>
  <Application>WPS Office_10.1.0.7526_F1E327BC-269C-435d-A152-05C5408002CA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2023-10-21T12:21:00Z</dcterms:created>
  <dcterms:modified xsi:type="dcterms:W3CDTF">2025-05-07T13:53:19Z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2052-10.1.0.7526</vt:lpwstr>
  </property>
  <property fmtid="{D5CDD505-2E9C-101B-9397-08002B2CF9AE}" pid="3" name="ICV">
    <vt:lpwstr>2BBE16B28D9F4894B736192788D18A2B_13</vt:lpwstr>
  </property>
  <property fmtid="{D5CDD505-2E9C-101B-9397-08002B2CF9AE}" pid="4" name="KSOTemplateDocerSaveRecord">
    <vt:lpwstr>eyJoZGlkIjoiMGM3NzE5Y2YxMjRmMDMxNjhlNDE5ZmEwM2E5ZTk0NDgiLCJ1c2VySWQiOiIxMDMyMjc4NzM3In0=</vt:lpwstr>
  </property>
</Properties>
</file>