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28"/>
          <w:szCs w:val="28"/>
          <w:lang w:eastAsia="zh-CN"/>
        </w:rPr>
      </w:pPr>
      <w:r>
        <w:rPr>
          <w:rFonts w:hint="eastAsia" w:ascii="宋体" w:hAnsi="宋体" w:cs="宋体"/>
          <w:b/>
          <w:bCs/>
          <w:sz w:val="28"/>
          <w:szCs w:val="28"/>
          <w:lang w:eastAsia="zh-CN"/>
        </w:rPr>
        <w:t>上海市长宁区交通管理中心交通设施维护服务竞争性磋商项目</w:t>
      </w:r>
    </w:p>
    <w:p>
      <w:pPr>
        <w:spacing w:line="360" w:lineRule="auto"/>
        <w:jc w:val="center"/>
        <w:rPr>
          <w:rFonts w:ascii="宋体" w:hAnsi="宋体" w:cs="宋体"/>
          <w:b/>
          <w:bCs/>
          <w:sz w:val="28"/>
          <w:szCs w:val="28"/>
        </w:rPr>
      </w:pPr>
      <w:r>
        <w:rPr>
          <w:rFonts w:hint="eastAsia" w:ascii="宋体" w:hAnsi="宋体" w:cs="宋体"/>
          <w:b/>
          <w:bCs/>
          <w:sz w:val="28"/>
          <w:szCs w:val="28"/>
        </w:rPr>
        <w:t>采购需求文件</w:t>
      </w:r>
    </w:p>
    <w:p>
      <w:pPr>
        <w:spacing w:line="360" w:lineRule="auto"/>
        <w:jc w:val="center"/>
        <w:rPr>
          <w:rFonts w:ascii="宋体" w:hAnsi="宋体" w:cs="宋体"/>
          <w:b/>
          <w:bCs/>
          <w:sz w:val="28"/>
          <w:szCs w:val="28"/>
        </w:rPr>
      </w:pPr>
    </w:p>
    <w:p>
      <w:pPr>
        <w:spacing w:line="360" w:lineRule="auto"/>
        <w:ind w:firstLine="211" w:firstLineChars="100"/>
        <w:outlineLvl w:val="0"/>
        <w:rPr>
          <w:rFonts w:ascii="宋体" w:hAnsi="宋体" w:cs="宋体"/>
          <w:b/>
          <w:bCs/>
          <w:sz w:val="21"/>
          <w:szCs w:val="21"/>
        </w:rPr>
      </w:pPr>
      <w:r>
        <w:rPr>
          <w:rFonts w:hint="eastAsia" w:ascii="宋体" w:hAnsi="宋体" w:cs="宋体"/>
          <w:b/>
          <w:bCs/>
          <w:sz w:val="21"/>
          <w:szCs w:val="21"/>
        </w:rPr>
        <w:t>一、项目概况</w:t>
      </w:r>
    </w:p>
    <w:p>
      <w:pPr>
        <w:spacing w:line="360" w:lineRule="auto"/>
        <w:ind w:firstLine="420" w:firstLineChars="200"/>
        <w:rPr>
          <w:rFonts w:ascii="宋体" w:hAnsi="宋体"/>
          <w:bCs/>
          <w:sz w:val="21"/>
          <w:szCs w:val="21"/>
        </w:rPr>
      </w:pPr>
      <w:r>
        <w:rPr>
          <w:rFonts w:hint="eastAsia" w:ascii="宋体" w:hAnsi="宋体"/>
          <w:bCs/>
          <w:sz w:val="21"/>
          <w:szCs w:val="21"/>
        </w:rPr>
        <w:t>本次服务主要涉及道路为：外环线以外长宁区辖范围内四类设施交通标志巡视维护保洁、道路标线复划、全区内地铁导向牌巡视维护保洁，全区内临时出租车停车点标线标志牌巡视维护保洁，林带生态绿道标志牌巡视维护保洁等具体工作量详见设施量清单一览。</w:t>
      </w:r>
    </w:p>
    <w:p>
      <w:pPr>
        <w:pStyle w:val="2"/>
        <w:spacing w:before="48"/>
        <w:ind w:firstLine="420" w:firstLineChars="200"/>
        <w:jc w:val="left"/>
        <w:rPr>
          <w:rFonts w:ascii="宋体"/>
          <w:bCs/>
          <w:kern w:val="0"/>
          <w:sz w:val="21"/>
          <w:szCs w:val="21"/>
        </w:rPr>
      </w:pPr>
      <w:r>
        <w:rPr>
          <w:rFonts w:hint="eastAsia" w:ascii="宋体"/>
          <w:bCs/>
          <w:kern w:val="0"/>
          <w:sz w:val="21"/>
          <w:szCs w:val="21"/>
        </w:rPr>
        <w:t>本项目财政预算金额为人民币</w:t>
      </w:r>
      <w:r>
        <w:rPr>
          <w:rFonts w:ascii="宋体"/>
          <w:bCs/>
          <w:kern w:val="0"/>
          <w:sz w:val="21"/>
          <w:szCs w:val="21"/>
        </w:rPr>
        <w:t>148</w:t>
      </w:r>
      <w:r>
        <w:rPr>
          <w:rFonts w:hint="eastAsia" w:ascii="宋体"/>
          <w:bCs/>
          <w:kern w:val="0"/>
          <w:sz w:val="21"/>
          <w:szCs w:val="21"/>
        </w:rPr>
        <w:t>万元，响应最高限价为人民币</w:t>
      </w:r>
      <w:r>
        <w:rPr>
          <w:rFonts w:ascii="宋体"/>
          <w:bCs/>
          <w:kern w:val="0"/>
          <w:sz w:val="21"/>
          <w:szCs w:val="21"/>
        </w:rPr>
        <w:t>143</w:t>
      </w:r>
      <w:r>
        <w:rPr>
          <w:rFonts w:hint="eastAsia" w:ascii="宋体"/>
          <w:bCs/>
          <w:kern w:val="0"/>
          <w:sz w:val="21"/>
          <w:szCs w:val="21"/>
        </w:rPr>
        <w:t>万元，经评审后响应报价超出本项目最高限价金额的，作无效响应处理。</w:t>
      </w:r>
    </w:p>
    <w:p>
      <w:pPr>
        <w:spacing w:line="440" w:lineRule="exact"/>
        <w:outlineLvl w:val="0"/>
        <w:rPr>
          <w:rFonts w:ascii="宋体" w:hAnsi="宋体" w:cs="宋体"/>
          <w:b/>
          <w:bCs/>
          <w:sz w:val="21"/>
          <w:szCs w:val="21"/>
        </w:rPr>
      </w:pPr>
    </w:p>
    <w:p>
      <w:pPr>
        <w:spacing w:line="360" w:lineRule="auto"/>
        <w:outlineLvl w:val="0"/>
        <w:rPr>
          <w:rFonts w:ascii="宋体" w:hAnsi="宋体" w:cs="宋体"/>
          <w:b/>
          <w:bCs/>
          <w:sz w:val="21"/>
          <w:szCs w:val="21"/>
        </w:rPr>
      </w:pPr>
      <w:r>
        <w:rPr>
          <w:rFonts w:hint="eastAsia" w:ascii="宋体" w:hAnsi="宋体" w:cs="宋体"/>
          <w:b/>
          <w:bCs/>
          <w:sz w:val="21"/>
          <w:szCs w:val="21"/>
        </w:rPr>
        <w:t>二、养护维修工作要求</w:t>
      </w:r>
    </w:p>
    <w:p>
      <w:pPr>
        <w:spacing w:line="360" w:lineRule="auto"/>
        <w:ind w:firstLine="420" w:firstLineChars="200"/>
        <w:jc w:val="both"/>
        <w:rPr>
          <w:rStyle w:val="90"/>
          <w:rFonts w:ascii="宋体"/>
          <w:b w:val="0"/>
          <w:sz w:val="21"/>
          <w:szCs w:val="21"/>
          <w:lang w:eastAsia="zh-CN"/>
        </w:rPr>
      </w:pPr>
      <w:r>
        <w:rPr>
          <w:rStyle w:val="90"/>
          <w:rFonts w:ascii="宋体"/>
          <w:b w:val="0"/>
          <w:sz w:val="21"/>
          <w:szCs w:val="21"/>
          <w:lang w:eastAsia="zh-CN"/>
        </w:rPr>
        <w:t>1</w:t>
      </w:r>
      <w:r>
        <w:rPr>
          <w:rStyle w:val="90"/>
          <w:rFonts w:hint="eastAsia" w:ascii="宋体"/>
          <w:b w:val="0"/>
          <w:sz w:val="21"/>
          <w:szCs w:val="21"/>
          <w:lang w:eastAsia="zh-CN"/>
        </w:rPr>
        <w:t>、本项目的保养维护需满足相关的标志、标杆、标线专项规范标准：</w:t>
      </w:r>
    </w:p>
    <w:p>
      <w:pPr>
        <w:spacing w:line="360" w:lineRule="auto"/>
        <w:ind w:firstLine="420" w:firstLineChars="200"/>
        <w:jc w:val="both"/>
        <w:outlineLvl w:val="2"/>
        <w:rPr>
          <w:rStyle w:val="90"/>
          <w:rFonts w:ascii="宋体"/>
          <w:b w:val="0"/>
          <w:sz w:val="21"/>
          <w:szCs w:val="21"/>
          <w:lang w:eastAsia="zh-CN"/>
        </w:rPr>
      </w:pPr>
      <w:r>
        <w:rPr>
          <w:rStyle w:val="90"/>
          <w:rFonts w:hint="eastAsia" w:ascii="宋体"/>
          <w:b w:val="0"/>
          <w:sz w:val="21"/>
          <w:szCs w:val="21"/>
          <w:lang w:eastAsia="zh-CN"/>
        </w:rPr>
        <w:t>1</w:t>
      </w:r>
      <w:r>
        <w:rPr>
          <w:rStyle w:val="90"/>
          <w:rFonts w:ascii="宋体"/>
          <w:b w:val="0"/>
          <w:sz w:val="21"/>
          <w:szCs w:val="21"/>
          <w:lang w:eastAsia="zh-CN"/>
        </w:rPr>
        <w:t>.1.</w:t>
      </w:r>
      <w:r>
        <w:rPr>
          <w:rStyle w:val="90"/>
          <w:rFonts w:hint="eastAsia" w:ascii="宋体"/>
          <w:b w:val="0"/>
          <w:sz w:val="21"/>
          <w:szCs w:val="21"/>
          <w:lang w:eastAsia="zh-CN"/>
        </w:rPr>
        <w:t>《道路交通标志和标线》（</w:t>
      </w:r>
      <w:r>
        <w:rPr>
          <w:rStyle w:val="90"/>
          <w:rFonts w:ascii="宋体"/>
          <w:b w:val="0"/>
          <w:sz w:val="21"/>
          <w:szCs w:val="21"/>
          <w:lang w:eastAsia="zh-CN"/>
        </w:rPr>
        <w:t>GB5768-2009</w:t>
      </w:r>
      <w:r>
        <w:rPr>
          <w:rStyle w:val="90"/>
          <w:rFonts w:hint="eastAsia" w:ascii="宋体"/>
          <w:b w:val="0"/>
          <w:sz w:val="21"/>
          <w:szCs w:val="21"/>
          <w:lang w:eastAsia="zh-CN"/>
        </w:rPr>
        <w:t>）</w:t>
      </w:r>
    </w:p>
    <w:p>
      <w:pPr>
        <w:spacing w:line="360" w:lineRule="auto"/>
        <w:ind w:firstLine="420" w:firstLineChars="200"/>
        <w:jc w:val="both"/>
        <w:outlineLvl w:val="2"/>
        <w:rPr>
          <w:rStyle w:val="90"/>
          <w:rFonts w:ascii="宋体"/>
          <w:b w:val="0"/>
          <w:sz w:val="21"/>
          <w:szCs w:val="21"/>
          <w:lang w:eastAsia="zh-CN"/>
        </w:rPr>
      </w:pPr>
      <w:r>
        <w:rPr>
          <w:rStyle w:val="90"/>
          <w:rFonts w:hint="eastAsia" w:ascii="宋体"/>
          <w:b w:val="0"/>
          <w:sz w:val="21"/>
          <w:szCs w:val="21"/>
          <w:lang w:eastAsia="zh-CN"/>
        </w:rPr>
        <w:t>1</w:t>
      </w:r>
      <w:r>
        <w:rPr>
          <w:rStyle w:val="90"/>
          <w:rFonts w:ascii="宋体"/>
          <w:b w:val="0"/>
          <w:sz w:val="21"/>
          <w:szCs w:val="21"/>
          <w:lang w:eastAsia="zh-CN"/>
        </w:rPr>
        <w:t>.2</w:t>
      </w:r>
      <w:r>
        <w:rPr>
          <w:rStyle w:val="90"/>
          <w:rFonts w:hint="eastAsia" w:ascii="宋体"/>
          <w:b w:val="0"/>
          <w:sz w:val="21"/>
          <w:szCs w:val="21"/>
          <w:lang w:eastAsia="zh-CN"/>
        </w:rPr>
        <w:t>《交通标志反光膜》（</w:t>
      </w:r>
      <w:r>
        <w:rPr>
          <w:rStyle w:val="90"/>
          <w:rFonts w:ascii="宋体"/>
          <w:b w:val="0"/>
          <w:sz w:val="21"/>
          <w:szCs w:val="21"/>
          <w:lang w:eastAsia="zh-CN"/>
        </w:rPr>
        <w:t>GB18833</w:t>
      </w:r>
      <w:r>
        <w:rPr>
          <w:rStyle w:val="90"/>
          <w:rFonts w:hint="eastAsia" w:ascii="宋体"/>
          <w:b w:val="0"/>
          <w:sz w:val="21"/>
          <w:szCs w:val="21"/>
          <w:lang w:eastAsia="zh-CN"/>
        </w:rPr>
        <w:t>－</w:t>
      </w:r>
      <w:r>
        <w:rPr>
          <w:rStyle w:val="90"/>
          <w:rFonts w:ascii="宋体"/>
          <w:b w:val="0"/>
          <w:sz w:val="21"/>
          <w:szCs w:val="21"/>
          <w:lang w:eastAsia="zh-CN"/>
        </w:rPr>
        <w:t>2002</w:t>
      </w:r>
      <w:r>
        <w:rPr>
          <w:rStyle w:val="90"/>
          <w:rFonts w:hint="eastAsia" w:ascii="宋体"/>
          <w:b w:val="0"/>
          <w:sz w:val="21"/>
          <w:szCs w:val="21"/>
          <w:lang w:eastAsia="zh-CN"/>
        </w:rPr>
        <w:t>）</w:t>
      </w:r>
    </w:p>
    <w:p>
      <w:pPr>
        <w:spacing w:line="360" w:lineRule="auto"/>
        <w:ind w:firstLine="420" w:firstLineChars="200"/>
        <w:jc w:val="both"/>
        <w:outlineLvl w:val="2"/>
        <w:rPr>
          <w:rStyle w:val="90"/>
          <w:rFonts w:ascii="宋体"/>
          <w:b w:val="0"/>
          <w:sz w:val="21"/>
          <w:szCs w:val="21"/>
          <w:lang w:eastAsia="zh-CN"/>
        </w:rPr>
      </w:pPr>
      <w:r>
        <w:rPr>
          <w:rStyle w:val="90"/>
          <w:rFonts w:hint="eastAsia" w:ascii="宋体"/>
          <w:b w:val="0"/>
          <w:sz w:val="21"/>
          <w:szCs w:val="21"/>
          <w:lang w:eastAsia="zh-CN"/>
        </w:rPr>
        <w:t>1</w:t>
      </w:r>
      <w:r>
        <w:rPr>
          <w:rStyle w:val="90"/>
          <w:rFonts w:ascii="宋体"/>
          <w:b w:val="0"/>
          <w:sz w:val="21"/>
          <w:szCs w:val="21"/>
          <w:lang w:eastAsia="zh-CN"/>
        </w:rPr>
        <w:t>.3</w:t>
      </w:r>
      <w:r>
        <w:rPr>
          <w:rStyle w:val="90"/>
          <w:rFonts w:hint="eastAsia" w:ascii="宋体"/>
          <w:b w:val="0"/>
          <w:sz w:val="21"/>
          <w:szCs w:val="21"/>
          <w:lang w:eastAsia="zh-CN"/>
        </w:rPr>
        <w:t>《电子电工产品环境试验规程》（</w:t>
      </w:r>
      <w:r>
        <w:rPr>
          <w:rStyle w:val="90"/>
          <w:rFonts w:ascii="宋体"/>
          <w:b w:val="0"/>
          <w:sz w:val="21"/>
          <w:szCs w:val="21"/>
          <w:lang w:eastAsia="zh-CN"/>
        </w:rPr>
        <w:t>GB/T2423</w:t>
      </w:r>
      <w:r>
        <w:rPr>
          <w:rStyle w:val="90"/>
          <w:rFonts w:hint="eastAsia" w:ascii="宋体"/>
          <w:b w:val="0"/>
          <w:sz w:val="21"/>
          <w:szCs w:val="21"/>
          <w:lang w:eastAsia="zh-CN"/>
        </w:rPr>
        <w:t>）</w:t>
      </w:r>
    </w:p>
    <w:p>
      <w:pPr>
        <w:spacing w:line="360" w:lineRule="auto"/>
        <w:ind w:firstLine="420" w:firstLineChars="200"/>
        <w:jc w:val="both"/>
        <w:outlineLvl w:val="2"/>
        <w:rPr>
          <w:rStyle w:val="90"/>
          <w:rFonts w:ascii="宋体"/>
          <w:b w:val="0"/>
          <w:sz w:val="21"/>
          <w:szCs w:val="21"/>
          <w:lang w:eastAsia="zh-CN"/>
        </w:rPr>
      </w:pPr>
      <w:r>
        <w:rPr>
          <w:rStyle w:val="90"/>
          <w:rFonts w:hint="eastAsia" w:ascii="宋体"/>
          <w:b w:val="0"/>
          <w:sz w:val="21"/>
          <w:szCs w:val="21"/>
          <w:lang w:eastAsia="zh-CN"/>
        </w:rPr>
        <w:t>1</w:t>
      </w:r>
      <w:r>
        <w:rPr>
          <w:rStyle w:val="90"/>
          <w:rFonts w:ascii="宋体"/>
          <w:b w:val="0"/>
          <w:sz w:val="21"/>
          <w:szCs w:val="21"/>
          <w:lang w:eastAsia="zh-CN"/>
        </w:rPr>
        <w:t>.4</w:t>
      </w:r>
      <w:r>
        <w:rPr>
          <w:rStyle w:val="90"/>
          <w:rFonts w:hint="eastAsia" w:ascii="宋体"/>
          <w:b w:val="0"/>
          <w:sz w:val="21"/>
          <w:szCs w:val="21"/>
          <w:lang w:eastAsia="zh-CN"/>
        </w:rPr>
        <w:t>《道路交通标线质量要求和检测方法》（</w:t>
      </w:r>
      <w:r>
        <w:rPr>
          <w:rStyle w:val="90"/>
          <w:rFonts w:ascii="宋体"/>
          <w:b w:val="0"/>
          <w:sz w:val="21"/>
          <w:szCs w:val="21"/>
          <w:lang w:eastAsia="zh-CN"/>
        </w:rPr>
        <w:t>GB/T16311-2005</w:t>
      </w:r>
      <w:r>
        <w:rPr>
          <w:rStyle w:val="90"/>
          <w:rFonts w:hint="eastAsia" w:ascii="宋体"/>
          <w:b w:val="0"/>
          <w:sz w:val="21"/>
          <w:szCs w:val="21"/>
          <w:lang w:eastAsia="zh-CN"/>
        </w:rPr>
        <w:t>）</w:t>
      </w:r>
      <w:r>
        <w:rPr>
          <w:rStyle w:val="90"/>
          <w:rFonts w:ascii="宋体"/>
          <w:b w:val="0"/>
          <w:sz w:val="21"/>
          <w:szCs w:val="21"/>
          <w:lang w:eastAsia="zh-CN"/>
        </w:rPr>
        <w:t>.</w:t>
      </w:r>
    </w:p>
    <w:p>
      <w:pPr>
        <w:spacing w:line="360" w:lineRule="auto"/>
        <w:ind w:firstLine="420" w:firstLineChars="200"/>
        <w:jc w:val="both"/>
        <w:outlineLvl w:val="2"/>
        <w:rPr>
          <w:rStyle w:val="90"/>
          <w:rFonts w:ascii="宋体"/>
          <w:b w:val="0"/>
          <w:sz w:val="21"/>
          <w:szCs w:val="21"/>
          <w:lang w:eastAsia="zh-CN"/>
        </w:rPr>
      </w:pPr>
      <w:r>
        <w:rPr>
          <w:rStyle w:val="90"/>
          <w:rFonts w:hint="eastAsia" w:ascii="宋体"/>
          <w:b w:val="0"/>
          <w:sz w:val="21"/>
          <w:szCs w:val="21"/>
          <w:lang w:eastAsia="zh-CN"/>
        </w:rPr>
        <w:t>1</w:t>
      </w:r>
      <w:r>
        <w:rPr>
          <w:rStyle w:val="90"/>
          <w:rFonts w:ascii="宋体"/>
          <w:b w:val="0"/>
          <w:sz w:val="21"/>
          <w:szCs w:val="21"/>
          <w:lang w:eastAsia="zh-CN"/>
        </w:rPr>
        <w:t>.5</w:t>
      </w:r>
      <w:r>
        <w:rPr>
          <w:rStyle w:val="90"/>
          <w:rFonts w:hint="eastAsia" w:ascii="宋体"/>
          <w:b w:val="0"/>
          <w:sz w:val="21"/>
          <w:szCs w:val="21"/>
          <w:lang w:eastAsia="zh-CN"/>
        </w:rPr>
        <w:t>《上海市道路交通管理设施施工及验收规程》（</w:t>
      </w:r>
      <w:r>
        <w:rPr>
          <w:rStyle w:val="90"/>
          <w:rFonts w:ascii="宋体"/>
          <w:b w:val="0"/>
          <w:sz w:val="21"/>
          <w:szCs w:val="21"/>
          <w:lang w:eastAsia="zh-CN"/>
        </w:rPr>
        <w:t>DBJ08-232-98</w:t>
      </w:r>
      <w:r>
        <w:rPr>
          <w:rStyle w:val="90"/>
          <w:rFonts w:hint="eastAsia" w:ascii="宋体"/>
          <w:b w:val="0"/>
          <w:sz w:val="21"/>
          <w:szCs w:val="21"/>
          <w:lang w:eastAsia="zh-CN"/>
        </w:rPr>
        <w:t>）</w:t>
      </w:r>
    </w:p>
    <w:p>
      <w:pPr>
        <w:spacing w:line="360" w:lineRule="auto"/>
        <w:ind w:firstLine="420" w:firstLineChars="200"/>
        <w:jc w:val="both"/>
        <w:outlineLvl w:val="2"/>
        <w:rPr>
          <w:rStyle w:val="90"/>
          <w:rFonts w:ascii="宋体"/>
          <w:b w:val="0"/>
          <w:sz w:val="21"/>
          <w:szCs w:val="21"/>
          <w:lang w:eastAsia="zh-CN"/>
        </w:rPr>
      </w:pPr>
      <w:r>
        <w:rPr>
          <w:rStyle w:val="90"/>
          <w:rFonts w:hint="eastAsia" w:ascii="宋体"/>
          <w:b w:val="0"/>
          <w:sz w:val="21"/>
          <w:szCs w:val="21"/>
          <w:lang w:eastAsia="zh-CN"/>
        </w:rPr>
        <w:t>1</w:t>
      </w:r>
      <w:r>
        <w:rPr>
          <w:rStyle w:val="90"/>
          <w:rFonts w:ascii="宋体"/>
          <w:b w:val="0"/>
          <w:sz w:val="21"/>
          <w:szCs w:val="21"/>
          <w:lang w:eastAsia="zh-CN"/>
        </w:rPr>
        <w:t>.6</w:t>
      </w:r>
      <w:r>
        <w:rPr>
          <w:rStyle w:val="90"/>
          <w:rFonts w:hint="eastAsia" w:ascii="宋体"/>
          <w:b w:val="0"/>
          <w:sz w:val="21"/>
          <w:szCs w:val="21"/>
          <w:lang w:eastAsia="zh-CN"/>
        </w:rPr>
        <w:t>《道路交通管理设施设置技术规程》（</w:t>
      </w:r>
      <w:r>
        <w:rPr>
          <w:rStyle w:val="90"/>
          <w:rFonts w:ascii="宋体"/>
          <w:b w:val="0"/>
          <w:sz w:val="21"/>
          <w:szCs w:val="21"/>
          <w:lang w:eastAsia="zh-CN"/>
        </w:rPr>
        <w:t>DBJ08-39-94</w:t>
      </w:r>
      <w:r>
        <w:rPr>
          <w:rStyle w:val="90"/>
          <w:rFonts w:hint="eastAsia" w:ascii="宋体"/>
          <w:b w:val="0"/>
          <w:sz w:val="21"/>
          <w:szCs w:val="21"/>
          <w:lang w:eastAsia="zh-CN"/>
        </w:rPr>
        <w:t>）</w:t>
      </w:r>
    </w:p>
    <w:p>
      <w:pPr>
        <w:spacing w:line="360" w:lineRule="auto"/>
        <w:ind w:firstLine="420" w:firstLineChars="200"/>
        <w:jc w:val="both"/>
        <w:outlineLvl w:val="2"/>
        <w:rPr>
          <w:rStyle w:val="90"/>
          <w:rFonts w:ascii="宋体"/>
          <w:b w:val="0"/>
          <w:sz w:val="21"/>
          <w:szCs w:val="21"/>
          <w:lang w:eastAsia="zh-CN"/>
        </w:rPr>
      </w:pPr>
      <w:r>
        <w:rPr>
          <w:rStyle w:val="90"/>
          <w:rFonts w:hint="eastAsia" w:ascii="宋体"/>
          <w:b w:val="0"/>
          <w:sz w:val="21"/>
          <w:szCs w:val="21"/>
          <w:lang w:eastAsia="zh-CN"/>
        </w:rPr>
        <w:t>1</w:t>
      </w:r>
      <w:r>
        <w:rPr>
          <w:rStyle w:val="90"/>
          <w:rFonts w:ascii="宋体"/>
          <w:b w:val="0"/>
          <w:sz w:val="21"/>
          <w:szCs w:val="21"/>
          <w:lang w:eastAsia="zh-CN"/>
        </w:rPr>
        <w:t>.7</w:t>
      </w:r>
      <w:r>
        <w:rPr>
          <w:rStyle w:val="90"/>
          <w:rFonts w:hint="eastAsia" w:ascii="宋体"/>
          <w:b w:val="0"/>
          <w:sz w:val="21"/>
          <w:szCs w:val="21"/>
          <w:lang w:eastAsia="zh-CN"/>
        </w:rPr>
        <w:t>《交通标志标志板》（</w:t>
      </w:r>
      <w:r>
        <w:rPr>
          <w:rStyle w:val="90"/>
          <w:rFonts w:ascii="宋体"/>
          <w:b w:val="0"/>
          <w:sz w:val="21"/>
          <w:szCs w:val="21"/>
          <w:lang w:eastAsia="zh-CN"/>
        </w:rPr>
        <w:t>JT/T279</w:t>
      </w:r>
      <w:r>
        <w:rPr>
          <w:rStyle w:val="90"/>
          <w:rFonts w:hint="eastAsia" w:ascii="宋体"/>
          <w:b w:val="0"/>
          <w:sz w:val="21"/>
          <w:szCs w:val="21"/>
          <w:lang w:eastAsia="zh-CN"/>
        </w:rPr>
        <w:t>－</w:t>
      </w:r>
      <w:r>
        <w:rPr>
          <w:rStyle w:val="90"/>
          <w:rFonts w:ascii="宋体"/>
          <w:b w:val="0"/>
          <w:sz w:val="21"/>
          <w:szCs w:val="21"/>
          <w:lang w:eastAsia="zh-CN"/>
        </w:rPr>
        <w:t>2004</w:t>
      </w:r>
      <w:r>
        <w:rPr>
          <w:rStyle w:val="90"/>
          <w:rFonts w:hint="eastAsia" w:ascii="宋体"/>
          <w:b w:val="0"/>
          <w:sz w:val="21"/>
          <w:szCs w:val="21"/>
          <w:lang w:eastAsia="zh-CN"/>
        </w:rPr>
        <w:t>）</w:t>
      </w:r>
    </w:p>
    <w:p>
      <w:pPr>
        <w:spacing w:line="360" w:lineRule="auto"/>
        <w:ind w:firstLine="420" w:firstLineChars="200"/>
        <w:jc w:val="both"/>
        <w:outlineLvl w:val="2"/>
        <w:rPr>
          <w:rStyle w:val="90"/>
          <w:rFonts w:ascii="宋体"/>
          <w:b w:val="0"/>
          <w:sz w:val="21"/>
          <w:szCs w:val="21"/>
          <w:lang w:eastAsia="zh-CN"/>
        </w:rPr>
      </w:pPr>
      <w:r>
        <w:rPr>
          <w:rStyle w:val="90"/>
          <w:rFonts w:hint="eastAsia" w:ascii="宋体"/>
          <w:b w:val="0"/>
          <w:sz w:val="21"/>
          <w:szCs w:val="21"/>
          <w:lang w:eastAsia="zh-CN"/>
        </w:rPr>
        <w:t>1</w:t>
      </w:r>
      <w:r>
        <w:rPr>
          <w:rStyle w:val="90"/>
          <w:rFonts w:ascii="宋体"/>
          <w:b w:val="0"/>
          <w:sz w:val="21"/>
          <w:szCs w:val="21"/>
          <w:lang w:eastAsia="zh-CN"/>
        </w:rPr>
        <w:t>.8</w:t>
      </w:r>
      <w:r>
        <w:rPr>
          <w:rStyle w:val="90"/>
          <w:rFonts w:hint="eastAsia" w:ascii="宋体"/>
          <w:b w:val="0"/>
          <w:sz w:val="21"/>
          <w:szCs w:val="21"/>
          <w:lang w:eastAsia="zh-CN"/>
        </w:rPr>
        <w:t>《路面标线涂料》（</w:t>
      </w:r>
      <w:r>
        <w:rPr>
          <w:rStyle w:val="90"/>
          <w:rFonts w:ascii="宋体"/>
          <w:b w:val="0"/>
          <w:sz w:val="21"/>
          <w:szCs w:val="21"/>
          <w:lang w:eastAsia="zh-CN"/>
        </w:rPr>
        <w:t>JT/T280</w:t>
      </w:r>
      <w:r>
        <w:rPr>
          <w:rStyle w:val="90"/>
          <w:rFonts w:hint="eastAsia" w:ascii="宋体"/>
          <w:b w:val="0"/>
          <w:sz w:val="21"/>
          <w:szCs w:val="21"/>
          <w:lang w:eastAsia="zh-CN"/>
        </w:rPr>
        <w:t>－</w:t>
      </w:r>
      <w:r>
        <w:rPr>
          <w:rStyle w:val="90"/>
          <w:rFonts w:ascii="宋体"/>
          <w:b w:val="0"/>
          <w:sz w:val="21"/>
          <w:szCs w:val="21"/>
          <w:lang w:eastAsia="zh-CN"/>
        </w:rPr>
        <w:t>2004</w:t>
      </w:r>
      <w:r>
        <w:rPr>
          <w:rStyle w:val="90"/>
          <w:rFonts w:hint="eastAsia" w:ascii="宋体"/>
          <w:b w:val="0"/>
          <w:sz w:val="21"/>
          <w:szCs w:val="21"/>
          <w:lang w:eastAsia="zh-CN"/>
        </w:rPr>
        <w:t>）</w:t>
      </w:r>
      <w:r>
        <w:rPr>
          <w:rStyle w:val="90"/>
          <w:rFonts w:ascii="宋体"/>
          <w:b w:val="0"/>
          <w:sz w:val="21"/>
          <w:szCs w:val="21"/>
          <w:lang w:eastAsia="zh-CN"/>
        </w:rPr>
        <w:t xml:space="preserve"> </w:t>
      </w:r>
    </w:p>
    <w:p>
      <w:pPr>
        <w:spacing w:line="360" w:lineRule="auto"/>
        <w:ind w:firstLine="420" w:firstLineChars="200"/>
        <w:jc w:val="both"/>
        <w:rPr>
          <w:rStyle w:val="90"/>
          <w:rFonts w:ascii="宋体"/>
          <w:b w:val="0"/>
          <w:sz w:val="21"/>
          <w:szCs w:val="21"/>
          <w:lang w:eastAsia="zh-CN"/>
        </w:rPr>
      </w:pPr>
      <w:r>
        <w:rPr>
          <w:rStyle w:val="90"/>
          <w:rFonts w:hint="eastAsia" w:ascii="宋体"/>
          <w:b w:val="0"/>
          <w:sz w:val="21"/>
          <w:szCs w:val="21"/>
          <w:lang w:eastAsia="zh-CN"/>
        </w:rPr>
        <w:t>1</w:t>
      </w:r>
      <w:r>
        <w:rPr>
          <w:rStyle w:val="90"/>
          <w:rFonts w:ascii="宋体"/>
          <w:b w:val="0"/>
          <w:sz w:val="21"/>
          <w:szCs w:val="21"/>
          <w:lang w:eastAsia="zh-CN"/>
        </w:rPr>
        <w:t>.</w:t>
      </w:r>
      <w:r>
        <w:rPr>
          <w:rStyle w:val="90"/>
          <w:rFonts w:hint="eastAsia" w:ascii="宋体"/>
          <w:b w:val="0"/>
          <w:sz w:val="21"/>
          <w:szCs w:val="21"/>
          <w:lang w:eastAsia="zh-CN"/>
        </w:rPr>
        <w:t>9其他“国家、行业、地方标准与规范”中涉及的技术要求</w:t>
      </w:r>
    </w:p>
    <w:p>
      <w:pPr>
        <w:spacing w:line="360" w:lineRule="auto"/>
        <w:ind w:firstLine="420" w:firstLineChars="200"/>
        <w:jc w:val="both"/>
        <w:rPr>
          <w:rStyle w:val="90"/>
          <w:rFonts w:ascii="宋体"/>
          <w:b w:val="0"/>
          <w:sz w:val="21"/>
          <w:szCs w:val="21"/>
          <w:lang w:eastAsia="zh-CN"/>
        </w:rPr>
      </w:pPr>
      <w:r>
        <w:rPr>
          <w:rStyle w:val="90"/>
          <w:rFonts w:hint="eastAsia" w:ascii="宋体"/>
          <w:b w:val="0"/>
          <w:sz w:val="21"/>
          <w:szCs w:val="21"/>
          <w:lang w:eastAsia="zh-CN"/>
        </w:rPr>
        <w:t>1</w:t>
      </w:r>
      <w:r>
        <w:rPr>
          <w:rStyle w:val="90"/>
          <w:rFonts w:ascii="宋体"/>
          <w:b w:val="0"/>
          <w:sz w:val="21"/>
          <w:szCs w:val="21"/>
          <w:lang w:eastAsia="zh-CN"/>
        </w:rPr>
        <w:t>.1</w:t>
      </w:r>
      <w:r>
        <w:rPr>
          <w:rStyle w:val="90"/>
          <w:rFonts w:hint="eastAsia" w:ascii="宋体"/>
          <w:b w:val="0"/>
          <w:sz w:val="21"/>
          <w:szCs w:val="21"/>
          <w:lang w:eastAsia="zh-CN"/>
        </w:rPr>
        <w:t>0以上规范、标准供投标人参考，并不局限于此，但国家及地方相关的强制性条文必须无条件执行。</w:t>
      </w:r>
    </w:p>
    <w:p>
      <w:pPr>
        <w:spacing w:line="360" w:lineRule="auto"/>
        <w:ind w:firstLine="420" w:firstLineChars="200"/>
        <w:jc w:val="both"/>
        <w:rPr>
          <w:rFonts w:ascii="宋体"/>
          <w:bCs/>
          <w:iCs/>
          <w:sz w:val="21"/>
          <w:szCs w:val="21"/>
        </w:rPr>
      </w:pPr>
      <w:r>
        <w:rPr>
          <w:sz w:val="21"/>
          <w:szCs w:val="21"/>
        </w:rPr>
        <w:drawing>
          <wp:anchor distT="0" distB="0" distL="114300" distR="114300" simplePos="0" relativeHeight="251660288" behindDoc="0" locked="0" layoutInCell="1" allowOverlap="1">
            <wp:simplePos x="0" y="0"/>
            <wp:positionH relativeFrom="column">
              <wp:posOffset>2491740</wp:posOffset>
            </wp:positionH>
            <wp:positionV relativeFrom="paragraph">
              <wp:posOffset>228600</wp:posOffset>
            </wp:positionV>
            <wp:extent cx="170815" cy="635"/>
            <wp:effectExtent l="0" t="0" r="0" b="0"/>
            <wp:wrapNone/>
            <wp:docPr id="10" name="图片 10"/>
            <wp:cNvGraphicFramePr>
              <a:graphicFrameLocks xmlns:a="http://schemas.openxmlformats.org/drawingml/2006/main" noGrp="true" noChangeAspect="true"/>
            </wp:cNvGraphicFramePr>
            <a:graphic xmlns:a="http://schemas.openxmlformats.org/drawingml/2006/main">
              <a:graphicData uri="http://schemas.openxmlformats.org/drawingml/2006/picture">
                <pic:pic xmlns:pic="http://schemas.openxmlformats.org/drawingml/2006/picture">
                  <pic:nvPicPr>
                    <pic:cNvPr id="10" name="图片 10"/>
                    <pic:cNvPicPr>
                      <a:picLocks noGrp="true" noChangeAspect="true" noChangeArrowheads="true"/>
                    </pic:cNvPicPr>
                  </pic:nvPicPr>
                  <pic:blipFill>
                    <a:blip r:embed="rId6">
                      <a:extLst>
                        <a:ext uri="{28A0092B-C50C-407E-A947-70E740481C1C}">
                          <a14:useLocalDpi xmlns:a14="http://schemas.microsoft.com/office/drawing/2010/main" val="false"/>
                        </a:ext>
                      </a:extLst>
                    </a:blip>
                    <a:srcRect/>
                    <a:stretch>
                      <a:fillRect/>
                    </a:stretch>
                  </pic:blipFill>
                  <pic:spPr>
                    <a:xfrm>
                      <a:off x="0" y="0"/>
                      <a:ext cx="170815" cy="635"/>
                    </a:xfrm>
                    <a:prstGeom prst="rect">
                      <a:avLst/>
                    </a:prstGeom>
                    <a:noFill/>
                    <a:ln>
                      <a:noFill/>
                    </a:ln>
                  </pic:spPr>
                </pic:pic>
              </a:graphicData>
            </a:graphic>
          </wp:anchor>
        </w:drawing>
      </w:r>
      <w:r>
        <w:rPr>
          <w:sz w:val="21"/>
          <w:szCs w:val="21"/>
        </w:rPr>
        <w:drawing>
          <wp:anchor distT="0" distB="0" distL="114300" distR="114300" simplePos="0" relativeHeight="251659264" behindDoc="0" locked="0" layoutInCell="1" allowOverlap="1">
            <wp:simplePos x="0" y="0"/>
            <wp:positionH relativeFrom="column">
              <wp:posOffset>1762125</wp:posOffset>
            </wp:positionH>
            <wp:positionV relativeFrom="paragraph">
              <wp:posOffset>169545</wp:posOffset>
            </wp:positionV>
            <wp:extent cx="179705" cy="7620"/>
            <wp:effectExtent l="0" t="0" r="0" b="0"/>
            <wp:wrapNone/>
            <wp:docPr id="9" name="图片 9"/>
            <wp:cNvGraphicFramePr>
              <a:graphicFrameLocks xmlns:a="http://schemas.openxmlformats.org/drawingml/2006/main" noGrp="true" noChangeAspect="true"/>
            </wp:cNvGraphicFramePr>
            <a:graphic xmlns:a="http://schemas.openxmlformats.org/drawingml/2006/main">
              <a:graphicData uri="http://schemas.openxmlformats.org/drawingml/2006/picture">
                <pic:pic xmlns:pic="http://schemas.openxmlformats.org/drawingml/2006/picture">
                  <pic:nvPicPr>
                    <pic:cNvPr id="9" name="图片 9"/>
                    <pic:cNvPicPr>
                      <a:picLocks noGrp="true" noChangeAspect="true" noChangeArrowheads="true"/>
                    </pic:cNvPicPr>
                  </pic:nvPicPr>
                  <pic:blipFill>
                    <a:blip r:embed="rId7">
                      <a:extLst>
                        <a:ext uri="{28A0092B-C50C-407E-A947-70E740481C1C}">
                          <a14:useLocalDpi xmlns:a14="http://schemas.microsoft.com/office/drawing/2010/main" val="false"/>
                        </a:ext>
                      </a:extLst>
                    </a:blip>
                    <a:srcRect/>
                    <a:stretch>
                      <a:fillRect/>
                    </a:stretch>
                  </pic:blipFill>
                  <pic:spPr>
                    <a:xfrm>
                      <a:off x="0" y="0"/>
                      <a:ext cx="179705" cy="7620"/>
                    </a:xfrm>
                    <a:prstGeom prst="rect">
                      <a:avLst/>
                    </a:prstGeom>
                    <a:noFill/>
                    <a:ln>
                      <a:noFill/>
                    </a:ln>
                  </pic:spPr>
                </pic:pic>
              </a:graphicData>
            </a:graphic>
          </wp:anchor>
        </w:drawing>
      </w:r>
      <w:r>
        <w:rPr>
          <w:rFonts w:hint="eastAsia"/>
          <w:sz w:val="21"/>
          <w:szCs w:val="21"/>
        </w:rPr>
        <w:t>2</w:t>
      </w:r>
      <w:r>
        <w:rPr>
          <w:rFonts w:hint="eastAsia" w:ascii="宋体"/>
          <w:bCs/>
          <w:iCs/>
          <w:sz w:val="21"/>
          <w:szCs w:val="21"/>
        </w:rPr>
        <w:t>、成交供应商后应根据采购单位提供的资料，建立设施基础台账及养护工作台账，格式应按照采购单位规定的格式。投标人应努力提高管理水平科技含量，配合做好长宁外环外四类交通设施信息系统的基础资料的收集、维护工作。</w:t>
      </w:r>
    </w:p>
    <w:p>
      <w:pPr>
        <w:spacing w:line="360" w:lineRule="auto"/>
        <w:ind w:firstLine="420" w:firstLineChars="200"/>
        <w:jc w:val="both"/>
        <w:rPr>
          <w:rFonts w:ascii="宋体"/>
          <w:bCs/>
          <w:iCs/>
          <w:sz w:val="21"/>
          <w:szCs w:val="21"/>
        </w:rPr>
      </w:pPr>
      <w:r>
        <w:rPr>
          <w:rFonts w:hint="eastAsia" w:ascii="宋体"/>
          <w:bCs/>
          <w:iCs/>
          <w:sz w:val="21"/>
          <w:szCs w:val="21"/>
        </w:rPr>
        <w:t>3、按行业管理要求编制各类养护设施的日常养护年度及月度计划，编制各类突发事件应急处置预案；负责所养护设施技术档案的补充完善；配合区交通管理中心做好各项信息系统的数据更新、系统运行维护等工作；按时报送月度及年度养护计划、产值报表和工作总结。</w:t>
      </w:r>
    </w:p>
    <w:p>
      <w:pPr>
        <w:spacing w:line="360" w:lineRule="auto"/>
        <w:ind w:firstLine="420" w:firstLineChars="200"/>
        <w:jc w:val="both"/>
        <w:rPr>
          <w:rFonts w:ascii="宋体"/>
          <w:bCs/>
          <w:iCs/>
          <w:sz w:val="21"/>
          <w:szCs w:val="21"/>
        </w:rPr>
      </w:pPr>
      <w:r>
        <w:rPr>
          <w:rFonts w:hint="eastAsia" w:ascii="宋体"/>
          <w:sz w:val="21"/>
          <w:szCs w:val="21"/>
        </w:rPr>
        <w:t>4、投标人应积极落实甲方提出的关于四类设施养护及应急处置年度管理目标和工作具体要求。</w:t>
      </w:r>
      <w:r>
        <w:rPr>
          <w:rFonts w:hint="eastAsia" w:ascii="宋体"/>
          <w:bCs/>
          <w:iCs/>
          <w:sz w:val="21"/>
          <w:szCs w:val="21"/>
        </w:rPr>
        <w:t>遇突发事件，投标人必须服从采购单位的指挥和安排；协助调查、解决来信来访，并根据甲方的要求及时处置；协助甲方处理因设施管理、养护不到位或因市政设施缺陷引起的媒体曝光、官司诉讼等事宜，配合甲方做好回复，并承担因此造成的各项赔偿费用；完成甲方布置的为迎接各类检查、活动而开展的各项集中整治工作；完成甲方规定的其他任务。</w:t>
      </w:r>
    </w:p>
    <w:p>
      <w:pPr>
        <w:spacing w:line="360" w:lineRule="auto"/>
        <w:ind w:firstLine="420" w:firstLineChars="200"/>
        <w:jc w:val="both"/>
        <w:rPr>
          <w:rFonts w:ascii="宋体"/>
          <w:bCs/>
          <w:iCs/>
          <w:sz w:val="21"/>
          <w:szCs w:val="21"/>
        </w:rPr>
      </w:pPr>
      <w:r>
        <w:rPr>
          <w:rFonts w:hint="eastAsia" w:ascii="宋体"/>
          <w:bCs/>
          <w:iCs/>
          <w:sz w:val="21"/>
          <w:szCs w:val="21"/>
        </w:rPr>
        <w:t>5、按照路政行业规范对招标范围内各类设施实施巡视检查、日常养护、小修保养，掌握设施动态情况，及时处置各类设施病害；养护应达到：</w:t>
      </w:r>
    </w:p>
    <w:p>
      <w:pPr>
        <w:adjustRightInd w:val="0"/>
        <w:snapToGrid w:val="0"/>
        <w:spacing w:line="360" w:lineRule="auto"/>
        <w:ind w:firstLine="420" w:firstLineChars="200"/>
        <w:jc w:val="both"/>
        <w:rPr>
          <w:rFonts w:ascii="宋体"/>
          <w:bCs/>
          <w:iCs/>
          <w:sz w:val="21"/>
          <w:szCs w:val="21"/>
        </w:rPr>
      </w:pPr>
      <w:r>
        <w:rPr>
          <w:rFonts w:ascii="宋体"/>
          <w:bCs/>
          <w:iCs/>
          <w:sz w:val="21"/>
          <w:szCs w:val="21"/>
        </w:rPr>
        <w:t>A</w:t>
      </w:r>
      <w:r>
        <w:rPr>
          <w:rFonts w:hint="eastAsia" w:ascii="宋体"/>
          <w:bCs/>
          <w:iCs/>
          <w:sz w:val="21"/>
          <w:szCs w:val="21"/>
        </w:rPr>
        <w:t>、标线无损坏无缺失，标牌无损坏无折边无倾斜；</w:t>
      </w:r>
    </w:p>
    <w:p>
      <w:pPr>
        <w:adjustRightInd w:val="0"/>
        <w:snapToGrid w:val="0"/>
        <w:spacing w:line="360" w:lineRule="auto"/>
        <w:ind w:firstLine="420" w:firstLineChars="200"/>
        <w:jc w:val="both"/>
        <w:rPr>
          <w:rFonts w:ascii="宋体"/>
          <w:bCs/>
          <w:iCs/>
          <w:sz w:val="21"/>
          <w:szCs w:val="21"/>
        </w:rPr>
      </w:pPr>
      <w:r>
        <w:rPr>
          <w:rFonts w:ascii="宋体"/>
          <w:bCs/>
          <w:iCs/>
          <w:sz w:val="21"/>
          <w:szCs w:val="21"/>
        </w:rPr>
        <w:t>B</w:t>
      </w:r>
      <w:r>
        <w:rPr>
          <w:rFonts w:hint="eastAsia" w:ascii="宋体"/>
          <w:bCs/>
          <w:iCs/>
          <w:sz w:val="21"/>
          <w:szCs w:val="21"/>
        </w:rPr>
        <w:t>、日常养护中，要保持主要设施及附属设施的完好整洁；</w:t>
      </w:r>
    </w:p>
    <w:p>
      <w:pPr>
        <w:adjustRightInd w:val="0"/>
        <w:snapToGrid w:val="0"/>
        <w:spacing w:line="360" w:lineRule="auto"/>
        <w:ind w:firstLine="420" w:firstLineChars="200"/>
        <w:jc w:val="both"/>
        <w:rPr>
          <w:rFonts w:ascii="宋体"/>
          <w:bCs/>
          <w:iCs/>
          <w:sz w:val="21"/>
          <w:szCs w:val="21"/>
        </w:rPr>
      </w:pPr>
      <w:r>
        <w:rPr>
          <w:rFonts w:ascii="宋体"/>
          <w:bCs/>
          <w:iCs/>
          <w:sz w:val="21"/>
          <w:szCs w:val="21"/>
        </w:rPr>
        <w:t>C</w:t>
      </w:r>
      <w:r>
        <w:rPr>
          <w:rFonts w:hint="eastAsia" w:ascii="宋体"/>
          <w:bCs/>
          <w:iCs/>
          <w:sz w:val="21"/>
          <w:szCs w:val="21"/>
        </w:rPr>
        <w:t>、每日巡视并做好巡视记录，发现有标志标线损坏、折边、倾斜等可能危及行车、行走安全的病害，按有关要求做好记录，必须及时采取养护措施；</w:t>
      </w:r>
    </w:p>
    <w:p>
      <w:pPr>
        <w:adjustRightInd w:val="0"/>
        <w:snapToGrid w:val="0"/>
        <w:spacing w:line="360" w:lineRule="auto"/>
        <w:ind w:firstLine="420" w:firstLineChars="200"/>
        <w:jc w:val="both"/>
        <w:rPr>
          <w:rFonts w:ascii="宋体"/>
          <w:bCs/>
          <w:iCs/>
          <w:sz w:val="21"/>
          <w:szCs w:val="21"/>
        </w:rPr>
      </w:pPr>
      <w:r>
        <w:rPr>
          <w:rFonts w:ascii="宋体"/>
          <w:bCs/>
          <w:iCs/>
          <w:sz w:val="21"/>
          <w:szCs w:val="21"/>
        </w:rPr>
        <w:t>D</w:t>
      </w:r>
      <w:r>
        <w:rPr>
          <w:rFonts w:hint="eastAsia" w:ascii="宋体"/>
          <w:bCs/>
          <w:iCs/>
          <w:sz w:val="21"/>
          <w:szCs w:val="21"/>
        </w:rPr>
        <w:t>、作业队伍必须在接到报修电话后的两个小时之内，赶到报修地点开展工作。</w:t>
      </w:r>
    </w:p>
    <w:p>
      <w:pPr>
        <w:adjustRightInd w:val="0"/>
        <w:snapToGrid w:val="0"/>
        <w:spacing w:line="360" w:lineRule="auto"/>
        <w:ind w:firstLine="417" w:firstLineChars="199"/>
        <w:jc w:val="both"/>
        <w:rPr>
          <w:rFonts w:ascii="宋体"/>
          <w:bCs/>
          <w:iCs/>
          <w:sz w:val="21"/>
          <w:szCs w:val="21"/>
        </w:rPr>
      </w:pPr>
      <w:r>
        <w:rPr>
          <w:rFonts w:hint="eastAsia" w:ascii="宋体" w:cs="Arial"/>
          <w:sz w:val="21"/>
          <w:szCs w:val="21"/>
        </w:rPr>
        <w:t>6、</w:t>
      </w:r>
      <w:r>
        <w:rPr>
          <w:rFonts w:ascii="宋体" w:cs="Arial"/>
          <w:sz w:val="21"/>
          <w:szCs w:val="21"/>
        </w:rPr>
        <w:t>长宁区</w:t>
      </w:r>
      <w:r>
        <w:rPr>
          <w:rFonts w:hint="eastAsia" w:ascii="宋体" w:cs="Arial"/>
          <w:sz w:val="21"/>
          <w:szCs w:val="21"/>
        </w:rPr>
        <w:t>区管交通设施日常养护主要包括以下内容：</w:t>
      </w:r>
    </w:p>
    <w:p>
      <w:pPr>
        <w:adjustRightInd w:val="0"/>
        <w:snapToGrid w:val="0"/>
        <w:spacing w:line="360" w:lineRule="auto"/>
        <w:ind w:firstLine="420" w:firstLineChars="200"/>
        <w:jc w:val="both"/>
        <w:rPr>
          <w:rFonts w:ascii="宋体"/>
          <w:b/>
          <w:bCs/>
          <w:iCs/>
          <w:sz w:val="21"/>
          <w:szCs w:val="21"/>
        </w:rPr>
      </w:pPr>
      <w:r>
        <w:rPr>
          <w:rFonts w:hint="eastAsia"/>
          <w:sz w:val="21"/>
          <w:szCs w:val="21"/>
        </w:rPr>
        <w:t>（</w:t>
      </w:r>
      <w:r>
        <w:rPr>
          <w:sz w:val="21"/>
          <w:szCs w:val="21"/>
        </w:rPr>
        <w:t>1</w:t>
      </w:r>
      <w:r>
        <w:rPr>
          <w:rFonts w:hint="eastAsia"/>
          <w:sz w:val="21"/>
          <w:szCs w:val="21"/>
        </w:rPr>
        <w:t>）范围内交通标志标线的日常养护和应急抢修工作，包括道路交通标志、标杆等设施的保养维护、</w:t>
      </w:r>
      <w:r>
        <w:rPr>
          <w:sz w:val="21"/>
          <w:szCs w:val="21"/>
        </w:rPr>
        <w:t>保洁</w:t>
      </w:r>
      <w:r>
        <w:rPr>
          <w:rFonts w:hint="eastAsia"/>
          <w:sz w:val="21"/>
          <w:szCs w:val="21"/>
        </w:rPr>
        <w:t>、应急抢修，对地面标线（车道中心线、分界线、导向箭头、导流线、文字标记、待转区标线、网格线、人行横道线、人行横道预告菱形标记等）使用普通溶剂型涂料进行复划；</w:t>
      </w:r>
      <w:r>
        <w:rPr>
          <w:sz w:val="21"/>
          <w:szCs w:val="21"/>
        </w:rPr>
        <w:t>对</w:t>
      </w:r>
      <w:r>
        <w:rPr>
          <w:rStyle w:val="90"/>
          <w:b w:val="0"/>
          <w:sz w:val="21"/>
          <w:szCs w:val="21"/>
          <w:lang w:eastAsia="zh-CN"/>
        </w:rPr>
        <w:t>辖区内地铁导向牌巡视维护保洁和应急抢修工作</w:t>
      </w:r>
      <w:r>
        <w:rPr>
          <w:rStyle w:val="90"/>
          <w:rFonts w:hint="eastAsia"/>
          <w:b w:val="0"/>
          <w:sz w:val="21"/>
          <w:szCs w:val="21"/>
          <w:lang w:eastAsia="zh-CN"/>
        </w:rPr>
        <w:t>，在本区有道班房可以随时应急抢修工作。</w:t>
      </w:r>
    </w:p>
    <w:p>
      <w:pPr>
        <w:spacing w:line="360" w:lineRule="auto"/>
        <w:jc w:val="both"/>
        <w:rPr>
          <w:sz w:val="21"/>
          <w:szCs w:val="21"/>
        </w:rPr>
      </w:pPr>
      <w:r>
        <w:rPr>
          <w:rFonts w:hint="eastAsia"/>
          <w:sz w:val="21"/>
          <w:szCs w:val="21"/>
        </w:rPr>
        <w:t xml:space="preserve">    （</w:t>
      </w:r>
      <w:r>
        <w:rPr>
          <w:sz w:val="21"/>
          <w:szCs w:val="21"/>
        </w:rPr>
        <w:t>2</w:t>
      </w:r>
      <w:r>
        <w:rPr>
          <w:rFonts w:hint="eastAsia"/>
          <w:sz w:val="21"/>
          <w:szCs w:val="21"/>
        </w:rPr>
        <w:t>）范围内交通标志标线的日常巡视检查，包括每日进行的外观完好性巡查和每周全覆盖的安全性巡查；</w:t>
      </w:r>
    </w:p>
    <w:p>
      <w:pPr>
        <w:spacing w:line="360" w:lineRule="auto"/>
        <w:jc w:val="both"/>
        <w:rPr>
          <w:sz w:val="21"/>
          <w:szCs w:val="21"/>
        </w:rPr>
      </w:pPr>
      <w:r>
        <w:rPr>
          <w:rFonts w:hint="eastAsia"/>
          <w:sz w:val="21"/>
          <w:szCs w:val="21"/>
        </w:rPr>
        <w:t xml:space="preserve">    （</w:t>
      </w:r>
      <w:r>
        <w:rPr>
          <w:sz w:val="21"/>
          <w:szCs w:val="21"/>
        </w:rPr>
        <w:t>3</w:t>
      </w:r>
      <w:r>
        <w:rPr>
          <w:rFonts w:hint="eastAsia"/>
          <w:sz w:val="21"/>
          <w:szCs w:val="21"/>
        </w:rPr>
        <w:t>）根据道路交通通行的需求新增、调整、撤除交通设施；</w:t>
      </w:r>
    </w:p>
    <w:p>
      <w:pPr>
        <w:spacing w:line="360" w:lineRule="auto"/>
        <w:jc w:val="both"/>
        <w:rPr>
          <w:sz w:val="21"/>
          <w:szCs w:val="21"/>
        </w:rPr>
      </w:pPr>
      <w:r>
        <w:rPr>
          <w:rFonts w:hint="eastAsia"/>
          <w:sz w:val="21"/>
          <w:szCs w:val="21"/>
        </w:rPr>
        <w:t xml:space="preserve">    （</w:t>
      </w:r>
      <w:r>
        <w:rPr>
          <w:sz w:val="21"/>
          <w:szCs w:val="21"/>
        </w:rPr>
        <w:t>4</w:t>
      </w:r>
      <w:r>
        <w:rPr>
          <w:rFonts w:hint="eastAsia"/>
          <w:sz w:val="21"/>
          <w:szCs w:val="21"/>
        </w:rPr>
        <w:t>）配合市政道路项目迁移交通设施；</w:t>
      </w:r>
    </w:p>
    <w:p>
      <w:pPr>
        <w:spacing w:line="360" w:lineRule="auto"/>
        <w:jc w:val="both"/>
        <w:rPr>
          <w:sz w:val="21"/>
          <w:szCs w:val="21"/>
        </w:rPr>
      </w:pPr>
      <w:r>
        <w:rPr>
          <w:rFonts w:hint="eastAsia"/>
          <w:sz w:val="21"/>
          <w:szCs w:val="21"/>
        </w:rPr>
        <w:t xml:space="preserve">    （</w:t>
      </w:r>
      <w:r>
        <w:rPr>
          <w:sz w:val="21"/>
          <w:szCs w:val="21"/>
        </w:rPr>
        <w:t>5</w:t>
      </w:r>
      <w:r>
        <w:rPr>
          <w:rFonts w:hint="eastAsia"/>
          <w:sz w:val="21"/>
          <w:szCs w:val="21"/>
        </w:rPr>
        <w:t>）涉及道路交通设施应急处置等项目；</w:t>
      </w:r>
    </w:p>
    <w:p>
      <w:pPr>
        <w:spacing w:line="360" w:lineRule="auto"/>
        <w:jc w:val="both"/>
        <w:rPr>
          <w:sz w:val="21"/>
          <w:szCs w:val="21"/>
        </w:rPr>
      </w:pPr>
      <w:r>
        <w:rPr>
          <w:rFonts w:hint="eastAsia"/>
          <w:sz w:val="21"/>
          <w:szCs w:val="21"/>
        </w:rPr>
        <w:t xml:space="preserve">    （6）每年使用登高设备及溶剂至少一次对范围内标志标牌进行擦拭保洁；</w:t>
      </w:r>
    </w:p>
    <w:p>
      <w:pPr>
        <w:spacing w:line="360" w:lineRule="auto"/>
        <w:ind w:firstLine="411" w:firstLineChars="196"/>
        <w:jc w:val="both"/>
        <w:rPr>
          <w:rStyle w:val="90"/>
          <w:b w:val="0"/>
          <w:sz w:val="21"/>
          <w:szCs w:val="21"/>
          <w:lang w:eastAsia="zh-CN"/>
        </w:rPr>
      </w:pPr>
      <w:r>
        <w:rPr>
          <w:rFonts w:hint="eastAsia" w:ascii="宋体" w:cs="Arial"/>
          <w:sz w:val="21"/>
          <w:szCs w:val="21"/>
        </w:rPr>
        <w:t>7、</w:t>
      </w:r>
      <w:r>
        <w:rPr>
          <w:rFonts w:ascii="宋体" w:cs="Arial"/>
          <w:sz w:val="21"/>
          <w:szCs w:val="21"/>
        </w:rPr>
        <w:t>长宁区</w:t>
      </w:r>
      <w:r>
        <w:rPr>
          <w:rFonts w:hint="eastAsia" w:ascii="宋体" w:cs="Arial"/>
          <w:sz w:val="21"/>
          <w:szCs w:val="21"/>
        </w:rPr>
        <w:t>区管交通设施</w:t>
      </w:r>
      <w:r>
        <w:rPr>
          <w:rStyle w:val="90"/>
          <w:b w:val="0"/>
          <w:sz w:val="21"/>
          <w:szCs w:val="21"/>
          <w:lang w:eastAsia="zh-CN"/>
        </w:rPr>
        <w:t>养护要求:</w:t>
      </w:r>
    </w:p>
    <w:p>
      <w:pPr>
        <w:spacing w:line="360" w:lineRule="auto"/>
        <w:ind w:left="420"/>
        <w:jc w:val="both"/>
        <w:rPr>
          <w:rStyle w:val="90"/>
          <w:b w:val="0"/>
          <w:sz w:val="21"/>
          <w:szCs w:val="21"/>
          <w:lang w:eastAsia="zh-CN"/>
        </w:rPr>
      </w:pPr>
      <w:r>
        <w:rPr>
          <w:rFonts w:hint="eastAsia"/>
          <w:sz w:val="21"/>
          <w:szCs w:val="21"/>
        </w:rPr>
        <w:t>（</w:t>
      </w:r>
      <w:r>
        <w:rPr>
          <w:sz w:val="21"/>
          <w:szCs w:val="21"/>
        </w:rPr>
        <w:t>1</w:t>
      </w:r>
      <w:r>
        <w:rPr>
          <w:rFonts w:hint="eastAsia"/>
          <w:sz w:val="21"/>
          <w:szCs w:val="21"/>
        </w:rPr>
        <w:t>）</w:t>
      </w:r>
      <w:r>
        <w:rPr>
          <w:rStyle w:val="90"/>
          <w:rFonts w:hint="eastAsia"/>
          <w:b w:val="0"/>
          <w:sz w:val="21"/>
          <w:szCs w:val="21"/>
          <w:lang w:eastAsia="zh-CN"/>
        </w:rPr>
        <w:t>具体对区域范围内的交通标志、标线进行巡视检查，要求主干路每天全覆盖巡查一次，次干路每三天全覆盖巡查一次，支路每周全覆盖巡查一次。</w:t>
      </w:r>
    </w:p>
    <w:p>
      <w:pPr>
        <w:spacing w:line="360" w:lineRule="auto"/>
        <w:ind w:left="420"/>
        <w:jc w:val="both"/>
        <w:rPr>
          <w:rStyle w:val="90"/>
          <w:lang w:eastAsia="zh-CN"/>
        </w:rPr>
      </w:pPr>
      <w:r>
        <w:rPr>
          <w:rFonts w:hint="eastAsia"/>
          <w:sz w:val="21"/>
          <w:szCs w:val="21"/>
        </w:rPr>
        <w:t>（</w:t>
      </w:r>
      <w:r>
        <w:rPr>
          <w:sz w:val="21"/>
          <w:szCs w:val="21"/>
        </w:rPr>
        <w:t>2</w:t>
      </w:r>
      <w:r>
        <w:rPr>
          <w:rFonts w:hint="eastAsia"/>
          <w:sz w:val="21"/>
          <w:szCs w:val="21"/>
        </w:rPr>
        <w:t>）</w:t>
      </w:r>
      <w:r>
        <w:rPr>
          <w:rStyle w:val="90"/>
          <w:b w:val="0"/>
          <w:sz w:val="21"/>
          <w:szCs w:val="21"/>
          <w:lang w:eastAsia="zh-CN"/>
        </w:rPr>
        <w:t>辖区内地铁导向牌要求每日全覆盖巡视一次，每年度对辖区内地铁导向牌实施保洁清洗一次。</w:t>
      </w:r>
    </w:p>
    <w:p>
      <w:pPr>
        <w:spacing w:line="360" w:lineRule="auto"/>
        <w:outlineLvl w:val="0"/>
        <w:rPr>
          <w:rFonts w:ascii="宋体" w:hAnsi="宋体" w:cs="宋体"/>
          <w:sz w:val="21"/>
          <w:szCs w:val="21"/>
        </w:rPr>
      </w:pPr>
    </w:p>
    <w:p>
      <w:pPr>
        <w:spacing w:line="360" w:lineRule="auto"/>
        <w:outlineLvl w:val="0"/>
        <w:rPr>
          <w:rFonts w:ascii="宋体" w:hAnsi="宋体" w:cs="宋体"/>
          <w:b/>
          <w:sz w:val="21"/>
          <w:szCs w:val="21"/>
        </w:rPr>
      </w:pPr>
      <w:r>
        <w:rPr>
          <w:rFonts w:hint="eastAsia" w:ascii="宋体" w:hAnsi="宋体" w:cs="宋体"/>
          <w:b/>
          <w:sz w:val="21"/>
          <w:szCs w:val="21"/>
        </w:rPr>
        <w:t>三、其他要求</w:t>
      </w:r>
    </w:p>
    <w:p>
      <w:pPr>
        <w:spacing w:line="360" w:lineRule="auto"/>
        <w:ind w:firstLine="420" w:firstLineChars="200"/>
        <w:jc w:val="both"/>
        <w:rPr>
          <w:rFonts w:ascii="宋体"/>
          <w:sz w:val="21"/>
          <w:szCs w:val="24"/>
        </w:rPr>
      </w:pPr>
      <w:r>
        <w:rPr>
          <w:rFonts w:ascii="宋体"/>
          <w:sz w:val="21"/>
          <w:szCs w:val="24"/>
        </w:rPr>
        <w:t>1</w:t>
      </w:r>
      <w:r>
        <w:rPr>
          <w:rFonts w:hint="eastAsia" w:ascii="宋体"/>
          <w:sz w:val="21"/>
          <w:szCs w:val="24"/>
        </w:rPr>
        <w:t>、安全生产、文明施工与环境保护要求</w:t>
      </w:r>
    </w:p>
    <w:p>
      <w:pPr>
        <w:spacing w:line="360" w:lineRule="auto"/>
        <w:ind w:firstLine="420" w:firstLineChars="200"/>
        <w:jc w:val="both"/>
        <w:rPr>
          <w:rFonts w:ascii="宋体"/>
          <w:sz w:val="21"/>
          <w:szCs w:val="24"/>
        </w:rPr>
      </w:pPr>
      <w:r>
        <w:rPr>
          <w:rFonts w:ascii="宋体"/>
          <w:sz w:val="21"/>
          <w:szCs w:val="24"/>
        </w:rPr>
        <w:t>1.1</w:t>
      </w:r>
      <w:r>
        <w:rPr>
          <w:rFonts w:hint="eastAsia" w:ascii="宋体"/>
          <w:sz w:val="21"/>
          <w:szCs w:val="24"/>
        </w:rPr>
        <w:t>、投标人在施工过程中必须严格执行国家与地方政府的环境保护政策、法规和法律，严格遵守上海市有关建设工程文明施工管理的规定，积极主动落实安全文明及环境保护施工的管理和考核等有关工作，严格履行发包单位关于现场临设及施工区域企业标识要求。</w:t>
      </w:r>
    </w:p>
    <w:p>
      <w:pPr>
        <w:spacing w:line="360" w:lineRule="auto"/>
        <w:ind w:firstLine="420" w:firstLineChars="200"/>
        <w:jc w:val="both"/>
        <w:rPr>
          <w:rFonts w:ascii="宋体"/>
          <w:sz w:val="21"/>
          <w:szCs w:val="24"/>
        </w:rPr>
      </w:pPr>
      <w:r>
        <w:rPr>
          <w:rFonts w:ascii="宋体"/>
          <w:sz w:val="21"/>
          <w:szCs w:val="24"/>
        </w:rPr>
        <w:t>1.2</w:t>
      </w:r>
      <w:r>
        <w:rPr>
          <w:rFonts w:hint="eastAsia" w:ascii="宋体"/>
          <w:sz w:val="21"/>
          <w:szCs w:val="24"/>
        </w:rPr>
        <w:t>、投标人必须严格履行采购人关于现场临设及施工区域企业标识要求，施工区域与非施工区域必须分隔，工地醒目处必须设置施工铭牌，管理人员必须佩卡上岗。</w:t>
      </w:r>
    </w:p>
    <w:p>
      <w:pPr>
        <w:spacing w:line="360" w:lineRule="auto"/>
        <w:ind w:firstLine="420" w:firstLineChars="200"/>
        <w:jc w:val="both"/>
        <w:rPr>
          <w:rFonts w:ascii="宋体"/>
          <w:sz w:val="21"/>
          <w:szCs w:val="24"/>
        </w:rPr>
      </w:pPr>
      <w:r>
        <w:rPr>
          <w:rFonts w:ascii="宋体"/>
          <w:sz w:val="21"/>
          <w:szCs w:val="24"/>
        </w:rPr>
        <w:t>1.3</w:t>
      </w:r>
      <w:r>
        <w:rPr>
          <w:rFonts w:hint="eastAsia" w:ascii="宋体"/>
          <w:sz w:val="21"/>
          <w:szCs w:val="24"/>
        </w:rPr>
        <w:t>、成交供应商在组织施工时必须遵守甲方的规章制度并提供施工人员名单。成交供应商必须按施工计划协调好现场施工。涉及特殊工种的，必须持证上岗。</w:t>
      </w:r>
    </w:p>
    <w:p>
      <w:pPr>
        <w:spacing w:line="360" w:lineRule="auto"/>
        <w:ind w:firstLine="420" w:firstLineChars="200"/>
        <w:jc w:val="both"/>
        <w:rPr>
          <w:rFonts w:ascii="宋体"/>
          <w:sz w:val="21"/>
          <w:szCs w:val="24"/>
        </w:rPr>
      </w:pPr>
      <w:r>
        <w:rPr>
          <w:rFonts w:ascii="宋体"/>
          <w:sz w:val="21"/>
          <w:szCs w:val="24"/>
        </w:rPr>
        <w:t>1.4</w:t>
      </w:r>
      <w:r>
        <w:rPr>
          <w:rFonts w:hint="eastAsia" w:ascii="宋体"/>
          <w:sz w:val="21"/>
          <w:szCs w:val="24"/>
        </w:rPr>
        <w:t>、工程进入施工阶段期间，必须设有专职安全员，建立施工安全方面的制度和措施，并报采购单位、监理单位及有关部门；同时在工程施工期间，成交供应商还应根据实际情况，配有足够的人员，以确保工地安全和已完工程的完好。</w:t>
      </w:r>
    </w:p>
    <w:p>
      <w:pPr>
        <w:spacing w:line="360" w:lineRule="auto"/>
        <w:jc w:val="both"/>
        <w:rPr>
          <w:rFonts w:ascii="宋体"/>
          <w:sz w:val="21"/>
          <w:szCs w:val="24"/>
        </w:rPr>
      </w:pPr>
      <w:r>
        <w:rPr>
          <w:rFonts w:hint="eastAsia" w:ascii="宋体"/>
          <w:sz w:val="21"/>
          <w:szCs w:val="24"/>
        </w:rPr>
        <w:t>成交供应商应根据实际情况设置足够的警卫和设施，确保安全文明施工。</w:t>
      </w:r>
    </w:p>
    <w:p>
      <w:pPr>
        <w:spacing w:line="360" w:lineRule="auto"/>
        <w:ind w:firstLine="420" w:firstLineChars="200"/>
        <w:jc w:val="both"/>
        <w:rPr>
          <w:rFonts w:ascii="宋体"/>
          <w:sz w:val="21"/>
          <w:szCs w:val="24"/>
        </w:rPr>
      </w:pPr>
      <w:r>
        <w:rPr>
          <w:rFonts w:ascii="宋体"/>
          <w:sz w:val="21"/>
          <w:szCs w:val="24"/>
        </w:rPr>
        <w:t>1.5</w:t>
      </w:r>
      <w:r>
        <w:rPr>
          <w:rFonts w:hint="eastAsia" w:ascii="宋体"/>
          <w:sz w:val="21"/>
          <w:szCs w:val="24"/>
        </w:rPr>
        <w:t>、施工作业人员服装要求：</w:t>
      </w:r>
    </w:p>
    <w:p>
      <w:pPr>
        <w:spacing w:line="360" w:lineRule="auto"/>
        <w:ind w:firstLine="420" w:firstLineChars="200"/>
        <w:jc w:val="both"/>
        <w:rPr>
          <w:rFonts w:ascii="宋体"/>
          <w:sz w:val="21"/>
          <w:szCs w:val="24"/>
        </w:rPr>
      </w:pPr>
      <w:r>
        <w:rPr>
          <w:rFonts w:ascii="宋体"/>
          <w:sz w:val="21"/>
          <w:szCs w:val="24"/>
        </w:rPr>
        <w:t>1)</w:t>
      </w:r>
      <w:r>
        <w:rPr>
          <w:rFonts w:hint="eastAsia" w:ascii="宋体"/>
          <w:sz w:val="21"/>
          <w:szCs w:val="24"/>
        </w:rPr>
        <w:t>施工人员的着装应是白色或黄色等明亮颜色的服装，以便他人从远方就能清楚地识别，夜间施工，应着具有反光特性的作业服装；</w:t>
      </w:r>
    </w:p>
    <w:p>
      <w:pPr>
        <w:spacing w:line="360" w:lineRule="auto"/>
        <w:ind w:firstLine="420" w:firstLineChars="200"/>
        <w:jc w:val="both"/>
        <w:rPr>
          <w:rFonts w:ascii="宋体"/>
          <w:sz w:val="21"/>
          <w:szCs w:val="24"/>
        </w:rPr>
      </w:pPr>
      <w:r>
        <w:rPr>
          <w:rFonts w:ascii="宋体"/>
          <w:sz w:val="21"/>
          <w:szCs w:val="24"/>
        </w:rPr>
        <w:t>2)</w:t>
      </w:r>
      <w:r>
        <w:rPr>
          <w:rFonts w:hint="eastAsia" w:ascii="宋体"/>
          <w:sz w:val="21"/>
          <w:szCs w:val="24"/>
        </w:rPr>
        <w:t>作业人员应戴白色或黄色工作帽（设有反光带），且系好帽带；</w:t>
      </w:r>
    </w:p>
    <w:p>
      <w:pPr>
        <w:spacing w:line="360" w:lineRule="auto"/>
        <w:ind w:firstLine="420" w:firstLineChars="200"/>
        <w:jc w:val="both"/>
        <w:rPr>
          <w:rFonts w:ascii="宋体"/>
          <w:sz w:val="21"/>
          <w:szCs w:val="24"/>
        </w:rPr>
      </w:pPr>
      <w:r>
        <w:rPr>
          <w:rFonts w:ascii="宋体"/>
          <w:sz w:val="21"/>
          <w:szCs w:val="24"/>
        </w:rPr>
        <w:t>3)</w:t>
      </w:r>
      <w:r>
        <w:rPr>
          <w:rFonts w:hint="eastAsia" w:ascii="宋体"/>
          <w:sz w:val="21"/>
          <w:szCs w:val="24"/>
        </w:rPr>
        <w:t>穿作业靴；</w:t>
      </w:r>
    </w:p>
    <w:p>
      <w:pPr>
        <w:spacing w:line="360" w:lineRule="auto"/>
        <w:ind w:firstLine="420" w:firstLineChars="200"/>
        <w:jc w:val="both"/>
        <w:rPr>
          <w:rFonts w:ascii="宋体"/>
          <w:sz w:val="21"/>
          <w:szCs w:val="24"/>
        </w:rPr>
      </w:pPr>
      <w:r>
        <w:rPr>
          <w:rFonts w:ascii="宋体"/>
          <w:sz w:val="21"/>
          <w:szCs w:val="24"/>
        </w:rPr>
        <w:t>4)</w:t>
      </w:r>
      <w:r>
        <w:rPr>
          <w:rFonts w:hint="eastAsia" w:ascii="宋体"/>
          <w:sz w:val="21"/>
          <w:szCs w:val="24"/>
        </w:rPr>
        <w:t>作业现场应配备作业负责人，作业负责人应配带标明“负责人”的标志；</w:t>
      </w:r>
    </w:p>
    <w:p>
      <w:pPr>
        <w:spacing w:line="360" w:lineRule="auto"/>
        <w:ind w:firstLine="420" w:firstLineChars="200"/>
        <w:jc w:val="both"/>
        <w:rPr>
          <w:rFonts w:ascii="宋体"/>
          <w:sz w:val="21"/>
          <w:szCs w:val="24"/>
        </w:rPr>
      </w:pPr>
      <w:r>
        <w:rPr>
          <w:rFonts w:ascii="宋体"/>
          <w:sz w:val="21"/>
          <w:szCs w:val="24"/>
        </w:rPr>
        <w:t>5)</w:t>
      </w:r>
      <w:r>
        <w:rPr>
          <w:rFonts w:hint="eastAsia" w:ascii="宋体"/>
          <w:sz w:val="21"/>
          <w:szCs w:val="24"/>
        </w:rPr>
        <w:t>在作业现场的前后位置应配备交通管理人员或明显的交通诱导设施。</w:t>
      </w:r>
    </w:p>
    <w:p>
      <w:pPr>
        <w:spacing w:line="360" w:lineRule="auto"/>
        <w:ind w:firstLine="420" w:firstLineChars="200"/>
        <w:jc w:val="both"/>
        <w:rPr>
          <w:rFonts w:ascii="宋体"/>
          <w:sz w:val="21"/>
          <w:szCs w:val="24"/>
        </w:rPr>
      </w:pPr>
      <w:r>
        <w:rPr>
          <w:rFonts w:ascii="宋体"/>
          <w:sz w:val="21"/>
          <w:szCs w:val="24"/>
        </w:rPr>
        <w:t>1.6</w:t>
      </w:r>
      <w:r>
        <w:rPr>
          <w:rFonts w:hint="eastAsia" w:ascii="宋体"/>
          <w:sz w:val="21"/>
          <w:szCs w:val="24"/>
        </w:rPr>
        <w:t>、施工配备交通管理用具</w:t>
      </w:r>
    </w:p>
    <w:p>
      <w:pPr>
        <w:spacing w:line="360" w:lineRule="auto"/>
        <w:ind w:firstLine="420" w:firstLineChars="200"/>
        <w:jc w:val="both"/>
        <w:rPr>
          <w:rFonts w:ascii="宋体"/>
          <w:sz w:val="21"/>
          <w:szCs w:val="24"/>
        </w:rPr>
      </w:pPr>
      <w:r>
        <w:rPr>
          <w:rFonts w:ascii="宋体"/>
          <w:sz w:val="21"/>
          <w:szCs w:val="24"/>
        </w:rPr>
        <w:t>1)</w:t>
      </w:r>
      <w:r>
        <w:rPr>
          <w:rFonts w:hint="eastAsia" w:ascii="宋体"/>
          <w:sz w:val="21"/>
          <w:szCs w:val="24"/>
        </w:rPr>
        <w:t>交通锥。使用该用具可起到关闭施工现场交通、指示绕行路线、预告施工路段、保护未干标线涂膜等。交通锥采用红白相间或黄黑相间图案，夜间使用需有良好的反光性能；</w:t>
      </w:r>
    </w:p>
    <w:p>
      <w:pPr>
        <w:spacing w:line="360" w:lineRule="auto"/>
        <w:ind w:firstLine="420" w:firstLineChars="200"/>
        <w:jc w:val="both"/>
        <w:rPr>
          <w:rFonts w:ascii="宋体"/>
          <w:sz w:val="21"/>
          <w:szCs w:val="24"/>
        </w:rPr>
      </w:pPr>
      <w:r>
        <w:rPr>
          <w:rFonts w:ascii="宋体"/>
          <w:sz w:val="21"/>
          <w:szCs w:val="24"/>
        </w:rPr>
        <w:t>2)</w:t>
      </w:r>
      <w:r>
        <w:rPr>
          <w:rFonts w:hint="eastAsia" w:ascii="宋体"/>
          <w:sz w:val="21"/>
          <w:szCs w:val="24"/>
        </w:rPr>
        <w:t>施工作业标志。可根据作业情况不同设置，通常在作业车的尾部设置醒目标志，如“导流标志”、“施工作业警告标志”等；</w:t>
      </w:r>
    </w:p>
    <w:p>
      <w:pPr>
        <w:spacing w:line="360" w:lineRule="auto"/>
        <w:ind w:firstLine="420" w:firstLineChars="200"/>
        <w:jc w:val="both"/>
        <w:rPr>
          <w:rFonts w:ascii="宋体"/>
          <w:sz w:val="21"/>
          <w:szCs w:val="24"/>
        </w:rPr>
      </w:pPr>
      <w:r>
        <w:rPr>
          <w:rFonts w:ascii="宋体"/>
          <w:sz w:val="21"/>
          <w:szCs w:val="24"/>
        </w:rPr>
        <w:t>3)</w:t>
      </w:r>
      <w:r>
        <w:rPr>
          <w:rFonts w:hint="eastAsia" w:ascii="宋体"/>
          <w:sz w:val="21"/>
          <w:szCs w:val="24"/>
        </w:rPr>
        <w:t>施工作业警灯、闪光警告灯、旋转警告灯等。作业时可随时提醒周围车辆和行人注意避让。</w:t>
      </w:r>
    </w:p>
    <w:p>
      <w:pPr>
        <w:spacing w:line="360" w:lineRule="auto"/>
        <w:ind w:firstLine="420" w:firstLineChars="200"/>
        <w:jc w:val="both"/>
        <w:rPr>
          <w:rFonts w:ascii="宋体"/>
          <w:sz w:val="21"/>
          <w:szCs w:val="24"/>
        </w:rPr>
      </w:pPr>
      <w:r>
        <w:rPr>
          <w:rFonts w:ascii="宋体"/>
          <w:sz w:val="21"/>
          <w:szCs w:val="24"/>
        </w:rPr>
        <w:t>1.7</w:t>
      </w:r>
      <w:r>
        <w:rPr>
          <w:rFonts w:hint="eastAsia" w:ascii="宋体"/>
          <w:sz w:val="21"/>
          <w:szCs w:val="24"/>
        </w:rPr>
        <w:t>、其它方面要求</w:t>
      </w:r>
    </w:p>
    <w:p>
      <w:pPr>
        <w:spacing w:line="360" w:lineRule="auto"/>
        <w:ind w:firstLine="420" w:firstLineChars="200"/>
        <w:jc w:val="both"/>
        <w:rPr>
          <w:rFonts w:ascii="宋体"/>
          <w:sz w:val="21"/>
          <w:szCs w:val="24"/>
        </w:rPr>
      </w:pPr>
      <w:r>
        <w:rPr>
          <w:rFonts w:ascii="宋体"/>
          <w:sz w:val="21"/>
          <w:szCs w:val="24"/>
        </w:rPr>
        <w:t>1)</w:t>
      </w:r>
      <w:r>
        <w:rPr>
          <w:rFonts w:hint="eastAsia" w:ascii="宋体"/>
          <w:sz w:val="21"/>
          <w:szCs w:val="24"/>
        </w:rPr>
        <w:t>施工前作业单位应与本工程管辖范围内的交警支（大）队路设部门联系，支（大）队有交通管理要求的，作业单位应按要求考虑实施，要求与招标文件内容有冲突或不一致的，以招标文件规定为准；</w:t>
      </w:r>
    </w:p>
    <w:p>
      <w:pPr>
        <w:spacing w:line="360" w:lineRule="auto"/>
        <w:ind w:firstLine="420" w:firstLineChars="200"/>
        <w:jc w:val="both"/>
        <w:rPr>
          <w:rFonts w:ascii="宋体"/>
          <w:sz w:val="21"/>
          <w:szCs w:val="24"/>
        </w:rPr>
      </w:pPr>
      <w:r>
        <w:rPr>
          <w:rFonts w:ascii="宋体"/>
          <w:sz w:val="21"/>
          <w:szCs w:val="24"/>
        </w:rPr>
        <w:t>2)</w:t>
      </w:r>
      <w:r>
        <w:rPr>
          <w:rFonts w:hint="eastAsia" w:ascii="宋体"/>
          <w:sz w:val="21"/>
          <w:szCs w:val="24"/>
        </w:rPr>
        <w:t>所有进场的施工设备在使用前必须进行国家、地方、行业强制标准、规定方面有要求的完整性、符合性检查，并经施工监理确认后才可以使用。</w:t>
      </w:r>
    </w:p>
    <w:p>
      <w:pPr>
        <w:spacing w:line="360" w:lineRule="auto"/>
        <w:ind w:firstLine="420" w:firstLineChars="200"/>
        <w:jc w:val="both"/>
        <w:rPr>
          <w:rFonts w:ascii="宋体"/>
          <w:sz w:val="21"/>
          <w:szCs w:val="24"/>
        </w:rPr>
      </w:pPr>
      <w:r>
        <w:rPr>
          <w:rFonts w:hint="eastAsia" w:ascii="宋体"/>
          <w:sz w:val="21"/>
          <w:szCs w:val="24"/>
        </w:rPr>
        <w:t>3</w:t>
      </w:r>
      <w:r>
        <w:rPr>
          <w:rFonts w:ascii="宋体"/>
          <w:sz w:val="21"/>
          <w:szCs w:val="24"/>
        </w:rPr>
        <w:t>)</w:t>
      </w:r>
      <w:r>
        <w:rPr>
          <w:rFonts w:hint="eastAsia" w:ascii="宋体"/>
          <w:sz w:val="21"/>
          <w:szCs w:val="24"/>
        </w:rPr>
        <w:t>施工作业时间，按照不同地段要求安排，有夜间施工要求。遇有特殊情况听甲方通知进行；施工中对新漆划的标线采取保护措施（如围放交通锥等），确保油漆涂料不粘胎后撤离。</w:t>
      </w:r>
    </w:p>
    <w:p>
      <w:pPr>
        <w:spacing w:line="360" w:lineRule="auto"/>
        <w:ind w:firstLine="420" w:firstLineChars="200"/>
        <w:jc w:val="both"/>
        <w:rPr>
          <w:rFonts w:ascii="宋体"/>
          <w:sz w:val="21"/>
          <w:szCs w:val="24"/>
        </w:rPr>
      </w:pPr>
      <w:r>
        <w:rPr>
          <w:rFonts w:hint="eastAsia" w:ascii="宋体"/>
          <w:sz w:val="21"/>
          <w:szCs w:val="24"/>
        </w:rPr>
        <w:t>4</w:t>
      </w:r>
      <w:r>
        <w:rPr>
          <w:rFonts w:ascii="宋体"/>
          <w:sz w:val="21"/>
          <w:szCs w:val="24"/>
        </w:rPr>
        <w:t>)</w:t>
      </w:r>
      <w:r>
        <w:rPr>
          <w:rFonts w:hint="eastAsia" w:ascii="宋体"/>
          <w:sz w:val="21"/>
          <w:szCs w:val="24"/>
        </w:rPr>
        <w:t>如遇标线施工工作量与甲方提供的数量不符时，需由监理方核实签署后再由甲方签署同意。</w:t>
      </w:r>
    </w:p>
    <w:p>
      <w:pPr>
        <w:spacing w:line="360" w:lineRule="auto"/>
        <w:ind w:firstLine="420" w:firstLineChars="200"/>
        <w:jc w:val="both"/>
        <w:rPr>
          <w:rFonts w:ascii="宋体"/>
          <w:sz w:val="21"/>
          <w:szCs w:val="24"/>
        </w:rPr>
      </w:pPr>
      <w:r>
        <w:rPr>
          <w:rFonts w:hint="eastAsia" w:ascii="宋体"/>
          <w:sz w:val="21"/>
          <w:szCs w:val="24"/>
        </w:rPr>
        <w:t>5</w:t>
      </w:r>
      <w:r>
        <w:rPr>
          <w:rFonts w:ascii="宋体"/>
          <w:sz w:val="21"/>
          <w:szCs w:val="24"/>
        </w:rPr>
        <w:t>)</w:t>
      </w:r>
      <w:r>
        <w:rPr>
          <w:rFonts w:hint="eastAsia" w:ascii="宋体"/>
          <w:sz w:val="21"/>
          <w:szCs w:val="24"/>
        </w:rPr>
        <w:t>乙方应根据甲方提供的设备质量验收标准，包括主要部件的规格型号及性能等，作为乙方确定标线施划设备的依据，接受甲方的检查。</w:t>
      </w:r>
    </w:p>
    <w:p>
      <w:pPr>
        <w:spacing w:line="360" w:lineRule="auto"/>
        <w:ind w:firstLine="420" w:firstLineChars="200"/>
        <w:jc w:val="both"/>
        <w:rPr>
          <w:rFonts w:ascii="宋体"/>
          <w:sz w:val="21"/>
          <w:szCs w:val="24"/>
        </w:rPr>
      </w:pPr>
      <w:r>
        <w:rPr>
          <w:rFonts w:hint="eastAsia" w:ascii="宋体"/>
          <w:sz w:val="21"/>
          <w:szCs w:val="24"/>
        </w:rPr>
        <w:t>6</w:t>
      </w:r>
      <w:r>
        <w:rPr>
          <w:rFonts w:ascii="宋体"/>
          <w:sz w:val="21"/>
          <w:szCs w:val="24"/>
        </w:rPr>
        <w:t>)</w:t>
      </w:r>
      <w:r>
        <w:rPr>
          <w:rFonts w:hint="eastAsia" w:ascii="宋体"/>
          <w:sz w:val="21"/>
          <w:szCs w:val="24"/>
        </w:rPr>
        <w:t>乙方应根据甲方要求，接受涂料供应商提供的安装调试培训和工作人员培训。</w:t>
      </w:r>
    </w:p>
    <w:p>
      <w:pPr>
        <w:spacing w:line="360" w:lineRule="auto"/>
        <w:ind w:firstLine="420" w:firstLineChars="200"/>
        <w:jc w:val="both"/>
        <w:rPr>
          <w:rFonts w:ascii="宋体"/>
          <w:sz w:val="21"/>
          <w:szCs w:val="24"/>
        </w:rPr>
      </w:pPr>
      <w:r>
        <w:rPr>
          <w:rFonts w:hint="eastAsia" w:ascii="宋体"/>
          <w:sz w:val="21"/>
          <w:szCs w:val="24"/>
        </w:rPr>
        <w:t>7</w:t>
      </w:r>
      <w:r>
        <w:rPr>
          <w:rFonts w:ascii="宋体"/>
          <w:sz w:val="21"/>
          <w:szCs w:val="24"/>
        </w:rPr>
        <w:t>)</w:t>
      </w:r>
      <w:r>
        <w:rPr>
          <w:rFonts w:hint="eastAsia" w:ascii="宋体"/>
          <w:sz w:val="21"/>
          <w:szCs w:val="24"/>
        </w:rPr>
        <w:t>鉴于工程的特殊性，如本工程必须采取夜间施工，中标单位应将影响道路交通通行的因素减少到最低程度。</w:t>
      </w:r>
    </w:p>
    <w:p>
      <w:pPr>
        <w:spacing w:line="360" w:lineRule="auto"/>
        <w:ind w:firstLine="420" w:firstLineChars="200"/>
        <w:jc w:val="both"/>
        <w:rPr>
          <w:rFonts w:ascii="宋体"/>
          <w:sz w:val="21"/>
          <w:szCs w:val="24"/>
        </w:rPr>
      </w:pPr>
      <w:r>
        <w:rPr>
          <w:rFonts w:hint="eastAsia" w:ascii="宋体"/>
          <w:sz w:val="21"/>
          <w:szCs w:val="24"/>
        </w:rPr>
        <w:t>8</w:t>
      </w:r>
      <w:r>
        <w:rPr>
          <w:rFonts w:ascii="宋体"/>
          <w:sz w:val="21"/>
          <w:szCs w:val="24"/>
        </w:rPr>
        <w:t>)</w:t>
      </w:r>
      <w:r>
        <w:rPr>
          <w:rFonts w:hint="eastAsia" w:ascii="宋体"/>
          <w:sz w:val="21"/>
          <w:szCs w:val="24"/>
        </w:rPr>
        <w:t>中标单位在与</w:t>
      </w:r>
      <w:r>
        <w:rPr>
          <w:rFonts w:hint="eastAsia" w:ascii="宋体"/>
          <w:bCs/>
          <w:sz w:val="21"/>
          <w:szCs w:val="24"/>
        </w:rPr>
        <w:t>采购单位</w:t>
      </w:r>
      <w:r>
        <w:rPr>
          <w:rFonts w:hint="eastAsia" w:ascii="宋体"/>
          <w:sz w:val="21"/>
          <w:szCs w:val="24"/>
        </w:rPr>
        <w:t>签订施工承包合同的同时要签订安全生产责任协议书、文明施工责任协议书和廉政责任书，</w:t>
      </w:r>
      <w:r>
        <w:rPr>
          <w:rFonts w:hint="eastAsia" w:ascii="宋体"/>
          <w:bCs/>
          <w:sz w:val="21"/>
          <w:szCs w:val="24"/>
        </w:rPr>
        <w:t>成交供应商</w:t>
      </w:r>
      <w:r>
        <w:rPr>
          <w:rFonts w:hint="eastAsia" w:ascii="宋体"/>
          <w:sz w:val="21"/>
          <w:szCs w:val="24"/>
        </w:rPr>
        <w:t>若违反规定野蛮施工、违章作业等，</w:t>
      </w:r>
      <w:r>
        <w:rPr>
          <w:rFonts w:hint="eastAsia" w:ascii="宋体"/>
          <w:bCs/>
          <w:sz w:val="21"/>
          <w:szCs w:val="24"/>
        </w:rPr>
        <w:t>采购单位</w:t>
      </w:r>
      <w:r>
        <w:rPr>
          <w:rFonts w:hint="eastAsia" w:ascii="宋体"/>
          <w:sz w:val="21"/>
          <w:szCs w:val="24"/>
        </w:rPr>
        <w:t>有权限令停工整改，一切损失由</w:t>
      </w:r>
      <w:r>
        <w:rPr>
          <w:rFonts w:hint="eastAsia" w:ascii="宋体"/>
          <w:bCs/>
          <w:sz w:val="21"/>
          <w:szCs w:val="24"/>
        </w:rPr>
        <w:t>成交供应商</w:t>
      </w:r>
      <w:r>
        <w:rPr>
          <w:rFonts w:hint="eastAsia" w:ascii="宋体"/>
          <w:sz w:val="21"/>
          <w:szCs w:val="24"/>
        </w:rPr>
        <w:t>承担，同时</w:t>
      </w:r>
      <w:r>
        <w:rPr>
          <w:rFonts w:hint="eastAsia" w:ascii="宋体"/>
          <w:bCs/>
          <w:sz w:val="21"/>
          <w:szCs w:val="24"/>
        </w:rPr>
        <w:t>采购单位</w:t>
      </w:r>
      <w:r>
        <w:rPr>
          <w:rFonts w:hint="eastAsia" w:ascii="宋体"/>
          <w:sz w:val="21"/>
          <w:szCs w:val="24"/>
        </w:rPr>
        <w:t>有权可以对</w:t>
      </w:r>
      <w:r>
        <w:rPr>
          <w:rFonts w:hint="eastAsia" w:ascii="宋体"/>
          <w:bCs/>
          <w:sz w:val="21"/>
          <w:szCs w:val="24"/>
        </w:rPr>
        <w:t>成交供应商</w:t>
      </w:r>
      <w:r>
        <w:rPr>
          <w:rFonts w:hint="eastAsia" w:ascii="宋体"/>
          <w:sz w:val="21"/>
          <w:szCs w:val="24"/>
        </w:rPr>
        <w:t>的违约责任给予适当的经济处罚。</w:t>
      </w:r>
    </w:p>
    <w:p>
      <w:pPr>
        <w:spacing w:line="360" w:lineRule="auto"/>
        <w:ind w:firstLine="420" w:firstLineChars="200"/>
        <w:jc w:val="both"/>
        <w:rPr>
          <w:rFonts w:hint="eastAsia" w:ascii="宋体"/>
          <w:sz w:val="21"/>
          <w:szCs w:val="24"/>
        </w:rPr>
      </w:pPr>
      <w:r>
        <w:rPr>
          <w:rFonts w:hint="eastAsia" w:ascii="宋体"/>
          <w:sz w:val="21"/>
          <w:szCs w:val="24"/>
        </w:rPr>
        <w:t>9</w:t>
      </w:r>
      <w:r>
        <w:rPr>
          <w:rFonts w:ascii="宋体"/>
          <w:sz w:val="21"/>
          <w:szCs w:val="24"/>
        </w:rPr>
        <w:t>)</w:t>
      </w:r>
      <w:r>
        <w:rPr>
          <w:rFonts w:hint="eastAsia" w:ascii="宋体"/>
          <w:sz w:val="21"/>
          <w:szCs w:val="24"/>
        </w:rPr>
        <w:t>各投标人在投标文件中要结合本工程的特点和</w:t>
      </w:r>
      <w:r>
        <w:rPr>
          <w:rFonts w:hint="eastAsia" w:ascii="宋体"/>
          <w:bCs/>
          <w:sz w:val="21"/>
          <w:szCs w:val="24"/>
        </w:rPr>
        <w:t>采购单位</w:t>
      </w:r>
      <w:r>
        <w:rPr>
          <w:rFonts w:hint="eastAsia" w:ascii="宋体"/>
          <w:sz w:val="21"/>
          <w:szCs w:val="24"/>
        </w:rPr>
        <w:t>上述的具体要求制定相应的施工方案和文明施工和安全生产管理措施，报施工监理批准后方可实施。</w:t>
      </w:r>
    </w:p>
    <w:p>
      <w:pPr>
        <w:spacing w:line="360" w:lineRule="auto"/>
        <w:ind w:firstLine="420" w:firstLineChars="200"/>
        <w:jc w:val="both"/>
        <w:rPr>
          <w:rFonts w:ascii="宋体"/>
          <w:sz w:val="21"/>
          <w:szCs w:val="24"/>
        </w:rPr>
      </w:pPr>
      <w:r>
        <w:rPr>
          <w:rFonts w:ascii="宋体"/>
          <w:sz w:val="21"/>
          <w:szCs w:val="24"/>
        </w:rPr>
        <w:t>2</w:t>
      </w:r>
      <w:r>
        <w:rPr>
          <w:rFonts w:hint="eastAsia" w:ascii="宋体"/>
          <w:sz w:val="21"/>
          <w:szCs w:val="24"/>
        </w:rPr>
        <w:t>、项目承包方式及管理要求</w:t>
      </w:r>
    </w:p>
    <w:p>
      <w:pPr>
        <w:spacing w:line="360" w:lineRule="auto"/>
        <w:ind w:firstLine="420" w:firstLineChars="200"/>
        <w:jc w:val="both"/>
        <w:rPr>
          <w:rFonts w:ascii="宋体"/>
          <w:sz w:val="21"/>
          <w:szCs w:val="24"/>
        </w:rPr>
      </w:pPr>
      <w:r>
        <w:rPr>
          <w:rFonts w:ascii="宋体"/>
          <w:sz w:val="21"/>
          <w:szCs w:val="24"/>
        </w:rPr>
        <w:t>2.1</w:t>
      </w:r>
      <w:r>
        <w:rPr>
          <w:rFonts w:hint="eastAsia" w:ascii="宋体"/>
          <w:sz w:val="21"/>
          <w:szCs w:val="24"/>
        </w:rPr>
        <w:t>、依据本项目的招标范围和内容，</w:t>
      </w:r>
      <w:r>
        <w:rPr>
          <w:rFonts w:hint="eastAsia" w:ascii="宋体"/>
          <w:bCs/>
          <w:sz w:val="21"/>
          <w:szCs w:val="24"/>
        </w:rPr>
        <w:t>成交供应商</w:t>
      </w:r>
      <w:r>
        <w:rPr>
          <w:rFonts w:hint="eastAsia" w:ascii="宋体"/>
          <w:sz w:val="21"/>
          <w:szCs w:val="24"/>
        </w:rPr>
        <w:t>以包施工、</w:t>
      </w:r>
      <w:r>
        <w:rPr>
          <w:rFonts w:ascii="宋体"/>
          <w:sz w:val="21"/>
          <w:szCs w:val="24"/>
        </w:rPr>
        <w:t xml:space="preserve"> </w:t>
      </w:r>
      <w:r>
        <w:rPr>
          <w:rFonts w:hint="eastAsia" w:ascii="宋体"/>
          <w:sz w:val="21"/>
          <w:szCs w:val="24"/>
        </w:rPr>
        <w:t>包质量、包安全的方式实施本项目施工承包并确保本项目最终验收的顺利通过。</w:t>
      </w:r>
      <w:r>
        <w:rPr>
          <w:rFonts w:hint="eastAsia" w:ascii="宋体"/>
          <w:bCs/>
          <w:sz w:val="21"/>
          <w:szCs w:val="24"/>
        </w:rPr>
        <w:t>成交供应商</w:t>
      </w:r>
      <w:r>
        <w:rPr>
          <w:rFonts w:hint="eastAsia" w:ascii="宋体"/>
          <w:sz w:val="21"/>
          <w:szCs w:val="24"/>
        </w:rPr>
        <w:t>应严格按国家、上海市有关规定和有关部门确认的设计和施工技术方案施工，并无条件地接受发包单位、设计单位、工程监理单位、审计单位等对工程质量、进度、造价、安全、现场文明施工等方面的监督管理。</w:t>
      </w:r>
    </w:p>
    <w:p>
      <w:pPr>
        <w:spacing w:line="360" w:lineRule="auto"/>
        <w:ind w:firstLine="420" w:firstLineChars="200"/>
        <w:jc w:val="both"/>
        <w:rPr>
          <w:rFonts w:ascii="宋体"/>
          <w:sz w:val="21"/>
          <w:szCs w:val="24"/>
        </w:rPr>
      </w:pPr>
      <w:r>
        <w:rPr>
          <w:rFonts w:ascii="宋体"/>
          <w:sz w:val="21"/>
          <w:szCs w:val="24"/>
        </w:rPr>
        <w:t>2.2</w:t>
      </w:r>
      <w:r>
        <w:rPr>
          <w:rFonts w:hint="eastAsia" w:ascii="宋体"/>
          <w:sz w:val="21"/>
          <w:szCs w:val="24"/>
        </w:rPr>
        <w:t>、本项目将纳入监理单位、</w:t>
      </w:r>
      <w:r>
        <w:rPr>
          <w:rFonts w:hint="eastAsia" w:ascii="宋体"/>
          <w:bCs/>
          <w:sz w:val="21"/>
          <w:szCs w:val="24"/>
        </w:rPr>
        <w:t>采购单位</w:t>
      </w:r>
      <w:r>
        <w:rPr>
          <w:rFonts w:hint="eastAsia" w:ascii="宋体"/>
          <w:sz w:val="21"/>
          <w:szCs w:val="24"/>
        </w:rPr>
        <w:t>的管理范围，</w:t>
      </w:r>
      <w:r>
        <w:rPr>
          <w:rFonts w:hint="eastAsia" w:ascii="宋体"/>
          <w:bCs/>
          <w:sz w:val="21"/>
          <w:szCs w:val="24"/>
        </w:rPr>
        <w:t>成交供应商</w:t>
      </w:r>
      <w:r>
        <w:rPr>
          <w:rFonts w:hint="eastAsia" w:ascii="宋体"/>
          <w:sz w:val="21"/>
          <w:szCs w:val="24"/>
        </w:rPr>
        <w:t>在此过程中须服从上述单位的管理协调。</w:t>
      </w:r>
    </w:p>
    <w:p>
      <w:pPr>
        <w:spacing w:line="360" w:lineRule="auto"/>
        <w:ind w:firstLine="420" w:firstLineChars="200"/>
        <w:jc w:val="both"/>
        <w:rPr>
          <w:rFonts w:ascii="宋体"/>
          <w:sz w:val="21"/>
          <w:szCs w:val="24"/>
        </w:rPr>
      </w:pPr>
      <w:r>
        <w:rPr>
          <w:rFonts w:ascii="宋体"/>
          <w:sz w:val="21"/>
          <w:szCs w:val="24"/>
        </w:rPr>
        <w:t>2.3</w:t>
      </w:r>
      <w:r>
        <w:rPr>
          <w:rFonts w:hint="eastAsia" w:ascii="宋体"/>
          <w:sz w:val="21"/>
          <w:szCs w:val="24"/>
        </w:rPr>
        <w:t>、除买方书面同意外，</w:t>
      </w:r>
      <w:r>
        <w:rPr>
          <w:rFonts w:hint="eastAsia" w:ascii="宋体"/>
          <w:bCs/>
          <w:sz w:val="21"/>
          <w:szCs w:val="24"/>
        </w:rPr>
        <w:t>成交供应商</w:t>
      </w:r>
      <w:r>
        <w:rPr>
          <w:rFonts w:hint="eastAsia" w:ascii="宋体"/>
          <w:sz w:val="21"/>
          <w:szCs w:val="24"/>
        </w:rPr>
        <w:t>不得转让或分包其应履行的合同义务。</w:t>
      </w:r>
    </w:p>
    <w:p>
      <w:pPr>
        <w:spacing w:line="360" w:lineRule="auto"/>
        <w:ind w:firstLine="420" w:firstLineChars="200"/>
        <w:jc w:val="both"/>
        <w:rPr>
          <w:rFonts w:ascii="宋体"/>
          <w:sz w:val="21"/>
          <w:szCs w:val="24"/>
        </w:rPr>
      </w:pPr>
      <w:r>
        <w:rPr>
          <w:rFonts w:ascii="宋体"/>
          <w:sz w:val="21"/>
          <w:szCs w:val="24"/>
        </w:rPr>
        <w:t>2.4</w:t>
      </w:r>
      <w:r>
        <w:rPr>
          <w:rFonts w:hint="eastAsia" w:ascii="宋体"/>
          <w:sz w:val="21"/>
          <w:szCs w:val="24"/>
        </w:rPr>
        <w:t>一旦发包单位发现</w:t>
      </w:r>
      <w:r>
        <w:rPr>
          <w:rFonts w:hint="eastAsia" w:ascii="宋体"/>
          <w:bCs/>
          <w:sz w:val="21"/>
          <w:szCs w:val="24"/>
        </w:rPr>
        <w:t>成交供应商</w:t>
      </w:r>
      <w:r>
        <w:rPr>
          <w:rFonts w:hint="eastAsia" w:ascii="宋体"/>
          <w:sz w:val="21"/>
          <w:szCs w:val="24"/>
        </w:rPr>
        <w:t>有发包单位同意之外的自行分包或转包行为，发包单位将予立即制止，并视情况严重程度决定是否中止或终止工程施工承包合同，由此引起的一切法律责任和经济损失，均由</w:t>
      </w:r>
      <w:r>
        <w:rPr>
          <w:rFonts w:hint="eastAsia" w:ascii="宋体"/>
          <w:bCs/>
          <w:sz w:val="21"/>
          <w:szCs w:val="24"/>
        </w:rPr>
        <w:t>成交供应商</w:t>
      </w:r>
      <w:r>
        <w:rPr>
          <w:rFonts w:hint="eastAsia" w:ascii="宋体"/>
          <w:sz w:val="21"/>
          <w:szCs w:val="24"/>
        </w:rPr>
        <w:t>承担。</w:t>
      </w:r>
    </w:p>
    <w:p>
      <w:pPr>
        <w:spacing w:line="360" w:lineRule="auto"/>
        <w:ind w:firstLine="420" w:firstLineChars="200"/>
        <w:jc w:val="both"/>
        <w:rPr>
          <w:rFonts w:ascii="宋体"/>
          <w:sz w:val="21"/>
          <w:szCs w:val="24"/>
        </w:rPr>
      </w:pPr>
      <w:r>
        <w:rPr>
          <w:rFonts w:ascii="宋体"/>
          <w:sz w:val="21"/>
          <w:szCs w:val="24"/>
        </w:rPr>
        <w:t>2.5</w:t>
      </w:r>
      <w:r>
        <w:rPr>
          <w:rFonts w:hint="eastAsia" w:ascii="宋体"/>
          <w:sz w:val="21"/>
          <w:szCs w:val="24"/>
        </w:rPr>
        <w:t>、项目管理要求：投标人在响应书中承诺并经采购人认定的项目经理及专业技术管理人员必须是该项目施工现场的实际操作者，并应常驻项目现场。未经采购人同意，成交供应商不得调换或撤离上述人员。如采购人认为有必要，可要求成交供应商对上述人员中的部分人员作出更好的调整。</w:t>
      </w:r>
    </w:p>
    <w:p>
      <w:pPr>
        <w:spacing w:line="360" w:lineRule="auto"/>
        <w:ind w:firstLine="420" w:firstLineChars="200"/>
        <w:jc w:val="both"/>
        <w:rPr>
          <w:rFonts w:ascii="宋体"/>
          <w:sz w:val="21"/>
          <w:szCs w:val="24"/>
        </w:rPr>
      </w:pPr>
      <w:r>
        <w:rPr>
          <w:rFonts w:ascii="宋体"/>
          <w:sz w:val="21"/>
          <w:szCs w:val="24"/>
        </w:rPr>
        <w:t>2.6</w:t>
      </w:r>
      <w:r>
        <w:rPr>
          <w:rFonts w:hint="eastAsia" w:ascii="宋体"/>
          <w:sz w:val="21"/>
          <w:szCs w:val="24"/>
        </w:rPr>
        <w:t>、工程竣工时，成交供应商应按规定向发包单位提交工程竣工报告、竣工图及全部竣工资料。</w:t>
      </w:r>
    </w:p>
    <w:p>
      <w:pPr>
        <w:spacing w:line="360" w:lineRule="auto"/>
        <w:ind w:firstLine="420" w:firstLineChars="200"/>
        <w:jc w:val="both"/>
        <w:rPr>
          <w:rFonts w:ascii="宋体"/>
          <w:sz w:val="21"/>
          <w:szCs w:val="24"/>
        </w:rPr>
      </w:pPr>
      <w:r>
        <w:rPr>
          <w:rFonts w:ascii="宋体"/>
          <w:sz w:val="21"/>
          <w:szCs w:val="24"/>
        </w:rPr>
        <w:t>2.7</w:t>
      </w:r>
      <w:r>
        <w:rPr>
          <w:rFonts w:hint="eastAsia" w:ascii="宋体"/>
          <w:sz w:val="21"/>
          <w:szCs w:val="24"/>
        </w:rPr>
        <w:t>、竣工日期以本工程监理单位及政府质量监督部门验收通过之日为准。工程验收合格，通过验收的当天即为竣工日期。</w:t>
      </w:r>
    </w:p>
    <w:p>
      <w:pPr>
        <w:spacing w:line="360" w:lineRule="auto"/>
        <w:ind w:firstLine="420" w:firstLineChars="200"/>
        <w:jc w:val="both"/>
        <w:rPr>
          <w:rFonts w:ascii="宋体"/>
          <w:sz w:val="21"/>
          <w:szCs w:val="21"/>
        </w:rPr>
      </w:pPr>
      <w:r>
        <w:rPr>
          <w:rFonts w:ascii="宋体"/>
          <w:sz w:val="21"/>
          <w:szCs w:val="21"/>
        </w:rPr>
        <w:t>3</w:t>
      </w:r>
      <w:r>
        <w:rPr>
          <w:rFonts w:hint="eastAsia" w:ascii="宋体"/>
          <w:sz w:val="21"/>
          <w:szCs w:val="21"/>
        </w:rPr>
        <w:t>、材料、设备、制品等的供应关系</w:t>
      </w:r>
    </w:p>
    <w:p>
      <w:pPr>
        <w:spacing w:line="360" w:lineRule="auto"/>
        <w:ind w:firstLine="420" w:firstLineChars="200"/>
        <w:jc w:val="both"/>
        <w:rPr>
          <w:rFonts w:ascii="宋体"/>
          <w:sz w:val="21"/>
          <w:szCs w:val="21"/>
        </w:rPr>
      </w:pPr>
      <w:r>
        <w:rPr>
          <w:rFonts w:ascii="宋体"/>
          <w:sz w:val="21"/>
          <w:szCs w:val="21"/>
        </w:rPr>
        <w:t>3.1</w:t>
      </w:r>
      <w:r>
        <w:rPr>
          <w:rFonts w:hint="eastAsia" w:ascii="宋体"/>
          <w:sz w:val="21"/>
          <w:szCs w:val="21"/>
        </w:rPr>
        <w:t>、本工程所用的材料、制品、设备等，供货单位送达施工现场后，由成交供应商负责办理验收交割手续，并负责日常保管工作。</w:t>
      </w:r>
    </w:p>
    <w:p>
      <w:pPr>
        <w:spacing w:line="360" w:lineRule="auto"/>
        <w:ind w:firstLine="420" w:firstLineChars="200"/>
        <w:jc w:val="both"/>
        <w:rPr>
          <w:rFonts w:ascii="宋体"/>
          <w:sz w:val="21"/>
          <w:szCs w:val="21"/>
        </w:rPr>
      </w:pPr>
      <w:r>
        <w:rPr>
          <w:rFonts w:ascii="宋体"/>
          <w:sz w:val="21"/>
          <w:szCs w:val="21"/>
        </w:rPr>
        <w:t>3.2</w:t>
      </w:r>
      <w:r>
        <w:rPr>
          <w:rFonts w:hint="eastAsia" w:ascii="宋体"/>
          <w:sz w:val="21"/>
          <w:szCs w:val="21"/>
        </w:rPr>
        <w:t>、投标人在投标时应同时提供本工程主要设备与材料的规格、型号、品牌、品种、产地、供应商及价格情况一览表。对各下投标人投标时提供的本工程主要材料与设备，发包单位有权要求成交供应商作出更换，直至发包单位满意为止。</w:t>
      </w:r>
    </w:p>
    <w:p>
      <w:pPr>
        <w:spacing w:line="360" w:lineRule="auto"/>
        <w:ind w:firstLine="420" w:firstLineChars="200"/>
        <w:jc w:val="both"/>
        <w:rPr>
          <w:rFonts w:ascii="宋体"/>
          <w:sz w:val="21"/>
          <w:szCs w:val="21"/>
        </w:rPr>
      </w:pPr>
      <w:r>
        <w:rPr>
          <w:rFonts w:ascii="宋体"/>
          <w:sz w:val="21"/>
          <w:szCs w:val="21"/>
        </w:rPr>
        <w:t>4</w:t>
      </w:r>
      <w:r>
        <w:rPr>
          <w:rFonts w:hint="eastAsia" w:ascii="宋体"/>
          <w:sz w:val="21"/>
          <w:szCs w:val="21"/>
        </w:rPr>
        <w:t>、设计变更</w:t>
      </w:r>
    </w:p>
    <w:p>
      <w:pPr>
        <w:spacing w:line="360" w:lineRule="auto"/>
        <w:ind w:firstLine="420" w:firstLineChars="200"/>
        <w:jc w:val="both"/>
        <w:rPr>
          <w:rFonts w:ascii="宋体"/>
          <w:sz w:val="21"/>
          <w:szCs w:val="21"/>
        </w:rPr>
      </w:pPr>
      <w:r>
        <w:rPr>
          <w:rFonts w:ascii="宋体"/>
          <w:sz w:val="21"/>
          <w:szCs w:val="21"/>
        </w:rPr>
        <w:t>4.1</w:t>
      </w:r>
      <w:r>
        <w:rPr>
          <w:rFonts w:hint="eastAsia" w:ascii="宋体"/>
          <w:sz w:val="21"/>
          <w:szCs w:val="21"/>
        </w:rPr>
        <w:t>、工程施工中，成交供应商不得擅自变更设计图纸和设计文件规定的要求，否则由成交供应商承担一切责任。</w:t>
      </w:r>
    </w:p>
    <w:p>
      <w:pPr>
        <w:spacing w:line="360" w:lineRule="auto"/>
        <w:ind w:firstLine="420" w:firstLineChars="200"/>
        <w:jc w:val="both"/>
        <w:rPr>
          <w:rFonts w:ascii="宋体"/>
          <w:sz w:val="21"/>
          <w:szCs w:val="21"/>
        </w:rPr>
      </w:pPr>
      <w:r>
        <w:rPr>
          <w:rFonts w:ascii="宋体"/>
          <w:sz w:val="21"/>
          <w:szCs w:val="21"/>
        </w:rPr>
        <w:t>4.2</w:t>
      </w:r>
      <w:r>
        <w:rPr>
          <w:rFonts w:hint="eastAsia" w:ascii="宋体"/>
          <w:sz w:val="21"/>
          <w:szCs w:val="21"/>
        </w:rPr>
        <w:t>、施工期间发生的所有设计变更必须由设计单位出具设计变更通知单送发包单位同意后方可实施。</w:t>
      </w:r>
    </w:p>
    <w:p>
      <w:pPr>
        <w:spacing w:line="360" w:lineRule="auto"/>
        <w:ind w:firstLine="420" w:firstLineChars="200"/>
        <w:jc w:val="both"/>
        <w:rPr>
          <w:rFonts w:ascii="宋体"/>
          <w:sz w:val="24"/>
          <w:szCs w:val="24"/>
        </w:rPr>
      </w:pPr>
      <w:r>
        <w:rPr>
          <w:rFonts w:ascii="宋体"/>
          <w:sz w:val="21"/>
          <w:szCs w:val="21"/>
        </w:rPr>
        <w:t>4.3</w:t>
      </w:r>
      <w:r>
        <w:rPr>
          <w:rFonts w:hint="eastAsia" w:ascii="宋体"/>
          <w:sz w:val="21"/>
          <w:szCs w:val="21"/>
        </w:rPr>
        <w:t>、施工期间所发生的所有技术核定工作，成交供应商必须经招标、监理、设计等单位一起办妥会签手续，方可实施，否则视为无效。</w:t>
      </w:r>
    </w:p>
    <w:p>
      <w:pPr>
        <w:spacing w:line="360" w:lineRule="auto"/>
        <w:ind w:firstLine="420" w:firstLineChars="200"/>
        <w:jc w:val="both"/>
        <w:rPr>
          <w:rFonts w:ascii="宋体"/>
          <w:sz w:val="21"/>
          <w:szCs w:val="21"/>
        </w:rPr>
      </w:pPr>
      <w:r>
        <w:rPr>
          <w:rFonts w:ascii="宋体"/>
          <w:sz w:val="21"/>
          <w:szCs w:val="21"/>
        </w:rPr>
        <w:t>5</w:t>
      </w:r>
      <w:r>
        <w:rPr>
          <w:rFonts w:hint="eastAsia" w:ascii="宋体"/>
          <w:sz w:val="21"/>
          <w:szCs w:val="21"/>
        </w:rPr>
        <w:t>、工程竣工验收要求</w:t>
      </w:r>
    </w:p>
    <w:p>
      <w:pPr>
        <w:spacing w:line="360" w:lineRule="auto"/>
        <w:ind w:firstLine="420" w:firstLineChars="200"/>
        <w:jc w:val="both"/>
        <w:rPr>
          <w:rFonts w:ascii="宋体"/>
          <w:sz w:val="21"/>
          <w:szCs w:val="21"/>
        </w:rPr>
      </w:pPr>
      <w:r>
        <w:rPr>
          <w:rFonts w:hint="eastAsia" w:ascii="宋体"/>
          <w:sz w:val="21"/>
          <w:szCs w:val="21"/>
        </w:rPr>
        <w:t>工程竣工，施工单位应向</w:t>
      </w:r>
      <w:r>
        <w:rPr>
          <w:rFonts w:hint="eastAsia" w:ascii="宋体"/>
          <w:bCs/>
          <w:sz w:val="21"/>
          <w:szCs w:val="21"/>
        </w:rPr>
        <w:t>采购单位</w:t>
      </w:r>
      <w:r>
        <w:rPr>
          <w:rFonts w:hint="eastAsia" w:ascii="宋体"/>
          <w:sz w:val="21"/>
          <w:szCs w:val="21"/>
        </w:rPr>
        <w:t>提交竣工报告及相关图纸资料（提供光盘</w:t>
      </w:r>
      <w:r>
        <w:rPr>
          <w:rFonts w:ascii="宋体"/>
          <w:sz w:val="21"/>
          <w:szCs w:val="21"/>
        </w:rPr>
        <w:t>AUTO CAD</w:t>
      </w:r>
      <w:r>
        <w:rPr>
          <w:rFonts w:hint="eastAsia" w:ascii="宋体"/>
          <w:sz w:val="21"/>
          <w:szCs w:val="21"/>
        </w:rPr>
        <w:t>），由招标方组织验收，验收时间不作为工期累计。工程验收合格，则施工单位提交竣工报告的当天即为竣工日期，如验收不合格，则返工时间作为工期累计。</w:t>
      </w:r>
    </w:p>
    <w:p>
      <w:pPr>
        <w:spacing w:line="360" w:lineRule="auto"/>
        <w:ind w:firstLine="420" w:firstLineChars="200"/>
        <w:jc w:val="both"/>
        <w:rPr>
          <w:rFonts w:ascii="宋体"/>
          <w:sz w:val="21"/>
          <w:szCs w:val="21"/>
        </w:rPr>
      </w:pPr>
      <w:r>
        <w:rPr>
          <w:rFonts w:ascii="宋体"/>
          <w:sz w:val="21"/>
          <w:szCs w:val="21"/>
        </w:rPr>
        <w:t>5.1</w:t>
      </w:r>
      <w:r>
        <w:rPr>
          <w:rFonts w:hint="eastAsia" w:ascii="宋体"/>
          <w:sz w:val="21"/>
          <w:szCs w:val="21"/>
        </w:rPr>
        <w:t>、复线工程竣工结束后</w:t>
      </w:r>
      <w:r>
        <w:rPr>
          <w:rFonts w:ascii="宋体"/>
          <w:sz w:val="21"/>
          <w:szCs w:val="21"/>
        </w:rPr>
        <w:t>10</w:t>
      </w:r>
      <w:r>
        <w:rPr>
          <w:rFonts w:hint="eastAsia" w:ascii="宋体"/>
          <w:sz w:val="21"/>
          <w:szCs w:val="21"/>
        </w:rPr>
        <w:t>日内，由施工单位会同监理单位向采购人提出工程初验申请，采购人在接到申请后</w:t>
      </w:r>
      <w:r>
        <w:rPr>
          <w:rFonts w:ascii="宋体"/>
          <w:sz w:val="21"/>
          <w:szCs w:val="21"/>
        </w:rPr>
        <w:t>10</w:t>
      </w:r>
      <w:r>
        <w:rPr>
          <w:rFonts w:hint="eastAsia" w:ascii="宋体"/>
          <w:sz w:val="21"/>
          <w:szCs w:val="21"/>
        </w:rPr>
        <w:t>日内组织验收，并在验收报告单栏中签署验收意见。初验结束后，监理单位需出具本包交通设施工程验收报告。</w:t>
      </w:r>
    </w:p>
    <w:p>
      <w:pPr>
        <w:spacing w:line="360" w:lineRule="auto"/>
        <w:ind w:firstLine="420" w:firstLineChars="200"/>
        <w:jc w:val="both"/>
        <w:rPr>
          <w:rFonts w:ascii="宋体"/>
          <w:sz w:val="21"/>
          <w:szCs w:val="21"/>
        </w:rPr>
      </w:pPr>
      <w:r>
        <w:rPr>
          <w:rFonts w:ascii="宋体"/>
          <w:sz w:val="21"/>
          <w:szCs w:val="21"/>
        </w:rPr>
        <w:t>5.2</w:t>
      </w:r>
      <w:r>
        <w:rPr>
          <w:rFonts w:hint="eastAsia" w:ascii="宋体"/>
          <w:sz w:val="21"/>
          <w:szCs w:val="21"/>
        </w:rPr>
        <w:t>、初验结束后</w:t>
      </w:r>
      <w:r>
        <w:rPr>
          <w:rFonts w:ascii="宋体"/>
          <w:sz w:val="21"/>
          <w:szCs w:val="21"/>
        </w:rPr>
        <w:t>10</w:t>
      </w:r>
      <w:r>
        <w:rPr>
          <w:rFonts w:hint="eastAsia" w:ascii="宋体"/>
          <w:sz w:val="21"/>
          <w:szCs w:val="21"/>
        </w:rPr>
        <w:t>日内，由施工单位提出书面申请，提交“道路交通标线工程验收申请书或申请函”，甲方接到申请后在十个工作日内组织进行验收，验收由施工单位、采购人、监理单位等相关单位参加。</w:t>
      </w:r>
    </w:p>
    <w:p>
      <w:pPr>
        <w:spacing w:line="360" w:lineRule="auto"/>
        <w:ind w:firstLine="420" w:firstLineChars="200"/>
        <w:jc w:val="both"/>
        <w:rPr>
          <w:rFonts w:ascii="宋体"/>
          <w:sz w:val="21"/>
          <w:szCs w:val="21"/>
        </w:rPr>
      </w:pPr>
      <w:r>
        <w:rPr>
          <w:rFonts w:ascii="宋体"/>
          <w:sz w:val="21"/>
          <w:szCs w:val="21"/>
        </w:rPr>
        <w:t>5.3</w:t>
      </w:r>
      <w:r>
        <w:rPr>
          <w:rFonts w:hint="eastAsia" w:ascii="宋体"/>
          <w:sz w:val="21"/>
          <w:szCs w:val="21"/>
        </w:rPr>
        <w:t>、验收按本文件中的技术及施工服务要求进行，监理单位应在工程前或工程中进行分项查验，工程后应用摆式摩擦系数测定仪测定标线的抗滑摆值和检查有关标线的安全、实用性能。</w:t>
      </w:r>
    </w:p>
    <w:p>
      <w:pPr>
        <w:spacing w:line="360" w:lineRule="auto"/>
        <w:ind w:firstLine="420" w:firstLineChars="200"/>
        <w:jc w:val="both"/>
        <w:rPr>
          <w:rFonts w:ascii="宋体"/>
          <w:sz w:val="21"/>
          <w:szCs w:val="21"/>
        </w:rPr>
      </w:pPr>
      <w:r>
        <w:rPr>
          <w:rFonts w:ascii="宋体"/>
          <w:sz w:val="21"/>
          <w:szCs w:val="21"/>
        </w:rPr>
        <w:t>5.4</w:t>
      </w:r>
      <w:r>
        <w:rPr>
          <w:rFonts w:hint="eastAsia" w:ascii="宋体"/>
          <w:sz w:val="21"/>
          <w:szCs w:val="21"/>
        </w:rPr>
        <w:t>、验收合格，由施工单位将“交通设施工程验收报告单”交甲方单位签字盖章，办理完成后，由施工单位将验收报告单和“道路交通标线工程量结算表及汇总表”编制在竣工资料内交甲方，由审计部门审核后按合同要求付款。</w:t>
      </w:r>
    </w:p>
    <w:p>
      <w:pPr>
        <w:spacing w:line="360" w:lineRule="auto"/>
        <w:ind w:firstLine="420" w:firstLineChars="200"/>
        <w:jc w:val="both"/>
        <w:rPr>
          <w:rFonts w:ascii="宋体"/>
          <w:sz w:val="21"/>
          <w:szCs w:val="21"/>
        </w:rPr>
      </w:pPr>
      <w:r>
        <w:rPr>
          <w:rFonts w:ascii="宋体"/>
          <w:sz w:val="21"/>
          <w:szCs w:val="21"/>
        </w:rPr>
        <w:t>5.5</w:t>
      </w:r>
      <w:r>
        <w:rPr>
          <w:rFonts w:hint="eastAsia" w:ascii="宋体"/>
          <w:sz w:val="21"/>
          <w:szCs w:val="21"/>
        </w:rPr>
        <w:t>、验收不合格或部分不合格，由甲方（管理单位）发送“工程验收整改通知书”，乙方（施工单位）应按整改通知书要求进行整改，复验程序再按上述要求进行。</w:t>
      </w:r>
    </w:p>
    <w:p>
      <w:pPr>
        <w:spacing w:line="360" w:lineRule="auto"/>
        <w:ind w:firstLine="420" w:firstLineChars="200"/>
        <w:jc w:val="both"/>
        <w:rPr>
          <w:rFonts w:ascii="宋体"/>
          <w:sz w:val="21"/>
          <w:szCs w:val="21"/>
        </w:rPr>
      </w:pPr>
      <w:r>
        <w:rPr>
          <w:rFonts w:ascii="宋体"/>
          <w:sz w:val="21"/>
          <w:szCs w:val="21"/>
        </w:rPr>
        <w:t>5.6</w:t>
      </w:r>
      <w:r>
        <w:rPr>
          <w:rFonts w:hint="eastAsia" w:ascii="宋体"/>
          <w:sz w:val="21"/>
          <w:szCs w:val="21"/>
        </w:rPr>
        <w:t>、工程竣工结束后，乙方（施工单位）需协助甲方做好本包区域范围内的道路交通标线基础资料工作，具体要求由甲方协商各乙方实施，乙方应积极协助。</w:t>
      </w:r>
    </w:p>
    <w:p>
      <w:pPr>
        <w:spacing w:line="360" w:lineRule="auto"/>
        <w:ind w:firstLine="420" w:firstLineChars="200"/>
        <w:jc w:val="both"/>
        <w:rPr>
          <w:rFonts w:ascii="宋体"/>
          <w:sz w:val="21"/>
          <w:szCs w:val="21"/>
        </w:rPr>
      </w:pPr>
      <w:r>
        <w:rPr>
          <w:rFonts w:ascii="宋体"/>
          <w:sz w:val="21"/>
          <w:szCs w:val="21"/>
        </w:rPr>
        <w:t>6</w:t>
      </w:r>
      <w:r>
        <w:rPr>
          <w:rFonts w:hint="eastAsia" w:ascii="宋体"/>
          <w:sz w:val="21"/>
          <w:szCs w:val="21"/>
        </w:rPr>
        <w:t>、质量保修</w:t>
      </w:r>
    </w:p>
    <w:p>
      <w:pPr>
        <w:spacing w:line="360" w:lineRule="auto"/>
        <w:ind w:firstLine="420" w:firstLineChars="200"/>
        <w:jc w:val="both"/>
        <w:rPr>
          <w:rFonts w:ascii="宋体"/>
          <w:sz w:val="21"/>
          <w:szCs w:val="21"/>
        </w:rPr>
      </w:pPr>
      <w:r>
        <w:rPr>
          <w:rFonts w:ascii="宋体"/>
          <w:sz w:val="21"/>
          <w:szCs w:val="21"/>
        </w:rPr>
        <w:t>6.1</w:t>
      </w:r>
      <w:r>
        <w:rPr>
          <w:rFonts w:hint="eastAsia" w:ascii="宋体"/>
          <w:sz w:val="21"/>
          <w:szCs w:val="21"/>
        </w:rPr>
        <w:t>、保修范围：工程保修范围为本工程招标文件所明确的所有内容。</w:t>
      </w:r>
    </w:p>
    <w:p>
      <w:pPr>
        <w:spacing w:line="360" w:lineRule="auto"/>
        <w:ind w:firstLine="420" w:firstLineChars="200"/>
        <w:jc w:val="both"/>
        <w:rPr>
          <w:rFonts w:hint="eastAsia" w:ascii="宋体"/>
          <w:sz w:val="21"/>
          <w:szCs w:val="21"/>
        </w:rPr>
      </w:pPr>
      <w:r>
        <w:rPr>
          <w:rFonts w:ascii="宋体"/>
          <w:sz w:val="21"/>
          <w:szCs w:val="21"/>
        </w:rPr>
        <w:t>6.2</w:t>
      </w:r>
      <w:r>
        <w:rPr>
          <w:rFonts w:hint="eastAsia" w:ascii="宋体"/>
          <w:sz w:val="21"/>
          <w:szCs w:val="21"/>
        </w:rPr>
        <w:t>、质量保修期限：</w:t>
      </w:r>
      <w:r>
        <w:rPr>
          <w:rFonts w:ascii="宋体"/>
          <w:sz w:val="21"/>
          <w:szCs w:val="21"/>
        </w:rPr>
        <w:t>符合上海市市政养护标准及国家相关行业标准</w:t>
      </w:r>
      <w:r>
        <w:rPr>
          <w:rFonts w:hint="eastAsia" w:ascii="宋体"/>
          <w:sz w:val="21"/>
          <w:szCs w:val="21"/>
        </w:rPr>
        <w:t>。</w:t>
      </w:r>
    </w:p>
    <w:p>
      <w:pPr>
        <w:spacing w:line="360" w:lineRule="auto"/>
        <w:jc w:val="both"/>
        <w:outlineLvl w:val="1"/>
        <w:rPr>
          <w:rStyle w:val="90"/>
          <w:rFonts w:ascii="宋体"/>
          <w:b w:val="0"/>
          <w:sz w:val="21"/>
          <w:szCs w:val="21"/>
          <w:lang w:eastAsia="zh-CN"/>
        </w:rPr>
      </w:pPr>
    </w:p>
    <w:p>
      <w:pPr>
        <w:spacing w:line="360" w:lineRule="auto"/>
        <w:jc w:val="both"/>
        <w:outlineLvl w:val="1"/>
        <w:rPr>
          <w:rStyle w:val="90"/>
          <w:rFonts w:ascii="宋体"/>
          <w:sz w:val="21"/>
          <w:szCs w:val="21"/>
          <w:lang w:eastAsia="zh-CN"/>
        </w:rPr>
      </w:pPr>
      <w:r>
        <w:rPr>
          <w:b/>
          <w:sz w:val="21"/>
          <w:szCs w:val="21"/>
        </w:rPr>
        <w:drawing>
          <wp:anchor distT="0" distB="0" distL="114300" distR="114300" simplePos="0" relativeHeight="251661312" behindDoc="0" locked="0" layoutInCell="1" allowOverlap="1">
            <wp:simplePos x="0" y="0"/>
            <wp:positionH relativeFrom="column">
              <wp:posOffset>354330</wp:posOffset>
            </wp:positionH>
            <wp:positionV relativeFrom="paragraph">
              <wp:posOffset>161290</wp:posOffset>
            </wp:positionV>
            <wp:extent cx="154305" cy="635"/>
            <wp:effectExtent l="0" t="0" r="0" b="0"/>
            <wp:wrapNone/>
            <wp:docPr id="8" name="图片 8"/>
            <wp:cNvGraphicFramePr>
              <a:graphicFrameLocks xmlns:a="http://schemas.openxmlformats.org/drawingml/2006/main" noGrp="true" noChangeAspect="true"/>
            </wp:cNvGraphicFramePr>
            <a:graphic xmlns:a="http://schemas.openxmlformats.org/drawingml/2006/main">
              <a:graphicData uri="http://schemas.openxmlformats.org/drawingml/2006/picture">
                <pic:pic xmlns:pic="http://schemas.openxmlformats.org/drawingml/2006/picture">
                  <pic:nvPicPr>
                    <pic:cNvPr id="8" name="图片 8"/>
                    <pic:cNvPicPr>
                      <a:picLocks noGrp="true" noChangeAspect="true" noChangeArrowheads="true"/>
                    </pic:cNvPicPr>
                  </pic:nvPicPr>
                  <pic:blipFill>
                    <a:blip r:embed="rId8">
                      <a:extLst>
                        <a:ext uri="{28A0092B-C50C-407E-A947-70E740481C1C}">
                          <a14:useLocalDpi xmlns:a14="http://schemas.microsoft.com/office/drawing/2010/main" val="false"/>
                        </a:ext>
                      </a:extLst>
                    </a:blip>
                    <a:srcRect/>
                    <a:stretch>
                      <a:fillRect/>
                    </a:stretch>
                  </pic:blipFill>
                  <pic:spPr>
                    <a:xfrm>
                      <a:off x="0" y="0"/>
                      <a:ext cx="154305" cy="635"/>
                    </a:xfrm>
                    <a:prstGeom prst="rect">
                      <a:avLst/>
                    </a:prstGeom>
                    <a:noFill/>
                    <a:ln>
                      <a:noFill/>
                    </a:ln>
                  </pic:spPr>
                </pic:pic>
              </a:graphicData>
            </a:graphic>
          </wp:anchor>
        </w:drawing>
      </w:r>
      <w:r>
        <w:rPr>
          <w:rFonts w:hint="eastAsia"/>
          <w:b/>
          <w:sz w:val="21"/>
          <w:szCs w:val="21"/>
        </w:rPr>
        <w:t>四</w:t>
      </w:r>
      <w:r>
        <w:rPr>
          <w:rStyle w:val="90"/>
          <w:rFonts w:hint="eastAsia" w:ascii="宋体"/>
          <w:b w:val="0"/>
          <w:sz w:val="21"/>
          <w:szCs w:val="21"/>
          <w:lang w:eastAsia="zh-CN"/>
        </w:rPr>
        <w:t>、</w:t>
      </w:r>
      <w:r>
        <w:rPr>
          <w:rStyle w:val="90"/>
          <w:rFonts w:hint="eastAsia" w:ascii="宋体"/>
          <w:sz w:val="21"/>
          <w:szCs w:val="21"/>
          <w:lang w:eastAsia="zh-CN"/>
        </w:rPr>
        <w:t>投标人报价参考依据</w:t>
      </w:r>
    </w:p>
    <w:p>
      <w:pPr>
        <w:spacing w:line="360" w:lineRule="auto"/>
        <w:ind w:firstLine="420" w:firstLineChars="200"/>
        <w:jc w:val="both"/>
        <w:outlineLvl w:val="2"/>
        <w:rPr>
          <w:rFonts w:ascii="宋体"/>
          <w:bCs/>
          <w:iCs/>
          <w:sz w:val="21"/>
          <w:szCs w:val="21"/>
        </w:rPr>
      </w:pPr>
      <w:r>
        <w:rPr>
          <w:rFonts w:hint="eastAsia" w:ascii="宋体" w:cs="宋体"/>
          <w:sz w:val="21"/>
          <w:szCs w:val="21"/>
          <w:lang w:val="zh-CN"/>
        </w:rPr>
        <w:t>1、</w:t>
      </w:r>
      <w:r>
        <w:rPr>
          <w:rFonts w:hint="eastAsia" w:ascii="宋体"/>
          <w:bCs/>
          <w:iCs/>
          <w:sz w:val="21"/>
          <w:szCs w:val="21"/>
        </w:rPr>
        <w:t>养护维修工程设施量清单；</w:t>
      </w:r>
    </w:p>
    <w:p>
      <w:pPr>
        <w:spacing w:line="360" w:lineRule="auto"/>
        <w:ind w:firstLine="420" w:firstLineChars="200"/>
        <w:jc w:val="both"/>
        <w:outlineLvl w:val="2"/>
        <w:rPr>
          <w:rFonts w:ascii="宋体" w:cs="宋体"/>
          <w:sz w:val="21"/>
          <w:szCs w:val="21"/>
          <w:lang w:val="zh-CN"/>
        </w:rPr>
      </w:pPr>
      <w:r>
        <w:rPr>
          <w:rFonts w:hint="eastAsia" w:ascii="宋体" w:cs="宋体"/>
          <w:sz w:val="21"/>
          <w:szCs w:val="21"/>
        </w:rPr>
        <w:t>2、</w:t>
      </w:r>
      <w:r>
        <w:rPr>
          <w:rFonts w:hint="eastAsia" w:ascii="宋体" w:cs="宋体"/>
          <w:sz w:val="21"/>
          <w:szCs w:val="21"/>
          <w:lang w:val="zh-CN"/>
        </w:rPr>
        <w:t>上海市</w:t>
      </w:r>
      <w:bookmarkStart w:id="2" w:name="_GoBack"/>
      <w:bookmarkEnd w:id="2"/>
      <w:r>
        <w:rPr>
          <w:rFonts w:hint="eastAsia" w:ascii="宋体" w:cs="宋体"/>
          <w:sz w:val="21"/>
          <w:szCs w:val="21"/>
          <w:lang w:val="zh-CN"/>
        </w:rPr>
        <w:t>市政工程预算定额（</w:t>
      </w:r>
      <w:r>
        <w:rPr>
          <w:rFonts w:hint="eastAsia" w:ascii="宋体" w:cs="宋体"/>
          <w:sz w:val="21"/>
          <w:szCs w:val="21"/>
        </w:rPr>
        <w:t>2016</w:t>
      </w:r>
      <w:r>
        <w:rPr>
          <w:rFonts w:hint="eastAsia" w:ascii="宋体" w:cs="宋体"/>
          <w:sz w:val="21"/>
          <w:szCs w:val="21"/>
          <w:lang w:val="zh-CN"/>
        </w:rPr>
        <w:t>）；</w:t>
      </w:r>
    </w:p>
    <w:p>
      <w:pPr>
        <w:spacing w:line="360" w:lineRule="auto"/>
        <w:ind w:firstLine="420" w:firstLineChars="200"/>
        <w:jc w:val="both"/>
        <w:outlineLvl w:val="2"/>
        <w:rPr>
          <w:rFonts w:ascii="宋体"/>
          <w:bCs/>
          <w:iCs/>
          <w:sz w:val="21"/>
          <w:szCs w:val="21"/>
        </w:rPr>
      </w:pPr>
      <w:r>
        <w:rPr>
          <w:rFonts w:hint="eastAsia" w:ascii="宋体"/>
          <w:bCs/>
          <w:iCs/>
          <w:sz w:val="21"/>
          <w:szCs w:val="21"/>
        </w:rPr>
        <w:t>3、各专业养护维修的技术标准及有关规定；</w:t>
      </w:r>
    </w:p>
    <w:p>
      <w:pPr>
        <w:spacing w:line="360" w:lineRule="auto"/>
        <w:ind w:firstLine="420" w:firstLineChars="200"/>
        <w:jc w:val="both"/>
        <w:outlineLvl w:val="2"/>
        <w:rPr>
          <w:rFonts w:hint="eastAsia" w:ascii="宋体"/>
          <w:bCs/>
          <w:iCs/>
          <w:sz w:val="24"/>
          <w:szCs w:val="24"/>
        </w:rPr>
      </w:pPr>
      <w:r>
        <w:rPr>
          <w:rFonts w:hint="eastAsia" w:ascii="宋体"/>
          <w:bCs/>
          <w:iCs/>
          <w:sz w:val="21"/>
          <w:szCs w:val="21"/>
        </w:rPr>
        <w:t>4、其他有关市场报价要求。</w:t>
      </w:r>
    </w:p>
    <w:p>
      <w:pPr>
        <w:spacing w:line="360" w:lineRule="auto"/>
        <w:jc w:val="both"/>
        <w:outlineLvl w:val="1"/>
        <w:rPr>
          <w:rFonts w:ascii="宋体"/>
          <w:b/>
          <w:sz w:val="24"/>
          <w:szCs w:val="24"/>
        </w:rPr>
      </w:pPr>
    </w:p>
    <w:p>
      <w:pPr>
        <w:spacing w:line="360" w:lineRule="auto"/>
        <w:jc w:val="both"/>
        <w:outlineLvl w:val="1"/>
        <w:rPr>
          <w:rFonts w:ascii="宋体"/>
          <w:b/>
          <w:sz w:val="21"/>
          <w:szCs w:val="24"/>
        </w:rPr>
      </w:pPr>
      <w:r>
        <w:rPr>
          <w:rFonts w:hint="eastAsia" w:ascii="宋体"/>
          <w:b/>
          <w:sz w:val="21"/>
          <w:szCs w:val="24"/>
        </w:rPr>
        <w:t>五、重要事项说明</w:t>
      </w:r>
    </w:p>
    <w:p>
      <w:pPr>
        <w:spacing w:line="360" w:lineRule="auto"/>
        <w:ind w:firstLine="420" w:firstLineChars="200"/>
        <w:jc w:val="both"/>
        <w:rPr>
          <w:rFonts w:ascii="宋体"/>
          <w:sz w:val="21"/>
          <w:szCs w:val="24"/>
        </w:rPr>
      </w:pPr>
      <w:r>
        <w:rPr>
          <w:rFonts w:ascii="宋体"/>
          <w:sz w:val="21"/>
          <w:szCs w:val="24"/>
        </w:rPr>
        <w:t>1</w:t>
      </w:r>
      <w:r>
        <w:rPr>
          <w:rFonts w:hint="eastAsia" w:ascii="宋体"/>
          <w:sz w:val="21"/>
          <w:szCs w:val="24"/>
        </w:rPr>
        <w:t>、安全生产、文明施工与环境保护要求</w:t>
      </w:r>
    </w:p>
    <w:p>
      <w:pPr>
        <w:spacing w:line="360" w:lineRule="auto"/>
        <w:ind w:firstLine="420" w:firstLineChars="200"/>
        <w:jc w:val="both"/>
        <w:rPr>
          <w:rFonts w:ascii="宋体"/>
          <w:sz w:val="21"/>
          <w:szCs w:val="24"/>
        </w:rPr>
      </w:pPr>
      <w:r>
        <w:rPr>
          <w:rFonts w:hint="eastAsia" w:ascii="宋体"/>
          <w:sz w:val="21"/>
          <w:szCs w:val="24"/>
        </w:rPr>
        <w:t>为在养护维修作业承包期间确保作业区域周围环境的整洁和交通正常进行。投标人必须按照上海市人民政府和上海市市政工程管理局有关规定结合本项目的特点，在投标书中明确安全生产具体措施。</w:t>
      </w:r>
    </w:p>
    <w:p>
      <w:pPr>
        <w:spacing w:line="360" w:lineRule="auto"/>
        <w:ind w:firstLine="420" w:firstLineChars="200"/>
        <w:jc w:val="both"/>
        <w:rPr>
          <w:rFonts w:ascii="宋体"/>
          <w:sz w:val="21"/>
          <w:szCs w:val="24"/>
        </w:rPr>
      </w:pPr>
      <w:r>
        <w:rPr>
          <w:rFonts w:hint="eastAsia" w:ascii="宋体"/>
          <w:sz w:val="21"/>
          <w:szCs w:val="24"/>
        </w:rPr>
        <w:t>本工程施工必须实施文明施工。</w:t>
      </w:r>
    </w:p>
    <w:p>
      <w:pPr>
        <w:spacing w:line="360" w:lineRule="auto"/>
        <w:ind w:firstLine="420" w:firstLineChars="200"/>
        <w:jc w:val="both"/>
        <w:rPr>
          <w:rFonts w:ascii="宋体"/>
          <w:sz w:val="21"/>
          <w:szCs w:val="24"/>
        </w:rPr>
      </w:pPr>
      <w:r>
        <w:rPr>
          <w:rFonts w:hint="eastAsia" w:ascii="宋体"/>
          <w:bCs/>
          <w:sz w:val="21"/>
          <w:szCs w:val="24"/>
        </w:rPr>
        <w:t>成交供应商</w:t>
      </w:r>
      <w:r>
        <w:rPr>
          <w:rFonts w:hint="eastAsia" w:ascii="宋体"/>
          <w:sz w:val="21"/>
          <w:szCs w:val="24"/>
        </w:rPr>
        <w:t>在施工过程中必须严格执行国家与地方政府的环境保护政策、法规和法律，严格遵守上海市有关建设工程文明施工管理的规定，积极主动落实安全文明及环境保护施工的管理和考核等有关工作，严格履行发包单位关于现场临设及施工区域企业标识要求。</w:t>
      </w:r>
    </w:p>
    <w:p>
      <w:pPr>
        <w:spacing w:line="360" w:lineRule="auto"/>
        <w:ind w:firstLine="420" w:firstLineChars="200"/>
        <w:jc w:val="both"/>
        <w:rPr>
          <w:rFonts w:ascii="宋体"/>
          <w:sz w:val="21"/>
          <w:szCs w:val="24"/>
        </w:rPr>
      </w:pPr>
      <w:r>
        <w:rPr>
          <w:rFonts w:hint="eastAsia" w:ascii="宋体"/>
          <w:sz w:val="21"/>
          <w:szCs w:val="24"/>
        </w:rPr>
        <w:t>2、社会职能工作：</w:t>
      </w:r>
    </w:p>
    <w:p>
      <w:pPr>
        <w:spacing w:line="360" w:lineRule="auto"/>
        <w:ind w:firstLine="210" w:firstLineChars="100"/>
        <w:jc w:val="both"/>
        <w:rPr>
          <w:rFonts w:ascii="宋体"/>
          <w:sz w:val="21"/>
          <w:szCs w:val="24"/>
        </w:rPr>
      </w:pPr>
      <w:r>
        <w:rPr>
          <w:rFonts w:hint="eastAsia" w:ascii="宋体"/>
          <w:sz w:val="21"/>
          <w:szCs w:val="24"/>
        </w:rPr>
        <w:t>（1）遇突发事件或自然灾害，</w:t>
      </w:r>
      <w:r>
        <w:rPr>
          <w:rFonts w:hint="eastAsia" w:ascii="宋体"/>
          <w:bCs/>
          <w:sz w:val="21"/>
          <w:szCs w:val="24"/>
        </w:rPr>
        <w:t>中标供应商</w:t>
      </w:r>
      <w:r>
        <w:rPr>
          <w:rFonts w:hint="eastAsia" w:ascii="宋体"/>
          <w:sz w:val="21"/>
          <w:szCs w:val="24"/>
        </w:rPr>
        <w:t>必须服从</w:t>
      </w:r>
      <w:r>
        <w:rPr>
          <w:rFonts w:hint="eastAsia" w:ascii="宋体"/>
          <w:bCs/>
          <w:sz w:val="21"/>
          <w:szCs w:val="24"/>
        </w:rPr>
        <w:t>采购单位</w:t>
      </w:r>
      <w:r>
        <w:rPr>
          <w:rFonts w:hint="eastAsia" w:ascii="宋体"/>
          <w:sz w:val="21"/>
          <w:szCs w:val="24"/>
        </w:rPr>
        <w:t>的指挥和安排；</w:t>
      </w:r>
    </w:p>
    <w:p>
      <w:pPr>
        <w:spacing w:line="360" w:lineRule="auto"/>
        <w:ind w:firstLine="210" w:firstLineChars="100"/>
        <w:jc w:val="both"/>
        <w:rPr>
          <w:rFonts w:ascii="宋体"/>
          <w:sz w:val="21"/>
          <w:szCs w:val="24"/>
        </w:rPr>
      </w:pPr>
      <w:r>
        <w:rPr>
          <w:rFonts w:hint="eastAsia" w:ascii="宋体"/>
          <w:sz w:val="21"/>
          <w:szCs w:val="24"/>
        </w:rPr>
        <w:t>（2）协助调查、解决来信来访，并根据</w:t>
      </w:r>
      <w:r>
        <w:rPr>
          <w:rFonts w:hint="eastAsia" w:ascii="宋体"/>
          <w:bCs/>
          <w:sz w:val="21"/>
          <w:szCs w:val="24"/>
        </w:rPr>
        <w:t>采购单位</w:t>
      </w:r>
      <w:r>
        <w:rPr>
          <w:rFonts w:hint="eastAsia" w:ascii="宋体"/>
          <w:sz w:val="21"/>
          <w:szCs w:val="24"/>
        </w:rPr>
        <w:t>的要求认真及时处理；</w:t>
      </w:r>
    </w:p>
    <w:p>
      <w:pPr>
        <w:spacing w:line="360" w:lineRule="auto"/>
        <w:ind w:firstLine="210" w:firstLineChars="100"/>
        <w:jc w:val="both"/>
        <w:rPr>
          <w:rFonts w:ascii="宋体"/>
          <w:sz w:val="21"/>
          <w:szCs w:val="24"/>
        </w:rPr>
      </w:pPr>
      <w:r>
        <w:rPr>
          <w:rFonts w:hint="eastAsia" w:ascii="宋体"/>
          <w:sz w:val="21"/>
          <w:szCs w:val="24"/>
        </w:rPr>
        <w:t>（3）协助甲方处理对于因</w:t>
      </w:r>
      <w:r>
        <w:rPr>
          <w:rFonts w:hint="eastAsia" w:ascii="宋体"/>
          <w:bCs/>
          <w:sz w:val="21"/>
          <w:szCs w:val="24"/>
        </w:rPr>
        <w:t>成交供应商</w:t>
      </w:r>
      <w:r>
        <w:rPr>
          <w:rFonts w:hint="eastAsia" w:ascii="宋体"/>
          <w:sz w:val="21"/>
          <w:szCs w:val="24"/>
        </w:rPr>
        <w:t>的设施管理、养护不到位或因设施缺陷引起的媒体曝光、官司诉讼等事宜，配合甲方积极做好投诉回复，并承担因此造成的各项赔偿费用；</w:t>
      </w:r>
    </w:p>
    <w:p>
      <w:pPr>
        <w:spacing w:line="360" w:lineRule="auto"/>
        <w:ind w:firstLine="210" w:firstLineChars="100"/>
        <w:jc w:val="both"/>
        <w:rPr>
          <w:rFonts w:ascii="宋体"/>
          <w:sz w:val="21"/>
          <w:szCs w:val="24"/>
        </w:rPr>
      </w:pPr>
      <w:r>
        <w:rPr>
          <w:rFonts w:hint="eastAsia" w:ascii="宋体"/>
          <w:sz w:val="21"/>
          <w:szCs w:val="24"/>
        </w:rPr>
        <w:t>（4）完成甲方布置的为迎接各类检查、活动而开展的各项集中整治工作。</w:t>
      </w:r>
    </w:p>
    <w:p>
      <w:pPr>
        <w:spacing w:line="360" w:lineRule="auto"/>
        <w:ind w:firstLine="210" w:firstLineChars="100"/>
        <w:jc w:val="both"/>
        <w:rPr>
          <w:rFonts w:ascii="宋体"/>
          <w:sz w:val="21"/>
          <w:szCs w:val="24"/>
        </w:rPr>
      </w:pPr>
      <w:r>
        <w:rPr>
          <w:rFonts w:hint="eastAsia" w:ascii="宋体"/>
          <w:sz w:val="21"/>
          <w:szCs w:val="24"/>
        </w:rPr>
        <w:t>（5）完成甲方规定的其他任务。</w:t>
      </w:r>
    </w:p>
    <w:p>
      <w:pPr>
        <w:spacing w:line="360" w:lineRule="auto"/>
        <w:ind w:firstLine="420" w:firstLineChars="200"/>
        <w:jc w:val="both"/>
        <w:rPr>
          <w:rFonts w:ascii="宋体"/>
          <w:sz w:val="21"/>
          <w:szCs w:val="24"/>
        </w:rPr>
      </w:pPr>
      <w:r>
        <w:rPr>
          <w:rFonts w:hint="eastAsia" w:ascii="宋体"/>
          <w:sz w:val="21"/>
          <w:szCs w:val="24"/>
        </w:rPr>
        <w:t>3、机械配备：配备必要的巡视设备（车、船）及养护机械设备等。</w:t>
      </w:r>
    </w:p>
    <w:p>
      <w:pPr>
        <w:spacing w:line="360" w:lineRule="auto"/>
        <w:ind w:firstLine="420" w:firstLineChars="200"/>
        <w:jc w:val="both"/>
        <w:rPr>
          <w:rFonts w:ascii="宋体"/>
          <w:sz w:val="21"/>
          <w:szCs w:val="24"/>
        </w:rPr>
      </w:pPr>
      <w:r>
        <w:rPr>
          <w:rFonts w:hint="eastAsia" w:ascii="宋体"/>
          <w:sz w:val="21"/>
          <w:szCs w:val="24"/>
        </w:rPr>
        <w:t>4、养护承包方式</w:t>
      </w:r>
    </w:p>
    <w:p>
      <w:pPr>
        <w:spacing w:line="360" w:lineRule="auto"/>
        <w:ind w:firstLine="420" w:firstLineChars="200"/>
        <w:jc w:val="both"/>
        <w:rPr>
          <w:rFonts w:ascii="宋体"/>
          <w:bCs/>
          <w:sz w:val="21"/>
          <w:szCs w:val="24"/>
        </w:rPr>
      </w:pPr>
      <w:r>
        <w:rPr>
          <w:rFonts w:hint="eastAsia" w:ascii="宋体"/>
          <w:bCs/>
          <w:sz w:val="21"/>
          <w:szCs w:val="24"/>
        </w:rPr>
        <w:t>本养护维修作业项目由中标单位（以下简称中标供应商）总承包，中标供应商应严格执行上海市人民政府令（第37号）《上海市建设工程承发包管理办法》及沪建建（97）第0175号文《上海市建设工程承发包管理办法若干问题的解释》的通知。中标供应商应对全部养护维修作业项目负责，若需要分包，需得到采购单位及采购单位委托的监理单位的同意，否则不得进行。</w:t>
      </w:r>
    </w:p>
    <w:p>
      <w:pPr>
        <w:spacing w:line="360" w:lineRule="auto"/>
        <w:ind w:firstLine="420" w:firstLineChars="200"/>
        <w:jc w:val="both"/>
        <w:rPr>
          <w:rFonts w:ascii="宋体"/>
          <w:bCs/>
          <w:sz w:val="21"/>
          <w:szCs w:val="24"/>
        </w:rPr>
      </w:pPr>
      <w:r>
        <w:rPr>
          <w:rFonts w:hint="eastAsia" w:ascii="宋体"/>
          <w:bCs/>
          <w:sz w:val="21"/>
          <w:szCs w:val="24"/>
        </w:rPr>
        <w:t>5、材料供应：</w:t>
      </w:r>
    </w:p>
    <w:p>
      <w:pPr>
        <w:spacing w:line="360" w:lineRule="auto"/>
        <w:ind w:firstLine="420" w:firstLineChars="200"/>
        <w:jc w:val="both"/>
        <w:rPr>
          <w:rFonts w:ascii="宋体"/>
          <w:sz w:val="21"/>
          <w:szCs w:val="24"/>
        </w:rPr>
      </w:pPr>
      <w:r>
        <w:rPr>
          <w:rFonts w:hint="eastAsia" w:ascii="宋体"/>
          <w:sz w:val="21"/>
          <w:szCs w:val="24"/>
        </w:rPr>
        <w:t>本养护维修作业项目所有材料由中标</w:t>
      </w:r>
      <w:r>
        <w:rPr>
          <w:rFonts w:hint="eastAsia" w:ascii="宋体"/>
          <w:bCs/>
          <w:sz w:val="21"/>
          <w:szCs w:val="24"/>
        </w:rPr>
        <w:t>供应商</w:t>
      </w:r>
      <w:r>
        <w:rPr>
          <w:rFonts w:hint="eastAsia" w:ascii="宋体"/>
          <w:sz w:val="21"/>
          <w:szCs w:val="24"/>
        </w:rPr>
        <w:t>自行解决，中标</w:t>
      </w:r>
      <w:r>
        <w:rPr>
          <w:rFonts w:hint="eastAsia" w:ascii="宋体"/>
          <w:bCs/>
          <w:sz w:val="21"/>
          <w:szCs w:val="24"/>
        </w:rPr>
        <w:t>供应商</w:t>
      </w:r>
      <w:r>
        <w:rPr>
          <w:rFonts w:hint="eastAsia" w:ascii="宋体"/>
          <w:sz w:val="21"/>
          <w:szCs w:val="24"/>
        </w:rPr>
        <w:t>采购的材料应符合</w:t>
      </w:r>
      <w:r>
        <w:rPr>
          <w:rFonts w:ascii="宋体"/>
          <w:sz w:val="21"/>
          <w:szCs w:val="24"/>
        </w:rPr>
        <w:t>相关</w:t>
      </w:r>
      <w:r>
        <w:rPr>
          <w:rFonts w:hint="eastAsia" w:ascii="宋体"/>
          <w:sz w:val="21"/>
          <w:szCs w:val="24"/>
        </w:rPr>
        <w:t>规范及质量要求。</w:t>
      </w:r>
    </w:p>
    <w:p>
      <w:pPr>
        <w:spacing w:line="360" w:lineRule="auto"/>
        <w:ind w:firstLine="420" w:firstLineChars="200"/>
        <w:jc w:val="both"/>
        <w:rPr>
          <w:rFonts w:ascii="宋体"/>
          <w:sz w:val="21"/>
          <w:szCs w:val="24"/>
        </w:rPr>
      </w:pPr>
      <w:r>
        <w:rPr>
          <w:rFonts w:hint="eastAsia" w:ascii="宋体"/>
          <w:sz w:val="21"/>
          <w:szCs w:val="24"/>
        </w:rPr>
        <w:t>本养护维修作业项目所用材料、成品、半成品均需符合市政养护相关技术规程、规范要求。</w:t>
      </w:r>
    </w:p>
    <w:p>
      <w:pPr>
        <w:spacing w:line="360" w:lineRule="auto"/>
        <w:ind w:firstLine="420" w:firstLineChars="200"/>
        <w:jc w:val="both"/>
        <w:rPr>
          <w:rFonts w:ascii="宋体"/>
          <w:bCs/>
          <w:sz w:val="21"/>
          <w:szCs w:val="24"/>
        </w:rPr>
      </w:pPr>
      <w:r>
        <w:rPr>
          <w:rFonts w:hint="eastAsia" w:ascii="宋体"/>
          <w:bCs/>
          <w:sz w:val="21"/>
          <w:szCs w:val="24"/>
        </w:rPr>
        <w:t>6、</w:t>
      </w:r>
      <w:r>
        <w:rPr>
          <w:rFonts w:hint="eastAsia" w:ascii="宋体"/>
          <w:sz w:val="21"/>
          <w:szCs w:val="24"/>
        </w:rPr>
        <w:t>工程结算依据与原则</w:t>
      </w:r>
    </w:p>
    <w:p>
      <w:pPr>
        <w:spacing w:line="360" w:lineRule="auto"/>
        <w:ind w:firstLine="420" w:firstLineChars="200"/>
        <w:jc w:val="both"/>
        <w:rPr>
          <w:rFonts w:ascii="宋体"/>
          <w:bCs/>
          <w:sz w:val="21"/>
          <w:szCs w:val="24"/>
        </w:rPr>
      </w:pPr>
      <w:bookmarkStart w:id="0" w:name="OLE_LINK7"/>
      <w:bookmarkStart w:id="1" w:name="OLE_LINK8"/>
      <w:r>
        <w:rPr>
          <w:rFonts w:hint="eastAsia" w:ascii="宋体"/>
          <w:sz w:val="21"/>
          <w:szCs w:val="24"/>
        </w:rPr>
        <w:t>磋商</w:t>
      </w:r>
      <w:bookmarkEnd w:id="0"/>
      <w:bookmarkEnd w:id="1"/>
      <w:r>
        <w:rPr>
          <w:rFonts w:hint="eastAsia" w:ascii="宋体"/>
          <w:sz w:val="21"/>
          <w:szCs w:val="24"/>
        </w:rPr>
        <w:t>文件、磋商补充文件、投标文件以及工程签证。</w:t>
      </w:r>
    </w:p>
    <w:p>
      <w:pPr>
        <w:spacing w:line="360" w:lineRule="auto"/>
        <w:ind w:firstLine="420" w:firstLineChars="200"/>
        <w:jc w:val="both"/>
        <w:rPr>
          <w:rFonts w:ascii="宋体"/>
          <w:bCs/>
          <w:sz w:val="21"/>
          <w:szCs w:val="24"/>
        </w:rPr>
      </w:pPr>
      <w:r>
        <w:rPr>
          <w:rFonts w:hint="eastAsia" w:ascii="宋体"/>
          <w:sz w:val="21"/>
          <w:szCs w:val="24"/>
        </w:rPr>
        <w:t>施工合同及补充协议。</w:t>
      </w:r>
    </w:p>
    <w:p>
      <w:pPr>
        <w:spacing w:line="360" w:lineRule="auto"/>
        <w:ind w:firstLine="420" w:firstLineChars="200"/>
        <w:jc w:val="both"/>
        <w:rPr>
          <w:rFonts w:ascii="宋体"/>
          <w:bCs/>
          <w:sz w:val="21"/>
          <w:szCs w:val="24"/>
        </w:rPr>
      </w:pPr>
      <w:r>
        <w:rPr>
          <w:rFonts w:hint="eastAsia" w:ascii="宋体"/>
          <w:sz w:val="21"/>
          <w:szCs w:val="24"/>
        </w:rPr>
        <w:t>本工程的工程量以及养护作业过程中发生的工作内容变更、工程签证，所涉及到的工程量增减，在施工过程中由投资监理进行审核，在结算时按实结算。特殊环境下或特殊时间段突发事件的应急抢险组织处理，所产生的一切费用，经投资监理认可后，投标单位可向采购单位按实结算。</w:t>
      </w:r>
    </w:p>
    <w:p>
      <w:pPr>
        <w:spacing w:line="360" w:lineRule="auto"/>
        <w:ind w:firstLine="420" w:firstLineChars="200"/>
        <w:jc w:val="both"/>
        <w:rPr>
          <w:rFonts w:ascii="宋体"/>
          <w:sz w:val="21"/>
          <w:szCs w:val="24"/>
        </w:rPr>
      </w:pPr>
      <w:r>
        <w:rPr>
          <w:rFonts w:hint="eastAsia" w:ascii="宋体"/>
          <w:sz w:val="21"/>
          <w:szCs w:val="24"/>
        </w:rPr>
        <w:t>7、投标人应根据招标文件要求、采购方的现场实际情况以及自身经验能力，提供具有针对性的市政设施综合养护服务的计划、方案、措施、标准、质量保证以及达到管理目标的具体内容，具有可操作性。</w:t>
      </w:r>
    </w:p>
    <w:p>
      <w:pPr>
        <w:spacing w:line="440" w:lineRule="exact"/>
        <w:ind w:firstLine="420" w:firstLineChars="200"/>
        <w:rPr>
          <w:rFonts w:hint="eastAsia" w:ascii="宋体" w:hAnsi="宋体" w:cs="宋体"/>
          <w:sz w:val="21"/>
          <w:szCs w:val="21"/>
        </w:rPr>
      </w:pPr>
      <w:r>
        <w:rPr>
          <w:rFonts w:hint="eastAsia" w:ascii="宋体"/>
          <w:sz w:val="21"/>
          <w:szCs w:val="24"/>
        </w:rPr>
        <w:t>8、投标人单位需在投标文件中提供招标文件要求的针对本项目制定的相关技术文件，包括但不限于维修养护作业方案、保证工程质量和进度的主要技术措施及养护措施、主要施工设备设施使用情况、相关类似工程及其他养护项目的业绩情况、安全和文明施工措施及相关保障措施等针对性方案等各项相关管理方案。</w:t>
      </w:r>
    </w:p>
    <w:p>
      <w:pPr>
        <w:spacing w:line="360" w:lineRule="auto"/>
        <w:outlineLvl w:val="0"/>
        <w:rPr>
          <w:rFonts w:ascii="宋体" w:hAnsi="宋体" w:cs="宋体"/>
          <w:b/>
          <w:bCs/>
          <w:sz w:val="21"/>
          <w:szCs w:val="21"/>
        </w:rPr>
      </w:pPr>
    </w:p>
    <w:p>
      <w:pPr>
        <w:spacing w:line="360" w:lineRule="auto"/>
        <w:outlineLvl w:val="0"/>
        <w:rPr>
          <w:rFonts w:ascii="宋体" w:hAnsi="宋体" w:cs="宋体"/>
          <w:b/>
          <w:bCs/>
          <w:sz w:val="21"/>
          <w:szCs w:val="21"/>
        </w:rPr>
      </w:pPr>
      <w:r>
        <w:rPr>
          <w:rFonts w:hint="eastAsia" w:ascii="宋体" w:hAnsi="宋体" w:cs="宋体"/>
          <w:b/>
          <w:bCs/>
          <w:sz w:val="21"/>
          <w:szCs w:val="21"/>
        </w:rPr>
        <w:t>六、服务期限</w:t>
      </w:r>
    </w:p>
    <w:p>
      <w:pPr>
        <w:adjustRightInd w:val="0"/>
        <w:snapToGrid w:val="0"/>
        <w:spacing w:line="360" w:lineRule="auto"/>
        <w:ind w:firstLine="420"/>
        <w:rPr>
          <w:rFonts w:ascii="宋体" w:hAnsi="宋体"/>
          <w:sz w:val="21"/>
          <w:szCs w:val="16"/>
          <w:highlight w:val="none"/>
        </w:rPr>
      </w:pPr>
      <w:r>
        <w:rPr>
          <w:rFonts w:hint="eastAsia" w:ascii="宋体" w:hAnsi="宋体"/>
          <w:sz w:val="21"/>
          <w:szCs w:val="16"/>
          <w:highlight w:val="none"/>
        </w:rPr>
        <w:t>本次招标服务期为一年（本项目采用一次招标三年沿用，分年度签订合同，每次签约有效期一年，每年度有效期终止前2个月，由采购人对成交单位进行年度考核和验收，如通过则可续签第二年合同，第三年的合同续签同第二年。第二年的合同价为第一年的原合同价。如遇特殊情况，则以当年度法定程序批准的预算执行）。</w:t>
      </w:r>
    </w:p>
    <w:p>
      <w:pPr>
        <w:spacing w:line="440" w:lineRule="exact"/>
        <w:ind w:firstLine="420" w:firstLineChars="200"/>
        <w:rPr>
          <w:rFonts w:ascii="宋体" w:hAnsi="宋体" w:cs="宋体"/>
          <w:sz w:val="21"/>
          <w:szCs w:val="21"/>
        </w:rPr>
      </w:pPr>
    </w:p>
    <w:p>
      <w:pPr>
        <w:spacing w:line="360" w:lineRule="auto"/>
        <w:rPr>
          <w:rFonts w:hint="eastAsia" w:ascii="宋体" w:hAnsi="宋体" w:cs="宋体"/>
          <w:b/>
          <w:bCs/>
          <w:sz w:val="21"/>
          <w:szCs w:val="21"/>
        </w:rPr>
      </w:pPr>
      <w:r>
        <w:rPr>
          <w:rFonts w:hint="eastAsia" w:ascii="宋体" w:hAnsi="宋体" w:cs="宋体"/>
          <w:b/>
          <w:bCs/>
          <w:sz w:val="21"/>
          <w:szCs w:val="21"/>
        </w:rPr>
        <w:t>七、项目团队要求</w:t>
      </w:r>
    </w:p>
    <w:p>
      <w:pPr>
        <w:spacing w:line="360" w:lineRule="auto"/>
        <w:ind w:firstLine="420" w:firstLineChars="200"/>
        <w:rPr>
          <w:rFonts w:ascii="宋体" w:hAnsi="宋体"/>
          <w:sz w:val="21"/>
          <w:szCs w:val="21"/>
          <w:highlight w:val="none"/>
        </w:rPr>
      </w:pPr>
      <w:r>
        <w:rPr>
          <w:rFonts w:hint="eastAsia" w:ascii="宋体" w:hAnsi="宋体"/>
          <w:sz w:val="21"/>
          <w:szCs w:val="21"/>
          <w:highlight w:val="none"/>
        </w:rPr>
        <w:t>本项目实施团队人员应配备充足、合理且职责分工明确、架构清晰合理。</w:t>
      </w:r>
    </w:p>
    <w:p>
      <w:pPr>
        <w:tabs>
          <w:tab w:val="left" w:pos="720"/>
        </w:tabs>
        <w:adjustRightInd w:val="0"/>
        <w:snapToGrid w:val="0"/>
        <w:spacing w:line="360" w:lineRule="auto"/>
        <w:ind w:firstLine="420"/>
        <w:rPr>
          <w:rFonts w:ascii="宋体" w:hAnsi="宋体"/>
          <w:bCs/>
          <w:sz w:val="21"/>
          <w:szCs w:val="16"/>
          <w:highlight w:val="none"/>
        </w:rPr>
      </w:pPr>
      <w:r>
        <w:rPr>
          <w:rFonts w:hint="eastAsia" w:ascii="宋体" w:hAnsi="宋体"/>
          <w:sz w:val="21"/>
          <w:szCs w:val="21"/>
          <w:highlight w:val="none"/>
        </w:rPr>
        <w:t>管理人员应至少配备1名项目经理，且项目经理应满足以下要求：</w:t>
      </w:r>
    </w:p>
    <w:p>
      <w:pPr>
        <w:tabs>
          <w:tab w:val="left" w:pos="720"/>
        </w:tabs>
        <w:adjustRightInd w:val="0"/>
        <w:snapToGrid w:val="0"/>
        <w:spacing w:line="360" w:lineRule="auto"/>
        <w:ind w:firstLine="420"/>
        <w:rPr>
          <w:rFonts w:hint="eastAsia" w:ascii="宋体" w:hAnsi="宋体"/>
          <w:bCs/>
          <w:sz w:val="21"/>
          <w:szCs w:val="16"/>
          <w:highlight w:val="none"/>
        </w:rPr>
      </w:pPr>
      <w:r>
        <w:rPr>
          <w:rFonts w:hint="eastAsia" w:ascii="宋体" w:hAnsi="宋体"/>
          <w:bCs/>
          <w:sz w:val="21"/>
          <w:szCs w:val="16"/>
          <w:highlight w:val="none"/>
        </w:rPr>
        <w:t xml:space="preserve">项目经理资格：市政专业二级（或以上）或公路专业二级（或以上）注册建造师执业资格，具备有效的安全生产考核合格证书，注册建造师已备案且无在建项目（同一工程相邻分段发包或分期施工的登记除外，需在响应文件中提供证明材料。注册建造师备案情况及在建项目以报名开始至开标截止在上海市建筑建材业网www.ciac.sh.cn上的查询结果为准）。 </w:t>
      </w:r>
    </w:p>
    <w:p>
      <w:pPr>
        <w:tabs>
          <w:tab w:val="left" w:pos="720"/>
        </w:tabs>
        <w:adjustRightInd w:val="0"/>
        <w:snapToGrid w:val="0"/>
        <w:spacing w:line="360" w:lineRule="auto"/>
        <w:ind w:firstLine="420"/>
        <w:rPr>
          <w:rFonts w:hint="eastAsia" w:ascii="宋体" w:hAnsi="宋体"/>
          <w:bCs/>
          <w:sz w:val="21"/>
          <w:szCs w:val="16"/>
          <w:highlight w:val="none"/>
        </w:rPr>
      </w:pPr>
      <w:r>
        <w:rPr>
          <w:rFonts w:hint="eastAsia" w:ascii="宋体" w:hAnsi="宋体"/>
          <w:bCs/>
          <w:sz w:val="21"/>
          <w:szCs w:val="16"/>
          <w:highlight w:val="none"/>
        </w:rPr>
        <w:t>项目管理机构关键人员应按照沪建管【2014】758号文件配备指南配置，并提供有效的岗位资格证书。</w:t>
      </w:r>
    </w:p>
    <w:p>
      <w:pPr>
        <w:tabs>
          <w:tab w:val="left" w:pos="720"/>
        </w:tabs>
        <w:adjustRightInd w:val="0"/>
        <w:snapToGrid w:val="0"/>
        <w:spacing w:line="360" w:lineRule="auto"/>
        <w:ind w:firstLine="420"/>
        <w:rPr>
          <w:rFonts w:ascii="宋体" w:hAnsi="宋体"/>
          <w:sz w:val="21"/>
          <w:szCs w:val="16"/>
          <w:highlight w:val="none"/>
        </w:rPr>
      </w:pPr>
      <w:r>
        <w:rPr>
          <w:rFonts w:hint="eastAsia" w:ascii="宋体" w:hAnsi="宋体"/>
          <w:sz w:val="21"/>
          <w:szCs w:val="16"/>
          <w:highlight w:val="none"/>
        </w:rPr>
        <w:t>项目团队人员不少于</w:t>
      </w:r>
      <w:r>
        <w:rPr>
          <w:rFonts w:hint="eastAsia" w:ascii="宋体" w:hAnsi="宋体"/>
          <w:sz w:val="21"/>
          <w:szCs w:val="16"/>
          <w:highlight w:val="none"/>
          <w:lang w:val="en-US" w:eastAsia="zh-CN"/>
        </w:rPr>
        <w:t>15</w:t>
      </w:r>
      <w:r>
        <w:rPr>
          <w:rFonts w:hint="eastAsia" w:ascii="宋体" w:hAnsi="宋体"/>
          <w:sz w:val="21"/>
          <w:szCs w:val="16"/>
          <w:highlight w:val="none"/>
        </w:rPr>
        <w:t>人；</w:t>
      </w:r>
    </w:p>
    <w:p>
      <w:pPr>
        <w:spacing w:line="440" w:lineRule="exact"/>
        <w:rPr>
          <w:rFonts w:hint="eastAsia" w:ascii="宋体" w:hAnsi="宋体" w:cs="宋体"/>
          <w:b/>
          <w:bCs/>
          <w:sz w:val="21"/>
          <w:szCs w:val="21"/>
        </w:rPr>
      </w:pPr>
    </w:p>
    <w:p>
      <w:pPr>
        <w:spacing w:line="440" w:lineRule="exact"/>
        <w:ind w:firstLine="422" w:firstLineChars="200"/>
        <w:rPr>
          <w:rFonts w:ascii="宋体" w:hAnsi="宋体" w:cs="宋体"/>
          <w:b/>
          <w:bCs/>
          <w:sz w:val="21"/>
          <w:szCs w:val="21"/>
        </w:rPr>
      </w:pPr>
      <w:r>
        <w:rPr>
          <w:rFonts w:hint="eastAsia" w:ascii="宋体" w:hAnsi="宋体" w:cs="宋体"/>
          <w:b/>
          <w:bCs/>
          <w:sz w:val="21"/>
          <w:szCs w:val="21"/>
        </w:rPr>
        <w:t>八、付款及验收方式</w:t>
      </w:r>
    </w:p>
    <w:p>
      <w:pPr>
        <w:spacing w:line="440" w:lineRule="exact"/>
        <w:ind w:firstLine="420" w:firstLineChars="200"/>
        <w:rPr>
          <w:rFonts w:ascii="宋体" w:hAnsi="宋体" w:cs="宋体"/>
          <w:sz w:val="21"/>
          <w:szCs w:val="21"/>
        </w:rPr>
      </w:pPr>
      <w:r>
        <w:rPr>
          <w:rFonts w:hint="eastAsia" w:ascii="宋体" w:hAnsi="宋体" w:cs="宋体"/>
          <w:sz w:val="21"/>
          <w:szCs w:val="21"/>
        </w:rPr>
        <w:t>1、付款方式：</w:t>
      </w:r>
    </w:p>
    <w:p>
      <w:pPr>
        <w:spacing w:line="440" w:lineRule="exact"/>
        <w:ind w:firstLine="420" w:firstLineChars="200"/>
        <w:rPr>
          <w:rFonts w:hint="eastAsia" w:ascii="宋体" w:hAnsi="宋体" w:cs="宋体"/>
          <w:color w:val="000000"/>
          <w:sz w:val="21"/>
          <w:szCs w:val="21"/>
          <w:lang w:bidi="ar"/>
        </w:rPr>
      </w:pPr>
      <w:r>
        <w:rPr>
          <w:rFonts w:hint="eastAsia" w:ascii="宋体" w:hAnsi="宋体" w:cs="宋体"/>
          <w:color w:val="000000"/>
          <w:sz w:val="21"/>
          <w:szCs w:val="21"/>
          <w:lang w:bidi="ar"/>
        </w:rPr>
        <w:t>第一笔：合同签订后7日内支付合同价30%。</w:t>
      </w:r>
    </w:p>
    <w:p>
      <w:pPr>
        <w:spacing w:line="440" w:lineRule="exact"/>
        <w:ind w:firstLine="420" w:firstLineChars="200"/>
        <w:rPr>
          <w:rFonts w:hint="eastAsia" w:ascii="宋体" w:hAnsi="宋体" w:cs="宋体"/>
          <w:color w:val="000000"/>
          <w:sz w:val="21"/>
          <w:szCs w:val="21"/>
          <w:lang w:bidi="ar"/>
        </w:rPr>
      </w:pPr>
      <w:r>
        <w:rPr>
          <w:rFonts w:hint="eastAsia" w:ascii="宋体" w:hAnsi="宋体" w:cs="宋体"/>
          <w:color w:val="000000"/>
          <w:sz w:val="21"/>
          <w:szCs w:val="21"/>
          <w:lang w:bidi="ar"/>
        </w:rPr>
        <w:t>第二笔：服务时间达到合同服务期限二分之一后7日内支付至合同价80%。</w:t>
      </w:r>
    </w:p>
    <w:p>
      <w:pPr>
        <w:spacing w:line="440" w:lineRule="exact"/>
        <w:ind w:firstLine="420" w:firstLineChars="200"/>
        <w:rPr>
          <w:rFonts w:ascii="宋体" w:hAnsi="宋体" w:cs="宋体"/>
          <w:color w:val="000000"/>
          <w:sz w:val="21"/>
          <w:szCs w:val="21"/>
          <w:lang w:bidi="ar"/>
        </w:rPr>
      </w:pPr>
      <w:r>
        <w:rPr>
          <w:rFonts w:hint="eastAsia" w:ascii="宋体" w:hAnsi="宋体" w:cs="宋体"/>
          <w:color w:val="000000"/>
          <w:sz w:val="21"/>
          <w:szCs w:val="21"/>
          <w:lang w:bidi="ar"/>
        </w:rPr>
        <w:t>第三笔：完成合同服务期限内规定的服务事项后，审价决算完成后7日内支付至审定价100%。</w:t>
      </w:r>
    </w:p>
    <w:p>
      <w:pPr>
        <w:spacing w:line="440" w:lineRule="exact"/>
        <w:ind w:firstLine="420" w:firstLineChars="200"/>
        <w:rPr>
          <w:rFonts w:ascii="宋体" w:hAnsi="宋体" w:cs="宋体"/>
          <w:color w:val="000000"/>
          <w:sz w:val="21"/>
          <w:szCs w:val="21"/>
          <w:lang w:bidi="ar"/>
        </w:rPr>
      </w:pPr>
      <w:r>
        <w:rPr>
          <w:rFonts w:hint="eastAsia" w:ascii="宋体" w:hAnsi="宋体" w:cs="宋体"/>
          <w:color w:val="000000"/>
          <w:sz w:val="21"/>
          <w:szCs w:val="21"/>
          <w:lang w:bidi="ar"/>
        </w:rPr>
        <w:t>付款条件备注：服务提供方应当在采购方每次付款前提前至少10个工作日向采购方提供有效发票。</w:t>
      </w:r>
    </w:p>
    <w:p>
      <w:pPr>
        <w:spacing w:line="440" w:lineRule="exact"/>
        <w:ind w:firstLine="420" w:firstLineChars="200"/>
        <w:rPr>
          <w:rFonts w:hint="eastAsia" w:ascii="宋体" w:hAnsi="宋体" w:cs="宋体"/>
          <w:color w:val="000000"/>
          <w:sz w:val="21"/>
          <w:szCs w:val="21"/>
          <w:lang w:bidi="ar"/>
        </w:rPr>
      </w:pPr>
      <w:r>
        <w:rPr>
          <w:rFonts w:hint="eastAsia" w:ascii="宋体" w:hAnsi="宋体" w:cs="宋体"/>
          <w:color w:val="000000"/>
          <w:sz w:val="21"/>
          <w:szCs w:val="21"/>
          <w:lang w:bidi="ar"/>
        </w:rPr>
        <w:t>对于满足合同约定支付条件的，采购人原则上应当自收到发票后10个工作日内将资金支付到合同约定的供应商账户，鼓励采购人完善内部流程，自收到发票后1个工作日内完成资金支付事宜。采购人和供应商对资金支付产生争议的，应当按照法律规定和合同约定及时解决，保证资金支付效率。</w:t>
      </w:r>
    </w:p>
    <w:p>
      <w:pPr>
        <w:spacing w:line="440" w:lineRule="exact"/>
        <w:ind w:firstLine="420" w:firstLineChars="200"/>
      </w:pPr>
      <w:r>
        <w:rPr>
          <w:rFonts w:hint="eastAsia" w:ascii="宋体" w:hAnsi="宋体" w:cs="宋体"/>
          <w:color w:val="000000"/>
          <w:sz w:val="21"/>
          <w:szCs w:val="21"/>
          <w:lang w:eastAsia="zh-CN" w:bidi="ar"/>
        </w:rPr>
        <w:t>注：如出现逾期支付相关费用等情况，采购人将支付成交单位相应利息，如对成交单位造成损失的，依法给予成交单位相关补偿</w:t>
      </w:r>
      <w:r>
        <w:rPr>
          <w:rFonts w:hint="eastAsia" w:ascii="宋体" w:hAnsi="宋体" w:cs="宋体"/>
          <w:color w:val="000000"/>
          <w:sz w:val="21"/>
          <w:szCs w:val="21"/>
          <w:lang w:bidi="ar"/>
        </w:rPr>
        <w:t>。</w:t>
      </w:r>
    </w:p>
    <w:p>
      <w:pPr>
        <w:spacing w:line="440" w:lineRule="exact"/>
        <w:ind w:firstLine="420" w:firstLineChars="200"/>
        <w:rPr>
          <w:rFonts w:ascii="宋体" w:hAnsi="宋体" w:cs="宋体"/>
          <w:sz w:val="21"/>
          <w:szCs w:val="21"/>
        </w:rPr>
      </w:pPr>
      <w:r>
        <w:rPr>
          <w:rFonts w:hint="eastAsia" w:ascii="宋体" w:hAnsi="宋体" w:cs="宋体"/>
          <w:sz w:val="21"/>
          <w:szCs w:val="21"/>
        </w:rPr>
        <w:t>2、验收方式：采购人自行验收。</w:t>
      </w:r>
    </w:p>
    <w:p>
      <w:pPr>
        <w:spacing w:line="440" w:lineRule="exact"/>
        <w:ind w:firstLine="420"/>
        <w:rPr>
          <w:rFonts w:ascii="宋体" w:hAnsi="宋体" w:cs="宋体"/>
          <w:sz w:val="21"/>
          <w:szCs w:val="21"/>
        </w:rPr>
      </w:pPr>
      <w:r>
        <w:rPr>
          <w:rFonts w:hint="eastAsia" w:ascii="宋体" w:hAnsi="宋体" w:cs="宋体"/>
          <w:sz w:val="21"/>
          <w:szCs w:val="21"/>
        </w:rPr>
        <w:t>3、其他事宜</w:t>
      </w:r>
    </w:p>
    <w:p>
      <w:pPr>
        <w:spacing w:line="440" w:lineRule="exact"/>
        <w:ind w:firstLine="420" w:firstLineChars="200"/>
        <w:rPr>
          <w:rFonts w:hint="eastAsia" w:ascii="宋体" w:hAnsi="宋体" w:cs="宋体"/>
          <w:color w:val="000000"/>
          <w:sz w:val="21"/>
          <w:szCs w:val="21"/>
          <w:lang w:bidi="ar"/>
        </w:rPr>
      </w:pPr>
      <w:r>
        <w:rPr>
          <w:rFonts w:hint="eastAsia" w:ascii="宋体" w:hAnsi="宋体" w:cs="宋体"/>
          <w:color w:val="000000"/>
          <w:sz w:val="21"/>
          <w:szCs w:val="21"/>
          <w:lang w:bidi="ar"/>
        </w:rPr>
        <w:t>采购人和成交供应商应通过完善内部流程缩短合同签订期限，在中标、成交通知书发出之日起30日内，按照采购文件确定的事项签订政府采购合同，在合同中约定资金支付的方式、时间和条件，明确逾期支付资金的违约责任。</w:t>
      </w:r>
    </w:p>
    <w:p>
      <w:pPr>
        <w:spacing w:line="440" w:lineRule="exact"/>
        <w:rPr>
          <w:rFonts w:ascii="宋体" w:hAnsi="宋体" w:cs="宋体"/>
          <w:b/>
          <w:bCs/>
          <w:sz w:val="21"/>
          <w:szCs w:val="21"/>
        </w:rPr>
      </w:pPr>
    </w:p>
    <w:p>
      <w:pPr>
        <w:spacing w:line="440" w:lineRule="exact"/>
        <w:rPr>
          <w:rFonts w:ascii="宋体" w:hAnsi="宋体" w:cs="宋体"/>
          <w:b/>
          <w:bCs/>
          <w:sz w:val="21"/>
          <w:szCs w:val="21"/>
        </w:rPr>
      </w:pPr>
      <w:r>
        <w:rPr>
          <w:rFonts w:hint="eastAsia" w:ascii="宋体" w:hAnsi="宋体" w:cs="宋体"/>
          <w:b/>
          <w:bCs/>
          <w:sz w:val="21"/>
          <w:szCs w:val="21"/>
        </w:rPr>
        <w:t>九、投标单位资质要求（详见本项目招标公告）：</w:t>
      </w:r>
    </w:p>
    <w:p>
      <w:pPr>
        <w:spacing w:line="440" w:lineRule="exact"/>
        <w:ind w:firstLine="420" w:firstLineChars="200"/>
        <w:rPr>
          <w:rFonts w:ascii="宋体" w:hAnsi="宋体" w:cs="宋体"/>
          <w:sz w:val="21"/>
          <w:szCs w:val="21"/>
        </w:rPr>
      </w:pPr>
      <w:r>
        <w:rPr>
          <w:rFonts w:hint="eastAsia" w:ascii="宋体" w:hAnsi="宋体" w:cs="宋体"/>
          <w:sz w:val="21"/>
          <w:szCs w:val="21"/>
        </w:rPr>
        <w:t>1、供应商应当符合《中华人民共和国政府采购法》第22条所规定的条件；</w:t>
      </w:r>
    </w:p>
    <w:p>
      <w:pPr>
        <w:spacing w:line="440" w:lineRule="exact"/>
        <w:ind w:firstLine="420" w:firstLineChars="200"/>
        <w:rPr>
          <w:rFonts w:ascii="宋体" w:hAnsi="宋体" w:cs="宋体"/>
          <w:sz w:val="21"/>
          <w:szCs w:val="21"/>
        </w:rPr>
      </w:pPr>
      <w:r>
        <w:rPr>
          <w:rFonts w:hint="eastAsia" w:ascii="宋体" w:hAnsi="宋体" w:cs="宋体"/>
          <w:sz w:val="21"/>
          <w:szCs w:val="21"/>
        </w:rPr>
        <w:t>2、供应商及其投标的产品和服务符合国家法律法规及强制性规范所规定的条件；</w:t>
      </w:r>
    </w:p>
    <w:p>
      <w:pPr>
        <w:spacing w:line="440" w:lineRule="exact"/>
        <w:ind w:firstLine="420" w:firstLineChars="200"/>
        <w:rPr>
          <w:rFonts w:ascii="宋体" w:hAnsi="宋体" w:cs="宋体"/>
          <w:sz w:val="21"/>
          <w:szCs w:val="21"/>
        </w:rPr>
      </w:pPr>
      <w:r>
        <w:rPr>
          <w:rFonts w:hint="eastAsia" w:ascii="宋体" w:hAnsi="宋体" w:cs="宋体"/>
          <w:sz w:val="21"/>
          <w:szCs w:val="21"/>
        </w:rPr>
        <w:t>3、供应商在本市有完善的服务体系，能够提供良好的技术与服务支持；</w:t>
      </w:r>
    </w:p>
    <w:p>
      <w:pPr>
        <w:spacing w:line="440" w:lineRule="exact"/>
        <w:ind w:firstLine="420" w:firstLineChars="200"/>
        <w:rPr>
          <w:rFonts w:ascii="宋体" w:hAnsi="宋体" w:cs="宋体"/>
          <w:sz w:val="21"/>
          <w:szCs w:val="21"/>
        </w:rPr>
      </w:pPr>
      <w:r>
        <w:rPr>
          <w:rFonts w:hint="eastAsia" w:ascii="宋体" w:hAnsi="宋体" w:cs="宋体"/>
          <w:sz w:val="21"/>
          <w:szCs w:val="21"/>
        </w:rPr>
        <w:t>4、本项目不接受联合体投标；</w:t>
      </w:r>
    </w:p>
    <w:p>
      <w:pPr>
        <w:spacing w:line="440" w:lineRule="exact"/>
        <w:ind w:firstLine="420" w:firstLineChars="200"/>
        <w:rPr>
          <w:rFonts w:ascii="宋体" w:hAnsi="宋体" w:cs="宋体"/>
          <w:sz w:val="21"/>
          <w:szCs w:val="21"/>
        </w:rPr>
      </w:pPr>
      <w:r>
        <w:rPr>
          <w:rFonts w:hint="eastAsia" w:ascii="宋体" w:hAnsi="宋体" w:cs="宋体"/>
          <w:sz w:val="21"/>
          <w:szCs w:val="21"/>
        </w:rPr>
        <w:t>5、本项目专门面向中小企业采购；</w:t>
      </w:r>
    </w:p>
    <w:p>
      <w:pPr>
        <w:spacing w:line="440" w:lineRule="exact"/>
        <w:ind w:firstLine="420" w:firstLineChars="200"/>
        <w:rPr>
          <w:rFonts w:hint="eastAsia" w:ascii="宋体" w:hAnsi="宋体" w:cs="宋体"/>
          <w:sz w:val="21"/>
          <w:szCs w:val="21"/>
        </w:rPr>
      </w:pPr>
      <w:r>
        <w:rPr>
          <w:rFonts w:hint="eastAsia" w:ascii="宋体" w:hAnsi="宋体" w:cs="宋体"/>
          <w:sz w:val="21"/>
          <w:szCs w:val="21"/>
        </w:rPr>
        <w:t>6、供应商具备市政公用工程施工总承包三级或公路交通工程专业承包二级或以上资质；</w:t>
      </w:r>
    </w:p>
    <w:sectPr>
      <w:headerReference r:id="rId3" w:type="default"/>
      <w:footerReference r:id="rId4" w:type="default"/>
      <w:pgSz w:w="11906" w:h="16838"/>
      <w:pgMar w:top="1440" w:right="1077" w:bottom="1440" w:left="107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Calibri Light">
    <w:altName w:val="DejaVu Sans"/>
    <w:panose1 w:val="020F0302020204030204"/>
    <w:charset w:val="00"/>
    <w:family w:val="swiss"/>
    <w:pitch w:val="default"/>
    <w:sig w:usb0="00000000" w:usb1="00000000" w:usb2="00000009" w:usb3="00000000" w:csb0="200001FF" w:csb1="00000000"/>
  </w:font>
  <w:font w:name="等线">
    <w:altName w:val="汉仪中圆B5"/>
    <w:panose1 w:val="02010600030101010101"/>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altName w:val="Nimbus Roman No9 L"/>
    <w:panose1 w:val="020B0604020202020204"/>
    <w:charset w:val="86"/>
    <w:family w:val="swiss"/>
    <w:pitch w:val="default"/>
    <w:sig w:usb0="00000000" w:usb1="00000000" w:usb2="0000003F" w:usb3="00000000" w:csb0="603F01FF" w:csb1="FFFF0000"/>
  </w:font>
  <w:font w:name="Futura Bk">
    <w:altName w:val="汉仪中秀体简"/>
    <w:panose1 w:val="00000000000000000000"/>
    <w:charset w:val="00"/>
    <w:family w:val="swiss"/>
    <w:pitch w:val="default"/>
    <w:sig w:usb0="00000000" w:usb1="00000000" w:usb2="00000000" w:usb3="00000000" w:csb0="000000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8</w:t>
    </w:r>
    <w:r>
      <w:rPr>
        <w:b/>
        <w:bCs/>
      </w:rPr>
      <w:fldChar w:fldCharType="end"/>
    </w:r>
    <w:r>
      <w:rPr>
        <w:lang w:val="zh-CN"/>
      </w:rPr>
      <w:t xml:space="preserve"> / </w:t>
    </w:r>
    <w:r>
      <w:rPr>
        <w:b/>
        <w:bCs/>
      </w:rPr>
      <w:fldChar w:fldCharType="begin"/>
    </w:r>
    <w:r>
      <w:rPr>
        <w:b/>
        <w:bCs/>
      </w:rPr>
      <w:instrText xml:space="preserve">NUMPAGES  \* Arabic  \* MERGEFORMAT</w:instrText>
    </w:r>
    <w:r>
      <w:rPr>
        <w:b/>
        <w:bCs/>
      </w:rPr>
      <w:fldChar w:fldCharType="separate"/>
    </w:r>
    <w:r>
      <w:rPr>
        <w:b/>
        <w:bCs/>
        <w:lang w:val="zh-CN"/>
      </w:rPr>
      <w:t>9</w:t>
    </w:r>
    <w:r>
      <w:rPr>
        <w:b/>
        <w:bCs/>
      </w:rPr>
      <w:fldChar w:fldCharType="end"/>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6" w:space="0"/>
      </w:pBdr>
      <w:jc w:val="left"/>
    </w:pPr>
    <w:r>
      <w:t>ZC20250100</w:t>
    </w:r>
    <w:r>
      <w:rPr>
        <w:rFonts w:hint="eastAsia"/>
      </w:rPr>
      <w:t xml:space="preserve">   </w:t>
    </w:r>
    <w:r>
      <w:rPr>
        <w:rFonts w:hint="eastAsia"/>
        <w:lang w:eastAsia="zh-CN"/>
      </w:rPr>
      <w:t>上海市长宁区交通管理中心交通设施维护服务竞争性磋商项目</w:t>
    </w:r>
    <w:r>
      <w:rPr>
        <w:rFonts w:hint="eastAsia"/>
      </w:rPr>
      <w:t xml:space="preserve">              采购需求文件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lvlText w:val="%1."/>
      <w:lvlJc w:val="left"/>
      <w:pPr>
        <w:tabs>
          <w:tab w:val="left" w:pos="360"/>
        </w:tabs>
        <w:ind w:left="360" w:hanging="360"/>
      </w:pPr>
    </w:lvl>
  </w:abstractNum>
  <w:abstractNum w:abstractNumId="1">
    <w:nsid w:val="00000040"/>
    <w:multiLevelType w:val="multilevel"/>
    <w:tmpl w:val="00000040"/>
    <w:lvl w:ilvl="0" w:tentative="0">
      <w:start w:val="1"/>
      <w:numFmt w:val="bullet"/>
      <w:pStyle w:val="98"/>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pStyle w:val="166"/>
      <w:lvlText w:val=""/>
      <w:lvlJc w:val="left"/>
      <w:pPr>
        <w:tabs>
          <w:tab w:val="left" w:pos="3480"/>
        </w:tabs>
        <w:ind w:left="3480" w:hanging="420"/>
      </w:pPr>
      <w:rPr>
        <w:rFonts w:hint="default" w:ascii="Wingdings" w:hAnsi="Wingdings"/>
      </w:rPr>
    </w:lvl>
    <w:lvl w:ilvl="7" w:tentative="0">
      <w:start w:val="1"/>
      <w:numFmt w:val="bullet"/>
      <w:pStyle w:val="165"/>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2">
    <w:nsid w:val="10C333E1"/>
    <w:multiLevelType w:val="multilevel"/>
    <w:tmpl w:val="10C333E1"/>
    <w:lvl w:ilvl="0" w:tentative="0">
      <w:start w:val="1"/>
      <w:numFmt w:val="decimal"/>
      <w:pStyle w:val="122"/>
      <w:lvlText w:val="%1)"/>
      <w:lvlJc w:val="left"/>
      <w:pPr>
        <w:tabs>
          <w:tab w:val="left" w:pos="1320"/>
        </w:tabs>
        <w:ind w:left="1320" w:hanging="360"/>
      </w:pPr>
    </w:lvl>
    <w:lvl w:ilvl="1" w:tentative="0">
      <w:start w:val="1"/>
      <w:numFmt w:val="lowerLetter"/>
      <w:lvlText w:val="%2."/>
      <w:lvlJc w:val="left"/>
      <w:pPr>
        <w:tabs>
          <w:tab w:val="left" w:pos="2040"/>
        </w:tabs>
        <w:ind w:left="2040" w:hanging="360"/>
      </w:pPr>
    </w:lvl>
    <w:lvl w:ilvl="2" w:tentative="0">
      <w:start w:val="1"/>
      <w:numFmt w:val="lowerRoman"/>
      <w:lvlText w:val="%3."/>
      <w:lvlJc w:val="right"/>
      <w:pPr>
        <w:tabs>
          <w:tab w:val="left" w:pos="2760"/>
        </w:tabs>
        <w:ind w:left="2760" w:hanging="180"/>
      </w:pPr>
    </w:lvl>
    <w:lvl w:ilvl="3" w:tentative="0">
      <w:start w:val="1"/>
      <w:numFmt w:val="decimal"/>
      <w:lvlText w:val="%4."/>
      <w:lvlJc w:val="left"/>
      <w:pPr>
        <w:tabs>
          <w:tab w:val="left" w:pos="3480"/>
        </w:tabs>
        <w:ind w:left="3480" w:hanging="360"/>
      </w:pPr>
    </w:lvl>
    <w:lvl w:ilvl="4" w:tentative="0">
      <w:start w:val="1"/>
      <w:numFmt w:val="lowerLetter"/>
      <w:lvlText w:val="%5."/>
      <w:lvlJc w:val="left"/>
      <w:pPr>
        <w:tabs>
          <w:tab w:val="left" w:pos="4200"/>
        </w:tabs>
        <w:ind w:left="4200" w:hanging="360"/>
      </w:pPr>
    </w:lvl>
    <w:lvl w:ilvl="5" w:tentative="0">
      <w:start w:val="1"/>
      <w:numFmt w:val="lowerRoman"/>
      <w:lvlText w:val="%6."/>
      <w:lvlJc w:val="right"/>
      <w:pPr>
        <w:tabs>
          <w:tab w:val="left" w:pos="4920"/>
        </w:tabs>
        <w:ind w:left="4920" w:hanging="180"/>
      </w:pPr>
    </w:lvl>
    <w:lvl w:ilvl="6" w:tentative="0">
      <w:start w:val="1"/>
      <w:numFmt w:val="decimal"/>
      <w:lvlText w:val="%7."/>
      <w:lvlJc w:val="left"/>
      <w:pPr>
        <w:tabs>
          <w:tab w:val="left" w:pos="5640"/>
        </w:tabs>
        <w:ind w:left="5640" w:hanging="360"/>
      </w:pPr>
    </w:lvl>
    <w:lvl w:ilvl="7" w:tentative="0">
      <w:start w:val="1"/>
      <w:numFmt w:val="lowerLetter"/>
      <w:lvlText w:val="%8."/>
      <w:lvlJc w:val="left"/>
      <w:pPr>
        <w:tabs>
          <w:tab w:val="left" w:pos="6360"/>
        </w:tabs>
        <w:ind w:left="6360" w:hanging="360"/>
      </w:pPr>
    </w:lvl>
    <w:lvl w:ilvl="8" w:tentative="0">
      <w:start w:val="1"/>
      <w:numFmt w:val="lowerRoman"/>
      <w:lvlText w:val="%9."/>
      <w:lvlJc w:val="right"/>
      <w:pPr>
        <w:tabs>
          <w:tab w:val="left" w:pos="7080"/>
        </w:tabs>
        <w:ind w:left="7080" w:hanging="180"/>
      </w:pPr>
    </w:lvl>
  </w:abstractNum>
  <w:abstractNum w:abstractNumId="3">
    <w:nsid w:val="2C4C231E"/>
    <w:multiLevelType w:val="multilevel"/>
    <w:tmpl w:val="2C4C231E"/>
    <w:lvl w:ilvl="0" w:tentative="0">
      <w:start w:val="1"/>
      <w:numFmt w:val="bullet"/>
      <w:pStyle w:val="124"/>
      <w:lvlText w:val=""/>
      <w:lvlJc w:val="left"/>
      <w:pPr>
        <w:tabs>
          <w:tab w:val="left" w:pos="1320"/>
        </w:tabs>
        <w:ind w:left="1320" w:hanging="360"/>
      </w:pPr>
      <w:rPr>
        <w:rFonts w:hint="default" w:ascii="Wingdings" w:hAnsi="Wingdings"/>
      </w:rPr>
    </w:lvl>
    <w:lvl w:ilvl="1" w:tentative="0">
      <w:start w:val="1"/>
      <w:numFmt w:val="bullet"/>
      <w:lvlText w:val=""/>
      <w:lvlJc w:val="left"/>
      <w:pPr>
        <w:tabs>
          <w:tab w:val="left" w:pos="1800"/>
        </w:tabs>
        <w:ind w:left="1800" w:hanging="420"/>
      </w:pPr>
      <w:rPr>
        <w:rFonts w:hint="default" w:ascii="Wingdings" w:hAnsi="Wingdings"/>
      </w:rPr>
    </w:lvl>
    <w:lvl w:ilvl="2" w:tentative="0">
      <w:start w:val="1"/>
      <w:numFmt w:val="bullet"/>
      <w:lvlText w:val=""/>
      <w:lvlJc w:val="left"/>
      <w:pPr>
        <w:tabs>
          <w:tab w:val="left" w:pos="2220"/>
        </w:tabs>
        <w:ind w:left="2220" w:hanging="420"/>
      </w:pPr>
      <w:rPr>
        <w:rFonts w:hint="default" w:ascii="Wingdings" w:hAnsi="Wingdings"/>
      </w:rPr>
    </w:lvl>
    <w:lvl w:ilvl="3" w:tentative="0">
      <w:start w:val="1"/>
      <w:numFmt w:val="bullet"/>
      <w:lvlText w:val=""/>
      <w:lvlJc w:val="left"/>
      <w:pPr>
        <w:tabs>
          <w:tab w:val="left" w:pos="2640"/>
        </w:tabs>
        <w:ind w:left="2640" w:hanging="420"/>
      </w:pPr>
      <w:rPr>
        <w:rFonts w:hint="default" w:ascii="Wingdings" w:hAnsi="Wingdings"/>
      </w:rPr>
    </w:lvl>
    <w:lvl w:ilvl="4" w:tentative="0">
      <w:start w:val="1"/>
      <w:numFmt w:val="bullet"/>
      <w:lvlText w:val=""/>
      <w:lvlJc w:val="left"/>
      <w:pPr>
        <w:tabs>
          <w:tab w:val="left" w:pos="3060"/>
        </w:tabs>
        <w:ind w:left="3060" w:hanging="420"/>
      </w:pPr>
      <w:rPr>
        <w:rFonts w:hint="default" w:ascii="Wingdings" w:hAnsi="Wingdings"/>
      </w:rPr>
    </w:lvl>
    <w:lvl w:ilvl="5" w:tentative="0">
      <w:start w:val="1"/>
      <w:numFmt w:val="bullet"/>
      <w:lvlText w:val=""/>
      <w:lvlJc w:val="left"/>
      <w:pPr>
        <w:tabs>
          <w:tab w:val="left" w:pos="3480"/>
        </w:tabs>
        <w:ind w:left="3480" w:hanging="420"/>
      </w:pPr>
      <w:rPr>
        <w:rFonts w:hint="default" w:ascii="Wingdings" w:hAnsi="Wingdings"/>
      </w:rPr>
    </w:lvl>
    <w:lvl w:ilvl="6" w:tentative="0">
      <w:start w:val="1"/>
      <w:numFmt w:val="bullet"/>
      <w:lvlText w:val=""/>
      <w:lvlJc w:val="left"/>
      <w:pPr>
        <w:tabs>
          <w:tab w:val="left" w:pos="3900"/>
        </w:tabs>
        <w:ind w:left="3900" w:hanging="420"/>
      </w:pPr>
      <w:rPr>
        <w:rFonts w:hint="default" w:ascii="Wingdings" w:hAnsi="Wingdings"/>
      </w:rPr>
    </w:lvl>
    <w:lvl w:ilvl="7" w:tentative="0">
      <w:start w:val="1"/>
      <w:numFmt w:val="bullet"/>
      <w:lvlText w:val=""/>
      <w:lvlJc w:val="left"/>
      <w:pPr>
        <w:tabs>
          <w:tab w:val="left" w:pos="4320"/>
        </w:tabs>
        <w:ind w:left="4320" w:hanging="420"/>
      </w:pPr>
      <w:rPr>
        <w:rFonts w:hint="default" w:ascii="Wingdings" w:hAnsi="Wingdings"/>
      </w:rPr>
    </w:lvl>
    <w:lvl w:ilvl="8" w:tentative="0">
      <w:start w:val="1"/>
      <w:numFmt w:val="bullet"/>
      <w:lvlText w:val=""/>
      <w:lvlJc w:val="left"/>
      <w:pPr>
        <w:tabs>
          <w:tab w:val="left" w:pos="4740"/>
        </w:tabs>
        <w:ind w:left="4740" w:hanging="420"/>
      </w:pPr>
      <w:rPr>
        <w:rFonts w:hint="default" w:ascii="Wingdings" w:hAnsi="Wingdings"/>
      </w:rPr>
    </w:lvl>
  </w:abstractNum>
  <w:abstractNum w:abstractNumId="4">
    <w:nsid w:val="542F4E91"/>
    <w:multiLevelType w:val="multilevel"/>
    <w:tmpl w:val="542F4E91"/>
    <w:lvl w:ilvl="0" w:tentative="0">
      <w:start w:val="1"/>
      <w:numFmt w:val="decimal"/>
      <w:pStyle w:val="125"/>
      <w:lvlText w:val="%1、"/>
      <w:lvlJc w:val="left"/>
      <w:pPr>
        <w:tabs>
          <w:tab w:val="left" w:pos="960"/>
        </w:tabs>
        <w:ind w:left="96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596241FC"/>
    <w:multiLevelType w:val="singleLevel"/>
    <w:tmpl w:val="596241FC"/>
    <w:lvl w:ilvl="0" w:tentative="0">
      <w:start w:val="1"/>
      <w:numFmt w:val="bullet"/>
      <w:lvlText w:val=""/>
      <w:lvlJc w:val="left"/>
      <w:pPr>
        <w:tabs>
          <w:tab w:val="left" w:pos="780"/>
        </w:tabs>
        <w:ind w:left="780" w:hanging="360"/>
      </w:pPr>
      <w:rPr>
        <w:rFonts w:hint="default" w:ascii="Wingdings" w:hAnsi="Wingdings"/>
      </w:rPr>
    </w:lvl>
  </w:abstractNum>
  <w:abstractNum w:abstractNumId="6">
    <w:nsid w:val="6BD879AA"/>
    <w:multiLevelType w:val="multilevel"/>
    <w:tmpl w:val="6BD879AA"/>
    <w:lvl w:ilvl="0" w:tentative="0">
      <w:start w:val="1"/>
      <w:numFmt w:val="bullet"/>
      <w:pStyle w:val="104"/>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714C3954"/>
    <w:multiLevelType w:val="multilevel"/>
    <w:tmpl w:val="714C3954"/>
    <w:lvl w:ilvl="0" w:tentative="0">
      <w:start w:val="1"/>
      <w:numFmt w:val="bullet"/>
      <w:pStyle w:val="131"/>
      <w:lvlText w:val=""/>
      <w:lvlJc w:val="left"/>
      <w:pPr>
        <w:tabs>
          <w:tab w:val="left" w:pos="620"/>
        </w:tabs>
        <w:ind w:left="620" w:hanging="420"/>
      </w:pPr>
      <w:rPr>
        <w:rFonts w:hint="default" w:ascii="Wingdings" w:hAnsi="Wingdings"/>
      </w:rPr>
    </w:lvl>
    <w:lvl w:ilvl="1" w:tentative="0">
      <w:start w:val="1"/>
      <w:numFmt w:val="decimal"/>
      <w:lvlText w:val="%2)"/>
      <w:lvlJc w:val="left"/>
      <w:pPr>
        <w:tabs>
          <w:tab w:val="left" w:pos="840"/>
        </w:tabs>
        <w:ind w:left="840" w:hanging="420"/>
      </w:pPr>
      <w:rPr>
        <w:rFonts w:hint="default"/>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7CC3C27E"/>
    <w:multiLevelType w:val="singleLevel"/>
    <w:tmpl w:val="7CC3C27E"/>
    <w:lvl w:ilvl="0" w:tentative="0">
      <w:start w:val="1"/>
      <w:numFmt w:val="decimal"/>
      <w:pStyle w:val="77"/>
      <w:lvlText w:val="(%1)"/>
      <w:lvlJc w:val="left"/>
      <w:pPr>
        <w:ind w:left="425" w:hanging="425"/>
      </w:pPr>
      <w:rPr>
        <w:rFonts w:hint="default"/>
      </w:rPr>
    </w:lvl>
  </w:abstractNum>
  <w:num w:numId="1">
    <w:abstractNumId w:val="0"/>
  </w:num>
  <w:num w:numId="2">
    <w:abstractNumId w:val="8"/>
  </w:num>
  <w:num w:numId="3">
    <w:abstractNumId w:val="1"/>
  </w:num>
  <w:num w:numId="4">
    <w:abstractNumId w:val="6"/>
  </w:num>
  <w:num w:numId="5">
    <w:abstractNumId w:val="2"/>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true"/>
  <w:bordersDoNotSurroundFooter w:val="true"/>
  <w:documentProtection w:enforcement="0"/>
  <w:defaultTabStop w:val="420"/>
  <w:doNotHyphenateCaps/>
  <w:drawingGridVerticalSpacing w:val="156"/>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 w:name="KSO_WPS_MARK_KEY" w:val="65d34761-4703-4edb-afb2-c85fb610c406"/>
  </w:docVars>
  <w:rsids>
    <w:rsidRoot w:val="00FB57A8"/>
    <w:rsid w:val="00001798"/>
    <w:rsid w:val="00016876"/>
    <w:rsid w:val="0001736B"/>
    <w:rsid w:val="00021FC1"/>
    <w:rsid w:val="0002486F"/>
    <w:rsid w:val="00024CEE"/>
    <w:rsid w:val="00025A58"/>
    <w:rsid w:val="00026E71"/>
    <w:rsid w:val="0003726D"/>
    <w:rsid w:val="00040BF5"/>
    <w:rsid w:val="000474B5"/>
    <w:rsid w:val="000510D7"/>
    <w:rsid w:val="0005402E"/>
    <w:rsid w:val="000546BA"/>
    <w:rsid w:val="000558C5"/>
    <w:rsid w:val="00062A5C"/>
    <w:rsid w:val="0007152B"/>
    <w:rsid w:val="00080901"/>
    <w:rsid w:val="00081C75"/>
    <w:rsid w:val="00086D1E"/>
    <w:rsid w:val="000879C5"/>
    <w:rsid w:val="00092F6E"/>
    <w:rsid w:val="00093985"/>
    <w:rsid w:val="000A0488"/>
    <w:rsid w:val="000A2C3A"/>
    <w:rsid w:val="000A36CD"/>
    <w:rsid w:val="000A4CF3"/>
    <w:rsid w:val="000B64B1"/>
    <w:rsid w:val="000B7895"/>
    <w:rsid w:val="000C48B2"/>
    <w:rsid w:val="000C4AF0"/>
    <w:rsid w:val="000D6A5B"/>
    <w:rsid w:val="000E241B"/>
    <w:rsid w:val="000E3875"/>
    <w:rsid w:val="000F58E9"/>
    <w:rsid w:val="0010660B"/>
    <w:rsid w:val="00110EF5"/>
    <w:rsid w:val="00111562"/>
    <w:rsid w:val="00113CDB"/>
    <w:rsid w:val="00114E5F"/>
    <w:rsid w:val="00116B6D"/>
    <w:rsid w:val="001218FB"/>
    <w:rsid w:val="001246E6"/>
    <w:rsid w:val="00125173"/>
    <w:rsid w:val="00125795"/>
    <w:rsid w:val="00126B92"/>
    <w:rsid w:val="00126CCF"/>
    <w:rsid w:val="0013074D"/>
    <w:rsid w:val="001323DD"/>
    <w:rsid w:val="00132EDB"/>
    <w:rsid w:val="001429D5"/>
    <w:rsid w:val="00151283"/>
    <w:rsid w:val="001577F6"/>
    <w:rsid w:val="00160ADB"/>
    <w:rsid w:val="00162612"/>
    <w:rsid w:val="00163753"/>
    <w:rsid w:val="00163B4B"/>
    <w:rsid w:val="00171B43"/>
    <w:rsid w:val="00172281"/>
    <w:rsid w:val="001776DD"/>
    <w:rsid w:val="00181F44"/>
    <w:rsid w:val="00183531"/>
    <w:rsid w:val="00184AEA"/>
    <w:rsid w:val="0019177E"/>
    <w:rsid w:val="001924F9"/>
    <w:rsid w:val="00194A5D"/>
    <w:rsid w:val="001A0B0F"/>
    <w:rsid w:val="001A251D"/>
    <w:rsid w:val="001A72E4"/>
    <w:rsid w:val="001D1598"/>
    <w:rsid w:val="001D159B"/>
    <w:rsid w:val="001D1741"/>
    <w:rsid w:val="001D2D02"/>
    <w:rsid w:val="001D2FE5"/>
    <w:rsid w:val="001D467C"/>
    <w:rsid w:val="001D7518"/>
    <w:rsid w:val="001E7463"/>
    <w:rsid w:val="001F7B91"/>
    <w:rsid w:val="002011EF"/>
    <w:rsid w:val="00203746"/>
    <w:rsid w:val="002066FD"/>
    <w:rsid w:val="00210FFA"/>
    <w:rsid w:val="00212441"/>
    <w:rsid w:val="00214040"/>
    <w:rsid w:val="002154C8"/>
    <w:rsid w:val="00220671"/>
    <w:rsid w:val="002226BB"/>
    <w:rsid w:val="002226DE"/>
    <w:rsid w:val="0022591E"/>
    <w:rsid w:val="00226060"/>
    <w:rsid w:val="002323A8"/>
    <w:rsid w:val="002327F0"/>
    <w:rsid w:val="0023643E"/>
    <w:rsid w:val="00243580"/>
    <w:rsid w:val="00245F5D"/>
    <w:rsid w:val="00250FA2"/>
    <w:rsid w:val="0025751D"/>
    <w:rsid w:val="00271D6C"/>
    <w:rsid w:val="00273141"/>
    <w:rsid w:val="00274068"/>
    <w:rsid w:val="002918A5"/>
    <w:rsid w:val="0029442F"/>
    <w:rsid w:val="00294875"/>
    <w:rsid w:val="002A148D"/>
    <w:rsid w:val="002A466F"/>
    <w:rsid w:val="002B2538"/>
    <w:rsid w:val="002B6B2D"/>
    <w:rsid w:val="002D1BE9"/>
    <w:rsid w:val="002D3FA5"/>
    <w:rsid w:val="002D40B2"/>
    <w:rsid w:val="002E01C1"/>
    <w:rsid w:val="002E12A4"/>
    <w:rsid w:val="002E4F3C"/>
    <w:rsid w:val="002E5B01"/>
    <w:rsid w:val="002F6768"/>
    <w:rsid w:val="0030092A"/>
    <w:rsid w:val="00303226"/>
    <w:rsid w:val="0030554C"/>
    <w:rsid w:val="00324AB4"/>
    <w:rsid w:val="00325E67"/>
    <w:rsid w:val="003277F3"/>
    <w:rsid w:val="003364B2"/>
    <w:rsid w:val="00337553"/>
    <w:rsid w:val="00341160"/>
    <w:rsid w:val="0034134A"/>
    <w:rsid w:val="003566FD"/>
    <w:rsid w:val="00361162"/>
    <w:rsid w:val="00363AC0"/>
    <w:rsid w:val="00364976"/>
    <w:rsid w:val="00366544"/>
    <w:rsid w:val="00373E26"/>
    <w:rsid w:val="00376314"/>
    <w:rsid w:val="00376504"/>
    <w:rsid w:val="00376A86"/>
    <w:rsid w:val="00382792"/>
    <w:rsid w:val="00383AC2"/>
    <w:rsid w:val="00384197"/>
    <w:rsid w:val="00385461"/>
    <w:rsid w:val="00392CF1"/>
    <w:rsid w:val="00392F2B"/>
    <w:rsid w:val="00396F49"/>
    <w:rsid w:val="003A446A"/>
    <w:rsid w:val="003B017A"/>
    <w:rsid w:val="003B7611"/>
    <w:rsid w:val="003C0FC3"/>
    <w:rsid w:val="003C188D"/>
    <w:rsid w:val="003C354C"/>
    <w:rsid w:val="003C5B9C"/>
    <w:rsid w:val="003D18B0"/>
    <w:rsid w:val="003D45F9"/>
    <w:rsid w:val="003D666A"/>
    <w:rsid w:val="003D71EF"/>
    <w:rsid w:val="003E56AD"/>
    <w:rsid w:val="003E74C1"/>
    <w:rsid w:val="004061BB"/>
    <w:rsid w:val="004110B1"/>
    <w:rsid w:val="004334C2"/>
    <w:rsid w:val="00433729"/>
    <w:rsid w:val="00433894"/>
    <w:rsid w:val="004435DB"/>
    <w:rsid w:val="004513BC"/>
    <w:rsid w:val="004516D9"/>
    <w:rsid w:val="0045417B"/>
    <w:rsid w:val="00455EF5"/>
    <w:rsid w:val="00455FF4"/>
    <w:rsid w:val="00457656"/>
    <w:rsid w:val="00460416"/>
    <w:rsid w:val="0046416C"/>
    <w:rsid w:val="004647C3"/>
    <w:rsid w:val="0046652B"/>
    <w:rsid w:val="00470351"/>
    <w:rsid w:val="00472E67"/>
    <w:rsid w:val="0047655C"/>
    <w:rsid w:val="00486369"/>
    <w:rsid w:val="0049057F"/>
    <w:rsid w:val="004924E6"/>
    <w:rsid w:val="00492D57"/>
    <w:rsid w:val="00493D98"/>
    <w:rsid w:val="004944E7"/>
    <w:rsid w:val="004947B6"/>
    <w:rsid w:val="00497EE0"/>
    <w:rsid w:val="004A215E"/>
    <w:rsid w:val="004A7ABE"/>
    <w:rsid w:val="004B0730"/>
    <w:rsid w:val="004B1889"/>
    <w:rsid w:val="004B31D3"/>
    <w:rsid w:val="004B626E"/>
    <w:rsid w:val="004B733D"/>
    <w:rsid w:val="004B7AB8"/>
    <w:rsid w:val="004C47E7"/>
    <w:rsid w:val="004D15A5"/>
    <w:rsid w:val="004D1C16"/>
    <w:rsid w:val="004D319A"/>
    <w:rsid w:val="004D54DD"/>
    <w:rsid w:val="004D5FEC"/>
    <w:rsid w:val="004D687B"/>
    <w:rsid w:val="004E0A75"/>
    <w:rsid w:val="004E3C50"/>
    <w:rsid w:val="004E3CEF"/>
    <w:rsid w:val="004E53F2"/>
    <w:rsid w:val="004E60E9"/>
    <w:rsid w:val="004E6E8D"/>
    <w:rsid w:val="004F1679"/>
    <w:rsid w:val="004F33EB"/>
    <w:rsid w:val="004F621C"/>
    <w:rsid w:val="004F6277"/>
    <w:rsid w:val="005021D9"/>
    <w:rsid w:val="005063B0"/>
    <w:rsid w:val="00511B6B"/>
    <w:rsid w:val="005130C8"/>
    <w:rsid w:val="00513157"/>
    <w:rsid w:val="00514BD2"/>
    <w:rsid w:val="00514C0F"/>
    <w:rsid w:val="00521466"/>
    <w:rsid w:val="00521DB9"/>
    <w:rsid w:val="0052470B"/>
    <w:rsid w:val="00524FD9"/>
    <w:rsid w:val="005253EB"/>
    <w:rsid w:val="005256C9"/>
    <w:rsid w:val="0053097C"/>
    <w:rsid w:val="00531008"/>
    <w:rsid w:val="005333B2"/>
    <w:rsid w:val="0053679F"/>
    <w:rsid w:val="005413C5"/>
    <w:rsid w:val="00545E2C"/>
    <w:rsid w:val="00547A8A"/>
    <w:rsid w:val="00552B13"/>
    <w:rsid w:val="00562731"/>
    <w:rsid w:val="0056312D"/>
    <w:rsid w:val="00563466"/>
    <w:rsid w:val="0056415C"/>
    <w:rsid w:val="005832D9"/>
    <w:rsid w:val="0058797E"/>
    <w:rsid w:val="005A1A4C"/>
    <w:rsid w:val="005B557F"/>
    <w:rsid w:val="005C0BB5"/>
    <w:rsid w:val="005C7733"/>
    <w:rsid w:val="005D0AEE"/>
    <w:rsid w:val="005D1417"/>
    <w:rsid w:val="005D188C"/>
    <w:rsid w:val="005E2253"/>
    <w:rsid w:val="005E79AE"/>
    <w:rsid w:val="005F79DA"/>
    <w:rsid w:val="005F7B99"/>
    <w:rsid w:val="006017C5"/>
    <w:rsid w:val="00601A36"/>
    <w:rsid w:val="00605A10"/>
    <w:rsid w:val="00610934"/>
    <w:rsid w:val="00622956"/>
    <w:rsid w:val="00622D5C"/>
    <w:rsid w:val="00630790"/>
    <w:rsid w:val="006308D4"/>
    <w:rsid w:val="006441CF"/>
    <w:rsid w:val="00644619"/>
    <w:rsid w:val="00650408"/>
    <w:rsid w:val="006708AB"/>
    <w:rsid w:val="0067092D"/>
    <w:rsid w:val="00672A1D"/>
    <w:rsid w:val="006737D6"/>
    <w:rsid w:val="006737EC"/>
    <w:rsid w:val="006878A0"/>
    <w:rsid w:val="00696C28"/>
    <w:rsid w:val="00697575"/>
    <w:rsid w:val="006A7673"/>
    <w:rsid w:val="006B2011"/>
    <w:rsid w:val="006B4C08"/>
    <w:rsid w:val="006C4FED"/>
    <w:rsid w:val="006D788E"/>
    <w:rsid w:val="006E0A34"/>
    <w:rsid w:val="006E6F23"/>
    <w:rsid w:val="006F5C1B"/>
    <w:rsid w:val="006F79A0"/>
    <w:rsid w:val="006F7F85"/>
    <w:rsid w:val="00700459"/>
    <w:rsid w:val="00705000"/>
    <w:rsid w:val="007108B9"/>
    <w:rsid w:val="00710A59"/>
    <w:rsid w:val="0071290D"/>
    <w:rsid w:val="00714441"/>
    <w:rsid w:val="00714EC0"/>
    <w:rsid w:val="007156ED"/>
    <w:rsid w:val="00741997"/>
    <w:rsid w:val="007442C1"/>
    <w:rsid w:val="007444DC"/>
    <w:rsid w:val="00745C25"/>
    <w:rsid w:val="00754514"/>
    <w:rsid w:val="007642CC"/>
    <w:rsid w:val="00765E9C"/>
    <w:rsid w:val="007712F5"/>
    <w:rsid w:val="00772C61"/>
    <w:rsid w:val="007755DE"/>
    <w:rsid w:val="00775635"/>
    <w:rsid w:val="00775D14"/>
    <w:rsid w:val="00777E54"/>
    <w:rsid w:val="00781191"/>
    <w:rsid w:val="00785298"/>
    <w:rsid w:val="0079197A"/>
    <w:rsid w:val="007A7A2E"/>
    <w:rsid w:val="007B0E83"/>
    <w:rsid w:val="007B639B"/>
    <w:rsid w:val="007B651F"/>
    <w:rsid w:val="007C0120"/>
    <w:rsid w:val="007C0A9E"/>
    <w:rsid w:val="007C0E4C"/>
    <w:rsid w:val="007C3D3A"/>
    <w:rsid w:val="007C4A5C"/>
    <w:rsid w:val="007D32FE"/>
    <w:rsid w:val="007E15AA"/>
    <w:rsid w:val="007E241E"/>
    <w:rsid w:val="007E40EC"/>
    <w:rsid w:val="007F0A5B"/>
    <w:rsid w:val="007F2AA9"/>
    <w:rsid w:val="00805EF3"/>
    <w:rsid w:val="008065F7"/>
    <w:rsid w:val="00811E3B"/>
    <w:rsid w:val="008123D3"/>
    <w:rsid w:val="00812CAE"/>
    <w:rsid w:val="00813ECD"/>
    <w:rsid w:val="00815F56"/>
    <w:rsid w:val="00820E42"/>
    <w:rsid w:val="008239EF"/>
    <w:rsid w:val="00832010"/>
    <w:rsid w:val="00835765"/>
    <w:rsid w:val="00835A10"/>
    <w:rsid w:val="00843F62"/>
    <w:rsid w:val="008453F0"/>
    <w:rsid w:val="00851ABF"/>
    <w:rsid w:val="008520BD"/>
    <w:rsid w:val="008733C2"/>
    <w:rsid w:val="00876243"/>
    <w:rsid w:val="00882138"/>
    <w:rsid w:val="00882B0C"/>
    <w:rsid w:val="00887FE8"/>
    <w:rsid w:val="008909DB"/>
    <w:rsid w:val="0089380A"/>
    <w:rsid w:val="008A04A0"/>
    <w:rsid w:val="008A07F4"/>
    <w:rsid w:val="008B6BBE"/>
    <w:rsid w:val="008C44D3"/>
    <w:rsid w:val="008C6080"/>
    <w:rsid w:val="008D037C"/>
    <w:rsid w:val="008D0789"/>
    <w:rsid w:val="008D7E69"/>
    <w:rsid w:val="008E4E79"/>
    <w:rsid w:val="008F1AE4"/>
    <w:rsid w:val="008F1D7B"/>
    <w:rsid w:val="008F69D6"/>
    <w:rsid w:val="0090071B"/>
    <w:rsid w:val="00902460"/>
    <w:rsid w:val="009055EE"/>
    <w:rsid w:val="0090588C"/>
    <w:rsid w:val="00907474"/>
    <w:rsid w:val="00907BD7"/>
    <w:rsid w:val="009212F4"/>
    <w:rsid w:val="0092281A"/>
    <w:rsid w:val="009263A3"/>
    <w:rsid w:val="00927E69"/>
    <w:rsid w:val="009330D4"/>
    <w:rsid w:val="00945F36"/>
    <w:rsid w:val="00951CE1"/>
    <w:rsid w:val="009563FE"/>
    <w:rsid w:val="0096782F"/>
    <w:rsid w:val="0097322B"/>
    <w:rsid w:val="00974223"/>
    <w:rsid w:val="0097597C"/>
    <w:rsid w:val="0098077F"/>
    <w:rsid w:val="00983726"/>
    <w:rsid w:val="0098773A"/>
    <w:rsid w:val="00996C10"/>
    <w:rsid w:val="009A0A66"/>
    <w:rsid w:val="009A0D93"/>
    <w:rsid w:val="009A20B9"/>
    <w:rsid w:val="009A2424"/>
    <w:rsid w:val="009A2D75"/>
    <w:rsid w:val="009A4B56"/>
    <w:rsid w:val="009A54A3"/>
    <w:rsid w:val="009A60BF"/>
    <w:rsid w:val="009B312D"/>
    <w:rsid w:val="009B3548"/>
    <w:rsid w:val="009C5BD9"/>
    <w:rsid w:val="009D5B12"/>
    <w:rsid w:val="009D70CF"/>
    <w:rsid w:val="009D7594"/>
    <w:rsid w:val="009E3608"/>
    <w:rsid w:val="009E6E15"/>
    <w:rsid w:val="009F4259"/>
    <w:rsid w:val="009F49AD"/>
    <w:rsid w:val="009F542B"/>
    <w:rsid w:val="00A003B9"/>
    <w:rsid w:val="00A02A5D"/>
    <w:rsid w:val="00A061CF"/>
    <w:rsid w:val="00A06FBD"/>
    <w:rsid w:val="00A12041"/>
    <w:rsid w:val="00A204AC"/>
    <w:rsid w:val="00A21748"/>
    <w:rsid w:val="00A21C6C"/>
    <w:rsid w:val="00A322C2"/>
    <w:rsid w:val="00A35C70"/>
    <w:rsid w:val="00A37372"/>
    <w:rsid w:val="00A45339"/>
    <w:rsid w:val="00A661FC"/>
    <w:rsid w:val="00A67BE5"/>
    <w:rsid w:val="00A7298C"/>
    <w:rsid w:val="00A777DB"/>
    <w:rsid w:val="00A85547"/>
    <w:rsid w:val="00A94B47"/>
    <w:rsid w:val="00A950ED"/>
    <w:rsid w:val="00A96C2A"/>
    <w:rsid w:val="00AA4A2E"/>
    <w:rsid w:val="00AA7F65"/>
    <w:rsid w:val="00AB71ED"/>
    <w:rsid w:val="00AC0A36"/>
    <w:rsid w:val="00AC0E7D"/>
    <w:rsid w:val="00AC2677"/>
    <w:rsid w:val="00AC291E"/>
    <w:rsid w:val="00AC3F7C"/>
    <w:rsid w:val="00AC7523"/>
    <w:rsid w:val="00AD285B"/>
    <w:rsid w:val="00AD2995"/>
    <w:rsid w:val="00AD46DC"/>
    <w:rsid w:val="00AE043C"/>
    <w:rsid w:val="00AE29B8"/>
    <w:rsid w:val="00AE474C"/>
    <w:rsid w:val="00AF6153"/>
    <w:rsid w:val="00AF6F6B"/>
    <w:rsid w:val="00AF72AC"/>
    <w:rsid w:val="00B01656"/>
    <w:rsid w:val="00B0208E"/>
    <w:rsid w:val="00B04820"/>
    <w:rsid w:val="00B060BF"/>
    <w:rsid w:val="00B07843"/>
    <w:rsid w:val="00B1029C"/>
    <w:rsid w:val="00B150DE"/>
    <w:rsid w:val="00B22152"/>
    <w:rsid w:val="00B22833"/>
    <w:rsid w:val="00B265AA"/>
    <w:rsid w:val="00B27BC8"/>
    <w:rsid w:val="00B32A0D"/>
    <w:rsid w:val="00B35E34"/>
    <w:rsid w:val="00B413F0"/>
    <w:rsid w:val="00B438CD"/>
    <w:rsid w:val="00B439E3"/>
    <w:rsid w:val="00B50A07"/>
    <w:rsid w:val="00B550B1"/>
    <w:rsid w:val="00B56084"/>
    <w:rsid w:val="00B56D32"/>
    <w:rsid w:val="00B62846"/>
    <w:rsid w:val="00B658FD"/>
    <w:rsid w:val="00B659B4"/>
    <w:rsid w:val="00B66476"/>
    <w:rsid w:val="00B66B1B"/>
    <w:rsid w:val="00B77D7F"/>
    <w:rsid w:val="00B812C8"/>
    <w:rsid w:val="00B83F90"/>
    <w:rsid w:val="00B859FD"/>
    <w:rsid w:val="00B96BEF"/>
    <w:rsid w:val="00B974F6"/>
    <w:rsid w:val="00BA131F"/>
    <w:rsid w:val="00BA355D"/>
    <w:rsid w:val="00BA38AB"/>
    <w:rsid w:val="00BA586F"/>
    <w:rsid w:val="00BB521D"/>
    <w:rsid w:val="00BC0E91"/>
    <w:rsid w:val="00BC1627"/>
    <w:rsid w:val="00BC29E9"/>
    <w:rsid w:val="00BC6AE1"/>
    <w:rsid w:val="00BD44A5"/>
    <w:rsid w:val="00BD5738"/>
    <w:rsid w:val="00BD6C8D"/>
    <w:rsid w:val="00BD739C"/>
    <w:rsid w:val="00BE0815"/>
    <w:rsid w:val="00BE1848"/>
    <w:rsid w:val="00BE7EC9"/>
    <w:rsid w:val="00BF14FD"/>
    <w:rsid w:val="00BF1B13"/>
    <w:rsid w:val="00BF32D7"/>
    <w:rsid w:val="00BF3B5E"/>
    <w:rsid w:val="00BF7CB2"/>
    <w:rsid w:val="00C02CC0"/>
    <w:rsid w:val="00C03B9F"/>
    <w:rsid w:val="00C05ABD"/>
    <w:rsid w:val="00C113A7"/>
    <w:rsid w:val="00C1327B"/>
    <w:rsid w:val="00C16152"/>
    <w:rsid w:val="00C20BD7"/>
    <w:rsid w:val="00C23C4F"/>
    <w:rsid w:val="00C244EF"/>
    <w:rsid w:val="00C26617"/>
    <w:rsid w:val="00C2674E"/>
    <w:rsid w:val="00C27C43"/>
    <w:rsid w:val="00C37971"/>
    <w:rsid w:val="00C430CF"/>
    <w:rsid w:val="00C51127"/>
    <w:rsid w:val="00C52F45"/>
    <w:rsid w:val="00C54DCD"/>
    <w:rsid w:val="00C563D0"/>
    <w:rsid w:val="00C6262F"/>
    <w:rsid w:val="00C628AF"/>
    <w:rsid w:val="00C723C0"/>
    <w:rsid w:val="00C72743"/>
    <w:rsid w:val="00C80540"/>
    <w:rsid w:val="00C81625"/>
    <w:rsid w:val="00C8167B"/>
    <w:rsid w:val="00C8361A"/>
    <w:rsid w:val="00C90B87"/>
    <w:rsid w:val="00C90C4F"/>
    <w:rsid w:val="00C92215"/>
    <w:rsid w:val="00C92293"/>
    <w:rsid w:val="00C924A3"/>
    <w:rsid w:val="00C938F1"/>
    <w:rsid w:val="00C94143"/>
    <w:rsid w:val="00C94A77"/>
    <w:rsid w:val="00C94E9F"/>
    <w:rsid w:val="00C956A3"/>
    <w:rsid w:val="00C9671D"/>
    <w:rsid w:val="00CA1C85"/>
    <w:rsid w:val="00CB3A07"/>
    <w:rsid w:val="00CB40CB"/>
    <w:rsid w:val="00CC1B24"/>
    <w:rsid w:val="00CD2D38"/>
    <w:rsid w:val="00CD588F"/>
    <w:rsid w:val="00CD6FAB"/>
    <w:rsid w:val="00CE0DD6"/>
    <w:rsid w:val="00CE157C"/>
    <w:rsid w:val="00CE1A50"/>
    <w:rsid w:val="00CE283F"/>
    <w:rsid w:val="00CF53EA"/>
    <w:rsid w:val="00CF5A8C"/>
    <w:rsid w:val="00D00348"/>
    <w:rsid w:val="00D0256F"/>
    <w:rsid w:val="00D03359"/>
    <w:rsid w:val="00D05F95"/>
    <w:rsid w:val="00D13DE8"/>
    <w:rsid w:val="00D140D6"/>
    <w:rsid w:val="00D21D83"/>
    <w:rsid w:val="00D22575"/>
    <w:rsid w:val="00D2445F"/>
    <w:rsid w:val="00D255F9"/>
    <w:rsid w:val="00D41C4B"/>
    <w:rsid w:val="00D43688"/>
    <w:rsid w:val="00D448B0"/>
    <w:rsid w:val="00D47A2C"/>
    <w:rsid w:val="00D57600"/>
    <w:rsid w:val="00D66717"/>
    <w:rsid w:val="00D70528"/>
    <w:rsid w:val="00D70EE1"/>
    <w:rsid w:val="00D71D6F"/>
    <w:rsid w:val="00D770AF"/>
    <w:rsid w:val="00D80782"/>
    <w:rsid w:val="00D830E3"/>
    <w:rsid w:val="00D85A3B"/>
    <w:rsid w:val="00D85FC5"/>
    <w:rsid w:val="00D91CAB"/>
    <w:rsid w:val="00D94E2E"/>
    <w:rsid w:val="00DA1135"/>
    <w:rsid w:val="00DA24DA"/>
    <w:rsid w:val="00DA2CA9"/>
    <w:rsid w:val="00DA41F8"/>
    <w:rsid w:val="00DB3DC2"/>
    <w:rsid w:val="00DB4203"/>
    <w:rsid w:val="00DB7CAD"/>
    <w:rsid w:val="00DC0A42"/>
    <w:rsid w:val="00DC3351"/>
    <w:rsid w:val="00DC3B79"/>
    <w:rsid w:val="00DC6C64"/>
    <w:rsid w:val="00DD7BDE"/>
    <w:rsid w:val="00DE30C6"/>
    <w:rsid w:val="00DE38C4"/>
    <w:rsid w:val="00DE6A8D"/>
    <w:rsid w:val="00DF2D33"/>
    <w:rsid w:val="00E03B48"/>
    <w:rsid w:val="00E07A46"/>
    <w:rsid w:val="00E1191E"/>
    <w:rsid w:val="00E1192A"/>
    <w:rsid w:val="00E14927"/>
    <w:rsid w:val="00E24CDA"/>
    <w:rsid w:val="00E33440"/>
    <w:rsid w:val="00E400A0"/>
    <w:rsid w:val="00E4047C"/>
    <w:rsid w:val="00E44A81"/>
    <w:rsid w:val="00E53293"/>
    <w:rsid w:val="00E635AE"/>
    <w:rsid w:val="00E662F3"/>
    <w:rsid w:val="00E74361"/>
    <w:rsid w:val="00E76D17"/>
    <w:rsid w:val="00E76FD8"/>
    <w:rsid w:val="00E813E5"/>
    <w:rsid w:val="00E83C00"/>
    <w:rsid w:val="00E90C46"/>
    <w:rsid w:val="00E90CFF"/>
    <w:rsid w:val="00EB17E2"/>
    <w:rsid w:val="00EB46D8"/>
    <w:rsid w:val="00EB5439"/>
    <w:rsid w:val="00EB6EF8"/>
    <w:rsid w:val="00EC0BFF"/>
    <w:rsid w:val="00EC2E78"/>
    <w:rsid w:val="00EC6E31"/>
    <w:rsid w:val="00ED2AC4"/>
    <w:rsid w:val="00ED2E35"/>
    <w:rsid w:val="00ED36E0"/>
    <w:rsid w:val="00EF1BFC"/>
    <w:rsid w:val="00F01B7C"/>
    <w:rsid w:val="00F02A6D"/>
    <w:rsid w:val="00F03B3E"/>
    <w:rsid w:val="00F10618"/>
    <w:rsid w:val="00F1372D"/>
    <w:rsid w:val="00F1493F"/>
    <w:rsid w:val="00F15525"/>
    <w:rsid w:val="00F16F19"/>
    <w:rsid w:val="00F171DC"/>
    <w:rsid w:val="00F24DC8"/>
    <w:rsid w:val="00F27CB5"/>
    <w:rsid w:val="00F30728"/>
    <w:rsid w:val="00F35D46"/>
    <w:rsid w:val="00F518BD"/>
    <w:rsid w:val="00F56416"/>
    <w:rsid w:val="00F60595"/>
    <w:rsid w:val="00F661D6"/>
    <w:rsid w:val="00F7423C"/>
    <w:rsid w:val="00F76B9B"/>
    <w:rsid w:val="00F817EE"/>
    <w:rsid w:val="00F85500"/>
    <w:rsid w:val="00F86F06"/>
    <w:rsid w:val="00F90562"/>
    <w:rsid w:val="00FA4F38"/>
    <w:rsid w:val="00FB094F"/>
    <w:rsid w:val="00FB1838"/>
    <w:rsid w:val="00FB57A8"/>
    <w:rsid w:val="00FD06D4"/>
    <w:rsid w:val="00FD4D71"/>
    <w:rsid w:val="00FE756B"/>
    <w:rsid w:val="00FF4CF5"/>
    <w:rsid w:val="00FF52D0"/>
    <w:rsid w:val="00FF7A69"/>
    <w:rsid w:val="02F247CC"/>
    <w:rsid w:val="02F82CD6"/>
    <w:rsid w:val="06120DFE"/>
    <w:rsid w:val="06277B8D"/>
    <w:rsid w:val="07046D8D"/>
    <w:rsid w:val="07D91D17"/>
    <w:rsid w:val="086C25CA"/>
    <w:rsid w:val="097D102A"/>
    <w:rsid w:val="0A83110A"/>
    <w:rsid w:val="0AF65C36"/>
    <w:rsid w:val="0C136F47"/>
    <w:rsid w:val="0C9A7567"/>
    <w:rsid w:val="0D1234C3"/>
    <w:rsid w:val="0D3B0FD3"/>
    <w:rsid w:val="0D3B617E"/>
    <w:rsid w:val="0DB02A44"/>
    <w:rsid w:val="0EF326FF"/>
    <w:rsid w:val="106D0892"/>
    <w:rsid w:val="10A95343"/>
    <w:rsid w:val="112C1318"/>
    <w:rsid w:val="12922832"/>
    <w:rsid w:val="13FE2D9A"/>
    <w:rsid w:val="14407F41"/>
    <w:rsid w:val="14787805"/>
    <w:rsid w:val="16684294"/>
    <w:rsid w:val="18E9004D"/>
    <w:rsid w:val="1B645938"/>
    <w:rsid w:val="1B9029AD"/>
    <w:rsid w:val="1C1E0317"/>
    <w:rsid w:val="1C6F6E69"/>
    <w:rsid w:val="1DF77F22"/>
    <w:rsid w:val="1F054BC7"/>
    <w:rsid w:val="1FBF65AD"/>
    <w:rsid w:val="21F5284F"/>
    <w:rsid w:val="221C75C0"/>
    <w:rsid w:val="23303F4C"/>
    <w:rsid w:val="238503D1"/>
    <w:rsid w:val="23AA0A62"/>
    <w:rsid w:val="24DE624F"/>
    <w:rsid w:val="25FC0296"/>
    <w:rsid w:val="26B904C9"/>
    <w:rsid w:val="2713192D"/>
    <w:rsid w:val="27142199"/>
    <w:rsid w:val="276C4AAF"/>
    <w:rsid w:val="27BA3B0B"/>
    <w:rsid w:val="27DF78FF"/>
    <w:rsid w:val="28BC6805"/>
    <w:rsid w:val="2A691145"/>
    <w:rsid w:val="2A96425F"/>
    <w:rsid w:val="2AE67BEE"/>
    <w:rsid w:val="2B0B06B2"/>
    <w:rsid w:val="2B6B5732"/>
    <w:rsid w:val="2B8A6344"/>
    <w:rsid w:val="2C1F704C"/>
    <w:rsid w:val="2E0B5CB0"/>
    <w:rsid w:val="2E8203DE"/>
    <w:rsid w:val="300E30A0"/>
    <w:rsid w:val="31752AE6"/>
    <w:rsid w:val="3319445B"/>
    <w:rsid w:val="334330FE"/>
    <w:rsid w:val="337323F4"/>
    <w:rsid w:val="34046FB6"/>
    <w:rsid w:val="35B53E09"/>
    <w:rsid w:val="35CF47BC"/>
    <w:rsid w:val="35DF542A"/>
    <w:rsid w:val="35E0728C"/>
    <w:rsid w:val="35FFB449"/>
    <w:rsid w:val="36066B48"/>
    <w:rsid w:val="36EE269E"/>
    <w:rsid w:val="377063EE"/>
    <w:rsid w:val="37B07132"/>
    <w:rsid w:val="37E1104B"/>
    <w:rsid w:val="384C70A8"/>
    <w:rsid w:val="38AE2BA2"/>
    <w:rsid w:val="38C20ECB"/>
    <w:rsid w:val="390C56EB"/>
    <w:rsid w:val="396C0E37"/>
    <w:rsid w:val="39BF81C0"/>
    <w:rsid w:val="3A7D3F97"/>
    <w:rsid w:val="3AF408AE"/>
    <w:rsid w:val="3C0768E7"/>
    <w:rsid w:val="3CB545CD"/>
    <w:rsid w:val="3D663711"/>
    <w:rsid w:val="3EAE61C6"/>
    <w:rsid w:val="3EC24374"/>
    <w:rsid w:val="3F3814E8"/>
    <w:rsid w:val="40155096"/>
    <w:rsid w:val="402041B5"/>
    <w:rsid w:val="40A610D2"/>
    <w:rsid w:val="410118CC"/>
    <w:rsid w:val="410D2467"/>
    <w:rsid w:val="425A3F23"/>
    <w:rsid w:val="43811983"/>
    <w:rsid w:val="43887DD3"/>
    <w:rsid w:val="446A33C9"/>
    <w:rsid w:val="44E328F5"/>
    <w:rsid w:val="480C42AF"/>
    <w:rsid w:val="48324842"/>
    <w:rsid w:val="48921B71"/>
    <w:rsid w:val="492C046E"/>
    <w:rsid w:val="496F35AE"/>
    <w:rsid w:val="49DF11B1"/>
    <w:rsid w:val="4A880A40"/>
    <w:rsid w:val="4CC527A0"/>
    <w:rsid w:val="4CFA1D1B"/>
    <w:rsid w:val="4D31461A"/>
    <w:rsid w:val="4DB06571"/>
    <w:rsid w:val="4DE80F7C"/>
    <w:rsid w:val="4DF01093"/>
    <w:rsid w:val="4EE81CE9"/>
    <w:rsid w:val="4F7F6C87"/>
    <w:rsid w:val="501B74FB"/>
    <w:rsid w:val="50B213CE"/>
    <w:rsid w:val="50C218CF"/>
    <w:rsid w:val="50F66B94"/>
    <w:rsid w:val="5221349E"/>
    <w:rsid w:val="52455CFF"/>
    <w:rsid w:val="534837A7"/>
    <w:rsid w:val="54091C4C"/>
    <w:rsid w:val="54754922"/>
    <w:rsid w:val="5508395D"/>
    <w:rsid w:val="55233006"/>
    <w:rsid w:val="557D61BB"/>
    <w:rsid w:val="57F33423"/>
    <w:rsid w:val="57FC042D"/>
    <w:rsid w:val="58DA0434"/>
    <w:rsid w:val="59BD6C48"/>
    <w:rsid w:val="5A2E20C7"/>
    <w:rsid w:val="5CB00EB7"/>
    <w:rsid w:val="5D092B1C"/>
    <w:rsid w:val="5D972AB6"/>
    <w:rsid w:val="5EA042CC"/>
    <w:rsid w:val="5FCD7FD2"/>
    <w:rsid w:val="60007BE7"/>
    <w:rsid w:val="60082DB8"/>
    <w:rsid w:val="605D2BA3"/>
    <w:rsid w:val="6091610B"/>
    <w:rsid w:val="6160217E"/>
    <w:rsid w:val="61F07B19"/>
    <w:rsid w:val="63DC31CF"/>
    <w:rsid w:val="647B56A8"/>
    <w:rsid w:val="64842DDB"/>
    <w:rsid w:val="64C461C8"/>
    <w:rsid w:val="64F97173"/>
    <w:rsid w:val="65687A44"/>
    <w:rsid w:val="669C425A"/>
    <w:rsid w:val="67406646"/>
    <w:rsid w:val="6755062E"/>
    <w:rsid w:val="67F50995"/>
    <w:rsid w:val="68151B03"/>
    <w:rsid w:val="683F336B"/>
    <w:rsid w:val="685C1EF3"/>
    <w:rsid w:val="69C56B89"/>
    <w:rsid w:val="6A0445F0"/>
    <w:rsid w:val="6A0900F2"/>
    <w:rsid w:val="6A671B31"/>
    <w:rsid w:val="6ABF4435"/>
    <w:rsid w:val="6B9769B5"/>
    <w:rsid w:val="6C2947E2"/>
    <w:rsid w:val="6CCD7863"/>
    <w:rsid w:val="6CF4154E"/>
    <w:rsid w:val="6E0E30B7"/>
    <w:rsid w:val="6EC45356"/>
    <w:rsid w:val="6F274D57"/>
    <w:rsid w:val="6FAE4512"/>
    <w:rsid w:val="706B4917"/>
    <w:rsid w:val="70787AE6"/>
    <w:rsid w:val="718D33A2"/>
    <w:rsid w:val="71C76957"/>
    <w:rsid w:val="735A3913"/>
    <w:rsid w:val="73F10C38"/>
    <w:rsid w:val="740C0C71"/>
    <w:rsid w:val="743E350F"/>
    <w:rsid w:val="74D31A8A"/>
    <w:rsid w:val="74F3589D"/>
    <w:rsid w:val="74FA1909"/>
    <w:rsid w:val="75E55C1E"/>
    <w:rsid w:val="76366479"/>
    <w:rsid w:val="76E32CA4"/>
    <w:rsid w:val="78672ED2"/>
    <w:rsid w:val="791A291E"/>
    <w:rsid w:val="797E263C"/>
    <w:rsid w:val="797F098C"/>
    <w:rsid w:val="79961747"/>
    <w:rsid w:val="7A456C8B"/>
    <w:rsid w:val="7AA806E3"/>
    <w:rsid w:val="7AE15FA0"/>
    <w:rsid w:val="7C6A423D"/>
    <w:rsid w:val="7ECE71DB"/>
    <w:rsid w:val="7F0F63A8"/>
    <w:rsid w:val="7F695E91"/>
    <w:rsid w:val="7F9E6796"/>
    <w:rsid w:val="7FFE6286"/>
    <w:rsid w:val="AABD2531"/>
    <w:rsid w:val="BFF64C30"/>
    <w:rsid w:val="C71126E9"/>
    <w:rsid w:val="D4EBED56"/>
    <w:rsid w:val="D6DF562F"/>
    <w:rsid w:val="DF9FAF51"/>
    <w:rsid w:val="EF733852"/>
    <w:rsid w:val="EFF7D260"/>
    <w:rsid w:val="FE553171"/>
    <w:rsid w:val="FF2BDEB3"/>
    <w:rsid w:val="FF37D0F5"/>
    <w:rsid w:val="FF6FF351"/>
    <w:rsid w:val="FFBF8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ocked="1"/>
    <w:lsdException w:qFormat="1" w:unhideWhenUsed="0" w:uiPriority="9" w:semiHidden="0" w:name="heading 3" w:locked="1"/>
    <w:lsdException w:qFormat="1" w:unhideWhenUsed="0" w:uiPriority="0" w:semiHidden="0" w:name="heading 4" w:locked="1"/>
    <w:lsdException w:qFormat="1" w:unhideWhenUsed="0" w:uiPriority="9" w:semiHidden="0" w:name="heading 5" w:locked="1"/>
    <w:lsdException w:qFormat="1" w:unhideWhenUsed="0" w:uiPriority="9" w:semiHidden="0" w:name="heading 6" w:locked="1"/>
    <w:lsdException w:qFormat="1" w:unhideWhenUsed="0" w:uiPriority="9" w:semiHidden="0" w:name="heading 7" w:locked="1"/>
    <w:lsdException w:qFormat="1" w:unhideWhenUsed="0" w:uiPriority="9" w:semiHidden="0" w:name="heading 8" w:locked="1"/>
    <w:lsdException w:qFormat="1" w:unhideWhenUsed="0" w:uiPriority="9"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iPriority="39" w:semiHidden="0" w:name="toc 1" w:locked="1"/>
    <w:lsdException w:qFormat="1" w:uiPriority="39" w:semiHidden="0" w:name="toc 2" w:locked="1"/>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qFormat="1" w:unhideWhenUsed="0" w:uiPriority="0" w:semiHidden="0" w:name="Normal Indent"/>
    <w:lsdException w:uiPriority="99" w:name="footnote text" w:locked="1"/>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iPriority="99" w:semiHidden="0" w:name="List Number" w:locked="1"/>
    <w:lsdException w:uiPriority="99" w:name="List 2" w:locked="1"/>
    <w:lsdException w:uiPriority="99" w:name="List 3" w:locked="1"/>
    <w:lsdException w:uiPriority="99" w:name="List 4" w:locked="1"/>
    <w:lsdException w:uiPriority="99" w:name="List 5" w:locked="1"/>
    <w:lsdException w:qFormat="1" w:uiPriority="99" w:semiHidden="0"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0" w:semiHidden="0" w:name="Body Text First Indent" w:locked="1"/>
    <w:lsdException w:uiPriority="99" w:name="Body Text First Indent 2" w:locked="1"/>
    <w:lsdException w:uiPriority="99" w:name="Note Heading" w:locked="1"/>
    <w:lsdException w:qFormat="1"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0" w:semiHidden="0" w:name="Strong" w:locked="1"/>
    <w:lsdException w:qFormat="1" w:unhideWhenUsed="0" w:uiPriority="20" w:semiHidden="0" w:name="Emphasis" w:locked="1"/>
    <w:lsdException w:qFormat="1" w:uiPriority="99" w:semiHidden="0" w:name="Document Map" w:locked="1"/>
    <w:lsdException w:qFormat="1" w:uiPriority="99" w:semiHidden="0"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iPriority="0"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1"/>
    <w:basedOn w:val="1"/>
    <w:next w:val="1"/>
    <w:link w:val="46"/>
    <w:qFormat/>
    <w:uiPriority w:val="9"/>
    <w:pPr>
      <w:keepNext/>
      <w:spacing w:line="440" w:lineRule="exact"/>
      <w:jc w:val="center"/>
      <w:outlineLvl w:val="0"/>
    </w:pPr>
    <w:rPr>
      <w:rFonts w:ascii="宋体" w:hAnsi="宋体" w:cs="宋体"/>
      <w:sz w:val="24"/>
      <w:szCs w:val="24"/>
    </w:rPr>
  </w:style>
  <w:style w:type="paragraph" w:styleId="4">
    <w:name w:val="heading 2"/>
    <w:basedOn w:val="1"/>
    <w:next w:val="5"/>
    <w:link w:val="47"/>
    <w:qFormat/>
    <w:locked/>
    <w:uiPriority w:val="9"/>
    <w:pPr>
      <w:keepNext/>
      <w:keepLines/>
      <w:widowControl w:val="0"/>
      <w:spacing w:before="260" w:after="260" w:line="416" w:lineRule="auto"/>
      <w:jc w:val="both"/>
      <w:outlineLvl w:val="1"/>
    </w:pPr>
    <w:rPr>
      <w:rFonts w:ascii="Cambria" w:hAnsi="Cambria" w:cs="Cambria"/>
      <w:b/>
      <w:bCs/>
      <w:kern w:val="2"/>
      <w:sz w:val="32"/>
      <w:szCs w:val="32"/>
    </w:rPr>
  </w:style>
  <w:style w:type="paragraph" w:styleId="6">
    <w:name w:val="heading 3"/>
    <w:basedOn w:val="1"/>
    <w:next w:val="1"/>
    <w:link w:val="49"/>
    <w:qFormat/>
    <w:locked/>
    <w:uiPriority w:val="9"/>
    <w:pPr>
      <w:keepNext/>
      <w:keepLines/>
      <w:spacing w:before="260" w:after="260" w:line="416" w:lineRule="auto"/>
      <w:outlineLvl w:val="2"/>
    </w:pPr>
    <w:rPr>
      <w:b/>
      <w:bCs/>
      <w:sz w:val="32"/>
      <w:szCs w:val="32"/>
    </w:rPr>
  </w:style>
  <w:style w:type="paragraph" w:styleId="7">
    <w:name w:val="heading 4"/>
    <w:basedOn w:val="1"/>
    <w:next w:val="1"/>
    <w:link w:val="50"/>
    <w:qFormat/>
    <w:locked/>
    <w:uiPriority w:val="0"/>
    <w:pPr>
      <w:keepNext/>
      <w:keepLines/>
      <w:spacing w:before="280" w:after="290" w:line="376" w:lineRule="auto"/>
      <w:outlineLvl w:val="3"/>
    </w:pPr>
    <w:rPr>
      <w:rFonts w:ascii="Cambria" w:hAnsi="Cambria" w:cs="Cambria"/>
      <w:b/>
      <w:bCs/>
      <w:sz w:val="28"/>
      <w:szCs w:val="28"/>
    </w:rPr>
  </w:style>
  <w:style w:type="paragraph" w:styleId="8">
    <w:name w:val="heading 5"/>
    <w:basedOn w:val="1"/>
    <w:next w:val="1"/>
    <w:link w:val="51"/>
    <w:qFormat/>
    <w:locked/>
    <w:uiPriority w:val="9"/>
    <w:pPr>
      <w:keepNext/>
      <w:keepLines/>
      <w:spacing w:before="280" w:after="290" w:line="376" w:lineRule="auto"/>
      <w:outlineLvl w:val="4"/>
    </w:pPr>
    <w:rPr>
      <w:b/>
      <w:bCs/>
      <w:sz w:val="28"/>
      <w:szCs w:val="28"/>
    </w:rPr>
  </w:style>
  <w:style w:type="paragraph" w:styleId="9">
    <w:name w:val="heading 6"/>
    <w:basedOn w:val="1"/>
    <w:next w:val="1"/>
    <w:link w:val="52"/>
    <w:qFormat/>
    <w:locked/>
    <w:uiPriority w:val="9"/>
    <w:pPr>
      <w:keepNext/>
      <w:keepLines/>
      <w:widowControl w:val="0"/>
      <w:numPr>
        <w:ilvl w:val="5"/>
        <w:numId w:val="1"/>
      </w:numPr>
      <w:tabs>
        <w:tab w:val="left" w:pos="360"/>
      </w:tabs>
      <w:spacing w:line="360" w:lineRule="auto"/>
      <w:ind w:firstLine="200" w:firstLineChars="200"/>
      <w:jc w:val="both"/>
      <w:outlineLvl w:val="5"/>
    </w:pPr>
    <w:rPr>
      <w:rFonts w:ascii="Calibri Light" w:hAnsi="Calibri Light"/>
      <w:b/>
      <w:bCs/>
      <w:kern w:val="2"/>
      <w:sz w:val="24"/>
      <w:szCs w:val="24"/>
    </w:rPr>
  </w:style>
  <w:style w:type="paragraph" w:styleId="10">
    <w:name w:val="heading 7"/>
    <w:basedOn w:val="1"/>
    <w:next w:val="1"/>
    <w:link w:val="53"/>
    <w:qFormat/>
    <w:locked/>
    <w:uiPriority w:val="9"/>
    <w:pPr>
      <w:keepNext/>
      <w:keepLines/>
      <w:widowControl w:val="0"/>
      <w:numPr>
        <w:ilvl w:val="6"/>
        <w:numId w:val="1"/>
      </w:numPr>
      <w:tabs>
        <w:tab w:val="left" w:pos="360"/>
      </w:tabs>
      <w:spacing w:line="360" w:lineRule="auto"/>
      <w:ind w:firstLine="200" w:firstLineChars="200"/>
      <w:jc w:val="both"/>
      <w:outlineLvl w:val="6"/>
    </w:pPr>
    <w:rPr>
      <w:b/>
      <w:bCs/>
      <w:kern w:val="2"/>
      <w:sz w:val="24"/>
      <w:szCs w:val="24"/>
    </w:rPr>
  </w:style>
  <w:style w:type="paragraph" w:styleId="11">
    <w:name w:val="heading 8"/>
    <w:basedOn w:val="1"/>
    <w:next w:val="1"/>
    <w:link w:val="54"/>
    <w:qFormat/>
    <w:locked/>
    <w:uiPriority w:val="9"/>
    <w:pPr>
      <w:keepNext/>
      <w:keepLines/>
      <w:widowControl w:val="0"/>
      <w:numPr>
        <w:ilvl w:val="7"/>
        <w:numId w:val="1"/>
      </w:numPr>
      <w:tabs>
        <w:tab w:val="left" w:pos="360"/>
      </w:tabs>
      <w:spacing w:line="360" w:lineRule="auto"/>
      <w:ind w:firstLine="200" w:firstLineChars="200"/>
      <w:jc w:val="both"/>
      <w:outlineLvl w:val="7"/>
    </w:pPr>
    <w:rPr>
      <w:rFonts w:ascii="Calibri Light" w:hAnsi="Calibri Light"/>
      <w:b/>
      <w:kern w:val="2"/>
      <w:sz w:val="24"/>
      <w:szCs w:val="24"/>
    </w:rPr>
  </w:style>
  <w:style w:type="paragraph" w:styleId="12">
    <w:name w:val="heading 9"/>
    <w:basedOn w:val="1"/>
    <w:next w:val="1"/>
    <w:link w:val="55"/>
    <w:qFormat/>
    <w:locked/>
    <w:uiPriority w:val="9"/>
    <w:pPr>
      <w:keepNext/>
      <w:keepLines/>
      <w:widowControl w:val="0"/>
      <w:numPr>
        <w:ilvl w:val="8"/>
        <w:numId w:val="1"/>
      </w:numPr>
      <w:tabs>
        <w:tab w:val="left" w:pos="360"/>
      </w:tabs>
      <w:spacing w:line="360" w:lineRule="auto"/>
      <w:ind w:left="-2" w:leftChars="-1" w:firstLine="2" w:firstLineChars="200"/>
      <w:jc w:val="both"/>
      <w:outlineLvl w:val="8"/>
    </w:pPr>
    <w:rPr>
      <w:rFonts w:ascii="Calibri Light" w:hAnsi="Calibri Light"/>
      <w:b/>
      <w:kern w:val="2"/>
      <w:sz w:val="24"/>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2">
    <w:name w:val="正文（文本）"/>
    <w:qFormat/>
    <w:uiPriority w:val="99"/>
    <w:pPr>
      <w:widowControl w:val="0"/>
      <w:snapToGrid w:val="0"/>
      <w:spacing w:beforeLines="20" w:line="360" w:lineRule="auto"/>
      <w:jc w:val="center"/>
    </w:pPr>
    <w:rPr>
      <w:rFonts w:ascii="Times New Roman" w:hAnsi="宋体" w:eastAsia="宋体" w:cs="Times New Roman"/>
      <w:kern w:val="2"/>
      <w:sz w:val="28"/>
      <w:szCs w:val="28"/>
      <w:lang w:val="en-US" w:eastAsia="zh-CN" w:bidi="ar-SA"/>
    </w:rPr>
  </w:style>
  <w:style w:type="paragraph" w:customStyle="1" w:styleId="5">
    <w:name w:val="方案文档"/>
    <w:basedOn w:val="1"/>
    <w:link w:val="48"/>
    <w:qFormat/>
    <w:uiPriority w:val="99"/>
    <w:pPr>
      <w:widowControl w:val="0"/>
      <w:adjustRightInd w:val="0"/>
      <w:spacing w:line="360" w:lineRule="auto"/>
      <w:ind w:firstLine="485" w:firstLineChars="202"/>
      <w:jc w:val="both"/>
    </w:pPr>
    <w:rPr>
      <w:rFonts w:ascii="宋体" w:hAnsi="宋体"/>
      <w:sz w:val="24"/>
    </w:rPr>
  </w:style>
  <w:style w:type="paragraph" w:styleId="13">
    <w:name w:val="toc 7"/>
    <w:basedOn w:val="1"/>
    <w:next w:val="1"/>
    <w:unhideWhenUsed/>
    <w:qFormat/>
    <w:locked/>
    <w:uiPriority w:val="39"/>
    <w:pPr>
      <w:widowControl w:val="0"/>
      <w:ind w:left="2520" w:leftChars="1200"/>
      <w:jc w:val="both"/>
    </w:pPr>
    <w:rPr>
      <w:rFonts w:ascii="Calibri" w:hAnsi="Calibri"/>
      <w:kern w:val="2"/>
      <w:sz w:val="21"/>
      <w:szCs w:val="22"/>
    </w:rPr>
  </w:style>
  <w:style w:type="paragraph" w:styleId="14">
    <w:name w:val="List Number"/>
    <w:basedOn w:val="1"/>
    <w:unhideWhenUsed/>
    <w:qFormat/>
    <w:locked/>
    <w:uiPriority w:val="99"/>
    <w:pPr>
      <w:widowControl w:val="0"/>
      <w:tabs>
        <w:tab w:val="left" w:pos="360"/>
      </w:tabs>
      <w:adjustRightInd w:val="0"/>
      <w:spacing w:line="360" w:lineRule="auto"/>
      <w:ind w:left="360" w:firstLine="200" w:firstLineChars="200"/>
      <w:jc w:val="both"/>
    </w:pPr>
    <w:rPr>
      <w:rFonts w:ascii="Calibri" w:hAnsi="Calibri"/>
      <w:kern w:val="2"/>
      <w:sz w:val="28"/>
      <w:szCs w:val="24"/>
    </w:rPr>
  </w:style>
  <w:style w:type="paragraph" w:styleId="15">
    <w:name w:val="Normal Indent"/>
    <w:basedOn w:val="1"/>
    <w:link w:val="56"/>
    <w:qFormat/>
    <w:uiPriority w:val="0"/>
    <w:pPr>
      <w:widowControl w:val="0"/>
      <w:ind w:firstLine="480"/>
      <w:jc w:val="both"/>
    </w:pPr>
    <w:rPr>
      <w:rFonts w:ascii="等线" w:hAnsi="等线" w:eastAsia="等线" w:cs="等线"/>
      <w:kern w:val="2"/>
      <w:sz w:val="21"/>
      <w:szCs w:val="21"/>
    </w:rPr>
  </w:style>
  <w:style w:type="paragraph" w:styleId="16">
    <w:name w:val="Document Map"/>
    <w:basedOn w:val="1"/>
    <w:link w:val="57"/>
    <w:unhideWhenUsed/>
    <w:qFormat/>
    <w:locked/>
    <w:uiPriority w:val="99"/>
    <w:pPr>
      <w:widowControl w:val="0"/>
      <w:adjustRightInd w:val="0"/>
      <w:spacing w:line="360" w:lineRule="auto"/>
      <w:ind w:firstLine="560" w:firstLineChars="200"/>
      <w:jc w:val="both"/>
    </w:pPr>
    <w:rPr>
      <w:rFonts w:ascii="宋体" w:hAnsi="Calibri"/>
      <w:kern w:val="2"/>
      <w:sz w:val="24"/>
      <w:szCs w:val="24"/>
    </w:rPr>
  </w:style>
  <w:style w:type="paragraph" w:styleId="17">
    <w:name w:val="annotation text"/>
    <w:basedOn w:val="1"/>
    <w:link w:val="58"/>
    <w:qFormat/>
    <w:uiPriority w:val="99"/>
  </w:style>
  <w:style w:type="paragraph" w:styleId="18">
    <w:name w:val="Body Text"/>
    <w:basedOn w:val="1"/>
    <w:link w:val="59"/>
    <w:qFormat/>
    <w:uiPriority w:val="0"/>
    <w:pPr>
      <w:widowControl w:val="0"/>
      <w:spacing w:before="120" w:after="120" w:line="264" w:lineRule="auto"/>
      <w:jc w:val="both"/>
    </w:pPr>
    <w:rPr>
      <w:rFonts w:ascii="Calibri" w:hAnsi="Calibri" w:cs="Calibri"/>
      <w:kern w:val="2"/>
      <w:sz w:val="21"/>
      <w:szCs w:val="21"/>
    </w:rPr>
  </w:style>
  <w:style w:type="paragraph" w:styleId="19">
    <w:name w:val="Body Text Indent"/>
    <w:basedOn w:val="1"/>
    <w:link w:val="60"/>
    <w:unhideWhenUsed/>
    <w:qFormat/>
    <w:locked/>
    <w:uiPriority w:val="99"/>
    <w:pPr>
      <w:widowControl w:val="0"/>
      <w:adjustRightInd w:val="0"/>
      <w:spacing w:after="120" w:line="360" w:lineRule="auto"/>
      <w:ind w:left="420" w:leftChars="200" w:firstLine="560" w:firstLineChars="200"/>
      <w:jc w:val="both"/>
    </w:pPr>
    <w:rPr>
      <w:rFonts w:ascii="Calibri" w:hAnsi="Calibri"/>
      <w:szCs w:val="24"/>
    </w:rPr>
  </w:style>
  <w:style w:type="paragraph" w:styleId="20">
    <w:name w:val="List Bullet 2"/>
    <w:basedOn w:val="1"/>
    <w:unhideWhenUsed/>
    <w:qFormat/>
    <w:locked/>
    <w:uiPriority w:val="99"/>
    <w:pPr>
      <w:widowControl w:val="0"/>
      <w:tabs>
        <w:tab w:val="left" w:pos="780"/>
      </w:tabs>
      <w:adjustRightInd w:val="0"/>
      <w:spacing w:line="360" w:lineRule="auto"/>
      <w:ind w:left="780" w:firstLine="200" w:firstLineChars="200"/>
      <w:jc w:val="both"/>
    </w:pPr>
    <w:rPr>
      <w:rFonts w:ascii="Calibri" w:hAnsi="Calibri"/>
      <w:kern w:val="2"/>
      <w:sz w:val="28"/>
      <w:szCs w:val="24"/>
    </w:rPr>
  </w:style>
  <w:style w:type="paragraph" w:styleId="21">
    <w:name w:val="toc 5"/>
    <w:basedOn w:val="1"/>
    <w:next w:val="1"/>
    <w:unhideWhenUsed/>
    <w:qFormat/>
    <w:locked/>
    <w:uiPriority w:val="39"/>
    <w:pPr>
      <w:widowControl w:val="0"/>
      <w:ind w:left="1680" w:leftChars="800"/>
      <w:jc w:val="both"/>
    </w:pPr>
    <w:rPr>
      <w:rFonts w:ascii="Calibri" w:hAnsi="Calibri"/>
      <w:kern w:val="2"/>
      <w:sz w:val="21"/>
      <w:szCs w:val="22"/>
    </w:rPr>
  </w:style>
  <w:style w:type="paragraph" w:styleId="22">
    <w:name w:val="toc 3"/>
    <w:basedOn w:val="1"/>
    <w:next w:val="1"/>
    <w:unhideWhenUsed/>
    <w:qFormat/>
    <w:locked/>
    <w:uiPriority w:val="39"/>
    <w:pPr>
      <w:widowControl w:val="0"/>
      <w:adjustRightInd w:val="0"/>
      <w:spacing w:line="360" w:lineRule="auto"/>
      <w:ind w:left="840" w:leftChars="400" w:firstLine="560" w:firstLineChars="200"/>
      <w:jc w:val="both"/>
    </w:pPr>
    <w:rPr>
      <w:rFonts w:ascii="Calibri" w:hAnsi="Calibri"/>
      <w:kern w:val="2"/>
      <w:sz w:val="28"/>
      <w:szCs w:val="24"/>
    </w:rPr>
  </w:style>
  <w:style w:type="paragraph" w:styleId="23">
    <w:name w:val="Plain Text"/>
    <w:basedOn w:val="1"/>
    <w:link w:val="61"/>
    <w:unhideWhenUsed/>
    <w:qFormat/>
    <w:locked/>
    <w:uiPriority w:val="99"/>
    <w:pPr>
      <w:widowControl w:val="0"/>
      <w:adjustRightInd w:val="0"/>
      <w:spacing w:line="360" w:lineRule="auto"/>
      <w:ind w:firstLine="560" w:firstLineChars="200"/>
      <w:jc w:val="both"/>
    </w:pPr>
    <w:rPr>
      <w:rFonts w:ascii="宋体" w:hAnsi="Courier New"/>
      <w:kern w:val="2"/>
      <w:sz w:val="18"/>
      <w:szCs w:val="24"/>
    </w:rPr>
  </w:style>
  <w:style w:type="paragraph" w:styleId="24">
    <w:name w:val="toc 8"/>
    <w:basedOn w:val="1"/>
    <w:next w:val="1"/>
    <w:unhideWhenUsed/>
    <w:qFormat/>
    <w:locked/>
    <w:uiPriority w:val="39"/>
    <w:pPr>
      <w:widowControl w:val="0"/>
      <w:ind w:left="2940" w:leftChars="1400"/>
      <w:jc w:val="both"/>
    </w:pPr>
    <w:rPr>
      <w:rFonts w:ascii="Calibri" w:hAnsi="Calibri"/>
      <w:kern w:val="2"/>
      <w:sz w:val="21"/>
      <w:szCs w:val="22"/>
    </w:rPr>
  </w:style>
  <w:style w:type="paragraph" w:styleId="25">
    <w:name w:val="Balloon Text"/>
    <w:basedOn w:val="1"/>
    <w:link w:val="62"/>
    <w:qFormat/>
    <w:uiPriority w:val="0"/>
    <w:rPr>
      <w:sz w:val="18"/>
      <w:szCs w:val="18"/>
    </w:rPr>
  </w:style>
  <w:style w:type="paragraph" w:styleId="26">
    <w:name w:val="footer"/>
    <w:basedOn w:val="1"/>
    <w:link w:val="63"/>
    <w:qFormat/>
    <w:uiPriority w:val="99"/>
    <w:pPr>
      <w:tabs>
        <w:tab w:val="center" w:pos="4153"/>
        <w:tab w:val="right" w:pos="8306"/>
      </w:tabs>
      <w:snapToGrid w:val="0"/>
    </w:pPr>
    <w:rPr>
      <w:sz w:val="18"/>
      <w:szCs w:val="18"/>
    </w:rPr>
  </w:style>
  <w:style w:type="paragraph" w:styleId="27">
    <w:name w:val="header"/>
    <w:basedOn w:val="1"/>
    <w:link w:val="64"/>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unhideWhenUsed/>
    <w:qFormat/>
    <w:locked/>
    <w:uiPriority w:val="39"/>
    <w:pPr>
      <w:widowControl w:val="0"/>
      <w:adjustRightInd w:val="0"/>
      <w:spacing w:line="360" w:lineRule="auto"/>
      <w:ind w:firstLine="560" w:firstLineChars="200"/>
      <w:jc w:val="both"/>
    </w:pPr>
    <w:rPr>
      <w:rFonts w:ascii="Calibri" w:hAnsi="Calibri"/>
      <w:kern w:val="2"/>
      <w:sz w:val="28"/>
      <w:szCs w:val="24"/>
    </w:rPr>
  </w:style>
  <w:style w:type="paragraph" w:styleId="29">
    <w:name w:val="toc 4"/>
    <w:basedOn w:val="1"/>
    <w:next w:val="1"/>
    <w:unhideWhenUsed/>
    <w:qFormat/>
    <w:locked/>
    <w:uiPriority w:val="39"/>
    <w:pPr>
      <w:widowControl w:val="0"/>
      <w:ind w:left="1260" w:leftChars="600"/>
      <w:jc w:val="both"/>
    </w:pPr>
    <w:rPr>
      <w:rFonts w:ascii="Calibri" w:hAnsi="Calibri"/>
      <w:kern w:val="2"/>
      <w:sz w:val="21"/>
      <w:szCs w:val="22"/>
    </w:rPr>
  </w:style>
  <w:style w:type="paragraph" w:styleId="30">
    <w:name w:val="toc 6"/>
    <w:basedOn w:val="1"/>
    <w:next w:val="1"/>
    <w:unhideWhenUsed/>
    <w:qFormat/>
    <w:locked/>
    <w:uiPriority w:val="39"/>
    <w:pPr>
      <w:widowControl w:val="0"/>
      <w:ind w:left="2100" w:leftChars="1000"/>
      <w:jc w:val="both"/>
    </w:pPr>
    <w:rPr>
      <w:rFonts w:ascii="Calibri" w:hAnsi="Calibri"/>
      <w:kern w:val="2"/>
      <w:sz w:val="21"/>
      <w:szCs w:val="22"/>
    </w:rPr>
  </w:style>
  <w:style w:type="paragraph" w:styleId="31">
    <w:name w:val="toc 2"/>
    <w:basedOn w:val="1"/>
    <w:next w:val="1"/>
    <w:unhideWhenUsed/>
    <w:qFormat/>
    <w:locked/>
    <w:uiPriority w:val="39"/>
    <w:pPr>
      <w:widowControl w:val="0"/>
      <w:adjustRightInd w:val="0"/>
      <w:spacing w:line="360" w:lineRule="auto"/>
      <w:ind w:left="420" w:leftChars="200" w:firstLine="560" w:firstLineChars="200"/>
      <w:jc w:val="both"/>
    </w:pPr>
    <w:rPr>
      <w:rFonts w:ascii="Calibri" w:hAnsi="Calibri"/>
      <w:kern w:val="2"/>
      <w:sz w:val="28"/>
      <w:szCs w:val="24"/>
    </w:rPr>
  </w:style>
  <w:style w:type="paragraph" w:styleId="32">
    <w:name w:val="toc 9"/>
    <w:basedOn w:val="1"/>
    <w:next w:val="1"/>
    <w:unhideWhenUsed/>
    <w:qFormat/>
    <w:locked/>
    <w:uiPriority w:val="39"/>
    <w:pPr>
      <w:widowControl w:val="0"/>
      <w:ind w:left="3360" w:leftChars="1600"/>
      <w:jc w:val="both"/>
    </w:pPr>
    <w:rPr>
      <w:rFonts w:ascii="Calibri" w:hAnsi="Calibri"/>
      <w:kern w:val="2"/>
      <w:sz w:val="21"/>
      <w:szCs w:val="22"/>
    </w:rPr>
  </w:style>
  <w:style w:type="paragraph" w:styleId="33">
    <w:name w:val="Body Text 2"/>
    <w:basedOn w:val="1"/>
    <w:link w:val="65"/>
    <w:unhideWhenUsed/>
    <w:qFormat/>
    <w:locked/>
    <w:uiPriority w:val="0"/>
    <w:pPr>
      <w:widowControl w:val="0"/>
      <w:spacing w:after="120" w:line="480" w:lineRule="auto"/>
      <w:jc w:val="both"/>
    </w:pPr>
    <w:rPr>
      <w:kern w:val="2"/>
      <w:sz w:val="21"/>
      <w:szCs w:val="24"/>
    </w:rPr>
  </w:style>
  <w:style w:type="paragraph" w:styleId="34">
    <w:name w:val="HTML Preformatted"/>
    <w:basedOn w:val="1"/>
    <w:link w:val="66"/>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paragraph" w:styleId="35">
    <w:name w:val="Normal (Web)"/>
    <w:basedOn w:val="1"/>
    <w:link w:val="67"/>
    <w:unhideWhenUsed/>
    <w:qFormat/>
    <w:locked/>
    <w:uiPriority w:val="99"/>
    <w:pPr>
      <w:spacing w:before="100" w:beforeAutospacing="1" w:after="100" w:afterAutospacing="1"/>
    </w:pPr>
    <w:rPr>
      <w:rFonts w:ascii="宋体" w:hAnsi="宋体" w:cs="宋体"/>
      <w:sz w:val="24"/>
      <w:szCs w:val="24"/>
    </w:rPr>
  </w:style>
  <w:style w:type="paragraph" w:styleId="36">
    <w:name w:val="Title"/>
    <w:basedOn w:val="1"/>
    <w:next w:val="1"/>
    <w:link w:val="68"/>
    <w:qFormat/>
    <w:locked/>
    <w:uiPriority w:val="10"/>
    <w:pPr>
      <w:widowControl w:val="0"/>
      <w:spacing w:before="240" w:after="60"/>
      <w:jc w:val="center"/>
      <w:outlineLvl w:val="0"/>
    </w:pPr>
    <w:rPr>
      <w:rFonts w:ascii="Cambria" w:hAnsi="Cambria"/>
      <w:b/>
      <w:bCs/>
      <w:kern w:val="2"/>
      <w:sz w:val="32"/>
      <w:szCs w:val="32"/>
    </w:rPr>
  </w:style>
  <w:style w:type="paragraph" w:styleId="37">
    <w:name w:val="annotation subject"/>
    <w:basedOn w:val="17"/>
    <w:next w:val="17"/>
    <w:link w:val="69"/>
    <w:qFormat/>
    <w:uiPriority w:val="0"/>
    <w:pPr>
      <w:widowControl w:val="0"/>
      <w:jc w:val="both"/>
    </w:pPr>
    <w:rPr>
      <w:rFonts w:ascii="Calibri" w:hAnsi="Calibri" w:eastAsia="微软雅黑" w:cs="Calibri"/>
      <w:kern w:val="2"/>
      <w:sz w:val="24"/>
      <w:szCs w:val="24"/>
    </w:rPr>
  </w:style>
  <w:style w:type="paragraph" w:styleId="38">
    <w:name w:val="Body Text First Indent"/>
    <w:basedOn w:val="18"/>
    <w:link w:val="70"/>
    <w:qFormat/>
    <w:locked/>
    <w:uiPriority w:val="0"/>
    <w:pPr>
      <w:spacing w:before="0" w:line="240" w:lineRule="auto"/>
      <w:ind w:firstLine="420" w:firstLineChars="100"/>
    </w:pPr>
    <w:rPr>
      <w:rFonts w:ascii="Times New Roman" w:hAnsi="Times New Roman" w:cs="Times New Roman"/>
      <w:szCs w:val="24"/>
    </w:rPr>
  </w:style>
  <w:style w:type="table" w:styleId="40">
    <w:name w:val="Table Grid"/>
    <w:basedOn w:val="39"/>
    <w:qFormat/>
    <w:locked/>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locked/>
    <w:uiPriority w:val="0"/>
    <w:rPr>
      <w:b/>
      <w:bCs/>
    </w:rPr>
  </w:style>
  <w:style w:type="character" w:styleId="43">
    <w:name w:val="page number"/>
    <w:qFormat/>
    <w:uiPriority w:val="99"/>
  </w:style>
  <w:style w:type="character" w:styleId="44">
    <w:name w:val="Hyperlink"/>
    <w:unhideWhenUsed/>
    <w:qFormat/>
    <w:locked/>
    <w:uiPriority w:val="99"/>
    <w:rPr>
      <w:color w:val="0000FF"/>
      <w:u w:val="single"/>
    </w:rPr>
  </w:style>
  <w:style w:type="character" w:styleId="45">
    <w:name w:val="annotation reference"/>
    <w:qFormat/>
    <w:uiPriority w:val="0"/>
    <w:rPr>
      <w:sz w:val="21"/>
      <w:szCs w:val="21"/>
    </w:rPr>
  </w:style>
  <w:style w:type="character" w:customStyle="1" w:styleId="46">
    <w:name w:val="标题 1 字符"/>
    <w:link w:val="3"/>
    <w:qFormat/>
    <w:locked/>
    <w:uiPriority w:val="0"/>
    <w:rPr>
      <w:rFonts w:ascii="宋体" w:hAnsi="宋体" w:eastAsia="宋体" w:cs="宋体"/>
      <w:kern w:val="0"/>
      <w:sz w:val="20"/>
      <w:szCs w:val="20"/>
    </w:rPr>
  </w:style>
  <w:style w:type="character" w:customStyle="1" w:styleId="47">
    <w:name w:val="标题 2 字符"/>
    <w:link w:val="4"/>
    <w:qFormat/>
    <w:locked/>
    <w:uiPriority w:val="9"/>
    <w:rPr>
      <w:rFonts w:ascii="Cambria" w:hAnsi="Cambria" w:eastAsia="宋体" w:cs="Cambria"/>
      <w:b/>
      <w:bCs/>
      <w:kern w:val="2"/>
      <w:sz w:val="32"/>
      <w:szCs w:val="32"/>
    </w:rPr>
  </w:style>
  <w:style w:type="character" w:customStyle="1" w:styleId="48">
    <w:name w:val="方案文档 Char"/>
    <w:link w:val="5"/>
    <w:qFormat/>
    <w:locked/>
    <w:uiPriority w:val="99"/>
    <w:rPr>
      <w:rFonts w:ascii="宋体" w:hAnsi="宋体"/>
      <w:sz w:val="24"/>
    </w:rPr>
  </w:style>
  <w:style w:type="character" w:customStyle="1" w:styleId="49">
    <w:name w:val="标题 3 字符"/>
    <w:link w:val="6"/>
    <w:qFormat/>
    <w:locked/>
    <w:uiPriority w:val="9"/>
    <w:rPr>
      <w:b/>
      <w:bCs/>
      <w:sz w:val="32"/>
      <w:szCs w:val="32"/>
    </w:rPr>
  </w:style>
  <w:style w:type="character" w:customStyle="1" w:styleId="50">
    <w:name w:val="标题 4 字符"/>
    <w:link w:val="7"/>
    <w:qFormat/>
    <w:locked/>
    <w:uiPriority w:val="0"/>
    <w:rPr>
      <w:rFonts w:ascii="Cambria" w:hAnsi="Cambria" w:eastAsia="宋体" w:cs="Cambria"/>
      <w:b/>
      <w:bCs/>
      <w:sz w:val="28"/>
      <w:szCs w:val="28"/>
    </w:rPr>
  </w:style>
  <w:style w:type="character" w:customStyle="1" w:styleId="51">
    <w:name w:val="标题 5 字符"/>
    <w:link w:val="8"/>
    <w:qFormat/>
    <w:uiPriority w:val="9"/>
    <w:rPr>
      <w:b/>
      <w:bCs/>
      <w:sz w:val="28"/>
      <w:szCs w:val="28"/>
    </w:rPr>
  </w:style>
  <w:style w:type="character" w:customStyle="1" w:styleId="52">
    <w:name w:val="标题 6 字符"/>
    <w:link w:val="9"/>
    <w:qFormat/>
    <w:uiPriority w:val="9"/>
    <w:rPr>
      <w:rFonts w:ascii="Calibri Light" w:hAnsi="Calibri Light"/>
      <w:b/>
      <w:bCs/>
      <w:kern w:val="2"/>
      <w:sz w:val="24"/>
      <w:szCs w:val="24"/>
    </w:rPr>
  </w:style>
  <w:style w:type="character" w:customStyle="1" w:styleId="53">
    <w:name w:val="标题 7 字符"/>
    <w:link w:val="10"/>
    <w:qFormat/>
    <w:uiPriority w:val="9"/>
    <w:rPr>
      <w:b/>
      <w:bCs/>
      <w:kern w:val="2"/>
      <w:sz w:val="24"/>
      <w:szCs w:val="24"/>
    </w:rPr>
  </w:style>
  <w:style w:type="character" w:customStyle="1" w:styleId="54">
    <w:name w:val="标题 8 字符"/>
    <w:link w:val="11"/>
    <w:qFormat/>
    <w:uiPriority w:val="9"/>
    <w:rPr>
      <w:rFonts w:ascii="Calibri Light" w:hAnsi="Calibri Light"/>
      <w:b/>
      <w:kern w:val="2"/>
      <w:sz w:val="24"/>
      <w:szCs w:val="24"/>
    </w:rPr>
  </w:style>
  <w:style w:type="character" w:customStyle="1" w:styleId="55">
    <w:name w:val="标题 9 字符"/>
    <w:link w:val="12"/>
    <w:qFormat/>
    <w:uiPriority w:val="9"/>
    <w:rPr>
      <w:rFonts w:ascii="Calibri Light" w:hAnsi="Calibri Light"/>
      <w:b/>
      <w:kern w:val="2"/>
      <w:sz w:val="24"/>
      <w:szCs w:val="21"/>
    </w:rPr>
  </w:style>
  <w:style w:type="character" w:customStyle="1" w:styleId="56">
    <w:name w:val="正文缩进 字符"/>
    <w:link w:val="15"/>
    <w:qFormat/>
    <w:uiPriority w:val="0"/>
    <w:rPr>
      <w:rFonts w:ascii="等线" w:hAnsi="等线" w:eastAsia="等线" w:cs="等线"/>
      <w:kern w:val="2"/>
      <w:sz w:val="21"/>
      <w:szCs w:val="21"/>
    </w:rPr>
  </w:style>
  <w:style w:type="character" w:customStyle="1" w:styleId="57">
    <w:name w:val="文档结构图 字符"/>
    <w:link w:val="16"/>
    <w:semiHidden/>
    <w:qFormat/>
    <w:uiPriority w:val="99"/>
    <w:rPr>
      <w:rFonts w:ascii="宋体" w:hAnsi="Calibri" w:cs="Times New Roman"/>
      <w:kern w:val="2"/>
      <w:sz w:val="24"/>
      <w:szCs w:val="24"/>
    </w:rPr>
  </w:style>
  <w:style w:type="character" w:customStyle="1" w:styleId="58">
    <w:name w:val="批注文字 字符"/>
    <w:link w:val="17"/>
    <w:qFormat/>
    <w:locked/>
    <w:uiPriority w:val="99"/>
  </w:style>
  <w:style w:type="character" w:customStyle="1" w:styleId="59">
    <w:name w:val="正文文本 字符"/>
    <w:link w:val="18"/>
    <w:qFormat/>
    <w:locked/>
    <w:uiPriority w:val="99"/>
    <w:rPr>
      <w:rFonts w:ascii="Calibri" w:hAnsi="Calibri" w:cs="Calibri"/>
      <w:kern w:val="2"/>
      <w:sz w:val="21"/>
      <w:szCs w:val="21"/>
    </w:rPr>
  </w:style>
  <w:style w:type="character" w:customStyle="1" w:styleId="60">
    <w:name w:val="正文文本缩进 字符"/>
    <w:link w:val="19"/>
    <w:qFormat/>
    <w:uiPriority w:val="99"/>
    <w:rPr>
      <w:rFonts w:ascii="Calibri" w:hAnsi="Calibri" w:eastAsia="宋体" w:cs="Times New Roman"/>
      <w:szCs w:val="24"/>
    </w:rPr>
  </w:style>
  <w:style w:type="character" w:customStyle="1" w:styleId="61">
    <w:name w:val="纯文本 字符"/>
    <w:link w:val="23"/>
    <w:qFormat/>
    <w:uiPriority w:val="99"/>
    <w:rPr>
      <w:rFonts w:ascii="宋体" w:hAnsi="Courier New" w:eastAsia="宋体" w:cs="Times New Roman"/>
      <w:kern w:val="2"/>
      <w:sz w:val="18"/>
      <w:szCs w:val="24"/>
    </w:rPr>
  </w:style>
  <w:style w:type="character" w:customStyle="1" w:styleId="62">
    <w:name w:val="批注框文本 字符"/>
    <w:link w:val="25"/>
    <w:semiHidden/>
    <w:qFormat/>
    <w:locked/>
    <w:uiPriority w:val="99"/>
    <w:rPr>
      <w:sz w:val="18"/>
      <w:szCs w:val="18"/>
    </w:rPr>
  </w:style>
  <w:style w:type="character" w:customStyle="1" w:styleId="63">
    <w:name w:val="页脚 字符"/>
    <w:link w:val="26"/>
    <w:qFormat/>
    <w:locked/>
    <w:uiPriority w:val="99"/>
    <w:rPr>
      <w:rFonts w:ascii="Times New Roman" w:hAnsi="Times New Roman" w:eastAsia="宋体" w:cs="Times New Roman"/>
      <w:kern w:val="0"/>
      <w:sz w:val="18"/>
      <w:szCs w:val="18"/>
    </w:rPr>
  </w:style>
  <w:style w:type="character" w:customStyle="1" w:styleId="64">
    <w:name w:val="页眉 字符"/>
    <w:link w:val="27"/>
    <w:qFormat/>
    <w:locked/>
    <w:uiPriority w:val="0"/>
    <w:rPr>
      <w:rFonts w:ascii="Times New Roman" w:hAnsi="Times New Roman" w:eastAsia="宋体" w:cs="Times New Roman"/>
      <w:kern w:val="0"/>
      <w:sz w:val="18"/>
      <w:szCs w:val="18"/>
    </w:rPr>
  </w:style>
  <w:style w:type="character" w:customStyle="1" w:styleId="65">
    <w:name w:val="正文文本 2 字符"/>
    <w:link w:val="33"/>
    <w:qFormat/>
    <w:uiPriority w:val="0"/>
    <w:rPr>
      <w:kern w:val="2"/>
      <w:sz w:val="21"/>
      <w:szCs w:val="24"/>
    </w:rPr>
  </w:style>
  <w:style w:type="character" w:customStyle="1" w:styleId="66">
    <w:name w:val="HTML 预设格式 字符"/>
    <w:link w:val="34"/>
    <w:semiHidden/>
    <w:qFormat/>
    <w:locked/>
    <w:uiPriority w:val="99"/>
    <w:rPr>
      <w:rFonts w:ascii="Courier New" w:hAnsi="Courier New" w:cs="Courier New"/>
      <w:kern w:val="0"/>
      <w:sz w:val="20"/>
      <w:szCs w:val="20"/>
    </w:rPr>
  </w:style>
  <w:style w:type="character" w:customStyle="1" w:styleId="67">
    <w:name w:val="普通(网站) 字符"/>
    <w:link w:val="35"/>
    <w:qFormat/>
    <w:uiPriority w:val="99"/>
    <w:rPr>
      <w:rFonts w:ascii="宋体" w:hAnsi="宋体" w:cs="宋体"/>
      <w:sz w:val="24"/>
      <w:szCs w:val="24"/>
    </w:rPr>
  </w:style>
  <w:style w:type="character" w:customStyle="1" w:styleId="68">
    <w:name w:val="标题 字符"/>
    <w:link w:val="36"/>
    <w:qFormat/>
    <w:uiPriority w:val="10"/>
    <w:rPr>
      <w:rFonts w:ascii="Cambria" w:hAnsi="Cambria"/>
      <w:b/>
      <w:bCs/>
      <w:kern w:val="2"/>
      <w:sz w:val="32"/>
      <w:szCs w:val="32"/>
    </w:rPr>
  </w:style>
  <w:style w:type="character" w:customStyle="1" w:styleId="69">
    <w:name w:val="批注主题 字符"/>
    <w:link w:val="37"/>
    <w:qFormat/>
    <w:locked/>
    <w:uiPriority w:val="0"/>
    <w:rPr>
      <w:rFonts w:ascii="Calibri" w:hAnsi="Calibri" w:eastAsia="微软雅黑" w:cs="Calibri"/>
      <w:kern w:val="2"/>
      <w:sz w:val="24"/>
      <w:szCs w:val="24"/>
    </w:rPr>
  </w:style>
  <w:style w:type="character" w:customStyle="1" w:styleId="70">
    <w:name w:val="正文首行缩进 字符"/>
    <w:link w:val="38"/>
    <w:qFormat/>
    <w:uiPriority w:val="0"/>
    <w:rPr>
      <w:rFonts w:ascii="Calibri" w:hAnsi="Calibri" w:cs="Calibri"/>
      <w:kern w:val="2"/>
      <w:sz w:val="21"/>
      <w:szCs w:val="24"/>
    </w:rPr>
  </w:style>
  <w:style w:type="paragraph" w:customStyle="1" w:styleId="71">
    <w:name w:val="样式 样式 样式 样式 标题 2 + 宋体 五号 非加粗 黑色 + 段前: 6 磅 段后: 0 磅 行距: 单倍行距 + 段前:..."/>
    <w:basedOn w:val="1"/>
    <w:qFormat/>
    <w:uiPriority w:val="99"/>
    <w:pPr>
      <w:keepNext/>
      <w:keepLines/>
      <w:widowControl w:val="0"/>
      <w:adjustRightInd w:val="0"/>
      <w:spacing w:before="240"/>
      <w:ind w:left="480"/>
      <w:outlineLvl w:val="1"/>
    </w:pPr>
    <w:rPr>
      <w:rFonts w:ascii="宋体" w:hAnsi="宋体" w:cs="宋体"/>
      <w:b/>
      <w:bCs/>
      <w:color w:val="000000"/>
      <w:sz w:val="21"/>
      <w:szCs w:val="21"/>
    </w:rPr>
  </w:style>
  <w:style w:type="paragraph" w:customStyle="1" w:styleId="72">
    <w:name w:val="正文文本样式"/>
    <w:basedOn w:val="1"/>
    <w:qFormat/>
    <w:uiPriority w:val="99"/>
    <w:pPr>
      <w:spacing w:line="360" w:lineRule="auto"/>
      <w:ind w:firstLine="200" w:firstLineChars="200"/>
    </w:pPr>
    <w:rPr>
      <w:rFonts w:ascii="Arial" w:hAnsi="Arial" w:cs="Arial"/>
      <w:kern w:val="2"/>
      <w:sz w:val="24"/>
      <w:szCs w:val="24"/>
    </w:rPr>
  </w:style>
  <w:style w:type="paragraph" w:customStyle="1" w:styleId="73">
    <w:name w:val="Normal_0_1"/>
    <w:qFormat/>
    <w:uiPriority w:val="99"/>
    <w:rPr>
      <w:rFonts w:ascii="Times New Roman" w:hAnsi="Times New Roman" w:eastAsia="宋体" w:cs="Times New Roman"/>
      <w:sz w:val="24"/>
      <w:szCs w:val="24"/>
      <w:lang w:val="en-US" w:eastAsia="zh-CN" w:bidi="ar-SA"/>
    </w:rPr>
  </w:style>
  <w:style w:type="paragraph" w:styleId="74">
    <w:name w:val="List Paragraph"/>
    <w:basedOn w:val="1"/>
    <w:link w:val="75"/>
    <w:qFormat/>
    <w:uiPriority w:val="34"/>
    <w:pPr>
      <w:ind w:firstLine="420" w:firstLineChars="200"/>
    </w:pPr>
  </w:style>
  <w:style w:type="character" w:customStyle="1" w:styleId="75">
    <w:name w:val="列出段落 字符"/>
    <w:link w:val="74"/>
    <w:qFormat/>
    <w:locked/>
    <w:uiPriority w:val="34"/>
  </w:style>
  <w:style w:type="paragraph" w:customStyle="1" w:styleId="76">
    <w:name w:val="修订1"/>
    <w:semiHidden/>
    <w:qFormat/>
    <w:uiPriority w:val="99"/>
    <w:rPr>
      <w:rFonts w:ascii="Times New Roman" w:hAnsi="Times New Roman" w:eastAsia="宋体" w:cs="Times New Roman"/>
      <w:lang w:val="en-US" w:eastAsia="zh-CN" w:bidi="ar-SA"/>
    </w:rPr>
  </w:style>
  <w:style w:type="paragraph" w:customStyle="1" w:styleId="77">
    <w:name w:val="3级标题"/>
    <w:basedOn w:val="1"/>
    <w:qFormat/>
    <w:uiPriority w:val="99"/>
    <w:pPr>
      <w:keepLines/>
      <w:widowControl w:val="0"/>
      <w:numPr>
        <w:ilvl w:val="0"/>
        <w:numId w:val="2"/>
      </w:numPr>
      <w:spacing w:before="120" w:after="120" w:line="360" w:lineRule="auto"/>
      <w:outlineLvl w:val="2"/>
    </w:pPr>
    <w:rPr>
      <w:rFonts w:ascii="黑体" w:hAnsi="黑体" w:eastAsia="黑体" w:cs="黑体"/>
      <w:sz w:val="28"/>
      <w:szCs w:val="28"/>
      <w:lang w:val="zh-CN" w:eastAsia="en-US"/>
    </w:rPr>
  </w:style>
  <w:style w:type="paragraph" w:customStyle="1" w:styleId="78">
    <w:name w:val="List Paragraph1"/>
    <w:basedOn w:val="1"/>
    <w:qFormat/>
    <w:uiPriority w:val="99"/>
    <w:pPr>
      <w:widowControl w:val="0"/>
      <w:ind w:firstLine="420" w:firstLineChars="200"/>
      <w:jc w:val="both"/>
    </w:pPr>
    <w:rPr>
      <w:kern w:val="2"/>
      <w:sz w:val="21"/>
      <w:szCs w:val="21"/>
    </w:rPr>
  </w:style>
  <w:style w:type="paragraph" w:customStyle="1" w:styleId="79">
    <w:name w:val="my正文"/>
    <w:basedOn w:val="1"/>
    <w:qFormat/>
    <w:uiPriority w:val="99"/>
    <w:pPr>
      <w:widowControl w:val="0"/>
      <w:spacing w:line="360" w:lineRule="auto"/>
      <w:ind w:firstLine="200" w:firstLineChars="200"/>
      <w:jc w:val="both"/>
    </w:pPr>
    <w:rPr>
      <w:rFonts w:ascii="宋体" w:hAnsi="宋体" w:eastAsia="仿宋" w:cs="宋体"/>
      <w:kern w:val="2"/>
      <w:sz w:val="28"/>
      <w:szCs w:val="28"/>
    </w:rPr>
  </w:style>
  <w:style w:type="paragraph" w:customStyle="1" w:styleId="80">
    <w:name w:val="首行缩进"/>
    <w:basedOn w:val="1"/>
    <w:qFormat/>
    <w:uiPriority w:val="99"/>
    <w:pPr>
      <w:widowControl w:val="0"/>
      <w:spacing w:line="360" w:lineRule="auto"/>
      <w:ind w:firstLine="480" w:firstLineChars="200"/>
    </w:pPr>
    <w:rPr>
      <w:rFonts w:ascii="宋体" w:hAnsi="宋体" w:cs="宋体"/>
      <w:kern w:val="2"/>
      <w:sz w:val="24"/>
      <w:szCs w:val="24"/>
    </w:rPr>
  </w:style>
  <w:style w:type="paragraph" w:customStyle="1" w:styleId="81">
    <w:name w:val="_Style 299"/>
    <w:basedOn w:val="1"/>
    <w:next w:val="74"/>
    <w:qFormat/>
    <w:uiPriority w:val="99"/>
    <w:pPr>
      <w:widowControl w:val="0"/>
      <w:ind w:firstLine="420" w:firstLineChars="200"/>
      <w:jc w:val="both"/>
    </w:pPr>
    <w:rPr>
      <w:rFonts w:ascii="Calibri" w:hAnsi="Calibri" w:cs="Calibri"/>
      <w:kern w:val="2"/>
      <w:sz w:val="21"/>
      <w:szCs w:val="21"/>
    </w:rPr>
  </w:style>
  <w:style w:type="paragraph" w:customStyle="1" w:styleId="82">
    <w:name w:val="_Style 4"/>
    <w:basedOn w:val="1"/>
    <w:next w:val="74"/>
    <w:qFormat/>
    <w:uiPriority w:val="99"/>
    <w:pPr>
      <w:widowControl w:val="0"/>
      <w:ind w:firstLine="420" w:firstLineChars="200"/>
      <w:jc w:val="both"/>
    </w:pPr>
    <w:rPr>
      <w:rFonts w:ascii="Calibri" w:hAnsi="Calibri" w:cs="Calibri"/>
      <w:kern w:val="2"/>
      <w:sz w:val="21"/>
      <w:szCs w:val="21"/>
      <w:lang w:val="zh-CN"/>
    </w:rPr>
  </w:style>
  <w:style w:type="paragraph" w:customStyle="1" w:styleId="8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84">
    <w:name w:val="font21"/>
    <w:qFormat/>
    <w:uiPriority w:val="0"/>
    <w:rPr>
      <w:rFonts w:ascii="微软雅黑" w:hAnsi="微软雅黑" w:eastAsia="微软雅黑" w:cs="微软雅黑"/>
      <w:color w:val="000000"/>
      <w:sz w:val="20"/>
      <w:szCs w:val="20"/>
      <w:u w:val="none"/>
    </w:rPr>
  </w:style>
  <w:style w:type="character" w:customStyle="1" w:styleId="85">
    <w:name w:val="font01"/>
    <w:qFormat/>
    <w:uiPriority w:val="0"/>
    <w:rPr>
      <w:rFonts w:ascii="宋体" w:hAnsi="宋体" w:eastAsia="宋体" w:cs="宋体"/>
      <w:color w:val="000000"/>
      <w:sz w:val="20"/>
      <w:szCs w:val="20"/>
      <w:u w:val="none"/>
    </w:rPr>
  </w:style>
  <w:style w:type="paragraph" w:customStyle="1" w:styleId="86">
    <w:name w:val="正文 A"/>
    <w:qFormat/>
    <w:uiPriority w:val="99"/>
    <w:pPr>
      <w:widowControl w:val="0"/>
      <w:jc w:val="both"/>
    </w:pPr>
    <w:rPr>
      <w:rFonts w:ascii="Times New Roman" w:hAnsi="Times New Roman" w:eastAsia="Arial Unicode MS" w:cs="Times New Roman"/>
      <w:color w:val="000000"/>
      <w:kern w:val="2"/>
      <w:sz w:val="21"/>
      <w:szCs w:val="21"/>
      <w:lang w:val="en-US" w:eastAsia="zh-CN" w:bidi="ar-SA"/>
    </w:rPr>
  </w:style>
  <w:style w:type="character" w:customStyle="1" w:styleId="87">
    <w:name w:val="fontstyle01"/>
    <w:qFormat/>
    <w:uiPriority w:val="0"/>
    <w:rPr>
      <w:rFonts w:ascii="宋体" w:hAnsi="宋体" w:eastAsia="宋体" w:cs="宋体"/>
      <w:color w:val="000000"/>
      <w:sz w:val="22"/>
      <w:szCs w:val="22"/>
    </w:rPr>
  </w:style>
  <w:style w:type="character" w:customStyle="1" w:styleId="88">
    <w:name w:val="font11"/>
    <w:qFormat/>
    <w:uiPriority w:val="0"/>
    <w:rPr>
      <w:rFonts w:ascii="宋体" w:hAnsi="宋体" w:eastAsia="宋体" w:cs="宋体"/>
      <w:color w:val="000000"/>
      <w:sz w:val="22"/>
      <w:szCs w:val="22"/>
      <w:u w:val="none"/>
    </w:rPr>
  </w:style>
  <w:style w:type="paragraph" w:customStyle="1" w:styleId="89">
    <w:name w:val="列表段落1"/>
    <w:basedOn w:val="1"/>
    <w:qFormat/>
    <w:uiPriority w:val="99"/>
    <w:pPr>
      <w:widowControl w:val="0"/>
      <w:ind w:firstLine="420" w:firstLineChars="200"/>
      <w:jc w:val="both"/>
    </w:pPr>
    <w:rPr>
      <w:rFonts w:ascii="等线" w:hAnsi="等线" w:eastAsia="等线" w:cs="等线"/>
      <w:kern w:val="2"/>
      <w:sz w:val="21"/>
      <w:szCs w:val="21"/>
    </w:rPr>
  </w:style>
  <w:style w:type="character" w:customStyle="1" w:styleId="90">
    <w:name w:val="msoins"/>
    <w:qFormat/>
    <w:uiPriority w:val="0"/>
    <w:rPr>
      <w:rFonts w:ascii="Arial" w:hAnsi="Arial" w:cs="Arial"/>
      <w:b/>
      <w:bCs/>
      <w:kern w:val="0"/>
      <w:sz w:val="24"/>
      <w:szCs w:val="24"/>
      <w:lang w:eastAsia="en-US"/>
    </w:rPr>
  </w:style>
  <w:style w:type="character" w:customStyle="1" w:styleId="91">
    <w:name w:val="页脚 Char1"/>
    <w:qFormat/>
    <w:uiPriority w:val="99"/>
    <w:rPr>
      <w:sz w:val="18"/>
      <w:szCs w:val="18"/>
    </w:rPr>
  </w:style>
  <w:style w:type="character" w:customStyle="1" w:styleId="92">
    <w:name w:val="textcontents"/>
    <w:qFormat/>
    <w:uiPriority w:val="0"/>
  </w:style>
  <w:style w:type="character" w:customStyle="1" w:styleId="93">
    <w:name w:val="标题 Char"/>
    <w:qFormat/>
    <w:uiPriority w:val="10"/>
    <w:rPr>
      <w:rFonts w:ascii="Cambria" w:hAnsi="Cambria" w:cs="Times New Roman"/>
      <w:b/>
      <w:bCs/>
      <w:sz w:val="32"/>
      <w:szCs w:val="32"/>
    </w:rPr>
  </w:style>
  <w:style w:type="paragraph" w:customStyle="1" w:styleId="94">
    <w:name w:val="_Style 16"/>
    <w:basedOn w:val="1"/>
    <w:next w:val="74"/>
    <w:qFormat/>
    <w:uiPriority w:val="34"/>
    <w:pPr>
      <w:widowControl w:val="0"/>
      <w:ind w:firstLine="420" w:firstLineChars="200"/>
      <w:jc w:val="both"/>
    </w:pPr>
    <w:rPr>
      <w:kern w:val="2"/>
      <w:sz w:val="21"/>
      <w:szCs w:val="24"/>
    </w:rPr>
  </w:style>
  <w:style w:type="paragraph" w:customStyle="1" w:styleId="95">
    <w:name w:val="列出段落5"/>
    <w:basedOn w:val="1"/>
    <w:qFormat/>
    <w:uiPriority w:val="99"/>
    <w:pPr>
      <w:widowControl w:val="0"/>
      <w:adjustRightInd w:val="0"/>
      <w:spacing w:line="360" w:lineRule="auto"/>
      <w:ind w:firstLine="420" w:firstLineChars="200"/>
      <w:jc w:val="both"/>
    </w:pPr>
    <w:rPr>
      <w:rFonts w:ascii="Calibri" w:hAnsi="Calibri"/>
      <w:kern w:val="2"/>
      <w:sz w:val="28"/>
      <w:szCs w:val="24"/>
    </w:rPr>
  </w:style>
  <w:style w:type="paragraph" w:customStyle="1" w:styleId="96">
    <w:name w:val="正文内容"/>
    <w:basedOn w:val="1"/>
    <w:link w:val="97"/>
    <w:qFormat/>
    <w:uiPriority w:val="0"/>
    <w:pPr>
      <w:widowControl w:val="0"/>
      <w:adjustRightInd w:val="0"/>
      <w:spacing w:line="360" w:lineRule="auto"/>
      <w:ind w:firstLine="480" w:firstLineChars="200"/>
      <w:jc w:val="both"/>
    </w:pPr>
    <w:rPr>
      <w:rFonts w:ascii="Calibri" w:hAnsi="Calibri"/>
      <w:kern w:val="2"/>
      <w:sz w:val="28"/>
      <w:szCs w:val="24"/>
    </w:rPr>
  </w:style>
  <w:style w:type="character" w:customStyle="1" w:styleId="97">
    <w:name w:val="正文内容 Char"/>
    <w:link w:val="96"/>
    <w:qFormat/>
    <w:uiPriority w:val="0"/>
    <w:rPr>
      <w:rFonts w:ascii="Calibri" w:hAnsi="Calibri" w:eastAsia="宋体" w:cs="Times New Roman"/>
      <w:kern w:val="2"/>
      <w:sz w:val="28"/>
      <w:szCs w:val="24"/>
    </w:rPr>
  </w:style>
  <w:style w:type="paragraph" w:customStyle="1" w:styleId="98">
    <w:name w:val="项目编号B"/>
    <w:basedOn w:val="1"/>
    <w:qFormat/>
    <w:uiPriority w:val="99"/>
    <w:pPr>
      <w:widowControl w:val="0"/>
      <w:numPr>
        <w:ilvl w:val="0"/>
        <w:numId w:val="3"/>
      </w:numPr>
      <w:adjustRightInd w:val="0"/>
      <w:spacing w:line="440" w:lineRule="exact"/>
      <w:ind w:firstLine="0"/>
      <w:jc w:val="both"/>
    </w:pPr>
    <w:rPr>
      <w:rFonts w:ascii="Arial" w:hAnsi="Arial"/>
      <w:kern w:val="2"/>
      <w:sz w:val="24"/>
      <w:szCs w:val="24"/>
    </w:rPr>
  </w:style>
  <w:style w:type="paragraph" w:customStyle="1" w:styleId="99">
    <w:name w:val="msolistparagraph"/>
    <w:basedOn w:val="1"/>
    <w:qFormat/>
    <w:uiPriority w:val="0"/>
    <w:pPr>
      <w:widowControl w:val="0"/>
      <w:adjustRightInd w:val="0"/>
      <w:spacing w:line="360" w:lineRule="auto"/>
      <w:ind w:firstLine="420" w:firstLineChars="200"/>
      <w:jc w:val="both"/>
    </w:pPr>
    <w:rPr>
      <w:rFonts w:ascii="Calibri" w:hAnsi="Calibri"/>
      <w:sz w:val="28"/>
      <w:szCs w:val="22"/>
    </w:rPr>
  </w:style>
  <w:style w:type="paragraph" w:customStyle="1" w:styleId="100">
    <w:name w:val="列出段落1"/>
    <w:basedOn w:val="1"/>
    <w:unhideWhenUsed/>
    <w:qFormat/>
    <w:uiPriority w:val="99"/>
    <w:pPr>
      <w:widowControl w:val="0"/>
      <w:adjustRightInd w:val="0"/>
      <w:spacing w:line="360" w:lineRule="auto"/>
      <w:ind w:firstLine="420" w:firstLineChars="200"/>
      <w:jc w:val="both"/>
    </w:pPr>
    <w:rPr>
      <w:rFonts w:ascii="Calibri" w:hAnsi="Calibri"/>
      <w:kern w:val="2"/>
      <w:sz w:val="28"/>
      <w:szCs w:val="24"/>
    </w:rPr>
  </w:style>
  <w:style w:type="paragraph" w:customStyle="1" w:styleId="101">
    <w:name w:val="列出段落2"/>
    <w:basedOn w:val="1"/>
    <w:unhideWhenUsed/>
    <w:qFormat/>
    <w:uiPriority w:val="99"/>
    <w:pPr>
      <w:widowControl w:val="0"/>
      <w:adjustRightInd w:val="0"/>
      <w:spacing w:line="360" w:lineRule="auto"/>
      <w:ind w:firstLine="420" w:firstLineChars="200"/>
      <w:jc w:val="both"/>
      <w:textAlignment w:val="baseline"/>
    </w:pPr>
    <w:rPr>
      <w:rFonts w:ascii="宋体" w:hAnsi="宋体"/>
      <w:sz w:val="28"/>
      <w:szCs w:val="28"/>
    </w:rPr>
  </w:style>
  <w:style w:type="paragraph" w:customStyle="1" w:styleId="102">
    <w:name w:val="正文-宋体"/>
    <w:basedOn w:val="1"/>
    <w:link w:val="103"/>
    <w:qFormat/>
    <w:uiPriority w:val="0"/>
    <w:pPr>
      <w:spacing w:line="360" w:lineRule="auto"/>
      <w:ind w:firstLine="200" w:firstLineChars="200"/>
      <w:jc w:val="both"/>
    </w:pPr>
    <w:rPr>
      <w:sz w:val="28"/>
      <w:szCs w:val="22"/>
    </w:rPr>
  </w:style>
  <w:style w:type="character" w:customStyle="1" w:styleId="103">
    <w:name w:val="正文-宋体 Char"/>
    <w:link w:val="102"/>
    <w:qFormat/>
    <w:uiPriority w:val="0"/>
    <w:rPr>
      <w:sz w:val="28"/>
      <w:szCs w:val="22"/>
    </w:rPr>
  </w:style>
  <w:style w:type="paragraph" w:customStyle="1" w:styleId="104">
    <w:name w:val="项目符号 1"/>
    <w:basedOn w:val="1"/>
    <w:link w:val="105"/>
    <w:qFormat/>
    <w:uiPriority w:val="0"/>
    <w:pPr>
      <w:numPr>
        <w:ilvl w:val="0"/>
        <w:numId w:val="4"/>
      </w:numPr>
      <w:adjustRightInd w:val="0"/>
      <w:spacing w:line="360" w:lineRule="auto"/>
      <w:ind w:left="0" w:firstLine="200" w:firstLineChars="200"/>
      <w:jc w:val="both"/>
    </w:pPr>
    <w:rPr>
      <w:rFonts w:ascii="Calibri" w:hAnsi="Calibri"/>
      <w:sz w:val="28"/>
      <w:szCs w:val="22"/>
    </w:rPr>
  </w:style>
  <w:style w:type="character" w:customStyle="1" w:styleId="105">
    <w:name w:val="项目符号 1 Char"/>
    <w:link w:val="104"/>
    <w:qFormat/>
    <w:uiPriority w:val="0"/>
    <w:rPr>
      <w:rFonts w:ascii="Calibri" w:hAnsi="Calibri"/>
      <w:sz w:val="28"/>
      <w:szCs w:val="22"/>
    </w:rPr>
  </w:style>
  <w:style w:type="paragraph" w:customStyle="1" w:styleId="106">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07">
    <w:name w:val="列出段落3"/>
    <w:basedOn w:val="1"/>
    <w:unhideWhenUsed/>
    <w:qFormat/>
    <w:uiPriority w:val="34"/>
    <w:pPr>
      <w:widowControl w:val="0"/>
      <w:adjustRightInd w:val="0"/>
      <w:spacing w:line="360" w:lineRule="auto"/>
      <w:ind w:firstLine="420" w:firstLineChars="200"/>
      <w:jc w:val="both"/>
      <w:textAlignment w:val="baseline"/>
    </w:pPr>
    <w:rPr>
      <w:rFonts w:ascii="Calibri" w:hAnsi="Calibri"/>
      <w:sz w:val="28"/>
      <w:szCs w:val="22"/>
    </w:rPr>
  </w:style>
  <w:style w:type="paragraph" w:customStyle="1" w:styleId="108">
    <w:name w:val="表格非标题文字"/>
    <w:link w:val="10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09">
    <w:name w:val="表格非标题文字 Char"/>
    <w:link w:val="108"/>
    <w:qFormat/>
    <w:uiPriority w:val="0"/>
    <w:rPr>
      <w:rFonts w:ascii="Futura Bk" w:hAnsi="Futura Bk"/>
      <w:kern w:val="2"/>
      <w:sz w:val="18"/>
      <w:szCs w:val="21"/>
    </w:rPr>
  </w:style>
  <w:style w:type="paragraph" w:customStyle="1" w:styleId="110">
    <w:name w:val="Table Text"/>
    <w:basedOn w:val="1"/>
    <w:link w:val="111"/>
    <w:qFormat/>
    <w:uiPriority w:val="0"/>
    <w:pPr>
      <w:widowControl w:val="0"/>
      <w:jc w:val="both"/>
    </w:pPr>
    <w:rPr>
      <w:kern w:val="2"/>
      <w:sz w:val="18"/>
      <w:szCs w:val="24"/>
    </w:rPr>
  </w:style>
  <w:style w:type="character" w:customStyle="1" w:styleId="111">
    <w:name w:val="Table Text Char1"/>
    <w:link w:val="110"/>
    <w:qFormat/>
    <w:uiPriority w:val="0"/>
    <w:rPr>
      <w:kern w:val="2"/>
      <w:sz w:val="18"/>
      <w:szCs w:val="24"/>
    </w:rPr>
  </w:style>
  <w:style w:type="paragraph" w:customStyle="1" w:styleId="112">
    <w:name w:val="TOC 标题1"/>
    <w:basedOn w:val="3"/>
    <w:next w:val="1"/>
    <w:unhideWhenUsed/>
    <w:qFormat/>
    <w:uiPriority w:val="39"/>
    <w:pPr>
      <w:keepLines/>
      <w:spacing w:before="480" w:line="276" w:lineRule="auto"/>
      <w:jc w:val="left"/>
      <w:outlineLvl w:val="9"/>
    </w:pPr>
    <w:rPr>
      <w:rFonts w:ascii="Cambria" w:hAnsi="Cambria" w:cs="Times New Roman"/>
      <w:b/>
      <w:bCs/>
      <w:color w:val="366091"/>
      <w:sz w:val="28"/>
      <w:szCs w:val="28"/>
    </w:rPr>
  </w:style>
  <w:style w:type="paragraph" w:customStyle="1" w:styleId="113">
    <w:name w:val="TOC 标题2"/>
    <w:basedOn w:val="3"/>
    <w:next w:val="1"/>
    <w:unhideWhenUsed/>
    <w:qFormat/>
    <w:uiPriority w:val="39"/>
    <w:pPr>
      <w:keepLines/>
      <w:spacing w:before="480" w:line="276" w:lineRule="auto"/>
      <w:jc w:val="left"/>
      <w:outlineLvl w:val="9"/>
    </w:pPr>
    <w:rPr>
      <w:rFonts w:ascii="Cambria" w:hAnsi="Cambria" w:cs="Times New Roman"/>
      <w:b/>
      <w:bCs/>
      <w:color w:val="366091"/>
      <w:sz w:val="28"/>
      <w:szCs w:val="28"/>
    </w:rPr>
  </w:style>
  <w:style w:type="paragraph" w:customStyle="1" w:styleId="114">
    <w:name w:val="1"/>
    <w:basedOn w:val="1"/>
    <w:qFormat/>
    <w:uiPriority w:val="0"/>
    <w:pPr>
      <w:adjustRightInd w:val="0"/>
      <w:spacing w:before="100" w:beforeAutospacing="1" w:after="100" w:afterAutospacing="1" w:line="360" w:lineRule="auto"/>
      <w:ind w:firstLine="560" w:firstLineChars="200"/>
    </w:pPr>
    <w:rPr>
      <w:rFonts w:ascii="宋体" w:hAnsi="宋体" w:cs="宋体"/>
      <w:sz w:val="24"/>
      <w:szCs w:val="24"/>
    </w:rPr>
  </w:style>
  <w:style w:type="character" w:customStyle="1" w:styleId="115">
    <w:name w:val="apple-converted-space"/>
    <w:qFormat/>
    <w:uiPriority w:val="0"/>
  </w:style>
  <w:style w:type="paragraph" w:customStyle="1" w:styleId="116">
    <w:name w:val="列出段落4"/>
    <w:basedOn w:val="1"/>
    <w:qFormat/>
    <w:uiPriority w:val="34"/>
    <w:pPr>
      <w:adjustRightInd w:val="0"/>
      <w:spacing w:before="100" w:beforeAutospacing="1" w:after="100" w:afterAutospacing="1" w:line="360" w:lineRule="auto"/>
      <w:ind w:firstLine="560" w:firstLineChars="200"/>
    </w:pPr>
    <w:rPr>
      <w:rFonts w:ascii="宋体" w:hAnsi="宋体" w:cs="宋体"/>
      <w:sz w:val="24"/>
      <w:szCs w:val="24"/>
    </w:rPr>
  </w:style>
  <w:style w:type="paragraph" w:customStyle="1" w:styleId="117">
    <w:name w:val="标书正文格式"/>
    <w:qFormat/>
    <w:uiPriority w:val="0"/>
    <w:pPr>
      <w:ind w:firstLine="200" w:firstLineChars="200"/>
    </w:pPr>
    <w:rPr>
      <w:rFonts w:ascii="Times New Roman" w:hAnsi="Times New Roman" w:eastAsia="宋体" w:cs="Times New Roman"/>
      <w:kern w:val="2"/>
      <w:sz w:val="24"/>
      <w:szCs w:val="24"/>
      <w:lang w:val="en-US" w:eastAsia="zh-CN" w:bidi="ar-SA"/>
    </w:rPr>
  </w:style>
  <w:style w:type="paragraph" w:customStyle="1" w:styleId="118">
    <w:name w:val="0-0"/>
    <w:basedOn w:val="15"/>
    <w:qFormat/>
    <w:uiPriority w:val="0"/>
    <w:pPr>
      <w:widowControl/>
      <w:adjustRightInd w:val="0"/>
      <w:spacing w:line="360" w:lineRule="auto"/>
      <w:ind w:firstLine="0"/>
      <w:jc w:val="left"/>
    </w:pPr>
    <w:rPr>
      <w:rFonts w:ascii="宋体" w:hAnsi="Times New Roman" w:eastAsia="宋体" w:cs="Calibri"/>
      <w:kern w:val="0"/>
      <w:sz w:val="24"/>
      <w:szCs w:val="20"/>
    </w:rPr>
  </w:style>
  <w:style w:type="paragraph" w:customStyle="1" w:styleId="119">
    <w:name w:val="_Style 1"/>
    <w:basedOn w:val="1"/>
    <w:qFormat/>
    <w:uiPriority w:val="34"/>
    <w:pPr>
      <w:widowControl w:val="0"/>
      <w:adjustRightInd w:val="0"/>
      <w:spacing w:line="360" w:lineRule="auto"/>
      <w:ind w:firstLine="420" w:firstLineChars="200"/>
      <w:jc w:val="both"/>
    </w:pPr>
    <w:rPr>
      <w:rFonts w:ascii="Calibri" w:hAnsi="Calibri"/>
      <w:kern w:val="2"/>
      <w:sz w:val="28"/>
      <w:szCs w:val="24"/>
    </w:rPr>
  </w:style>
  <w:style w:type="paragraph" w:customStyle="1" w:styleId="120">
    <w:name w:val="正文（首行缩进）"/>
    <w:basedOn w:val="1"/>
    <w:qFormat/>
    <w:uiPriority w:val="0"/>
    <w:pPr>
      <w:adjustRightInd w:val="0"/>
      <w:spacing w:afterLines="50" w:line="276" w:lineRule="auto"/>
      <w:ind w:firstLine="480" w:firstLineChars="200"/>
    </w:pPr>
    <w:rPr>
      <w:rFonts w:ascii="宋体" w:hAnsi="Calibri"/>
      <w:sz w:val="24"/>
      <w:szCs w:val="24"/>
      <w:lang w:eastAsia="en-US" w:bidi="en-US"/>
    </w:rPr>
  </w:style>
  <w:style w:type="paragraph" w:customStyle="1" w:styleId="121">
    <w:name w:val="Style14"/>
    <w:basedOn w:val="1"/>
    <w:qFormat/>
    <w:uiPriority w:val="0"/>
    <w:pPr>
      <w:widowControl w:val="0"/>
      <w:adjustRightInd w:val="0"/>
      <w:spacing w:line="360" w:lineRule="auto"/>
      <w:ind w:left="706" w:leftChars="336" w:firstLine="1" w:firstLineChars="200"/>
      <w:jc w:val="both"/>
    </w:pPr>
    <w:rPr>
      <w:rFonts w:ascii="宋体" w:hAnsi="宋体" w:cs="Arial"/>
      <w:kern w:val="2"/>
      <w:sz w:val="24"/>
      <w:szCs w:val="24"/>
    </w:rPr>
  </w:style>
  <w:style w:type="paragraph" w:customStyle="1" w:styleId="122">
    <w:name w:val="Style15"/>
    <w:basedOn w:val="1"/>
    <w:qFormat/>
    <w:uiPriority w:val="0"/>
    <w:pPr>
      <w:widowControl w:val="0"/>
      <w:numPr>
        <w:ilvl w:val="0"/>
        <w:numId w:val="5"/>
      </w:numPr>
      <w:adjustRightInd w:val="0"/>
      <w:spacing w:before="120" w:after="120" w:line="360" w:lineRule="auto"/>
      <w:ind w:firstLine="200" w:firstLineChars="200"/>
      <w:jc w:val="both"/>
    </w:pPr>
    <w:rPr>
      <w:rFonts w:ascii="宋体" w:hAnsi="宋体"/>
      <w:kern w:val="2"/>
      <w:sz w:val="24"/>
      <w:szCs w:val="24"/>
    </w:rPr>
  </w:style>
  <w:style w:type="character" w:customStyle="1" w:styleId="123">
    <w:name w:val="fontstyle21"/>
    <w:qFormat/>
    <w:uiPriority w:val="0"/>
    <w:rPr>
      <w:rFonts w:hint="eastAsia" w:ascii="宋体" w:hAnsi="宋体" w:eastAsia="宋体"/>
      <w:color w:val="000000"/>
      <w:sz w:val="24"/>
      <w:szCs w:val="24"/>
    </w:rPr>
  </w:style>
  <w:style w:type="paragraph" w:customStyle="1" w:styleId="124">
    <w:name w:val="Style13"/>
    <w:basedOn w:val="1"/>
    <w:qFormat/>
    <w:uiPriority w:val="0"/>
    <w:pPr>
      <w:numPr>
        <w:ilvl w:val="0"/>
        <w:numId w:val="6"/>
      </w:numPr>
    </w:pPr>
    <w:rPr>
      <w:rFonts w:ascii="宋体" w:hAnsi="宋体"/>
      <w:szCs w:val="24"/>
    </w:rPr>
  </w:style>
  <w:style w:type="paragraph" w:customStyle="1" w:styleId="125">
    <w:name w:val="Style11"/>
    <w:basedOn w:val="1"/>
    <w:qFormat/>
    <w:uiPriority w:val="0"/>
    <w:pPr>
      <w:numPr>
        <w:ilvl w:val="0"/>
        <w:numId w:val="7"/>
      </w:numPr>
      <w:spacing w:line="360" w:lineRule="auto"/>
    </w:pPr>
    <w:rPr>
      <w:rFonts w:ascii="宋体" w:hAnsi="宋体"/>
      <w:szCs w:val="24"/>
    </w:rPr>
  </w:style>
  <w:style w:type="paragraph" w:customStyle="1" w:styleId="126">
    <w:name w:val="标书样式"/>
    <w:basedOn w:val="1"/>
    <w:qFormat/>
    <w:uiPriority w:val="0"/>
    <w:pPr>
      <w:adjustRightInd w:val="0"/>
      <w:spacing w:line="360" w:lineRule="auto"/>
      <w:ind w:firstLine="480" w:firstLineChars="200"/>
    </w:pPr>
    <w:rPr>
      <w:rFonts w:eastAsia="仿宋_GB2312"/>
      <w:sz w:val="24"/>
    </w:rPr>
  </w:style>
  <w:style w:type="paragraph" w:customStyle="1" w:styleId="127">
    <w:name w:val="WPSOffice手动目录 1"/>
    <w:qFormat/>
    <w:uiPriority w:val="0"/>
    <w:rPr>
      <w:rFonts w:ascii="Calibri" w:hAnsi="Calibri" w:eastAsia="宋体" w:cs="Times New Roman"/>
      <w:lang w:val="en-US" w:eastAsia="zh-CN" w:bidi="ar-SA"/>
    </w:rPr>
  </w:style>
  <w:style w:type="paragraph" w:customStyle="1" w:styleId="128">
    <w:name w:val="WPSOffice手动目录 2"/>
    <w:qFormat/>
    <w:uiPriority w:val="0"/>
    <w:pPr>
      <w:ind w:left="200" w:leftChars="200"/>
    </w:pPr>
    <w:rPr>
      <w:rFonts w:ascii="Calibri" w:hAnsi="Calibri" w:eastAsia="宋体" w:cs="Times New Roman"/>
      <w:lang w:val="en-US" w:eastAsia="zh-CN" w:bidi="ar-SA"/>
    </w:rPr>
  </w:style>
  <w:style w:type="paragraph" w:customStyle="1" w:styleId="129">
    <w:name w:val="WPSOffice手动目录 3"/>
    <w:qFormat/>
    <w:uiPriority w:val="0"/>
    <w:pPr>
      <w:ind w:left="400" w:leftChars="400"/>
    </w:pPr>
    <w:rPr>
      <w:rFonts w:ascii="Calibri" w:hAnsi="Calibri" w:eastAsia="宋体" w:cs="Times New Roman"/>
      <w:lang w:val="en-US" w:eastAsia="zh-CN" w:bidi="ar-SA"/>
    </w:rPr>
  </w:style>
  <w:style w:type="character" w:customStyle="1" w:styleId="130">
    <w:name w:val="列出段落 Char1"/>
    <w:qFormat/>
    <w:locked/>
    <w:uiPriority w:val="34"/>
    <w:rPr>
      <w:rFonts w:ascii="Calibri" w:hAnsi="Calibri"/>
      <w:kern w:val="2"/>
      <w:sz w:val="21"/>
      <w:szCs w:val="22"/>
    </w:rPr>
  </w:style>
  <w:style w:type="paragraph" w:customStyle="1" w:styleId="131">
    <w:name w:val="项目编号A"/>
    <w:qFormat/>
    <w:uiPriority w:val="0"/>
    <w:pPr>
      <w:numPr>
        <w:ilvl w:val="0"/>
        <w:numId w:val="8"/>
      </w:numPr>
      <w:tabs>
        <w:tab w:val="left" w:pos="840"/>
      </w:tabs>
      <w:spacing w:line="360" w:lineRule="auto"/>
    </w:pPr>
    <w:rPr>
      <w:rFonts w:ascii="Times New Roman" w:hAnsi="Times New Roman" w:eastAsia="宋体" w:cs="Times New Roman"/>
      <w:kern w:val="2"/>
      <w:sz w:val="24"/>
      <w:szCs w:val="24"/>
      <w:lang w:val="en-US" w:eastAsia="zh-CN" w:bidi="ar-SA"/>
    </w:rPr>
  </w:style>
  <w:style w:type="paragraph" w:customStyle="1" w:styleId="132">
    <w:name w:val="修订2"/>
    <w:unhideWhenUsed/>
    <w:qFormat/>
    <w:uiPriority w:val="99"/>
    <w:rPr>
      <w:rFonts w:ascii="Times New Roman" w:hAnsi="Times New Roman" w:eastAsia="宋体" w:cs="Times New Roman"/>
      <w:lang w:val="en-US" w:eastAsia="zh-CN" w:bidi="ar-SA"/>
    </w:rPr>
  </w:style>
  <w:style w:type="character" w:customStyle="1" w:styleId="133">
    <w:name w:val="普通(网站) Char2"/>
    <w:qFormat/>
    <w:uiPriority w:val="99"/>
    <w:rPr>
      <w:rFonts w:ascii="宋体" w:hAnsi="宋体"/>
      <w:sz w:val="18"/>
      <w:szCs w:val="18"/>
    </w:rPr>
  </w:style>
  <w:style w:type="paragraph" w:customStyle="1" w:styleId="134">
    <w:name w:val="正文11"/>
    <w:qFormat/>
    <w:uiPriority w:val="0"/>
    <w:pPr>
      <w:spacing w:line="360" w:lineRule="auto"/>
      <w:ind w:firstLine="482"/>
    </w:pPr>
    <w:rPr>
      <w:rFonts w:ascii="Times New Roman" w:hAnsi="Times New Roman" w:eastAsia="宋体" w:cs="宋体"/>
      <w:sz w:val="24"/>
      <w:lang w:val="en-US" w:eastAsia="zh-CN" w:bidi="ar-SA"/>
    </w:rPr>
  </w:style>
  <w:style w:type="paragraph" w:customStyle="1" w:styleId="135">
    <w:name w:val="_Style 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列表段落"/>
    <w:basedOn w:val="1"/>
    <w:qFormat/>
    <w:uiPriority w:val="34"/>
    <w:pPr>
      <w:widowControl w:val="0"/>
      <w:ind w:firstLine="420" w:firstLineChars="200"/>
      <w:jc w:val="both"/>
    </w:pPr>
    <w:rPr>
      <w:rFonts w:ascii="Calibri" w:hAnsi="Calibri"/>
      <w:kern w:val="2"/>
      <w:sz w:val="21"/>
      <w:szCs w:val="22"/>
    </w:rPr>
  </w:style>
  <w:style w:type="character" w:customStyle="1" w:styleId="137">
    <w:name w:val="表格 字符"/>
    <w:link w:val="138"/>
    <w:qFormat/>
    <w:locked/>
    <w:uiPriority w:val="0"/>
    <w:rPr>
      <w:rFonts w:ascii="宋体" w:hAnsi="Courier New" w:cs="Courier New"/>
      <w:kern w:val="2"/>
      <w:sz w:val="21"/>
      <w:szCs w:val="21"/>
    </w:rPr>
  </w:style>
  <w:style w:type="paragraph" w:customStyle="1" w:styleId="138">
    <w:name w:val="表格"/>
    <w:basedOn w:val="23"/>
    <w:link w:val="137"/>
    <w:qFormat/>
    <w:uiPriority w:val="0"/>
    <w:pPr>
      <w:adjustRightInd/>
      <w:spacing w:line="240" w:lineRule="auto"/>
      <w:ind w:firstLine="0" w:firstLineChars="0"/>
      <w:jc w:val="left"/>
    </w:pPr>
    <w:rPr>
      <w:rFonts w:cs="Courier New"/>
      <w:sz w:val="21"/>
      <w:szCs w:val="21"/>
    </w:rPr>
  </w:style>
  <w:style w:type="character" w:customStyle="1" w:styleId="139">
    <w:name w:val="批注文字 Char1"/>
    <w:qFormat/>
    <w:uiPriority w:val="99"/>
    <w:rPr>
      <w:rFonts w:ascii="Times New Roman" w:hAnsi="Times New Roman" w:eastAsia="宋体" w:cs="Times New Roman"/>
      <w:kern w:val="0"/>
      <w:sz w:val="24"/>
      <w:szCs w:val="20"/>
    </w:rPr>
  </w:style>
  <w:style w:type="character" w:customStyle="1" w:styleId="140">
    <w:name w:val="批注框文本 Char1"/>
    <w:semiHidden/>
    <w:qFormat/>
    <w:uiPriority w:val="99"/>
    <w:rPr>
      <w:rFonts w:ascii="宋体" w:hAnsi="宋体" w:eastAsia="宋体" w:cs="宋体"/>
      <w:kern w:val="0"/>
      <w:sz w:val="18"/>
      <w:szCs w:val="18"/>
    </w:rPr>
  </w:style>
  <w:style w:type="character" w:customStyle="1" w:styleId="141">
    <w:name w:val="页眉 Char1"/>
    <w:qFormat/>
    <w:uiPriority w:val="99"/>
    <w:rPr>
      <w:sz w:val="18"/>
      <w:szCs w:val="18"/>
    </w:rPr>
  </w:style>
  <w:style w:type="character" w:customStyle="1" w:styleId="142">
    <w:name w:val="样式8 Char"/>
    <w:link w:val="143"/>
    <w:qFormat/>
    <w:locked/>
    <w:uiPriority w:val="0"/>
    <w:rPr>
      <w:rFonts w:ascii="黑体" w:hAnsi="黑体" w:eastAsia="黑体"/>
      <w:b/>
      <w:sz w:val="24"/>
      <w:szCs w:val="24"/>
    </w:rPr>
  </w:style>
  <w:style w:type="paragraph" w:customStyle="1" w:styleId="143">
    <w:name w:val="样式8"/>
    <w:basedOn w:val="144"/>
    <w:next w:val="1"/>
    <w:link w:val="142"/>
    <w:qFormat/>
    <w:uiPriority w:val="0"/>
    <w:pPr>
      <w:tabs>
        <w:tab w:val="left" w:pos="780"/>
      </w:tabs>
      <w:outlineLvl w:val="7"/>
    </w:pPr>
    <w:rPr>
      <w:sz w:val="24"/>
      <w:szCs w:val="24"/>
    </w:rPr>
  </w:style>
  <w:style w:type="paragraph" w:customStyle="1" w:styleId="144">
    <w:name w:val="样式1"/>
    <w:basedOn w:val="74"/>
    <w:next w:val="1"/>
    <w:link w:val="145"/>
    <w:qFormat/>
    <w:uiPriority w:val="0"/>
    <w:pPr>
      <w:widowControl w:val="0"/>
      <w:tabs>
        <w:tab w:val="left" w:pos="780"/>
      </w:tabs>
      <w:spacing w:beforeLines="50" w:afterLines="50" w:line="360" w:lineRule="auto"/>
      <w:ind w:left="780" w:firstLine="0" w:firstLineChars="0"/>
      <w:outlineLvl w:val="0"/>
    </w:pPr>
    <w:rPr>
      <w:rFonts w:ascii="黑体" w:hAnsi="黑体" w:eastAsia="黑体"/>
      <w:b/>
      <w:sz w:val="36"/>
      <w:szCs w:val="36"/>
    </w:rPr>
  </w:style>
  <w:style w:type="character" w:customStyle="1" w:styleId="145">
    <w:name w:val="样式1 Char"/>
    <w:link w:val="144"/>
    <w:qFormat/>
    <w:locked/>
    <w:uiPriority w:val="0"/>
    <w:rPr>
      <w:rFonts w:ascii="黑体" w:hAnsi="黑体" w:eastAsia="黑体"/>
      <w:b/>
      <w:sz w:val="36"/>
      <w:szCs w:val="36"/>
    </w:rPr>
  </w:style>
  <w:style w:type="character" w:customStyle="1" w:styleId="146">
    <w:name w:val="样式9 Char"/>
    <w:link w:val="147"/>
    <w:qFormat/>
    <w:locked/>
    <w:uiPriority w:val="0"/>
  </w:style>
  <w:style w:type="paragraph" w:customStyle="1" w:styleId="147">
    <w:name w:val="样式9"/>
    <w:basedOn w:val="143"/>
    <w:link w:val="146"/>
    <w:qFormat/>
    <w:uiPriority w:val="0"/>
    <w:pPr>
      <w:outlineLvl w:val="8"/>
    </w:pPr>
    <w:rPr>
      <w:rFonts w:ascii="Times New Roman" w:hAnsi="Times New Roman" w:eastAsia="宋体"/>
      <w:b w:val="0"/>
      <w:sz w:val="20"/>
      <w:szCs w:val="20"/>
    </w:rPr>
  </w:style>
  <w:style w:type="character" w:customStyle="1" w:styleId="148">
    <w:name w:val="图片 字符"/>
    <w:link w:val="149"/>
    <w:qFormat/>
    <w:locked/>
    <w:uiPriority w:val="0"/>
  </w:style>
  <w:style w:type="paragraph" w:customStyle="1" w:styleId="149">
    <w:name w:val="图片"/>
    <w:basedOn w:val="1"/>
    <w:next w:val="1"/>
    <w:link w:val="148"/>
    <w:qFormat/>
    <w:uiPriority w:val="0"/>
    <w:pPr>
      <w:widowControl w:val="0"/>
      <w:ind w:firstLine="200" w:firstLineChars="200"/>
      <w:jc w:val="center"/>
    </w:pPr>
  </w:style>
  <w:style w:type="character" w:customStyle="1" w:styleId="150">
    <w:name w:val="样式3 Char"/>
    <w:link w:val="151"/>
    <w:qFormat/>
    <w:locked/>
    <w:uiPriority w:val="0"/>
    <w:rPr>
      <w:rFonts w:ascii="黑体" w:hAnsi="黑体" w:eastAsia="黑体"/>
      <w:b/>
      <w:sz w:val="30"/>
      <w:szCs w:val="30"/>
    </w:rPr>
  </w:style>
  <w:style w:type="paragraph" w:customStyle="1" w:styleId="151">
    <w:name w:val="样式3"/>
    <w:basedOn w:val="74"/>
    <w:next w:val="1"/>
    <w:link w:val="150"/>
    <w:qFormat/>
    <w:uiPriority w:val="0"/>
    <w:pPr>
      <w:widowControl w:val="0"/>
      <w:numPr>
        <w:ilvl w:val="2"/>
        <w:numId w:val="9"/>
      </w:numPr>
      <w:tabs>
        <w:tab w:val="left" w:pos="780"/>
      </w:tabs>
      <w:spacing w:beforeLines="50" w:line="360" w:lineRule="auto"/>
      <w:ind w:firstLine="0" w:firstLineChars="0"/>
      <w:outlineLvl w:val="2"/>
    </w:pPr>
    <w:rPr>
      <w:rFonts w:ascii="黑体" w:hAnsi="黑体" w:eastAsia="黑体"/>
      <w:b/>
      <w:sz w:val="30"/>
      <w:szCs w:val="30"/>
    </w:rPr>
  </w:style>
  <w:style w:type="character" w:customStyle="1" w:styleId="152">
    <w:name w:val="样式7 Char"/>
    <w:link w:val="153"/>
    <w:qFormat/>
    <w:locked/>
    <w:uiPriority w:val="0"/>
    <w:rPr>
      <w:rFonts w:ascii="黑体" w:hAnsi="黑体" w:eastAsia="黑体"/>
      <w:b/>
      <w:sz w:val="24"/>
      <w:szCs w:val="24"/>
    </w:rPr>
  </w:style>
  <w:style w:type="paragraph" w:customStyle="1" w:styleId="153">
    <w:name w:val="样式7"/>
    <w:basedOn w:val="144"/>
    <w:next w:val="1"/>
    <w:link w:val="152"/>
    <w:qFormat/>
    <w:uiPriority w:val="0"/>
    <w:pPr>
      <w:outlineLvl w:val="6"/>
    </w:pPr>
    <w:rPr>
      <w:sz w:val="24"/>
      <w:szCs w:val="24"/>
    </w:rPr>
  </w:style>
  <w:style w:type="character" w:customStyle="1" w:styleId="154">
    <w:name w:val="样式5 Char"/>
    <w:link w:val="155"/>
    <w:qFormat/>
    <w:locked/>
    <w:uiPriority w:val="0"/>
    <w:rPr>
      <w:rFonts w:ascii="宋体" w:hAnsi="宋体" w:eastAsia="黑体"/>
      <w:b/>
      <w:sz w:val="24"/>
      <w:szCs w:val="24"/>
    </w:rPr>
  </w:style>
  <w:style w:type="paragraph" w:customStyle="1" w:styleId="155">
    <w:name w:val="样式5"/>
    <w:basedOn w:val="74"/>
    <w:next w:val="1"/>
    <w:link w:val="154"/>
    <w:qFormat/>
    <w:uiPriority w:val="0"/>
    <w:pPr>
      <w:widowControl w:val="0"/>
      <w:numPr>
        <w:ilvl w:val="4"/>
        <w:numId w:val="9"/>
      </w:numPr>
      <w:tabs>
        <w:tab w:val="left" w:pos="780"/>
      </w:tabs>
      <w:spacing w:beforeLines="50" w:line="360" w:lineRule="auto"/>
      <w:ind w:firstLine="0" w:firstLineChars="0"/>
      <w:outlineLvl w:val="4"/>
    </w:pPr>
    <w:rPr>
      <w:rFonts w:ascii="宋体" w:hAnsi="宋体" w:eastAsia="黑体"/>
      <w:b/>
      <w:sz w:val="24"/>
      <w:szCs w:val="24"/>
    </w:rPr>
  </w:style>
  <w:style w:type="character" w:customStyle="1" w:styleId="156">
    <w:name w:val="样式10 Char"/>
    <w:link w:val="157"/>
    <w:qFormat/>
    <w:locked/>
    <w:uiPriority w:val="0"/>
    <w:rPr>
      <w:rFonts w:ascii="宋体" w:hAnsi="宋体"/>
      <w:sz w:val="28"/>
      <w:szCs w:val="28"/>
    </w:rPr>
  </w:style>
  <w:style w:type="paragraph" w:customStyle="1" w:styleId="157">
    <w:name w:val="样式10"/>
    <w:basedOn w:val="3"/>
    <w:link w:val="156"/>
    <w:qFormat/>
    <w:uiPriority w:val="0"/>
    <w:pPr>
      <w:keepNext w:val="0"/>
      <w:widowControl w:val="0"/>
      <w:spacing w:beforeLines="50" w:afterLines="50" w:line="360" w:lineRule="auto"/>
      <w:ind w:firstLine="562"/>
      <w:jc w:val="left"/>
    </w:pPr>
    <w:rPr>
      <w:rFonts w:cs="Times New Roman"/>
      <w:sz w:val="28"/>
      <w:szCs w:val="28"/>
    </w:rPr>
  </w:style>
  <w:style w:type="character" w:customStyle="1" w:styleId="158">
    <w:name w:val="样式4 Char"/>
    <w:link w:val="159"/>
    <w:qFormat/>
    <w:locked/>
    <w:uiPriority w:val="0"/>
    <w:rPr>
      <w:rFonts w:ascii="宋体" w:hAnsi="宋体" w:eastAsia="黑体"/>
      <w:b/>
      <w:sz w:val="28"/>
      <w:szCs w:val="28"/>
    </w:rPr>
  </w:style>
  <w:style w:type="paragraph" w:customStyle="1" w:styleId="159">
    <w:name w:val="样式4"/>
    <w:basedOn w:val="74"/>
    <w:next w:val="1"/>
    <w:link w:val="158"/>
    <w:qFormat/>
    <w:uiPriority w:val="0"/>
    <w:pPr>
      <w:widowControl w:val="0"/>
      <w:numPr>
        <w:ilvl w:val="3"/>
        <w:numId w:val="9"/>
      </w:numPr>
      <w:tabs>
        <w:tab w:val="left" w:pos="780"/>
      </w:tabs>
      <w:spacing w:beforeLines="50" w:line="360" w:lineRule="auto"/>
      <w:ind w:left="850" w:firstLine="0" w:firstLineChars="0"/>
      <w:outlineLvl w:val="3"/>
    </w:pPr>
    <w:rPr>
      <w:rFonts w:ascii="宋体" w:hAnsi="宋体" w:eastAsia="黑体"/>
      <w:b/>
      <w:sz w:val="28"/>
      <w:szCs w:val="28"/>
    </w:rPr>
  </w:style>
  <w:style w:type="character" w:customStyle="1" w:styleId="160">
    <w:name w:val="样式6 Char"/>
    <w:link w:val="161"/>
    <w:qFormat/>
    <w:locked/>
    <w:uiPriority w:val="0"/>
    <w:rPr>
      <w:rFonts w:ascii="宋体" w:hAnsi="宋体" w:eastAsia="黑体"/>
      <w:b/>
      <w:sz w:val="24"/>
      <w:szCs w:val="24"/>
    </w:rPr>
  </w:style>
  <w:style w:type="paragraph" w:customStyle="1" w:styleId="161">
    <w:name w:val="样式6"/>
    <w:basedOn w:val="155"/>
    <w:next w:val="1"/>
    <w:link w:val="160"/>
    <w:qFormat/>
    <w:uiPriority w:val="0"/>
    <w:pPr>
      <w:numPr>
        <w:ilvl w:val="5"/>
      </w:numPr>
      <w:ind w:left="4818"/>
      <w:outlineLvl w:val="5"/>
    </w:pPr>
  </w:style>
  <w:style w:type="character" w:customStyle="1" w:styleId="162">
    <w:name w:val="样式2 Char"/>
    <w:link w:val="163"/>
    <w:qFormat/>
    <w:locked/>
    <w:uiPriority w:val="0"/>
    <w:rPr>
      <w:rFonts w:ascii="黑体" w:hAnsi="黑体" w:eastAsia="黑体"/>
      <w:b/>
      <w:sz w:val="32"/>
      <w:szCs w:val="21"/>
    </w:rPr>
  </w:style>
  <w:style w:type="paragraph" w:customStyle="1" w:styleId="163">
    <w:name w:val="样式2"/>
    <w:basedOn w:val="74"/>
    <w:next w:val="1"/>
    <w:link w:val="162"/>
    <w:qFormat/>
    <w:uiPriority w:val="0"/>
    <w:pPr>
      <w:widowControl w:val="0"/>
      <w:numPr>
        <w:ilvl w:val="1"/>
        <w:numId w:val="9"/>
      </w:numPr>
      <w:tabs>
        <w:tab w:val="left" w:pos="780"/>
      </w:tabs>
      <w:spacing w:beforeLines="50" w:line="360" w:lineRule="auto"/>
      <w:ind w:firstLine="0" w:firstLineChars="0"/>
      <w:outlineLvl w:val="1"/>
    </w:pPr>
    <w:rPr>
      <w:rFonts w:ascii="黑体" w:hAnsi="黑体" w:eastAsia="黑体"/>
      <w:b/>
      <w:sz w:val="32"/>
      <w:szCs w:val="21"/>
    </w:rPr>
  </w:style>
  <w:style w:type="paragraph" w:customStyle="1" w:styleId="164">
    <w:name w:val="_Style 10"/>
    <w:basedOn w:val="1"/>
    <w:next w:val="74"/>
    <w:qFormat/>
    <w:uiPriority w:val="34"/>
    <w:pPr>
      <w:spacing w:line="360" w:lineRule="auto"/>
      <w:ind w:firstLine="420" w:firstLineChars="200"/>
      <w:jc w:val="both"/>
    </w:pPr>
    <w:rPr>
      <w:rFonts w:ascii="宋体" w:hAnsi="宋体" w:cs="宋体"/>
      <w:sz w:val="24"/>
      <w:szCs w:val="24"/>
    </w:rPr>
  </w:style>
  <w:style w:type="paragraph" w:customStyle="1" w:styleId="165">
    <w:name w:val="表格标注"/>
    <w:basedOn w:val="166"/>
    <w:next w:val="1"/>
    <w:qFormat/>
    <w:uiPriority w:val="99"/>
    <w:pPr>
      <w:numPr>
        <w:ilvl w:val="7"/>
      </w:numPr>
      <w:tabs>
        <w:tab w:val="left" w:pos="3480"/>
      </w:tabs>
    </w:pPr>
  </w:style>
  <w:style w:type="paragraph" w:customStyle="1" w:styleId="166">
    <w:name w:val="插图标注"/>
    <w:next w:val="1"/>
    <w:qFormat/>
    <w:uiPriority w:val="99"/>
    <w:pPr>
      <w:numPr>
        <w:ilvl w:val="6"/>
        <w:numId w:val="3"/>
      </w:numPr>
      <w:spacing w:after="156"/>
      <w:jc w:val="center"/>
    </w:pPr>
    <w:rPr>
      <w:rFonts w:ascii="Calibri Light" w:hAnsi="Calibri Light" w:eastAsia="宋体" w:cs="方正仿宋_GBK"/>
      <w:sz w:val="21"/>
      <w:szCs w:val="21"/>
      <w:lang w:val="en-US" w:eastAsia="zh-CN" w:bidi="ar-SA"/>
    </w:rPr>
  </w:style>
  <w:style w:type="table" w:customStyle="1" w:styleId="167">
    <w:name w:val="网格型1"/>
    <w:basedOn w:val="39"/>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68">
    <w:name w:val="List Paragraph2"/>
    <w:basedOn w:val="1"/>
    <w:qFormat/>
    <w:uiPriority w:val="0"/>
    <w:pPr>
      <w:widowControl w:val="0"/>
      <w:ind w:firstLine="420" w:firstLineChars="200"/>
      <w:jc w:val="both"/>
    </w:pPr>
    <w:rPr>
      <w:kern w:val="2"/>
      <w:sz w:val="21"/>
      <w:szCs w:val="24"/>
    </w:rPr>
  </w:style>
  <w:style w:type="paragraph" w:customStyle="1" w:styleId="169">
    <w:name w:val="！正文"/>
    <w:basedOn w:val="1"/>
    <w:qFormat/>
    <w:uiPriority w:val="99"/>
    <w:pPr>
      <w:widowControl w:val="0"/>
      <w:ind w:firstLine="200" w:firstLineChars="200"/>
      <w:jc w:val="both"/>
    </w:pPr>
    <w:rPr>
      <w:rFonts w:ascii="Calibri" w:hAnsi="Calibri"/>
      <w:kern w:val="2"/>
      <w:sz w:val="21"/>
      <w:szCs w:val="21"/>
    </w:rPr>
  </w:style>
  <w:style w:type="character" w:customStyle="1" w:styleId="170">
    <w:name w:val="font31"/>
    <w:qFormat/>
    <w:uiPriority w:val="0"/>
    <w:rPr>
      <w:rFonts w:hint="eastAsia" w:ascii="宋体" w:hAnsi="宋体" w:eastAsia="宋体" w:cs="宋体"/>
      <w:color w:val="417FF9"/>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6837</Words>
  <Characters>7058</Characters>
  <Lines>49</Lines>
  <Paragraphs>13</Paragraphs>
  <TotalTime>2</TotalTime>
  <ScaleCrop>false</ScaleCrop>
  <LinksUpToDate>false</LinksUpToDate>
  <CharactersWithSpaces>7082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2024-12-29T09:12:00Z</dcterms:created>
  <cp:lastPrinted>2024-03-14T00:27:00Z</cp:lastPrinted>
  <dcterms:modified xsi:type="dcterms:W3CDTF">2025-07-08T13:21:58Z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CA8316A4F4EC4C358630EB8F5C130FA6_13</vt:lpwstr>
  </property>
  <property fmtid="{D5CDD505-2E9C-101B-9397-08002B2CF9AE}" pid="4" name="KSOTemplateDocerSaveRecord">
    <vt:lpwstr>eyJoZGlkIjoiZDEyZTE2ZWY0NWFjMTljYzc0OWVlZjFmMDVkY2U4ZmUiLCJ1c2VySWQiOiIzNzk2NzUzMzQifQ==</vt:lpwstr>
  </property>
</Properties>
</file>