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sz w:val="44"/>
          <w:szCs w:val="44"/>
        </w:rPr>
      </w:pPr>
      <w:r>
        <w:rPr>
          <w:rFonts w:hint="eastAsia" w:asciiTheme="minorEastAsia" w:hAnsiTheme="minorEastAsia"/>
          <w:sz w:val="44"/>
          <w:szCs w:val="44"/>
        </w:rPr>
        <w:t>上海市公安局长宁分局2024年度图像外场运维服务公开招标项目</w:t>
      </w:r>
    </w:p>
    <w:p>
      <w:pPr>
        <w:adjustRightInd w:val="0"/>
        <w:snapToGrid w:val="0"/>
        <w:spacing w:line="360" w:lineRule="auto"/>
        <w:rPr>
          <w:rFonts w:asciiTheme="minorEastAsia" w:hAnsiTheme="minorEastAsia"/>
          <w:b/>
          <w:sz w:val="24"/>
          <w:szCs w:val="24"/>
        </w:rPr>
      </w:pPr>
      <w:r>
        <w:rPr>
          <w:rFonts w:hint="eastAsia" w:asciiTheme="minorEastAsia" w:hAnsiTheme="minorEastAsia"/>
          <w:b/>
          <w:sz w:val="24"/>
          <w:szCs w:val="24"/>
        </w:rPr>
        <w:t xml:space="preserve">1、项目概况： </w:t>
      </w:r>
    </w:p>
    <w:p>
      <w:pPr>
        <w:adjustRightInd w:val="0"/>
        <w:snapToGrid w:val="0"/>
        <w:spacing w:line="360" w:lineRule="auto"/>
        <w:ind w:firstLine="424" w:firstLineChars="177"/>
        <w:rPr>
          <w:rFonts w:asciiTheme="minorEastAsia" w:hAnsiTheme="minorEastAsia"/>
          <w:sz w:val="24"/>
          <w:szCs w:val="24"/>
        </w:rPr>
      </w:pPr>
      <w:r>
        <w:rPr>
          <w:rFonts w:hint="eastAsia" w:asciiTheme="minorEastAsia" w:hAnsiTheme="minorEastAsia"/>
          <w:sz w:val="24"/>
          <w:szCs w:val="24"/>
        </w:rPr>
        <w:t>长宁区城市图像监控系统建设从起步至今已历时十多年，经过长宁图像监控一期、二期、三期、世博一期、IP高清、违停一、二、三期、雪亮工程一期和二期、内部图像监控系统改造等项目建设，各系统监控点的安装密集度不断提升，已经基本实现了全区范围内的监控覆盖，系统建设的规模效应已逐步显现。</w:t>
      </w:r>
    </w:p>
    <w:p>
      <w:pPr>
        <w:adjustRightInd w:val="0"/>
        <w:snapToGrid w:val="0"/>
        <w:spacing w:line="360" w:lineRule="auto"/>
        <w:ind w:firstLine="424" w:firstLineChars="177"/>
        <w:rPr>
          <w:rFonts w:asciiTheme="minorEastAsia" w:hAnsiTheme="minorEastAsia"/>
          <w:sz w:val="24"/>
          <w:szCs w:val="24"/>
        </w:rPr>
      </w:pPr>
      <w:r>
        <w:rPr>
          <w:rFonts w:hint="eastAsia" w:asciiTheme="minorEastAsia" w:hAnsiTheme="minorEastAsia"/>
          <w:sz w:val="24"/>
          <w:szCs w:val="24"/>
        </w:rPr>
        <w:t>整个图像监控系统规模较庞大，外备设施众多，合理有序的对设备进行日常维护保养，确保设备稳定运行，支撑实战。</w:t>
      </w:r>
    </w:p>
    <w:p>
      <w:pPr>
        <w:adjustRightInd w:val="0"/>
        <w:snapToGrid w:val="0"/>
        <w:spacing w:line="360" w:lineRule="auto"/>
        <w:ind w:firstLine="424" w:firstLineChars="177"/>
        <w:rPr>
          <w:rFonts w:asciiTheme="minorEastAsia" w:hAnsiTheme="minorEastAsia"/>
          <w:sz w:val="24"/>
          <w:szCs w:val="24"/>
        </w:rPr>
      </w:pPr>
      <w:r>
        <w:rPr>
          <w:rFonts w:hint="eastAsia" w:asciiTheme="minorEastAsia" w:hAnsiTheme="minorEastAsia"/>
          <w:sz w:val="24"/>
          <w:szCs w:val="24"/>
        </w:rPr>
        <w:t>服务时间：本项目整体服务期限为：12个月，即2024年7月至2025年6月。</w:t>
      </w:r>
    </w:p>
    <w:p>
      <w:pPr>
        <w:adjustRightInd w:val="0"/>
        <w:snapToGrid w:val="0"/>
        <w:spacing w:line="360" w:lineRule="auto"/>
        <w:ind w:firstLine="424" w:firstLineChars="177"/>
        <w:rPr>
          <w:rFonts w:asciiTheme="minorEastAsia" w:hAnsiTheme="minorEastAsia"/>
          <w:sz w:val="24"/>
          <w:szCs w:val="24"/>
        </w:rPr>
      </w:pPr>
      <w:r>
        <w:rPr>
          <w:rFonts w:hint="eastAsia" w:asciiTheme="minorEastAsia" w:hAnsiTheme="minorEastAsia"/>
          <w:sz w:val="24"/>
          <w:szCs w:val="24"/>
        </w:rPr>
        <w:t>服务地点：长宁区。</w:t>
      </w:r>
    </w:p>
    <w:p>
      <w:pPr>
        <w:pStyle w:val="2"/>
        <w:rPr>
          <w:rFonts w:asciiTheme="minorEastAsia" w:hAnsiTheme="minorEastAsia" w:eastAsiaTheme="minorEastAsia"/>
          <w:sz w:val="24"/>
          <w:szCs w:val="24"/>
        </w:rPr>
      </w:pPr>
    </w:p>
    <w:p>
      <w:pPr>
        <w:pStyle w:val="11"/>
        <w:numPr>
          <w:ilvl w:val="0"/>
          <w:numId w:val="1"/>
        </w:numPr>
        <w:adjustRightInd w:val="0"/>
        <w:snapToGrid w:val="0"/>
        <w:spacing w:line="360" w:lineRule="auto"/>
        <w:ind w:firstLineChars="0"/>
        <w:rPr>
          <w:rFonts w:asciiTheme="minorEastAsia" w:hAnsiTheme="minorEastAsia"/>
          <w:b/>
          <w:sz w:val="24"/>
          <w:szCs w:val="24"/>
        </w:rPr>
      </w:pPr>
      <w:r>
        <w:rPr>
          <w:rFonts w:hint="eastAsia" w:asciiTheme="minorEastAsia" w:hAnsiTheme="minorEastAsia"/>
          <w:b/>
          <w:sz w:val="24"/>
          <w:szCs w:val="24"/>
        </w:rPr>
        <w:t>服务内容及要求</w:t>
      </w:r>
    </w:p>
    <w:p>
      <w:pPr>
        <w:pStyle w:val="11"/>
        <w:numPr>
          <w:ilvl w:val="1"/>
          <w:numId w:val="2"/>
        </w:numPr>
        <w:adjustRightInd w:val="0"/>
        <w:snapToGrid w:val="0"/>
        <w:spacing w:line="360" w:lineRule="auto"/>
        <w:ind w:firstLineChars="0"/>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项目维护范围</w:t>
      </w:r>
    </w:p>
    <w:p>
      <w:pPr>
        <w:adjustRightInd w:val="0"/>
        <w:snapToGrid w:val="0"/>
        <w:spacing w:line="360" w:lineRule="auto"/>
        <w:ind w:left="384" w:firstLine="420"/>
        <w:rPr>
          <w:rFonts w:asciiTheme="minorEastAsia" w:hAnsiTheme="minorEastAsia"/>
          <w:sz w:val="24"/>
          <w:szCs w:val="24"/>
        </w:rPr>
      </w:pPr>
      <w:r>
        <w:rPr>
          <w:rFonts w:hint="eastAsia" w:asciiTheme="minorEastAsia" w:hAnsiTheme="minorEastAsia"/>
          <w:sz w:val="24"/>
          <w:szCs w:val="24"/>
        </w:rPr>
        <w:t>2.1.1维护内容。长宁图像监控一期、二期、三期、世博一期、IP高清、违停一、二、三期、雪亮工程一期和二期、内部图像监控系统改造等外场设备。根据用户要求紧急部署相应应急资源，含监控、传输链路等服务，含相应流量、转发、1周内临时存储等。并以服务提供方式，无线专网等接入方式，能满足枪、球、半球等适应不同需求的监控点位，具备同时提供不高于</w:t>
      </w:r>
      <w:r>
        <w:rPr>
          <w:rFonts w:asciiTheme="minorEastAsia" w:hAnsiTheme="minorEastAsia"/>
          <w:sz w:val="24"/>
          <w:szCs w:val="24"/>
        </w:rPr>
        <w:t>40</w:t>
      </w:r>
      <w:r>
        <w:rPr>
          <w:rFonts w:hint="eastAsia" w:asciiTheme="minorEastAsia" w:hAnsiTheme="minorEastAsia"/>
          <w:sz w:val="24"/>
          <w:szCs w:val="24"/>
        </w:rPr>
        <w:t>路的服务能力。</w:t>
      </w:r>
    </w:p>
    <w:p>
      <w:pPr>
        <w:adjustRightInd w:val="0"/>
        <w:snapToGrid w:val="0"/>
        <w:spacing w:line="360" w:lineRule="auto"/>
        <w:ind w:left="384" w:firstLine="420"/>
        <w:rPr>
          <w:rFonts w:asciiTheme="minorEastAsia" w:hAnsiTheme="minorEastAsia"/>
          <w:sz w:val="24"/>
          <w:szCs w:val="24"/>
        </w:rPr>
      </w:pPr>
      <w:r>
        <w:rPr>
          <w:rFonts w:hint="eastAsia" w:asciiTheme="minorEastAsia" w:hAnsiTheme="minorEastAsia"/>
          <w:sz w:val="24"/>
          <w:szCs w:val="24"/>
        </w:rPr>
        <w:t>2.1.2主要维护设备。摄像机（含支架、护罩、镜头等）、MDU或前端工业交换机、背包箱、立杆、光交接箱至点位的配光缆及相应管路、手孔井等。</w:t>
      </w:r>
    </w:p>
    <w:p>
      <w:pPr>
        <w:adjustRightInd w:val="0"/>
        <w:snapToGrid w:val="0"/>
        <w:spacing w:line="360" w:lineRule="auto"/>
        <w:ind w:firstLine="664" w:firstLineChars="277"/>
        <w:rPr>
          <w:rFonts w:asciiTheme="minorEastAsia" w:hAnsiTheme="minorEastAsia"/>
          <w:sz w:val="24"/>
          <w:szCs w:val="24"/>
        </w:rPr>
      </w:pPr>
      <w:r>
        <w:rPr>
          <w:rFonts w:hint="eastAsia" w:asciiTheme="minorEastAsia" w:hAnsiTheme="minorEastAsia"/>
          <w:sz w:val="24"/>
          <w:szCs w:val="24"/>
        </w:rPr>
        <w:t>设备类别清单</w:t>
      </w:r>
    </w:p>
    <w:p>
      <w:pPr>
        <w:adjustRightInd w:val="0"/>
        <w:snapToGrid w:val="0"/>
        <w:spacing w:line="360" w:lineRule="auto"/>
        <w:ind w:firstLine="664" w:firstLineChars="277"/>
        <w:rPr>
          <w:rFonts w:asciiTheme="minorEastAsia" w:hAnsiTheme="minorEastAsia"/>
          <w:sz w:val="24"/>
          <w:szCs w:val="24"/>
        </w:rPr>
      </w:pPr>
    </w:p>
    <w:tbl>
      <w:tblPr>
        <w:tblStyle w:val="6"/>
        <w:tblW w:w="8241" w:type="dxa"/>
        <w:tblInd w:w="113" w:type="dxa"/>
        <w:tblLayout w:type="autofit"/>
        <w:tblCellMar>
          <w:top w:w="0" w:type="dxa"/>
          <w:left w:w="108" w:type="dxa"/>
          <w:bottom w:w="0" w:type="dxa"/>
          <w:right w:w="108" w:type="dxa"/>
        </w:tblCellMar>
      </w:tblPr>
      <w:tblGrid>
        <w:gridCol w:w="2989"/>
        <w:gridCol w:w="5252"/>
      </w:tblGrid>
      <w:tr>
        <w:tblPrEx>
          <w:tblCellMar>
            <w:top w:w="0" w:type="dxa"/>
            <w:left w:w="108" w:type="dxa"/>
            <w:bottom w:w="0" w:type="dxa"/>
            <w:right w:w="108" w:type="dxa"/>
          </w:tblCellMar>
        </w:tblPrEx>
        <w:trPr>
          <w:trHeight w:val="171" w:hRule="atLeast"/>
        </w:trPr>
        <w:tc>
          <w:tcPr>
            <w:tcW w:w="298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产品类型</w:t>
            </w:r>
          </w:p>
        </w:tc>
        <w:tc>
          <w:tcPr>
            <w:tcW w:w="525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设备名称</w:t>
            </w:r>
          </w:p>
        </w:tc>
      </w:tr>
      <w:tr>
        <w:tblPrEx>
          <w:tblCellMar>
            <w:top w:w="0" w:type="dxa"/>
            <w:left w:w="108" w:type="dxa"/>
            <w:bottom w:w="0" w:type="dxa"/>
            <w:right w:w="108" w:type="dxa"/>
          </w:tblCellMar>
        </w:tblPrEx>
        <w:trPr>
          <w:trHeight w:val="343"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监控枪机</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800万枪机</w:t>
            </w:r>
          </w:p>
        </w:tc>
      </w:tr>
      <w:tr>
        <w:tblPrEx>
          <w:tblCellMar>
            <w:top w:w="0" w:type="dxa"/>
            <w:left w:w="108" w:type="dxa"/>
            <w:bottom w:w="0" w:type="dxa"/>
            <w:right w:w="108" w:type="dxa"/>
          </w:tblCellMar>
        </w:tblPrEx>
        <w:trPr>
          <w:trHeight w:val="343"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监控镜头</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镜头</w:t>
            </w:r>
          </w:p>
        </w:tc>
      </w:tr>
      <w:tr>
        <w:tblPrEx>
          <w:tblCellMar>
            <w:top w:w="0" w:type="dxa"/>
            <w:left w:w="108" w:type="dxa"/>
            <w:bottom w:w="0" w:type="dxa"/>
            <w:right w:w="108" w:type="dxa"/>
          </w:tblCellMar>
        </w:tblPrEx>
        <w:trPr>
          <w:trHeight w:val="343"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监控镜头</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短焦镜头</w:t>
            </w:r>
          </w:p>
        </w:tc>
      </w:tr>
      <w:tr>
        <w:tblPrEx>
          <w:tblCellMar>
            <w:top w:w="0" w:type="dxa"/>
            <w:left w:w="108" w:type="dxa"/>
            <w:bottom w:w="0" w:type="dxa"/>
            <w:right w:w="108" w:type="dxa"/>
          </w:tblCellMar>
        </w:tblPrEx>
        <w:trPr>
          <w:trHeight w:val="343"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监控枪机</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高清监控枪机</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护罩</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室外高端增强型护罩</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网络球机</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网络球形摄像机</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违停球机</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200万违停球机</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违停主机</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智能违停盒</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违停球机</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违停球</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违停主机</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终端主机</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电子警察</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900万电警抓拍单元</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电子警察</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高清抓拍单元</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卡口监控</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生态卡口抓拍单元</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卡口监控</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环保抓拍机</w:t>
            </w:r>
          </w:p>
        </w:tc>
      </w:tr>
      <w:tr>
        <w:trPr>
          <w:trHeight w:val="343"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补光灯</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环保型四合一生态补光灯</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O</w:t>
            </w:r>
            <w:r>
              <w:rPr>
                <w:rFonts w:asciiTheme="minorEastAsia" w:hAnsiTheme="minorEastAsia"/>
                <w:sz w:val="24"/>
                <w:szCs w:val="24"/>
              </w:rPr>
              <w:t>LT</w:t>
            </w:r>
            <w:r>
              <w:rPr>
                <w:rFonts w:hint="eastAsia" w:asciiTheme="minorEastAsia" w:hAnsiTheme="minorEastAsia"/>
                <w:sz w:val="24"/>
                <w:szCs w:val="24"/>
              </w:rPr>
              <w:t>电源模块</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备用电源模块</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电子警察</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终端主机</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信号检测</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红绿灯信号检测器</w:t>
            </w:r>
          </w:p>
        </w:tc>
      </w:tr>
      <w:tr>
        <w:tblPrEx>
          <w:tblCellMar>
            <w:top w:w="0" w:type="dxa"/>
            <w:left w:w="108" w:type="dxa"/>
            <w:bottom w:w="0" w:type="dxa"/>
            <w:right w:w="108" w:type="dxa"/>
          </w:tblCellMar>
        </w:tblPrEx>
        <w:trPr>
          <w:trHeight w:val="343"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管理数据单元</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MDU</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背包箱</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背包箱</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合杆挑臂</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合杆挑臂</w:t>
            </w:r>
          </w:p>
        </w:tc>
      </w:tr>
      <w:tr>
        <w:tblPrEx>
          <w:tblCellMar>
            <w:top w:w="0" w:type="dxa"/>
            <w:left w:w="108" w:type="dxa"/>
            <w:bottom w:w="0" w:type="dxa"/>
            <w:right w:w="108" w:type="dxa"/>
          </w:tblCellMar>
        </w:tblPrEx>
        <w:trPr>
          <w:trHeight w:val="45"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光电转换器</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光电转换器</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内部声像</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asciiTheme="minorEastAsia" w:hAnsiTheme="minorEastAsia"/>
                <w:sz w:val="24"/>
                <w:szCs w:val="24"/>
              </w:rPr>
              <w:t>200万高清网络定焦相机</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内部声像</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网络硬盘录像机</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内部声像</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高清变焦镜头</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内部声像</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高清网络半球</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内部声像</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拾音器</w:t>
            </w:r>
          </w:p>
        </w:tc>
      </w:tr>
      <w:tr>
        <w:tblPrEx>
          <w:tblCellMar>
            <w:top w:w="0" w:type="dxa"/>
            <w:left w:w="108" w:type="dxa"/>
            <w:bottom w:w="0" w:type="dxa"/>
            <w:right w:w="108" w:type="dxa"/>
          </w:tblCellMar>
        </w:tblPrEx>
        <w:trPr>
          <w:trHeight w:val="171" w:hRule="atLeast"/>
        </w:trPr>
        <w:tc>
          <w:tcPr>
            <w:tcW w:w="2989"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内部声像</w:t>
            </w:r>
          </w:p>
        </w:tc>
        <w:tc>
          <w:tcPr>
            <w:tcW w:w="5252" w:type="dxa"/>
            <w:tcBorders>
              <w:top w:val="nil"/>
              <w:left w:val="nil"/>
              <w:bottom w:val="single" w:color="auto" w:sz="4" w:space="0"/>
              <w:right w:val="single" w:color="auto"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网络硬盘</w:t>
            </w:r>
          </w:p>
        </w:tc>
      </w:tr>
    </w:tbl>
    <w:p>
      <w:pPr>
        <w:widowControl/>
        <w:jc w:val="left"/>
        <w:rPr>
          <w:rFonts w:asciiTheme="minorEastAsia" w:hAnsiTheme="minorEastAsia"/>
          <w:sz w:val="24"/>
          <w:szCs w:val="24"/>
        </w:rPr>
      </w:pPr>
    </w:p>
    <w:p>
      <w:pPr>
        <w:pStyle w:val="11"/>
        <w:numPr>
          <w:ilvl w:val="1"/>
          <w:numId w:val="2"/>
        </w:numPr>
        <w:adjustRightInd w:val="0"/>
        <w:snapToGrid w:val="0"/>
        <w:spacing w:line="360" w:lineRule="auto"/>
        <w:ind w:firstLineChars="0"/>
        <w:rPr>
          <w:rFonts w:asciiTheme="minorEastAsia" w:hAnsiTheme="minorEastAsia"/>
          <w:sz w:val="24"/>
          <w:szCs w:val="24"/>
        </w:rPr>
      </w:pPr>
      <w:r>
        <w:rPr>
          <w:rFonts w:asciiTheme="minorEastAsia" w:hAnsiTheme="minorEastAsia"/>
          <w:sz w:val="24"/>
          <w:szCs w:val="24"/>
        </w:rPr>
        <w:t xml:space="preserve">  </w:t>
      </w:r>
      <w:r>
        <w:rPr>
          <w:rFonts w:hint="eastAsia" w:asciiTheme="minorEastAsia" w:hAnsiTheme="minorEastAsia"/>
          <w:sz w:val="24"/>
          <w:szCs w:val="24"/>
        </w:rPr>
        <w:t>运维要求</w:t>
      </w:r>
    </w:p>
    <w:p>
      <w:pPr>
        <w:adjustRightInd w:val="0"/>
        <w:snapToGrid w:val="0"/>
        <w:spacing w:line="360" w:lineRule="auto"/>
        <w:ind w:left="384" w:firstLine="420"/>
        <w:rPr>
          <w:rFonts w:asciiTheme="minorEastAsia" w:hAnsiTheme="minorEastAsia"/>
          <w:sz w:val="24"/>
          <w:szCs w:val="24"/>
        </w:rPr>
      </w:pPr>
      <w:r>
        <w:rPr>
          <w:rFonts w:hint="eastAsia" w:asciiTheme="minorEastAsia" w:hAnsiTheme="minorEastAsia"/>
          <w:sz w:val="24"/>
          <w:szCs w:val="24"/>
        </w:rPr>
        <w:t>2.2.1完好率目标。针对上述所有设备的日常维修既抢修，每天的外场故障除特殊原因24小时内全部修复。每日外场设备完好率达到99%以上。上述目标以工程监理和甲方确认为准。本项目需供应商提供解决或组织方案。</w:t>
      </w:r>
    </w:p>
    <w:p>
      <w:pPr>
        <w:adjustRightInd w:val="0"/>
        <w:snapToGrid w:val="0"/>
        <w:spacing w:line="360" w:lineRule="auto"/>
        <w:ind w:left="384" w:firstLine="420"/>
        <w:rPr>
          <w:rFonts w:asciiTheme="minorEastAsia" w:hAnsiTheme="minorEastAsia"/>
          <w:sz w:val="24"/>
          <w:szCs w:val="24"/>
        </w:rPr>
      </w:pPr>
      <w:r>
        <w:rPr>
          <w:rFonts w:hint="eastAsia" w:asciiTheme="minorEastAsia" w:hAnsiTheme="minorEastAsia"/>
          <w:sz w:val="24"/>
          <w:szCs w:val="24"/>
        </w:rPr>
        <w:t>2.2.2车辆要求。</w:t>
      </w:r>
      <w:r>
        <w:rPr>
          <w:rFonts w:hint="eastAsia" w:asciiTheme="minorEastAsia" w:hAnsiTheme="minorEastAsia"/>
          <w:color w:val="FF0000"/>
          <w:sz w:val="24"/>
          <w:szCs w:val="24"/>
        </w:rPr>
        <w:t>要求运维单位需提供至少2辆运维登高车和2辆施工维修车辆，</w:t>
      </w:r>
      <w:r>
        <w:rPr>
          <w:rFonts w:hint="eastAsia" w:asciiTheme="minorEastAsia" w:hAnsiTheme="minorEastAsia"/>
          <w:sz w:val="24"/>
          <w:szCs w:val="24"/>
        </w:rPr>
        <w:t>上述车辆均纳入本项目统一管理。每辆运维车至少配备3名维修人员共同组成维修班组。要求派驻的车辆是符合在本区通行、施工条件的工程车辆，车上必须装备有光功率机、OTDR、红光笔、简单电路检测维修工具、清洁工具及材料等设备。</w:t>
      </w:r>
    </w:p>
    <w:p>
      <w:pPr>
        <w:adjustRightInd w:val="0"/>
        <w:snapToGrid w:val="0"/>
        <w:spacing w:line="360" w:lineRule="auto"/>
        <w:ind w:left="384" w:firstLine="420"/>
        <w:rPr>
          <w:rFonts w:asciiTheme="minorEastAsia" w:hAnsiTheme="minorEastAsia"/>
          <w:sz w:val="24"/>
          <w:szCs w:val="24"/>
        </w:rPr>
      </w:pPr>
      <w:r>
        <w:rPr>
          <w:rFonts w:hint="eastAsia" w:asciiTheme="minorEastAsia" w:hAnsiTheme="minorEastAsia"/>
          <w:sz w:val="24"/>
          <w:szCs w:val="24"/>
        </w:rPr>
        <w:t>2.2.3人员要求。每辆工程车应至少配备3名运维人员均需具备维修外场摄像机、违停抓拍设备、MDU、光缆、取电、立杆基础、机箱、挑臂、内部声像系统前端设备（含摄像机、拾音器等）等各种外场故障的能力，维修故障时全员配合一起维修，作为一个运维小组共同完成维修和抢修任务。若3名运维人员无法满足上述需求，可自行增加具备相应能力的维修人员，确保满足该项目提出的运维要求。运维单位应保障本项目运维团队的运维人员相对固定，不得随意调换。如确有原因需要调换的，需提前一个月向用户方提出并备案，经用户方同意后方可调换。运维单位应对运维人员每月进行1次岗位职责、施工规范、安全施工、安全保密等培训。受训人员能熟悉分局图像系统违停，熟悉系统所有点位位置信息、设备状态、监控是否正常，掌握日常运维技术。</w:t>
      </w:r>
    </w:p>
    <w:p>
      <w:pPr>
        <w:adjustRightInd w:val="0"/>
        <w:snapToGrid w:val="0"/>
        <w:spacing w:line="360" w:lineRule="auto"/>
        <w:ind w:left="384" w:firstLine="420"/>
        <w:rPr>
          <w:rFonts w:asciiTheme="minorEastAsia" w:hAnsiTheme="minorEastAsia"/>
          <w:sz w:val="24"/>
          <w:szCs w:val="24"/>
        </w:rPr>
      </w:pPr>
      <w:r>
        <w:rPr>
          <w:rFonts w:hint="eastAsia" w:asciiTheme="minorEastAsia" w:hAnsiTheme="minorEastAsia"/>
          <w:sz w:val="24"/>
          <w:szCs w:val="24"/>
        </w:rPr>
        <w:t>2.2.4教育培训。主要培训内容包括且不限于：摄像机安装、光缆熔接、光纤跳接、低压电施工等。另外，运维单位还需要对运维人员进行安全、保密、防疫等培训教育，主要内容包含且不限于：安全知识、劳保用品使用、安全标志、危险化学品使用、高空作业与移动脚手架、消防管理、特种作业管理、临时用电、文明施工、急救和应急措施、信息安全及保密、疫情防控及自我防护</w:t>
      </w:r>
    </w:p>
    <w:p>
      <w:pPr>
        <w:adjustRightInd w:val="0"/>
        <w:snapToGrid w:val="0"/>
        <w:spacing w:line="360" w:lineRule="auto"/>
        <w:ind w:left="384" w:firstLine="420"/>
        <w:rPr>
          <w:rFonts w:asciiTheme="minorEastAsia" w:hAnsiTheme="minorEastAsia"/>
          <w:sz w:val="24"/>
          <w:szCs w:val="24"/>
        </w:rPr>
      </w:pPr>
      <w:r>
        <w:rPr>
          <w:rFonts w:hint="eastAsia" w:asciiTheme="minorEastAsia" w:hAnsiTheme="minorEastAsia"/>
          <w:sz w:val="24"/>
          <w:szCs w:val="24"/>
        </w:rPr>
        <w:t>2.2.5运维时间要求。外场图像运维团队日常运维工作时间要求：需确保8小时维修作业或就近待命，早晚高峰不计入作业工时，运维单位可根据实际情况灵活安排班组修整（包括夏令时、避高温等），相关作业计划需报备业主、内场和监理，原则上需不影响当天障碍修复进度。工作日保证至少3辆维修车辆（其中至少2辆为登高车辆）及对应维修班组在本区进行维修任务，节假日期间应保证至少2辆维修车辆（其中至少1辆为登高车辆）及对应维修班组在本区进行维修任务。</w:t>
      </w:r>
    </w:p>
    <w:p>
      <w:pPr>
        <w:adjustRightInd w:val="0"/>
        <w:snapToGrid w:val="0"/>
        <w:spacing w:line="360" w:lineRule="auto"/>
        <w:ind w:left="384" w:firstLine="420"/>
        <w:rPr>
          <w:rFonts w:asciiTheme="minorEastAsia" w:hAnsiTheme="minorEastAsia"/>
          <w:sz w:val="24"/>
          <w:szCs w:val="24"/>
        </w:rPr>
      </w:pPr>
      <w:r>
        <w:rPr>
          <w:rFonts w:hint="eastAsia" w:asciiTheme="minorEastAsia" w:hAnsiTheme="minorEastAsia"/>
          <w:sz w:val="24"/>
          <w:szCs w:val="24"/>
        </w:rPr>
        <w:t>2.2.6故障恢复时效性要求。日常维修要求：自接到维修工单起24小时内，无特殊原因完成维修任务.故障抢修时效性要求：遇突发应急维修任务时，要求运维团队接到指令后2小时内到现场进行抢修，2小时内完成系统及设备维修工作。因为施工性故障等客观原因导致现场暂不能修复的，需书面告知后续维修方案及维修计划，待用户批准后，尽快修复。</w:t>
      </w:r>
    </w:p>
    <w:p>
      <w:pPr>
        <w:adjustRightInd w:val="0"/>
        <w:snapToGrid w:val="0"/>
        <w:spacing w:line="360" w:lineRule="auto"/>
        <w:ind w:left="384" w:firstLine="420"/>
        <w:rPr>
          <w:rFonts w:asciiTheme="minorEastAsia" w:hAnsiTheme="minorEastAsia"/>
          <w:sz w:val="24"/>
          <w:szCs w:val="24"/>
        </w:rPr>
      </w:pPr>
      <w:r>
        <w:rPr>
          <w:rFonts w:hint="eastAsia" w:asciiTheme="minorEastAsia" w:hAnsiTheme="minorEastAsia"/>
          <w:sz w:val="24"/>
          <w:szCs w:val="24"/>
        </w:rPr>
        <w:t>2.2.7外场巡检要求。每季度至少1次对外场立杆、挑臂、机箱、光缆等设备进行外观巡检，巡检发现的问题应及时整改，并拍照片留档。高空点位每半年需对设备情况、外观、牢固度等进行1次巡检，并对发现的问题及时整改、处理。每月至少1次对登高维修车辆及作业平台进行全面检修，确保车辆处于安全使用状态，同时对驾驶人员、作业人员每月至少开展1次登高作业安全教育、夜间文明施工教育。</w:t>
      </w:r>
    </w:p>
    <w:tbl>
      <w:tblPr>
        <w:tblStyle w:val="6"/>
        <w:tblW w:w="0" w:type="auto"/>
        <w:tblInd w:w="0" w:type="dxa"/>
        <w:tblLayout w:type="autofit"/>
        <w:tblCellMar>
          <w:top w:w="0" w:type="dxa"/>
          <w:left w:w="108" w:type="dxa"/>
          <w:bottom w:w="0" w:type="dxa"/>
          <w:right w:w="108" w:type="dxa"/>
        </w:tblCellMar>
      </w:tblPr>
      <w:tblGrid>
        <w:gridCol w:w="616"/>
        <w:gridCol w:w="1217"/>
        <w:gridCol w:w="221"/>
        <w:gridCol w:w="1817"/>
        <w:gridCol w:w="1417"/>
        <w:gridCol w:w="1817"/>
        <w:gridCol w:w="1417"/>
      </w:tblGrid>
      <w:tr>
        <w:tblPrEx>
          <w:tblCellMar>
            <w:top w:w="0" w:type="dxa"/>
            <w:left w:w="108" w:type="dxa"/>
            <w:bottom w:w="0" w:type="dxa"/>
            <w:right w:w="108" w:type="dxa"/>
          </w:tblCellMar>
        </w:tblPrEx>
        <w:trPr>
          <w:trHeight w:val="28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运维对象</w:t>
            </w:r>
          </w:p>
        </w:tc>
        <w:tc>
          <w:tcPr>
            <w:tcW w:w="0" w:type="auto"/>
            <w:tcBorders>
              <w:top w:val="single" w:color="auto" w:sz="4" w:space="0"/>
              <w:left w:val="nil"/>
              <w:bottom w:val="single" w:color="auto" w:sz="4" w:space="0"/>
              <w:right w:val="nil"/>
            </w:tcBorders>
            <w:shd w:val="clear" w:color="auto" w:fill="auto"/>
            <w:vAlign w:val="center"/>
          </w:tcPr>
          <w:p>
            <w:pPr>
              <w:adjustRightInd w:val="0"/>
              <w:snapToGrid w:val="0"/>
              <w:spacing w:line="360" w:lineRule="auto"/>
              <w:ind w:firstLine="664" w:firstLineChars="277"/>
              <w:jc w:val="center"/>
              <w:rPr>
                <w:rFonts w:asciiTheme="minorEastAsia" w:hAnsiTheme="minorEastAsia"/>
                <w:sz w:val="24"/>
                <w:szCs w:val="24"/>
              </w:rPr>
            </w:pP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日常巡检内容概述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巡检时效要求</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故障修复时效要求</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运维报告要求</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1</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道路高清、违停一二三期（含增补工程）、雪亮一期、雪亮二期</w:t>
            </w:r>
          </w:p>
        </w:tc>
        <w:tc>
          <w:tcPr>
            <w:tcW w:w="0" w:type="auto"/>
            <w:tcBorders>
              <w:top w:val="nil"/>
              <w:left w:val="nil"/>
              <w:bottom w:val="single" w:color="auto" w:sz="4" w:space="0"/>
              <w:right w:val="nil"/>
            </w:tcBorders>
            <w:shd w:val="clear" w:color="auto" w:fill="auto"/>
            <w:vAlign w:val="center"/>
          </w:tcPr>
          <w:p>
            <w:pPr>
              <w:adjustRightInd w:val="0"/>
              <w:snapToGrid w:val="0"/>
              <w:spacing w:line="360" w:lineRule="auto"/>
              <w:ind w:firstLine="664" w:firstLineChars="277"/>
              <w:jc w:val="cente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对所有外场监控点位涉及的外场配套设备（MDU、立杆、挑臂等）日常巡检、维护、维修，确保正常运行</w:t>
            </w:r>
          </w:p>
        </w:tc>
        <w:tc>
          <w:tcPr>
            <w:tcW w:w="0" w:type="auto"/>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每季度1次</w:t>
            </w:r>
          </w:p>
        </w:tc>
        <w:tc>
          <w:tcPr>
            <w:tcW w:w="0" w:type="auto"/>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除客观原因如硬件更换原因外，常规要求24小时内完成报修故障修复</w:t>
            </w:r>
          </w:p>
        </w:tc>
        <w:tc>
          <w:tcPr>
            <w:tcW w:w="0" w:type="auto"/>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每月底提交1次巡检运维报告</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2</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line="360" w:lineRule="auto"/>
              <w:ind w:firstLine="664" w:firstLineChars="277"/>
              <w:jc w:val="center"/>
              <w:rPr>
                <w:rFonts w:asciiTheme="minorEastAsia" w:hAnsiTheme="minorEastAsia"/>
                <w:sz w:val="24"/>
                <w:szCs w:val="24"/>
              </w:rPr>
            </w:pPr>
          </w:p>
        </w:tc>
        <w:tc>
          <w:tcPr>
            <w:tcW w:w="0" w:type="auto"/>
            <w:tcBorders>
              <w:top w:val="nil"/>
              <w:left w:val="nil"/>
              <w:bottom w:val="single" w:color="auto" w:sz="4" w:space="0"/>
              <w:right w:val="nil"/>
            </w:tcBorders>
            <w:shd w:val="clear" w:color="auto" w:fill="auto"/>
            <w:vAlign w:val="center"/>
          </w:tcPr>
          <w:p>
            <w:pPr>
              <w:adjustRightInd w:val="0"/>
              <w:snapToGrid w:val="0"/>
              <w:spacing w:line="360" w:lineRule="auto"/>
              <w:ind w:firstLine="664" w:firstLineChars="277"/>
              <w:jc w:val="cente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外场设施外观异常随检，如光缆“黑轮胎”、背包箱门未关等</w:t>
            </w:r>
          </w:p>
        </w:tc>
        <w:tc>
          <w:tcPr>
            <w:tcW w:w="0" w:type="auto"/>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每月随查</w:t>
            </w:r>
          </w:p>
        </w:tc>
        <w:tc>
          <w:tcPr>
            <w:tcW w:w="0" w:type="auto"/>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除客观原因如硬件更换原因外，常规要求24小时内完成报修故障修复</w:t>
            </w:r>
          </w:p>
        </w:tc>
        <w:tc>
          <w:tcPr>
            <w:tcW w:w="0" w:type="auto"/>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对于发现及处理情况，每月底在巡检报告中予以体现</w:t>
            </w:r>
          </w:p>
        </w:tc>
      </w:tr>
      <w:tr>
        <w:tblPrEx>
          <w:tblCellMar>
            <w:top w:w="0" w:type="dxa"/>
            <w:left w:w="108" w:type="dxa"/>
            <w:bottom w:w="0" w:type="dxa"/>
            <w:right w:w="108" w:type="dxa"/>
          </w:tblCellMar>
        </w:tblPrEx>
        <w:trPr>
          <w:trHeight w:val="1080"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3</w:t>
            </w:r>
          </w:p>
        </w:tc>
        <w:tc>
          <w:tcPr>
            <w:tcW w:w="0" w:type="auto"/>
            <w:tcBorders>
              <w:top w:val="nil"/>
              <w:left w:val="nil"/>
              <w:bottom w:val="single" w:color="auto" w:sz="4" w:space="0"/>
              <w:right w:val="single" w:color="auto" w:sz="4" w:space="0"/>
            </w:tcBorders>
            <w:shd w:val="clear" w:color="auto" w:fill="auto"/>
            <w:noWrap/>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制高点巡检</w:t>
            </w:r>
          </w:p>
        </w:tc>
        <w:tc>
          <w:tcPr>
            <w:tcW w:w="0" w:type="auto"/>
            <w:tcBorders>
              <w:top w:val="nil"/>
              <w:left w:val="nil"/>
              <w:bottom w:val="single" w:color="auto" w:sz="4" w:space="0"/>
              <w:right w:val="nil"/>
            </w:tcBorders>
            <w:shd w:val="clear" w:color="auto" w:fill="auto"/>
            <w:vAlign w:val="center"/>
          </w:tcPr>
          <w:p>
            <w:pPr>
              <w:adjustRightInd w:val="0"/>
              <w:snapToGrid w:val="0"/>
              <w:spacing w:line="360" w:lineRule="auto"/>
              <w:ind w:firstLine="664" w:firstLineChars="277"/>
              <w:jc w:val="center"/>
              <w:rPr>
                <w:rFonts w:asciiTheme="minorEastAsia" w:hAnsiTheme="minorEastAsia"/>
                <w:sz w:val="24"/>
                <w:szCs w:val="24"/>
              </w:rPr>
            </w:pPr>
          </w:p>
        </w:tc>
        <w:tc>
          <w:tcPr>
            <w:tcW w:w="0" w:type="auto"/>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针对分局图像网所有制高点监控进行安全性检查及防范加固措施</w:t>
            </w:r>
          </w:p>
        </w:tc>
        <w:tc>
          <w:tcPr>
            <w:tcW w:w="0" w:type="auto"/>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每季度1次</w:t>
            </w:r>
          </w:p>
        </w:tc>
        <w:tc>
          <w:tcPr>
            <w:tcW w:w="0" w:type="auto"/>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除客观原因如硬件更换原因外，常规要求2</w:t>
            </w:r>
            <w:r>
              <w:rPr>
                <w:rFonts w:asciiTheme="minorEastAsia" w:hAnsiTheme="minorEastAsia"/>
                <w:sz w:val="24"/>
                <w:szCs w:val="24"/>
              </w:rPr>
              <w:t>4</w:t>
            </w:r>
            <w:r>
              <w:rPr>
                <w:rFonts w:hint="eastAsia" w:asciiTheme="minorEastAsia" w:hAnsiTheme="minorEastAsia"/>
                <w:sz w:val="24"/>
                <w:szCs w:val="24"/>
              </w:rPr>
              <w:t>小时内完成报修故障修复</w:t>
            </w:r>
          </w:p>
        </w:tc>
        <w:tc>
          <w:tcPr>
            <w:tcW w:w="0" w:type="auto"/>
            <w:tcBorders>
              <w:top w:val="nil"/>
              <w:left w:val="nil"/>
              <w:bottom w:val="single" w:color="auto" w:sz="4" w:space="0"/>
              <w:right w:val="single" w:color="auto" w:sz="4" w:space="0"/>
            </w:tcBorders>
            <w:shd w:val="clear" w:color="auto" w:fill="auto"/>
            <w:vAlign w:val="center"/>
          </w:tcPr>
          <w:p>
            <w:pPr>
              <w:adjustRightInd w:val="0"/>
              <w:snapToGrid w:val="0"/>
              <w:spacing w:line="360" w:lineRule="auto"/>
              <w:jc w:val="center"/>
              <w:rPr>
                <w:rFonts w:asciiTheme="minorEastAsia" w:hAnsiTheme="minorEastAsia"/>
                <w:sz w:val="24"/>
                <w:szCs w:val="24"/>
              </w:rPr>
            </w:pPr>
            <w:r>
              <w:rPr>
                <w:rFonts w:hint="eastAsia" w:asciiTheme="minorEastAsia" w:hAnsiTheme="minorEastAsia"/>
                <w:sz w:val="24"/>
                <w:szCs w:val="24"/>
              </w:rPr>
              <w:t>每季度提交1次巡检运维报告</w:t>
            </w:r>
          </w:p>
        </w:tc>
      </w:tr>
    </w:tbl>
    <w:p>
      <w:pPr>
        <w:adjustRightInd w:val="0"/>
        <w:snapToGrid w:val="0"/>
        <w:spacing w:line="360" w:lineRule="auto"/>
        <w:ind w:left="420" w:firstLine="420"/>
        <w:rPr>
          <w:rFonts w:asciiTheme="minorEastAsia" w:hAnsiTheme="minorEastAsia"/>
          <w:sz w:val="24"/>
          <w:szCs w:val="24"/>
        </w:rPr>
      </w:pPr>
      <w:r>
        <w:rPr>
          <w:rFonts w:hint="eastAsia" w:asciiTheme="minorEastAsia" w:hAnsiTheme="minorEastAsia"/>
          <w:sz w:val="24"/>
          <w:szCs w:val="24"/>
        </w:rPr>
        <w:t>2.2.8工作流程要求。每天9：00内场汇总运维系统故障总表，进行相关预处理；10：00将当天第一批外场处理工单发维护群；由确定管理人员对处理工单进行分发安排及跟进；第一批对应处理情况于18：00前完成内场回复；同时，内场在当天12：00前将当天剩余故障作为第二批派单发维修群，对应维修情况最晚应于隔天10：00前回复内场。内场于19：00前需汇总两批派单最终修复情况，回单或申请挂起，同时将超时障碍标注发运维管理人员；</w:t>
      </w:r>
    </w:p>
    <w:p>
      <w:pPr>
        <w:adjustRightInd w:val="0"/>
        <w:snapToGrid w:val="0"/>
        <w:spacing w:line="360" w:lineRule="auto"/>
        <w:ind w:left="384" w:firstLine="420"/>
        <w:rPr>
          <w:rFonts w:asciiTheme="minorEastAsia" w:hAnsiTheme="minorEastAsia"/>
          <w:sz w:val="24"/>
          <w:szCs w:val="24"/>
        </w:rPr>
      </w:pPr>
      <w:r>
        <w:rPr>
          <w:rFonts w:hint="eastAsia" w:asciiTheme="minorEastAsia" w:hAnsiTheme="minorEastAsia"/>
          <w:sz w:val="24"/>
          <w:szCs w:val="24"/>
        </w:rPr>
        <w:t>2.2.9安全施工要求。每次修剪完毕后的残枝残叶等杂物需随车运走，运送至绿化管理单位指定位置统一堆放处理，如未及时清理现场，产生的一切后果需由树枝修剪单位自行承担。维护周期内，根据实际需要，负责对监控点遮挡物清除、进行遮挡树枝修剪的工作。本系统涉及外场点位较多，内场巡检人员在日常巡检中发现树枝遮挡时应及时记录台账，交由运维和运维监理进行定期汇总，并定期开展树枝修剪工作（每月不少于1次），用户日常发现的树枝遮挡问题反馈至运维单位或运维监理后，运维责任单位需在3天内完成遮挡点位的树枝修剪任务，修剪工作路按实结算。需注意的是，运维单位在安排好当期外场点位树枝修剪工作计划后，需将涉及点位、工作计划、作业车辆、作业人员（每次需配备1名现场安全员）提前报备给用户和监理，并由分局科技科责任民警向交警支队、区绿化管理单位进行事项报备，并按对方认可或批准的时间段内开展外场树枝修剪作业，且不得影响点位周边道路的正常交通秩序和人行道行人正常通行。每次修剪完毕后的残枝残叶等杂物需随车运走，运送至绿化管理单位指定位置统一堆放处理，如未及时清理现场，产生的一切后果需由树枝修剪单位自行承担。</w:t>
      </w:r>
    </w:p>
    <w:p>
      <w:pPr>
        <w:adjustRightInd w:val="0"/>
        <w:snapToGrid w:val="0"/>
        <w:spacing w:line="360" w:lineRule="auto"/>
        <w:ind w:firstLine="384"/>
        <w:rPr>
          <w:rFonts w:asciiTheme="minorEastAsia" w:hAnsiTheme="minorEastAsia"/>
          <w:sz w:val="24"/>
          <w:szCs w:val="24"/>
        </w:rPr>
      </w:pPr>
      <w:r>
        <w:rPr>
          <w:rFonts w:hint="eastAsia" w:asciiTheme="minorEastAsia" w:hAnsiTheme="minorEastAsia"/>
          <w:sz w:val="24"/>
          <w:szCs w:val="24"/>
        </w:rPr>
        <w:t>2.3</w:t>
      </w:r>
      <w:r>
        <w:rPr>
          <w:rFonts w:asciiTheme="minorEastAsia" w:hAnsiTheme="minorEastAsia"/>
          <w:sz w:val="24"/>
          <w:szCs w:val="24"/>
        </w:rPr>
        <w:t xml:space="preserve">  </w:t>
      </w:r>
      <w:r>
        <w:rPr>
          <w:rFonts w:hint="eastAsia" w:asciiTheme="minorEastAsia" w:hAnsiTheme="minorEastAsia"/>
          <w:sz w:val="24"/>
          <w:szCs w:val="24"/>
        </w:rPr>
        <w:t>项目备品备件</w:t>
      </w:r>
    </w:p>
    <w:p>
      <w:pPr>
        <w:adjustRightInd w:val="0"/>
        <w:snapToGrid w:val="0"/>
        <w:spacing w:line="360" w:lineRule="auto"/>
        <w:ind w:firstLine="424" w:firstLineChars="177"/>
        <w:rPr>
          <w:rFonts w:asciiTheme="minorEastAsia" w:hAnsiTheme="minorEastAsia"/>
          <w:sz w:val="24"/>
          <w:szCs w:val="24"/>
        </w:rPr>
      </w:pPr>
      <w:r>
        <w:rPr>
          <w:rFonts w:hint="eastAsia" w:asciiTheme="minorEastAsia" w:hAnsiTheme="minorEastAsia"/>
          <w:sz w:val="24"/>
          <w:szCs w:val="24"/>
        </w:rPr>
        <w:t>本次外场运维项目备品备件金额按实结算，所有备品备件需质保3年。</w:t>
      </w:r>
    </w:p>
    <w:p>
      <w:pPr>
        <w:adjustRightInd w:val="0"/>
        <w:snapToGrid w:val="0"/>
        <w:spacing w:line="360" w:lineRule="auto"/>
        <w:ind w:firstLine="424" w:firstLineChars="177"/>
        <w:rPr>
          <w:rFonts w:asciiTheme="minorEastAsia" w:hAnsiTheme="minorEastAsia"/>
          <w:sz w:val="24"/>
          <w:szCs w:val="24"/>
        </w:rPr>
      </w:pPr>
      <w:r>
        <w:rPr>
          <w:rFonts w:hint="eastAsia" w:asciiTheme="minorEastAsia" w:hAnsiTheme="minorEastAsia"/>
          <w:sz w:val="24"/>
          <w:szCs w:val="24"/>
        </w:rPr>
        <w:t>备品备件清单如下：</w:t>
      </w:r>
    </w:p>
    <w:p>
      <w:pPr>
        <w:adjustRightInd w:val="0"/>
        <w:snapToGrid w:val="0"/>
        <w:spacing w:line="360" w:lineRule="auto"/>
        <w:ind w:firstLine="424" w:firstLineChars="177"/>
        <w:rPr>
          <w:rFonts w:asciiTheme="minorEastAsia" w:hAnsiTheme="minorEastAsia"/>
          <w:sz w:val="24"/>
          <w:szCs w:val="24"/>
        </w:rPr>
      </w:pPr>
      <w:r>
        <w:rPr>
          <w:rFonts w:hint="eastAsia" w:asciiTheme="minorEastAsia" w:hAnsiTheme="minorEastAsia"/>
          <w:sz w:val="24"/>
          <w:szCs w:val="24"/>
        </w:rPr>
        <w:t>备注：以上备品备件由投标供应商按需提供。备品备件费用需包含在本次采购费用中。</w:t>
      </w:r>
    </w:p>
    <w:p>
      <w:pPr>
        <w:adjustRightInd w:val="0"/>
        <w:snapToGrid w:val="0"/>
        <w:spacing w:line="360" w:lineRule="auto"/>
        <w:ind w:firstLine="424" w:firstLineChars="177"/>
        <w:rPr>
          <w:rFonts w:asciiTheme="minorEastAsia" w:hAnsiTheme="minorEastAsia"/>
          <w:sz w:val="24"/>
          <w:szCs w:val="24"/>
        </w:rPr>
      </w:pPr>
      <w:r>
        <w:rPr>
          <w:rFonts w:hint="eastAsia" w:asciiTheme="minorEastAsia" w:hAnsiTheme="minorEastAsia"/>
          <w:sz w:val="24"/>
          <w:szCs w:val="24"/>
        </w:rPr>
        <w:t>#投标时，供应商需提供主要备品备件设备（清单中带*设备）原厂商针对本项目的3年原厂质保承诺书。质保承诺需包含原厂商针对本项目的备品备件设备（清单中带*设备）6年内漏洞免费更新，否则免费升级替换相应产品的承诺。</w:t>
      </w:r>
    </w:p>
    <w:p>
      <w:pPr>
        <w:adjustRightInd w:val="0"/>
        <w:snapToGrid w:val="0"/>
        <w:spacing w:line="360" w:lineRule="auto"/>
        <w:ind w:firstLine="424" w:firstLineChars="177"/>
        <w:rPr>
          <w:rFonts w:asciiTheme="minorEastAsia" w:hAnsiTheme="minorEastAsia"/>
          <w:sz w:val="24"/>
          <w:szCs w:val="24"/>
        </w:rPr>
      </w:pPr>
      <w:r>
        <w:rPr>
          <w:rFonts w:hint="eastAsia" w:asciiTheme="minorEastAsia" w:hAnsiTheme="minorEastAsia"/>
          <w:sz w:val="24"/>
          <w:szCs w:val="24"/>
        </w:rPr>
        <w:t>供应商需提供本项目涉及的备品备件独立的仓储环境。</w:t>
      </w:r>
    </w:p>
    <w:tbl>
      <w:tblPr>
        <w:tblStyle w:val="6"/>
        <w:tblW w:w="4998" w:type="pct"/>
        <w:tblInd w:w="0" w:type="dxa"/>
        <w:tblLayout w:type="fixed"/>
        <w:tblCellMar>
          <w:top w:w="0" w:type="dxa"/>
          <w:left w:w="108" w:type="dxa"/>
          <w:bottom w:w="0" w:type="dxa"/>
          <w:right w:w="108" w:type="dxa"/>
        </w:tblCellMar>
      </w:tblPr>
      <w:tblGrid>
        <w:gridCol w:w="819"/>
        <w:gridCol w:w="1298"/>
        <w:gridCol w:w="1785"/>
        <w:gridCol w:w="2722"/>
        <w:gridCol w:w="947"/>
        <w:gridCol w:w="947"/>
      </w:tblGrid>
      <w:tr>
        <w:tblPrEx>
          <w:tblCellMar>
            <w:top w:w="0" w:type="dxa"/>
            <w:left w:w="108" w:type="dxa"/>
            <w:bottom w:w="0" w:type="dxa"/>
            <w:right w:w="108" w:type="dxa"/>
          </w:tblCellMar>
        </w:tblPrEx>
        <w:trPr>
          <w:trHeight w:val="359"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序号</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产品类型</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设备名称</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规格型号</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品牌</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单位</w:t>
            </w:r>
          </w:p>
        </w:tc>
      </w:tr>
      <w:tr>
        <w:tblPrEx>
          <w:tblCellMar>
            <w:top w:w="0" w:type="dxa"/>
            <w:left w:w="108" w:type="dxa"/>
            <w:bottom w:w="0" w:type="dxa"/>
            <w:right w:w="108" w:type="dxa"/>
          </w:tblCellMar>
        </w:tblPrEx>
        <w:trPr>
          <w:trHeight w:val="30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*监控枪机</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800万枪机</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DH-IPC-HF9880P-I</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大华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套</w:t>
            </w:r>
          </w:p>
        </w:tc>
      </w:tr>
      <w:tr>
        <w:tblPrEx>
          <w:tblCellMar>
            <w:top w:w="0" w:type="dxa"/>
            <w:left w:w="108" w:type="dxa"/>
            <w:bottom w:w="0" w:type="dxa"/>
            <w:right w:w="108" w:type="dxa"/>
          </w:tblCellMar>
        </w:tblPrEx>
        <w:trPr>
          <w:trHeight w:val="30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监控镜头</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镜头</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DH-OPT-117F10542D-IR12MP</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大华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CellMar>
            <w:top w:w="0" w:type="dxa"/>
            <w:left w:w="108" w:type="dxa"/>
            <w:bottom w:w="0" w:type="dxa"/>
            <w:right w:w="108" w:type="dxa"/>
          </w:tblCellMar>
        </w:tblPrEx>
        <w:trPr>
          <w:trHeight w:val="30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3</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监控镜头</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短焦镜头</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 xml:space="preserve">DH-OPT-117F3716D-IR12MP </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大华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*监控枪机</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高清监控枪机</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DS-2CD2826FHGM-GA</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海康</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套</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5</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护罩</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室外高端增强型护罩</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DH-PFH610N-H</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大华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套</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6</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*网络球机</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网络球形摄像机</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DH-SD948-HNA</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大华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7</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*违停球机</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200万违停球机</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DH-SD-6A9ABCDE-XYZ</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大华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8</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违停主机</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智能违停盒</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DH-IVD301</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大华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9</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*违停球机</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违停球</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DS-2VS2295WF-F831GA</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海康</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10</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违停主机</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终端主机</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iDS-TPZD</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海康</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11</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*电子警察</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900万电警抓拍单元</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DH-CP902-AU3F-L-C1</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大华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12</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*电子警察</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高清抓拍单元</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iDS-TCV900-FEMF/50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海康</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13</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*卡口监控</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生态卡口抓拍单元</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DH-ITC-7902-I</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大华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14</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*卡口监控</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环保抓拍机</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iDS-TCV900-EPSH</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海康</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30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15</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补光灯</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环保型四合一生态补光灯</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DH-ITALF-300AG-F</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大华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16</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asciiTheme="minorEastAsia" w:hAnsiTheme="minorEastAsia"/>
                <w:sz w:val="24"/>
                <w:szCs w:val="24"/>
              </w:rPr>
              <w:t>OLT电源模块</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备用电源模块</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asciiTheme="minorEastAsia" w:hAnsiTheme="minorEastAsia"/>
                <w:sz w:val="24"/>
                <w:szCs w:val="24"/>
              </w:rPr>
              <w:t>MA5860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大华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17</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电子警察</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终端主机</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DH-ITSE1200-TA-N02</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大华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18</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信号检测</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红绿灯信号检测器</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DH-ITASD-016RA</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大华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CellMar>
            <w:top w:w="0" w:type="dxa"/>
            <w:left w:w="108" w:type="dxa"/>
            <w:bottom w:w="0" w:type="dxa"/>
            <w:right w:w="108" w:type="dxa"/>
          </w:tblCellMar>
        </w:tblPrEx>
        <w:trPr>
          <w:trHeight w:val="30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19</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管理数据单元</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MDU</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MA-5621</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华为</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20</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背包箱</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背包箱</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定制</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国产</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21</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合杆挑臂</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合杆挑臂</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1-3米定制</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国产</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22</w:t>
            </w:r>
          </w:p>
        </w:tc>
        <w:tc>
          <w:tcPr>
            <w:tcW w:w="762"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光电转换器</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光电转换器</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BT-952GS-20</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国产</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300"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23</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*内部声像</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200万高清网络定焦相机</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DH-IPC-HDW3233T-A</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大华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24</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内部声像</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网络硬盘录像机</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DH-NVR5832-4KS2</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大华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25</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内部声像</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高清变焦镜头</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DH-OPT-127F2712D-IR4MP</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大华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26</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*内部声像</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高清网络半球</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DH-SH-HDB9521P</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大华</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27</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内部声像</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拾音器</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P型/B型</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国产</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CellMar>
            <w:top w:w="0" w:type="dxa"/>
            <w:left w:w="108" w:type="dxa"/>
            <w:bottom w:w="0" w:type="dxa"/>
            <w:right w:w="108" w:type="dxa"/>
          </w:tblCellMar>
        </w:tblPrEx>
        <w:trPr>
          <w:trHeight w:val="285"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28</w:t>
            </w:r>
          </w:p>
        </w:tc>
        <w:tc>
          <w:tcPr>
            <w:tcW w:w="7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内部声像</w:t>
            </w:r>
          </w:p>
        </w:tc>
        <w:tc>
          <w:tcPr>
            <w:tcW w:w="104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网络硬盘</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8T</w:t>
            </w:r>
          </w:p>
        </w:tc>
        <w:tc>
          <w:tcPr>
            <w:tcW w:w="556" w:type="pct"/>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希捷</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bl>
    <w:p>
      <w:pPr>
        <w:pStyle w:val="11"/>
        <w:numPr>
          <w:ilvl w:val="1"/>
          <w:numId w:val="3"/>
        </w:numPr>
        <w:adjustRightInd w:val="0"/>
        <w:snapToGrid w:val="0"/>
        <w:spacing w:line="360" w:lineRule="auto"/>
        <w:ind w:firstLineChars="0"/>
        <w:rPr>
          <w:rFonts w:asciiTheme="minorEastAsia" w:hAnsiTheme="minorEastAsia"/>
          <w:sz w:val="24"/>
          <w:szCs w:val="24"/>
        </w:rPr>
      </w:pPr>
      <w:r>
        <w:rPr>
          <w:rFonts w:hint="eastAsia" w:asciiTheme="minorEastAsia" w:hAnsiTheme="minorEastAsia"/>
          <w:sz w:val="24"/>
          <w:szCs w:val="24"/>
        </w:rPr>
        <w:t xml:space="preserve"> </w:t>
      </w:r>
      <w:r>
        <w:rPr>
          <w:rFonts w:asciiTheme="minorEastAsia" w:hAnsiTheme="minorEastAsia"/>
          <w:sz w:val="24"/>
          <w:szCs w:val="24"/>
        </w:rPr>
        <w:t xml:space="preserve"> </w:t>
      </w:r>
      <w:r>
        <w:rPr>
          <w:rFonts w:hint="eastAsia" w:asciiTheme="minorEastAsia" w:hAnsiTheme="minorEastAsia"/>
          <w:sz w:val="24"/>
          <w:szCs w:val="24"/>
        </w:rPr>
        <w:t>工作量清单</w:t>
      </w:r>
    </w:p>
    <w:tbl>
      <w:tblPr>
        <w:tblStyle w:val="6"/>
        <w:tblW w:w="8359" w:type="dxa"/>
        <w:tblInd w:w="0" w:type="dxa"/>
        <w:tblLayout w:type="autofit"/>
        <w:tblCellMar>
          <w:top w:w="0" w:type="dxa"/>
          <w:left w:w="108" w:type="dxa"/>
          <w:bottom w:w="0" w:type="dxa"/>
          <w:right w:w="108" w:type="dxa"/>
        </w:tblCellMar>
      </w:tblPr>
      <w:tblGrid>
        <w:gridCol w:w="696"/>
        <w:gridCol w:w="2616"/>
        <w:gridCol w:w="3336"/>
        <w:gridCol w:w="696"/>
        <w:gridCol w:w="1015"/>
      </w:tblGrid>
      <w:tr>
        <w:tblPrEx>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序号</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运维服务内容</w:t>
            </w:r>
          </w:p>
        </w:tc>
        <w:tc>
          <w:tcPr>
            <w:tcW w:w="0" w:type="auto"/>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数量</w:t>
            </w:r>
          </w:p>
        </w:tc>
        <w:tc>
          <w:tcPr>
            <w:tcW w:w="10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单位</w:t>
            </w:r>
          </w:p>
        </w:tc>
      </w:tr>
      <w:tr>
        <w:tblPrEx>
          <w:tblCellMar>
            <w:top w:w="0" w:type="dxa"/>
            <w:left w:w="108" w:type="dxa"/>
            <w:bottom w:w="0" w:type="dxa"/>
            <w:right w:w="108" w:type="dxa"/>
          </w:tblCellMar>
        </w:tblPrEx>
        <w:trPr>
          <w:trHeight w:val="278"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高清图像监控外场设备</w:t>
            </w:r>
          </w:p>
        </w:tc>
        <w:tc>
          <w:tcPr>
            <w:tcW w:w="0" w:type="auto"/>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高清摄像机（含AC24V电源）</w:t>
            </w:r>
          </w:p>
        </w:tc>
        <w:tc>
          <w:tcPr>
            <w:tcW w:w="0" w:type="auto"/>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877</w:t>
            </w:r>
          </w:p>
        </w:tc>
        <w:tc>
          <w:tcPr>
            <w:tcW w:w="10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27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firstLine="424" w:firstLineChars="177"/>
              <w:rPr>
                <w:rFonts w:asciiTheme="minorEastAsia" w:hAnsiTheme="minorEastAsia"/>
                <w:sz w:val="24"/>
                <w:szCs w:val="24"/>
              </w:rPr>
            </w:pPr>
          </w:p>
        </w:tc>
        <w:tc>
          <w:tcPr>
            <w:tcW w:w="0" w:type="auto"/>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高清镜头</w:t>
            </w:r>
          </w:p>
        </w:tc>
        <w:tc>
          <w:tcPr>
            <w:tcW w:w="0" w:type="auto"/>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877</w:t>
            </w:r>
          </w:p>
        </w:tc>
        <w:tc>
          <w:tcPr>
            <w:tcW w:w="10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套</w:t>
            </w:r>
          </w:p>
        </w:tc>
      </w:tr>
      <w:tr>
        <w:tblPrEx>
          <w:tblCellMar>
            <w:top w:w="0" w:type="dxa"/>
            <w:left w:w="108" w:type="dxa"/>
            <w:bottom w:w="0" w:type="dxa"/>
            <w:right w:w="108" w:type="dxa"/>
          </w:tblCellMar>
        </w:tblPrEx>
        <w:trPr>
          <w:trHeight w:val="27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firstLine="424" w:firstLineChars="177"/>
              <w:rPr>
                <w:rFonts w:asciiTheme="minorEastAsia" w:hAnsiTheme="minorEastAsia"/>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人脸识别摄像机</w:t>
            </w:r>
          </w:p>
        </w:tc>
        <w:tc>
          <w:tcPr>
            <w:tcW w:w="0" w:type="auto"/>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74</w:t>
            </w:r>
          </w:p>
        </w:tc>
        <w:tc>
          <w:tcPr>
            <w:tcW w:w="10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27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firstLine="424" w:firstLineChars="177"/>
              <w:rPr>
                <w:rFonts w:asciiTheme="minorEastAsia" w:hAnsiTheme="minorEastAsia"/>
                <w:sz w:val="24"/>
                <w:szCs w:val="24"/>
              </w:rPr>
            </w:pPr>
          </w:p>
        </w:tc>
        <w:tc>
          <w:tcPr>
            <w:tcW w:w="0" w:type="auto"/>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高清镜头</w:t>
            </w:r>
          </w:p>
        </w:tc>
        <w:tc>
          <w:tcPr>
            <w:tcW w:w="0" w:type="auto"/>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74</w:t>
            </w:r>
          </w:p>
        </w:tc>
        <w:tc>
          <w:tcPr>
            <w:tcW w:w="10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套</w:t>
            </w:r>
          </w:p>
        </w:tc>
      </w:tr>
      <w:tr>
        <w:tblPrEx>
          <w:tblCellMar>
            <w:top w:w="0" w:type="dxa"/>
            <w:left w:w="108" w:type="dxa"/>
            <w:bottom w:w="0" w:type="dxa"/>
            <w:right w:w="108" w:type="dxa"/>
          </w:tblCellMar>
        </w:tblPrEx>
        <w:trPr>
          <w:trHeight w:val="27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firstLine="424" w:firstLineChars="177"/>
              <w:rPr>
                <w:rFonts w:asciiTheme="minorEastAsia" w:hAnsiTheme="minorEastAsia"/>
                <w:sz w:val="24"/>
                <w:szCs w:val="24"/>
              </w:rPr>
            </w:pPr>
          </w:p>
        </w:tc>
        <w:tc>
          <w:tcPr>
            <w:tcW w:w="0" w:type="auto"/>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防护罩</w:t>
            </w:r>
          </w:p>
        </w:tc>
        <w:tc>
          <w:tcPr>
            <w:tcW w:w="0" w:type="auto"/>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56</w:t>
            </w:r>
          </w:p>
        </w:tc>
        <w:tc>
          <w:tcPr>
            <w:tcW w:w="10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套</w:t>
            </w:r>
          </w:p>
        </w:tc>
      </w:tr>
      <w:tr>
        <w:tblPrEx>
          <w:tblCellMar>
            <w:top w:w="0" w:type="dxa"/>
            <w:left w:w="108" w:type="dxa"/>
            <w:bottom w:w="0" w:type="dxa"/>
            <w:right w:w="108" w:type="dxa"/>
          </w:tblCellMar>
        </w:tblPrEx>
        <w:trPr>
          <w:trHeight w:val="27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firstLine="424" w:firstLineChars="177"/>
              <w:rPr>
                <w:rFonts w:asciiTheme="minorEastAsia" w:hAnsiTheme="minorEastAsia"/>
                <w:sz w:val="24"/>
                <w:szCs w:val="24"/>
              </w:rPr>
            </w:pPr>
          </w:p>
        </w:tc>
        <w:tc>
          <w:tcPr>
            <w:tcW w:w="0" w:type="auto"/>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信号防雷器</w:t>
            </w:r>
          </w:p>
        </w:tc>
        <w:tc>
          <w:tcPr>
            <w:tcW w:w="0" w:type="auto"/>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951</w:t>
            </w:r>
          </w:p>
        </w:tc>
        <w:tc>
          <w:tcPr>
            <w:tcW w:w="10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套</w:t>
            </w:r>
          </w:p>
        </w:tc>
      </w:tr>
      <w:tr>
        <w:tblPrEx>
          <w:tblCellMar>
            <w:top w:w="0" w:type="dxa"/>
            <w:left w:w="108" w:type="dxa"/>
            <w:bottom w:w="0" w:type="dxa"/>
            <w:right w:w="108" w:type="dxa"/>
          </w:tblCellMar>
        </w:tblPrEx>
        <w:trPr>
          <w:trHeight w:val="27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firstLine="424" w:firstLineChars="177"/>
              <w:rPr>
                <w:rFonts w:asciiTheme="minorEastAsia" w:hAnsiTheme="minorEastAsia"/>
                <w:sz w:val="24"/>
                <w:szCs w:val="24"/>
              </w:rPr>
            </w:pPr>
          </w:p>
        </w:tc>
        <w:tc>
          <w:tcPr>
            <w:tcW w:w="0" w:type="auto"/>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电源防雷器</w:t>
            </w:r>
          </w:p>
        </w:tc>
        <w:tc>
          <w:tcPr>
            <w:tcW w:w="0" w:type="auto"/>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951</w:t>
            </w:r>
          </w:p>
        </w:tc>
        <w:tc>
          <w:tcPr>
            <w:tcW w:w="10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套</w:t>
            </w:r>
          </w:p>
        </w:tc>
      </w:tr>
      <w:tr>
        <w:tblPrEx>
          <w:tblCellMar>
            <w:top w:w="0" w:type="dxa"/>
            <w:left w:w="108" w:type="dxa"/>
            <w:bottom w:w="0" w:type="dxa"/>
            <w:right w:w="108" w:type="dxa"/>
          </w:tblCellMar>
        </w:tblPrEx>
        <w:trPr>
          <w:trHeight w:val="27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firstLine="424" w:firstLineChars="177"/>
              <w:rPr>
                <w:rFonts w:asciiTheme="minorEastAsia" w:hAnsiTheme="minorEastAsia"/>
                <w:sz w:val="24"/>
                <w:szCs w:val="24"/>
              </w:rPr>
            </w:pPr>
          </w:p>
        </w:tc>
        <w:tc>
          <w:tcPr>
            <w:tcW w:w="0" w:type="auto"/>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光端机</w:t>
            </w:r>
          </w:p>
        </w:tc>
        <w:tc>
          <w:tcPr>
            <w:tcW w:w="0" w:type="auto"/>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74</w:t>
            </w:r>
          </w:p>
        </w:tc>
        <w:tc>
          <w:tcPr>
            <w:tcW w:w="10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CellMar>
            <w:top w:w="0" w:type="dxa"/>
            <w:left w:w="108" w:type="dxa"/>
            <w:bottom w:w="0" w:type="dxa"/>
            <w:right w:w="108" w:type="dxa"/>
          </w:tblCellMar>
        </w:tblPrEx>
        <w:trPr>
          <w:trHeight w:val="27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ind w:firstLine="424" w:firstLineChars="177"/>
              <w:rPr>
                <w:rFonts w:asciiTheme="minorEastAsia" w:hAnsiTheme="minorEastAsia"/>
                <w:sz w:val="24"/>
                <w:szCs w:val="24"/>
              </w:rPr>
            </w:pPr>
          </w:p>
        </w:tc>
        <w:tc>
          <w:tcPr>
            <w:tcW w:w="0" w:type="auto"/>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MDU</w:t>
            </w:r>
          </w:p>
        </w:tc>
        <w:tc>
          <w:tcPr>
            <w:tcW w:w="0" w:type="auto"/>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877</w:t>
            </w:r>
          </w:p>
        </w:tc>
        <w:tc>
          <w:tcPr>
            <w:tcW w:w="101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bl>
    <w:p>
      <w:pPr>
        <w:adjustRightInd w:val="0"/>
        <w:snapToGrid w:val="0"/>
        <w:spacing w:line="360" w:lineRule="auto"/>
        <w:ind w:firstLine="424" w:firstLineChars="177"/>
        <w:rPr>
          <w:rFonts w:asciiTheme="minorEastAsia" w:hAnsiTheme="minorEastAsia"/>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681"/>
        <w:gridCol w:w="2517"/>
        <w:gridCol w:w="2496"/>
        <w:gridCol w:w="644"/>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序号</w:t>
            </w:r>
          </w:p>
        </w:tc>
        <w:tc>
          <w:tcPr>
            <w:tcW w:w="0" w:type="auto"/>
            <w:gridSpan w:val="2"/>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运维服务内容</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规格型号</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数量</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0" w:type="auto"/>
            <w:vMerge w:val="restar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w:t>
            </w:r>
          </w:p>
        </w:tc>
        <w:tc>
          <w:tcPr>
            <w:tcW w:w="0" w:type="auto"/>
            <w:vMerge w:val="restar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违停外场设备维护保养</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球形高清摄像机（含AC24V电源）</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DH-SD6AXY-ABCD</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48</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抓拍主机</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JJ-WTZP</w:t>
            </w:r>
          </w:p>
        </w:tc>
        <w:tc>
          <w:tcPr>
            <w:tcW w:w="0" w:type="auto"/>
            <w:vAlign w:val="center"/>
          </w:tcPr>
          <w:p>
            <w:pPr>
              <w:adjustRightInd w:val="0"/>
              <w:snapToGrid w:val="0"/>
              <w:spacing w:line="360" w:lineRule="auto"/>
              <w:rPr>
                <w:rFonts w:asciiTheme="minorEastAsia" w:hAnsiTheme="minorEastAsia"/>
                <w:sz w:val="24"/>
                <w:szCs w:val="24"/>
              </w:rPr>
            </w:pPr>
            <w:r>
              <w:rPr>
                <w:rFonts w:asciiTheme="minorEastAsia" w:hAnsiTheme="minorEastAsia"/>
                <w:sz w:val="24"/>
                <w:szCs w:val="24"/>
              </w:rPr>
              <w:t>583</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信号防雷器</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ETRJ45-100B-CAT6</w:t>
            </w:r>
          </w:p>
        </w:tc>
        <w:tc>
          <w:tcPr>
            <w:tcW w:w="0" w:type="auto"/>
            <w:vAlign w:val="center"/>
          </w:tcPr>
          <w:p>
            <w:pPr>
              <w:adjustRightInd w:val="0"/>
              <w:snapToGrid w:val="0"/>
              <w:spacing w:line="360" w:lineRule="auto"/>
              <w:rPr>
                <w:rFonts w:asciiTheme="minorEastAsia" w:hAnsiTheme="minorEastAsia"/>
                <w:sz w:val="24"/>
                <w:szCs w:val="24"/>
              </w:rPr>
            </w:pPr>
            <w:r>
              <w:rPr>
                <w:rFonts w:asciiTheme="minorEastAsia" w:hAnsiTheme="minorEastAsia"/>
                <w:sz w:val="24"/>
                <w:szCs w:val="24"/>
              </w:rPr>
              <w:t>758</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光纤收发器</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FTM-400</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48</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光纤收发器机箱</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HL-JX/300</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3</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数字高清球机（含AC24V电源）</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DH-SD-9A23-HNI</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535</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枪型抓拍摄像单元</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DH-CP602-RU1A</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133</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定焦镜头</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OPT-11C12M-8MP</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133</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补光灯</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DH-ITALE-080BA</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266</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其他违法行为抓拍主机</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DH-ITESE0804-GN5B-D</w:t>
            </w:r>
          </w:p>
        </w:tc>
        <w:tc>
          <w:tcPr>
            <w:tcW w:w="0" w:type="auto"/>
            <w:vAlign w:val="center"/>
          </w:tcPr>
          <w:p>
            <w:pPr>
              <w:adjustRightInd w:val="0"/>
              <w:snapToGrid w:val="0"/>
              <w:spacing w:line="360" w:lineRule="auto"/>
              <w:rPr>
                <w:rFonts w:asciiTheme="minorEastAsia" w:hAnsiTheme="minorEastAsia"/>
                <w:sz w:val="24"/>
                <w:szCs w:val="24"/>
              </w:rPr>
            </w:pPr>
            <w:r>
              <w:rPr>
                <w:rFonts w:asciiTheme="minorEastAsia" w:hAnsiTheme="minorEastAsia"/>
                <w:sz w:val="24"/>
                <w:szCs w:val="24"/>
              </w:rPr>
              <w:t>171</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前端MDU</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MA5621A</w:t>
            </w:r>
          </w:p>
        </w:tc>
        <w:tc>
          <w:tcPr>
            <w:tcW w:w="0" w:type="auto"/>
            <w:vAlign w:val="center"/>
          </w:tcPr>
          <w:p>
            <w:pPr>
              <w:adjustRightInd w:val="0"/>
              <w:snapToGrid w:val="0"/>
              <w:spacing w:line="360" w:lineRule="auto"/>
              <w:rPr>
                <w:rFonts w:asciiTheme="minorEastAsia" w:hAnsiTheme="minorEastAsia"/>
                <w:sz w:val="24"/>
                <w:szCs w:val="24"/>
              </w:rPr>
            </w:pPr>
            <w:r>
              <w:rPr>
                <w:rFonts w:asciiTheme="minorEastAsia" w:hAnsiTheme="minorEastAsia"/>
                <w:sz w:val="24"/>
                <w:szCs w:val="24"/>
              </w:rPr>
              <w:t>808</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restar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行人、非机动车闯红灯抓拍单元</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DH-CP902</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41</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OPT-11C1040M-9M</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41</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8018</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41</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交通灯信号检测器</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DH-ITASD-016RA</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27</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restar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十三合一电子警察抓拍单元</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DH-CP902</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34</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OPT-11C1040M-9M</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34</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8018</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34</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全局摄像机</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DH-CP602-RU1A</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4</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高清摄像机镜头</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HS5VP814ED-ME</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4</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高清网络智能枪机</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DH-CP602-RU1A</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100</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高清摄像机镜头</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HS5VP814ED-ME</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100</w:t>
            </w:r>
          </w:p>
        </w:tc>
        <w:tc>
          <w:tcPr>
            <w:tcW w:w="0" w:type="auto"/>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bl>
    <w:p>
      <w:pPr>
        <w:adjustRightInd w:val="0"/>
        <w:snapToGrid w:val="0"/>
        <w:spacing w:line="360" w:lineRule="auto"/>
        <w:ind w:firstLine="424" w:firstLineChars="177"/>
        <w:rPr>
          <w:rFonts w:asciiTheme="minorEastAsia" w:hAnsiTheme="minorEastAsia"/>
          <w:sz w:val="24"/>
          <w:szCs w:val="24"/>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44"/>
        <w:gridCol w:w="2628"/>
        <w:gridCol w:w="3096"/>
        <w:gridCol w:w="915"/>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67"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序号</w:t>
            </w:r>
          </w:p>
        </w:tc>
        <w:tc>
          <w:tcPr>
            <w:tcW w:w="2253" w:type="pct"/>
            <w:gridSpan w:val="2"/>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运维服务内容</w:t>
            </w:r>
          </w:p>
        </w:tc>
        <w:tc>
          <w:tcPr>
            <w:tcW w:w="1385"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规格型号</w:t>
            </w:r>
          </w:p>
        </w:tc>
        <w:tc>
          <w:tcPr>
            <w:tcW w:w="645"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数量</w:t>
            </w:r>
          </w:p>
        </w:tc>
        <w:tc>
          <w:tcPr>
            <w:tcW w:w="4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67" w:type="pct"/>
            <w:vMerge w:val="restar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w:t>
            </w:r>
          </w:p>
        </w:tc>
        <w:tc>
          <w:tcPr>
            <w:tcW w:w="603" w:type="pct"/>
            <w:vMerge w:val="restar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长宁区公共安全视频监控建设联网应用项目外场设备维护保养</w:t>
            </w:r>
          </w:p>
        </w:tc>
        <w:tc>
          <w:tcPr>
            <w:tcW w:w="16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200万像素智能枪机（人脸、车辆并行抓拍）</w:t>
            </w:r>
          </w:p>
        </w:tc>
        <w:tc>
          <w:tcPr>
            <w:tcW w:w="1385"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DH-IPC-HF9820P-I</w:t>
            </w:r>
          </w:p>
        </w:tc>
        <w:tc>
          <w:tcPr>
            <w:tcW w:w="645" w:type="pct"/>
            <w:vAlign w:val="center"/>
          </w:tcPr>
          <w:p>
            <w:pPr>
              <w:adjustRightInd w:val="0"/>
              <w:snapToGrid w:val="0"/>
              <w:spacing w:line="360" w:lineRule="auto"/>
              <w:rPr>
                <w:rFonts w:asciiTheme="minorEastAsia" w:hAnsiTheme="minorEastAsia"/>
                <w:sz w:val="24"/>
                <w:szCs w:val="24"/>
              </w:rPr>
            </w:pPr>
            <w:r>
              <w:rPr>
                <w:rFonts w:asciiTheme="minorEastAsia" w:hAnsiTheme="minorEastAsia"/>
                <w:sz w:val="24"/>
                <w:szCs w:val="24"/>
              </w:rPr>
              <w:t>2787</w:t>
            </w:r>
          </w:p>
        </w:tc>
        <w:tc>
          <w:tcPr>
            <w:tcW w:w="4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67" w:type="pct"/>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603" w:type="pct"/>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16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高清镜头1</w:t>
            </w:r>
          </w:p>
        </w:tc>
        <w:tc>
          <w:tcPr>
            <w:tcW w:w="1385"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DH-OPT-117F10542D-IR12MP</w:t>
            </w:r>
          </w:p>
        </w:tc>
        <w:tc>
          <w:tcPr>
            <w:tcW w:w="645" w:type="pct"/>
            <w:vAlign w:val="center"/>
          </w:tcPr>
          <w:p>
            <w:pPr>
              <w:adjustRightInd w:val="0"/>
              <w:snapToGrid w:val="0"/>
              <w:spacing w:line="360" w:lineRule="auto"/>
              <w:rPr>
                <w:rFonts w:asciiTheme="minorEastAsia" w:hAnsiTheme="minorEastAsia"/>
                <w:sz w:val="24"/>
                <w:szCs w:val="24"/>
              </w:rPr>
            </w:pPr>
            <w:r>
              <w:rPr>
                <w:rFonts w:asciiTheme="minorEastAsia" w:hAnsiTheme="minorEastAsia"/>
                <w:sz w:val="24"/>
                <w:szCs w:val="24"/>
              </w:rPr>
              <w:t>1587</w:t>
            </w:r>
          </w:p>
        </w:tc>
        <w:tc>
          <w:tcPr>
            <w:tcW w:w="4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67" w:type="pct"/>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603" w:type="pct"/>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16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万向节</w:t>
            </w:r>
          </w:p>
        </w:tc>
        <w:tc>
          <w:tcPr>
            <w:tcW w:w="1385"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8018</w:t>
            </w:r>
          </w:p>
        </w:tc>
        <w:tc>
          <w:tcPr>
            <w:tcW w:w="645"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1864</w:t>
            </w:r>
          </w:p>
        </w:tc>
        <w:tc>
          <w:tcPr>
            <w:tcW w:w="4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67" w:type="pct"/>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603" w:type="pct"/>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16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200万像素智能球机</w:t>
            </w:r>
          </w:p>
        </w:tc>
        <w:tc>
          <w:tcPr>
            <w:tcW w:w="1385"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DH-SD-9A23-HNI</w:t>
            </w:r>
          </w:p>
        </w:tc>
        <w:tc>
          <w:tcPr>
            <w:tcW w:w="645"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285</w:t>
            </w:r>
          </w:p>
        </w:tc>
        <w:tc>
          <w:tcPr>
            <w:tcW w:w="4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67" w:type="pct"/>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603" w:type="pct"/>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16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网络防雷器</w:t>
            </w:r>
          </w:p>
        </w:tc>
        <w:tc>
          <w:tcPr>
            <w:tcW w:w="1385"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无</w:t>
            </w:r>
          </w:p>
        </w:tc>
        <w:tc>
          <w:tcPr>
            <w:tcW w:w="645"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2149</w:t>
            </w:r>
          </w:p>
        </w:tc>
        <w:tc>
          <w:tcPr>
            <w:tcW w:w="4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67" w:type="pct"/>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603" w:type="pct"/>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16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800万像素智能枪机（人脸、车辆并行抓拍）</w:t>
            </w:r>
          </w:p>
        </w:tc>
        <w:tc>
          <w:tcPr>
            <w:tcW w:w="1385"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DH-IPC-HF9880P-I</w:t>
            </w:r>
          </w:p>
        </w:tc>
        <w:tc>
          <w:tcPr>
            <w:tcW w:w="645" w:type="pct"/>
            <w:vAlign w:val="center"/>
          </w:tcPr>
          <w:p>
            <w:pPr>
              <w:adjustRightInd w:val="0"/>
              <w:snapToGrid w:val="0"/>
              <w:spacing w:line="360" w:lineRule="auto"/>
              <w:rPr>
                <w:rFonts w:asciiTheme="minorEastAsia" w:hAnsiTheme="minorEastAsia"/>
                <w:sz w:val="24"/>
                <w:szCs w:val="24"/>
              </w:rPr>
            </w:pPr>
            <w:r>
              <w:rPr>
                <w:rFonts w:asciiTheme="minorEastAsia" w:hAnsiTheme="minorEastAsia"/>
                <w:sz w:val="24"/>
                <w:szCs w:val="24"/>
              </w:rPr>
              <w:t>1629</w:t>
            </w:r>
          </w:p>
        </w:tc>
        <w:tc>
          <w:tcPr>
            <w:tcW w:w="4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67" w:type="pct"/>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603" w:type="pct"/>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16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高清镜头1</w:t>
            </w:r>
          </w:p>
        </w:tc>
        <w:tc>
          <w:tcPr>
            <w:tcW w:w="1385"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HS5VP814ED-ME</w:t>
            </w:r>
          </w:p>
        </w:tc>
        <w:tc>
          <w:tcPr>
            <w:tcW w:w="645"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1200</w:t>
            </w:r>
          </w:p>
        </w:tc>
        <w:tc>
          <w:tcPr>
            <w:tcW w:w="4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67" w:type="pct"/>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603" w:type="pct"/>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16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高清镜头2</w:t>
            </w:r>
          </w:p>
        </w:tc>
        <w:tc>
          <w:tcPr>
            <w:tcW w:w="1385"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HS5VP814ED-M（U）</w:t>
            </w:r>
          </w:p>
        </w:tc>
        <w:tc>
          <w:tcPr>
            <w:tcW w:w="645" w:type="pct"/>
            <w:vAlign w:val="center"/>
          </w:tcPr>
          <w:p>
            <w:pPr>
              <w:adjustRightInd w:val="0"/>
              <w:snapToGrid w:val="0"/>
              <w:spacing w:line="360" w:lineRule="auto"/>
              <w:rPr>
                <w:rFonts w:asciiTheme="minorEastAsia" w:hAnsiTheme="minorEastAsia"/>
                <w:sz w:val="24"/>
                <w:szCs w:val="24"/>
              </w:rPr>
            </w:pPr>
            <w:r>
              <w:rPr>
                <w:rFonts w:asciiTheme="minorEastAsia" w:hAnsiTheme="minorEastAsia"/>
                <w:sz w:val="24"/>
                <w:szCs w:val="24"/>
              </w:rPr>
              <w:t>1629</w:t>
            </w:r>
          </w:p>
        </w:tc>
        <w:tc>
          <w:tcPr>
            <w:tcW w:w="4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67" w:type="pct"/>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603" w:type="pct"/>
            <w:vMerge w:val="continue"/>
            <w:vAlign w:val="center"/>
          </w:tcPr>
          <w:p>
            <w:pPr>
              <w:adjustRightInd w:val="0"/>
              <w:snapToGrid w:val="0"/>
              <w:spacing w:line="360" w:lineRule="auto"/>
              <w:ind w:firstLine="424" w:firstLineChars="177"/>
              <w:rPr>
                <w:rFonts w:asciiTheme="minorEastAsia" w:hAnsiTheme="minorEastAsia"/>
                <w:sz w:val="24"/>
                <w:szCs w:val="24"/>
              </w:rPr>
            </w:pPr>
          </w:p>
        </w:tc>
        <w:tc>
          <w:tcPr>
            <w:tcW w:w="16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200万高速智能球机（含支架）</w:t>
            </w:r>
          </w:p>
        </w:tc>
        <w:tc>
          <w:tcPr>
            <w:tcW w:w="1385"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DH-SD948-HNA</w:t>
            </w:r>
          </w:p>
        </w:tc>
        <w:tc>
          <w:tcPr>
            <w:tcW w:w="645"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6</w:t>
            </w:r>
          </w:p>
        </w:tc>
        <w:tc>
          <w:tcPr>
            <w:tcW w:w="450" w:type="pct"/>
            <w:vAlign w:val="center"/>
          </w:tcPr>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台</w:t>
            </w:r>
          </w:p>
        </w:tc>
      </w:tr>
    </w:tbl>
    <w:p>
      <w:pPr>
        <w:adjustRightInd w:val="0"/>
        <w:snapToGrid w:val="0"/>
        <w:spacing w:line="360" w:lineRule="auto"/>
        <w:rPr>
          <w:rFonts w:asciiTheme="minorEastAsia" w:hAnsiTheme="minorEastAsia"/>
          <w:sz w:val="24"/>
          <w:szCs w:val="24"/>
        </w:rPr>
      </w:pPr>
    </w:p>
    <w:p>
      <w:pPr>
        <w:spacing w:line="500" w:lineRule="exact"/>
        <w:rPr>
          <w:rFonts w:asciiTheme="minorEastAsia" w:hAnsiTheme="minorEastAsia"/>
          <w:b/>
          <w:sz w:val="24"/>
          <w:szCs w:val="24"/>
        </w:rPr>
      </w:pPr>
      <w:r>
        <w:rPr>
          <w:rFonts w:hint="eastAsia" w:asciiTheme="minorEastAsia" w:hAnsiTheme="minorEastAsia"/>
          <w:b/>
          <w:sz w:val="24"/>
          <w:szCs w:val="24"/>
        </w:rPr>
        <w:t>3、保密要求、知识产权、工作纪律要求</w:t>
      </w:r>
    </w:p>
    <w:p>
      <w:pPr>
        <w:adjustRightInd w:val="0"/>
        <w:snapToGrid w:val="0"/>
        <w:spacing w:line="360" w:lineRule="auto"/>
        <w:ind w:firstLine="420"/>
        <w:rPr>
          <w:rFonts w:asciiTheme="minorEastAsia" w:hAnsiTheme="minorEastAsia"/>
          <w:sz w:val="24"/>
        </w:rPr>
      </w:pPr>
      <w:r>
        <w:rPr>
          <w:rFonts w:hint="eastAsia" w:cs="Times New Roman" w:asciiTheme="minorEastAsia" w:hAnsiTheme="minorEastAsia"/>
          <w:sz w:val="24"/>
        </w:rPr>
        <w:t>3.1  如果甲方或乙方提供的内容属于保密的，应签订保密协议，甲乙双方均有保密义务。</w:t>
      </w:r>
    </w:p>
    <w:p>
      <w:pPr>
        <w:adjustRightInd w:val="0"/>
        <w:snapToGrid w:val="0"/>
        <w:spacing w:line="360" w:lineRule="auto"/>
        <w:ind w:firstLine="420"/>
        <w:rPr>
          <w:rFonts w:asciiTheme="minorEastAsia" w:hAnsiTheme="minorEastAsia"/>
          <w:sz w:val="24"/>
        </w:rPr>
      </w:pPr>
      <w:r>
        <w:rPr>
          <w:rFonts w:hint="eastAsia" w:cs="Times New Roman" w:asciiTheme="minorEastAsia" w:hAnsiTheme="minorEastAsia"/>
          <w:sz w:val="24"/>
        </w:rPr>
        <w:t>3.2  保密期限由保密内容提供方确定，保密期限届满后，保密内容公开时，应书面征得保密内容提供方同意。</w:t>
      </w:r>
    </w:p>
    <w:p>
      <w:pPr>
        <w:adjustRightInd w:val="0"/>
        <w:snapToGrid w:val="0"/>
        <w:spacing w:line="360" w:lineRule="auto"/>
        <w:ind w:firstLine="420"/>
        <w:rPr>
          <w:rFonts w:asciiTheme="minorEastAsia" w:hAnsiTheme="minorEastAsia"/>
          <w:sz w:val="24"/>
        </w:rPr>
      </w:pPr>
      <w:r>
        <w:rPr>
          <w:rFonts w:hint="eastAsia" w:cs="Times New Roman" w:asciiTheme="minorEastAsia" w:hAnsiTheme="minorEastAsia"/>
          <w:sz w:val="24"/>
        </w:rPr>
        <w:t>3.3  甲方委托开发软件的知识产权归甲方所有。乙方向甲方交付使用的信息系统已享有知识产权的，甲方可在合同文件明确的范围内自主使用。信息系统中所有文档资料和数据、收集和储存的个人信息所有权均属于甲方，未经甲方允许不得访问、修改、披露、利用、转让、销毁。</w:t>
      </w:r>
    </w:p>
    <w:p>
      <w:pPr>
        <w:pStyle w:val="2"/>
        <w:rPr>
          <w:rFonts w:asciiTheme="minorEastAsia" w:hAnsiTheme="minorEastAsia" w:eastAsiaTheme="minorEastAsia"/>
        </w:rPr>
      </w:pPr>
    </w:p>
    <w:p>
      <w:pPr>
        <w:spacing w:line="500" w:lineRule="exact"/>
        <w:rPr>
          <w:rFonts w:asciiTheme="minorEastAsia" w:hAnsiTheme="minorEastAsia"/>
          <w:b/>
          <w:sz w:val="24"/>
          <w:szCs w:val="24"/>
        </w:rPr>
      </w:pPr>
      <w:r>
        <w:rPr>
          <w:rFonts w:hint="eastAsia" w:asciiTheme="minorEastAsia" w:hAnsiTheme="minorEastAsia"/>
          <w:b/>
          <w:sz w:val="24"/>
          <w:szCs w:val="24"/>
        </w:rPr>
        <w:t>4、项目验收、售后服务、质保要求及违约罚则</w:t>
      </w:r>
    </w:p>
    <w:p>
      <w:pPr>
        <w:adjustRightInd w:val="0"/>
        <w:snapToGrid w:val="0"/>
        <w:spacing w:line="360" w:lineRule="auto"/>
        <w:ind w:firstLine="420"/>
        <w:rPr>
          <w:rFonts w:asciiTheme="minorEastAsia" w:hAnsiTheme="minorEastAsia"/>
          <w:sz w:val="24"/>
          <w:szCs w:val="24"/>
        </w:rPr>
      </w:pPr>
      <w:r>
        <w:rPr>
          <w:rFonts w:hint="eastAsia" w:asciiTheme="minorEastAsia" w:hAnsiTheme="minorEastAsia"/>
          <w:sz w:val="24"/>
          <w:szCs w:val="24"/>
        </w:rPr>
        <w:t>4.1</w:t>
      </w:r>
      <w:r>
        <w:rPr>
          <w:rFonts w:asciiTheme="minorEastAsia" w:hAnsiTheme="minorEastAsia"/>
          <w:sz w:val="24"/>
          <w:szCs w:val="24"/>
        </w:rPr>
        <w:t xml:space="preserve">  </w:t>
      </w:r>
      <w:r>
        <w:rPr>
          <w:rFonts w:hint="eastAsia" w:asciiTheme="minorEastAsia" w:hAnsiTheme="minorEastAsia"/>
          <w:sz w:val="24"/>
          <w:szCs w:val="24"/>
        </w:rPr>
        <w:t>绩效考核要求。</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面向市局图像相关月度考核任务，每月考核成绩要达到以下指标：（1）视频基础数据采集建档情况100%；（2）部省联网平台监控图像上传情况99%；（3）视频联网系统已建档智能点位上云率100%；（4）视频联网系统子系统接口稳定性99.9%（6）视频联网系统及时修复率100%；（7）视频联网系统点位在线率99.7%；(8) 视频联网系统录像可用性99.5%；（明确因内场运维原因造成不达标的情况除外）。</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根据运维管理规定、运维流程的要求，运维单位在运维工作期间，未按照合同要求完成相应工作（包括考核指标不达标、接单超时、应急响应/设备维修/故障处理超时、漏洞未按时修复、工作记录提交超时、基础资料提交不完整、安全管理混乱等），招标方将会同运维监理视情节严重程度向运维单位予以警告或罚款，并开具整改通知书：</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收到整改通知书后，运维单位应于两个工作日内提交整改报告；运维单位除按要求提交整改报告外，罚款3000元，由运维经费中扣除；三次以上（含三次）收到整改通知书，运维单位每次罚款5000元，同时招标方可正式书面函告运维单位，并有权终止运维合同，取消运维单位今后参与分局各项运维工作的资格。另外，按照分局整体运维要求，无特殊原因维修超时的工单，每个工单（不含重复点位）扣罚500元人民币，每个黑名工单扣罚2000元人民币。</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运维单位技术人员违反安全管理规定，应当责令其工作单位将其带回，依照有关规定进行处罚，情节严重的应根据国家有关法律、法规，追究相应的法律责任，并另行安排技术人员顶替其工作；运维单位违反安全管理规定的，招标方有权依照有关规定进行处罚，情节严重的应立即终止合同，并根据国家有关法律、法规追究相应责任。</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若全年度整体运维情况良好，分局顺利完成市局各项运维考核任务，全市排名靠前，则将对运维项目负责团队予以一定的激励措施。</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4.2</w:t>
      </w:r>
      <w:r>
        <w:rPr>
          <w:rFonts w:asciiTheme="minorEastAsia" w:hAnsiTheme="minorEastAsia"/>
          <w:sz w:val="24"/>
          <w:szCs w:val="24"/>
        </w:rPr>
        <w:t xml:space="preserve">  </w:t>
      </w:r>
      <w:r>
        <w:rPr>
          <w:rFonts w:hint="eastAsia" w:asciiTheme="minorEastAsia" w:hAnsiTheme="minorEastAsia"/>
          <w:sz w:val="24"/>
          <w:szCs w:val="24"/>
        </w:rPr>
        <w:t>质保要求</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投标时，供应商需提供主要备品备件设备（清单中带*设备）原厂商针对本项目的3年原厂质保承诺书。质保承诺需包含原厂商针对本项目的备品备件设备（清单中带*设备）6年内漏洞免费更新，否则免费升级替换相应产品的承诺。</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详见备品备件清单。</w:t>
      </w:r>
    </w:p>
    <w:p>
      <w:pPr>
        <w:pStyle w:val="2"/>
        <w:rPr>
          <w:rFonts w:asciiTheme="minorEastAsia" w:hAnsiTheme="minorEastAsia" w:eastAsiaTheme="minorEastAsia"/>
        </w:rPr>
      </w:pPr>
    </w:p>
    <w:p>
      <w:pPr>
        <w:spacing w:line="500" w:lineRule="exact"/>
        <w:rPr>
          <w:rFonts w:asciiTheme="minorEastAsia" w:hAnsiTheme="minorEastAsia"/>
          <w:b/>
          <w:sz w:val="24"/>
          <w:szCs w:val="24"/>
        </w:rPr>
      </w:pPr>
      <w:r>
        <w:rPr>
          <w:rFonts w:hint="eastAsia" w:asciiTheme="minorEastAsia" w:hAnsiTheme="minorEastAsia"/>
          <w:b/>
          <w:sz w:val="24"/>
          <w:szCs w:val="24"/>
        </w:rPr>
        <w:t>5、付款方式</w:t>
      </w:r>
    </w:p>
    <w:p>
      <w:pPr>
        <w:pStyle w:val="2"/>
        <w:spacing w:line="360" w:lineRule="auto"/>
        <w:ind w:firstLine="480" w:firstLineChars="200"/>
        <w:rPr>
          <w:rFonts w:hint="eastAsia" w:ascii="宋体" w:hAnsi="宋体"/>
          <w:sz w:val="24"/>
          <w:szCs w:val="24"/>
        </w:rPr>
      </w:pPr>
      <w:bookmarkStart w:id="0" w:name="_Hlk165899638"/>
      <w:r>
        <w:rPr>
          <w:rFonts w:hint="eastAsia" w:asciiTheme="minorEastAsia" w:hAnsiTheme="minorEastAsia" w:eastAsiaTheme="minorEastAsia" w:cstheme="minorBidi"/>
          <w:sz w:val="24"/>
          <w:szCs w:val="24"/>
        </w:rPr>
        <w:t>合同签订后二十个工作日内收到乙方提供的正规发票后支付首付款计人民币58万元整；</w:t>
      </w:r>
      <w:bookmarkEnd w:id="0"/>
      <w:r>
        <w:rPr>
          <w:rFonts w:hint="eastAsia" w:asciiTheme="minorEastAsia" w:hAnsiTheme="minorEastAsia" w:eastAsiaTheme="minorEastAsia" w:cstheme="minorBidi"/>
          <w:sz w:val="24"/>
          <w:szCs w:val="24"/>
        </w:rPr>
        <w:t>运维周期超过6个月且运维绩效达标，经用户方和监理方确认后，</w:t>
      </w:r>
      <w:r>
        <w:rPr>
          <w:rFonts w:hint="eastAsia" w:ascii="宋体" w:hAnsi="宋体"/>
          <w:sz w:val="24"/>
          <w:szCs w:val="24"/>
        </w:rPr>
        <w:t>支付合同金额的50%；在整个运维期届满且运维绩效达标，项目完成决算审计后，支付经审定的剩余款项。</w:t>
      </w:r>
    </w:p>
    <w:p>
      <w:pPr>
        <w:pStyle w:val="2"/>
        <w:spacing w:line="360" w:lineRule="auto"/>
        <w:ind w:firstLine="480" w:firstLineChars="200"/>
        <w:rPr>
          <w:rFonts w:hint="eastAsia" w:ascii="宋体" w:hAnsi="宋体"/>
          <w:sz w:val="24"/>
          <w:szCs w:val="24"/>
        </w:rPr>
      </w:pPr>
      <w:r>
        <w:rPr>
          <w:rFonts w:hint="eastAsia" w:ascii="宋体" w:hAnsi="宋体" w:eastAsia="宋体"/>
          <w:sz w:val="24"/>
          <w:szCs w:val="24"/>
        </w:rPr>
        <w:t>（合同履约事宜：采购人和成交供应商应通过完善内部流程缩短合同签订期限，在中标、成交通知书发出之日起30日内，按照采购文件确定的事项签订政府采购合同，在合同中约定资金支付的方式、时间和条件，明确逾期支付资金的违约责任。）</w:t>
      </w:r>
      <w:bookmarkStart w:id="1" w:name="_GoBack"/>
      <w:bookmarkEnd w:id="1"/>
    </w:p>
    <w:p>
      <w:pPr>
        <w:adjustRightInd w:val="0"/>
        <w:spacing w:line="500" w:lineRule="exact"/>
        <w:textAlignment w:val="baseline"/>
        <w:rPr>
          <w:rFonts w:cs="Calibri" w:asciiTheme="minorEastAsia" w:hAnsiTheme="minorEastAsia"/>
          <w:b/>
          <w:bCs/>
          <w:sz w:val="24"/>
          <w:szCs w:val="24"/>
        </w:rPr>
      </w:pPr>
      <w:r>
        <w:rPr>
          <w:rFonts w:hint="eastAsia" w:cs="Calibri" w:asciiTheme="minorEastAsia" w:hAnsiTheme="minorEastAsia"/>
          <w:b/>
          <w:bCs/>
          <w:sz w:val="24"/>
          <w:szCs w:val="24"/>
        </w:rPr>
        <w:t>6、其他说明</w:t>
      </w:r>
    </w:p>
    <w:p>
      <w:pPr>
        <w:ind w:firstLine="480" w:firstLineChars="200"/>
        <w:jc w:val="left"/>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4</w:t>
      </w:r>
      <w:r>
        <w:rPr>
          <w:rFonts w:hint="eastAsia" w:asciiTheme="minorEastAsia" w:hAnsiTheme="minorEastAsia"/>
          <w:sz w:val="24"/>
          <w:szCs w:val="24"/>
        </w:rPr>
        <w:t>年外场运维工作分项</w:t>
      </w:r>
    </w:p>
    <w:tbl>
      <w:tblPr>
        <w:tblStyle w:val="6"/>
        <w:tblW w:w="4952" w:type="pct"/>
        <w:tblInd w:w="0" w:type="dxa"/>
        <w:tblLayout w:type="fixed"/>
        <w:tblCellMar>
          <w:top w:w="0" w:type="dxa"/>
          <w:left w:w="108" w:type="dxa"/>
          <w:bottom w:w="0" w:type="dxa"/>
          <w:right w:w="108" w:type="dxa"/>
        </w:tblCellMar>
      </w:tblPr>
      <w:tblGrid>
        <w:gridCol w:w="470"/>
        <w:gridCol w:w="1418"/>
        <w:gridCol w:w="2188"/>
        <w:gridCol w:w="726"/>
        <w:gridCol w:w="1602"/>
        <w:gridCol w:w="2036"/>
      </w:tblGrid>
      <w:tr>
        <w:tblPrEx>
          <w:tblCellMar>
            <w:top w:w="0" w:type="dxa"/>
            <w:left w:w="108" w:type="dxa"/>
            <w:bottom w:w="0" w:type="dxa"/>
            <w:right w:w="108" w:type="dxa"/>
          </w:tblCellMar>
        </w:tblPrEx>
        <w:trPr>
          <w:trHeight w:val="285" w:hRule="atLeast"/>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序号</w:t>
            </w:r>
          </w:p>
        </w:tc>
        <w:tc>
          <w:tcPr>
            <w:tcW w:w="840" w:type="pct"/>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运维服务内容</w:t>
            </w:r>
          </w:p>
        </w:tc>
        <w:tc>
          <w:tcPr>
            <w:tcW w:w="1296" w:type="pct"/>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内容描述</w:t>
            </w:r>
          </w:p>
        </w:tc>
        <w:tc>
          <w:tcPr>
            <w:tcW w:w="430" w:type="pct"/>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单位</w:t>
            </w:r>
          </w:p>
        </w:tc>
        <w:tc>
          <w:tcPr>
            <w:tcW w:w="949" w:type="pct"/>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预估次数</w:t>
            </w:r>
          </w:p>
        </w:tc>
        <w:tc>
          <w:tcPr>
            <w:tcW w:w="1207" w:type="pct"/>
            <w:tcBorders>
              <w:top w:val="single" w:color="auto" w:sz="4" w:space="0"/>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备注</w:t>
            </w:r>
          </w:p>
        </w:tc>
      </w:tr>
      <w:tr>
        <w:tblPrEx>
          <w:tblCellMar>
            <w:top w:w="0" w:type="dxa"/>
            <w:left w:w="108" w:type="dxa"/>
            <w:bottom w:w="0" w:type="dxa"/>
            <w:right w:w="108" w:type="dxa"/>
          </w:tblCellMar>
        </w:tblPrEx>
        <w:trPr>
          <w:trHeight w:val="1440" w:hRule="atLeast"/>
        </w:trPr>
        <w:tc>
          <w:tcPr>
            <w:tcW w:w="279" w:type="pc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1</w:t>
            </w:r>
          </w:p>
        </w:tc>
        <w:tc>
          <w:tcPr>
            <w:tcW w:w="840"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摄像机故障维修</w:t>
            </w:r>
          </w:p>
        </w:tc>
        <w:tc>
          <w:tcPr>
            <w:tcW w:w="1296"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对高清图像（877路），违停一、二期前端点位（74路）、违停三期前端点位（668路）、违停三期增补工程前端点位（175路）、雪亮一期前端点位（2250路）摄像机、雪亮二期（2808路）日常巡检、维护、维修，确保正常运行（含护罩及标识清洁）</w:t>
            </w:r>
          </w:p>
        </w:tc>
        <w:tc>
          <w:tcPr>
            <w:tcW w:w="430"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次</w:t>
            </w:r>
          </w:p>
        </w:tc>
        <w:tc>
          <w:tcPr>
            <w:tcW w:w="949" w:type="pct"/>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660</w:t>
            </w:r>
          </w:p>
        </w:tc>
        <w:tc>
          <w:tcPr>
            <w:tcW w:w="1207"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本项为整体打包价，超出预估次数不额外计算</w:t>
            </w:r>
          </w:p>
        </w:tc>
      </w:tr>
      <w:tr>
        <w:tblPrEx>
          <w:tblCellMar>
            <w:top w:w="0" w:type="dxa"/>
            <w:left w:w="108" w:type="dxa"/>
            <w:bottom w:w="0" w:type="dxa"/>
            <w:right w:w="108" w:type="dxa"/>
          </w:tblCellMar>
        </w:tblPrEx>
        <w:trPr>
          <w:trHeight w:val="1005" w:hRule="atLeast"/>
        </w:trPr>
        <w:tc>
          <w:tcPr>
            <w:tcW w:w="279" w:type="pc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2</w:t>
            </w:r>
          </w:p>
        </w:tc>
        <w:tc>
          <w:tcPr>
            <w:tcW w:w="840"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光电运维</w:t>
            </w:r>
          </w:p>
        </w:tc>
        <w:tc>
          <w:tcPr>
            <w:tcW w:w="1296"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对所有外场监控点位涉及的外场配套设备（MDU、立杆、挑臂等）日常巡检、维护、维修，确保正常运行</w:t>
            </w:r>
          </w:p>
          <w:p>
            <w:pPr>
              <w:ind w:firstLine="480" w:firstLineChars="200"/>
              <w:jc w:val="left"/>
              <w:rPr>
                <w:rFonts w:asciiTheme="minorEastAsia" w:hAnsiTheme="minorEastAsia"/>
                <w:sz w:val="24"/>
                <w:szCs w:val="24"/>
              </w:rPr>
            </w:pPr>
            <w:r>
              <w:rPr>
                <w:rFonts w:hint="eastAsia" w:asciiTheme="minorEastAsia" w:hAnsiTheme="minorEastAsia"/>
                <w:sz w:val="24"/>
                <w:szCs w:val="24"/>
              </w:rPr>
              <w:t>（含机房汇聚OLT设备电源优化保障）</w:t>
            </w:r>
          </w:p>
        </w:tc>
        <w:tc>
          <w:tcPr>
            <w:tcW w:w="430"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次</w:t>
            </w:r>
          </w:p>
        </w:tc>
        <w:tc>
          <w:tcPr>
            <w:tcW w:w="949" w:type="pct"/>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sz w:val="24"/>
                <w:szCs w:val="24"/>
              </w:rPr>
            </w:pPr>
            <w:r>
              <w:rPr>
                <w:rFonts w:asciiTheme="minorEastAsia" w:hAnsiTheme="minorEastAsia"/>
                <w:sz w:val="24"/>
                <w:szCs w:val="24"/>
              </w:rPr>
              <w:t>4758</w:t>
            </w:r>
          </w:p>
        </w:tc>
        <w:tc>
          <w:tcPr>
            <w:tcW w:w="1207"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本项为整体打包价，超出预估次数不额外计算</w:t>
            </w:r>
          </w:p>
        </w:tc>
      </w:tr>
      <w:tr>
        <w:tblPrEx>
          <w:tblCellMar>
            <w:top w:w="0" w:type="dxa"/>
            <w:left w:w="108" w:type="dxa"/>
            <w:bottom w:w="0" w:type="dxa"/>
            <w:right w:w="108" w:type="dxa"/>
          </w:tblCellMar>
        </w:tblPrEx>
        <w:trPr>
          <w:trHeight w:val="1245" w:hRule="atLeast"/>
        </w:trPr>
        <w:tc>
          <w:tcPr>
            <w:tcW w:w="279" w:type="pc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3</w:t>
            </w:r>
          </w:p>
        </w:tc>
        <w:tc>
          <w:tcPr>
            <w:tcW w:w="840"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树枝修剪及遮挡处理</w:t>
            </w:r>
          </w:p>
        </w:tc>
        <w:tc>
          <w:tcPr>
            <w:tcW w:w="1296"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高清图像（877路）修剪树枝，以及违停一、二期前端点位（74路）树枝修剪、违停三期前端点位（668路）树枝修剪、违停三期增补工程前端点位（175路）树枝修剪、雪亮一期前端点位（2250路）树枝修剪。</w:t>
            </w:r>
          </w:p>
        </w:tc>
        <w:tc>
          <w:tcPr>
            <w:tcW w:w="430"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次</w:t>
            </w:r>
          </w:p>
        </w:tc>
        <w:tc>
          <w:tcPr>
            <w:tcW w:w="949" w:type="pct"/>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20</w:t>
            </w:r>
            <w:r>
              <w:rPr>
                <w:rFonts w:hint="eastAsia" w:asciiTheme="minorEastAsia" w:hAnsiTheme="minorEastAsia"/>
                <w:sz w:val="24"/>
                <w:szCs w:val="24"/>
              </w:rPr>
              <w:t>0</w:t>
            </w:r>
          </w:p>
        </w:tc>
        <w:tc>
          <w:tcPr>
            <w:tcW w:w="1207"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本项为整体打包价，超出预估次数不额外计算</w:t>
            </w:r>
          </w:p>
        </w:tc>
      </w:tr>
      <w:tr>
        <w:tblPrEx>
          <w:tblCellMar>
            <w:top w:w="0" w:type="dxa"/>
            <w:left w:w="108" w:type="dxa"/>
            <w:bottom w:w="0" w:type="dxa"/>
            <w:right w:w="108" w:type="dxa"/>
          </w:tblCellMar>
        </w:tblPrEx>
        <w:trPr>
          <w:trHeight w:val="570" w:hRule="atLeast"/>
        </w:trPr>
        <w:tc>
          <w:tcPr>
            <w:tcW w:w="279" w:type="pc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4</w:t>
            </w:r>
          </w:p>
        </w:tc>
        <w:tc>
          <w:tcPr>
            <w:tcW w:w="840"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制高点巡查</w:t>
            </w:r>
          </w:p>
        </w:tc>
        <w:tc>
          <w:tcPr>
            <w:tcW w:w="1296"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针对分局图像网所有制高点监控进行安全性检查及防范加固措施</w:t>
            </w:r>
          </w:p>
        </w:tc>
        <w:tc>
          <w:tcPr>
            <w:tcW w:w="430"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次</w:t>
            </w:r>
          </w:p>
        </w:tc>
        <w:tc>
          <w:tcPr>
            <w:tcW w:w="949" w:type="pct"/>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sz w:val="24"/>
                <w:szCs w:val="24"/>
              </w:rPr>
            </w:pPr>
            <w:r>
              <w:rPr>
                <w:rFonts w:hint="eastAsia" w:asciiTheme="minorEastAsia" w:hAnsiTheme="minorEastAsia"/>
                <w:sz w:val="24"/>
                <w:szCs w:val="24"/>
              </w:rPr>
              <w:t>160</w:t>
            </w:r>
          </w:p>
        </w:tc>
        <w:tc>
          <w:tcPr>
            <w:tcW w:w="1207"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本项为整体打包价，超出预估次数不额外计算</w:t>
            </w:r>
          </w:p>
        </w:tc>
      </w:tr>
      <w:tr>
        <w:tblPrEx>
          <w:tblCellMar>
            <w:top w:w="0" w:type="dxa"/>
            <w:left w:w="108" w:type="dxa"/>
            <w:bottom w:w="0" w:type="dxa"/>
            <w:right w:w="108" w:type="dxa"/>
          </w:tblCellMar>
        </w:tblPrEx>
        <w:trPr>
          <w:trHeight w:val="1200" w:hRule="atLeast"/>
        </w:trPr>
        <w:tc>
          <w:tcPr>
            <w:tcW w:w="279" w:type="pc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5</w:t>
            </w:r>
          </w:p>
        </w:tc>
        <w:tc>
          <w:tcPr>
            <w:tcW w:w="840"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监控应急响应部署</w:t>
            </w:r>
          </w:p>
        </w:tc>
        <w:tc>
          <w:tcPr>
            <w:tcW w:w="1296"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根据用户要求紧急部署相应应急资源，含监控、传输链路等服务，含相应流量、转发、1周内临时存储等费用</w:t>
            </w:r>
          </w:p>
        </w:tc>
        <w:tc>
          <w:tcPr>
            <w:tcW w:w="430"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项</w:t>
            </w:r>
          </w:p>
        </w:tc>
        <w:tc>
          <w:tcPr>
            <w:tcW w:w="949" w:type="pct"/>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sz w:val="24"/>
                <w:szCs w:val="24"/>
              </w:rPr>
            </w:pPr>
            <w:r>
              <w:rPr>
                <w:rFonts w:hint="eastAsia" w:asciiTheme="minorEastAsia" w:hAnsiTheme="minorEastAsia"/>
                <w:sz w:val="24"/>
                <w:szCs w:val="24"/>
              </w:rPr>
              <w:t>1</w:t>
            </w:r>
          </w:p>
        </w:tc>
        <w:tc>
          <w:tcPr>
            <w:tcW w:w="1207"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以服务提供方式，无线专网等接入方式，能满足枪、球、半球等适应不同需求的监控点位，具备同时提供不高于</w:t>
            </w:r>
            <w:r>
              <w:rPr>
                <w:rFonts w:asciiTheme="minorEastAsia" w:hAnsiTheme="minorEastAsia"/>
                <w:sz w:val="24"/>
                <w:szCs w:val="24"/>
              </w:rPr>
              <w:t>40</w:t>
            </w:r>
            <w:r>
              <w:rPr>
                <w:rFonts w:hint="eastAsia" w:asciiTheme="minorEastAsia" w:hAnsiTheme="minorEastAsia"/>
                <w:sz w:val="24"/>
                <w:szCs w:val="24"/>
              </w:rPr>
              <w:t>路的服务能力。整体打包价，超出预估不额外计算</w:t>
            </w:r>
          </w:p>
        </w:tc>
      </w:tr>
      <w:tr>
        <w:tblPrEx>
          <w:tblCellMar>
            <w:top w:w="0" w:type="dxa"/>
            <w:left w:w="108" w:type="dxa"/>
            <w:bottom w:w="0" w:type="dxa"/>
            <w:right w:w="108" w:type="dxa"/>
          </w:tblCellMar>
        </w:tblPrEx>
        <w:trPr>
          <w:trHeight w:val="1200" w:hRule="atLeast"/>
        </w:trPr>
        <w:tc>
          <w:tcPr>
            <w:tcW w:w="279" w:type="pc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6</w:t>
            </w:r>
          </w:p>
        </w:tc>
        <w:tc>
          <w:tcPr>
            <w:tcW w:w="840"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设备拆装迁移</w:t>
            </w:r>
          </w:p>
        </w:tc>
        <w:tc>
          <w:tcPr>
            <w:tcW w:w="1296"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根据用户要求，对分局所属的摄像机等相关设备进行拆除、安装、调试开通的工作（道路监控、内部声像每只摄像机点位进行拆除和安装，按1次计算，包括人工和线材）。</w:t>
            </w:r>
          </w:p>
        </w:tc>
        <w:tc>
          <w:tcPr>
            <w:tcW w:w="430"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次</w:t>
            </w:r>
          </w:p>
        </w:tc>
        <w:tc>
          <w:tcPr>
            <w:tcW w:w="949" w:type="pct"/>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sz w:val="24"/>
                <w:szCs w:val="24"/>
              </w:rPr>
            </w:pPr>
            <w:r>
              <w:rPr>
                <w:rFonts w:asciiTheme="minorEastAsia" w:hAnsiTheme="minorEastAsia"/>
                <w:sz w:val="24"/>
                <w:szCs w:val="24"/>
              </w:rPr>
              <w:t>48</w:t>
            </w:r>
          </w:p>
        </w:tc>
        <w:tc>
          <w:tcPr>
            <w:tcW w:w="1207"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本项为整体打包价，超出预估不额外计算</w:t>
            </w:r>
          </w:p>
        </w:tc>
      </w:tr>
      <w:tr>
        <w:tblPrEx>
          <w:tblCellMar>
            <w:top w:w="0" w:type="dxa"/>
            <w:left w:w="108" w:type="dxa"/>
            <w:bottom w:w="0" w:type="dxa"/>
            <w:right w:w="108" w:type="dxa"/>
          </w:tblCellMar>
        </w:tblPrEx>
        <w:trPr>
          <w:trHeight w:val="765" w:hRule="atLeast"/>
        </w:trPr>
        <w:tc>
          <w:tcPr>
            <w:tcW w:w="279" w:type="pc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7</w:t>
            </w:r>
          </w:p>
        </w:tc>
        <w:tc>
          <w:tcPr>
            <w:tcW w:w="840"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过保设备技术延保</w:t>
            </w:r>
          </w:p>
        </w:tc>
        <w:tc>
          <w:tcPr>
            <w:tcW w:w="1296"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主要针对大华、华为等在网时间较长、原厂质保过期的设备进行相应升级、补丁、技术现场支持等服务工作</w:t>
            </w:r>
          </w:p>
        </w:tc>
        <w:tc>
          <w:tcPr>
            <w:tcW w:w="430"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项</w:t>
            </w:r>
          </w:p>
        </w:tc>
        <w:tc>
          <w:tcPr>
            <w:tcW w:w="949" w:type="pct"/>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sz w:val="24"/>
                <w:szCs w:val="24"/>
              </w:rPr>
            </w:pPr>
            <w:r>
              <w:rPr>
                <w:rFonts w:hint="eastAsia" w:asciiTheme="minorEastAsia" w:hAnsiTheme="minorEastAsia"/>
                <w:sz w:val="24"/>
                <w:szCs w:val="24"/>
              </w:rPr>
              <w:t>1</w:t>
            </w:r>
          </w:p>
        </w:tc>
        <w:tc>
          <w:tcPr>
            <w:tcW w:w="1207"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本项为整体打包价，超出预估次数不额外计算</w:t>
            </w:r>
          </w:p>
        </w:tc>
      </w:tr>
      <w:tr>
        <w:tblPrEx>
          <w:tblCellMar>
            <w:top w:w="0" w:type="dxa"/>
            <w:left w:w="108" w:type="dxa"/>
            <w:bottom w:w="0" w:type="dxa"/>
            <w:right w:w="108" w:type="dxa"/>
          </w:tblCellMar>
        </w:tblPrEx>
        <w:trPr>
          <w:trHeight w:val="570" w:hRule="atLeast"/>
        </w:trPr>
        <w:tc>
          <w:tcPr>
            <w:tcW w:w="279" w:type="pct"/>
            <w:tcBorders>
              <w:top w:val="nil"/>
              <w:left w:val="single" w:color="auto" w:sz="4" w:space="0"/>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8</w:t>
            </w:r>
          </w:p>
        </w:tc>
        <w:tc>
          <w:tcPr>
            <w:tcW w:w="840"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备品备件</w:t>
            </w:r>
          </w:p>
        </w:tc>
        <w:tc>
          <w:tcPr>
            <w:tcW w:w="1296"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见备品备件清单</w:t>
            </w:r>
          </w:p>
        </w:tc>
        <w:tc>
          <w:tcPr>
            <w:tcW w:w="430"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项</w:t>
            </w:r>
          </w:p>
        </w:tc>
        <w:tc>
          <w:tcPr>
            <w:tcW w:w="949" w:type="pct"/>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sz w:val="24"/>
                <w:szCs w:val="24"/>
              </w:rPr>
            </w:pPr>
            <w:r>
              <w:rPr>
                <w:rFonts w:hint="eastAsia" w:asciiTheme="minorEastAsia" w:hAnsiTheme="minorEastAsia"/>
                <w:sz w:val="24"/>
                <w:szCs w:val="24"/>
              </w:rPr>
              <w:t>1</w:t>
            </w:r>
          </w:p>
        </w:tc>
        <w:tc>
          <w:tcPr>
            <w:tcW w:w="1207"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r>
              <w:rPr>
                <w:rFonts w:hint="eastAsia" w:asciiTheme="minorEastAsia" w:hAnsiTheme="minorEastAsia"/>
                <w:sz w:val="24"/>
                <w:szCs w:val="24"/>
              </w:rPr>
              <w:t>按实结算</w:t>
            </w:r>
          </w:p>
        </w:tc>
      </w:tr>
      <w:tr>
        <w:tblPrEx>
          <w:tblCellMar>
            <w:top w:w="0" w:type="dxa"/>
            <w:left w:w="108" w:type="dxa"/>
            <w:bottom w:w="0" w:type="dxa"/>
            <w:right w:w="108" w:type="dxa"/>
          </w:tblCellMar>
        </w:tblPrEx>
        <w:trPr>
          <w:trHeight w:val="57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Theme="minorEastAsia" w:hAnsiTheme="minorEastAsia"/>
                <w:sz w:val="24"/>
                <w:szCs w:val="24"/>
              </w:rPr>
            </w:pPr>
            <w:r>
              <w:rPr>
                <w:rFonts w:hint="eastAsia" w:asciiTheme="minorEastAsia" w:hAnsiTheme="minorEastAsia"/>
                <w:sz w:val="24"/>
                <w:szCs w:val="24"/>
              </w:rPr>
              <w:t>合计</w:t>
            </w:r>
          </w:p>
        </w:tc>
        <w:tc>
          <w:tcPr>
            <w:tcW w:w="1296" w:type="pct"/>
            <w:tcBorders>
              <w:top w:val="nil"/>
              <w:left w:val="nil"/>
              <w:bottom w:val="single" w:color="auto" w:sz="4" w:space="0"/>
              <w:right w:val="single" w:color="auto" w:sz="4" w:space="0"/>
            </w:tcBorders>
            <w:shd w:val="clear" w:color="auto" w:fill="auto"/>
            <w:vAlign w:val="center"/>
          </w:tcPr>
          <w:p>
            <w:pPr>
              <w:ind w:firstLine="480" w:firstLineChars="200"/>
              <w:jc w:val="left"/>
              <w:rPr>
                <w:rFonts w:asciiTheme="minorEastAsia" w:hAnsiTheme="minorEastAsia"/>
                <w:sz w:val="24"/>
                <w:szCs w:val="24"/>
              </w:rPr>
            </w:pPr>
          </w:p>
        </w:tc>
        <w:tc>
          <w:tcPr>
            <w:tcW w:w="430" w:type="pct"/>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sz w:val="24"/>
                <w:szCs w:val="24"/>
              </w:rPr>
            </w:pPr>
          </w:p>
        </w:tc>
        <w:tc>
          <w:tcPr>
            <w:tcW w:w="949" w:type="pct"/>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sz w:val="24"/>
                <w:szCs w:val="24"/>
              </w:rPr>
            </w:pPr>
          </w:p>
        </w:tc>
        <w:tc>
          <w:tcPr>
            <w:tcW w:w="1207" w:type="pct"/>
            <w:tcBorders>
              <w:top w:val="nil"/>
              <w:left w:val="nil"/>
              <w:bottom w:val="single" w:color="auto" w:sz="4" w:space="0"/>
              <w:right w:val="single" w:color="auto" w:sz="4" w:space="0"/>
            </w:tcBorders>
            <w:shd w:val="clear" w:color="auto" w:fill="auto"/>
            <w:vAlign w:val="center"/>
          </w:tcPr>
          <w:p>
            <w:pPr>
              <w:jc w:val="left"/>
              <w:rPr>
                <w:rFonts w:asciiTheme="minorEastAsia" w:hAnsiTheme="minorEastAsia"/>
                <w:sz w:val="24"/>
                <w:szCs w:val="24"/>
              </w:rPr>
            </w:pPr>
          </w:p>
        </w:tc>
      </w:tr>
    </w:tbl>
    <w:p>
      <w:pPr>
        <w:ind w:firstLine="480" w:firstLineChars="200"/>
        <w:jc w:val="lef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07767"/>
    <w:multiLevelType w:val="multilevel"/>
    <w:tmpl w:val="21707767"/>
    <w:lvl w:ilvl="0" w:tentative="0">
      <w:start w:val="2"/>
      <w:numFmt w:val="decimal"/>
      <w:lvlText w:val="%1、"/>
      <w:lvlJc w:val="left"/>
      <w:pPr>
        <w:ind w:left="384" w:hanging="38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63450"/>
    <w:multiLevelType w:val="multilevel"/>
    <w:tmpl w:val="39263450"/>
    <w:lvl w:ilvl="0" w:tentative="0">
      <w:start w:val="2"/>
      <w:numFmt w:val="decimal"/>
      <w:lvlText w:val="%1"/>
      <w:lvlJc w:val="left"/>
      <w:pPr>
        <w:ind w:left="360" w:hanging="360"/>
      </w:pPr>
      <w:rPr>
        <w:rFonts w:hint="default"/>
      </w:rPr>
    </w:lvl>
    <w:lvl w:ilvl="1" w:tentative="0">
      <w:start w:val="4"/>
      <w:numFmt w:val="decimal"/>
      <w:lvlText w:val="%1.%2"/>
      <w:lvlJc w:val="left"/>
      <w:pPr>
        <w:ind w:left="780" w:hanging="360"/>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4320" w:hanging="180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520" w:hanging="2160"/>
      </w:pPr>
      <w:rPr>
        <w:rFonts w:hint="default"/>
      </w:rPr>
    </w:lvl>
  </w:abstractNum>
  <w:abstractNum w:abstractNumId="2">
    <w:nsid w:val="7E3E69CC"/>
    <w:multiLevelType w:val="multilevel"/>
    <w:tmpl w:val="7E3E69CC"/>
    <w:lvl w:ilvl="0" w:tentative="0">
      <w:start w:val="2"/>
      <w:numFmt w:val="decimal"/>
      <w:lvlText w:val="%1"/>
      <w:lvlJc w:val="left"/>
      <w:pPr>
        <w:ind w:left="360" w:hanging="360"/>
      </w:pPr>
      <w:rPr>
        <w:rFonts w:hint="default"/>
      </w:rPr>
    </w:lvl>
    <w:lvl w:ilvl="1" w:tentative="0">
      <w:start w:val="1"/>
      <w:numFmt w:val="decimal"/>
      <w:lvlText w:val="%1.%2"/>
      <w:lvlJc w:val="left"/>
      <w:pPr>
        <w:ind w:left="744" w:hanging="360"/>
      </w:pPr>
      <w:rPr>
        <w:rFonts w:hint="default"/>
      </w:rPr>
    </w:lvl>
    <w:lvl w:ilvl="2" w:tentative="0">
      <w:start w:val="1"/>
      <w:numFmt w:val="decimal"/>
      <w:lvlText w:val="%1.%2.%3"/>
      <w:lvlJc w:val="left"/>
      <w:pPr>
        <w:ind w:left="1488" w:hanging="720"/>
      </w:pPr>
      <w:rPr>
        <w:rFonts w:hint="default"/>
      </w:rPr>
    </w:lvl>
    <w:lvl w:ilvl="3" w:tentative="0">
      <w:start w:val="1"/>
      <w:numFmt w:val="decimal"/>
      <w:lvlText w:val="%1.%2.%3.%4"/>
      <w:lvlJc w:val="left"/>
      <w:pPr>
        <w:ind w:left="2232" w:hanging="1080"/>
      </w:pPr>
      <w:rPr>
        <w:rFonts w:hint="default"/>
      </w:rPr>
    </w:lvl>
    <w:lvl w:ilvl="4" w:tentative="0">
      <w:start w:val="1"/>
      <w:numFmt w:val="decimal"/>
      <w:lvlText w:val="%1.%2.%3.%4.%5"/>
      <w:lvlJc w:val="left"/>
      <w:pPr>
        <w:ind w:left="2616" w:hanging="1080"/>
      </w:pPr>
      <w:rPr>
        <w:rFonts w:hint="default"/>
      </w:rPr>
    </w:lvl>
    <w:lvl w:ilvl="5" w:tentative="0">
      <w:start w:val="1"/>
      <w:numFmt w:val="decimal"/>
      <w:lvlText w:val="%1.%2.%3.%4.%5.%6"/>
      <w:lvlJc w:val="left"/>
      <w:pPr>
        <w:ind w:left="3360" w:hanging="1440"/>
      </w:pPr>
      <w:rPr>
        <w:rFonts w:hint="default"/>
      </w:rPr>
    </w:lvl>
    <w:lvl w:ilvl="6" w:tentative="0">
      <w:start w:val="1"/>
      <w:numFmt w:val="decimal"/>
      <w:lvlText w:val="%1.%2.%3.%4.%5.%6.%7"/>
      <w:lvlJc w:val="left"/>
      <w:pPr>
        <w:ind w:left="4104" w:hanging="1800"/>
      </w:pPr>
      <w:rPr>
        <w:rFonts w:hint="default"/>
      </w:rPr>
    </w:lvl>
    <w:lvl w:ilvl="7" w:tentative="0">
      <w:start w:val="1"/>
      <w:numFmt w:val="decimal"/>
      <w:lvlText w:val="%1.%2.%3.%4.%5.%6.%7.%8"/>
      <w:lvlJc w:val="left"/>
      <w:pPr>
        <w:ind w:left="4488" w:hanging="1800"/>
      </w:pPr>
      <w:rPr>
        <w:rFonts w:hint="default"/>
      </w:rPr>
    </w:lvl>
    <w:lvl w:ilvl="8" w:tentative="0">
      <w:start w:val="1"/>
      <w:numFmt w:val="decimal"/>
      <w:lvlText w:val="%1.%2.%3.%4.%5.%6.%7.%8.%9"/>
      <w:lvlJc w:val="left"/>
      <w:pPr>
        <w:ind w:left="5232"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1MmQ2ZjQ0NmU0ZTYxMDM3MGM1OWJlYWEzMDNlODcifQ=="/>
  </w:docVars>
  <w:rsids>
    <w:rsidRoot w:val="003F5E4F"/>
    <w:rsid w:val="000B1562"/>
    <w:rsid w:val="000F09BC"/>
    <w:rsid w:val="00143520"/>
    <w:rsid w:val="001C6C7D"/>
    <w:rsid w:val="00207242"/>
    <w:rsid w:val="00223050"/>
    <w:rsid w:val="00312671"/>
    <w:rsid w:val="00343DF1"/>
    <w:rsid w:val="003F5E4F"/>
    <w:rsid w:val="003F6B80"/>
    <w:rsid w:val="00400D56"/>
    <w:rsid w:val="004455AD"/>
    <w:rsid w:val="00477EC2"/>
    <w:rsid w:val="005115A6"/>
    <w:rsid w:val="005511E8"/>
    <w:rsid w:val="0068619D"/>
    <w:rsid w:val="00734D69"/>
    <w:rsid w:val="00771DEE"/>
    <w:rsid w:val="00826416"/>
    <w:rsid w:val="00842744"/>
    <w:rsid w:val="00884D58"/>
    <w:rsid w:val="008C791B"/>
    <w:rsid w:val="008D0C82"/>
    <w:rsid w:val="00912522"/>
    <w:rsid w:val="00972C98"/>
    <w:rsid w:val="009C4E7C"/>
    <w:rsid w:val="009F3079"/>
    <w:rsid w:val="00AA29FD"/>
    <w:rsid w:val="00B77AED"/>
    <w:rsid w:val="00B80CDC"/>
    <w:rsid w:val="00BE00C2"/>
    <w:rsid w:val="00C16B72"/>
    <w:rsid w:val="00C8028E"/>
    <w:rsid w:val="00CC64F6"/>
    <w:rsid w:val="00DA65A4"/>
    <w:rsid w:val="00DD7BAF"/>
    <w:rsid w:val="00DE7C44"/>
    <w:rsid w:val="00DF1562"/>
    <w:rsid w:val="00E65278"/>
    <w:rsid w:val="00E826E3"/>
    <w:rsid w:val="00EE01A9"/>
    <w:rsid w:val="00EF1558"/>
    <w:rsid w:val="00FB2D6D"/>
    <w:rsid w:val="00FF6EED"/>
    <w:rsid w:val="0E705766"/>
    <w:rsid w:val="5B43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unhideWhenUsed/>
    <w:qFormat/>
    <w:uiPriority w:val="99"/>
    <w:pPr>
      <w:spacing w:after="120"/>
    </w:pPr>
    <w:rPr>
      <w:rFonts w:ascii="Times New Roman" w:hAnsi="Times New Roman" w:eastAsia="宋体" w:cs="Times New Roman"/>
      <w:szCs w:val="20"/>
    </w:rPr>
  </w:style>
  <w:style w:type="paragraph" w:styleId="3">
    <w:name w:val="Date"/>
    <w:basedOn w:val="1"/>
    <w:next w:val="1"/>
    <w:link w:val="12"/>
    <w:autoRedefine/>
    <w:semiHidden/>
    <w:unhideWhenUsed/>
    <w:qFormat/>
    <w:uiPriority w:val="99"/>
    <w:pPr>
      <w:ind w:left="100" w:leftChars="2500"/>
    </w:p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正文文本 字符"/>
    <w:basedOn w:val="7"/>
    <w:link w:val="2"/>
    <w:autoRedefine/>
    <w:qFormat/>
    <w:uiPriority w:val="99"/>
    <w:rPr>
      <w:rFonts w:ascii="Times New Roman" w:hAnsi="Times New Roman" w:eastAsia="宋体" w:cs="Times New Roman"/>
      <w:szCs w:val="20"/>
    </w:rPr>
  </w:style>
  <w:style w:type="paragraph" w:styleId="11">
    <w:name w:val="List Paragraph"/>
    <w:basedOn w:val="1"/>
    <w:autoRedefine/>
    <w:qFormat/>
    <w:uiPriority w:val="34"/>
    <w:pPr>
      <w:ind w:firstLine="420" w:firstLineChars="200"/>
    </w:pPr>
  </w:style>
  <w:style w:type="character" w:customStyle="1" w:styleId="12">
    <w:name w:val="日期 字符"/>
    <w:basedOn w:val="7"/>
    <w:link w:val="3"/>
    <w:autoRedefine/>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8E805-83C4-4987-8BF1-1D647785585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1193</Words>
  <Characters>6801</Characters>
  <Lines>56</Lines>
  <Paragraphs>15</Paragraphs>
  <TotalTime>0</TotalTime>
  <ScaleCrop>false</ScaleCrop>
  <LinksUpToDate>false</LinksUpToDate>
  <CharactersWithSpaces>7979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2024-04-30T06:41:00Z</dcterms:created>
  <dc:creator>cnfj</dc:creator>
  <cp:lastModifiedBy>A01</cp:lastModifiedBy>
  <cp:lastPrinted>2024-05-06T06:59:00Z</cp:lastPrinted>
  <dcterms:modified xsi:type="dcterms:W3CDTF">2024-05-15T02:08:18Z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85A1E346514A45F3835ACA5B3790669C_13</vt:lpwstr>
  </property>
</Properties>
</file>