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D0BAB">
      <w:pPr>
        <w:spacing w:line="360" w:lineRule="auto"/>
        <w:jc w:val="center"/>
        <w:rPr>
          <w:rFonts w:ascii="宋体" w:hAnsi="宋体" w:cs="宋体"/>
          <w:sz w:val="44"/>
          <w:szCs w:val="44"/>
        </w:rPr>
      </w:pPr>
      <w:r>
        <w:rPr>
          <w:rFonts w:hint="eastAsia" w:ascii="宋体" w:hAnsi="宋体" w:cs="宋体"/>
          <w:sz w:val="44"/>
          <w:szCs w:val="44"/>
        </w:rPr>
        <w:t>长宁区公安分局2025年度应用系统运维服务竞争性磋商项目</w:t>
      </w:r>
      <w:r>
        <w:rPr>
          <w:rFonts w:hint="eastAsia" w:ascii="宋体" w:hAnsi="宋体" w:cs="宋体"/>
          <w:sz w:val="44"/>
          <w:szCs w:val="44"/>
          <w:lang w:val="en-US" w:eastAsia="zh-CN"/>
        </w:rPr>
        <w:t>采购</w:t>
      </w:r>
      <w:r>
        <w:rPr>
          <w:rFonts w:hint="eastAsia" w:ascii="宋体" w:hAnsi="宋体" w:cs="宋体"/>
          <w:sz w:val="44"/>
          <w:szCs w:val="44"/>
        </w:rPr>
        <w:t>需求文件</w:t>
      </w:r>
    </w:p>
    <w:p w14:paraId="28A0DEC8">
      <w:pPr>
        <w:spacing w:line="360" w:lineRule="auto"/>
        <w:ind w:firstLine="480" w:firstLineChars="200"/>
        <w:rPr>
          <w:rFonts w:ascii="宋体" w:hAnsi="宋体" w:cs="宋体"/>
          <w:sz w:val="24"/>
          <w:szCs w:val="24"/>
        </w:rPr>
      </w:pPr>
      <w:bookmarkStart w:id="0" w:name="_Toc491178739"/>
      <w:bookmarkEnd w:id="0"/>
      <w:bookmarkStart w:id="1" w:name="_Toc491166449"/>
      <w:bookmarkEnd w:id="1"/>
      <w:bookmarkStart w:id="2" w:name="_Toc491179308"/>
      <w:bookmarkEnd w:id="2"/>
      <w:bookmarkStart w:id="3" w:name="_Toc491179294"/>
      <w:bookmarkEnd w:id="3"/>
      <w:bookmarkStart w:id="4" w:name="_Toc491179314"/>
      <w:bookmarkEnd w:id="4"/>
      <w:bookmarkStart w:id="5" w:name="_Toc491179303"/>
      <w:bookmarkEnd w:id="5"/>
      <w:bookmarkStart w:id="6" w:name="_Toc491179282"/>
      <w:bookmarkEnd w:id="6"/>
      <w:bookmarkStart w:id="7" w:name="_Toc491179326"/>
      <w:bookmarkEnd w:id="7"/>
      <w:bookmarkStart w:id="8" w:name="_Toc491164458"/>
      <w:bookmarkEnd w:id="8"/>
      <w:bookmarkStart w:id="9" w:name="_Toc491166296"/>
      <w:bookmarkEnd w:id="9"/>
      <w:bookmarkStart w:id="10" w:name="_Toc491166445"/>
      <w:bookmarkEnd w:id="10"/>
      <w:bookmarkStart w:id="11" w:name="_Toc491179323"/>
      <w:bookmarkEnd w:id="11"/>
      <w:bookmarkStart w:id="12" w:name="OLE_LINK2"/>
      <w:bookmarkEnd w:id="12"/>
      <w:bookmarkStart w:id="13" w:name="_Toc491179322"/>
      <w:bookmarkEnd w:id="13"/>
      <w:bookmarkStart w:id="14" w:name="_Toc491179325"/>
      <w:bookmarkEnd w:id="14"/>
      <w:bookmarkStart w:id="15" w:name="_Toc485896653"/>
      <w:bookmarkEnd w:id="15"/>
      <w:bookmarkStart w:id="16" w:name="_Toc491178027"/>
      <w:bookmarkEnd w:id="16"/>
      <w:bookmarkStart w:id="17" w:name="_Toc491179310"/>
      <w:bookmarkEnd w:id="17"/>
      <w:bookmarkStart w:id="18" w:name="_Toc491179319"/>
      <w:bookmarkEnd w:id="18"/>
      <w:bookmarkStart w:id="19" w:name="_Toc491166375"/>
      <w:bookmarkEnd w:id="19"/>
      <w:bookmarkStart w:id="20" w:name="_Toc491164462"/>
      <w:bookmarkEnd w:id="20"/>
      <w:bookmarkStart w:id="21" w:name="_Toc491179311"/>
      <w:bookmarkEnd w:id="21"/>
      <w:bookmarkStart w:id="22" w:name="_Toc491178032"/>
      <w:bookmarkEnd w:id="22"/>
      <w:bookmarkStart w:id="23" w:name="_Toc491166518"/>
      <w:bookmarkEnd w:id="23"/>
      <w:bookmarkStart w:id="24" w:name="_Toc491179307"/>
      <w:bookmarkEnd w:id="24"/>
      <w:bookmarkStart w:id="25" w:name="_Toc491179300"/>
      <w:bookmarkEnd w:id="25"/>
      <w:bookmarkStart w:id="26" w:name="_Toc491179299"/>
      <w:bookmarkEnd w:id="26"/>
      <w:bookmarkStart w:id="27" w:name="_Toc491164457"/>
      <w:bookmarkEnd w:id="27"/>
      <w:bookmarkStart w:id="28" w:name="_Toc491179320"/>
      <w:bookmarkEnd w:id="28"/>
      <w:bookmarkStart w:id="29" w:name="_Toc491179301"/>
      <w:bookmarkEnd w:id="29"/>
      <w:bookmarkStart w:id="30" w:name="_Toc491166519"/>
      <w:bookmarkEnd w:id="30"/>
      <w:bookmarkStart w:id="31" w:name="_Toc485998977"/>
      <w:bookmarkEnd w:id="31"/>
      <w:bookmarkStart w:id="32" w:name="_Toc491178028"/>
      <w:bookmarkEnd w:id="32"/>
      <w:bookmarkStart w:id="33" w:name="_Toc491179281"/>
      <w:bookmarkEnd w:id="33"/>
      <w:bookmarkStart w:id="34" w:name="_Toc491166523"/>
      <w:bookmarkEnd w:id="34"/>
      <w:bookmarkStart w:id="35" w:name="_Toc491179306"/>
      <w:bookmarkEnd w:id="35"/>
      <w:bookmarkStart w:id="36" w:name="_Toc491179287"/>
      <w:bookmarkEnd w:id="36"/>
      <w:bookmarkStart w:id="37" w:name="_Toc491179313"/>
      <w:bookmarkEnd w:id="37"/>
      <w:bookmarkStart w:id="38" w:name="_Toc491166301"/>
      <w:bookmarkEnd w:id="38"/>
      <w:bookmarkStart w:id="39" w:name="_Toc491166297"/>
      <w:bookmarkEnd w:id="39"/>
      <w:bookmarkStart w:id="40" w:name="_Toc491179318"/>
      <w:bookmarkEnd w:id="40"/>
      <w:bookmarkStart w:id="41" w:name="_Toc491179321"/>
      <w:bookmarkEnd w:id="41"/>
      <w:bookmarkStart w:id="42" w:name="_Toc491166371"/>
      <w:bookmarkEnd w:id="42"/>
      <w:bookmarkStart w:id="43" w:name="_Toc491179316"/>
      <w:bookmarkEnd w:id="43"/>
      <w:bookmarkStart w:id="44" w:name="_Toc491178743"/>
      <w:bookmarkEnd w:id="44"/>
      <w:bookmarkStart w:id="45" w:name="_Toc491179324"/>
      <w:bookmarkEnd w:id="45"/>
      <w:bookmarkStart w:id="46" w:name="_Toc491179309"/>
      <w:bookmarkEnd w:id="46"/>
      <w:bookmarkStart w:id="47" w:name="_Toc491166370"/>
      <w:bookmarkEnd w:id="47"/>
      <w:bookmarkStart w:id="48" w:name="_Toc491179302"/>
      <w:bookmarkEnd w:id="48"/>
      <w:bookmarkStart w:id="49" w:name="_Toc491179295"/>
      <w:bookmarkEnd w:id="49"/>
      <w:bookmarkStart w:id="50" w:name="_Toc491179297"/>
      <w:bookmarkEnd w:id="50"/>
      <w:bookmarkStart w:id="51" w:name="_Toc491179283"/>
      <w:bookmarkEnd w:id="51"/>
      <w:bookmarkStart w:id="52" w:name="_Toc480637051"/>
      <w:bookmarkEnd w:id="52"/>
      <w:bookmarkStart w:id="53" w:name="_Toc491179288"/>
      <w:bookmarkEnd w:id="53"/>
      <w:bookmarkStart w:id="54" w:name="_Toc491179292"/>
      <w:bookmarkEnd w:id="54"/>
      <w:bookmarkStart w:id="55" w:name="_Toc491178738"/>
      <w:bookmarkEnd w:id="55"/>
      <w:bookmarkStart w:id="56" w:name="_Toc491179296"/>
      <w:bookmarkEnd w:id="56"/>
      <w:bookmarkStart w:id="57" w:name="_Toc491179305"/>
      <w:bookmarkEnd w:id="57"/>
      <w:bookmarkStart w:id="58" w:name="_Toc491179328"/>
      <w:bookmarkEnd w:id="58"/>
      <w:bookmarkStart w:id="59" w:name="_Toc491179289"/>
      <w:bookmarkEnd w:id="59"/>
      <w:bookmarkStart w:id="60" w:name="_Toc491179298"/>
      <w:bookmarkEnd w:id="60"/>
      <w:bookmarkStart w:id="61" w:name="_Toc491179327"/>
      <w:bookmarkEnd w:id="61"/>
      <w:bookmarkStart w:id="62" w:name="_Toc491179304"/>
      <w:bookmarkEnd w:id="62"/>
      <w:bookmarkStart w:id="63" w:name="_Toc491166444"/>
      <w:bookmarkEnd w:id="63"/>
      <w:bookmarkStart w:id="64" w:name="_Toc491179315"/>
      <w:bookmarkEnd w:id="64"/>
      <w:bookmarkStart w:id="65" w:name="_Toc491179317"/>
      <w:bookmarkEnd w:id="65"/>
      <w:bookmarkStart w:id="66" w:name="_Hlk88809546"/>
    </w:p>
    <w:p w14:paraId="315DB023">
      <w:pPr>
        <w:spacing w:line="360" w:lineRule="auto"/>
        <w:rPr>
          <w:rFonts w:ascii="宋体" w:hAnsi="宋体" w:cs="宋体"/>
          <w:b/>
          <w:bCs/>
          <w:sz w:val="28"/>
          <w:szCs w:val="28"/>
        </w:rPr>
      </w:pPr>
      <w:r>
        <w:rPr>
          <w:rFonts w:hint="eastAsia" w:ascii="宋体" w:hAnsi="宋体" w:cs="宋体"/>
          <w:b/>
          <w:bCs/>
          <w:sz w:val="28"/>
          <w:szCs w:val="28"/>
        </w:rPr>
        <w:t>1、项目概况</w:t>
      </w:r>
    </w:p>
    <w:p w14:paraId="6D0843A7">
      <w:pPr>
        <w:spacing w:line="360" w:lineRule="auto"/>
        <w:ind w:firstLine="523" w:firstLineChars="217"/>
        <w:rPr>
          <w:rFonts w:ascii="宋体" w:hAnsi="宋体" w:cs="宋体"/>
          <w:b/>
          <w:sz w:val="24"/>
          <w:szCs w:val="24"/>
        </w:rPr>
      </w:pPr>
      <w:r>
        <w:rPr>
          <w:rFonts w:hint="eastAsia" w:ascii="宋体" w:hAnsi="宋体" w:cs="宋体"/>
          <w:b/>
          <w:sz w:val="24"/>
          <w:szCs w:val="24"/>
        </w:rPr>
        <w:t>1.1 项目背景</w:t>
      </w:r>
    </w:p>
    <w:p w14:paraId="147D7D41">
      <w:pPr>
        <w:spacing w:line="360" w:lineRule="auto"/>
        <w:ind w:firstLine="480" w:firstLineChars="200"/>
        <w:rPr>
          <w:rFonts w:ascii="宋体" w:hAnsi="宋体" w:cs="宋体"/>
          <w:sz w:val="24"/>
          <w:szCs w:val="24"/>
        </w:rPr>
      </w:pPr>
      <w:r>
        <w:rPr>
          <w:rFonts w:hint="eastAsia" w:ascii="宋体" w:hAnsi="宋体" w:cs="宋体"/>
          <w:sz w:val="24"/>
          <w:szCs w:val="24"/>
        </w:rPr>
        <w:t>为了满足业务需求，上海市公安局长宁分局在历年信息化推进中建设了一批虚拟云平台、数据库及信息应用系统，这些系统已经过保，拟开展运维</w:t>
      </w:r>
      <w:r>
        <w:rPr>
          <w:rFonts w:ascii="宋体" w:hAnsi="宋体" w:cs="宋体"/>
          <w:sz w:val="24"/>
          <w:szCs w:val="24"/>
        </w:rPr>
        <w:t>服务</w:t>
      </w:r>
      <w:r>
        <w:rPr>
          <w:rFonts w:hint="eastAsia" w:ascii="宋体" w:hAnsi="宋体" w:cs="宋体"/>
          <w:sz w:val="24"/>
          <w:szCs w:val="24"/>
        </w:rPr>
        <w:t>，以保障业务工作的正常运行。</w:t>
      </w:r>
    </w:p>
    <w:p w14:paraId="54A065B0">
      <w:pPr>
        <w:spacing w:line="360" w:lineRule="auto"/>
        <w:ind w:firstLine="482" w:firstLineChars="200"/>
        <w:rPr>
          <w:rFonts w:ascii="宋体" w:hAnsi="宋体"/>
          <w:b/>
          <w:sz w:val="24"/>
          <w:szCs w:val="24"/>
        </w:rPr>
      </w:pPr>
      <w:r>
        <w:rPr>
          <w:rFonts w:hint="eastAsia" w:ascii="宋体" w:hAnsi="宋体" w:cs="宋体"/>
          <w:b/>
          <w:sz w:val="24"/>
          <w:szCs w:val="24"/>
        </w:rPr>
        <w:t>1.2 项目</w:t>
      </w:r>
      <w:r>
        <w:rPr>
          <w:rFonts w:hint="eastAsia" w:ascii="宋体" w:hAnsi="宋体"/>
          <w:b/>
          <w:sz w:val="24"/>
          <w:szCs w:val="24"/>
        </w:rPr>
        <w:t>目标</w:t>
      </w:r>
    </w:p>
    <w:p w14:paraId="5E3DE0B9">
      <w:pPr>
        <w:spacing w:line="360" w:lineRule="auto"/>
        <w:ind w:firstLine="480" w:firstLineChars="200"/>
        <w:rPr>
          <w:rFonts w:ascii="宋体" w:hAnsi="宋体"/>
          <w:b/>
          <w:sz w:val="24"/>
          <w:szCs w:val="24"/>
        </w:rPr>
      </w:pPr>
      <w:r>
        <w:rPr>
          <w:rFonts w:hint="eastAsia" w:ascii="宋体" w:hAnsi="宋体" w:cs="宋体"/>
          <w:sz w:val="24"/>
          <w:szCs w:val="24"/>
        </w:rPr>
        <w:t>主要目标是例行巡检、驻场服务能主动发现各类预故障，并在发生故障后能得到及时的响应和处置，把对工作的影响降到最低，同时，与时俱进配合用户需求变化进行完善升级维护，以适应现实工作需要。</w:t>
      </w:r>
    </w:p>
    <w:p w14:paraId="540C4F55">
      <w:pPr>
        <w:spacing w:line="360" w:lineRule="auto"/>
        <w:ind w:firstLine="482" w:firstLineChars="200"/>
        <w:rPr>
          <w:rFonts w:ascii="宋体" w:hAnsi="宋体" w:cs="宋体"/>
          <w:b/>
          <w:sz w:val="24"/>
          <w:szCs w:val="24"/>
        </w:rPr>
      </w:pPr>
      <w:r>
        <w:rPr>
          <w:rFonts w:hint="eastAsia" w:ascii="宋体" w:hAnsi="宋体"/>
          <w:b/>
          <w:sz w:val="24"/>
          <w:szCs w:val="24"/>
        </w:rPr>
        <w:t>1.3 主要服务内容</w:t>
      </w:r>
    </w:p>
    <w:p w14:paraId="6DE1E045">
      <w:pPr>
        <w:spacing w:line="360" w:lineRule="auto"/>
        <w:ind w:firstLine="480" w:firstLineChars="200"/>
        <w:rPr>
          <w:rFonts w:ascii="宋体" w:hAnsi="宋体" w:cs="宋体"/>
          <w:sz w:val="24"/>
          <w:szCs w:val="24"/>
        </w:rPr>
      </w:pPr>
      <w:r>
        <w:rPr>
          <w:rFonts w:hint="eastAsia" w:ascii="宋体" w:hAnsi="宋体" w:cs="宋体"/>
          <w:sz w:val="24"/>
          <w:szCs w:val="24"/>
        </w:rPr>
        <w:t>本项目运维对象包括分局5套虚拟化云</w:t>
      </w:r>
      <w:r>
        <w:rPr>
          <w:rFonts w:ascii="宋体" w:hAnsi="宋体" w:cs="宋体"/>
          <w:sz w:val="24"/>
          <w:szCs w:val="24"/>
        </w:rPr>
        <w:t>平台</w:t>
      </w:r>
      <w:r>
        <w:rPr>
          <w:rFonts w:hint="eastAsia" w:ascii="宋体" w:hAnsi="宋体" w:cs="宋体"/>
          <w:sz w:val="24"/>
          <w:szCs w:val="24"/>
        </w:rPr>
        <w:t>、13套数据库、及包含接处警、</w:t>
      </w:r>
      <w:r>
        <w:rPr>
          <w:rFonts w:hint="eastAsia" w:ascii="宋体" w:hAnsi="宋体" w:cs="宋体"/>
          <w:kern w:val="2"/>
          <w:sz w:val="24"/>
          <w:szCs w:val="24"/>
        </w:rPr>
        <w:t>警保综合应用平台等</w:t>
      </w:r>
      <w:r>
        <w:rPr>
          <w:rFonts w:hint="eastAsia" w:ascii="宋体" w:hAnsi="宋体" w:cs="宋体"/>
          <w:sz w:val="24"/>
          <w:szCs w:val="24"/>
        </w:rPr>
        <w:t>业务相关应用系统15个、分局本部信息中心机房内服务器的基础软件系统。</w:t>
      </w:r>
    </w:p>
    <w:p w14:paraId="45C9EE73">
      <w:pPr>
        <w:spacing w:line="360" w:lineRule="auto"/>
        <w:ind w:firstLine="480" w:firstLineChars="200"/>
        <w:rPr>
          <w:rFonts w:ascii="宋体" w:hAnsi="宋体" w:cs="宋体"/>
          <w:sz w:val="24"/>
          <w:szCs w:val="24"/>
        </w:rPr>
      </w:pPr>
      <w:r>
        <w:rPr>
          <w:rFonts w:hint="eastAsia" w:ascii="宋体" w:hAnsi="宋体" w:cs="宋体"/>
          <w:sz w:val="24"/>
          <w:szCs w:val="24"/>
        </w:rPr>
        <w:t>本项目运维服务内容包括现场例行巡检和应急维护、安全加固、升级完善、临时服务等工作。</w:t>
      </w:r>
    </w:p>
    <w:p w14:paraId="659253EC">
      <w:pPr>
        <w:spacing w:line="360" w:lineRule="auto"/>
        <w:rPr>
          <w:rFonts w:ascii="宋体" w:hAnsi="宋体" w:cs="宋体"/>
          <w:b/>
          <w:sz w:val="24"/>
          <w:szCs w:val="24"/>
        </w:rPr>
      </w:pP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1.4</w:t>
      </w:r>
      <w:r>
        <w:rPr>
          <w:rFonts w:hint="eastAsia" w:ascii="宋体" w:hAnsi="宋体"/>
          <w:b/>
          <w:sz w:val="24"/>
          <w:szCs w:val="24"/>
        </w:rPr>
        <w:t>服务时间</w:t>
      </w:r>
    </w:p>
    <w:p w14:paraId="42EAB2C8">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一年</w:t>
      </w:r>
      <w:r>
        <w:rPr>
          <w:rFonts w:hint="eastAsia" w:ascii="宋体" w:hAnsi="宋体" w:cs="宋体"/>
          <w:sz w:val="24"/>
          <w:szCs w:val="24"/>
        </w:rPr>
        <w:t>。</w:t>
      </w:r>
    </w:p>
    <w:p w14:paraId="26786960">
      <w:pPr>
        <w:spacing w:line="360" w:lineRule="auto"/>
        <w:ind w:firstLine="482" w:firstLineChars="200"/>
        <w:rPr>
          <w:rFonts w:ascii="宋体" w:hAnsi="宋体" w:cs="宋体"/>
          <w:b/>
          <w:sz w:val="24"/>
          <w:szCs w:val="24"/>
        </w:rPr>
      </w:pPr>
      <w:r>
        <w:rPr>
          <w:rFonts w:hint="eastAsia" w:ascii="宋体" w:hAnsi="宋体" w:cs="宋体"/>
          <w:b/>
          <w:sz w:val="24"/>
          <w:szCs w:val="24"/>
        </w:rPr>
        <w:t>1.5 服务地点</w:t>
      </w:r>
    </w:p>
    <w:p w14:paraId="12647223">
      <w:pPr>
        <w:spacing w:line="360" w:lineRule="auto"/>
        <w:ind w:firstLine="480" w:firstLineChars="200"/>
        <w:rPr>
          <w:rFonts w:ascii="宋体" w:hAnsi="宋体" w:cs="宋体"/>
          <w:sz w:val="24"/>
          <w:szCs w:val="24"/>
        </w:rPr>
      </w:pPr>
      <w:r>
        <w:rPr>
          <w:rFonts w:hint="eastAsia" w:ascii="宋体" w:hAnsi="宋体" w:cs="宋体"/>
          <w:sz w:val="24"/>
          <w:szCs w:val="24"/>
        </w:rPr>
        <w:t>长宁公安分局驻点机房。</w:t>
      </w:r>
    </w:p>
    <w:p w14:paraId="2DEEE891">
      <w:pPr>
        <w:spacing w:line="360" w:lineRule="auto"/>
        <w:ind w:firstLine="480" w:firstLineChars="200"/>
        <w:rPr>
          <w:rFonts w:ascii="宋体" w:hAnsi="宋体" w:cs="宋体"/>
          <w:sz w:val="24"/>
          <w:szCs w:val="24"/>
        </w:rPr>
      </w:pPr>
    </w:p>
    <w:p w14:paraId="147A89CD">
      <w:pPr>
        <w:spacing w:line="360" w:lineRule="auto"/>
        <w:rPr>
          <w:rFonts w:ascii="宋体" w:hAnsi="宋体" w:cs="宋体"/>
          <w:b/>
          <w:bCs/>
          <w:sz w:val="28"/>
          <w:szCs w:val="28"/>
        </w:rPr>
      </w:pPr>
      <w:r>
        <w:rPr>
          <w:rFonts w:hint="eastAsia" w:ascii="宋体" w:hAnsi="宋体" w:cs="宋体"/>
          <w:b/>
          <w:bCs/>
          <w:sz w:val="28"/>
          <w:szCs w:val="28"/>
        </w:rPr>
        <w:t>2、服务内容及要求</w:t>
      </w:r>
    </w:p>
    <w:p w14:paraId="177467CD">
      <w:pPr>
        <w:spacing w:line="360" w:lineRule="auto"/>
        <w:ind w:firstLine="482" w:firstLineChars="200"/>
        <w:rPr>
          <w:rFonts w:ascii="宋体" w:hAnsi="宋体" w:cs="宋体"/>
          <w:b/>
          <w:sz w:val="24"/>
          <w:szCs w:val="24"/>
        </w:rPr>
      </w:pPr>
      <w:r>
        <w:rPr>
          <w:rFonts w:hint="eastAsia" w:ascii="宋体" w:hAnsi="宋体" w:cs="宋体"/>
          <w:b/>
          <w:sz w:val="24"/>
          <w:szCs w:val="24"/>
        </w:rPr>
        <w:t>2.1虚拟化软件运维</w:t>
      </w:r>
    </w:p>
    <w:p w14:paraId="77CB2F33">
      <w:pPr>
        <w:spacing w:line="360" w:lineRule="auto"/>
        <w:ind w:firstLine="480"/>
        <w:rPr>
          <w:rFonts w:ascii="宋体" w:hAnsi="宋体" w:cs="宋体"/>
          <w:sz w:val="24"/>
          <w:szCs w:val="24"/>
        </w:rPr>
      </w:pPr>
      <w:r>
        <w:rPr>
          <w:rFonts w:hint="eastAsia" w:ascii="宋体" w:hAnsi="宋体" w:cs="宋体"/>
          <w:b/>
          <w:sz w:val="24"/>
          <w:szCs w:val="24"/>
        </w:rPr>
        <w:t>2.1</w:t>
      </w:r>
      <w:r>
        <w:rPr>
          <w:rFonts w:ascii="宋体" w:hAnsi="宋体" w:cs="宋体"/>
          <w:b/>
          <w:sz w:val="24"/>
          <w:szCs w:val="24"/>
        </w:rPr>
        <w:t>.1</w:t>
      </w:r>
      <w:r>
        <w:rPr>
          <w:rFonts w:hint="eastAsia" w:ascii="宋体" w:hAnsi="宋体" w:cs="宋体"/>
          <w:sz w:val="24"/>
          <w:szCs w:val="24"/>
        </w:rPr>
        <w:t>虚拟化软件运维对象：</w:t>
      </w:r>
    </w:p>
    <w:p w14:paraId="51CC3F32">
      <w:pPr>
        <w:spacing w:line="360" w:lineRule="auto"/>
        <w:ind w:firstLine="708" w:firstLineChars="295"/>
        <w:rPr>
          <w:rFonts w:ascii="宋体" w:hAnsi="宋体" w:cs="宋体"/>
          <w:sz w:val="24"/>
          <w:szCs w:val="24"/>
        </w:rPr>
      </w:pPr>
      <w:r>
        <w:rPr>
          <w:rFonts w:hint="eastAsia" w:ascii="宋体" w:hAnsi="宋体" w:cs="宋体"/>
          <w:sz w:val="24"/>
          <w:szCs w:val="24"/>
        </w:rPr>
        <w:t>为5套虚拟化软件系统。</w:t>
      </w:r>
    </w:p>
    <w:p w14:paraId="0668AE35">
      <w:pPr>
        <w:spacing w:line="360" w:lineRule="auto"/>
        <w:ind w:firstLine="708" w:firstLineChars="295"/>
        <w:rPr>
          <w:rFonts w:ascii="宋体" w:hAnsi="宋体" w:cs="宋体"/>
          <w:sz w:val="24"/>
          <w:szCs w:val="24"/>
        </w:rPr>
      </w:pPr>
    </w:p>
    <w:tbl>
      <w:tblPr>
        <w:tblStyle w:val="15"/>
        <w:tblW w:w="7229" w:type="dxa"/>
        <w:tblInd w:w="817" w:type="dxa"/>
        <w:tblLayout w:type="autofit"/>
        <w:tblCellMar>
          <w:top w:w="0" w:type="dxa"/>
          <w:left w:w="108" w:type="dxa"/>
          <w:bottom w:w="0" w:type="dxa"/>
          <w:right w:w="108" w:type="dxa"/>
        </w:tblCellMar>
      </w:tblPr>
      <w:tblGrid>
        <w:gridCol w:w="1701"/>
        <w:gridCol w:w="1985"/>
        <w:gridCol w:w="1417"/>
        <w:gridCol w:w="2126"/>
      </w:tblGrid>
      <w:tr w14:paraId="749E4E42">
        <w:tblPrEx>
          <w:tblCellMar>
            <w:top w:w="0" w:type="dxa"/>
            <w:left w:w="108" w:type="dxa"/>
            <w:bottom w:w="0" w:type="dxa"/>
            <w:right w:w="108" w:type="dxa"/>
          </w:tblCellMar>
        </w:tblPrEx>
        <w:trPr>
          <w:trHeight w:val="439"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FFEA6">
            <w:pPr>
              <w:jc w:val="center"/>
              <w:rPr>
                <w:rFonts w:ascii="宋体" w:hAnsi="宋体" w:cs="宋体"/>
                <w:b/>
                <w:bCs/>
                <w:sz w:val="24"/>
                <w:szCs w:val="24"/>
              </w:rPr>
            </w:pPr>
            <w:r>
              <w:rPr>
                <w:rFonts w:hint="eastAsia" w:ascii="宋体" w:hAnsi="宋体" w:cs="宋体"/>
                <w:b/>
                <w:bCs/>
                <w:sz w:val="24"/>
                <w:szCs w:val="24"/>
              </w:rPr>
              <w:t>所属网络</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4801E25">
            <w:pPr>
              <w:jc w:val="center"/>
              <w:rPr>
                <w:rFonts w:ascii="宋体" w:hAnsi="宋体" w:cs="宋体"/>
                <w:b/>
                <w:bCs/>
                <w:sz w:val="24"/>
                <w:szCs w:val="24"/>
              </w:rPr>
            </w:pPr>
            <w:r>
              <w:rPr>
                <w:rFonts w:hint="eastAsia" w:ascii="宋体" w:hAnsi="宋体" w:cs="宋体"/>
                <w:sz w:val="24"/>
                <w:szCs w:val="24"/>
              </w:rPr>
              <w:t>虚拟化软件品牌</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05E7FEC2">
            <w:pPr>
              <w:jc w:val="center"/>
              <w:rPr>
                <w:rFonts w:ascii="宋体" w:hAnsi="宋体" w:cs="宋体"/>
                <w:b/>
                <w:bCs/>
                <w:sz w:val="24"/>
                <w:szCs w:val="24"/>
              </w:rPr>
            </w:pPr>
            <w:r>
              <w:rPr>
                <w:rFonts w:hint="eastAsia" w:ascii="宋体" w:hAnsi="宋体" w:cs="宋体"/>
                <w:b/>
                <w:bCs/>
                <w:sz w:val="24"/>
                <w:szCs w:val="24"/>
              </w:rPr>
              <w:t>软件版本</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90FDF3C">
            <w:pPr>
              <w:jc w:val="center"/>
              <w:rPr>
                <w:rFonts w:ascii="宋体" w:hAnsi="宋体" w:cs="宋体"/>
                <w:b/>
                <w:bCs/>
                <w:sz w:val="24"/>
                <w:szCs w:val="24"/>
              </w:rPr>
            </w:pPr>
            <w:r>
              <w:rPr>
                <w:rFonts w:hint="eastAsia" w:ascii="宋体" w:hAnsi="宋体" w:cs="宋体"/>
                <w:b/>
                <w:bCs/>
                <w:sz w:val="24"/>
                <w:szCs w:val="24"/>
              </w:rPr>
              <w:t>系统规模</w:t>
            </w:r>
          </w:p>
        </w:tc>
      </w:tr>
      <w:tr w14:paraId="790AA38B">
        <w:tblPrEx>
          <w:tblCellMar>
            <w:top w:w="0" w:type="dxa"/>
            <w:left w:w="108" w:type="dxa"/>
            <w:bottom w:w="0" w:type="dxa"/>
            <w:right w:w="108" w:type="dxa"/>
          </w:tblCellMar>
        </w:tblPrEx>
        <w:trPr>
          <w:trHeight w:val="439" w:hRule="atLeast"/>
        </w:trPr>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14:paraId="66887007">
            <w:pPr>
              <w:jc w:val="center"/>
              <w:rPr>
                <w:rFonts w:ascii="宋体" w:hAnsi="宋体" w:cs="宋体"/>
                <w:sz w:val="24"/>
                <w:szCs w:val="24"/>
              </w:rPr>
            </w:pPr>
            <w:r>
              <w:rPr>
                <w:rFonts w:hint="eastAsia" w:ascii="宋体" w:hAnsi="宋体" w:cs="宋体"/>
                <w:sz w:val="24"/>
                <w:szCs w:val="24"/>
              </w:rPr>
              <w:t>TX网</w:t>
            </w:r>
          </w:p>
        </w:tc>
        <w:tc>
          <w:tcPr>
            <w:tcW w:w="1985" w:type="dxa"/>
            <w:tcBorders>
              <w:top w:val="nil"/>
              <w:left w:val="nil"/>
              <w:bottom w:val="single" w:color="auto" w:sz="4" w:space="0"/>
              <w:right w:val="single" w:color="auto" w:sz="4" w:space="0"/>
            </w:tcBorders>
            <w:shd w:val="clear" w:color="auto" w:fill="auto"/>
            <w:noWrap/>
            <w:vAlign w:val="center"/>
          </w:tcPr>
          <w:p w14:paraId="7D4C28D5">
            <w:pPr>
              <w:jc w:val="center"/>
              <w:rPr>
                <w:rFonts w:ascii="宋体" w:hAnsi="宋体" w:cs="宋体"/>
                <w:sz w:val="24"/>
                <w:szCs w:val="24"/>
              </w:rPr>
            </w:pPr>
            <w:r>
              <w:rPr>
                <w:rFonts w:hint="eastAsia" w:ascii="宋体" w:hAnsi="宋体" w:cs="宋体"/>
                <w:sz w:val="24"/>
                <w:szCs w:val="24"/>
              </w:rPr>
              <w:t>VMWare</w:t>
            </w:r>
          </w:p>
        </w:tc>
        <w:tc>
          <w:tcPr>
            <w:tcW w:w="1417" w:type="dxa"/>
            <w:tcBorders>
              <w:top w:val="nil"/>
              <w:left w:val="nil"/>
              <w:bottom w:val="single" w:color="auto" w:sz="4" w:space="0"/>
              <w:right w:val="single" w:color="auto" w:sz="4" w:space="0"/>
            </w:tcBorders>
            <w:shd w:val="clear" w:color="auto" w:fill="auto"/>
            <w:noWrap/>
            <w:vAlign w:val="center"/>
          </w:tcPr>
          <w:p w14:paraId="151F193B">
            <w:pPr>
              <w:jc w:val="center"/>
              <w:rPr>
                <w:rFonts w:ascii="宋体" w:hAnsi="宋体" w:cs="宋体"/>
                <w:sz w:val="24"/>
                <w:szCs w:val="24"/>
              </w:rPr>
            </w:pPr>
            <w:r>
              <w:rPr>
                <w:rFonts w:hint="eastAsia" w:ascii="宋体" w:hAnsi="宋体" w:cs="宋体"/>
                <w:sz w:val="24"/>
                <w:szCs w:val="24"/>
              </w:rPr>
              <w:t>6.7</w:t>
            </w:r>
          </w:p>
        </w:tc>
        <w:tc>
          <w:tcPr>
            <w:tcW w:w="2126" w:type="dxa"/>
            <w:tcBorders>
              <w:top w:val="nil"/>
              <w:left w:val="nil"/>
              <w:bottom w:val="single" w:color="auto" w:sz="4" w:space="0"/>
              <w:right w:val="single" w:color="auto" w:sz="4" w:space="0"/>
            </w:tcBorders>
            <w:shd w:val="clear" w:color="auto" w:fill="auto"/>
            <w:noWrap/>
            <w:vAlign w:val="center"/>
          </w:tcPr>
          <w:p w14:paraId="1B0FA5C3">
            <w:pPr>
              <w:jc w:val="right"/>
              <w:rPr>
                <w:rFonts w:ascii="宋体" w:hAnsi="宋体" w:cs="宋体"/>
                <w:sz w:val="24"/>
                <w:szCs w:val="24"/>
              </w:rPr>
            </w:pPr>
            <w:r>
              <w:rPr>
                <w:rFonts w:hint="eastAsia" w:ascii="宋体" w:hAnsi="宋体" w:cs="宋体"/>
                <w:bCs/>
                <w:sz w:val="24"/>
                <w:szCs w:val="24"/>
              </w:rPr>
              <w:t>百级CPU核数</w:t>
            </w:r>
          </w:p>
        </w:tc>
      </w:tr>
      <w:tr w14:paraId="299259BD">
        <w:tblPrEx>
          <w:tblCellMar>
            <w:top w:w="0" w:type="dxa"/>
            <w:left w:w="108" w:type="dxa"/>
            <w:bottom w:w="0" w:type="dxa"/>
            <w:right w:w="108" w:type="dxa"/>
          </w:tblCellMar>
        </w:tblPrEx>
        <w:trPr>
          <w:trHeight w:val="439" w:hRule="atLeast"/>
        </w:trPr>
        <w:tc>
          <w:tcPr>
            <w:tcW w:w="1701" w:type="dxa"/>
            <w:vMerge w:val="continue"/>
            <w:tcBorders>
              <w:top w:val="nil"/>
              <w:left w:val="single" w:color="auto" w:sz="4" w:space="0"/>
              <w:bottom w:val="single" w:color="auto" w:sz="4" w:space="0"/>
              <w:right w:val="single" w:color="auto" w:sz="4" w:space="0"/>
            </w:tcBorders>
            <w:vAlign w:val="center"/>
          </w:tcPr>
          <w:p w14:paraId="4C9583E0">
            <w:pPr>
              <w:rPr>
                <w:rFonts w:ascii="宋体" w:hAnsi="宋体" w:cs="宋体"/>
                <w:sz w:val="24"/>
                <w:szCs w:val="24"/>
              </w:rPr>
            </w:pPr>
          </w:p>
        </w:tc>
        <w:tc>
          <w:tcPr>
            <w:tcW w:w="1985" w:type="dxa"/>
            <w:tcBorders>
              <w:top w:val="nil"/>
              <w:left w:val="nil"/>
              <w:bottom w:val="single" w:color="auto" w:sz="4" w:space="0"/>
              <w:right w:val="single" w:color="auto" w:sz="4" w:space="0"/>
            </w:tcBorders>
            <w:shd w:val="clear" w:color="auto" w:fill="auto"/>
            <w:noWrap/>
            <w:vAlign w:val="center"/>
          </w:tcPr>
          <w:p w14:paraId="1005953E">
            <w:pPr>
              <w:jc w:val="center"/>
              <w:rPr>
                <w:rFonts w:ascii="宋体" w:hAnsi="宋体" w:cs="宋体"/>
                <w:sz w:val="24"/>
                <w:szCs w:val="24"/>
              </w:rPr>
            </w:pPr>
            <w:r>
              <w:rPr>
                <w:rFonts w:hint="eastAsia" w:ascii="宋体" w:hAnsi="宋体" w:cs="宋体"/>
                <w:sz w:val="24"/>
                <w:szCs w:val="24"/>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4F34C19E">
            <w:pPr>
              <w:jc w:val="center"/>
              <w:rPr>
                <w:rFonts w:ascii="宋体" w:hAnsi="宋体" w:cs="宋体"/>
                <w:sz w:val="24"/>
                <w:szCs w:val="24"/>
              </w:rPr>
            </w:pPr>
            <w:r>
              <w:rPr>
                <w:rFonts w:hint="eastAsia" w:ascii="宋体" w:hAnsi="宋体" w:cs="宋体"/>
                <w:sz w:val="24"/>
                <w:szCs w:val="24"/>
              </w:rPr>
              <w:t>6.5.1</w:t>
            </w:r>
          </w:p>
        </w:tc>
        <w:tc>
          <w:tcPr>
            <w:tcW w:w="2126" w:type="dxa"/>
            <w:tcBorders>
              <w:top w:val="nil"/>
              <w:left w:val="nil"/>
              <w:bottom w:val="single" w:color="auto" w:sz="4" w:space="0"/>
              <w:right w:val="single" w:color="auto" w:sz="4" w:space="0"/>
            </w:tcBorders>
            <w:shd w:val="clear" w:color="auto" w:fill="auto"/>
            <w:noWrap/>
            <w:vAlign w:val="center"/>
          </w:tcPr>
          <w:p w14:paraId="02B40194">
            <w:pPr>
              <w:jc w:val="right"/>
              <w:rPr>
                <w:rFonts w:ascii="宋体" w:hAnsi="宋体" w:cs="宋体"/>
                <w:sz w:val="24"/>
                <w:szCs w:val="24"/>
              </w:rPr>
            </w:pPr>
            <w:r>
              <w:rPr>
                <w:rFonts w:hint="eastAsia" w:ascii="宋体" w:hAnsi="宋体" w:cs="宋体"/>
                <w:sz w:val="24"/>
                <w:szCs w:val="24"/>
              </w:rPr>
              <w:t xml:space="preserve">三万级CPU核 </w:t>
            </w:r>
          </w:p>
        </w:tc>
      </w:tr>
      <w:tr w14:paraId="0B8D539D">
        <w:tblPrEx>
          <w:tblCellMar>
            <w:top w:w="0" w:type="dxa"/>
            <w:left w:w="108" w:type="dxa"/>
            <w:bottom w:w="0" w:type="dxa"/>
            <w:right w:w="108" w:type="dxa"/>
          </w:tblCellMar>
        </w:tblPrEx>
        <w:trPr>
          <w:trHeight w:val="439" w:hRule="atLeast"/>
        </w:trPr>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14:paraId="218B7543">
            <w:pPr>
              <w:jc w:val="center"/>
              <w:rPr>
                <w:rFonts w:ascii="宋体" w:hAnsi="宋体" w:cs="宋体"/>
                <w:sz w:val="24"/>
                <w:szCs w:val="24"/>
              </w:rPr>
            </w:pPr>
            <w:r>
              <w:rPr>
                <w:rFonts w:hint="eastAsia" w:ascii="宋体" w:hAnsi="宋体" w:cs="宋体"/>
                <w:sz w:val="24"/>
                <w:szCs w:val="24"/>
              </w:rPr>
              <w:t>GA网三类区</w:t>
            </w:r>
          </w:p>
        </w:tc>
        <w:tc>
          <w:tcPr>
            <w:tcW w:w="1985" w:type="dxa"/>
            <w:tcBorders>
              <w:top w:val="nil"/>
              <w:left w:val="nil"/>
              <w:bottom w:val="single" w:color="auto" w:sz="4" w:space="0"/>
              <w:right w:val="single" w:color="auto" w:sz="4" w:space="0"/>
            </w:tcBorders>
            <w:shd w:val="clear" w:color="auto" w:fill="auto"/>
            <w:noWrap/>
            <w:vAlign w:val="center"/>
          </w:tcPr>
          <w:p w14:paraId="5D7B215F">
            <w:pPr>
              <w:jc w:val="center"/>
              <w:rPr>
                <w:rFonts w:ascii="宋体" w:hAnsi="宋体" w:cs="宋体"/>
                <w:sz w:val="24"/>
                <w:szCs w:val="24"/>
              </w:rPr>
            </w:pPr>
            <w:r>
              <w:rPr>
                <w:rFonts w:hint="eastAsia" w:ascii="宋体" w:hAnsi="宋体" w:cs="宋体"/>
                <w:sz w:val="24"/>
                <w:szCs w:val="24"/>
              </w:rPr>
              <w:t>VMWare</w:t>
            </w:r>
          </w:p>
        </w:tc>
        <w:tc>
          <w:tcPr>
            <w:tcW w:w="1417" w:type="dxa"/>
            <w:tcBorders>
              <w:top w:val="nil"/>
              <w:left w:val="nil"/>
              <w:bottom w:val="single" w:color="auto" w:sz="4" w:space="0"/>
              <w:right w:val="single" w:color="auto" w:sz="4" w:space="0"/>
            </w:tcBorders>
            <w:shd w:val="clear" w:color="auto" w:fill="auto"/>
            <w:noWrap/>
            <w:vAlign w:val="center"/>
          </w:tcPr>
          <w:p w14:paraId="4AEECC08">
            <w:pPr>
              <w:jc w:val="center"/>
              <w:rPr>
                <w:rFonts w:ascii="宋体" w:hAnsi="宋体" w:cs="宋体"/>
                <w:sz w:val="24"/>
                <w:szCs w:val="24"/>
              </w:rPr>
            </w:pPr>
            <w:r>
              <w:rPr>
                <w:rFonts w:hint="eastAsia" w:ascii="宋体" w:hAnsi="宋体" w:cs="宋体"/>
                <w:sz w:val="24"/>
                <w:szCs w:val="24"/>
              </w:rPr>
              <w:t>6.7</w:t>
            </w:r>
          </w:p>
        </w:tc>
        <w:tc>
          <w:tcPr>
            <w:tcW w:w="2126" w:type="dxa"/>
            <w:tcBorders>
              <w:top w:val="nil"/>
              <w:left w:val="nil"/>
              <w:bottom w:val="single" w:color="auto" w:sz="4" w:space="0"/>
              <w:right w:val="single" w:color="auto" w:sz="4" w:space="0"/>
            </w:tcBorders>
            <w:shd w:val="clear" w:color="auto" w:fill="auto"/>
            <w:noWrap/>
            <w:vAlign w:val="center"/>
          </w:tcPr>
          <w:p w14:paraId="613C7045">
            <w:pPr>
              <w:jc w:val="right"/>
              <w:rPr>
                <w:rFonts w:ascii="宋体" w:hAnsi="宋体" w:cs="宋体"/>
                <w:sz w:val="24"/>
                <w:szCs w:val="24"/>
              </w:rPr>
            </w:pPr>
            <w:r>
              <w:rPr>
                <w:rFonts w:hint="eastAsia" w:ascii="宋体" w:hAnsi="宋体" w:cs="宋体"/>
                <w:bCs/>
                <w:sz w:val="24"/>
                <w:szCs w:val="24"/>
              </w:rPr>
              <w:t>二百级CPU核</w:t>
            </w:r>
          </w:p>
        </w:tc>
      </w:tr>
      <w:tr w14:paraId="1396ADCF">
        <w:tblPrEx>
          <w:tblCellMar>
            <w:top w:w="0" w:type="dxa"/>
            <w:left w:w="108" w:type="dxa"/>
            <w:bottom w:w="0" w:type="dxa"/>
            <w:right w:w="108" w:type="dxa"/>
          </w:tblCellMar>
        </w:tblPrEx>
        <w:trPr>
          <w:trHeight w:val="439" w:hRule="atLeast"/>
        </w:trPr>
        <w:tc>
          <w:tcPr>
            <w:tcW w:w="1701" w:type="dxa"/>
            <w:vMerge w:val="continue"/>
            <w:tcBorders>
              <w:top w:val="nil"/>
              <w:left w:val="single" w:color="auto" w:sz="4" w:space="0"/>
              <w:bottom w:val="single" w:color="auto" w:sz="4" w:space="0"/>
              <w:right w:val="single" w:color="auto" w:sz="4" w:space="0"/>
            </w:tcBorders>
            <w:vAlign w:val="center"/>
          </w:tcPr>
          <w:p w14:paraId="34F95BAE">
            <w:pPr>
              <w:rPr>
                <w:rFonts w:ascii="宋体" w:hAnsi="宋体" w:cs="宋体"/>
                <w:sz w:val="24"/>
                <w:szCs w:val="24"/>
              </w:rPr>
            </w:pPr>
          </w:p>
        </w:tc>
        <w:tc>
          <w:tcPr>
            <w:tcW w:w="1985" w:type="dxa"/>
            <w:tcBorders>
              <w:top w:val="nil"/>
              <w:left w:val="nil"/>
              <w:bottom w:val="single" w:color="auto" w:sz="4" w:space="0"/>
              <w:right w:val="single" w:color="auto" w:sz="4" w:space="0"/>
            </w:tcBorders>
            <w:shd w:val="clear" w:color="auto" w:fill="auto"/>
            <w:noWrap/>
            <w:vAlign w:val="center"/>
          </w:tcPr>
          <w:p w14:paraId="2DCC8FDB">
            <w:pPr>
              <w:jc w:val="center"/>
              <w:rPr>
                <w:rFonts w:ascii="宋体" w:hAnsi="宋体" w:cs="宋体"/>
                <w:sz w:val="24"/>
                <w:szCs w:val="24"/>
              </w:rPr>
            </w:pPr>
            <w:r>
              <w:rPr>
                <w:rFonts w:hint="eastAsia" w:ascii="宋体" w:hAnsi="宋体" w:cs="宋体"/>
                <w:sz w:val="24"/>
                <w:szCs w:val="24"/>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14DDFAA4">
            <w:pPr>
              <w:jc w:val="center"/>
              <w:rPr>
                <w:rFonts w:ascii="宋体" w:hAnsi="宋体" w:cs="宋体"/>
                <w:sz w:val="24"/>
                <w:szCs w:val="24"/>
              </w:rPr>
            </w:pPr>
            <w:r>
              <w:rPr>
                <w:rFonts w:hint="eastAsia" w:ascii="宋体" w:hAnsi="宋体" w:cs="宋体"/>
                <w:sz w:val="24"/>
                <w:szCs w:val="24"/>
              </w:rPr>
              <w:t>8.0.3</w:t>
            </w:r>
          </w:p>
        </w:tc>
        <w:tc>
          <w:tcPr>
            <w:tcW w:w="2126" w:type="dxa"/>
            <w:tcBorders>
              <w:top w:val="nil"/>
              <w:left w:val="nil"/>
              <w:bottom w:val="single" w:color="auto" w:sz="4" w:space="0"/>
              <w:right w:val="single" w:color="auto" w:sz="4" w:space="0"/>
            </w:tcBorders>
            <w:shd w:val="clear" w:color="auto" w:fill="auto"/>
            <w:noWrap/>
            <w:vAlign w:val="center"/>
          </w:tcPr>
          <w:p w14:paraId="5BC03A09">
            <w:pPr>
              <w:jc w:val="right"/>
              <w:rPr>
                <w:rFonts w:ascii="宋体" w:hAnsi="宋体" w:cs="宋体"/>
                <w:sz w:val="24"/>
                <w:szCs w:val="24"/>
              </w:rPr>
            </w:pPr>
            <w:r>
              <w:rPr>
                <w:rFonts w:hint="eastAsia" w:ascii="宋体" w:hAnsi="宋体" w:cs="宋体"/>
                <w:sz w:val="24"/>
                <w:szCs w:val="24"/>
              </w:rPr>
              <w:t>五千级CPU核</w:t>
            </w:r>
          </w:p>
        </w:tc>
      </w:tr>
      <w:tr w14:paraId="2DAD54E9">
        <w:tblPrEx>
          <w:tblCellMar>
            <w:top w:w="0" w:type="dxa"/>
            <w:left w:w="108" w:type="dxa"/>
            <w:bottom w:w="0" w:type="dxa"/>
            <w:right w:w="108" w:type="dxa"/>
          </w:tblCellMar>
        </w:tblPrEx>
        <w:trPr>
          <w:trHeight w:val="533"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76E88204">
            <w:pPr>
              <w:jc w:val="center"/>
              <w:rPr>
                <w:rFonts w:ascii="宋体" w:hAnsi="宋体" w:cs="宋体"/>
                <w:sz w:val="24"/>
                <w:szCs w:val="24"/>
              </w:rPr>
            </w:pPr>
            <w:r>
              <w:rPr>
                <w:rFonts w:hint="eastAsia" w:ascii="宋体" w:hAnsi="宋体" w:cs="宋体"/>
                <w:sz w:val="24"/>
                <w:szCs w:val="24"/>
              </w:rPr>
              <w:t>GA网二类区</w:t>
            </w:r>
          </w:p>
        </w:tc>
        <w:tc>
          <w:tcPr>
            <w:tcW w:w="1985" w:type="dxa"/>
            <w:tcBorders>
              <w:top w:val="nil"/>
              <w:left w:val="nil"/>
              <w:bottom w:val="single" w:color="auto" w:sz="4" w:space="0"/>
              <w:right w:val="single" w:color="auto" w:sz="4" w:space="0"/>
            </w:tcBorders>
            <w:shd w:val="clear" w:color="auto" w:fill="auto"/>
            <w:noWrap/>
            <w:vAlign w:val="center"/>
          </w:tcPr>
          <w:p w14:paraId="040C13F4">
            <w:pPr>
              <w:jc w:val="center"/>
              <w:rPr>
                <w:rFonts w:ascii="宋体" w:hAnsi="宋体" w:cs="宋体"/>
                <w:sz w:val="24"/>
                <w:szCs w:val="24"/>
              </w:rPr>
            </w:pPr>
            <w:r>
              <w:rPr>
                <w:rFonts w:hint="eastAsia" w:ascii="宋体" w:hAnsi="宋体" w:cs="宋体"/>
                <w:sz w:val="24"/>
                <w:szCs w:val="24"/>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5FFC106A">
            <w:pPr>
              <w:jc w:val="center"/>
              <w:rPr>
                <w:rFonts w:ascii="宋体" w:hAnsi="宋体" w:cs="宋体"/>
                <w:sz w:val="24"/>
                <w:szCs w:val="24"/>
              </w:rPr>
            </w:pPr>
            <w:r>
              <w:rPr>
                <w:rFonts w:hint="eastAsia" w:ascii="宋体" w:hAnsi="宋体" w:cs="宋体"/>
                <w:sz w:val="24"/>
                <w:szCs w:val="24"/>
              </w:rPr>
              <w:t>8.2.0</w:t>
            </w:r>
          </w:p>
        </w:tc>
        <w:tc>
          <w:tcPr>
            <w:tcW w:w="2126" w:type="dxa"/>
            <w:tcBorders>
              <w:top w:val="nil"/>
              <w:left w:val="nil"/>
              <w:bottom w:val="single" w:color="auto" w:sz="4" w:space="0"/>
              <w:right w:val="single" w:color="auto" w:sz="4" w:space="0"/>
            </w:tcBorders>
            <w:shd w:val="clear" w:color="auto" w:fill="auto"/>
            <w:noWrap/>
            <w:vAlign w:val="center"/>
          </w:tcPr>
          <w:p w14:paraId="1D8B72BF">
            <w:pPr>
              <w:jc w:val="right"/>
              <w:rPr>
                <w:rFonts w:ascii="宋体" w:hAnsi="宋体" w:cs="宋体"/>
                <w:sz w:val="24"/>
                <w:szCs w:val="24"/>
              </w:rPr>
            </w:pPr>
            <w:r>
              <w:rPr>
                <w:rFonts w:hint="eastAsia" w:ascii="宋体" w:hAnsi="宋体" w:cs="宋体"/>
                <w:bCs/>
                <w:sz w:val="24"/>
                <w:szCs w:val="24"/>
              </w:rPr>
              <w:t>三百级CPU核</w:t>
            </w:r>
          </w:p>
        </w:tc>
      </w:tr>
    </w:tbl>
    <w:p w14:paraId="31720FF2">
      <w:pPr>
        <w:spacing w:line="360" w:lineRule="auto"/>
        <w:ind w:firstLine="424" w:firstLineChars="177"/>
        <w:rPr>
          <w:rFonts w:ascii="宋体" w:hAnsi="宋体" w:cs="宋体"/>
          <w:sz w:val="24"/>
          <w:szCs w:val="24"/>
        </w:rPr>
      </w:pPr>
    </w:p>
    <w:p w14:paraId="0BE787DA">
      <w:pPr>
        <w:spacing w:line="360" w:lineRule="auto"/>
        <w:ind w:firstLine="547" w:firstLineChars="227"/>
        <w:rPr>
          <w:rFonts w:ascii="宋体" w:hAnsi="宋体" w:cs="宋体"/>
          <w:bCs/>
          <w:kern w:val="2"/>
          <w:sz w:val="24"/>
          <w:szCs w:val="24"/>
        </w:rPr>
      </w:pPr>
      <w:r>
        <w:rPr>
          <w:rFonts w:hint="eastAsia" w:ascii="宋体" w:hAnsi="宋体" w:cs="宋体"/>
          <w:b/>
          <w:sz w:val="24"/>
          <w:szCs w:val="24"/>
        </w:rPr>
        <w:t>2.1</w:t>
      </w:r>
      <w:r>
        <w:rPr>
          <w:rFonts w:ascii="宋体" w:hAnsi="宋体" w:cs="宋体"/>
          <w:b/>
          <w:sz w:val="24"/>
          <w:szCs w:val="24"/>
        </w:rPr>
        <w:t>.2</w:t>
      </w:r>
      <w:r>
        <w:rPr>
          <w:rFonts w:hint="eastAsia" w:ascii="宋体" w:hAnsi="宋体" w:cs="宋体"/>
          <w:sz w:val="24"/>
          <w:szCs w:val="24"/>
        </w:rPr>
        <w:t>虚拟化软件运维</w:t>
      </w:r>
      <w:r>
        <w:rPr>
          <w:rFonts w:hint="eastAsia" w:ascii="宋体" w:hAnsi="宋体"/>
          <w:kern w:val="2"/>
          <w:sz w:val="24"/>
          <w:szCs w:val="24"/>
        </w:rPr>
        <w:t>维</w:t>
      </w:r>
      <w:r>
        <w:rPr>
          <w:rFonts w:hint="eastAsia" w:ascii="宋体" w:hAnsi="宋体" w:cs="宋体"/>
          <w:bCs/>
          <w:kern w:val="2"/>
          <w:sz w:val="24"/>
          <w:szCs w:val="24"/>
        </w:rPr>
        <w:t>护服务内容如下：</w:t>
      </w:r>
    </w:p>
    <w:p w14:paraId="6BE685E7">
      <w:pPr>
        <w:spacing w:line="360" w:lineRule="auto"/>
        <w:ind w:firstLine="480" w:firstLineChars="200"/>
        <w:rPr>
          <w:rFonts w:ascii="宋体" w:hAnsi="宋体" w:cs="宋体"/>
          <w:sz w:val="24"/>
          <w:szCs w:val="24"/>
        </w:rPr>
      </w:pPr>
      <w:r>
        <w:rPr>
          <w:rFonts w:hint="eastAsia" w:ascii="宋体" w:hAnsi="宋体" w:cs="宋体"/>
          <w:sz w:val="24"/>
          <w:szCs w:val="24"/>
        </w:rPr>
        <w:t>驻场服务</w:t>
      </w:r>
    </w:p>
    <w:p w14:paraId="469489A9">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本项目供应商需提供驻场服务，驻场时间为国家规定的上班时间，服务内容包括日常巡检、使用管理、简单故障恢复；日常巡检为虚拟机环境、运行状态、告警状态检查。每月提供一次月报，巡检包括</w:t>
      </w:r>
      <w:r>
        <w:rPr>
          <w:rFonts w:hint="eastAsia" w:ascii="宋体" w:hAnsi="Calibri"/>
          <w:sz w:val="24"/>
          <w:szCs w:val="24"/>
        </w:rPr>
        <w:t>软件性能检查（针对系统出现的瓶颈进行检测，分析、排障，并给出进一步的优化建议。）、系统性能检查（程序及服务占用资源分析、CPU使用情况检查分析、内存使用情况分析、检查磁盘使用情况分析、检查I/O 性能分析、检查网络吞吐量分析、检查告警日志的排查及说明解释。）</w:t>
      </w:r>
    </w:p>
    <w:p w14:paraId="5FF7BE62">
      <w:pPr>
        <w:spacing w:line="360" w:lineRule="auto"/>
        <w:ind w:firstLine="480" w:firstLineChars="200"/>
        <w:rPr>
          <w:rFonts w:ascii="宋体" w:hAnsi="宋体" w:cs="宋体"/>
          <w:sz w:val="24"/>
          <w:szCs w:val="24"/>
        </w:rPr>
      </w:pPr>
      <w:r>
        <w:rPr>
          <w:rFonts w:hint="eastAsia" w:ascii="宋体" w:hAnsi="宋体" w:cs="宋体"/>
          <w:sz w:val="24"/>
          <w:szCs w:val="24"/>
        </w:rPr>
        <w:t>应急服务</w:t>
      </w:r>
    </w:p>
    <w:p w14:paraId="28A548C1">
      <w:pPr>
        <w:spacing w:line="360" w:lineRule="auto"/>
        <w:ind w:firstLine="566" w:firstLineChars="236"/>
        <w:rPr>
          <w:rFonts w:ascii="宋体" w:hAnsi="Calibri"/>
          <w:sz w:val="24"/>
          <w:szCs w:val="24"/>
        </w:rPr>
      </w:pPr>
      <w:r>
        <w:rPr>
          <w:rFonts w:hint="eastAsia" w:ascii="宋体" w:hAnsi="宋体" w:cs="宋体"/>
          <w:sz w:val="24"/>
          <w:szCs w:val="24"/>
        </w:rPr>
        <w:t>华为云平台的复杂故障恢复应急服务及季度例行巡检服务由采购方向华为原厂另行采购，VMWare的复杂故障恢复应急服务及每月例行巡检服务由本项目供应商向专业服务商采购。</w:t>
      </w:r>
      <w:r>
        <w:rPr>
          <w:rFonts w:hint="eastAsia" w:ascii="宋体" w:hAnsi="Calibri"/>
          <w:sz w:val="24"/>
          <w:szCs w:val="24"/>
        </w:rPr>
        <w:t>当客户系统出现紧急故障时（即影响业务系统运行，或不立即修复将会导致客户利益损失的情况），</w:t>
      </w:r>
      <w:r>
        <w:rPr>
          <w:rFonts w:hint="eastAsia" w:ascii="宋体" w:hAnsi="宋体" w:cs="宋体"/>
          <w:sz w:val="24"/>
          <w:szCs w:val="24"/>
        </w:rPr>
        <w:t>本项目驻场服务人员</w:t>
      </w:r>
      <w:r>
        <w:rPr>
          <w:rFonts w:hint="eastAsia" w:ascii="宋体" w:hAnsi="Calibri"/>
          <w:sz w:val="24"/>
          <w:szCs w:val="24"/>
        </w:rPr>
        <w:t>接到客户报修后将立即已最快速的方式对客户进行支持。对于由于硬件和网络引起的故障，</w:t>
      </w:r>
      <w:r>
        <w:rPr>
          <w:rFonts w:hint="eastAsia" w:ascii="宋体" w:hAnsi="宋体" w:cs="宋体"/>
          <w:sz w:val="24"/>
          <w:szCs w:val="24"/>
        </w:rPr>
        <w:t>供应商</w:t>
      </w:r>
      <w:r>
        <w:rPr>
          <w:rFonts w:hint="eastAsia" w:ascii="宋体" w:hAnsi="Calibri"/>
          <w:sz w:val="24"/>
          <w:szCs w:val="24"/>
        </w:rPr>
        <w:t xml:space="preserve">将立即通报采购方指定供应商派出工程师到现场进行响应。对于软件产生的故障，以最快的方式恢复业务，随即到现场查明原因排除隐患。服务响应时间为 7*24时)  </w:t>
      </w:r>
    </w:p>
    <w:p w14:paraId="30970C96">
      <w:pPr>
        <w:spacing w:line="360" w:lineRule="auto"/>
        <w:ind w:firstLine="424" w:firstLineChars="177"/>
        <w:rPr>
          <w:rFonts w:ascii="宋体" w:hAnsi="Calibri"/>
          <w:sz w:val="24"/>
          <w:szCs w:val="24"/>
        </w:rPr>
      </w:pPr>
      <w:r>
        <w:rPr>
          <w:rFonts w:hint="eastAsia" w:ascii="宋体" w:hAnsi="Calibri"/>
          <w:sz w:val="24"/>
          <w:szCs w:val="24"/>
        </w:rPr>
        <w:t>其他服务</w:t>
      </w:r>
    </w:p>
    <w:p w14:paraId="559A9C0B">
      <w:pPr>
        <w:spacing w:line="360" w:lineRule="auto"/>
        <w:ind w:firstLine="480" w:firstLineChars="200"/>
        <w:rPr>
          <w:rFonts w:ascii="宋体" w:hAnsi="宋体" w:cs="宋体"/>
          <w:sz w:val="24"/>
          <w:szCs w:val="24"/>
        </w:rPr>
      </w:pPr>
      <w:r>
        <w:rPr>
          <w:rFonts w:hint="eastAsia" w:ascii="宋体" w:hAnsi="宋体" w:cs="宋体"/>
          <w:sz w:val="24"/>
          <w:szCs w:val="24"/>
        </w:rPr>
        <w:t>配合或协助其他虚拟机使用单位对虚拟机本身进行管理（操作系统、中间件、数据库、安全软件等）；</w:t>
      </w:r>
    </w:p>
    <w:p w14:paraId="23797ED0">
      <w:pPr>
        <w:widowControl w:val="0"/>
        <w:spacing w:line="360" w:lineRule="auto"/>
        <w:ind w:firstLine="420" w:firstLineChars="200"/>
        <w:jc w:val="both"/>
        <w:rPr>
          <w:rFonts w:ascii="宋体" w:hAnsi="Calibri"/>
          <w:sz w:val="21"/>
          <w:szCs w:val="21"/>
        </w:rPr>
      </w:pPr>
    </w:p>
    <w:p w14:paraId="1AA05E08">
      <w:pPr>
        <w:spacing w:line="360" w:lineRule="auto"/>
        <w:ind w:firstLine="482" w:firstLineChars="200"/>
        <w:rPr>
          <w:rFonts w:ascii="宋体" w:hAnsi="宋体" w:cs="宋体"/>
          <w:b/>
          <w:bCs/>
          <w:sz w:val="24"/>
          <w:szCs w:val="28"/>
        </w:rPr>
      </w:pPr>
      <w:r>
        <w:rPr>
          <w:rFonts w:hint="eastAsia" w:ascii="宋体" w:hAnsi="宋体" w:cs="宋体"/>
          <w:b/>
          <w:bCs/>
          <w:sz w:val="24"/>
          <w:szCs w:val="28"/>
        </w:rPr>
        <w:t>2.2 数据库系统运维</w:t>
      </w:r>
    </w:p>
    <w:p w14:paraId="4717391B">
      <w:pPr>
        <w:spacing w:line="360" w:lineRule="auto"/>
        <w:ind w:firstLine="480"/>
        <w:rPr>
          <w:rFonts w:ascii="宋体" w:hAnsi="宋体" w:cs="宋体"/>
          <w:sz w:val="24"/>
          <w:szCs w:val="24"/>
        </w:rPr>
      </w:pPr>
      <w:r>
        <w:rPr>
          <w:rFonts w:ascii="宋体" w:hAnsi="宋体" w:cs="宋体"/>
          <w:b/>
          <w:sz w:val="24"/>
          <w:szCs w:val="24"/>
        </w:rPr>
        <w:t>2.2.1</w:t>
      </w:r>
      <w:r>
        <w:rPr>
          <w:rFonts w:hint="eastAsia" w:ascii="宋体" w:hAnsi="宋体" w:cs="宋体"/>
          <w:sz w:val="24"/>
          <w:szCs w:val="24"/>
        </w:rPr>
        <w:t>数据库系统运维对象：为13套达梦国产数据库系统的运维。</w:t>
      </w:r>
    </w:p>
    <w:p w14:paraId="4CFA94E0">
      <w:pPr>
        <w:spacing w:line="360" w:lineRule="auto"/>
        <w:ind w:firstLine="482" w:firstLineChars="200"/>
        <w:rPr>
          <w:rFonts w:ascii="宋体" w:hAnsi="宋体" w:cs="宋体"/>
          <w:bCs/>
          <w:kern w:val="2"/>
          <w:sz w:val="24"/>
          <w:szCs w:val="24"/>
        </w:rPr>
      </w:pPr>
      <w:r>
        <w:rPr>
          <w:rFonts w:ascii="宋体" w:hAnsi="宋体" w:cs="宋体"/>
          <w:b/>
          <w:sz w:val="24"/>
          <w:szCs w:val="24"/>
        </w:rPr>
        <w:t>2.2.2</w:t>
      </w:r>
      <w:r>
        <w:rPr>
          <w:rFonts w:hint="eastAsia" w:ascii="宋体" w:hAnsi="宋体" w:cs="宋体"/>
          <w:sz w:val="24"/>
          <w:szCs w:val="24"/>
        </w:rPr>
        <w:t>数据库系统运维</w:t>
      </w:r>
      <w:r>
        <w:rPr>
          <w:rFonts w:hint="eastAsia" w:ascii="宋体" w:hAnsi="宋体"/>
          <w:kern w:val="2"/>
          <w:sz w:val="21"/>
          <w:szCs w:val="21"/>
        </w:rPr>
        <w:t>维</w:t>
      </w:r>
      <w:r>
        <w:rPr>
          <w:rFonts w:hint="eastAsia" w:ascii="宋体" w:hAnsi="宋体" w:cs="宋体"/>
          <w:bCs/>
          <w:kern w:val="2"/>
          <w:sz w:val="24"/>
          <w:szCs w:val="24"/>
        </w:rPr>
        <w:t>护服务内容如下：</w:t>
      </w:r>
    </w:p>
    <w:tbl>
      <w:tblPr>
        <w:tblStyle w:val="8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370"/>
        <w:gridCol w:w="3780"/>
      </w:tblGrid>
      <w:tr w14:paraId="4137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tcPr>
          <w:p w14:paraId="15EDBDBE">
            <w:pPr>
              <w:widowControl w:val="0"/>
              <w:spacing w:line="360" w:lineRule="auto"/>
              <w:jc w:val="center"/>
              <w:rPr>
                <w:rFonts w:ascii="宋体" w:hAnsi="宋体" w:cs="宋体"/>
                <w:sz w:val="24"/>
                <w:szCs w:val="24"/>
              </w:rPr>
            </w:pPr>
            <w:r>
              <w:rPr>
                <w:rFonts w:hint="eastAsia" w:ascii="宋体" w:hAnsi="宋体" w:cs="宋体"/>
                <w:sz w:val="24"/>
                <w:szCs w:val="24"/>
              </w:rPr>
              <w:t>类别</w:t>
            </w:r>
          </w:p>
        </w:tc>
        <w:tc>
          <w:tcPr>
            <w:tcW w:w="3402" w:type="dxa"/>
          </w:tcPr>
          <w:p w14:paraId="35039AD8">
            <w:pPr>
              <w:widowControl w:val="0"/>
              <w:spacing w:line="360" w:lineRule="auto"/>
              <w:jc w:val="center"/>
              <w:rPr>
                <w:rFonts w:ascii="宋体" w:hAnsi="宋体" w:cs="宋体"/>
                <w:sz w:val="24"/>
                <w:szCs w:val="24"/>
              </w:rPr>
            </w:pPr>
            <w:r>
              <w:rPr>
                <w:rFonts w:hint="eastAsia" w:ascii="Calibri" w:hAnsi="Calibri"/>
                <w:b/>
                <w:bCs/>
                <w:sz w:val="24"/>
                <w:szCs w:val="24"/>
                <w:lang w:eastAsia="zh-Hans"/>
              </w:rPr>
              <w:t>项目</w:t>
            </w:r>
          </w:p>
        </w:tc>
        <w:tc>
          <w:tcPr>
            <w:tcW w:w="3828" w:type="dxa"/>
          </w:tcPr>
          <w:p w14:paraId="66EB0190">
            <w:pPr>
              <w:widowControl w:val="0"/>
              <w:spacing w:line="360" w:lineRule="auto"/>
              <w:jc w:val="center"/>
              <w:rPr>
                <w:rFonts w:ascii="宋体" w:hAnsi="宋体" w:cs="宋体"/>
                <w:sz w:val="24"/>
                <w:szCs w:val="24"/>
              </w:rPr>
            </w:pPr>
            <w:r>
              <w:rPr>
                <w:rFonts w:hint="eastAsia" w:ascii="Calibri" w:hAnsi="Calibri"/>
                <w:b/>
                <w:bCs/>
                <w:sz w:val="24"/>
                <w:szCs w:val="24"/>
                <w:lang w:eastAsia="zh-Hans"/>
              </w:rPr>
              <w:t>要求</w:t>
            </w:r>
          </w:p>
        </w:tc>
      </w:tr>
      <w:tr w14:paraId="0D88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6459F6AF">
            <w:pPr>
              <w:widowControl w:val="0"/>
              <w:spacing w:line="360" w:lineRule="auto"/>
              <w:jc w:val="center"/>
              <w:rPr>
                <w:rFonts w:ascii="宋体" w:hAnsi="宋体" w:cs="宋体"/>
                <w:sz w:val="24"/>
                <w:szCs w:val="24"/>
              </w:rPr>
            </w:pPr>
            <w:r>
              <w:rPr>
                <w:rFonts w:hint="eastAsia" w:ascii="宋体" w:hAnsi="宋体" w:cs="宋体"/>
                <w:sz w:val="24"/>
                <w:szCs w:val="24"/>
              </w:rPr>
              <w:t>驻场服务</w:t>
            </w:r>
          </w:p>
        </w:tc>
        <w:tc>
          <w:tcPr>
            <w:tcW w:w="3402" w:type="dxa"/>
            <w:vAlign w:val="center"/>
          </w:tcPr>
          <w:p w14:paraId="0C6D26CC">
            <w:pPr>
              <w:widowControl w:val="0"/>
              <w:spacing w:line="360" w:lineRule="auto"/>
              <w:jc w:val="left"/>
              <w:rPr>
                <w:rFonts w:ascii="Calibri" w:hAnsi="Calibri"/>
                <w:bCs/>
                <w:sz w:val="24"/>
                <w:szCs w:val="24"/>
                <w:lang w:eastAsia="zh-Hans"/>
              </w:rPr>
            </w:pPr>
            <w:r>
              <w:rPr>
                <w:rFonts w:hint="eastAsia" w:ascii="Calibri" w:hAnsi="Calibri"/>
                <w:bCs/>
                <w:sz w:val="24"/>
                <w:szCs w:val="24"/>
                <w:lang w:eastAsia="zh-Hans"/>
              </w:rPr>
              <w:t>运行状态日常巡检</w:t>
            </w:r>
          </w:p>
        </w:tc>
        <w:tc>
          <w:tcPr>
            <w:tcW w:w="3828" w:type="dxa"/>
          </w:tcPr>
          <w:p w14:paraId="38F463D4">
            <w:pPr>
              <w:widowControl w:val="0"/>
              <w:spacing w:line="360" w:lineRule="auto"/>
              <w:jc w:val="left"/>
              <w:rPr>
                <w:rFonts w:ascii="Calibri" w:hAnsi="Calibri"/>
                <w:bCs/>
                <w:sz w:val="24"/>
                <w:szCs w:val="24"/>
                <w:lang w:eastAsia="zh-Hans"/>
              </w:rPr>
            </w:pPr>
            <w:r>
              <w:rPr>
                <w:rFonts w:hint="eastAsia" w:ascii="Calibri" w:hAnsi="Calibri"/>
                <w:bCs/>
                <w:sz w:val="24"/>
                <w:szCs w:val="24"/>
              </w:rPr>
              <w:t>本项目供应商需提供驻场服务，驻场时间为国家规定的上班时间，提供月报</w:t>
            </w:r>
          </w:p>
        </w:tc>
      </w:tr>
      <w:tr w14:paraId="15E2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75" w:type="dxa"/>
            <w:vMerge w:val="restart"/>
            <w:vAlign w:val="center"/>
          </w:tcPr>
          <w:p w14:paraId="4827D24C">
            <w:pPr>
              <w:widowControl w:val="0"/>
              <w:spacing w:line="360" w:lineRule="auto"/>
              <w:jc w:val="center"/>
              <w:rPr>
                <w:rFonts w:ascii="宋体" w:hAnsi="宋体" w:cs="宋体"/>
                <w:sz w:val="24"/>
                <w:szCs w:val="24"/>
              </w:rPr>
            </w:pPr>
            <w:r>
              <w:rPr>
                <w:rFonts w:hint="eastAsia" w:ascii="宋体" w:hAnsi="宋体" w:cs="宋体"/>
                <w:sz w:val="24"/>
                <w:szCs w:val="24"/>
              </w:rPr>
              <w:t>原</w:t>
            </w:r>
          </w:p>
          <w:p w14:paraId="0D0FEF83">
            <w:pPr>
              <w:widowControl w:val="0"/>
              <w:spacing w:line="360" w:lineRule="auto"/>
              <w:jc w:val="center"/>
              <w:rPr>
                <w:rFonts w:ascii="宋体" w:hAnsi="宋体" w:cs="宋体"/>
                <w:sz w:val="24"/>
                <w:szCs w:val="24"/>
              </w:rPr>
            </w:pPr>
            <w:r>
              <w:rPr>
                <w:rFonts w:hint="eastAsia" w:ascii="宋体" w:hAnsi="宋体" w:cs="宋体"/>
                <w:sz w:val="24"/>
                <w:szCs w:val="24"/>
              </w:rPr>
              <w:t>厂</w:t>
            </w:r>
          </w:p>
          <w:p w14:paraId="114F49EB">
            <w:pPr>
              <w:widowControl w:val="0"/>
              <w:spacing w:line="360" w:lineRule="auto"/>
              <w:jc w:val="center"/>
              <w:rPr>
                <w:rFonts w:ascii="宋体" w:hAnsi="宋体" w:cs="宋体"/>
                <w:sz w:val="24"/>
                <w:szCs w:val="24"/>
              </w:rPr>
            </w:pPr>
            <w:r>
              <w:rPr>
                <w:rFonts w:hint="eastAsia" w:ascii="宋体" w:hAnsi="宋体" w:cs="宋体"/>
                <w:sz w:val="24"/>
                <w:szCs w:val="24"/>
              </w:rPr>
              <w:t>标</w:t>
            </w:r>
          </w:p>
          <w:p w14:paraId="3006D817">
            <w:pPr>
              <w:widowControl w:val="0"/>
              <w:spacing w:line="360" w:lineRule="auto"/>
              <w:jc w:val="center"/>
              <w:rPr>
                <w:rFonts w:ascii="宋体" w:hAnsi="宋体" w:cs="宋体"/>
                <w:sz w:val="24"/>
                <w:szCs w:val="24"/>
              </w:rPr>
            </w:pPr>
            <w:r>
              <w:rPr>
                <w:rFonts w:hint="eastAsia" w:ascii="宋体" w:hAnsi="宋体" w:cs="宋体"/>
                <w:sz w:val="24"/>
                <w:szCs w:val="24"/>
              </w:rPr>
              <w:t>准</w:t>
            </w:r>
          </w:p>
          <w:p w14:paraId="6C85D38A">
            <w:pPr>
              <w:widowControl w:val="0"/>
              <w:spacing w:line="360" w:lineRule="auto"/>
              <w:jc w:val="center"/>
              <w:rPr>
                <w:rFonts w:ascii="宋体" w:hAnsi="宋体" w:cs="宋体"/>
                <w:sz w:val="24"/>
                <w:szCs w:val="24"/>
              </w:rPr>
            </w:pPr>
            <w:r>
              <w:rPr>
                <w:rFonts w:hint="eastAsia" w:ascii="宋体" w:hAnsi="宋体" w:cs="宋体"/>
                <w:sz w:val="24"/>
                <w:szCs w:val="24"/>
              </w:rPr>
              <w:t>服</w:t>
            </w:r>
          </w:p>
          <w:p w14:paraId="4D31133A">
            <w:pPr>
              <w:widowControl w:val="0"/>
              <w:spacing w:line="360" w:lineRule="auto"/>
              <w:jc w:val="center"/>
              <w:rPr>
                <w:rFonts w:ascii="宋体" w:hAnsi="宋体" w:cs="宋体"/>
                <w:sz w:val="24"/>
                <w:szCs w:val="24"/>
              </w:rPr>
            </w:pPr>
            <w:r>
              <w:rPr>
                <w:rFonts w:hint="eastAsia" w:ascii="宋体" w:hAnsi="宋体" w:cs="宋体"/>
                <w:sz w:val="24"/>
                <w:szCs w:val="24"/>
              </w:rPr>
              <w:t>务</w:t>
            </w:r>
          </w:p>
        </w:tc>
        <w:tc>
          <w:tcPr>
            <w:tcW w:w="3402" w:type="dxa"/>
            <w:vAlign w:val="center"/>
          </w:tcPr>
          <w:p w14:paraId="537A2589">
            <w:pPr>
              <w:widowControl w:val="0"/>
              <w:spacing w:line="360" w:lineRule="auto"/>
              <w:jc w:val="left"/>
              <w:rPr>
                <w:rFonts w:ascii="宋体" w:hAnsi="宋体" w:cs="宋体"/>
                <w:sz w:val="24"/>
                <w:szCs w:val="24"/>
              </w:rPr>
            </w:pPr>
            <w:r>
              <w:rPr>
                <w:rFonts w:hint="eastAsia" w:ascii="宋体" w:hAnsi="宋体"/>
                <w:sz w:val="24"/>
                <w:szCs w:val="24"/>
              </w:rPr>
              <w:t>定期巡检服务</w:t>
            </w:r>
          </w:p>
        </w:tc>
        <w:tc>
          <w:tcPr>
            <w:tcW w:w="3828" w:type="dxa"/>
            <w:vAlign w:val="center"/>
          </w:tcPr>
          <w:p w14:paraId="67DB7382">
            <w:pPr>
              <w:widowControl w:val="0"/>
              <w:spacing w:line="360" w:lineRule="auto"/>
              <w:jc w:val="both"/>
              <w:rPr>
                <w:rFonts w:ascii="宋体" w:hAnsi="宋体" w:cs="宋体"/>
                <w:sz w:val="24"/>
                <w:szCs w:val="24"/>
              </w:rPr>
            </w:pPr>
            <w:r>
              <w:rPr>
                <w:rFonts w:hint="eastAsia" w:ascii="Calibri" w:hAnsi="Calibri"/>
                <w:sz w:val="24"/>
                <w:szCs w:val="24"/>
              </w:rPr>
              <w:t>季度巡检，全年4次</w:t>
            </w:r>
          </w:p>
        </w:tc>
      </w:tr>
      <w:tr w14:paraId="5DD3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6B0EBA9E">
            <w:pPr>
              <w:widowControl w:val="0"/>
              <w:spacing w:line="360" w:lineRule="auto"/>
              <w:jc w:val="center"/>
              <w:rPr>
                <w:rFonts w:ascii="宋体" w:hAnsi="宋体" w:cs="宋体"/>
                <w:sz w:val="24"/>
                <w:szCs w:val="24"/>
              </w:rPr>
            </w:pPr>
          </w:p>
        </w:tc>
        <w:tc>
          <w:tcPr>
            <w:tcW w:w="3402" w:type="dxa"/>
            <w:vAlign w:val="center"/>
          </w:tcPr>
          <w:p w14:paraId="185DCC07">
            <w:pPr>
              <w:widowControl w:val="0"/>
              <w:spacing w:line="360" w:lineRule="auto"/>
              <w:jc w:val="left"/>
              <w:rPr>
                <w:rFonts w:ascii="宋体" w:hAnsi="宋体" w:cs="宋体"/>
                <w:sz w:val="24"/>
                <w:szCs w:val="24"/>
              </w:rPr>
            </w:pPr>
            <w:r>
              <w:rPr>
                <w:rFonts w:hint="eastAsia" w:ascii="宋体" w:hAnsi="宋体"/>
                <w:sz w:val="24"/>
                <w:szCs w:val="24"/>
              </w:rPr>
              <w:t>紧急故障援救服务</w:t>
            </w:r>
          </w:p>
        </w:tc>
        <w:tc>
          <w:tcPr>
            <w:tcW w:w="3828" w:type="dxa"/>
            <w:vAlign w:val="center"/>
          </w:tcPr>
          <w:p w14:paraId="0C849D52">
            <w:pPr>
              <w:widowControl w:val="0"/>
              <w:spacing w:line="360" w:lineRule="auto"/>
              <w:jc w:val="both"/>
              <w:rPr>
                <w:rFonts w:ascii="宋体" w:hAnsi="宋体" w:cs="宋体"/>
                <w:sz w:val="24"/>
                <w:szCs w:val="24"/>
              </w:rPr>
            </w:pPr>
            <w:r>
              <w:rPr>
                <w:rFonts w:hint="eastAsia" w:ascii="宋体" w:hAnsi="宋体" w:cs="宋体"/>
                <w:kern w:val="2"/>
                <w:sz w:val="24"/>
                <w:szCs w:val="24"/>
                <w:lang w:eastAsia="zh-Hans"/>
              </w:rPr>
              <w:t>接到客户现场</w:t>
            </w:r>
            <w:r>
              <w:rPr>
                <w:rFonts w:hint="eastAsia" w:ascii="宋体" w:hAnsi="宋体" w:cs="宋体"/>
                <w:kern w:val="2"/>
                <w:sz w:val="24"/>
                <w:szCs w:val="24"/>
              </w:rPr>
              <w:t>服务</w:t>
            </w:r>
            <w:r>
              <w:rPr>
                <w:rFonts w:hint="eastAsia" w:ascii="宋体" w:hAnsi="宋体" w:cs="宋体"/>
                <w:kern w:val="2"/>
                <w:sz w:val="24"/>
                <w:szCs w:val="24"/>
                <w:lang w:eastAsia="zh-Hans"/>
              </w:rPr>
              <w:t>请求</w:t>
            </w:r>
            <w:r>
              <w:rPr>
                <w:rFonts w:hint="eastAsia" w:ascii="宋体" w:hAnsi="宋体" w:cs="宋体"/>
                <w:kern w:val="2"/>
                <w:sz w:val="24"/>
                <w:szCs w:val="24"/>
              </w:rPr>
              <w:t>电话后30分钟内响应，在2小时内到达现场提供服务。</w:t>
            </w:r>
            <w:r>
              <w:rPr>
                <w:rFonts w:hint="eastAsia" w:ascii="宋体" w:hAnsi="Calibri"/>
                <w:sz w:val="24"/>
                <w:szCs w:val="24"/>
              </w:rPr>
              <w:t>服务响应时间为 7*24小时</w:t>
            </w:r>
          </w:p>
        </w:tc>
      </w:tr>
      <w:tr w14:paraId="479B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6AF2568D">
            <w:pPr>
              <w:widowControl w:val="0"/>
              <w:spacing w:line="360" w:lineRule="auto"/>
              <w:jc w:val="center"/>
              <w:rPr>
                <w:rFonts w:ascii="宋体" w:hAnsi="宋体" w:cs="宋体"/>
                <w:sz w:val="24"/>
                <w:szCs w:val="24"/>
              </w:rPr>
            </w:pPr>
          </w:p>
        </w:tc>
        <w:tc>
          <w:tcPr>
            <w:tcW w:w="3402" w:type="dxa"/>
            <w:vAlign w:val="center"/>
          </w:tcPr>
          <w:p w14:paraId="02472D67">
            <w:pPr>
              <w:widowControl w:val="0"/>
              <w:spacing w:line="360" w:lineRule="auto"/>
              <w:jc w:val="left"/>
              <w:rPr>
                <w:rFonts w:ascii="宋体" w:hAnsi="宋体" w:cs="宋体"/>
                <w:sz w:val="24"/>
                <w:szCs w:val="24"/>
              </w:rPr>
            </w:pPr>
            <w:r>
              <w:rPr>
                <w:rFonts w:hint="eastAsia" w:ascii="宋体" w:hAnsi="宋体"/>
                <w:sz w:val="24"/>
                <w:szCs w:val="24"/>
              </w:rPr>
              <w:t>数据库补丁升级服务</w:t>
            </w:r>
          </w:p>
        </w:tc>
        <w:tc>
          <w:tcPr>
            <w:tcW w:w="3828" w:type="dxa"/>
            <w:vAlign w:val="center"/>
          </w:tcPr>
          <w:p w14:paraId="396F0A6C">
            <w:pPr>
              <w:widowControl w:val="0"/>
              <w:spacing w:line="360" w:lineRule="auto"/>
              <w:jc w:val="both"/>
              <w:rPr>
                <w:rFonts w:ascii="宋体" w:hAnsi="宋体" w:cs="宋体"/>
                <w:sz w:val="24"/>
                <w:szCs w:val="24"/>
              </w:rPr>
            </w:pPr>
            <w:r>
              <w:rPr>
                <w:rFonts w:hint="eastAsia" w:ascii="宋体" w:hAnsi="宋体" w:cs="宋体"/>
                <w:sz w:val="24"/>
                <w:szCs w:val="24"/>
              </w:rPr>
              <w:t>按需</w:t>
            </w:r>
          </w:p>
        </w:tc>
      </w:tr>
      <w:tr w14:paraId="6CA5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75" w:type="dxa"/>
            <w:vMerge w:val="continue"/>
          </w:tcPr>
          <w:p w14:paraId="52824499">
            <w:pPr>
              <w:widowControl w:val="0"/>
              <w:spacing w:line="360" w:lineRule="auto"/>
              <w:jc w:val="center"/>
              <w:rPr>
                <w:rFonts w:ascii="宋体" w:hAnsi="宋体" w:cs="宋体"/>
                <w:sz w:val="24"/>
                <w:szCs w:val="24"/>
              </w:rPr>
            </w:pPr>
          </w:p>
        </w:tc>
        <w:tc>
          <w:tcPr>
            <w:tcW w:w="3402" w:type="dxa"/>
            <w:vAlign w:val="center"/>
          </w:tcPr>
          <w:p w14:paraId="14D047A9">
            <w:pPr>
              <w:widowControl w:val="0"/>
              <w:spacing w:line="360" w:lineRule="auto"/>
              <w:jc w:val="left"/>
              <w:rPr>
                <w:rFonts w:ascii="宋体" w:hAnsi="宋体" w:cs="宋体"/>
                <w:sz w:val="24"/>
                <w:szCs w:val="24"/>
              </w:rPr>
            </w:pPr>
            <w:r>
              <w:rPr>
                <w:rFonts w:hint="eastAsia" w:ascii="宋体" w:hAnsi="宋体"/>
                <w:sz w:val="24"/>
                <w:szCs w:val="24"/>
              </w:rPr>
              <w:t>远程技术服务</w:t>
            </w:r>
          </w:p>
        </w:tc>
        <w:tc>
          <w:tcPr>
            <w:tcW w:w="3828" w:type="dxa"/>
            <w:vAlign w:val="center"/>
          </w:tcPr>
          <w:p w14:paraId="5A51ED7B">
            <w:pPr>
              <w:widowControl w:val="0"/>
              <w:spacing w:line="360" w:lineRule="auto"/>
              <w:jc w:val="both"/>
              <w:rPr>
                <w:rFonts w:ascii="宋体" w:hAnsi="宋体" w:cs="宋体"/>
                <w:sz w:val="24"/>
                <w:szCs w:val="24"/>
              </w:rPr>
            </w:pPr>
            <w:r>
              <w:rPr>
                <w:rFonts w:hint="eastAsia" w:ascii="宋体" w:hAnsi="宋体" w:cs="宋体"/>
                <w:sz w:val="24"/>
                <w:szCs w:val="24"/>
              </w:rPr>
              <w:t>不限次</w:t>
            </w:r>
          </w:p>
        </w:tc>
      </w:tr>
      <w:tr w14:paraId="6764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7FD34AA7">
            <w:pPr>
              <w:widowControl w:val="0"/>
              <w:spacing w:line="360" w:lineRule="auto"/>
              <w:jc w:val="center"/>
              <w:rPr>
                <w:rFonts w:ascii="宋体" w:hAnsi="宋体" w:cs="宋体"/>
                <w:sz w:val="24"/>
                <w:szCs w:val="24"/>
              </w:rPr>
            </w:pPr>
          </w:p>
        </w:tc>
        <w:tc>
          <w:tcPr>
            <w:tcW w:w="3402" w:type="dxa"/>
            <w:vAlign w:val="center"/>
          </w:tcPr>
          <w:p w14:paraId="38B1919B">
            <w:pPr>
              <w:widowControl w:val="0"/>
              <w:spacing w:line="360" w:lineRule="auto"/>
              <w:jc w:val="left"/>
              <w:rPr>
                <w:rFonts w:ascii="宋体" w:hAnsi="宋体" w:cs="宋体"/>
                <w:sz w:val="24"/>
                <w:szCs w:val="24"/>
              </w:rPr>
            </w:pPr>
            <w:r>
              <w:rPr>
                <w:rFonts w:hint="eastAsia" w:ascii="宋体" w:hAnsi="宋体" w:cs="宋体"/>
                <w:sz w:val="24"/>
                <w:szCs w:val="24"/>
              </w:rPr>
              <w:t>电话、E-mail、</w:t>
            </w:r>
            <w:r>
              <w:rPr>
                <w:rFonts w:hint="eastAsia" w:ascii="宋体" w:hAnsi="宋体" w:cs="宋体"/>
                <w:sz w:val="24"/>
                <w:szCs w:val="24"/>
                <w:lang w:eastAsia="zh-Hans"/>
              </w:rPr>
              <w:t>微信等社交工具</w:t>
            </w:r>
            <w:r>
              <w:rPr>
                <w:rFonts w:hint="eastAsia" w:ascii="宋体" w:hAnsi="宋体" w:cs="宋体"/>
                <w:sz w:val="24"/>
                <w:szCs w:val="24"/>
              </w:rPr>
              <w:t>咨询服务</w:t>
            </w:r>
          </w:p>
        </w:tc>
        <w:tc>
          <w:tcPr>
            <w:tcW w:w="3828" w:type="dxa"/>
            <w:vAlign w:val="center"/>
          </w:tcPr>
          <w:p w14:paraId="30ECD8D9">
            <w:pPr>
              <w:widowControl w:val="0"/>
              <w:spacing w:line="360" w:lineRule="auto"/>
              <w:jc w:val="both"/>
              <w:rPr>
                <w:rFonts w:ascii="宋体" w:hAnsi="宋体" w:cs="宋体"/>
                <w:sz w:val="24"/>
                <w:szCs w:val="24"/>
              </w:rPr>
            </w:pPr>
            <w:r>
              <w:rPr>
                <w:rFonts w:hint="eastAsia" w:ascii="宋体" w:hAnsi="宋体" w:cs="宋体"/>
                <w:sz w:val="24"/>
                <w:szCs w:val="24"/>
              </w:rPr>
              <w:t>不限次</w:t>
            </w:r>
          </w:p>
        </w:tc>
      </w:tr>
      <w:tr w14:paraId="244A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5" w:type="dxa"/>
            <w:vMerge w:val="restart"/>
          </w:tcPr>
          <w:p w14:paraId="4736A517">
            <w:pPr>
              <w:widowControl w:val="0"/>
              <w:spacing w:line="360" w:lineRule="auto"/>
              <w:jc w:val="center"/>
              <w:rPr>
                <w:rFonts w:ascii="宋体" w:hAnsi="宋体" w:cs="宋体"/>
                <w:sz w:val="24"/>
                <w:szCs w:val="24"/>
              </w:rPr>
            </w:pPr>
          </w:p>
          <w:p w14:paraId="77396085">
            <w:pPr>
              <w:widowControl w:val="0"/>
              <w:spacing w:line="360" w:lineRule="auto"/>
              <w:jc w:val="center"/>
              <w:rPr>
                <w:rFonts w:ascii="宋体" w:hAnsi="宋体" w:cs="宋体"/>
                <w:sz w:val="24"/>
                <w:szCs w:val="24"/>
              </w:rPr>
            </w:pPr>
            <w:r>
              <w:rPr>
                <w:rFonts w:hint="eastAsia" w:ascii="宋体" w:hAnsi="宋体" w:cs="宋体"/>
                <w:sz w:val="24"/>
                <w:szCs w:val="24"/>
              </w:rPr>
              <w:t>原</w:t>
            </w:r>
          </w:p>
          <w:p w14:paraId="4A0C1711">
            <w:pPr>
              <w:widowControl w:val="0"/>
              <w:spacing w:line="360" w:lineRule="auto"/>
              <w:jc w:val="center"/>
              <w:rPr>
                <w:rFonts w:ascii="宋体" w:hAnsi="宋体" w:cs="宋体"/>
                <w:sz w:val="24"/>
                <w:szCs w:val="24"/>
              </w:rPr>
            </w:pPr>
            <w:r>
              <w:rPr>
                <w:rFonts w:hint="eastAsia" w:ascii="宋体" w:hAnsi="宋体" w:cs="宋体"/>
                <w:sz w:val="24"/>
                <w:szCs w:val="24"/>
              </w:rPr>
              <w:t>厂</w:t>
            </w:r>
          </w:p>
          <w:p w14:paraId="02A8DA58">
            <w:pPr>
              <w:widowControl w:val="0"/>
              <w:spacing w:line="360" w:lineRule="auto"/>
              <w:jc w:val="center"/>
              <w:rPr>
                <w:rFonts w:ascii="宋体" w:hAnsi="宋体" w:cs="宋体"/>
                <w:sz w:val="24"/>
                <w:szCs w:val="24"/>
              </w:rPr>
            </w:pPr>
            <w:r>
              <w:rPr>
                <w:rFonts w:hint="eastAsia" w:ascii="宋体" w:hAnsi="宋体" w:cs="宋体"/>
                <w:sz w:val="24"/>
                <w:szCs w:val="24"/>
              </w:rPr>
              <w:t>专</w:t>
            </w:r>
          </w:p>
          <w:p w14:paraId="0818FCEC">
            <w:pPr>
              <w:widowControl w:val="0"/>
              <w:spacing w:line="360" w:lineRule="auto"/>
              <w:jc w:val="center"/>
              <w:rPr>
                <w:rFonts w:ascii="宋体" w:hAnsi="宋体" w:cs="宋体"/>
                <w:sz w:val="24"/>
                <w:szCs w:val="24"/>
              </w:rPr>
            </w:pPr>
            <w:r>
              <w:rPr>
                <w:rFonts w:hint="eastAsia" w:ascii="宋体" w:hAnsi="宋体" w:cs="宋体"/>
                <w:sz w:val="24"/>
                <w:szCs w:val="24"/>
              </w:rPr>
              <w:t>业</w:t>
            </w:r>
          </w:p>
          <w:p w14:paraId="7F67881B">
            <w:pPr>
              <w:widowControl w:val="0"/>
              <w:spacing w:line="360" w:lineRule="auto"/>
              <w:jc w:val="center"/>
              <w:rPr>
                <w:rFonts w:ascii="宋体" w:hAnsi="宋体" w:cs="宋体"/>
                <w:sz w:val="24"/>
                <w:szCs w:val="24"/>
              </w:rPr>
            </w:pPr>
            <w:r>
              <w:rPr>
                <w:rFonts w:hint="eastAsia" w:ascii="宋体" w:hAnsi="宋体" w:cs="宋体"/>
                <w:sz w:val="24"/>
                <w:szCs w:val="24"/>
              </w:rPr>
              <w:t>服</w:t>
            </w:r>
          </w:p>
          <w:p w14:paraId="6EC0ECE7">
            <w:pPr>
              <w:widowControl w:val="0"/>
              <w:spacing w:line="360" w:lineRule="auto"/>
              <w:jc w:val="center"/>
              <w:rPr>
                <w:rFonts w:ascii="宋体" w:hAnsi="宋体" w:cs="宋体"/>
                <w:sz w:val="24"/>
                <w:szCs w:val="24"/>
              </w:rPr>
            </w:pPr>
            <w:r>
              <w:rPr>
                <w:rFonts w:hint="eastAsia" w:ascii="宋体" w:hAnsi="宋体" w:cs="宋体"/>
                <w:sz w:val="24"/>
                <w:szCs w:val="24"/>
              </w:rPr>
              <w:t>务</w:t>
            </w:r>
          </w:p>
        </w:tc>
        <w:tc>
          <w:tcPr>
            <w:tcW w:w="3402" w:type="dxa"/>
            <w:vAlign w:val="center"/>
          </w:tcPr>
          <w:p w14:paraId="3A5D3823">
            <w:pPr>
              <w:widowControl w:val="0"/>
              <w:spacing w:line="360" w:lineRule="auto"/>
              <w:jc w:val="left"/>
              <w:rPr>
                <w:rFonts w:ascii="宋体" w:hAnsi="宋体" w:cs="宋体"/>
                <w:sz w:val="24"/>
                <w:szCs w:val="24"/>
              </w:rPr>
            </w:pPr>
            <w:r>
              <w:rPr>
                <w:rFonts w:hint="eastAsia" w:ascii="宋体" w:hAnsi="宋体"/>
                <w:sz w:val="24"/>
                <w:szCs w:val="24"/>
              </w:rPr>
              <w:t>数据库移植服务</w:t>
            </w:r>
          </w:p>
        </w:tc>
        <w:tc>
          <w:tcPr>
            <w:tcW w:w="3828" w:type="dxa"/>
            <w:vMerge w:val="restart"/>
            <w:vAlign w:val="center"/>
          </w:tcPr>
          <w:p w14:paraId="450B383C">
            <w:pPr>
              <w:widowControl w:val="0"/>
              <w:spacing w:line="360" w:lineRule="auto"/>
              <w:jc w:val="both"/>
              <w:rPr>
                <w:rFonts w:ascii="宋体" w:hAnsi="宋体" w:cs="宋体"/>
                <w:b/>
                <w:sz w:val="24"/>
                <w:szCs w:val="24"/>
              </w:rPr>
            </w:pPr>
            <w:r>
              <w:rPr>
                <w:rFonts w:hint="eastAsia" w:ascii="宋体" w:hAnsi="宋体" w:cs="宋体"/>
                <w:b/>
                <w:sz w:val="24"/>
                <w:szCs w:val="24"/>
              </w:rPr>
              <w:t>现场服务至少6人天</w:t>
            </w:r>
          </w:p>
        </w:tc>
      </w:tr>
      <w:tr w14:paraId="6599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5" w:type="dxa"/>
            <w:vMerge w:val="continue"/>
          </w:tcPr>
          <w:p w14:paraId="6FDE2BD3">
            <w:pPr>
              <w:widowControl w:val="0"/>
              <w:spacing w:line="360" w:lineRule="auto"/>
              <w:jc w:val="center"/>
              <w:rPr>
                <w:rFonts w:ascii="宋体" w:hAnsi="宋体" w:cs="宋体"/>
                <w:sz w:val="24"/>
                <w:szCs w:val="24"/>
              </w:rPr>
            </w:pPr>
          </w:p>
        </w:tc>
        <w:tc>
          <w:tcPr>
            <w:tcW w:w="3402" w:type="dxa"/>
          </w:tcPr>
          <w:p w14:paraId="09BD0B88">
            <w:pPr>
              <w:widowControl w:val="0"/>
              <w:spacing w:line="360" w:lineRule="auto"/>
              <w:jc w:val="left"/>
              <w:rPr>
                <w:rFonts w:ascii="宋体" w:hAnsi="宋体" w:cs="宋体"/>
                <w:sz w:val="24"/>
                <w:szCs w:val="24"/>
              </w:rPr>
            </w:pPr>
            <w:r>
              <w:rPr>
                <w:rFonts w:hint="eastAsia" w:ascii="宋体" w:hAnsi="宋体"/>
                <w:sz w:val="24"/>
                <w:szCs w:val="24"/>
              </w:rPr>
              <w:t>数据库调优服务</w:t>
            </w:r>
          </w:p>
        </w:tc>
        <w:tc>
          <w:tcPr>
            <w:tcW w:w="3828" w:type="dxa"/>
            <w:vMerge w:val="continue"/>
          </w:tcPr>
          <w:p w14:paraId="468551AA">
            <w:pPr>
              <w:widowControl w:val="0"/>
              <w:spacing w:line="360" w:lineRule="auto"/>
              <w:jc w:val="center"/>
              <w:rPr>
                <w:rFonts w:ascii="宋体" w:hAnsi="宋体" w:cs="宋体"/>
                <w:sz w:val="24"/>
                <w:szCs w:val="24"/>
              </w:rPr>
            </w:pPr>
          </w:p>
        </w:tc>
      </w:tr>
      <w:tr w14:paraId="14EB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75" w:type="dxa"/>
            <w:vMerge w:val="continue"/>
          </w:tcPr>
          <w:p w14:paraId="7FCFD71F">
            <w:pPr>
              <w:widowControl w:val="0"/>
              <w:spacing w:line="360" w:lineRule="auto"/>
              <w:jc w:val="center"/>
              <w:rPr>
                <w:rFonts w:ascii="宋体" w:hAnsi="宋体" w:cs="宋体"/>
                <w:sz w:val="24"/>
                <w:szCs w:val="24"/>
              </w:rPr>
            </w:pPr>
          </w:p>
        </w:tc>
        <w:tc>
          <w:tcPr>
            <w:tcW w:w="3402" w:type="dxa"/>
          </w:tcPr>
          <w:p w14:paraId="0191B69C">
            <w:pPr>
              <w:widowControl w:val="0"/>
              <w:spacing w:line="360" w:lineRule="auto"/>
              <w:jc w:val="left"/>
              <w:rPr>
                <w:rFonts w:ascii="宋体" w:hAnsi="宋体" w:cs="宋体"/>
                <w:sz w:val="24"/>
                <w:szCs w:val="24"/>
              </w:rPr>
            </w:pPr>
            <w:r>
              <w:rPr>
                <w:rFonts w:hint="eastAsia" w:ascii="宋体" w:hAnsi="宋体"/>
                <w:sz w:val="24"/>
                <w:szCs w:val="24"/>
              </w:rPr>
              <w:t>数据备份</w:t>
            </w:r>
          </w:p>
        </w:tc>
        <w:tc>
          <w:tcPr>
            <w:tcW w:w="3828" w:type="dxa"/>
            <w:vMerge w:val="continue"/>
          </w:tcPr>
          <w:p w14:paraId="7EE0059F">
            <w:pPr>
              <w:widowControl w:val="0"/>
              <w:spacing w:line="360" w:lineRule="auto"/>
              <w:jc w:val="center"/>
              <w:rPr>
                <w:rFonts w:ascii="宋体" w:hAnsi="宋体" w:cs="宋体"/>
                <w:sz w:val="24"/>
                <w:szCs w:val="24"/>
              </w:rPr>
            </w:pPr>
          </w:p>
        </w:tc>
      </w:tr>
      <w:tr w14:paraId="7CDC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7CEDD228">
            <w:pPr>
              <w:widowControl w:val="0"/>
              <w:spacing w:line="360" w:lineRule="auto"/>
              <w:jc w:val="center"/>
              <w:rPr>
                <w:rFonts w:ascii="宋体" w:hAnsi="宋体" w:cs="宋体"/>
                <w:sz w:val="24"/>
                <w:szCs w:val="24"/>
              </w:rPr>
            </w:pPr>
          </w:p>
        </w:tc>
        <w:tc>
          <w:tcPr>
            <w:tcW w:w="3402" w:type="dxa"/>
          </w:tcPr>
          <w:p w14:paraId="34559EA3">
            <w:pPr>
              <w:widowControl w:val="0"/>
              <w:spacing w:line="360" w:lineRule="auto"/>
              <w:jc w:val="left"/>
              <w:rPr>
                <w:rFonts w:ascii="宋体" w:hAnsi="宋体" w:cs="宋体"/>
                <w:sz w:val="24"/>
                <w:szCs w:val="24"/>
              </w:rPr>
            </w:pPr>
            <w:r>
              <w:rPr>
                <w:rFonts w:hint="eastAsia" w:ascii="宋体" w:hAnsi="宋体"/>
                <w:sz w:val="24"/>
                <w:szCs w:val="24"/>
              </w:rPr>
              <w:t>数据库恢复</w:t>
            </w:r>
          </w:p>
        </w:tc>
        <w:tc>
          <w:tcPr>
            <w:tcW w:w="3828" w:type="dxa"/>
            <w:vMerge w:val="continue"/>
          </w:tcPr>
          <w:p w14:paraId="65D993E9">
            <w:pPr>
              <w:widowControl w:val="0"/>
              <w:spacing w:line="360" w:lineRule="auto"/>
              <w:jc w:val="center"/>
              <w:rPr>
                <w:rFonts w:ascii="宋体" w:hAnsi="宋体" w:cs="宋体"/>
                <w:sz w:val="24"/>
                <w:szCs w:val="24"/>
              </w:rPr>
            </w:pPr>
          </w:p>
        </w:tc>
      </w:tr>
      <w:tr w14:paraId="0288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2EDFE309">
            <w:pPr>
              <w:widowControl w:val="0"/>
              <w:spacing w:line="360" w:lineRule="auto"/>
              <w:jc w:val="center"/>
              <w:rPr>
                <w:rFonts w:ascii="宋体" w:hAnsi="宋体" w:cs="宋体"/>
                <w:sz w:val="24"/>
                <w:szCs w:val="24"/>
              </w:rPr>
            </w:pPr>
          </w:p>
        </w:tc>
        <w:tc>
          <w:tcPr>
            <w:tcW w:w="3402" w:type="dxa"/>
          </w:tcPr>
          <w:p w14:paraId="603BD669">
            <w:pPr>
              <w:widowControl w:val="0"/>
              <w:spacing w:line="360" w:lineRule="auto"/>
              <w:jc w:val="left"/>
              <w:rPr>
                <w:rFonts w:ascii="宋体" w:hAnsi="宋体"/>
                <w:sz w:val="24"/>
                <w:szCs w:val="24"/>
              </w:rPr>
            </w:pPr>
            <w:r>
              <w:rPr>
                <w:rFonts w:hint="eastAsia" w:ascii="宋体" w:hAnsi="宋体"/>
                <w:sz w:val="24"/>
                <w:szCs w:val="24"/>
              </w:rPr>
              <w:t>特殊时段现场保障服务（重大变更、事件的现场STANDBY）</w:t>
            </w:r>
          </w:p>
        </w:tc>
        <w:tc>
          <w:tcPr>
            <w:tcW w:w="3828" w:type="dxa"/>
            <w:vMerge w:val="continue"/>
          </w:tcPr>
          <w:p w14:paraId="605FE618">
            <w:pPr>
              <w:widowControl w:val="0"/>
              <w:spacing w:line="360" w:lineRule="auto"/>
              <w:jc w:val="center"/>
              <w:rPr>
                <w:rFonts w:ascii="宋体" w:hAnsi="宋体" w:cs="宋体"/>
                <w:sz w:val="24"/>
                <w:szCs w:val="24"/>
              </w:rPr>
            </w:pPr>
          </w:p>
        </w:tc>
      </w:tr>
    </w:tbl>
    <w:p w14:paraId="60BE3DD5">
      <w:pPr>
        <w:spacing w:line="360" w:lineRule="auto"/>
        <w:ind w:firstLine="480" w:firstLineChars="200"/>
        <w:rPr>
          <w:rFonts w:ascii="宋体" w:hAnsi="宋体" w:cs="宋体"/>
          <w:sz w:val="24"/>
          <w:szCs w:val="24"/>
        </w:rPr>
      </w:pPr>
    </w:p>
    <w:p w14:paraId="3605B06E">
      <w:pPr>
        <w:spacing w:line="360" w:lineRule="auto"/>
        <w:ind w:firstLine="482" w:firstLineChars="200"/>
        <w:rPr>
          <w:rFonts w:ascii="宋体" w:hAnsi="宋体" w:cs="宋体"/>
          <w:b/>
          <w:bCs/>
          <w:sz w:val="24"/>
          <w:szCs w:val="28"/>
        </w:rPr>
      </w:pPr>
      <w:r>
        <w:rPr>
          <w:rFonts w:hint="eastAsia" w:ascii="宋体" w:hAnsi="宋体" w:cs="宋体"/>
          <w:b/>
          <w:bCs/>
          <w:sz w:val="24"/>
          <w:szCs w:val="28"/>
        </w:rPr>
        <w:t>2.3 应用系统的运维需求</w:t>
      </w:r>
    </w:p>
    <w:p w14:paraId="5EEC52DD">
      <w:pPr>
        <w:spacing w:line="360" w:lineRule="auto"/>
        <w:ind w:firstLine="482" w:firstLineChars="200"/>
        <w:rPr>
          <w:rFonts w:ascii="宋体" w:hAnsi="宋体" w:cs="宋体"/>
          <w:b/>
          <w:sz w:val="24"/>
          <w:szCs w:val="24"/>
        </w:rPr>
      </w:pPr>
      <w:r>
        <w:rPr>
          <w:rFonts w:hint="eastAsia" w:ascii="宋体" w:hAnsi="宋体" w:cs="宋体"/>
          <w:b/>
          <w:sz w:val="24"/>
          <w:szCs w:val="24"/>
        </w:rPr>
        <w:t>2.3.1</w:t>
      </w:r>
      <w:r>
        <w:rPr>
          <w:rFonts w:hint="eastAsia" w:ascii="宋体" w:hAnsi="宋体" w:cs="宋体"/>
          <w:sz w:val="24"/>
          <w:szCs w:val="24"/>
        </w:rPr>
        <w:t>应用系统运维的对象清单</w:t>
      </w:r>
    </w:p>
    <w:p w14:paraId="02DEB0D5">
      <w:pPr>
        <w:spacing w:line="360" w:lineRule="auto"/>
        <w:ind w:firstLine="480" w:firstLineChars="200"/>
        <w:rPr>
          <w:rFonts w:ascii="宋体" w:hAnsi="宋体" w:cs="宋体"/>
          <w:sz w:val="24"/>
          <w:szCs w:val="24"/>
        </w:rPr>
      </w:pPr>
      <w:r>
        <w:rPr>
          <w:rFonts w:hint="eastAsia" w:ascii="宋体" w:hAnsi="宋体" w:cs="宋体"/>
          <w:sz w:val="24"/>
          <w:szCs w:val="24"/>
        </w:rPr>
        <w:t>应用系统范围包括安装在分局三楼信息中心机房内服务器上的15套接处警、警保综合应用平台等业务相关应用系统（部分含专用配套设备），如下表所列：</w:t>
      </w:r>
    </w:p>
    <w:tbl>
      <w:tblPr>
        <w:tblStyle w:val="1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3828"/>
      </w:tblGrid>
      <w:tr w14:paraId="7A65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9120858">
            <w:pPr>
              <w:jc w:val="center"/>
              <w:rPr>
                <w:rFonts w:ascii="宋体" w:hAnsi="宋体" w:cs="宋体"/>
                <w:sz w:val="24"/>
                <w:szCs w:val="24"/>
              </w:rPr>
            </w:pPr>
            <w:r>
              <w:rPr>
                <w:rFonts w:hint="eastAsia" w:ascii="宋体" w:hAnsi="宋体" w:cs="宋体"/>
                <w:sz w:val="24"/>
                <w:szCs w:val="24"/>
              </w:rPr>
              <w:t>序号</w:t>
            </w:r>
          </w:p>
        </w:tc>
        <w:tc>
          <w:tcPr>
            <w:tcW w:w="4252" w:type="dxa"/>
            <w:vAlign w:val="center"/>
          </w:tcPr>
          <w:p w14:paraId="7FE33DB4">
            <w:pPr>
              <w:jc w:val="center"/>
              <w:rPr>
                <w:rFonts w:ascii="宋体" w:hAnsi="宋体" w:cs="宋体"/>
                <w:sz w:val="24"/>
                <w:szCs w:val="24"/>
              </w:rPr>
            </w:pPr>
            <w:r>
              <w:rPr>
                <w:rFonts w:hint="eastAsia" w:ascii="宋体" w:hAnsi="宋体" w:cs="宋体"/>
                <w:sz w:val="24"/>
                <w:szCs w:val="24"/>
              </w:rPr>
              <w:t>应用系统名称</w:t>
            </w:r>
          </w:p>
        </w:tc>
        <w:tc>
          <w:tcPr>
            <w:tcW w:w="3828" w:type="dxa"/>
            <w:vAlign w:val="center"/>
          </w:tcPr>
          <w:p w14:paraId="78A8A39A">
            <w:pPr>
              <w:jc w:val="center"/>
              <w:rPr>
                <w:rFonts w:ascii="宋体" w:hAnsi="宋体" w:cs="宋体"/>
                <w:sz w:val="24"/>
                <w:szCs w:val="24"/>
              </w:rPr>
            </w:pPr>
            <w:r>
              <w:rPr>
                <w:rFonts w:hint="eastAsia" w:ascii="宋体" w:hAnsi="宋体" w:cs="宋体"/>
                <w:sz w:val="24"/>
                <w:szCs w:val="24"/>
              </w:rPr>
              <w:t>备注</w:t>
            </w:r>
          </w:p>
        </w:tc>
      </w:tr>
      <w:tr w14:paraId="0FB4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77E5E29">
            <w:pPr>
              <w:pStyle w:val="9"/>
              <w:jc w:val="center"/>
            </w:pPr>
            <w:r>
              <w:rPr>
                <w:rFonts w:hint="eastAsia"/>
              </w:rPr>
              <w:t>1</w:t>
            </w:r>
          </w:p>
        </w:tc>
        <w:tc>
          <w:tcPr>
            <w:tcW w:w="4252" w:type="dxa"/>
            <w:vAlign w:val="center"/>
          </w:tcPr>
          <w:p w14:paraId="54087239">
            <w:pPr>
              <w:spacing w:line="360" w:lineRule="auto"/>
              <w:ind w:firstLine="12" w:firstLineChars="5"/>
              <w:jc w:val="both"/>
              <w:rPr>
                <w:rFonts w:ascii="宋体" w:hAnsi="宋体" w:cs="宋体"/>
                <w:kern w:val="2"/>
                <w:sz w:val="24"/>
                <w:szCs w:val="24"/>
              </w:rPr>
            </w:pPr>
            <w:r>
              <w:rPr>
                <w:rFonts w:hint="eastAsia" w:ascii="宋体" w:hAnsi="宋体" w:cs="宋体"/>
                <w:kern w:val="2"/>
                <w:sz w:val="24"/>
                <w:szCs w:val="24"/>
              </w:rPr>
              <w:t xml:space="preserve">市局***接处警系统 </w:t>
            </w:r>
          </w:p>
        </w:tc>
        <w:tc>
          <w:tcPr>
            <w:tcW w:w="3828" w:type="dxa"/>
            <w:vAlign w:val="center"/>
          </w:tcPr>
          <w:p w14:paraId="2DFBDB7E">
            <w:pPr>
              <w:pStyle w:val="9"/>
            </w:pPr>
          </w:p>
        </w:tc>
      </w:tr>
      <w:tr w14:paraId="4808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C956999">
            <w:pPr>
              <w:pStyle w:val="9"/>
              <w:jc w:val="center"/>
            </w:pPr>
            <w:r>
              <w:rPr>
                <w:rFonts w:hint="eastAsia"/>
              </w:rPr>
              <w:t>2</w:t>
            </w:r>
          </w:p>
        </w:tc>
        <w:tc>
          <w:tcPr>
            <w:tcW w:w="4252" w:type="dxa"/>
            <w:vAlign w:val="center"/>
          </w:tcPr>
          <w:p w14:paraId="2DFEB3F2">
            <w:pPr>
              <w:spacing w:line="360" w:lineRule="auto"/>
              <w:ind w:firstLine="12" w:firstLineChars="5"/>
              <w:jc w:val="both"/>
              <w:rPr>
                <w:rFonts w:ascii="宋体" w:hAnsi="宋体" w:cs="宋体"/>
                <w:kern w:val="2"/>
                <w:sz w:val="24"/>
                <w:szCs w:val="24"/>
              </w:rPr>
            </w:pPr>
            <w:r>
              <w:rPr>
                <w:rFonts w:ascii="宋体" w:hAnsi="宋体" w:cs="宋体"/>
                <w:kern w:val="2"/>
                <w:sz w:val="24"/>
                <w:szCs w:val="24"/>
              </w:rPr>
              <w:t>**</w:t>
            </w:r>
            <w:r>
              <w:rPr>
                <w:rFonts w:hint="eastAsia" w:ascii="宋体" w:hAnsi="宋体" w:cs="宋体"/>
                <w:kern w:val="2"/>
                <w:sz w:val="24"/>
                <w:szCs w:val="24"/>
              </w:rPr>
              <w:t xml:space="preserve">部***监控系统 </w:t>
            </w:r>
          </w:p>
        </w:tc>
        <w:tc>
          <w:tcPr>
            <w:tcW w:w="3828" w:type="dxa"/>
            <w:vAlign w:val="center"/>
          </w:tcPr>
          <w:p w14:paraId="27731CEC">
            <w:pPr>
              <w:pStyle w:val="9"/>
            </w:pPr>
          </w:p>
        </w:tc>
      </w:tr>
      <w:tr w14:paraId="7CF1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4C0640">
            <w:pPr>
              <w:pStyle w:val="9"/>
              <w:jc w:val="center"/>
            </w:pPr>
            <w:r>
              <w:rPr>
                <w:rFonts w:hint="eastAsia"/>
              </w:rPr>
              <w:t>3</w:t>
            </w:r>
          </w:p>
        </w:tc>
        <w:tc>
          <w:tcPr>
            <w:tcW w:w="4252" w:type="dxa"/>
            <w:vAlign w:val="center"/>
          </w:tcPr>
          <w:p w14:paraId="44CE1A9A">
            <w:pPr>
              <w:spacing w:line="360" w:lineRule="auto"/>
              <w:ind w:firstLine="12" w:firstLineChars="5"/>
              <w:jc w:val="both"/>
              <w:rPr>
                <w:rFonts w:ascii="宋体" w:hAnsi="宋体" w:cs="宋体"/>
                <w:kern w:val="2"/>
                <w:sz w:val="24"/>
                <w:szCs w:val="24"/>
              </w:rPr>
            </w:pPr>
            <w:r>
              <w:rPr>
                <w:rFonts w:hint="eastAsia" w:ascii="宋体" w:hAnsi="宋体" w:cs="宋体"/>
                <w:kern w:val="2"/>
                <w:sz w:val="24"/>
                <w:szCs w:val="24"/>
              </w:rPr>
              <w:t>警保综合应用平台管理系统</w:t>
            </w:r>
          </w:p>
        </w:tc>
        <w:tc>
          <w:tcPr>
            <w:tcW w:w="3828" w:type="dxa"/>
            <w:vAlign w:val="center"/>
          </w:tcPr>
          <w:p w14:paraId="08762BFB">
            <w:pPr>
              <w:pStyle w:val="9"/>
            </w:pPr>
          </w:p>
        </w:tc>
      </w:tr>
      <w:tr w14:paraId="695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613584A9">
            <w:pPr>
              <w:pStyle w:val="9"/>
              <w:jc w:val="center"/>
            </w:pPr>
            <w:r>
              <w:rPr>
                <w:rFonts w:hint="eastAsia"/>
              </w:rPr>
              <w:t>4</w:t>
            </w:r>
          </w:p>
        </w:tc>
        <w:tc>
          <w:tcPr>
            <w:tcW w:w="4252" w:type="dxa"/>
            <w:vAlign w:val="center"/>
          </w:tcPr>
          <w:p w14:paraId="0C8032C6">
            <w:pPr>
              <w:pStyle w:val="9"/>
            </w:pPr>
            <w:r>
              <w:rPr>
                <w:rFonts w:hint="eastAsia"/>
              </w:rPr>
              <w:t>***短信回访平台</w:t>
            </w:r>
          </w:p>
        </w:tc>
        <w:tc>
          <w:tcPr>
            <w:tcW w:w="3828" w:type="dxa"/>
            <w:vAlign w:val="center"/>
          </w:tcPr>
          <w:p w14:paraId="7A8EC5E8">
            <w:pPr>
              <w:pStyle w:val="9"/>
            </w:pPr>
          </w:p>
        </w:tc>
      </w:tr>
      <w:tr w14:paraId="576A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4B627675">
            <w:pPr>
              <w:pStyle w:val="9"/>
              <w:jc w:val="center"/>
            </w:pPr>
            <w:r>
              <w:rPr>
                <w:rFonts w:hint="eastAsia"/>
              </w:rPr>
              <w:t>5</w:t>
            </w:r>
          </w:p>
        </w:tc>
        <w:tc>
          <w:tcPr>
            <w:tcW w:w="4252" w:type="dxa"/>
            <w:vAlign w:val="center"/>
          </w:tcPr>
          <w:p w14:paraId="69556D7E">
            <w:pPr>
              <w:pStyle w:val="9"/>
            </w:pPr>
            <w:r>
              <w:rPr>
                <w:rFonts w:hint="eastAsia"/>
              </w:rPr>
              <w:t>警</w:t>
            </w:r>
            <w:r>
              <w:t>保科</w:t>
            </w:r>
            <w:r>
              <w:rPr>
                <w:rFonts w:hint="eastAsia"/>
              </w:rPr>
              <w:t>网站及应用</w:t>
            </w:r>
          </w:p>
        </w:tc>
        <w:tc>
          <w:tcPr>
            <w:tcW w:w="3828" w:type="dxa"/>
            <w:vAlign w:val="center"/>
          </w:tcPr>
          <w:p w14:paraId="756AB008">
            <w:pPr>
              <w:pStyle w:val="9"/>
            </w:pPr>
          </w:p>
        </w:tc>
      </w:tr>
      <w:tr w14:paraId="4307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9916480">
            <w:pPr>
              <w:pStyle w:val="9"/>
              <w:jc w:val="center"/>
            </w:pPr>
            <w:r>
              <w:rPr>
                <w:rFonts w:hint="eastAsia"/>
              </w:rPr>
              <w:t>6</w:t>
            </w:r>
          </w:p>
        </w:tc>
        <w:tc>
          <w:tcPr>
            <w:tcW w:w="4252" w:type="dxa"/>
            <w:vAlign w:val="center"/>
          </w:tcPr>
          <w:p w14:paraId="71763324">
            <w:pPr>
              <w:pStyle w:val="9"/>
            </w:pPr>
            <w:r>
              <w:rPr>
                <w:rFonts w:hint="eastAsia"/>
              </w:rPr>
              <w:t>信息</w:t>
            </w:r>
            <w:r>
              <w:t>中心</w:t>
            </w:r>
            <w:r>
              <w:rPr>
                <w:rFonts w:hint="eastAsia"/>
              </w:rPr>
              <w:t>网站</w:t>
            </w:r>
          </w:p>
        </w:tc>
        <w:tc>
          <w:tcPr>
            <w:tcW w:w="3828" w:type="dxa"/>
            <w:vAlign w:val="center"/>
          </w:tcPr>
          <w:p w14:paraId="12A2C7AE">
            <w:pPr>
              <w:pStyle w:val="9"/>
            </w:pPr>
          </w:p>
        </w:tc>
      </w:tr>
      <w:tr w14:paraId="6A73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9A931D0">
            <w:pPr>
              <w:pStyle w:val="9"/>
              <w:jc w:val="center"/>
            </w:pPr>
            <w:r>
              <w:rPr>
                <w:rFonts w:hint="eastAsia"/>
              </w:rPr>
              <w:t>7</w:t>
            </w:r>
          </w:p>
        </w:tc>
        <w:tc>
          <w:tcPr>
            <w:tcW w:w="4252" w:type="dxa"/>
            <w:vAlign w:val="center"/>
          </w:tcPr>
          <w:p w14:paraId="6C8A1C57">
            <w:pPr>
              <w:pStyle w:val="9"/>
            </w:pPr>
            <w:r>
              <w:rPr>
                <w:rFonts w:hint="eastAsia"/>
              </w:rPr>
              <w:t>电脑桌面的CA管理（内网）</w:t>
            </w:r>
          </w:p>
        </w:tc>
        <w:tc>
          <w:tcPr>
            <w:tcW w:w="3828" w:type="dxa"/>
            <w:vAlign w:val="center"/>
          </w:tcPr>
          <w:p w14:paraId="74368CFD">
            <w:pPr>
              <w:pStyle w:val="9"/>
            </w:pPr>
          </w:p>
        </w:tc>
      </w:tr>
      <w:tr w14:paraId="6133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DC50425">
            <w:pPr>
              <w:pStyle w:val="9"/>
              <w:jc w:val="center"/>
            </w:pPr>
            <w:r>
              <w:rPr>
                <w:rFonts w:hint="eastAsia"/>
              </w:rPr>
              <w:t>8</w:t>
            </w:r>
          </w:p>
        </w:tc>
        <w:tc>
          <w:tcPr>
            <w:tcW w:w="4252" w:type="dxa"/>
            <w:vAlign w:val="center"/>
          </w:tcPr>
          <w:p w14:paraId="071D6AFB">
            <w:pPr>
              <w:pStyle w:val="9"/>
            </w:pPr>
            <w:r>
              <w:rPr>
                <w:rFonts w:hint="eastAsia"/>
              </w:rPr>
              <w:t>电脑桌面的CA管理（TX网）</w:t>
            </w:r>
          </w:p>
        </w:tc>
        <w:tc>
          <w:tcPr>
            <w:tcW w:w="3828" w:type="dxa"/>
            <w:vAlign w:val="center"/>
          </w:tcPr>
          <w:p w14:paraId="59B38173">
            <w:pPr>
              <w:pStyle w:val="9"/>
            </w:pPr>
          </w:p>
        </w:tc>
      </w:tr>
      <w:tr w14:paraId="4AB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FC977D2">
            <w:pPr>
              <w:pStyle w:val="9"/>
              <w:jc w:val="center"/>
            </w:pPr>
            <w:r>
              <w:rPr>
                <w:rFonts w:hint="eastAsia"/>
              </w:rPr>
              <w:t>9</w:t>
            </w:r>
          </w:p>
        </w:tc>
        <w:tc>
          <w:tcPr>
            <w:tcW w:w="4252" w:type="dxa"/>
            <w:vAlign w:val="center"/>
          </w:tcPr>
          <w:p w14:paraId="16355C8D">
            <w:pPr>
              <w:pStyle w:val="9"/>
            </w:pPr>
            <w:r>
              <w:rPr>
                <w:rFonts w:hint="eastAsia"/>
              </w:rPr>
              <w:t>分局NTP时钟同步及DNS域名解析系统</w:t>
            </w:r>
          </w:p>
        </w:tc>
        <w:tc>
          <w:tcPr>
            <w:tcW w:w="3828" w:type="dxa"/>
            <w:vAlign w:val="center"/>
          </w:tcPr>
          <w:p w14:paraId="2B6368BD">
            <w:pPr>
              <w:pStyle w:val="9"/>
            </w:pPr>
            <w:r>
              <w:rPr>
                <w:rFonts w:hint="eastAsia"/>
              </w:rPr>
              <w:t>包括TX网2套NTP、政务网2套NTP、内网1套NTP、T</w:t>
            </w:r>
            <w:r>
              <w:t>X</w:t>
            </w:r>
            <w:r>
              <w:rPr>
                <w:rFonts w:hint="eastAsia"/>
              </w:rPr>
              <w:t>网1套DNS、内网1套DNS</w:t>
            </w:r>
          </w:p>
        </w:tc>
      </w:tr>
      <w:tr w14:paraId="560B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73159E9">
            <w:pPr>
              <w:pStyle w:val="9"/>
              <w:jc w:val="center"/>
            </w:pPr>
            <w:r>
              <w:rPr>
                <w:rFonts w:hint="eastAsia"/>
              </w:rPr>
              <w:t>10</w:t>
            </w:r>
          </w:p>
        </w:tc>
        <w:tc>
          <w:tcPr>
            <w:tcW w:w="4252" w:type="dxa"/>
            <w:tcBorders>
              <w:top w:val="single" w:color="000000" w:sz="4" w:space="0"/>
              <w:left w:val="single" w:color="000000" w:sz="4" w:space="0"/>
              <w:bottom w:val="single" w:color="000000" w:sz="4" w:space="0"/>
              <w:right w:val="single" w:color="000000" w:sz="4" w:space="0"/>
            </w:tcBorders>
            <w:vAlign w:val="center"/>
          </w:tcPr>
          <w:p w14:paraId="3BB442C0">
            <w:pPr>
              <w:rPr>
                <w:rFonts w:ascii="宋体" w:hAnsi="宋体" w:cs="宋体"/>
                <w:sz w:val="24"/>
                <w:szCs w:val="24"/>
              </w:rPr>
            </w:pPr>
            <w:r>
              <w:rPr>
                <w:rFonts w:hint="eastAsia" w:ascii="宋体" w:hAnsi="宋体" w:cs="宋体"/>
                <w:sz w:val="24"/>
                <w:szCs w:val="24"/>
              </w:rPr>
              <w:t>长宁大练兵网站</w:t>
            </w:r>
          </w:p>
        </w:tc>
        <w:tc>
          <w:tcPr>
            <w:tcW w:w="3828" w:type="dxa"/>
            <w:tcBorders>
              <w:top w:val="single" w:color="000000" w:sz="4" w:space="0"/>
              <w:left w:val="single" w:color="000000" w:sz="4" w:space="0"/>
              <w:bottom w:val="single" w:color="000000" w:sz="4" w:space="0"/>
              <w:right w:val="single" w:color="000000" w:sz="4" w:space="0"/>
            </w:tcBorders>
            <w:vAlign w:val="center"/>
          </w:tcPr>
          <w:p w14:paraId="44E75382">
            <w:pPr>
              <w:pStyle w:val="9"/>
            </w:pPr>
          </w:p>
        </w:tc>
      </w:tr>
      <w:tr w14:paraId="22E3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1C3C992">
            <w:pPr>
              <w:pStyle w:val="9"/>
              <w:jc w:val="center"/>
            </w:pPr>
            <w:r>
              <w:rPr>
                <w:rFonts w:hint="eastAsia"/>
              </w:rPr>
              <w:t>11</w:t>
            </w:r>
          </w:p>
        </w:tc>
        <w:tc>
          <w:tcPr>
            <w:tcW w:w="4252" w:type="dxa"/>
            <w:tcBorders>
              <w:top w:val="single" w:color="000000" w:sz="4" w:space="0"/>
              <w:left w:val="single" w:color="000000" w:sz="4" w:space="0"/>
              <w:bottom w:val="single" w:color="000000" w:sz="4" w:space="0"/>
              <w:right w:val="single" w:color="000000" w:sz="4" w:space="0"/>
            </w:tcBorders>
            <w:vAlign w:val="center"/>
          </w:tcPr>
          <w:p w14:paraId="7E59832B">
            <w:pPr>
              <w:rPr>
                <w:rFonts w:ascii="宋体" w:hAnsi="宋体" w:cs="宋体"/>
                <w:sz w:val="24"/>
                <w:szCs w:val="24"/>
              </w:rPr>
            </w:pPr>
            <w:r>
              <w:rPr>
                <w:rFonts w:hint="eastAsia" w:ascii="宋体" w:hAnsi="宋体" w:cs="宋体"/>
                <w:sz w:val="24"/>
                <w:szCs w:val="24"/>
              </w:rPr>
              <w:t>虹桥路派出所网站</w:t>
            </w:r>
          </w:p>
        </w:tc>
        <w:tc>
          <w:tcPr>
            <w:tcW w:w="3828" w:type="dxa"/>
            <w:tcBorders>
              <w:top w:val="single" w:color="000000" w:sz="4" w:space="0"/>
              <w:left w:val="single" w:color="000000" w:sz="4" w:space="0"/>
              <w:bottom w:val="single" w:color="000000" w:sz="4" w:space="0"/>
              <w:right w:val="single" w:color="000000" w:sz="4" w:space="0"/>
            </w:tcBorders>
            <w:vAlign w:val="center"/>
          </w:tcPr>
          <w:p w14:paraId="684133FC">
            <w:pPr>
              <w:pStyle w:val="9"/>
            </w:pPr>
          </w:p>
        </w:tc>
      </w:tr>
      <w:tr w14:paraId="36FE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109C82C">
            <w:pPr>
              <w:pStyle w:val="9"/>
              <w:jc w:val="center"/>
            </w:pPr>
            <w:r>
              <w:rPr>
                <w:rFonts w:hint="eastAsia"/>
              </w:rPr>
              <w:t>12</w:t>
            </w:r>
          </w:p>
        </w:tc>
        <w:tc>
          <w:tcPr>
            <w:tcW w:w="4252" w:type="dxa"/>
            <w:tcBorders>
              <w:top w:val="single" w:color="000000" w:sz="4" w:space="0"/>
              <w:left w:val="single" w:color="000000" w:sz="4" w:space="0"/>
              <w:bottom w:val="single" w:color="000000" w:sz="4" w:space="0"/>
              <w:right w:val="single" w:color="000000" w:sz="4" w:space="0"/>
            </w:tcBorders>
            <w:vAlign w:val="center"/>
          </w:tcPr>
          <w:p w14:paraId="21A0255C">
            <w:pPr>
              <w:rPr>
                <w:rFonts w:ascii="宋体" w:hAnsi="宋体" w:cs="宋体"/>
                <w:sz w:val="24"/>
                <w:szCs w:val="24"/>
              </w:rPr>
            </w:pPr>
            <w:r>
              <w:rPr>
                <w:rFonts w:hint="eastAsia" w:ascii="宋体" w:hAnsi="宋体" w:cs="宋体"/>
                <w:sz w:val="24"/>
                <w:szCs w:val="24"/>
              </w:rPr>
              <w:t>督察支队网站</w:t>
            </w:r>
          </w:p>
        </w:tc>
        <w:tc>
          <w:tcPr>
            <w:tcW w:w="3828" w:type="dxa"/>
            <w:tcBorders>
              <w:top w:val="single" w:color="000000" w:sz="4" w:space="0"/>
              <w:left w:val="single" w:color="000000" w:sz="4" w:space="0"/>
              <w:bottom w:val="single" w:color="000000" w:sz="4" w:space="0"/>
              <w:right w:val="single" w:color="000000" w:sz="4" w:space="0"/>
            </w:tcBorders>
            <w:vAlign w:val="center"/>
          </w:tcPr>
          <w:p w14:paraId="3FAC9703">
            <w:pPr>
              <w:pStyle w:val="9"/>
            </w:pPr>
          </w:p>
        </w:tc>
      </w:tr>
      <w:tr w14:paraId="62E5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390BFA9">
            <w:pPr>
              <w:pStyle w:val="9"/>
              <w:jc w:val="center"/>
            </w:pPr>
            <w:r>
              <w:rPr>
                <w:rFonts w:hint="eastAsia"/>
              </w:rPr>
              <w:t>13</w:t>
            </w:r>
          </w:p>
        </w:tc>
        <w:tc>
          <w:tcPr>
            <w:tcW w:w="4252" w:type="dxa"/>
            <w:tcBorders>
              <w:top w:val="single" w:color="000000" w:sz="4" w:space="0"/>
              <w:left w:val="single" w:color="000000" w:sz="4" w:space="0"/>
              <w:bottom w:val="single" w:color="000000" w:sz="4" w:space="0"/>
              <w:right w:val="single" w:color="000000" w:sz="4" w:space="0"/>
            </w:tcBorders>
            <w:vAlign w:val="center"/>
          </w:tcPr>
          <w:p w14:paraId="70C3985F">
            <w:pPr>
              <w:rPr>
                <w:rFonts w:ascii="宋体" w:hAnsi="宋体" w:cs="宋体"/>
                <w:sz w:val="24"/>
                <w:szCs w:val="24"/>
              </w:rPr>
            </w:pPr>
            <w:r>
              <w:rPr>
                <w:rFonts w:hint="eastAsia" w:ascii="宋体" w:hAnsi="宋体" w:cs="宋体"/>
                <w:sz w:val="24"/>
                <w:szCs w:val="24"/>
              </w:rPr>
              <w:t>长宁TX网主站</w:t>
            </w:r>
          </w:p>
        </w:tc>
        <w:tc>
          <w:tcPr>
            <w:tcW w:w="3828" w:type="dxa"/>
            <w:tcBorders>
              <w:top w:val="single" w:color="000000" w:sz="4" w:space="0"/>
              <w:left w:val="single" w:color="000000" w:sz="4" w:space="0"/>
              <w:bottom w:val="single" w:color="000000" w:sz="4" w:space="0"/>
              <w:right w:val="single" w:color="000000" w:sz="4" w:space="0"/>
            </w:tcBorders>
            <w:vAlign w:val="center"/>
          </w:tcPr>
          <w:p w14:paraId="7BEEB57E">
            <w:pPr>
              <w:pStyle w:val="9"/>
            </w:pPr>
          </w:p>
        </w:tc>
      </w:tr>
      <w:tr w14:paraId="13EC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341E185">
            <w:pPr>
              <w:pStyle w:val="9"/>
              <w:jc w:val="center"/>
            </w:pPr>
            <w:r>
              <w:rPr>
                <w:rFonts w:hint="eastAsia"/>
              </w:rPr>
              <w:t>14</w:t>
            </w:r>
          </w:p>
        </w:tc>
        <w:tc>
          <w:tcPr>
            <w:tcW w:w="4252" w:type="dxa"/>
            <w:tcBorders>
              <w:top w:val="single" w:color="000000" w:sz="4" w:space="0"/>
              <w:left w:val="single" w:color="000000" w:sz="4" w:space="0"/>
              <w:bottom w:val="single" w:color="000000" w:sz="4" w:space="0"/>
              <w:right w:val="single" w:color="000000" w:sz="4" w:space="0"/>
            </w:tcBorders>
            <w:vAlign w:val="center"/>
          </w:tcPr>
          <w:p w14:paraId="494086CB">
            <w:pPr>
              <w:rPr>
                <w:rFonts w:ascii="宋体" w:hAnsi="宋体" w:cs="宋体"/>
                <w:sz w:val="24"/>
                <w:szCs w:val="24"/>
              </w:rPr>
            </w:pPr>
            <w:r>
              <w:rPr>
                <w:rFonts w:hint="eastAsia" w:ascii="宋体" w:hAnsi="宋体" w:cs="宋体"/>
                <w:sz w:val="24"/>
                <w:szCs w:val="24"/>
              </w:rPr>
              <w:t>分局网上督察系统运维</w:t>
            </w:r>
          </w:p>
        </w:tc>
        <w:tc>
          <w:tcPr>
            <w:tcW w:w="3828" w:type="dxa"/>
            <w:tcBorders>
              <w:top w:val="single" w:color="000000" w:sz="4" w:space="0"/>
              <w:left w:val="single" w:color="000000" w:sz="4" w:space="0"/>
              <w:bottom w:val="single" w:color="000000" w:sz="4" w:space="0"/>
              <w:right w:val="single" w:color="000000" w:sz="4" w:space="0"/>
            </w:tcBorders>
            <w:vAlign w:val="center"/>
          </w:tcPr>
          <w:p w14:paraId="703C8BFA">
            <w:pPr>
              <w:pStyle w:val="9"/>
            </w:pPr>
            <w:r>
              <w:rPr>
                <w:rFonts w:hint="eastAsia"/>
              </w:rPr>
              <w:t>含专用配套设备：3台督察视频智能分析专用设备</w:t>
            </w:r>
          </w:p>
        </w:tc>
      </w:tr>
      <w:tr w14:paraId="5A44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5EF1E18">
            <w:pPr>
              <w:pStyle w:val="9"/>
              <w:jc w:val="center"/>
            </w:pPr>
            <w:r>
              <w:rPr>
                <w:rFonts w:hint="eastAsia"/>
              </w:rPr>
              <w:t>15</w:t>
            </w:r>
          </w:p>
        </w:tc>
        <w:tc>
          <w:tcPr>
            <w:tcW w:w="4252" w:type="dxa"/>
            <w:tcBorders>
              <w:top w:val="single" w:color="000000" w:sz="4" w:space="0"/>
              <w:left w:val="single" w:color="000000" w:sz="4" w:space="0"/>
              <w:bottom w:val="single" w:color="000000" w:sz="4" w:space="0"/>
              <w:right w:val="single" w:color="000000" w:sz="4" w:space="0"/>
            </w:tcBorders>
            <w:vAlign w:val="center"/>
          </w:tcPr>
          <w:p w14:paraId="2D08F513">
            <w:pPr>
              <w:rPr>
                <w:rFonts w:ascii="宋体" w:hAnsi="宋体" w:cs="宋体"/>
                <w:sz w:val="24"/>
                <w:szCs w:val="24"/>
              </w:rPr>
            </w:pPr>
            <w:r>
              <w:rPr>
                <w:rFonts w:hint="eastAsia" w:ascii="宋体" w:hAnsi="宋体" w:cs="宋体"/>
                <w:sz w:val="24"/>
                <w:szCs w:val="24"/>
              </w:rPr>
              <w:t>刑侦-DNA实验室系统维护</w:t>
            </w:r>
          </w:p>
        </w:tc>
        <w:tc>
          <w:tcPr>
            <w:tcW w:w="3828" w:type="dxa"/>
            <w:tcBorders>
              <w:top w:val="single" w:color="000000" w:sz="4" w:space="0"/>
              <w:left w:val="single" w:color="000000" w:sz="4" w:space="0"/>
              <w:bottom w:val="single" w:color="000000" w:sz="4" w:space="0"/>
              <w:right w:val="single" w:color="000000" w:sz="4" w:space="0"/>
            </w:tcBorders>
            <w:vAlign w:val="center"/>
          </w:tcPr>
          <w:p w14:paraId="1D89AB0F">
            <w:pPr>
              <w:pStyle w:val="9"/>
            </w:pPr>
          </w:p>
        </w:tc>
      </w:tr>
    </w:tbl>
    <w:p w14:paraId="3702E30E">
      <w:pPr>
        <w:spacing w:line="360" w:lineRule="auto"/>
        <w:rPr>
          <w:rFonts w:ascii="宋体" w:hAnsi="宋体" w:cs="宋体"/>
          <w:sz w:val="24"/>
          <w:szCs w:val="24"/>
        </w:rPr>
      </w:pPr>
    </w:p>
    <w:p w14:paraId="2072EC85">
      <w:pPr>
        <w:spacing w:line="360" w:lineRule="auto"/>
        <w:ind w:firstLine="482" w:firstLineChars="200"/>
        <w:rPr>
          <w:rFonts w:ascii="宋体" w:hAnsi="宋体" w:cs="宋体"/>
          <w:b/>
          <w:sz w:val="24"/>
          <w:szCs w:val="24"/>
        </w:rPr>
      </w:pPr>
      <w:r>
        <w:rPr>
          <w:rFonts w:hint="eastAsia" w:ascii="宋体" w:hAnsi="宋体" w:cs="宋体"/>
          <w:b/>
          <w:sz w:val="24"/>
          <w:szCs w:val="24"/>
        </w:rPr>
        <w:t>2.3.2</w:t>
      </w:r>
      <w:r>
        <w:rPr>
          <w:rFonts w:hint="eastAsia" w:ascii="宋体" w:hAnsi="宋体" w:cs="宋体"/>
          <w:sz w:val="24"/>
          <w:szCs w:val="24"/>
        </w:rPr>
        <w:t>应用系统运维的工作内容</w:t>
      </w:r>
    </w:p>
    <w:p w14:paraId="2B11583E">
      <w:pPr>
        <w:spacing w:line="360" w:lineRule="auto"/>
        <w:ind w:firstLine="480" w:firstLineChars="200"/>
        <w:rPr>
          <w:rFonts w:ascii="宋体" w:hAnsi="宋体" w:cs="宋体"/>
          <w:sz w:val="24"/>
          <w:szCs w:val="24"/>
        </w:rPr>
      </w:pPr>
      <w:r>
        <w:rPr>
          <w:rFonts w:hint="eastAsia" w:ascii="宋体" w:hAnsi="宋体" w:cs="宋体"/>
          <w:sz w:val="24"/>
          <w:szCs w:val="24"/>
        </w:rPr>
        <w:t>应用软件运维的主要工作内容为：例行巡检、应急维护、功能升级，具体描述如下：</w:t>
      </w:r>
    </w:p>
    <w:p w14:paraId="61688369">
      <w:pPr>
        <w:spacing w:line="360" w:lineRule="auto"/>
        <w:ind w:firstLine="482" w:firstLineChars="200"/>
        <w:rPr>
          <w:rFonts w:ascii="宋体" w:hAnsi="宋体" w:cs="宋体"/>
          <w:b/>
          <w:sz w:val="24"/>
          <w:szCs w:val="24"/>
        </w:rPr>
      </w:pPr>
      <w:r>
        <w:rPr>
          <w:rFonts w:hint="eastAsia" w:ascii="宋体" w:hAnsi="宋体" w:cs="宋体"/>
          <w:b/>
          <w:sz w:val="24"/>
          <w:szCs w:val="24"/>
        </w:rPr>
        <w:t>2.3.2.1</w:t>
      </w:r>
      <w:r>
        <w:rPr>
          <w:rFonts w:hint="eastAsia" w:ascii="宋体" w:hAnsi="宋体" w:cs="宋体"/>
          <w:sz w:val="24"/>
          <w:szCs w:val="24"/>
        </w:rPr>
        <w:t>运维台账的建立</w:t>
      </w:r>
    </w:p>
    <w:p w14:paraId="59346822">
      <w:pPr>
        <w:spacing w:line="360" w:lineRule="auto"/>
        <w:ind w:firstLine="480" w:firstLineChars="200"/>
        <w:rPr>
          <w:rFonts w:ascii="宋体" w:hAnsi="宋体" w:cs="宋体"/>
          <w:sz w:val="24"/>
          <w:szCs w:val="24"/>
        </w:rPr>
      </w:pPr>
      <w:r>
        <w:rPr>
          <w:rFonts w:hint="eastAsia" w:ascii="宋体" w:hAnsi="宋体" w:cs="宋体"/>
          <w:sz w:val="24"/>
          <w:szCs w:val="24"/>
        </w:rPr>
        <w:t>首次巡检维护前，应进行运维基础资料的整理与提交。在年度运维工作开始后要求对工作所涉及的软件、硬件的基础台帐进行一次全面梳理核对，并在合同履行期内保持对基础台帐资料的实时更新。</w:t>
      </w:r>
    </w:p>
    <w:p w14:paraId="6961C1D1">
      <w:pPr>
        <w:spacing w:line="360" w:lineRule="auto"/>
        <w:ind w:firstLine="482" w:firstLineChars="200"/>
        <w:rPr>
          <w:rFonts w:ascii="宋体" w:hAnsi="宋体" w:cs="宋体"/>
          <w:b/>
          <w:sz w:val="24"/>
          <w:szCs w:val="24"/>
        </w:rPr>
      </w:pPr>
      <w:r>
        <w:rPr>
          <w:rFonts w:hint="eastAsia" w:ascii="宋体" w:hAnsi="宋体" w:cs="宋体"/>
          <w:b/>
          <w:sz w:val="24"/>
          <w:szCs w:val="24"/>
        </w:rPr>
        <w:t>2.3.2.2</w:t>
      </w:r>
      <w:r>
        <w:rPr>
          <w:rFonts w:hint="eastAsia" w:ascii="宋体" w:hAnsi="宋体" w:cs="宋体"/>
          <w:sz w:val="24"/>
          <w:szCs w:val="24"/>
        </w:rPr>
        <w:t>例行巡检</w:t>
      </w:r>
    </w:p>
    <w:p w14:paraId="6404D671">
      <w:pPr>
        <w:spacing w:line="360" w:lineRule="auto"/>
        <w:ind w:firstLine="480" w:firstLineChars="200"/>
        <w:rPr>
          <w:rFonts w:ascii="宋体" w:hAnsi="宋体" w:cs="宋体"/>
          <w:sz w:val="24"/>
          <w:szCs w:val="24"/>
        </w:rPr>
      </w:pPr>
      <w:r>
        <w:rPr>
          <w:rFonts w:hint="eastAsia" w:ascii="宋体" w:hAnsi="宋体" w:cs="宋体"/>
          <w:sz w:val="24"/>
          <w:szCs w:val="24"/>
        </w:rPr>
        <w:t>维护公司负责对软件及其运行环境逐项进行健康状态检查，预测可能发生的问题后，及时处理，保证各项功能正常运行。</w:t>
      </w:r>
    </w:p>
    <w:p w14:paraId="2A809BB1">
      <w:pPr>
        <w:spacing w:line="360" w:lineRule="auto"/>
        <w:ind w:firstLine="480" w:firstLineChars="200"/>
        <w:rPr>
          <w:rFonts w:ascii="宋体" w:hAnsi="宋体" w:cs="宋体"/>
          <w:sz w:val="24"/>
          <w:szCs w:val="24"/>
        </w:rPr>
      </w:pPr>
      <w:r>
        <w:rPr>
          <w:rFonts w:hint="eastAsia" w:ascii="宋体" w:hAnsi="宋体" w:cs="宋体"/>
          <w:sz w:val="24"/>
          <w:szCs w:val="24"/>
        </w:rPr>
        <w:t>要求每月进行一次巡检并提交报告，发现问题的还要进行口头汇报并在巡检报告中进行描述，当月未解决的需进行后续工作安排。</w:t>
      </w:r>
    </w:p>
    <w:p w14:paraId="1C5AAB48">
      <w:pPr>
        <w:spacing w:line="360" w:lineRule="auto"/>
        <w:ind w:firstLine="480" w:firstLineChars="200"/>
        <w:rPr>
          <w:rFonts w:ascii="宋体" w:hAnsi="宋体" w:cs="宋体"/>
          <w:sz w:val="24"/>
          <w:szCs w:val="24"/>
        </w:rPr>
      </w:pPr>
      <w:r>
        <w:rPr>
          <w:rFonts w:hint="eastAsia" w:ascii="宋体" w:hAnsi="宋体" w:cs="宋体"/>
          <w:sz w:val="24"/>
          <w:szCs w:val="24"/>
        </w:rPr>
        <w:t xml:space="preserve">应用系统巡检检查项包括但不限于：硬盘空间检查、数据库表空间检查、病毒查杀与更新、运行日志、报错日志、数据库及文件类数据的备份完成情况、碎片清理等。   </w:t>
      </w:r>
    </w:p>
    <w:p w14:paraId="282DC51A">
      <w:pPr>
        <w:spacing w:line="360" w:lineRule="auto"/>
        <w:ind w:firstLine="480" w:firstLineChars="200"/>
        <w:rPr>
          <w:rFonts w:ascii="宋体" w:hAnsi="宋体" w:cs="宋体"/>
          <w:sz w:val="24"/>
          <w:szCs w:val="24"/>
        </w:rPr>
      </w:pPr>
      <w:r>
        <w:rPr>
          <w:rFonts w:hint="eastAsia" w:ascii="宋体" w:hAnsi="宋体" w:cs="宋体"/>
          <w:sz w:val="24"/>
          <w:szCs w:val="24"/>
        </w:rPr>
        <w:t>如果所维护的系统涉及到分局或市局数据考核的，则必须予以重点巡视、保证系统合规与优秀。</w:t>
      </w:r>
    </w:p>
    <w:p w14:paraId="2347EFF6">
      <w:pPr>
        <w:spacing w:line="360" w:lineRule="auto"/>
        <w:ind w:firstLine="482" w:firstLineChars="200"/>
        <w:rPr>
          <w:rFonts w:ascii="宋体" w:hAnsi="宋体" w:cs="宋体"/>
          <w:b/>
          <w:sz w:val="24"/>
          <w:szCs w:val="24"/>
        </w:rPr>
      </w:pPr>
      <w:r>
        <w:rPr>
          <w:rFonts w:hint="eastAsia" w:ascii="宋体" w:hAnsi="宋体" w:cs="宋体"/>
          <w:b/>
          <w:sz w:val="24"/>
          <w:szCs w:val="24"/>
        </w:rPr>
        <w:t>2.3.2.3</w:t>
      </w:r>
      <w:r>
        <w:rPr>
          <w:rFonts w:hint="eastAsia" w:ascii="宋体" w:hAnsi="宋体" w:cs="宋体"/>
          <w:sz w:val="24"/>
          <w:szCs w:val="24"/>
        </w:rPr>
        <w:t>应急维护</w:t>
      </w:r>
    </w:p>
    <w:p w14:paraId="32A988C4">
      <w:pPr>
        <w:spacing w:line="360" w:lineRule="auto"/>
        <w:ind w:firstLine="480" w:firstLineChars="200"/>
        <w:rPr>
          <w:rFonts w:ascii="宋体" w:hAnsi="宋体" w:cs="宋体"/>
          <w:sz w:val="24"/>
          <w:szCs w:val="24"/>
        </w:rPr>
      </w:pPr>
      <w:r>
        <w:rPr>
          <w:rFonts w:hint="eastAsia" w:ascii="宋体" w:hAnsi="宋体" w:cs="宋体"/>
          <w:sz w:val="24"/>
          <w:szCs w:val="24"/>
        </w:rPr>
        <w:t>一旦接到业主方的故障报修要求，维护公司必须提供应急服务。</w:t>
      </w:r>
    </w:p>
    <w:p w14:paraId="0E931C9E">
      <w:pPr>
        <w:spacing w:line="360" w:lineRule="auto"/>
        <w:ind w:firstLine="480" w:firstLineChars="200"/>
        <w:rPr>
          <w:rFonts w:ascii="宋体" w:hAnsi="宋体" w:cs="宋体"/>
          <w:sz w:val="24"/>
          <w:szCs w:val="24"/>
        </w:rPr>
      </w:pPr>
      <w:r>
        <w:rPr>
          <w:rFonts w:hint="eastAsia" w:ascii="宋体" w:hAnsi="宋体" w:cs="宋体"/>
          <w:sz w:val="24"/>
          <w:szCs w:val="24"/>
        </w:rPr>
        <w:t>应急维护还包括：分析性能下降原因并予以解决；纠正应用程序BUG；用户的使用培训。</w:t>
      </w:r>
    </w:p>
    <w:p w14:paraId="2945C88F">
      <w:pPr>
        <w:spacing w:line="360" w:lineRule="auto"/>
        <w:ind w:firstLine="482" w:firstLineChars="200"/>
        <w:rPr>
          <w:rFonts w:ascii="宋体" w:hAnsi="宋体" w:cs="宋体"/>
          <w:b/>
          <w:sz w:val="24"/>
          <w:szCs w:val="24"/>
        </w:rPr>
      </w:pPr>
      <w:r>
        <w:rPr>
          <w:rFonts w:hint="eastAsia" w:ascii="宋体" w:hAnsi="宋体" w:cs="宋体"/>
          <w:b/>
          <w:sz w:val="24"/>
          <w:szCs w:val="24"/>
        </w:rPr>
        <w:t>2.3.2.4</w:t>
      </w:r>
      <w:r>
        <w:rPr>
          <w:rFonts w:hint="eastAsia" w:ascii="宋体" w:hAnsi="宋体" w:cs="宋体"/>
          <w:sz w:val="24"/>
          <w:szCs w:val="24"/>
        </w:rPr>
        <w:t>临时服务</w:t>
      </w:r>
    </w:p>
    <w:p w14:paraId="747D2C2F">
      <w:pPr>
        <w:spacing w:line="360" w:lineRule="auto"/>
        <w:ind w:firstLine="480" w:firstLineChars="200"/>
        <w:rPr>
          <w:rFonts w:ascii="宋体" w:hAnsi="宋体" w:cs="宋体"/>
          <w:sz w:val="24"/>
          <w:szCs w:val="24"/>
        </w:rPr>
      </w:pPr>
      <w:r>
        <w:rPr>
          <w:rFonts w:hint="eastAsia" w:ascii="宋体" w:hAnsi="宋体" w:cs="宋体"/>
          <w:sz w:val="24"/>
          <w:szCs w:val="24"/>
        </w:rPr>
        <w:t>临时性工作任务还包括数据统计、数据分析、数据咨询、系统优化等。</w:t>
      </w:r>
    </w:p>
    <w:p w14:paraId="3E6A5E57">
      <w:pPr>
        <w:spacing w:line="360" w:lineRule="auto"/>
        <w:ind w:firstLine="480" w:firstLineChars="200"/>
        <w:rPr>
          <w:rFonts w:ascii="宋体" w:hAnsi="宋体" w:cs="宋体"/>
          <w:sz w:val="24"/>
          <w:szCs w:val="24"/>
        </w:rPr>
      </w:pPr>
      <w:r>
        <w:rPr>
          <w:rFonts w:hint="eastAsia" w:ascii="宋体" w:hAnsi="宋体" w:cs="宋体"/>
          <w:sz w:val="24"/>
          <w:szCs w:val="24"/>
        </w:rPr>
        <w:t>临时性工作任务可视任务工作量情况向业主方提交临时费用审核，另行结算。</w:t>
      </w:r>
    </w:p>
    <w:p w14:paraId="0C1998C1">
      <w:pPr>
        <w:spacing w:line="360" w:lineRule="auto"/>
        <w:ind w:firstLine="482" w:firstLineChars="200"/>
        <w:rPr>
          <w:rFonts w:ascii="宋体" w:hAnsi="宋体" w:cs="宋体"/>
          <w:b/>
          <w:sz w:val="24"/>
          <w:szCs w:val="24"/>
        </w:rPr>
      </w:pPr>
      <w:r>
        <w:rPr>
          <w:rFonts w:hint="eastAsia" w:ascii="宋体" w:hAnsi="宋体" w:cs="宋体"/>
          <w:b/>
          <w:sz w:val="24"/>
          <w:szCs w:val="24"/>
        </w:rPr>
        <w:t>2.3.2.5</w:t>
      </w:r>
      <w:r>
        <w:rPr>
          <w:rFonts w:hint="eastAsia" w:ascii="宋体" w:hAnsi="宋体" w:cs="宋体"/>
          <w:sz w:val="24"/>
          <w:szCs w:val="24"/>
        </w:rPr>
        <w:t>功能升级</w:t>
      </w:r>
      <w:r>
        <w:rPr>
          <w:rFonts w:hint="eastAsia" w:ascii="宋体" w:hAnsi="宋体" w:cs="宋体"/>
          <w:b/>
          <w:sz w:val="24"/>
          <w:szCs w:val="24"/>
        </w:rPr>
        <w:t xml:space="preserve"> </w:t>
      </w:r>
    </w:p>
    <w:p w14:paraId="649E2FE5">
      <w:pPr>
        <w:spacing w:line="360" w:lineRule="auto"/>
        <w:ind w:firstLine="480" w:firstLineChars="200"/>
        <w:rPr>
          <w:rFonts w:ascii="宋体" w:hAnsi="宋体" w:cs="宋体"/>
          <w:sz w:val="24"/>
          <w:szCs w:val="24"/>
        </w:rPr>
      </w:pPr>
      <w:r>
        <w:rPr>
          <w:rFonts w:hint="eastAsia" w:ascii="宋体" w:hAnsi="宋体" w:cs="宋体"/>
          <w:sz w:val="24"/>
          <w:szCs w:val="24"/>
        </w:rPr>
        <w:t>业主方因政策原因等情况，需要对应用系统进行功能升级的，则维护公司应配合给予修改，如果业主方对系统作较大调整（如系统功能变更、增加功能、涉及数据表结构调整等），则双方应另行协商解决，可视任务工作量情况向业主方提交临时费用审核，另行结算。</w:t>
      </w:r>
    </w:p>
    <w:p w14:paraId="4B31614A">
      <w:pPr>
        <w:spacing w:line="360" w:lineRule="auto"/>
        <w:ind w:firstLine="482" w:firstLineChars="200"/>
        <w:rPr>
          <w:rFonts w:ascii="宋体" w:hAnsi="宋体" w:cs="宋体"/>
          <w:b/>
          <w:sz w:val="24"/>
          <w:szCs w:val="24"/>
        </w:rPr>
      </w:pPr>
      <w:r>
        <w:rPr>
          <w:rFonts w:hint="eastAsia" w:ascii="宋体" w:hAnsi="宋体" w:cs="宋体"/>
          <w:b/>
          <w:sz w:val="24"/>
          <w:szCs w:val="24"/>
        </w:rPr>
        <w:t>2.3.2.6</w:t>
      </w:r>
      <w:r>
        <w:rPr>
          <w:rFonts w:hint="eastAsia" w:ascii="宋体" w:hAnsi="宋体" w:cs="宋体"/>
          <w:sz w:val="24"/>
          <w:szCs w:val="24"/>
        </w:rPr>
        <w:t>数据安全工作</w:t>
      </w:r>
    </w:p>
    <w:p w14:paraId="4B8CB460">
      <w:pPr>
        <w:spacing w:line="360" w:lineRule="auto"/>
        <w:ind w:firstLine="480" w:firstLineChars="200"/>
        <w:rPr>
          <w:rFonts w:ascii="宋体" w:hAnsi="宋体" w:cs="宋体"/>
          <w:sz w:val="24"/>
          <w:szCs w:val="24"/>
        </w:rPr>
      </w:pPr>
      <w:r>
        <w:rPr>
          <w:rFonts w:hint="eastAsia" w:ascii="宋体" w:hAnsi="宋体" w:cs="宋体"/>
          <w:sz w:val="24"/>
          <w:szCs w:val="24"/>
        </w:rPr>
        <w:t>为了提高网络信息安全性，需要完成以下工作：</w:t>
      </w:r>
    </w:p>
    <w:p w14:paraId="4746D259">
      <w:pPr>
        <w:spacing w:line="360" w:lineRule="auto"/>
        <w:ind w:firstLine="480" w:firstLineChars="200"/>
        <w:rPr>
          <w:rFonts w:ascii="宋体" w:hAnsi="宋体" w:cs="宋体"/>
          <w:sz w:val="24"/>
          <w:szCs w:val="24"/>
        </w:rPr>
      </w:pPr>
      <w:r>
        <w:rPr>
          <w:rFonts w:hint="eastAsia" w:ascii="宋体" w:hAnsi="宋体" w:cs="宋体"/>
          <w:sz w:val="24"/>
          <w:szCs w:val="24"/>
        </w:rPr>
        <w:t>▲数据冷备份要求。维护公司承诺对所维护应用软件的数据库和文件数据的异机冷备份功能。计划每天进行备份，按周替换存放，并在例行巡检中巡视异地备份完成情况及准确性。</w:t>
      </w:r>
    </w:p>
    <w:p w14:paraId="492A09C9">
      <w:pPr>
        <w:spacing w:line="360" w:lineRule="auto"/>
        <w:ind w:firstLine="480" w:firstLineChars="200"/>
        <w:rPr>
          <w:rFonts w:ascii="宋体" w:hAnsi="宋体" w:cs="宋体"/>
          <w:sz w:val="24"/>
          <w:szCs w:val="24"/>
        </w:rPr>
      </w:pPr>
      <w:r>
        <w:rPr>
          <w:rFonts w:hint="eastAsia" w:ascii="宋体" w:hAnsi="宋体" w:cs="宋体"/>
          <w:sz w:val="24"/>
          <w:szCs w:val="24"/>
        </w:rPr>
        <w:t>▲双机热备要求。如果所维护的应用软件被业主方（分局）选中为重要应用系统，则维护公司须配合实施双机热备机制改造。</w:t>
      </w:r>
    </w:p>
    <w:p w14:paraId="6EF08F70">
      <w:pPr>
        <w:spacing w:line="360" w:lineRule="auto"/>
        <w:ind w:firstLine="480" w:firstLineChars="200"/>
        <w:rPr>
          <w:rFonts w:ascii="宋体" w:hAnsi="宋体" w:cs="宋体"/>
          <w:sz w:val="24"/>
          <w:szCs w:val="24"/>
        </w:rPr>
      </w:pPr>
    </w:p>
    <w:p w14:paraId="17FE7778">
      <w:pPr>
        <w:spacing w:line="360" w:lineRule="auto"/>
        <w:ind w:firstLine="482" w:firstLineChars="200"/>
        <w:rPr>
          <w:rFonts w:ascii="宋体" w:hAnsi="宋体" w:cs="宋体"/>
          <w:b/>
          <w:sz w:val="24"/>
          <w:szCs w:val="24"/>
        </w:rPr>
      </w:pPr>
      <w:r>
        <w:rPr>
          <w:rFonts w:hint="eastAsia" w:ascii="宋体" w:hAnsi="宋体" w:cs="宋体"/>
          <w:b/>
          <w:sz w:val="24"/>
          <w:szCs w:val="24"/>
        </w:rPr>
        <w:t xml:space="preserve">2.3.3 </w:t>
      </w:r>
      <w:r>
        <w:rPr>
          <w:rFonts w:hint="eastAsia" w:ascii="宋体" w:hAnsi="宋体" w:cs="宋体"/>
          <w:sz w:val="24"/>
          <w:szCs w:val="24"/>
        </w:rPr>
        <w:t>应用软件运维的服务要求</w:t>
      </w:r>
    </w:p>
    <w:p w14:paraId="325C35C2">
      <w:pPr>
        <w:spacing w:line="360" w:lineRule="auto"/>
        <w:ind w:firstLine="482" w:firstLineChars="200"/>
        <w:rPr>
          <w:rFonts w:ascii="宋体" w:hAnsi="宋体" w:cs="宋体"/>
          <w:b/>
          <w:sz w:val="24"/>
          <w:szCs w:val="24"/>
        </w:rPr>
      </w:pPr>
    </w:p>
    <w:tbl>
      <w:tblPr>
        <w:tblStyle w:val="15"/>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6379"/>
      </w:tblGrid>
      <w:tr w14:paraId="382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0821C59F">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序号</w:t>
            </w:r>
          </w:p>
        </w:tc>
        <w:tc>
          <w:tcPr>
            <w:tcW w:w="1559" w:type="dxa"/>
            <w:vAlign w:val="center"/>
          </w:tcPr>
          <w:p w14:paraId="18EE5454">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服务要求项</w:t>
            </w:r>
          </w:p>
        </w:tc>
        <w:tc>
          <w:tcPr>
            <w:tcW w:w="6379" w:type="dxa"/>
          </w:tcPr>
          <w:p w14:paraId="3D5492FD">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描 述</w:t>
            </w:r>
          </w:p>
        </w:tc>
      </w:tr>
      <w:tr w14:paraId="2164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750907B5">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1</w:t>
            </w:r>
          </w:p>
        </w:tc>
        <w:tc>
          <w:tcPr>
            <w:tcW w:w="1559" w:type="dxa"/>
            <w:vAlign w:val="center"/>
          </w:tcPr>
          <w:p w14:paraId="17DE2386">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服务人员</w:t>
            </w:r>
          </w:p>
        </w:tc>
        <w:tc>
          <w:tcPr>
            <w:tcW w:w="6379" w:type="dxa"/>
          </w:tcPr>
          <w:p w14:paraId="742DDC86">
            <w:pPr>
              <w:spacing w:line="276" w:lineRule="auto"/>
              <w:ind w:firstLine="240" w:firstLineChars="100"/>
              <w:jc w:val="both"/>
              <w:rPr>
                <w:rFonts w:ascii="宋体" w:hAnsi="宋体" w:cs="宋体"/>
                <w:kern w:val="2"/>
                <w:sz w:val="24"/>
                <w:szCs w:val="24"/>
              </w:rPr>
            </w:pPr>
            <w:r>
              <w:rPr>
                <w:rFonts w:hint="eastAsia" w:ascii="宋体" w:hAnsi="宋体" w:cs="宋体"/>
                <w:sz w:val="24"/>
                <w:szCs w:val="24"/>
              </w:rPr>
              <w:t>中标供应商负责安排每月各套应用系统的上门例行巡检任务、负责接受业主方项目专管人员的报修要求并安排相应技术人员上门提供应急维护。</w:t>
            </w:r>
          </w:p>
        </w:tc>
      </w:tr>
      <w:tr w14:paraId="7459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09B481BB">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2</w:t>
            </w:r>
          </w:p>
        </w:tc>
        <w:tc>
          <w:tcPr>
            <w:tcW w:w="1559" w:type="dxa"/>
            <w:vAlign w:val="center"/>
          </w:tcPr>
          <w:p w14:paraId="37F8B5A2">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服务响应</w:t>
            </w:r>
          </w:p>
        </w:tc>
        <w:tc>
          <w:tcPr>
            <w:tcW w:w="6379" w:type="dxa"/>
          </w:tcPr>
          <w:p w14:paraId="6E901CA4">
            <w:pPr>
              <w:spacing w:line="276" w:lineRule="auto"/>
              <w:jc w:val="both"/>
              <w:rPr>
                <w:rFonts w:ascii="宋体" w:hAnsi="宋体" w:cs="宋体"/>
                <w:kern w:val="2"/>
                <w:sz w:val="24"/>
                <w:szCs w:val="24"/>
              </w:rPr>
            </w:pPr>
            <w:r>
              <w:rPr>
                <w:rFonts w:hint="eastAsia" w:ascii="宋体" w:hAnsi="宋体" w:cs="宋体"/>
                <w:kern w:val="2"/>
                <w:sz w:val="24"/>
                <w:szCs w:val="24"/>
              </w:rPr>
              <w:t>例行巡检：每月一次。</w:t>
            </w:r>
          </w:p>
          <w:p w14:paraId="4D4A015B">
            <w:pPr>
              <w:spacing w:line="276" w:lineRule="auto"/>
              <w:jc w:val="both"/>
              <w:rPr>
                <w:rFonts w:ascii="宋体" w:hAnsi="宋体" w:cs="宋体"/>
                <w:sz w:val="24"/>
                <w:szCs w:val="24"/>
              </w:rPr>
            </w:pPr>
            <w:r>
              <w:rPr>
                <w:rFonts w:hint="eastAsia" w:ascii="宋体" w:hAnsi="宋体" w:cs="宋体"/>
                <w:kern w:val="2"/>
                <w:sz w:val="24"/>
                <w:szCs w:val="24"/>
              </w:rPr>
              <w:t>应急维护：提供每周7*24小时的服务响应，电话解决不了的则接修通知后4小时内到达现场，核心应用系统故障报修2小时到场，小修2小时解决。一般故障不过夜，确保在次日上午8：00前恢复系统正常。</w:t>
            </w:r>
          </w:p>
        </w:tc>
      </w:tr>
      <w:tr w14:paraId="0579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0B150719">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3</w:t>
            </w:r>
          </w:p>
        </w:tc>
        <w:tc>
          <w:tcPr>
            <w:tcW w:w="1559" w:type="dxa"/>
            <w:vAlign w:val="center"/>
          </w:tcPr>
          <w:p w14:paraId="2D64955A">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服务方式</w:t>
            </w:r>
          </w:p>
        </w:tc>
        <w:tc>
          <w:tcPr>
            <w:tcW w:w="6379" w:type="dxa"/>
            <w:vAlign w:val="center"/>
          </w:tcPr>
          <w:p w14:paraId="65103CF5">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上门服务为主、电话交流为辅。</w:t>
            </w:r>
          </w:p>
        </w:tc>
      </w:tr>
      <w:tr w14:paraId="3295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09" w:type="dxa"/>
            <w:vAlign w:val="center"/>
          </w:tcPr>
          <w:p w14:paraId="4B575FE8">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4</w:t>
            </w:r>
          </w:p>
        </w:tc>
        <w:tc>
          <w:tcPr>
            <w:tcW w:w="1559" w:type="dxa"/>
            <w:vAlign w:val="center"/>
          </w:tcPr>
          <w:p w14:paraId="23C666FF">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实施方式</w:t>
            </w:r>
          </w:p>
        </w:tc>
        <w:tc>
          <w:tcPr>
            <w:tcW w:w="6379" w:type="dxa"/>
            <w:vAlign w:val="center"/>
          </w:tcPr>
          <w:p w14:paraId="42D8E52D">
            <w:pPr>
              <w:spacing w:line="276" w:lineRule="auto"/>
              <w:ind w:firstLine="12" w:firstLineChars="5"/>
              <w:jc w:val="both"/>
              <w:rPr>
                <w:rFonts w:ascii="宋体" w:hAnsi="宋体" w:cs="宋体"/>
                <w:kern w:val="2"/>
                <w:sz w:val="24"/>
                <w:szCs w:val="24"/>
              </w:rPr>
            </w:pPr>
            <w:r>
              <w:rPr>
                <w:rFonts w:hint="eastAsia" w:ascii="宋体" w:hAnsi="宋体" w:cs="宋体"/>
                <w:sz w:val="24"/>
                <w:szCs w:val="24"/>
              </w:rPr>
              <w:t>中标</w:t>
            </w:r>
            <w:r>
              <w:rPr>
                <w:rFonts w:hint="eastAsia" w:ascii="宋体" w:hAnsi="宋体" w:cs="宋体"/>
                <w:kern w:val="2"/>
                <w:sz w:val="24"/>
                <w:szCs w:val="24"/>
              </w:rPr>
              <w:t>供应商承诺按照工作内容</w:t>
            </w:r>
            <w:r>
              <w:rPr>
                <w:rFonts w:hint="eastAsia" w:ascii="宋体" w:hAnsi="宋体" w:cs="宋体"/>
                <w:sz w:val="24"/>
                <w:szCs w:val="24"/>
              </w:rPr>
              <w:t>需求</w:t>
            </w:r>
            <w:r>
              <w:rPr>
                <w:rFonts w:hint="eastAsia" w:ascii="宋体" w:hAnsi="宋体" w:cs="宋体"/>
                <w:kern w:val="2"/>
                <w:sz w:val="24"/>
                <w:szCs w:val="24"/>
              </w:rPr>
              <w:t>提供</w:t>
            </w:r>
            <w:r>
              <w:rPr>
                <w:rFonts w:hint="eastAsia" w:ascii="宋体" w:hAnsi="宋体" w:cs="宋体"/>
                <w:sz w:val="24"/>
                <w:szCs w:val="24"/>
              </w:rPr>
              <w:t>服务，为了保证应急维护的质量，建议视各种应用软件对象的具体情况为不同应用软件购买对应的专业维护服务提供更可靠的技术支撑。</w:t>
            </w:r>
          </w:p>
        </w:tc>
      </w:tr>
      <w:tr w14:paraId="45B6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524DB488">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5</w:t>
            </w:r>
          </w:p>
        </w:tc>
        <w:tc>
          <w:tcPr>
            <w:tcW w:w="1559" w:type="dxa"/>
            <w:vAlign w:val="center"/>
          </w:tcPr>
          <w:p w14:paraId="14D8AC5C">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服务所需工具</w:t>
            </w:r>
          </w:p>
        </w:tc>
        <w:tc>
          <w:tcPr>
            <w:tcW w:w="6379" w:type="dxa"/>
            <w:vAlign w:val="center"/>
          </w:tcPr>
          <w:p w14:paraId="76B2E8C4">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由维护公司自配。</w:t>
            </w:r>
          </w:p>
        </w:tc>
      </w:tr>
      <w:tr w14:paraId="55B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4CD98182">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6</w:t>
            </w:r>
          </w:p>
        </w:tc>
        <w:tc>
          <w:tcPr>
            <w:tcW w:w="1559" w:type="dxa"/>
            <w:vAlign w:val="center"/>
          </w:tcPr>
          <w:p w14:paraId="425C723C">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记录与档案</w:t>
            </w:r>
          </w:p>
        </w:tc>
        <w:tc>
          <w:tcPr>
            <w:tcW w:w="6379" w:type="dxa"/>
            <w:vAlign w:val="center"/>
          </w:tcPr>
          <w:p w14:paraId="0DB699A1">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每次服务有记录，每月编写总结报告，提交业务主管部门和监理公司的监督。</w:t>
            </w:r>
          </w:p>
        </w:tc>
      </w:tr>
      <w:tr w14:paraId="7E94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678497A3">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7</w:t>
            </w:r>
          </w:p>
        </w:tc>
        <w:tc>
          <w:tcPr>
            <w:tcW w:w="1559" w:type="dxa"/>
            <w:vAlign w:val="center"/>
          </w:tcPr>
          <w:p w14:paraId="278D7B2D">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安全要求</w:t>
            </w:r>
          </w:p>
        </w:tc>
        <w:tc>
          <w:tcPr>
            <w:tcW w:w="6379" w:type="dxa"/>
            <w:vAlign w:val="center"/>
          </w:tcPr>
          <w:p w14:paraId="72C50969">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维护公司与分局签订保密协议；维护人员须参加安全培训会议。</w:t>
            </w:r>
          </w:p>
        </w:tc>
      </w:tr>
    </w:tbl>
    <w:p w14:paraId="2439501B">
      <w:pPr>
        <w:spacing w:line="360" w:lineRule="auto"/>
        <w:ind w:firstLine="480" w:firstLineChars="200"/>
        <w:rPr>
          <w:rFonts w:ascii="宋体" w:hAnsi="宋体" w:cs="宋体"/>
          <w:sz w:val="24"/>
          <w:szCs w:val="24"/>
        </w:rPr>
      </w:pPr>
    </w:p>
    <w:p w14:paraId="3E282D1A">
      <w:pPr>
        <w:spacing w:line="360" w:lineRule="auto"/>
        <w:ind w:firstLine="482" w:firstLineChars="200"/>
        <w:rPr>
          <w:rFonts w:ascii="宋体" w:hAnsi="宋体" w:cs="宋体"/>
          <w:b/>
          <w:bCs/>
          <w:sz w:val="24"/>
          <w:szCs w:val="24"/>
        </w:rPr>
      </w:pPr>
      <w:r>
        <w:rPr>
          <w:rFonts w:hint="eastAsia" w:ascii="宋体" w:hAnsi="宋体" w:cs="宋体"/>
          <w:b/>
          <w:bCs/>
          <w:sz w:val="24"/>
          <w:szCs w:val="24"/>
        </w:rPr>
        <w:t>2.4 基础软件系统的运维需求</w:t>
      </w:r>
    </w:p>
    <w:p w14:paraId="029BE2ED">
      <w:pPr>
        <w:spacing w:line="360" w:lineRule="auto"/>
        <w:ind w:firstLine="482" w:firstLineChars="200"/>
        <w:rPr>
          <w:rFonts w:ascii="宋体" w:hAnsi="宋体" w:cs="宋体"/>
          <w:b/>
          <w:sz w:val="24"/>
          <w:szCs w:val="24"/>
        </w:rPr>
      </w:pPr>
      <w:r>
        <w:rPr>
          <w:rFonts w:hint="eastAsia" w:ascii="宋体" w:hAnsi="宋体" w:cs="宋体"/>
          <w:b/>
          <w:sz w:val="24"/>
          <w:szCs w:val="24"/>
        </w:rPr>
        <w:t>2.4.1</w:t>
      </w:r>
      <w:r>
        <w:rPr>
          <w:rFonts w:hint="eastAsia" w:ascii="宋体" w:hAnsi="宋体" w:cs="宋体"/>
          <w:sz w:val="24"/>
          <w:szCs w:val="24"/>
        </w:rPr>
        <w:t>基础软件系统运维的对象清单</w:t>
      </w:r>
    </w:p>
    <w:p w14:paraId="312CF101">
      <w:pPr>
        <w:spacing w:line="360" w:lineRule="auto"/>
        <w:ind w:firstLine="480" w:firstLineChars="200"/>
        <w:rPr>
          <w:rFonts w:ascii="宋体" w:hAnsi="宋体" w:cs="宋体"/>
          <w:sz w:val="24"/>
          <w:szCs w:val="24"/>
        </w:rPr>
      </w:pPr>
      <w:r>
        <w:rPr>
          <w:rFonts w:hint="eastAsia" w:ascii="宋体" w:hAnsi="宋体" w:cs="宋体"/>
          <w:sz w:val="24"/>
          <w:szCs w:val="24"/>
        </w:rPr>
        <w:t>运维范围包括安装在分局三楼信息中心机房内的服务器上的基础软件，包括各种操作系统、数据库、中间件，数量为150套左右，随着机房改造和信息化项目的推进，数量可能有增减，但不包括服务器配件维修。</w:t>
      </w:r>
    </w:p>
    <w:p w14:paraId="2F224A19">
      <w:pPr>
        <w:spacing w:line="360" w:lineRule="auto"/>
        <w:ind w:firstLine="482" w:firstLineChars="200"/>
        <w:rPr>
          <w:rFonts w:ascii="宋体" w:hAnsi="宋体" w:cs="宋体"/>
          <w:sz w:val="24"/>
          <w:szCs w:val="24"/>
        </w:rPr>
      </w:pPr>
      <w:r>
        <w:rPr>
          <w:rFonts w:hint="eastAsia" w:ascii="宋体" w:hAnsi="宋体" w:cs="宋体"/>
          <w:b/>
          <w:sz w:val="24"/>
          <w:szCs w:val="24"/>
        </w:rPr>
        <w:t xml:space="preserve">2.4.2 </w:t>
      </w:r>
      <w:r>
        <w:rPr>
          <w:rFonts w:hint="eastAsia" w:ascii="宋体" w:hAnsi="宋体" w:cs="宋体"/>
          <w:sz w:val="24"/>
          <w:szCs w:val="24"/>
        </w:rPr>
        <w:t>基础软件系统的工作内容</w:t>
      </w:r>
    </w:p>
    <w:p w14:paraId="21251351">
      <w:pPr>
        <w:spacing w:line="360" w:lineRule="auto"/>
        <w:ind w:firstLine="480" w:firstLineChars="200"/>
        <w:rPr>
          <w:rFonts w:ascii="宋体" w:hAnsi="宋体" w:cs="宋体"/>
          <w:sz w:val="24"/>
          <w:szCs w:val="24"/>
        </w:rPr>
      </w:pPr>
      <w:r>
        <w:rPr>
          <w:rFonts w:hint="eastAsia" w:ascii="宋体" w:hAnsi="宋体" w:cs="宋体"/>
          <w:sz w:val="24"/>
          <w:szCs w:val="24"/>
        </w:rPr>
        <w:t>基础软件运维的主要工作内容为：例行巡检、应急维护、补丁升级，具体描述如下：</w:t>
      </w:r>
    </w:p>
    <w:p w14:paraId="51C421A3">
      <w:pPr>
        <w:spacing w:line="360" w:lineRule="auto"/>
        <w:ind w:firstLine="482" w:firstLineChars="200"/>
        <w:rPr>
          <w:rFonts w:ascii="宋体" w:hAnsi="宋体" w:cs="宋体"/>
          <w:b/>
          <w:sz w:val="24"/>
          <w:szCs w:val="24"/>
        </w:rPr>
      </w:pPr>
      <w:r>
        <w:rPr>
          <w:rFonts w:hint="eastAsia" w:ascii="宋体" w:hAnsi="宋体" w:cs="宋体"/>
          <w:b/>
          <w:sz w:val="24"/>
          <w:szCs w:val="24"/>
        </w:rPr>
        <w:t xml:space="preserve">2.4.2.1 </w:t>
      </w:r>
      <w:r>
        <w:rPr>
          <w:rFonts w:hint="eastAsia" w:ascii="宋体" w:hAnsi="宋体" w:cs="宋体"/>
          <w:sz w:val="24"/>
          <w:szCs w:val="24"/>
        </w:rPr>
        <w:t>运维台账的建立</w:t>
      </w:r>
    </w:p>
    <w:p w14:paraId="58BCF41C">
      <w:pPr>
        <w:spacing w:line="360" w:lineRule="auto"/>
        <w:ind w:firstLine="480" w:firstLineChars="200"/>
        <w:rPr>
          <w:rFonts w:ascii="宋体" w:hAnsi="宋体" w:cs="宋体"/>
          <w:sz w:val="24"/>
          <w:szCs w:val="24"/>
        </w:rPr>
      </w:pPr>
      <w:r>
        <w:rPr>
          <w:rFonts w:hint="eastAsia" w:ascii="宋体" w:hAnsi="宋体" w:cs="宋体"/>
          <w:sz w:val="24"/>
          <w:szCs w:val="24"/>
        </w:rPr>
        <w:t>首次巡检维护前，应进行运维基础资料的整理与提交。在年度运维工作开始后要求对工作所涉及的软件、硬件的基础台帐进行一次全面梳理核对，并在合同履行期内保持对基础台帐资料的实时更新。</w:t>
      </w:r>
    </w:p>
    <w:p w14:paraId="560C069A">
      <w:pPr>
        <w:spacing w:line="360" w:lineRule="auto"/>
        <w:ind w:firstLine="482" w:firstLineChars="200"/>
        <w:rPr>
          <w:rFonts w:ascii="宋体" w:hAnsi="宋体" w:cs="宋体"/>
          <w:b/>
          <w:sz w:val="24"/>
          <w:szCs w:val="24"/>
        </w:rPr>
      </w:pPr>
      <w:r>
        <w:rPr>
          <w:rFonts w:hint="eastAsia" w:ascii="宋体" w:hAnsi="宋体" w:cs="宋体"/>
          <w:b/>
          <w:sz w:val="24"/>
          <w:szCs w:val="24"/>
        </w:rPr>
        <w:t xml:space="preserve">2.4.2.2 </w:t>
      </w:r>
      <w:r>
        <w:rPr>
          <w:rFonts w:hint="eastAsia" w:ascii="宋体" w:hAnsi="宋体" w:cs="宋体"/>
          <w:sz w:val="24"/>
          <w:szCs w:val="24"/>
        </w:rPr>
        <w:t>例行巡检</w:t>
      </w:r>
    </w:p>
    <w:p w14:paraId="512D19CF">
      <w:pPr>
        <w:spacing w:line="360" w:lineRule="auto"/>
        <w:ind w:firstLine="480" w:firstLineChars="200"/>
        <w:rPr>
          <w:rFonts w:ascii="宋体" w:hAnsi="宋体" w:cs="宋体"/>
          <w:sz w:val="24"/>
          <w:szCs w:val="24"/>
        </w:rPr>
      </w:pPr>
      <w:r>
        <w:rPr>
          <w:rFonts w:hint="eastAsia" w:ascii="宋体" w:hAnsi="宋体" w:cs="宋体"/>
          <w:sz w:val="24"/>
          <w:szCs w:val="24"/>
        </w:rPr>
        <w:t>维护公司负责对各种操作系统基础软件逐一进行健康状态检查，含资源使用情况、系统事件日志情况。每台每月一次，一旦发现问题，立即启动解决预案，及时处理。</w:t>
      </w:r>
    </w:p>
    <w:p w14:paraId="35E18A73">
      <w:pPr>
        <w:spacing w:line="360" w:lineRule="auto"/>
        <w:ind w:firstLine="480" w:firstLineChars="200"/>
        <w:rPr>
          <w:rFonts w:ascii="宋体" w:hAnsi="宋体" w:cs="宋体"/>
          <w:sz w:val="24"/>
          <w:szCs w:val="24"/>
        </w:rPr>
      </w:pPr>
      <w:r>
        <w:rPr>
          <w:rFonts w:hint="eastAsia" w:ascii="宋体" w:hAnsi="宋体" w:cs="宋体"/>
          <w:sz w:val="24"/>
          <w:szCs w:val="24"/>
        </w:rPr>
        <w:t>当某台服务器的操作系统基础软件出现故障，且初步判断与其承载的业务应用有关且该业务不在本维护需求清单中的话，则向业主方汇报，由业主方确认方案（如协调该应用业务软件提供商备份数据等）修复解决。</w:t>
      </w:r>
    </w:p>
    <w:p w14:paraId="470C5DF4">
      <w:pPr>
        <w:spacing w:line="360" w:lineRule="auto"/>
        <w:ind w:firstLine="480" w:firstLineChars="200"/>
        <w:rPr>
          <w:rFonts w:ascii="宋体" w:hAnsi="宋体" w:cs="宋体"/>
          <w:sz w:val="24"/>
          <w:szCs w:val="24"/>
        </w:rPr>
      </w:pPr>
      <w:r>
        <w:rPr>
          <w:rFonts w:hint="eastAsia" w:ascii="宋体" w:hAnsi="宋体" w:cs="宋体"/>
          <w:sz w:val="24"/>
          <w:szCs w:val="24"/>
        </w:rPr>
        <w:t>要求每月进行一次巡检并提交报告，发现问题的还要进行口头汇报并在巡检报告中进行描述，当月未解决的需进行后续工作安排。</w:t>
      </w:r>
    </w:p>
    <w:p w14:paraId="61EC9676">
      <w:pPr>
        <w:spacing w:line="360" w:lineRule="auto"/>
        <w:ind w:firstLine="482" w:firstLineChars="200"/>
        <w:rPr>
          <w:rFonts w:ascii="宋体" w:hAnsi="宋体" w:cs="宋体"/>
          <w:b/>
          <w:sz w:val="24"/>
          <w:szCs w:val="24"/>
        </w:rPr>
      </w:pPr>
      <w:r>
        <w:rPr>
          <w:rFonts w:hint="eastAsia" w:ascii="宋体" w:hAnsi="宋体" w:cs="宋体"/>
          <w:b/>
          <w:sz w:val="24"/>
          <w:szCs w:val="24"/>
        </w:rPr>
        <w:t xml:space="preserve">2.4.2.3 </w:t>
      </w:r>
      <w:r>
        <w:rPr>
          <w:rFonts w:hint="eastAsia" w:ascii="宋体" w:hAnsi="宋体" w:cs="宋体"/>
          <w:sz w:val="24"/>
          <w:szCs w:val="24"/>
        </w:rPr>
        <w:t>应急维护</w:t>
      </w:r>
    </w:p>
    <w:p w14:paraId="39A927A0">
      <w:pPr>
        <w:spacing w:line="360" w:lineRule="auto"/>
        <w:ind w:firstLine="480" w:firstLineChars="200"/>
        <w:rPr>
          <w:rFonts w:ascii="宋体" w:hAnsi="宋体" w:cs="宋体"/>
          <w:sz w:val="24"/>
          <w:szCs w:val="24"/>
        </w:rPr>
      </w:pPr>
      <w:r>
        <w:rPr>
          <w:rFonts w:hint="eastAsia" w:ascii="宋体" w:hAnsi="宋体" w:cs="宋体"/>
          <w:sz w:val="24"/>
          <w:szCs w:val="24"/>
        </w:rPr>
        <w:t>一旦接到业主方的故障报修要求，维护公司必须提供应急服务。</w:t>
      </w:r>
    </w:p>
    <w:p w14:paraId="1B416CEA">
      <w:pPr>
        <w:spacing w:line="360" w:lineRule="auto"/>
        <w:ind w:firstLine="480" w:firstLineChars="200"/>
        <w:rPr>
          <w:rFonts w:ascii="宋体" w:hAnsi="宋体" w:cs="宋体"/>
          <w:sz w:val="24"/>
          <w:szCs w:val="24"/>
        </w:rPr>
      </w:pPr>
      <w:r>
        <w:rPr>
          <w:rFonts w:hint="eastAsia" w:ascii="宋体" w:hAnsi="宋体" w:cs="宋体"/>
          <w:sz w:val="24"/>
          <w:szCs w:val="24"/>
        </w:rPr>
        <w:t>应急维护包括：分析基础软件故障并予以解决，需要业务应用软件供应商参与维护和配合的则由业主方进行联系后联合解决。</w:t>
      </w:r>
    </w:p>
    <w:p w14:paraId="56FD5043">
      <w:pPr>
        <w:spacing w:line="360" w:lineRule="auto"/>
        <w:ind w:firstLine="482" w:firstLineChars="200"/>
        <w:rPr>
          <w:rFonts w:ascii="宋体" w:hAnsi="宋体" w:cs="宋体"/>
          <w:b/>
          <w:sz w:val="24"/>
          <w:szCs w:val="24"/>
        </w:rPr>
      </w:pPr>
      <w:r>
        <w:rPr>
          <w:rFonts w:hint="eastAsia" w:ascii="宋体" w:hAnsi="宋体" w:cs="宋体"/>
          <w:b/>
          <w:sz w:val="24"/>
          <w:szCs w:val="24"/>
        </w:rPr>
        <w:t>2.4.2.4</w:t>
      </w:r>
      <w:r>
        <w:rPr>
          <w:rFonts w:hint="eastAsia" w:ascii="宋体" w:hAnsi="宋体" w:cs="宋体"/>
          <w:sz w:val="24"/>
          <w:szCs w:val="24"/>
        </w:rPr>
        <w:t>补丁升级</w:t>
      </w:r>
    </w:p>
    <w:p w14:paraId="26873B49">
      <w:pPr>
        <w:spacing w:line="360" w:lineRule="auto"/>
        <w:ind w:firstLine="480" w:firstLineChars="200"/>
        <w:rPr>
          <w:rFonts w:ascii="宋体" w:hAnsi="宋体" w:cs="宋体"/>
          <w:sz w:val="24"/>
          <w:szCs w:val="24"/>
        </w:rPr>
      </w:pPr>
      <w:r>
        <w:rPr>
          <w:rFonts w:hint="eastAsia" w:ascii="宋体" w:hAnsi="宋体" w:cs="宋体"/>
          <w:sz w:val="24"/>
          <w:szCs w:val="24"/>
        </w:rPr>
        <w:t>分局接到市局或公安部的扫描结果后，由运维技术人员进行分析并进行漏洞补打，需要被扫描的服务器承载的业务应用软件的供应商前来配合维护的，则由业主方进行联系后联合解决。 注：若该业务应用软件不在本维护需求清单中的话，则应用软件供应商参与解决问题所涉及的费用由业主方另行负责安排。</w:t>
      </w:r>
    </w:p>
    <w:p w14:paraId="48BD183F">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3CC2018B">
      <w:pPr>
        <w:spacing w:line="360" w:lineRule="auto"/>
        <w:ind w:firstLine="482" w:firstLineChars="200"/>
        <w:rPr>
          <w:rFonts w:ascii="宋体" w:hAnsi="宋体" w:cs="宋体"/>
          <w:b/>
          <w:sz w:val="24"/>
          <w:szCs w:val="24"/>
        </w:rPr>
      </w:pPr>
      <w:r>
        <w:rPr>
          <w:rFonts w:hint="eastAsia" w:ascii="宋体" w:hAnsi="宋体" w:cs="宋体"/>
          <w:b/>
          <w:sz w:val="24"/>
          <w:szCs w:val="24"/>
        </w:rPr>
        <w:t xml:space="preserve">2.4.3 </w:t>
      </w:r>
      <w:r>
        <w:rPr>
          <w:rFonts w:hint="eastAsia" w:ascii="宋体" w:hAnsi="宋体" w:cs="宋体"/>
          <w:sz w:val="24"/>
          <w:szCs w:val="24"/>
        </w:rPr>
        <w:t>基础软件系统的服务要求</w:t>
      </w:r>
    </w:p>
    <w:tbl>
      <w:tblPr>
        <w:tblStyle w:val="15"/>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6379"/>
      </w:tblGrid>
      <w:tr w14:paraId="49E4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01D96ADF">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序号</w:t>
            </w:r>
          </w:p>
        </w:tc>
        <w:tc>
          <w:tcPr>
            <w:tcW w:w="1559" w:type="dxa"/>
            <w:vAlign w:val="center"/>
          </w:tcPr>
          <w:p w14:paraId="367E88EB">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服务要求项</w:t>
            </w:r>
          </w:p>
        </w:tc>
        <w:tc>
          <w:tcPr>
            <w:tcW w:w="6379" w:type="dxa"/>
          </w:tcPr>
          <w:p w14:paraId="71385740">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描 述</w:t>
            </w:r>
          </w:p>
        </w:tc>
      </w:tr>
      <w:tr w14:paraId="45EF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38605946">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1</w:t>
            </w:r>
          </w:p>
        </w:tc>
        <w:tc>
          <w:tcPr>
            <w:tcW w:w="1559" w:type="dxa"/>
            <w:vAlign w:val="center"/>
          </w:tcPr>
          <w:p w14:paraId="182E772E">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服务人员</w:t>
            </w:r>
          </w:p>
        </w:tc>
        <w:tc>
          <w:tcPr>
            <w:tcW w:w="6379" w:type="dxa"/>
          </w:tcPr>
          <w:p w14:paraId="0794EB20">
            <w:pPr>
              <w:spacing w:line="276" w:lineRule="auto"/>
              <w:ind w:firstLine="12" w:firstLineChars="5"/>
              <w:rPr>
                <w:rFonts w:ascii="宋体" w:hAnsi="宋体" w:cs="宋体"/>
                <w:kern w:val="2"/>
                <w:sz w:val="24"/>
                <w:szCs w:val="24"/>
              </w:rPr>
            </w:pPr>
            <w:r>
              <w:rPr>
                <w:rFonts w:hint="eastAsia" w:ascii="宋体" w:hAnsi="宋体" w:cs="宋体"/>
                <w:sz w:val="24"/>
                <w:szCs w:val="24"/>
              </w:rPr>
              <w:t>本项目供应商需提供驻场服务，驻场时间为国家规定的上班时间，并承担运维对象所涉及的相关维护申报审核、安装调试等工作。</w:t>
            </w:r>
          </w:p>
        </w:tc>
      </w:tr>
      <w:tr w14:paraId="189D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vAlign w:val="center"/>
          </w:tcPr>
          <w:p w14:paraId="4ADD729E">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2</w:t>
            </w:r>
          </w:p>
        </w:tc>
        <w:tc>
          <w:tcPr>
            <w:tcW w:w="1559" w:type="dxa"/>
            <w:vAlign w:val="center"/>
          </w:tcPr>
          <w:p w14:paraId="4835D817">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服务响应</w:t>
            </w:r>
          </w:p>
        </w:tc>
        <w:tc>
          <w:tcPr>
            <w:tcW w:w="6379" w:type="dxa"/>
            <w:vAlign w:val="center"/>
          </w:tcPr>
          <w:p w14:paraId="11474CDB">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例行巡检：每月一次。</w:t>
            </w:r>
          </w:p>
          <w:p w14:paraId="1AE52C8D">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应急维护：提供每周7*24小时的服务响应，电话解决不了的则接修通知后4小时内到达现场，核心应用系统故障报修2小时到场，小修2小时解决。一般故障不过夜，确保在次日上午8：00前恢复系统正常。</w:t>
            </w:r>
          </w:p>
        </w:tc>
      </w:tr>
      <w:tr w14:paraId="5F49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3EFF51F9">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3</w:t>
            </w:r>
          </w:p>
        </w:tc>
        <w:tc>
          <w:tcPr>
            <w:tcW w:w="1559" w:type="dxa"/>
            <w:vAlign w:val="center"/>
          </w:tcPr>
          <w:p w14:paraId="6A18BE99">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服务方式</w:t>
            </w:r>
          </w:p>
        </w:tc>
        <w:tc>
          <w:tcPr>
            <w:tcW w:w="6379" w:type="dxa"/>
            <w:vAlign w:val="center"/>
          </w:tcPr>
          <w:p w14:paraId="0B318CB4">
            <w:pPr>
              <w:spacing w:line="276" w:lineRule="auto"/>
              <w:ind w:firstLine="12" w:firstLineChars="5"/>
              <w:jc w:val="both"/>
              <w:rPr>
                <w:rFonts w:ascii="宋体" w:hAnsi="宋体" w:cs="宋体"/>
                <w:kern w:val="2"/>
                <w:sz w:val="24"/>
                <w:szCs w:val="24"/>
              </w:rPr>
            </w:pPr>
            <w:r>
              <w:rPr>
                <w:rFonts w:hint="eastAsia" w:ascii="宋体" w:hAnsi="宋体" w:cs="宋体"/>
                <w:sz w:val="24"/>
                <w:szCs w:val="24"/>
              </w:rPr>
              <w:t>常驻业主方驻地，</w:t>
            </w:r>
            <w:r>
              <w:rPr>
                <w:rFonts w:hint="eastAsia" w:ascii="宋体" w:hAnsi="宋体" w:cs="宋体"/>
                <w:kern w:val="2"/>
                <w:sz w:val="24"/>
                <w:szCs w:val="24"/>
              </w:rPr>
              <w:t>上门服务。</w:t>
            </w:r>
          </w:p>
        </w:tc>
      </w:tr>
      <w:tr w14:paraId="0AC9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9" w:type="dxa"/>
            <w:vAlign w:val="center"/>
          </w:tcPr>
          <w:p w14:paraId="7148A85E">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4</w:t>
            </w:r>
          </w:p>
        </w:tc>
        <w:tc>
          <w:tcPr>
            <w:tcW w:w="1559" w:type="dxa"/>
            <w:vAlign w:val="center"/>
          </w:tcPr>
          <w:p w14:paraId="3B0674C9">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实施方式</w:t>
            </w:r>
          </w:p>
        </w:tc>
        <w:tc>
          <w:tcPr>
            <w:tcW w:w="6379" w:type="dxa"/>
            <w:vAlign w:val="center"/>
          </w:tcPr>
          <w:p w14:paraId="36DECD06">
            <w:pPr>
              <w:spacing w:line="276" w:lineRule="auto"/>
              <w:ind w:firstLine="12" w:firstLineChars="5"/>
              <w:jc w:val="both"/>
              <w:rPr>
                <w:rFonts w:ascii="宋体" w:hAnsi="宋体" w:cs="宋体"/>
                <w:kern w:val="2"/>
                <w:sz w:val="24"/>
                <w:szCs w:val="24"/>
              </w:rPr>
            </w:pPr>
            <w:r>
              <w:rPr>
                <w:rFonts w:hint="eastAsia" w:ascii="宋体" w:hAnsi="宋体" w:cs="宋体"/>
                <w:sz w:val="24"/>
                <w:szCs w:val="24"/>
              </w:rPr>
              <w:t>中标</w:t>
            </w:r>
            <w:r>
              <w:rPr>
                <w:rFonts w:hint="eastAsia" w:ascii="宋体" w:hAnsi="宋体" w:cs="宋体"/>
                <w:kern w:val="2"/>
                <w:sz w:val="24"/>
                <w:szCs w:val="24"/>
              </w:rPr>
              <w:t>供应商承诺按照工作内容</w:t>
            </w:r>
            <w:r>
              <w:rPr>
                <w:rFonts w:hint="eastAsia" w:ascii="宋体" w:hAnsi="宋体" w:cs="宋体"/>
                <w:sz w:val="24"/>
                <w:szCs w:val="24"/>
              </w:rPr>
              <w:t>需求</w:t>
            </w:r>
            <w:r>
              <w:rPr>
                <w:rFonts w:hint="eastAsia" w:ascii="宋体" w:hAnsi="宋体" w:cs="宋体"/>
                <w:kern w:val="2"/>
                <w:sz w:val="24"/>
                <w:szCs w:val="24"/>
              </w:rPr>
              <w:t>提供</w:t>
            </w:r>
            <w:r>
              <w:rPr>
                <w:rFonts w:hint="eastAsia" w:ascii="宋体" w:hAnsi="宋体" w:cs="宋体"/>
                <w:sz w:val="24"/>
                <w:szCs w:val="24"/>
              </w:rPr>
              <w:t>服务，派遣常驻人员提供服务。</w:t>
            </w:r>
          </w:p>
        </w:tc>
      </w:tr>
      <w:tr w14:paraId="7BB3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35F35073">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5</w:t>
            </w:r>
          </w:p>
        </w:tc>
        <w:tc>
          <w:tcPr>
            <w:tcW w:w="1559" w:type="dxa"/>
            <w:vAlign w:val="center"/>
          </w:tcPr>
          <w:p w14:paraId="24FF93FF">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服务所需工具</w:t>
            </w:r>
          </w:p>
        </w:tc>
        <w:tc>
          <w:tcPr>
            <w:tcW w:w="6379" w:type="dxa"/>
            <w:vAlign w:val="center"/>
          </w:tcPr>
          <w:p w14:paraId="1FFA6312">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由维护公司自配。</w:t>
            </w:r>
          </w:p>
        </w:tc>
      </w:tr>
      <w:tr w14:paraId="6492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27D42A26">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6</w:t>
            </w:r>
          </w:p>
        </w:tc>
        <w:tc>
          <w:tcPr>
            <w:tcW w:w="1559" w:type="dxa"/>
            <w:vAlign w:val="center"/>
          </w:tcPr>
          <w:p w14:paraId="5598C3BE">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记录与档案</w:t>
            </w:r>
          </w:p>
        </w:tc>
        <w:tc>
          <w:tcPr>
            <w:tcW w:w="6379" w:type="dxa"/>
            <w:vAlign w:val="center"/>
          </w:tcPr>
          <w:p w14:paraId="4859293B">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每月编写总结报告，提交业务主管部门和监理公司的监督。</w:t>
            </w:r>
          </w:p>
        </w:tc>
      </w:tr>
      <w:tr w14:paraId="5094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0653EE3F">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7</w:t>
            </w:r>
          </w:p>
        </w:tc>
        <w:tc>
          <w:tcPr>
            <w:tcW w:w="1559" w:type="dxa"/>
            <w:vAlign w:val="center"/>
          </w:tcPr>
          <w:p w14:paraId="60C35A63">
            <w:pPr>
              <w:spacing w:line="276" w:lineRule="auto"/>
              <w:ind w:firstLine="12" w:firstLineChars="5"/>
              <w:jc w:val="center"/>
              <w:rPr>
                <w:rFonts w:ascii="宋体" w:hAnsi="宋体" w:cs="宋体"/>
                <w:kern w:val="2"/>
                <w:sz w:val="24"/>
                <w:szCs w:val="24"/>
              </w:rPr>
            </w:pPr>
            <w:r>
              <w:rPr>
                <w:rFonts w:hint="eastAsia" w:ascii="宋体" w:hAnsi="宋体" w:cs="宋体"/>
                <w:kern w:val="2"/>
                <w:sz w:val="24"/>
                <w:szCs w:val="24"/>
              </w:rPr>
              <w:t>安全要求</w:t>
            </w:r>
          </w:p>
        </w:tc>
        <w:tc>
          <w:tcPr>
            <w:tcW w:w="6379" w:type="dxa"/>
            <w:vAlign w:val="center"/>
          </w:tcPr>
          <w:p w14:paraId="02E47910">
            <w:pPr>
              <w:spacing w:line="276" w:lineRule="auto"/>
              <w:ind w:firstLine="12" w:firstLineChars="5"/>
              <w:jc w:val="both"/>
              <w:rPr>
                <w:rFonts w:ascii="宋体" w:hAnsi="宋体" w:cs="宋体"/>
                <w:kern w:val="2"/>
                <w:sz w:val="24"/>
                <w:szCs w:val="24"/>
              </w:rPr>
            </w:pPr>
            <w:r>
              <w:rPr>
                <w:rFonts w:hint="eastAsia" w:ascii="宋体" w:hAnsi="宋体" w:cs="宋体"/>
                <w:kern w:val="2"/>
                <w:sz w:val="24"/>
                <w:szCs w:val="24"/>
              </w:rPr>
              <w:t>维护公司与分局签订保密协议；维护人员须参加安全培训会议。</w:t>
            </w:r>
          </w:p>
        </w:tc>
      </w:tr>
    </w:tbl>
    <w:p w14:paraId="6010953B">
      <w:pPr>
        <w:spacing w:line="360" w:lineRule="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注：需要供应商派遣至少1个运维技术员常驻分局信息中心随时随地实施运维服务工作。驻场工程师有相关工作经验、服务态度端正。</w:t>
      </w:r>
    </w:p>
    <w:p w14:paraId="74E8499C">
      <w:pPr>
        <w:keepNext w:val="0"/>
        <w:keepLines w:val="0"/>
        <w:pageBreakBefore w:val="0"/>
        <w:widowControl w:val="0"/>
        <w:kinsoku/>
        <w:wordWrap/>
        <w:overflowPunct/>
        <w:topLinePunct w:val="0"/>
        <w:autoSpaceDE/>
        <w:autoSpaceDN/>
        <w:bidi w:val="0"/>
        <w:adjustRightInd w:val="0"/>
        <w:snapToGrid w:val="0"/>
        <w:spacing w:line="560" w:lineRule="exact"/>
        <w:jc w:val="both"/>
        <w:rPr>
          <w:rFonts w:hint="eastAsia" w:ascii="宋体" w:hAnsi="宋体" w:eastAsia="宋体"/>
          <w:b/>
          <w:kern w:val="2"/>
          <w:sz w:val="24"/>
          <w:szCs w:val="24"/>
        </w:rPr>
      </w:pPr>
      <w:r>
        <w:rPr>
          <w:rFonts w:hint="eastAsia" w:ascii="宋体" w:hAnsi="宋体" w:eastAsia="宋体"/>
          <w:b/>
          <w:kern w:val="2"/>
          <w:sz w:val="24"/>
          <w:szCs w:val="24"/>
        </w:rPr>
        <w:t>3、保密要求、知识产权、工作纪律要求</w:t>
      </w:r>
    </w:p>
    <w:p w14:paraId="2F628A7C">
      <w:pPr>
        <w:keepNext w:val="0"/>
        <w:keepLines w:val="0"/>
        <w:pageBreakBefore w:val="0"/>
        <w:widowControl w:val="0"/>
        <w:kinsoku/>
        <w:wordWrap/>
        <w:overflowPunct/>
        <w:topLinePunct w:val="0"/>
        <w:autoSpaceDE/>
        <w:autoSpaceDN/>
        <w:bidi w:val="0"/>
        <w:adjustRightInd w:val="0"/>
        <w:snapToGrid w:val="0"/>
        <w:spacing w:line="560" w:lineRule="exact"/>
        <w:ind w:firstLine="424" w:firstLineChars="177"/>
        <w:jc w:val="both"/>
        <w:textAlignment w:val="auto"/>
        <w:rPr>
          <w:rFonts w:ascii="宋体" w:hAnsi="宋体" w:eastAsia="宋体"/>
          <w:kern w:val="2"/>
          <w:sz w:val="24"/>
          <w:szCs w:val="22"/>
        </w:rPr>
      </w:pPr>
      <w:r>
        <w:rPr>
          <w:rFonts w:hint="eastAsia" w:ascii="宋体" w:hAnsi="宋体" w:eastAsia="宋体" w:cs="Times New Roman"/>
          <w:kern w:val="2"/>
          <w:sz w:val="24"/>
          <w:szCs w:val="22"/>
        </w:rPr>
        <w:t xml:space="preserve">3.1  </w:t>
      </w:r>
      <w:r>
        <w:rPr>
          <w:rFonts w:hint="eastAsia" w:ascii="宋体" w:hAnsi="宋体" w:eastAsia="宋体" w:cs="Times New Roman"/>
          <w:kern w:val="2"/>
          <w:sz w:val="24"/>
          <w:szCs w:val="22"/>
          <w:lang w:eastAsia="zh-CN"/>
        </w:rPr>
        <w:t>合同签订时，甲乙双方</w:t>
      </w:r>
      <w:r>
        <w:rPr>
          <w:rFonts w:hint="eastAsia" w:ascii="宋体" w:hAnsi="宋体" w:eastAsia="宋体" w:cs="Times New Roman"/>
          <w:kern w:val="2"/>
          <w:sz w:val="24"/>
          <w:szCs w:val="22"/>
        </w:rPr>
        <w:t>应签订保密协议，双方均有保密义务。</w:t>
      </w:r>
    </w:p>
    <w:p w14:paraId="04AE73B8">
      <w:pPr>
        <w:keepNext w:val="0"/>
        <w:keepLines w:val="0"/>
        <w:pageBreakBefore w:val="0"/>
        <w:widowControl w:val="0"/>
        <w:kinsoku/>
        <w:wordWrap/>
        <w:overflowPunct/>
        <w:topLinePunct w:val="0"/>
        <w:autoSpaceDE/>
        <w:autoSpaceDN/>
        <w:bidi w:val="0"/>
        <w:adjustRightInd w:val="0"/>
        <w:snapToGrid w:val="0"/>
        <w:spacing w:line="560" w:lineRule="exact"/>
        <w:ind w:firstLine="420"/>
        <w:jc w:val="both"/>
        <w:textAlignment w:val="auto"/>
        <w:rPr>
          <w:rFonts w:ascii="宋体" w:hAnsi="宋体" w:eastAsia="宋体"/>
          <w:kern w:val="2"/>
          <w:sz w:val="24"/>
          <w:szCs w:val="22"/>
        </w:rPr>
      </w:pPr>
      <w:r>
        <w:rPr>
          <w:rFonts w:hint="eastAsia" w:ascii="宋体" w:hAnsi="宋体" w:eastAsia="宋体" w:cs="Times New Roman"/>
          <w:kern w:val="2"/>
          <w:sz w:val="24"/>
          <w:szCs w:val="22"/>
        </w:rPr>
        <w:t>3.2  保密期限由保密内容提供方确定，保密期限届满后，保密内容公开时，应书面征得保密内容提供方同意。</w:t>
      </w:r>
    </w:p>
    <w:p w14:paraId="3F9FDF1A">
      <w:pPr>
        <w:keepNext w:val="0"/>
        <w:keepLines w:val="0"/>
        <w:pageBreakBefore w:val="0"/>
        <w:widowControl w:val="0"/>
        <w:kinsoku/>
        <w:wordWrap/>
        <w:overflowPunct/>
        <w:topLinePunct w:val="0"/>
        <w:autoSpaceDE/>
        <w:autoSpaceDN/>
        <w:bidi w:val="0"/>
        <w:adjustRightInd w:val="0"/>
        <w:snapToGrid w:val="0"/>
        <w:spacing w:line="560" w:lineRule="exact"/>
        <w:ind w:firstLine="420"/>
        <w:jc w:val="both"/>
        <w:textAlignment w:val="auto"/>
        <w:rPr>
          <w:rFonts w:ascii="宋体" w:hAnsi="宋体" w:eastAsia="宋体"/>
          <w:kern w:val="2"/>
          <w:sz w:val="24"/>
          <w:szCs w:val="22"/>
        </w:rPr>
      </w:pPr>
      <w:r>
        <w:rPr>
          <w:rFonts w:hint="eastAsia" w:ascii="宋体" w:hAnsi="宋体" w:eastAsia="宋体" w:cs="Times New Roman"/>
          <w:kern w:val="2"/>
          <w:sz w:val="24"/>
          <w:szCs w:val="22"/>
        </w:rPr>
        <w:t>3.3  委托开发软件的知识产权归</w:t>
      </w:r>
      <w:r>
        <w:rPr>
          <w:rFonts w:hint="eastAsia" w:ascii="宋体" w:hAnsi="宋体" w:eastAsia="宋体" w:cs="Times New Roman"/>
          <w:kern w:val="2"/>
          <w:sz w:val="24"/>
          <w:szCs w:val="22"/>
          <w:lang w:eastAsia="zh-CN"/>
        </w:rPr>
        <w:t>委托方</w:t>
      </w:r>
      <w:r>
        <w:rPr>
          <w:rFonts w:hint="eastAsia" w:ascii="宋体" w:hAnsi="宋体" w:eastAsia="宋体" w:cs="Times New Roman"/>
          <w:kern w:val="2"/>
          <w:sz w:val="24"/>
          <w:szCs w:val="22"/>
        </w:rPr>
        <w:t>所有。</w:t>
      </w:r>
      <w:r>
        <w:rPr>
          <w:rFonts w:hint="eastAsia" w:ascii="宋体" w:hAnsi="宋体" w:eastAsia="宋体" w:cs="Times New Roman"/>
          <w:kern w:val="2"/>
          <w:sz w:val="24"/>
          <w:szCs w:val="22"/>
          <w:lang w:eastAsia="zh-CN"/>
        </w:rPr>
        <w:t>供应商</w:t>
      </w:r>
      <w:r>
        <w:rPr>
          <w:rFonts w:hint="eastAsia" w:ascii="宋体" w:hAnsi="宋体" w:eastAsia="宋体" w:cs="Times New Roman"/>
          <w:kern w:val="2"/>
          <w:sz w:val="24"/>
          <w:szCs w:val="22"/>
        </w:rPr>
        <w:t>交付使用的信息系统已享有知识产权的，</w:t>
      </w:r>
      <w:r>
        <w:rPr>
          <w:rFonts w:hint="eastAsia" w:ascii="宋体" w:hAnsi="宋体" w:eastAsia="宋体" w:cs="Times New Roman"/>
          <w:kern w:val="2"/>
          <w:sz w:val="24"/>
          <w:szCs w:val="22"/>
          <w:lang w:eastAsia="zh-CN"/>
        </w:rPr>
        <w:t>使用方</w:t>
      </w:r>
      <w:r>
        <w:rPr>
          <w:rFonts w:hint="eastAsia" w:ascii="宋体" w:hAnsi="宋体" w:eastAsia="宋体" w:cs="Times New Roman"/>
          <w:kern w:val="2"/>
          <w:sz w:val="24"/>
          <w:szCs w:val="22"/>
        </w:rPr>
        <w:t>可在合同文件明确的范围内自主使用。信息系统中所有文档资料和数据、收集和储存的个人信息所有权均属于</w:t>
      </w:r>
      <w:r>
        <w:rPr>
          <w:rFonts w:hint="eastAsia" w:ascii="宋体" w:hAnsi="宋体" w:eastAsia="宋体" w:cs="Times New Roman"/>
          <w:kern w:val="2"/>
          <w:sz w:val="24"/>
          <w:szCs w:val="22"/>
          <w:lang w:eastAsia="zh-CN"/>
        </w:rPr>
        <w:t>使用方</w:t>
      </w:r>
      <w:r>
        <w:rPr>
          <w:rFonts w:hint="eastAsia" w:ascii="宋体" w:hAnsi="宋体" w:eastAsia="宋体" w:cs="Times New Roman"/>
          <w:kern w:val="2"/>
          <w:sz w:val="24"/>
          <w:szCs w:val="22"/>
        </w:rPr>
        <w:t>，未经</w:t>
      </w:r>
      <w:r>
        <w:rPr>
          <w:rFonts w:hint="eastAsia" w:ascii="宋体" w:hAnsi="宋体" w:eastAsia="宋体" w:cs="Times New Roman"/>
          <w:kern w:val="2"/>
          <w:sz w:val="24"/>
          <w:szCs w:val="22"/>
          <w:lang w:eastAsia="zh-CN"/>
        </w:rPr>
        <w:t>使用方</w:t>
      </w:r>
      <w:r>
        <w:rPr>
          <w:rFonts w:hint="eastAsia" w:ascii="宋体" w:hAnsi="宋体" w:eastAsia="宋体" w:cs="Times New Roman"/>
          <w:kern w:val="2"/>
          <w:sz w:val="24"/>
          <w:szCs w:val="22"/>
        </w:rPr>
        <w:t>允许不得访问、修改、披露、利用、转让、销毁。</w:t>
      </w:r>
    </w:p>
    <w:p w14:paraId="323143A0">
      <w:pPr>
        <w:keepNext w:val="0"/>
        <w:keepLines w:val="0"/>
        <w:pageBreakBefore w:val="0"/>
        <w:widowControl w:val="0"/>
        <w:kinsoku/>
        <w:wordWrap/>
        <w:overflowPunct/>
        <w:topLinePunct w:val="0"/>
        <w:autoSpaceDE/>
        <w:autoSpaceDN/>
        <w:bidi w:val="0"/>
        <w:adjustRightInd w:val="0"/>
        <w:snapToGrid w:val="0"/>
        <w:spacing w:line="560" w:lineRule="exact"/>
        <w:ind w:firstLine="424" w:firstLineChars="177"/>
        <w:jc w:val="both"/>
        <w:textAlignment w:val="auto"/>
        <w:rPr>
          <w:rFonts w:hint="eastAsia" w:ascii="宋体" w:hAnsi="宋体" w:cs="宋体"/>
          <w:kern w:val="0"/>
          <w:sz w:val="24"/>
          <w:szCs w:val="24"/>
        </w:rPr>
      </w:pPr>
      <w:bookmarkStart w:id="67" w:name="_Toc727073087"/>
      <w:bookmarkStart w:id="68" w:name="_Toc134435581"/>
      <w:r>
        <w:rPr>
          <w:rFonts w:hint="eastAsia" w:ascii="宋体" w:hAnsi="宋体" w:eastAsia="宋体" w:cs="Times New Roman"/>
          <w:kern w:val="2"/>
          <w:sz w:val="24"/>
          <w:szCs w:val="22"/>
          <w:lang w:eastAsia="zh-CN"/>
        </w:rPr>
        <w:t>3.</w:t>
      </w:r>
      <w:r>
        <w:rPr>
          <w:rFonts w:hint="eastAsia" w:ascii="宋体" w:hAnsi="宋体" w:eastAsia="宋体" w:cs="Times New Roman"/>
          <w:kern w:val="2"/>
          <w:sz w:val="24"/>
          <w:szCs w:val="22"/>
          <w:lang w:val="en-US" w:eastAsia="zh-CN"/>
        </w:rPr>
        <w:t>4</w:t>
      </w:r>
      <w:bookmarkEnd w:id="67"/>
      <w:bookmarkEnd w:id="68"/>
      <w:r>
        <w:rPr>
          <w:rFonts w:hint="eastAsia" w:ascii="宋体" w:hAnsi="宋体" w:eastAsia="宋体" w:cs="Times New Roman"/>
          <w:kern w:val="2"/>
          <w:sz w:val="24"/>
          <w:szCs w:val="22"/>
        </w:rPr>
        <w:t xml:space="preserve">  </w:t>
      </w:r>
      <w:r>
        <w:rPr>
          <w:rFonts w:hint="eastAsia" w:ascii="宋体" w:hAnsi="宋体" w:eastAsia="宋体" w:cs="宋体"/>
          <w:kern w:val="0"/>
          <w:sz w:val="24"/>
          <w:szCs w:val="24"/>
          <w:lang w:eastAsia="zh-CN"/>
        </w:rPr>
        <w:t>供应商</w:t>
      </w:r>
      <w:r>
        <w:rPr>
          <w:rFonts w:hint="eastAsia" w:ascii="宋体" w:hAnsi="宋体" w:cs="宋体"/>
          <w:kern w:val="0"/>
          <w:sz w:val="24"/>
          <w:szCs w:val="24"/>
        </w:rPr>
        <w:t>应在建设工作期间保证参与项目的技术人员的相对固定，不得随意调换。如确有原因需要调换的，需提前一个月向业主方提出并备案，经业主方同意后方可调换。</w:t>
      </w:r>
      <w:r>
        <w:rPr>
          <w:rFonts w:hint="eastAsia" w:ascii="宋体" w:hAnsi="宋体" w:eastAsia="宋体" w:cs="宋体"/>
          <w:kern w:val="0"/>
          <w:sz w:val="24"/>
          <w:szCs w:val="24"/>
          <w:lang w:eastAsia="zh-CN"/>
        </w:rPr>
        <w:t>供应商</w:t>
      </w:r>
      <w:r>
        <w:rPr>
          <w:rFonts w:hint="eastAsia" w:ascii="宋体" w:hAnsi="宋体" w:cs="宋体"/>
          <w:kern w:val="0"/>
          <w:sz w:val="24"/>
          <w:szCs w:val="24"/>
        </w:rPr>
        <w:t>应对技术人员调换的交接工作进行严格管理，确保数据不外泄、工作界面不留空白。</w:t>
      </w:r>
    </w:p>
    <w:p w14:paraId="48992E5E">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bookmarkStart w:id="69" w:name="_Toc134435582"/>
      <w:bookmarkStart w:id="70" w:name="_Toc956178045"/>
      <w:r>
        <w:rPr>
          <w:rFonts w:hint="eastAsia" w:ascii="宋体" w:hAnsi="宋体" w:eastAsia="宋体" w:cs="宋体"/>
          <w:kern w:val="0"/>
          <w:sz w:val="24"/>
          <w:szCs w:val="24"/>
          <w:lang w:eastAsia="zh-CN"/>
        </w:rPr>
        <w:t>3.</w:t>
      </w:r>
      <w:r>
        <w:rPr>
          <w:rFonts w:hint="eastAsia" w:ascii="宋体" w:hAnsi="宋体" w:eastAsia="宋体" w:cs="宋体"/>
          <w:kern w:val="0"/>
          <w:sz w:val="24"/>
          <w:szCs w:val="24"/>
          <w:lang w:val="en-US" w:eastAsia="zh-CN"/>
        </w:rPr>
        <w:t xml:space="preserve">5 </w:t>
      </w:r>
      <w:bookmarkEnd w:id="69"/>
      <w:bookmarkEnd w:id="70"/>
      <w:r>
        <w:rPr>
          <w:rFonts w:hint="eastAsia" w:ascii="宋体" w:hAnsi="宋体" w:eastAsia="宋体" w:cs="宋体"/>
          <w:kern w:val="0"/>
          <w:sz w:val="24"/>
          <w:szCs w:val="24"/>
          <w:lang w:eastAsia="zh-CN"/>
        </w:rPr>
        <w:t>供应商</w:t>
      </w:r>
      <w:r>
        <w:rPr>
          <w:rFonts w:hint="eastAsia" w:ascii="宋体" w:hAnsi="宋体" w:cs="宋体"/>
          <w:kern w:val="0"/>
          <w:sz w:val="24"/>
          <w:szCs w:val="24"/>
        </w:rPr>
        <w:t>应</w:t>
      </w:r>
      <w:r>
        <w:rPr>
          <w:rFonts w:hint="eastAsia" w:ascii="宋体" w:hAnsi="宋体" w:cs="宋体"/>
          <w:kern w:val="0"/>
          <w:sz w:val="24"/>
          <w:szCs w:val="24"/>
          <w:lang w:val="en-US" w:eastAsia="zh-CN"/>
        </w:rPr>
        <w:t>参</w:t>
      </w:r>
      <w:r>
        <w:rPr>
          <w:rFonts w:hint="eastAsia" w:ascii="宋体" w:hAnsi="宋体" w:cs="宋体"/>
          <w:kern w:val="0"/>
          <w:sz w:val="24"/>
          <w:szCs w:val="24"/>
        </w:rPr>
        <w:t>加业主方组织项目负责人及相关技术人员进行安全保密教育，并记录学习情况。所有参与项目的技术人员均应参加学习并在学习记录上签字。</w:t>
      </w:r>
    </w:p>
    <w:p w14:paraId="7E51FE5A">
      <w:pPr>
        <w:keepNext w:val="0"/>
        <w:keepLines w:val="0"/>
        <w:pageBreakBefore w:val="0"/>
        <w:widowControl w:val="0"/>
        <w:kinsoku/>
        <w:wordWrap/>
        <w:overflowPunct/>
        <w:topLinePunct w:val="0"/>
        <w:autoSpaceDE/>
        <w:autoSpaceDN/>
        <w:bidi w:val="0"/>
        <w:spacing w:line="560" w:lineRule="exact"/>
        <w:ind w:firstLine="482"/>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lang w:val="en-US" w:eastAsia="zh-CN"/>
        </w:rPr>
        <w:t>6</w:t>
      </w:r>
      <w:r>
        <w:rPr>
          <w:rFonts w:hint="eastAsia" w:ascii="宋体" w:hAnsi="宋体" w:cs="宋体"/>
          <w:kern w:val="0"/>
          <w:sz w:val="24"/>
          <w:szCs w:val="24"/>
        </w:rPr>
        <w:t>遵守</w:t>
      </w:r>
      <w:r>
        <w:rPr>
          <w:rFonts w:hint="eastAsia" w:ascii="宋体" w:hAnsi="宋体" w:cs="宋体"/>
          <w:kern w:val="0"/>
          <w:sz w:val="24"/>
          <w:szCs w:val="24"/>
          <w:lang w:eastAsia="zh-CN"/>
        </w:rPr>
        <w:t>以下</w:t>
      </w:r>
      <w:r>
        <w:rPr>
          <w:rFonts w:hint="eastAsia" w:ascii="宋体" w:hAnsi="宋体" w:cs="宋体"/>
          <w:kern w:val="0"/>
          <w:sz w:val="24"/>
          <w:szCs w:val="24"/>
        </w:rPr>
        <w:t>相关条款</w:t>
      </w:r>
      <w:r>
        <w:rPr>
          <w:rFonts w:hint="eastAsia" w:ascii="宋体" w:hAnsi="宋体" w:cs="宋体"/>
          <w:kern w:val="0"/>
          <w:sz w:val="24"/>
          <w:szCs w:val="24"/>
          <w:lang w:eastAsia="zh-CN"/>
        </w:rPr>
        <w:t>：</w:t>
      </w:r>
    </w:p>
    <w:p w14:paraId="41300FEF">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（场所管理）合作单位及其技术人员未经允许，不得擅自进入民警办公区域、业务机房等重要场所。</w:t>
      </w:r>
    </w:p>
    <w:p w14:paraId="770DE6E8">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color w:val="000000"/>
          <w:kern w:val="0"/>
          <w:sz w:val="24"/>
          <w:szCs w:val="24"/>
          <w:highlight w:val="none"/>
        </w:rPr>
      </w:pPr>
      <w:r>
        <w:rPr>
          <w:rFonts w:hint="eastAsia" w:ascii="宋体" w:hAnsi="宋体" w:cs="宋体"/>
          <w:kern w:val="0"/>
          <w:sz w:val="24"/>
          <w:szCs w:val="24"/>
        </w:rPr>
        <w:t>（设备管理）合作单位及其技术人员未经允许，不得使用公安网计算机和涉密计算机单机，严禁将自己携带的计算机联入公安网络和可存储警务秘密（含）以上密级信息的各类计算机、复印机、速印机等设备</w:t>
      </w:r>
      <w:r>
        <w:rPr>
          <w:rFonts w:hint="eastAsia" w:ascii="宋体" w:hAnsi="宋体" w:cs="宋体"/>
          <w:kern w:val="0"/>
          <w:sz w:val="24"/>
          <w:szCs w:val="24"/>
          <w:highlight w:val="none"/>
          <w:lang w:eastAsia="zh-CN"/>
        </w:rPr>
        <w:t>，</w:t>
      </w:r>
      <w:r>
        <w:rPr>
          <w:rFonts w:hint="eastAsia" w:ascii="宋体" w:hAnsi="宋体" w:cs="宋体"/>
          <w:color w:val="000000"/>
          <w:kern w:val="0"/>
          <w:sz w:val="24"/>
          <w:szCs w:val="24"/>
          <w:highlight w:val="none"/>
          <w:lang w:val="en-US" w:eastAsia="zh-CN"/>
        </w:rPr>
        <w:t>特殊场合未经允许不得擅自携带电子产品（如手机、电脑、PAD等）进入</w:t>
      </w:r>
      <w:r>
        <w:rPr>
          <w:rFonts w:hint="eastAsia" w:ascii="宋体" w:hAnsi="宋体" w:cs="宋体"/>
          <w:color w:val="000000"/>
          <w:kern w:val="0"/>
          <w:sz w:val="24"/>
          <w:szCs w:val="24"/>
          <w:highlight w:val="none"/>
        </w:rPr>
        <w:t>。</w:t>
      </w:r>
    </w:p>
    <w:p w14:paraId="39C28265">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（禁止行为）合作单位及其技术人员获得民警授权使用指定的公安网计算机时，须由民警全程陪同，并严格遵守以下规定：</w:t>
      </w:r>
    </w:p>
    <w:p w14:paraId="1E96112B">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（一）不得违反禁止“一机两用”的有关规定，不得擅自删除监控程序、逃避监控、扰乱上网注册工作。</w:t>
      </w:r>
    </w:p>
    <w:p w14:paraId="0BC724FE">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（二）不得使用民警的数字身份证书访问公安业务系统，如确需使用的，必须由民警亲自使用证书进行操作。</w:t>
      </w:r>
    </w:p>
    <w:p w14:paraId="7F1FFA5B">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（三）不得擅自使用自带的移动存储介质或擅自开设FTP、共享文件夹在公安网计算机上进行文件拷贝与传递。</w:t>
      </w:r>
    </w:p>
    <w:p w14:paraId="0FBF0639">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（四）不得使用公安网计算机玩游戏、聊天或从事其它与本职工作无关的活动。</w:t>
      </w:r>
    </w:p>
    <w:p w14:paraId="6752B68B">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（五）不得浏览、访问与本职工作无关的公安信息网站（页），不得尝试登录或使用与本职工作无关的公安业务系统。</w:t>
      </w:r>
    </w:p>
    <w:p w14:paraId="5B40B4F4">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（六）严禁将公安网上发布的各类警务信息通过下载、打印等方式带出公安机关。</w:t>
      </w:r>
    </w:p>
    <w:p w14:paraId="171C1A4E">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（七）禁止使用点对点（P2P）文件共享类软件（如BitTorrent、BitComet、BitSpirit、eMule、eDonkey、Kazaa、WinMx、迅雷等软件）进行数据下载。</w:t>
      </w:r>
    </w:p>
    <w:p w14:paraId="572EE0FD">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（八）不得擅自对公安业务用计算机重新安装或加装操作系统，不得安装黑客类工具。</w:t>
      </w:r>
    </w:p>
    <w:p w14:paraId="0D5087A0">
      <w:pPr>
        <w:keepNext w:val="0"/>
        <w:keepLines w:val="0"/>
        <w:pageBreakBefore w:val="0"/>
        <w:widowControl w:val="0"/>
        <w:kinsoku/>
        <w:wordWrap/>
        <w:overflowPunct/>
        <w:topLinePunct w:val="0"/>
        <w:autoSpaceDE/>
        <w:autoSpaceDN/>
        <w:bidi w:val="0"/>
        <w:spacing w:line="560" w:lineRule="exact"/>
        <w:ind w:firstLine="482"/>
        <w:jc w:val="both"/>
        <w:textAlignment w:val="auto"/>
        <w:rPr>
          <w:rFonts w:hint="eastAsia" w:ascii="宋体" w:hAnsi="宋体" w:cs="宋体"/>
          <w:kern w:val="0"/>
          <w:sz w:val="24"/>
          <w:szCs w:val="24"/>
        </w:rPr>
      </w:pPr>
      <w:r>
        <w:rPr>
          <w:rFonts w:hint="eastAsia" w:ascii="宋体" w:hAnsi="宋体" w:cs="宋体"/>
          <w:kern w:val="0"/>
          <w:sz w:val="24"/>
          <w:szCs w:val="24"/>
        </w:rPr>
        <w:t>（九）不得编制或故意传播破坏计算机功能、破坏信息数据的病毒，或者恶意攻击、删改各类信息网站和信息系统数据。</w:t>
      </w:r>
    </w:p>
    <w:p w14:paraId="5A12B981">
      <w:pPr>
        <w:keepNext w:val="0"/>
        <w:keepLines w:val="0"/>
        <w:pageBreakBefore w:val="0"/>
        <w:widowControl w:val="0"/>
        <w:kinsoku/>
        <w:wordWrap/>
        <w:overflowPunct/>
        <w:topLinePunct w:val="0"/>
        <w:autoSpaceDE/>
        <w:autoSpaceDN/>
        <w:bidi w:val="0"/>
        <w:spacing w:line="560" w:lineRule="exact"/>
        <w:ind w:firstLine="482"/>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rPr>
        <w:t>（</w:t>
      </w:r>
      <w:r>
        <w:rPr>
          <w:rFonts w:hint="eastAsia" w:ascii="宋体" w:hAnsi="宋体" w:cs="宋体"/>
          <w:kern w:val="0"/>
          <w:sz w:val="24"/>
          <w:szCs w:val="24"/>
          <w:highlight w:val="none"/>
        </w:rPr>
        <w:t>十）</w:t>
      </w:r>
      <w:r>
        <w:rPr>
          <w:rFonts w:hint="eastAsia" w:ascii="宋体" w:hAnsi="宋体" w:cs="宋体"/>
          <w:kern w:val="0"/>
          <w:sz w:val="24"/>
          <w:szCs w:val="24"/>
          <w:highlight w:val="none"/>
          <w:lang w:val="en-US" w:eastAsia="zh-CN"/>
        </w:rPr>
        <w:t>不得随意拍摄、传播工作中涉及的图像、图片、文件等信息。</w:t>
      </w:r>
    </w:p>
    <w:p w14:paraId="40271566">
      <w:pPr>
        <w:keepNext w:val="0"/>
        <w:keepLines w:val="0"/>
        <w:pageBreakBefore w:val="0"/>
        <w:widowControl w:val="0"/>
        <w:kinsoku/>
        <w:wordWrap/>
        <w:overflowPunct/>
        <w:topLinePunct w:val="0"/>
        <w:autoSpaceDE/>
        <w:autoSpaceDN/>
        <w:bidi w:val="0"/>
        <w:spacing w:line="560" w:lineRule="exact"/>
        <w:ind w:firstLine="482"/>
        <w:jc w:val="both"/>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rPr>
        <w:t>（十</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不得使用正在开发或业主提供的工具查询与工作无关的信息。</w:t>
      </w:r>
    </w:p>
    <w:p w14:paraId="0FE0F9ED">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（十</w:t>
      </w:r>
      <w:r>
        <w:rPr>
          <w:rFonts w:hint="eastAsia" w:ascii="宋体" w:hAnsi="宋体" w:cs="宋体"/>
          <w:kern w:val="0"/>
          <w:sz w:val="24"/>
          <w:szCs w:val="24"/>
          <w:lang w:val="en-US" w:eastAsia="zh-CN"/>
        </w:rPr>
        <w:t>二</w:t>
      </w:r>
      <w:r>
        <w:rPr>
          <w:rFonts w:hint="eastAsia" w:ascii="宋体" w:hAnsi="宋体" w:cs="宋体"/>
          <w:kern w:val="0"/>
          <w:sz w:val="24"/>
          <w:szCs w:val="24"/>
        </w:rPr>
        <w:t>）不得有其它违反党纪、政纪、社会公德、职业道德的网上行为。</w:t>
      </w:r>
    </w:p>
    <w:p w14:paraId="07F3F86D">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（操作管理）合作单位及其技术人员不得使用远程拨号上公安网方式进行系统维护、软件开发、设备调试等工作，只允许在项目建设单位指定的区域内使用专用设备进行操作，并由公安民警全程陪同。</w:t>
      </w:r>
    </w:p>
    <w:p w14:paraId="32721588">
      <w:pPr>
        <w:keepNext w:val="0"/>
        <w:keepLines w:val="0"/>
        <w:pageBreakBefore w:val="0"/>
        <w:widowControl w:val="0"/>
        <w:kinsoku/>
        <w:wordWrap/>
        <w:overflowPunct/>
        <w:topLinePunct w:val="0"/>
        <w:autoSpaceDE/>
        <w:autoSpaceDN/>
        <w:bidi w:val="0"/>
        <w:spacing w:line="560" w:lineRule="exact"/>
        <w:ind w:firstLine="482"/>
        <w:jc w:val="both"/>
        <w:textAlignment w:val="auto"/>
        <w:rPr>
          <w:rFonts w:ascii="宋体" w:hAnsi="宋体" w:cs="宋体"/>
          <w:kern w:val="0"/>
          <w:sz w:val="24"/>
          <w:szCs w:val="24"/>
        </w:rPr>
      </w:pPr>
      <w:r>
        <w:rPr>
          <w:rFonts w:hint="eastAsia" w:ascii="宋体" w:hAnsi="宋体" w:cs="宋体"/>
          <w:kern w:val="0"/>
          <w:sz w:val="24"/>
          <w:szCs w:val="24"/>
        </w:rPr>
        <w:t>（保密责任）对于警务工作秘密（含）以上的事项，合作单位及其技术人员应当做到不该问的不问，不该说的不说，并且在知悉秘密事项的情况下自觉负有保密义务，不得以任何形式泄露给无关人员。</w:t>
      </w:r>
    </w:p>
    <w:p w14:paraId="071C6536">
      <w:pPr>
        <w:spacing w:line="360" w:lineRule="auto"/>
        <w:rPr>
          <w:rFonts w:ascii="宋体" w:hAnsi="宋体" w:cs="宋体"/>
          <w:sz w:val="24"/>
          <w:szCs w:val="24"/>
        </w:rPr>
      </w:pPr>
    </w:p>
    <w:p w14:paraId="3B7A67C7">
      <w:pPr>
        <w:widowControl w:val="0"/>
        <w:spacing w:line="500" w:lineRule="exact"/>
        <w:jc w:val="both"/>
        <w:rPr>
          <w:rFonts w:ascii="宋体" w:hAnsi="宋体"/>
          <w:b/>
          <w:kern w:val="2"/>
          <w:sz w:val="28"/>
          <w:szCs w:val="24"/>
        </w:rPr>
      </w:pPr>
      <w:r>
        <w:rPr>
          <w:rFonts w:hint="eastAsia" w:ascii="宋体" w:hAnsi="宋体"/>
          <w:b/>
          <w:kern w:val="2"/>
          <w:sz w:val="28"/>
          <w:szCs w:val="24"/>
        </w:rPr>
        <w:t>4、项目验收、违约罚则、质保要求及售后服务</w:t>
      </w:r>
    </w:p>
    <w:p w14:paraId="5C4F997A">
      <w:pPr>
        <w:widowControl w:val="0"/>
        <w:spacing w:line="360" w:lineRule="auto"/>
        <w:ind w:firstLine="482" w:firstLineChars="200"/>
        <w:jc w:val="both"/>
        <w:rPr>
          <w:rFonts w:ascii="宋体" w:hAnsi="宋体" w:cs="宋体"/>
          <w:sz w:val="24"/>
          <w:szCs w:val="24"/>
        </w:rPr>
      </w:pPr>
      <w:r>
        <w:rPr>
          <w:rFonts w:hint="eastAsia" w:ascii="宋体" w:hAnsi="宋体" w:cs="宋体"/>
          <w:b/>
          <w:sz w:val="24"/>
          <w:szCs w:val="24"/>
        </w:rPr>
        <w:t>4.1</w:t>
      </w:r>
      <w:r>
        <w:rPr>
          <w:rFonts w:hint="eastAsia" w:ascii="宋体" w:hAnsi="宋体" w:cs="宋体"/>
          <w:sz w:val="24"/>
          <w:szCs w:val="24"/>
        </w:rPr>
        <w:t xml:space="preserve"> 验收标准</w:t>
      </w:r>
    </w:p>
    <w:p w14:paraId="708ED659">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▲维护响应率≥99%</w:t>
      </w:r>
    </w:p>
    <w:p w14:paraId="270567DB">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维护响应率=按时上门的维护记录/全部维护记录×100%；</w:t>
      </w:r>
    </w:p>
    <w:p w14:paraId="3C80DA90">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▲维护及时性≥98%</w:t>
      </w:r>
    </w:p>
    <w:p w14:paraId="53DA3067">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在网络及硬件的支持下，软件维护及时性=按时解决的系统问题/全部维护记录×100%；</w:t>
      </w:r>
    </w:p>
    <w:p w14:paraId="2B1924CD">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▲系统稳定性≥98%</w:t>
      </w:r>
    </w:p>
    <w:p w14:paraId="09F91B99">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在网络、硬件及原厂软件稳定的情况下，保证该软件应用程序正常运行时间（分钟）/应正常运行时间×100%)</w:t>
      </w:r>
    </w:p>
    <w:p w14:paraId="3DDBAF57">
      <w:pPr>
        <w:widowControl w:val="0"/>
        <w:spacing w:line="360" w:lineRule="auto"/>
        <w:ind w:firstLine="480" w:firstLineChars="200"/>
        <w:jc w:val="both"/>
        <w:rPr>
          <w:rFonts w:ascii="宋体" w:hAnsi="宋体" w:cs="宋体"/>
          <w:sz w:val="24"/>
          <w:szCs w:val="24"/>
        </w:rPr>
      </w:pPr>
      <w:r>
        <w:rPr>
          <w:rFonts w:hint="eastAsia" w:ascii="宋体" w:hAnsi="宋体" w:cs="宋体"/>
          <w:sz w:val="24"/>
          <w:szCs w:val="24"/>
        </w:rPr>
        <w:t>▲数据完整性达到100%，保证数据无丢失。</w:t>
      </w:r>
    </w:p>
    <w:p w14:paraId="5D474185">
      <w:pPr>
        <w:widowControl w:val="0"/>
        <w:spacing w:line="360" w:lineRule="auto"/>
        <w:ind w:firstLine="720" w:firstLineChars="300"/>
        <w:jc w:val="both"/>
        <w:rPr>
          <w:rFonts w:ascii="宋体" w:hAnsi="宋体" w:cs="宋体"/>
          <w:sz w:val="24"/>
          <w:szCs w:val="24"/>
        </w:rPr>
      </w:pPr>
      <w:r>
        <w:rPr>
          <w:rFonts w:hint="eastAsia" w:ascii="宋体" w:hAnsi="宋体" w:cs="宋体"/>
          <w:sz w:val="24"/>
          <w:szCs w:val="24"/>
        </w:rPr>
        <w:t xml:space="preserve"> </w:t>
      </w:r>
    </w:p>
    <w:p w14:paraId="3AF7A0A6">
      <w:pPr>
        <w:widowControl w:val="0"/>
        <w:spacing w:line="360" w:lineRule="auto"/>
        <w:ind w:firstLine="482" w:firstLineChars="200"/>
        <w:jc w:val="both"/>
        <w:rPr>
          <w:rFonts w:ascii="宋体" w:hAnsi="宋体" w:cs="宋体"/>
          <w:b/>
          <w:sz w:val="24"/>
          <w:szCs w:val="24"/>
        </w:rPr>
      </w:pPr>
      <w:r>
        <w:rPr>
          <w:rFonts w:hint="eastAsia" w:ascii="宋体" w:hAnsi="宋体" w:cs="宋体"/>
          <w:b/>
          <w:sz w:val="24"/>
          <w:szCs w:val="24"/>
        </w:rPr>
        <w:t xml:space="preserve">4.2 </w:t>
      </w:r>
      <w:r>
        <w:rPr>
          <w:rFonts w:hint="eastAsia" w:ascii="宋体" w:hAnsi="宋体" w:cs="宋体"/>
          <w:sz w:val="24"/>
          <w:szCs w:val="24"/>
        </w:rPr>
        <w:t>违约与罚则</w:t>
      </w:r>
    </w:p>
    <w:p w14:paraId="33825F2E">
      <w:pPr>
        <w:widowControl w:val="0"/>
        <w:adjustRightInd w:val="0"/>
        <w:snapToGrid w:val="0"/>
        <w:spacing w:line="360" w:lineRule="auto"/>
        <w:ind w:firstLine="482" w:firstLineChars="200"/>
        <w:jc w:val="both"/>
        <w:rPr>
          <w:rFonts w:ascii="宋体" w:hAnsi="宋体" w:cs="宋体"/>
          <w:kern w:val="2"/>
          <w:sz w:val="24"/>
          <w:szCs w:val="24"/>
        </w:rPr>
      </w:pPr>
      <w:r>
        <w:rPr>
          <w:rFonts w:hint="eastAsia" w:ascii="宋体" w:hAnsi="宋体" w:cs="宋体"/>
          <w:b/>
          <w:kern w:val="2"/>
          <w:sz w:val="24"/>
          <w:szCs w:val="24"/>
        </w:rPr>
        <w:t>4.2.1</w:t>
      </w:r>
      <w:r>
        <w:rPr>
          <w:rFonts w:hint="eastAsia" w:ascii="宋体" w:hAnsi="宋体" w:cs="宋体"/>
          <w:kern w:val="2"/>
          <w:sz w:val="24"/>
          <w:szCs w:val="24"/>
        </w:rPr>
        <w:t xml:space="preserve"> </w:t>
      </w:r>
      <w:r>
        <w:rPr>
          <w:rFonts w:hint="eastAsia" w:ascii="宋体" w:hAnsi="宋体"/>
          <w:kern w:val="2"/>
          <w:sz w:val="24"/>
          <w:szCs w:val="24"/>
        </w:rPr>
        <w:t>绩效考核要求</w:t>
      </w:r>
      <w:r>
        <w:rPr>
          <w:rFonts w:hint="eastAsia" w:ascii="宋体" w:hAnsi="宋体" w:cs="宋体"/>
          <w:kern w:val="2"/>
          <w:sz w:val="24"/>
          <w:szCs w:val="24"/>
        </w:rPr>
        <w:t>。</w:t>
      </w:r>
    </w:p>
    <w:p w14:paraId="3012FB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none"/>
        </w:rPr>
        <w:t>在履行本项目的过程中若因乙方违反维护需求未提供合格的维护服务导致甲方考核扣分</w:t>
      </w:r>
      <w:r>
        <w:rPr>
          <w:rFonts w:hint="eastAsia" w:ascii="宋体" w:hAnsi="宋体" w:eastAsia="宋体" w:cs="宋体"/>
          <w:kern w:val="2"/>
          <w:sz w:val="24"/>
          <w:szCs w:val="24"/>
          <w:highlight w:val="none"/>
          <w:lang w:val="en-US" w:eastAsia="zh-CN"/>
        </w:rPr>
        <w:t>或发生重大事故</w:t>
      </w:r>
      <w:r>
        <w:rPr>
          <w:rFonts w:hint="eastAsia" w:ascii="宋体" w:hAnsi="宋体" w:eastAsia="宋体" w:cs="宋体"/>
          <w:kern w:val="2"/>
          <w:sz w:val="24"/>
          <w:szCs w:val="24"/>
          <w:highlight w:val="none"/>
        </w:rPr>
        <w:t>，每发生一次，甲方有权根据问题影响的严重程度按合同总额的</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%扣除。</w:t>
      </w:r>
      <w:r>
        <w:rPr>
          <w:rFonts w:hint="eastAsia" w:ascii="宋体" w:hAnsi="宋体" w:eastAsia="宋体"/>
          <w:kern w:val="2"/>
          <w:sz w:val="24"/>
          <w:szCs w:val="24"/>
          <w:highlight w:val="none"/>
        </w:rPr>
        <w:t>若全年度整体运维情况良好，分局顺利完成市局各项运维考核任务，全市排名靠前，则将对运维项目负责团队予以一定的激励措施。</w:t>
      </w:r>
    </w:p>
    <w:p w14:paraId="4B485E99">
      <w:pPr>
        <w:keepNext w:val="0"/>
        <w:keepLines w:val="0"/>
        <w:pageBreakBefore w:val="0"/>
        <w:widowControl w:val="0"/>
        <w:kinsoku/>
        <w:wordWrap/>
        <w:overflowPunct/>
        <w:topLinePunct w:val="0"/>
        <w:autoSpaceDE/>
        <w:autoSpaceDN/>
        <w:bidi w:val="0"/>
        <w:adjustRightInd w:val="0"/>
        <w:snapToGrid w:val="0"/>
        <w:spacing w:line="560" w:lineRule="exact"/>
        <w:ind w:firstLine="897" w:firstLineChars="374"/>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4.2.</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 xml:space="preserve"> 服务过失整改与罚则。</w:t>
      </w:r>
    </w:p>
    <w:p w14:paraId="68DAEF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按照分局整体运维要求，无特殊原因超时的工单</w:t>
      </w:r>
      <w:r>
        <w:rPr>
          <w:rFonts w:hint="eastAsia" w:ascii="宋体" w:hAnsi="宋体" w:eastAsia="宋体" w:cs="宋体"/>
          <w:kern w:val="2"/>
          <w:sz w:val="24"/>
          <w:szCs w:val="24"/>
          <w:highlight w:val="none"/>
          <w:lang w:eastAsia="zh-CN"/>
        </w:rPr>
        <w:t>（包括</w:t>
      </w:r>
      <w:r>
        <w:rPr>
          <w:rFonts w:hint="eastAsia" w:ascii="宋体" w:hAnsi="宋体" w:eastAsia="宋体" w:cs="宋体"/>
          <w:kern w:val="2"/>
          <w:sz w:val="24"/>
          <w:szCs w:val="24"/>
          <w:highlight w:val="none"/>
        </w:rPr>
        <w:t>接单超时、应急响应/设备维修/故障处理超时、工作记录提交超时</w:t>
      </w:r>
      <w:r>
        <w:rPr>
          <w:rFonts w:hint="eastAsia" w:ascii="宋体" w:hAnsi="宋体" w:eastAsia="宋体" w:cs="宋体"/>
          <w:kern w:val="2"/>
          <w:sz w:val="24"/>
          <w:szCs w:val="24"/>
          <w:highlight w:val="none"/>
          <w:lang w:eastAsia="zh-CN"/>
        </w:rPr>
        <w:t>等）</w:t>
      </w:r>
      <w:r>
        <w:rPr>
          <w:rFonts w:hint="eastAsia" w:ascii="宋体" w:hAnsi="宋体" w:eastAsia="宋体" w:cs="宋体"/>
          <w:kern w:val="2"/>
          <w:sz w:val="24"/>
          <w:szCs w:val="24"/>
          <w:highlight w:val="none"/>
        </w:rPr>
        <w:t>，每个工单（不含重复点位）</w:t>
      </w:r>
      <w:r>
        <w:rPr>
          <w:rFonts w:hint="eastAsia" w:ascii="宋体" w:hAnsi="宋体" w:eastAsia="宋体" w:cs="宋体"/>
          <w:kern w:val="2"/>
          <w:sz w:val="24"/>
          <w:szCs w:val="24"/>
          <w:highlight w:val="none"/>
          <w:lang w:eastAsia="zh-CN"/>
        </w:rPr>
        <w:t>扣除</w:t>
      </w:r>
      <w:r>
        <w:rPr>
          <w:rFonts w:hint="eastAsia" w:ascii="宋体" w:hAnsi="宋体" w:eastAsia="宋体" w:cs="宋体"/>
          <w:kern w:val="2"/>
          <w:sz w:val="24"/>
          <w:szCs w:val="24"/>
          <w:highlight w:val="none"/>
        </w:rPr>
        <w:t>500元人民币，每个黑名工单</w:t>
      </w:r>
      <w:r>
        <w:rPr>
          <w:rFonts w:hint="eastAsia" w:ascii="宋体" w:hAnsi="宋体" w:eastAsia="宋体" w:cs="宋体"/>
          <w:kern w:val="2"/>
          <w:sz w:val="24"/>
          <w:szCs w:val="24"/>
          <w:highlight w:val="none"/>
          <w:lang w:eastAsia="zh-CN"/>
        </w:rPr>
        <w:t>扣除</w:t>
      </w:r>
      <w:r>
        <w:rPr>
          <w:rFonts w:hint="eastAsia" w:ascii="宋体" w:hAnsi="宋体" w:eastAsia="宋体" w:cs="宋体"/>
          <w:kern w:val="2"/>
          <w:sz w:val="24"/>
          <w:szCs w:val="24"/>
          <w:highlight w:val="none"/>
        </w:rPr>
        <w:t>2000元人民币。</w:t>
      </w:r>
    </w:p>
    <w:p w14:paraId="0937BC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kern w:val="2"/>
          <w:sz w:val="24"/>
          <w:szCs w:val="24"/>
          <w:highlight w:val="none"/>
          <w:lang w:eastAsia="zh-CN"/>
        </w:rPr>
      </w:pPr>
      <w:r>
        <w:rPr>
          <w:rFonts w:hint="eastAsia" w:ascii="宋体" w:hAnsi="宋体" w:eastAsia="宋体"/>
          <w:kern w:val="2"/>
          <w:sz w:val="24"/>
          <w:szCs w:val="24"/>
          <w:highlight w:val="none"/>
        </w:rPr>
        <w:t>根据运维管理规定、运维流程的要求，运维单位在运维工作期间，未按照合同要求完成相应工作（包括考核指标不达标、漏洞未按时修复、基础资料提交不完整、</w:t>
      </w:r>
      <w:r>
        <w:rPr>
          <w:rFonts w:hint="eastAsia" w:ascii="宋体" w:hAnsi="宋体" w:eastAsia="宋体"/>
          <w:kern w:val="2"/>
          <w:sz w:val="24"/>
          <w:szCs w:val="24"/>
          <w:highlight w:val="none"/>
          <w:lang w:eastAsia="zh-CN"/>
        </w:rPr>
        <w:t>文档提交不及时、</w:t>
      </w:r>
      <w:r>
        <w:rPr>
          <w:rFonts w:hint="eastAsia" w:ascii="宋体" w:hAnsi="宋体" w:eastAsia="宋体"/>
          <w:kern w:val="2"/>
          <w:sz w:val="24"/>
          <w:szCs w:val="24"/>
          <w:highlight w:val="none"/>
        </w:rPr>
        <w:t>安全管理混乱等），招标方将会同运维监理视情节严重程度向运维单位予以警告或</w:t>
      </w:r>
      <w:r>
        <w:rPr>
          <w:rFonts w:hint="eastAsia" w:ascii="宋体" w:hAnsi="宋体" w:eastAsia="宋体" w:cs="宋体"/>
          <w:kern w:val="2"/>
          <w:sz w:val="24"/>
          <w:szCs w:val="24"/>
          <w:highlight w:val="none"/>
        </w:rPr>
        <w:t>扣除运维</w:t>
      </w:r>
      <w:r>
        <w:rPr>
          <w:rFonts w:hint="eastAsia" w:ascii="宋体" w:hAnsi="宋体" w:eastAsia="宋体" w:cs="宋体"/>
          <w:kern w:val="2"/>
          <w:sz w:val="24"/>
          <w:szCs w:val="24"/>
          <w:highlight w:val="none"/>
          <w:lang w:eastAsia="zh-CN"/>
        </w:rPr>
        <w:t>费用</w:t>
      </w:r>
      <w:r>
        <w:rPr>
          <w:rFonts w:hint="eastAsia" w:ascii="宋体" w:hAnsi="宋体" w:eastAsia="宋体"/>
          <w:kern w:val="2"/>
          <w:sz w:val="24"/>
          <w:szCs w:val="24"/>
          <w:highlight w:val="none"/>
        </w:rPr>
        <w:t>，并开具整改通知书</w:t>
      </w:r>
      <w:r>
        <w:rPr>
          <w:rFonts w:hint="eastAsia" w:ascii="宋体" w:hAnsi="宋体" w:eastAsia="宋体"/>
          <w:kern w:val="2"/>
          <w:sz w:val="24"/>
          <w:szCs w:val="24"/>
          <w:highlight w:val="none"/>
          <w:lang w:eastAsia="zh-CN"/>
        </w:rPr>
        <w:t>。</w:t>
      </w:r>
    </w:p>
    <w:p w14:paraId="63982238">
      <w:pPr>
        <w:keepNext w:val="0"/>
        <w:keepLines w:val="0"/>
        <w:pageBreakBefore w:val="0"/>
        <w:widowControl w:val="0"/>
        <w:kinsoku/>
        <w:wordWrap/>
        <w:overflowPunct/>
        <w:topLinePunct w:val="0"/>
        <w:autoSpaceDE/>
        <w:autoSpaceDN/>
        <w:bidi w:val="0"/>
        <w:adjustRightInd w:val="0"/>
        <w:snapToGrid w:val="0"/>
        <w:spacing w:line="560" w:lineRule="exact"/>
        <w:ind w:firstLine="897" w:firstLineChars="374"/>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4.2.</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 xml:space="preserve"> 人员过失整改与罚则。</w:t>
      </w:r>
    </w:p>
    <w:p w14:paraId="49EA9B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kern w:val="2"/>
          <w:sz w:val="24"/>
          <w:szCs w:val="24"/>
          <w:highlight w:val="none"/>
          <w:lang w:eastAsia="zh-CN"/>
        </w:rPr>
      </w:pPr>
      <w:r>
        <w:rPr>
          <w:rFonts w:hint="eastAsia" w:ascii="宋体" w:hAnsi="宋体" w:eastAsia="宋体"/>
          <w:kern w:val="2"/>
          <w:sz w:val="24"/>
          <w:szCs w:val="24"/>
          <w:highlight w:val="none"/>
          <w:lang w:eastAsia="zh-CN"/>
        </w:rPr>
        <w:t>运维单位技术人员故意违反安全管理规定，或多次过失违反安全管理规定的，应当责令其工作单位将其带回，依照有关规定进行处罚，</w:t>
      </w:r>
      <w:r>
        <w:rPr>
          <w:rFonts w:hint="eastAsia" w:ascii="宋体" w:hAnsi="宋体" w:eastAsia="宋体"/>
          <w:kern w:val="2"/>
          <w:sz w:val="24"/>
          <w:szCs w:val="24"/>
          <w:highlight w:val="none"/>
        </w:rPr>
        <w:t>招标方将会同运维监理视情节严重程度向运维单位予以警告或</w:t>
      </w:r>
      <w:r>
        <w:rPr>
          <w:rFonts w:hint="eastAsia" w:ascii="宋体" w:hAnsi="宋体" w:eastAsia="宋体" w:cs="宋体"/>
          <w:kern w:val="2"/>
          <w:sz w:val="24"/>
          <w:szCs w:val="24"/>
          <w:highlight w:val="none"/>
        </w:rPr>
        <w:t>扣除运维</w:t>
      </w:r>
      <w:r>
        <w:rPr>
          <w:rFonts w:hint="eastAsia" w:ascii="宋体" w:hAnsi="宋体" w:eastAsia="宋体" w:cs="宋体"/>
          <w:kern w:val="2"/>
          <w:sz w:val="24"/>
          <w:szCs w:val="24"/>
          <w:highlight w:val="none"/>
          <w:lang w:eastAsia="zh-CN"/>
        </w:rPr>
        <w:t>费用</w:t>
      </w:r>
      <w:r>
        <w:rPr>
          <w:rFonts w:hint="eastAsia" w:ascii="宋体" w:hAnsi="宋体" w:eastAsia="宋体"/>
          <w:kern w:val="2"/>
          <w:sz w:val="24"/>
          <w:szCs w:val="24"/>
          <w:highlight w:val="none"/>
        </w:rPr>
        <w:t>，并开具整改通知书</w:t>
      </w:r>
      <w:r>
        <w:rPr>
          <w:rFonts w:hint="eastAsia" w:ascii="宋体" w:hAnsi="宋体" w:eastAsia="宋体"/>
          <w:kern w:val="2"/>
          <w:sz w:val="24"/>
          <w:szCs w:val="24"/>
          <w:highlight w:val="none"/>
          <w:lang w:eastAsia="zh-CN"/>
        </w:rPr>
        <w:t>。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14:paraId="744CF79F">
      <w:pPr>
        <w:keepNext w:val="0"/>
        <w:keepLines w:val="0"/>
        <w:pageBreakBefore w:val="0"/>
        <w:widowControl w:val="0"/>
        <w:kinsoku/>
        <w:wordWrap/>
        <w:overflowPunct/>
        <w:topLinePunct w:val="0"/>
        <w:autoSpaceDE/>
        <w:autoSpaceDN/>
        <w:bidi w:val="0"/>
        <w:adjustRightInd w:val="0"/>
        <w:snapToGrid w:val="0"/>
        <w:spacing w:line="560" w:lineRule="exact"/>
        <w:ind w:firstLine="897" w:firstLineChars="374"/>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4.2.</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 xml:space="preserve"> 事故与财产损失罚则。</w:t>
      </w:r>
    </w:p>
    <w:p w14:paraId="079E239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kern w:val="2"/>
          <w:sz w:val="24"/>
          <w:szCs w:val="24"/>
          <w:highlight w:val="none"/>
          <w:lang w:eastAsia="zh-CN"/>
        </w:rPr>
      </w:pPr>
      <w:r>
        <w:rPr>
          <w:rFonts w:hint="eastAsia" w:ascii="宋体" w:hAnsi="宋体" w:eastAsia="宋体"/>
          <w:kern w:val="2"/>
          <w:sz w:val="24"/>
          <w:szCs w:val="24"/>
          <w:highlight w:val="none"/>
          <w:lang w:eastAsia="zh-CN"/>
        </w:rPr>
        <w:t>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14:paraId="425E1C5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kern w:val="2"/>
          <w:sz w:val="24"/>
          <w:szCs w:val="24"/>
          <w:highlight w:val="none"/>
          <w:lang w:eastAsia="zh-CN"/>
        </w:rPr>
        <w:t>运维单位因</w:t>
      </w:r>
      <w:r>
        <w:rPr>
          <w:rFonts w:hint="eastAsia" w:ascii="宋体" w:hAnsi="宋体" w:eastAsia="宋体"/>
          <w:kern w:val="2"/>
          <w:sz w:val="24"/>
          <w:szCs w:val="24"/>
          <w:highlight w:val="none"/>
          <w:lang w:val="en-US" w:eastAsia="zh-CN"/>
        </w:rPr>
        <w:t>4.2违约与罚则中所述事项被开具</w:t>
      </w:r>
      <w:r>
        <w:rPr>
          <w:rFonts w:hint="eastAsia" w:ascii="宋体" w:hAnsi="宋体" w:eastAsia="宋体"/>
          <w:kern w:val="2"/>
          <w:sz w:val="24"/>
          <w:szCs w:val="24"/>
          <w:highlight w:val="none"/>
        </w:rPr>
        <w:t>整改通知书</w:t>
      </w:r>
      <w:r>
        <w:rPr>
          <w:rFonts w:hint="eastAsia" w:ascii="宋体" w:hAnsi="宋体" w:eastAsia="宋体"/>
          <w:kern w:val="2"/>
          <w:sz w:val="24"/>
          <w:szCs w:val="24"/>
          <w:highlight w:val="none"/>
          <w:lang w:eastAsia="zh-CN"/>
        </w:rPr>
        <w:t>的</w:t>
      </w:r>
      <w:r>
        <w:rPr>
          <w:rFonts w:hint="eastAsia" w:ascii="宋体" w:hAnsi="宋体" w:eastAsia="宋体"/>
          <w:kern w:val="2"/>
          <w:sz w:val="24"/>
          <w:szCs w:val="24"/>
          <w:highlight w:val="none"/>
          <w:lang w:val="en-US" w:eastAsia="zh-CN"/>
        </w:rPr>
        <w:t>。</w:t>
      </w:r>
      <w:r>
        <w:rPr>
          <w:rFonts w:hint="eastAsia" w:ascii="宋体" w:hAnsi="宋体" w:eastAsia="宋体" w:cs="宋体"/>
          <w:kern w:val="2"/>
          <w:sz w:val="24"/>
          <w:szCs w:val="24"/>
          <w:highlight w:val="none"/>
        </w:rPr>
        <w:t>首次收到整改通知书后，中标单位应于两个工作日内提交整改报告</w:t>
      </w:r>
      <w:r>
        <w:rPr>
          <w:rFonts w:hint="eastAsia" w:ascii="宋体" w:hAnsi="宋体" w:eastAsia="宋体" w:cs="宋体"/>
          <w:kern w:val="2"/>
          <w:sz w:val="24"/>
          <w:szCs w:val="24"/>
          <w:highlight w:val="none"/>
          <w:lang w:eastAsia="zh-CN"/>
        </w:rPr>
        <w:t>并落实整改要求</w:t>
      </w:r>
      <w:r>
        <w:rPr>
          <w:rFonts w:hint="eastAsia" w:ascii="宋体" w:hAnsi="宋体" w:eastAsia="宋体" w:cs="宋体"/>
          <w:kern w:val="2"/>
          <w:sz w:val="24"/>
          <w:szCs w:val="24"/>
          <w:highlight w:val="none"/>
        </w:rPr>
        <w:t>；第二次收到整改通知书后，中标单位除</w:t>
      </w:r>
      <w:r>
        <w:rPr>
          <w:rFonts w:hint="eastAsia" w:ascii="宋体" w:hAnsi="宋体" w:eastAsia="宋体" w:cs="宋体"/>
          <w:kern w:val="2"/>
          <w:sz w:val="24"/>
          <w:szCs w:val="24"/>
          <w:highlight w:val="none"/>
          <w:lang w:eastAsia="zh-CN"/>
        </w:rPr>
        <w:t>上述要求</w:t>
      </w:r>
      <w:r>
        <w:rPr>
          <w:rFonts w:hint="eastAsia" w:ascii="宋体" w:hAnsi="宋体" w:eastAsia="宋体" w:cs="宋体"/>
          <w:kern w:val="2"/>
          <w:sz w:val="24"/>
          <w:szCs w:val="24"/>
          <w:highlight w:val="none"/>
        </w:rPr>
        <w:t>外，扣除运维</w:t>
      </w:r>
      <w:r>
        <w:rPr>
          <w:rFonts w:hint="eastAsia" w:ascii="宋体" w:hAnsi="宋体" w:eastAsia="宋体" w:cs="宋体"/>
          <w:kern w:val="2"/>
          <w:sz w:val="24"/>
          <w:szCs w:val="24"/>
          <w:highlight w:val="none"/>
          <w:lang w:eastAsia="zh-CN"/>
        </w:rPr>
        <w:t>费用</w:t>
      </w:r>
      <w:r>
        <w:rPr>
          <w:rFonts w:hint="eastAsia" w:ascii="宋体" w:hAnsi="宋体" w:eastAsia="宋体" w:cs="宋体"/>
          <w:kern w:val="2"/>
          <w:sz w:val="24"/>
          <w:szCs w:val="24"/>
          <w:highlight w:val="none"/>
        </w:rPr>
        <w:t>3000元；三次以上（含三次）收到整改通知书，</w:t>
      </w:r>
      <w:r>
        <w:rPr>
          <w:rFonts w:hint="eastAsia" w:ascii="宋体" w:hAnsi="宋体" w:eastAsia="宋体" w:cs="宋体"/>
          <w:kern w:val="2"/>
          <w:sz w:val="24"/>
          <w:szCs w:val="24"/>
          <w:highlight w:val="none"/>
          <w:lang w:eastAsia="zh-CN"/>
        </w:rPr>
        <w:t>每次</w:t>
      </w:r>
      <w:r>
        <w:rPr>
          <w:rFonts w:hint="eastAsia" w:ascii="宋体" w:hAnsi="宋体" w:eastAsia="宋体" w:cs="宋体"/>
          <w:kern w:val="2"/>
          <w:sz w:val="24"/>
          <w:szCs w:val="24"/>
          <w:highlight w:val="none"/>
        </w:rPr>
        <w:t>扣除运维</w:t>
      </w:r>
      <w:r>
        <w:rPr>
          <w:rFonts w:hint="eastAsia" w:ascii="宋体" w:hAnsi="宋体" w:eastAsia="宋体" w:cs="宋体"/>
          <w:kern w:val="2"/>
          <w:sz w:val="24"/>
          <w:szCs w:val="24"/>
          <w:highlight w:val="none"/>
          <w:lang w:eastAsia="zh-CN"/>
        </w:rPr>
        <w:t>费用</w:t>
      </w:r>
      <w:r>
        <w:rPr>
          <w:rFonts w:hint="eastAsia" w:ascii="宋体" w:hAnsi="宋体" w:eastAsia="宋体" w:cs="宋体"/>
          <w:kern w:val="2"/>
          <w:sz w:val="24"/>
          <w:szCs w:val="24"/>
          <w:highlight w:val="none"/>
        </w:rPr>
        <w:t>5000元，同时招标方可正式书面函告中标单位，并有权终止运维合同，取消中标方今后参与分局各项运维工作的资格。</w:t>
      </w:r>
    </w:p>
    <w:p w14:paraId="421C79D9">
      <w:pPr>
        <w:widowControl w:val="0"/>
        <w:adjustRightInd w:val="0"/>
        <w:snapToGrid w:val="0"/>
        <w:spacing w:line="360" w:lineRule="auto"/>
        <w:ind w:firstLine="480" w:firstLineChars="200"/>
        <w:jc w:val="both"/>
        <w:rPr>
          <w:rFonts w:ascii="宋体" w:hAnsi="宋体" w:cs="宋体"/>
          <w:kern w:val="2"/>
          <w:sz w:val="24"/>
          <w:szCs w:val="24"/>
        </w:rPr>
      </w:pPr>
    </w:p>
    <w:p w14:paraId="2CDEB1AD">
      <w:pPr>
        <w:spacing w:line="360" w:lineRule="auto"/>
        <w:rPr>
          <w:rFonts w:ascii="宋体" w:hAnsi="宋体" w:cs="宋体"/>
          <w:b/>
          <w:sz w:val="24"/>
          <w:szCs w:val="24"/>
        </w:rPr>
      </w:pPr>
    </w:p>
    <w:p w14:paraId="0DE3A033">
      <w:pPr>
        <w:spacing w:line="500" w:lineRule="exact"/>
        <w:rPr>
          <w:rFonts w:ascii="宋体" w:hAnsi="宋体" w:cs="宋体"/>
          <w:b/>
          <w:sz w:val="28"/>
          <w:szCs w:val="28"/>
        </w:rPr>
      </w:pPr>
      <w:r>
        <w:rPr>
          <w:rFonts w:hint="eastAsia" w:ascii="宋体" w:hAnsi="宋体" w:cs="宋体"/>
          <w:b/>
          <w:sz w:val="28"/>
          <w:szCs w:val="28"/>
        </w:rPr>
        <w:t>5、付款方式</w:t>
      </w:r>
    </w:p>
    <w:p w14:paraId="28341974">
      <w:pPr>
        <w:spacing w:line="360" w:lineRule="auto"/>
        <w:ind w:firstLine="482" w:firstLineChars="200"/>
        <w:rPr>
          <w:rFonts w:ascii="宋体" w:hAnsi="宋体" w:cs="宋体"/>
          <w:sz w:val="24"/>
          <w:szCs w:val="24"/>
        </w:rPr>
      </w:pPr>
      <w:r>
        <w:rPr>
          <w:rFonts w:hint="eastAsia" w:ascii="宋体" w:hAnsi="宋体" w:cs="宋体"/>
          <w:b/>
          <w:sz w:val="24"/>
          <w:szCs w:val="24"/>
        </w:rPr>
        <w:t>5.1．</w:t>
      </w:r>
      <w:r>
        <w:rPr>
          <w:rFonts w:hint="eastAsia" w:ascii="宋体" w:hAnsi="宋体" w:cs="宋体"/>
          <w:sz w:val="24"/>
          <w:szCs w:val="24"/>
        </w:rPr>
        <w:t>合同签订后收到发票，业主方向维护公司支付12.539万</w:t>
      </w:r>
      <w:r>
        <w:rPr>
          <w:rFonts w:ascii="宋体" w:hAnsi="宋体" w:cs="宋体"/>
          <w:sz w:val="24"/>
          <w:szCs w:val="24"/>
        </w:rPr>
        <w:t>元</w:t>
      </w:r>
      <w:r>
        <w:rPr>
          <w:rFonts w:hint="eastAsia" w:ascii="宋体" w:hAnsi="宋体" w:cs="宋体"/>
          <w:sz w:val="24"/>
          <w:szCs w:val="24"/>
        </w:rPr>
        <w:t>；</w:t>
      </w:r>
    </w:p>
    <w:p w14:paraId="17D6AEEE">
      <w:pPr>
        <w:spacing w:line="360" w:lineRule="auto"/>
        <w:ind w:firstLine="482" w:firstLineChars="200"/>
        <w:rPr>
          <w:rFonts w:ascii="宋体" w:hAnsi="宋体" w:cs="宋体"/>
          <w:sz w:val="24"/>
          <w:szCs w:val="24"/>
        </w:rPr>
      </w:pPr>
      <w:r>
        <w:rPr>
          <w:rFonts w:hint="eastAsia" w:ascii="宋体" w:hAnsi="宋体" w:cs="宋体"/>
          <w:b/>
          <w:sz w:val="24"/>
          <w:szCs w:val="24"/>
        </w:rPr>
        <w:t>5.2．</w:t>
      </w:r>
      <w:r>
        <w:rPr>
          <w:rFonts w:hint="eastAsia" w:ascii="宋体" w:hAnsi="宋体" w:cs="宋体"/>
          <w:sz w:val="24"/>
          <w:szCs w:val="24"/>
        </w:rPr>
        <w:t>运维周期过半后双方进行项目阶段性简易总结（验收），验收合格后业主方向维护公司支付合同总金额的50%；</w:t>
      </w:r>
    </w:p>
    <w:p w14:paraId="2603550E">
      <w:pPr>
        <w:spacing w:line="360" w:lineRule="auto"/>
        <w:ind w:firstLine="482" w:firstLineChars="200"/>
        <w:rPr>
          <w:rFonts w:ascii="宋体" w:hAnsi="宋体" w:cs="宋体"/>
          <w:sz w:val="24"/>
          <w:szCs w:val="24"/>
        </w:rPr>
      </w:pPr>
      <w:r>
        <w:rPr>
          <w:rFonts w:hint="eastAsia" w:ascii="宋体" w:hAnsi="宋体" w:cs="宋体"/>
          <w:b/>
          <w:sz w:val="24"/>
          <w:szCs w:val="24"/>
        </w:rPr>
        <w:t>5.3．</w:t>
      </w:r>
      <w:r>
        <w:rPr>
          <w:rFonts w:hint="eastAsia" w:ascii="宋体" w:hAnsi="宋体" w:cs="宋体"/>
          <w:sz w:val="24"/>
          <w:szCs w:val="24"/>
        </w:rPr>
        <w:t>项目履行结束，</w:t>
      </w:r>
      <w:r>
        <w:rPr>
          <w:rFonts w:ascii="宋体" w:hAnsi="宋体" w:cs="宋体"/>
          <w:sz w:val="24"/>
          <w:szCs w:val="24"/>
        </w:rPr>
        <w:t>通过</w:t>
      </w:r>
      <w:r>
        <w:rPr>
          <w:rFonts w:hint="eastAsia" w:ascii="宋体" w:hAnsi="宋体" w:cs="宋体"/>
          <w:sz w:val="24"/>
          <w:szCs w:val="24"/>
        </w:rPr>
        <w:t>验收及审价</w:t>
      </w:r>
      <w:r>
        <w:rPr>
          <w:rFonts w:ascii="宋体" w:hAnsi="宋体" w:cs="宋体"/>
          <w:sz w:val="24"/>
          <w:szCs w:val="24"/>
        </w:rPr>
        <w:t>后</w:t>
      </w:r>
      <w:r>
        <w:rPr>
          <w:rFonts w:hint="eastAsia" w:ascii="宋体" w:hAnsi="宋体" w:cs="宋体"/>
          <w:sz w:val="24"/>
          <w:szCs w:val="24"/>
        </w:rPr>
        <w:t>，业主方支付剩余款项。</w:t>
      </w:r>
    </w:p>
    <w:p w14:paraId="3434D8BE">
      <w:pPr>
        <w:spacing w:line="360" w:lineRule="auto"/>
        <w:ind w:firstLine="482" w:firstLineChars="200"/>
        <w:rPr>
          <w:rFonts w:ascii="宋体" w:hAnsi="宋体" w:cs="宋体"/>
          <w:sz w:val="24"/>
          <w:szCs w:val="24"/>
        </w:rPr>
      </w:pPr>
      <w:r>
        <w:rPr>
          <w:rFonts w:hint="eastAsia" w:ascii="宋体" w:hAnsi="宋体" w:cs="宋体"/>
          <w:b/>
          <w:sz w:val="24"/>
          <w:szCs w:val="24"/>
        </w:rPr>
        <w:t>5.4</w:t>
      </w:r>
      <w:r>
        <w:rPr>
          <w:rFonts w:hint="eastAsia" w:ascii="宋体" w:hAnsi="宋体" w:cs="宋体"/>
          <w:sz w:val="24"/>
          <w:szCs w:val="24"/>
        </w:rPr>
        <w:t>．超前运维期的费用结算办法。</w:t>
      </w:r>
    </w:p>
    <w:p w14:paraId="3F9AFC13">
      <w:pPr>
        <w:spacing w:line="360" w:lineRule="auto"/>
        <w:ind w:firstLine="482" w:firstLineChars="200"/>
        <w:rPr>
          <w:rFonts w:ascii="宋体" w:hAnsi="宋体" w:cs="宋体"/>
          <w:sz w:val="24"/>
          <w:szCs w:val="24"/>
        </w:rPr>
      </w:pPr>
      <w:r>
        <w:rPr>
          <w:rFonts w:hint="eastAsia" w:ascii="宋体" w:hAnsi="宋体" w:cs="宋体"/>
          <w:b/>
          <w:sz w:val="24"/>
          <w:szCs w:val="24"/>
        </w:rPr>
        <w:t>5.4.1</w:t>
      </w:r>
      <w:r>
        <w:rPr>
          <w:rFonts w:hint="eastAsia" w:ascii="宋体" w:hAnsi="宋体" w:cs="宋体"/>
          <w:sz w:val="24"/>
          <w:szCs w:val="24"/>
        </w:rPr>
        <w:t>超前运维期时间的计算办法约定。因为客观上应用系统、服务器的运维工作需要连续性，所以采购方在上一年度运维合同到期出保后、在本项目合同生效之日前的时间段里仍需邀请2024年度运维合同的供应商提供延期服务保障，由此产生了“超前运维期”，本项目的超前运维期时间=（本项目合同生效之日-2025年6月30日）,按日历天计算。</w:t>
      </w:r>
    </w:p>
    <w:p w14:paraId="06673651">
      <w:pPr>
        <w:spacing w:line="360" w:lineRule="auto"/>
        <w:ind w:firstLine="482" w:firstLineChars="200"/>
        <w:rPr>
          <w:rFonts w:ascii="宋体" w:hAnsi="宋体" w:cs="宋体"/>
          <w:sz w:val="24"/>
          <w:szCs w:val="24"/>
        </w:rPr>
      </w:pPr>
      <w:r>
        <w:rPr>
          <w:rFonts w:hint="eastAsia" w:ascii="宋体" w:hAnsi="宋体" w:cs="宋体"/>
          <w:b/>
          <w:sz w:val="24"/>
          <w:szCs w:val="24"/>
        </w:rPr>
        <w:t>5</w:t>
      </w:r>
      <w:r>
        <w:rPr>
          <w:rFonts w:ascii="宋体" w:hAnsi="宋体" w:cs="宋体"/>
          <w:b/>
          <w:sz w:val="24"/>
          <w:szCs w:val="24"/>
        </w:rPr>
        <w:t>.4.2</w:t>
      </w:r>
      <w:r>
        <w:rPr>
          <w:rFonts w:hint="eastAsia" w:ascii="宋体" w:hAnsi="宋体" w:cs="宋体"/>
          <w:sz w:val="24"/>
          <w:szCs w:val="24"/>
        </w:rPr>
        <w:t>超前运维期费用包括虚拟化软件运维、数据库系统运维费、应用系统运维费、基础软件系统运维费、应用系统的升级开发费、加班补贴等。每项费用=该项费用的合同价*超前运维期时间（天）/ 365（天）。</w:t>
      </w:r>
    </w:p>
    <w:p w14:paraId="0A978476">
      <w:pPr>
        <w:spacing w:line="360" w:lineRule="auto"/>
        <w:ind w:firstLine="482" w:firstLineChars="200"/>
        <w:rPr>
          <w:rFonts w:hint="eastAsia" w:ascii="宋体" w:hAnsi="宋体" w:cs="宋体"/>
          <w:sz w:val="24"/>
          <w:szCs w:val="24"/>
        </w:rPr>
      </w:pPr>
      <w:r>
        <w:rPr>
          <w:rFonts w:hint="eastAsia" w:ascii="宋体" w:hAnsi="宋体" w:cs="宋体"/>
          <w:b/>
          <w:sz w:val="24"/>
          <w:szCs w:val="24"/>
        </w:rPr>
        <w:t>5</w:t>
      </w:r>
      <w:r>
        <w:rPr>
          <w:rFonts w:ascii="宋体" w:hAnsi="宋体" w:cs="宋体"/>
          <w:b/>
          <w:sz w:val="24"/>
          <w:szCs w:val="24"/>
        </w:rPr>
        <w:t>.4.3</w:t>
      </w:r>
      <w:r>
        <w:rPr>
          <w:rFonts w:hint="eastAsia" w:ascii="宋体" w:hAnsi="宋体" w:cs="宋体"/>
          <w:sz w:val="24"/>
          <w:szCs w:val="24"/>
        </w:rPr>
        <w:t>超前运维期费用的支付方式约定。 超前运维期产生的费用由本项目的成交供应商支付给2024年度运维合同的供应商。</w:t>
      </w:r>
    </w:p>
    <w:p w14:paraId="5B6F1C72">
      <w:pPr>
        <w:spacing w:line="360" w:lineRule="auto"/>
        <w:ind w:firstLine="482" w:firstLineChars="200"/>
        <w:jc w:val="center"/>
        <w:rPr>
          <w:rFonts w:ascii="宋体" w:hAnsi="宋体" w:cs="宋体"/>
          <w:sz w:val="24"/>
          <w:szCs w:val="24"/>
        </w:rPr>
      </w:pPr>
      <w:r>
        <w:rPr>
          <w:rFonts w:hint="eastAsia" w:ascii="宋体" w:hAnsi="宋体" w:cs="宋体"/>
          <w:b/>
          <w:bCs/>
          <w:sz w:val="24"/>
          <w:szCs w:val="24"/>
          <w:lang w:eastAsia="zh-CN"/>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14:paraId="452D4AD0">
      <w:pPr>
        <w:adjustRightInd w:val="0"/>
        <w:spacing w:line="500" w:lineRule="exact"/>
        <w:textAlignment w:val="baseline"/>
        <w:rPr>
          <w:rFonts w:ascii="宋体" w:hAnsi="宋体" w:cs="宋体"/>
          <w:b/>
          <w:bCs/>
          <w:sz w:val="28"/>
          <w:szCs w:val="24"/>
        </w:rPr>
      </w:pPr>
      <w:r>
        <w:rPr>
          <w:rFonts w:hint="eastAsia" w:ascii="宋体" w:hAnsi="宋体" w:cs="宋体"/>
          <w:b/>
          <w:bCs/>
          <w:sz w:val="28"/>
          <w:szCs w:val="24"/>
        </w:rPr>
        <w:t>6、其他说明</w:t>
      </w:r>
    </w:p>
    <w:p w14:paraId="381031BC">
      <w:pPr>
        <w:spacing w:line="360" w:lineRule="auto"/>
        <w:ind w:firstLine="482" w:firstLineChars="200"/>
        <w:rPr>
          <w:rFonts w:ascii="宋体" w:hAnsi="宋体" w:cs="宋体"/>
          <w:sz w:val="24"/>
          <w:szCs w:val="24"/>
        </w:rPr>
      </w:pPr>
      <w:r>
        <w:rPr>
          <w:rFonts w:hint="eastAsia" w:ascii="宋体" w:hAnsi="宋体" w:cs="宋体"/>
          <w:b/>
          <w:sz w:val="24"/>
          <w:szCs w:val="24"/>
        </w:rPr>
        <w:t xml:space="preserve">6.1 </w:t>
      </w:r>
      <w:r>
        <w:rPr>
          <w:rFonts w:hint="eastAsia" w:ascii="宋体" w:hAnsi="宋体" w:cs="宋体"/>
          <w:sz w:val="24"/>
          <w:szCs w:val="24"/>
        </w:rPr>
        <w:t>项目总预算</w:t>
      </w:r>
      <w:r>
        <w:rPr>
          <w:rFonts w:hint="eastAsia" w:ascii="宋体" w:hAnsi="宋体" w:cs="宋体"/>
          <w:sz w:val="24"/>
          <w:szCs w:val="24"/>
          <w:lang w:eastAsia="zh-CN"/>
        </w:rPr>
        <w:t>：</w:t>
      </w:r>
      <w:r>
        <w:rPr>
          <w:rFonts w:hint="eastAsia" w:ascii="宋体" w:hAnsi="宋体" w:cs="宋体"/>
          <w:sz w:val="24"/>
          <w:szCs w:val="24"/>
        </w:rPr>
        <w:t>总预算资金为</w:t>
      </w:r>
      <w:r>
        <w:rPr>
          <w:rFonts w:hint="eastAsia" w:ascii="宋体" w:hAnsi="宋体" w:cs="宋体"/>
          <w:sz w:val="24"/>
          <w:szCs w:val="24"/>
          <w:lang w:eastAsia="zh-CN"/>
        </w:rPr>
        <w:t>133.39</w:t>
      </w:r>
      <w:r>
        <w:rPr>
          <w:rFonts w:hint="eastAsia" w:ascii="宋体" w:hAnsi="宋体" w:cs="宋体"/>
          <w:sz w:val="24"/>
          <w:szCs w:val="24"/>
        </w:rPr>
        <w:t>万元人民币，</w:t>
      </w:r>
      <w:r>
        <w:rPr>
          <w:rFonts w:hint="eastAsia" w:ascii="宋体" w:hAnsi="宋体" w:cs="宋体"/>
          <w:sz w:val="24"/>
          <w:szCs w:val="24"/>
          <w:lang w:val="en-US" w:eastAsia="zh-CN"/>
        </w:rPr>
        <w:t>本项目</w:t>
      </w:r>
      <w:r>
        <w:rPr>
          <w:rFonts w:hint="eastAsia" w:ascii="宋体" w:hAnsi="宋体" w:cs="宋体"/>
          <w:sz w:val="24"/>
          <w:szCs w:val="24"/>
        </w:rPr>
        <w:t>供应商投标报价不能超过</w:t>
      </w:r>
      <w:r>
        <w:rPr>
          <w:rFonts w:hint="eastAsia" w:ascii="宋体" w:hAnsi="宋体" w:cs="宋体"/>
          <w:sz w:val="24"/>
          <w:szCs w:val="24"/>
          <w:lang w:val="en-US" w:eastAsia="zh-CN"/>
        </w:rPr>
        <w:t>125.</w:t>
      </w:r>
      <w:r>
        <w:rPr>
          <w:rFonts w:hint="eastAsia" w:ascii="宋体" w:hAnsi="宋体" w:cs="宋体"/>
          <w:sz w:val="24"/>
          <w:szCs w:val="24"/>
        </w:rPr>
        <w:t>39万元人民币。</w:t>
      </w:r>
    </w:p>
    <w:p w14:paraId="0ED98DB1">
      <w:pPr>
        <w:spacing w:line="360" w:lineRule="auto"/>
        <w:ind w:firstLine="482" w:firstLineChars="200"/>
        <w:rPr>
          <w:rFonts w:ascii="宋体" w:hAnsi="宋体" w:cs="宋体"/>
          <w:sz w:val="24"/>
          <w:szCs w:val="24"/>
        </w:rPr>
      </w:pPr>
      <w:r>
        <w:rPr>
          <w:rFonts w:hint="eastAsia" w:ascii="宋体" w:hAnsi="宋体" w:cs="宋体"/>
          <w:b/>
          <w:sz w:val="24"/>
          <w:szCs w:val="24"/>
        </w:rPr>
        <w:t xml:space="preserve">6.2 </w:t>
      </w:r>
      <w:r>
        <w:rPr>
          <w:rFonts w:hint="eastAsia" w:ascii="宋体" w:hAnsi="宋体" w:cs="宋体"/>
          <w:sz w:val="24"/>
          <w:szCs w:val="24"/>
        </w:rPr>
        <w:t>投标报价要求</w:t>
      </w:r>
      <w:r>
        <w:rPr>
          <w:rFonts w:hint="eastAsia" w:ascii="宋体" w:hAnsi="宋体" w:cs="宋体"/>
          <w:b/>
          <w:sz w:val="24"/>
          <w:szCs w:val="24"/>
        </w:rPr>
        <w:t>。</w:t>
      </w:r>
      <w:r>
        <w:rPr>
          <w:rFonts w:hint="eastAsia" w:ascii="宋体" w:hAnsi="宋体" w:cs="宋体"/>
          <w:sz w:val="24"/>
          <w:szCs w:val="24"/>
        </w:rPr>
        <w:t>供应商投标时，要求在投标报价明细表中至少包括5部分：</w:t>
      </w:r>
    </w:p>
    <w:p w14:paraId="54C697E2">
      <w:pPr>
        <w:spacing w:line="360" w:lineRule="auto"/>
        <w:ind w:firstLine="480" w:firstLineChars="200"/>
        <w:rPr>
          <w:rFonts w:ascii="宋体" w:hAnsi="宋体" w:cs="宋体"/>
          <w:sz w:val="24"/>
          <w:szCs w:val="24"/>
        </w:rPr>
      </w:pPr>
      <w:r>
        <w:rPr>
          <w:rFonts w:hint="eastAsia" w:ascii="宋体" w:hAnsi="宋体" w:cs="宋体"/>
          <w:sz w:val="24"/>
          <w:szCs w:val="24"/>
        </w:rPr>
        <w:t>▲虚拟化软件运维报价</w:t>
      </w:r>
      <w:bookmarkStart w:id="71" w:name="_GoBack"/>
      <w:bookmarkEnd w:id="71"/>
    </w:p>
    <w:p w14:paraId="4F7585D3">
      <w:pPr>
        <w:spacing w:line="360" w:lineRule="auto"/>
        <w:ind w:firstLine="480" w:firstLineChars="200"/>
        <w:rPr>
          <w:rFonts w:ascii="宋体" w:hAnsi="宋体" w:cs="宋体"/>
          <w:sz w:val="24"/>
          <w:szCs w:val="24"/>
        </w:rPr>
      </w:pPr>
      <w:r>
        <w:rPr>
          <w:rFonts w:hint="eastAsia" w:ascii="宋体" w:hAnsi="宋体" w:cs="宋体"/>
          <w:sz w:val="24"/>
          <w:szCs w:val="24"/>
        </w:rPr>
        <w:t>▲数据库系统运维报价</w:t>
      </w:r>
    </w:p>
    <w:p w14:paraId="27A63957">
      <w:pPr>
        <w:spacing w:line="360" w:lineRule="auto"/>
        <w:ind w:firstLine="480" w:firstLineChars="200"/>
        <w:rPr>
          <w:rFonts w:ascii="宋体" w:hAnsi="宋体" w:cs="宋体"/>
          <w:sz w:val="24"/>
          <w:szCs w:val="24"/>
        </w:rPr>
      </w:pPr>
      <w:r>
        <w:rPr>
          <w:rFonts w:hint="eastAsia" w:ascii="宋体" w:hAnsi="宋体" w:cs="宋体"/>
          <w:sz w:val="24"/>
          <w:szCs w:val="24"/>
        </w:rPr>
        <w:t>▲应用系统运维报价</w:t>
      </w:r>
    </w:p>
    <w:p w14:paraId="00889459">
      <w:pPr>
        <w:spacing w:line="360" w:lineRule="auto"/>
        <w:ind w:firstLine="480" w:firstLineChars="200"/>
        <w:rPr>
          <w:rFonts w:ascii="宋体" w:hAnsi="宋体" w:cs="宋体"/>
          <w:sz w:val="24"/>
          <w:szCs w:val="24"/>
        </w:rPr>
      </w:pPr>
      <w:r>
        <w:rPr>
          <w:rFonts w:hint="eastAsia" w:ascii="宋体" w:hAnsi="宋体" w:cs="宋体"/>
          <w:sz w:val="24"/>
          <w:szCs w:val="24"/>
        </w:rPr>
        <w:t>▲基础软件系统运维报价</w:t>
      </w:r>
    </w:p>
    <w:p w14:paraId="599FEFF5">
      <w:pPr>
        <w:spacing w:line="360" w:lineRule="auto"/>
        <w:ind w:firstLine="480" w:firstLineChars="200"/>
        <w:rPr>
          <w:rFonts w:ascii="宋体" w:hAnsi="宋体" w:cs="宋体"/>
          <w:sz w:val="24"/>
          <w:szCs w:val="24"/>
        </w:rPr>
      </w:pPr>
      <w:r>
        <w:rPr>
          <w:rFonts w:hint="eastAsia" w:ascii="宋体" w:hAnsi="宋体" w:cs="宋体"/>
          <w:sz w:val="24"/>
          <w:szCs w:val="24"/>
        </w:rPr>
        <w:t>▲应用系统的升级开发、加班补贴等报价</w:t>
      </w:r>
    </w:p>
    <w:p w14:paraId="093D8CBD">
      <w:pPr>
        <w:spacing w:line="360" w:lineRule="auto"/>
        <w:ind w:firstLine="808" w:firstLineChars="337"/>
        <w:rPr>
          <w:rFonts w:ascii="宋体" w:hAnsi="宋体" w:cs="宋体"/>
          <w:sz w:val="24"/>
          <w:szCs w:val="24"/>
        </w:rPr>
      </w:pPr>
      <w:r>
        <w:rPr>
          <w:rFonts w:hint="eastAsia" w:ascii="宋体" w:hAnsi="宋体" w:cs="宋体"/>
          <w:sz w:val="24"/>
          <w:szCs w:val="24"/>
        </w:rPr>
        <w:t>相关报价说明如下。</w:t>
      </w:r>
    </w:p>
    <w:p w14:paraId="03F424E0">
      <w:pPr>
        <w:spacing w:line="360" w:lineRule="auto"/>
        <w:ind w:firstLine="482" w:firstLineChars="200"/>
        <w:rPr>
          <w:rFonts w:ascii="宋体" w:hAnsi="宋体" w:cs="宋体"/>
          <w:b/>
          <w:sz w:val="24"/>
          <w:szCs w:val="24"/>
        </w:rPr>
      </w:pPr>
      <w:r>
        <w:rPr>
          <w:rFonts w:hint="eastAsia" w:ascii="宋体" w:hAnsi="宋体" w:cs="宋体"/>
          <w:b/>
          <w:sz w:val="24"/>
          <w:szCs w:val="24"/>
        </w:rPr>
        <w:t>■“虚拟化软件运维</w:t>
      </w:r>
      <w:r>
        <w:rPr>
          <w:rFonts w:hint="eastAsia" w:ascii="宋体" w:hAnsi="宋体" w:cs="宋体"/>
          <w:b/>
          <w:kern w:val="2"/>
          <w:sz w:val="24"/>
          <w:szCs w:val="24"/>
        </w:rPr>
        <w:t xml:space="preserve">报价”的说明 </w:t>
      </w:r>
    </w:p>
    <w:p w14:paraId="39D3A5AE">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由供应商在满足以上</w:t>
      </w:r>
      <w:r>
        <w:rPr>
          <w:rFonts w:hint="eastAsia" w:ascii="宋体" w:hAnsi="宋体" w:cs="宋体"/>
          <w:sz w:val="24"/>
          <w:szCs w:val="24"/>
        </w:rPr>
        <w:t>虚拟化软件运维的工作内容和服务要求的前提下，</w:t>
      </w:r>
      <w:r>
        <w:rPr>
          <w:rFonts w:hint="eastAsia" w:ascii="宋体" w:hAnsi="宋体" w:cs="宋体"/>
          <w:kern w:val="2"/>
          <w:sz w:val="24"/>
          <w:szCs w:val="24"/>
        </w:rPr>
        <w:t>提出</w:t>
      </w:r>
      <w:r>
        <w:rPr>
          <w:rFonts w:hint="eastAsia" w:ascii="宋体" w:hAnsi="宋体" w:cs="宋体"/>
          <w:sz w:val="24"/>
          <w:szCs w:val="24"/>
        </w:rPr>
        <w:t>在</w:t>
      </w:r>
      <w:r>
        <w:rPr>
          <w:rFonts w:hint="eastAsia" w:ascii="宋体" w:hAnsi="宋体" w:cs="宋体"/>
          <w:kern w:val="2"/>
          <w:sz w:val="24"/>
          <w:szCs w:val="24"/>
        </w:rPr>
        <w:t>一个年度内的运维报价。</w:t>
      </w:r>
    </w:p>
    <w:p w14:paraId="11B9B34A">
      <w:pPr>
        <w:spacing w:line="360" w:lineRule="auto"/>
        <w:ind w:firstLine="482" w:firstLineChars="200"/>
        <w:rPr>
          <w:rFonts w:ascii="宋体" w:hAnsi="宋体" w:cs="宋体"/>
          <w:b/>
          <w:sz w:val="24"/>
          <w:szCs w:val="24"/>
        </w:rPr>
      </w:pPr>
      <w:r>
        <w:rPr>
          <w:rFonts w:hint="eastAsia" w:ascii="宋体" w:hAnsi="宋体" w:cs="宋体"/>
          <w:b/>
          <w:sz w:val="24"/>
          <w:szCs w:val="24"/>
        </w:rPr>
        <w:t>■“数据库系统运维</w:t>
      </w:r>
      <w:r>
        <w:rPr>
          <w:rFonts w:hint="eastAsia" w:ascii="宋体" w:hAnsi="宋体" w:cs="宋体"/>
          <w:b/>
          <w:kern w:val="2"/>
          <w:sz w:val="24"/>
          <w:szCs w:val="24"/>
        </w:rPr>
        <w:t xml:space="preserve">报价”的说明 </w:t>
      </w:r>
    </w:p>
    <w:p w14:paraId="17DD1156">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由供应商在满足以上</w:t>
      </w:r>
      <w:r>
        <w:rPr>
          <w:rFonts w:hint="eastAsia" w:ascii="宋体" w:hAnsi="宋体" w:cs="宋体"/>
          <w:sz w:val="24"/>
          <w:szCs w:val="24"/>
        </w:rPr>
        <w:t>数据库系统运维的工作内容和服务要求的前提下，</w:t>
      </w:r>
      <w:r>
        <w:rPr>
          <w:rFonts w:hint="eastAsia" w:ascii="宋体" w:hAnsi="宋体" w:cs="宋体"/>
          <w:kern w:val="2"/>
          <w:sz w:val="24"/>
          <w:szCs w:val="24"/>
        </w:rPr>
        <w:t>提出</w:t>
      </w:r>
      <w:r>
        <w:rPr>
          <w:rFonts w:hint="eastAsia" w:ascii="宋体" w:hAnsi="宋体" w:cs="宋体"/>
          <w:sz w:val="24"/>
          <w:szCs w:val="24"/>
        </w:rPr>
        <w:t>在</w:t>
      </w:r>
      <w:r>
        <w:rPr>
          <w:rFonts w:hint="eastAsia" w:ascii="宋体" w:hAnsi="宋体" w:cs="宋体"/>
          <w:kern w:val="2"/>
          <w:sz w:val="24"/>
          <w:szCs w:val="24"/>
        </w:rPr>
        <w:t>一个年度内的运维报价。</w:t>
      </w:r>
    </w:p>
    <w:p w14:paraId="38644781">
      <w:pPr>
        <w:spacing w:line="360" w:lineRule="auto"/>
        <w:ind w:firstLine="482" w:firstLineChars="200"/>
        <w:rPr>
          <w:rFonts w:ascii="宋体" w:hAnsi="宋体" w:cs="宋体"/>
          <w:b/>
          <w:sz w:val="24"/>
          <w:szCs w:val="24"/>
        </w:rPr>
      </w:pPr>
      <w:r>
        <w:rPr>
          <w:rFonts w:hint="eastAsia" w:ascii="宋体" w:hAnsi="宋体" w:cs="宋体"/>
          <w:b/>
          <w:sz w:val="24"/>
          <w:szCs w:val="24"/>
        </w:rPr>
        <w:t>■“应用系统运维</w:t>
      </w:r>
      <w:r>
        <w:rPr>
          <w:rFonts w:hint="eastAsia" w:ascii="宋体" w:hAnsi="宋体" w:cs="宋体"/>
          <w:b/>
          <w:kern w:val="2"/>
          <w:sz w:val="24"/>
          <w:szCs w:val="24"/>
        </w:rPr>
        <w:t xml:space="preserve">报价”的说明 </w:t>
      </w:r>
    </w:p>
    <w:p w14:paraId="6ECFB09E">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由供应商在满足以上</w:t>
      </w:r>
      <w:r>
        <w:rPr>
          <w:rFonts w:hint="eastAsia" w:ascii="宋体" w:hAnsi="宋体" w:cs="宋体"/>
          <w:sz w:val="24"/>
          <w:szCs w:val="24"/>
        </w:rPr>
        <w:t>应用系统运维的工作内容和服务要求的前提下，</w:t>
      </w:r>
      <w:r>
        <w:rPr>
          <w:rFonts w:hint="eastAsia" w:ascii="宋体" w:hAnsi="宋体" w:cs="宋体"/>
          <w:kern w:val="2"/>
          <w:sz w:val="24"/>
          <w:szCs w:val="24"/>
        </w:rPr>
        <w:t>按软件行业常规方式进行</w:t>
      </w:r>
      <w:r>
        <w:rPr>
          <w:rFonts w:hint="eastAsia" w:ascii="宋体" w:hAnsi="宋体" w:cs="宋体"/>
          <w:b/>
          <w:sz w:val="24"/>
          <w:szCs w:val="24"/>
        </w:rPr>
        <w:t>15套</w:t>
      </w:r>
      <w:r>
        <w:rPr>
          <w:rFonts w:hint="eastAsia" w:ascii="宋体" w:hAnsi="宋体" w:cs="宋体"/>
          <w:sz w:val="24"/>
          <w:szCs w:val="24"/>
        </w:rPr>
        <w:t>应用软件在</w:t>
      </w:r>
      <w:r>
        <w:rPr>
          <w:rFonts w:hint="eastAsia" w:ascii="宋体" w:hAnsi="宋体" w:cs="宋体"/>
          <w:kern w:val="2"/>
          <w:sz w:val="24"/>
          <w:szCs w:val="24"/>
        </w:rPr>
        <w:t>一个年度内的运维总报价。</w:t>
      </w:r>
    </w:p>
    <w:p w14:paraId="6F2822DD">
      <w:pPr>
        <w:spacing w:line="360" w:lineRule="auto"/>
        <w:ind w:firstLine="482" w:firstLineChars="200"/>
        <w:rPr>
          <w:rFonts w:ascii="宋体" w:hAnsi="宋体" w:cs="宋体"/>
          <w:b/>
          <w:sz w:val="24"/>
          <w:szCs w:val="24"/>
        </w:rPr>
      </w:pPr>
      <w:r>
        <w:rPr>
          <w:rFonts w:hint="eastAsia" w:ascii="宋体" w:hAnsi="宋体" w:cs="宋体"/>
          <w:b/>
          <w:sz w:val="24"/>
          <w:szCs w:val="24"/>
        </w:rPr>
        <w:t xml:space="preserve">■“基础软件系统运维报价”的说明 </w:t>
      </w:r>
    </w:p>
    <w:p w14:paraId="48BA9608">
      <w:pPr>
        <w:spacing w:line="360" w:lineRule="auto"/>
        <w:ind w:firstLine="480" w:firstLineChars="200"/>
        <w:rPr>
          <w:rFonts w:ascii="宋体" w:hAnsi="宋体" w:cs="宋体"/>
          <w:kern w:val="2"/>
          <w:sz w:val="24"/>
          <w:szCs w:val="24"/>
        </w:rPr>
      </w:pPr>
      <w:r>
        <w:rPr>
          <w:rFonts w:hint="eastAsia" w:ascii="宋体" w:hAnsi="宋体" w:cs="宋体"/>
          <w:kern w:val="2"/>
          <w:sz w:val="24"/>
          <w:szCs w:val="24"/>
        </w:rPr>
        <w:t>由供应商在满足以上</w:t>
      </w:r>
      <w:r>
        <w:rPr>
          <w:rFonts w:hint="eastAsia" w:ascii="宋体" w:hAnsi="宋体" w:cs="宋体"/>
          <w:sz w:val="24"/>
          <w:szCs w:val="24"/>
        </w:rPr>
        <w:t>基础软件运维的工作内容和服务要求的前提下，</w:t>
      </w:r>
      <w:r>
        <w:rPr>
          <w:rFonts w:hint="eastAsia" w:ascii="宋体" w:hAnsi="宋体" w:cs="宋体"/>
          <w:kern w:val="2"/>
          <w:sz w:val="24"/>
          <w:szCs w:val="24"/>
        </w:rPr>
        <w:t>提出</w:t>
      </w:r>
      <w:r>
        <w:rPr>
          <w:rFonts w:hint="eastAsia" w:ascii="宋体" w:hAnsi="宋体" w:cs="宋体"/>
          <w:sz w:val="24"/>
          <w:szCs w:val="24"/>
        </w:rPr>
        <w:t>在</w:t>
      </w:r>
      <w:r>
        <w:rPr>
          <w:rFonts w:hint="eastAsia" w:ascii="宋体" w:hAnsi="宋体" w:cs="宋体"/>
          <w:kern w:val="2"/>
          <w:sz w:val="24"/>
          <w:szCs w:val="24"/>
        </w:rPr>
        <w:t xml:space="preserve">一个年度内的运维报价。 </w:t>
      </w:r>
    </w:p>
    <w:p w14:paraId="43DA0A88">
      <w:pPr>
        <w:spacing w:line="360" w:lineRule="auto"/>
        <w:ind w:firstLine="482" w:firstLineChars="200"/>
        <w:rPr>
          <w:rFonts w:ascii="宋体" w:hAnsi="宋体" w:cs="宋体"/>
          <w:b/>
          <w:sz w:val="24"/>
          <w:szCs w:val="24"/>
        </w:rPr>
      </w:pPr>
      <w:r>
        <w:rPr>
          <w:rFonts w:hint="eastAsia" w:ascii="宋体" w:hAnsi="宋体" w:cs="宋体"/>
          <w:b/>
          <w:sz w:val="24"/>
          <w:szCs w:val="24"/>
        </w:rPr>
        <w:t>■“应用系统的升级开发、加班补贴等报价”的说明</w:t>
      </w:r>
    </w:p>
    <w:p w14:paraId="494BACCF">
      <w:pPr>
        <w:spacing w:line="360" w:lineRule="auto"/>
        <w:ind w:firstLine="480" w:firstLineChars="200"/>
        <w:rPr>
          <w:rFonts w:ascii="宋体" w:hAnsi="宋体"/>
          <w:sz w:val="24"/>
          <w:szCs w:val="24"/>
        </w:rPr>
      </w:pPr>
      <w:r>
        <w:rPr>
          <w:rFonts w:hint="eastAsia" w:ascii="宋体" w:hAnsi="宋体" w:cs="宋体"/>
          <w:sz w:val="24"/>
          <w:szCs w:val="24"/>
        </w:rPr>
        <w:t>“应用系统的升级开发、加班补贴等报价”的投标总报价为15万元人民币，为固定数额，但</w:t>
      </w:r>
      <w:r>
        <w:rPr>
          <w:rFonts w:hint="eastAsia" w:ascii="宋体" w:hAnsi="宋体"/>
          <w:sz w:val="24"/>
          <w:szCs w:val="24"/>
        </w:rPr>
        <w:t>投标供应商</w:t>
      </w:r>
      <w:r>
        <w:rPr>
          <w:rFonts w:hint="eastAsia" w:ascii="宋体" w:hAnsi="宋体" w:cs="Courier New"/>
          <w:kern w:val="2"/>
          <w:sz w:val="24"/>
          <w:szCs w:val="24"/>
        </w:rPr>
        <w:t>在</w:t>
      </w:r>
      <w:r>
        <w:rPr>
          <w:rFonts w:hint="eastAsia" w:ascii="宋体" w:hAnsi="宋体" w:cs="Courier New"/>
          <w:b/>
          <w:kern w:val="2"/>
          <w:sz w:val="24"/>
          <w:szCs w:val="24"/>
        </w:rPr>
        <w:t>项目实际实施过程中</w:t>
      </w:r>
      <w:r>
        <w:rPr>
          <w:rFonts w:hint="eastAsia" w:ascii="宋体" w:hAnsi="宋体" w:cs="Courier New"/>
          <w:kern w:val="2"/>
          <w:sz w:val="24"/>
          <w:szCs w:val="24"/>
        </w:rPr>
        <w:t>，</w:t>
      </w:r>
      <w:r>
        <w:rPr>
          <w:rFonts w:hint="eastAsia" w:ascii="宋体" w:hAnsi="宋体"/>
          <w:sz w:val="24"/>
          <w:szCs w:val="24"/>
        </w:rPr>
        <w:t>“应用系统的升级开发、加班补贴等费用”为按实际结算。客观上,在维保实施过程中存在不可预见的因素，即本项目立项和招标时无法预测在未来一年维保过程中会有哪些应用系统需要升级。在本项目实施的过程中，该类费用的每一笔的使用都要办理审核流程手续，大概步骤如下：</w:t>
      </w:r>
    </w:p>
    <w:p w14:paraId="5591FB85">
      <w:pPr>
        <w:spacing w:line="360" w:lineRule="auto"/>
        <w:ind w:firstLine="480" w:firstLineChars="200"/>
        <w:rPr>
          <w:rFonts w:ascii="宋体" w:hAnsi="宋体"/>
          <w:sz w:val="24"/>
          <w:szCs w:val="24"/>
        </w:rPr>
      </w:pPr>
      <w:r>
        <w:rPr>
          <w:rFonts w:hint="eastAsia" w:ascii="宋体" w:hAnsi="宋体"/>
          <w:sz w:val="24"/>
          <w:szCs w:val="24"/>
        </w:rPr>
        <w:t>第1步，采购单位内部根据工作需要走科技日常业务工作项目申报审批流程，按业务需要逐项进行；</w:t>
      </w:r>
    </w:p>
    <w:p w14:paraId="627470DB">
      <w:pPr>
        <w:spacing w:line="360" w:lineRule="auto"/>
        <w:ind w:firstLine="480" w:firstLineChars="200"/>
        <w:rPr>
          <w:rFonts w:ascii="宋体" w:hAnsi="宋体"/>
          <w:sz w:val="24"/>
          <w:szCs w:val="24"/>
        </w:rPr>
      </w:pPr>
      <w:r>
        <w:rPr>
          <w:rFonts w:hint="eastAsia" w:ascii="宋体" w:hAnsi="宋体"/>
          <w:sz w:val="24"/>
          <w:szCs w:val="24"/>
        </w:rPr>
        <w:t>第2步，采购单位将科技日常业务工作项目申报表提交中标供应商运维人员进行采购（开发），按业务需要逐项进行；</w:t>
      </w:r>
    </w:p>
    <w:p w14:paraId="37096194">
      <w:pPr>
        <w:spacing w:line="360" w:lineRule="auto"/>
        <w:ind w:firstLine="480" w:firstLineChars="200"/>
        <w:rPr>
          <w:rFonts w:ascii="宋体" w:hAnsi="宋体"/>
          <w:sz w:val="24"/>
          <w:szCs w:val="24"/>
        </w:rPr>
      </w:pPr>
      <w:r>
        <w:rPr>
          <w:rFonts w:hint="eastAsia" w:ascii="宋体" w:hAnsi="宋体"/>
          <w:sz w:val="24"/>
          <w:szCs w:val="24"/>
        </w:rPr>
        <w:t xml:space="preserve">第3步，中标供应商每月整理项目开发申报审批及加值班清单； </w:t>
      </w:r>
    </w:p>
    <w:p w14:paraId="452028FA">
      <w:pPr>
        <w:spacing w:line="360" w:lineRule="auto"/>
        <w:ind w:firstLine="480" w:firstLineChars="200"/>
        <w:rPr>
          <w:rFonts w:ascii="宋体" w:hAnsi="宋体"/>
          <w:sz w:val="24"/>
          <w:szCs w:val="24"/>
        </w:rPr>
      </w:pPr>
      <w:r>
        <w:rPr>
          <w:rFonts w:hint="eastAsia" w:ascii="宋体" w:hAnsi="宋体"/>
          <w:sz w:val="24"/>
          <w:szCs w:val="24"/>
        </w:rPr>
        <w:t>第4步，中标供应商每月整理运维月报，月报总结当月的维护费用统计结果。</w:t>
      </w:r>
    </w:p>
    <w:p w14:paraId="6C2F9BD9">
      <w:pPr>
        <w:spacing w:line="360" w:lineRule="auto"/>
        <w:ind w:firstLine="484" w:firstLineChars="202"/>
        <w:rPr>
          <w:rFonts w:ascii="宋体" w:hAnsi="宋体"/>
          <w:sz w:val="24"/>
          <w:szCs w:val="24"/>
        </w:rPr>
      </w:pPr>
      <w:r>
        <w:rPr>
          <w:rFonts w:hint="eastAsia" w:ascii="宋体" w:hAnsi="宋体"/>
          <w:sz w:val="24"/>
          <w:szCs w:val="24"/>
        </w:rPr>
        <w:t>说明：</w:t>
      </w:r>
    </w:p>
    <w:p w14:paraId="12C81936">
      <w:pPr>
        <w:spacing w:line="360" w:lineRule="auto"/>
        <w:ind w:firstLine="484" w:firstLineChars="202"/>
        <w:rPr>
          <w:rFonts w:ascii="宋体" w:hAnsi="宋体"/>
          <w:sz w:val="24"/>
          <w:szCs w:val="24"/>
        </w:rPr>
      </w:pPr>
      <w:r>
        <w:rPr>
          <w:rFonts w:hint="eastAsia" w:ascii="宋体" w:hAnsi="宋体"/>
          <w:sz w:val="24"/>
          <w:szCs w:val="24"/>
        </w:rPr>
        <w:t>▲以上流程中的价格已经包括供应商在实施该项维护相关事项时所发生的连带服务费用（含上门服务、配合监理验收、资金提前投入占用相关利息等），业主方不另行支付费用；</w:t>
      </w:r>
    </w:p>
    <w:p w14:paraId="73833E56">
      <w:pPr>
        <w:spacing w:line="360" w:lineRule="auto"/>
        <w:ind w:firstLine="480" w:firstLineChars="200"/>
        <w:rPr>
          <w:rFonts w:ascii="宋体" w:hAnsi="宋体"/>
          <w:sz w:val="24"/>
          <w:szCs w:val="24"/>
        </w:rPr>
      </w:pPr>
      <w:r>
        <w:rPr>
          <w:rFonts w:hint="eastAsia" w:ascii="宋体" w:hAnsi="宋体"/>
          <w:sz w:val="24"/>
          <w:szCs w:val="24"/>
        </w:rPr>
        <w:t>▲加值班补贴费用单价计算方式为：每人每天工作时间外加班一次不超过4小时按200元加班补贴计算；每人每天工作时间外加班一次超过4小时按400元加班补贴计算；国家法定节假日加班以普通加班补贴三倍计算。</w:t>
      </w:r>
    </w:p>
    <w:p w14:paraId="4F7EFF61">
      <w:pPr>
        <w:spacing w:line="360" w:lineRule="auto"/>
        <w:ind w:firstLine="480" w:firstLineChars="200"/>
        <w:rPr>
          <w:rFonts w:ascii="宋体" w:hAnsi="宋体" w:cs="宋体"/>
          <w:kern w:val="2"/>
          <w:sz w:val="24"/>
          <w:szCs w:val="24"/>
        </w:rPr>
      </w:pPr>
    </w:p>
    <w:p w14:paraId="358F5E38">
      <w:pPr>
        <w:spacing w:line="360" w:lineRule="auto"/>
        <w:ind w:firstLine="480" w:firstLineChars="200"/>
        <w:rPr>
          <w:rFonts w:ascii="宋体" w:hAnsi="宋体" w:cs="宋体"/>
          <w:sz w:val="24"/>
          <w:szCs w:val="24"/>
        </w:rPr>
      </w:pPr>
      <w:r>
        <w:rPr>
          <w:rFonts w:hint="eastAsia" w:ascii="宋体" w:hAnsi="宋体" w:cs="宋体"/>
          <w:kern w:val="2"/>
          <w:sz w:val="24"/>
          <w:szCs w:val="24"/>
        </w:rPr>
        <w:t>本项目运维年度结束后，</w:t>
      </w:r>
      <w:r>
        <w:rPr>
          <w:rFonts w:hint="eastAsia" w:ascii="宋体" w:hAnsi="宋体" w:cs="宋体"/>
          <w:sz w:val="24"/>
          <w:szCs w:val="24"/>
        </w:rPr>
        <w:t>中标供应商整理所有该项费用列表，作为整个项目验收材料的组成部分一起提交项目验收；该类费用总计不能超过该类费用总报价，用不完的则在项目审计中予以裁减。</w:t>
      </w:r>
    </w:p>
    <w:bookmarkEnd w:id="66"/>
    <w:p w14:paraId="3C0B4086">
      <w:pPr>
        <w:spacing w:line="360" w:lineRule="auto"/>
        <w:ind w:firstLine="420" w:firstLineChars="200"/>
        <w:rPr>
          <w:rFonts w:ascii="宋体" w:hAnsi="宋体"/>
          <w:sz w:val="21"/>
          <w:szCs w:val="21"/>
        </w:rPr>
      </w:pPr>
    </w:p>
    <w:p w14:paraId="6F73361B">
      <w:pPr>
        <w:spacing w:line="360" w:lineRule="auto"/>
        <w:ind w:firstLine="420" w:firstLineChars="200"/>
        <w:rPr>
          <w:rFonts w:ascii="宋体" w:hAnsi="宋体"/>
          <w:sz w:val="21"/>
          <w:szCs w:val="21"/>
        </w:rPr>
      </w:pPr>
    </w:p>
    <w:sectPr>
      <w:headerReference r:id="rId3" w:type="default"/>
      <w:footerReference r:id="rId4" w:type="default"/>
      <w:pgSz w:w="11906" w:h="16838"/>
      <w:pgMar w:top="2098"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732881"/>
    </w:sdtPr>
    <w:sdtContent>
      <w:sdt>
        <w:sdtPr>
          <w:id w:val="-1669238322"/>
        </w:sdtPr>
        <w:sdtContent>
          <w:p w14:paraId="091F5974">
            <w:pPr>
              <w:pStyle w:val="11"/>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9253">
    <w:pPr>
      <w:pStyle w:val="12"/>
      <w:rPr>
        <w:rFonts w:hint="default" w:eastAsia="宋体"/>
        <w:lang w:val="en-US" w:eastAsia="zh-CN"/>
      </w:rPr>
    </w:pPr>
    <w:r>
      <w:rPr>
        <w:rFonts w:hint="eastAsia"/>
        <w:lang w:val="en-US" w:eastAsia="zh-CN"/>
      </w:rPr>
      <w:t xml:space="preserve">ZC20250085   </w:t>
    </w:r>
    <w:r>
      <w:rPr>
        <w:rFonts w:hint="eastAsia"/>
      </w:rPr>
      <w:t>长宁区公安分局2025年度应用系统运维服务竞争性磋商项目</w:t>
    </w:r>
    <w:r>
      <w:rPr>
        <w:rFonts w:hint="eastAsia"/>
        <w:lang w:val="en-US" w:eastAsia="zh-CN"/>
      </w:rPr>
      <w:t xml:space="preserve">   采购需求文件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oNotHyphenateCaps/>
  <w:drawingGridHorizontalSpacing w:val="100"/>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MmQ2ZjQ0NmU0ZTYxMDM3MGM1OWJlYWEzMDNlODcifQ=="/>
  </w:docVars>
  <w:rsids>
    <w:rsidRoot w:val="00FB57A8"/>
    <w:rsid w:val="00000B84"/>
    <w:rsid w:val="00001A14"/>
    <w:rsid w:val="0000572A"/>
    <w:rsid w:val="0001313F"/>
    <w:rsid w:val="00014450"/>
    <w:rsid w:val="000154C8"/>
    <w:rsid w:val="0001736B"/>
    <w:rsid w:val="000212C3"/>
    <w:rsid w:val="00021FC1"/>
    <w:rsid w:val="000271F9"/>
    <w:rsid w:val="00027F5E"/>
    <w:rsid w:val="000335FF"/>
    <w:rsid w:val="00043975"/>
    <w:rsid w:val="000449C0"/>
    <w:rsid w:val="0004629A"/>
    <w:rsid w:val="00047677"/>
    <w:rsid w:val="00050FA7"/>
    <w:rsid w:val="000512C2"/>
    <w:rsid w:val="00053A31"/>
    <w:rsid w:val="0005402E"/>
    <w:rsid w:val="00054C87"/>
    <w:rsid w:val="00057F7F"/>
    <w:rsid w:val="000600B1"/>
    <w:rsid w:val="0006117F"/>
    <w:rsid w:val="0006121D"/>
    <w:rsid w:val="00061477"/>
    <w:rsid w:val="000628FE"/>
    <w:rsid w:val="00062A5C"/>
    <w:rsid w:val="00062DA4"/>
    <w:rsid w:val="000634C5"/>
    <w:rsid w:val="00063ED0"/>
    <w:rsid w:val="00065822"/>
    <w:rsid w:val="0006586A"/>
    <w:rsid w:val="00071846"/>
    <w:rsid w:val="000730CE"/>
    <w:rsid w:val="0007727C"/>
    <w:rsid w:val="00080475"/>
    <w:rsid w:val="00080901"/>
    <w:rsid w:val="00081834"/>
    <w:rsid w:val="0008493E"/>
    <w:rsid w:val="0008619E"/>
    <w:rsid w:val="0009710E"/>
    <w:rsid w:val="000A47F7"/>
    <w:rsid w:val="000A660B"/>
    <w:rsid w:val="000A69FC"/>
    <w:rsid w:val="000A7F7B"/>
    <w:rsid w:val="000B0E29"/>
    <w:rsid w:val="000B5456"/>
    <w:rsid w:val="000B6717"/>
    <w:rsid w:val="000B6DF8"/>
    <w:rsid w:val="000B7895"/>
    <w:rsid w:val="000C0128"/>
    <w:rsid w:val="000C0B67"/>
    <w:rsid w:val="000C47D7"/>
    <w:rsid w:val="000C4AF0"/>
    <w:rsid w:val="000C69D0"/>
    <w:rsid w:val="000C74EB"/>
    <w:rsid w:val="000D0D28"/>
    <w:rsid w:val="000D199B"/>
    <w:rsid w:val="000D2422"/>
    <w:rsid w:val="000D2649"/>
    <w:rsid w:val="000D292D"/>
    <w:rsid w:val="000D30E4"/>
    <w:rsid w:val="000D3220"/>
    <w:rsid w:val="000D767F"/>
    <w:rsid w:val="000D7B5D"/>
    <w:rsid w:val="000E3884"/>
    <w:rsid w:val="000E3CD7"/>
    <w:rsid w:val="000E458F"/>
    <w:rsid w:val="000E745F"/>
    <w:rsid w:val="000F2ABD"/>
    <w:rsid w:val="000F6BC7"/>
    <w:rsid w:val="000F74EF"/>
    <w:rsid w:val="000F7AD2"/>
    <w:rsid w:val="00100BCA"/>
    <w:rsid w:val="001058A6"/>
    <w:rsid w:val="0010660B"/>
    <w:rsid w:val="00110EF5"/>
    <w:rsid w:val="00111562"/>
    <w:rsid w:val="0011318D"/>
    <w:rsid w:val="001144B1"/>
    <w:rsid w:val="00116B6D"/>
    <w:rsid w:val="001222D5"/>
    <w:rsid w:val="0012267B"/>
    <w:rsid w:val="001246E6"/>
    <w:rsid w:val="00124AAD"/>
    <w:rsid w:val="001304E7"/>
    <w:rsid w:val="001330D9"/>
    <w:rsid w:val="00133CE2"/>
    <w:rsid w:val="001356EB"/>
    <w:rsid w:val="00135AE8"/>
    <w:rsid w:val="00135BE1"/>
    <w:rsid w:val="00136B53"/>
    <w:rsid w:val="00140C2A"/>
    <w:rsid w:val="00142018"/>
    <w:rsid w:val="00144CF1"/>
    <w:rsid w:val="0015071A"/>
    <w:rsid w:val="00150804"/>
    <w:rsid w:val="00150A05"/>
    <w:rsid w:val="00152522"/>
    <w:rsid w:val="00156061"/>
    <w:rsid w:val="00156C66"/>
    <w:rsid w:val="00156FED"/>
    <w:rsid w:val="001609C6"/>
    <w:rsid w:val="00160ADB"/>
    <w:rsid w:val="001613C2"/>
    <w:rsid w:val="00162989"/>
    <w:rsid w:val="001645A7"/>
    <w:rsid w:val="001650C9"/>
    <w:rsid w:val="0016513E"/>
    <w:rsid w:val="0017151D"/>
    <w:rsid w:val="00171CA4"/>
    <w:rsid w:val="00172EC2"/>
    <w:rsid w:val="0017350C"/>
    <w:rsid w:val="00175D96"/>
    <w:rsid w:val="001772C5"/>
    <w:rsid w:val="00181F44"/>
    <w:rsid w:val="00184128"/>
    <w:rsid w:val="00184EA4"/>
    <w:rsid w:val="00187008"/>
    <w:rsid w:val="0019067E"/>
    <w:rsid w:val="001934FD"/>
    <w:rsid w:val="00194D8E"/>
    <w:rsid w:val="0019728A"/>
    <w:rsid w:val="00197C7C"/>
    <w:rsid w:val="001A710E"/>
    <w:rsid w:val="001B0A03"/>
    <w:rsid w:val="001B5D2B"/>
    <w:rsid w:val="001C12B7"/>
    <w:rsid w:val="001C73C0"/>
    <w:rsid w:val="001D1246"/>
    <w:rsid w:val="001D1741"/>
    <w:rsid w:val="001E5FBB"/>
    <w:rsid w:val="001E7463"/>
    <w:rsid w:val="001F2905"/>
    <w:rsid w:val="001F309C"/>
    <w:rsid w:val="001F770D"/>
    <w:rsid w:val="00200CA7"/>
    <w:rsid w:val="002011EF"/>
    <w:rsid w:val="002030A3"/>
    <w:rsid w:val="002047CD"/>
    <w:rsid w:val="002051F6"/>
    <w:rsid w:val="002139E4"/>
    <w:rsid w:val="00213BFC"/>
    <w:rsid w:val="0021514A"/>
    <w:rsid w:val="00215542"/>
    <w:rsid w:val="00215D9B"/>
    <w:rsid w:val="00216340"/>
    <w:rsid w:val="002216B7"/>
    <w:rsid w:val="00221D0D"/>
    <w:rsid w:val="0022591E"/>
    <w:rsid w:val="002261A1"/>
    <w:rsid w:val="002265E7"/>
    <w:rsid w:val="00226EA7"/>
    <w:rsid w:val="00227375"/>
    <w:rsid w:val="00231E1C"/>
    <w:rsid w:val="00233ADD"/>
    <w:rsid w:val="00234C2C"/>
    <w:rsid w:val="0023643E"/>
    <w:rsid w:val="00243539"/>
    <w:rsid w:val="002448E6"/>
    <w:rsid w:val="00247028"/>
    <w:rsid w:val="00250C08"/>
    <w:rsid w:val="00253BE7"/>
    <w:rsid w:val="00260FF6"/>
    <w:rsid w:val="00261483"/>
    <w:rsid w:val="00262463"/>
    <w:rsid w:val="00263CD3"/>
    <w:rsid w:val="00265414"/>
    <w:rsid w:val="002670D6"/>
    <w:rsid w:val="00274068"/>
    <w:rsid w:val="0027736A"/>
    <w:rsid w:val="00280758"/>
    <w:rsid w:val="00283974"/>
    <w:rsid w:val="0028741F"/>
    <w:rsid w:val="00295413"/>
    <w:rsid w:val="00295AAF"/>
    <w:rsid w:val="002968C8"/>
    <w:rsid w:val="002A31C7"/>
    <w:rsid w:val="002A4F04"/>
    <w:rsid w:val="002A5364"/>
    <w:rsid w:val="002B265D"/>
    <w:rsid w:val="002B380A"/>
    <w:rsid w:val="002B3DD4"/>
    <w:rsid w:val="002B4789"/>
    <w:rsid w:val="002C1741"/>
    <w:rsid w:val="002C20AE"/>
    <w:rsid w:val="002C2484"/>
    <w:rsid w:val="002C3E9E"/>
    <w:rsid w:val="002C6740"/>
    <w:rsid w:val="002C6FC5"/>
    <w:rsid w:val="002D10F8"/>
    <w:rsid w:val="002D1E6B"/>
    <w:rsid w:val="002D31E5"/>
    <w:rsid w:val="002D3FA5"/>
    <w:rsid w:val="002D4255"/>
    <w:rsid w:val="002D5752"/>
    <w:rsid w:val="002E1296"/>
    <w:rsid w:val="002E25B0"/>
    <w:rsid w:val="002E7C38"/>
    <w:rsid w:val="002F2E6A"/>
    <w:rsid w:val="002F3A3E"/>
    <w:rsid w:val="002F72DC"/>
    <w:rsid w:val="0030554C"/>
    <w:rsid w:val="003105DE"/>
    <w:rsid w:val="00322B93"/>
    <w:rsid w:val="00324057"/>
    <w:rsid w:val="0032592F"/>
    <w:rsid w:val="00325B7F"/>
    <w:rsid w:val="00331CD0"/>
    <w:rsid w:val="00334130"/>
    <w:rsid w:val="00334E26"/>
    <w:rsid w:val="00335959"/>
    <w:rsid w:val="0033733C"/>
    <w:rsid w:val="00337A65"/>
    <w:rsid w:val="00341160"/>
    <w:rsid w:val="00341247"/>
    <w:rsid w:val="003415F3"/>
    <w:rsid w:val="0034167B"/>
    <w:rsid w:val="00353C6C"/>
    <w:rsid w:val="003566FD"/>
    <w:rsid w:val="0035672D"/>
    <w:rsid w:val="0035730B"/>
    <w:rsid w:val="00360C96"/>
    <w:rsid w:val="00363B04"/>
    <w:rsid w:val="00365FB2"/>
    <w:rsid w:val="00373E26"/>
    <w:rsid w:val="0037498C"/>
    <w:rsid w:val="0037535C"/>
    <w:rsid w:val="003775FC"/>
    <w:rsid w:val="00377DD9"/>
    <w:rsid w:val="00382C8D"/>
    <w:rsid w:val="00390573"/>
    <w:rsid w:val="00392D84"/>
    <w:rsid w:val="003A09ED"/>
    <w:rsid w:val="003A446A"/>
    <w:rsid w:val="003A5E98"/>
    <w:rsid w:val="003B1983"/>
    <w:rsid w:val="003B2218"/>
    <w:rsid w:val="003B49FD"/>
    <w:rsid w:val="003B4F7E"/>
    <w:rsid w:val="003B699D"/>
    <w:rsid w:val="003C0218"/>
    <w:rsid w:val="003C17AE"/>
    <w:rsid w:val="003C3353"/>
    <w:rsid w:val="003C354C"/>
    <w:rsid w:val="003C4BA1"/>
    <w:rsid w:val="003C6C94"/>
    <w:rsid w:val="003C6F97"/>
    <w:rsid w:val="003C6FC5"/>
    <w:rsid w:val="003D6FC9"/>
    <w:rsid w:val="003D71EF"/>
    <w:rsid w:val="003E0772"/>
    <w:rsid w:val="003F1BFC"/>
    <w:rsid w:val="003F30CD"/>
    <w:rsid w:val="00400D3F"/>
    <w:rsid w:val="004016D8"/>
    <w:rsid w:val="0040382A"/>
    <w:rsid w:val="00404274"/>
    <w:rsid w:val="0040490D"/>
    <w:rsid w:val="00405883"/>
    <w:rsid w:val="004061BB"/>
    <w:rsid w:val="00407666"/>
    <w:rsid w:val="004108E7"/>
    <w:rsid w:val="00411ECF"/>
    <w:rsid w:val="0041452B"/>
    <w:rsid w:val="00420479"/>
    <w:rsid w:val="0042137C"/>
    <w:rsid w:val="00421D05"/>
    <w:rsid w:val="0042352F"/>
    <w:rsid w:val="00424BBE"/>
    <w:rsid w:val="00426137"/>
    <w:rsid w:val="0042632F"/>
    <w:rsid w:val="00426F28"/>
    <w:rsid w:val="0043255C"/>
    <w:rsid w:val="00432ACE"/>
    <w:rsid w:val="00433894"/>
    <w:rsid w:val="004355E1"/>
    <w:rsid w:val="004363A8"/>
    <w:rsid w:val="004435DB"/>
    <w:rsid w:val="00443B3B"/>
    <w:rsid w:val="004562F3"/>
    <w:rsid w:val="00456D15"/>
    <w:rsid w:val="00457377"/>
    <w:rsid w:val="00457656"/>
    <w:rsid w:val="004602AA"/>
    <w:rsid w:val="00460F61"/>
    <w:rsid w:val="004647C3"/>
    <w:rsid w:val="0046652B"/>
    <w:rsid w:val="0047037E"/>
    <w:rsid w:val="00477926"/>
    <w:rsid w:val="00481060"/>
    <w:rsid w:val="004817F9"/>
    <w:rsid w:val="00482541"/>
    <w:rsid w:val="00484F05"/>
    <w:rsid w:val="00485F76"/>
    <w:rsid w:val="00486995"/>
    <w:rsid w:val="00486B07"/>
    <w:rsid w:val="00487280"/>
    <w:rsid w:val="00487806"/>
    <w:rsid w:val="0049057F"/>
    <w:rsid w:val="00490DA7"/>
    <w:rsid w:val="00491E51"/>
    <w:rsid w:val="0049362B"/>
    <w:rsid w:val="00493D98"/>
    <w:rsid w:val="004947B6"/>
    <w:rsid w:val="00496068"/>
    <w:rsid w:val="00497EE0"/>
    <w:rsid w:val="004B1889"/>
    <w:rsid w:val="004B567D"/>
    <w:rsid w:val="004B591A"/>
    <w:rsid w:val="004B6AED"/>
    <w:rsid w:val="004B733D"/>
    <w:rsid w:val="004B7AB8"/>
    <w:rsid w:val="004C0B90"/>
    <w:rsid w:val="004C1DF6"/>
    <w:rsid w:val="004C3B31"/>
    <w:rsid w:val="004D15A5"/>
    <w:rsid w:val="004D1C16"/>
    <w:rsid w:val="004D319A"/>
    <w:rsid w:val="004D554A"/>
    <w:rsid w:val="004D5FEC"/>
    <w:rsid w:val="004D6564"/>
    <w:rsid w:val="004D687B"/>
    <w:rsid w:val="004E0A75"/>
    <w:rsid w:val="004E39AC"/>
    <w:rsid w:val="004E3D77"/>
    <w:rsid w:val="004E4521"/>
    <w:rsid w:val="004E5F28"/>
    <w:rsid w:val="004E60E9"/>
    <w:rsid w:val="004E71F9"/>
    <w:rsid w:val="004F0DFB"/>
    <w:rsid w:val="004F1679"/>
    <w:rsid w:val="004F528B"/>
    <w:rsid w:val="00501CAD"/>
    <w:rsid w:val="005040A5"/>
    <w:rsid w:val="00506120"/>
    <w:rsid w:val="00510A1F"/>
    <w:rsid w:val="00511D73"/>
    <w:rsid w:val="005146BD"/>
    <w:rsid w:val="00515014"/>
    <w:rsid w:val="00515E4D"/>
    <w:rsid w:val="00522534"/>
    <w:rsid w:val="005225B4"/>
    <w:rsid w:val="00523299"/>
    <w:rsid w:val="00523D06"/>
    <w:rsid w:val="0052625B"/>
    <w:rsid w:val="005265C4"/>
    <w:rsid w:val="00527117"/>
    <w:rsid w:val="005272D4"/>
    <w:rsid w:val="00532F8E"/>
    <w:rsid w:val="00537774"/>
    <w:rsid w:val="00540273"/>
    <w:rsid w:val="005408F8"/>
    <w:rsid w:val="005431F1"/>
    <w:rsid w:val="00543D94"/>
    <w:rsid w:val="00556A96"/>
    <w:rsid w:val="00562EA9"/>
    <w:rsid w:val="0056312D"/>
    <w:rsid w:val="00563466"/>
    <w:rsid w:val="005642DF"/>
    <w:rsid w:val="00564BBF"/>
    <w:rsid w:val="005658AC"/>
    <w:rsid w:val="00566D20"/>
    <w:rsid w:val="00570A65"/>
    <w:rsid w:val="00572850"/>
    <w:rsid w:val="00572AA1"/>
    <w:rsid w:val="00575F83"/>
    <w:rsid w:val="00581ECC"/>
    <w:rsid w:val="005828F8"/>
    <w:rsid w:val="00582A67"/>
    <w:rsid w:val="005832D9"/>
    <w:rsid w:val="00584791"/>
    <w:rsid w:val="005862D9"/>
    <w:rsid w:val="0058797E"/>
    <w:rsid w:val="00591114"/>
    <w:rsid w:val="00592CE5"/>
    <w:rsid w:val="00592DE5"/>
    <w:rsid w:val="00593E72"/>
    <w:rsid w:val="0059512C"/>
    <w:rsid w:val="005A278E"/>
    <w:rsid w:val="005A4801"/>
    <w:rsid w:val="005A4DDC"/>
    <w:rsid w:val="005A6055"/>
    <w:rsid w:val="005A60D2"/>
    <w:rsid w:val="005B2846"/>
    <w:rsid w:val="005C3396"/>
    <w:rsid w:val="005C43ED"/>
    <w:rsid w:val="005C731B"/>
    <w:rsid w:val="005D1417"/>
    <w:rsid w:val="005D188C"/>
    <w:rsid w:val="005D4617"/>
    <w:rsid w:val="005D7CDA"/>
    <w:rsid w:val="005E26B7"/>
    <w:rsid w:val="005E27EB"/>
    <w:rsid w:val="005E2FB3"/>
    <w:rsid w:val="005E54E4"/>
    <w:rsid w:val="005E636F"/>
    <w:rsid w:val="005E66CC"/>
    <w:rsid w:val="005E6A0C"/>
    <w:rsid w:val="005F1986"/>
    <w:rsid w:val="005F1C22"/>
    <w:rsid w:val="005F2397"/>
    <w:rsid w:val="005F5DAB"/>
    <w:rsid w:val="005F718D"/>
    <w:rsid w:val="005F7BD3"/>
    <w:rsid w:val="005F7C58"/>
    <w:rsid w:val="00600CB6"/>
    <w:rsid w:val="00605A10"/>
    <w:rsid w:val="006226CE"/>
    <w:rsid w:val="00623882"/>
    <w:rsid w:val="00626907"/>
    <w:rsid w:val="00630751"/>
    <w:rsid w:val="00630CA3"/>
    <w:rsid w:val="00632413"/>
    <w:rsid w:val="00632788"/>
    <w:rsid w:val="00633F7C"/>
    <w:rsid w:val="00637AB7"/>
    <w:rsid w:val="00640F90"/>
    <w:rsid w:val="006441CF"/>
    <w:rsid w:val="00644619"/>
    <w:rsid w:val="006462FA"/>
    <w:rsid w:val="00650AC5"/>
    <w:rsid w:val="0065298C"/>
    <w:rsid w:val="00652C63"/>
    <w:rsid w:val="006531B5"/>
    <w:rsid w:val="006554D9"/>
    <w:rsid w:val="00655D93"/>
    <w:rsid w:val="00657C0C"/>
    <w:rsid w:val="00661212"/>
    <w:rsid w:val="00662C1E"/>
    <w:rsid w:val="0066393F"/>
    <w:rsid w:val="00663D3E"/>
    <w:rsid w:val="0066596E"/>
    <w:rsid w:val="00667457"/>
    <w:rsid w:val="00667B86"/>
    <w:rsid w:val="00675D21"/>
    <w:rsid w:val="006772C6"/>
    <w:rsid w:val="006823A2"/>
    <w:rsid w:val="00684E01"/>
    <w:rsid w:val="006853FB"/>
    <w:rsid w:val="00685676"/>
    <w:rsid w:val="00686D6C"/>
    <w:rsid w:val="00687670"/>
    <w:rsid w:val="00690C65"/>
    <w:rsid w:val="00693DC0"/>
    <w:rsid w:val="00695CFD"/>
    <w:rsid w:val="00697575"/>
    <w:rsid w:val="006A0116"/>
    <w:rsid w:val="006A02C4"/>
    <w:rsid w:val="006A1A8D"/>
    <w:rsid w:val="006A37C9"/>
    <w:rsid w:val="006A698C"/>
    <w:rsid w:val="006B3D3C"/>
    <w:rsid w:val="006C0BBE"/>
    <w:rsid w:val="006C1EA2"/>
    <w:rsid w:val="006C7140"/>
    <w:rsid w:val="006D1A85"/>
    <w:rsid w:val="006D56C2"/>
    <w:rsid w:val="006D64DD"/>
    <w:rsid w:val="006E06DE"/>
    <w:rsid w:val="006E0A34"/>
    <w:rsid w:val="006E28E4"/>
    <w:rsid w:val="006E3318"/>
    <w:rsid w:val="006E3E3A"/>
    <w:rsid w:val="006E4832"/>
    <w:rsid w:val="006E4B45"/>
    <w:rsid w:val="006E5630"/>
    <w:rsid w:val="006E77BA"/>
    <w:rsid w:val="006F55A1"/>
    <w:rsid w:val="006F5C1B"/>
    <w:rsid w:val="00700459"/>
    <w:rsid w:val="0070213B"/>
    <w:rsid w:val="00703D82"/>
    <w:rsid w:val="0070498A"/>
    <w:rsid w:val="00704F5D"/>
    <w:rsid w:val="00706E23"/>
    <w:rsid w:val="007106F1"/>
    <w:rsid w:val="00710FAB"/>
    <w:rsid w:val="00712ADD"/>
    <w:rsid w:val="0071381F"/>
    <w:rsid w:val="00714441"/>
    <w:rsid w:val="007156EB"/>
    <w:rsid w:val="007156ED"/>
    <w:rsid w:val="00716675"/>
    <w:rsid w:val="00722EE5"/>
    <w:rsid w:val="00723195"/>
    <w:rsid w:val="0072784C"/>
    <w:rsid w:val="007312B6"/>
    <w:rsid w:val="00731A2D"/>
    <w:rsid w:val="00731F81"/>
    <w:rsid w:val="00741BD8"/>
    <w:rsid w:val="0074219C"/>
    <w:rsid w:val="00746A1D"/>
    <w:rsid w:val="00746CC9"/>
    <w:rsid w:val="00747AA6"/>
    <w:rsid w:val="007513B8"/>
    <w:rsid w:val="007565AB"/>
    <w:rsid w:val="00760A5D"/>
    <w:rsid w:val="007634EF"/>
    <w:rsid w:val="00764C1B"/>
    <w:rsid w:val="00765F78"/>
    <w:rsid w:val="007755DE"/>
    <w:rsid w:val="00775A3F"/>
    <w:rsid w:val="00781404"/>
    <w:rsid w:val="007817BC"/>
    <w:rsid w:val="007817D9"/>
    <w:rsid w:val="00783809"/>
    <w:rsid w:val="00783A5A"/>
    <w:rsid w:val="00784270"/>
    <w:rsid w:val="00784F0D"/>
    <w:rsid w:val="00785298"/>
    <w:rsid w:val="0078722F"/>
    <w:rsid w:val="00791C7C"/>
    <w:rsid w:val="00793F29"/>
    <w:rsid w:val="0079421F"/>
    <w:rsid w:val="00795096"/>
    <w:rsid w:val="0079646F"/>
    <w:rsid w:val="00797C08"/>
    <w:rsid w:val="007A08CA"/>
    <w:rsid w:val="007A0C79"/>
    <w:rsid w:val="007A3C4E"/>
    <w:rsid w:val="007A4175"/>
    <w:rsid w:val="007A4414"/>
    <w:rsid w:val="007A7B47"/>
    <w:rsid w:val="007A7EB6"/>
    <w:rsid w:val="007B0CB7"/>
    <w:rsid w:val="007B1D2B"/>
    <w:rsid w:val="007B1DCE"/>
    <w:rsid w:val="007B2EAE"/>
    <w:rsid w:val="007B639B"/>
    <w:rsid w:val="007B67E1"/>
    <w:rsid w:val="007C2090"/>
    <w:rsid w:val="007C2EC0"/>
    <w:rsid w:val="007C4A5C"/>
    <w:rsid w:val="007E00C3"/>
    <w:rsid w:val="007E3312"/>
    <w:rsid w:val="007E5FF4"/>
    <w:rsid w:val="007E62F0"/>
    <w:rsid w:val="007E69E9"/>
    <w:rsid w:val="007E7E3A"/>
    <w:rsid w:val="007F008E"/>
    <w:rsid w:val="007F0A5B"/>
    <w:rsid w:val="007F3774"/>
    <w:rsid w:val="008010EC"/>
    <w:rsid w:val="00811779"/>
    <w:rsid w:val="00811E3B"/>
    <w:rsid w:val="00813003"/>
    <w:rsid w:val="0081615A"/>
    <w:rsid w:val="008173AC"/>
    <w:rsid w:val="00820A29"/>
    <w:rsid w:val="008304D8"/>
    <w:rsid w:val="00831610"/>
    <w:rsid w:val="00831E45"/>
    <w:rsid w:val="00832015"/>
    <w:rsid w:val="00835A10"/>
    <w:rsid w:val="00840C21"/>
    <w:rsid w:val="00840C6C"/>
    <w:rsid w:val="00841B4D"/>
    <w:rsid w:val="00842913"/>
    <w:rsid w:val="00843448"/>
    <w:rsid w:val="00843AD6"/>
    <w:rsid w:val="00844015"/>
    <w:rsid w:val="00847DEF"/>
    <w:rsid w:val="008510F7"/>
    <w:rsid w:val="00851842"/>
    <w:rsid w:val="00853130"/>
    <w:rsid w:val="00857676"/>
    <w:rsid w:val="00861F05"/>
    <w:rsid w:val="008633BC"/>
    <w:rsid w:val="00864DC7"/>
    <w:rsid w:val="00865B0C"/>
    <w:rsid w:val="00871795"/>
    <w:rsid w:val="00876243"/>
    <w:rsid w:val="0088422A"/>
    <w:rsid w:val="00884E00"/>
    <w:rsid w:val="00885753"/>
    <w:rsid w:val="00886CB7"/>
    <w:rsid w:val="008879F9"/>
    <w:rsid w:val="00890DB8"/>
    <w:rsid w:val="00893ABE"/>
    <w:rsid w:val="00895794"/>
    <w:rsid w:val="008962F4"/>
    <w:rsid w:val="008971BE"/>
    <w:rsid w:val="008A07F4"/>
    <w:rsid w:val="008A5265"/>
    <w:rsid w:val="008A585B"/>
    <w:rsid w:val="008A5FA7"/>
    <w:rsid w:val="008A68B9"/>
    <w:rsid w:val="008B0BB8"/>
    <w:rsid w:val="008B1E06"/>
    <w:rsid w:val="008B1F95"/>
    <w:rsid w:val="008B2852"/>
    <w:rsid w:val="008B427C"/>
    <w:rsid w:val="008B45E5"/>
    <w:rsid w:val="008B6BBE"/>
    <w:rsid w:val="008C0573"/>
    <w:rsid w:val="008C3702"/>
    <w:rsid w:val="008C4475"/>
    <w:rsid w:val="008C4CBC"/>
    <w:rsid w:val="008C554E"/>
    <w:rsid w:val="008C55AC"/>
    <w:rsid w:val="008C7D9E"/>
    <w:rsid w:val="008D0789"/>
    <w:rsid w:val="008D1BC1"/>
    <w:rsid w:val="008D41F2"/>
    <w:rsid w:val="008D5A29"/>
    <w:rsid w:val="008E077A"/>
    <w:rsid w:val="008E09A9"/>
    <w:rsid w:val="008E4A7E"/>
    <w:rsid w:val="008F2F52"/>
    <w:rsid w:val="008F411F"/>
    <w:rsid w:val="0090071B"/>
    <w:rsid w:val="00900953"/>
    <w:rsid w:val="00901483"/>
    <w:rsid w:val="00902A56"/>
    <w:rsid w:val="00904A34"/>
    <w:rsid w:val="0090614C"/>
    <w:rsid w:val="00911F4A"/>
    <w:rsid w:val="00912221"/>
    <w:rsid w:val="0091593E"/>
    <w:rsid w:val="009176BD"/>
    <w:rsid w:val="00917E26"/>
    <w:rsid w:val="00920985"/>
    <w:rsid w:val="00921D4B"/>
    <w:rsid w:val="0092254D"/>
    <w:rsid w:val="00922585"/>
    <w:rsid w:val="0092682B"/>
    <w:rsid w:val="00926DC8"/>
    <w:rsid w:val="00927579"/>
    <w:rsid w:val="0093281E"/>
    <w:rsid w:val="00932C6A"/>
    <w:rsid w:val="009421B7"/>
    <w:rsid w:val="00943868"/>
    <w:rsid w:val="00944985"/>
    <w:rsid w:val="009470A9"/>
    <w:rsid w:val="00947E74"/>
    <w:rsid w:val="009530BB"/>
    <w:rsid w:val="00953286"/>
    <w:rsid w:val="009552DC"/>
    <w:rsid w:val="009564FF"/>
    <w:rsid w:val="0096027C"/>
    <w:rsid w:val="0096061C"/>
    <w:rsid w:val="00963EB0"/>
    <w:rsid w:val="00965B87"/>
    <w:rsid w:val="009711C7"/>
    <w:rsid w:val="009724D3"/>
    <w:rsid w:val="009749B3"/>
    <w:rsid w:val="00974C2A"/>
    <w:rsid w:val="0097597C"/>
    <w:rsid w:val="0098012B"/>
    <w:rsid w:val="0098087F"/>
    <w:rsid w:val="00982E83"/>
    <w:rsid w:val="00983726"/>
    <w:rsid w:val="0098446D"/>
    <w:rsid w:val="009851A6"/>
    <w:rsid w:val="0098643C"/>
    <w:rsid w:val="0098646F"/>
    <w:rsid w:val="00987BC5"/>
    <w:rsid w:val="009911C1"/>
    <w:rsid w:val="00992BB4"/>
    <w:rsid w:val="009956F9"/>
    <w:rsid w:val="00996E22"/>
    <w:rsid w:val="00997DEE"/>
    <w:rsid w:val="009A14CA"/>
    <w:rsid w:val="009A1F71"/>
    <w:rsid w:val="009A24D0"/>
    <w:rsid w:val="009A2B11"/>
    <w:rsid w:val="009A54A3"/>
    <w:rsid w:val="009B26AC"/>
    <w:rsid w:val="009B6E10"/>
    <w:rsid w:val="009C11AC"/>
    <w:rsid w:val="009C775D"/>
    <w:rsid w:val="009D0F4D"/>
    <w:rsid w:val="009D1B86"/>
    <w:rsid w:val="009D2902"/>
    <w:rsid w:val="009D4A84"/>
    <w:rsid w:val="009D5EFE"/>
    <w:rsid w:val="009D70CF"/>
    <w:rsid w:val="009E0014"/>
    <w:rsid w:val="009E3D1C"/>
    <w:rsid w:val="009E49FB"/>
    <w:rsid w:val="009F43FF"/>
    <w:rsid w:val="009F539A"/>
    <w:rsid w:val="009F55DD"/>
    <w:rsid w:val="009F6FE2"/>
    <w:rsid w:val="00A0022D"/>
    <w:rsid w:val="00A00490"/>
    <w:rsid w:val="00A00812"/>
    <w:rsid w:val="00A00EE5"/>
    <w:rsid w:val="00A04F65"/>
    <w:rsid w:val="00A1330B"/>
    <w:rsid w:val="00A152C0"/>
    <w:rsid w:val="00A15904"/>
    <w:rsid w:val="00A17E37"/>
    <w:rsid w:val="00A201BD"/>
    <w:rsid w:val="00A20512"/>
    <w:rsid w:val="00A21748"/>
    <w:rsid w:val="00A21826"/>
    <w:rsid w:val="00A23213"/>
    <w:rsid w:val="00A23D44"/>
    <w:rsid w:val="00A24E28"/>
    <w:rsid w:val="00A2500F"/>
    <w:rsid w:val="00A255E6"/>
    <w:rsid w:val="00A25F83"/>
    <w:rsid w:val="00A27ADB"/>
    <w:rsid w:val="00A30C21"/>
    <w:rsid w:val="00A321D1"/>
    <w:rsid w:val="00A32917"/>
    <w:rsid w:val="00A351E9"/>
    <w:rsid w:val="00A35B97"/>
    <w:rsid w:val="00A35C70"/>
    <w:rsid w:val="00A403CC"/>
    <w:rsid w:val="00A426D0"/>
    <w:rsid w:val="00A46F7F"/>
    <w:rsid w:val="00A51162"/>
    <w:rsid w:val="00A55C39"/>
    <w:rsid w:val="00A576BF"/>
    <w:rsid w:val="00A60678"/>
    <w:rsid w:val="00A60B36"/>
    <w:rsid w:val="00A61499"/>
    <w:rsid w:val="00A62F16"/>
    <w:rsid w:val="00A65596"/>
    <w:rsid w:val="00A65822"/>
    <w:rsid w:val="00A661FC"/>
    <w:rsid w:val="00A70BAB"/>
    <w:rsid w:val="00A7298C"/>
    <w:rsid w:val="00A74370"/>
    <w:rsid w:val="00A74D8A"/>
    <w:rsid w:val="00A7716A"/>
    <w:rsid w:val="00A77C49"/>
    <w:rsid w:val="00A8097B"/>
    <w:rsid w:val="00A81A00"/>
    <w:rsid w:val="00A82560"/>
    <w:rsid w:val="00A82FB3"/>
    <w:rsid w:val="00A835F9"/>
    <w:rsid w:val="00A91B20"/>
    <w:rsid w:val="00A91CC8"/>
    <w:rsid w:val="00A93D02"/>
    <w:rsid w:val="00A94B66"/>
    <w:rsid w:val="00A97034"/>
    <w:rsid w:val="00AA331B"/>
    <w:rsid w:val="00AA4BDA"/>
    <w:rsid w:val="00AB4136"/>
    <w:rsid w:val="00AB5C11"/>
    <w:rsid w:val="00AB6983"/>
    <w:rsid w:val="00AB6B26"/>
    <w:rsid w:val="00AB7828"/>
    <w:rsid w:val="00AC3F7C"/>
    <w:rsid w:val="00AC685C"/>
    <w:rsid w:val="00AC78A1"/>
    <w:rsid w:val="00AD138A"/>
    <w:rsid w:val="00AD1A1B"/>
    <w:rsid w:val="00AD2518"/>
    <w:rsid w:val="00AD4695"/>
    <w:rsid w:val="00AD46DC"/>
    <w:rsid w:val="00AE0E6D"/>
    <w:rsid w:val="00AE14BE"/>
    <w:rsid w:val="00AE29B8"/>
    <w:rsid w:val="00AE2E9C"/>
    <w:rsid w:val="00AE3947"/>
    <w:rsid w:val="00AE474C"/>
    <w:rsid w:val="00AE4EA4"/>
    <w:rsid w:val="00AE7D16"/>
    <w:rsid w:val="00AF10ED"/>
    <w:rsid w:val="00AF1F82"/>
    <w:rsid w:val="00AF6153"/>
    <w:rsid w:val="00AF6884"/>
    <w:rsid w:val="00B00235"/>
    <w:rsid w:val="00B0073A"/>
    <w:rsid w:val="00B01656"/>
    <w:rsid w:val="00B0208E"/>
    <w:rsid w:val="00B023D0"/>
    <w:rsid w:val="00B033B2"/>
    <w:rsid w:val="00B10050"/>
    <w:rsid w:val="00B1029C"/>
    <w:rsid w:val="00B10BA3"/>
    <w:rsid w:val="00B10D77"/>
    <w:rsid w:val="00B20127"/>
    <w:rsid w:val="00B2162B"/>
    <w:rsid w:val="00B21B32"/>
    <w:rsid w:val="00B22833"/>
    <w:rsid w:val="00B2368E"/>
    <w:rsid w:val="00B241FD"/>
    <w:rsid w:val="00B254E8"/>
    <w:rsid w:val="00B2753C"/>
    <w:rsid w:val="00B301BC"/>
    <w:rsid w:val="00B306A3"/>
    <w:rsid w:val="00B31022"/>
    <w:rsid w:val="00B3255A"/>
    <w:rsid w:val="00B32A0D"/>
    <w:rsid w:val="00B410C3"/>
    <w:rsid w:val="00B4308B"/>
    <w:rsid w:val="00B443F5"/>
    <w:rsid w:val="00B50149"/>
    <w:rsid w:val="00B50A07"/>
    <w:rsid w:val="00B50D19"/>
    <w:rsid w:val="00B57C74"/>
    <w:rsid w:val="00B6101F"/>
    <w:rsid w:val="00B62B5B"/>
    <w:rsid w:val="00B63509"/>
    <w:rsid w:val="00B63E32"/>
    <w:rsid w:val="00B658E3"/>
    <w:rsid w:val="00B658FD"/>
    <w:rsid w:val="00B65BEC"/>
    <w:rsid w:val="00B66476"/>
    <w:rsid w:val="00B67162"/>
    <w:rsid w:val="00B72097"/>
    <w:rsid w:val="00B73BFD"/>
    <w:rsid w:val="00B73CBB"/>
    <w:rsid w:val="00B77DF2"/>
    <w:rsid w:val="00B812C8"/>
    <w:rsid w:val="00B83A24"/>
    <w:rsid w:val="00B8622D"/>
    <w:rsid w:val="00B8748C"/>
    <w:rsid w:val="00B87C29"/>
    <w:rsid w:val="00B90E68"/>
    <w:rsid w:val="00B948CA"/>
    <w:rsid w:val="00B95708"/>
    <w:rsid w:val="00BA3A01"/>
    <w:rsid w:val="00BA4ECA"/>
    <w:rsid w:val="00BA500C"/>
    <w:rsid w:val="00BA548D"/>
    <w:rsid w:val="00BA5C15"/>
    <w:rsid w:val="00BA6FAA"/>
    <w:rsid w:val="00BB2149"/>
    <w:rsid w:val="00BB39DD"/>
    <w:rsid w:val="00BB521D"/>
    <w:rsid w:val="00BC255C"/>
    <w:rsid w:val="00BC441D"/>
    <w:rsid w:val="00BC6AE1"/>
    <w:rsid w:val="00BC7FE8"/>
    <w:rsid w:val="00BD1830"/>
    <w:rsid w:val="00BD264E"/>
    <w:rsid w:val="00BD44A5"/>
    <w:rsid w:val="00BD4B4C"/>
    <w:rsid w:val="00BD60CD"/>
    <w:rsid w:val="00BE1848"/>
    <w:rsid w:val="00BE1BCB"/>
    <w:rsid w:val="00BE593F"/>
    <w:rsid w:val="00BE64F1"/>
    <w:rsid w:val="00BE6E37"/>
    <w:rsid w:val="00BE7C6F"/>
    <w:rsid w:val="00BE7EC9"/>
    <w:rsid w:val="00BF2C1D"/>
    <w:rsid w:val="00BF2FE5"/>
    <w:rsid w:val="00BF3B5E"/>
    <w:rsid w:val="00BF5639"/>
    <w:rsid w:val="00BF7110"/>
    <w:rsid w:val="00BF7348"/>
    <w:rsid w:val="00BF7429"/>
    <w:rsid w:val="00C0578C"/>
    <w:rsid w:val="00C1294D"/>
    <w:rsid w:val="00C16CE2"/>
    <w:rsid w:val="00C16D84"/>
    <w:rsid w:val="00C177D6"/>
    <w:rsid w:val="00C17C9A"/>
    <w:rsid w:val="00C20004"/>
    <w:rsid w:val="00C203A4"/>
    <w:rsid w:val="00C206C7"/>
    <w:rsid w:val="00C2094E"/>
    <w:rsid w:val="00C21051"/>
    <w:rsid w:val="00C221FD"/>
    <w:rsid w:val="00C23C4F"/>
    <w:rsid w:val="00C24901"/>
    <w:rsid w:val="00C26E25"/>
    <w:rsid w:val="00C2765F"/>
    <w:rsid w:val="00C27D55"/>
    <w:rsid w:val="00C3432F"/>
    <w:rsid w:val="00C37F74"/>
    <w:rsid w:val="00C40399"/>
    <w:rsid w:val="00C41B0C"/>
    <w:rsid w:val="00C43E34"/>
    <w:rsid w:val="00C44050"/>
    <w:rsid w:val="00C52D85"/>
    <w:rsid w:val="00C52F45"/>
    <w:rsid w:val="00C535E6"/>
    <w:rsid w:val="00C53B10"/>
    <w:rsid w:val="00C53B9E"/>
    <w:rsid w:val="00C54936"/>
    <w:rsid w:val="00C557BB"/>
    <w:rsid w:val="00C56240"/>
    <w:rsid w:val="00C563D0"/>
    <w:rsid w:val="00C60F28"/>
    <w:rsid w:val="00C6262F"/>
    <w:rsid w:val="00C74D3A"/>
    <w:rsid w:val="00C75397"/>
    <w:rsid w:val="00C76F48"/>
    <w:rsid w:val="00C80540"/>
    <w:rsid w:val="00C81625"/>
    <w:rsid w:val="00C8167B"/>
    <w:rsid w:val="00C8177F"/>
    <w:rsid w:val="00C845E3"/>
    <w:rsid w:val="00C85307"/>
    <w:rsid w:val="00C90DDC"/>
    <w:rsid w:val="00C92293"/>
    <w:rsid w:val="00C924A3"/>
    <w:rsid w:val="00C956A3"/>
    <w:rsid w:val="00C97562"/>
    <w:rsid w:val="00CA01CE"/>
    <w:rsid w:val="00CA42EF"/>
    <w:rsid w:val="00CB0A92"/>
    <w:rsid w:val="00CB180F"/>
    <w:rsid w:val="00CB22A3"/>
    <w:rsid w:val="00CB2806"/>
    <w:rsid w:val="00CC1567"/>
    <w:rsid w:val="00CC24ED"/>
    <w:rsid w:val="00CC303F"/>
    <w:rsid w:val="00CD20D0"/>
    <w:rsid w:val="00CD2D38"/>
    <w:rsid w:val="00CD3C47"/>
    <w:rsid w:val="00CD65E6"/>
    <w:rsid w:val="00CE00BE"/>
    <w:rsid w:val="00CE024D"/>
    <w:rsid w:val="00CE0DD6"/>
    <w:rsid w:val="00CE3DF0"/>
    <w:rsid w:val="00CE599A"/>
    <w:rsid w:val="00CF50E9"/>
    <w:rsid w:val="00CF53EA"/>
    <w:rsid w:val="00CF60C0"/>
    <w:rsid w:val="00D04411"/>
    <w:rsid w:val="00D05F95"/>
    <w:rsid w:val="00D065C7"/>
    <w:rsid w:val="00D106EB"/>
    <w:rsid w:val="00D10F15"/>
    <w:rsid w:val="00D11EE9"/>
    <w:rsid w:val="00D13667"/>
    <w:rsid w:val="00D140D6"/>
    <w:rsid w:val="00D1596C"/>
    <w:rsid w:val="00D21481"/>
    <w:rsid w:val="00D255F9"/>
    <w:rsid w:val="00D25721"/>
    <w:rsid w:val="00D26B8D"/>
    <w:rsid w:val="00D27714"/>
    <w:rsid w:val="00D322C9"/>
    <w:rsid w:val="00D326DD"/>
    <w:rsid w:val="00D339C0"/>
    <w:rsid w:val="00D4295E"/>
    <w:rsid w:val="00D4588F"/>
    <w:rsid w:val="00D55A96"/>
    <w:rsid w:val="00D55F60"/>
    <w:rsid w:val="00D578C9"/>
    <w:rsid w:val="00D57FE9"/>
    <w:rsid w:val="00D66F61"/>
    <w:rsid w:val="00D70ED1"/>
    <w:rsid w:val="00D70EE1"/>
    <w:rsid w:val="00D75807"/>
    <w:rsid w:val="00D77606"/>
    <w:rsid w:val="00D80445"/>
    <w:rsid w:val="00D80782"/>
    <w:rsid w:val="00D8088B"/>
    <w:rsid w:val="00D82444"/>
    <w:rsid w:val="00D830E3"/>
    <w:rsid w:val="00D837F2"/>
    <w:rsid w:val="00D85F06"/>
    <w:rsid w:val="00D86876"/>
    <w:rsid w:val="00D924C4"/>
    <w:rsid w:val="00D9559F"/>
    <w:rsid w:val="00DA1064"/>
    <w:rsid w:val="00DA2B1A"/>
    <w:rsid w:val="00DA2CA9"/>
    <w:rsid w:val="00DA5580"/>
    <w:rsid w:val="00DA7D2F"/>
    <w:rsid w:val="00DB1884"/>
    <w:rsid w:val="00DB420F"/>
    <w:rsid w:val="00DC0A42"/>
    <w:rsid w:val="00DC26B7"/>
    <w:rsid w:val="00DC3C14"/>
    <w:rsid w:val="00DC6A5A"/>
    <w:rsid w:val="00DC6AF1"/>
    <w:rsid w:val="00DC7303"/>
    <w:rsid w:val="00DD0F00"/>
    <w:rsid w:val="00DD14DA"/>
    <w:rsid w:val="00DD2261"/>
    <w:rsid w:val="00DD4643"/>
    <w:rsid w:val="00DF1578"/>
    <w:rsid w:val="00DF202E"/>
    <w:rsid w:val="00DF2D33"/>
    <w:rsid w:val="00DF2D90"/>
    <w:rsid w:val="00DF4B13"/>
    <w:rsid w:val="00E00514"/>
    <w:rsid w:val="00E01AFD"/>
    <w:rsid w:val="00E03B48"/>
    <w:rsid w:val="00E04E24"/>
    <w:rsid w:val="00E11355"/>
    <w:rsid w:val="00E13E6C"/>
    <w:rsid w:val="00E13F1D"/>
    <w:rsid w:val="00E1636E"/>
    <w:rsid w:val="00E16638"/>
    <w:rsid w:val="00E16FE0"/>
    <w:rsid w:val="00E17C86"/>
    <w:rsid w:val="00E204B7"/>
    <w:rsid w:val="00E206ED"/>
    <w:rsid w:val="00E23566"/>
    <w:rsid w:val="00E24CDA"/>
    <w:rsid w:val="00E24F32"/>
    <w:rsid w:val="00E261D3"/>
    <w:rsid w:val="00E306EF"/>
    <w:rsid w:val="00E30D0A"/>
    <w:rsid w:val="00E3310F"/>
    <w:rsid w:val="00E33B4C"/>
    <w:rsid w:val="00E360B8"/>
    <w:rsid w:val="00E36306"/>
    <w:rsid w:val="00E37D8E"/>
    <w:rsid w:val="00E400A0"/>
    <w:rsid w:val="00E40CAA"/>
    <w:rsid w:val="00E40CC0"/>
    <w:rsid w:val="00E426B9"/>
    <w:rsid w:val="00E43533"/>
    <w:rsid w:val="00E43754"/>
    <w:rsid w:val="00E44A81"/>
    <w:rsid w:val="00E50CDE"/>
    <w:rsid w:val="00E549D2"/>
    <w:rsid w:val="00E55224"/>
    <w:rsid w:val="00E56023"/>
    <w:rsid w:val="00E61C01"/>
    <w:rsid w:val="00E61D48"/>
    <w:rsid w:val="00E63159"/>
    <w:rsid w:val="00E663DF"/>
    <w:rsid w:val="00E6670E"/>
    <w:rsid w:val="00E67373"/>
    <w:rsid w:val="00E74EF7"/>
    <w:rsid w:val="00E813E5"/>
    <w:rsid w:val="00E817F6"/>
    <w:rsid w:val="00E8786B"/>
    <w:rsid w:val="00E87B98"/>
    <w:rsid w:val="00E92777"/>
    <w:rsid w:val="00E944E2"/>
    <w:rsid w:val="00EA4477"/>
    <w:rsid w:val="00EA4CE6"/>
    <w:rsid w:val="00EB0B1F"/>
    <w:rsid w:val="00EB17E2"/>
    <w:rsid w:val="00EB26B7"/>
    <w:rsid w:val="00EB3BC4"/>
    <w:rsid w:val="00EB46D8"/>
    <w:rsid w:val="00EB4B36"/>
    <w:rsid w:val="00EB6EF8"/>
    <w:rsid w:val="00EC54DE"/>
    <w:rsid w:val="00EC6E6D"/>
    <w:rsid w:val="00ED46D0"/>
    <w:rsid w:val="00ED7F8A"/>
    <w:rsid w:val="00EE005D"/>
    <w:rsid w:val="00EE0C18"/>
    <w:rsid w:val="00EE309D"/>
    <w:rsid w:val="00EE30DE"/>
    <w:rsid w:val="00EE73B8"/>
    <w:rsid w:val="00EE7908"/>
    <w:rsid w:val="00EF0308"/>
    <w:rsid w:val="00EF26AC"/>
    <w:rsid w:val="00F001D2"/>
    <w:rsid w:val="00F0336F"/>
    <w:rsid w:val="00F039B7"/>
    <w:rsid w:val="00F03B3E"/>
    <w:rsid w:val="00F060BA"/>
    <w:rsid w:val="00F14DC3"/>
    <w:rsid w:val="00F15525"/>
    <w:rsid w:val="00F16B7E"/>
    <w:rsid w:val="00F171DC"/>
    <w:rsid w:val="00F2217E"/>
    <w:rsid w:val="00F30549"/>
    <w:rsid w:val="00F31634"/>
    <w:rsid w:val="00F32AE3"/>
    <w:rsid w:val="00F32E1B"/>
    <w:rsid w:val="00F34260"/>
    <w:rsid w:val="00F34F02"/>
    <w:rsid w:val="00F417EB"/>
    <w:rsid w:val="00F41CDB"/>
    <w:rsid w:val="00F4202E"/>
    <w:rsid w:val="00F4612D"/>
    <w:rsid w:val="00F518BD"/>
    <w:rsid w:val="00F56052"/>
    <w:rsid w:val="00F563E6"/>
    <w:rsid w:val="00F56416"/>
    <w:rsid w:val="00F5660C"/>
    <w:rsid w:val="00F56F18"/>
    <w:rsid w:val="00F60595"/>
    <w:rsid w:val="00F617BC"/>
    <w:rsid w:val="00F657C6"/>
    <w:rsid w:val="00F658E2"/>
    <w:rsid w:val="00F675F4"/>
    <w:rsid w:val="00F7290C"/>
    <w:rsid w:val="00F746D7"/>
    <w:rsid w:val="00F7661F"/>
    <w:rsid w:val="00F77860"/>
    <w:rsid w:val="00F80EFB"/>
    <w:rsid w:val="00F82BB3"/>
    <w:rsid w:val="00F859B7"/>
    <w:rsid w:val="00F86BD7"/>
    <w:rsid w:val="00F879FA"/>
    <w:rsid w:val="00F87A0F"/>
    <w:rsid w:val="00F94F95"/>
    <w:rsid w:val="00FA035F"/>
    <w:rsid w:val="00FA0369"/>
    <w:rsid w:val="00FA35DB"/>
    <w:rsid w:val="00FA4127"/>
    <w:rsid w:val="00FA4F38"/>
    <w:rsid w:val="00FA57F7"/>
    <w:rsid w:val="00FA5885"/>
    <w:rsid w:val="00FB00D0"/>
    <w:rsid w:val="00FB094F"/>
    <w:rsid w:val="00FB193C"/>
    <w:rsid w:val="00FB57A8"/>
    <w:rsid w:val="00FB65E6"/>
    <w:rsid w:val="00FB7AF2"/>
    <w:rsid w:val="00FC0C23"/>
    <w:rsid w:val="00FC3ECC"/>
    <w:rsid w:val="00FC5147"/>
    <w:rsid w:val="00FC517B"/>
    <w:rsid w:val="00FC7899"/>
    <w:rsid w:val="00FD06D4"/>
    <w:rsid w:val="00FE09B9"/>
    <w:rsid w:val="00FE3336"/>
    <w:rsid w:val="00FE3555"/>
    <w:rsid w:val="00FE48B4"/>
    <w:rsid w:val="00FF0322"/>
    <w:rsid w:val="00FF7638"/>
    <w:rsid w:val="021F2C11"/>
    <w:rsid w:val="0CC15647"/>
    <w:rsid w:val="1BE21D8D"/>
    <w:rsid w:val="1D246E1B"/>
    <w:rsid w:val="1E7157AB"/>
    <w:rsid w:val="245E44D6"/>
    <w:rsid w:val="249F1FCC"/>
    <w:rsid w:val="28274D6A"/>
    <w:rsid w:val="2A96425F"/>
    <w:rsid w:val="2D7F600E"/>
    <w:rsid w:val="3A005DD0"/>
    <w:rsid w:val="3E615145"/>
    <w:rsid w:val="3EC24374"/>
    <w:rsid w:val="47E20774"/>
    <w:rsid w:val="5F6C25A6"/>
    <w:rsid w:val="63DC31CF"/>
    <w:rsid w:val="6B9769B5"/>
    <w:rsid w:val="6FA300B9"/>
    <w:rsid w:val="6FAE4512"/>
    <w:rsid w:val="72EE5F75"/>
    <w:rsid w:val="743E350F"/>
    <w:rsid w:val="758210CC"/>
    <w:rsid w:val="79EF13BE"/>
    <w:rsid w:val="7E531145"/>
    <w:rsid w:val="7ECE71DB"/>
    <w:rsid w:val="BFF64C30"/>
    <w:rsid w:val="EFF7D260"/>
    <w:rsid w:val="F37D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ocked="1"/>
    <w:lsdException w:unhideWhenUsed="0" w:uiPriority="0" w:name="toc 2" w:locked="1"/>
    <w:lsdException w:unhideWhenUsed="0" w:uiPriority="0" w:name="toc 3" w:locked="1"/>
    <w:lsdException w:unhideWhenUsed="0" w:uiPriority="0" w:name="toc 4" w:locked="1"/>
    <w:lsdException w:unhideWhenUsed="0" w:uiPriority="0" w:name="toc 5" w:locked="1"/>
    <w:lsdException w:unhideWhenUsed="0" w:uiPriority="0" w:name="toc 6" w:locked="1"/>
    <w:lsdException w:unhideWhenUsed="0" w:uiPriority="0" w:name="toc 7" w:locked="1"/>
    <w:lsdException w:unhideWhenUsed="0" w:uiPriority="0" w:name="toc 8" w:locked="1"/>
    <w:lsdException w:unhideWhenUsed="0" w:uiPriority="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38"/>
    <w:qFormat/>
    <w:uiPriority w:val="0"/>
    <w:pPr>
      <w:keepNext/>
      <w:spacing w:line="440" w:lineRule="exact"/>
      <w:jc w:val="center"/>
      <w:outlineLvl w:val="0"/>
    </w:pPr>
    <w:rPr>
      <w:rFonts w:ascii="宋体" w:hAnsi="宋体"/>
      <w:lang w:val="zh-CN"/>
    </w:rPr>
  </w:style>
  <w:style w:type="paragraph" w:styleId="3">
    <w:name w:val="heading 2"/>
    <w:basedOn w:val="1"/>
    <w:next w:val="1"/>
    <w:link w:val="27"/>
    <w:qFormat/>
    <w:locked/>
    <w:uiPriority w:val="0"/>
    <w:pPr>
      <w:keepNext/>
      <w:keepLines/>
      <w:widowControl w:val="0"/>
      <w:spacing w:before="260" w:after="260" w:line="416" w:lineRule="auto"/>
      <w:jc w:val="both"/>
      <w:outlineLvl w:val="1"/>
    </w:pPr>
    <w:rPr>
      <w:rFonts w:ascii="Cambria" w:hAnsi="Cambria"/>
      <w:b/>
      <w:bCs/>
      <w:kern w:val="2"/>
      <w:sz w:val="32"/>
      <w:szCs w:val="32"/>
      <w:lang w:val="zh-CN"/>
    </w:rPr>
  </w:style>
  <w:style w:type="paragraph" w:styleId="4">
    <w:name w:val="heading 3"/>
    <w:basedOn w:val="1"/>
    <w:next w:val="1"/>
    <w:link w:val="24"/>
    <w:qFormat/>
    <w:locked/>
    <w:uiPriority w:val="0"/>
    <w:pPr>
      <w:keepNext/>
      <w:keepLines/>
      <w:spacing w:before="260" w:after="260" w:line="416" w:lineRule="auto"/>
      <w:outlineLvl w:val="2"/>
    </w:pPr>
    <w:rPr>
      <w:b/>
      <w:bCs/>
      <w:sz w:val="32"/>
      <w:szCs w:val="32"/>
      <w:lang w:val="zh-CN"/>
    </w:rPr>
  </w:style>
  <w:style w:type="paragraph" w:styleId="5">
    <w:name w:val="heading 4"/>
    <w:basedOn w:val="1"/>
    <w:next w:val="1"/>
    <w:link w:val="32"/>
    <w:qFormat/>
    <w:locked/>
    <w:uiPriority w:val="0"/>
    <w:pPr>
      <w:keepNext/>
      <w:keepLines/>
      <w:spacing w:before="280" w:after="290" w:line="376" w:lineRule="auto"/>
      <w:outlineLvl w:val="3"/>
    </w:pPr>
    <w:rPr>
      <w:rFonts w:ascii="Cambria" w:hAnsi="Cambria"/>
      <w:b/>
      <w:bCs/>
      <w:sz w:val="28"/>
      <w:szCs w:val="28"/>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val="0"/>
      <w:ind w:firstLine="480"/>
      <w:jc w:val="both"/>
    </w:pPr>
    <w:rPr>
      <w:rFonts w:ascii="等线" w:hAnsi="等线" w:eastAsia="等线"/>
      <w:kern w:val="2"/>
      <w:sz w:val="21"/>
    </w:rPr>
  </w:style>
  <w:style w:type="paragraph" w:styleId="7">
    <w:name w:val="annotation text"/>
    <w:basedOn w:val="1"/>
    <w:link w:val="35"/>
    <w:autoRedefine/>
    <w:unhideWhenUsed/>
    <w:qFormat/>
    <w:uiPriority w:val="99"/>
  </w:style>
  <w:style w:type="paragraph" w:styleId="8">
    <w:name w:val="Body Text"/>
    <w:basedOn w:val="1"/>
    <w:next w:val="1"/>
    <w:link w:val="23"/>
    <w:autoRedefine/>
    <w:qFormat/>
    <w:uiPriority w:val="99"/>
    <w:pPr>
      <w:widowControl w:val="0"/>
      <w:spacing w:before="120" w:after="120" w:line="264" w:lineRule="auto"/>
      <w:jc w:val="both"/>
    </w:pPr>
    <w:rPr>
      <w:rFonts w:ascii="Calibri" w:hAnsi="Calibri"/>
      <w:kern w:val="2"/>
      <w:sz w:val="21"/>
      <w:lang w:val="zh-CN"/>
    </w:rPr>
  </w:style>
  <w:style w:type="paragraph" w:styleId="9">
    <w:name w:val="Plain Text"/>
    <w:basedOn w:val="1"/>
    <w:link w:val="53"/>
    <w:autoRedefine/>
    <w:qFormat/>
    <w:uiPriority w:val="0"/>
    <w:pPr>
      <w:widowControl w:val="0"/>
      <w:spacing w:line="360" w:lineRule="auto"/>
    </w:pPr>
    <w:rPr>
      <w:rFonts w:ascii="宋体" w:hAnsi="宋体" w:cs="宋体"/>
      <w:kern w:val="2"/>
      <w:sz w:val="24"/>
      <w:szCs w:val="24"/>
    </w:rPr>
  </w:style>
  <w:style w:type="paragraph" w:styleId="10">
    <w:name w:val="Balloon Text"/>
    <w:basedOn w:val="1"/>
    <w:link w:val="29"/>
    <w:autoRedefine/>
    <w:unhideWhenUsed/>
    <w:qFormat/>
    <w:uiPriority w:val="99"/>
    <w:rPr>
      <w:sz w:val="18"/>
      <w:szCs w:val="18"/>
      <w:lang w:val="zh-CN"/>
    </w:rPr>
  </w:style>
  <w:style w:type="paragraph" w:styleId="11">
    <w:name w:val="footer"/>
    <w:basedOn w:val="1"/>
    <w:link w:val="31"/>
    <w:qFormat/>
    <w:uiPriority w:val="99"/>
    <w:pPr>
      <w:tabs>
        <w:tab w:val="center" w:pos="4153"/>
        <w:tab w:val="right" w:pos="8306"/>
      </w:tabs>
      <w:snapToGrid w:val="0"/>
    </w:pPr>
    <w:rPr>
      <w:sz w:val="18"/>
      <w:szCs w:val="18"/>
      <w:lang w:val="zh-CN"/>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lang w:val="zh-CN"/>
    </w:rPr>
  </w:style>
  <w:style w:type="paragraph" w:styleId="13">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14">
    <w:name w:val="annotation subject"/>
    <w:basedOn w:val="7"/>
    <w:next w:val="7"/>
    <w:link w:val="30"/>
    <w:autoRedefine/>
    <w:qFormat/>
    <w:uiPriority w:val="0"/>
    <w:pPr>
      <w:widowControl w:val="0"/>
      <w:jc w:val="both"/>
    </w:pPr>
    <w:rPr>
      <w:rFonts w:ascii="Calibri" w:hAnsi="Calibri" w:eastAsia="微软雅黑"/>
      <w:kern w:val="2"/>
      <w:sz w:val="24"/>
      <w:szCs w:val="24"/>
      <w:lang w:val="zh-CN"/>
    </w:rPr>
  </w:style>
  <w:style w:type="table" w:styleId="16">
    <w:name w:val="Table Grid"/>
    <w:basedOn w:val="15"/>
    <w:autoRedefine/>
    <w:qFormat/>
    <w:locked/>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u w:val="single"/>
    </w:rPr>
  </w:style>
  <w:style w:type="character" w:styleId="21">
    <w:name w:val="annotation reference"/>
    <w:autoRedefine/>
    <w:unhideWhenUsed/>
    <w:qFormat/>
    <w:uiPriority w:val="99"/>
    <w:rPr>
      <w:sz w:val="21"/>
      <w:szCs w:val="21"/>
    </w:rPr>
  </w:style>
  <w:style w:type="character" w:customStyle="1" w:styleId="22">
    <w:name w:val="font21"/>
    <w:autoRedefine/>
    <w:qFormat/>
    <w:uiPriority w:val="0"/>
    <w:rPr>
      <w:rFonts w:hint="eastAsia" w:ascii="微软雅黑" w:hAnsi="微软雅黑" w:eastAsia="微软雅黑" w:cs="微软雅黑"/>
      <w:color w:val="000000"/>
      <w:sz w:val="20"/>
      <w:szCs w:val="20"/>
      <w:u w:val="none"/>
    </w:rPr>
  </w:style>
  <w:style w:type="character" w:customStyle="1" w:styleId="23">
    <w:name w:val="正文文本 字符"/>
    <w:link w:val="8"/>
    <w:qFormat/>
    <w:uiPriority w:val="99"/>
    <w:rPr>
      <w:rFonts w:ascii="Calibri" w:hAnsi="Calibri"/>
      <w:kern w:val="2"/>
      <w:sz w:val="21"/>
    </w:rPr>
  </w:style>
  <w:style w:type="character" w:customStyle="1" w:styleId="24">
    <w:name w:val="标题 3 字符"/>
    <w:link w:val="4"/>
    <w:qFormat/>
    <w:uiPriority w:val="0"/>
    <w:rPr>
      <w:b/>
      <w:bCs/>
      <w:sz w:val="32"/>
      <w:szCs w:val="32"/>
    </w:rPr>
  </w:style>
  <w:style w:type="character" w:customStyle="1" w:styleId="25">
    <w:name w:val="font11"/>
    <w:autoRedefine/>
    <w:qFormat/>
    <w:uiPriority w:val="0"/>
    <w:rPr>
      <w:rFonts w:hint="eastAsia" w:ascii="宋体" w:hAnsi="宋体" w:eastAsia="宋体" w:cs="宋体"/>
      <w:color w:val="000000"/>
      <w:sz w:val="22"/>
      <w:szCs w:val="22"/>
      <w:u w:val="none"/>
    </w:rPr>
  </w:style>
  <w:style w:type="character" w:customStyle="1" w:styleId="26">
    <w:name w:val="font01"/>
    <w:autoRedefine/>
    <w:qFormat/>
    <w:uiPriority w:val="0"/>
    <w:rPr>
      <w:rFonts w:hint="eastAsia" w:ascii="宋体" w:hAnsi="宋体" w:eastAsia="宋体" w:cs="宋体"/>
      <w:color w:val="000000"/>
      <w:sz w:val="20"/>
      <w:szCs w:val="20"/>
      <w:u w:val="none"/>
    </w:rPr>
  </w:style>
  <w:style w:type="character" w:customStyle="1" w:styleId="27">
    <w:name w:val="标题 2 字符"/>
    <w:link w:val="3"/>
    <w:autoRedefine/>
    <w:qFormat/>
    <w:uiPriority w:val="0"/>
    <w:rPr>
      <w:rFonts w:ascii="Cambria" w:hAnsi="Cambria" w:eastAsia="宋体" w:cs="Times New Roman"/>
      <w:b/>
      <w:bCs/>
      <w:kern w:val="2"/>
      <w:sz w:val="32"/>
      <w:szCs w:val="32"/>
    </w:rPr>
  </w:style>
  <w:style w:type="character" w:customStyle="1" w:styleId="28">
    <w:name w:val="页眉 字符"/>
    <w:link w:val="12"/>
    <w:autoRedefine/>
    <w:qFormat/>
    <w:locked/>
    <w:uiPriority w:val="99"/>
    <w:rPr>
      <w:rFonts w:ascii="Times New Roman" w:hAnsi="Times New Roman" w:eastAsia="宋体" w:cs="Times New Roman"/>
      <w:kern w:val="0"/>
      <w:sz w:val="18"/>
      <w:szCs w:val="18"/>
    </w:rPr>
  </w:style>
  <w:style w:type="character" w:customStyle="1" w:styleId="29">
    <w:name w:val="批注框文本 字符"/>
    <w:link w:val="10"/>
    <w:semiHidden/>
    <w:qFormat/>
    <w:uiPriority w:val="99"/>
    <w:rPr>
      <w:sz w:val="18"/>
      <w:szCs w:val="18"/>
    </w:rPr>
  </w:style>
  <w:style w:type="character" w:customStyle="1" w:styleId="30">
    <w:name w:val="批注主题 字符"/>
    <w:link w:val="14"/>
    <w:qFormat/>
    <w:uiPriority w:val="0"/>
    <w:rPr>
      <w:rFonts w:ascii="Calibri" w:hAnsi="Calibri" w:eastAsia="微软雅黑" w:cs="Times New Roman"/>
      <w:kern w:val="2"/>
      <w:sz w:val="24"/>
      <w:szCs w:val="24"/>
    </w:rPr>
  </w:style>
  <w:style w:type="character" w:customStyle="1" w:styleId="31">
    <w:name w:val="页脚 字符"/>
    <w:link w:val="11"/>
    <w:autoRedefine/>
    <w:qFormat/>
    <w:locked/>
    <w:uiPriority w:val="99"/>
    <w:rPr>
      <w:rFonts w:ascii="Times New Roman" w:hAnsi="Times New Roman" w:eastAsia="宋体" w:cs="Times New Roman"/>
      <w:kern w:val="0"/>
      <w:sz w:val="18"/>
      <w:szCs w:val="18"/>
    </w:rPr>
  </w:style>
  <w:style w:type="character" w:customStyle="1" w:styleId="32">
    <w:name w:val="标题 4 字符"/>
    <w:link w:val="5"/>
    <w:semiHidden/>
    <w:qFormat/>
    <w:uiPriority w:val="0"/>
    <w:rPr>
      <w:rFonts w:ascii="Cambria" w:hAnsi="Cambria" w:eastAsia="宋体" w:cs="Times New Roman"/>
      <w:b/>
      <w:bCs/>
      <w:sz w:val="28"/>
      <w:szCs w:val="28"/>
    </w:rPr>
  </w:style>
  <w:style w:type="character" w:customStyle="1" w:styleId="33">
    <w:name w:val="列出段落 字符"/>
    <w:basedOn w:val="17"/>
    <w:link w:val="34"/>
    <w:qFormat/>
    <w:uiPriority w:val="0"/>
  </w:style>
  <w:style w:type="paragraph" w:styleId="34">
    <w:name w:val="List Paragraph"/>
    <w:basedOn w:val="1"/>
    <w:link w:val="33"/>
    <w:autoRedefine/>
    <w:qFormat/>
    <w:uiPriority w:val="34"/>
    <w:pPr>
      <w:ind w:firstLine="420" w:firstLineChars="200"/>
    </w:pPr>
  </w:style>
  <w:style w:type="character" w:customStyle="1" w:styleId="35">
    <w:name w:val="批注文字 字符"/>
    <w:basedOn w:val="17"/>
    <w:link w:val="7"/>
    <w:semiHidden/>
    <w:qFormat/>
    <w:uiPriority w:val="99"/>
  </w:style>
  <w:style w:type="character" w:customStyle="1" w:styleId="36">
    <w:name w:val="msoins"/>
    <w:qFormat/>
    <w:uiPriority w:val="0"/>
    <w:rPr>
      <w:rFonts w:ascii="Arial" w:hAnsi="Arial" w:eastAsia="Times New Roman" w:cs="Times New Roman"/>
      <w:b/>
      <w:kern w:val="0"/>
      <w:sz w:val="24"/>
      <w:szCs w:val="24"/>
      <w:lang w:eastAsia="en-US"/>
    </w:rPr>
  </w:style>
  <w:style w:type="character" w:customStyle="1" w:styleId="37">
    <w:name w:val="fontstyle01"/>
    <w:autoRedefine/>
    <w:qFormat/>
    <w:uiPriority w:val="0"/>
    <w:rPr>
      <w:rFonts w:hint="eastAsia" w:ascii="宋体" w:hAnsi="宋体" w:eastAsia="宋体"/>
      <w:color w:val="000000"/>
      <w:sz w:val="22"/>
      <w:szCs w:val="22"/>
    </w:rPr>
  </w:style>
  <w:style w:type="character" w:customStyle="1" w:styleId="38">
    <w:name w:val="标题 1 字符"/>
    <w:link w:val="2"/>
    <w:qFormat/>
    <w:locked/>
    <w:uiPriority w:val="0"/>
    <w:rPr>
      <w:rFonts w:ascii="宋体" w:hAnsi="宋体" w:eastAsia="宋体" w:cs="宋体"/>
      <w:kern w:val="0"/>
      <w:sz w:val="20"/>
      <w:szCs w:val="20"/>
    </w:rPr>
  </w:style>
  <w:style w:type="paragraph" w:customStyle="1" w:styleId="39">
    <w:name w:val="列表段落1"/>
    <w:basedOn w:val="1"/>
    <w:qFormat/>
    <w:uiPriority w:val="34"/>
    <w:pPr>
      <w:widowControl w:val="0"/>
      <w:ind w:firstLine="420" w:firstLineChars="200"/>
      <w:jc w:val="both"/>
    </w:pPr>
    <w:rPr>
      <w:rFonts w:ascii="等线" w:hAnsi="等线" w:eastAsia="等线"/>
      <w:kern w:val="2"/>
      <w:sz w:val="21"/>
      <w:szCs w:val="21"/>
    </w:rPr>
  </w:style>
  <w:style w:type="paragraph" w:customStyle="1" w:styleId="40">
    <w:name w:val="样式 样式 样式 样式 标题 2 + 宋体 五号 非加粗 黑色 + 段前: 6 磅 段后: 0 磅 行距: 单倍行距 + 段前:..."/>
    <w:basedOn w:val="1"/>
    <w:autoRedefine/>
    <w:qFormat/>
    <w:uiPriority w:val="99"/>
    <w:pPr>
      <w:keepNext/>
      <w:keepLines/>
      <w:widowControl w:val="0"/>
      <w:adjustRightInd w:val="0"/>
      <w:spacing w:before="240"/>
      <w:ind w:left="480"/>
      <w:outlineLvl w:val="1"/>
    </w:pPr>
    <w:rPr>
      <w:rFonts w:ascii="宋体" w:hAnsi="宋体" w:cs="宋体"/>
      <w:b/>
      <w:bCs/>
      <w:color w:val="000000"/>
      <w:sz w:val="21"/>
    </w:rPr>
  </w:style>
  <w:style w:type="paragraph" w:customStyle="1" w:styleId="41">
    <w:name w:val="_Style 4"/>
    <w:basedOn w:val="1"/>
    <w:next w:val="34"/>
    <w:qFormat/>
    <w:uiPriority w:val="34"/>
    <w:pPr>
      <w:widowControl w:val="0"/>
      <w:ind w:firstLine="420" w:firstLineChars="200"/>
      <w:jc w:val="both"/>
    </w:pPr>
    <w:rPr>
      <w:rFonts w:ascii="Calibri" w:hAnsi="Calibri"/>
      <w:kern w:val="2"/>
      <w:sz w:val="21"/>
      <w:szCs w:val="22"/>
      <w:lang w:val="zh-CN"/>
    </w:rPr>
  </w:style>
  <w:style w:type="paragraph" w:customStyle="1" w:styleId="42">
    <w:name w:val="my正文"/>
    <w:basedOn w:val="1"/>
    <w:qFormat/>
    <w:uiPriority w:val="0"/>
    <w:pPr>
      <w:widowControl w:val="0"/>
      <w:spacing w:line="360" w:lineRule="auto"/>
      <w:ind w:firstLine="200" w:firstLineChars="200"/>
      <w:jc w:val="both"/>
    </w:pPr>
    <w:rPr>
      <w:rFonts w:ascii="宋体" w:hAnsi="宋体" w:eastAsia="仿宋"/>
      <w:kern w:val="2"/>
      <w:sz w:val="28"/>
      <w:szCs w:val="24"/>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_Style 299"/>
    <w:basedOn w:val="1"/>
    <w:next w:val="34"/>
    <w:autoRedefine/>
    <w:qFormat/>
    <w:uiPriority w:val="34"/>
    <w:pPr>
      <w:widowControl w:val="0"/>
      <w:ind w:firstLine="420" w:firstLineChars="200"/>
      <w:jc w:val="both"/>
    </w:pPr>
    <w:rPr>
      <w:rFonts w:ascii="Calibri" w:hAnsi="Calibri"/>
      <w:kern w:val="2"/>
      <w:sz w:val="21"/>
      <w:szCs w:val="22"/>
    </w:rPr>
  </w:style>
  <w:style w:type="paragraph" w:customStyle="1" w:styleId="45">
    <w:name w:val="3级标题"/>
    <w:basedOn w:val="1"/>
    <w:qFormat/>
    <w:uiPriority w:val="0"/>
    <w:pPr>
      <w:keepLines/>
      <w:widowControl w:val="0"/>
      <w:spacing w:before="120" w:after="120" w:line="360" w:lineRule="auto"/>
      <w:ind w:left="425" w:hanging="425"/>
      <w:contextualSpacing/>
      <w:outlineLvl w:val="2"/>
    </w:pPr>
    <w:rPr>
      <w:rFonts w:ascii="黑体" w:hAnsi="黑体" w:eastAsia="黑体"/>
      <w:sz w:val="28"/>
      <w:szCs w:val="36"/>
      <w:lang w:val="zh-CN" w:eastAsia="en-US" w:bidi="en-US"/>
    </w:rPr>
  </w:style>
  <w:style w:type="paragraph" w:customStyle="1" w:styleId="46">
    <w:name w:val="首行缩进"/>
    <w:basedOn w:val="1"/>
    <w:qFormat/>
    <w:uiPriority w:val="0"/>
    <w:pPr>
      <w:widowControl w:val="0"/>
      <w:spacing w:line="360" w:lineRule="auto"/>
      <w:ind w:firstLine="480" w:firstLineChars="200"/>
    </w:pPr>
    <w:rPr>
      <w:rFonts w:ascii="宋体" w:hAnsi="宋体"/>
      <w:kern w:val="2"/>
      <w:sz w:val="24"/>
      <w:szCs w:val="24"/>
    </w:rPr>
  </w:style>
  <w:style w:type="paragraph" w:customStyle="1" w:styleId="47">
    <w:name w:val="List Paragraph1"/>
    <w:basedOn w:val="1"/>
    <w:autoRedefine/>
    <w:qFormat/>
    <w:uiPriority w:val="0"/>
    <w:pPr>
      <w:widowControl w:val="0"/>
      <w:ind w:firstLine="420" w:firstLineChars="200"/>
      <w:jc w:val="both"/>
    </w:pPr>
    <w:rPr>
      <w:kern w:val="2"/>
      <w:sz w:val="21"/>
      <w:szCs w:val="24"/>
    </w:rPr>
  </w:style>
  <w:style w:type="paragraph" w:customStyle="1" w:styleId="48">
    <w:name w:val="Normal_0_1"/>
    <w:qFormat/>
    <w:uiPriority w:val="99"/>
    <w:rPr>
      <w:rFonts w:ascii="Times New Roman" w:hAnsi="Times New Roman" w:eastAsia="宋体" w:cs="Times New Roman"/>
      <w:sz w:val="24"/>
      <w:szCs w:val="24"/>
      <w:lang w:val="en-US" w:eastAsia="zh-CN" w:bidi="ar-SA"/>
    </w:rPr>
  </w:style>
  <w:style w:type="paragraph" w:customStyle="1" w:styleId="49">
    <w:name w:val="正文部分"/>
    <w:basedOn w:val="1"/>
    <w:qFormat/>
    <w:uiPriority w:val="0"/>
    <w:pPr>
      <w:widowControl w:val="0"/>
      <w:spacing w:line="360" w:lineRule="auto"/>
      <w:ind w:firstLine="200" w:firstLineChars="200"/>
      <w:jc w:val="both"/>
    </w:pPr>
    <w:rPr>
      <w:rFonts w:ascii="宋体" w:hAnsi="宋体"/>
      <w:kern w:val="2"/>
      <w:sz w:val="24"/>
      <w:szCs w:val="24"/>
    </w:rPr>
  </w:style>
  <w:style w:type="paragraph" w:customStyle="1" w:styleId="50">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1">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52">
    <w:name w:val="修订1"/>
    <w:semiHidden/>
    <w:qFormat/>
    <w:uiPriority w:val="99"/>
    <w:rPr>
      <w:rFonts w:ascii="Times New Roman" w:hAnsi="Times New Roman" w:eastAsia="宋体" w:cs="Times New Roman"/>
      <w:lang w:val="en-US" w:eastAsia="zh-CN" w:bidi="ar-SA"/>
    </w:rPr>
  </w:style>
  <w:style w:type="character" w:customStyle="1" w:styleId="53">
    <w:name w:val="纯文本 字符"/>
    <w:link w:val="9"/>
    <w:autoRedefine/>
    <w:qFormat/>
    <w:uiPriority w:val="0"/>
    <w:rPr>
      <w:rFonts w:ascii="宋体" w:hAnsi="宋体" w:cs="宋体"/>
      <w:kern w:val="2"/>
      <w:sz w:val="24"/>
      <w:szCs w:val="24"/>
    </w:rPr>
  </w:style>
  <w:style w:type="character" w:customStyle="1" w:styleId="54">
    <w:name w:val="纯文本 Char"/>
    <w:autoRedefine/>
    <w:semiHidden/>
    <w:qFormat/>
    <w:uiPriority w:val="99"/>
    <w:rPr>
      <w:rFonts w:ascii="宋体" w:hAnsi="Courier New" w:cs="Courier New"/>
      <w:sz w:val="21"/>
      <w:szCs w:val="21"/>
    </w:rPr>
  </w:style>
  <w:style w:type="paragraph" w:customStyle="1" w:styleId="55">
    <w:name w:val="font5"/>
    <w:basedOn w:val="1"/>
    <w:qFormat/>
    <w:uiPriority w:val="0"/>
    <w:pPr>
      <w:spacing w:before="100" w:beforeAutospacing="1" w:after="100" w:afterAutospacing="1"/>
    </w:pPr>
    <w:rPr>
      <w:rFonts w:ascii="宋体" w:hAnsi="宋体" w:cs="宋体"/>
      <w:color w:val="000000"/>
      <w:sz w:val="22"/>
      <w:szCs w:val="22"/>
    </w:rPr>
  </w:style>
  <w:style w:type="paragraph" w:customStyle="1" w:styleId="56">
    <w:name w:val="xl65"/>
    <w:basedOn w:val="1"/>
    <w:qFormat/>
    <w:uiPriority w:val="0"/>
    <w:pP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57">
    <w:name w:val="xl66"/>
    <w:basedOn w:val="1"/>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58">
    <w:name w:val="xl67"/>
    <w:basedOn w:val="1"/>
    <w:autoRedefine/>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59">
    <w:name w:val="xl68"/>
    <w:basedOn w:val="1"/>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6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61">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6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3">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4">
    <w:name w:val="xl7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cs="Calibri"/>
      <w:color w:val="000000"/>
      <w:sz w:val="24"/>
      <w:szCs w:val="24"/>
    </w:rPr>
  </w:style>
  <w:style w:type="paragraph" w:customStyle="1" w:styleId="65">
    <w:name w:val="xl7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66">
    <w:name w:val="xl7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67">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8">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9">
    <w:name w:val="xl7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70">
    <w:name w:val="xl79"/>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sz w:val="24"/>
      <w:szCs w:val="24"/>
    </w:rPr>
  </w:style>
  <w:style w:type="paragraph" w:customStyle="1" w:styleId="7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7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4"/>
      <w:szCs w:val="24"/>
    </w:rPr>
  </w:style>
  <w:style w:type="paragraph" w:customStyle="1" w:styleId="73">
    <w:name w:val="xl8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4">
    <w:name w:val="xl83"/>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5">
    <w:name w:val="xl84"/>
    <w:basedOn w:val="1"/>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6">
    <w:name w:val="xl85"/>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7">
    <w:name w:val="xl8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u w:val="single"/>
    </w:rPr>
  </w:style>
  <w:style w:type="paragraph" w:customStyle="1" w:styleId="78">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9">
    <w:name w:val="xl88"/>
    <w:basedOn w:val="1"/>
    <w:autoRedefine/>
    <w:qFormat/>
    <w:uiPriority w:val="0"/>
    <w:pPr>
      <w:pBdr>
        <w:bottom w:val="single" w:color="auto" w:sz="4" w:space="0"/>
      </w:pBdr>
      <w:shd w:val="clear" w:color="000000" w:fill="FFFFFF"/>
      <w:spacing w:before="100" w:beforeAutospacing="1" w:after="100" w:afterAutospacing="1"/>
      <w:jc w:val="center"/>
    </w:pPr>
    <w:rPr>
      <w:rFonts w:ascii="黑体" w:hAnsi="黑体" w:eastAsia="黑体" w:cs="宋体"/>
      <w:color w:val="000000"/>
      <w:sz w:val="56"/>
      <w:szCs w:val="56"/>
    </w:rPr>
  </w:style>
  <w:style w:type="paragraph" w:customStyle="1" w:styleId="80">
    <w:name w:val="xl89"/>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81">
    <w:name w:val="xl9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82">
    <w:name w:val="xl91"/>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83">
    <w:name w:val="xl9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84">
    <w:name w:val="xl93"/>
    <w:basedOn w:val="1"/>
    <w:qFormat/>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85">
    <w:name w:val="xl94"/>
    <w:basedOn w:val="1"/>
    <w:autoRedefine/>
    <w:qFormat/>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86">
    <w:name w:val="xl95"/>
    <w:basedOn w:val="1"/>
    <w:qFormat/>
    <w:uiPriority w:val="0"/>
    <w:pPr>
      <w:shd w:val="clear" w:color="000000" w:fill="FFFFFF"/>
      <w:spacing w:before="100" w:beforeAutospacing="1" w:after="100" w:afterAutospacing="1"/>
    </w:pPr>
    <w:rPr>
      <w:rFonts w:ascii="宋体" w:hAnsi="宋体" w:cs="宋体"/>
      <w:color w:val="000000"/>
      <w:sz w:val="24"/>
      <w:szCs w:val="24"/>
    </w:rPr>
  </w:style>
  <w:style w:type="paragraph" w:customStyle="1" w:styleId="87">
    <w:name w:val="font6"/>
    <w:basedOn w:val="1"/>
    <w:qFormat/>
    <w:uiPriority w:val="0"/>
    <w:pPr>
      <w:spacing w:before="100" w:beforeAutospacing="1" w:after="100" w:afterAutospacing="1"/>
    </w:pPr>
    <w:rPr>
      <w:rFonts w:ascii="宋体" w:hAnsi="宋体" w:cs="宋体"/>
      <w:sz w:val="18"/>
      <w:szCs w:val="18"/>
    </w:rPr>
  </w:style>
  <w:style w:type="table" w:customStyle="1" w:styleId="88">
    <w:name w:val="网格型1"/>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431</Words>
  <Characters>462</Characters>
  <Lines>59</Lines>
  <Paragraphs>16</Paragraphs>
  <TotalTime>3</TotalTime>
  <ScaleCrop>false</ScaleCrop>
  <LinksUpToDate>false</LinksUpToDate>
  <CharactersWithSpaces>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2024-03-28T02:47:00Z</dcterms:created>
  <cp:lastPrinted>2023-04-10T07:05:00Z</cp:lastPrinted>
  <dcterms:modified xsi:type="dcterms:W3CDTF">2025-06-04T07:31:56Z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67C51B4FF4D047FBACC9320B2B0AF273_13</vt:lpwstr>
  </property>
  <property fmtid="{D5CDD505-2E9C-101B-9397-08002B2CF9AE}" pid="4" name="KSOTemplateDocerSaveRecord">
    <vt:lpwstr>eyJoZGlkIjoiOTU1MmQ2ZjQ0NmU0ZTYxMDM3MGM1OWJlYWEzMDNlODciLCJ1c2VySWQiOiIzMDk4MTc4NTcifQ==</vt:lpwstr>
  </property>
</Properties>
</file>