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auto"/>
          <w:sz w:val="44"/>
          <w:szCs w:val="44"/>
          <w:highlight w:val="none"/>
        </w:rPr>
      </w:pPr>
      <w:r>
        <w:rPr>
          <w:rFonts w:hint="eastAsia" w:ascii="宋体" w:hAnsi="宋体"/>
          <w:color w:val="auto"/>
          <w:sz w:val="44"/>
          <w:szCs w:val="44"/>
          <w:highlight w:val="none"/>
        </w:rPr>
        <w:t>上海市公安局长宁分局智能运维中心平台升级建设（四期）竞争性磋商项目</w:t>
      </w:r>
    </w:p>
    <w:p>
      <w:pPr>
        <w:jc w:val="center"/>
        <w:rPr>
          <w:rFonts w:ascii="宋体" w:hAnsi="宋体" w:eastAsia="宋体"/>
          <w:color w:val="auto"/>
          <w:sz w:val="44"/>
          <w:szCs w:val="44"/>
          <w:highlight w:val="none"/>
        </w:rPr>
      </w:pPr>
      <w:r>
        <w:rPr>
          <w:rFonts w:hint="eastAsia" w:ascii="宋体" w:hAnsi="宋体"/>
          <w:color w:val="auto"/>
          <w:sz w:val="44"/>
          <w:szCs w:val="44"/>
          <w:highlight w:val="none"/>
        </w:rPr>
        <w:t>采购</w:t>
      </w:r>
      <w:r>
        <w:rPr>
          <w:rFonts w:hint="eastAsia" w:ascii="宋体" w:hAnsi="宋体" w:eastAsia="宋体"/>
          <w:color w:val="auto"/>
          <w:sz w:val="44"/>
          <w:szCs w:val="44"/>
          <w:highlight w:val="none"/>
        </w:rPr>
        <w:t>需求</w:t>
      </w:r>
    </w:p>
    <w:p>
      <w:pPr>
        <w:jc w:val="center"/>
        <w:rPr>
          <w:rFonts w:ascii="宋体" w:hAnsi="宋体" w:eastAsia="宋体"/>
          <w:color w:val="auto"/>
          <w:sz w:val="44"/>
          <w:szCs w:val="44"/>
          <w:highlight w:val="none"/>
        </w:rPr>
      </w:pPr>
    </w:p>
    <w:p>
      <w:pPr>
        <w:tabs>
          <w:tab w:val="left" w:pos="7093"/>
        </w:tabs>
        <w:jc w:val="left"/>
        <w:rPr>
          <w:rFonts w:hint="eastAsia" w:ascii="宋体" w:hAnsi="宋体" w:eastAsia="宋体"/>
          <w:color w:val="auto"/>
          <w:sz w:val="44"/>
          <w:szCs w:val="44"/>
          <w:highlight w:val="none"/>
          <w:lang w:eastAsia="zh-CN"/>
        </w:rPr>
      </w:pPr>
      <w:r>
        <w:rPr>
          <w:rFonts w:hint="eastAsia" w:ascii="宋体" w:hAnsi="宋体" w:eastAsia="宋体"/>
          <w:color w:val="auto"/>
          <w:sz w:val="44"/>
          <w:szCs w:val="44"/>
          <w:highlight w:val="none"/>
          <w:lang w:eastAsia="zh-CN"/>
        </w:rPr>
        <w:tab/>
      </w:r>
    </w:p>
    <w:p>
      <w:pPr>
        <w:pStyle w:val="20"/>
        <w:rPr>
          <w:rFonts w:hint="default"/>
          <w:color w:val="auto"/>
          <w:highlight w:val="none"/>
        </w:rPr>
      </w:pPr>
      <w:bookmarkStart w:id="0" w:name="_Toc204090072"/>
      <w:r>
        <w:rPr>
          <w:rStyle w:val="28"/>
          <w:b/>
          <w:color w:val="auto"/>
          <w:highlight w:val="none"/>
        </w:rPr>
        <w:t>项目概况</w:t>
      </w:r>
      <w:bookmarkEnd w:id="0"/>
      <w:r>
        <w:rPr>
          <w:rStyle w:val="28"/>
          <w:b/>
          <w:color w:val="auto"/>
          <w:highlight w:val="none"/>
        </w:rPr>
        <w:t xml:space="preserve">  </w:t>
      </w:r>
      <w:r>
        <w:rPr>
          <w:rFonts w:ascii="宋体" w:hAnsi="宋体"/>
          <w:color w:val="auto"/>
          <w:szCs w:val="24"/>
          <w:highlight w:val="none"/>
        </w:rPr>
        <w:t xml:space="preserve"> </w:t>
      </w:r>
      <w:r>
        <w:rPr>
          <w:color w:val="auto"/>
          <w:highlight w:val="none"/>
        </w:rPr>
        <w:t xml:space="preserve">  </w:t>
      </w:r>
    </w:p>
    <w:p>
      <w:pPr>
        <w:pStyle w:val="21"/>
        <w:rPr>
          <w:rFonts w:hint="default"/>
          <w:color w:val="auto"/>
          <w:highlight w:val="none"/>
        </w:rPr>
      </w:pPr>
      <w:bookmarkStart w:id="1" w:name="_Toc204090073"/>
      <w:r>
        <w:rPr>
          <w:color w:val="auto"/>
          <w:highlight w:val="none"/>
        </w:rPr>
        <w:t>项目背景</w:t>
      </w:r>
      <w:bookmarkEnd w:id="1"/>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当前，长宁公安分局依托前三期智能运维中心平台建设成果，在集中监控、智能工单处理、掌上运维系统及资产级联管理等方面实现了显著提升，有效支撑了公安信息通信系统的高效运行。然而，随着新型警务数字化转型的深入，现有运维体系仍面临以下挑战：跨网数据互通能力不足导致信息孤岛；监测维度单一、算法精度有限，造成故障误报率偏高；资源纳管覆盖不全且管理效率低下；缺乏基于大数据的智能分析与可视化决策工具，难以满足主动预警和科学决策需求。为破解上述瓶颈，长宁公安分局启动四期智能运维中心平台建设项目，旨在通过技术升级和体系重构，构建多网协同、智能驱动的数字化运维生态，助力公安业务向“主动预防、智能决策”模式转型。</w:t>
      </w:r>
    </w:p>
    <w:p>
      <w:pPr>
        <w:pStyle w:val="21"/>
        <w:rPr>
          <w:rFonts w:hint="default"/>
          <w:color w:val="auto"/>
          <w:highlight w:val="none"/>
        </w:rPr>
      </w:pPr>
      <w:bookmarkStart w:id="2" w:name="_Toc204090074"/>
      <w:r>
        <w:rPr>
          <w:color w:val="auto"/>
          <w:highlight w:val="none"/>
        </w:rPr>
        <w:t>项目目标</w:t>
      </w:r>
      <w:bookmarkEnd w:id="2"/>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本项目旨在顺应公安信息化发展趋势，聚焦“智能、融合、可视、主动”的现代化运维理念，围绕数据融合、智能监测、移动运维、资源纳管、AI赋能等关键方向，构建统一、智能、安全的运维管理体系。具体目标如下：</w:t>
      </w:r>
    </w:p>
    <w:p>
      <w:pPr>
        <w:pStyle w:val="27"/>
        <w:widowControl/>
        <w:numPr>
          <w:ilvl w:val="0"/>
          <w:numId w:val="5"/>
        </w:numPr>
        <w:spacing w:before="100" w:beforeAutospacing="1" w:after="100" w:afterAutospacing="1" w:line="360" w:lineRule="auto"/>
        <w:ind w:left="442" w:hanging="442" w:firstLineChars="0"/>
        <w:jc w:val="left"/>
        <w:rPr>
          <w:rFonts w:ascii="宋体" w:hAnsi="宋体" w:eastAsia="宋体"/>
          <w:color w:val="auto"/>
          <w:sz w:val="24"/>
          <w:szCs w:val="24"/>
          <w:highlight w:val="none"/>
        </w:rPr>
      </w:pPr>
      <w:r>
        <w:rPr>
          <w:rFonts w:ascii="宋体" w:hAnsi="宋体" w:eastAsia="宋体"/>
          <w:color w:val="auto"/>
          <w:sz w:val="24"/>
          <w:szCs w:val="24"/>
          <w:highlight w:val="none"/>
        </w:rPr>
        <w:t>实现多网数据深度融合</w:t>
      </w:r>
      <w:r>
        <w:rPr>
          <w:rFonts w:ascii="宋体" w:hAnsi="宋体" w:eastAsia="宋体"/>
          <w:color w:val="auto"/>
          <w:sz w:val="24"/>
          <w:szCs w:val="24"/>
          <w:highlight w:val="none"/>
        </w:rPr>
        <w:br w:type="textWrapping"/>
      </w:r>
      <w:r>
        <w:rPr>
          <w:rFonts w:ascii="宋体" w:hAnsi="宋体" w:eastAsia="宋体"/>
          <w:color w:val="auto"/>
          <w:sz w:val="24"/>
          <w:szCs w:val="24"/>
          <w:highlight w:val="none"/>
        </w:rPr>
        <w:t>打破公安网、图像网、政务网、专网之间的信息孤岛，建立统一的数据接入与汇聚机制，提升全网统一感知与集中管理能力</w:t>
      </w:r>
      <w:r>
        <w:rPr>
          <w:rFonts w:hint="eastAsia" w:ascii="宋体" w:hAnsi="宋体" w:eastAsia="宋体"/>
          <w:color w:val="auto"/>
          <w:sz w:val="24"/>
          <w:szCs w:val="24"/>
          <w:highlight w:val="none"/>
        </w:rPr>
        <w:t>，并支持运维数据与市局的级联管理</w:t>
      </w:r>
      <w:r>
        <w:rPr>
          <w:rFonts w:ascii="宋体" w:hAnsi="宋体" w:eastAsia="宋体"/>
          <w:color w:val="auto"/>
          <w:sz w:val="24"/>
          <w:szCs w:val="24"/>
          <w:highlight w:val="none"/>
        </w:rPr>
        <w:t>。</w:t>
      </w:r>
    </w:p>
    <w:p>
      <w:pPr>
        <w:pStyle w:val="27"/>
        <w:widowControl/>
        <w:numPr>
          <w:ilvl w:val="0"/>
          <w:numId w:val="5"/>
        </w:numPr>
        <w:spacing w:before="100" w:beforeAutospacing="1" w:after="100" w:afterAutospacing="1" w:line="360" w:lineRule="auto"/>
        <w:ind w:left="442" w:hanging="442" w:firstLineChars="0"/>
        <w:jc w:val="left"/>
        <w:rPr>
          <w:rFonts w:ascii="宋体" w:hAnsi="宋体" w:eastAsia="宋体"/>
          <w:color w:val="auto"/>
          <w:sz w:val="24"/>
          <w:szCs w:val="24"/>
          <w:highlight w:val="none"/>
        </w:rPr>
      </w:pPr>
      <w:r>
        <w:rPr>
          <w:rFonts w:ascii="宋体" w:hAnsi="宋体" w:eastAsia="宋体"/>
          <w:color w:val="auto"/>
          <w:sz w:val="24"/>
          <w:szCs w:val="24"/>
          <w:highlight w:val="none"/>
        </w:rPr>
        <w:t>增强智能监测</w:t>
      </w:r>
      <w:r>
        <w:rPr>
          <w:rFonts w:hint="eastAsia" w:ascii="宋体" w:hAnsi="宋体" w:eastAsia="宋体"/>
          <w:color w:val="auto"/>
          <w:sz w:val="24"/>
          <w:szCs w:val="24"/>
          <w:highlight w:val="none"/>
        </w:rPr>
        <w:t>能力</w:t>
      </w:r>
      <w:r>
        <w:rPr>
          <w:rFonts w:ascii="宋体" w:hAnsi="宋体" w:eastAsia="宋体"/>
          <w:color w:val="auto"/>
          <w:sz w:val="24"/>
          <w:szCs w:val="24"/>
          <w:highlight w:val="none"/>
        </w:rPr>
        <w:br w:type="textWrapping"/>
      </w:r>
      <w:r>
        <w:rPr>
          <w:rFonts w:ascii="宋体" w:hAnsi="宋体" w:eastAsia="宋体"/>
          <w:color w:val="auto"/>
          <w:sz w:val="24"/>
          <w:szCs w:val="24"/>
          <w:highlight w:val="none"/>
        </w:rPr>
        <w:t>构建覆盖多云环境、应用系统、IT资产的自动化监测体系，实现实时状态掌握、精准故障识别及告警自动派发，提高问题发现与处置效率。</w:t>
      </w:r>
    </w:p>
    <w:p>
      <w:pPr>
        <w:pStyle w:val="27"/>
        <w:widowControl/>
        <w:numPr>
          <w:ilvl w:val="0"/>
          <w:numId w:val="5"/>
        </w:numPr>
        <w:spacing w:before="100" w:beforeAutospacing="1" w:after="100" w:afterAutospacing="1" w:line="360" w:lineRule="auto"/>
        <w:ind w:left="442" w:hanging="442" w:firstLineChars="0"/>
        <w:jc w:val="left"/>
        <w:rPr>
          <w:rFonts w:ascii="宋体" w:hAnsi="宋体" w:eastAsia="宋体"/>
          <w:color w:val="auto"/>
          <w:sz w:val="24"/>
          <w:szCs w:val="24"/>
          <w:highlight w:val="none"/>
        </w:rPr>
      </w:pPr>
      <w:r>
        <w:rPr>
          <w:rFonts w:ascii="宋体" w:hAnsi="宋体" w:eastAsia="宋体"/>
          <w:color w:val="auto"/>
          <w:sz w:val="24"/>
          <w:szCs w:val="24"/>
          <w:highlight w:val="none"/>
        </w:rPr>
        <w:t>提升移动运维能力</w:t>
      </w:r>
      <w:r>
        <w:rPr>
          <w:rFonts w:ascii="宋体" w:hAnsi="宋体" w:eastAsia="宋体"/>
          <w:color w:val="auto"/>
          <w:sz w:val="24"/>
          <w:szCs w:val="24"/>
          <w:highlight w:val="none"/>
        </w:rPr>
        <w:br w:type="textWrapping"/>
      </w:r>
      <w:r>
        <w:rPr>
          <w:rFonts w:ascii="宋体" w:hAnsi="宋体" w:eastAsia="宋体"/>
          <w:color w:val="auto"/>
          <w:sz w:val="24"/>
          <w:szCs w:val="24"/>
          <w:highlight w:val="none"/>
        </w:rPr>
        <w:t>充分发挥</w:t>
      </w:r>
      <w:r>
        <w:rPr>
          <w:rFonts w:hint="eastAsia" w:ascii="宋体" w:hAnsi="宋体" w:eastAsia="宋体"/>
          <w:color w:val="auto"/>
          <w:sz w:val="24"/>
          <w:szCs w:val="24"/>
          <w:highlight w:val="none"/>
        </w:rPr>
        <w:t>VPDN</w:t>
      </w:r>
      <w:r>
        <w:rPr>
          <w:rFonts w:ascii="宋体" w:hAnsi="宋体" w:eastAsia="宋体"/>
          <w:color w:val="auto"/>
          <w:sz w:val="24"/>
          <w:szCs w:val="24"/>
          <w:highlight w:val="none"/>
        </w:rPr>
        <w:t>专网优势，拓展外场人员移动作业能力，支持移动接单、巡查、</w:t>
      </w:r>
      <w:r>
        <w:rPr>
          <w:rFonts w:hint="eastAsia" w:ascii="宋体" w:hAnsi="宋体" w:eastAsia="宋体"/>
          <w:color w:val="auto"/>
          <w:sz w:val="24"/>
          <w:szCs w:val="24"/>
          <w:highlight w:val="none"/>
        </w:rPr>
        <w:t>扫码</w:t>
      </w:r>
      <w:r>
        <w:rPr>
          <w:rFonts w:ascii="宋体" w:hAnsi="宋体" w:eastAsia="宋体"/>
          <w:color w:val="auto"/>
          <w:sz w:val="24"/>
          <w:szCs w:val="24"/>
          <w:highlight w:val="none"/>
        </w:rPr>
        <w:t>报修等功能，强化作业闭环与运维响应速度。</w:t>
      </w:r>
    </w:p>
    <w:p>
      <w:pPr>
        <w:pStyle w:val="27"/>
        <w:widowControl/>
        <w:numPr>
          <w:ilvl w:val="0"/>
          <w:numId w:val="5"/>
        </w:numPr>
        <w:spacing w:before="100" w:beforeAutospacing="1" w:after="100" w:afterAutospacing="1" w:line="360" w:lineRule="auto"/>
        <w:ind w:left="442" w:hanging="442" w:firstLineChars="0"/>
        <w:jc w:val="left"/>
        <w:rPr>
          <w:rFonts w:ascii="宋体" w:hAnsi="宋体" w:eastAsia="宋体"/>
          <w:color w:val="auto"/>
          <w:sz w:val="24"/>
          <w:szCs w:val="24"/>
          <w:highlight w:val="none"/>
        </w:rPr>
      </w:pPr>
      <w:r>
        <w:rPr>
          <w:rFonts w:ascii="宋体" w:hAnsi="宋体" w:eastAsia="宋体"/>
          <w:color w:val="auto"/>
          <w:sz w:val="24"/>
          <w:szCs w:val="24"/>
          <w:highlight w:val="none"/>
        </w:rPr>
        <w:t>构建资产资源精细化管理体系</w:t>
      </w:r>
      <w:r>
        <w:rPr>
          <w:rFonts w:ascii="宋体" w:hAnsi="宋体" w:eastAsia="宋体"/>
          <w:color w:val="auto"/>
          <w:sz w:val="24"/>
          <w:szCs w:val="24"/>
          <w:highlight w:val="none"/>
        </w:rPr>
        <w:br w:type="textWrapping"/>
      </w:r>
      <w:r>
        <w:rPr>
          <w:rFonts w:ascii="宋体" w:hAnsi="宋体" w:eastAsia="宋体"/>
          <w:color w:val="auto"/>
          <w:sz w:val="24"/>
          <w:szCs w:val="24"/>
          <w:highlight w:val="none"/>
        </w:rPr>
        <w:t>实现对IT资产、云资源的统一纳管与全生命周期管理，支撑资产的上下架、出入库、备件管理、权限控制等操作，</w:t>
      </w:r>
      <w:r>
        <w:rPr>
          <w:rFonts w:hint="eastAsia" w:ascii="宋体" w:hAnsi="宋体" w:eastAsia="宋体"/>
          <w:color w:val="auto"/>
          <w:sz w:val="24"/>
          <w:szCs w:val="24"/>
          <w:highlight w:val="none"/>
        </w:rPr>
        <w:t>实现</w:t>
      </w:r>
      <w:r>
        <w:rPr>
          <w:rFonts w:ascii="宋体" w:hAnsi="宋体" w:eastAsia="宋体"/>
          <w:color w:val="auto"/>
          <w:sz w:val="24"/>
          <w:szCs w:val="24"/>
          <w:highlight w:val="none"/>
        </w:rPr>
        <w:t>资源</w:t>
      </w:r>
      <w:r>
        <w:rPr>
          <w:rFonts w:hint="eastAsia" w:ascii="宋体" w:hAnsi="宋体" w:eastAsia="宋体"/>
          <w:color w:val="auto"/>
          <w:sz w:val="24"/>
          <w:szCs w:val="24"/>
          <w:highlight w:val="none"/>
        </w:rPr>
        <w:t>利用精细化管控</w:t>
      </w:r>
      <w:r>
        <w:rPr>
          <w:rFonts w:ascii="宋体" w:hAnsi="宋体" w:eastAsia="宋体"/>
          <w:color w:val="auto"/>
          <w:sz w:val="24"/>
          <w:szCs w:val="24"/>
          <w:highlight w:val="none"/>
        </w:rPr>
        <w:t>。</w:t>
      </w:r>
    </w:p>
    <w:p>
      <w:pPr>
        <w:pStyle w:val="27"/>
        <w:widowControl/>
        <w:numPr>
          <w:ilvl w:val="0"/>
          <w:numId w:val="5"/>
        </w:numPr>
        <w:spacing w:before="100" w:beforeAutospacing="1" w:after="100" w:afterAutospacing="1" w:line="360" w:lineRule="auto"/>
        <w:ind w:left="442" w:hanging="442" w:firstLineChars="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打造机房健康体征管理体系</w:t>
      </w:r>
      <w:r>
        <w:rPr>
          <w:rFonts w:hint="eastAsia" w:ascii="宋体" w:hAnsi="宋体" w:eastAsia="宋体"/>
          <w:color w:val="auto"/>
          <w:sz w:val="24"/>
          <w:szCs w:val="24"/>
          <w:highlight w:val="none"/>
        </w:rPr>
        <w:br w:type="textWrapping"/>
      </w:r>
      <w:r>
        <w:rPr>
          <w:rFonts w:ascii="宋体" w:hAnsi="宋体" w:eastAsia="宋体"/>
          <w:color w:val="auto"/>
          <w:sz w:val="24"/>
          <w:szCs w:val="24"/>
          <w:highlight w:val="none"/>
        </w:rPr>
        <w:t>打造集3D建模、五维体征监测、视频接入与入侵检测于一体的机房健康体征管理平台，实现对核心机房和派出所机房运行状态的直观展示与立体化感知，提升环境安全管控与运维效率。</w:t>
      </w:r>
    </w:p>
    <w:p>
      <w:pPr>
        <w:pStyle w:val="27"/>
        <w:widowControl/>
        <w:numPr>
          <w:ilvl w:val="0"/>
          <w:numId w:val="5"/>
        </w:numPr>
        <w:spacing w:before="100" w:beforeAutospacing="1" w:after="100" w:afterAutospacing="1" w:line="360" w:lineRule="auto"/>
        <w:ind w:left="442" w:hanging="442" w:firstLineChars="0"/>
        <w:jc w:val="left"/>
        <w:rPr>
          <w:rFonts w:ascii="宋体" w:hAnsi="宋体" w:eastAsia="宋体"/>
          <w:color w:val="auto"/>
          <w:sz w:val="24"/>
          <w:szCs w:val="24"/>
          <w:highlight w:val="none"/>
        </w:rPr>
      </w:pPr>
      <w:r>
        <w:rPr>
          <w:rFonts w:ascii="宋体" w:hAnsi="宋体" w:eastAsia="宋体"/>
          <w:color w:val="auto"/>
          <w:sz w:val="24"/>
          <w:szCs w:val="24"/>
          <w:highlight w:val="none"/>
        </w:rPr>
        <w:t>强化AI能力，赋能智能运维决策</w:t>
      </w:r>
      <w:r>
        <w:rPr>
          <w:rFonts w:ascii="宋体" w:hAnsi="宋体" w:eastAsia="宋体"/>
          <w:color w:val="auto"/>
          <w:sz w:val="24"/>
          <w:szCs w:val="24"/>
          <w:highlight w:val="none"/>
        </w:rPr>
        <w:br w:type="textWrapping"/>
      </w:r>
      <w:r>
        <w:rPr>
          <w:rFonts w:ascii="宋体" w:hAnsi="宋体" w:eastAsia="宋体"/>
          <w:color w:val="auto"/>
          <w:sz w:val="24"/>
          <w:szCs w:val="24"/>
          <w:highlight w:val="none"/>
        </w:rPr>
        <w:t>引入大语言模型、智能推荐算法等AI能力，建设AI智能问答助手、设备上架智能推荐、智能化评估报告与故障预测模型，推动运维由“被动响应”向“主动预测、智能决策”转型升级。</w:t>
      </w:r>
    </w:p>
    <w:p>
      <w:pPr>
        <w:pStyle w:val="27"/>
        <w:widowControl/>
        <w:numPr>
          <w:ilvl w:val="0"/>
          <w:numId w:val="5"/>
        </w:numPr>
        <w:spacing w:before="100" w:beforeAutospacing="1" w:after="100" w:afterAutospacing="1" w:line="360" w:lineRule="auto"/>
        <w:ind w:left="442" w:hanging="442" w:firstLineChars="0"/>
        <w:jc w:val="left"/>
        <w:rPr>
          <w:rFonts w:ascii="宋体" w:hAnsi="宋体" w:eastAsia="宋体"/>
          <w:color w:val="auto"/>
          <w:sz w:val="24"/>
          <w:szCs w:val="24"/>
          <w:highlight w:val="none"/>
        </w:rPr>
      </w:pPr>
      <w:r>
        <w:rPr>
          <w:rFonts w:ascii="宋体" w:hAnsi="宋体" w:eastAsia="宋体"/>
          <w:color w:val="auto"/>
          <w:sz w:val="24"/>
          <w:szCs w:val="24"/>
          <w:highlight w:val="none"/>
        </w:rPr>
        <w:t>确保系统安全与合规运行</w:t>
      </w:r>
      <w:r>
        <w:rPr>
          <w:rFonts w:ascii="宋体" w:hAnsi="宋体" w:eastAsia="宋体"/>
          <w:color w:val="auto"/>
          <w:sz w:val="24"/>
          <w:szCs w:val="24"/>
          <w:highlight w:val="none"/>
        </w:rPr>
        <w:br w:type="textWrapping"/>
      </w:r>
      <w:r>
        <w:rPr>
          <w:rFonts w:ascii="宋体" w:hAnsi="宋体" w:eastAsia="宋体"/>
          <w:color w:val="auto"/>
          <w:sz w:val="24"/>
          <w:szCs w:val="24"/>
          <w:highlight w:val="none"/>
        </w:rPr>
        <w:t>引入4A数字证书登录机制，强化平台身份认证与权限控制，</w:t>
      </w:r>
      <w:r>
        <w:rPr>
          <w:rFonts w:hint="eastAsia" w:ascii="宋体" w:hAnsi="宋体" w:eastAsia="宋体"/>
          <w:color w:val="auto"/>
          <w:sz w:val="24"/>
          <w:szCs w:val="24"/>
          <w:highlight w:val="none"/>
        </w:rPr>
        <w:t>对接各子系统重要数据，</w:t>
      </w:r>
      <w:r>
        <w:rPr>
          <w:rFonts w:ascii="宋体" w:hAnsi="宋体" w:eastAsia="宋体"/>
          <w:color w:val="auto"/>
          <w:sz w:val="24"/>
          <w:szCs w:val="24"/>
          <w:highlight w:val="none"/>
        </w:rPr>
        <w:t>保障公安数据和运维操作的安全合规。</w:t>
      </w:r>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通过本期项目建设，全面提升长宁公安分局运维体系的智能化、集约化、科学化水平，为公安信息系统安全稳定运行提供有力支撑。</w:t>
      </w:r>
    </w:p>
    <w:p>
      <w:pPr>
        <w:pStyle w:val="21"/>
        <w:rPr>
          <w:rFonts w:hint="default"/>
          <w:color w:val="auto"/>
          <w:highlight w:val="none"/>
        </w:rPr>
      </w:pPr>
      <w:bookmarkStart w:id="3" w:name="_Toc204090075"/>
      <w:r>
        <w:rPr>
          <w:color w:val="auto"/>
          <w:highlight w:val="none"/>
        </w:rPr>
        <w:t>主要服务内容</w:t>
      </w:r>
      <w:bookmarkEnd w:id="3"/>
    </w:p>
    <w:p>
      <w:pPr>
        <w:adjustRightInd w:val="0"/>
        <w:snapToGrid w:val="0"/>
        <w:spacing w:line="560" w:lineRule="exact"/>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第四期建设聚焦于全方位智能运维升级。本期将深化多网数据融合与改造，旨在实现公安网、图像网、政务网及专网数据的深度汇聚与平台集成，构建一体化运维视图。在智能监测能力方面，我们将实现对公安网、图像网等多云及应用系统健康度的实时精准监测与自动化告警派单。同时，拓展移动应用能力，支持外场人员通过5G专网进行接单、回单，并新增移动资产巡查与扫码报修功能，提升运维效率。资产和资源纳管将得到全面强化，通过自定义资产模板、精细化权限控制、完整的设备上下架与出入库流程，以及备品备件库和资产校准能力，实现对各类IT资产的全生命周期精益管理。此外，还将实现云资源纳管与复杂的资源关联映射。机房健康体征管理是本期亮点，将打造机房健康体征管理首页，通过核心机房与派出所机房的3D建模，结合五维健康度体征（资产、环控、动能、安全、环境）进行立体化监测与预警，并支持机房入侵异常检测与视频接入。最后，通过深化态势感知与AI运维，建设可视化运营屏，引入AI问答智能体、设备上架智能推荐、运维自评估报告及故障预测预防能力，推动运维模式向“主动智能”转型。系统登录将支持4A数字证书鉴权，确保安全合规。</w:t>
      </w:r>
    </w:p>
    <w:p>
      <w:pPr>
        <w:pStyle w:val="21"/>
        <w:rPr>
          <w:rFonts w:hint="eastAsia" w:eastAsia="宋体"/>
          <w:color w:val="auto"/>
          <w:highlight w:val="none"/>
          <w:lang w:val="en-US" w:eastAsia="zh-CN"/>
        </w:rPr>
      </w:pPr>
      <w:r>
        <w:rPr>
          <w:rFonts w:hint="eastAsia"/>
          <w:color w:val="auto"/>
          <w:highlight w:val="none"/>
          <w:lang w:val="en-US" w:eastAsia="zh-CN"/>
        </w:rPr>
        <w:t>项目周期</w:t>
      </w:r>
    </w:p>
    <w:p>
      <w:pPr>
        <w:keepNext w:val="0"/>
        <w:keepLines w:val="0"/>
        <w:pageBreakBefore w:val="0"/>
        <w:widowControl w:val="0"/>
        <w:kinsoku/>
        <w:wordWrap/>
        <w:overflowPunct/>
        <w:topLinePunct w:val="0"/>
        <w:autoSpaceDE/>
        <w:autoSpaceDN/>
        <w:bidi w:val="0"/>
        <w:adjustRightInd w:val="0"/>
        <w:snapToGrid w:val="0"/>
        <w:spacing w:line="560" w:lineRule="exact"/>
        <w:ind w:firstLine="424" w:firstLineChars="17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项目周期本期工程要求成交供应商在合同签订后30天内完成系统上线，实现本技术规范书内容要求，并投入测试运行。</w:t>
      </w:r>
    </w:p>
    <w:p>
      <w:pPr>
        <w:keepNext w:val="0"/>
        <w:keepLines w:val="0"/>
        <w:pageBreakBefore w:val="0"/>
        <w:widowControl w:val="0"/>
        <w:kinsoku/>
        <w:wordWrap/>
        <w:overflowPunct/>
        <w:topLinePunct w:val="0"/>
        <w:autoSpaceDE/>
        <w:autoSpaceDN/>
        <w:bidi w:val="0"/>
        <w:adjustRightInd w:val="0"/>
        <w:snapToGrid w:val="0"/>
        <w:spacing w:line="560" w:lineRule="exact"/>
        <w:ind w:firstLine="424" w:firstLineChars="177"/>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系统上线后，15天内需完成存量资产的入库操作。</w:t>
      </w:r>
    </w:p>
    <w:p>
      <w:pPr>
        <w:keepNext w:val="0"/>
        <w:keepLines w:val="0"/>
        <w:adjustRightInd w:val="0"/>
        <w:spacing w:line="560" w:lineRule="exact"/>
        <w:ind w:firstLine="424" w:firstLineChars="177"/>
        <w:rPr>
          <w:rFonts w:hint="eastAsia" w:eastAsia="宋体"/>
          <w:color w:val="auto"/>
          <w:highlight w:val="none"/>
          <w:lang w:val="en-US" w:eastAsia="zh-CN"/>
        </w:rPr>
      </w:pPr>
      <w:r>
        <w:rPr>
          <w:rFonts w:hint="eastAsia" w:ascii="宋体" w:hAnsi="宋体" w:eastAsia="宋体"/>
          <w:color w:val="auto"/>
          <w:sz w:val="24"/>
          <w:szCs w:val="24"/>
          <w:highlight w:val="none"/>
          <w:lang w:val="en-US" w:eastAsia="zh-CN"/>
        </w:rPr>
        <w:t>成交供应商根据该工程进度要求，提供详细的时间进度安排表，包括应用软件开发、环境调试、应用系统上线及试运行、验收、培训等。成交供应商需承诺在合同签订30天内，且不影响现网正常使用的情况下，确保整合实施后现有各业务正常运行。如逾期不能完成，买方有权解除合同。须提供加盖公章的承诺书原件。</w:t>
      </w:r>
    </w:p>
    <w:p>
      <w:pPr>
        <w:pStyle w:val="20"/>
        <w:rPr>
          <w:rStyle w:val="28"/>
          <w:rFonts w:hint="default"/>
          <w:b/>
          <w:color w:val="auto"/>
          <w:kern w:val="2"/>
          <w:highlight w:val="none"/>
        </w:rPr>
      </w:pPr>
      <w:bookmarkStart w:id="4" w:name="_Toc204090076"/>
      <w:r>
        <w:rPr>
          <w:rStyle w:val="28"/>
          <w:b/>
          <w:color w:val="auto"/>
          <w:kern w:val="2"/>
          <w:highlight w:val="none"/>
        </w:rPr>
        <w:t>服务内容及要求</w:t>
      </w:r>
      <w:bookmarkEnd w:id="4"/>
    </w:p>
    <w:p>
      <w:pPr>
        <w:pStyle w:val="21"/>
        <w:rPr>
          <w:rFonts w:hint="default"/>
          <w:color w:val="auto"/>
          <w:highlight w:val="none"/>
        </w:rPr>
      </w:pPr>
      <w:bookmarkStart w:id="5" w:name="_Toc204090077"/>
      <w:bookmarkStart w:id="6" w:name="OLE_LINK1"/>
      <w:r>
        <w:rPr>
          <w:color w:val="auto"/>
          <w:highlight w:val="none"/>
        </w:rPr>
        <w:t>多网数据融合与改造</w:t>
      </w:r>
      <w:bookmarkEnd w:id="5"/>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本项目旨在通过多网数据融合与改造，构建以公安网为核心的智能运维平台，并实现各业务网络的全面监测与移动端应用拓展。</w:t>
      </w:r>
    </w:p>
    <w:p>
      <w:pPr>
        <w:pStyle w:val="22"/>
        <w:ind w:firstLine="241"/>
        <w:rPr>
          <w:rFonts w:hint="default"/>
          <w:color w:val="auto"/>
          <w:highlight w:val="none"/>
        </w:rPr>
      </w:pPr>
      <w:bookmarkStart w:id="7" w:name="_Toc204090078"/>
      <w:r>
        <w:rPr>
          <w:color w:val="auto"/>
          <w:highlight w:val="none"/>
        </w:rPr>
        <w:t>公安网中心平台改造</w:t>
      </w:r>
      <w:bookmarkEnd w:id="7"/>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以公安网为智能运维中心平台，负责汇聚、管理各分布网的监测数据。</w:t>
      </w:r>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支持与市局系统进行级联管理，确保数据共享与业务协同。</w:t>
      </w:r>
    </w:p>
    <w:p>
      <w:pPr>
        <w:pStyle w:val="22"/>
        <w:ind w:firstLine="241"/>
        <w:rPr>
          <w:rFonts w:hint="default"/>
          <w:color w:val="auto"/>
          <w:highlight w:val="none"/>
        </w:rPr>
      </w:pPr>
      <w:bookmarkStart w:id="8" w:name="_Toc204090079"/>
      <w:r>
        <w:rPr>
          <w:color w:val="auto"/>
          <w:highlight w:val="none"/>
        </w:rPr>
        <w:t>图像网、政务网、专网监测节点部署</w:t>
      </w:r>
      <w:bookmarkEnd w:id="8"/>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在图像网、政务网、专网等各分布网络部署监测节点，实现对网络</w:t>
      </w:r>
      <w:r>
        <w:rPr>
          <w:rFonts w:hint="eastAsia" w:ascii="宋体" w:hAnsi="宋体" w:eastAsia="宋体"/>
          <w:color w:val="auto"/>
          <w:sz w:val="24"/>
          <w:szCs w:val="24"/>
          <w:highlight w:val="none"/>
        </w:rPr>
        <w:t>、服务器等设备</w:t>
      </w:r>
      <w:r>
        <w:rPr>
          <w:rFonts w:ascii="宋体" w:hAnsi="宋体" w:eastAsia="宋体"/>
          <w:color w:val="auto"/>
          <w:sz w:val="24"/>
          <w:szCs w:val="24"/>
          <w:highlight w:val="none"/>
        </w:rPr>
        <w:t>性能和告警的实时监测。</w:t>
      </w:r>
      <w:r>
        <w:rPr>
          <w:rFonts w:hint="eastAsia" w:ascii="宋体" w:hAnsi="宋体" w:eastAsia="宋体"/>
          <w:color w:val="auto"/>
          <w:sz w:val="24"/>
          <w:szCs w:val="24"/>
          <w:highlight w:val="none"/>
        </w:rPr>
        <w:t>并基于分局已有的网闸、总线协议等工具，实现数据向公安网中心平台汇聚。</w:t>
      </w:r>
    </w:p>
    <w:bookmarkEnd w:id="6"/>
    <w:p>
      <w:pPr>
        <w:pStyle w:val="21"/>
        <w:rPr>
          <w:rFonts w:hint="default"/>
          <w:color w:val="auto"/>
          <w:highlight w:val="none"/>
        </w:rPr>
      </w:pPr>
      <w:bookmarkStart w:id="9" w:name="_Toc204090080"/>
      <w:r>
        <w:rPr>
          <w:color w:val="auto"/>
          <w:highlight w:val="none"/>
        </w:rPr>
        <w:t>智能监测能力</w:t>
      </w:r>
      <w:bookmarkEnd w:id="9"/>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本项目将实现对多云环境、应用系统及全量资产的智能监测，确保运维过程的自动化与智能化。</w:t>
      </w:r>
    </w:p>
    <w:p>
      <w:pPr>
        <w:pStyle w:val="22"/>
        <w:ind w:firstLine="241"/>
        <w:rPr>
          <w:rFonts w:hint="default"/>
          <w:color w:val="auto"/>
          <w:highlight w:val="none"/>
        </w:rPr>
      </w:pPr>
      <w:bookmarkStart w:id="10" w:name="_Toc204090081"/>
      <w:r>
        <w:rPr>
          <w:color w:val="auto"/>
          <w:highlight w:val="none"/>
        </w:rPr>
        <w:t>多云监测</w:t>
      </w:r>
      <w:bookmarkEnd w:id="10"/>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实时监测多云环境的性能状态信息。异常情况需自动产生告警并派发工单。</w:t>
      </w:r>
    </w:p>
    <w:p>
      <w:pPr>
        <w:pStyle w:val="22"/>
        <w:ind w:firstLine="241"/>
        <w:rPr>
          <w:rFonts w:hint="default"/>
          <w:color w:val="auto"/>
          <w:highlight w:val="none"/>
        </w:rPr>
      </w:pPr>
      <w:bookmarkStart w:id="11" w:name="_Toc204090082"/>
      <w:r>
        <w:rPr>
          <w:color w:val="auto"/>
          <w:highlight w:val="none"/>
        </w:rPr>
        <w:t>应用系统健康度监测</w:t>
      </w:r>
      <w:bookmarkEnd w:id="11"/>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通过拨测实时监测应用的在线状态。</w:t>
      </w:r>
      <w:r>
        <w:rPr>
          <w:rFonts w:ascii="宋体" w:hAnsi="宋体" w:eastAsia="宋体"/>
          <w:color w:val="auto"/>
          <w:sz w:val="24"/>
          <w:szCs w:val="24"/>
          <w:highlight w:val="none"/>
        </w:rPr>
        <w:t>异常情况需自动产生告警并派发工单。</w:t>
      </w:r>
    </w:p>
    <w:p>
      <w:pPr>
        <w:adjustRightInd w:val="0"/>
        <w:snapToGrid w:val="0"/>
        <w:spacing w:line="560" w:lineRule="exact"/>
        <w:ind w:firstLine="424" w:firstLineChars="177"/>
        <w:rPr>
          <w:rFonts w:ascii="宋体" w:hAnsi="宋体" w:eastAsia="宋体"/>
          <w:color w:val="auto"/>
          <w:sz w:val="24"/>
          <w:szCs w:val="24"/>
          <w:highlight w:val="none"/>
        </w:rPr>
      </w:pPr>
    </w:p>
    <w:p>
      <w:pPr>
        <w:pStyle w:val="21"/>
        <w:rPr>
          <w:rFonts w:hint="default"/>
          <w:color w:val="auto"/>
          <w:highlight w:val="none"/>
        </w:rPr>
      </w:pPr>
      <w:bookmarkStart w:id="12" w:name="_Toc204090083"/>
      <w:r>
        <w:rPr>
          <w:color w:val="auto"/>
          <w:highlight w:val="none"/>
        </w:rPr>
        <w:t>移动应用</w:t>
      </w:r>
      <w:bookmarkEnd w:id="12"/>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本项目要求对各类基础资源进行全面纳管，优化管理流程，提升资产管理的精细化水平。</w:t>
      </w:r>
    </w:p>
    <w:p>
      <w:pPr>
        <w:pStyle w:val="22"/>
        <w:ind w:firstLine="241"/>
        <w:rPr>
          <w:rFonts w:hint="default"/>
          <w:color w:val="auto"/>
          <w:highlight w:val="none"/>
        </w:rPr>
      </w:pPr>
      <w:bookmarkStart w:id="13" w:name="_Toc204090084"/>
      <w:r>
        <w:rPr>
          <w:color w:val="auto"/>
          <w:highlight w:val="none"/>
        </w:rPr>
        <w:t>移动端（VPDN专网）改造</w:t>
      </w:r>
      <w:bookmarkEnd w:id="13"/>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充分利用</w:t>
      </w:r>
      <w:r>
        <w:rPr>
          <w:rFonts w:hint="eastAsia" w:ascii="宋体" w:hAnsi="宋体" w:eastAsia="宋体"/>
          <w:color w:val="auto"/>
          <w:sz w:val="24"/>
          <w:szCs w:val="24"/>
          <w:highlight w:val="none"/>
        </w:rPr>
        <w:t>VPDN专</w:t>
      </w:r>
      <w:r>
        <w:rPr>
          <w:rFonts w:ascii="宋体" w:hAnsi="宋体" w:eastAsia="宋体"/>
          <w:color w:val="auto"/>
          <w:sz w:val="24"/>
          <w:szCs w:val="24"/>
          <w:highlight w:val="none"/>
        </w:rPr>
        <w:t>网特性，开发</w:t>
      </w:r>
      <w:r>
        <w:rPr>
          <w:rFonts w:hint="eastAsia" w:ascii="宋体" w:hAnsi="宋体" w:eastAsia="宋体"/>
          <w:color w:val="auto"/>
          <w:sz w:val="24"/>
          <w:szCs w:val="24"/>
          <w:highlight w:val="none"/>
        </w:rPr>
        <w:t>运维人员外场APP。</w:t>
      </w:r>
      <w:r>
        <w:rPr>
          <w:rFonts w:ascii="宋体" w:hAnsi="宋体" w:eastAsia="宋体"/>
          <w:color w:val="auto"/>
          <w:sz w:val="24"/>
          <w:szCs w:val="24"/>
          <w:highlight w:val="none"/>
        </w:rPr>
        <w:t>开放外场接单、回单、巡检、报修</w:t>
      </w:r>
      <w:r>
        <w:rPr>
          <w:rFonts w:hint="eastAsia" w:ascii="宋体" w:hAnsi="宋体" w:eastAsia="宋体"/>
          <w:color w:val="auto"/>
          <w:sz w:val="24"/>
          <w:szCs w:val="24"/>
          <w:highlight w:val="none"/>
        </w:rPr>
        <w:t>、资产盘点</w:t>
      </w:r>
      <w:r>
        <w:rPr>
          <w:rFonts w:ascii="宋体" w:hAnsi="宋体" w:eastAsia="宋体"/>
          <w:color w:val="auto"/>
          <w:sz w:val="24"/>
          <w:szCs w:val="24"/>
          <w:highlight w:val="none"/>
        </w:rPr>
        <w:t>等移动端功能。应用</w:t>
      </w:r>
      <w:r>
        <w:rPr>
          <w:rFonts w:hint="eastAsia" w:ascii="宋体" w:hAnsi="宋体" w:eastAsia="宋体"/>
          <w:color w:val="auto"/>
          <w:sz w:val="24"/>
          <w:szCs w:val="24"/>
          <w:highlight w:val="none"/>
        </w:rPr>
        <w:t>需</w:t>
      </w:r>
      <w:r>
        <w:rPr>
          <w:rFonts w:ascii="宋体" w:hAnsi="宋体" w:eastAsia="宋体"/>
          <w:color w:val="auto"/>
          <w:sz w:val="24"/>
          <w:szCs w:val="24"/>
          <w:highlight w:val="none"/>
        </w:rPr>
        <w:t>严格遵循 “数据不落地” 原则，所有数据均为实时在线流式查看，不在本地进行任何形式的缓存或存储，并从技术上禁用截屏、录屏、复制及下载功能</w:t>
      </w:r>
      <w:r>
        <w:rPr>
          <w:rFonts w:hint="eastAsia" w:ascii="宋体" w:hAnsi="宋体" w:eastAsia="宋体"/>
          <w:color w:val="auto"/>
          <w:sz w:val="24"/>
          <w:szCs w:val="24"/>
          <w:highlight w:val="none"/>
        </w:rPr>
        <w:t>。</w:t>
      </w:r>
    </w:p>
    <w:p>
      <w:pPr>
        <w:pStyle w:val="22"/>
        <w:ind w:firstLine="241"/>
        <w:rPr>
          <w:rFonts w:hint="default"/>
          <w:color w:val="auto"/>
          <w:highlight w:val="none"/>
        </w:rPr>
      </w:pPr>
      <w:bookmarkStart w:id="14" w:name="_Toc204090085"/>
      <w:r>
        <w:rPr>
          <w:color w:val="auto"/>
          <w:highlight w:val="none"/>
        </w:rPr>
        <w:t>移动资产巡查</w:t>
      </w:r>
      <w:bookmarkEnd w:id="14"/>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新增二类区移动应用的资产巡查功能，支持在移动端进行资产信息编辑、拍照上传，以更新资产数据</w:t>
      </w:r>
      <w:r>
        <w:rPr>
          <w:rFonts w:ascii="宋体" w:hAnsi="宋体" w:eastAsia="宋体"/>
          <w:color w:val="auto"/>
          <w:sz w:val="24"/>
          <w:szCs w:val="24"/>
          <w:highlight w:val="none"/>
        </w:rPr>
        <w:t>。</w:t>
      </w:r>
    </w:p>
    <w:p>
      <w:pPr>
        <w:pStyle w:val="22"/>
        <w:ind w:firstLine="241"/>
        <w:rPr>
          <w:rFonts w:hint="default"/>
          <w:color w:val="auto"/>
          <w:highlight w:val="none"/>
        </w:rPr>
      </w:pPr>
      <w:bookmarkStart w:id="15" w:name="_Toc204090086"/>
      <w:r>
        <w:rPr>
          <w:color w:val="auto"/>
          <w:highlight w:val="none"/>
        </w:rPr>
        <w:t>扫码报修</w:t>
      </w:r>
      <w:bookmarkEnd w:id="15"/>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新增二类区移动应用的资产扫码功能，实现一键扫码报修。</w:t>
      </w:r>
    </w:p>
    <w:p>
      <w:pPr>
        <w:pStyle w:val="21"/>
        <w:rPr>
          <w:rFonts w:hint="default"/>
          <w:color w:val="auto"/>
          <w:highlight w:val="none"/>
        </w:rPr>
      </w:pPr>
      <w:bookmarkStart w:id="16" w:name="_Toc204090087"/>
      <w:r>
        <w:rPr>
          <w:color w:val="auto"/>
          <w:highlight w:val="none"/>
        </w:rPr>
        <w:t>资产和资源纳管</w:t>
      </w:r>
      <w:bookmarkEnd w:id="16"/>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打造</w:t>
      </w:r>
      <w:r>
        <w:rPr>
          <w:rFonts w:ascii="宋体" w:hAnsi="宋体" w:eastAsia="宋体"/>
          <w:color w:val="auto"/>
          <w:sz w:val="24"/>
          <w:szCs w:val="24"/>
          <w:highlight w:val="none"/>
        </w:rPr>
        <w:t>资产和资源纳管体系，通过自定义模板、权限控制、全流程管理、校准稽核及资源关联等手段，实现IT资产和云资源的全生命周期精细化管理与可视化追溯。</w:t>
      </w:r>
    </w:p>
    <w:p>
      <w:pPr>
        <w:pStyle w:val="22"/>
        <w:ind w:firstLine="241"/>
        <w:rPr>
          <w:rFonts w:hint="default"/>
          <w:color w:val="auto"/>
          <w:highlight w:val="none"/>
        </w:rPr>
      </w:pPr>
      <w:bookmarkStart w:id="17" w:name="_Toc204090088"/>
      <w:r>
        <w:rPr>
          <w:color w:val="auto"/>
          <w:highlight w:val="none"/>
        </w:rPr>
        <w:t>资产模板自定义管理</w:t>
      </w:r>
      <w:bookmarkEnd w:id="17"/>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在现有资产管理模块的基础上，新增资产字段自定义功能，包括新增、编辑、删除等。</w:t>
      </w:r>
    </w:p>
    <w:p>
      <w:pPr>
        <w:pStyle w:val="22"/>
        <w:ind w:firstLine="241"/>
        <w:rPr>
          <w:rFonts w:hint="default"/>
          <w:color w:val="auto"/>
          <w:highlight w:val="none"/>
        </w:rPr>
      </w:pPr>
      <w:bookmarkStart w:id="18" w:name="_Toc204090089"/>
      <w:r>
        <w:rPr>
          <w:color w:val="auto"/>
          <w:highlight w:val="none"/>
        </w:rPr>
        <w:t>资产权限控制</w:t>
      </w:r>
      <w:bookmarkEnd w:id="18"/>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基于系统现有的角色管理，实现运维人员对IT资产的访问权限的精细化管控，包括访问权限、编辑权限。</w:t>
      </w:r>
    </w:p>
    <w:p>
      <w:pPr>
        <w:pStyle w:val="22"/>
        <w:ind w:firstLine="241"/>
        <w:rPr>
          <w:rFonts w:hint="default"/>
          <w:color w:val="auto"/>
          <w:highlight w:val="none"/>
        </w:rPr>
      </w:pPr>
      <w:bookmarkStart w:id="19" w:name="_Toc204090090"/>
      <w:r>
        <w:rPr>
          <w:color w:val="auto"/>
          <w:highlight w:val="none"/>
        </w:rPr>
        <w:t>设备上下架流程</w:t>
      </w:r>
      <w:bookmarkEnd w:id="19"/>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针对机房中的机柜设备，</w:t>
      </w:r>
      <w:r>
        <w:rPr>
          <w:rFonts w:ascii="宋体" w:hAnsi="宋体" w:eastAsia="宋体"/>
          <w:color w:val="auto"/>
          <w:sz w:val="24"/>
          <w:szCs w:val="24"/>
          <w:highlight w:val="none"/>
        </w:rPr>
        <w:t>支持</w:t>
      </w:r>
      <w:r>
        <w:rPr>
          <w:rFonts w:hint="eastAsia" w:ascii="宋体" w:hAnsi="宋体" w:eastAsia="宋体"/>
          <w:color w:val="auto"/>
          <w:sz w:val="24"/>
          <w:szCs w:val="24"/>
          <w:highlight w:val="none"/>
        </w:rPr>
        <w:t>机柜</w:t>
      </w:r>
      <w:r>
        <w:rPr>
          <w:rFonts w:ascii="宋体" w:hAnsi="宋体" w:eastAsia="宋体"/>
          <w:color w:val="auto"/>
          <w:sz w:val="24"/>
          <w:szCs w:val="24"/>
          <w:highlight w:val="none"/>
        </w:rPr>
        <w:t>设备</w:t>
      </w:r>
      <w:r>
        <w:rPr>
          <w:rFonts w:hint="eastAsia" w:ascii="宋体" w:hAnsi="宋体" w:eastAsia="宋体"/>
          <w:color w:val="auto"/>
          <w:sz w:val="24"/>
          <w:szCs w:val="24"/>
          <w:highlight w:val="none"/>
        </w:rPr>
        <w:t>完整的</w:t>
      </w:r>
      <w:r>
        <w:rPr>
          <w:rFonts w:ascii="宋体" w:hAnsi="宋体" w:eastAsia="宋体"/>
          <w:color w:val="auto"/>
          <w:sz w:val="24"/>
          <w:szCs w:val="24"/>
          <w:highlight w:val="none"/>
        </w:rPr>
        <w:t>上下架流程管理，包括申请、审</w:t>
      </w:r>
      <w:r>
        <w:rPr>
          <w:rFonts w:hint="eastAsia" w:ascii="宋体" w:hAnsi="宋体" w:eastAsia="宋体"/>
          <w:color w:val="auto"/>
          <w:sz w:val="24"/>
          <w:szCs w:val="24"/>
          <w:highlight w:val="none"/>
        </w:rPr>
        <w:t>核</w:t>
      </w:r>
      <w:r>
        <w:rPr>
          <w:rFonts w:ascii="宋体" w:hAnsi="宋体" w:eastAsia="宋体"/>
          <w:color w:val="auto"/>
          <w:sz w:val="24"/>
          <w:szCs w:val="24"/>
          <w:highlight w:val="none"/>
        </w:rPr>
        <w:t>、执行、</w:t>
      </w:r>
      <w:r>
        <w:rPr>
          <w:rFonts w:hint="eastAsia" w:ascii="宋体" w:hAnsi="宋体" w:eastAsia="宋体"/>
          <w:color w:val="auto"/>
          <w:sz w:val="24"/>
          <w:szCs w:val="24"/>
          <w:highlight w:val="none"/>
        </w:rPr>
        <w:t>闭环</w:t>
      </w:r>
      <w:r>
        <w:rPr>
          <w:rFonts w:ascii="宋体" w:hAnsi="宋体" w:eastAsia="宋体"/>
          <w:color w:val="auto"/>
          <w:sz w:val="24"/>
          <w:szCs w:val="24"/>
          <w:highlight w:val="none"/>
        </w:rPr>
        <w:t>等环节</w:t>
      </w:r>
      <w:r>
        <w:rPr>
          <w:rFonts w:hint="eastAsia" w:ascii="宋体" w:hAnsi="宋体" w:eastAsia="宋体"/>
          <w:color w:val="auto"/>
          <w:sz w:val="24"/>
          <w:szCs w:val="24"/>
          <w:highlight w:val="none"/>
        </w:rPr>
        <w:t>，支持查看设备的上下架日志。</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其中申请阶段，包括发起人信息、资产信息、及责任民警的审核意见。</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审核阶段，包括网络配置审核（IP、网络设备、布线、网络类型、审核意见）、机柜配置审核（机房、机柜、U位、功率、审核意见等）。</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执行阶段，支持上下架结果的拍照回传，确保有效实施。</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闭环阶段，支持上下架结果的确认，包括上下架现场确认结果、模型确认结果、入库确认。</w:t>
      </w:r>
    </w:p>
    <w:p>
      <w:pPr>
        <w:pStyle w:val="22"/>
        <w:ind w:firstLine="241"/>
        <w:rPr>
          <w:rFonts w:hint="default"/>
          <w:color w:val="auto"/>
          <w:highlight w:val="none"/>
        </w:rPr>
      </w:pPr>
      <w:bookmarkStart w:id="20" w:name="_Toc204090091"/>
      <w:r>
        <w:rPr>
          <w:color w:val="auto"/>
          <w:highlight w:val="none"/>
        </w:rPr>
        <w:t>资产出入库流程</w:t>
      </w:r>
      <w:bookmarkEnd w:id="20"/>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系统需实现对各类资产的全生命周期管理，包括规范化的入库登记（支持手动录入、批量导入、条码/二维码生成与关联、附件管理、可配置审批流），标准化的出库管理（支持申请、审批、自动扣减库存、与工单关联），以及完善的退库/归还</w:t>
      </w:r>
      <w:r>
        <w:rPr>
          <w:rFonts w:hint="eastAsia" w:ascii="宋体" w:hAnsi="宋体" w:eastAsia="宋体"/>
          <w:color w:val="auto"/>
          <w:sz w:val="24"/>
          <w:szCs w:val="24"/>
          <w:highlight w:val="none"/>
        </w:rPr>
        <w:t>/报废</w:t>
      </w:r>
      <w:r>
        <w:rPr>
          <w:rFonts w:ascii="宋体" w:hAnsi="宋体" w:eastAsia="宋体"/>
          <w:color w:val="auto"/>
          <w:sz w:val="24"/>
          <w:szCs w:val="24"/>
          <w:highlight w:val="none"/>
        </w:rPr>
        <w:t>流程。</w:t>
      </w:r>
    </w:p>
    <w:p>
      <w:pPr>
        <w:pStyle w:val="22"/>
        <w:ind w:firstLine="241"/>
        <w:rPr>
          <w:rFonts w:hint="default"/>
          <w:color w:val="auto"/>
          <w:highlight w:val="none"/>
        </w:rPr>
      </w:pPr>
      <w:bookmarkStart w:id="21" w:name="_Toc204090092"/>
      <w:r>
        <w:rPr>
          <w:color w:val="auto"/>
          <w:highlight w:val="none"/>
        </w:rPr>
        <w:t>备品备件库</w:t>
      </w:r>
      <w:bookmarkEnd w:id="21"/>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系统需支持对外场资产和备品备件的单独分类与标识，并能详细记录其存放地点（如外场项目地、运维点、备件仓库的具体货架位）、负责人、使用状态、历史流转记录。对于外场资产的使用，必须严格依据工单流程</w:t>
      </w:r>
      <w:bookmarkStart w:id="50" w:name="_GoBack"/>
      <w:bookmarkEnd w:id="50"/>
      <w:r>
        <w:rPr>
          <w:rFonts w:ascii="宋体" w:hAnsi="宋体" w:eastAsia="宋体"/>
          <w:color w:val="auto"/>
          <w:sz w:val="24"/>
          <w:szCs w:val="24"/>
          <w:highlight w:val="none"/>
        </w:rPr>
        <w:t>进行记录，确保每项资产的领用、调拨、归还或报废都有清晰的工单号关联，实现从工单派发到资产实际使用的闭环管理与追溯，提高资产利用率和管理透明度。</w:t>
      </w:r>
    </w:p>
    <w:p>
      <w:pPr>
        <w:pStyle w:val="22"/>
        <w:ind w:firstLine="241"/>
        <w:rPr>
          <w:rFonts w:hint="default"/>
          <w:color w:val="auto"/>
          <w:highlight w:val="none"/>
        </w:rPr>
      </w:pPr>
      <w:bookmarkStart w:id="22" w:name="_Toc204090093"/>
      <w:r>
        <w:rPr>
          <w:color w:val="auto"/>
          <w:highlight w:val="none"/>
        </w:rPr>
        <w:t>资产校准</w:t>
      </w:r>
      <w:bookmarkEnd w:id="22"/>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为确保资产管理系统内数据的准确性和一致性，</w:t>
      </w:r>
      <w:r>
        <w:rPr>
          <w:rFonts w:hint="eastAsia" w:ascii="宋体" w:hAnsi="宋体" w:eastAsia="宋体"/>
          <w:color w:val="auto"/>
          <w:sz w:val="24"/>
          <w:szCs w:val="24"/>
          <w:highlight w:val="none"/>
        </w:rPr>
        <w:t>通过系统对接的方式，实现对服务器、网络设备和IP地址资源的稽核能力</w:t>
      </w:r>
      <w:r>
        <w:rPr>
          <w:rFonts w:ascii="宋体" w:hAnsi="宋体" w:eastAsia="宋体"/>
          <w:color w:val="auto"/>
          <w:sz w:val="24"/>
          <w:szCs w:val="24"/>
          <w:highlight w:val="none"/>
        </w:rPr>
        <w:t>。</w:t>
      </w:r>
    </w:p>
    <w:p>
      <w:pPr>
        <w:pStyle w:val="22"/>
        <w:ind w:firstLine="241"/>
        <w:rPr>
          <w:rFonts w:hint="default"/>
          <w:color w:val="auto"/>
          <w:highlight w:val="none"/>
        </w:rPr>
      </w:pPr>
      <w:bookmarkStart w:id="23" w:name="_Toc204090094"/>
      <w:r>
        <w:rPr>
          <w:color w:val="auto"/>
          <w:highlight w:val="none"/>
        </w:rPr>
        <w:t>云资源纳管</w:t>
      </w:r>
      <w:bookmarkEnd w:id="23"/>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通过对接第三方云管平台，实现对云资源的统一接入，支持云资源查看、查询等功能。</w:t>
      </w:r>
    </w:p>
    <w:p>
      <w:pPr>
        <w:pStyle w:val="22"/>
        <w:ind w:firstLine="241"/>
        <w:rPr>
          <w:rFonts w:hint="default"/>
          <w:color w:val="auto"/>
          <w:highlight w:val="none"/>
        </w:rPr>
      </w:pPr>
      <w:bookmarkStart w:id="24" w:name="_Toc204090095"/>
      <w:r>
        <w:rPr>
          <w:color w:val="auto"/>
          <w:highlight w:val="none"/>
        </w:rPr>
        <w:t>资源关联</w:t>
      </w:r>
      <w:bookmarkEnd w:id="24"/>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实现基于应用视角的资产关联关系的映射配置能力（包括服务器、网络设备、存储、数据库、中间件、虚拟机等）。</w:t>
      </w:r>
    </w:p>
    <w:p>
      <w:pPr>
        <w:pStyle w:val="21"/>
        <w:rPr>
          <w:rFonts w:hint="default"/>
          <w:color w:val="auto"/>
          <w:highlight w:val="none"/>
        </w:rPr>
      </w:pPr>
      <w:bookmarkStart w:id="25" w:name="_Toc204090096"/>
      <w:r>
        <w:rPr>
          <w:color w:val="auto"/>
          <w:highlight w:val="none"/>
        </w:rPr>
        <w:t>机房健康体征管理平台</w:t>
      </w:r>
      <w:bookmarkEnd w:id="25"/>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本项目将建设机房健康体征管理平台，实现对机房环境的全面监控、3D可视化及智能预警。</w:t>
      </w:r>
    </w:p>
    <w:p>
      <w:pPr>
        <w:pStyle w:val="22"/>
        <w:ind w:firstLine="241"/>
        <w:rPr>
          <w:rFonts w:hint="default"/>
          <w:color w:val="auto"/>
          <w:highlight w:val="none"/>
        </w:rPr>
      </w:pPr>
      <w:bookmarkStart w:id="26" w:name="_Toc204090097"/>
      <w:r>
        <w:rPr>
          <w:color w:val="auto"/>
          <w:highlight w:val="none"/>
        </w:rPr>
        <w:t>机房健康体征管理首页</w:t>
      </w:r>
      <w:bookmarkEnd w:id="26"/>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构建集机房总览、机房进出概况、机房运行指标、当日值守信息、机房重要告警于一体的综合管理首页。</w:t>
      </w:r>
    </w:p>
    <w:p>
      <w:pPr>
        <w:pStyle w:val="22"/>
        <w:ind w:firstLine="241"/>
        <w:rPr>
          <w:rFonts w:hint="default"/>
          <w:color w:val="auto"/>
          <w:highlight w:val="none"/>
        </w:rPr>
      </w:pPr>
      <w:bookmarkStart w:id="27" w:name="_Toc204090098"/>
      <w:r>
        <w:rPr>
          <w:color w:val="auto"/>
          <w:highlight w:val="none"/>
        </w:rPr>
        <w:t>机房3D建模</w:t>
      </w:r>
      <w:bookmarkEnd w:id="27"/>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对长宁公安分局两类机房（核心机房共10个，派出所共12个所的全部机房）进行高精度3D建模。</w:t>
      </w:r>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直观展现机房内的机柜排布、机柜内的设备摆放情况，支持用户进行虚拟漫游和查看。</w:t>
      </w:r>
      <w:r>
        <w:rPr>
          <w:rFonts w:hint="eastAsia" w:ascii="宋体" w:hAnsi="宋体" w:eastAsia="宋体"/>
          <w:color w:val="auto"/>
          <w:sz w:val="24"/>
          <w:szCs w:val="24"/>
          <w:highlight w:val="none"/>
        </w:rPr>
        <w:t>支持展现UPS、温湿度传感器、摄像头等机房内其他设施的摆放位置和实时读数，支持查看温度云图功能，和机房3D与2D视图切换功能。</w:t>
      </w:r>
    </w:p>
    <w:p>
      <w:pPr>
        <w:pStyle w:val="22"/>
        <w:ind w:firstLine="241"/>
        <w:rPr>
          <w:rFonts w:hint="default"/>
          <w:color w:val="auto"/>
          <w:highlight w:val="none"/>
        </w:rPr>
      </w:pPr>
      <w:r>
        <w:rPr>
          <w:color w:val="auto"/>
          <w:highlight w:val="none"/>
        </w:rPr>
        <w:t>系统拓补图展示</w:t>
      </w:r>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对长宁公安系统进行架构排摸，支持直观展示各类网络架构及主要应用系统结构拓扑。</w:t>
      </w:r>
    </w:p>
    <w:p>
      <w:pPr>
        <w:pStyle w:val="22"/>
        <w:ind w:firstLine="241"/>
        <w:rPr>
          <w:rFonts w:hint="default"/>
          <w:color w:val="auto"/>
          <w:highlight w:val="none"/>
        </w:rPr>
      </w:pPr>
      <w:bookmarkStart w:id="28" w:name="_Toc204090099"/>
      <w:r>
        <w:rPr>
          <w:color w:val="auto"/>
          <w:highlight w:val="none"/>
        </w:rPr>
        <w:t>五维机房健康度体征管理</w:t>
      </w:r>
      <w:bookmarkEnd w:id="28"/>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支持从资产、环控、动能、安全、环境五个维度对机房健康度进行综合评价。</w:t>
      </w:r>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支持下钻展示各个维度的详细运行信息及指标。</w:t>
      </w:r>
    </w:p>
    <w:p>
      <w:pPr>
        <w:pStyle w:val="22"/>
        <w:ind w:firstLine="241"/>
        <w:rPr>
          <w:rFonts w:hint="default"/>
          <w:color w:val="auto"/>
          <w:highlight w:val="none"/>
        </w:rPr>
      </w:pPr>
      <w:bookmarkStart w:id="29" w:name="_Toc204090100"/>
      <w:r>
        <w:rPr>
          <w:color w:val="auto"/>
          <w:highlight w:val="none"/>
        </w:rPr>
        <w:t>机房入侵异常检测</w:t>
      </w:r>
      <w:bookmarkEnd w:id="29"/>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支持利用机房摄像头画面分析能力，比对机房人员进出系统，判断是否存在机房违规入侵情形。支持利用机房摄像头画面分析能力比对进入机房人员数量，判断是否有人员尾随或缺失机房登记情况。</w:t>
      </w:r>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异常情况需实时检测并产生告警。</w:t>
      </w:r>
    </w:p>
    <w:p>
      <w:pPr>
        <w:pStyle w:val="22"/>
        <w:ind w:firstLine="241"/>
        <w:rPr>
          <w:rFonts w:hint="default"/>
          <w:color w:val="auto"/>
          <w:highlight w:val="none"/>
        </w:rPr>
      </w:pPr>
      <w:bookmarkStart w:id="30" w:name="_Toc204090101"/>
      <w:r>
        <w:rPr>
          <w:color w:val="auto"/>
          <w:highlight w:val="none"/>
        </w:rPr>
        <w:t>机房视频接入</w:t>
      </w:r>
      <w:bookmarkEnd w:id="30"/>
    </w:p>
    <w:p>
      <w:pPr>
        <w:adjustRightInd w:val="0"/>
        <w:snapToGrid w:val="0"/>
        <w:spacing w:line="560" w:lineRule="exact"/>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支持</w:t>
      </w:r>
      <w:r>
        <w:rPr>
          <w:rFonts w:hint="eastAsia" w:ascii="宋体" w:hAnsi="宋体" w:eastAsia="宋体"/>
          <w:color w:val="auto"/>
          <w:sz w:val="24"/>
          <w:szCs w:val="24"/>
          <w:highlight w:val="none"/>
        </w:rPr>
        <w:t>在机房3D视图中，对</w:t>
      </w:r>
      <w:r>
        <w:rPr>
          <w:rFonts w:ascii="宋体" w:hAnsi="宋体" w:eastAsia="宋体"/>
          <w:color w:val="auto"/>
          <w:sz w:val="24"/>
          <w:szCs w:val="24"/>
          <w:highlight w:val="none"/>
        </w:rPr>
        <w:t>机房视频流</w:t>
      </w:r>
      <w:r>
        <w:rPr>
          <w:rFonts w:hint="eastAsia" w:ascii="宋体" w:hAnsi="宋体" w:eastAsia="宋体"/>
          <w:color w:val="auto"/>
          <w:sz w:val="24"/>
          <w:szCs w:val="24"/>
          <w:highlight w:val="none"/>
        </w:rPr>
        <w:t>进行</w:t>
      </w:r>
      <w:r>
        <w:rPr>
          <w:rFonts w:ascii="宋体" w:hAnsi="宋体" w:eastAsia="宋体"/>
          <w:color w:val="auto"/>
          <w:sz w:val="24"/>
          <w:szCs w:val="24"/>
          <w:highlight w:val="none"/>
        </w:rPr>
        <w:t>实时播放。</w:t>
      </w:r>
      <w:r>
        <w:rPr>
          <w:rFonts w:hint="eastAsia" w:ascii="宋体" w:hAnsi="宋体" w:eastAsia="宋体"/>
          <w:color w:val="auto"/>
          <w:sz w:val="24"/>
          <w:szCs w:val="24"/>
          <w:highlight w:val="none"/>
        </w:rPr>
        <w:t>支持点击3D模型上的不同摄像头切换不同的视频流画面的功能。</w:t>
      </w:r>
    </w:p>
    <w:p>
      <w:pPr>
        <w:pStyle w:val="21"/>
        <w:rPr>
          <w:rFonts w:hint="default"/>
          <w:color w:val="auto"/>
          <w:highlight w:val="none"/>
        </w:rPr>
      </w:pPr>
      <w:bookmarkStart w:id="31" w:name="_Toc204090102"/>
      <w:r>
        <w:rPr>
          <w:color w:val="auto"/>
          <w:highlight w:val="none"/>
        </w:rPr>
        <w:t>态势感知</w:t>
      </w:r>
      <w:bookmarkEnd w:id="31"/>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通过设备直采、平台对接、移动应用数据（巡检记录、报修工单等）回传等方式，实现多源数据实时汇聚、清洗与标准化处理，确保数据准确性与一致性，为态势感知提供可靠数据源。</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运维监测数据呈现：以可视化图表方式直观呈现整体运维态势，涵盖资产告警、应用故障、网络状态、机房环境等监测数据，支持实时刷新，异常数据自动高亮、闪烁提醒，便于快速识别问题。</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运维服务中心：</w:t>
      </w:r>
      <w:r>
        <w:rPr>
          <w:rFonts w:ascii="宋体" w:hAnsi="宋体" w:eastAsia="宋体"/>
          <w:color w:val="auto"/>
          <w:sz w:val="24"/>
          <w:szCs w:val="24"/>
          <w:highlight w:val="none"/>
        </w:rPr>
        <w:t>集成服务台、工单管理、服务管理、事件管理</w:t>
      </w:r>
      <w:r>
        <w:rPr>
          <w:rFonts w:hint="eastAsia" w:ascii="宋体" w:hAnsi="宋体" w:eastAsia="宋体"/>
          <w:color w:val="auto"/>
          <w:sz w:val="24"/>
          <w:szCs w:val="24"/>
          <w:highlight w:val="none"/>
        </w:rPr>
        <w:t>等可视化模块，为运维服务中心提供直观便捷可视的日常管理体验，并实现</w:t>
      </w:r>
      <w:r>
        <w:rPr>
          <w:rFonts w:ascii="宋体" w:hAnsi="宋体" w:eastAsia="宋体"/>
          <w:color w:val="auto"/>
          <w:sz w:val="24"/>
          <w:szCs w:val="24"/>
          <w:highlight w:val="none"/>
        </w:rPr>
        <w:t>工单全生命周期跟踪及 SLA 监控。</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运维数据分析：结合数据分析、业务预测能力，呈现服务质量数据（如响应时长、解决率）、业务预测结果，以趋势图、饼图等形式展示服务质量波动及业务发展趋势，辅助决策优化。</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多屏切换适配：运维态势感知多个子屏之间，支持与其他子屏快速平滑切换，切换过程无卡顿、无数据丢失。</w:t>
      </w:r>
    </w:p>
    <w:p>
      <w:pPr>
        <w:pStyle w:val="22"/>
        <w:ind w:firstLine="241"/>
        <w:rPr>
          <w:rFonts w:hint="default"/>
          <w:color w:val="auto"/>
          <w:highlight w:val="none"/>
        </w:rPr>
      </w:pPr>
      <w:bookmarkStart w:id="32" w:name="_Toc204090104"/>
      <w:r>
        <w:rPr>
          <w:color w:val="auto"/>
          <w:highlight w:val="none"/>
        </w:rPr>
        <w:t>AI运维</w:t>
      </w:r>
      <w:bookmarkEnd w:id="32"/>
    </w:p>
    <w:p>
      <w:pPr>
        <w:adjustRightInd w:val="0"/>
        <w:snapToGrid w:val="0"/>
        <w:spacing w:line="560" w:lineRule="exact"/>
        <w:ind w:firstLine="424" w:firstLineChars="177"/>
        <w:rPr>
          <w:rFonts w:ascii="宋体" w:hAnsi="宋体" w:eastAsia="宋体"/>
          <w:color w:val="auto"/>
          <w:sz w:val="24"/>
          <w:szCs w:val="24"/>
          <w:highlight w:val="none"/>
        </w:rPr>
      </w:pPr>
      <w:bookmarkStart w:id="33" w:name="OLE_LINK2"/>
      <w:r>
        <w:rPr>
          <w:rFonts w:hint="eastAsia" w:ascii="宋体" w:hAnsi="宋体" w:eastAsia="宋体"/>
          <w:color w:val="auto"/>
          <w:sz w:val="24"/>
          <w:szCs w:val="24"/>
          <w:highlight w:val="none"/>
        </w:rPr>
        <w:t>本项目旨在通过引入前沿的大语言模型（LLM）技术，打造一个具备深度分析与自主决策能力的AIOps智能大脑。深耕智能运维场景，构建一个能够理解、推理、并执行复杂运维任务的 核心AI引擎。该引擎将作为运维团队的智能核心，显著提升故障排查的效率、深化运维分析的洞察力，并逐步实现部分场景的自动化闭环。</w:t>
      </w:r>
    </w:p>
    <w:p>
      <w:pPr>
        <w:pStyle w:val="22"/>
        <w:ind w:firstLine="241"/>
        <w:rPr>
          <w:rFonts w:hint="default"/>
          <w:color w:val="auto"/>
          <w:highlight w:val="none"/>
        </w:rPr>
      </w:pPr>
      <w:bookmarkStart w:id="34" w:name="_Toc204090105"/>
      <w:bookmarkStart w:id="35" w:name="OLE_LINK3"/>
      <w:r>
        <w:rPr>
          <w:color w:val="auto"/>
          <w:highlight w:val="none"/>
        </w:rPr>
        <w:t>AI</w:t>
      </w:r>
      <w:bookmarkEnd w:id="34"/>
      <w:r>
        <w:rPr>
          <w:color w:val="auto"/>
          <w:highlight w:val="none"/>
        </w:rPr>
        <w:t>运维智能体</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基于大语言模型能力，打造AI运维智能体，以多模态人机交互模式，结合运维实时数据、历史记录及运维知识库，为用户提供高效、准确的智能化信息查询服务。通过对用户意图的精准理解，系统能够响应运维需求，支持故障查询、设备信息查询、操作指引等多种场景，实现更智能、更便捷的运维支持体验。</w:t>
      </w:r>
    </w:p>
    <w:bookmarkEnd w:id="33"/>
    <w:bookmarkEnd w:id="35"/>
    <w:p>
      <w:pPr>
        <w:pStyle w:val="22"/>
        <w:ind w:firstLine="241"/>
        <w:rPr>
          <w:rFonts w:hint="default"/>
          <w:color w:val="auto"/>
          <w:highlight w:val="none"/>
        </w:rPr>
      </w:pPr>
      <w:bookmarkStart w:id="36" w:name="_Toc204090106"/>
      <w:r>
        <w:rPr>
          <w:color w:val="auto"/>
          <w:highlight w:val="none"/>
        </w:rPr>
        <w:t>设备上架智能推荐</w:t>
      </w:r>
      <w:bookmarkEnd w:id="36"/>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设备最优上架位置智能推荐功能需全面采集机柜多维度核心数据，包括精确的机柜 U 位数资源（含已占用 U 位分布、剩余连续 U 位区间）、机柜功能属性（如冷通道机柜、高功率机柜、普通算力机柜等分类标识）、机房网络布局信息（含机柜网络端口类型、带宽容量）以及机柜功率承载能力（含额定功率、当前负载功率、剩余功率余量）；</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在此基础上，结合 AI 智能算法构建推荐模型，建立设备功耗、尺寸、网络需求、散热特性等属性与机柜资源的匹配规则；当新增设备需上架时，系统自动输入设备的 U 位占用量、功率需求、网络接口类型、散热指标等参数，经 AI 算法实时运算，综合评估机柜空间利用率、功率负载均衡度、网络链路优化率及散热协同效率，智能生成Top3最优上架位置推荐方案，确保设备上架布局科学合理，提升机房资源利用率与运维稳定性。</w:t>
      </w:r>
    </w:p>
    <w:p>
      <w:pPr>
        <w:rPr>
          <w:color w:val="auto"/>
          <w:highlight w:val="none"/>
        </w:rPr>
      </w:pPr>
    </w:p>
    <w:p>
      <w:pPr>
        <w:pStyle w:val="22"/>
        <w:ind w:firstLine="241"/>
        <w:rPr>
          <w:rFonts w:hint="default"/>
          <w:color w:val="auto"/>
          <w:highlight w:val="none"/>
        </w:rPr>
      </w:pPr>
      <w:bookmarkStart w:id="37" w:name="_Toc204090107"/>
      <w:r>
        <w:rPr>
          <w:color w:val="auto"/>
          <w:highlight w:val="none"/>
        </w:rPr>
        <w:t>运维自评估报告</w:t>
      </w:r>
      <w:bookmarkEnd w:id="37"/>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智能化评估报告生成功能需全面整合机房环境（温湿度、空调运行参数等）、设备能耗（服务器、网络设备、PDU 等的实时功耗、负载率、能效比及趋势变化）、故障报修（报修频率、处理时长、用户满意度、重复报修率）、服务应用（各业务系统响应时间、可用性、SLA 达标率、资源占用情况）、资产变化（新增、报废、迁移资产的数量、类型、分布）、反复告警（告警设备、告警类型、触发频次）、重大故障（故障等级、影响范围、持续时间、解决措施及复盘结果）等多维度数据；</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基于历史数据建立 AI 分析模型，通过时间序列分析、关联规则挖掘等算法，识别各维度数据的变化规律、异常模式；系统可按周期自动运行分析流程，生成多维度评估报告，报告需包含各维度关键指标现状、潜在风险点、优化建议等，为机房运维优化、资源调配及决策制定提供数据驱动的智能化支撑。</w:t>
      </w:r>
    </w:p>
    <w:p>
      <w:pPr>
        <w:pStyle w:val="22"/>
        <w:ind w:firstLine="241"/>
        <w:rPr>
          <w:rFonts w:hint="default"/>
          <w:color w:val="auto"/>
          <w:highlight w:val="none"/>
        </w:rPr>
      </w:pPr>
      <w:bookmarkStart w:id="38" w:name="_Toc204090108"/>
      <w:r>
        <w:rPr>
          <w:color w:val="auto"/>
          <w:highlight w:val="none"/>
        </w:rPr>
        <w:t>故障预测预防</w:t>
      </w:r>
      <w:bookmarkEnd w:id="38"/>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基于AI能力，对机柜资产的运行功率数据进行监测、记录与分析，构建多维度的功率变化预测模型，实现基于PDU的资产故障预警功能：</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需具备平台对接能力，实时获取并整合 PDU 插座级别的历史监测数据与实时运行数据，为 AI 分析提供全面数据支撑；</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依托 AI 模型进行深度训练，建立设备能耗指标基线，形成精准的异常识别与预警分析能力，可动态学习设备运行特性并优化预警阈值；</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基于AI预测结果，实现自动生成告警功能，并具备与工单系统的联动能力，自动触发对应工单流程，支持告警信息、资产属性信息与工单的智能关联及全流程跟踪，确保故障隐患及时发现与处置。</w:t>
      </w:r>
    </w:p>
    <w:p>
      <w:pPr>
        <w:pStyle w:val="22"/>
        <w:ind w:firstLine="241"/>
        <w:rPr>
          <w:rFonts w:hint="default"/>
          <w:color w:val="auto"/>
          <w:highlight w:val="none"/>
        </w:rPr>
      </w:pPr>
      <w:r>
        <w:rPr>
          <w:color w:val="auto"/>
          <w:highlight w:val="none"/>
        </w:rPr>
        <w:t>AI图像检测</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机柜资产自动盘点： 通过图像识别技术，自动识别机柜内服务器、交换机、路由器等设备的数量、各设备U位占用，并与资产库进行实时比对，实现资产的自动化盘点、U位占用异常告警。</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环境照明智能监测： 实时监测机房内照明灯管的工作状态，自动识别灯光异常频闪等故障现象，及时告警，保障机房基础照明设施的稳定与人员工作环境的安全。</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环境安全风险识别： 自动检测机柜内部及周围的杂物堆积、异物遮挡、线缆混乱等安全隐患，确保运维环境的规范与整洁，防患于未然。</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机房出入异常识别：基于机房出入申请单中人员申请数量，自动检测人员聚集、人员尾随等违规出入情况。</w:t>
      </w:r>
    </w:p>
    <w:p>
      <w:pPr>
        <w:pStyle w:val="21"/>
        <w:rPr>
          <w:rFonts w:hint="default"/>
          <w:color w:val="auto"/>
          <w:highlight w:val="none"/>
        </w:rPr>
      </w:pPr>
      <w:bookmarkStart w:id="39" w:name="_Toc204090109"/>
      <w:r>
        <w:rPr>
          <w:color w:val="auto"/>
          <w:highlight w:val="none"/>
        </w:rPr>
        <w:t>系统管理</w:t>
      </w:r>
      <w:bookmarkEnd w:id="39"/>
    </w:p>
    <w:p>
      <w:pPr>
        <w:pStyle w:val="22"/>
        <w:ind w:firstLine="241"/>
        <w:rPr>
          <w:rFonts w:hint="default"/>
          <w:color w:val="auto"/>
          <w:highlight w:val="none"/>
        </w:rPr>
      </w:pPr>
      <w:bookmarkStart w:id="40" w:name="_Toc204090110"/>
      <w:r>
        <w:rPr>
          <w:color w:val="auto"/>
          <w:highlight w:val="none"/>
        </w:rPr>
        <w:t>4A数字证书登录</w:t>
      </w:r>
      <w:bookmarkEnd w:id="40"/>
      <w:r>
        <w:rPr>
          <w:color w:val="auto"/>
          <w:highlight w:val="none"/>
        </w:rPr>
        <w:t xml:space="preserve"> </w:t>
      </w:r>
    </w:p>
    <w:p>
      <w:pPr>
        <w:adjustRightInd w:val="0"/>
        <w:snapToGrid w:val="0"/>
        <w:spacing w:line="560" w:lineRule="exact"/>
        <w:ind w:firstLine="424" w:firstLineChars="177"/>
        <w:rPr>
          <w:color w:val="auto"/>
          <w:highlight w:val="none"/>
        </w:rPr>
      </w:pPr>
      <w:r>
        <w:rPr>
          <w:rFonts w:hint="eastAsia" w:ascii="宋体" w:hAnsi="宋体" w:eastAsia="宋体"/>
          <w:color w:val="auto"/>
          <w:sz w:val="24"/>
          <w:szCs w:val="24"/>
          <w:highlight w:val="none"/>
        </w:rPr>
        <w:t>系统支持以4A证书作为鉴权方式，实现登录等操作</w:t>
      </w:r>
      <w:r>
        <w:rPr>
          <w:rFonts w:hint="eastAsia"/>
          <w:color w:val="auto"/>
          <w:highlight w:val="none"/>
        </w:rPr>
        <w:t>。</w:t>
      </w:r>
    </w:p>
    <w:p>
      <w:pPr>
        <w:pStyle w:val="22"/>
        <w:ind w:firstLine="241"/>
        <w:rPr>
          <w:rFonts w:hint="default"/>
          <w:color w:val="auto"/>
          <w:highlight w:val="none"/>
        </w:rPr>
      </w:pPr>
      <w:r>
        <w:rPr>
          <w:color w:val="auto"/>
          <w:highlight w:val="none"/>
        </w:rPr>
        <w:t>第三方系统对接</w:t>
      </w:r>
    </w:p>
    <w:p>
      <w:pPr>
        <w:adjustRightInd w:val="0"/>
        <w:snapToGrid w:val="0"/>
        <w:spacing w:line="560" w:lineRule="exact"/>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系统支持与其他的三方系统（如</w:t>
      </w:r>
      <w:r>
        <w:rPr>
          <w:rFonts w:ascii="宋体" w:hAnsi="宋体" w:eastAsia="宋体" w:cs="宋体"/>
          <w:color w:val="auto"/>
          <w:sz w:val="24"/>
          <w:szCs w:val="24"/>
          <w:highlight w:val="none"/>
        </w:rPr>
        <w:t>项目管理系统、安全管理</w:t>
      </w:r>
      <w:r>
        <w:rPr>
          <w:rFonts w:hint="eastAsia" w:ascii="宋体" w:hAnsi="宋体" w:eastAsia="宋体" w:cs="宋体"/>
          <w:color w:val="auto"/>
          <w:sz w:val="24"/>
          <w:szCs w:val="24"/>
          <w:highlight w:val="none"/>
        </w:rPr>
        <w:t>系统等</w:t>
      </w:r>
      <w:r>
        <w:rPr>
          <w:rFonts w:hint="eastAsia" w:ascii="宋体" w:hAnsi="宋体" w:eastAsia="宋体"/>
          <w:color w:val="auto"/>
          <w:sz w:val="24"/>
          <w:szCs w:val="24"/>
          <w:highlight w:val="none"/>
        </w:rPr>
        <w:t>）进行对接，支持数据实时交互、功能协同及接口兼容，确保系统间信息流转高效、准确且稳定。</w:t>
      </w:r>
    </w:p>
    <w:p>
      <w:pPr>
        <w:pStyle w:val="20"/>
        <w:rPr>
          <w:rFonts w:hint="default"/>
          <w:color w:val="auto"/>
          <w:highlight w:val="none"/>
        </w:rPr>
      </w:pPr>
      <w:bookmarkStart w:id="41" w:name="_Toc204090111"/>
      <w:r>
        <w:rPr>
          <w:color w:val="auto"/>
          <w:highlight w:val="none"/>
        </w:rPr>
        <w:t>保密要求、知识产权、工作纪律要求</w:t>
      </w:r>
      <w:bookmarkEnd w:id="41"/>
    </w:p>
    <w:p>
      <w:pPr>
        <w:adjustRightInd w:val="0"/>
        <w:snapToGrid w:val="0"/>
        <w:spacing w:line="560" w:lineRule="exact"/>
        <w:ind w:firstLine="424" w:firstLineChars="177"/>
        <w:rPr>
          <w:rFonts w:ascii="宋体" w:hAnsi="宋体" w:eastAsia="宋体"/>
          <w:color w:val="auto"/>
          <w:sz w:val="24"/>
          <w:highlight w:val="none"/>
        </w:rPr>
      </w:pPr>
      <w:r>
        <w:rPr>
          <w:rFonts w:hint="eastAsia" w:ascii="宋体" w:hAnsi="宋体" w:eastAsia="宋体" w:cs="Times New Roman"/>
          <w:color w:val="auto"/>
          <w:sz w:val="24"/>
          <w:highlight w:val="none"/>
        </w:rPr>
        <w:t>3.1  合同签订时，甲乙双方应签订保密协议，双方均有保密义务。</w:t>
      </w:r>
    </w:p>
    <w:p>
      <w:pPr>
        <w:adjustRightInd w:val="0"/>
        <w:snapToGrid w:val="0"/>
        <w:spacing w:line="560" w:lineRule="exact"/>
        <w:ind w:firstLine="420"/>
        <w:rPr>
          <w:rFonts w:ascii="宋体" w:hAnsi="宋体" w:eastAsia="宋体"/>
          <w:color w:val="auto"/>
          <w:sz w:val="24"/>
          <w:highlight w:val="none"/>
        </w:rPr>
      </w:pPr>
      <w:r>
        <w:rPr>
          <w:rFonts w:hint="eastAsia" w:ascii="宋体" w:hAnsi="宋体" w:eastAsia="宋体" w:cs="Times New Roman"/>
          <w:color w:val="auto"/>
          <w:sz w:val="24"/>
          <w:highlight w:val="none"/>
        </w:rPr>
        <w:t>3.2  保密期限由保密内容提供方确定，保密期限届满后，保密内容公开时，应书面征得保密内容提供方同意。</w:t>
      </w:r>
    </w:p>
    <w:p>
      <w:pPr>
        <w:adjustRightInd w:val="0"/>
        <w:snapToGrid w:val="0"/>
        <w:spacing w:line="560" w:lineRule="exact"/>
        <w:ind w:firstLine="420"/>
        <w:rPr>
          <w:rFonts w:ascii="宋体" w:hAnsi="宋体" w:eastAsia="宋体"/>
          <w:color w:val="auto"/>
          <w:sz w:val="24"/>
          <w:highlight w:val="none"/>
        </w:rPr>
      </w:pPr>
      <w:r>
        <w:rPr>
          <w:rFonts w:hint="eastAsia" w:ascii="宋体" w:hAnsi="宋体" w:eastAsia="宋体" w:cs="Times New Roman"/>
          <w:color w:val="auto"/>
          <w:sz w:val="24"/>
          <w:highlight w:val="none"/>
        </w:rPr>
        <w:t>3.3  委托开发软件的知识产权归委托方所有。供应商交付使用的信息系统已享有知识产权的，使用方可在合同文件明确的范围内自主使用。信息系统中所有文档资料和数据、收集和储存的个人信息所有权均属于使用方，未经使用方允许不得访问、修改、披露、利用、转让、销毁。</w:t>
      </w:r>
    </w:p>
    <w:p>
      <w:pPr>
        <w:adjustRightInd w:val="0"/>
        <w:snapToGrid w:val="0"/>
        <w:spacing w:line="560" w:lineRule="exact"/>
        <w:ind w:firstLine="424" w:firstLineChars="177"/>
        <w:rPr>
          <w:rFonts w:ascii="宋体" w:hAnsi="宋体" w:cs="宋体"/>
          <w:color w:val="auto"/>
          <w:kern w:val="0"/>
          <w:sz w:val="24"/>
          <w:szCs w:val="24"/>
          <w:highlight w:val="none"/>
        </w:rPr>
      </w:pPr>
      <w:bookmarkStart w:id="42" w:name="_Toc134435581"/>
      <w:bookmarkStart w:id="43" w:name="_Toc727073087"/>
      <w:r>
        <w:rPr>
          <w:rFonts w:hint="eastAsia" w:ascii="宋体" w:hAnsi="宋体" w:eastAsia="宋体" w:cs="Times New Roman"/>
          <w:color w:val="auto"/>
          <w:sz w:val="24"/>
          <w:highlight w:val="none"/>
        </w:rPr>
        <w:t>3.4</w:t>
      </w:r>
      <w:bookmarkEnd w:id="42"/>
      <w:bookmarkEnd w:id="43"/>
      <w:r>
        <w:rPr>
          <w:rFonts w:hint="eastAsia" w:ascii="宋体" w:hAnsi="宋体" w:eastAsia="宋体" w:cs="Times New Roman"/>
          <w:color w:val="auto"/>
          <w:sz w:val="24"/>
          <w:highlight w:val="none"/>
        </w:rPr>
        <w:t xml:space="preserve">  </w:t>
      </w:r>
      <w:r>
        <w:rPr>
          <w:rFonts w:hint="eastAsia" w:ascii="宋体" w:hAnsi="宋体" w:eastAsia="宋体" w:cs="宋体"/>
          <w:color w:val="auto"/>
          <w:kern w:val="0"/>
          <w:sz w:val="24"/>
          <w:szCs w:val="24"/>
          <w:highlight w:val="none"/>
        </w:rPr>
        <w:t>供应商</w:t>
      </w:r>
      <w:r>
        <w:rPr>
          <w:rFonts w:hint="eastAsia" w:ascii="宋体" w:hAnsi="宋体" w:cs="宋体"/>
          <w:color w:val="auto"/>
          <w:kern w:val="0"/>
          <w:sz w:val="24"/>
          <w:szCs w:val="24"/>
          <w:highlight w:val="none"/>
        </w:rPr>
        <w:t>应在建设工作期间保证参与项目的技术人员的相对固定，不得随意调换。如确有原因需要调换的，需提前一个月向业主方提出并备案，经业主方同意后方可调换。</w:t>
      </w:r>
      <w:r>
        <w:rPr>
          <w:rFonts w:hint="eastAsia" w:ascii="宋体" w:hAnsi="宋体" w:eastAsia="宋体" w:cs="宋体"/>
          <w:color w:val="auto"/>
          <w:kern w:val="0"/>
          <w:sz w:val="24"/>
          <w:szCs w:val="24"/>
          <w:highlight w:val="none"/>
        </w:rPr>
        <w:t>供应商</w:t>
      </w:r>
      <w:r>
        <w:rPr>
          <w:rFonts w:hint="eastAsia" w:ascii="宋体" w:hAnsi="宋体" w:cs="宋体"/>
          <w:color w:val="auto"/>
          <w:kern w:val="0"/>
          <w:sz w:val="24"/>
          <w:szCs w:val="24"/>
          <w:highlight w:val="none"/>
        </w:rPr>
        <w:t>应对技术人员调换的交接工作进行严格管理，确保数据不外泄、工作界面不留空白。</w:t>
      </w:r>
    </w:p>
    <w:p>
      <w:pPr>
        <w:spacing w:line="560" w:lineRule="exact"/>
        <w:ind w:firstLine="48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3.5供应商应需安排安全员1人，安全员需具备注册安全工程师证书，负责落实现场安全管理、安全检查及安全培训工作，</w:t>
      </w:r>
      <w:bookmarkStart w:id="44" w:name="_Toc956178045"/>
      <w:bookmarkStart w:id="45" w:name="_Toc134435582"/>
      <w:r>
        <w:rPr>
          <w:rFonts w:hint="eastAsia" w:ascii="宋体" w:hAnsi="宋体" w:eastAsia="宋体" w:cs="宋体"/>
          <w:color w:val="auto"/>
          <w:kern w:val="0"/>
          <w:sz w:val="24"/>
          <w:szCs w:val="24"/>
          <w:highlight w:val="none"/>
        </w:rPr>
        <w:t>安全员现场工作时间每月不得少于1天。</w:t>
      </w:r>
    </w:p>
    <w:p>
      <w:pPr>
        <w:spacing w:line="560" w:lineRule="exact"/>
        <w:ind w:firstLine="482"/>
        <w:rPr>
          <w:rFonts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 xml:space="preserve">3.6 </w:t>
      </w:r>
      <w:bookmarkEnd w:id="44"/>
      <w:bookmarkEnd w:id="45"/>
      <w:r>
        <w:rPr>
          <w:rFonts w:hint="eastAsia" w:ascii="宋体" w:hAnsi="宋体" w:eastAsia="宋体" w:cs="宋体"/>
          <w:color w:val="auto"/>
          <w:kern w:val="0"/>
          <w:sz w:val="24"/>
          <w:szCs w:val="24"/>
          <w:highlight w:val="none"/>
        </w:rPr>
        <w:t>供应商</w:t>
      </w:r>
      <w:r>
        <w:rPr>
          <w:rFonts w:hint="eastAsia" w:ascii="宋体" w:hAnsi="宋体" w:cs="宋体"/>
          <w:color w:val="auto"/>
          <w:kern w:val="0"/>
          <w:sz w:val="24"/>
          <w:szCs w:val="24"/>
          <w:highlight w:val="none"/>
        </w:rPr>
        <w:t>应参加业主方组织项目负责人及相关技术人员进行安全保密教育，并记录学习情况。所有参与项目的技术人员均应参加学习并在学习记录上签字。</w:t>
      </w:r>
    </w:p>
    <w:p>
      <w:pPr>
        <w:spacing w:line="560" w:lineRule="exact"/>
        <w:ind w:firstLine="482"/>
        <w:rPr>
          <w:rFonts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3.7</w:t>
      </w:r>
      <w:r>
        <w:rPr>
          <w:rFonts w:hint="eastAsia" w:ascii="宋体" w:hAnsi="宋体" w:cs="宋体"/>
          <w:color w:val="auto"/>
          <w:kern w:val="0"/>
          <w:sz w:val="24"/>
          <w:szCs w:val="24"/>
          <w:highlight w:val="none"/>
        </w:rPr>
        <w:t>遵守以下相关条款：</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（场所管理）合作单位及其技术人员未经允许，不得擅自进入民警办公区域、业务机房等重要场所。</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备管理）合作单位及其技术人员未经允许，不得使用公安网计算机和涉密计算机单机，严禁将自己携带的计算机联入公安网络和可存储警务秘密（含）以上密级信息的各类计算机、复印机、速印机等设备，特殊场合未经允许不得擅自携带电子产品（如手机、电脑、PAD等）进入。</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（禁止行为）合作单位及其技术人员获得民警授权使用指定的公安网计算机时，须由民警全程陪同，并严格遵守以下规定：</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（一）不得违反禁止“一机两用”的有关规定，不得擅自删除监控程序、逃避监控、扰乱上网注册工作。</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（二）不得使用民警的数字身份证书访问公安业务系统，如确需使用的，必须由民警亲自使用证书进行操作。</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（三）不得擅自使用自带的移动存储介质或擅自开设FTP、共享文件夹在公安网计算机上进行文件拷贝与传递。</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（四）不得使用公安网计算机玩游戏、聊天或从事其它与本职工作无关的活动。</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（五）不得浏览、访问与本职工作无关的公安信息网站（页），不得尝试登录或使用与本职工作无关的公安业务系统。</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（六）严禁将公安网上发布的各类警务信息通过下载、打印等方式带出公安机关。</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（七）禁止使用点对点（P2P）文件共享类软件（如BitTorrent、BitComet、BitSpirit、eMule、eDonkey、Kazaa、WinMx、迅雷等软件）进行数据下载。</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（八）不得擅自对公安业务用计算机重新安装或加装操作系统，不得安装黑客类工具。</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（九）不得编制或故意传播破坏计算机功能、破坏信息数据的病毒，或者恶意攻击、删改各类信息网站和信息系统数据。</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（十）不得随意拍摄、传播工作中涉及的图像、图片、文件等信息。</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（十一）不得使用正在开发或业主提供的工具查询与工作无关的信息。</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（十二）不得有其它违反党纪、政纪、社会公德、职业道德的网上行为。</w:t>
      </w:r>
    </w:p>
    <w:p>
      <w:pPr>
        <w:spacing w:line="560" w:lineRule="exact"/>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（操作管理）合作单位及其技术人员不得使用远程拨号上公安网方式进行系统维护、软件开发、设备调试等工作，只允许在项目建设单位指定的区域内使用专用设备进行操作，并由公安民警全程陪同。</w:t>
      </w:r>
    </w:p>
    <w:p>
      <w:pPr>
        <w:spacing w:line="560" w:lineRule="exact"/>
        <w:ind w:firstLine="482"/>
        <w:rPr>
          <w:rFonts w:ascii="宋体" w:hAnsi="宋体"/>
          <w:color w:val="auto"/>
          <w:highlight w:val="none"/>
        </w:rPr>
      </w:pPr>
      <w:r>
        <w:rPr>
          <w:rFonts w:hint="eastAsia" w:ascii="宋体" w:hAnsi="宋体" w:cs="宋体"/>
          <w:color w:val="auto"/>
          <w:kern w:val="0"/>
          <w:sz w:val="24"/>
          <w:szCs w:val="24"/>
          <w:highlight w:val="none"/>
        </w:rPr>
        <w:t>（保密责任）对于警务工作秘密（含）以上的事项，合作单位及其技术人员应当做到不该问的不问，不该说的不说，并且在知悉秘密事项的情况下自觉负有保密义务，不得以任何形式泄露给无关人员。</w:t>
      </w:r>
    </w:p>
    <w:p>
      <w:pPr>
        <w:pStyle w:val="20"/>
        <w:rPr>
          <w:rFonts w:hint="default"/>
          <w:color w:val="auto"/>
          <w:highlight w:val="none"/>
        </w:rPr>
      </w:pPr>
      <w:bookmarkStart w:id="46" w:name="_Toc204090112"/>
      <w:r>
        <w:rPr>
          <w:color w:val="auto"/>
          <w:highlight w:val="none"/>
        </w:rPr>
        <w:t>项目验收、违约罚则、质保要求及售后服务</w:t>
      </w:r>
      <w:bookmarkEnd w:id="46"/>
    </w:p>
    <w:p>
      <w:pPr>
        <w:pStyle w:val="21"/>
        <w:rPr>
          <w:rFonts w:hint="default"/>
          <w:color w:val="auto"/>
          <w:highlight w:val="none"/>
        </w:rPr>
      </w:pPr>
      <w:r>
        <w:rPr>
          <w:color w:val="auto"/>
          <w:highlight w:val="none"/>
        </w:rPr>
        <w:t>验收要求</w:t>
      </w:r>
    </w:p>
    <w:p>
      <w:pPr>
        <w:adjustRightInd w:val="0"/>
        <w:snapToGrid w:val="0"/>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根据合同的规定完成后，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应及时进行根据合同的规定进行项目验收。</w:t>
      </w:r>
    </w:p>
    <w:p>
      <w:pPr>
        <w:adjustRightInd w:val="0"/>
        <w:snapToGrid w:val="0"/>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应当以书面形式向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递交验收通知书，</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在收到验收通知书后确定具体日期，由双方按照本合同的规定完成项目验收。</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有权委托第三方检测机构进行验收，对此</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应当配合。</w:t>
      </w:r>
    </w:p>
    <w:p>
      <w:pPr>
        <w:adjustRightInd w:val="0"/>
        <w:snapToGrid w:val="0"/>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如果属于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原因致使系统未能通过验收，</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应当排除故障，并自行承担相关费用，同时进行试运行，直至系统完全符合验收标准。</w:t>
      </w:r>
    </w:p>
    <w:p>
      <w:pPr>
        <w:adjustRightInd w:val="0"/>
        <w:snapToGrid w:val="0"/>
        <w:spacing w:line="560" w:lineRule="exact"/>
        <w:ind w:firstLine="480" w:firstLineChars="200"/>
        <w:rPr>
          <w:color w:val="auto"/>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根据合同的规定对项目验收合格后，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应签署验收意见。</w:t>
      </w:r>
    </w:p>
    <w:p>
      <w:pPr>
        <w:pStyle w:val="21"/>
        <w:rPr>
          <w:rFonts w:hint="default"/>
          <w:color w:val="auto"/>
          <w:highlight w:val="none"/>
        </w:rPr>
      </w:pPr>
      <w:r>
        <w:rPr>
          <w:color w:val="auto"/>
          <w:highlight w:val="none"/>
        </w:rPr>
        <w:t>验收评价</w:t>
      </w:r>
    </w:p>
    <w:p>
      <w:pPr>
        <w:adjustRightInd w:val="0"/>
        <w:snapToGrid w:val="0"/>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本项目验收采用用户现场验收方式。验收前必须至少满足以下要求：</w:t>
      </w:r>
    </w:p>
    <w:p>
      <w:pPr>
        <w:adjustRightInd w:val="0"/>
        <w:snapToGrid w:val="0"/>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(1)已提供了合同的全部货物和资料，满足信息化项目管理相关规定和要求；</w:t>
      </w:r>
    </w:p>
    <w:p>
      <w:pPr>
        <w:adjustRightInd w:val="0"/>
        <w:snapToGrid w:val="0"/>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(2)试运行期至少两个月，且满足合同各项要求，试运行时出现的问题已解决；</w:t>
      </w:r>
    </w:p>
    <w:p>
      <w:pPr>
        <w:adjustRightInd w:val="0"/>
        <w:snapToGrid w:val="0"/>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(3)完成了项目相关交付培训工作。</w:t>
      </w:r>
    </w:p>
    <w:p>
      <w:pPr>
        <w:adjustRightInd w:val="0"/>
        <w:snapToGrid w:val="0"/>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(4)涉及软件评测、系统评测等相关内容，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有权委托第三方检测机构进行验收，对此</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应当配合。</w:t>
      </w:r>
    </w:p>
    <w:p>
      <w:pPr>
        <w:pStyle w:val="8"/>
        <w:rPr>
          <w:color w:val="auto"/>
          <w:highlight w:val="none"/>
        </w:rPr>
      </w:pPr>
    </w:p>
    <w:p>
      <w:pPr>
        <w:pStyle w:val="21"/>
        <w:rPr>
          <w:rFonts w:hint="eastAsia" w:ascii="Times New Roman" w:hAnsi="Times New Roman" w:eastAsia="宋体" w:cs="Times New Roman"/>
          <w:b/>
          <w:bCs/>
          <w:color w:val="auto"/>
          <w:kern w:val="44"/>
          <w:sz w:val="24"/>
          <w:szCs w:val="24"/>
          <w:highlight w:val="none"/>
          <w:lang w:val="en-US" w:eastAsia="zh-CN" w:bidi="ar-SA"/>
        </w:rPr>
      </w:pPr>
      <w:bookmarkStart w:id="47" w:name="_Toc512619588"/>
      <w:r>
        <w:rPr>
          <w:rFonts w:hint="eastAsia" w:cs="Times New Roman"/>
          <w:b/>
          <w:bCs/>
          <w:color w:val="auto"/>
          <w:kern w:val="44"/>
          <w:sz w:val="24"/>
          <w:szCs w:val="24"/>
          <w:highlight w:val="none"/>
          <w:lang w:val="en-US" w:eastAsia="zh-CN" w:bidi="ar-SA"/>
        </w:rPr>
        <w:t>项目团队</w:t>
      </w:r>
    </w:p>
    <w:p>
      <w:pPr>
        <w:adjustRightInd w:val="0"/>
        <w:snapToGrid w:val="0"/>
        <w:spacing w:line="56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项目组成员、人员配置情况需满足如下要求：</w:t>
      </w:r>
    </w:p>
    <w:p>
      <w:pPr>
        <w:adjustRightInd w:val="0"/>
        <w:snapToGrid w:val="0"/>
        <w:spacing w:line="56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（1）项目经理</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具备</w:t>
      </w:r>
      <w:r>
        <w:rPr>
          <w:rFonts w:hint="eastAsia" w:ascii="宋体" w:hAnsi="宋体" w:eastAsia="宋体" w:cs="宋体"/>
          <w:i w:val="0"/>
          <w:iCs w:val="0"/>
          <w:color w:val="auto"/>
          <w:kern w:val="2"/>
          <w:sz w:val="24"/>
          <w:szCs w:val="24"/>
          <w:highlight w:val="none"/>
          <w:u w:val="none"/>
          <w:lang w:val="en-US" w:eastAsia="zh-CN" w:bidi="ar"/>
        </w:rPr>
        <w:t>CISP</w:t>
      </w:r>
      <w:r>
        <w:rPr>
          <w:rStyle w:val="12"/>
          <w:color w:val="auto"/>
          <w:sz w:val="24"/>
          <w:szCs w:val="24"/>
          <w:highlight w:val="none"/>
          <w:lang w:val="en-US" w:eastAsia="zh-CN" w:bidi="ar"/>
        </w:rPr>
        <w:t>证书</w:t>
      </w:r>
      <w:r>
        <w:rPr>
          <w:rFonts w:hint="eastAsia"/>
          <w:color w:val="auto"/>
          <w:sz w:val="24"/>
          <w:szCs w:val="24"/>
          <w:highlight w:val="none"/>
          <w:lang w:val="en-US" w:eastAsia="zh-CN" w:bidi="ar"/>
        </w:rPr>
        <w:t>以及</w:t>
      </w:r>
      <w:r>
        <w:rPr>
          <w:rStyle w:val="12"/>
          <w:rFonts w:hint="eastAsia"/>
          <w:color w:val="auto"/>
          <w:sz w:val="24"/>
          <w:szCs w:val="24"/>
          <w:highlight w:val="none"/>
          <w:lang w:val="en-US" w:eastAsia="zh-CN" w:bidi="ar"/>
        </w:rPr>
        <w:t>信息系统管理师证书</w:t>
      </w:r>
      <w:r>
        <w:rPr>
          <w:rFonts w:hint="eastAsia" w:ascii="宋体" w:hAnsi="宋体" w:eastAsia="宋体" w:cs="宋体"/>
          <w:color w:val="auto"/>
          <w:sz w:val="24"/>
          <w:szCs w:val="24"/>
          <w:highlight w:val="none"/>
        </w:rPr>
        <w:t>。</w:t>
      </w:r>
    </w:p>
    <w:p>
      <w:pPr>
        <w:adjustRightInd w:val="0"/>
        <w:snapToGrid w:val="0"/>
        <w:spacing w:line="560" w:lineRule="exact"/>
        <w:ind w:firstLine="422" w:firstLineChars="17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（2）项目建设成员需具备相关行业从业经验、项目经验。</w:t>
      </w:r>
    </w:p>
    <w:p>
      <w:pPr>
        <w:pStyle w:val="21"/>
        <w:rPr>
          <w:rFonts w:hint="default"/>
          <w:color w:val="auto"/>
          <w:highlight w:val="none"/>
        </w:rPr>
      </w:pPr>
      <w:r>
        <w:rPr>
          <w:color w:val="auto"/>
          <w:highlight w:val="none"/>
        </w:rPr>
        <w:t>运维保障要求</w:t>
      </w:r>
      <w:bookmarkEnd w:id="47"/>
    </w:p>
    <w:p>
      <w:pPr>
        <w:adjustRightInd w:val="0"/>
        <w:snapToGrid w:val="0"/>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系统建成通过用户验收后，服务期1年内的运行维护服务范围包括日常运作、服务咨询、巡检保养、主动监测、故障修复、特殊保障和升级优化。</w:t>
      </w:r>
    </w:p>
    <w:p>
      <w:pPr>
        <w:adjustRightInd w:val="0"/>
        <w:snapToGrid w:val="0"/>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服务期内，</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需承诺提供7×24故障维护服务和技术业务咨询服务。在常规工作时间内对系统进行检查和运维，若有特殊任务应听从长宁区公安分局科技科管理中心的安排，并有专业的技术人员负责及时解决系统出现的任何故障。在接到故障报修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须在30分钟内响应，技术工程师2小时到达现场。到达现场后6小时内排除设备故障（遇到自然灾害等不可抗拒事故除外）。对于一时无法按时排除故障，12小时内提供备件更换解决（对于特殊情况经双方协商决定排除故障时间，如基础设备损坏等，出具书面情况报告），由此产生的费用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w:t>
      </w:r>
    </w:p>
    <w:p>
      <w:pPr>
        <w:pStyle w:val="8"/>
        <w:rPr>
          <w:color w:val="auto"/>
          <w:highlight w:val="none"/>
        </w:rPr>
      </w:pPr>
    </w:p>
    <w:p>
      <w:pPr>
        <w:pStyle w:val="21"/>
        <w:rPr>
          <w:rFonts w:hint="default"/>
          <w:color w:val="auto"/>
          <w:highlight w:val="none"/>
        </w:rPr>
      </w:pPr>
      <w:r>
        <w:rPr>
          <w:color w:val="auto"/>
          <w:highlight w:val="none"/>
        </w:rPr>
        <w:t>违约与罚则</w:t>
      </w:r>
    </w:p>
    <w:p>
      <w:pPr>
        <w:pStyle w:val="22"/>
        <w:ind w:firstLine="241"/>
        <w:rPr>
          <w:rFonts w:hint="default"/>
          <w:color w:val="auto"/>
          <w:highlight w:val="none"/>
        </w:rPr>
      </w:pPr>
      <w:r>
        <w:rPr>
          <w:color w:val="auto"/>
          <w:highlight w:val="none"/>
        </w:rPr>
        <w:t>绩效考核要求</w:t>
      </w:r>
    </w:p>
    <w:p>
      <w:pPr>
        <w:adjustRightInd w:val="0"/>
        <w:snapToGrid w:val="0"/>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在履行本项目的过程中若因</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违反维护需求未提供合格的维护服务导致</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考核扣分或发生重大事故，每发生一次，</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有权根据问题影响的严重程度按合同总额的0.1%-1%扣除。</w:t>
      </w:r>
      <w:r>
        <w:rPr>
          <w:rFonts w:hint="eastAsia" w:ascii="宋体" w:hAnsi="宋体" w:eastAsia="宋体"/>
          <w:color w:val="auto"/>
          <w:sz w:val="24"/>
          <w:szCs w:val="24"/>
          <w:highlight w:val="none"/>
        </w:rPr>
        <w:t>若全年度整体运维情况良好，分局顺利完成市局各项运维考核任务，全市排名靠前，则将对运维项目负责团队予以一定的激励措施。</w:t>
      </w:r>
    </w:p>
    <w:p>
      <w:pPr>
        <w:pStyle w:val="22"/>
        <w:ind w:firstLine="241"/>
        <w:rPr>
          <w:rFonts w:hint="default"/>
          <w:color w:val="auto"/>
          <w:highlight w:val="none"/>
        </w:rPr>
      </w:pPr>
      <w:r>
        <w:rPr>
          <w:color w:val="auto"/>
          <w:highlight w:val="none"/>
        </w:rPr>
        <w:t>服务过失整改与罚则</w:t>
      </w:r>
    </w:p>
    <w:p>
      <w:pPr>
        <w:adjustRightInd w:val="0"/>
        <w:snapToGrid w:val="0"/>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按照分局整体运维要求，无特殊原因超时的工单（包括接单超时、应急响应/设备维修/故障处理超时、工作记录提交超时等），每个工单（不含重复点位）扣除500元人民币，每个黑名工单扣除2000元人民币。</w:t>
      </w:r>
    </w:p>
    <w:p>
      <w:pPr>
        <w:adjustRightInd w:val="0"/>
        <w:snapToGrid w:val="0"/>
        <w:spacing w:line="56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根据运维管理规定、运维流程的要求，运维单位在运维工作期间，未按照合同要求完成相应工作（包括考核指标不达标、漏洞未按时修复、基础资料提交不完整、文档提交不及时、安全管理混乱等），招标方将会同运维监理视情节严重程度向运维单位予以警告或</w:t>
      </w:r>
      <w:r>
        <w:rPr>
          <w:rFonts w:hint="eastAsia" w:ascii="宋体" w:hAnsi="宋体" w:eastAsia="宋体" w:cs="宋体"/>
          <w:color w:val="auto"/>
          <w:sz w:val="24"/>
          <w:szCs w:val="24"/>
          <w:highlight w:val="none"/>
        </w:rPr>
        <w:t>扣除运维费用</w:t>
      </w:r>
      <w:r>
        <w:rPr>
          <w:rFonts w:hint="eastAsia" w:ascii="宋体" w:hAnsi="宋体" w:eastAsia="宋体"/>
          <w:color w:val="auto"/>
          <w:sz w:val="24"/>
          <w:szCs w:val="24"/>
          <w:highlight w:val="none"/>
        </w:rPr>
        <w:t>，并开具整改通知书。</w:t>
      </w:r>
    </w:p>
    <w:p>
      <w:pPr>
        <w:pStyle w:val="22"/>
        <w:ind w:firstLine="241"/>
        <w:rPr>
          <w:rFonts w:hint="default"/>
          <w:color w:val="auto"/>
          <w:highlight w:val="none"/>
        </w:rPr>
      </w:pPr>
      <w:r>
        <w:rPr>
          <w:color w:val="auto"/>
          <w:highlight w:val="none"/>
        </w:rPr>
        <w:t>人员过失整改与罚则</w:t>
      </w:r>
    </w:p>
    <w:p>
      <w:pPr>
        <w:adjustRightInd w:val="0"/>
        <w:snapToGrid w:val="0"/>
        <w:spacing w:line="56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运维单位技术人员故意违反安全管理规定，或多次过失违反安全管理规定的，应当责令其工作单位将其带回，依照有关规定进行处罚，招标方将会同运维监理视情节严重程度向运维单位予以警告或</w:t>
      </w:r>
      <w:r>
        <w:rPr>
          <w:rFonts w:hint="eastAsia" w:ascii="宋体" w:hAnsi="宋体" w:eastAsia="宋体" w:cs="宋体"/>
          <w:color w:val="auto"/>
          <w:sz w:val="24"/>
          <w:szCs w:val="24"/>
          <w:highlight w:val="none"/>
        </w:rPr>
        <w:t>扣除运维费用</w:t>
      </w:r>
      <w:r>
        <w:rPr>
          <w:rFonts w:hint="eastAsia" w:ascii="宋体" w:hAnsi="宋体" w:eastAsia="宋体"/>
          <w:color w:val="auto"/>
          <w:sz w:val="24"/>
          <w:szCs w:val="24"/>
          <w:highlight w:val="none"/>
        </w:rPr>
        <w:t>，并开具整改通知书（）情节严重的应根据国家有关法律、法规，追究相应的法律责任，并另行安排技术人员顶替其工作；运维单位违反安全管理规定的，业主方有权依照有关规定进行处罚，情节严重的应立即终止合同，并根据国家有关法律、法规追究相应责任，取消今后项目合作建设的资格。</w:t>
      </w:r>
    </w:p>
    <w:p>
      <w:pPr>
        <w:pStyle w:val="22"/>
        <w:ind w:firstLine="241"/>
        <w:rPr>
          <w:rFonts w:hint="default"/>
          <w:color w:val="auto"/>
          <w:highlight w:val="none"/>
        </w:rPr>
      </w:pPr>
      <w:r>
        <w:rPr>
          <w:color w:val="auto"/>
          <w:highlight w:val="none"/>
        </w:rPr>
        <w:t>事故与财产损失罚则</w:t>
      </w:r>
    </w:p>
    <w:p>
      <w:pPr>
        <w:adjustRightInd w:val="0"/>
        <w:snapToGrid w:val="0"/>
        <w:spacing w:line="56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在履行本项目的过程中若因</w:t>
      </w:r>
      <w:r>
        <w:rPr>
          <w:rFonts w:hint="eastAsia" w:ascii="宋体" w:hAnsi="宋体" w:eastAsia="宋体"/>
          <w:color w:val="auto"/>
          <w:sz w:val="24"/>
          <w:szCs w:val="24"/>
          <w:highlight w:val="none"/>
          <w:lang w:eastAsia="zh-CN"/>
        </w:rPr>
        <w:t>成交供应商</w:t>
      </w:r>
      <w:r>
        <w:rPr>
          <w:rFonts w:hint="eastAsia" w:ascii="宋体" w:hAnsi="宋体" w:eastAsia="宋体"/>
          <w:color w:val="auto"/>
          <w:sz w:val="24"/>
          <w:szCs w:val="24"/>
          <w:highlight w:val="none"/>
        </w:rPr>
        <w:t>违反操作规范而导致事故发生，则</w:t>
      </w:r>
      <w:r>
        <w:rPr>
          <w:rFonts w:hint="eastAsia" w:ascii="宋体" w:hAnsi="宋体" w:eastAsia="宋体"/>
          <w:color w:val="auto"/>
          <w:sz w:val="24"/>
          <w:szCs w:val="24"/>
          <w:highlight w:val="none"/>
          <w:lang w:eastAsia="zh-CN"/>
        </w:rPr>
        <w:t>成交供应商</w:t>
      </w:r>
      <w:r>
        <w:rPr>
          <w:rFonts w:hint="eastAsia" w:ascii="宋体" w:hAnsi="宋体" w:eastAsia="宋体"/>
          <w:color w:val="auto"/>
          <w:sz w:val="24"/>
          <w:szCs w:val="24"/>
          <w:highlight w:val="none"/>
        </w:rPr>
        <w:t>及时予以整改，并承担整改所需的费用。如果发生事故与财产损失，则甲乙双方友好协商解决或委托第三方具有事故认定资质的单位进行事故原因鉴定，</w:t>
      </w:r>
      <w:r>
        <w:rPr>
          <w:rFonts w:hint="eastAsia" w:ascii="宋体" w:hAnsi="宋体" w:eastAsia="宋体"/>
          <w:color w:val="auto"/>
          <w:sz w:val="24"/>
          <w:szCs w:val="24"/>
          <w:highlight w:val="none"/>
          <w:lang w:eastAsia="zh-CN"/>
        </w:rPr>
        <w:t>成交供应商</w:t>
      </w:r>
      <w:r>
        <w:rPr>
          <w:rFonts w:hint="eastAsia" w:ascii="宋体" w:hAnsi="宋体" w:eastAsia="宋体"/>
          <w:color w:val="auto"/>
          <w:sz w:val="24"/>
          <w:szCs w:val="24"/>
          <w:highlight w:val="none"/>
        </w:rPr>
        <w:t>按认可的鉴定情况承担责任，</w:t>
      </w:r>
      <w:r>
        <w:rPr>
          <w:rFonts w:hint="eastAsia" w:ascii="宋体" w:hAnsi="宋体" w:eastAsia="宋体"/>
          <w:color w:val="auto"/>
          <w:sz w:val="24"/>
          <w:szCs w:val="24"/>
          <w:highlight w:val="none"/>
          <w:lang w:eastAsia="zh-CN"/>
        </w:rPr>
        <w:t>成交供应商</w:t>
      </w:r>
      <w:r>
        <w:rPr>
          <w:rFonts w:hint="eastAsia" w:ascii="宋体" w:hAnsi="宋体" w:eastAsia="宋体"/>
          <w:color w:val="auto"/>
          <w:sz w:val="24"/>
          <w:szCs w:val="24"/>
          <w:highlight w:val="none"/>
        </w:rPr>
        <w:t>所承担的赔偿数额将按协商或鉴定结论中</w:t>
      </w:r>
      <w:r>
        <w:rPr>
          <w:rFonts w:hint="eastAsia" w:ascii="宋体" w:hAnsi="宋体" w:eastAsia="宋体"/>
          <w:color w:val="auto"/>
          <w:sz w:val="24"/>
          <w:szCs w:val="24"/>
          <w:highlight w:val="none"/>
          <w:lang w:eastAsia="zh-CN"/>
        </w:rPr>
        <w:t>成交供应商</w:t>
      </w:r>
      <w:r>
        <w:rPr>
          <w:rFonts w:hint="eastAsia" w:ascii="宋体" w:hAnsi="宋体" w:eastAsia="宋体"/>
          <w:color w:val="auto"/>
          <w:sz w:val="24"/>
          <w:szCs w:val="24"/>
          <w:highlight w:val="none"/>
        </w:rPr>
        <w:t>应承担责任比例来计算，赔偿数额等于（责任比例*整改费用全额），因为</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等单位的客观条件限制和在项目中的行为引起的责任，</w:t>
      </w:r>
      <w:r>
        <w:rPr>
          <w:rFonts w:hint="eastAsia" w:ascii="宋体" w:hAnsi="宋体" w:eastAsia="宋体"/>
          <w:color w:val="auto"/>
          <w:sz w:val="24"/>
          <w:szCs w:val="24"/>
          <w:highlight w:val="none"/>
          <w:lang w:eastAsia="zh-CN"/>
        </w:rPr>
        <w:t>成交供应商</w:t>
      </w:r>
      <w:r>
        <w:rPr>
          <w:rFonts w:hint="eastAsia" w:ascii="宋体" w:hAnsi="宋体" w:eastAsia="宋体"/>
          <w:color w:val="auto"/>
          <w:sz w:val="24"/>
          <w:szCs w:val="24"/>
          <w:highlight w:val="none"/>
        </w:rPr>
        <w:t>免责。</w:t>
      </w:r>
    </w:p>
    <w:p>
      <w:pPr>
        <w:adjustRightInd w:val="0"/>
        <w:snapToGrid w:val="0"/>
        <w:spacing w:line="560" w:lineRule="exact"/>
        <w:ind w:firstLine="480" w:firstLineChars="200"/>
        <w:rPr>
          <w:rFonts w:ascii="宋体" w:hAnsi="宋体"/>
          <w:color w:val="auto"/>
          <w:highlight w:val="none"/>
        </w:rPr>
      </w:pPr>
      <w:r>
        <w:rPr>
          <w:rFonts w:hint="eastAsia" w:ascii="宋体" w:hAnsi="宋体" w:eastAsia="宋体"/>
          <w:color w:val="auto"/>
          <w:sz w:val="24"/>
          <w:szCs w:val="24"/>
          <w:highlight w:val="none"/>
        </w:rPr>
        <w:t>运维单位因违约与罚则中所述事项被开具整改通知书的。</w:t>
      </w:r>
      <w:r>
        <w:rPr>
          <w:rFonts w:hint="eastAsia" w:ascii="宋体" w:hAnsi="宋体" w:eastAsia="宋体" w:cs="宋体"/>
          <w:color w:val="auto"/>
          <w:sz w:val="24"/>
          <w:szCs w:val="24"/>
          <w:highlight w:val="none"/>
        </w:rPr>
        <w:t>首次收到整改通知书后，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应于两个工作日内提交整改报告并落实整改要求；第二次收到整改通知书后，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除上述要求外，扣除运维费用3000元；三次以上（含三次）收到整改通知书，每次扣除运维费用5000元，同时招标方可正式书面函告</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，并有权终止运维合同，取消</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今后参与分局各项运维工作的资格。</w:t>
      </w:r>
    </w:p>
    <w:p>
      <w:pPr>
        <w:pStyle w:val="20"/>
        <w:rPr>
          <w:rFonts w:hint="default"/>
          <w:color w:val="auto"/>
          <w:highlight w:val="none"/>
        </w:rPr>
      </w:pPr>
      <w:bookmarkStart w:id="48" w:name="_Toc204090113"/>
      <w:r>
        <w:rPr>
          <w:color w:val="auto"/>
          <w:highlight w:val="none"/>
        </w:rPr>
        <w:t>付款方式</w:t>
      </w:r>
      <w:bookmarkEnd w:id="48"/>
    </w:p>
    <w:p>
      <w:pPr>
        <w:adjustRightInd w:val="0"/>
        <w:snapToGrid w:val="0"/>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合同签订完并收到</w:t>
      </w:r>
      <w:r>
        <w:rPr>
          <w:rFonts w:hint="eastAsia" w:asciiTheme="minorEastAsia" w:hAnsiTheme="minorEastAsia" w:cstheme="minorEastAsia"/>
          <w:color w:val="auto"/>
          <w:sz w:val="24"/>
          <w:szCs w:val="24"/>
          <w:highlight w:val="none"/>
          <w:lang w:eastAsia="zh-CN"/>
        </w:rPr>
        <w:t>成交供应商</w:t>
      </w:r>
      <w:r>
        <w:rPr>
          <w:rFonts w:hint="eastAsia" w:asciiTheme="minorEastAsia" w:hAnsiTheme="minorEastAsia" w:cstheme="minorEastAsia"/>
          <w:color w:val="auto"/>
          <w:sz w:val="24"/>
          <w:szCs w:val="24"/>
          <w:highlight w:val="none"/>
        </w:rPr>
        <w:t>提供的正式发票，支付30万元。建设周期过半后，收到</w:t>
      </w:r>
      <w:r>
        <w:rPr>
          <w:rFonts w:hint="eastAsia" w:asciiTheme="minorEastAsia" w:hAnsiTheme="minorEastAsia" w:cstheme="minorEastAsia"/>
          <w:color w:val="auto"/>
          <w:sz w:val="24"/>
          <w:szCs w:val="24"/>
          <w:highlight w:val="none"/>
          <w:lang w:eastAsia="zh-CN"/>
        </w:rPr>
        <w:t>成交供应商</w:t>
      </w:r>
      <w:r>
        <w:rPr>
          <w:rFonts w:hint="eastAsia" w:asciiTheme="minorEastAsia" w:hAnsiTheme="minorEastAsia" w:cstheme="minorEastAsia"/>
          <w:color w:val="auto"/>
          <w:sz w:val="24"/>
          <w:szCs w:val="24"/>
          <w:highlight w:val="none"/>
        </w:rPr>
        <w:t>提交的阶段性报告及正式发票后，支付合同总价的50%。审计决算后，根据审计决算后的价格支付剩余尾款。</w:t>
      </w:r>
    </w:p>
    <w:p>
      <w:pPr>
        <w:pStyle w:val="8"/>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履约事宜：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p>
    <w:p>
      <w:pPr>
        <w:pStyle w:val="8"/>
        <w:rPr>
          <w:color w:val="auto"/>
          <w:highlight w:val="none"/>
        </w:rPr>
      </w:pPr>
    </w:p>
    <w:p>
      <w:pPr>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br w:type="page"/>
      </w:r>
    </w:p>
    <w:p>
      <w:pPr>
        <w:pStyle w:val="20"/>
        <w:rPr>
          <w:rFonts w:hint="default"/>
          <w:color w:val="auto"/>
          <w:highlight w:val="none"/>
        </w:rPr>
      </w:pPr>
      <w:bookmarkStart w:id="49" w:name="_Toc204090114"/>
      <w:r>
        <w:rPr>
          <w:color w:val="auto"/>
          <w:highlight w:val="none"/>
        </w:rPr>
        <w:t>其他说明</w:t>
      </w:r>
      <w:bookmarkEnd w:id="49"/>
    </w:p>
    <w:p>
      <w:pPr>
        <w:adjustRightInd w:val="0"/>
        <w:snapToGrid w:val="0"/>
        <w:spacing w:line="56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项目总体工作内容：</w:t>
      </w:r>
    </w:p>
    <w:p>
      <w:pPr>
        <w:pStyle w:val="8"/>
        <w:rPr>
          <w:color w:val="auto"/>
          <w:highlight w:val="none"/>
        </w:rPr>
      </w:pPr>
    </w:p>
    <w:tbl>
      <w:tblPr>
        <w:tblStyle w:val="11"/>
        <w:tblW w:w="4999" w:type="pct"/>
        <w:jc w:val="center"/>
        <w:tblLayout w:type="autofit"/>
        <w:tblCellMar>
          <w:top w:w="0" w:type="dxa"/>
          <w:left w:w="108" w:type="dxa"/>
          <w:bottom w:w="0" w:type="dxa"/>
          <w:right w:w="108" w:type="dxa"/>
        </w:tblCellMar>
      </w:tblPr>
      <w:tblGrid>
        <w:gridCol w:w="1196"/>
        <w:gridCol w:w="2829"/>
        <w:gridCol w:w="4495"/>
      </w:tblGrid>
      <w:tr>
        <w:tblPrEx>
          <w:tblCellMar>
            <w:top w:w="0" w:type="dxa"/>
            <w:left w:w="108" w:type="dxa"/>
            <w:bottom w:w="0" w:type="dxa"/>
            <w:right w:w="108" w:type="dxa"/>
          </w:tblCellMar>
        </w:tblPrEx>
        <w:trPr>
          <w:trHeight w:val="31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b/>
                <w:bCs/>
                <w:color w:val="auto"/>
                <w:sz w:val="24"/>
                <w:szCs w:val="24"/>
                <w:highlight w:val="none"/>
              </w:rPr>
            </w:pPr>
            <w:r>
              <w:rPr>
                <w:rFonts w:hint="eastAsia" w:ascii="等线" w:hAnsi="等线" w:eastAsia="等线" w:cs="等线"/>
                <w:b/>
                <w:bCs/>
                <w:color w:val="auto"/>
                <w:kern w:val="0"/>
                <w:sz w:val="24"/>
                <w:szCs w:val="24"/>
                <w:highlight w:val="none"/>
              </w:rPr>
              <w:t>序号</w:t>
            </w:r>
          </w:p>
        </w:tc>
        <w:tc>
          <w:tcPr>
            <w:tcW w:w="1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b/>
                <w:bCs/>
                <w:color w:val="auto"/>
                <w:sz w:val="24"/>
                <w:szCs w:val="24"/>
                <w:highlight w:val="none"/>
              </w:rPr>
            </w:pPr>
            <w:r>
              <w:rPr>
                <w:rFonts w:hint="eastAsia" w:ascii="等线" w:hAnsi="等线" w:eastAsia="等线" w:cs="等线"/>
                <w:b/>
                <w:bCs/>
                <w:color w:val="auto"/>
                <w:kern w:val="0"/>
                <w:sz w:val="24"/>
                <w:szCs w:val="24"/>
                <w:highlight w:val="none"/>
              </w:rPr>
              <w:t>模块</w:t>
            </w:r>
          </w:p>
        </w:tc>
        <w:tc>
          <w:tcPr>
            <w:tcW w:w="2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b/>
                <w:bCs/>
                <w:color w:val="auto"/>
                <w:sz w:val="24"/>
                <w:szCs w:val="24"/>
                <w:highlight w:val="none"/>
              </w:rPr>
            </w:pPr>
            <w:r>
              <w:rPr>
                <w:rFonts w:hint="eastAsia" w:ascii="等线" w:hAnsi="等线" w:eastAsia="等线" w:cs="等线"/>
                <w:b/>
                <w:bCs/>
                <w:color w:val="auto"/>
                <w:kern w:val="0"/>
                <w:sz w:val="24"/>
                <w:szCs w:val="24"/>
                <w:highlight w:val="none"/>
              </w:rPr>
              <w:t>子模块</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1</w:t>
            </w:r>
          </w:p>
        </w:tc>
        <w:tc>
          <w:tcPr>
            <w:tcW w:w="1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多网数据融合与改造</w:t>
            </w:r>
          </w:p>
        </w:tc>
        <w:tc>
          <w:tcPr>
            <w:tcW w:w="2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公安网中心平台改造</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2</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图像网、政务网、专网监测节点部署</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3</w:t>
            </w:r>
          </w:p>
        </w:tc>
        <w:tc>
          <w:tcPr>
            <w:tcW w:w="1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智能监测能力</w:t>
            </w:r>
          </w:p>
        </w:tc>
        <w:tc>
          <w:tcPr>
            <w:tcW w:w="2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多云监测</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4</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应用系统健康度监测</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5</w:t>
            </w:r>
          </w:p>
        </w:tc>
        <w:tc>
          <w:tcPr>
            <w:tcW w:w="1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移动应用</w:t>
            </w:r>
          </w:p>
        </w:tc>
        <w:tc>
          <w:tcPr>
            <w:tcW w:w="2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移动端（VPDN专网）改造</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6</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移动资产巡查</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7</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扫码报修</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8</w:t>
            </w:r>
          </w:p>
        </w:tc>
        <w:tc>
          <w:tcPr>
            <w:tcW w:w="1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资产和资源纳管</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资产模板自定义管理</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9</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资产权限控制</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10</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设备上下架流程</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11</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资产出入库流程</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12</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备品备件库</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13</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资产校准</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14</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云资源纳管</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15</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资源关联</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16</w:t>
            </w:r>
          </w:p>
        </w:tc>
        <w:tc>
          <w:tcPr>
            <w:tcW w:w="1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机房健康体征管理平台</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机房健康体征管理首页</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17</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机房3D建模</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18</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系统拓补图展示</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19</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五维机房健康度体征管理</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20</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机房入侵异常检测</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21</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机房视频接入</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22</w:t>
            </w:r>
          </w:p>
        </w:tc>
        <w:tc>
          <w:tcPr>
            <w:tcW w:w="16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态势感知</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宋体" w:eastAsia="黑体" w:cs="黑体"/>
                <w:color w:val="auto"/>
                <w:sz w:val="24"/>
                <w:szCs w:val="24"/>
                <w:highlight w:val="none"/>
              </w:rPr>
            </w:pPr>
            <w:r>
              <w:rPr>
                <w:rFonts w:hint="eastAsia" w:ascii="宋体" w:hAnsi="宋体" w:eastAsia="宋体" w:cs="宋体"/>
                <w:color w:val="auto"/>
                <w:kern w:val="0"/>
                <w:sz w:val="24"/>
                <w:szCs w:val="24"/>
                <w:highlight w:val="none"/>
              </w:rPr>
              <w:t>态势感知</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23</w:t>
            </w:r>
          </w:p>
        </w:tc>
        <w:tc>
          <w:tcPr>
            <w:tcW w:w="1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AI运维</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AI运维智能体</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24</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设备上架智能推荐</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25</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运维自评估报告</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26</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故障预测预防</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27</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AI图像检测</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28</w:t>
            </w:r>
          </w:p>
        </w:tc>
        <w:tc>
          <w:tcPr>
            <w:tcW w:w="1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系统管理</w:t>
            </w: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4A数字证书登录 </w:t>
            </w:r>
          </w:p>
        </w:tc>
      </w:tr>
      <w:tr>
        <w:tblPrEx>
          <w:tblCellMar>
            <w:top w:w="0" w:type="dxa"/>
            <w:left w:w="108" w:type="dxa"/>
            <w:bottom w:w="0" w:type="dxa"/>
            <w:right w:w="108" w:type="dxa"/>
          </w:tblCellMar>
        </w:tblPrEx>
        <w:trPr>
          <w:trHeight w:val="285" w:hRule="atLeast"/>
          <w:jc w:val="center"/>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sz w:val="24"/>
                <w:szCs w:val="24"/>
                <w:highlight w:val="none"/>
              </w:rPr>
            </w:pPr>
            <w:r>
              <w:rPr>
                <w:rFonts w:hint="eastAsia" w:ascii="等线" w:hAnsi="等线" w:eastAsia="等线" w:cs="等线"/>
                <w:color w:val="auto"/>
                <w:kern w:val="0"/>
                <w:sz w:val="24"/>
                <w:szCs w:val="24"/>
                <w:highlight w:val="none"/>
              </w:rPr>
              <w:t>29</w:t>
            </w:r>
          </w:p>
        </w:tc>
        <w:tc>
          <w:tcPr>
            <w:tcW w:w="1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rPr>
            </w:pPr>
          </w:p>
        </w:tc>
        <w:tc>
          <w:tcPr>
            <w:tcW w:w="2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第三方系统对接</w:t>
            </w:r>
          </w:p>
        </w:tc>
      </w:tr>
    </w:tbl>
    <w:p>
      <w:pPr>
        <w:pStyle w:val="8"/>
        <w:rPr>
          <w:color w:val="auto"/>
          <w:highlight w:val="none"/>
        </w:rPr>
      </w:pPr>
    </w:p>
    <w:p>
      <w:pPr>
        <w:jc w:val="both"/>
        <w:rPr>
          <w:color w:val="auto"/>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eastAsiaTheme="minorEastAsia"/>
        <w:lang w:val="en-US" w:eastAsia="zh-CN"/>
      </w:rPr>
    </w:pPr>
    <w:r>
      <w:rPr>
        <w:rFonts w:hint="eastAsia"/>
      </w:rPr>
      <w:t>ZC20250159</w:t>
    </w:r>
    <w:r>
      <w:rPr>
        <w:rFonts w:hint="eastAsia"/>
        <w:lang w:val="en-US" w:eastAsia="zh-CN"/>
      </w:rPr>
      <w:t xml:space="preserve">  </w:t>
    </w:r>
    <w:r>
      <w:rPr>
        <w:rFonts w:hint="eastAsia"/>
      </w:rPr>
      <w:t>上海市公安局长宁分局智能运维中心平台升级建设（四期）竞争性磋商项目</w:t>
    </w:r>
    <w:r>
      <w:rPr>
        <w:rFonts w:hint="eastAsia"/>
        <w:lang w:val="en-US" w:eastAsia="zh-CN"/>
      </w:rPr>
      <w:t xml:space="preserve">  采购需求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90967"/>
    <w:multiLevelType w:val="multilevel"/>
    <w:tmpl w:val="AF290967"/>
    <w:lvl w:ilvl="0" w:tentative="0">
      <w:start w:val="1"/>
      <w:numFmt w:val="chineseCounting"/>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26"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F8DE8C64"/>
    <w:multiLevelType w:val="multilevel"/>
    <w:tmpl w:val="F8DE8C64"/>
    <w:lvl w:ilvl="0" w:tentative="0">
      <w:start w:val="1"/>
      <w:numFmt w:val="decimal"/>
      <w:pStyle w:val="19"/>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5345B8E"/>
    <w:multiLevelType w:val="multilevel"/>
    <w:tmpl w:val="35345B8E"/>
    <w:lvl w:ilvl="0" w:tentative="0">
      <w:start w:val="1"/>
      <w:numFmt w:val="decimal"/>
      <w:pStyle w:val="20"/>
      <w:lvlText w:val="%1."/>
      <w:lvlJc w:val="left"/>
      <w:pPr>
        <w:ind w:left="425" w:hanging="425"/>
      </w:pPr>
      <w:rPr>
        <w:rFonts w:hint="default" w:ascii="Times New Roman" w:hAnsi="Times New Roman"/>
        <w:b/>
        <w:bCs/>
        <w:sz w:val="24"/>
        <w:szCs w:val="24"/>
      </w:rPr>
    </w:lvl>
    <w:lvl w:ilvl="1" w:tentative="0">
      <w:start w:val="1"/>
      <w:numFmt w:val="decimal"/>
      <w:pStyle w:val="21"/>
      <w:lvlText w:val="%1.%2."/>
      <w:lvlJc w:val="left"/>
      <w:pPr>
        <w:ind w:left="567" w:hanging="567"/>
      </w:pPr>
      <w:rPr>
        <w:rFonts w:hint="default" w:ascii="Times New Roman" w:hAnsi="Times New Roman" w:eastAsia="宋体" w:cs="宋体"/>
        <w:b/>
        <w:bCs/>
      </w:rPr>
    </w:lvl>
    <w:lvl w:ilvl="2" w:tentative="0">
      <w:start w:val="1"/>
      <w:numFmt w:val="decimal"/>
      <w:pStyle w:val="22"/>
      <w:lvlText w:val="%1.%2.%3."/>
      <w:lvlJc w:val="left"/>
      <w:pPr>
        <w:ind w:left="709" w:hanging="709"/>
      </w:pPr>
      <w:rPr>
        <w:rFonts w:hint="default"/>
      </w:rPr>
    </w:lvl>
    <w:lvl w:ilvl="3" w:tentative="0">
      <w:start w:val="1"/>
      <w:numFmt w:val="decimal"/>
      <w:pStyle w:val="23"/>
      <w:lvlText w:val="%1.%2.%3.%4."/>
      <w:lvlJc w:val="left"/>
      <w:pPr>
        <w:ind w:left="850" w:hanging="850"/>
      </w:pPr>
      <w:rPr>
        <w:rFonts w:hint="default"/>
      </w:rPr>
    </w:lvl>
    <w:lvl w:ilvl="4" w:tentative="0">
      <w:start w:val="1"/>
      <w:numFmt w:val="decimal"/>
      <w:pStyle w:val="24"/>
      <w:lvlText w:val="%1.%2.%3.%4.%5."/>
      <w:lvlJc w:val="left"/>
      <w:pPr>
        <w:ind w:left="991" w:hanging="991"/>
      </w:pPr>
      <w:rPr>
        <w:rFonts w:hint="default" w:ascii="Times New Roman" w:hAnsi="Times New Roman" w:eastAsia="宋体" w:cs="宋体"/>
      </w:rPr>
    </w:lvl>
    <w:lvl w:ilvl="5" w:tentative="0">
      <w:start w:val="1"/>
      <w:numFmt w:val="decimal"/>
      <w:pStyle w:val="25"/>
      <w:lvlText w:val="%1.%2.%3.%4.%5.%6."/>
      <w:lvlJc w:val="left"/>
      <w:pPr>
        <w:ind w:left="1134" w:hanging="1134"/>
      </w:pPr>
      <w:rPr>
        <w:rFonts w:hint="default" w:ascii="宋体" w:hAnsi="宋体" w:eastAsia="宋体" w:cs="Times New Roman"/>
      </w:rPr>
    </w:lvl>
    <w:lvl w:ilvl="6" w:tentative="0">
      <w:start w:val="1"/>
      <w:numFmt w:val="decimal"/>
      <w:pStyle w:val="26"/>
      <w:lvlText w:val="%1.%2.%3.%4.%5.%6.%7."/>
      <w:lvlJc w:val="left"/>
      <w:pPr>
        <w:ind w:left="1275" w:hanging="1275"/>
      </w:pPr>
      <w:rPr>
        <w:rFonts w:hint="default" w:ascii="宋体" w:hAnsi="宋体" w:eastAsia="宋体" w:cs="Times New Roman"/>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35AA019A"/>
    <w:multiLevelType w:val="multilevel"/>
    <w:tmpl w:val="35AA019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C373E48"/>
    <w:multiLevelType w:val="multilevel"/>
    <w:tmpl w:val="3C373E48"/>
    <w:lvl w:ilvl="0" w:tentative="0">
      <w:start w:val="1"/>
      <w:numFmt w:val="decimal"/>
      <w:pStyle w:val="14"/>
      <w:lvlText w:val="%1"/>
      <w:lvlJc w:val="left"/>
      <w:pPr>
        <w:ind w:left="0" w:firstLine="0"/>
      </w:pPr>
      <w:rPr>
        <w:rFonts w:hint="eastAsia"/>
      </w:rPr>
    </w:lvl>
    <w:lvl w:ilvl="1" w:tentative="0">
      <w:start w:val="1"/>
      <w:numFmt w:val="decimal"/>
      <w:pStyle w:val="15"/>
      <w:lvlText w:val="%1.%2"/>
      <w:lvlJc w:val="left"/>
      <w:pPr>
        <w:ind w:left="0" w:firstLine="0"/>
      </w:pPr>
      <w:rPr>
        <w:rFonts w:hint="eastAsia"/>
      </w:rPr>
    </w:lvl>
    <w:lvl w:ilvl="2" w:tentative="0">
      <w:start w:val="1"/>
      <w:numFmt w:val="decimal"/>
      <w:pStyle w:val="16"/>
      <w:lvlText w:val="%1.%2.%3"/>
      <w:lvlJc w:val="left"/>
      <w:pPr>
        <w:ind w:left="0" w:firstLine="0"/>
      </w:pPr>
      <w:rPr>
        <w:rFonts w:hint="eastAsia"/>
      </w:rPr>
    </w:lvl>
    <w:lvl w:ilvl="3" w:tentative="0">
      <w:start w:val="1"/>
      <w:numFmt w:val="decimal"/>
      <w:pStyle w:val="17"/>
      <w:lvlText w:val="%1.%2.%3.%4"/>
      <w:lvlJc w:val="left"/>
      <w:pPr>
        <w:ind w:left="0" w:firstLine="0"/>
      </w:pPr>
      <w:rPr>
        <w:rFonts w:hint="eastAsia"/>
      </w:rPr>
    </w:lvl>
    <w:lvl w:ilvl="4" w:tentative="0">
      <w:start w:val="1"/>
      <w:numFmt w:val="decimal"/>
      <w:pStyle w:val="18"/>
      <w:lvlText w:val="%1.%2.%3.%4.%5"/>
      <w:lvlJc w:val="left"/>
      <w:pPr>
        <w:ind w:left="0" w:firstLine="0"/>
      </w:pPr>
      <w:rPr>
        <w:rFonts w:hint="default"/>
        <w:sz w:val="24"/>
        <w:szCs w:val="24"/>
      </w:rPr>
    </w:lvl>
    <w:lvl w:ilvl="5" w:tentative="0">
      <w:start w:val="1"/>
      <w:numFmt w:val="decimal"/>
      <w:pStyle w:val="13"/>
      <w:lvlText w:val="%1.%2.%3.%4.%5.%6"/>
      <w:lvlJc w:val="left"/>
      <w:pPr>
        <w:ind w:left="84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17615AA6"/>
    <w:rsid w:val="00005539"/>
    <w:rsid w:val="0010527F"/>
    <w:rsid w:val="00291A74"/>
    <w:rsid w:val="004C25C7"/>
    <w:rsid w:val="00546FFE"/>
    <w:rsid w:val="0067071A"/>
    <w:rsid w:val="0093313A"/>
    <w:rsid w:val="00952B06"/>
    <w:rsid w:val="00FB3B6B"/>
    <w:rsid w:val="01452877"/>
    <w:rsid w:val="0A2F40E0"/>
    <w:rsid w:val="13BC13BB"/>
    <w:rsid w:val="17615AA6"/>
    <w:rsid w:val="1AF61700"/>
    <w:rsid w:val="1D400C2C"/>
    <w:rsid w:val="1DE15ACF"/>
    <w:rsid w:val="1E5310FE"/>
    <w:rsid w:val="1EF03036"/>
    <w:rsid w:val="214645F0"/>
    <w:rsid w:val="223D2219"/>
    <w:rsid w:val="25CE2DFD"/>
    <w:rsid w:val="29936A0F"/>
    <w:rsid w:val="2A024B7D"/>
    <w:rsid w:val="2CD704C4"/>
    <w:rsid w:val="313D6838"/>
    <w:rsid w:val="3439534A"/>
    <w:rsid w:val="367B174B"/>
    <w:rsid w:val="37C71EB1"/>
    <w:rsid w:val="38026B0B"/>
    <w:rsid w:val="42A05E68"/>
    <w:rsid w:val="4B2E1B3E"/>
    <w:rsid w:val="532F4E84"/>
    <w:rsid w:val="53FC7286"/>
    <w:rsid w:val="573F5008"/>
    <w:rsid w:val="594E260C"/>
    <w:rsid w:val="5CBE0754"/>
    <w:rsid w:val="5EE70DDC"/>
    <w:rsid w:val="621C76D2"/>
    <w:rsid w:val="626256CA"/>
    <w:rsid w:val="64A544D5"/>
    <w:rsid w:val="6A5B2BA2"/>
    <w:rsid w:val="6CB23063"/>
    <w:rsid w:val="782406B4"/>
    <w:rsid w:val="7C6A4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9"/>
    <w:pPr>
      <w:keepNext/>
      <w:keepLines/>
      <w:numPr>
        <w:ilvl w:val="1"/>
        <w:numId w:val="1"/>
      </w:numPr>
      <w:spacing w:before="260" w:after="260" w:line="413" w:lineRule="auto"/>
      <w:outlineLvl w:val="1"/>
    </w:pPr>
    <w:rPr>
      <w:rFonts w:ascii="Arial" w:hAnsi="Arial" w:eastAsia="黑体"/>
      <w:b/>
      <w:sz w:val="32"/>
    </w:rPr>
  </w:style>
  <w:style w:type="paragraph" w:styleId="5">
    <w:name w:val="heading 3"/>
    <w:basedOn w:val="1"/>
    <w:next w:val="1"/>
    <w:unhideWhenUsed/>
    <w:qFormat/>
    <w:uiPriority w:val="9"/>
    <w:pPr>
      <w:numPr>
        <w:ilvl w:val="2"/>
        <w:numId w:val="1"/>
      </w:numPr>
      <w:spacing w:beforeAutospacing="1" w:afterAutospacing="1"/>
      <w:jc w:val="left"/>
      <w:outlineLvl w:val="2"/>
    </w:pPr>
    <w:rPr>
      <w:rFonts w:hint="eastAsia" w:ascii="宋体" w:hAnsi="宋体" w:eastAsia="宋体" w:cs="Times New Roman"/>
      <w:b/>
      <w:bCs/>
      <w:kern w:val="0"/>
      <w:sz w:val="27"/>
      <w:szCs w:val="27"/>
    </w:rPr>
  </w:style>
  <w:style w:type="paragraph" w:styleId="6">
    <w:name w:val="heading 5"/>
    <w:basedOn w:val="1"/>
    <w:next w:val="1"/>
    <w:semiHidden/>
    <w:unhideWhenUsed/>
    <w:qFormat/>
    <w:uiPriority w:val="0"/>
    <w:pPr>
      <w:keepNext/>
      <w:keepLines/>
      <w:spacing w:line="372" w:lineRule="auto"/>
      <w:outlineLvl w:val="4"/>
    </w:pPr>
    <w:rPr>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文本）"/>
    <w:qFormat/>
    <w:uiPriority w:val="99"/>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styleId="7">
    <w:name w:val="Normal Indent"/>
    <w:basedOn w:val="1"/>
    <w:qFormat/>
    <w:uiPriority w:val="0"/>
    <w:pPr>
      <w:ind w:firstLine="420" w:firstLineChars="200"/>
    </w:pPr>
  </w:style>
  <w:style w:type="paragraph" w:styleId="8">
    <w:name w:val="Body Text"/>
    <w:basedOn w:val="1"/>
    <w:qFormat/>
    <w:uiPriority w:val="0"/>
    <w:rPr>
      <w:sz w:val="24"/>
    </w:rPr>
  </w:style>
  <w:style w:type="paragraph" w:styleId="9">
    <w:name w:val="footer"/>
    <w:basedOn w:val="1"/>
    <w:link w:val="32"/>
    <w:qFormat/>
    <w:uiPriority w:val="0"/>
    <w:pPr>
      <w:tabs>
        <w:tab w:val="center" w:pos="4153"/>
        <w:tab w:val="right" w:pos="8306"/>
      </w:tabs>
      <w:snapToGrid w:val="0"/>
      <w:jc w:val="left"/>
    </w:pPr>
    <w:rPr>
      <w:sz w:val="18"/>
      <w:szCs w:val="18"/>
    </w:rPr>
  </w:style>
  <w:style w:type="paragraph" w:styleId="10">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z6"/>
    <w:basedOn w:val="1"/>
    <w:qFormat/>
    <w:uiPriority w:val="0"/>
    <w:pPr>
      <w:numPr>
        <w:ilvl w:val="5"/>
        <w:numId w:val="2"/>
      </w:numPr>
      <w:snapToGrid w:val="0"/>
      <w:spacing w:line="300" w:lineRule="auto"/>
      <w:jc w:val="left"/>
      <w:outlineLvl w:val="5"/>
    </w:pPr>
    <w:rPr>
      <w:rFonts w:ascii="黑体" w:hAnsi="黑体" w:eastAsia="宋体" w:cs="Times New Roman"/>
      <w:b/>
      <w:sz w:val="28"/>
    </w:rPr>
  </w:style>
  <w:style w:type="paragraph" w:customStyle="1" w:styleId="14">
    <w:name w:val="z1"/>
    <w:basedOn w:val="1"/>
    <w:qFormat/>
    <w:uiPriority w:val="0"/>
    <w:pPr>
      <w:numPr>
        <w:ilvl w:val="0"/>
        <w:numId w:val="2"/>
      </w:numPr>
    </w:pPr>
    <w:rPr>
      <w:rFonts w:ascii="Times New Roman" w:hAnsi="Times New Roman" w:eastAsia="宋体" w:cs="Times New Roman"/>
      <w:bCs/>
      <w:sz w:val="24"/>
      <w:szCs w:val="24"/>
    </w:rPr>
  </w:style>
  <w:style w:type="paragraph" w:customStyle="1" w:styleId="15">
    <w:name w:val="z2"/>
    <w:basedOn w:val="1"/>
    <w:qFormat/>
    <w:uiPriority w:val="0"/>
    <w:pPr>
      <w:numPr>
        <w:ilvl w:val="1"/>
        <w:numId w:val="2"/>
      </w:numPr>
    </w:pPr>
    <w:rPr>
      <w:rFonts w:ascii="Times New Roman" w:hAnsi="Times New Roman" w:eastAsia="宋体" w:cs="Times New Roman"/>
      <w:bCs/>
      <w:sz w:val="24"/>
      <w:szCs w:val="24"/>
    </w:rPr>
  </w:style>
  <w:style w:type="paragraph" w:customStyle="1" w:styleId="16">
    <w:name w:val="z3"/>
    <w:basedOn w:val="1"/>
    <w:qFormat/>
    <w:uiPriority w:val="0"/>
    <w:pPr>
      <w:numPr>
        <w:ilvl w:val="2"/>
        <w:numId w:val="2"/>
      </w:numPr>
    </w:pPr>
    <w:rPr>
      <w:rFonts w:ascii="Times New Roman" w:hAnsi="Times New Roman" w:eastAsia="宋体" w:cs="Times New Roman"/>
      <w:bCs/>
      <w:sz w:val="24"/>
      <w:szCs w:val="24"/>
    </w:rPr>
  </w:style>
  <w:style w:type="paragraph" w:customStyle="1" w:styleId="17">
    <w:name w:val="z4"/>
    <w:basedOn w:val="1"/>
    <w:qFormat/>
    <w:uiPriority w:val="0"/>
    <w:pPr>
      <w:numPr>
        <w:ilvl w:val="3"/>
        <w:numId w:val="2"/>
      </w:numPr>
    </w:pPr>
    <w:rPr>
      <w:rFonts w:ascii="Times New Roman" w:hAnsi="Times New Roman" w:eastAsia="宋体" w:cs="Times New Roman"/>
      <w:bCs/>
      <w:sz w:val="24"/>
      <w:szCs w:val="24"/>
    </w:rPr>
  </w:style>
  <w:style w:type="paragraph" w:customStyle="1" w:styleId="18">
    <w:name w:val="z5"/>
    <w:basedOn w:val="6"/>
    <w:qFormat/>
    <w:uiPriority w:val="0"/>
    <w:pPr>
      <w:numPr>
        <w:ilvl w:val="4"/>
        <w:numId w:val="2"/>
      </w:numPr>
      <w:tabs>
        <w:tab w:val="left" w:pos="1008"/>
      </w:tabs>
      <w:snapToGrid w:val="0"/>
      <w:spacing w:line="300" w:lineRule="auto"/>
      <w:jc w:val="left"/>
    </w:pPr>
    <w:rPr>
      <w:rFonts w:ascii="Times New Roman" w:hAnsi="Times New Roman" w:eastAsia="宋体" w:cs="Times New Roman"/>
      <w:bCs/>
      <w:sz w:val="24"/>
      <w:szCs w:val="24"/>
    </w:rPr>
  </w:style>
  <w:style w:type="paragraph" w:customStyle="1" w:styleId="19">
    <w:name w:val="w1"/>
    <w:basedOn w:val="1"/>
    <w:qFormat/>
    <w:uiPriority w:val="0"/>
    <w:pPr>
      <w:numPr>
        <w:ilvl w:val="0"/>
        <w:numId w:val="3"/>
      </w:numPr>
    </w:pPr>
    <w:rPr>
      <w:rFonts w:ascii="Times New Roman" w:hAnsi="Times New Roman" w:eastAsia="宋体" w:cs="Times New Roman"/>
      <w:sz w:val="24"/>
    </w:rPr>
  </w:style>
  <w:style w:type="paragraph" w:customStyle="1" w:styleId="20">
    <w:name w:val="C1"/>
    <w:basedOn w:val="3"/>
    <w:next w:val="1"/>
    <w:link w:val="28"/>
    <w:qFormat/>
    <w:uiPriority w:val="0"/>
    <w:pPr>
      <w:numPr>
        <w:ilvl w:val="0"/>
        <w:numId w:val="4"/>
      </w:numPr>
      <w:spacing w:line="480" w:lineRule="auto"/>
      <w:ind w:left="0" w:firstLine="0"/>
    </w:pPr>
    <w:rPr>
      <w:rFonts w:hint="eastAsia" w:ascii="Times New Roman" w:hAnsi="Times New Roman" w:eastAsia="宋体" w:cs="Times New Roman"/>
      <w:sz w:val="24"/>
    </w:rPr>
  </w:style>
  <w:style w:type="paragraph" w:customStyle="1" w:styleId="21">
    <w:name w:val="C2"/>
    <w:basedOn w:val="20"/>
    <w:qFormat/>
    <w:uiPriority w:val="0"/>
    <w:pPr>
      <w:numPr>
        <w:ilvl w:val="1"/>
      </w:numPr>
      <w:snapToGrid w:val="0"/>
      <w:spacing w:line="240" w:lineRule="auto"/>
      <w:ind w:left="0" w:firstLine="0"/>
      <w:outlineLvl w:val="1"/>
    </w:pPr>
    <w:rPr>
      <w:bCs/>
      <w:szCs w:val="24"/>
    </w:rPr>
  </w:style>
  <w:style w:type="paragraph" w:customStyle="1" w:styleId="22">
    <w:name w:val="C3"/>
    <w:basedOn w:val="21"/>
    <w:qFormat/>
    <w:uiPriority w:val="0"/>
    <w:pPr>
      <w:numPr>
        <w:ilvl w:val="2"/>
      </w:numPr>
      <w:ind w:left="0" w:firstLine="440" w:firstLineChars="100"/>
      <w:outlineLvl w:val="2"/>
    </w:pPr>
  </w:style>
  <w:style w:type="paragraph" w:customStyle="1" w:styleId="23">
    <w:name w:val="C4"/>
    <w:basedOn w:val="22"/>
    <w:qFormat/>
    <w:uiPriority w:val="0"/>
    <w:pPr>
      <w:numPr>
        <w:ilvl w:val="3"/>
      </w:numPr>
      <w:outlineLvl w:val="3"/>
    </w:pPr>
  </w:style>
  <w:style w:type="paragraph" w:customStyle="1" w:styleId="24">
    <w:name w:val="C5"/>
    <w:basedOn w:val="23"/>
    <w:qFormat/>
    <w:uiPriority w:val="0"/>
    <w:pPr>
      <w:numPr>
        <w:ilvl w:val="4"/>
      </w:numPr>
      <w:outlineLvl w:val="4"/>
    </w:pPr>
  </w:style>
  <w:style w:type="paragraph" w:customStyle="1" w:styleId="25">
    <w:name w:val="C6"/>
    <w:basedOn w:val="24"/>
    <w:qFormat/>
    <w:uiPriority w:val="0"/>
    <w:pPr>
      <w:numPr>
        <w:ilvl w:val="5"/>
      </w:numPr>
      <w:ind w:left="1275" w:hanging="1275"/>
      <w:outlineLvl w:val="5"/>
    </w:pPr>
  </w:style>
  <w:style w:type="paragraph" w:customStyle="1" w:styleId="26">
    <w:name w:val="C7"/>
    <w:basedOn w:val="25"/>
    <w:qFormat/>
    <w:uiPriority w:val="0"/>
    <w:pPr>
      <w:numPr>
        <w:ilvl w:val="6"/>
      </w:numPr>
    </w:pPr>
  </w:style>
  <w:style w:type="paragraph" w:styleId="27">
    <w:name w:val="List Paragraph"/>
    <w:basedOn w:val="1"/>
    <w:qFormat/>
    <w:uiPriority w:val="34"/>
    <w:pPr>
      <w:ind w:firstLine="420" w:firstLineChars="200"/>
    </w:pPr>
  </w:style>
  <w:style w:type="character" w:customStyle="1" w:styleId="28">
    <w:name w:val="C1 Char"/>
    <w:link w:val="20"/>
    <w:qFormat/>
    <w:uiPriority w:val="0"/>
    <w:rPr>
      <w:rFonts w:hint="eastAsia" w:ascii="Times New Roman" w:hAnsi="Times New Roman" w:eastAsia="宋体" w:cs="Times New Roman"/>
      <w:b/>
      <w:sz w:val="24"/>
    </w:rPr>
  </w:style>
  <w:style w:type="character" w:customStyle="1" w:styleId="29">
    <w:name w:val="font11"/>
    <w:basedOn w:val="12"/>
    <w:qFormat/>
    <w:uiPriority w:val="0"/>
    <w:rPr>
      <w:rFonts w:hint="eastAsia" w:ascii="宋体" w:hAnsi="宋体" w:eastAsia="宋体" w:cs="宋体"/>
      <w:color w:val="000000"/>
      <w:sz w:val="21"/>
      <w:szCs w:val="21"/>
      <w:u w:val="none"/>
    </w:rPr>
  </w:style>
  <w:style w:type="character" w:customStyle="1" w:styleId="30">
    <w:name w:val="font21"/>
    <w:basedOn w:val="12"/>
    <w:qFormat/>
    <w:uiPriority w:val="0"/>
    <w:rPr>
      <w:rFonts w:hint="eastAsia" w:ascii="宋体" w:hAnsi="宋体" w:eastAsia="宋体" w:cs="宋体"/>
      <w:color w:val="000000"/>
      <w:sz w:val="22"/>
      <w:szCs w:val="22"/>
      <w:u w:val="none"/>
    </w:rPr>
  </w:style>
  <w:style w:type="character" w:customStyle="1" w:styleId="31">
    <w:name w:val="页眉 Char"/>
    <w:basedOn w:val="12"/>
    <w:link w:val="10"/>
    <w:qFormat/>
    <w:uiPriority w:val="0"/>
    <w:rPr>
      <w:kern w:val="2"/>
      <w:sz w:val="18"/>
      <w:szCs w:val="18"/>
    </w:rPr>
  </w:style>
  <w:style w:type="character" w:customStyle="1" w:styleId="32">
    <w:name w:val="页脚 Char"/>
    <w:basedOn w:val="12"/>
    <w:link w:val="9"/>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1654</Words>
  <Characters>9430</Characters>
  <DocSecurity>0</DocSecurity>
  <Lines>78</Lines>
  <Paragraphs>22</Paragraphs>
  <ScaleCrop>false</ScaleCrop>
  <LinksUpToDate>false</LinksUpToDate>
  <CharactersWithSpaces>11062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2025-09-05T09:28:00Z</cp:lastPrinted>
  <dcterms:created xsi:type="dcterms:W3CDTF">2025-09-02T07:08:00Z</dcterms:created>
  <dcterms:modified xsi:type="dcterms:W3CDTF">2025-10-13T08:48:57Z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DF50036F4F004046AC065FC9E6CFBE38</vt:lpwstr>
  </property>
</Properties>
</file>