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2F6DF">
      <w:pPr>
        <w:jc w:val="center"/>
        <w:outlineLvl w:val="0"/>
        <w:rPr>
          <w:rFonts w:hint="eastAsia" w:ascii="宋体" w:hAnsi="宋体" w:eastAsia="宋体"/>
          <w:sz w:val="44"/>
          <w:szCs w:val="44"/>
        </w:rPr>
      </w:pPr>
      <w:r>
        <w:rPr>
          <w:rFonts w:hint="eastAsia" w:ascii="宋体" w:hAnsi="宋体" w:eastAsia="宋体"/>
          <w:sz w:val="44"/>
          <w:szCs w:val="44"/>
        </w:rPr>
        <w:t>长宁区道路交通拥堵预警系统</w:t>
      </w:r>
      <w:r>
        <w:rPr>
          <w:rFonts w:hint="eastAsia" w:ascii="宋体" w:hAnsi="宋体" w:eastAsia="宋体"/>
          <w:sz w:val="44"/>
          <w:szCs w:val="44"/>
          <w:lang w:val="en-US" w:eastAsia="zh-CN"/>
        </w:rPr>
        <w:t>建设</w:t>
      </w:r>
      <w:r>
        <w:rPr>
          <w:rFonts w:hint="eastAsia" w:ascii="宋体" w:hAnsi="宋体" w:eastAsia="宋体"/>
          <w:sz w:val="44"/>
          <w:szCs w:val="44"/>
        </w:rPr>
        <w:t>（二期）</w:t>
      </w:r>
    </w:p>
    <w:p w14:paraId="1A04EAE9">
      <w:pPr>
        <w:jc w:val="center"/>
        <w:outlineLvl w:val="0"/>
        <w:rPr>
          <w:rFonts w:hint="eastAsia"/>
        </w:rPr>
      </w:pPr>
      <w:r>
        <w:rPr>
          <w:rFonts w:hint="eastAsia" w:ascii="宋体" w:hAnsi="宋体" w:eastAsia="宋体"/>
          <w:sz w:val="44"/>
          <w:szCs w:val="44"/>
          <w:lang w:val="en-US" w:eastAsia="zh-CN"/>
        </w:rPr>
        <w:t>竞争性磋商</w:t>
      </w:r>
      <w:r>
        <w:rPr>
          <w:rFonts w:hint="eastAsia" w:ascii="宋体" w:hAnsi="宋体" w:eastAsia="宋体"/>
          <w:sz w:val="44"/>
          <w:szCs w:val="44"/>
        </w:rPr>
        <w:t>项目需求文件</w:t>
      </w:r>
    </w:p>
    <w:p w14:paraId="401087CF">
      <w:pPr>
        <w:rPr>
          <w:rFonts w:hint="eastAsia"/>
        </w:rPr>
      </w:pPr>
    </w:p>
    <w:p w14:paraId="58B2B7E3">
      <w:pPr>
        <w:adjustRightInd w:val="0"/>
        <w:snapToGrid w:val="0"/>
        <w:spacing w:line="360" w:lineRule="auto"/>
        <w:outlineLvl w:val="0"/>
        <w:rPr>
          <w:rFonts w:ascii="宋体" w:hAnsi="宋体" w:eastAsia="宋体"/>
          <w:b/>
          <w:sz w:val="24"/>
          <w:szCs w:val="24"/>
        </w:rPr>
      </w:pPr>
      <w:r>
        <w:rPr>
          <w:rFonts w:hint="eastAsia" w:ascii="宋体" w:hAnsi="宋体" w:eastAsia="宋体"/>
          <w:b/>
          <w:sz w:val="24"/>
          <w:szCs w:val="24"/>
          <w:lang w:val="en-US" w:eastAsia="zh-CN"/>
        </w:rPr>
        <w:t>一</w:t>
      </w:r>
      <w:r>
        <w:rPr>
          <w:rFonts w:hint="eastAsia" w:ascii="宋体" w:hAnsi="宋体" w:eastAsia="宋体"/>
          <w:b/>
          <w:sz w:val="24"/>
          <w:szCs w:val="24"/>
        </w:rPr>
        <w:t xml:space="preserve">、项目概况         </w:t>
      </w:r>
    </w:p>
    <w:p w14:paraId="1F0E3C9E">
      <w:pPr>
        <w:adjustRightInd w:val="0"/>
        <w:snapToGrid w:val="0"/>
        <w:spacing w:line="360" w:lineRule="auto"/>
        <w:ind w:firstLine="424" w:firstLineChars="177"/>
        <w:outlineLvl w:val="1"/>
        <w:rPr>
          <w:rFonts w:hint="eastAsia" w:ascii="宋体" w:hAnsi="宋体" w:eastAsia="宋体"/>
          <w:sz w:val="24"/>
          <w:szCs w:val="24"/>
          <w:lang w:eastAsia="zh-CN"/>
        </w:rPr>
      </w:pPr>
      <w:r>
        <w:rPr>
          <w:rFonts w:hint="eastAsia" w:ascii="宋体" w:hAnsi="宋体" w:eastAsia="宋体"/>
          <w:sz w:val="24"/>
          <w:szCs w:val="24"/>
          <w:lang w:val="en-US" w:eastAsia="zh-CN"/>
        </w:rPr>
        <w:t>1</w:t>
      </w:r>
      <w:r>
        <w:rPr>
          <w:rFonts w:hint="eastAsia" w:ascii="宋体" w:hAnsi="宋体" w:eastAsia="宋体"/>
          <w:sz w:val="24"/>
          <w:szCs w:val="24"/>
        </w:rPr>
        <w:t>.1  项目背景</w:t>
      </w:r>
    </w:p>
    <w:p w14:paraId="1DE175BA">
      <w:pPr>
        <w:pStyle w:val="5"/>
        <w:kinsoku w:val="0"/>
        <w:overflowPunct w:val="0"/>
        <w:spacing w:line="360" w:lineRule="auto"/>
        <w:ind w:right="294" w:rightChars="140" w:firstLine="440" w:firstLineChars="200"/>
        <w:jc w:val="both"/>
        <w:rPr>
          <w:rFonts w:hint="eastAsia" w:ascii="宋体" w:hAnsi="宋体" w:eastAsia="宋体" w:cs="宋体"/>
          <w:spacing w:val="-10"/>
          <w:sz w:val="24"/>
          <w:szCs w:val="24"/>
        </w:rPr>
      </w:pPr>
      <w:r>
        <w:rPr>
          <w:rFonts w:hint="eastAsia" w:ascii="宋体" w:hAnsi="宋体" w:eastAsia="宋体" w:cs="宋体"/>
          <w:spacing w:val="-10"/>
          <w:sz w:val="24"/>
          <w:szCs w:val="24"/>
        </w:rPr>
        <w:t>随着</w:t>
      </w:r>
      <w:r>
        <w:rPr>
          <w:rFonts w:hint="eastAsia" w:ascii="宋体" w:hAnsi="宋体" w:eastAsia="宋体" w:cs="宋体"/>
          <w:spacing w:val="-10"/>
          <w:sz w:val="24"/>
          <w:szCs w:val="24"/>
          <w:lang w:val="en-US" w:eastAsia="zh-CN"/>
        </w:rPr>
        <w:t>长宁区道路交通拥堵预警系统</w:t>
      </w:r>
      <w:r>
        <w:rPr>
          <w:rFonts w:hint="eastAsia" w:ascii="宋体" w:hAnsi="宋体" w:eastAsia="宋体" w:cs="宋体"/>
          <w:spacing w:val="-10"/>
          <w:sz w:val="24"/>
          <w:szCs w:val="24"/>
        </w:rPr>
        <w:t>的建设完毕并投入使用，长宁复杂的高架</w:t>
      </w:r>
      <w:r>
        <w:rPr>
          <w:rFonts w:hint="eastAsia" w:ascii="宋体" w:hAnsi="宋体" w:eastAsia="宋体" w:cs="宋体"/>
          <w:spacing w:val="-10"/>
          <w:sz w:val="24"/>
          <w:szCs w:val="24"/>
          <w:lang w:val="en-US" w:eastAsia="zh-CN"/>
        </w:rPr>
        <w:t>和</w:t>
      </w:r>
      <w:r>
        <w:rPr>
          <w:rFonts w:hint="eastAsia" w:ascii="宋体" w:hAnsi="宋体" w:eastAsia="宋体" w:cs="宋体"/>
          <w:spacing w:val="-10"/>
          <w:sz w:val="24"/>
          <w:szCs w:val="24"/>
        </w:rPr>
        <w:t>路面的</w:t>
      </w:r>
      <w:r>
        <w:rPr>
          <w:rFonts w:hint="eastAsia" w:ascii="宋体" w:hAnsi="宋体" w:eastAsia="宋体" w:cs="宋体"/>
          <w:spacing w:val="-10"/>
          <w:sz w:val="24"/>
          <w:szCs w:val="24"/>
          <w:lang w:val="en-US" w:eastAsia="zh-CN"/>
        </w:rPr>
        <w:t>混合</w:t>
      </w:r>
      <w:r>
        <w:rPr>
          <w:rFonts w:hint="eastAsia" w:ascii="宋体" w:hAnsi="宋体" w:eastAsia="宋体" w:cs="宋体"/>
          <w:spacing w:val="-10"/>
          <w:sz w:val="24"/>
          <w:szCs w:val="24"/>
        </w:rPr>
        <w:t>道路环境对堵点预警和等灯拥堵预警提出了更高的</w:t>
      </w:r>
      <w:r>
        <w:rPr>
          <w:rFonts w:hint="eastAsia" w:ascii="宋体" w:hAnsi="宋体" w:eastAsia="宋体" w:cs="宋体"/>
          <w:spacing w:val="-10"/>
          <w:sz w:val="24"/>
          <w:szCs w:val="24"/>
          <w:lang w:val="en-US" w:eastAsia="zh-CN"/>
        </w:rPr>
        <w:t>业务</w:t>
      </w:r>
      <w:r>
        <w:rPr>
          <w:rFonts w:hint="eastAsia" w:ascii="宋体" w:hAnsi="宋体" w:eastAsia="宋体" w:cs="宋体"/>
          <w:spacing w:val="-10"/>
          <w:sz w:val="24"/>
          <w:szCs w:val="24"/>
        </w:rPr>
        <w:t>要求</w:t>
      </w:r>
      <w:r>
        <w:rPr>
          <w:rFonts w:hint="eastAsia" w:ascii="宋体" w:hAnsi="宋体" w:eastAsia="宋体" w:cs="宋体"/>
          <w:spacing w:val="-10"/>
          <w:sz w:val="24"/>
          <w:szCs w:val="24"/>
          <w:lang w:val="en-US" w:eastAsia="zh-CN"/>
        </w:rPr>
        <w:t>和</w:t>
      </w:r>
      <w:r>
        <w:rPr>
          <w:rFonts w:hint="eastAsia" w:ascii="宋体" w:hAnsi="宋体" w:eastAsia="宋体" w:cs="宋体"/>
          <w:spacing w:val="-10"/>
          <w:sz w:val="24"/>
          <w:szCs w:val="24"/>
        </w:rPr>
        <w:t>精细度</w:t>
      </w:r>
      <w:r>
        <w:rPr>
          <w:rFonts w:hint="eastAsia" w:ascii="宋体" w:hAnsi="宋体" w:eastAsia="宋体" w:cs="宋体"/>
          <w:spacing w:val="-10"/>
          <w:sz w:val="24"/>
          <w:szCs w:val="24"/>
          <w:lang w:val="en-US" w:eastAsia="zh-CN"/>
        </w:rPr>
        <w:t>要求</w:t>
      </w:r>
      <w:r>
        <w:rPr>
          <w:rFonts w:hint="eastAsia" w:ascii="宋体" w:hAnsi="宋体" w:eastAsia="宋体" w:cs="宋体"/>
          <w:spacing w:val="-10"/>
          <w:sz w:val="24"/>
          <w:szCs w:val="24"/>
        </w:rPr>
        <w:t>。结合长宁交警实战需要，</w:t>
      </w:r>
      <w:r>
        <w:rPr>
          <w:rFonts w:hint="eastAsia" w:ascii="宋体" w:hAnsi="宋体" w:eastAsia="宋体" w:cs="宋体"/>
          <w:spacing w:val="-10"/>
          <w:sz w:val="24"/>
          <w:szCs w:val="24"/>
          <w:lang w:val="en-US" w:eastAsia="zh-CN"/>
        </w:rPr>
        <w:t>长宁区道路交通拥堵预警系统</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二期</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需要在原有</w:t>
      </w:r>
      <w:r>
        <w:rPr>
          <w:rFonts w:hint="eastAsia" w:ascii="宋体" w:hAnsi="宋体" w:eastAsia="宋体" w:cs="宋体"/>
          <w:spacing w:val="-10"/>
          <w:sz w:val="24"/>
          <w:szCs w:val="24"/>
          <w:lang w:val="en-US" w:eastAsia="zh-CN"/>
        </w:rPr>
        <w:t>系统的基础上</w:t>
      </w:r>
      <w:r>
        <w:rPr>
          <w:rFonts w:hint="eastAsia" w:ascii="宋体" w:hAnsi="宋体" w:eastAsia="宋体" w:cs="宋体"/>
          <w:spacing w:val="-10"/>
          <w:sz w:val="24"/>
          <w:szCs w:val="24"/>
        </w:rPr>
        <w:t>进一步提高更精细</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更适合</w:t>
      </w:r>
      <w:r>
        <w:rPr>
          <w:rFonts w:hint="eastAsia" w:ascii="宋体" w:hAnsi="宋体" w:eastAsia="宋体" w:cs="宋体"/>
          <w:spacing w:val="-10"/>
          <w:sz w:val="24"/>
          <w:szCs w:val="24"/>
          <w:lang w:val="en-US" w:eastAsia="zh-CN"/>
        </w:rPr>
        <w:t>满足当前业务需求</w:t>
      </w:r>
      <w:r>
        <w:rPr>
          <w:rFonts w:hint="eastAsia" w:ascii="宋体" w:hAnsi="宋体" w:eastAsia="宋体" w:cs="宋体"/>
          <w:spacing w:val="-10"/>
          <w:sz w:val="24"/>
          <w:szCs w:val="24"/>
        </w:rPr>
        <w:t>的路况预警</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缓堵治理等功能</w:t>
      </w:r>
      <w:r>
        <w:rPr>
          <w:rFonts w:hint="eastAsia" w:ascii="宋体" w:hAnsi="宋体" w:eastAsia="宋体" w:cs="宋体"/>
          <w:spacing w:val="-10"/>
          <w:sz w:val="24"/>
          <w:szCs w:val="24"/>
        </w:rPr>
        <w:t>。通过堵点分析，预警分析等算法，提出堵点治理方案并接收治理反馈</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完成预警拥堵、处置拥堵、收集反馈的业务闭环。以此来应对更多复杂的交通环境，</w:t>
      </w:r>
      <w:r>
        <w:rPr>
          <w:rFonts w:hint="eastAsia" w:ascii="宋体" w:hAnsi="宋体" w:eastAsia="宋体" w:cs="宋体"/>
          <w:spacing w:val="-10"/>
          <w:sz w:val="24"/>
          <w:szCs w:val="24"/>
          <w:lang w:val="en-US" w:eastAsia="zh-CN"/>
        </w:rPr>
        <w:t>满足</w:t>
      </w:r>
      <w:r>
        <w:rPr>
          <w:rFonts w:hint="eastAsia" w:ascii="宋体" w:hAnsi="宋体" w:eastAsia="宋体" w:cs="宋体"/>
          <w:spacing w:val="-10"/>
          <w:sz w:val="24"/>
          <w:szCs w:val="24"/>
        </w:rPr>
        <w:t>不同时空维度的交通指标来反应道路交通瓶颈点、隐患点，进行规律分析、致因诊断为交通管理提供更加智能化、精准化的支撑服务。</w:t>
      </w:r>
    </w:p>
    <w:p w14:paraId="6946AD4C">
      <w:pPr>
        <w:adjustRightInd w:val="0"/>
        <w:snapToGrid w:val="0"/>
        <w:spacing w:line="360" w:lineRule="auto"/>
        <w:ind w:firstLine="424" w:firstLineChars="177"/>
        <w:outlineLvl w:val="1"/>
        <w:rPr>
          <w:rFonts w:hint="eastAsia"/>
          <w:lang w:eastAsia="zh-CN"/>
        </w:rPr>
      </w:pPr>
      <w:bookmarkStart w:id="0" w:name="_Toc17778"/>
      <w:r>
        <w:rPr>
          <w:rFonts w:hint="eastAsia" w:ascii="宋体" w:hAnsi="宋体" w:eastAsia="宋体"/>
          <w:sz w:val="24"/>
          <w:szCs w:val="24"/>
          <w:lang w:val="en-US" w:eastAsia="zh-CN"/>
        </w:rPr>
        <w:t>1</w:t>
      </w: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 xml:space="preserve">  </w:t>
      </w:r>
      <w:r>
        <w:rPr>
          <w:rFonts w:hint="eastAsia" w:ascii="宋体" w:hAnsi="宋体" w:eastAsia="宋体"/>
          <w:sz w:val="24"/>
          <w:szCs w:val="24"/>
          <w:lang w:val="en-US" w:eastAsia="zh-CN"/>
        </w:rPr>
        <w:t>建设内容</w:t>
      </w:r>
      <w:bookmarkEnd w:id="0"/>
    </w:p>
    <w:p w14:paraId="6538615F">
      <w:pPr>
        <w:pStyle w:val="5"/>
        <w:kinsoku w:val="0"/>
        <w:overflowPunct w:val="0"/>
        <w:spacing w:line="360" w:lineRule="auto"/>
        <w:ind w:right="294" w:rightChars="140" w:firstLine="440" w:firstLineChars="200"/>
        <w:jc w:val="both"/>
        <w:rPr>
          <w:rFonts w:hint="eastAsia" w:ascii="宋体" w:hAnsi="宋体" w:eastAsia="宋体"/>
          <w:sz w:val="24"/>
          <w:szCs w:val="24"/>
        </w:rPr>
      </w:pPr>
      <w:r>
        <w:rPr>
          <w:rFonts w:hint="eastAsia" w:ascii="宋体" w:hAnsi="宋体" w:eastAsia="宋体" w:cs="宋体"/>
          <w:spacing w:val="-10"/>
          <w:sz w:val="24"/>
          <w:szCs w:val="24"/>
          <w:lang w:val="en-US" w:eastAsia="zh-CN"/>
        </w:rPr>
        <w:t>本项目在已建长宁区道路交通拥堵预警系统的基础上需求迭代和功能优化，通过对接公安网高德数据服务平台获取交通数据服务，通过对接互联网数据采集服务器获取拥堵，路况等数据服务</w:t>
      </w:r>
      <w:r>
        <w:rPr>
          <w:rFonts w:hint="eastAsia" w:ascii="宋体" w:hAnsi="宋体" w:eastAsia="宋体" w:cs="宋体"/>
          <w:spacing w:val="-10"/>
          <w:sz w:val="24"/>
          <w:szCs w:val="24"/>
        </w:rPr>
        <w:t>，基于GIS引擎，采用融合分析和深度挖掘技术，实现</w:t>
      </w:r>
      <w:r>
        <w:rPr>
          <w:rFonts w:hint="eastAsia" w:ascii="宋体" w:hAnsi="宋体" w:eastAsia="宋体" w:cs="宋体"/>
          <w:spacing w:val="-10"/>
          <w:sz w:val="24"/>
          <w:szCs w:val="24"/>
          <w:lang w:val="en-US" w:eastAsia="zh-CN"/>
        </w:rPr>
        <w:t>态势感知可视化</w:t>
      </w:r>
      <w:r>
        <w:rPr>
          <w:rFonts w:hint="eastAsia" w:ascii="宋体" w:hAnsi="宋体" w:eastAsia="宋体" w:cs="宋体"/>
          <w:spacing w:val="-10"/>
          <w:sz w:val="24"/>
          <w:szCs w:val="24"/>
        </w:rPr>
        <w:t>、实时预警、历史预警、统计分析、缓堵治理、以及预警配置六大应用，为交通管理提供更加智能化、精准化的支撑服务。</w:t>
      </w:r>
    </w:p>
    <w:p w14:paraId="2C45E568">
      <w:pPr>
        <w:adjustRightInd w:val="0"/>
        <w:snapToGrid w:val="0"/>
        <w:spacing w:line="360" w:lineRule="auto"/>
        <w:ind w:firstLine="424" w:firstLineChars="177"/>
      </w:pPr>
      <w:r>
        <w:rPr>
          <w:rFonts w:hint="eastAsia" w:ascii="宋体" w:hAnsi="宋体" w:eastAsia="宋体"/>
          <w:sz w:val="24"/>
          <w:szCs w:val="24"/>
          <w:lang w:val="en-US" w:eastAsia="zh-CN"/>
        </w:rPr>
        <w:t>1</w:t>
      </w: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 xml:space="preserve">  服务时间：</w:t>
      </w:r>
      <w:r>
        <w:rPr>
          <w:rFonts w:hint="eastAsia" w:ascii="宋体" w:hAnsi="宋体" w:eastAsia="宋体" w:cs="宋体"/>
          <w:kern w:val="0"/>
          <w:sz w:val="24"/>
          <w:szCs w:val="24"/>
          <w:lang w:eastAsia="zh-CN"/>
        </w:rPr>
        <w:t>本项目全部工作内容应在</w:t>
      </w:r>
      <w:bookmarkStart w:id="16" w:name="_GoBack"/>
      <w:r>
        <w:rPr>
          <w:rFonts w:hint="eastAsia" w:ascii="宋体" w:hAnsi="宋体" w:eastAsia="宋体" w:cs="宋体"/>
          <w:kern w:val="0"/>
          <w:sz w:val="24"/>
          <w:szCs w:val="24"/>
          <w:lang w:val="en-US" w:eastAsia="zh-CN"/>
        </w:rPr>
        <w:t>45</w:t>
      </w:r>
      <w:bookmarkEnd w:id="16"/>
      <w:r>
        <w:rPr>
          <w:rFonts w:hint="eastAsia" w:ascii="宋体" w:hAnsi="宋体" w:eastAsia="宋体" w:cs="宋体"/>
          <w:kern w:val="0"/>
          <w:sz w:val="24"/>
          <w:szCs w:val="24"/>
          <w:lang w:val="en-US" w:eastAsia="zh-CN"/>
        </w:rPr>
        <w:t>天</w:t>
      </w:r>
      <w:r>
        <w:rPr>
          <w:rFonts w:hint="eastAsia" w:ascii="宋体" w:hAnsi="宋体" w:eastAsia="宋体" w:cs="宋体"/>
          <w:kern w:val="0"/>
          <w:sz w:val="24"/>
          <w:szCs w:val="24"/>
          <w:lang w:eastAsia="zh-CN"/>
        </w:rPr>
        <w:t>内完成。</w:t>
      </w:r>
    </w:p>
    <w:p w14:paraId="27BFB1CE">
      <w:pPr>
        <w:adjustRightInd w:val="0"/>
        <w:snapToGrid w:val="0"/>
        <w:spacing w:line="360" w:lineRule="auto"/>
        <w:ind w:firstLine="424" w:firstLineChars="177"/>
        <w:rPr>
          <w:rFonts w:hint="default" w:ascii="宋体" w:hAnsi="宋体" w:eastAsia="宋体"/>
          <w:lang w:val="en-US" w:eastAsia="zh-CN"/>
        </w:rPr>
      </w:pPr>
      <w:r>
        <w:rPr>
          <w:rFonts w:hint="eastAsia" w:ascii="宋体" w:hAnsi="宋体" w:eastAsia="宋体"/>
          <w:sz w:val="24"/>
          <w:szCs w:val="24"/>
          <w:lang w:val="en-US" w:eastAsia="zh-CN"/>
        </w:rPr>
        <w:t>1</w:t>
      </w:r>
      <w:r>
        <w:rPr>
          <w:rFonts w:hint="eastAsia" w:ascii="宋体" w:hAnsi="宋体" w:eastAsia="宋体"/>
          <w:sz w:val="24"/>
          <w:szCs w:val="24"/>
        </w:rPr>
        <w:t>.</w:t>
      </w:r>
      <w:r>
        <w:rPr>
          <w:rFonts w:hint="eastAsia" w:ascii="宋体" w:hAnsi="宋体" w:eastAsia="宋体"/>
          <w:sz w:val="24"/>
          <w:szCs w:val="24"/>
          <w:lang w:val="en-US" w:eastAsia="zh-CN"/>
        </w:rPr>
        <w:t>4</w:t>
      </w:r>
      <w:r>
        <w:rPr>
          <w:rFonts w:hint="eastAsia" w:ascii="宋体" w:hAnsi="宋体" w:eastAsia="宋体"/>
          <w:sz w:val="24"/>
          <w:szCs w:val="24"/>
        </w:rPr>
        <w:t xml:space="preserve">  服务地点：</w:t>
      </w:r>
      <w:r>
        <w:rPr>
          <w:rFonts w:hint="eastAsia" w:ascii="宋体" w:hAnsi="宋体" w:eastAsia="宋体"/>
          <w:sz w:val="24"/>
          <w:szCs w:val="24"/>
          <w:lang w:val="en-US" w:eastAsia="zh-CN"/>
        </w:rPr>
        <w:t>上海市长宁区长宁分局交警支队</w:t>
      </w:r>
    </w:p>
    <w:p w14:paraId="44E042A1">
      <w:pPr>
        <w:adjustRightInd w:val="0"/>
        <w:snapToGrid w:val="0"/>
        <w:spacing w:line="360" w:lineRule="auto"/>
        <w:outlineLvl w:val="0"/>
        <w:rPr>
          <w:rFonts w:ascii="宋体" w:hAnsi="宋体" w:eastAsia="宋体"/>
          <w:b/>
          <w:sz w:val="24"/>
          <w:szCs w:val="24"/>
        </w:rPr>
      </w:pPr>
      <w:r>
        <w:rPr>
          <w:rFonts w:hint="eastAsia" w:ascii="宋体" w:hAnsi="宋体" w:eastAsia="宋体"/>
          <w:b/>
          <w:sz w:val="24"/>
          <w:szCs w:val="24"/>
          <w:lang w:val="en-US" w:eastAsia="zh-CN"/>
        </w:rPr>
        <w:t>二</w:t>
      </w:r>
      <w:r>
        <w:rPr>
          <w:rFonts w:hint="eastAsia" w:ascii="宋体" w:hAnsi="宋体" w:eastAsia="宋体"/>
          <w:b/>
          <w:sz w:val="24"/>
          <w:szCs w:val="24"/>
        </w:rPr>
        <w:t>、服务内容及要求</w:t>
      </w:r>
    </w:p>
    <w:p w14:paraId="3A82D0B7">
      <w:pPr>
        <w:adjustRightInd w:val="0"/>
        <w:snapToGrid w:val="0"/>
        <w:spacing w:line="360" w:lineRule="auto"/>
        <w:ind w:firstLine="424" w:firstLineChars="177"/>
        <w:outlineLvl w:val="1"/>
        <w:rPr>
          <w:rFonts w:hint="eastAsia" w:ascii="宋体" w:hAnsi="宋体" w:eastAsia="宋体"/>
          <w:sz w:val="24"/>
          <w:szCs w:val="24"/>
        </w:rPr>
      </w:pPr>
      <w:r>
        <w:rPr>
          <w:rFonts w:hint="eastAsia" w:ascii="宋体" w:hAnsi="宋体" w:eastAsia="宋体"/>
          <w:sz w:val="24"/>
          <w:szCs w:val="24"/>
        </w:rPr>
        <w:t>2.1  系统功能要求</w:t>
      </w:r>
    </w:p>
    <w:p w14:paraId="7516D401">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rPr>
        <w:t>通过感知和评估交通路况数据，评估路口的交通效率，包括交通延误、排队长度、等灯次数等。通过这些数据评估用户对路口的感受和满意度并进行数据分析和解释</w:t>
      </w:r>
      <w:r>
        <w:rPr>
          <w:rFonts w:hint="eastAsia" w:ascii="宋体" w:hAnsi="宋体" w:eastAsia="宋体" w:cs="宋体"/>
          <w:spacing w:val="-10"/>
          <w:sz w:val="24"/>
          <w:szCs w:val="24"/>
          <w:lang w:val="en-US" w:eastAsia="zh-CN"/>
        </w:rPr>
        <w:t>，</w:t>
      </w:r>
      <w:r>
        <w:rPr>
          <w:rFonts w:hint="eastAsia" w:ascii="宋体" w:hAnsi="宋体" w:eastAsia="宋体" w:cs="宋体"/>
          <w:spacing w:val="-10"/>
          <w:sz w:val="24"/>
          <w:szCs w:val="24"/>
          <w:lang w:val="en-US"/>
        </w:rPr>
        <w:t>帮助</w:t>
      </w:r>
      <w:r>
        <w:rPr>
          <w:rFonts w:hint="eastAsia" w:ascii="宋体" w:hAnsi="宋体" w:eastAsia="宋体" w:cs="宋体"/>
          <w:spacing w:val="-10"/>
          <w:sz w:val="24"/>
          <w:szCs w:val="24"/>
          <w:lang w:val="en-US" w:eastAsia="zh-CN"/>
        </w:rPr>
        <w:t>长宁区交警</w:t>
      </w:r>
      <w:r>
        <w:rPr>
          <w:rFonts w:hint="eastAsia" w:ascii="宋体" w:hAnsi="宋体" w:eastAsia="宋体" w:cs="宋体"/>
          <w:spacing w:val="-10"/>
          <w:sz w:val="24"/>
          <w:szCs w:val="24"/>
          <w:lang w:val="en-US"/>
        </w:rPr>
        <w:t>了解路口的实际情况，并制定相应的改善措施和交通管理策略。评价的结果可以用于改进交通规划、信号控制和交通安全措施，以提升路口的效率和用户体验。</w:t>
      </w:r>
      <w:r>
        <w:rPr>
          <w:rFonts w:hint="eastAsia" w:ascii="宋体" w:hAnsi="宋体" w:eastAsia="宋体" w:cs="宋体"/>
          <w:spacing w:val="-10"/>
          <w:sz w:val="24"/>
          <w:szCs w:val="24"/>
          <w:lang w:val="en-US" w:eastAsia="zh-CN"/>
        </w:rPr>
        <w:t>本次项目主要在以下功能做了迭代和优化：</w:t>
      </w:r>
    </w:p>
    <w:p w14:paraId="0D941F2F">
      <w:pPr>
        <w:pStyle w:val="5"/>
        <w:kinsoku w:val="0"/>
        <w:overflowPunct w:val="0"/>
        <w:spacing w:line="360" w:lineRule="auto"/>
        <w:ind w:right="294" w:rightChars="140" w:firstLine="420"/>
        <w:jc w:val="both"/>
        <w:outlineLvl w:val="2"/>
        <w:rPr>
          <w:rFonts w:hint="eastAsia" w:ascii="宋体" w:hAnsi="宋体" w:eastAsia="宋体"/>
          <w:sz w:val="24"/>
          <w:szCs w:val="24"/>
        </w:rPr>
      </w:pPr>
      <w:r>
        <w:rPr>
          <w:rFonts w:hint="eastAsia" w:ascii="宋体" w:hAnsi="宋体" w:eastAsia="宋体"/>
          <w:sz w:val="24"/>
          <w:szCs w:val="24"/>
        </w:rPr>
        <w:t>2.1.1  态势感知可视化</w:t>
      </w:r>
    </w:p>
    <w:p w14:paraId="120A3B24">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当前的道路数据无法区分地面和高架数据，增加了业务操作的复杂度；堵点通过交叉路口表示的展示方法不够直观，同时地图上也没有体现责任区的划分。因而在原有综合态势中添加拥堵时间范围的统计，并从地面态势和高架态势两个维度分开展示。增加道路拥堵、昼夜感知、堵点预警以及天气可视化功能。</w:t>
      </w:r>
    </w:p>
    <w:p w14:paraId="2DB0D22A">
      <w:pPr>
        <w:pStyle w:val="5"/>
        <w:kinsoku w:val="0"/>
        <w:overflowPunct w:val="0"/>
        <w:spacing w:line="360" w:lineRule="auto"/>
        <w:ind w:right="294" w:rightChars="140" w:firstLine="420"/>
        <w:jc w:val="both"/>
        <w:outlineLvl w:val="2"/>
        <w:rPr>
          <w:rFonts w:hint="eastAsia" w:ascii="宋体" w:hAnsi="宋体" w:eastAsia="宋体"/>
          <w:sz w:val="24"/>
          <w:szCs w:val="24"/>
        </w:rPr>
      </w:pPr>
      <w:r>
        <w:rPr>
          <w:rFonts w:hint="eastAsia" w:ascii="宋体" w:hAnsi="宋体" w:eastAsia="宋体"/>
          <w:sz w:val="24"/>
          <w:szCs w:val="24"/>
        </w:rPr>
        <w:t xml:space="preserve">2.1.2  </w:t>
      </w:r>
      <w:r>
        <w:rPr>
          <w:rFonts w:hint="eastAsia" w:ascii="宋体" w:hAnsi="宋体"/>
          <w:sz w:val="24"/>
          <w:szCs w:val="24"/>
          <w:lang w:val="en-US" w:eastAsia="zh-CN"/>
        </w:rPr>
        <w:t>堵点</w:t>
      </w:r>
      <w:r>
        <w:rPr>
          <w:rFonts w:hint="eastAsia" w:ascii="宋体" w:hAnsi="宋体" w:eastAsia="宋体"/>
          <w:sz w:val="24"/>
          <w:szCs w:val="24"/>
        </w:rPr>
        <w:t>实时预警</w:t>
      </w:r>
    </w:p>
    <w:p w14:paraId="4593D610">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原系统缺少完整堵点的可视化分析，因此新增堵点预警概览，并在态势中实时展示堵点预警总次数。新增处置信息概览，增加堵点处置信息展示，实时展示堵点预警处置状况，处置详情，并添加预警处置相关统计。扩展实时预警详情、实时预警详情以及批量处置预警信息功能。</w:t>
      </w:r>
    </w:p>
    <w:p w14:paraId="6D5C2127">
      <w:pPr>
        <w:pStyle w:val="5"/>
        <w:kinsoku w:val="0"/>
        <w:overflowPunct w:val="0"/>
        <w:spacing w:line="360" w:lineRule="auto"/>
        <w:ind w:right="294" w:rightChars="140" w:firstLine="420"/>
        <w:jc w:val="both"/>
        <w:outlineLvl w:val="2"/>
        <w:rPr>
          <w:rFonts w:hint="default" w:ascii="宋体" w:hAnsi="宋体" w:eastAsia="宋体" w:cs="Times New Roman"/>
          <w:sz w:val="24"/>
          <w:szCs w:val="24"/>
          <w:lang w:val="en-US" w:eastAsia="zh-CN"/>
        </w:rPr>
      </w:pPr>
      <w:r>
        <w:rPr>
          <w:rFonts w:hint="eastAsia" w:ascii="宋体" w:hAnsi="宋体" w:eastAsia="宋体"/>
          <w:sz w:val="24"/>
          <w:szCs w:val="24"/>
        </w:rPr>
        <w:t>2.1.</w:t>
      </w:r>
      <w:r>
        <w:rPr>
          <w:rFonts w:hint="eastAsia" w:ascii="宋体" w:hAnsi="宋体" w:eastAsia="宋体"/>
          <w:sz w:val="24"/>
          <w:szCs w:val="24"/>
          <w:lang w:val="en-US" w:eastAsia="zh-CN"/>
        </w:rPr>
        <w:t>3</w:t>
      </w:r>
      <w:r>
        <w:rPr>
          <w:rFonts w:hint="eastAsia" w:ascii="宋体" w:hAnsi="宋体" w:eastAsia="宋体"/>
          <w:sz w:val="24"/>
          <w:szCs w:val="24"/>
        </w:rPr>
        <w:t xml:space="preserve">  </w:t>
      </w:r>
      <w:r>
        <w:rPr>
          <w:rFonts w:hint="eastAsia" w:ascii="宋体" w:hAnsi="宋体" w:eastAsia="宋体" w:cs="Times New Roman"/>
          <w:sz w:val="24"/>
          <w:szCs w:val="24"/>
          <w:lang w:val="en-US" w:eastAsia="zh-CN"/>
        </w:rPr>
        <w:t>历史预警</w:t>
      </w:r>
      <w:r>
        <w:rPr>
          <w:rFonts w:hint="eastAsia" w:ascii="宋体" w:hAnsi="宋体" w:cs="Times New Roman"/>
          <w:sz w:val="24"/>
          <w:szCs w:val="24"/>
          <w:lang w:val="en-US" w:eastAsia="zh-CN"/>
        </w:rPr>
        <w:t>统计</w:t>
      </w:r>
    </w:p>
    <w:p w14:paraId="563ECAA1">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对原有系统历史预警重新拆分成等灯预警和堵点预警，针对两种预警分别设计相关的查询统计处置功能。增加通行体征，可对全区以及各大队负责区域得通行体征进行详细展示；增加常发道路拥堵情况，可对全区以及各大队负责区域得常发道路拥堵情况进行详细展示；细化等灯记录详情，包括通行指数、实时速度、自由流速度、持续时间、等灯次数、预警状态、治理状态等信息。</w:t>
      </w:r>
    </w:p>
    <w:p w14:paraId="0ACB0AB2">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细化堵点处置情况并支持对堵点处置情况详情列表得导出功能。包括拥堵原因、堵点处置方式、警力情况、拥堵路段、堵点处置记录。扩展通行态势信息并支持通行态势详情列表导出功能。包括自定义筛选查询，等灯次数趋势详情，历史参数比较，24小时路段详情。增加堵点预警记录并支持对堵点预警记录的详情进行数据导出功能。包括自定义筛选查询，堵点预警记录详情。</w:t>
      </w:r>
    </w:p>
    <w:p w14:paraId="41480927">
      <w:pPr>
        <w:pStyle w:val="5"/>
        <w:kinsoku w:val="0"/>
        <w:overflowPunct w:val="0"/>
        <w:spacing w:line="360" w:lineRule="auto"/>
        <w:ind w:right="294" w:rightChars="140" w:firstLine="420"/>
        <w:jc w:val="both"/>
        <w:outlineLvl w:val="2"/>
        <w:rPr>
          <w:rFonts w:hint="eastAsia" w:ascii="宋体" w:hAnsi="宋体" w:eastAsia="宋体" w:cs="Times New Roman"/>
          <w:sz w:val="24"/>
          <w:szCs w:val="24"/>
          <w:lang w:val="en-US" w:eastAsia="zh-CN"/>
        </w:rPr>
      </w:pPr>
      <w:r>
        <w:rPr>
          <w:rFonts w:hint="eastAsia" w:ascii="宋体" w:hAnsi="宋体" w:eastAsia="宋体"/>
          <w:sz w:val="24"/>
          <w:szCs w:val="24"/>
        </w:rPr>
        <w:t>2.1.</w:t>
      </w:r>
      <w:r>
        <w:rPr>
          <w:rFonts w:hint="eastAsia" w:ascii="宋体" w:hAnsi="宋体" w:eastAsia="宋体"/>
          <w:sz w:val="24"/>
          <w:szCs w:val="24"/>
          <w:lang w:val="en-US" w:eastAsia="zh-CN"/>
        </w:rPr>
        <w:t>4</w:t>
      </w:r>
      <w:r>
        <w:rPr>
          <w:rFonts w:hint="eastAsia" w:ascii="宋体" w:hAnsi="宋体" w:eastAsia="宋体"/>
          <w:sz w:val="24"/>
          <w:szCs w:val="24"/>
        </w:rPr>
        <w:t xml:space="preserve">  </w:t>
      </w:r>
      <w:r>
        <w:rPr>
          <w:rFonts w:hint="eastAsia" w:ascii="宋体" w:hAnsi="宋体"/>
          <w:sz w:val="24"/>
          <w:szCs w:val="24"/>
          <w:lang w:val="en-US" w:eastAsia="zh-CN"/>
        </w:rPr>
        <w:t>定制化</w:t>
      </w:r>
      <w:r>
        <w:rPr>
          <w:rFonts w:hint="eastAsia" w:ascii="宋体" w:hAnsi="宋体" w:eastAsia="宋体" w:cs="Times New Roman"/>
          <w:sz w:val="24"/>
          <w:szCs w:val="24"/>
          <w:lang w:val="en-US" w:eastAsia="zh-CN"/>
        </w:rPr>
        <w:t>统计分析</w:t>
      </w:r>
    </w:p>
    <w:p w14:paraId="03E75DD2">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将等灯预警和堵点统计区分后，需要加入针对性的统计分析。用更详细的等灯统计维度，更准确的统计道路拥堵情况，分析道路拥堵规律。</w:t>
      </w:r>
    </w:p>
    <w:p w14:paraId="26541A5F">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扩展道路通行情况。包括信息录入，可对流量、出行次数、标签等维度的信息进行数据的录入，自定义筛选查询，道路同行情况趋势分析，包含持续时长、交通指数、流量、预警次数、出行次数维度。</w:t>
      </w:r>
    </w:p>
    <w:p w14:paraId="09585CFE">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扩展道路通行情况分析并支持分析数据导出功能。包括等灯统计分析，拥堵规律分析，对拥堵规律进行综合分析，同时对相应路段进行下钻页面展示，展示该路段的等灯通行情况详情。</w:t>
      </w:r>
    </w:p>
    <w:p w14:paraId="01680347">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优化拥堵预警算法。优化拥堵检测算法，更新数据模型，添加更多的特征提取与选择。添加拥堵预测算法，提供数据模型建立、特征提取与选择、模型训练与优化、实时预测与更新等能力，支撑应用层算法的预测支撑。</w:t>
      </w:r>
    </w:p>
    <w:p w14:paraId="62F757D0">
      <w:pPr>
        <w:pStyle w:val="5"/>
        <w:kinsoku w:val="0"/>
        <w:overflowPunct w:val="0"/>
        <w:spacing w:line="360" w:lineRule="auto"/>
        <w:ind w:right="294" w:rightChars="140" w:firstLine="420"/>
        <w:jc w:val="both"/>
        <w:outlineLvl w:val="2"/>
        <w:rPr>
          <w:rFonts w:hint="eastAsia" w:ascii="宋体" w:hAnsi="宋体" w:eastAsia="宋体" w:cs="Times New Roman"/>
          <w:sz w:val="24"/>
          <w:szCs w:val="24"/>
          <w:lang w:val="en-US" w:eastAsia="zh-CN"/>
        </w:rPr>
      </w:pPr>
      <w:r>
        <w:rPr>
          <w:rFonts w:hint="eastAsia" w:ascii="宋体" w:hAnsi="宋体" w:eastAsia="宋体"/>
          <w:sz w:val="24"/>
          <w:szCs w:val="24"/>
        </w:rPr>
        <w:t>2.1.</w:t>
      </w:r>
      <w:r>
        <w:rPr>
          <w:rFonts w:hint="eastAsia" w:ascii="宋体" w:hAnsi="宋体" w:eastAsia="宋体"/>
          <w:sz w:val="24"/>
          <w:szCs w:val="24"/>
          <w:lang w:val="en-US" w:eastAsia="zh-CN"/>
        </w:rPr>
        <w:t>5</w:t>
      </w:r>
      <w:r>
        <w:rPr>
          <w:rFonts w:hint="eastAsia" w:ascii="宋体" w:hAnsi="宋体" w:eastAsia="宋体"/>
          <w:sz w:val="24"/>
          <w:szCs w:val="24"/>
        </w:rPr>
        <w:t xml:space="preserve">  </w:t>
      </w:r>
      <w:r>
        <w:rPr>
          <w:rFonts w:hint="eastAsia" w:ascii="宋体" w:hAnsi="宋体" w:eastAsia="宋体" w:cs="Times New Roman"/>
          <w:sz w:val="24"/>
          <w:szCs w:val="24"/>
          <w:lang w:val="en-US" w:eastAsia="zh-CN"/>
        </w:rPr>
        <w:t>缓堵治理</w:t>
      </w:r>
    </w:p>
    <w:p w14:paraId="6AEDB2C5">
      <w:pPr>
        <w:pStyle w:val="5"/>
        <w:kinsoku w:val="0"/>
        <w:overflowPunct w:val="0"/>
        <w:spacing w:line="360" w:lineRule="auto"/>
        <w:ind w:right="294" w:rightChars="140" w:firstLine="420"/>
        <w:jc w:val="both"/>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通过缓堵治理，缓解一些常态拥堵路段，频繁异常拥堵路的拥堵状况。添加缓堵分析治理功能，接收缓堵反馈完成整个拥堵业务的闭环。利用比之前更精细的道路拥堵数据模型，更有效的分析道路缓堵措施的有效性，真正准确的评价缓堵治理效果。使得交警能够更有依据的决策缓堵措施，并量化的展示治理效果。主要包括缓堵治理措施和成效、拥堵治理情况、道路情况趋势、道路拥堵详情、以及拥堵症结分析功能。</w:t>
      </w:r>
    </w:p>
    <w:p w14:paraId="0EC5D6F1">
      <w:pPr>
        <w:pStyle w:val="5"/>
        <w:kinsoku w:val="0"/>
        <w:overflowPunct w:val="0"/>
        <w:spacing w:line="360" w:lineRule="auto"/>
        <w:ind w:right="294" w:rightChars="140" w:firstLine="420"/>
        <w:jc w:val="both"/>
        <w:outlineLvl w:val="2"/>
        <w:rPr>
          <w:rFonts w:hint="eastAsia" w:ascii="宋体" w:hAnsi="宋体" w:eastAsia="宋体" w:cs="Times New Roman"/>
          <w:sz w:val="24"/>
          <w:szCs w:val="24"/>
          <w:lang w:val="en-US" w:eastAsia="zh-CN"/>
        </w:rPr>
      </w:pPr>
      <w:r>
        <w:rPr>
          <w:rFonts w:hint="eastAsia" w:ascii="宋体" w:hAnsi="宋体" w:eastAsia="宋体"/>
          <w:sz w:val="24"/>
          <w:szCs w:val="24"/>
        </w:rPr>
        <w:t>2.1.</w:t>
      </w:r>
      <w:r>
        <w:rPr>
          <w:rFonts w:hint="eastAsia" w:ascii="宋体" w:hAnsi="宋体" w:eastAsia="宋体"/>
          <w:sz w:val="24"/>
          <w:szCs w:val="24"/>
          <w:lang w:val="en-US" w:eastAsia="zh-CN"/>
        </w:rPr>
        <w:t>6</w:t>
      </w:r>
      <w:r>
        <w:rPr>
          <w:rFonts w:hint="eastAsia" w:ascii="宋体" w:hAnsi="宋体" w:eastAsia="宋体"/>
          <w:sz w:val="24"/>
          <w:szCs w:val="24"/>
        </w:rPr>
        <w:t xml:space="preserve">  </w:t>
      </w:r>
      <w:r>
        <w:rPr>
          <w:rFonts w:hint="eastAsia" w:ascii="宋体" w:hAnsi="宋体" w:eastAsia="宋体" w:cs="Times New Roman"/>
          <w:sz w:val="24"/>
          <w:szCs w:val="24"/>
          <w:lang w:val="en-US" w:eastAsia="zh-CN"/>
        </w:rPr>
        <w:t>预警配置管理</w:t>
      </w:r>
    </w:p>
    <w:p w14:paraId="73D8788A">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原有的预警配置字段比较单一较难适应长宁复杂的路况，需要更多的描述字段对预警阈值进行更精细的设置。新增等灯</w:t>
      </w:r>
      <w:r>
        <w:rPr>
          <w:rFonts w:hint="eastAsia" w:ascii="宋体" w:hAnsi="宋体" w:eastAsia="宋体" w:cs="Times New Roman"/>
          <w:sz w:val="24"/>
          <w:szCs w:val="24"/>
          <w:lang w:val="en-US" w:eastAsia="zh-CN"/>
        </w:rPr>
        <w:t>拥堵</w:t>
      </w:r>
      <w:r>
        <w:rPr>
          <w:rFonts w:hint="eastAsia" w:ascii="宋体" w:hAnsi="宋体" w:eastAsia="宋体" w:cs="宋体"/>
          <w:spacing w:val="-10"/>
          <w:sz w:val="24"/>
          <w:szCs w:val="24"/>
          <w:lang w:val="en-US" w:eastAsia="zh-CN"/>
        </w:rPr>
        <w:t>预警配置。根据路格拥堵指数、指数区间、持续时间等维度进行等灯拥堵预警的配置。新增堵点预警配置。根据历史同期拥堵情况提供概率作为参考，提供拥堵时长达到4分钟，拥堵距离达到200米 进行堵点预警。新增路况预警配置。根据最小速度、最小拥堵距离、持续时间、出现时间、拥堵时长等相关维度进行路况预警的相关配置。</w:t>
      </w:r>
    </w:p>
    <w:p w14:paraId="7FFEADC2">
      <w:pPr>
        <w:pStyle w:val="5"/>
        <w:kinsoku w:val="0"/>
        <w:overflowPunct w:val="0"/>
        <w:spacing w:line="360" w:lineRule="auto"/>
        <w:ind w:right="294" w:rightChars="140" w:firstLine="420"/>
        <w:jc w:val="both"/>
        <w:outlineLvl w:val="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 xml:space="preserve">  详细功能技术要求</w:t>
      </w:r>
    </w:p>
    <w:p w14:paraId="6DC2A3EF">
      <w:pPr>
        <w:pStyle w:val="6"/>
        <w:rPr>
          <w:rFonts w:hint="eastAsia"/>
          <w:color w:val="auto"/>
          <w:highlight w:val="none"/>
          <w:lang w:val="en-US" w:eastAsia="zh-CN"/>
        </w:rPr>
      </w:pPr>
      <w:r>
        <w:rPr>
          <w:rFonts w:hint="eastAsia" w:ascii="宋体" w:hAnsi="宋体" w:eastAsia="宋体" w:cs="宋体"/>
          <w:color w:val="auto"/>
          <w:spacing w:val="-10"/>
          <w:sz w:val="24"/>
          <w:szCs w:val="24"/>
          <w:highlight w:val="none"/>
          <w:lang w:val="en-US" w:eastAsia="zh-CN"/>
        </w:rPr>
        <w:t>详细功能清单和技术要求见下表：</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559"/>
        <w:gridCol w:w="695"/>
        <w:gridCol w:w="729"/>
        <w:gridCol w:w="763"/>
        <w:gridCol w:w="5286"/>
      </w:tblGrid>
      <w:tr w14:paraId="3264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0AD451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2C5E05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71F5B2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子系统</w:t>
            </w:r>
          </w:p>
        </w:tc>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06B091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1B5FEE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子模块</w:t>
            </w:r>
          </w:p>
        </w:tc>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1C3F38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功能配置</w:t>
            </w:r>
          </w:p>
        </w:tc>
      </w:tr>
      <w:tr w14:paraId="73A4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19B1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65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70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态势感知可视化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68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全区综合态势可视化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14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全区综合态势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99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通过对交通拥堵状态的分析计算，可视化展示早、晚高峰及平峰实时最拥堵时刻；</w:t>
            </w:r>
          </w:p>
        </w:tc>
      </w:tr>
      <w:tr w14:paraId="3E08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6FCB47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BFE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4AE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EAC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4F6D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44403">
            <w:pPr>
              <w:jc w:val="center"/>
              <w:rPr>
                <w:rFonts w:hint="eastAsia" w:ascii="宋体" w:hAnsi="宋体" w:eastAsia="宋体" w:cs="宋体"/>
                <w:i w:val="0"/>
                <w:iCs w:val="0"/>
                <w:color w:val="000000"/>
                <w:sz w:val="24"/>
                <w:szCs w:val="24"/>
                <w:u w:val="none"/>
              </w:rPr>
            </w:pPr>
          </w:p>
        </w:tc>
      </w:tr>
      <w:tr w14:paraId="18F9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796A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1EAC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F39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1763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40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地面态势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0B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实时可视化展示地面、主要道路、次要道路、普通道路、省道、地面快速路等维度的通行指数、平均速度；</w:t>
            </w:r>
          </w:p>
        </w:tc>
      </w:tr>
      <w:tr w14:paraId="3874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101F52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8C27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C741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711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48B7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4E30E">
            <w:pPr>
              <w:jc w:val="center"/>
              <w:rPr>
                <w:rFonts w:hint="eastAsia" w:ascii="宋体" w:hAnsi="宋体" w:eastAsia="宋体" w:cs="宋体"/>
                <w:i w:val="0"/>
                <w:iCs w:val="0"/>
                <w:color w:val="000000"/>
                <w:sz w:val="24"/>
                <w:szCs w:val="24"/>
                <w:u w:val="none"/>
              </w:rPr>
            </w:pPr>
          </w:p>
        </w:tc>
      </w:tr>
      <w:tr w14:paraId="0830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A095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2AB5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7B24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FD9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CC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高架态势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47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实时可视化展示高架、高架路、高架快速路等维度的通行指数；实时可视化展示高架、高架路、高架快速路等维度的平均速度；</w:t>
            </w:r>
          </w:p>
        </w:tc>
      </w:tr>
      <w:tr w14:paraId="3A4E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5C1E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297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6F7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16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地图可视化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9F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路况拥堵展示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22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动态实时展示拥堵位置；堵点位置图标悬浮展示；堵点位置详情信息轮播展示；堵点信息实时排序展示；</w:t>
            </w:r>
          </w:p>
        </w:tc>
      </w:tr>
      <w:tr w14:paraId="22CD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104E6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8B0B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CF07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6A21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5D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责任区域展示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BF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责任区总览信息悬浮展示；责任区拥堵详情展示；</w:t>
            </w:r>
          </w:p>
        </w:tc>
      </w:tr>
      <w:tr w14:paraId="1127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D0DE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7262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023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B68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72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昼夜感知展示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B8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根据时间策略，自动调整地图的昼夜可视化模式；</w:t>
            </w:r>
          </w:p>
        </w:tc>
      </w:tr>
      <w:tr w14:paraId="76B7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74A4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1485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3E95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3E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堵点预警可视化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FA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拥堵预警信息总览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68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展示全域范围内预警总数、无需处置预警总数、需处置预警总数、未处置预警总数、已处置预警、预警处置率；</w:t>
            </w:r>
          </w:p>
        </w:tc>
      </w:tr>
      <w:tr w14:paraId="30CE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1CA0E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591C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98C5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26F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0E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预警列表展示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55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通过列表可视化展示未处置预警、需处置预警、无需处置预警等信息；同时可点击对应的预警信息，地图自动跳转展示；支持预警详情页面下钻展示；</w:t>
            </w:r>
          </w:p>
        </w:tc>
      </w:tr>
      <w:tr w14:paraId="4198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E252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4453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EEC4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6C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天气可视化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6E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实时天气可视化展示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81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实时展示各区域的天气情况，同时关联各区域的拥堵预警；</w:t>
            </w:r>
          </w:p>
        </w:tc>
      </w:tr>
      <w:tr w14:paraId="3C730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95EB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67CC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CEDD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05BB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A2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天气动画实时展示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96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在地图中实时动画展示各区域的天气情况；</w:t>
            </w:r>
          </w:p>
        </w:tc>
      </w:tr>
      <w:tr w14:paraId="5EC4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54BD8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BCE9C">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36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实时预警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72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堵点预警概览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4A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8F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新增实时堵点预警，根据堵点的设置对堵点的数据进行实时跟踪，并即使对高拥堵状态进行预警，并展示预警列表页面；</w:t>
            </w:r>
          </w:p>
        </w:tc>
      </w:tr>
      <w:tr w14:paraId="2F5B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153E5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BBD2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27FF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C95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0E9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FB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对堵点预警数据进行汇总分析，实时展示堵点预警的实时总次数；</w:t>
            </w:r>
          </w:p>
        </w:tc>
      </w:tr>
      <w:tr w14:paraId="3838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493B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ABDD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976A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EF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堵点处置信息概览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43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堵点处置信息展示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43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实时展示堵点预警未处置、堵点预警无需处置、堵点预警已处置、堵点预警处置率等信息展示；</w:t>
            </w:r>
          </w:p>
        </w:tc>
      </w:tr>
      <w:tr w14:paraId="781C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4A1E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DD81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94EE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51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实时预警详情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BE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实时预警详情展示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7D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可自定义关联匹配筛选查询各维度的预警详情；展示预警详情的对应拥堵节点、关联路段名称、所属大队信息、所属责任区、拥堵距离等；同时可批量进行预警信息的处置操作；</w:t>
            </w:r>
          </w:p>
        </w:tc>
      </w:tr>
      <w:tr w14:paraId="68F6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58503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74FE1">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9D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历史预警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0A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等灯记录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69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通行体征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38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可对全区以及各大队负责区域的通行体征进行详细展示，包括等灯2次及以上、等灯3次及以上、等灯4次及以上的拥堵点位数、拥堵总时长以及路段性质；</w:t>
            </w:r>
          </w:p>
        </w:tc>
      </w:tr>
      <w:tr w14:paraId="1009A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5DD2D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6B00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9EDE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2452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D8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常发道路拥堵情况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D4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可对全区以及各大队负责区域的常发道路拥堵情况进行详细展示，包括等灯2次及以上、等灯3次及以上、等灯4次及以上的的数量、拥堵总时长；</w:t>
            </w:r>
          </w:p>
        </w:tc>
      </w:tr>
      <w:tr w14:paraId="4E90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7146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A46E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CD86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BD0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1F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等灯记录详情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DD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详细显示对应拥堵的出现时间、路段名称、路段方向、所属大队、责任区、通行指数、实时速度、自由流速度、持续时间、等灯次数、路段性质、预警状态、治理状态、历史情况等信息；</w:t>
            </w:r>
          </w:p>
        </w:tc>
      </w:tr>
      <w:tr w14:paraId="53F3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BF81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E58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BECB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7074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AD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2E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支持对等灯记录信息进行数据导出；</w:t>
            </w:r>
          </w:p>
        </w:tc>
      </w:tr>
      <w:tr w14:paraId="2934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2646E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DC8F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203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CD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堵点处置情况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70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拥堵原因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76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记录导致拥堵的原因分类及次数，如：流量较大、交通事故、瞬时拥堵、线路保障、高架管控；</w:t>
            </w:r>
          </w:p>
        </w:tc>
      </w:tr>
      <w:tr w14:paraId="1655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CA04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5E2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6219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5405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E7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处置方式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76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对拥堵的处置的方式进行统计，如远程指导、绿波干预、无需干预、派警处置、其他等类型进行数量统计；</w:t>
            </w:r>
          </w:p>
        </w:tc>
      </w:tr>
      <w:tr w14:paraId="4BDA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2384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F21A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5AE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ACC1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87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警力情况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6D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对堵点处置的警力情况进行展示；</w:t>
            </w:r>
          </w:p>
        </w:tc>
      </w:tr>
      <w:tr w14:paraId="1EE7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15202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36F6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72D3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374D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2F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拥堵路段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33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实时展示拥堵路段信息，包含拥堵次数、道路名称等；</w:t>
            </w:r>
          </w:p>
        </w:tc>
      </w:tr>
      <w:tr w14:paraId="2A4A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C765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3FE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C56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6200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B1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堵点处置记录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8A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展现拥堵的出现时间、道路名称、关联路段名称、路段方向、所属大队、责任区、速度、持续时长、拥堵距离、拥堵趋势、拥堵级别、拥堵节点、天气、排队、等灯2次情况、拥堵原因、具体内容、警力情况、处置方式等信息进行多维度的展示；</w:t>
            </w:r>
          </w:p>
        </w:tc>
      </w:tr>
      <w:tr w14:paraId="502B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6FDA9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1DB1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F9A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94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F6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E8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可对堵点处置记录详情进行数据导出；</w:t>
            </w:r>
          </w:p>
        </w:tc>
      </w:tr>
      <w:tr w14:paraId="36AB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16CB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5602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8B991">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2C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通行态势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ED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自定义筛选查询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2A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可对日期、等灯次数、进行筛选查询通行态势的发展趋势；</w:t>
            </w:r>
          </w:p>
        </w:tc>
      </w:tr>
      <w:tr w14:paraId="05CC9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E00F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9D34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27F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38E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30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等灯次数趋势详情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4C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通过图形化的方式，对等灯次数的维度，进行各区间段进行标准路段数、实际路段数、标准时长、实际时长、新增路段数、新增时长进行多维度的展示；</w:t>
            </w:r>
          </w:p>
        </w:tc>
      </w:tr>
      <w:tr w14:paraId="340D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6FF60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C229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AA9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7829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CE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参数比较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ED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通过历史数据生成的一周七天的标准信息模型，进行制定日期的参数比较；</w:t>
            </w:r>
          </w:p>
        </w:tc>
      </w:tr>
      <w:tr w14:paraId="3A6A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63BA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0FE5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E63E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10B8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E2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表格下载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C7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可对全区及各大队的所属区域的通行态势进行表格下载；</w:t>
            </w:r>
          </w:p>
        </w:tc>
      </w:tr>
      <w:tr w14:paraId="57AD2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18A4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22D0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A824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B02F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EB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通行态势详情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59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详细展示通行态势的具体信息，如：路段名称、路段性质、路段方向、大队、责任区、预警次数、实时-标准时长等；</w:t>
            </w:r>
          </w:p>
        </w:tc>
      </w:tr>
      <w:tr w14:paraId="4214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5B43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FBC6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8EB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7963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68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路段详情页面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AC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可自定义指定路段进行等灯次数维度的实际通行时长进行24小时时间段的详细展示；</w:t>
            </w:r>
          </w:p>
        </w:tc>
      </w:tr>
      <w:tr w14:paraId="04BB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646AE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29E9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DD23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1A6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D3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97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支持对通行态势的详情进行数据导出；</w:t>
            </w:r>
          </w:p>
        </w:tc>
      </w:tr>
      <w:tr w14:paraId="6D78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CA13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5AAE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A5804">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0E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4B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自定义筛选查询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71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支持以指定时间、指定道路、大队、路段方向、处置状态等多种条件进行堵点预警的筛选查询；</w:t>
            </w:r>
          </w:p>
        </w:tc>
      </w:tr>
      <w:tr w14:paraId="45CB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B3E6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E06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233A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9B42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3E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堵点预警记录详情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BA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详细展示堵点预警记录的具体信息，如：出现时间、道路名称、拥堵节点、关联路段名称、路段方向、大队、责任区、实时速度、持续时间、拥堵距离、拥堵趋势、处置状态；</w:t>
            </w:r>
          </w:p>
        </w:tc>
      </w:tr>
      <w:tr w14:paraId="5472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E863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4EE0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B485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945E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AC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93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支持对堵点预警记录的详情进行数据导出；</w:t>
            </w:r>
          </w:p>
        </w:tc>
      </w:tr>
      <w:tr w14:paraId="4507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2D4D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C36A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FD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统计分析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8B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道路通行情况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62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A4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可对流量、出行次数、标签等维度的信息进行数据的录入；</w:t>
            </w:r>
          </w:p>
        </w:tc>
      </w:tr>
      <w:tr w14:paraId="32B3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1248B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4B6F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245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2B04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9B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自定义筛选查询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B0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可通过路段类型及指定时间进行自定义的信息查询；</w:t>
            </w:r>
          </w:p>
        </w:tc>
      </w:tr>
      <w:tr w14:paraId="5F93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E2A7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F9BC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3962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BA8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3D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道路通行情况趋势分析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23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以图形化的方式展现道路通行情况，包含持续时长、交通指数、流量、预警次数、出行次数等维度；</w:t>
            </w:r>
          </w:p>
        </w:tc>
      </w:tr>
      <w:tr w14:paraId="5F14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278C5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045C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1315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1F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道路通行情况分析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9B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等灯统计分析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F5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等灯拥堵进行综合分析，详细展示包含发现来源、路段、方向、大队、责任区、路段性质、瞬时通行指数区间、出现时间、持续时间、对应车速、等灯次数、排队情况、近30天情况、治理状态、标准持续时长、实际持续时长、处置效果等；</w:t>
            </w:r>
          </w:p>
        </w:tc>
      </w:tr>
      <w:tr w14:paraId="5137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677A1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F670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FDF8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A39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4F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拥堵规律分析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55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拥堵规律进行综合分析，详细展示包含路段、方向、大队、责任区、等灯次数、所选天数、实际拥堵天数、占比、时段、拥堵区间、拥堵时长等；同时可对相应路段进行下钻页面展示，展示该路段的等灯次数、时段、日期、拥堵最早发生时间、拥堵最晚结束时间、拥堵时长；</w:t>
            </w:r>
          </w:p>
        </w:tc>
      </w:tr>
      <w:tr w14:paraId="6BC3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6A964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9698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4EDE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6F49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AC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A7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支持预警相关详情的数据导出；</w:t>
            </w:r>
          </w:p>
        </w:tc>
      </w:tr>
      <w:tr w14:paraId="3F28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63BB4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344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A44D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089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85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路格指数导出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BF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支持按照分钟级、小时级的路格指数数据导出；</w:t>
            </w:r>
          </w:p>
        </w:tc>
      </w:tr>
      <w:tr w14:paraId="294D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3B1E3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0EE2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D5AD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AA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拥堵预警算法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9E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拥堵检测算法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61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根据实际业务设计流量检测算法、路况检测算法、事件检测算，并进行针对性算法训练，支撑上层应用的综合分析；</w:t>
            </w:r>
          </w:p>
        </w:tc>
      </w:tr>
      <w:tr w14:paraId="2758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6C15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640D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FF1E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D343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8A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拥堵预测算法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22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后端提供数据模型建立、特征提取与选择、模型训练与优化、实时预测与更新等能力，支撑应用层算法的预测支撑；</w:t>
            </w:r>
          </w:p>
        </w:tc>
      </w:tr>
      <w:tr w14:paraId="5685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1E3E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4B9D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07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缓堵治理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AD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道路基本情况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9C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道路基本情况统计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62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以图形化的方式，展示全区道路、全区路口、全区路段、全区总里程、上下匝道数、护栏总长度等相关道理基本信息；</w:t>
            </w:r>
          </w:p>
        </w:tc>
      </w:tr>
      <w:tr w14:paraId="0B1F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1E137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F4F9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14A3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7D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拥堵治理情况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8C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拥堵治理情况展示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06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展示拥堵路段、常发拥堵、多发拥堵、节点路口拥堵、拥堵道路等相关信息；</w:t>
            </w:r>
          </w:p>
        </w:tc>
      </w:tr>
      <w:tr w14:paraId="50BA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0BC8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C154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BD18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9E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道路拥堵情况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51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自定义筛选查询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6F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可自定义关联匹配进行筛选查询，如：月份、路段名称、大队、责任区、拥堵类型、治理状态；</w:t>
            </w:r>
          </w:p>
        </w:tc>
      </w:tr>
      <w:tr w14:paraId="4641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0925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98C4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C0E6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6FF8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BD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道路情况趋势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02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对道路拥堵情况通过图形化的方式进行发展趋势展现，同时支持自定义筛选查询；</w:t>
            </w:r>
          </w:p>
        </w:tc>
      </w:tr>
      <w:tr w14:paraId="0DCE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5B291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4D84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56F2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86C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66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道路拥堵详情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DB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详细展示道路拥堵的详情信息，包括路段、路段方向、大队、责任区、拥堵类型、治理状态、拥堵成效等；</w:t>
            </w:r>
          </w:p>
        </w:tc>
      </w:tr>
      <w:tr w14:paraId="7AF2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6BE62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7B5A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C1B1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EB23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A4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64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支持对道路拥堵及治理进行数据导出；</w:t>
            </w:r>
          </w:p>
        </w:tc>
      </w:tr>
      <w:tr w14:paraId="42C9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532A6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3D6A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F843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59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缓堵治理新增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79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拥堵节点路口基本信息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E3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可进行缓堵治理基本信息进行新增，如：路段名称、路段方向、所属大队、责任区、拥堵节点、拥堵情况；</w:t>
            </w:r>
          </w:p>
        </w:tc>
      </w:tr>
      <w:tr w14:paraId="0CE7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F9E0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AB2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B0FB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ECA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31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拥堵节点路口基本情况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A5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通过上传文件、照片等方式进行早高峰（评诊治）、晚高峰评诊治）、路口车道分布、路口信号灯等基本情况的记录；</w:t>
            </w:r>
          </w:p>
        </w:tc>
      </w:tr>
      <w:tr w14:paraId="48E3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2307C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88F4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2C8A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96A1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1D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缓堵措施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EC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可对路设提升方案（路口优化措施、治理情况）、勤务提升方案（现有民警岗位、优化民警岗位、现有辅警敢为、优化辅警岗位、管理重点）进行梳理填写；</w:t>
            </w:r>
          </w:p>
        </w:tc>
      </w:tr>
      <w:tr w14:paraId="0A3F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28CA4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966B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F588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EF20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CA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缓堵成效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7D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支持缓堵成效信息进行新增及展现，如治理前的拥堵情况、治理后的拥堵情况，路设优化措施等；</w:t>
            </w:r>
          </w:p>
        </w:tc>
      </w:tr>
      <w:tr w14:paraId="5B7A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6E740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19AB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3A5E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7527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C6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路口流量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58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支持路口流量的数据信息上传；</w:t>
            </w:r>
          </w:p>
        </w:tc>
      </w:tr>
      <w:tr w14:paraId="3B49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02F2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20B3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7ECA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A4C4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8E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历史预警情况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D2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可按时间节点查询历史预警情况，如：拥堵指数区间、拥堵总是长等信息；</w:t>
            </w:r>
          </w:p>
        </w:tc>
      </w:tr>
      <w:tr w14:paraId="3A97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D50D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7B89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4D4A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C6DC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E7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拥堵症结分析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6D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支持以文字的方式对治理情况做拥堵症结分析总结；</w:t>
            </w:r>
          </w:p>
        </w:tc>
      </w:tr>
      <w:tr w14:paraId="10EB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67B5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514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58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预警配置管理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5A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5D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预警配置设置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A4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支持多组合筛选进行预警配置的查询、导出及新增；</w:t>
            </w:r>
          </w:p>
        </w:tc>
      </w:tr>
      <w:tr w14:paraId="2C02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E7CA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0E8E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0DE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362D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6A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等灯拥堵预警配置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EF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根据路格拥堵指数、指数区间、持续时间等维度进行等灯拥堵预警的配置；</w:t>
            </w:r>
          </w:p>
        </w:tc>
      </w:tr>
      <w:tr w14:paraId="758F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C1BA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F892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AA9C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992D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95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B5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根据历史同期拥堵情况提供概率作为参考，提供拥堵时长达到4分钟，拥堵距离达到200米 进行堵点预警；</w:t>
            </w:r>
          </w:p>
        </w:tc>
      </w:tr>
      <w:tr w14:paraId="420E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1DD0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DEB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4DE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68A0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20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路况预警配置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D1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根据最小速度、最小拥堵距离、持续时间、出现时间、拥堵时长等相关维度进行路况预警的相关配置；</w:t>
            </w:r>
          </w:p>
        </w:tc>
      </w:tr>
      <w:tr w14:paraId="7764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2F11A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6B1D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289E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5E0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65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系统日志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19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可自定义时间对登录、预警配置、缓堵治理进行导出查询；</w:t>
            </w:r>
          </w:p>
        </w:tc>
      </w:tr>
      <w:tr w14:paraId="6E44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52419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CFEF4">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A7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交通数据采集分析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40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交通路况数据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6E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原始路况-路况查询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23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可以按城市获取全量路况和速度。配合道路ID查询接口可以获取路况对应图形坐标</w:t>
            </w:r>
          </w:p>
        </w:tc>
      </w:tr>
      <w:tr w14:paraId="2D29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38613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225E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E53C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6DE4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7E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原始路况-道路ID查询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C1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为交通路况查询接口提供最新版本道路路段ID和坐标信息</w:t>
            </w:r>
          </w:p>
        </w:tc>
      </w:tr>
      <w:tr w14:paraId="244F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CDB1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3F0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32E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FED4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22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统一路表数据服务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E5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对统一路表信息进行数据治理，提炼系统需要的基本路况信息</w:t>
            </w:r>
          </w:p>
        </w:tc>
      </w:tr>
      <w:tr w14:paraId="3F8A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D5E9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120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19A1">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2D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C0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实时预警信息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DC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主干道以上路网提供实时拥堵点查询，提供速度、拥堵长度、持续时长、经纬度图形等信息。数据每2分钟更新⼀次，接口可支持按照道路类型（例如高速、国道、环线等）、拥堵时长（最低4分钟）、拥堵距离（最短200米）</w:t>
            </w:r>
          </w:p>
        </w:tc>
      </w:tr>
      <w:tr w14:paraId="02A5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656ED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8774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179C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B5B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87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历史预警信息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48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主干道以上路网提供特定时间段内历史拥堵点查询。拥堵点信息根据历史同期拥堵情况提供概率作为参考，提供速度、拥堵长度、持续时长、经纬度图形等信息。数据每2分钟更新⼀次，接口可支持按照道路类型（例如高速、国道、环线等）、拥堵时长（最低4分钟）、拥堵距离（最短200米）</w:t>
            </w:r>
          </w:p>
        </w:tc>
      </w:tr>
      <w:tr w14:paraId="5A46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33BF4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C8F7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F269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FF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天气数据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18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天气数据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C2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对接天气数据，同时进行接口封装、数据对接及相关测试等服务；</w:t>
            </w:r>
          </w:p>
        </w:tc>
      </w:tr>
      <w:tr w14:paraId="01BE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56D50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02E0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FC3C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85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评诊治-路口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4C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主路口指标详情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01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提供主路口停车次数、排队长度、延误指数、路口状态、路口评级等信息</w:t>
            </w:r>
          </w:p>
        </w:tc>
      </w:tr>
      <w:tr w14:paraId="37BB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4FF3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92C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2D3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94AA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F6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分路口指标详情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CA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提供分路口停车次数、排队长度、延误指数、路口状态、路口评级等信息</w:t>
            </w:r>
          </w:p>
        </w:tc>
      </w:tr>
      <w:tr w14:paraId="6B72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18284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52AFB">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0D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高德数据适配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08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交通指数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D6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道路指数排行-历史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B4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接口针对指定区间拥堵指数，从高到低进行排名，支持时段选择（全天、仅早高峰、仅晚高峰、仅平峰）、日期选择（所有日期、仅工作日、仅节假日）、道路类型选择（例如高速、国道、环线等）</w:t>
            </w:r>
          </w:p>
        </w:tc>
      </w:tr>
      <w:tr w14:paraId="6164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B782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4853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538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38C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F0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区域指数排行-历史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C4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接口针对指定区间拥堵指数，从高到低进行排名，支持时段选择（全天、仅早高峰、仅晚高峰、仅平峰）、日期选择（所有日期、仅工作日、仅节假日）</w:t>
            </w:r>
          </w:p>
        </w:tc>
      </w:tr>
      <w:tr w14:paraId="1D83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20CA1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3BB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5743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856E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97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道路指数排行-实时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BF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接口依据实时拥堵指数，从高到低进行动态排名</w:t>
            </w:r>
          </w:p>
        </w:tc>
      </w:tr>
      <w:tr w14:paraId="6E6C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1B15C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7DC0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6058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5F57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06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区域指数排行-实时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8D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接口依据实时拥堵指数，从高到低进行动态排名</w:t>
            </w:r>
          </w:p>
        </w:tc>
      </w:tr>
      <w:tr w14:paraId="0C78F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72B9B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6CA0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7837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C32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20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搜索-关键字搜索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6D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接口可以按照关键字，模糊搜索对应道路</w:t>
            </w:r>
          </w:p>
        </w:tc>
      </w:tr>
      <w:tr w14:paraId="52E1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7FA5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7759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BACB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F02D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E5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图形-图形查询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03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⽤于查询指数对象的图形信息，可⽀持按⼀定参数抽稀</w:t>
            </w:r>
          </w:p>
        </w:tc>
      </w:tr>
      <w:tr w14:paraId="0392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0ED94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96D4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C9B2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4E2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0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道路指数详情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98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接口针对单个道路，可以获取指定时间区间内详细拥堵指数，返回数据支持时间颗粒度选择（月、天、小时）</w:t>
            </w:r>
          </w:p>
        </w:tc>
      </w:tr>
      <w:tr w14:paraId="26BE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3122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261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C71F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2A9F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17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区域指数详情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4C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接口针对单个区域，可以获取指定时间区间内详细拥堵指数，返回数据⽀持时间颗粒度选择（月、天、小时）</w:t>
            </w:r>
          </w:p>
        </w:tc>
      </w:tr>
    </w:tbl>
    <w:p w14:paraId="09118E29">
      <w:pPr>
        <w:bidi w:val="0"/>
        <w:rPr>
          <w:rFonts w:hint="eastAsia"/>
        </w:rPr>
      </w:pPr>
    </w:p>
    <w:p w14:paraId="4CCA7F1E">
      <w:pPr>
        <w:pStyle w:val="5"/>
        <w:kinsoku w:val="0"/>
        <w:overflowPunct w:val="0"/>
        <w:spacing w:line="360" w:lineRule="auto"/>
        <w:ind w:left="0" w:leftChars="0" w:right="294" w:rightChars="140" w:firstLine="0" w:firstLineChars="0"/>
        <w:jc w:val="both"/>
        <w:outlineLvl w:val="1"/>
        <w:rPr>
          <w:rFonts w:hint="eastAsia" w:ascii="宋体" w:hAnsi="宋体" w:eastAsia="宋体"/>
          <w:sz w:val="24"/>
          <w:szCs w:val="24"/>
        </w:rPr>
      </w:pPr>
      <w:r>
        <w:rPr>
          <w:rFonts w:hint="eastAsia" w:ascii="宋体" w:hAnsi="宋体" w:eastAsia="宋体"/>
          <w:sz w:val="24"/>
          <w:szCs w:val="24"/>
        </w:rPr>
        <w:t>2.</w:t>
      </w:r>
      <w:r>
        <w:rPr>
          <w:rFonts w:hint="eastAsia" w:ascii="宋体" w:hAnsi="宋体"/>
          <w:sz w:val="24"/>
          <w:szCs w:val="24"/>
          <w:lang w:val="en-US" w:eastAsia="zh-CN"/>
        </w:rPr>
        <w:t>3</w:t>
      </w:r>
      <w:r>
        <w:rPr>
          <w:rFonts w:hint="eastAsia" w:ascii="宋体" w:hAnsi="宋体" w:eastAsia="宋体"/>
          <w:sz w:val="24"/>
          <w:szCs w:val="24"/>
        </w:rPr>
        <w:t xml:space="preserve">  系统性能要求</w:t>
      </w:r>
    </w:p>
    <w:p w14:paraId="02704DDA">
      <w:pPr>
        <w:pStyle w:val="5"/>
        <w:kinsoku w:val="0"/>
        <w:overflowPunct w:val="0"/>
        <w:spacing w:line="360" w:lineRule="auto"/>
        <w:ind w:right="294" w:rightChars="140" w:firstLine="0" w:firstLineChars="0"/>
        <w:jc w:val="both"/>
        <w:outlineLvl w:val="2"/>
        <w:rPr>
          <w:rFonts w:hint="eastAsia" w:ascii="宋体" w:hAnsi="宋体" w:eastAsia="宋体"/>
          <w:sz w:val="24"/>
          <w:szCs w:val="24"/>
        </w:rPr>
      </w:pPr>
      <w:bookmarkStart w:id="1" w:name="_Toc29244"/>
      <w:bookmarkStart w:id="2" w:name="_Toc3959"/>
      <w:r>
        <w:rPr>
          <w:rFonts w:hint="eastAsia" w:ascii="宋体" w:hAnsi="宋体" w:eastAsia="宋体"/>
          <w:sz w:val="24"/>
          <w:szCs w:val="24"/>
        </w:rPr>
        <w:t>2.</w:t>
      </w:r>
      <w:r>
        <w:rPr>
          <w:rFonts w:hint="eastAsia" w:ascii="宋体" w:hAnsi="宋体"/>
          <w:sz w:val="24"/>
          <w:szCs w:val="24"/>
          <w:lang w:val="en-US" w:eastAsia="zh-CN"/>
        </w:rPr>
        <w:t>3</w:t>
      </w:r>
      <w:r>
        <w:rPr>
          <w:rFonts w:hint="eastAsia" w:ascii="宋体" w:hAnsi="宋体" w:eastAsia="宋体"/>
          <w:sz w:val="24"/>
          <w:szCs w:val="24"/>
        </w:rPr>
        <w:t>.1  总体性能需求</w:t>
      </w:r>
      <w:bookmarkEnd w:id="1"/>
      <w:bookmarkEnd w:id="2"/>
    </w:p>
    <w:p w14:paraId="07F86B60">
      <w:pPr>
        <w:numPr>
          <w:ilvl w:val="0"/>
          <w:numId w:val="2"/>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系统支持从数据层面到业务层面高可用，满足系统可用性；</w:t>
      </w:r>
    </w:p>
    <w:p w14:paraId="290D1A15">
      <w:pPr>
        <w:numPr>
          <w:ilvl w:val="0"/>
          <w:numId w:val="2"/>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系统易于扩展，支持海量信息数据存储，满足高可靠性需求；</w:t>
      </w:r>
    </w:p>
    <w:p w14:paraId="60C91CD6">
      <w:pPr>
        <w:numPr>
          <w:ilvl w:val="0"/>
          <w:numId w:val="2"/>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系统具备充分的数据冗余，数据容错能力；</w:t>
      </w:r>
    </w:p>
    <w:p w14:paraId="362DDDD5">
      <w:pPr>
        <w:numPr>
          <w:ilvl w:val="0"/>
          <w:numId w:val="2"/>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系统在发生数据损坏时，有数据自愈能力；</w:t>
      </w:r>
    </w:p>
    <w:p w14:paraId="71557A72">
      <w:pPr>
        <w:numPr>
          <w:ilvl w:val="0"/>
          <w:numId w:val="2"/>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系统器件选择要考虑能支持7×24小时连续长时间大压力下工作。</w:t>
      </w:r>
    </w:p>
    <w:p w14:paraId="4E510A36">
      <w:pPr>
        <w:pStyle w:val="5"/>
        <w:kinsoku w:val="0"/>
        <w:overflowPunct w:val="0"/>
        <w:spacing w:line="360" w:lineRule="auto"/>
        <w:ind w:right="294" w:rightChars="140"/>
        <w:jc w:val="both"/>
        <w:outlineLvl w:val="2"/>
        <w:rPr>
          <w:rFonts w:hint="eastAsia" w:ascii="宋体" w:hAnsi="宋体" w:eastAsia="宋体"/>
          <w:sz w:val="24"/>
          <w:szCs w:val="24"/>
        </w:rPr>
      </w:pPr>
      <w:bookmarkStart w:id="3" w:name="_Toc8154"/>
      <w:bookmarkStart w:id="4" w:name="_Toc26676"/>
      <w:r>
        <w:rPr>
          <w:rFonts w:hint="eastAsia" w:ascii="宋体" w:hAnsi="宋体" w:eastAsia="宋体"/>
          <w:sz w:val="24"/>
          <w:szCs w:val="24"/>
        </w:rPr>
        <w:t>2.</w:t>
      </w:r>
      <w:r>
        <w:rPr>
          <w:rFonts w:hint="eastAsia" w:ascii="宋体" w:hAnsi="宋体"/>
          <w:sz w:val="24"/>
          <w:szCs w:val="24"/>
          <w:lang w:val="en-US" w:eastAsia="zh-CN"/>
        </w:rPr>
        <w:t>3</w:t>
      </w:r>
      <w:r>
        <w:rPr>
          <w:rFonts w:hint="eastAsia" w:ascii="宋体" w:hAnsi="宋体" w:eastAsia="宋体"/>
          <w:sz w:val="24"/>
          <w:szCs w:val="24"/>
        </w:rPr>
        <w:t>.</w:t>
      </w:r>
      <w:r>
        <w:rPr>
          <w:rFonts w:hint="eastAsia" w:ascii="宋体" w:hAnsi="宋体"/>
          <w:sz w:val="24"/>
          <w:szCs w:val="24"/>
          <w:lang w:val="en-US" w:eastAsia="zh-CN"/>
        </w:rPr>
        <w:t>2</w:t>
      </w:r>
      <w:r>
        <w:rPr>
          <w:rFonts w:hint="eastAsia" w:ascii="宋体" w:hAnsi="宋体" w:eastAsia="宋体"/>
          <w:sz w:val="24"/>
          <w:szCs w:val="24"/>
        </w:rPr>
        <w:t xml:space="preserve">  </w:t>
      </w:r>
      <w:r>
        <w:rPr>
          <w:rFonts w:hint="eastAsia" w:ascii="宋体" w:hAnsi="宋体" w:eastAsia="宋体"/>
          <w:sz w:val="24"/>
          <w:szCs w:val="24"/>
          <w:lang w:val="en-US" w:eastAsia="zh-CN"/>
        </w:rPr>
        <w:t>应用</w:t>
      </w:r>
      <w:r>
        <w:rPr>
          <w:rFonts w:hint="eastAsia" w:ascii="宋体" w:hAnsi="宋体" w:eastAsia="宋体"/>
          <w:sz w:val="24"/>
          <w:szCs w:val="24"/>
        </w:rPr>
        <w:t>性能需求</w:t>
      </w:r>
      <w:bookmarkEnd w:id="3"/>
      <w:bookmarkEnd w:id="4"/>
    </w:p>
    <w:p w14:paraId="79E024F2">
      <w:pPr>
        <w:numPr>
          <w:ilvl w:val="0"/>
          <w:numId w:val="3"/>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系统可用性≥99.95%</w:t>
      </w:r>
      <w:r>
        <w:rPr>
          <w:rFonts w:hint="eastAsia" w:ascii="宋体" w:hAnsi="宋体" w:eastAsia="宋体" w:cs="宋体"/>
          <w:sz w:val="24"/>
          <w:szCs w:val="24"/>
          <w:lang w:eastAsia="zh-CN"/>
        </w:rPr>
        <w:t>；</w:t>
      </w:r>
    </w:p>
    <w:p w14:paraId="3178BAE9">
      <w:pPr>
        <w:numPr>
          <w:ilvl w:val="0"/>
          <w:numId w:val="3"/>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在线并发用户≥100；</w:t>
      </w:r>
    </w:p>
    <w:p w14:paraId="49349609">
      <w:pPr>
        <w:numPr>
          <w:ilvl w:val="0"/>
          <w:numId w:val="3"/>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拥堵预警响应时间</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秒</w:t>
      </w:r>
      <w:r>
        <w:rPr>
          <w:rFonts w:hint="eastAsia" w:ascii="宋体" w:hAnsi="宋体" w:eastAsia="宋体" w:cs="宋体"/>
          <w:sz w:val="24"/>
          <w:szCs w:val="24"/>
          <w:lang w:eastAsia="zh-CN"/>
        </w:rPr>
        <w:t>；</w:t>
      </w:r>
    </w:p>
    <w:p w14:paraId="13D3F203">
      <w:pPr>
        <w:numPr>
          <w:ilvl w:val="0"/>
          <w:numId w:val="3"/>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简单操作及普通数据查询操作界面响应时间≤2秒，大数据量信息报表数据查询操作界面响应时间≤3秒。</w:t>
      </w:r>
    </w:p>
    <w:p w14:paraId="65ED878B">
      <w:pPr>
        <w:numPr>
          <w:ilvl w:val="0"/>
          <w:numId w:val="3"/>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吞吐量信息在保证性能的前提下，系统设计能够满足未来五年的交易高峰量信息。对于导入、导出、批量信息操作等功能，每500条要求系统响应时间不超过１秒，并且用进度条提示用户，避免用户体验不佳。</w:t>
      </w:r>
    </w:p>
    <w:p w14:paraId="6081F3E8">
      <w:pPr>
        <w:numPr>
          <w:ilvl w:val="0"/>
          <w:numId w:val="3"/>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为了达到事务平均响应时间的要求，要在设计上充分保障系统运行的各个环节的效率。这些环节包括：客户端效率、网络传输效率、应用中间效率、数据库效率等。</w:t>
      </w:r>
    </w:p>
    <w:p w14:paraId="6102EE3F">
      <w:pPr>
        <w:numPr>
          <w:ilvl w:val="0"/>
          <w:numId w:val="3"/>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具备良好的并发响应能力，整体响应性能在2秒以内。</w:t>
      </w:r>
    </w:p>
    <w:p w14:paraId="02470613">
      <w:pPr>
        <w:numPr>
          <w:ilvl w:val="0"/>
          <w:numId w:val="3"/>
        </w:numPr>
        <w:tabs>
          <w:tab w:val="left" w:pos="420"/>
          <w:tab w:val="clear" w:pos="0"/>
        </w:tabs>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系统应满足用户的要求，稳定、可靠、实用。人机界面友好，输出、输入方便，图表生成灵活美观，检索、查询简单快捷。</w:t>
      </w:r>
    </w:p>
    <w:p w14:paraId="6926F6E0">
      <w:pPr>
        <w:pStyle w:val="5"/>
        <w:bidi w:val="0"/>
        <w:rPr>
          <w:rFonts w:hint="eastAsia"/>
        </w:rPr>
      </w:pPr>
    </w:p>
    <w:p w14:paraId="7F0973D5">
      <w:pPr>
        <w:pStyle w:val="5"/>
        <w:kinsoku w:val="0"/>
        <w:overflowPunct w:val="0"/>
        <w:spacing w:line="360" w:lineRule="auto"/>
        <w:ind w:right="294" w:rightChars="140" w:firstLine="420"/>
        <w:jc w:val="both"/>
        <w:outlineLvl w:val="1"/>
        <w:rPr>
          <w:rFonts w:hint="eastAsia" w:ascii="宋体" w:hAnsi="宋体" w:eastAsia="宋体"/>
          <w:sz w:val="24"/>
          <w:szCs w:val="24"/>
        </w:rPr>
      </w:pPr>
      <w:r>
        <w:rPr>
          <w:rFonts w:hint="eastAsia" w:ascii="宋体" w:hAnsi="宋体" w:eastAsia="宋体"/>
          <w:sz w:val="24"/>
          <w:szCs w:val="24"/>
        </w:rPr>
        <w:t>2.</w:t>
      </w:r>
      <w:r>
        <w:rPr>
          <w:rFonts w:hint="eastAsia" w:ascii="宋体" w:hAnsi="宋体"/>
          <w:sz w:val="24"/>
          <w:szCs w:val="24"/>
          <w:lang w:val="en-US" w:eastAsia="zh-CN"/>
        </w:rPr>
        <w:t>4</w:t>
      </w:r>
      <w:r>
        <w:rPr>
          <w:rFonts w:hint="eastAsia" w:ascii="宋体" w:hAnsi="宋体" w:eastAsia="宋体"/>
          <w:sz w:val="24"/>
          <w:szCs w:val="24"/>
        </w:rPr>
        <w:t xml:space="preserve">  运行环境要求</w:t>
      </w:r>
    </w:p>
    <w:p w14:paraId="48C43A3C">
      <w:pPr>
        <w:pStyle w:val="5"/>
        <w:kinsoku w:val="0"/>
        <w:overflowPunct w:val="0"/>
        <w:spacing w:line="360" w:lineRule="auto"/>
        <w:ind w:right="294" w:rightChars="140" w:firstLine="42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运行环境采用在一期基础上增加服务器满足扩容需要，具体配置要求如下：</w:t>
      </w:r>
    </w:p>
    <w:p w14:paraId="6A8555B4">
      <w:pPr>
        <w:pStyle w:val="5"/>
        <w:numPr>
          <w:ilvl w:val="0"/>
          <w:numId w:val="4"/>
        </w:numPr>
        <w:kinsoku w:val="0"/>
        <w:overflowPunct w:val="0"/>
        <w:spacing w:line="360" w:lineRule="auto"/>
        <w:ind w:right="294" w:rightChars="140" w:firstLine="420"/>
        <w:jc w:val="both"/>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用于部署应用系统软件，2个cpu（10核，2.4GHz以上），128GB内存，2块2TB硬盘，2个RJ45千兆电口；欧拉操作系统。</w:t>
      </w:r>
    </w:p>
    <w:p w14:paraId="10C9B787">
      <w:pPr>
        <w:pStyle w:val="5"/>
        <w:numPr>
          <w:ilvl w:val="0"/>
          <w:numId w:val="4"/>
        </w:numPr>
        <w:kinsoku w:val="0"/>
        <w:overflowPunct w:val="0"/>
        <w:spacing w:line="360" w:lineRule="auto"/>
        <w:ind w:right="294" w:rightChars="140" w:firstLine="420"/>
        <w:jc w:val="both"/>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用于部署数据库软件，2个cpu（10核，2.4GHz以上），128GB内存，2块2TB硬盘，2个RJ45千兆电口；欧拉操作系统。</w:t>
      </w:r>
    </w:p>
    <w:p w14:paraId="312BDBB0">
      <w:pPr>
        <w:pStyle w:val="5"/>
        <w:numPr>
          <w:ilvl w:val="0"/>
          <w:numId w:val="4"/>
        </w:numPr>
        <w:kinsoku w:val="0"/>
        <w:overflowPunct w:val="0"/>
        <w:spacing w:line="360" w:lineRule="auto"/>
        <w:ind w:right="294" w:rightChars="140" w:firstLine="420"/>
        <w:jc w:val="both"/>
        <w:rPr>
          <w:rFonts w:hint="eastAsia"/>
          <w:lang w:val="en-US" w:eastAsia="zh-CN"/>
        </w:rPr>
      </w:pPr>
      <w:r>
        <w:rPr>
          <w:rFonts w:hint="eastAsia" w:ascii="宋体" w:hAnsi="宋体" w:eastAsia="宋体" w:cs="宋体"/>
          <w:spacing w:val="-10"/>
          <w:sz w:val="24"/>
          <w:szCs w:val="24"/>
          <w:highlight w:val="none"/>
          <w:lang w:val="en-US" w:eastAsia="zh-CN"/>
        </w:rPr>
        <w:t>用于部署数据对接软件，2个cpu（10核，2.4GHz以上），128GB内存，2块2TB硬盘，2个RJ45千兆电口；欧拉操作系统。</w:t>
      </w:r>
    </w:p>
    <w:p w14:paraId="5727D170">
      <w:pPr>
        <w:adjustRightInd w:val="0"/>
        <w:snapToGrid w:val="0"/>
        <w:spacing w:line="360" w:lineRule="auto"/>
        <w:outlineLvl w:val="0"/>
        <w:rPr>
          <w:rFonts w:hint="eastAsia" w:ascii="宋体" w:hAnsi="宋体" w:eastAsia="宋体"/>
          <w:b/>
          <w:sz w:val="24"/>
          <w:szCs w:val="24"/>
        </w:rPr>
      </w:pPr>
      <w:r>
        <w:rPr>
          <w:rFonts w:hint="eastAsia" w:ascii="宋体" w:hAnsi="宋体" w:eastAsia="宋体"/>
          <w:b/>
          <w:sz w:val="24"/>
          <w:szCs w:val="24"/>
          <w:lang w:val="en-US" w:eastAsia="zh-CN"/>
        </w:rPr>
        <w:t>三</w:t>
      </w:r>
      <w:r>
        <w:rPr>
          <w:rFonts w:hint="eastAsia" w:ascii="宋体" w:hAnsi="宋体" w:eastAsia="宋体"/>
          <w:b/>
          <w:sz w:val="24"/>
          <w:szCs w:val="24"/>
        </w:rPr>
        <w:t>、保密要求、知识产权、工作纪律要求</w:t>
      </w:r>
    </w:p>
    <w:p w14:paraId="5EFA87F7">
      <w:pPr>
        <w:adjustRightInd w:val="0"/>
        <w:snapToGrid w:val="0"/>
        <w:spacing w:line="360" w:lineRule="auto"/>
        <w:ind w:firstLine="424" w:firstLineChars="177"/>
        <w:rPr>
          <w:rFonts w:ascii="宋体" w:hAnsi="宋体" w:eastAsia="宋体"/>
          <w:sz w:val="24"/>
        </w:rPr>
      </w:pPr>
      <w:r>
        <w:rPr>
          <w:rFonts w:hint="eastAsia" w:ascii="宋体" w:hAnsi="宋体" w:eastAsia="宋体" w:cs="Times New Roman"/>
          <w:sz w:val="24"/>
        </w:rPr>
        <w:t xml:space="preserve">3.1  </w:t>
      </w:r>
      <w:r>
        <w:rPr>
          <w:rFonts w:hint="eastAsia" w:ascii="宋体" w:hAnsi="宋体" w:eastAsia="宋体" w:cs="Times New Roman"/>
          <w:sz w:val="24"/>
          <w:lang w:eastAsia="zh-CN"/>
        </w:rPr>
        <w:t>合同签订时，甲乙双方</w:t>
      </w:r>
      <w:r>
        <w:rPr>
          <w:rFonts w:hint="eastAsia" w:ascii="宋体" w:hAnsi="宋体" w:eastAsia="宋体" w:cs="Times New Roman"/>
          <w:sz w:val="24"/>
        </w:rPr>
        <w:t>应签订保密协议，双方均有保密义务。</w:t>
      </w:r>
    </w:p>
    <w:p w14:paraId="711B2C63">
      <w:pPr>
        <w:adjustRightInd w:val="0"/>
        <w:snapToGrid w:val="0"/>
        <w:spacing w:line="360" w:lineRule="auto"/>
        <w:ind w:firstLine="420"/>
        <w:rPr>
          <w:rFonts w:ascii="宋体" w:hAnsi="宋体" w:eastAsia="宋体"/>
          <w:sz w:val="24"/>
        </w:rPr>
      </w:pPr>
      <w:r>
        <w:rPr>
          <w:rFonts w:hint="eastAsia" w:ascii="宋体" w:hAnsi="宋体" w:eastAsia="宋体" w:cs="Times New Roman"/>
          <w:sz w:val="24"/>
        </w:rPr>
        <w:t>3.2  保密期限由保密内容提供方确定，保密期限届满后，保密内容公开时，应书面征得保密内容提供方同意。</w:t>
      </w:r>
    </w:p>
    <w:p w14:paraId="3BAB92E4">
      <w:pPr>
        <w:adjustRightInd w:val="0"/>
        <w:snapToGrid w:val="0"/>
        <w:spacing w:line="360" w:lineRule="auto"/>
        <w:ind w:firstLine="420"/>
        <w:rPr>
          <w:rFonts w:ascii="宋体" w:hAnsi="宋体" w:eastAsia="宋体"/>
          <w:sz w:val="24"/>
        </w:rPr>
      </w:pPr>
      <w:r>
        <w:rPr>
          <w:rFonts w:hint="eastAsia" w:ascii="宋体" w:hAnsi="宋体" w:eastAsia="宋体" w:cs="Times New Roman"/>
          <w:sz w:val="24"/>
        </w:rPr>
        <w:t>3.3  委托开发软件的知识产权归</w:t>
      </w:r>
      <w:r>
        <w:rPr>
          <w:rFonts w:hint="eastAsia" w:ascii="宋体" w:hAnsi="宋体" w:eastAsia="宋体" w:cs="Times New Roman"/>
          <w:sz w:val="24"/>
          <w:lang w:eastAsia="zh-CN"/>
        </w:rPr>
        <w:t>委托方</w:t>
      </w:r>
      <w:r>
        <w:rPr>
          <w:rFonts w:hint="eastAsia" w:ascii="宋体" w:hAnsi="宋体" w:eastAsia="宋体" w:cs="Times New Roman"/>
          <w:sz w:val="24"/>
        </w:rPr>
        <w:t>所有。</w:t>
      </w:r>
      <w:r>
        <w:rPr>
          <w:rFonts w:hint="eastAsia" w:ascii="宋体" w:hAnsi="宋体" w:eastAsia="宋体" w:cs="Times New Roman"/>
          <w:sz w:val="24"/>
          <w:lang w:eastAsia="zh-CN"/>
        </w:rPr>
        <w:t>供应商</w:t>
      </w:r>
      <w:r>
        <w:rPr>
          <w:rFonts w:hint="eastAsia" w:ascii="宋体" w:hAnsi="宋体" w:eastAsia="宋体" w:cs="Times New Roman"/>
          <w:sz w:val="24"/>
        </w:rPr>
        <w:t>交付使用的信息系统已享有知识产权的，</w:t>
      </w:r>
      <w:r>
        <w:rPr>
          <w:rFonts w:hint="eastAsia" w:ascii="宋体" w:hAnsi="宋体" w:eastAsia="宋体" w:cs="Times New Roman"/>
          <w:sz w:val="24"/>
          <w:lang w:eastAsia="zh-CN"/>
        </w:rPr>
        <w:t>使用方</w:t>
      </w:r>
      <w:r>
        <w:rPr>
          <w:rFonts w:hint="eastAsia" w:ascii="宋体" w:hAnsi="宋体" w:eastAsia="宋体" w:cs="Times New Roman"/>
          <w:sz w:val="24"/>
        </w:rPr>
        <w:t>可在合同文件明确的范围内自主使用。信息系统中所有文档资料和数据、收集和储存的个人信息所有权均属于</w:t>
      </w:r>
      <w:r>
        <w:rPr>
          <w:rFonts w:hint="eastAsia" w:ascii="宋体" w:hAnsi="宋体" w:eastAsia="宋体" w:cs="Times New Roman"/>
          <w:sz w:val="24"/>
          <w:lang w:eastAsia="zh-CN"/>
        </w:rPr>
        <w:t>使用方</w:t>
      </w:r>
      <w:r>
        <w:rPr>
          <w:rFonts w:hint="eastAsia" w:ascii="宋体" w:hAnsi="宋体" w:eastAsia="宋体" w:cs="Times New Roman"/>
          <w:sz w:val="24"/>
        </w:rPr>
        <w:t>，未经</w:t>
      </w:r>
      <w:r>
        <w:rPr>
          <w:rFonts w:hint="eastAsia" w:ascii="宋体" w:hAnsi="宋体" w:eastAsia="宋体" w:cs="Times New Roman"/>
          <w:sz w:val="24"/>
          <w:lang w:eastAsia="zh-CN"/>
        </w:rPr>
        <w:t>使用方</w:t>
      </w:r>
      <w:r>
        <w:rPr>
          <w:rFonts w:hint="eastAsia" w:ascii="宋体" w:hAnsi="宋体" w:eastAsia="宋体" w:cs="Times New Roman"/>
          <w:sz w:val="24"/>
        </w:rPr>
        <w:t>允许不得访问、修改、披露、利用、转让、销毁。</w:t>
      </w:r>
    </w:p>
    <w:p w14:paraId="1278D6C9">
      <w:pPr>
        <w:adjustRightInd w:val="0"/>
        <w:snapToGrid w:val="0"/>
        <w:spacing w:line="360" w:lineRule="auto"/>
        <w:ind w:firstLine="424" w:firstLineChars="177"/>
        <w:rPr>
          <w:rFonts w:ascii="宋体" w:hAnsi="宋体" w:cs="宋体"/>
          <w:kern w:val="0"/>
          <w:sz w:val="24"/>
          <w:szCs w:val="24"/>
        </w:rPr>
      </w:pPr>
      <w:bookmarkStart w:id="5" w:name="_Toc727073087"/>
      <w:bookmarkStart w:id="6" w:name="_Toc134435581"/>
      <w:r>
        <w:rPr>
          <w:rFonts w:hint="eastAsia" w:ascii="宋体" w:hAnsi="宋体" w:eastAsia="宋体" w:cs="Times New Roman"/>
          <w:sz w:val="24"/>
          <w:lang w:eastAsia="zh-CN"/>
        </w:rPr>
        <w:t>3.</w:t>
      </w:r>
      <w:r>
        <w:rPr>
          <w:rFonts w:hint="eastAsia" w:ascii="宋体" w:hAnsi="宋体" w:eastAsia="宋体" w:cs="Times New Roman"/>
          <w:sz w:val="24"/>
          <w:lang w:val="en-US" w:eastAsia="zh-CN"/>
        </w:rPr>
        <w:t>4</w:t>
      </w:r>
      <w:bookmarkEnd w:id="5"/>
      <w:bookmarkEnd w:id="6"/>
      <w:r>
        <w:rPr>
          <w:rFonts w:hint="eastAsia" w:ascii="宋体" w:hAnsi="宋体" w:eastAsia="宋体" w:cs="Times New Roman"/>
          <w:sz w:val="24"/>
        </w:rPr>
        <w:t xml:space="preserve">  </w:t>
      </w:r>
      <w:r>
        <w:rPr>
          <w:rFonts w:hint="eastAsia" w:ascii="宋体" w:hAnsi="宋体" w:eastAsia="宋体" w:cs="宋体"/>
          <w:kern w:val="0"/>
          <w:sz w:val="24"/>
          <w:szCs w:val="24"/>
          <w:lang w:eastAsia="zh-CN"/>
        </w:rPr>
        <w:t>供应商</w:t>
      </w:r>
      <w:r>
        <w:rPr>
          <w:rFonts w:hint="eastAsia" w:ascii="宋体" w:hAnsi="宋体" w:cs="宋体"/>
          <w:kern w:val="0"/>
          <w:sz w:val="24"/>
          <w:szCs w:val="24"/>
        </w:rPr>
        <w:t>应在建设工作期间保证参与项目的技术人员的相对固定，不得随意调换。如确有原因需要调换的，需提前一个月向业主方提出并备案，经业主方同意后方可调换。</w:t>
      </w:r>
      <w:r>
        <w:rPr>
          <w:rFonts w:hint="eastAsia" w:ascii="宋体" w:hAnsi="宋体" w:eastAsia="宋体" w:cs="宋体"/>
          <w:kern w:val="0"/>
          <w:sz w:val="24"/>
          <w:szCs w:val="24"/>
          <w:lang w:eastAsia="zh-CN"/>
        </w:rPr>
        <w:t>供应商</w:t>
      </w:r>
      <w:r>
        <w:rPr>
          <w:rFonts w:hint="eastAsia" w:ascii="宋体" w:hAnsi="宋体" w:cs="宋体"/>
          <w:kern w:val="0"/>
          <w:sz w:val="24"/>
          <w:szCs w:val="24"/>
        </w:rPr>
        <w:t>应对技术人员调换的交接工作进行严格管理，确保数据不外泄、工作界面不留空白。</w:t>
      </w:r>
    </w:p>
    <w:p w14:paraId="7E9D40C9">
      <w:pPr>
        <w:spacing w:line="360" w:lineRule="auto"/>
        <w:ind w:firstLine="482"/>
        <w:rPr>
          <w:rFonts w:ascii="宋体" w:hAnsi="宋体" w:cs="宋体"/>
          <w:kern w:val="0"/>
          <w:sz w:val="24"/>
          <w:szCs w:val="24"/>
        </w:rPr>
      </w:pPr>
      <w:bookmarkStart w:id="7" w:name="_Toc134435582"/>
      <w:bookmarkStart w:id="8" w:name="_Toc956178045"/>
      <w:r>
        <w:rPr>
          <w:rFonts w:hint="eastAsia" w:ascii="宋体" w:hAnsi="宋体" w:eastAsia="宋体" w:cs="宋体"/>
          <w:kern w:val="0"/>
          <w:sz w:val="24"/>
          <w:szCs w:val="24"/>
          <w:lang w:eastAsia="zh-CN"/>
        </w:rPr>
        <w:t>3.</w:t>
      </w:r>
      <w:r>
        <w:rPr>
          <w:rFonts w:hint="eastAsia" w:ascii="宋体" w:hAnsi="宋体" w:eastAsia="宋体" w:cs="宋体"/>
          <w:kern w:val="0"/>
          <w:sz w:val="24"/>
          <w:szCs w:val="24"/>
          <w:lang w:val="en-US" w:eastAsia="zh-CN"/>
        </w:rPr>
        <w:t xml:space="preserve">5  </w:t>
      </w:r>
      <w:bookmarkEnd w:id="7"/>
      <w:bookmarkEnd w:id="8"/>
      <w:r>
        <w:rPr>
          <w:rFonts w:hint="eastAsia" w:ascii="宋体" w:hAnsi="宋体" w:eastAsia="宋体" w:cs="宋体"/>
          <w:kern w:val="0"/>
          <w:sz w:val="24"/>
          <w:szCs w:val="24"/>
          <w:lang w:eastAsia="zh-CN"/>
        </w:rPr>
        <w:t>供应商</w:t>
      </w:r>
      <w:r>
        <w:rPr>
          <w:rFonts w:hint="eastAsia" w:ascii="宋体" w:hAnsi="宋体" w:cs="宋体"/>
          <w:kern w:val="0"/>
          <w:sz w:val="24"/>
          <w:szCs w:val="24"/>
        </w:rPr>
        <w:t>应参加业主方组织项目负责人及相关技术人员进行安全保密教育，并记录学习情况。所有参与项目的技术人员均应参加学习并在学习记录上签字。</w:t>
      </w:r>
    </w:p>
    <w:p w14:paraId="704AB19B">
      <w:pPr>
        <w:spacing w:line="360" w:lineRule="auto"/>
        <w:ind w:firstLine="482"/>
        <w:outlineLvl w:val="9"/>
        <w:rPr>
          <w:rFonts w:hint="eastAsia" w:ascii="宋体" w:hAnsi="宋体" w:cs="宋体" w:eastAsiaTheme="minorEastAsia"/>
          <w:kern w:val="0"/>
          <w:sz w:val="24"/>
          <w:szCs w:val="24"/>
          <w:lang w:eastAsia="zh-CN"/>
        </w:rPr>
      </w:pPr>
      <w:r>
        <w:rPr>
          <w:rFonts w:hint="eastAsia" w:ascii="宋体" w:hAnsi="宋体" w:eastAsia="宋体" w:cs="宋体"/>
          <w:kern w:val="0"/>
          <w:sz w:val="24"/>
          <w:szCs w:val="24"/>
          <w:lang w:eastAsia="zh-CN"/>
        </w:rPr>
        <w:t>3.</w:t>
      </w:r>
      <w:r>
        <w:rPr>
          <w:rFonts w:hint="eastAsia" w:ascii="宋体" w:hAnsi="宋体" w:eastAsia="宋体" w:cs="宋体"/>
          <w:kern w:val="0"/>
          <w:sz w:val="24"/>
          <w:szCs w:val="24"/>
          <w:lang w:val="en-US" w:eastAsia="zh-CN"/>
        </w:rPr>
        <w:t xml:space="preserve">6  </w:t>
      </w:r>
      <w:r>
        <w:rPr>
          <w:rFonts w:hint="eastAsia" w:ascii="宋体" w:hAnsi="宋体" w:cs="宋体"/>
          <w:kern w:val="0"/>
          <w:sz w:val="24"/>
          <w:szCs w:val="24"/>
        </w:rPr>
        <w:t>遵守</w:t>
      </w:r>
      <w:r>
        <w:rPr>
          <w:rFonts w:hint="eastAsia" w:ascii="宋体" w:hAnsi="宋体" w:cs="宋体"/>
          <w:kern w:val="0"/>
          <w:sz w:val="24"/>
          <w:szCs w:val="24"/>
          <w:lang w:eastAsia="zh-CN"/>
        </w:rPr>
        <w:t>以下</w:t>
      </w:r>
      <w:r>
        <w:rPr>
          <w:rFonts w:hint="eastAsia" w:ascii="宋体" w:hAnsi="宋体" w:cs="宋体"/>
          <w:kern w:val="0"/>
          <w:sz w:val="24"/>
          <w:szCs w:val="24"/>
        </w:rPr>
        <w:t>相关条款</w:t>
      </w:r>
      <w:r>
        <w:rPr>
          <w:rFonts w:hint="eastAsia" w:ascii="宋体" w:hAnsi="宋体" w:cs="宋体"/>
          <w:kern w:val="0"/>
          <w:sz w:val="24"/>
          <w:szCs w:val="24"/>
          <w:lang w:eastAsia="zh-CN"/>
        </w:rPr>
        <w:t>：</w:t>
      </w:r>
    </w:p>
    <w:p w14:paraId="6C0DFB8A">
      <w:pPr>
        <w:spacing w:line="360" w:lineRule="auto"/>
        <w:ind w:firstLine="482"/>
        <w:rPr>
          <w:rFonts w:ascii="宋体" w:hAnsi="宋体" w:cs="宋体"/>
          <w:kern w:val="0"/>
          <w:sz w:val="24"/>
          <w:szCs w:val="24"/>
        </w:rPr>
      </w:pPr>
      <w:r>
        <w:rPr>
          <w:rFonts w:hint="eastAsia" w:ascii="宋体" w:hAnsi="宋体" w:cs="宋体"/>
          <w:kern w:val="0"/>
          <w:sz w:val="24"/>
          <w:szCs w:val="24"/>
        </w:rPr>
        <w:t>（场所管理）合作单位及其技术人员未经允许，不得擅自进入民警办公区域、业务机房等重要场所。</w:t>
      </w:r>
    </w:p>
    <w:p w14:paraId="6BACB737">
      <w:pPr>
        <w:spacing w:line="360" w:lineRule="auto"/>
        <w:ind w:firstLine="482"/>
        <w:rPr>
          <w:rFonts w:ascii="宋体" w:hAnsi="宋体" w:cs="宋体"/>
          <w:kern w:val="0"/>
          <w:sz w:val="24"/>
          <w:szCs w:val="24"/>
        </w:rPr>
      </w:pPr>
      <w:r>
        <w:rPr>
          <w:rFonts w:hint="eastAsia" w:ascii="宋体" w:hAnsi="宋体" w:cs="宋体"/>
          <w:kern w:val="0"/>
          <w:sz w:val="24"/>
          <w:szCs w:val="24"/>
        </w:rPr>
        <w:t>（设备管理）合作单位及其技术人员未经允许，不得使用公安网计算机和涉密计算机单机，严禁将自己携带的计算机联入公安网络和可存储警务秘密（含）以上密级信息的各类计算机、复印机、速印机等设备。</w:t>
      </w:r>
    </w:p>
    <w:p w14:paraId="52FE6587">
      <w:pPr>
        <w:spacing w:line="360" w:lineRule="auto"/>
        <w:ind w:firstLine="482"/>
        <w:rPr>
          <w:rFonts w:ascii="宋体" w:hAnsi="宋体" w:cs="宋体"/>
          <w:kern w:val="0"/>
          <w:sz w:val="24"/>
          <w:szCs w:val="24"/>
        </w:rPr>
      </w:pPr>
      <w:r>
        <w:rPr>
          <w:rFonts w:hint="eastAsia" w:ascii="宋体" w:hAnsi="宋体" w:cs="宋体"/>
          <w:kern w:val="0"/>
          <w:sz w:val="24"/>
          <w:szCs w:val="24"/>
        </w:rPr>
        <w:t>（禁止行为）合作单位及其技术人员获得民警授权使用指定的公安网计算机时，须由民警全程陪同，并严格遵守以下规定：</w:t>
      </w:r>
    </w:p>
    <w:p w14:paraId="5917F8C7">
      <w:pPr>
        <w:spacing w:line="360" w:lineRule="auto"/>
        <w:ind w:firstLine="482"/>
        <w:rPr>
          <w:rFonts w:ascii="宋体" w:hAnsi="宋体" w:cs="宋体"/>
          <w:kern w:val="0"/>
          <w:sz w:val="24"/>
          <w:szCs w:val="24"/>
        </w:rPr>
      </w:pPr>
      <w:r>
        <w:rPr>
          <w:rFonts w:hint="eastAsia" w:ascii="宋体" w:hAnsi="宋体" w:cs="宋体"/>
          <w:kern w:val="0"/>
          <w:sz w:val="24"/>
          <w:szCs w:val="24"/>
        </w:rPr>
        <w:t>（一）不得违反禁止“一机两用”的有关规定，不得擅自删除监控程序、逃避监控、扰乱上网注册工作。</w:t>
      </w:r>
    </w:p>
    <w:p w14:paraId="57DF1A18">
      <w:pPr>
        <w:spacing w:line="360" w:lineRule="auto"/>
        <w:ind w:firstLine="482"/>
        <w:rPr>
          <w:rFonts w:ascii="宋体" w:hAnsi="宋体" w:cs="宋体"/>
          <w:kern w:val="0"/>
          <w:sz w:val="24"/>
          <w:szCs w:val="24"/>
        </w:rPr>
      </w:pPr>
      <w:r>
        <w:rPr>
          <w:rFonts w:hint="eastAsia" w:ascii="宋体" w:hAnsi="宋体" w:cs="宋体"/>
          <w:kern w:val="0"/>
          <w:sz w:val="24"/>
          <w:szCs w:val="24"/>
        </w:rPr>
        <w:t>（二）不得使用民警的数字身份证书访问公安业务系统，如确需使用的，必须由民警亲自使用证书进行操作。</w:t>
      </w:r>
    </w:p>
    <w:p w14:paraId="75182595">
      <w:pPr>
        <w:spacing w:line="360" w:lineRule="auto"/>
        <w:ind w:firstLine="482"/>
        <w:rPr>
          <w:rFonts w:ascii="宋体" w:hAnsi="宋体" w:cs="宋体"/>
          <w:kern w:val="0"/>
          <w:sz w:val="24"/>
          <w:szCs w:val="24"/>
        </w:rPr>
      </w:pPr>
      <w:r>
        <w:rPr>
          <w:rFonts w:hint="eastAsia" w:ascii="宋体" w:hAnsi="宋体" w:cs="宋体"/>
          <w:kern w:val="0"/>
          <w:sz w:val="24"/>
          <w:szCs w:val="24"/>
        </w:rPr>
        <w:t>（三）不得擅自使用自带的移动存储介质或擅自开设FTP、共享文件夹在公安网计算机上进行文件拷贝与传递。</w:t>
      </w:r>
    </w:p>
    <w:p w14:paraId="590B451A">
      <w:pPr>
        <w:spacing w:line="360" w:lineRule="auto"/>
        <w:ind w:firstLine="482"/>
        <w:rPr>
          <w:rFonts w:ascii="宋体" w:hAnsi="宋体" w:cs="宋体"/>
          <w:kern w:val="0"/>
          <w:sz w:val="24"/>
          <w:szCs w:val="24"/>
        </w:rPr>
      </w:pPr>
      <w:r>
        <w:rPr>
          <w:rFonts w:hint="eastAsia" w:ascii="宋体" w:hAnsi="宋体" w:cs="宋体"/>
          <w:kern w:val="0"/>
          <w:sz w:val="24"/>
          <w:szCs w:val="24"/>
        </w:rPr>
        <w:t>（四）不得使用公安网计算机玩游戏、聊天或从事其它与本职工作无关的活动。</w:t>
      </w:r>
    </w:p>
    <w:p w14:paraId="0C057D4F">
      <w:pPr>
        <w:spacing w:line="360" w:lineRule="auto"/>
        <w:ind w:firstLine="482"/>
        <w:rPr>
          <w:rFonts w:ascii="宋体" w:hAnsi="宋体" w:cs="宋体"/>
          <w:kern w:val="0"/>
          <w:sz w:val="24"/>
          <w:szCs w:val="24"/>
        </w:rPr>
      </w:pPr>
      <w:r>
        <w:rPr>
          <w:rFonts w:hint="eastAsia" w:ascii="宋体" w:hAnsi="宋体" w:cs="宋体"/>
          <w:kern w:val="0"/>
          <w:sz w:val="24"/>
          <w:szCs w:val="24"/>
        </w:rPr>
        <w:t>（五）不得浏览、访问与本职工作无关的公安信息网站（页），不得尝试登录或使用与本职工作无关的公安业务系统。</w:t>
      </w:r>
    </w:p>
    <w:p w14:paraId="7D8A7E53">
      <w:pPr>
        <w:spacing w:line="360" w:lineRule="auto"/>
        <w:ind w:firstLine="482"/>
        <w:rPr>
          <w:rFonts w:ascii="宋体" w:hAnsi="宋体" w:cs="宋体"/>
          <w:kern w:val="0"/>
          <w:sz w:val="24"/>
          <w:szCs w:val="24"/>
        </w:rPr>
      </w:pPr>
      <w:r>
        <w:rPr>
          <w:rFonts w:hint="eastAsia" w:ascii="宋体" w:hAnsi="宋体" w:cs="宋体"/>
          <w:kern w:val="0"/>
          <w:sz w:val="24"/>
          <w:szCs w:val="24"/>
        </w:rPr>
        <w:t>（六）严禁将公安网上发布的各类警务信息通过下载、打印等方式带出公安机关。</w:t>
      </w:r>
    </w:p>
    <w:p w14:paraId="17958E94">
      <w:pPr>
        <w:spacing w:line="360" w:lineRule="auto"/>
        <w:ind w:firstLine="482"/>
        <w:rPr>
          <w:rFonts w:ascii="宋体" w:hAnsi="宋体" w:cs="宋体"/>
          <w:kern w:val="0"/>
          <w:sz w:val="24"/>
          <w:szCs w:val="24"/>
        </w:rPr>
      </w:pPr>
      <w:r>
        <w:rPr>
          <w:rFonts w:hint="eastAsia" w:ascii="宋体" w:hAnsi="宋体" w:cs="宋体"/>
          <w:kern w:val="0"/>
          <w:sz w:val="24"/>
          <w:szCs w:val="24"/>
        </w:rPr>
        <w:t>（七）禁止使用点对点（P2P）文件共享类软件（如BitTorrent、BitComet、BitSpirit、eMule、eDonkey、Kazaa、WinMx、迅雷等软件）进行数据下载。</w:t>
      </w:r>
    </w:p>
    <w:p w14:paraId="13D5F595">
      <w:pPr>
        <w:spacing w:line="360" w:lineRule="auto"/>
        <w:ind w:firstLine="482"/>
        <w:rPr>
          <w:rFonts w:ascii="宋体" w:hAnsi="宋体" w:cs="宋体"/>
          <w:kern w:val="0"/>
          <w:sz w:val="24"/>
          <w:szCs w:val="24"/>
        </w:rPr>
      </w:pPr>
      <w:r>
        <w:rPr>
          <w:rFonts w:hint="eastAsia" w:ascii="宋体" w:hAnsi="宋体" w:cs="宋体"/>
          <w:kern w:val="0"/>
          <w:sz w:val="24"/>
          <w:szCs w:val="24"/>
        </w:rPr>
        <w:t>（八）不得擅自对公安业务用计算机重新安装或加装操作系统，不得安装黑客类工具。</w:t>
      </w:r>
    </w:p>
    <w:p w14:paraId="443463E4">
      <w:pPr>
        <w:spacing w:line="360" w:lineRule="auto"/>
        <w:ind w:firstLine="482"/>
        <w:rPr>
          <w:rFonts w:ascii="宋体" w:hAnsi="宋体" w:cs="宋体"/>
          <w:kern w:val="0"/>
          <w:sz w:val="24"/>
          <w:szCs w:val="24"/>
        </w:rPr>
      </w:pPr>
      <w:r>
        <w:rPr>
          <w:rFonts w:hint="eastAsia" w:ascii="宋体" w:hAnsi="宋体" w:cs="宋体"/>
          <w:kern w:val="0"/>
          <w:sz w:val="24"/>
          <w:szCs w:val="24"/>
        </w:rPr>
        <w:t>（九）不得编制或故意传播破坏计算机功能、破坏信息数据的病毒，或者恶意攻击、删改各类信息网站和信息系统数据。</w:t>
      </w:r>
    </w:p>
    <w:p w14:paraId="2780BA4E">
      <w:pPr>
        <w:spacing w:line="360" w:lineRule="auto"/>
        <w:ind w:firstLine="482"/>
        <w:rPr>
          <w:rFonts w:ascii="宋体" w:hAnsi="宋体" w:cs="宋体"/>
          <w:kern w:val="0"/>
          <w:sz w:val="24"/>
          <w:szCs w:val="24"/>
        </w:rPr>
      </w:pPr>
      <w:r>
        <w:rPr>
          <w:rFonts w:hint="eastAsia" w:ascii="宋体" w:hAnsi="宋体" w:cs="宋体"/>
          <w:kern w:val="0"/>
          <w:sz w:val="24"/>
          <w:szCs w:val="24"/>
        </w:rPr>
        <w:t>（十）不得有其它违反党纪、政纪、社会公德、职业道德的网上行为。</w:t>
      </w:r>
    </w:p>
    <w:p w14:paraId="6CAD9F97">
      <w:pPr>
        <w:spacing w:line="360" w:lineRule="auto"/>
        <w:ind w:firstLine="482"/>
        <w:rPr>
          <w:rFonts w:ascii="宋体" w:hAnsi="宋体" w:cs="宋体"/>
          <w:kern w:val="0"/>
          <w:sz w:val="24"/>
          <w:szCs w:val="24"/>
        </w:rPr>
      </w:pPr>
      <w:r>
        <w:rPr>
          <w:rFonts w:hint="eastAsia" w:ascii="宋体" w:hAnsi="宋体" w:cs="宋体"/>
          <w:kern w:val="0"/>
          <w:sz w:val="24"/>
          <w:szCs w:val="24"/>
        </w:rPr>
        <w:t>（操作管理）合作单位及其技术人员不得使用远程拨号上公安网方式进行系统维护、软件开发、设备调试等工作，只允许在项目建设单位指定的区域内使用专用设备进行操作，并由公安民警全程陪同。</w:t>
      </w:r>
    </w:p>
    <w:p w14:paraId="3DE384D0">
      <w:pPr>
        <w:spacing w:line="360" w:lineRule="auto"/>
        <w:ind w:firstLine="482"/>
        <w:rPr>
          <w:rFonts w:ascii="宋体" w:hAnsi="宋体" w:cs="宋体"/>
          <w:kern w:val="0"/>
          <w:sz w:val="24"/>
          <w:szCs w:val="24"/>
        </w:rPr>
      </w:pPr>
      <w:r>
        <w:rPr>
          <w:rFonts w:hint="eastAsia" w:ascii="宋体" w:hAnsi="宋体" w:cs="宋体"/>
          <w:kern w:val="0"/>
          <w:sz w:val="24"/>
          <w:szCs w:val="24"/>
        </w:rPr>
        <w:t>（保密责任）对于警务工作秘密（含）以上的事项，合作单位及其技术人员应当做到不该问的不问，不该说的不说，并且在知悉秘密事项的情况下自觉负有保密义务，不得以任何形式泄露给无关人员。</w:t>
      </w:r>
    </w:p>
    <w:p w14:paraId="25D15AD9">
      <w:pPr>
        <w:adjustRightInd w:val="0"/>
        <w:snapToGrid w:val="0"/>
        <w:spacing w:line="360" w:lineRule="auto"/>
        <w:ind w:firstLine="420"/>
        <w:rPr>
          <w:rFonts w:ascii="宋体" w:hAnsi="宋体" w:eastAsia="宋体" w:cs="Times New Roman"/>
          <w:sz w:val="24"/>
        </w:rPr>
      </w:pPr>
      <w:r>
        <w:rPr>
          <w:rFonts w:hint="eastAsia" w:ascii="宋体" w:hAnsi="宋体" w:eastAsia="宋体" w:cs="Times New Roman"/>
          <w:sz w:val="24"/>
        </w:rPr>
        <w:t xml:space="preserve"> </w:t>
      </w:r>
    </w:p>
    <w:p w14:paraId="127878E5">
      <w:pPr>
        <w:pStyle w:val="5"/>
        <w:rPr>
          <w:rFonts w:ascii="宋体" w:hAnsi="宋体"/>
        </w:rPr>
      </w:pPr>
    </w:p>
    <w:p w14:paraId="6DA940A5">
      <w:pPr>
        <w:spacing w:line="500" w:lineRule="exact"/>
        <w:outlineLvl w:val="0"/>
        <w:rPr>
          <w:rFonts w:ascii="宋体" w:hAnsi="宋体" w:eastAsia="宋体"/>
          <w:b/>
          <w:sz w:val="24"/>
          <w:szCs w:val="24"/>
        </w:rPr>
      </w:pPr>
      <w:r>
        <w:rPr>
          <w:rFonts w:hint="eastAsia" w:ascii="宋体" w:hAnsi="宋体" w:eastAsia="宋体" w:cs="Times New Roman"/>
          <w:b/>
          <w:sz w:val="24"/>
          <w:szCs w:val="24"/>
          <w:lang w:val="en-US" w:eastAsia="zh-CN"/>
        </w:rPr>
        <w:t>四</w:t>
      </w:r>
      <w:r>
        <w:rPr>
          <w:rFonts w:hint="eastAsia" w:ascii="宋体" w:hAnsi="宋体" w:eastAsia="宋体" w:cs="Times New Roman"/>
          <w:b/>
          <w:sz w:val="24"/>
          <w:szCs w:val="24"/>
        </w:rPr>
        <w:t>、项目验收、售后服务、质保要求及违约罚则</w:t>
      </w:r>
    </w:p>
    <w:p w14:paraId="2E04CF52">
      <w:pPr>
        <w:spacing w:line="360" w:lineRule="auto"/>
        <w:ind w:firstLine="482"/>
        <w:rPr>
          <w:rFonts w:hint="eastAsia" w:ascii="宋体" w:hAnsi="宋体" w:eastAsia="宋体" w:cs="宋体"/>
          <w:kern w:val="0"/>
          <w:sz w:val="24"/>
          <w:szCs w:val="24"/>
          <w:lang w:eastAsia="zh-CN"/>
        </w:rPr>
      </w:pPr>
      <w:bookmarkStart w:id="9" w:name="_Toc1700"/>
      <w:r>
        <w:rPr>
          <w:rFonts w:hint="eastAsia" w:ascii="宋体" w:hAnsi="宋体" w:eastAsia="宋体" w:cs="宋体"/>
          <w:kern w:val="0"/>
          <w:sz w:val="24"/>
          <w:szCs w:val="24"/>
          <w:lang w:val="en-US" w:eastAsia="zh-CN"/>
        </w:rPr>
        <w:t>4.1  项目周期</w:t>
      </w:r>
      <w:bookmarkEnd w:id="9"/>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本项目全部工作内容应在</w:t>
      </w:r>
      <w:r>
        <w:rPr>
          <w:rFonts w:hint="eastAsia" w:ascii="宋体" w:hAnsi="宋体" w:eastAsia="宋体" w:cs="宋体"/>
          <w:kern w:val="0"/>
          <w:sz w:val="24"/>
          <w:szCs w:val="24"/>
          <w:lang w:val="en-US" w:eastAsia="zh-CN"/>
        </w:rPr>
        <w:t>45天</w:t>
      </w:r>
      <w:r>
        <w:rPr>
          <w:rFonts w:hint="eastAsia" w:ascii="宋体" w:hAnsi="宋体" w:eastAsia="宋体" w:cs="宋体"/>
          <w:kern w:val="0"/>
          <w:sz w:val="24"/>
          <w:szCs w:val="24"/>
          <w:lang w:eastAsia="zh-CN"/>
        </w:rPr>
        <w:t>内完成。</w:t>
      </w:r>
    </w:p>
    <w:p w14:paraId="0243E987">
      <w:pPr>
        <w:spacing w:line="360" w:lineRule="auto"/>
        <w:ind w:firstLine="482"/>
        <w:rPr>
          <w:rFonts w:hint="eastAsia" w:ascii="宋体" w:hAnsi="宋体" w:eastAsia="宋体" w:cs="宋体"/>
          <w:kern w:val="0"/>
          <w:sz w:val="24"/>
          <w:szCs w:val="24"/>
          <w:lang w:eastAsia="zh-CN"/>
        </w:rPr>
      </w:pPr>
      <w:bookmarkStart w:id="10" w:name="_Toc8988"/>
      <w:r>
        <w:rPr>
          <w:rFonts w:hint="eastAsia" w:ascii="宋体" w:hAnsi="宋体" w:eastAsia="宋体" w:cs="宋体"/>
          <w:kern w:val="0"/>
          <w:sz w:val="24"/>
          <w:szCs w:val="24"/>
          <w:lang w:val="en-US" w:eastAsia="zh-CN"/>
        </w:rPr>
        <w:t>4.2  项目</w:t>
      </w:r>
      <w:r>
        <w:rPr>
          <w:rFonts w:hint="eastAsia" w:ascii="宋体" w:hAnsi="宋体" w:eastAsia="宋体" w:cs="宋体"/>
          <w:kern w:val="0"/>
          <w:sz w:val="24"/>
          <w:szCs w:val="24"/>
          <w:lang w:eastAsia="zh-CN"/>
        </w:rPr>
        <w:t>验收</w:t>
      </w:r>
      <w:bookmarkEnd w:id="10"/>
      <w:r>
        <w:rPr>
          <w:rFonts w:hint="eastAsia" w:ascii="宋体" w:hAnsi="宋体" w:eastAsia="宋体" w:cs="宋体"/>
          <w:kern w:val="0"/>
          <w:sz w:val="24"/>
          <w:szCs w:val="24"/>
          <w:lang w:eastAsia="zh-CN"/>
        </w:rPr>
        <w:t>：</w:t>
      </w:r>
    </w:p>
    <w:p w14:paraId="4899AE0C">
      <w:pPr>
        <w:pageBreakBefore w:val="0"/>
        <w:kinsoku/>
        <w:wordWrap/>
        <w:overflowPunct/>
        <w:topLinePunct w:val="0"/>
        <w:autoSpaceDE/>
        <w:autoSpaceDN/>
        <w:bidi w:val="0"/>
        <w:spacing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完成</w:t>
      </w:r>
      <w:r>
        <w:rPr>
          <w:rFonts w:hint="eastAsia" w:ascii="宋体" w:hAnsi="宋体" w:eastAsia="宋体" w:cs="宋体"/>
          <w:color w:val="000000" w:themeColor="text1"/>
          <w:sz w:val="24"/>
          <w:szCs w:val="24"/>
          <w:lang w:val="en-US" w:eastAsia="zh-CN"/>
          <w14:textFill>
            <w14:solidFill>
              <w14:schemeClr w14:val="tx1"/>
            </w14:solidFill>
          </w14:textFill>
        </w:rPr>
        <w:t>建设内容</w:t>
      </w:r>
      <w:r>
        <w:rPr>
          <w:rFonts w:hint="eastAsia" w:ascii="宋体" w:hAnsi="宋体" w:eastAsia="宋体" w:cs="宋体"/>
          <w:color w:val="000000" w:themeColor="text1"/>
          <w:sz w:val="24"/>
          <w:szCs w:val="24"/>
          <w14:textFill>
            <w14:solidFill>
              <w14:schemeClr w14:val="tx1"/>
            </w14:solidFill>
          </w14:textFill>
        </w:rPr>
        <w:t>后，乙方应当以书面形式向甲方递交验收通知书，甲方在收到验收通知书后确定具体日期，由双方按照本合同的规定完成项目验收。如果属于乙方原因致使系统未能通过验收，乙方应当排除故障，并自行承担相关费用，同时进行试运行，直至系统完全符合验收标准。</w:t>
      </w:r>
      <w:r>
        <w:rPr>
          <w:rFonts w:hint="eastAsia" w:ascii="宋体" w:hAnsi="宋体" w:eastAsia="宋体" w:cs="宋体"/>
          <w:color w:val="000000" w:themeColor="text1"/>
          <w:sz w:val="24"/>
          <w:szCs w:val="24"/>
          <w:lang w:eastAsia="zh-CN"/>
          <w14:textFill>
            <w14:solidFill>
              <w14:schemeClr w14:val="tx1"/>
            </w14:solidFill>
          </w14:textFill>
        </w:rPr>
        <w:t>履约验收工作</w:t>
      </w:r>
      <w:r>
        <w:rPr>
          <w:rFonts w:hint="eastAsia" w:ascii="宋体" w:hAnsi="宋体" w:eastAsia="宋体" w:cs="宋体"/>
          <w:color w:val="000000" w:themeColor="text1"/>
          <w:sz w:val="24"/>
          <w:szCs w:val="24"/>
          <w14:textFill>
            <w14:solidFill>
              <w14:schemeClr w14:val="tx1"/>
            </w14:solidFill>
          </w14:textFill>
        </w:rPr>
        <w:t>具体依据项目合同中的履约验收方案执行，合同中的履约验收方案将明确履约验收的主体、时间、方式、程序、内容和验收标准等事项。</w:t>
      </w:r>
    </w:p>
    <w:p w14:paraId="79F91B72">
      <w:pPr>
        <w:pageBreakBefore w:val="0"/>
        <w:kinsoku/>
        <w:wordWrap/>
        <w:overflowPunct/>
        <w:topLinePunct w:val="0"/>
        <w:autoSpaceDE/>
        <w:autoSpaceDN/>
        <w:bidi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本项目验收采用专家和用户现场验收方式。验收前必须满足以下要求：</w:t>
      </w:r>
    </w:p>
    <w:p w14:paraId="125CE763">
      <w:pPr>
        <w:pageBreakBefore w:val="0"/>
        <w:numPr>
          <w:ilvl w:val="0"/>
          <w:numId w:val="5"/>
        </w:numPr>
        <w:kinsoku/>
        <w:wordWrap/>
        <w:overflowPunct/>
        <w:topLinePunct w:val="0"/>
        <w:autoSpaceDE/>
        <w:autoSpaceDN/>
        <w:bidi w:val="0"/>
        <w:spacing w:line="360" w:lineRule="auto"/>
        <w:ind w:left="0" w:leftChars="0" w:firstLine="42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已提供了合同的全部货物和资料，满足区信息化项目管理相关规定和要求；</w:t>
      </w:r>
    </w:p>
    <w:p w14:paraId="1EEA5D89">
      <w:pPr>
        <w:pageBreakBefore w:val="0"/>
        <w:numPr>
          <w:ilvl w:val="0"/>
          <w:numId w:val="5"/>
        </w:numPr>
        <w:kinsoku/>
        <w:wordWrap/>
        <w:overflowPunct/>
        <w:topLinePunct w:val="0"/>
        <w:autoSpaceDE/>
        <w:autoSpaceDN/>
        <w:bidi w:val="0"/>
        <w:spacing w:line="360" w:lineRule="auto"/>
        <w:ind w:left="0" w:leftChars="0" w:firstLine="42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试运行期至少</w:t>
      </w: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个月，且满足合同各项要求，试运行时出现的问题已解决；</w:t>
      </w:r>
    </w:p>
    <w:p w14:paraId="44FE8ED7">
      <w:pPr>
        <w:pageBreakBefore w:val="0"/>
        <w:numPr>
          <w:ilvl w:val="0"/>
          <w:numId w:val="5"/>
        </w:numPr>
        <w:kinsoku/>
        <w:wordWrap/>
        <w:overflowPunct/>
        <w:topLinePunct w:val="0"/>
        <w:autoSpaceDE/>
        <w:autoSpaceDN/>
        <w:bidi w:val="0"/>
        <w:spacing w:line="360" w:lineRule="auto"/>
        <w:ind w:left="0" w:leftChars="0" w:firstLine="42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验收前由甲方组织</w:t>
      </w:r>
      <w:r>
        <w:rPr>
          <w:rFonts w:hint="eastAsia" w:ascii="宋体" w:hAnsi="宋体" w:eastAsia="宋体" w:cs="宋体"/>
          <w:color w:val="000000" w:themeColor="text1"/>
          <w:sz w:val="24"/>
          <w:szCs w:val="24"/>
          <w:lang w:val="en-US" w:eastAsia="zh-CN"/>
          <w14:textFill>
            <w14:solidFill>
              <w14:schemeClr w14:val="tx1"/>
            </w14:solidFill>
          </w14:textFill>
        </w:rPr>
        <w:t>第三方公司进行软测和安测</w:t>
      </w:r>
      <w:r>
        <w:rPr>
          <w:rFonts w:hint="eastAsia" w:ascii="宋体" w:hAnsi="宋体" w:eastAsia="宋体" w:cs="宋体"/>
          <w:color w:val="000000" w:themeColor="text1"/>
          <w:sz w:val="24"/>
          <w:szCs w:val="24"/>
          <w14:textFill>
            <w14:solidFill>
              <w14:schemeClr w14:val="tx1"/>
            </w14:solidFill>
          </w14:textFill>
        </w:rPr>
        <w:t>，测试结果必须满足招标文件涉及到的各项功能需求。</w:t>
      </w:r>
    </w:p>
    <w:p w14:paraId="6C418258">
      <w:pPr>
        <w:pageBreakBefore w:val="0"/>
        <w:numPr>
          <w:ilvl w:val="0"/>
          <w:numId w:val="5"/>
        </w:numPr>
        <w:kinsoku/>
        <w:wordWrap/>
        <w:overflowPunct/>
        <w:topLinePunct w:val="0"/>
        <w:autoSpaceDE/>
        <w:autoSpaceDN/>
        <w:bidi w:val="0"/>
        <w:spacing w:line="360" w:lineRule="auto"/>
        <w:ind w:left="0" w:leftChars="0" w:firstLine="420" w:firstLineChars="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完成了项目相关交付培训工作。</w:t>
      </w:r>
    </w:p>
    <w:p w14:paraId="61AFD24B">
      <w:pPr>
        <w:spacing w:line="360" w:lineRule="auto"/>
        <w:ind w:firstLine="482"/>
        <w:outlineLvl w:val="9"/>
        <w:rPr>
          <w:rFonts w:hint="eastAsia" w:ascii="宋体" w:hAnsi="宋体" w:eastAsia="宋体" w:cs="宋体"/>
          <w:kern w:val="0"/>
          <w:sz w:val="24"/>
          <w:szCs w:val="24"/>
          <w:lang w:val="en-US" w:eastAsia="zh-CN"/>
        </w:rPr>
      </w:pPr>
      <w:bookmarkStart w:id="11" w:name="_Toc24354"/>
      <w:r>
        <w:rPr>
          <w:rFonts w:hint="eastAsia" w:ascii="宋体" w:hAnsi="宋体" w:eastAsia="宋体" w:cs="宋体"/>
          <w:kern w:val="0"/>
          <w:sz w:val="24"/>
          <w:szCs w:val="24"/>
          <w:lang w:val="en-US" w:eastAsia="zh-CN"/>
        </w:rPr>
        <w:t>4.3  售后服务、质保要求及违约罚则</w:t>
      </w:r>
      <w:bookmarkEnd w:id="11"/>
    </w:p>
    <w:p w14:paraId="7749C683">
      <w:pPr>
        <w:pageBreakBefore w:val="0"/>
        <w:kinsoku/>
        <w:wordWrap/>
        <w:overflowPunct/>
        <w:topLinePunct w:val="0"/>
        <w:autoSpaceDE/>
        <w:autoSpaceDN/>
        <w:bidi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系统建成通过用户验收后，进入质保期，质保期</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内的运行维护服务范围包括对构成系统的所有建筑设施、组件、网络、供电设施、防雷设施、第三方软件、应用软件等的维护、维修、更换故障组件和产品升级等。维护服务内容包括日常运作、服务咨询、巡检保</w:t>
      </w:r>
      <w:r>
        <w:rPr>
          <w:rFonts w:hint="eastAsia" w:ascii="宋体" w:hAnsi="宋体" w:eastAsia="宋体" w:cs="宋体"/>
          <w:color w:val="auto"/>
          <w:sz w:val="24"/>
          <w:szCs w:val="24"/>
        </w:rPr>
        <w:t>养、主动监测、故障修复、特殊保障和升级优化。</w:t>
      </w:r>
    </w:p>
    <w:p w14:paraId="7E76039A">
      <w:pPr>
        <w:pageBreakBefore w:val="0"/>
        <w:kinsoku/>
        <w:wordWrap/>
        <w:overflowPunct/>
        <w:topLinePunct w:val="0"/>
        <w:autoSpaceDE/>
        <w:autoSpaceDN/>
        <w:bidi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中标供应商需向长宁区公安分局提供完整的系统整体维护方案。中标供应商针对本项目配备的技术人员应受过良</w:t>
      </w:r>
      <w:r>
        <w:rPr>
          <w:rFonts w:hint="eastAsia" w:ascii="宋体" w:hAnsi="宋体" w:eastAsia="宋体" w:cs="宋体"/>
          <w:color w:val="000000" w:themeColor="text1"/>
          <w:sz w:val="24"/>
          <w:szCs w:val="24"/>
          <w14:textFill>
            <w14:solidFill>
              <w14:schemeClr w14:val="tx1"/>
            </w14:solidFill>
          </w14:textFill>
        </w:rPr>
        <w:t>好的职业训练，熟悉系统的设计、设置及使用，能够提供满意的服务。</w:t>
      </w:r>
    </w:p>
    <w:p w14:paraId="02B9BA24">
      <w:pPr>
        <w:pStyle w:val="4"/>
        <w:rPr>
          <w:rFonts w:hint="default"/>
          <w:lang w:val="en-US" w:eastAsia="zh-CN"/>
        </w:rPr>
      </w:pPr>
    </w:p>
    <w:p w14:paraId="384BD915">
      <w:pPr>
        <w:spacing w:line="360" w:lineRule="auto"/>
        <w:ind w:firstLine="482"/>
        <w:outlineLvl w:val="9"/>
        <w:rPr>
          <w:rFonts w:hint="eastAsia" w:ascii="宋体" w:hAnsi="宋体" w:eastAsia="宋体" w:cs="宋体"/>
          <w:kern w:val="0"/>
          <w:sz w:val="24"/>
          <w:szCs w:val="24"/>
          <w:lang w:val="en-US" w:eastAsia="zh-CN"/>
        </w:rPr>
      </w:pPr>
      <w:bookmarkStart w:id="12" w:name="_Toc9972"/>
      <w:r>
        <w:rPr>
          <w:rFonts w:hint="eastAsia" w:ascii="宋体" w:hAnsi="宋体" w:eastAsia="宋体" w:cs="宋体"/>
          <w:kern w:val="0"/>
          <w:sz w:val="24"/>
          <w:szCs w:val="24"/>
          <w:lang w:val="en-US" w:eastAsia="zh-CN"/>
        </w:rPr>
        <w:t>4.3.1  违约罚则</w:t>
      </w:r>
      <w:bookmarkEnd w:id="12"/>
    </w:p>
    <w:p w14:paraId="48FDF82C">
      <w:pPr>
        <w:pageBreakBefore w:val="0"/>
        <w:kinsoku/>
        <w:wordWrap/>
        <w:overflowPunct/>
        <w:topLinePunct w:val="0"/>
        <w:autoSpaceDE/>
        <w:autoSpaceDN/>
        <w:bidi w:val="0"/>
        <w:spacing w:line="360" w:lineRule="auto"/>
        <w:ind w:firstLine="48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1.违约情形</w:t>
      </w:r>
    </w:p>
    <w:p w14:paraId="107301DB">
      <w:pPr>
        <w:pageBreakBefore w:val="0"/>
        <w:kinsoku/>
        <w:wordWrap/>
        <w:overflowPunct/>
        <w:topLinePunct w:val="0"/>
        <w:autoSpaceDE/>
        <w:autoSpaceDN/>
        <w:bidi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(1)中标方违反合同约定采购和使用不合格的材料和工程组件的； </w:t>
      </w:r>
    </w:p>
    <w:p w14:paraId="513CE8E7">
      <w:pPr>
        <w:pageBreakBefore w:val="0"/>
        <w:kinsoku/>
        <w:wordWrap/>
        <w:overflowPunct/>
        <w:topLinePunct w:val="0"/>
        <w:autoSpaceDE/>
        <w:autoSpaceDN/>
        <w:bidi w:val="0"/>
        <w:spacing w:line="360" w:lineRule="auto"/>
        <w:ind w:firstLine="48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(2)因中标方原因导致工程质量不符合合同要求的；</w:t>
      </w:r>
    </w:p>
    <w:p w14:paraId="44220595">
      <w:pPr>
        <w:pageBreakBefore w:val="0"/>
        <w:kinsoku/>
        <w:wordWrap/>
        <w:overflowPunct/>
        <w:topLinePunct w:val="0"/>
        <w:autoSpaceDE/>
        <w:autoSpaceDN/>
        <w:bidi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(3)中标方未</w:t>
      </w:r>
      <w:r>
        <w:rPr>
          <w:rFonts w:hint="eastAsia" w:ascii="宋体" w:hAnsi="宋体" w:eastAsia="宋体" w:cs="宋体"/>
          <w:color w:val="auto"/>
          <w:sz w:val="24"/>
          <w:szCs w:val="24"/>
        </w:rPr>
        <w:t>能按施工进度计划及时完成合同约定的工作，造成工程延误的；</w:t>
      </w:r>
    </w:p>
    <w:p w14:paraId="2E0688D0">
      <w:pPr>
        <w:pageBreakBefore w:val="0"/>
        <w:kinsoku/>
        <w:wordWrap/>
        <w:overflowPunct/>
        <w:topLinePunct w:val="0"/>
        <w:autoSpaceDE/>
        <w:autoSpaceDN/>
        <w:bidi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施工进度计划应根据合同所约定的</w:t>
      </w:r>
      <w:r>
        <w:rPr>
          <w:rFonts w:hint="eastAsia" w:ascii="宋体" w:hAnsi="宋体" w:eastAsia="宋体" w:cs="宋体"/>
          <w:color w:val="000000" w:themeColor="text1"/>
          <w:sz w:val="24"/>
          <w:szCs w:val="24"/>
          <w14:textFill>
            <w14:solidFill>
              <w14:schemeClr w14:val="tx1"/>
            </w14:solidFill>
          </w14:textFill>
        </w:rPr>
        <w:t>工期执行，如工程实际进度与合同工期不符，中标方应提出进度计划修订，并经监理人和长宁区公安分局同意后执行；长宁区公安分局在合同执行期间提出的合理进度要求，在监理人和中标方确认后执行，确认方式可通过工作联系单、会议纪要、工程备忘录等书面形式进行；</w:t>
      </w:r>
    </w:p>
    <w:p w14:paraId="6B674B8A">
      <w:pPr>
        <w:pageBreakBefore w:val="0"/>
        <w:kinsoku/>
        <w:wordWrap/>
        <w:overflowPunct/>
        <w:topLinePunct w:val="0"/>
        <w:autoSpaceDE/>
        <w:autoSpaceDN/>
        <w:bidi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(4)中标方在质量保证期内，未能在合理期限对工程缺陷进行修复，或拒绝长宁区公安分局要求进行修复的；</w:t>
      </w:r>
    </w:p>
    <w:p w14:paraId="0FEB0678">
      <w:pPr>
        <w:pageBreakBefore w:val="0"/>
        <w:kinsoku/>
        <w:wordWrap/>
        <w:overflowPunct/>
        <w:topLinePunct w:val="0"/>
        <w:autoSpaceDE/>
        <w:autoSpaceDN/>
        <w:bidi w:val="0"/>
        <w:spacing w:line="360" w:lineRule="auto"/>
        <w:ind w:firstLine="48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(5)中标方未能按合同约定履行其他义务的；</w:t>
      </w:r>
    </w:p>
    <w:p w14:paraId="73CB6B44">
      <w:pPr>
        <w:pageBreakBefore w:val="0"/>
        <w:kinsoku/>
        <w:wordWrap/>
        <w:overflowPunct/>
        <w:topLinePunct w:val="0"/>
        <w:autoSpaceDE/>
        <w:autoSpaceDN/>
        <w:bidi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方发生上述违约情况时监理人可向中标方发出整改通知，要求其在限定期限内改正，如中标方在限定期间内未能改正，则长宁区公安分局可根据违约责任条款扣除相应的违约金，中标方在承担工期延误违约金后，并不免除中标方完成工程及保修的义务。</w:t>
      </w:r>
    </w:p>
    <w:p w14:paraId="287A69D0">
      <w:pPr>
        <w:pageBreakBefore w:val="0"/>
        <w:kinsoku/>
        <w:wordWrap/>
        <w:overflowPunct/>
        <w:topLinePunct w:val="0"/>
        <w:autoSpaceDE/>
        <w:autoSpaceDN/>
        <w:bidi w:val="0"/>
        <w:spacing w:line="360" w:lineRule="auto"/>
        <w:ind w:firstLine="48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违约责任</w:t>
      </w:r>
    </w:p>
    <w:p w14:paraId="5AAA44EF">
      <w:pPr>
        <w:pageBreakBefore w:val="0"/>
        <w:kinsoku/>
        <w:wordWrap/>
        <w:overflowPunct/>
        <w:topLinePunct w:val="0"/>
        <w:autoSpaceDE/>
        <w:autoSpaceDN/>
        <w:bidi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中标方应承担其违约行为而增加的费用，并支付工期延误的违约金，工期延误违约金计算方法如下：</w:t>
      </w:r>
    </w:p>
    <w:p w14:paraId="4E977B49">
      <w:pPr>
        <w:pageBreakBefore w:val="0"/>
        <w:kinsoku/>
        <w:wordWrap/>
        <w:overflowPunct/>
        <w:topLinePunct w:val="0"/>
        <w:autoSpaceDE/>
        <w:autoSpaceDN/>
        <w:bidi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每周工程延误的违约金不超过合同总价的百分之零点五（0.5%），不足一周的按一周计算，工期延误违约金的总额不超过合同总价的百分之五（5%）。</w:t>
      </w:r>
    </w:p>
    <w:p w14:paraId="2663B800">
      <w:pPr>
        <w:spacing w:line="360" w:lineRule="auto"/>
        <w:ind w:firstLine="482"/>
        <w:outlineLvl w:val="9"/>
        <w:rPr>
          <w:rFonts w:hint="eastAsia" w:ascii="宋体" w:hAnsi="宋体" w:eastAsia="宋体" w:cs="宋体"/>
          <w:kern w:val="0"/>
          <w:sz w:val="24"/>
          <w:szCs w:val="24"/>
          <w:lang w:val="en-US" w:eastAsia="zh-CN"/>
        </w:rPr>
      </w:pPr>
      <w:bookmarkStart w:id="13" w:name="_Toc2877"/>
      <w:r>
        <w:rPr>
          <w:rFonts w:hint="eastAsia" w:ascii="宋体" w:hAnsi="宋体" w:eastAsia="宋体" w:cs="宋体"/>
          <w:kern w:val="0"/>
          <w:sz w:val="24"/>
          <w:szCs w:val="24"/>
          <w:lang w:val="en-US" w:eastAsia="zh-CN"/>
        </w:rPr>
        <w:t>4.3.2  不安全施工罚则</w:t>
      </w:r>
      <w:bookmarkEnd w:id="13"/>
    </w:p>
    <w:p w14:paraId="1C727BB6">
      <w:pPr>
        <w:pageBreakBefore w:val="0"/>
        <w:numPr>
          <w:ilvl w:val="0"/>
          <w:numId w:val="6"/>
        </w:numPr>
        <w:kinsoku/>
        <w:wordWrap/>
        <w:overflowPunct/>
        <w:topLinePunct w:val="0"/>
        <w:autoSpaceDE/>
        <w:autoSpaceDN/>
        <w:bidi w:val="0"/>
        <w:spacing w:line="360" w:lineRule="auto"/>
        <w:ind w:left="0" w:leftChars="0" w:firstLine="42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违反国家建设工程安全生产管理条例和中华人民共和国安全生产法等相关行为的，情节轻微未产生后果的罚款5000元/次，情节严重的在全市范围内通报，列入黑名单并交有关部门处理。</w:t>
      </w:r>
    </w:p>
    <w:p w14:paraId="071DAE1B">
      <w:pPr>
        <w:pageBreakBefore w:val="0"/>
        <w:numPr>
          <w:ilvl w:val="0"/>
          <w:numId w:val="6"/>
        </w:numPr>
        <w:kinsoku/>
        <w:wordWrap/>
        <w:overflowPunct/>
        <w:topLinePunct w:val="0"/>
        <w:autoSpaceDE/>
        <w:autoSpaceDN/>
        <w:bidi w:val="0"/>
        <w:spacing w:line="360" w:lineRule="auto"/>
        <w:ind w:left="0" w:leftChars="0" w:firstLine="42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违反市局信息安全相关规定，产生一机两用、违规外联等行为的，甲方将汇报市局后在全市范围内通报，并列入黑名单。</w:t>
      </w:r>
    </w:p>
    <w:p w14:paraId="2C27B689">
      <w:pPr>
        <w:pageBreakBefore w:val="0"/>
        <w:kinsoku/>
        <w:wordWrap/>
        <w:overflowPunct/>
        <w:topLinePunct w:val="0"/>
        <w:autoSpaceDE/>
        <w:autoSpaceDN/>
        <w:bidi w:val="0"/>
        <w:spacing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为确保信息安全，请投标方制定对所有参建公司进行管理的执行方案。</w:t>
      </w:r>
    </w:p>
    <w:p w14:paraId="7F7ADE9D">
      <w:pPr>
        <w:pageBreakBefore w:val="0"/>
        <w:numPr>
          <w:ilvl w:val="0"/>
          <w:numId w:val="6"/>
        </w:numPr>
        <w:kinsoku/>
        <w:wordWrap/>
        <w:overflowPunct/>
        <w:topLinePunct w:val="0"/>
        <w:autoSpaceDE/>
        <w:autoSpaceDN/>
        <w:bidi w:val="0"/>
        <w:spacing w:line="360" w:lineRule="auto"/>
        <w:ind w:left="0" w:leftChars="0" w:firstLine="42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在项目实施过程中，请中标单位配备相关资质的安全员，对项目建设全过程实施监督。</w:t>
      </w:r>
    </w:p>
    <w:p w14:paraId="577B9015">
      <w:pPr>
        <w:spacing w:line="360" w:lineRule="auto"/>
        <w:ind w:firstLine="482"/>
        <w:outlineLvl w:val="9"/>
        <w:rPr>
          <w:rFonts w:hint="eastAsia" w:ascii="宋体" w:hAnsi="宋体" w:eastAsia="宋体" w:cs="宋体"/>
          <w:kern w:val="0"/>
          <w:sz w:val="24"/>
          <w:szCs w:val="24"/>
          <w:lang w:val="en-US" w:eastAsia="zh-CN"/>
        </w:rPr>
      </w:pPr>
      <w:bookmarkStart w:id="14" w:name="_Toc23762"/>
      <w:r>
        <w:rPr>
          <w:rFonts w:hint="eastAsia" w:ascii="宋体" w:hAnsi="宋体" w:eastAsia="宋体" w:cs="宋体"/>
          <w:kern w:val="0"/>
          <w:sz w:val="24"/>
          <w:szCs w:val="24"/>
          <w:lang w:val="en-US" w:eastAsia="zh-CN"/>
        </w:rPr>
        <w:t>4.3.3   施工安全责任</w:t>
      </w:r>
      <w:bookmarkEnd w:id="14"/>
    </w:p>
    <w:p w14:paraId="278D092E">
      <w:pPr>
        <w:pageBreakBefore w:val="0"/>
        <w:kinsoku/>
        <w:wordWrap/>
        <w:overflowPunct/>
        <w:topLinePunct w:val="0"/>
        <w:autoSpaceDE/>
        <w:autoSpaceDN/>
        <w:bidi w:val="0"/>
        <w:spacing w:line="360" w:lineRule="auto"/>
        <w:ind w:firstLine="480"/>
        <w:rPr>
          <w:rFonts w:ascii="宋体" w:hAnsi="宋体"/>
        </w:rPr>
      </w:pPr>
      <w:r>
        <w:rPr>
          <w:rFonts w:hint="eastAsia" w:ascii="宋体" w:hAnsi="宋体" w:eastAsia="宋体" w:cs="宋体"/>
          <w:color w:val="000000" w:themeColor="text1"/>
          <w:sz w:val="24"/>
          <w:szCs w:val="24"/>
          <w14:textFill>
            <w14:solidFill>
              <w14:schemeClr w14:val="tx1"/>
            </w14:solidFill>
          </w14:textFill>
        </w:rPr>
        <w:t>在项目施工过程中出现伤人、人亡等非自然安全事故，责任均由乙方承担。</w:t>
      </w:r>
    </w:p>
    <w:p w14:paraId="7B52B479">
      <w:pPr>
        <w:spacing w:line="500" w:lineRule="exact"/>
        <w:outlineLvl w:val="0"/>
        <w:rPr>
          <w:rFonts w:ascii="宋体" w:hAnsi="宋体" w:eastAsia="宋体"/>
          <w:b/>
          <w:sz w:val="24"/>
          <w:szCs w:val="24"/>
        </w:rPr>
      </w:pPr>
      <w:r>
        <w:rPr>
          <w:rFonts w:hint="eastAsia" w:ascii="宋体" w:hAnsi="宋体" w:eastAsia="宋体"/>
          <w:b/>
          <w:sz w:val="24"/>
          <w:szCs w:val="24"/>
          <w:lang w:val="en-US" w:eastAsia="zh-CN"/>
        </w:rPr>
        <w:t>五</w:t>
      </w:r>
      <w:r>
        <w:rPr>
          <w:rFonts w:hint="eastAsia" w:ascii="宋体" w:hAnsi="宋体" w:eastAsia="宋体"/>
          <w:b/>
          <w:sz w:val="24"/>
          <w:szCs w:val="24"/>
        </w:rPr>
        <w:t>、付款方式</w:t>
      </w:r>
    </w:p>
    <w:p w14:paraId="30F4E512">
      <w:pPr>
        <w:pStyle w:val="7"/>
        <w:keepNext w:val="0"/>
        <w:keepLines w:val="0"/>
        <w:pageBreakBefore w:val="0"/>
        <w:widowControl/>
        <w:kinsoku/>
        <w:wordWrap/>
        <w:overflowPunct/>
        <w:topLinePunct w:val="0"/>
        <w:autoSpaceDE w:val="0"/>
        <w:autoSpaceDN w:val="0"/>
        <w:bidi w:val="0"/>
        <w:adjustRightInd/>
        <w:snapToGrid/>
        <w:spacing w:after="0" w:line="360" w:lineRule="auto"/>
        <w:ind w:left="0" w:leftChars="0" w:firstLine="420" w:firstLineChars="0"/>
        <w:textAlignment w:val="bottom"/>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Times New Roman"/>
          <w:sz w:val="24"/>
          <w:lang w:val="en-US" w:eastAsia="zh-CN"/>
        </w:rPr>
        <w:t>5</w:t>
      </w:r>
      <w:r>
        <w:rPr>
          <w:rFonts w:hint="eastAsia" w:ascii="宋体" w:hAnsi="宋体" w:eastAsia="宋体" w:cs="Times New Roman"/>
          <w:sz w:val="24"/>
        </w:rPr>
        <w:t xml:space="preserve">.1  </w:t>
      </w:r>
      <w:r>
        <w:rPr>
          <w:rFonts w:hint="eastAsia" w:ascii="宋体" w:hAnsi="宋体" w:eastAsia="宋体" w:cs="宋体"/>
          <w:color w:val="000000" w:themeColor="text1"/>
          <w:sz w:val="24"/>
          <w:szCs w:val="24"/>
          <w14:textFill>
            <w14:solidFill>
              <w14:schemeClr w14:val="tx1"/>
            </w14:solidFill>
          </w14:textFill>
        </w:rPr>
        <w:t>支付方式：甲方将所有应付款项通过银行汇款方式汇入乙方的银行账号，付款日期以甲方银行</w:t>
      </w:r>
      <w:r>
        <w:rPr>
          <w:rFonts w:hint="eastAsia" w:ascii="宋体" w:hAnsi="宋体" w:eastAsia="宋体" w:cs="宋体"/>
          <w:color w:val="000000" w:themeColor="text1"/>
          <w:sz w:val="24"/>
          <w:szCs w:val="24"/>
          <w:highlight w:val="none"/>
          <w14:textFill>
            <w14:solidFill>
              <w14:schemeClr w14:val="tx1"/>
            </w14:solidFill>
          </w14:textFill>
        </w:rPr>
        <w:t>汇出日期为准。</w:t>
      </w:r>
    </w:p>
    <w:p w14:paraId="77AAF7AA">
      <w:pPr>
        <w:pStyle w:val="7"/>
        <w:keepNext w:val="0"/>
        <w:keepLines w:val="0"/>
        <w:pageBreakBefore w:val="0"/>
        <w:widowControl/>
        <w:kinsoku/>
        <w:wordWrap/>
        <w:overflowPunct/>
        <w:topLinePunct w:val="0"/>
        <w:autoSpaceDE w:val="0"/>
        <w:autoSpaceDN w:val="0"/>
        <w:bidi w:val="0"/>
        <w:adjustRightInd/>
        <w:snapToGrid/>
        <w:spacing w:after="0" w:line="360" w:lineRule="auto"/>
        <w:ind w:left="0" w:leftChars="0" w:firstLine="420" w:firstLineChars="0"/>
        <w:textAlignment w:val="bottom"/>
        <w:rPr>
          <w:rFonts w:hint="eastAsia" w:ascii="宋体" w:hAnsi="宋体" w:eastAsia="宋体" w:cs="宋体"/>
          <w:color w:val="auto"/>
          <w:sz w:val="24"/>
          <w:szCs w:val="24"/>
          <w:highlight w:val="none"/>
          <w:shd w:val="clear" w:color="auto" w:fill="auto"/>
        </w:rPr>
      </w:pPr>
      <w:r>
        <w:rPr>
          <w:rFonts w:hint="eastAsia" w:ascii="宋体" w:hAnsi="宋体" w:eastAsia="宋体" w:cs="Times New Roman"/>
          <w:color w:val="auto"/>
          <w:sz w:val="24"/>
          <w:lang w:val="en-US" w:eastAsia="zh-CN"/>
        </w:rPr>
        <w:t>5</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 xml:space="preserve">  </w:t>
      </w:r>
      <w:r>
        <w:rPr>
          <w:rFonts w:hint="eastAsia" w:ascii="宋体" w:hAnsi="宋体" w:eastAsia="宋体" w:cs="宋体"/>
          <w:color w:val="auto"/>
          <w:sz w:val="24"/>
          <w:szCs w:val="24"/>
          <w:highlight w:val="none"/>
          <w:shd w:val="clear" w:color="auto" w:fill="auto"/>
        </w:rPr>
        <w:t>首付款：甲方在本合同签订后并收到乙方提供的正式发票后20个工作日内，向乙方支付</w:t>
      </w:r>
      <w:r>
        <w:rPr>
          <w:rFonts w:hint="eastAsia" w:ascii="宋体" w:hAnsi="宋体" w:eastAsia="宋体" w:cs="宋体"/>
          <w:color w:val="auto"/>
          <w:sz w:val="24"/>
          <w:szCs w:val="24"/>
          <w:highlight w:val="none"/>
          <w:shd w:val="clear" w:color="auto" w:fill="auto"/>
          <w:lang w:val="en-US" w:eastAsia="zh-CN"/>
        </w:rPr>
        <w:t>103000元</w:t>
      </w:r>
      <w:r>
        <w:rPr>
          <w:rFonts w:hint="eastAsia" w:ascii="宋体" w:hAnsi="宋体" w:eastAsia="宋体" w:cs="宋体"/>
          <w:color w:val="auto"/>
          <w:sz w:val="24"/>
          <w:szCs w:val="24"/>
          <w:highlight w:val="none"/>
          <w:shd w:val="clear" w:color="auto" w:fill="auto"/>
        </w:rPr>
        <w:t>；</w:t>
      </w:r>
    </w:p>
    <w:p w14:paraId="6F99B946">
      <w:pPr>
        <w:pStyle w:val="7"/>
        <w:keepNext w:val="0"/>
        <w:keepLines w:val="0"/>
        <w:pageBreakBefore w:val="0"/>
        <w:widowControl/>
        <w:kinsoku/>
        <w:wordWrap/>
        <w:overflowPunct/>
        <w:topLinePunct w:val="0"/>
        <w:autoSpaceDE w:val="0"/>
        <w:autoSpaceDN w:val="0"/>
        <w:bidi w:val="0"/>
        <w:adjustRightInd/>
        <w:snapToGrid/>
        <w:spacing w:after="0" w:line="360" w:lineRule="auto"/>
        <w:ind w:left="0" w:leftChars="0" w:firstLine="897" w:firstLineChars="374"/>
        <w:textAlignment w:val="bottom"/>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w:t>
      </w:r>
      <w:r>
        <w:rPr>
          <w:rFonts w:hint="eastAsia" w:ascii="宋体" w:hAnsi="宋体" w:eastAsia="宋体" w:cs="宋体"/>
          <w:color w:val="auto"/>
          <w:sz w:val="24"/>
          <w:szCs w:val="24"/>
          <w:highlight w:val="none"/>
          <w:shd w:val="clear" w:color="auto" w:fill="auto"/>
          <w:lang w:val="en-US" w:eastAsia="zh-CN"/>
        </w:rPr>
        <w:t>验收款</w:t>
      </w:r>
      <w:r>
        <w:rPr>
          <w:rFonts w:hint="eastAsia" w:ascii="宋体" w:hAnsi="宋体" w:eastAsia="宋体" w:cs="宋体"/>
          <w:color w:val="auto"/>
          <w:sz w:val="24"/>
          <w:szCs w:val="24"/>
          <w:highlight w:val="none"/>
          <w:shd w:val="clear" w:color="auto" w:fill="auto"/>
        </w:rPr>
        <w:t>：所</w:t>
      </w:r>
      <w:r>
        <w:rPr>
          <w:rFonts w:hint="eastAsia" w:ascii="宋体" w:hAnsi="宋体" w:eastAsia="宋体" w:cs="宋体"/>
          <w:color w:val="auto"/>
          <w:sz w:val="24"/>
          <w:szCs w:val="24"/>
          <w:highlight w:val="none"/>
          <w:shd w:val="clear" w:color="auto" w:fill="auto"/>
          <w:lang w:eastAsia="zh-CN"/>
        </w:rPr>
        <w:t>有软件功能模块</w:t>
      </w:r>
      <w:r>
        <w:rPr>
          <w:rFonts w:hint="eastAsia" w:ascii="宋体" w:hAnsi="宋体" w:eastAsia="宋体" w:cs="宋体"/>
          <w:color w:val="auto"/>
          <w:sz w:val="24"/>
          <w:szCs w:val="24"/>
          <w:highlight w:val="none"/>
          <w:shd w:val="clear" w:color="auto" w:fill="auto"/>
        </w:rPr>
        <w:t>经检查合格完成安装调试，系统整体进入试运行，</w:t>
      </w:r>
      <w:r>
        <w:rPr>
          <w:rFonts w:hint="eastAsia" w:ascii="宋体" w:hAnsi="宋体" w:eastAsia="宋体" w:cs="宋体"/>
          <w:color w:val="auto"/>
          <w:sz w:val="24"/>
          <w:szCs w:val="24"/>
          <w:highlight w:val="none"/>
          <w:shd w:val="clear" w:color="auto" w:fill="auto"/>
          <w:lang w:val="en-US" w:eastAsia="zh-CN"/>
        </w:rPr>
        <w:t>并通过初步验收，</w:t>
      </w:r>
      <w:r>
        <w:rPr>
          <w:rFonts w:hint="eastAsia" w:ascii="宋体" w:hAnsi="宋体" w:eastAsia="宋体" w:cs="宋体"/>
          <w:color w:val="auto"/>
          <w:sz w:val="24"/>
          <w:szCs w:val="24"/>
          <w:highlight w:val="none"/>
          <w:shd w:val="clear" w:color="auto" w:fill="auto"/>
        </w:rPr>
        <w:t>在收到乙方提供的正式发票后20个工作日内向乙方支付合同总价款</w:t>
      </w:r>
      <w:r>
        <w:rPr>
          <w:rFonts w:hint="eastAsia" w:ascii="宋体" w:hAnsi="宋体" w:eastAsia="宋体" w:cs="宋体"/>
          <w:color w:val="auto"/>
          <w:sz w:val="24"/>
          <w:szCs w:val="24"/>
          <w:highlight w:val="none"/>
          <w:shd w:val="clear" w:color="auto" w:fill="auto"/>
          <w:lang w:val="en-US" w:eastAsia="zh-CN"/>
        </w:rPr>
        <w:t>50</w:t>
      </w:r>
      <w:r>
        <w:rPr>
          <w:rFonts w:hint="eastAsia" w:ascii="宋体" w:hAnsi="宋体" w:eastAsia="宋体" w:cs="宋体"/>
          <w:color w:val="auto"/>
          <w:sz w:val="24"/>
          <w:szCs w:val="24"/>
          <w:highlight w:val="none"/>
          <w:shd w:val="clear" w:color="auto" w:fill="auto"/>
        </w:rPr>
        <w:t>%；</w:t>
      </w:r>
    </w:p>
    <w:p w14:paraId="2B4596E5">
      <w:pPr>
        <w:pStyle w:val="7"/>
        <w:keepNext w:val="0"/>
        <w:keepLines w:val="0"/>
        <w:pageBreakBefore w:val="0"/>
        <w:widowControl/>
        <w:kinsoku/>
        <w:wordWrap/>
        <w:overflowPunct/>
        <w:topLinePunct w:val="0"/>
        <w:autoSpaceDE w:val="0"/>
        <w:autoSpaceDN w:val="0"/>
        <w:bidi w:val="0"/>
        <w:adjustRightInd/>
        <w:snapToGrid/>
        <w:spacing w:after="0" w:line="360" w:lineRule="auto"/>
        <w:ind w:left="0" w:leftChars="0" w:firstLine="897" w:firstLineChars="374"/>
        <w:textAlignment w:val="bottom"/>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项目尾款：项目试运行三个月后系统稳定运行且满足</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需求后进行项目验收，验收通过并经审计决算后，甲方在收到乙方提供的正式发票后20个工作日内向乙方支付</w:t>
      </w:r>
      <w:r>
        <w:rPr>
          <w:rFonts w:hint="eastAsia" w:ascii="宋体" w:hAnsi="宋体" w:eastAsia="宋体" w:cs="宋体"/>
          <w:color w:val="auto"/>
          <w:sz w:val="24"/>
          <w:szCs w:val="24"/>
          <w:highlight w:val="none"/>
          <w:shd w:val="clear" w:color="auto" w:fill="auto"/>
          <w:lang w:val="en-US" w:eastAsia="zh-CN"/>
        </w:rPr>
        <w:t>经审定后的余款</w:t>
      </w:r>
      <w:r>
        <w:rPr>
          <w:rFonts w:hint="eastAsia" w:ascii="宋体" w:hAnsi="宋体" w:eastAsia="宋体" w:cs="宋体"/>
          <w:color w:val="auto"/>
          <w:sz w:val="24"/>
          <w:szCs w:val="24"/>
          <w:highlight w:val="none"/>
          <w:shd w:val="clear" w:color="auto" w:fill="auto"/>
        </w:rPr>
        <w:t>。</w:t>
      </w:r>
    </w:p>
    <w:p w14:paraId="75DE2E5F">
      <w:pPr>
        <w:pStyle w:val="7"/>
        <w:keepNext w:val="0"/>
        <w:keepLines w:val="0"/>
        <w:pageBreakBefore w:val="0"/>
        <w:widowControl/>
        <w:kinsoku/>
        <w:wordWrap/>
        <w:overflowPunct/>
        <w:topLinePunct w:val="0"/>
        <w:autoSpaceDE w:val="0"/>
        <w:autoSpaceDN w:val="0"/>
        <w:bidi w:val="0"/>
        <w:adjustRightInd/>
        <w:snapToGrid/>
        <w:spacing w:after="0" w:line="360" w:lineRule="auto"/>
        <w:ind w:left="0" w:leftChars="0" w:firstLine="420" w:firstLineChars="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sz w:val="24"/>
          <w:lang w:val="en-US" w:eastAsia="zh-CN"/>
        </w:rPr>
        <w:t>5</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 xml:space="preserve">  </w:t>
      </w:r>
      <w:r>
        <w:rPr>
          <w:rFonts w:hint="eastAsia" w:ascii="宋体" w:hAnsi="宋体" w:eastAsia="宋体" w:cs="宋体"/>
          <w:color w:val="000000" w:themeColor="text1"/>
          <w:sz w:val="24"/>
          <w:szCs w:val="24"/>
          <w14:textFill>
            <w14:solidFill>
              <w14:schemeClr w14:val="tx1"/>
            </w14:solidFill>
          </w14:textFill>
        </w:rPr>
        <w:t>乙方开户银行、帐号等如有变更，应在本合同规定的付款期限前15天，以书面方式通知甲方。如未按时通知或通知有误而影响结算者，乙方应承担相应责任。</w:t>
      </w:r>
    </w:p>
    <w:p w14:paraId="5F6007A8">
      <w:pPr>
        <w:pStyle w:val="7"/>
        <w:keepNext w:val="0"/>
        <w:keepLines w:val="0"/>
        <w:pageBreakBefore w:val="0"/>
        <w:widowControl/>
        <w:kinsoku/>
        <w:wordWrap/>
        <w:overflowPunct/>
        <w:topLinePunct w:val="0"/>
        <w:autoSpaceDE w:val="0"/>
        <w:autoSpaceDN w:val="0"/>
        <w:bidi w:val="0"/>
        <w:adjustRightInd/>
        <w:snapToGrid/>
        <w:spacing w:after="0" w:line="360" w:lineRule="auto"/>
        <w:ind w:left="0" w:leftChars="0" w:firstLine="420" w:firstLineChars="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sz w:val="24"/>
          <w:lang w:val="en-US" w:eastAsia="zh-CN"/>
        </w:rPr>
        <w:t>5</w:t>
      </w:r>
      <w:r>
        <w:rPr>
          <w:rFonts w:hint="eastAsia" w:ascii="宋体" w:hAnsi="宋体" w:eastAsia="宋体" w:cs="Times New Roman"/>
          <w:sz w:val="24"/>
        </w:rPr>
        <w:t>.</w:t>
      </w:r>
      <w:r>
        <w:rPr>
          <w:rFonts w:hint="eastAsia" w:ascii="宋体" w:hAnsi="宋体" w:eastAsia="宋体" w:cs="Times New Roman"/>
          <w:sz w:val="24"/>
          <w:lang w:val="en-US" w:eastAsia="zh-CN"/>
        </w:rPr>
        <w:t>4</w:t>
      </w:r>
      <w:r>
        <w:rPr>
          <w:rFonts w:hint="eastAsia" w:ascii="宋体" w:hAnsi="宋体" w:eastAsia="宋体" w:cs="Times New Roman"/>
          <w:sz w:val="24"/>
        </w:rPr>
        <w:t xml:space="preserve">  </w:t>
      </w:r>
      <w:r>
        <w:rPr>
          <w:rFonts w:hint="eastAsia" w:ascii="宋体" w:hAnsi="宋体" w:eastAsia="宋体" w:cs="宋体"/>
          <w:color w:val="000000" w:themeColor="text1"/>
          <w:sz w:val="24"/>
          <w:szCs w:val="24"/>
          <w14:textFill>
            <w14:solidFill>
              <w14:schemeClr w14:val="tx1"/>
            </w14:solidFill>
          </w14:textFill>
        </w:rPr>
        <w:t>由于乙方提供的正式发票不合格而引起的一切责任（包括商业责任和法律责任）和损失由乙方承担。</w:t>
      </w:r>
    </w:p>
    <w:p w14:paraId="7BC9D6C7">
      <w:pPr>
        <w:pStyle w:val="7"/>
        <w:keepNext w:val="0"/>
        <w:keepLines w:val="0"/>
        <w:pageBreakBefore w:val="0"/>
        <w:widowControl/>
        <w:kinsoku/>
        <w:wordWrap/>
        <w:overflowPunct/>
        <w:topLinePunct w:val="0"/>
        <w:autoSpaceDE w:val="0"/>
        <w:autoSpaceDN w:val="0"/>
        <w:bidi w:val="0"/>
        <w:adjustRightInd/>
        <w:snapToGrid/>
        <w:spacing w:after="0" w:line="360" w:lineRule="auto"/>
        <w:ind w:left="0" w:leftChars="0" w:firstLine="420" w:firstLineChars="0"/>
        <w:textAlignment w:val="bottom"/>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  具体根据合同约定条款进行支付；采购合同应明确资金支付的方式、时间和条件，明确逾期支付资金的违约责任。</w:t>
      </w:r>
    </w:p>
    <w:p w14:paraId="78D53754">
      <w:pPr>
        <w:pStyle w:val="7"/>
        <w:keepNext w:val="0"/>
        <w:keepLines w:val="0"/>
        <w:pageBreakBefore w:val="0"/>
        <w:widowControl/>
        <w:kinsoku/>
        <w:wordWrap/>
        <w:overflowPunct/>
        <w:topLinePunct w:val="0"/>
        <w:autoSpaceDE w:val="0"/>
        <w:autoSpaceDN w:val="0"/>
        <w:bidi w:val="0"/>
        <w:adjustRightInd/>
        <w:snapToGrid/>
        <w:spacing w:after="0" w:line="360" w:lineRule="auto"/>
        <w:ind w:left="0" w:leftChars="0" w:firstLine="420" w:firstLineChars="0"/>
        <w:textAlignment w:val="bottom"/>
        <w:rPr>
          <w:rFonts w:hint="default" w:ascii="宋体" w:hAnsi="宋体" w:eastAsia="宋体" w:cs="宋体"/>
          <w:color w:val="000000" w:themeColor="text1"/>
          <w:sz w:val="24"/>
          <w:szCs w:val="24"/>
          <w:lang w:val="en-US" w:eastAsia="zh-CN"/>
          <w14:textFill>
            <w14:solidFill>
              <w14:schemeClr w14:val="tx1"/>
            </w14:solidFill>
          </w14:textFill>
        </w:rPr>
      </w:pPr>
    </w:p>
    <w:p w14:paraId="28C00EF4">
      <w:pPr>
        <w:adjustRightInd w:val="0"/>
        <w:spacing w:line="500" w:lineRule="exact"/>
        <w:textAlignment w:val="baseline"/>
        <w:outlineLvl w:val="0"/>
        <w:rPr>
          <w:rFonts w:hint="eastAsia" w:ascii="宋体" w:hAnsi="宋体" w:eastAsia="宋体" w:cs="Calibri"/>
          <w:b/>
          <w:bCs/>
          <w:color w:val="auto"/>
          <w:sz w:val="24"/>
          <w:szCs w:val="24"/>
          <w:highlight w:val="none"/>
        </w:rPr>
      </w:pPr>
      <w:r>
        <w:rPr>
          <w:rFonts w:hint="eastAsia" w:ascii="宋体" w:hAnsi="宋体" w:eastAsia="宋体" w:cs="Calibri"/>
          <w:b/>
          <w:bCs/>
          <w:sz w:val="24"/>
          <w:szCs w:val="24"/>
          <w:lang w:val="en-US" w:eastAsia="zh-CN"/>
        </w:rPr>
        <w:t>六</w:t>
      </w:r>
      <w:r>
        <w:rPr>
          <w:rFonts w:hint="eastAsia" w:ascii="宋体" w:hAnsi="宋体" w:eastAsia="宋体" w:cs="Calibri"/>
          <w:b/>
          <w:bCs/>
          <w:sz w:val="24"/>
          <w:szCs w:val="24"/>
        </w:rPr>
        <w:t>、</w:t>
      </w:r>
      <w:r>
        <w:rPr>
          <w:rFonts w:hint="eastAsia" w:ascii="宋体" w:hAnsi="宋体" w:eastAsia="宋体" w:cs="Calibri"/>
          <w:b/>
          <w:bCs/>
          <w:color w:val="auto"/>
          <w:sz w:val="24"/>
          <w:szCs w:val="24"/>
          <w:highlight w:val="none"/>
        </w:rPr>
        <w:t>其他说明</w:t>
      </w:r>
      <w:bookmarkStart w:id="15" w:name="_Toc22087"/>
    </w:p>
    <w:p w14:paraId="0B956612">
      <w:pPr>
        <w:pStyle w:val="5"/>
        <w:kinsoku w:val="0"/>
        <w:overflowPunct w:val="0"/>
        <w:spacing w:line="360" w:lineRule="auto"/>
        <w:ind w:right="294" w:rightChars="140" w:firstLine="420"/>
        <w:jc w:val="both"/>
        <w:outlineLvl w:val="1"/>
        <w:rPr>
          <w:rFonts w:hint="eastAsia"/>
          <w:color w:val="auto"/>
          <w:highlight w:val="none"/>
        </w:rPr>
      </w:pP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 xml:space="preserve">  工程量清单</w:t>
      </w:r>
    </w:p>
    <w:bookmarkEnd w:id="15"/>
    <w:tbl>
      <w:tblPr>
        <w:tblStyle w:val="11"/>
        <w:tblW w:w="91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549"/>
        <w:gridCol w:w="672"/>
        <w:gridCol w:w="703"/>
        <w:gridCol w:w="734"/>
        <w:gridCol w:w="4873"/>
        <w:gridCol w:w="1112"/>
      </w:tblGrid>
      <w:tr w14:paraId="2573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5B9BD5"/>
            <w:vAlign w:val="center"/>
          </w:tcPr>
          <w:p w14:paraId="6B9E81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0C710C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0842D3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子系统</w:t>
            </w:r>
          </w:p>
        </w:tc>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5017A7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114CC0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子模块</w:t>
            </w:r>
          </w:p>
        </w:tc>
        <w:tc>
          <w:tcPr>
            <w:tcW w:w="0" w:type="auto"/>
            <w:tcBorders>
              <w:top w:val="single" w:color="000000" w:sz="4" w:space="0"/>
              <w:left w:val="single" w:color="000000" w:sz="4" w:space="0"/>
              <w:bottom w:val="single" w:color="000000" w:sz="4" w:space="0"/>
              <w:right w:val="single" w:color="000000" w:sz="4" w:space="0"/>
            </w:tcBorders>
            <w:shd w:val="clear" w:color="auto" w:fill="5B9BD5"/>
            <w:vAlign w:val="center"/>
          </w:tcPr>
          <w:p w14:paraId="3CA7B7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功能配置</w:t>
            </w:r>
          </w:p>
        </w:tc>
        <w:tc>
          <w:tcPr>
            <w:tcW w:w="1112" w:type="dxa"/>
            <w:tcBorders>
              <w:top w:val="single" w:color="000000" w:sz="4" w:space="0"/>
              <w:left w:val="single" w:color="000000" w:sz="4" w:space="0"/>
              <w:bottom w:val="single" w:color="000000" w:sz="4" w:space="0"/>
              <w:right w:val="single" w:color="000000" w:sz="4" w:space="0"/>
            </w:tcBorders>
            <w:shd w:val="clear" w:color="auto" w:fill="5B9BD5"/>
            <w:vAlign w:val="center"/>
          </w:tcPr>
          <w:p w14:paraId="5D852F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1162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vMerge w:val="restart"/>
            <w:tcBorders>
              <w:top w:val="single" w:color="000000" w:sz="4" w:space="0"/>
              <w:left w:val="single" w:color="000000" w:sz="4" w:space="0"/>
              <w:bottom w:val="nil"/>
              <w:right w:val="single" w:color="000000" w:sz="4" w:space="0"/>
            </w:tcBorders>
            <w:shd w:val="clear" w:color="auto" w:fill="auto"/>
            <w:vAlign w:val="center"/>
          </w:tcPr>
          <w:p w14:paraId="6A3B2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A3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83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态势感知可视化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8F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全区综合态势可视化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A7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全区综合态势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60D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通过对交通拥堵状态的分析计算，可视化展示早、晚高峰及平峰实时最拥堵时刻；</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85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21AB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vMerge w:val="continue"/>
            <w:tcBorders>
              <w:top w:val="single" w:color="000000" w:sz="4" w:space="0"/>
              <w:left w:val="single" w:color="000000" w:sz="4" w:space="0"/>
              <w:bottom w:val="nil"/>
              <w:right w:val="single" w:color="000000" w:sz="4" w:space="0"/>
            </w:tcBorders>
            <w:shd w:val="clear" w:color="auto" w:fill="auto"/>
            <w:vAlign w:val="center"/>
          </w:tcPr>
          <w:p w14:paraId="7BAF7C8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863F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DF5F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661A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4623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D362B">
            <w:pPr>
              <w:jc w:val="left"/>
              <w:rPr>
                <w:rFonts w:hint="eastAsia" w:ascii="宋体" w:hAnsi="宋体" w:eastAsia="宋体" w:cs="宋体"/>
                <w:i w:val="0"/>
                <w:iCs w:val="0"/>
                <w:color w:val="000000"/>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5A510">
            <w:pPr>
              <w:jc w:val="center"/>
              <w:rPr>
                <w:rFonts w:hint="eastAsia" w:ascii="宋体" w:hAnsi="宋体" w:eastAsia="宋体" w:cs="宋体"/>
                <w:i w:val="0"/>
                <w:iCs w:val="0"/>
                <w:color w:val="000000"/>
                <w:sz w:val="24"/>
                <w:szCs w:val="24"/>
                <w:u w:val="none"/>
              </w:rPr>
            </w:pPr>
          </w:p>
        </w:tc>
      </w:tr>
      <w:tr w14:paraId="0277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vMerge w:val="restart"/>
            <w:tcBorders>
              <w:top w:val="single" w:color="000000" w:sz="4" w:space="0"/>
              <w:left w:val="single" w:color="000000" w:sz="4" w:space="0"/>
              <w:bottom w:val="nil"/>
              <w:right w:val="single" w:color="000000" w:sz="4" w:space="0"/>
            </w:tcBorders>
            <w:shd w:val="clear" w:color="auto" w:fill="auto"/>
            <w:vAlign w:val="center"/>
          </w:tcPr>
          <w:p w14:paraId="6592B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501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7F7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5FD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DD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地面态势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6C1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实时可视化展示地面、主要道路、次要道路、普通道路、省道、地面快速路等维度的通行指数、平均速度；</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77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353E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vMerge w:val="continue"/>
            <w:tcBorders>
              <w:top w:val="single" w:color="000000" w:sz="4" w:space="0"/>
              <w:left w:val="single" w:color="000000" w:sz="4" w:space="0"/>
              <w:bottom w:val="nil"/>
              <w:right w:val="single" w:color="000000" w:sz="4" w:space="0"/>
            </w:tcBorders>
            <w:shd w:val="clear" w:color="auto" w:fill="auto"/>
            <w:vAlign w:val="center"/>
          </w:tcPr>
          <w:p w14:paraId="1EE4002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FB2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AB41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0B35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563C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19BAB">
            <w:pPr>
              <w:jc w:val="left"/>
              <w:rPr>
                <w:rFonts w:hint="eastAsia" w:ascii="宋体" w:hAnsi="宋体" w:eastAsia="宋体" w:cs="宋体"/>
                <w:i w:val="0"/>
                <w:iCs w:val="0"/>
                <w:color w:val="000000"/>
                <w:sz w:val="24"/>
                <w:szCs w:val="24"/>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9E82">
            <w:pPr>
              <w:jc w:val="center"/>
              <w:rPr>
                <w:rFonts w:hint="eastAsia" w:ascii="宋体" w:hAnsi="宋体" w:eastAsia="宋体" w:cs="宋体"/>
                <w:i w:val="0"/>
                <w:iCs w:val="0"/>
                <w:color w:val="000000"/>
                <w:sz w:val="24"/>
                <w:szCs w:val="24"/>
                <w:u w:val="none"/>
              </w:rPr>
            </w:pPr>
          </w:p>
        </w:tc>
      </w:tr>
      <w:tr w14:paraId="49FE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3A32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299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0AC4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165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E1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高架态势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EB3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实时可视化展示高架、高架路、高架快速路等维度的通行指数；实时可视化展示高架、高架路、高架快速路等维度的平均速度；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4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631E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B7A9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3086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F248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3B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地图可视化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39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路况拥堵展示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829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动态实时展示拥堵位置；堵点位置图标悬浮展示；堵点位置详情信息轮播展示；堵点信息实时排序展示；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7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27DD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4E1F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5D0F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F54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9DDB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2A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责任区域展示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7DC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责任区总览信息悬浮展示；责任区拥堵详情展示；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A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0BC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67810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D555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1AC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20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94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昼夜感知展示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FFA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根据时间策略，自动调整地图的昼夜可视化模式；</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D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5CDE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0EAB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B2D7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038D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95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堵点预警可视化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BB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拥堵预警信息总览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73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展示全域范围内预警总数、无需处置预警总数、需处置预警总数、未处置预警总数、已处置预警、预警处置率；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2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26F0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4A27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AD7B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2632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DCCE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50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预警列表展示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383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通过列表可视化展示未处置预警、需处置预警、无需处置预警等信息；同时可点击对应的预警信息，地图自动跳转展示；支持预警详情页面下钻展示；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6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6FB0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A9E4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2C0A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FB68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B5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天气可视化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6D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实时天气可视化展示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74C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实时展示各区域的天气情况，同时关联各区域的拥堵预警；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4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1643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D861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6666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2330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6B55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B9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天气动画实时展示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939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在地图中实时动画展示各区域的天气情况；</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0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3C2B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5D75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9EA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B9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实时预警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75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堵点预警概览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40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E32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新增实时堵点预警，根据堵点的设置对堵点的数据进行实时跟踪，并即使对高拥堵状态进行预警，并展示预警列表页面；</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8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3762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43E7D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CCB0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1862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F7DF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E498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C92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对堵点预警数据进行汇总分析，实时展示堵点预警的实时总次数；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0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57C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E2EA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199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2155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E0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堵点处置信息概览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8C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堵点处置信息展示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EB9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实时展示堵点预警未处置、堵点预警无需处置、堵点预警已处置、堵点预警处置率等信息展示；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E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193B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63EE2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D79A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144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CF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实时预警详情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A7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实时预警详情展示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020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可自定义关联匹配筛选查询各维度的预警详情；展示预警详情的对应拥堵节点、关联路段名称、所属大队信息、所属责任区、拥堵距离等；同时可批量进行预警信息的处置操作；</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3619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D50A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FB4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EF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历史预警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F7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等灯记录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FF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通行体征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8AD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可对全区以及各大队负责区域的通行体征进行详细展示，包括等灯2次及以上、等灯3次及以上、等灯4次及以上的拥堵点位数、拥堵总时长以及路段性质；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E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E38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C8CB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B793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4DB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2F39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B3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常发道路拥堵情况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14B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可对全区以及各大队负责区域的常发道路拥堵情况进行详细展示，包括等灯2次及以上、等灯3次及以上、等灯4次及以上的的数量、拥堵总时长；</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7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658B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6608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99AA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BB13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7BF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2F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等灯记录详情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690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详细显示对应拥堵的出现时间、路段名称、路段方向、所属大队、责任区、通行指数、实时速度、自由流速度、持续时间、等灯次数、路段性质、预警状态、治理状态、历史情况等信息；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2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55E7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4CBD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88E4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2D69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FB9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FB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E85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支持对等灯记录信息进行数据导出；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D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128F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4185C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121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7A5FC">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25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堵点处置情况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B3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拥堵原因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192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记录导致拥堵的原因分类及次数，如：流量较大、交通事故、瞬时拥堵、线路保障、高架管控；</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E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1AF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30915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FE6C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0B32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A54F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F7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处置方式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0C6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对拥堵的处置的方式进行统计，如远程指导、绿波干预、无需干预、派警处置、其他等类型进行数量统计；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4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0B85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0FF50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B8D8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B216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46B1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9E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警力情况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9F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对堵点处置的警力情况进行展示；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0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B45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F6A2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E0A2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C66B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EC7B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7C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拥堵路段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194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实时展示拥堵路段信息，包含拥堵次数、道路名称等；</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3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04EF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CEB4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FDC6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91F6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5EF9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62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堵点处置记录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F03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展现拥堵的出现时间、道路名称、关联路段名称、路段方向、所属大队、责任区、速度、持续时长、拥堵距离、拥堵趋势、拥堵级别、拥堵节点、天气、排队、等灯2次情况、拥堵原因、具体内容、警力情况、处置方式等信息进行多维度的展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3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5BA8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643B3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F4C8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51DC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989E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52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EBE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可对堵点处置记录详情进行数据导出；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C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663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4BFF3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8D98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15A5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8A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通行态势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00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自定义筛选查询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F10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可对日期、等灯次数、进行筛选查询通行态势的发展趋势；</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6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04C0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0B97E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990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D58B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82ED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D1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等灯次数趋势详情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831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通过图形化的方式，对等灯次数的维度，进行各区间段进行标准路段数、实际路段数、标准时长、实际时长、新增路段数、新增时长进行多维度的展示；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4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9206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192F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D595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78FA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730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F4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参数比较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514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通过历史数据生成的一周七天的标准信息模型，进行制定日期的参数比较；</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9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EF1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4C13A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61DA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81CA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5D07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B0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表格下载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5BE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可对全区及各大队的所属区域的通行态势进行表格下载；</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0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1D5B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7C66B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7D1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5EB9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D4EB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9C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通行态势详情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B86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详细展示通行态势的具体信息，如：路段名称、路段性质、路段方向、大队、责任区、预警次数、实时-标准时长等；</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8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340D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72BA3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2C9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97A4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C652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CF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路段详情页面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E1D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可自定义指定路段进行等灯次数维度的实际通行时长进行24小时时间段的详细展示；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8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6C5A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1C74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5ECF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9D6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AE5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99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317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支持对通行态势的详情进行数据导出；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0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661F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347CA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47D9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EB4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2E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8F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自定义筛选查询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6C1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支持以指定时间、指定道路、大队、路段方向、处置状态等多种条件进行堵点预警的筛选查询；</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F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57A0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E82B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35DF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7C0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0B1F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29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堵点预警记录详情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0AD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详细展示堵点预警记录的具体信息，如：出现时间、道路名称、拥堵节点、关联路段名称、路段方向、大队、责任区、实时速度、持续时间、拥堵距离、拥堵趋势、处置状态；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0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5E17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91D0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058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2814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DEB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46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655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支持对堵点预警记录的详情进行数据导出；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9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5B53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DD1A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0578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4C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统计分析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95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道路通行情况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83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22D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可对流量、出行次数、标签等维度的信息进行数据的录入；</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9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0F73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3BC3F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921D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56E5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9465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5C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自定义筛选查询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839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可通过路段类型及指定时间进行自定义的信息查询；</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F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362C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44A20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A05F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A19E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F780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3D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道路通行情况趋势分析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CDD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以图形化的方式展现道路通行情况，包含持续时长、交通指数、流量、预警次数、出行次数等维度；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6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AA5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7AEE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0C72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323B5">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21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道路通行情况分析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94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等灯统计分析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03D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等灯拥堵进行综合分析，详细展示包含发现来源、路段、方向、大队、责任区、路段性质、瞬时通行指数区间、出现时间、持续时间、对应车速、等灯次数、排队情况、近30天情况、治理状态、标准持续时长、实际持续时长、处置效果等；</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1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6BE0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2EA0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60A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82C5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55E2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4E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拥堵规律分析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593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拥堵规律进行综合分析，详细展示包含路段、方向、大队、责任区、等灯次数、所选天数、实际拥堵天数、占比、时段、拥堵区间、拥堵时长等；同时可对相应路段进行下钻页面展示，展示该路段的等灯次数、时段、日期、拥堵最早发生时间、拥堵最晚结束时间、拥堵时长；</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1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F10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62F3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086A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294A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DFD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6C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CAC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支持预警相关详情的数据导出；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3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F1E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747B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58B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CB3E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6196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E1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路格指数导出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61C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支持按照分钟级、小时级的路格指数数据导出；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2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E2A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0EAAC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4146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85EC3">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8C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拥堵预警算法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C6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拥堵检测算法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9B7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根据实际业务设计流量检测算法、路况检测算法、事件检测算，并进行针对性算法训练，支撑上层应用的综合分析；</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7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2356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59B4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385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1DD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A545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FF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拥堵预测算法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087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后端提供数据模型建立、特征提取与选择、模型训练与优化、实时预测与更新等能力，支撑应用层算法的预测支撑；</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5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5269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3665E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8FED0">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B9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缓堵治理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D1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道路基本情况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38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道路基本情况统计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644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以图形化的方式，展示全区道路、全区路口、全区路段、全区总里程、上下匝道数、护栏总长度等相关道理基本信息；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5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76C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EEF8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7C7A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CB17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77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拥堵治理情况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B6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拥堵治理情况展示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455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展示拥堵路段、常发拥堵、多发拥堵、节点路口拥堵、拥堵道路等相关信息；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6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06DD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70D4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4091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7748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B6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道路拥堵情况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BC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自定义筛选查询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54D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可自定义关联匹配进行筛选查询，如：月份、路段名称、大队、责任区、拥堵类型、治理状态；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B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63E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0EAF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5692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BBE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66D2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9A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道路情况趋势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6F8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对道路拥堵情况通过图形化的方式进行发展趋势展现，同时支持自定义筛选查询；</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3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0249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37E2E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F7CB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E8ED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C5C7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32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道路拥堵详情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F9A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详细展示道路拥堵的详情信息，包括路段、路段方向、大队、责任区、拥堵类型、治理状态、拥堵成效等；</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F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2B1D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C890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8827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037B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5C6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08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801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支持对道路拥堵及治理进行数据导出；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1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183F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34383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ECB8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2CD31">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37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缓堵治理新增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D6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拥堵节点路口基本信息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574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可进行缓堵治理基本信息进行新增，如：路段名称、路段方向、所属大队、责任区、拥堵节点、拥堵情况；</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8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292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31636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392A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64A1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C022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7F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拥堵节点路口基本情况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A87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通过上传文件、照片等方式进行早高峰（评诊治）、晚高峰评诊治）、路口车道分布、路口信号灯等基本情况的记录；</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3A9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BCA3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70C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C5A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7D81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FB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缓堵措施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A8D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可对路设提升方案（路口优化措施、治理情况）、勤务提升方案（现有民警岗位、优化民警岗位、现有辅警敢为、优化辅警岗位、管理重点）进行梳理填写；</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6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EAC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CB42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D8DA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D1A0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5591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2C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缓堵成效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0EB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支持缓堵成效信息进行新增及展现，如治理前的拥堵情况、治理后的拥堵情况，路设优化措施等；</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0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0EB6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3355F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4A48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A33F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510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EC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路口流量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D15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支持路口流量的数据信息上传；</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C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35F1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77CA4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3101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43D5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83F3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E3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历史预警情况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F31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可按时间节点查询历史预警情况，如：拥堵指数区间、拥堵总是长等信息；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6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67FC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85B8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43EE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C174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99E0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E5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拥堵症结分析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65B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支持以文字的方式对治理情况做拥堵症结分析总结；</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2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093B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75C92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20C4B">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E9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预警配置管理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DD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79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预警配置设置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F10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支持多组合筛选进行预警配置的查询、导出及新增；</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C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7AF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62989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AE3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22CD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46FF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9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等灯拥堵预警配置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8D5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根据路格拥堵指数、指数区间、持续时间等维度进行等灯拥堵预警的配置；</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2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331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F31F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336C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9B0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7F6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8B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6E7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根据历史同期拥堵情况提供概率作为参考，提供拥堵时长达到4分钟，拥堵距离达到200米 进行堵点预警；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E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248D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E0F1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83CC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99E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54AE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EC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路况预警配置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043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根据最小速度、最小拥堵距离、持续时间、出现时间、拥堵时长等相关维度进行路况预警的相关配置；</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A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3AB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ED97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2487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E95E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FB22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58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系统日志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E78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可自定义时间对登录、预警配置、缓堵治理进行导出查询；</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0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209A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085ED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7C9C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BA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交通数据采集分析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9B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交通路况数据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43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原始路况-路况查询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203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可以按城市获取全量路况和速度。配合道路ID查询接口可以获取路况对应图形坐标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E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4DF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7503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AA64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2B87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0DA0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F3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原始路况-道路ID查询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8DD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为交通路况查询接口提供最新版本道路路段ID和坐标信息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8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5F2A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05054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466C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1F5C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4C09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CB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统一路表数据服务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049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对统一路表信息进行数据治理，提炼系统需要的基本路况信息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E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4D2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9349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D257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C7A9C">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1F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堵点预警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A5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实时预警信息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A79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主干道以上路网提供实时拥堵点查询，提供速度、拥堵长度、持续时长、经纬度图形等信息。数据每2分钟更新⼀次，接口可支持按照道路类型（例如高速、国道、环线等）、拥堵时长（最低4分钟）、拥堵距离（最短200米）</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C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6332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7E0E7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F2D7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2E13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E451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14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历史预警信息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0E8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主干道以上路网提供特定时间段内历史拥堵点查询。拥堵点信息根据历史同期拥堵情况提供概率作为参考，提供速度、拥堵长度、持续时长、经纬度图形等信息。数据每2分钟更新⼀次，接口可支持按照道路类型（例如高速、国道、环线等）、拥堵时长（最低4分钟）、拥堵距离（最短200米）</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E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6AFE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71C7C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05CB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9F5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2B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天气数据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48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天气数据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A0C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对接天气数据，同时进行接口封装、数据对接及相关测试等服务；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F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6B6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7996D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F7F3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B2F0">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84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评诊治-路口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91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主路口指标详情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80D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提供主路口停车次数、排队长度、延误指数、路口状态、路口评级等信息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B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515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4B191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711E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9154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D26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0D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分路口指标详情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D1C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提供分路口停车次数、排队长度、延误指数、路口状态、路口评级等信息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6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0303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5750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0888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9E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高德数据适配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63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交通指数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C1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道路指数排行-历史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4BB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接口针对指定区间拥堵指数，从高到低进行排名，支持时段选择（全天、仅早高峰、仅晚高峰、仅平峰）、日期选择（所有日期、仅工作日、仅节假日）、道路类型选择（例如高速、国道、环线等）</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4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635A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3E57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93B5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5D4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E948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79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区域指数排行-历史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61B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接口针对指定区间拥堵指数，从高到低进行排名，支持时段选择（全天、仅早高峰、仅晚高峰、仅平峰）、日期选择（所有日期、仅工作日、仅节假日）</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0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000C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5552C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FE0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884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1A6B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DE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道路指数排行-实时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881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接口依据实时拥堵指数，从高到低进行动态排名</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3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F1D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77D58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36D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3701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9ECD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87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区域指数排行-实时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DE9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接口依据实时拥堵指数，从高到低进行动态排名</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B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419D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3552D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5ADE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707E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5F37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48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搜索-关键字搜索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230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接口可以按照关键字，模糊搜索对应道路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E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2FB0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7A42E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6F0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C361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F21B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BB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图形-图形查询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AF5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⽤于查询指数对象的图形信息，可⽀持按⼀定参数抽稀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3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5AF0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1A1B1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D294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FFB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E3DA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3E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道路指数详情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412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接口针对单个道路，可以获取指定时间区间内详细拥堵指数，返回数据支持时间颗粒度选择（月、天、小时）</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B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1E09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26A5D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7134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7CD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33B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11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区域指数详情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141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接口针对单个区域，可以获取指定时间区间内详细拥堵指数，返回数据⽀持时间颗粒度选择（月、天、小时）</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0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r>
      <w:tr w14:paraId="78FC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0F9CA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62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63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08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0E4F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305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用于部署应用系统，配置如下：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2个cpu（10核，2.4GHz以上），128GB内存，2块2TB硬盘，2个RJ45千兆电口；</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E24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4E6E3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63F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828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BE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A5A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7FC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用于部署数据库软件，配置如下：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2个cpu（10核，2.4GHz以上），128GB内存，2块2TB硬盘，2个RJ45千兆电口；</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C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DCC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88" w:type="dxa"/>
            <w:tcBorders>
              <w:top w:val="single" w:color="000000" w:sz="4" w:space="0"/>
              <w:left w:val="single" w:color="000000" w:sz="4" w:space="0"/>
              <w:bottom w:val="nil"/>
              <w:right w:val="single" w:color="000000" w:sz="4" w:space="0"/>
            </w:tcBorders>
            <w:shd w:val="clear" w:color="auto" w:fill="auto"/>
            <w:vAlign w:val="center"/>
          </w:tcPr>
          <w:p w14:paraId="4E81F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9AF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C30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43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路况数据服务器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ADD1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D78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用于部署数据对接模块，配置如下：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2个cpu（10核，2.4GHz以上），128GB内存，2块2TB硬盘，2个RJ45千兆电口；</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F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14:paraId="2E6E2AEA">
      <w:pPr>
        <w:pStyle w:val="3"/>
        <w:ind w:left="0" w:leftChars="0" w:firstLine="0" w:firstLineChars="0"/>
        <w:rPr>
          <w:highlight w:val="yellow"/>
        </w:rPr>
      </w:pPr>
    </w:p>
    <w:p w14:paraId="412D39A8"/>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B38E7">
    <w:pPr>
      <w:pStyle w:val="9"/>
      <w:pBdr>
        <w:bottom w:val="single" w:color="auto" w:sz="4" w:space="1"/>
      </w:pBdr>
    </w:pPr>
    <w:r>
      <w:rPr>
        <w:rFonts w:hint="eastAsia" w:ascii="宋体" w:hAnsi="宋体" w:cs="宋体"/>
      </w:rPr>
      <w:t>ZC202</w:t>
    </w:r>
    <w:r>
      <w:rPr>
        <w:rFonts w:hint="eastAsia" w:ascii="宋体" w:hAnsi="宋体" w:cs="宋体"/>
        <w:lang w:val="en-US" w:eastAsia="zh-CN"/>
      </w:rPr>
      <w:t>50121</w:t>
    </w:r>
    <w:r>
      <w:rPr>
        <w:rFonts w:hint="eastAsia" w:ascii="宋体" w:hAnsi="宋体" w:cs="宋体"/>
      </w:rPr>
      <w:t xml:space="preserve">   长宁区道路交通拥堵预警系统</w:t>
    </w:r>
    <w:r>
      <w:rPr>
        <w:rFonts w:hint="eastAsia" w:ascii="宋体" w:hAnsi="宋体" w:cs="宋体"/>
        <w:lang w:val="en-US" w:eastAsia="zh-CN"/>
      </w:rPr>
      <w:t>建设</w:t>
    </w:r>
    <w:r>
      <w:rPr>
        <w:rFonts w:hint="eastAsia" w:ascii="宋体" w:hAnsi="宋体" w:cs="宋体"/>
      </w:rPr>
      <w:t>（二期）项目</w:t>
    </w:r>
    <w:r>
      <w:rPr>
        <w:rFonts w:hint="eastAsia" w:ascii="宋体" w:hAnsi="宋体" w:cs="宋体"/>
        <w:lang w:val="en-US" w:eastAsia="zh-CN"/>
      </w:rPr>
      <w:t>竞争性磋商</w:t>
    </w:r>
    <w:r>
      <w:rPr>
        <w:rFonts w:hint="eastAsia" w:ascii="宋体" w:hAnsi="宋体" w:cs="宋体"/>
      </w:rPr>
      <w:t xml:space="preserve">项目  </w:t>
    </w:r>
    <w:r>
      <w:rPr>
        <w:rFonts w:hint="eastAsia" w:ascii="宋体" w:hAnsi="宋体" w:cs="宋体"/>
        <w:lang w:val="en-US" w:eastAsia="zh-CN"/>
      </w:rPr>
      <w:t xml:space="preserve">          </w:t>
    </w:r>
    <w:r>
      <w:rPr>
        <w:rFonts w:hint="eastAsia" w:ascii="宋体" w:hAnsi="宋体" w:cs="宋体"/>
      </w:rPr>
      <w:t>采购需求文件</w:t>
    </w:r>
  </w:p>
  <w:p w14:paraId="41EAA24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FC89D"/>
    <w:multiLevelType w:val="multilevel"/>
    <w:tmpl w:val="B66FC89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2048" w:hanging="1008"/>
      </w:pPr>
      <w:rPr>
        <w:rFonts w:hint="default"/>
      </w:rPr>
    </w:lvl>
    <w:lvl w:ilvl="5" w:tentative="0">
      <w:start w:val="1"/>
      <w:numFmt w:val="decimal"/>
      <w:pStyle w:val="2"/>
      <w:lvlText w:val="%1.%2.%3.%4.%5.%6."/>
      <w:lvlJc w:val="left"/>
      <w:pPr>
        <w:ind w:left="1571" w:hanging="1151"/>
      </w:pPr>
      <w:rPr>
        <w:rFonts w:hint="default"/>
      </w:rPr>
    </w:lvl>
    <w:lvl w:ilvl="6" w:tentative="0">
      <w:start w:val="1"/>
      <w:numFmt w:val="decimal"/>
      <w:lvlText w:val="%1.%2.%3.%4.%5.%6.%7."/>
      <w:lvlJc w:val="left"/>
      <w:pPr>
        <w:ind w:left="1716" w:hanging="1296"/>
      </w:pPr>
      <w:rPr>
        <w:rFonts w:hint="default"/>
      </w:rPr>
    </w:lvl>
    <w:lvl w:ilvl="7" w:tentative="0">
      <w:start w:val="1"/>
      <w:numFmt w:val="decimal"/>
      <w:lvlText w:val="%1.%2.%3.%4.%5.%6.%7.%8."/>
      <w:lvlJc w:val="left"/>
      <w:pPr>
        <w:ind w:left="1860" w:hanging="1440"/>
      </w:pPr>
      <w:rPr>
        <w:rFonts w:hint="default"/>
      </w:rPr>
    </w:lvl>
    <w:lvl w:ilvl="8" w:tentative="0">
      <w:start w:val="1"/>
      <w:numFmt w:val="decimal"/>
      <w:lvlText w:val="%1.%2.%3.%4.%5.%6.%7.%8.%9."/>
      <w:lvlJc w:val="left"/>
      <w:pPr>
        <w:ind w:left="2003" w:hanging="1583"/>
      </w:pPr>
      <w:rPr>
        <w:rFonts w:hint="default"/>
      </w:rPr>
    </w:lvl>
  </w:abstractNum>
  <w:abstractNum w:abstractNumId="1">
    <w:nsid w:val="C35188D9"/>
    <w:multiLevelType w:val="singleLevel"/>
    <w:tmpl w:val="C35188D9"/>
    <w:lvl w:ilvl="0" w:tentative="0">
      <w:start w:val="1"/>
      <w:numFmt w:val="decimal"/>
      <w:lvlText w:val="(%1)"/>
      <w:lvlJc w:val="left"/>
      <w:pPr>
        <w:tabs>
          <w:tab w:val="left" w:pos="0"/>
        </w:tabs>
        <w:ind w:left="425" w:hanging="425"/>
      </w:pPr>
      <w:rPr>
        <w:rFonts w:hint="default"/>
      </w:rPr>
    </w:lvl>
  </w:abstractNum>
  <w:abstractNum w:abstractNumId="2">
    <w:nsid w:val="F345B583"/>
    <w:multiLevelType w:val="singleLevel"/>
    <w:tmpl w:val="F345B583"/>
    <w:lvl w:ilvl="0" w:tentative="0">
      <w:start w:val="1"/>
      <w:numFmt w:val="decimal"/>
      <w:lvlText w:val="(%1)"/>
      <w:lvlJc w:val="left"/>
      <w:pPr>
        <w:tabs>
          <w:tab w:val="left" w:pos="0"/>
        </w:tabs>
        <w:ind w:left="425" w:hanging="425"/>
      </w:pPr>
      <w:rPr>
        <w:rFonts w:hint="default"/>
      </w:rPr>
    </w:lvl>
  </w:abstractNum>
  <w:abstractNum w:abstractNumId="3">
    <w:nsid w:val="17337C4B"/>
    <w:multiLevelType w:val="singleLevel"/>
    <w:tmpl w:val="17337C4B"/>
    <w:lvl w:ilvl="0" w:tentative="0">
      <w:start w:val="1"/>
      <w:numFmt w:val="decimal"/>
      <w:suff w:val="nothing"/>
      <w:lvlText w:val="%1）"/>
      <w:lvlJc w:val="left"/>
    </w:lvl>
  </w:abstractNum>
  <w:abstractNum w:abstractNumId="4">
    <w:nsid w:val="20E94E4C"/>
    <w:multiLevelType w:val="singleLevel"/>
    <w:tmpl w:val="20E94E4C"/>
    <w:lvl w:ilvl="0" w:tentative="0">
      <w:start w:val="1"/>
      <w:numFmt w:val="chineseCounting"/>
      <w:suff w:val="nothing"/>
      <w:lvlText w:val="（%1）"/>
      <w:lvlJc w:val="left"/>
      <w:pPr>
        <w:ind w:left="0" w:firstLine="420"/>
      </w:pPr>
      <w:rPr>
        <w:rFonts w:hint="eastAsia"/>
      </w:rPr>
    </w:lvl>
  </w:abstractNum>
  <w:abstractNum w:abstractNumId="5">
    <w:nsid w:val="5832816B"/>
    <w:multiLevelType w:val="singleLevel"/>
    <w:tmpl w:val="5832816B"/>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16463"/>
    <w:rsid w:val="0A1D5CB7"/>
    <w:rsid w:val="11F03205"/>
    <w:rsid w:val="19632832"/>
    <w:rsid w:val="3D290837"/>
    <w:rsid w:val="4E831CC6"/>
    <w:rsid w:val="55CE7780"/>
    <w:rsid w:val="591B0458"/>
    <w:rsid w:val="5F4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1"/>
    <w:pPr>
      <w:ind w:left="838" w:hanging="721"/>
      <w:outlineLvl w:val="2"/>
    </w:pPr>
    <w:rPr>
      <w:b/>
      <w:sz w:val="21"/>
      <w:szCs w:val="21"/>
    </w:rPr>
  </w:style>
  <w:style w:type="paragraph" w:styleId="2">
    <w:name w:val="heading 6"/>
    <w:basedOn w:val="1"/>
    <w:next w:val="1"/>
    <w:unhideWhenUsed/>
    <w:qFormat/>
    <w:uiPriority w:val="0"/>
    <w:pPr>
      <w:keepNext/>
      <w:keepLines/>
      <w:numPr>
        <w:ilvl w:val="5"/>
        <w:numId w:val="1"/>
      </w:numPr>
      <w:tabs>
        <w:tab w:val="left" w:pos="420"/>
      </w:tabs>
      <w:spacing w:before="240" w:beforeLines="0" w:beforeAutospacing="0" w:after="64" w:afterLines="0" w:afterAutospacing="0" w:line="317" w:lineRule="auto"/>
      <w:ind w:left="1571" w:hanging="1151"/>
      <w:outlineLvl w:val="5"/>
    </w:pPr>
    <w:rPr>
      <w:rFonts w:ascii="Arial" w:hAnsi="Arial" w:eastAsia="黑体"/>
      <w:b/>
      <w:sz w:val="2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sz w:val="24"/>
    </w:rPr>
  </w:style>
  <w:style w:type="paragraph" w:styleId="5">
    <w:name w:val="Body Text"/>
    <w:basedOn w:val="1"/>
    <w:next w:val="6"/>
    <w:unhideWhenUsed/>
    <w:qFormat/>
    <w:uiPriority w:val="99"/>
    <w:pPr>
      <w:spacing w:after="120"/>
    </w:pPr>
    <w:rPr>
      <w:rFonts w:ascii="Times New Roman" w:hAnsi="Times New Roman" w:eastAsia="宋体" w:cs="Times New Roman"/>
      <w:szCs w:val="20"/>
    </w:rPr>
  </w:style>
  <w:style w:type="paragraph" w:styleId="6">
    <w:name w:val="Body Text First Indent"/>
    <w:basedOn w:val="5"/>
    <w:qFormat/>
    <w:uiPriority w:val="99"/>
    <w:pPr>
      <w:ind w:firstLine="420" w:firstLineChars="100"/>
    </w:pPr>
    <w:rPr>
      <w:sz w:val="24"/>
      <w:szCs w:val="24"/>
    </w:rPr>
  </w:style>
  <w:style w:type="paragraph" w:styleId="7">
    <w:name w:val="Body Text Indent"/>
    <w:basedOn w:val="1"/>
    <w:qFormat/>
    <w:uiPriority w:val="0"/>
    <w:pPr>
      <w:spacing w:after="120"/>
      <w:ind w:left="420" w:leftChars="200"/>
    </w:pPr>
    <w:rPr>
      <w:kern w:val="0"/>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HTML Sample"/>
    <w:basedOn w:val="12"/>
    <w:qFormat/>
    <w:uiPriority w:val="0"/>
    <w:rPr>
      <w:rFonts w:ascii="Courier New" w:hAnsi="Courier New"/>
    </w:rPr>
  </w:style>
  <w:style w:type="paragraph" w:styleId="14">
    <w:name w:val="List Paragraph"/>
    <w:basedOn w:val="1"/>
    <w:qFormat/>
    <w:uiPriority w:val="99"/>
    <w:pPr>
      <w:ind w:firstLine="420" w:firstLineChars="200"/>
    </w:pPr>
  </w:style>
  <w:style w:type="paragraph" w:customStyle="1" w:styleId="15">
    <w:name w:val="标准文本"/>
    <w:basedOn w:val="1"/>
    <w:qFormat/>
    <w:uiPriority w:val="0"/>
    <w:pPr>
      <w:widowControl/>
      <w:ind w:firstLine="480"/>
      <w:jc w:val="left"/>
    </w:pPr>
    <w:rPr>
      <w:rFonts w:ascii="Times New Roman" w:hAnsi="Times New Roman"/>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2295</Words>
  <Characters>2338</Characters>
  <Lines>0</Lines>
  <Paragraphs>0</Paragraphs>
  <TotalTime>6</TotalTime>
  <ScaleCrop>false</ScaleCrop>
  <LinksUpToDate>false</LinksUpToDate>
  <CharactersWithSpaces>2373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2025-07-09T01:13:00Z</dcterms:created>
  <dc:creator>TZM</dc:creator>
  <cp:lastModifiedBy>Better Me</cp:lastModifiedBy>
  <dcterms:modified xsi:type="dcterms:W3CDTF">2025-07-21T04:54:00Z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eyJoZGlkIjoiZGM1ZGIyNmQyZmNhM2FmZTllMmY2ZTIwNThlMTg1ZDUiLCJ1c2VySWQiOiI1Njk1NTUzMTgifQ==</vt:lpwstr>
  </property>
  <property fmtid="{D5CDD505-2E9C-101B-9397-08002B2CF9AE}" pid="4" name="ICV">
    <vt:lpwstr>90A9FAC6BAEC46B8A9F3D018F673CA4F_12</vt:lpwstr>
  </property>
</Properties>
</file>