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color w:val="auto"/>
          <w:sz w:val="32"/>
          <w:szCs w:val="32"/>
          <w:highlight w:val="none"/>
          <w:lang w:val="en-US" w:eastAsia="zh-CN"/>
        </w:rPr>
      </w:pPr>
      <w:bookmarkStart w:id="0" w:name="_GoBack"/>
      <w:r>
        <w:rPr>
          <w:rFonts w:hint="eastAsia" w:hAnsi="宋体"/>
          <w:b/>
          <w:color w:val="auto"/>
          <w:sz w:val="32"/>
          <w:szCs w:val="32"/>
          <w:highlight w:val="none"/>
          <w:lang w:val="en-US" w:eastAsia="zh-CN"/>
        </w:rPr>
        <w:t>静安区2024年公园绿地养护项目二</w:t>
      </w:r>
    </w:p>
    <w:bookmarkEnd w:id="0"/>
    <w:p>
      <w:pPr>
        <w:jc w:val="center"/>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本项目兼投不兼中</w:t>
      </w:r>
    </w:p>
    <w:p>
      <w:pPr>
        <w:jc w:val="left"/>
        <w:rPr>
          <w:rFonts w:hint="eastAsia" w:hAnsi="宋体" w:eastAsia="宋体"/>
          <w:b/>
          <w:color w:val="auto"/>
          <w:sz w:val="32"/>
          <w:szCs w:val="32"/>
          <w:highlight w:val="none"/>
          <w:lang w:val="en-US" w:eastAsia="zh-CN"/>
        </w:rPr>
      </w:pPr>
      <w:r>
        <w:rPr>
          <w:rFonts w:hint="eastAsia" w:hAnsi="宋体"/>
          <w:b/>
          <w:color w:val="auto"/>
          <w:sz w:val="32"/>
          <w:szCs w:val="32"/>
          <w:highlight w:val="none"/>
          <w:lang w:val="en-US" w:eastAsia="zh-CN"/>
        </w:rPr>
        <w:t>包1：</w:t>
      </w:r>
    </w:p>
    <w:p>
      <w:pPr>
        <w:jc w:val="center"/>
        <w:rPr>
          <w:rFonts w:hint="eastAsia" w:hAnsi="宋体"/>
          <w:b/>
          <w:color w:val="auto"/>
          <w:sz w:val="32"/>
          <w:szCs w:val="32"/>
          <w:highlight w:val="none"/>
        </w:rPr>
      </w:pPr>
      <w:r>
        <w:rPr>
          <w:rFonts w:hint="eastAsia" w:hAnsi="宋体"/>
          <w:b/>
          <w:color w:val="auto"/>
          <w:sz w:val="32"/>
          <w:szCs w:val="32"/>
          <w:highlight w:val="none"/>
        </w:rPr>
        <w:t>中兴公园、宝山路街道养护</w:t>
      </w:r>
    </w:p>
    <w:p>
      <w:pPr>
        <w:jc w:val="center"/>
        <w:rPr>
          <w:rFonts w:hAnsi="宋体"/>
          <w:b/>
          <w:color w:val="auto"/>
          <w:sz w:val="32"/>
          <w:szCs w:val="32"/>
          <w:highlight w:val="none"/>
        </w:rPr>
      </w:pPr>
      <w:r>
        <w:rPr>
          <w:rFonts w:hint="eastAsia" w:hAnsi="宋体"/>
          <w:b/>
          <w:color w:val="auto"/>
          <w:sz w:val="32"/>
          <w:szCs w:val="32"/>
          <w:highlight w:val="none"/>
          <w:lang w:val="en-US" w:eastAsia="zh-CN"/>
        </w:rPr>
        <w:t>采购需求</w:t>
      </w:r>
    </w:p>
    <w:p>
      <w:pPr>
        <w:rPr>
          <w:rFonts w:hAnsi="宋体"/>
          <w:color w:val="auto"/>
          <w:szCs w:val="24"/>
          <w:highlight w:val="none"/>
        </w:rPr>
      </w:pPr>
      <w:r>
        <w:rPr>
          <w:rFonts w:hint="eastAsia" w:hAnsi="宋体"/>
          <w:color w:val="auto"/>
          <w:szCs w:val="24"/>
          <w:highlight w:val="none"/>
        </w:rPr>
        <w:t>一、合格的投标人必须具备以下条件：</w:t>
      </w:r>
    </w:p>
    <w:p>
      <w:pPr>
        <w:rPr>
          <w:rFonts w:hAnsi="宋体"/>
          <w:color w:val="auto"/>
          <w:szCs w:val="24"/>
          <w:highlight w:val="none"/>
        </w:rPr>
      </w:pPr>
      <w:r>
        <w:rPr>
          <w:rFonts w:hAnsi="宋体"/>
          <w:color w:val="auto"/>
          <w:szCs w:val="24"/>
          <w:highlight w:val="none"/>
        </w:rPr>
        <w:t>1</w:t>
      </w:r>
      <w:r>
        <w:rPr>
          <w:rFonts w:hint="eastAsia" w:hAnsi="宋体"/>
          <w:color w:val="auto"/>
          <w:szCs w:val="24"/>
          <w:highlight w:val="none"/>
        </w:rPr>
        <w:t>、符合《中华人民共和国政府采购法》第二十二条规定的供应商。</w:t>
      </w:r>
    </w:p>
    <w:p>
      <w:pPr>
        <w:rPr>
          <w:rFonts w:hAnsi="宋体"/>
          <w:color w:val="auto"/>
          <w:szCs w:val="24"/>
          <w:highlight w:val="none"/>
        </w:rPr>
      </w:pPr>
      <w:r>
        <w:rPr>
          <w:rFonts w:hAnsi="宋体"/>
          <w:color w:val="auto"/>
          <w:szCs w:val="24"/>
          <w:highlight w:val="none"/>
        </w:rPr>
        <w:t>2</w:t>
      </w:r>
      <w:r>
        <w:rPr>
          <w:rFonts w:hint="eastAsia" w:hAnsi="宋体"/>
          <w:color w:val="auto"/>
          <w:szCs w:val="24"/>
          <w:highlight w:val="none"/>
        </w:rPr>
        <w:t>、根据《上海市政府采购供应商登记及诚信管理办法》已登记入库的供应商。</w:t>
      </w:r>
    </w:p>
    <w:p>
      <w:pPr>
        <w:rPr>
          <w:rFonts w:hAnsi="宋体"/>
          <w:color w:val="auto"/>
          <w:szCs w:val="24"/>
          <w:highlight w:val="none"/>
        </w:rPr>
      </w:pPr>
      <w:r>
        <w:rPr>
          <w:rFonts w:hAnsi="宋体"/>
          <w:color w:val="auto"/>
          <w:szCs w:val="24"/>
          <w:highlight w:val="none"/>
        </w:rPr>
        <w:t>3</w:t>
      </w:r>
      <w:r>
        <w:rPr>
          <w:rFonts w:hint="eastAsia" w:hAnsi="宋体"/>
          <w:color w:val="auto"/>
          <w:szCs w:val="24"/>
          <w:highlight w:val="none"/>
        </w:rPr>
        <w:t>、其他资质要求：</w:t>
      </w:r>
    </w:p>
    <w:p>
      <w:pPr>
        <w:rPr>
          <w:rFonts w:hint="eastAsia" w:hAnsi="宋体"/>
          <w:color w:val="auto"/>
          <w:szCs w:val="24"/>
          <w:highlight w:val="none"/>
        </w:rPr>
      </w:pPr>
      <w:r>
        <w:rPr>
          <w:rFonts w:hint="eastAsia" w:hAnsi="宋体"/>
          <w:color w:val="auto"/>
          <w:szCs w:val="24"/>
          <w:highlight w:val="none"/>
        </w:rPr>
        <w:t>（1）投标供应商必须具有独立法人资格；</w:t>
      </w:r>
    </w:p>
    <w:p>
      <w:pPr>
        <w:rPr>
          <w:rFonts w:hint="eastAsia" w:hAnsi="宋体"/>
          <w:color w:val="auto"/>
          <w:szCs w:val="24"/>
          <w:highlight w:val="none"/>
        </w:rPr>
      </w:pPr>
      <w:r>
        <w:rPr>
          <w:rFonts w:hint="eastAsia" w:hAnsi="宋体"/>
          <w:color w:val="auto"/>
          <w:szCs w:val="24"/>
          <w:highlight w:val="none"/>
        </w:rPr>
        <w:t>（2）本项目不接受联合体投标；</w:t>
      </w:r>
    </w:p>
    <w:p>
      <w:pPr>
        <w:rPr>
          <w:rFonts w:hint="eastAsia" w:hAnsi="宋体"/>
          <w:color w:val="auto"/>
          <w:szCs w:val="24"/>
          <w:highlight w:val="none"/>
        </w:rPr>
      </w:pPr>
      <w:r>
        <w:rPr>
          <w:rFonts w:hint="eastAsia" w:hAnsi="宋体"/>
          <w:color w:val="auto"/>
          <w:szCs w:val="24"/>
          <w:highlight w:val="none"/>
        </w:rPr>
        <w:t>（3）本项目面向</w:t>
      </w:r>
      <w:r>
        <w:rPr>
          <w:rFonts w:hint="eastAsia" w:hAnsi="宋体"/>
          <w:color w:val="auto"/>
          <w:szCs w:val="24"/>
          <w:highlight w:val="none"/>
          <w:lang w:val="en-US" w:eastAsia="zh-CN"/>
        </w:rPr>
        <w:t>所有</w:t>
      </w:r>
      <w:r>
        <w:rPr>
          <w:rFonts w:hint="eastAsia" w:hAnsi="宋体"/>
          <w:color w:val="auto"/>
          <w:szCs w:val="24"/>
          <w:highlight w:val="none"/>
        </w:rPr>
        <w:t>企业投标；</w:t>
      </w:r>
    </w:p>
    <w:p>
      <w:pPr>
        <w:rPr>
          <w:rFonts w:hint="eastAsia" w:hAnsi="宋体"/>
          <w:color w:val="auto"/>
          <w:szCs w:val="24"/>
          <w:highlight w:val="none"/>
        </w:rPr>
      </w:pPr>
      <w:r>
        <w:rPr>
          <w:rFonts w:hint="eastAsia" w:hAnsi="宋体"/>
          <w:color w:val="auto"/>
          <w:szCs w:val="24"/>
          <w:highlight w:val="none"/>
        </w:rPr>
        <w:t>（4）具有固定的经营场所及维修、维护人员，且能提供良好的技术支持的优先；</w:t>
      </w:r>
    </w:p>
    <w:p>
      <w:pPr>
        <w:rPr>
          <w:rFonts w:hAnsi="宋体"/>
          <w:color w:val="auto"/>
          <w:szCs w:val="24"/>
          <w:highlight w:val="none"/>
        </w:rPr>
      </w:pPr>
      <w:r>
        <w:rPr>
          <w:rFonts w:hint="eastAsia" w:hAnsi="宋体"/>
          <w:color w:val="auto"/>
          <w:szCs w:val="24"/>
          <w:highlight w:val="none"/>
        </w:rPr>
        <w:t>（5）有近三年类似规模同类项目业绩的优先。</w:t>
      </w:r>
    </w:p>
    <w:p>
      <w:pPr>
        <w:rPr>
          <w:rFonts w:hAnsi="宋体"/>
          <w:color w:val="auto"/>
          <w:szCs w:val="24"/>
          <w:highlight w:val="none"/>
        </w:rPr>
      </w:pPr>
      <w:r>
        <w:rPr>
          <w:rFonts w:hint="eastAsia" w:hAnsi="宋体"/>
          <w:color w:val="auto"/>
          <w:szCs w:val="24"/>
          <w:highlight w:val="none"/>
        </w:rPr>
        <w:t>二、项目概况：</w:t>
      </w:r>
    </w:p>
    <w:p>
      <w:pPr>
        <w:ind w:firstLine="300" w:firstLineChars="125"/>
        <w:rPr>
          <w:rFonts w:hAnsi="宋体"/>
          <w:color w:val="auto"/>
          <w:szCs w:val="24"/>
          <w:highlight w:val="none"/>
          <w:u w:val="single"/>
        </w:rPr>
      </w:pPr>
      <w:r>
        <w:rPr>
          <w:rFonts w:hint="eastAsia" w:hAnsi="宋体"/>
          <w:color w:val="auto"/>
          <w:szCs w:val="24"/>
          <w:highlight w:val="none"/>
        </w:rPr>
        <w:t>1、</w:t>
      </w:r>
      <w:r>
        <w:rPr>
          <w:rFonts w:hint="eastAsia" w:hAnsi="宋体"/>
          <w:color w:val="auto"/>
          <w:szCs w:val="24"/>
          <w:highlight w:val="none"/>
          <w:lang w:val="en-US" w:eastAsia="zh-CN"/>
        </w:rPr>
        <w:t>包？：</w:t>
      </w:r>
      <w:r>
        <w:rPr>
          <w:rFonts w:hint="eastAsia" w:hAnsi="宋体"/>
          <w:color w:val="auto"/>
          <w:szCs w:val="24"/>
          <w:highlight w:val="none"/>
          <w:u w:val="single"/>
        </w:rPr>
        <w:t>中兴公园、宝山路街道养护</w:t>
      </w:r>
    </w:p>
    <w:p>
      <w:pPr>
        <w:ind w:firstLine="300"/>
        <w:rPr>
          <w:rFonts w:hAnsi="宋体"/>
          <w:color w:val="auto"/>
          <w:szCs w:val="24"/>
          <w:highlight w:val="none"/>
          <w:u w:val="single"/>
        </w:rPr>
      </w:pPr>
      <w:r>
        <w:rPr>
          <w:rFonts w:hAnsi="宋体"/>
          <w:color w:val="auto"/>
          <w:szCs w:val="24"/>
          <w:highlight w:val="none"/>
        </w:rPr>
        <w:t>2</w:t>
      </w:r>
      <w:r>
        <w:rPr>
          <w:rFonts w:hint="eastAsia" w:hAnsi="宋体"/>
          <w:color w:val="auto"/>
          <w:szCs w:val="24"/>
          <w:highlight w:val="none"/>
        </w:rPr>
        <w:t>、采购编号：0624-00050203、0624-00050204</w:t>
      </w:r>
    </w:p>
    <w:p>
      <w:pPr>
        <w:ind w:firstLine="300"/>
        <w:rPr>
          <w:rFonts w:hAnsi="宋体"/>
          <w:color w:val="auto"/>
          <w:szCs w:val="24"/>
          <w:highlight w:val="none"/>
        </w:rPr>
      </w:pPr>
      <w:r>
        <w:rPr>
          <w:rFonts w:hAnsi="宋体"/>
          <w:color w:val="auto"/>
          <w:szCs w:val="24"/>
          <w:highlight w:val="none"/>
        </w:rPr>
        <w:t>3</w:t>
      </w:r>
      <w:r>
        <w:rPr>
          <w:rFonts w:hint="eastAsia" w:hAnsi="宋体"/>
          <w:color w:val="auto"/>
          <w:szCs w:val="24"/>
          <w:highlight w:val="none"/>
        </w:rPr>
        <w:t>、项目主要内容、数量及要求：</w:t>
      </w:r>
    </w:p>
    <w:p>
      <w:pPr>
        <w:ind w:firstLine="300"/>
        <w:rPr>
          <w:rFonts w:hAnsi="宋体"/>
          <w:color w:val="auto"/>
          <w:szCs w:val="24"/>
          <w:highlight w:val="none"/>
        </w:rPr>
      </w:pPr>
      <w:r>
        <w:rPr>
          <w:rFonts w:hAnsi="宋体"/>
          <w:color w:val="auto"/>
          <w:szCs w:val="24"/>
          <w:highlight w:val="none"/>
        </w:rPr>
        <w:t xml:space="preserve">3.1  </w:t>
      </w:r>
      <w:r>
        <w:rPr>
          <w:rFonts w:hint="eastAsia" w:hAnsi="宋体"/>
          <w:color w:val="auto"/>
          <w:szCs w:val="24"/>
          <w:highlight w:val="none"/>
          <w:lang w:val="en-US" w:eastAsia="zh-CN"/>
        </w:rPr>
        <w:t>本包件预算金额</w:t>
      </w:r>
      <w:r>
        <w:rPr>
          <w:rFonts w:hint="eastAsia" w:hAnsi="宋体"/>
          <w:color w:val="auto"/>
          <w:szCs w:val="24"/>
          <w:highlight w:val="none"/>
        </w:rPr>
        <w:t>为</w:t>
      </w:r>
      <w:r>
        <w:rPr>
          <w:rFonts w:hint="eastAsia" w:hAnsi="宋体"/>
          <w:color w:val="auto"/>
          <w:szCs w:val="24"/>
          <w:highlight w:val="none"/>
          <w:u w:val="single"/>
        </w:rPr>
        <w:t xml:space="preserve"> 516.84 </w:t>
      </w:r>
      <w:r>
        <w:rPr>
          <w:rFonts w:hint="eastAsia" w:hAnsi="宋体"/>
          <w:color w:val="auto"/>
          <w:szCs w:val="24"/>
          <w:highlight w:val="none"/>
        </w:rPr>
        <w:t>万元。</w:t>
      </w:r>
    </w:p>
    <w:p>
      <w:pPr>
        <w:ind w:firstLine="300"/>
        <w:rPr>
          <w:rFonts w:hAnsi="宋体"/>
          <w:color w:val="auto"/>
          <w:szCs w:val="24"/>
          <w:highlight w:val="none"/>
        </w:rPr>
      </w:pPr>
      <w:r>
        <w:rPr>
          <w:rFonts w:hAnsi="宋体"/>
          <w:color w:val="auto"/>
          <w:szCs w:val="24"/>
          <w:highlight w:val="none"/>
        </w:rPr>
        <w:t xml:space="preserve">3.2  </w:t>
      </w:r>
      <w:r>
        <w:rPr>
          <w:rFonts w:hint="eastAsia" w:hAnsi="宋体"/>
          <w:color w:val="auto"/>
          <w:szCs w:val="24"/>
          <w:highlight w:val="none"/>
        </w:rPr>
        <w:t>项目内容：</w:t>
      </w:r>
    </w:p>
    <w:p>
      <w:pPr>
        <w:ind w:firstLine="480" w:firstLineChars="200"/>
        <w:rPr>
          <w:rFonts w:hAnsi="宋体"/>
          <w:color w:val="auto"/>
          <w:szCs w:val="24"/>
          <w:highlight w:val="none"/>
        </w:rPr>
      </w:pPr>
      <w:r>
        <w:rPr>
          <w:rFonts w:hint="eastAsia" w:hAnsi="宋体"/>
          <w:color w:val="auto"/>
          <w:szCs w:val="24"/>
          <w:highlight w:val="none"/>
        </w:rPr>
        <w:t>本标段养护面积：公园绿地34498平方米，公园花卉采购、布置。</w:t>
      </w:r>
      <w:r>
        <w:rPr>
          <w:rFonts w:hint="eastAsia" w:hAnsi="宋体"/>
          <w:color w:val="auto"/>
          <w:szCs w:val="24"/>
          <w:highlight w:val="none"/>
        </w:rPr>
        <w:t>宝山路街道街区绿化、垂直绿墙养护，包含公共绿地22402平方米；社会绿地</w:t>
      </w:r>
      <w:r>
        <w:rPr>
          <w:rFonts w:hAnsi="宋体"/>
          <w:color w:val="auto"/>
          <w:szCs w:val="24"/>
          <w:highlight w:val="none"/>
        </w:rPr>
        <w:t>8018</w:t>
      </w:r>
      <w:r>
        <w:rPr>
          <w:rFonts w:hint="eastAsia" w:hAnsi="宋体"/>
          <w:color w:val="auto"/>
          <w:szCs w:val="24"/>
          <w:highlight w:val="none"/>
        </w:rPr>
        <w:t>平方米。</w:t>
      </w:r>
      <w:r>
        <w:rPr>
          <w:rFonts w:hint="eastAsia" w:hAnsi="宋体"/>
          <w:color w:val="auto"/>
          <w:szCs w:val="24"/>
          <w:highlight w:val="none"/>
        </w:rPr>
        <w:t>本次招标清单详见</w:t>
      </w:r>
      <w:r>
        <w:rPr>
          <w:rFonts w:hint="eastAsia" w:hAnsi="宋体"/>
          <w:color w:val="auto"/>
          <w:szCs w:val="24"/>
          <w:highlight w:val="none"/>
          <w:lang w:val="en-US" w:eastAsia="zh-CN"/>
        </w:rPr>
        <w:t>文后表格</w:t>
      </w:r>
      <w:r>
        <w:rPr>
          <w:rFonts w:hint="eastAsia" w:hAnsi="宋体"/>
          <w:color w:val="auto"/>
          <w:szCs w:val="24"/>
          <w:highlight w:val="none"/>
        </w:rPr>
        <w:t>。（公共绿地和沿街社会绿地统称为街区绿地，以下简称绿地）</w:t>
      </w:r>
    </w:p>
    <w:p>
      <w:pPr>
        <w:ind w:firstLine="480"/>
        <w:rPr>
          <w:rFonts w:hAnsi="宋体"/>
          <w:color w:val="auto"/>
          <w:szCs w:val="24"/>
          <w:highlight w:val="none"/>
        </w:rPr>
      </w:pPr>
      <w:r>
        <w:rPr>
          <w:rFonts w:hint="eastAsia" w:hAnsi="宋体"/>
          <w:color w:val="auto"/>
          <w:szCs w:val="24"/>
          <w:highlight w:val="none"/>
        </w:rPr>
        <w:t>本包件预算金额为</w:t>
      </w:r>
      <w:r>
        <w:rPr>
          <w:rFonts w:hint="eastAsia" w:hAnsi="宋体"/>
          <w:color w:val="auto"/>
          <w:szCs w:val="24"/>
          <w:highlight w:val="none"/>
          <w:u w:val="single"/>
        </w:rPr>
        <w:t xml:space="preserve"> 516.84</w:t>
      </w:r>
      <w:r>
        <w:rPr>
          <w:rFonts w:hint="eastAsia" w:hAnsi="宋体"/>
          <w:color w:val="auto"/>
          <w:szCs w:val="24"/>
          <w:highlight w:val="none"/>
        </w:rPr>
        <w:t>万元，其中各养护分类建议不超过最高限价（见下表），具体金额如下：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22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养护分类</w:t>
            </w:r>
          </w:p>
        </w:tc>
        <w:tc>
          <w:tcPr>
            <w:tcW w:w="2260" w:type="dxa"/>
            <w:noWrap/>
            <w:vAlign w:val="center"/>
          </w:tcPr>
          <w:p>
            <w:pPr>
              <w:jc w:val="center"/>
              <w:rPr>
                <w:rFonts w:hAnsi="宋体"/>
                <w:color w:val="auto"/>
                <w:szCs w:val="24"/>
                <w:highlight w:val="none"/>
              </w:rPr>
            </w:pPr>
            <w:r>
              <w:rPr>
                <w:rFonts w:hint="eastAsia" w:hAnsi="宋体"/>
                <w:color w:val="auto"/>
                <w:szCs w:val="24"/>
                <w:highlight w:val="none"/>
              </w:rPr>
              <w:t>最高限价（万元）</w:t>
            </w:r>
          </w:p>
        </w:tc>
        <w:tc>
          <w:tcPr>
            <w:tcW w:w="2460" w:type="dxa"/>
            <w:noWrap/>
            <w:vAlign w:val="center"/>
          </w:tcPr>
          <w:p>
            <w:pPr>
              <w:jc w:val="center"/>
              <w:rPr>
                <w:rFonts w:hAnsi="宋体"/>
                <w:color w:val="auto"/>
                <w:szCs w:val="24"/>
                <w:highlight w:val="none"/>
              </w:rPr>
            </w:pPr>
            <w:r>
              <w:rPr>
                <w:rFonts w:hint="eastAsia" w:hAnsi="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公园植物元素养护费</w:t>
            </w:r>
          </w:p>
        </w:tc>
        <w:tc>
          <w:tcPr>
            <w:tcW w:w="2260" w:type="dxa"/>
            <w:noWrap/>
            <w:vAlign w:val="center"/>
          </w:tcPr>
          <w:p>
            <w:pPr>
              <w:jc w:val="center"/>
              <w:rPr>
                <w:rFonts w:hAnsi="宋体"/>
                <w:color w:val="auto"/>
                <w:szCs w:val="24"/>
                <w:highlight w:val="none"/>
              </w:rPr>
            </w:pPr>
            <w:r>
              <w:rPr>
                <w:rFonts w:hint="eastAsia" w:hAnsi="宋体"/>
                <w:color w:val="auto"/>
                <w:szCs w:val="24"/>
                <w:highlight w:val="none"/>
              </w:rPr>
              <w:t>61.44</w:t>
            </w:r>
          </w:p>
        </w:tc>
        <w:tc>
          <w:tcPr>
            <w:tcW w:w="2460" w:type="dxa"/>
            <w:noWrap/>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公园非植物元素养护费</w:t>
            </w:r>
          </w:p>
        </w:tc>
        <w:tc>
          <w:tcPr>
            <w:tcW w:w="2260" w:type="dxa"/>
            <w:noWrap/>
            <w:vAlign w:val="center"/>
          </w:tcPr>
          <w:p>
            <w:pPr>
              <w:jc w:val="center"/>
              <w:rPr>
                <w:rFonts w:hAnsi="宋体"/>
                <w:color w:val="auto"/>
                <w:szCs w:val="24"/>
                <w:highlight w:val="none"/>
              </w:rPr>
            </w:pPr>
            <w:r>
              <w:rPr>
                <w:rFonts w:hint="eastAsia" w:hAnsi="宋体"/>
                <w:color w:val="auto"/>
                <w:szCs w:val="24"/>
                <w:highlight w:val="none"/>
              </w:rPr>
              <w:t>58.74</w:t>
            </w:r>
          </w:p>
        </w:tc>
        <w:tc>
          <w:tcPr>
            <w:tcW w:w="2460" w:type="dxa"/>
            <w:noWrap/>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公园保洁费</w:t>
            </w:r>
          </w:p>
        </w:tc>
        <w:tc>
          <w:tcPr>
            <w:tcW w:w="2260" w:type="dxa"/>
            <w:noWrap/>
            <w:vAlign w:val="center"/>
          </w:tcPr>
          <w:p>
            <w:pPr>
              <w:jc w:val="center"/>
              <w:rPr>
                <w:rFonts w:hAnsi="宋体"/>
                <w:color w:val="auto"/>
                <w:szCs w:val="24"/>
                <w:highlight w:val="none"/>
              </w:rPr>
            </w:pPr>
            <w:r>
              <w:rPr>
                <w:rFonts w:hint="eastAsia" w:hAnsi="宋体"/>
                <w:color w:val="auto"/>
                <w:szCs w:val="24"/>
                <w:highlight w:val="none"/>
              </w:rPr>
              <w:t>101.67</w:t>
            </w:r>
          </w:p>
        </w:tc>
        <w:tc>
          <w:tcPr>
            <w:tcW w:w="2460" w:type="dxa"/>
            <w:noWrap/>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公园花卉采购及种植布置费</w:t>
            </w:r>
          </w:p>
        </w:tc>
        <w:tc>
          <w:tcPr>
            <w:tcW w:w="2260" w:type="dxa"/>
            <w:noWrap/>
            <w:vAlign w:val="center"/>
          </w:tcPr>
          <w:p>
            <w:pPr>
              <w:jc w:val="center"/>
              <w:rPr>
                <w:rFonts w:hAnsi="宋体"/>
                <w:color w:val="auto"/>
                <w:szCs w:val="24"/>
                <w:highlight w:val="none"/>
              </w:rPr>
            </w:pPr>
            <w:r>
              <w:rPr>
                <w:rFonts w:hint="eastAsia" w:hAnsi="宋体"/>
                <w:color w:val="auto"/>
                <w:szCs w:val="24"/>
                <w:highlight w:val="none"/>
              </w:rPr>
              <w:t>156.67</w:t>
            </w:r>
          </w:p>
        </w:tc>
        <w:tc>
          <w:tcPr>
            <w:tcW w:w="2460" w:type="dxa"/>
            <w:noWrap/>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公园费用小计</w:t>
            </w:r>
          </w:p>
        </w:tc>
        <w:tc>
          <w:tcPr>
            <w:tcW w:w="4720" w:type="dxa"/>
            <w:gridSpan w:val="2"/>
            <w:noWrap/>
            <w:vAlign w:val="center"/>
          </w:tcPr>
          <w:p>
            <w:pPr>
              <w:jc w:val="center"/>
              <w:rPr>
                <w:rFonts w:hAnsi="宋体"/>
                <w:color w:val="auto"/>
                <w:szCs w:val="24"/>
                <w:highlight w:val="none"/>
              </w:rPr>
            </w:pPr>
            <w:r>
              <w:rPr>
                <w:rFonts w:hint="eastAsia" w:hAnsi="宋体"/>
                <w:color w:val="auto"/>
                <w:szCs w:val="24"/>
                <w:highlight w:val="none"/>
              </w:rPr>
              <w:t>378.53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vAlign w:val="center"/>
          </w:tcPr>
          <w:p>
            <w:pPr>
              <w:jc w:val="center"/>
              <w:rPr>
                <w:rFonts w:hAnsi="宋体"/>
                <w:color w:val="auto"/>
                <w:szCs w:val="24"/>
                <w:highlight w:val="none"/>
              </w:rPr>
            </w:pPr>
            <w:r>
              <w:rPr>
                <w:rFonts w:hint="eastAsia" w:hAnsi="宋体"/>
                <w:color w:val="auto"/>
                <w:szCs w:val="24"/>
                <w:highlight w:val="none"/>
              </w:rPr>
              <w:t>街区绿地养护费（绿化养护）</w:t>
            </w:r>
          </w:p>
        </w:tc>
        <w:tc>
          <w:tcPr>
            <w:tcW w:w="2260" w:type="dxa"/>
            <w:vAlign w:val="center"/>
          </w:tcPr>
          <w:p>
            <w:pPr>
              <w:jc w:val="center"/>
              <w:rPr>
                <w:rFonts w:hAnsi="宋体"/>
                <w:color w:val="auto"/>
                <w:szCs w:val="24"/>
                <w:highlight w:val="none"/>
              </w:rPr>
            </w:pPr>
            <w:r>
              <w:rPr>
                <w:rFonts w:hint="eastAsia" w:hAnsi="宋体"/>
                <w:color w:val="auto"/>
                <w:szCs w:val="24"/>
                <w:highlight w:val="none"/>
              </w:rPr>
              <w:t>59.45</w:t>
            </w:r>
          </w:p>
        </w:tc>
        <w:tc>
          <w:tcPr>
            <w:tcW w:w="2460" w:type="dxa"/>
            <w:vAlign w:val="center"/>
          </w:tcPr>
          <w:p>
            <w:pPr>
              <w:rPr>
                <w:rFonts w:ascii="仿宋_GB2312" w:hAnsi="宋体" w:eastAsia="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vAlign w:val="center"/>
          </w:tcPr>
          <w:p>
            <w:pPr>
              <w:jc w:val="center"/>
              <w:rPr>
                <w:rFonts w:hAnsi="宋体"/>
                <w:color w:val="auto"/>
                <w:szCs w:val="24"/>
                <w:highlight w:val="none"/>
              </w:rPr>
            </w:pPr>
            <w:r>
              <w:rPr>
                <w:rFonts w:hint="eastAsia" w:hAnsi="宋体"/>
                <w:color w:val="auto"/>
                <w:szCs w:val="24"/>
                <w:highlight w:val="none"/>
              </w:rPr>
              <w:t>街区养护费（设施维护）</w:t>
            </w:r>
          </w:p>
        </w:tc>
        <w:tc>
          <w:tcPr>
            <w:tcW w:w="2260" w:type="dxa"/>
            <w:vAlign w:val="center"/>
          </w:tcPr>
          <w:p>
            <w:pPr>
              <w:jc w:val="center"/>
              <w:rPr>
                <w:rFonts w:hAnsi="宋体"/>
                <w:color w:val="auto"/>
                <w:szCs w:val="24"/>
                <w:highlight w:val="none"/>
              </w:rPr>
            </w:pPr>
            <w:r>
              <w:rPr>
                <w:rFonts w:hint="eastAsia" w:hAnsi="宋体"/>
                <w:color w:val="auto"/>
                <w:szCs w:val="24"/>
                <w:highlight w:val="none"/>
              </w:rPr>
              <w:t>20.05</w:t>
            </w:r>
          </w:p>
        </w:tc>
        <w:tc>
          <w:tcPr>
            <w:tcW w:w="2460" w:type="dxa"/>
            <w:vAlign w:val="center"/>
          </w:tcPr>
          <w:p>
            <w:pPr>
              <w:rPr>
                <w:rFonts w:ascii="仿宋_GB2312" w:hAnsi="宋体" w:eastAsia="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vAlign w:val="center"/>
          </w:tcPr>
          <w:p>
            <w:pPr>
              <w:jc w:val="center"/>
              <w:rPr>
                <w:rFonts w:hAnsi="宋体"/>
                <w:color w:val="auto"/>
                <w:szCs w:val="24"/>
                <w:highlight w:val="none"/>
              </w:rPr>
            </w:pPr>
            <w:r>
              <w:rPr>
                <w:rFonts w:hint="eastAsia" w:hAnsi="宋体"/>
                <w:color w:val="auto"/>
                <w:szCs w:val="24"/>
                <w:highlight w:val="none"/>
              </w:rPr>
              <w:t>公共绿地花卉费</w:t>
            </w:r>
          </w:p>
        </w:tc>
        <w:tc>
          <w:tcPr>
            <w:tcW w:w="2260" w:type="dxa"/>
            <w:vAlign w:val="center"/>
          </w:tcPr>
          <w:p>
            <w:pPr>
              <w:jc w:val="center"/>
              <w:rPr>
                <w:rFonts w:hAnsi="宋体"/>
                <w:color w:val="auto"/>
                <w:szCs w:val="24"/>
                <w:highlight w:val="none"/>
              </w:rPr>
            </w:pPr>
            <w:r>
              <w:rPr>
                <w:rFonts w:hint="eastAsia" w:hAnsi="宋体"/>
                <w:color w:val="auto"/>
                <w:szCs w:val="24"/>
                <w:highlight w:val="none"/>
              </w:rPr>
              <w:t>47.86</w:t>
            </w:r>
          </w:p>
        </w:tc>
        <w:tc>
          <w:tcPr>
            <w:tcW w:w="2460" w:type="dxa"/>
            <w:vAlign w:val="center"/>
          </w:tcPr>
          <w:p>
            <w:pPr>
              <w:rPr>
                <w:rFonts w:ascii="仿宋_GB2312" w:hAnsi="宋体" w:eastAsia="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vAlign w:val="center"/>
          </w:tcPr>
          <w:p>
            <w:pPr>
              <w:jc w:val="center"/>
              <w:rPr>
                <w:rFonts w:hAnsi="宋体"/>
                <w:color w:val="auto"/>
                <w:szCs w:val="24"/>
                <w:highlight w:val="none"/>
              </w:rPr>
            </w:pPr>
            <w:r>
              <w:rPr>
                <w:rFonts w:hint="eastAsia" w:hAnsi="宋体"/>
                <w:color w:val="auto"/>
                <w:szCs w:val="24"/>
                <w:highlight w:val="none"/>
              </w:rPr>
              <w:t>垂直绿墙花卉费</w:t>
            </w:r>
          </w:p>
        </w:tc>
        <w:tc>
          <w:tcPr>
            <w:tcW w:w="2260" w:type="dxa"/>
            <w:vAlign w:val="center"/>
          </w:tcPr>
          <w:p>
            <w:pPr>
              <w:jc w:val="center"/>
              <w:rPr>
                <w:rFonts w:hAnsi="宋体"/>
                <w:color w:val="auto"/>
                <w:szCs w:val="24"/>
                <w:highlight w:val="none"/>
              </w:rPr>
            </w:pPr>
            <w:r>
              <w:rPr>
                <w:rFonts w:hint="eastAsia" w:hAnsi="宋体"/>
                <w:color w:val="auto"/>
                <w:szCs w:val="24"/>
                <w:highlight w:val="none"/>
              </w:rPr>
              <w:t>10.95</w:t>
            </w:r>
          </w:p>
        </w:tc>
        <w:tc>
          <w:tcPr>
            <w:tcW w:w="2460" w:type="dxa"/>
            <w:vAlign w:val="center"/>
          </w:tcPr>
          <w:p>
            <w:pPr>
              <w:rPr>
                <w:rFonts w:ascii="仿宋_GB2312" w:hAnsi="宋体" w:eastAsia="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vAlign w:val="center"/>
          </w:tcPr>
          <w:p>
            <w:pPr>
              <w:jc w:val="center"/>
              <w:rPr>
                <w:rFonts w:hAnsi="宋体"/>
                <w:color w:val="auto"/>
                <w:szCs w:val="24"/>
                <w:highlight w:val="none"/>
              </w:rPr>
            </w:pPr>
            <w:r>
              <w:rPr>
                <w:rFonts w:hint="eastAsia" w:hAnsi="宋体"/>
                <w:color w:val="auto"/>
                <w:szCs w:val="24"/>
                <w:highlight w:val="none"/>
              </w:rPr>
              <w:t>街区绿化合计</w:t>
            </w:r>
          </w:p>
        </w:tc>
        <w:tc>
          <w:tcPr>
            <w:tcW w:w="4720" w:type="dxa"/>
            <w:gridSpan w:val="2"/>
            <w:vAlign w:val="center"/>
          </w:tcPr>
          <w:p>
            <w:pPr>
              <w:jc w:val="center"/>
              <w:rPr>
                <w:rFonts w:ascii="仿宋_GB2312" w:hAnsi="宋体" w:eastAsia="仿宋_GB2312"/>
                <w:color w:val="auto"/>
                <w:szCs w:val="24"/>
                <w:highlight w:val="none"/>
              </w:rPr>
            </w:pPr>
            <w:r>
              <w:rPr>
                <w:rFonts w:hint="eastAsia" w:ascii="仿宋_GB2312" w:hAnsi="宋体" w:eastAsia="仿宋_GB2312"/>
                <w:color w:val="auto"/>
                <w:szCs w:val="24"/>
                <w:highlight w:val="none"/>
              </w:rPr>
              <w:t>138.31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ign w:val="center"/>
          </w:tcPr>
          <w:p>
            <w:pPr>
              <w:jc w:val="center"/>
              <w:rPr>
                <w:rFonts w:hAnsi="宋体"/>
                <w:color w:val="auto"/>
                <w:szCs w:val="24"/>
                <w:highlight w:val="none"/>
              </w:rPr>
            </w:pPr>
            <w:r>
              <w:rPr>
                <w:rFonts w:hint="eastAsia" w:hAnsi="宋体"/>
                <w:color w:val="auto"/>
                <w:szCs w:val="24"/>
                <w:highlight w:val="none"/>
              </w:rPr>
              <w:t>合计</w:t>
            </w:r>
          </w:p>
        </w:tc>
        <w:tc>
          <w:tcPr>
            <w:tcW w:w="2260" w:type="dxa"/>
            <w:noWrap/>
            <w:vAlign w:val="center"/>
          </w:tcPr>
          <w:p>
            <w:pPr>
              <w:jc w:val="center"/>
              <w:rPr>
                <w:rFonts w:hAnsi="宋体"/>
                <w:color w:val="auto"/>
                <w:szCs w:val="24"/>
                <w:highlight w:val="none"/>
                <w:u w:val="single"/>
              </w:rPr>
            </w:pPr>
            <w:r>
              <w:rPr>
                <w:rFonts w:hint="eastAsia" w:hAnsi="宋体"/>
                <w:color w:val="auto"/>
                <w:szCs w:val="24"/>
                <w:highlight w:val="none"/>
                <w:u w:val="single"/>
              </w:rPr>
              <w:t>516.84</w:t>
            </w:r>
          </w:p>
        </w:tc>
        <w:tc>
          <w:tcPr>
            <w:tcW w:w="2460" w:type="dxa"/>
            <w:noWrap/>
            <w:vAlign w:val="center"/>
          </w:tcPr>
          <w:p>
            <w:pPr>
              <w:jc w:val="center"/>
              <w:rPr>
                <w:rFonts w:hAnsi="宋体"/>
                <w:color w:val="auto"/>
                <w:szCs w:val="24"/>
                <w:highlight w:val="none"/>
              </w:rPr>
            </w:pPr>
          </w:p>
        </w:tc>
      </w:tr>
    </w:tbl>
    <w:p>
      <w:pPr>
        <w:ind w:firstLine="480" w:firstLineChars="200"/>
        <w:rPr>
          <w:rFonts w:hAnsi="宋体"/>
          <w:color w:val="auto"/>
          <w:szCs w:val="24"/>
          <w:highlight w:val="none"/>
        </w:rPr>
      </w:pPr>
      <w:r>
        <w:rPr>
          <w:rFonts w:hint="eastAsia" w:hAnsi="宋体"/>
          <w:color w:val="auto"/>
          <w:szCs w:val="24"/>
          <w:highlight w:val="none"/>
        </w:rPr>
        <w:t>投标单位需在投标文件中针对公园绿地、花卉养护的特点，对可能发生的交通、极端天气等紧急情况作出相应的应急预案响应。</w:t>
      </w:r>
    </w:p>
    <w:p>
      <w:pPr>
        <w:ind w:firstLine="360" w:firstLineChars="150"/>
        <w:rPr>
          <w:rFonts w:hAnsi="宋体"/>
          <w:color w:val="auto"/>
          <w:szCs w:val="24"/>
          <w:highlight w:val="none"/>
        </w:rPr>
      </w:pPr>
      <w:r>
        <w:rPr>
          <w:rFonts w:hAnsi="宋体"/>
          <w:color w:val="auto"/>
          <w:szCs w:val="24"/>
          <w:highlight w:val="none"/>
        </w:rPr>
        <w:t xml:space="preserve">3.3  </w:t>
      </w:r>
      <w:r>
        <w:rPr>
          <w:rFonts w:hint="eastAsia" w:hAnsi="宋体"/>
          <w:color w:val="auto"/>
          <w:szCs w:val="24"/>
          <w:highlight w:val="none"/>
        </w:rPr>
        <w:t>现场条件</w:t>
      </w:r>
    </w:p>
    <w:p>
      <w:pPr>
        <w:ind w:firstLine="360" w:firstLineChars="150"/>
        <w:rPr>
          <w:rFonts w:hAnsi="宋体"/>
          <w:color w:val="auto"/>
          <w:szCs w:val="24"/>
          <w:highlight w:val="none"/>
        </w:rPr>
      </w:pPr>
      <w:r>
        <w:rPr>
          <w:rFonts w:hAnsi="宋体"/>
          <w:color w:val="auto"/>
          <w:szCs w:val="24"/>
          <w:highlight w:val="none"/>
        </w:rPr>
        <w:t xml:space="preserve">3.3.1  </w:t>
      </w:r>
      <w:r>
        <w:rPr>
          <w:rFonts w:hint="eastAsia" w:hAnsi="宋体"/>
          <w:color w:val="auto"/>
          <w:szCs w:val="24"/>
          <w:highlight w:val="none"/>
        </w:rPr>
        <w:t>采购人提供现有养护道班房，不提供办公场所等设施，投标单位自行安排。</w:t>
      </w:r>
    </w:p>
    <w:p>
      <w:pPr>
        <w:ind w:firstLine="360" w:firstLineChars="150"/>
        <w:rPr>
          <w:rFonts w:hint="eastAsia" w:hAnsi="宋体"/>
          <w:color w:val="auto"/>
          <w:szCs w:val="24"/>
          <w:highlight w:val="none"/>
        </w:rPr>
      </w:pPr>
      <w:r>
        <w:rPr>
          <w:rFonts w:hAnsi="宋体"/>
          <w:color w:val="auto"/>
          <w:szCs w:val="24"/>
          <w:highlight w:val="none"/>
        </w:rPr>
        <w:t xml:space="preserve">3.3.2  </w:t>
      </w:r>
      <w:r>
        <w:rPr>
          <w:rFonts w:hint="eastAsia" w:hAnsi="宋体"/>
          <w:color w:val="auto"/>
          <w:szCs w:val="24"/>
          <w:highlight w:val="none"/>
        </w:rPr>
        <w:t>中标单位应十分重视养护工人在现场操作时的安全问题，进行上岗安全知识教育，采取必要的安全保障措施。</w:t>
      </w:r>
    </w:p>
    <w:p>
      <w:pPr>
        <w:ind w:firstLine="360" w:firstLineChars="150"/>
        <w:rPr>
          <w:rFonts w:hAnsi="宋体"/>
          <w:color w:val="auto"/>
          <w:szCs w:val="24"/>
          <w:highlight w:val="none"/>
        </w:rPr>
      </w:pPr>
      <w:r>
        <w:rPr>
          <w:rFonts w:hAnsi="宋体"/>
          <w:color w:val="auto"/>
          <w:szCs w:val="24"/>
          <w:highlight w:val="none"/>
        </w:rPr>
        <w:t xml:space="preserve">3.3.3  </w:t>
      </w:r>
      <w:r>
        <w:rPr>
          <w:rFonts w:hint="eastAsia" w:hAnsi="宋体"/>
          <w:color w:val="auto"/>
          <w:szCs w:val="24"/>
          <w:highlight w:val="none"/>
        </w:rPr>
        <w:t>水、电、工具等由中标方自行解决。</w:t>
      </w:r>
    </w:p>
    <w:p>
      <w:pPr>
        <w:ind w:firstLine="360" w:firstLineChars="150"/>
        <w:rPr>
          <w:rFonts w:hint="eastAsia" w:hAnsi="宋体"/>
          <w:color w:val="auto"/>
          <w:szCs w:val="24"/>
          <w:highlight w:val="none"/>
        </w:rPr>
      </w:pPr>
      <w:r>
        <w:rPr>
          <w:rFonts w:hAnsi="宋体"/>
          <w:color w:val="auto"/>
          <w:szCs w:val="24"/>
          <w:highlight w:val="none"/>
        </w:rPr>
        <w:t xml:space="preserve">3.3.4  </w:t>
      </w:r>
      <w:r>
        <w:rPr>
          <w:rFonts w:hint="eastAsia" w:hAnsi="宋体"/>
          <w:color w:val="auto"/>
          <w:szCs w:val="24"/>
          <w:highlight w:val="none"/>
        </w:rPr>
        <w:t>养护现场需统一服装。</w:t>
      </w:r>
    </w:p>
    <w:p>
      <w:pPr>
        <w:ind w:firstLine="360" w:firstLineChars="15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3.3.5  岗位要求情况</w:t>
      </w:r>
    </w:p>
    <w:tbl>
      <w:tblPr>
        <w:tblStyle w:val="4"/>
        <w:tblW w:w="6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28"/>
        <w:gridCol w:w="1010"/>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序号</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岗位名称</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岗位数</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项目经理</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技师或绿化专业中级职称（含）以上职业资格，无在建项目承诺，提供近3个月社保证明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安全员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质量员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公园专职园长</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right w:val="single" w:color="000000" w:sz="4" w:space="0"/>
            </w:tcBorders>
            <w:shd w:val="clear" w:color="auto" w:fill="FFFFFF"/>
          </w:tcPr>
          <w:p>
            <w:pPr>
              <w:jc w:val="both"/>
              <w:rPr>
                <w:rFonts w:hint="eastAsia" w:ascii="宋体" w:hAnsi="宋体" w:eastAsia="宋体" w:cs="宋体"/>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技术负责人</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098" w:type="dxa"/>
            <w:vMerge w:val="restart"/>
            <w:tcBorders>
              <w:top w:val="single" w:color="000000" w:sz="4" w:space="0"/>
              <w:left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hAnsi="宋体"/>
                <w:color w:val="auto"/>
                <w:szCs w:val="24"/>
                <w:highlight w:val="none"/>
              </w:rPr>
              <w:t>具有中级职称以上的专业技术</w:t>
            </w:r>
            <w:r>
              <w:rPr>
                <w:rFonts w:hint="eastAsia" w:hAnsi="宋体"/>
                <w:color w:val="auto"/>
                <w:szCs w:val="24"/>
                <w:highlight w:val="none"/>
                <w:lang w:val="en-US" w:eastAsia="zh-CN"/>
              </w:rPr>
              <w:t>人员2人（工程师1人），</w:t>
            </w:r>
            <w:r>
              <w:rPr>
                <w:rFonts w:hint="eastAsia" w:hAnsi="宋体"/>
                <w:color w:val="auto"/>
                <w:szCs w:val="24"/>
                <w:highlight w:val="none"/>
              </w:rPr>
              <w:t>中、高级技术</w:t>
            </w:r>
            <w:r>
              <w:rPr>
                <w:rFonts w:hint="eastAsia" w:hAnsi="宋体"/>
                <w:color w:val="auto"/>
                <w:szCs w:val="24"/>
                <w:highlight w:val="none"/>
                <w:lang w:val="en-US" w:eastAsia="zh-CN"/>
              </w:rPr>
              <w:t>工人3人，</w:t>
            </w:r>
            <w:r>
              <w:rPr>
                <w:rFonts w:hint="eastAsia" w:hAnsi="宋体"/>
                <w:color w:val="auto"/>
                <w:szCs w:val="24"/>
                <w:highlight w:val="none"/>
                <w:lang w:val="en-US" w:eastAsia="zh-CN"/>
              </w:rPr>
              <w:t>技术负责人需提供近3个月的社保证明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养护人员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10</w:t>
            </w:r>
          </w:p>
        </w:tc>
        <w:tc>
          <w:tcPr>
            <w:tcW w:w="2098" w:type="dxa"/>
            <w:vMerge w:val="continue"/>
            <w:tcBorders>
              <w:left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color w:val="auto"/>
                <w:szCs w:val="24"/>
                <w:highlight w:val="none"/>
                <w:vertAlign w:val="baseline"/>
                <w:lang w:eastAsia="zh-CN"/>
              </w:rPr>
            </w:pPr>
            <w:r>
              <w:rPr>
                <w:rFonts w:hint="eastAsia" w:hAnsi="宋体"/>
                <w:color w:val="auto"/>
                <w:szCs w:val="24"/>
                <w:highlight w:val="none"/>
              </w:rPr>
              <w:t>专职植保</w:t>
            </w:r>
            <w:r>
              <w:rPr>
                <w:rFonts w:hint="eastAsia" w:ascii="宋体" w:hAnsi="宋体" w:eastAsia="宋体" w:cs="宋体"/>
                <w:color w:val="auto"/>
                <w:szCs w:val="24"/>
                <w:highlight w:val="none"/>
                <w:vertAlign w:val="baseline"/>
                <w:lang w:eastAsia="zh-CN"/>
              </w:rPr>
              <w:t>人员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1</w:t>
            </w:r>
          </w:p>
        </w:tc>
        <w:tc>
          <w:tcPr>
            <w:tcW w:w="2098" w:type="dxa"/>
            <w:vMerge w:val="continue"/>
            <w:tcBorders>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hAnsi="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hAnsi="宋体" w:eastAsia="宋体"/>
                <w:color w:val="auto"/>
                <w:szCs w:val="24"/>
                <w:highlight w:val="none"/>
                <w:lang w:val="en-US" w:eastAsia="zh-CN"/>
              </w:rPr>
            </w:pPr>
            <w:r>
              <w:rPr>
                <w:rFonts w:hint="eastAsia" w:hAnsi="宋体"/>
                <w:color w:val="auto"/>
                <w:szCs w:val="24"/>
                <w:highlight w:val="none"/>
              </w:rPr>
              <w:t>街区绿化养护</w:t>
            </w:r>
            <w:r>
              <w:rPr>
                <w:rFonts w:hint="eastAsia" w:hAnsi="宋体"/>
                <w:color w:val="auto"/>
                <w:szCs w:val="24"/>
                <w:highlight w:val="none"/>
                <w:lang w:val="en-US" w:eastAsia="zh-CN"/>
              </w:rPr>
              <w:t>工人</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仿宋_GB2312" w:eastAsia="仿宋_GB2312"/>
                <w:color w:val="auto"/>
                <w:szCs w:val="24"/>
                <w:highlight w:val="none"/>
                <w:vertAlign w:val="baseline"/>
                <w:lang w:val="en-US" w:eastAsia="zh-CN"/>
              </w:rPr>
            </w:pPr>
            <w:r>
              <w:rPr>
                <w:rFonts w:hint="eastAsia" w:ascii="仿宋_GB2312" w:eastAsia="仿宋_GB2312"/>
                <w:color w:val="auto"/>
                <w:szCs w:val="24"/>
                <w:highlight w:val="none"/>
                <w:vertAlign w:val="baseline"/>
                <w:lang w:val="en-US" w:eastAsia="zh-CN"/>
              </w:rPr>
              <w:t>11</w:t>
            </w:r>
          </w:p>
        </w:tc>
        <w:tc>
          <w:tcPr>
            <w:tcW w:w="2098" w:type="dxa"/>
            <w:tcBorders>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color w:val="auto"/>
                <w:szCs w:val="24"/>
                <w:highlight w:val="none"/>
                <w:vertAlign w:val="baseline"/>
                <w:lang w:val="en-US" w:eastAsia="zh-CN"/>
              </w:rPr>
            </w:pPr>
            <w:r>
              <w:rPr>
                <w:rFonts w:hint="eastAsia" w:hAnsi="宋体"/>
                <w:color w:val="auto"/>
                <w:szCs w:val="24"/>
                <w:highlight w:val="none"/>
              </w:rPr>
              <w:t>技师</w:t>
            </w:r>
            <w:r>
              <w:rPr>
                <w:rFonts w:hint="eastAsia" w:hAnsi="宋体"/>
                <w:color w:val="auto"/>
                <w:szCs w:val="24"/>
                <w:highlight w:val="no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hAnsi="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仿宋_GB2312" w:hAnsi="Calibri" w:eastAsia="仿宋_GB2312" w:cs="Times New Roman"/>
                <w:color w:val="auto"/>
                <w:kern w:val="2"/>
                <w:sz w:val="24"/>
                <w:szCs w:val="24"/>
                <w:highlight w:val="none"/>
                <w:vertAlign w:val="baseline"/>
                <w:lang w:val="en-US" w:eastAsia="zh-CN" w:bidi="ar-SA"/>
              </w:rPr>
            </w:pPr>
            <w:r>
              <w:rPr>
                <w:rFonts w:hint="eastAsia" w:hAnsi="宋体"/>
                <w:color w:val="auto"/>
                <w:szCs w:val="24"/>
                <w:highlight w:val="none"/>
                <w:lang w:val="en-US" w:eastAsia="zh-CN"/>
              </w:rPr>
              <w:t>水、电工</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_GB2312" w:hAnsi="Calibri" w:eastAsia="仿宋_GB2312" w:cs="Times New Roman"/>
                <w:color w:val="auto"/>
                <w:kern w:val="2"/>
                <w:sz w:val="24"/>
                <w:szCs w:val="24"/>
                <w:highlight w:val="none"/>
                <w:vertAlign w:val="baseline"/>
                <w:lang w:val="en-US" w:eastAsia="zh-CN" w:bidi="ar-SA"/>
              </w:rPr>
            </w:pPr>
            <w:r>
              <w:rPr>
                <w:rFonts w:hint="eastAsia" w:ascii="仿宋_GB2312" w:eastAsia="仿宋_GB2312"/>
                <w:color w:val="auto"/>
                <w:szCs w:val="24"/>
                <w:highlight w:val="none"/>
                <w:vertAlign w:val="baseline"/>
                <w:lang w:val="en-US" w:eastAsia="zh-CN"/>
              </w:rPr>
              <w:t>1</w:t>
            </w:r>
          </w:p>
        </w:tc>
        <w:tc>
          <w:tcPr>
            <w:tcW w:w="2098" w:type="dxa"/>
            <w:tcBorders>
              <w:left w:val="single" w:color="000000" w:sz="4" w:space="0"/>
              <w:bottom w:val="single" w:color="000000" w:sz="4" w:space="0"/>
              <w:right w:val="single" w:color="000000" w:sz="4" w:space="0"/>
            </w:tcBorders>
            <w:shd w:val="clear" w:color="auto" w:fill="FFFFFF"/>
            <w:vAlign w:val="top"/>
          </w:tcPr>
          <w:p>
            <w:pPr>
              <w:jc w:val="both"/>
              <w:rPr>
                <w:rFonts w:hint="default" w:ascii="仿宋_GB2312" w:hAnsi="Calibri" w:eastAsia="仿宋_GB2312" w:cs="Times New Roman"/>
                <w:color w:val="auto"/>
                <w:kern w:val="2"/>
                <w:sz w:val="24"/>
                <w:szCs w:val="24"/>
                <w:highlight w:val="none"/>
                <w:vertAlign w:val="baseline"/>
                <w:lang w:val="en-US" w:eastAsia="zh-CN" w:bidi="ar-SA"/>
              </w:rPr>
            </w:pPr>
            <w:r>
              <w:rPr>
                <w:rFonts w:hint="eastAsia" w:hAnsi="宋体" w:cs="宋体"/>
                <w:color w:val="auto"/>
                <w:szCs w:val="24"/>
                <w:highlight w:val="none"/>
                <w:vertAlign w:val="baseline"/>
                <w:lang w:val="en-US" w:eastAsia="zh-CN"/>
              </w:rPr>
              <w:t>电工</w:t>
            </w:r>
            <w:r>
              <w:rPr>
                <w:rFonts w:hint="eastAsia" w:ascii="宋体" w:hAnsi="宋体" w:eastAsia="宋体" w:cs="宋体"/>
                <w:color w:val="auto"/>
                <w:szCs w:val="24"/>
                <w:highlight w:val="none"/>
                <w:vertAlign w:val="baseline"/>
                <w:lang w:val="en-US" w:eastAsia="zh-CN"/>
              </w:rPr>
              <w:t>持有</w:t>
            </w:r>
            <w:r>
              <w:rPr>
                <w:rFonts w:hint="eastAsia" w:hAnsi="宋体" w:cs="宋体"/>
                <w:color w:val="auto"/>
                <w:szCs w:val="24"/>
                <w:highlight w:val="none"/>
                <w:vertAlign w:val="baseline"/>
                <w:lang w:val="en-US" w:eastAsia="zh-CN"/>
              </w:rPr>
              <w:t>低压电工</w:t>
            </w:r>
            <w:r>
              <w:rPr>
                <w:rFonts w:hint="eastAsia" w:ascii="宋体" w:hAnsi="宋体" w:eastAsia="宋体" w:cs="宋体"/>
                <w:color w:val="auto"/>
                <w:szCs w:val="24"/>
                <w:highlight w:val="none"/>
                <w:vertAlign w:val="baseline"/>
                <w:lang w:val="en-US" w:eastAsia="zh-CN"/>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gridSpan w:val="2"/>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val="en-US" w:eastAsia="zh-CN"/>
              </w:rPr>
            </w:pPr>
            <w:r>
              <w:rPr>
                <w:rFonts w:hint="eastAsia" w:ascii="宋体" w:hAnsi="宋体" w:eastAsia="宋体" w:cs="宋体"/>
                <w:color w:val="auto"/>
                <w:szCs w:val="24"/>
                <w:highlight w:val="none"/>
                <w:vertAlign w:val="baseline"/>
                <w:lang w:val="en-US" w:eastAsia="zh-CN"/>
              </w:rPr>
              <w:t>合计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28</w:t>
            </w:r>
          </w:p>
        </w:tc>
        <w:tc>
          <w:tcPr>
            <w:tcW w:w="2098" w:type="dxa"/>
            <w:tcBorders>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bl>
    <w:p>
      <w:pPr>
        <w:ind w:firstLine="360" w:firstLineChars="150"/>
        <w:rPr>
          <w:rFonts w:hint="eastAsia" w:hAnsi="宋体"/>
          <w:color w:val="auto"/>
          <w:szCs w:val="24"/>
          <w:highlight w:val="none"/>
        </w:rPr>
      </w:pPr>
      <w:r>
        <w:rPr>
          <w:rFonts w:hAnsi="宋体"/>
          <w:color w:val="auto"/>
          <w:szCs w:val="24"/>
          <w:highlight w:val="none"/>
        </w:rPr>
        <w:t>　</w:t>
      </w:r>
      <w:r>
        <w:rPr>
          <w:rFonts w:hint="eastAsia" w:ascii="宋体" w:hAnsi="宋体" w:eastAsia="宋体" w:cs="宋体"/>
          <w:color w:val="auto"/>
          <w:szCs w:val="24"/>
          <w:highlight w:val="none"/>
          <w:lang w:eastAsia="zh-CN"/>
        </w:rPr>
        <w:t>注：1、投标人应合理配置团队服务人数，确保达到岗位配置要求，所有养护人员</w:t>
      </w:r>
      <w:r>
        <w:rPr>
          <w:rFonts w:hint="eastAsia" w:ascii="宋体" w:hAnsi="宋体" w:eastAsia="宋体" w:cs="宋体"/>
          <w:color w:val="auto"/>
          <w:szCs w:val="24"/>
          <w:highlight w:val="none"/>
          <w:lang w:eastAsia="zh-CN"/>
        </w:rPr>
        <w:t>须</w:t>
      </w:r>
      <w:r>
        <w:rPr>
          <w:rFonts w:hint="eastAsia" w:ascii="宋体" w:hAnsi="宋体" w:eastAsia="宋体" w:cs="宋体"/>
          <w:color w:val="auto"/>
          <w:szCs w:val="24"/>
          <w:highlight w:val="none"/>
          <w:lang w:val="en-US" w:eastAsia="zh-CN"/>
        </w:rPr>
        <w:t>经过</w:t>
      </w:r>
      <w:r>
        <w:rPr>
          <w:rFonts w:hint="eastAsia" w:ascii="宋体" w:hAnsi="宋体" w:eastAsia="宋体" w:cs="宋体"/>
          <w:color w:val="auto"/>
          <w:szCs w:val="24"/>
          <w:highlight w:val="none"/>
          <w:lang w:eastAsia="zh-CN"/>
        </w:rPr>
        <w:t>培训合格，</w:t>
      </w:r>
      <w:r>
        <w:rPr>
          <w:rFonts w:hint="eastAsia" w:ascii="宋体" w:hAnsi="宋体" w:eastAsia="宋体" w:cs="宋体"/>
          <w:color w:val="auto"/>
          <w:szCs w:val="24"/>
          <w:highlight w:val="none"/>
          <w:lang w:val="en-US" w:eastAsia="zh-CN"/>
        </w:rPr>
        <w:t>部分岗位需</w:t>
      </w:r>
      <w:r>
        <w:rPr>
          <w:rFonts w:hint="eastAsia" w:ascii="宋体" w:hAnsi="宋体" w:eastAsia="宋体" w:cs="宋体"/>
          <w:color w:val="auto"/>
          <w:szCs w:val="24"/>
          <w:highlight w:val="none"/>
          <w:lang w:eastAsia="zh-CN"/>
        </w:rPr>
        <w:t>取得</w:t>
      </w:r>
      <w:r>
        <w:rPr>
          <w:rFonts w:hint="eastAsia" w:ascii="宋体" w:hAnsi="宋体" w:eastAsia="宋体" w:cs="宋体"/>
          <w:color w:val="auto"/>
          <w:szCs w:val="24"/>
          <w:highlight w:val="none"/>
          <w:lang w:val="en-US" w:eastAsia="zh-CN"/>
        </w:rPr>
        <w:t>行业类</w:t>
      </w:r>
      <w:r>
        <w:rPr>
          <w:rFonts w:hint="eastAsia" w:ascii="宋体" w:hAnsi="宋体" w:eastAsia="宋体" w:cs="宋体"/>
          <w:color w:val="auto"/>
          <w:szCs w:val="24"/>
          <w:highlight w:val="none"/>
          <w:lang w:eastAsia="zh-CN"/>
        </w:rPr>
        <w:t>上岗证书</w:t>
      </w:r>
      <w:r>
        <w:rPr>
          <w:rFonts w:hint="eastAsia" w:ascii="宋体" w:hAnsi="宋体" w:eastAsia="宋体" w:cs="宋体"/>
          <w:color w:val="auto"/>
          <w:szCs w:val="24"/>
          <w:highlight w:val="none"/>
          <w:lang w:eastAsia="zh-CN"/>
        </w:rPr>
        <w:t>，同时承诺所有服务人员劳动时间</w:t>
      </w:r>
      <w:r>
        <w:rPr>
          <w:rFonts w:hint="eastAsia" w:ascii="宋体" w:hAnsi="宋体" w:eastAsia="宋体" w:cs="宋体"/>
          <w:color w:val="auto"/>
          <w:szCs w:val="24"/>
          <w:highlight w:val="none"/>
          <w:lang w:eastAsia="zh-CN"/>
        </w:rPr>
        <w:t>符合</w:t>
      </w:r>
      <w:r>
        <w:rPr>
          <w:rFonts w:hint="eastAsia" w:ascii="宋体" w:hAnsi="宋体" w:eastAsia="宋体" w:cs="宋体"/>
          <w:color w:val="auto"/>
          <w:szCs w:val="24"/>
          <w:highlight w:val="none"/>
          <w:lang w:val="en-US" w:eastAsia="zh-CN"/>
        </w:rPr>
        <w:t>国家和上海市有关用工法规和政策要求</w:t>
      </w:r>
      <w:r>
        <w:rPr>
          <w:rFonts w:hint="eastAsia" w:ascii="宋体" w:hAnsi="宋体" w:eastAsia="宋体" w:cs="宋体"/>
          <w:color w:val="auto"/>
          <w:szCs w:val="24"/>
          <w:highlight w:val="none"/>
          <w:lang w:eastAsia="zh-CN"/>
        </w:rPr>
        <w:t>的</w:t>
      </w:r>
      <w:r>
        <w:rPr>
          <w:rFonts w:hint="eastAsia" w:ascii="宋体" w:hAnsi="宋体" w:eastAsia="宋体" w:cs="宋体"/>
          <w:color w:val="auto"/>
          <w:szCs w:val="24"/>
          <w:highlight w:val="none"/>
          <w:lang w:eastAsia="zh-CN"/>
        </w:rPr>
        <w:t>规定。2、</w:t>
      </w:r>
      <w:r>
        <w:rPr>
          <w:rFonts w:hint="eastAsia" w:hAnsi="宋体" w:cs="宋体"/>
          <w:szCs w:val="24"/>
        </w:rPr>
        <w:t>投标人需承诺，若中标为项目所有团队服务人员投保足够份额的雇主责任险、公众责任险、工伤保险费等</w:t>
      </w:r>
      <w:r>
        <w:rPr>
          <w:rFonts w:hint="eastAsia" w:ascii="宋体" w:hAnsi="宋体" w:eastAsia="宋体" w:cs="宋体"/>
          <w:color w:val="auto"/>
          <w:szCs w:val="24"/>
          <w:highlight w:val="none"/>
          <w:lang w:eastAsia="zh-CN"/>
        </w:rPr>
        <w:t>。</w:t>
      </w:r>
    </w:p>
    <w:p>
      <w:pPr>
        <w:ind w:firstLine="360" w:firstLineChars="150"/>
        <w:rPr>
          <w:rFonts w:hAnsi="宋体"/>
          <w:color w:val="auto"/>
          <w:szCs w:val="24"/>
          <w:highlight w:val="none"/>
        </w:rPr>
      </w:pPr>
      <w:r>
        <w:rPr>
          <w:rFonts w:hAnsi="宋体"/>
          <w:color w:val="auto"/>
          <w:szCs w:val="24"/>
          <w:highlight w:val="none"/>
        </w:rPr>
        <w:t xml:space="preserve">3.4  </w:t>
      </w:r>
      <w:r>
        <w:rPr>
          <w:rFonts w:hint="eastAsia" w:hAnsi="宋体"/>
          <w:color w:val="auto"/>
          <w:szCs w:val="24"/>
          <w:highlight w:val="none"/>
          <w:lang w:val="en-US" w:eastAsia="zh-CN"/>
        </w:rPr>
        <w:t>服务</w:t>
      </w:r>
      <w:r>
        <w:rPr>
          <w:rFonts w:hint="eastAsia" w:hAnsi="宋体"/>
          <w:color w:val="auto"/>
          <w:szCs w:val="24"/>
          <w:highlight w:val="none"/>
        </w:rPr>
        <w:t>内容和范围</w:t>
      </w:r>
    </w:p>
    <w:p>
      <w:pPr>
        <w:ind w:firstLine="360" w:firstLineChars="150"/>
        <w:rPr>
          <w:rFonts w:hAnsi="宋体"/>
          <w:color w:val="auto"/>
          <w:szCs w:val="24"/>
          <w:highlight w:val="none"/>
        </w:rPr>
      </w:pPr>
      <w:r>
        <w:rPr>
          <w:rFonts w:hAnsi="宋体"/>
          <w:color w:val="auto"/>
          <w:szCs w:val="24"/>
          <w:highlight w:val="none"/>
        </w:rPr>
        <w:t xml:space="preserve">3.4.1  </w:t>
      </w:r>
      <w:r>
        <w:rPr>
          <w:rFonts w:hint="eastAsia" w:hAnsi="宋体"/>
          <w:color w:val="auto"/>
          <w:szCs w:val="24"/>
          <w:highlight w:val="none"/>
        </w:rPr>
        <w:t>本次养护内容：公园绿地养护，公园景观水体维护（按照“河长制”工作要求，保持水体水质清澈、水面漂浮物落叶清理、水草定期收割及水处理设施（设备）运转功能正常）、花卉采购及布置，公园迎风旗制作安装，“</w:t>
      </w:r>
      <w:r>
        <w:rPr>
          <w:rFonts w:hAnsi="宋体"/>
          <w:color w:val="auto"/>
          <w:szCs w:val="24"/>
          <w:highlight w:val="none"/>
        </w:rPr>
        <w:t>12345</w:t>
      </w:r>
      <w:r>
        <w:rPr>
          <w:rFonts w:hint="eastAsia" w:hAnsi="宋体"/>
          <w:color w:val="auto"/>
          <w:szCs w:val="24"/>
          <w:highlight w:val="none"/>
        </w:rPr>
        <w:t>”、“网格化管理”等各类与工作内容相符的市民投诉处置；</w:t>
      </w:r>
      <w:r>
        <w:rPr>
          <w:rFonts w:hint="eastAsia" w:hAnsi="宋体"/>
          <w:color w:val="auto"/>
          <w:szCs w:val="24"/>
          <w:highlight w:val="none"/>
        </w:rPr>
        <w:t>街区绿化、景点养护，花卉采购及布置。详见：附件一。中标单位应充分贯彻落实公园城市理念，按照“四化”总要求，围绕“常态优良、形态优美、品态优质”的“三优”工作总目标，确保优质绿化景观面貌。</w:t>
      </w:r>
    </w:p>
    <w:p>
      <w:pPr>
        <w:ind w:firstLine="360" w:firstLineChars="150"/>
        <w:rPr>
          <w:rFonts w:hAnsi="宋体"/>
          <w:color w:val="auto"/>
          <w:szCs w:val="24"/>
          <w:highlight w:val="none"/>
        </w:rPr>
      </w:pPr>
      <w:r>
        <w:rPr>
          <w:rFonts w:hAnsi="宋体"/>
          <w:color w:val="auto"/>
          <w:szCs w:val="24"/>
          <w:highlight w:val="none"/>
        </w:rPr>
        <w:t xml:space="preserve">3.4.2  </w:t>
      </w:r>
      <w:r>
        <w:rPr>
          <w:rFonts w:hint="eastAsia" w:hAnsi="宋体"/>
          <w:color w:val="auto"/>
          <w:szCs w:val="24"/>
          <w:highlight w:val="none"/>
        </w:rPr>
        <w:t>卫生保洁：全公园范围保洁（除公园厕所外），街区绿化规定范围内的保洁。</w:t>
      </w:r>
    </w:p>
    <w:p>
      <w:pPr>
        <w:ind w:firstLine="240" w:firstLineChars="100"/>
        <w:rPr>
          <w:rFonts w:hAnsi="宋体"/>
          <w:color w:val="auto"/>
          <w:szCs w:val="24"/>
          <w:highlight w:val="none"/>
        </w:rPr>
      </w:pPr>
      <w:r>
        <w:rPr>
          <w:rFonts w:hAnsi="宋体"/>
          <w:color w:val="auto"/>
          <w:szCs w:val="24"/>
          <w:highlight w:val="none"/>
        </w:rPr>
        <w:t xml:space="preserve"> 3.4.</w:t>
      </w:r>
      <w:r>
        <w:rPr>
          <w:rFonts w:hint="eastAsia" w:hAnsi="宋体"/>
          <w:color w:val="auto"/>
          <w:szCs w:val="24"/>
          <w:highlight w:val="none"/>
        </w:rPr>
        <w:t>3按业主要求，采购花卉苗木，并按规定种植和布置，中标单位须进行公园花坛、花境专项设计，报采购方同意后，方可进行公园花坛、花境布置。公园须参加市、区公园管理部门组织的花坛、花境评比，按照参评要求做好设计方案和花卉布置，并获得较好名次：</w:t>
      </w:r>
    </w:p>
    <w:p>
      <w:pPr>
        <w:ind w:firstLine="360" w:firstLineChars="150"/>
        <w:rPr>
          <w:rFonts w:hAnsi="宋体"/>
          <w:color w:val="auto"/>
          <w:szCs w:val="24"/>
          <w:highlight w:val="none"/>
        </w:rPr>
      </w:pPr>
      <w:r>
        <w:rPr>
          <w:rFonts w:hint="eastAsia" w:hAnsi="宋体"/>
          <w:color w:val="auto"/>
          <w:szCs w:val="24"/>
          <w:highlight w:val="none"/>
        </w:rPr>
        <w:t>花坛、花境需按照要求提供设计方案并按照设计方案完成种植和养护。</w:t>
      </w:r>
    </w:p>
    <w:p>
      <w:pPr>
        <w:ind w:firstLine="360" w:firstLineChars="150"/>
        <w:rPr>
          <w:rFonts w:hAnsi="宋体"/>
          <w:color w:val="auto"/>
          <w:szCs w:val="24"/>
          <w:highlight w:val="none"/>
        </w:rPr>
      </w:pPr>
      <w:r>
        <w:rPr>
          <w:rFonts w:hAnsi="宋体"/>
          <w:color w:val="auto"/>
          <w:szCs w:val="24"/>
          <w:highlight w:val="none"/>
        </w:rPr>
        <w:t>3.4.</w:t>
      </w:r>
      <w:r>
        <w:rPr>
          <w:rFonts w:hint="eastAsia" w:hAnsi="宋体"/>
          <w:color w:val="auto"/>
          <w:szCs w:val="24"/>
          <w:highlight w:val="none"/>
        </w:rPr>
        <w:t>4为营造公园内各节假日及各类公益宣传氛围，中标单位应按照业主指令，在养护公园内安装灯杆迎风旗，时间为：</w:t>
      </w:r>
      <w:r>
        <w:rPr>
          <w:rFonts w:hint="eastAsia" w:hAnsi="宋体"/>
          <w:color w:val="auto"/>
          <w:szCs w:val="24"/>
          <w:highlight w:val="none"/>
        </w:rPr>
        <w:t>元旦、春节、五一、迎十一、迎创城宣传、机动1次，共6次</w:t>
      </w:r>
      <w:r>
        <w:rPr>
          <w:rFonts w:hint="eastAsia" w:hAnsi="宋体"/>
          <w:color w:val="auto"/>
          <w:szCs w:val="24"/>
          <w:highlight w:val="none"/>
        </w:rPr>
        <w:t>。迎风旗安装数量合计每次不少于50对。迎风旗图案由中标单位设计，报业主确定同意后实施。</w:t>
      </w:r>
      <w:r>
        <w:rPr>
          <w:rFonts w:hint="eastAsia" w:hAnsi="宋体"/>
          <w:color w:val="auto"/>
          <w:szCs w:val="24"/>
          <w:highlight w:val="none"/>
        </w:rPr>
        <w:t>为保证沿街面绿化景观效果，中标单位应根据区绿化中心工作要求,制定“元旦”“春节”“五一”“七一”、“十一”“进博会”等花卉容器及景点布置方案，完成花卉布置及绿化景点布置工作</w:t>
      </w:r>
      <w:r>
        <w:rPr>
          <w:rFonts w:hint="eastAsia" w:hAnsi="宋体"/>
          <w:color w:val="auto"/>
          <w:szCs w:val="24"/>
          <w:highlight w:val="none"/>
        </w:rPr>
        <w:t>。</w:t>
      </w:r>
    </w:p>
    <w:p>
      <w:pPr>
        <w:ind w:firstLine="360" w:firstLineChars="150"/>
        <w:rPr>
          <w:rFonts w:hAnsi="宋体"/>
          <w:color w:val="auto"/>
          <w:szCs w:val="24"/>
          <w:highlight w:val="none"/>
        </w:rPr>
      </w:pPr>
      <w:r>
        <w:rPr>
          <w:rFonts w:hAnsi="宋体"/>
          <w:color w:val="auto"/>
          <w:szCs w:val="24"/>
          <w:highlight w:val="none"/>
        </w:rPr>
        <w:t>3.4.</w:t>
      </w:r>
      <w:r>
        <w:rPr>
          <w:rFonts w:hint="eastAsia" w:hAnsi="宋体"/>
          <w:color w:val="auto"/>
          <w:szCs w:val="24"/>
          <w:highlight w:val="none"/>
        </w:rPr>
        <w:t>5本招标项目不包括苗木因大幅度调整而发生的挖掘、移植等作业内容；因节日或特殊需要而发生的新增苗木、花卉等的材料费用和栽植人工费。但局部的苗木调整费用由中标单位负责。</w:t>
      </w:r>
    </w:p>
    <w:p>
      <w:pPr>
        <w:ind w:firstLine="360" w:firstLineChars="150"/>
        <w:rPr>
          <w:rFonts w:hAnsi="宋体"/>
          <w:color w:val="auto"/>
          <w:szCs w:val="24"/>
          <w:highlight w:val="none"/>
        </w:rPr>
      </w:pPr>
      <w:r>
        <w:rPr>
          <w:rFonts w:hAnsi="宋体"/>
          <w:color w:val="auto"/>
          <w:szCs w:val="24"/>
          <w:highlight w:val="none"/>
        </w:rPr>
        <w:t>3.4.</w:t>
      </w:r>
      <w:r>
        <w:rPr>
          <w:rFonts w:hint="eastAsia" w:hAnsi="宋体"/>
          <w:color w:val="auto"/>
          <w:szCs w:val="24"/>
          <w:highlight w:val="none"/>
        </w:rPr>
        <w:t>6如发生以上不包含在承包内容和范围内的情况，需征得业主同意，按《上海市园林工程预算定额》有关规定或双方协商、合同确定，另列清单，按实计算。</w:t>
      </w:r>
    </w:p>
    <w:p>
      <w:pPr>
        <w:ind w:firstLine="360" w:firstLineChars="150"/>
        <w:rPr>
          <w:rFonts w:hAnsi="宋体"/>
          <w:color w:val="auto"/>
          <w:szCs w:val="24"/>
          <w:highlight w:val="none"/>
        </w:rPr>
      </w:pPr>
      <w:r>
        <w:rPr>
          <w:rFonts w:hAnsi="宋体"/>
          <w:color w:val="auto"/>
          <w:szCs w:val="24"/>
          <w:highlight w:val="none"/>
        </w:rPr>
        <w:t>3.4.</w:t>
      </w:r>
      <w:r>
        <w:rPr>
          <w:rFonts w:hint="eastAsia" w:hAnsi="宋体"/>
          <w:color w:val="auto"/>
          <w:szCs w:val="24"/>
          <w:highlight w:val="none"/>
        </w:rPr>
        <w:t>7中标单位因养护管理不善造成绿地内各类苗木的死亡（包括人为践踏造成的）和道路等设施损坏，均由中标单位负责补缺和修缮。</w:t>
      </w:r>
    </w:p>
    <w:p>
      <w:pPr>
        <w:adjustRightInd w:val="0"/>
        <w:snapToGrid w:val="0"/>
        <w:ind w:firstLine="352" w:firstLineChars="147"/>
        <w:rPr>
          <w:rFonts w:hAnsi="宋体"/>
          <w:color w:val="auto"/>
          <w:szCs w:val="24"/>
          <w:highlight w:val="none"/>
        </w:rPr>
      </w:pPr>
      <w:r>
        <w:rPr>
          <w:rFonts w:hAnsi="宋体"/>
          <w:color w:val="auto"/>
          <w:szCs w:val="24"/>
          <w:highlight w:val="none"/>
        </w:rPr>
        <w:t>3.4.</w:t>
      </w:r>
      <w:r>
        <w:rPr>
          <w:rFonts w:hint="eastAsia" w:hAnsi="宋体"/>
          <w:color w:val="auto"/>
          <w:szCs w:val="24"/>
          <w:highlight w:val="none"/>
        </w:rPr>
        <w:t>8园林废弃物的收集利用</w:t>
      </w:r>
    </w:p>
    <w:p>
      <w:pPr>
        <w:ind w:firstLine="360" w:firstLineChars="150"/>
        <w:rPr>
          <w:rFonts w:hAnsi="宋体"/>
          <w:color w:val="auto"/>
          <w:szCs w:val="24"/>
          <w:highlight w:val="none"/>
        </w:rPr>
      </w:pPr>
      <w:r>
        <w:rPr>
          <w:rFonts w:hint="eastAsia" w:hAnsi="宋体"/>
          <w:color w:val="auto"/>
          <w:szCs w:val="24"/>
          <w:highlight w:val="none"/>
        </w:rPr>
        <w:t>中标单位应建立垃圾分类、整理和回收利用机制，提倡再生物资的生产、利用；中标单位应对公园绿地修剪后的</w:t>
      </w:r>
      <w:r>
        <w:rPr>
          <w:rFonts w:hint="eastAsia" w:hAnsi="宋体"/>
          <w:color w:val="auto"/>
          <w:szCs w:val="24"/>
          <w:highlight w:val="none"/>
        </w:rPr>
        <w:t>园林废弃物资源化利用，</w:t>
      </w:r>
      <w:r>
        <w:rPr>
          <w:rFonts w:hint="eastAsia" w:hAnsi="宋体"/>
          <w:color w:val="auto"/>
          <w:szCs w:val="24"/>
          <w:highlight w:val="none"/>
        </w:rPr>
        <w:t>严禁私自焚烧、填埋。</w:t>
      </w:r>
    </w:p>
    <w:p>
      <w:pPr>
        <w:ind w:firstLine="360" w:firstLineChars="150"/>
        <w:rPr>
          <w:rFonts w:hAnsi="宋体"/>
          <w:color w:val="auto"/>
          <w:szCs w:val="24"/>
          <w:highlight w:val="none"/>
        </w:rPr>
      </w:pPr>
      <w:r>
        <w:rPr>
          <w:rFonts w:hAnsi="宋体"/>
          <w:color w:val="auto"/>
          <w:szCs w:val="24"/>
          <w:highlight w:val="none"/>
        </w:rPr>
        <w:t>3.4.</w:t>
      </w:r>
      <w:r>
        <w:rPr>
          <w:rFonts w:hint="eastAsia" w:hAnsi="宋体"/>
          <w:color w:val="auto"/>
          <w:szCs w:val="24"/>
          <w:highlight w:val="none"/>
        </w:rPr>
        <w:t>9防台防汛和突发安全事件的处置</w:t>
      </w:r>
    </w:p>
    <w:p>
      <w:pPr>
        <w:ind w:firstLine="360" w:firstLineChars="150"/>
        <w:rPr>
          <w:rFonts w:hAnsi="宋体"/>
          <w:color w:val="auto"/>
          <w:szCs w:val="24"/>
          <w:highlight w:val="none"/>
        </w:rPr>
      </w:pPr>
      <w:r>
        <w:rPr>
          <w:rFonts w:hint="eastAsia" w:hAnsi="宋体"/>
          <w:color w:val="auto"/>
          <w:szCs w:val="24"/>
          <w:highlight w:val="none"/>
        </w:rPr>
        <w:t>中标单位应编制防台防汛和突发安全事件的处置预案，</w:t>
      </w:r>
      <w:r>
        <w:rPr>
          <w:rFonts w:hint="eastAsia" w:hAnsi="宋体"/>
          <w:color w:val="auto"/>
          <w:szCs w:val="24"/>
          <w:highlight w:val="none"/>
        </w:rPr>
        <w:t>并成立专业抢险队，</w:t>
      </w:r>
      <w:r>
        <w:rPr>
          <w:rFonts w:hint="eastAsia" w:hAnsi="宋体"/>
          <w:color w:val="auto"/>
          <w:szCs w:val="24"/>
          <w:highlight w:val="none"/>
        </w:rPr>
        <w:t>落实保证相应的抢险人力及抢险物资、设备储备。防台防汛和突发安全事件发生后，</w:t>
      </w:r>
      <w:r>
        <w:rPr>
          <w:rFonts w:hint="eastAsia" w:hAnsi="宋体"/>
          <w:color w:val="auto"/>
          <w:szCs w:val="24"/>
          <w:highlight w:val="none"/>
        </w:rPr>
        <w:t>抢险人员必须及时赶到现场进行抢险处理并及时做出回复，</w:t>
      </w:r>
      <w:r>
        <w:rPr>
          <w:rFonts w:hint="eastAsia" w:hAnsi="宋体"/>
          <w:color w:val="auto"/>
          <w:szCs w:val="24"/>
          <w:highlight w:val="none"/>
        </w:rPr>
        <w:t>中标单位承担相应的职责和全区公共和社会绿化的应急抢险兜底任务</w:t>
      </w:r>
      <w:r>
        <w:rPr>
          <w:rFonts w:hint="eastAsia" w:hAnsi="宋体"/>
          <w:color w:val="auto"/>
          <w:szCs w:val="24"/>
          <w:highlight w:val="none"/>
        </w:rPr>
        <w:t>，根据区绿化中心要求，配合做好全区绿化应急保障工作</w:t>
      </w:r>
      <w:r>
        <w:rPr>
          <w:rFonts w:hint="eastAsia" w:hAnsi="宋体"/>
          <w:color w:val="auto"/>
          <w:szCs w:val="24"/>
          <w:highlight w:val="none"/>
        </w:rPr>
        <w:t>。</w:t>
      </w:r>
    </w:p>
    <w:p>
      <w:pPr>
        <w:ind w:firstLine="360" w:firstLineChars="150"/>
        <w:rPr>
          <w:rFonts w:hAnsi="宋体"/>
          <w:color w:val="auto"/>
          <w:szCs w:val="24"/>
          <w:highlight w:val="none"/>
        </w:rPr>
      </w:pPr>
      <w:r>
        <w:rPr>
          <w:rFonts w:hint="eastAsia" w:hAnsi="宋体"/>
          <w:color w:val="auto"/>
          <w:szCs w:val="24"/>
          <w:highlight w:val="none"/>
        </w:rPr>
        <w:t>3.4.10 中标单位应指定专人负责“12345”、网格化平台等渠道的投诉，根据规定及时处置回复。</w:t>
      </w:r>
    </w:p>
    <w:p>
      <w:pPr>
        <w:ind w:firstLine="360" w:firstLineChars="150"/>
        <w:rPr>
          <w:rFonts w:hAnsi="宋体"/>
          <w:color w:val="auto"/>
          <w:szCs w:val="24"/>
          <w:highlight w:val="none"/>
        </w:rPr>
      </w:pPr>
      <w:r>
        <w:rPr>
          <w:rFonts w:hint="eastAsia" w:hAnsi="宋体"/>
          <w:color w:val="auto"/>
          <w:szCs w:val="24"/>
          <w:highlight w:val="none"/>
        </w:rPr>
        <w:t>3.4.11 中标单位应指定专职负责养护范围内的行道树、桥荫、街区绿化、花卉容器等进行巡查，全部的养护元素均应做到日巡查，并建立内部智能管理系统，记录巡查日志和作业日志。</w:t>
      </w:r>
    </w:p>
    <w:p>
      <w:pPr>
        <w:ind w:firstLine="360" w:firstLineChars="150"/>
        <w:rPr>
          <w:rFonts w:hAnsi="宋体"/>
          <w:color w:val="auto"/>
          <w:szCs w:val="24"/>
          <w:highlight w:val="none"/>
        </w:rPr>
      </w:pPr>
      <w:r>
        <w:rPr>
          <w:rFonts w:hAnsi="宋体"/>
          <w:color w:val="auto"/>
          <w:szCs w:val="24"/>
          <w:highlight w:val="none"/>
        </w:rPr>
        <w:t xml:space="preserve">3.5  </w:t>
      </w:r>
      <w:r>
        <w:rPr>
          <w:rFonts w:hint="eastAsia" w:hAnsi="宋体"/>
          <w:color w:val="auto"/>
          <w:szCs w:val="24"/>
          <w:highlight w:val="none"/>
        </w:rPr>
        <w:t>服务期限和方式</w:t>
      </w:r>
    </w:p>
    <w:p>
      <w:pPr>
        <w:ind w:firstLine="360" w:firstLineChars="150"/>
        <w:rPr>
          <w:rFonts w:hAnsi="宋体"/>
          <w:color w:val="auto"/>
          <w:szCs w:val="24"/>
          <w:highlight w:val="none"/>
        </w:rPr>
      </w:pPr>
      <w:r>
        <w:rPr>
          <w:rFonts w:hAnsi="宋体"/>
          <w:color w:val="auto"/>
          <w:szCs w:val="24"/>
          <w:highlight w:val="none"/>
        </w:rPr>
        <w:t xml:space="preserve">3.5.1  </w:t>
      </w:r>
      <w:r>
        <w:rPr>
          <w:rFonts w:hint="eastAsia" w:hAnsi="宋体"/>
          <w:color w:val="auto"/>
          <w:szCs w:val="24"/>
          <w:highlight w:val="none"/>
        </w:rPr>
        <w:t>中兴公园服务期限为自</w:t>
      </w:r>
      <w:r>
        <w:rPr>
          <w:rFonts w:hint="eastAsia" w:hAnsi="宋体"/>
          <w:color w:val="auto"/>
          <w:szCs w:val="24"/>
          <w:highlight w:val="none"/>
          <w:u w:val="single"/>
        </w:rPr>
        <w:t>合同签订之日起至2024年12月</w:t>
      </w:r>
      <w:r>
        <w:rPr>
          <w:rFonts w:hint="eastAsia" w:hAnsi="宋体"/>
          <w:color w:val="auto"/>
          <w:szCs w:val="24"/>
          <w:highlight w:val="none"/>
        </w:rPr>
        <w:t>，</w:t>
      </w:r>
      <w:r>
        <w:rPr>
          <w:rFonts w:hint="eastAsia" w:hAnsi="宋体"/>
          <w:color w:val="auto"/>
          <w:szCs w:val="24"/>
          <w:highlight w:val="none"/>
        </w:rPr>
        <w:t>宝山路街道绿化养护期限为2024年2月至2024年12月</w:t>
      </w:r>
      <w:r>
        <w:rPr>
          <w:rFonts w:hint="eastAsia" w:hAnsi="宋体"/>
          <w:color w:val="auto"/>
          <w:szCs w:val="24"/>
          <w:highlight w:val="none"/>
        </w:rPr>
        <w:t>。</w:t>
      </w:r>
    </w:p>
    <w:p>
      <w:pPr>
        <w:ind w:firstLine="360" w:firstLineChars="150"/>
        <w:rPr>
          <w:rFonts w:hAnsi="宋体"/>
          <w:color w:val="auto"/>
          <w:szCs w:val="24"/>
          <w:highlight w:val="none"/>
        </w:rPr>
      </w:pPr>
      <w:r>
        <w:rPr>
          <w:rFonts w:hAnsi="宋体"/>
          <w:color w:val="auto"/>
          <w:szCs w:val="24"/>
          <w:highlight w:val="none"/>
        </w:rPr>
        <w:t xml:space="preserve">3.5.2  </w:t>
      </w:r>
      <w:r>
        <w:rPr>
          <w:rFonts w:hint="eastAsia" w:hAnsi="宋体"/>
          <w:color w:val="auto"/>
          <w:szCs w:val="24"/>
          <w:highlight w:val="none"/>
        </w:rPr>
        <w:t>服务方式：采用包工包料方式。</w:t>
      </w:r>
    </w:p>
    <w:p>
      <w:pPr>
        <w:ind w:firstLine="360" w:firstLineChars="150"/>
        <w:rPr>
          <w:rFonts w:hint="eastAsia" w:hAnsi="宋体"/>
          <w:color w:val="auto"/>
          <w:szCs w:val="24"/>
          <w:highlight w:val="none"/>
        </w:rPr>
      </w:pPr>
      <w:r>
        <w:rPr>
          <w:rFonts w:hint="eastAsia" w:hAnsi="宋体"/>
          <w:color w:val="auto"/>
          <w:szCs w:val="24"/>
          <w:highlight w:val="none"/>
        </w:rPr>
        <w:t>3.5.3  支付方式：</w:t>
      </w:r>
    </w:p>
    <w:p>
      <w:pPr>
        <w:ind w:firstLine="360" w:firstLineChars="150"/>
        <w:rPr>
          <w:rFonts w:hint="eastAsia" w:hAnsi="宋体"/>
          <w:color w:val="auto"/>
          <w:szCs w:val="24"/>
          <w:highlight w:val="none"/>
        </w:rPr>
      </w:pPr>
      <w:r>
        <w:rPr>
          <w:rFonts w:hint="eastAsia" w:hAnsi="宋体"/>
          <w:color w:val="auto"/>
          <w:szCs w:val="24"/>
          <w:highlight w:val="none"/>
        </w:rPr>
        <w:t>财政直拨，按每季度养护进度支付。</w:t>
      </w:r>
    </w:p>
    <w:p>
      <w:pPr>
        <w:ind w:firstLine="360" w:firstLineChars="150"/>
        <w:rPr>
          <w:rFonts w:hAnsi="宋体"/>
          <w:color w:val="auto"/>
          <w:szCs w:val="24"/>
          <w:highlight w:val="none"/>
        </w:rPr>
      </w:pPr>
      <w:r>
        <w:rPr>
          <w:rFonts w:hAnsi="宋体"/>
          <w:color w:val="auto"/>
          <w:szCs w:val="24"/>
          <w:highlight w:val="none"/>
        </w:rPr>
        <w:t>本包件养护款的支付与养护质量挂钩。采购人按照“科室考评与第三方考评相结合，养护管理考评与重点工作考评相结合”的原则，对绿化养护单位的养护工作进行综合考核。</w:t>
      </w:r>
      <w:r>
        <w:rPr>
          <w:rFonts w:hint="eastAsia" w:hAnsi="宋体"/>
          <w:color w:val="auto"/>
          <w:szCs w:val="24"/>
          <w:highlight w:val="none"/>
        </w:rPr>
        <w:t>公园</w:t>
      </w:r>
      <w:r>
        <w:rPr>
          <w:rFonts w:hAnsi="宋体"/>
          <w:color w:val="auto"/>
          <w:szCs w:val="24"/>
          <w:highlight w:val="none"/>
        </w:rPr>
        <w:t>以综合考核评分</w:t>
      </w:r>
      <w:r>
        <w:rPr>
          <w:rFonts w:hint="eastAsia" w:hAnsi="宋体"/>
          <w:color w:val="auto"/>
          <w:szCs w:val="24"/>
          <w:highlight w:val="none"/>
        </w:rPr>
        <w:t>85</w:t>
      </w:r>
      <w:r>
        <w:rPr>
          <w:rFonts w:hAnsi="宋体"/>
          <w:color w:val="auto"/>
          <w:szCs w:val="24"/>
          <w:highlight w:val="none"/>
        </w:rPr>
        <w:t>分作为养护费发放基准分，</w:t>
      </w:r>
      <w:r>
        <w:rPr>
          <w:rFonts w:hint="eastAsia" w:hAnsi="宋体"/>
          <w:color w:val="auto"/>
          <w:szCs w:val="24"/>
          <w:highlight w:val="none"/>
        </w:rPr>
        <w:t>街区绿化</w:t>
      </w:r>
      <w:r>
        <w:rPr>
          <w:rFonts w:hAnsi="宋体"/>
          <w:color w:val="auto"/>
          <w:szCs w:val="24"/>
          <w:highlight w:val="none"/>
        </w:rPr>
        <w:t>以综合考核评分</w:t>
      </w:r>
      <w:r>
        <w:rPr>
          <w:rFonts w:hint="eastAsia" w:hAnsi="宋体"/>
          <w:color w:val="auto"/>
          <w:szCs w:val="24"/>
          <w:highlight w:val="none"/>
        </w:rPr>
        <w:t>80</w:t>
      </w:r>
      <w:r>
        <w:rPr>
          <w:rFonts w:hAnsi="宋体"/>
          <w:color w:val="auto"/>
          <w:szCs w:val="24"/>
          <w:highlight w:val="none"/>
        </w:rPr>
        <w:t>分作为养护费发放基准分</w:t>
      </w:r>
      <w:r>
        <w:rPr>
          <w:rFonts w:hint="eastAsia" w:hAnsi="宋体"/>
          <w:color w:val="auto"/>
          <w:szCs w:val="24"/>
          <w:highlight w:val="none"/>
        </w:rPr>
        <w:t>，</w:t>
      </w:r>
      <w:r>
        <w:rPr>
          <w:rFonts w:hAnsi="宋体"/>
          <w:color w:val="auto"/>
          <w:szCs w:val="24"/>
          <w:highlight w:val="none"/>
        </w:rPr>
        <w:t>每季度支付一次养护经费。</w:t>
      </w:r>
      <w:r>
        <w:rPr>
          <w:rFonts w:hint="eastAsia" w:hAnsi="宋体"/>
          <w:color w:val="auto"/>
          <w:szCs w:val="24"/>
          <w:highlight w:val="none"/>
        </w:rPr>
        <w:t>综合评分不满基准分的，每低1分，扣除当季度养护费的1个百分点。绿化养护工作受到市、区领导批评、媒体曝光，经查确为养护单位原因造成的，根据事件负面影响程度，扣除本季度养护费5-10万元。</w:t>
      </w:r>
    </w:p>
    <w:p>
      <w:pPr>
        <w:ind w:firstLine="360" w:firstLineChars="150"/>
        <w:rPr>
          <w:rFonts w:hAnsi="宋体"/>
          <w:color w:val="auto"/>
          <w:szCs w:val="24"/>
          <w:highlight w:val="none"/>
        </w:rPr>
      </w:pPr>
      <w:r>
        <w:rPr>
          <w:rFonts w:hAnsi="宋体"/>
          <w:color w:val="auto"/>
          <w:szCs w:val="24"/>
          <w:highlight w:val="none"/>
        </w:rPr>
        <w:t>本包件内花卉布置费用根据投标的综合单价按实结算，采购人委托财务监理单位对本包件内花卉布置的费用进行审核,并出具每季度的花卉布置项目投资监理报告，中标单位按投标清单完成花卉布置工作的，前三季度花卉布置按照投标费用按季度支付。11月底，财务监理单位出具全年花卉布置项目投资监理报告，如果花卉结算核定总价低于花卉投标总价的，按照核定总价支付余款；如果花卉结算核定总价高于花卉投标总价，最终按照投标总价支付余款。</w:t>
      </w:r>
    </w:p>
    <w:p>
      <w:pPr>
        <w:adjustRightInd w:val="0"/>
        <w:snapToGrid w:val="0"/>
        <w:ind w:firstLine="480" w:firstLineChars="200"/>
        <w:rPr>
          <w:rFonts w:hAnsi="宋体"/>
          <w:color w:val="auto"/>
          <w:szCs w:val="24"/>
          <w:highlight w:val="none"/>
        </w:rPr>
      </w:pPr>
      <w:r>
        <w:rPr>
          <w:rFonts w:hint="eastAsia" w:hAnsi="宋体"/>
          <w:color w:val="auto"/>
          <w:szCs w:val="24"/>
          <w:highlight w:val="none"/>
        </w:rPr>
        <w:t>中标单位对养护区域内的古树名木和古树后续资源进行专项养护，如因养护不到位造成古树名木或古树后续资源死亡的，扣除当年养护费用30万元；因养护不到位造成古树名木或古树后续资源濒危的，扣除当年养护费用10万元；因养护不到位造成古树名木或古树后续资源衰弱的，扣除当年养护费用5万元；因未对古树名木或古树后续资源开展病虫害防治、树洞修补、枯（断）枝修剪等工作影响古树名木或古树后续资源健康生长的，每一项扣除当年养护费用2万元。</w:t>
      </w:r>
    </w:p>
    <w:p>
      <w:pPr>
        <w:ind w:firstLine="360" w:firstLineChars="150"/>
        <w:rPr>
          <w:rFonts w:hAnsi="宋体"/>
          <w:color w:val="auto"/>
          <w:szCs w:val="24"/>
          <w:highlight w:val="none"/>
        </w:rPr>
      </w:pPr>
      <w:r>
        <w:rPr>
          <w:rFonts w:hAnsi="宋体"/>
          <w:color w:val="auto"/>
          <w:szCs w:val="24"/>
          <w:highlight w:val="none"/>
        </w:rPr>
        <w:t>花卉投标综合单价时应附具体费用组成明细。模板参考如下：</w:t>
      </w:r>
    </w:p>
    <w:tbl>
      <w:tblPr>
        <w:tblStyle w:val="3"/>
        <w:tblW w:w="9087" w:type="dxa"/>
        <w:tblInd w:w="93" w:type="dxa"/>
        <w:tblLayout w:type="fixed"/>
        <w:tblCellMar>
          <w:top w:w="0" w:type="dxa"/>
          <w:left w:w="108" w:type="dxa"/>
          <w:bottom w:w="0" w:type="dxa"/>
          <w:right w:w="108" w:type="dxa"/>
        </w:tblCellMar>
      </w:tblPr>
      <w:tblGrid>
        <w:gridCol w:w="341"/>
        <w:gridCol w:w="341"/>
        <w:gridCol w:w="341"/>
        <w:gridCol w:w="341"/>
        <w:gridCol w:w="392"/>
        <w:gridCol w:w="349"/>
        <w:gridCol w:w="465"/>
        <w:gridCol w:w="1163"/>
        <w:gridCol w:w="1164"/>
        <w:gridCol w:w="1163"/>
        <w:gridCol w:w="1047"/>
        <w:gridCol w:w="988"/>
        <w:gridCol w:w="992"/>
      </w:tblGrid>
      <w:tr>
        <w:tblPrEx>
          <w:tblCellMar>
            <w:top w:w="0" w:type="dxa"/>
            <w:left w:w="108" w:type="dxa"/>
            <w:bottom w:w="0" w:type="dxa"/>
            <w:right w:w="108" w:type="dxa"/>
          </w:tblCellMar>
        </w:tblPrEx>
        <w:trPr>
          <w:trHeight w:val="740" w:hRule="atLeast"/>
        </w:trPr>
        <w:tc>
          <w:tcPr>
            <w:tcW w:w="9087" w:type="dxa"/>
            <w:gridSpan w:val="13"/>
            <w:tcBorders>
              <w:top w:val="nil"/>
              <w:left w:val="nil"/>
              <w:bottom w:val="nil"/>
              <w:right w:val="nil"/>
            </w:tcBorders>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报价模板</w:t>
            </w:r>
          </w:p>
        </w:tc>
      </w:tr>
      <w:tr>
        <w:tblPrEx>
          <w:tblCellMar>
            <w:top w:w="0" w:type="dxa"/>
            <w:left w:w="108" w:type="dxa"/>
            <w:bottom w:w="0" w:type="dxa"/>
            <w:right w:w="108" w:type="dxa"/>
          </w:tblCellMar>
        </w:tblPrEx>
        <w:trPr>
          <w:trHeight w:val="556" w:hRule="atLeast"/>
        </w:trPr>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序号</w:t>
            </w:r>
          </w:p>
        </w:tc>
        <w:tc>
          <w:tcPr>
            <w:tcW w:w="34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养护绿地</w:t>
            </w:r>
          </w:p>
        </w:tc>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种植时间</w:t>
            </w:r>
          </w:p>
        </w:tc>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计划使用品种</w:t>
            </w:r>
          </w:p>
        </w:tc>
        <w:tc>
          <w:tcPr>
            <w:tcW w:w="3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容器规格（CM)</w:t>
            </w:r>
          </w:p>
        </w:tc>
        <w:tc>
          <w:tcPr>
            <w:tcW w:w="3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花卉颜色</w:t>
            </w: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计划种植数量（株）</w:t>
            </w:r>
          </w:p>
        </w:tc>
        <w:tc>
          <w:tcPr>
            <w:tcW w:w="1163" w:type="dxa"/>
            <w:tcBorders>
              <w:top w:val="single" w:color="auto" w:sz="4" w:space="0"/>
              <w:left w:val="nil"/>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花卉费</w:t>
            </w:r>
            <w:r>
              <w:rPr>
                <w:color w:val="auto"/>
                <w:highlight w:val="none"/>
              </w:rPr>
              <w:br w:type="textWrapping"/>
            </w:r>
            <w:r>
              <w:rPr>
                <w:rFonts w:hint="eastAsia" w:hAnsi="宋体" w:cs="宋体"/>
                <w:color w:val="auto"/>
                <w:kern w:val="0"/>
                <w:sz w:val="20"/>
                <w:szCs w:val="20"/>
                <w:highlight w:val="none"/>
              </w:rPr>
              <w:t>（元）</w:t>
            </w:r>
          </w:p>
        </w:tc>
        <w:tc>
          <w:tcPr>
            <w:tcW w:w="1164" w:type="dxa"/>
            <w:tcBorders>
              <w:top w:val="single" w:color="auto" w:sz="4" w:space="0"/>
              <w:left w:val="nil"/>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人工费(元）</w:t>
            </w:r>
          </w:p>
        </w:tc>
        <w:tc>
          <w:tcPr>
            <w:tcW w:w="1163" w:type="dxa"/>
            <w:tcBorders>
              <w:top w:val="single" w:color="auto" w:sz="4" w:space="0"/>
              <w:left w:val="nil"/>
              <w:bottom w:val="single" w:color="auto" w:sz="4" w:space="0"/>
              <w:right w:val="nil"/>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利润(元）</w:t>
            </w:r>
          </w:p>
        </w:tc>
        <w:tc>
          <w:tcPr>
            <w:tcW w:w="1047" w:type="dxa"/>
            <w:tcBorders>
              <w:top w:val="single" w:color="auto" w:sz="4" w:space="0"/>
              <w:left w:val="single" w:color="auto" w:sz="4" w:space="0"/>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税金（元）</w:t>
            </w:r>
          </w:p>
        </w:tc>
        <w:tc>
          <w:tcPr>
            <w:tcW w:w="98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综合单价（元）</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投标合价（元）</w:t>
            </w:r>
          </w:p>
        </w:tc>
      </w:tr>
    </w:tbl>
    <w:p>
      <w:pPr>
        <w:ind w:firstLine="360" w:firstLineChars="150"/>
        <w:rPr>
          <w:rFonts w:hAnsi="宋体"/>
          <w:color w:val="auto"/>
          <w:szCs w:val="24"/>
          <w:highlight w:val="none"/>
        </w:rPr>
      </w:pPr>
    </w:p>
    <w:p>
      <w:pPr>
        <w:ind w:firstLine="360" w:firstLineChars="150"/>
        <w:rPr>
          <w:rFonts w:hAnsi="宋体"/>
          <w:color w:val="auto"/>
          <w:szCs w:val="24"/>
          <w:highlight w:val="none"/>
        </w:rPr>
      </w:pPr>
      <w:r>
        <w:rPr>
          <w:rFonts w:hint="eastAsia" w:hAnsi="宋体"/>
          <w:color w:val="auto"/>
          <w:szCs w:val="24"/>
          <w:highlight w:val="none"/>
        </w:rPr>
        <w:t>3.5.5  街区绿化养护机械配置要求：</w:t>
      </w:r>
    </w:p>
    <w:tbl>
      <w:tblPr>
        <w:tblStyle w:val="3"/>
        <w:tblW w:w="9739" w:type="dxa"/>
        <w:tblInd w:w="-108" w:type="dxa"/>
        <w:tblLayout w:type="autofit"/>
        <w:tblCellMar>
          <w:top w:w="0" w:type="dxa"/>
          <w:left w:w="108" w:type="dxa"/>
          <w:bottom w:w="0" w:type="dxa"/>
          <w:right w:w="108" w:type="dxa"/>
        </w:tblCellMar>
      </w:tblPr>
      <w:tblGrid>
        <w:gridCol w:w="2434"/>
        <w:gridCol w:w="2435"/>
        <w:gridCol w:w="2435"/>
        <w:gridCol w:w="307"/>
        <w:gridCol w:w="1067"/>
        <w:gridCol w:w="1061"/>
      </w:tblGrid>
      <w:tr>
        <w:tblPrEx>
          <w:tblCellMar>
            <w:top w:w="0" w:type="dxa"/>
            <w:left w:w="108" w:type="dxa"/>
            <w:bottom w:w="0" w:type="dxa"/>
            <w:right w:w="108" w:type="dxa"/>
          </w:tblCellMar>
        </w:tblPrEx>
        <w:trPr>
          <w:gridAfter w:val="1"/>
          <w:wAfter w:w="860" w:type="dxa"/>
          <w:trHeight w:val="510" w:hRule="atLeast"/>
        </w:trPr>
        <w:tc>
          <w:tcPr>
            <w:tcW w:w="7611" w:type="dxa"/>
            <w:gridSpan w:val="4"/>
            <w:tcBorders>
              <w:top w:val="nil"/>
              <w:left w:val="nil"/>
              <w:bottom w:val="nil"/>
              <w:right w:val="nil"/>
            </w:tcBorders>
            <w:noWrap/>
            <w:vAlign w:val="center"/>
          </w:tcPr>
          <w:p>
            <w:pPr>
              <w:widowControl/>
              <w:jc w:val="center"/>
              <w:textAlignment w:val="center"/>
              <w:rPr>
                <w:rFonts w:hAnsi="宋体" w:cs="宋体"/>
                <w:b/>
                <w:bCs/>
                <w:color w:val="auto"/>
                <w:kern w:val="0"/>
                <w:szCs w:val="24"/>
                <w:highlight w:val="none"/>
              </w:rPr>
            </w:pPr>
            <w:r>
              <w:rPr>
                <w:rFonts w:hint="eastAsia" w:hAnsi="宋体" w:cs="宋体"/>
                <w:b/>
                <w:bCs/>
                <w:color w:val="auto"/>
                <w:kern w:val="0"/>
                <w:szCs w:val="24"/>
                <w:highlight w:val="none"/>
              </w:rPr>
              <w:t>养护机械配置要求</w:t>
            </w:r>
          </w:p>
        </w:tc>
        <w:tc>
          <w:tcPr>
            <w:tcW w:w="1067" w:type="dxa"/>
            <w:tcBorders>
              <w:top w:val="nil"/>
              <w:left w:val="nil"/>
              <w:bottom w:val="nil"/>
              <w:right w:val="nil"/>
            </w:tcBorders>
            <w:noWrap/>
            <w:vAlign w:val="center"/>
          </w:tcPr>
          <w:p>
            <w:pPr>
              <w:rPr>
                <w:rFonts w:hAnsi="宋体" w:cs="宋体"/>
                <w:b/>
                <w:bCs/>
                <w:color w:val="auto"/>
                <w:kern w:val="0"/>
                <w:szCs w:val="24"/>
                <w:highlight w:val="none"/>
              </w:rPr>
            </w:pPr>
          </w:p>
        </w:tc>
      </w:tr>
      <w:tr>
        <w:tblPrEx>
          <w:tblCellMar>
            <w:top w:w="0" w:type="dxa"/>
            <w:left w:w="108" w:type="dxa"/>
            <w:bottom w:w="0" w:type="dxa"/>
            <w:right w:w="108" w:type="dxa"/>
          </w:tblCellMar>
        </w:tblPrEx>
        <w:trPr>
          <w:trHeight w:val="825" w:hRule="atLeast"/>
        </w:trPr>
        <w:tc>
          <w:tcPr>
            <w:tcW w:w="2434"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Ansi="宋体" w:cs="宋体"/>
                <w:b/>
                <w:bCs/>
                <w:color w:val="auto"/>
                <w:kern w:val="0"/>
                <w:szCs w:val="24"/>
                <w:highlight w:val="none"/>
              </w:rPr>
            </w:pPr>
            <w:r>
              <w:rPr>
                <w:rFonts w:hint="eastAsia" w:hAnsi="宋体" w:cs="宋体"/>
                <w:b/>
                <w:bCs/>
                <w:color w:val="auto"/>
                <w:kern w:val="0"/>
                <w:szCs w:val="24"/>
                <w:highlight w:val="none"/>
              </w:rPr>
              <w:t>序号</w:t>
            </w:r>
          </w:p>
        </w:tc>
        <w:tc>
          <w:tcPr>
            <w:tcW w:w="2435"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Ansi="宋体" w:cs="宋体"/>
                <w:b/>
                <w:bCs/>
                <w:color w:val="auto"/>
                <w:kern w:val="0"/>
                <w:szCs w:val="24"/>
                <w:highlight w:val="none"/>
              </w:rPr>
            </w:pPr>
            <w:r>
              <w:rPr>
                <w:rFonts w:hint="eastAsia" w:hAnsi="宋体" w:cs="宋体"/>
                <w:b/>
                <w:bCs/>
                <w:color w:val="auto"/>
                <w:kern w:val="0"/>
                <w:szCs w:val="24"/>
                <w:highlight w:val="none"/>
              </w:rPr>
              <w:t>机械名称</w:t>
            </w:r>
          </w:p>
        </w:tc>
        <w:tc>
          <w:tcPr>
            <w:tcW w:w="2435"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Ansi="宋体" w:cs="宋体"/>
                <w:b/>
                <w:bCs/>
                <w:color w:val="auto"/>
                <w:kern w:val="0"/>
                <w:szCs w:val="24"/>
                <w:highlight w:val="none"/>
              </w:rPr>
            </w:pPr>
            <w:r>
              <w:rPr>
                <w:rFonts w:hint="eastAsia" w:hAnsi="宋体" w:cs="宋体"/>
                <w:b/>
                <w:bCs/>
                <w:color w:val="auto"/>
                <w:kern w:val="0"/>
                <w:szCs w:val="24"/>
                <w:highlight w:val="none"/>
              </w:rPr>
              <w:t>数量</w:t>
            </w:r>
          </w:p>
        </w:tc>
        <w:tc>
          <w:tcPr>
            <w:tcW w:w="2435"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hAnsi="宋体" w:cs="宋体"/>
                <w:b/>
                <w:bCs/>
                <w:color w:val="auto"/>
                <w:kern w:val="0"/>
                <w:szCs w:val="24"/>
                <w:highlight w:val="none"/>
              </w:rPr>
            </w:pPr>
            <w:r>
              <w:rPr>
                <w:rFonts w:hint="eastAsia" w:hAnsi="宋体" w:cs="宋体"/>
                <w:b/>
                <w:bCs/>
                <w:color w:val="auto"/>
                <w:kern w:val="0"/>
                <w:szCs w:val="24"/>
                <w:highlight w:val="none"/>
              </w:rPr>
              <w:t>单位</w:t>
            </w:r>
          </w:p>
        </w:tc>
      </w:tr>
      <w:tr>
        <w:tblPrEx>
          <w:tblCellMar>
            <w:top w:w="0" w:type="dxa"/>
            <w:left w:w="108" w:type="dxa"/>
            <w:bottom w:w="0" w:type="dxa"/>
            <w:right w:w="108" w:type="dxa"/>
          </w:tblCellMar>
        </w:tblPrEx>
        <w:trPr>
          <w:trHeight w:val="58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电动带斗三轮车</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3</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辆</w:t>
            </w:r>
          </w:p>
        </w:tc>
      </w:tr>
      <w:tr>
        <w:tblPrEx>
          <w:tblCellMar>
            <w:top w:w="0" w:type="dxa"/>
            <w:left w:w="108" w:type="dxa"/>
            <w:bottom w:w="0" w:type="dxa"/>
            <w:right w:w="108" w:type="dxa"/>
          </w:tblCellMar>
        </w:tblPrEx>
        <w:trPr>
          <w:trHeight w:val="42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2</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电动洒水车</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辆</w:t>
            </w:r>
          </w:p>
        </w:tc>
      </w:tr>
      <w:tr>
        <w:tblPrEx>
          <w:tblCellMar>
            <w:top w:w="0" w:type="dxa"/>
            <w:left w:w="108" w:type="dxa"/>
            <w:bottom w:w="0" w:type="dxa"/>
            <w:right w:w="108" w:type="dxa"/>
          </w:tblCellMar>
        </w:tblPrEx>
        <w:trPr>
          <w:trHeight w:val="46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3</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油锯</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2</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3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4</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电动绿篱机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3</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57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5</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汽油绿篱机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8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6</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打药机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58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7</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高枝剪</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2</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把</w:t>
            </w:r>
          </w:p>
        </w:tc>
      </w:tr>
      <w:tr>
        <w:tblPrEx>
          <w:tblCellMar>
            <w:top w:w="0" w:type="dxa"/>
            <w:left w:w="108" w:type="dxa"/>
            <w:bottom w:w="0" w:type="dxa"/>
            <w:right w:w="108" w:type="dxa"/>
          </w:tblCellMar>
        </w:tblPrEx>
        <w:trPr>
          <w:trHeight w:val="58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8</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3吨卡车</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辆</w:t>
            </w:r>
          </w:p>
        </w:tc>
      </w:tr>
      <w:tr>
        <w:tblPrEx>
          <w:tblCellMar>
            <w:top w:w="0" w:type="dxa"/>
            <w:left w:w="108" w:type="dxa"/>
            <w:bottom w:w="0" w:type="dxa"/>
            <w:right w:w="108" w:type="dxa"/>
          </w:tblCellMar>
        </w:tblPrEx>
        <w:trPr>
          <w:trHeight w:val="52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9</w:t>
            </w:r>
          </w:p>
        </w:tc>
        <w:tc>
          <w:tcPr>
            <w:tcW w:w="2435" w:type="dxa"/>
            <w:tcBorders>
              <w:top w:val="nil"/>
              <w:left w:val="nil"/>
              <w:bottom w:val="single" w:color="auto" w:sz="8" w:space="0"/>
              <w:right w:val="single" w:color="auto" w:sz="8" w:space="0"/>
            </w:tcBorders>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汽油抽水泵</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51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10</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草坪机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6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11</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割灌机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65"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12</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粉碎机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2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13</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吹风机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42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14</w:t>
            </w:r>
          </w:p>
        </w:tc>
        <w:tc>
          <w:tcPr>
            <w:tcW w:w="2435" w:type="dxa"/>
            <w:tcBorders>
              <w:top w:val="nil"/>
              <w:left w:val="nil"/>
              <w:bottom w:val="single" w:color="auto" w:sz="8" w:space="0"/>
              <w:right w:val="single" w:color="auto" w:sz="8" w:space="0"/>
            </w:tcBorders>
            <w:vAlign w:val="center"/>
          </w:tcPr>
          <w:p>
            <w:pPr>
              <w:widowControl/>
              <w:jc w:val="center"/>
              <w:textAlignment w:val="bottom"/>
              <w:rPr>
                <w:rFonts w:hAnsi="宋体" w:cs="宋体"/>
                <w:color w:val="auto"/>
                <w:kern w:val="0"/>
                <w:szCs w:val="24"/>
                <w:highlight w:val="none"/>
              </w:rPr>
            </w:pPr>
            <w:r>
              <w:rPr>
                <w:rFonts w:hint="eastAsia" w:hAnsi="宋体" w:cs="宋体"/>
                <w:color w:val="auto"/>
                <w:kern w:val="0"/>
                <w:szCs w:val="24"/>
                <w:highlight w:val="none"/>
              </w:rPr>
              <w:t>汽油翻耕机</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r>
        <w:tblPrEx>
          <w:tblCellMar>
            <w:top w:w="0" w:type="dxa"/>
            <w:left w:w="108" w:type="dxa"/>
            <w:bottom w:w="0" w:type="dxa"/>
            <w:right w:w="108" w:type="dxa"/>
          </w:tblCellMar>
        </w:tblPrEx>
        <w:trPr>
          <w:trHeight w:val="620" w:hRule="atLeast"/>
        </w:trPr>
        <w:tc>
          <w:tcPr>
            <w:tcW w:w="2434"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15</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电动抽水泵</w:t>
            </w:r>
          </w:p>
        </w:tc>
        <w:tc>
          <w:tcPr>
            <w:tcW w:w="2435" w:type="dxa"/>
            <w:tcBorders>
              <w:top w:val="nil"/>
              <w:left w:val="nil"/>
              <w:bottom w:val="single" w:color="auto" w:sz="8" w:space="0"/>
              <w:right w:val="single" w:color="auto" w:sz="8" w:space="0"/>
            </w:tcBorders>
            <w:vAlign w:val="center"/>
          </w:tcPr>
          <w:p>
            <w:pPr>
              <w:widowControl/>
              <w:jc w:val="center"/>
              <w:textAlignment w:val="top"/>
              <w:rPr>
                <w:rFonts w:hAnsi="宋体" w:cs="宋体"/>
                <w:color w:val="auto"/>
                <w:kern w:val="0"/>
                <w:szCs w:val="24"/>
                <w:highlight w:val="none"/>
              </w:rPr>
            </w:pPr>
            <w:r>
              <w:rPr>
                <w:rFonts w:hint="eastAsia" w:hAnsi="宋体" w:cs="宋体"/>
                <w:color w:val="auto"/>
                <w:kern w:val="0"/>
                <w:szCs w:val="24"/>
                <w:highlight w:val="none"/>
              </w:rPr>
              <w:t>1</w:t>
            </w:r>
          </w:p>
        </w:tc>
        <w:tc>
          <w:tcPr>
            <w:tcW w:w="2435" w:type="dxa"/>
            <w:gridSpan w:val="3"/>
            <w:tcBorders>
              <w:top w:val="nil"/>
              <w:left w:val="nil"/>
              <w:bottom w:val="single" w:color="000000" w:sz="8" w:space="0"/>
              <w:right w:val="single" w:color="000000" w:sz="8" w:space="0"/>
            </w:tcBorders>
            <w:noWrap/>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台</w:t>
            </w:r>
          </w:p>
        </w:tc>
      </w:tr>
    </w:tbl>
    <w:p>
      <w:pPr>
        <w:ind w:firstLine="480" w:firstLineChars="200"/>
        <w:rPr>
          <w:rFonts w:hAnsi="宋体"/>
          <w:color w:val="auto"/>
          <w:szCs w:val="24"/>
          <w:highlight w:val="none"/>
        </w:rPr>
      </w:pPr>
      <w:r>
        <w:rPr>
          <w:rFonts w:hAnsi="宋体"/>
          <w:color w:val="auto"/>
          <w:szCs w:val="24"/>
          <w:highlight w:val="none"/>
        </w:rPr>
        <w:t xml:space="preserve">3.6  </w:t>
      </w:r>
      <w:r>
        <w:rPr>
          <w:rFonts w:hint="eastAsia" w:hAnsi="宋体"/>
          <w:color w:val="auto"/>
          <w:szCs w:val="24"/>
          <w:highlight w:val="none"/>
        </w:rPr>
        <w:t>养护技术规范、标准</w:t>
      </w:r>
    </w:p>
    <w:p>
      <w:pPr>
        <w:rPr>
          <w:rFonts w:hAnsi="宋体"/>
          <w:color w:val="auto"/>
          <w:szCs w:val="24"/>
          <w:highlight w:val="none"/>
        </w:rPr>
      </w:pPr>
      <w:r>
        <w:rPr>
          <w:rFonts w:hint="eastAsia" w:hAnsi="宋体"/>
          <w:color w:val="auto"/>
          <w:szCs w:val="24"/>
          <w:highlight w:val="none"/>
        </w:rPr>
        <w:t>《上海市城市公园实施分类分级管理指导意见》（沪绿容</w:t>
      </w:r>
      <w:r>
        <w:rPr>
          <w:rFonts w:hAnsi="宋体"/>
          <w:color w:val="auto"/>
          <w:szCs w:val="24"/>
          <w:highlight w:val="none"/>
        </w:rPr>
        <w:t>[2019]156</w:t>
      </w:r>
      <w:r>
        <w:rPr>
          <w:rFonts w:hint="eastAsia" w:hAnsi="宋体"/>
          <w:color w:val="auto"/>
          <w:szCs w:val="24"/>
          <w:highlight w:val="none"/>
        </w:rPr>
        <w:t>号）</w:t>
      </w:r>
    </w:p>
    <w:p>
      <w:pPr>
        <w:rPr>
          <w:rFonts w:hAnsi="宋体"/>
          <w:color w:val="auto"/>
          <w:szCs w:val="24"/>
          <w:highlight w:val="none"/>
        </w:rPr>
      </w:pPr>
      <w:r>
        <w:rPr>
          <w:rFonts w:hint="eastAsia" w:hAnsi="宋体"/>
          <w:color w:val="auto"/>
          <w:szCs w:val="24"/>
          <w:highlight w:val="none"/>
        </w:rPr>
        <w:t>《对承包单位机构、人员配备的要求》</w:t>
      </w:r>
    </w:p>
    <w:p>
      <w:pPr>
        <w:rPr>
          <w:rFonts w:hAnsi="宋体"/>
          <w:color w:val="auto"/>
          <w:szCs w:val="24"/>
          <w:highlight w:val="none"/>
        </w:rPr>
      </w:pPr>
      <w:r>
        <w:rPr>
          <w:rFonts w:hint="eastAsia" w:hAnsi="宋体"/>
          <w:color w:val="auto"/>
          <w:szCs w:val="24"/>
          <w:highlight w:val="none"/>
        </w:rPr>
        <w:t>《园林绿化养护标准》（DG/TJ08-19-2023）</w:t>
      </w:r>
    </w:p>
    <w:p>
      <w:pPr>
        <w:rPr>
          <w:rFonts w:hAnsi="宋体"/>
          <w:color w:val="auto"/>
          <w:szCs w:val="24"/>
          <w:highlight w:val="none"/>
        </w:rPr>
      </w:pPr>
      <w:r>
        <w:rPr>
          <w:rFonts w:hint="eastAsia" w:hAnsi="宋体"/>
          <w:color w:val="auto"/>
          <w:szCs w:val="24"/>
          <w:highlight w:val="none"/>
        </w:rPr>
        <w:t>《园林绿化养护技术等级标准》</w:t>
      </w:r>
    </w:p>
    <w:p>
      <w:pPr>
        <w:autoSpaceDE w:val="0"/>
        <w:autoSpaceDN w:val="0"/>
        <w:adjustRightInd w:val="0"/>
        <w:rPr>
          <w:rFonts w:hAnsi="宋体"/>
          <w:color w:val="auto"/>
          <w:szCs w:val="24"/>
          <w:highlight w:val="none"/>
        </w:rPr>
      </w:pPr>
      <w:r>
        <w:rPr>
          <w:rFonts w:hint="eastAsia" w:hAnsi="宋体"/>
          <w:color w:val="auto"/>
          <w:szCs w:val="24"/>
          <w:highlight w:val="none"/>
        </w:rPr>
        <w:t>《园林绿化植物栽植技术规程》</w:t>
      </w:r>
      <w:r>
        <w:rPr>
          <w:rFonts w:hAnsi="宋体"/>
          <w:color w:val="auto"/>
          <w:szCs w:val="24"/>
          <w:highlight w:val="none"/>
        </w:rPr>
        <w:t xml:space="preserve">  DG/TJ08-18-2011 J11913-2011</w:t>
      </w:r>
    </w:p>
    <w:p>
      <w:pPr>
        <w:rPr>
          <w:rFonts w:hAnsi="宋体"/>
          <w:color w:val="auto"/>
          <w:szCs w:val="24"/>
          <w:highlight w:val="none"/>
        </w:rPr>
      </w:pPr>
      <w:r>
        <w:rPr>
          <w:rFonts w:hint="eastAsia" w:hAnsi="宋体"/>
          <w:color w:val="auto"/>
          <w:szCs w:val="24"/>
          <w:highlight w:val="none"/>
        </w:rPr>
        <w:t>《园林植物养护技术规程》</w:t>
      </w:r>
      <w:r>
        <w:rPr>
          <w:rFonts w:hAnsi="宋体"/>
          <w:color w:val="auto"/>
          <w:szCs w:val="24"/>
          <w:highlight w:val="none"/>
        </w:rPr>
        <w:t xml:space="preserve">  DBJ08-19-91</w:t>
      </w:r>
    </w:p>
    <w:p>
      <w:pPr>
        <w:rPr>
          <w:rFonts w:hAnsi="宋体"/>
          <w:color w:val="auto"/>
          <w:szCs w:val="24"/>
          <w:highlight w:val="none"/>
        </w:rPr>
      </w:pPr>
      <w:r>
        <w:rPr>
          <w:rFonts w:hint="eastAsia" w:hAnsi="宋体"/>
          <w:color w:val="auto"/>
          <w:szCs w:val="24"/>
          <w:highlight w:val="none"/>
        </w:rPr>
        <w:t>《园林植物保护技术规程》</w:t>
      </w:r>
      <w:r>
        <w:rPr>
          <w:rFonts w:hAnsi="宋体"/>
          <w:color w:val="auto"/>
          <w:szCs w:val="24"/>
          <w:highlight w:val="none"/>
        </w:rPr>
        <w:t xml:space="preserve">  DG/TJ08-</w:t>
      </w:r>
      <w:r>
        <w:rPr>
          <w:rFonts w:hint="eastAsia" w:hAnsi="宋体"/>
          <w:color w:val="auto"/>
          <w:szCs w:val="24"/>
          <w:highlight w:val="none"/>
        </w:rPr>
        <w:t>35-2014</w:t>
      </w:r>
    </w:p>
    <w:p>
      <w:pPr>
        <w:rPr>
          <w:rFonts w:hAnsi="宋体"/>
          <w:color w:val="auto"/>
          <w:szCs w:val="24"/>
          <w:highlight w:val="none"/>
        </w:rPr>
      </w:pPr>
      <w:r>
        <w:rPr>
          <w:rFonts w:hint="eastAsia" w:hAnsi="宋体"/>
          <w:color w:val="auto"/>
          <w:szCs w:val="24"/>
          <w:highlight w:val="none"/>
        </w:rPr>
        <w:t>《行道树养护技术规程》（DG/TJ08-2105-2012）</w:t>
      </w:r>
    </w:p>
    <w:p>
      <w:pPr>
        <w:rPr>
          <w:rFonts w:hAnsi="宋体"/>
          <w:color w:val="auto"/>
          <w:szCs w:val="24"/>
          <w:highlight w:val="none"/>
        </w:rPr>
      </w:pPr>
      <w:r>
        <w:rPr>
          <w:rFonts w:hint="eastAsia" w:hAnsi="宋体"/>
          <w:color w:val="auto"/>
          <w:szCs w:val="24"/>
          <w:highlight w:val="none"/>
        </w:rPr>
        <w:t>《行道树栽植技术规程》</w:t>
      </w:r>
      <w:r>
        <w:rPr>
          <w:rFonts w:hAnsi="宋体"/>
          <w:color w:val="auto"/>
          <w:szCs w:val="24"/>
          <w:highlight w:val="none"/>
        </w:rPr>
        <w:t xml:space="preserve">    DBJ08-5</w:t>
      </w:r>
      <w:r>
        <w:rPr>
          <w:rFonts w:hint="eastAsia" w:hAnsi="宋体"/>
          <w:color w:val="auto"/>
          <w:szCs w:val="24"/>
          <w:highlight w:val="none"/>
        </w:rPr>
        <w:t>3-2016</w:t>
      </w:r>
    </w:p>
    <w:p>
      <w:pPr>
        <w:rPr>
          <w:rFonts w:hAnsi="宋体"/>
          <w:color w:val="auto"/>
          <w:szCs w:val="24"/>
          <w:highlight w:val="none"/>
        </w:rPr>
      </w:pPr>
      <w:r>
        <w:rPr>
          <w:rFonts w:hint="eastAsia" w:hAnsi="宋体"/>
          <w:color w:val="auto"/>
          <w:szCs w:val="24"/>
          <w:highlight w:val="none"/>
        </w:rPr>
        <w:t>《大树移植技术规程》</w:t>
      </w:r>
      <w:r>
        <w:rPr>
          <w:rFonts w:hAnsi="宋体"/>
          <w:color w:val="auto"/>
          <w:szCs w:val="24"/>
          <w:highlight w:val="none"/>
        </w:rPr>
        <w:t xml:space="preserve">      DBJ08-53-96</w:t>
      </w:r>
    </w:p>
    <w:p>
      <w:pPr>
        <w:rPr>
          <w:rFonts w:hAnsi="宋体"/>
          <w:color w:val="auto"/>
          <w:szCs w:val="24"/>
          <w:highlight w:val="none"/>
        </w:rPr>
      </w:pPr>
      <w:r>
        <w:rPr>
          <w:rFonts w:hint="eastAsia" w:hAnsi="宋体"/>
          <w:color w:val="auto"/>
          <w:szCs w:val="24"/>
          <w:highlight w:val="none"/>
        </w:rPr>
        <w:t>《草坪建植和草坪养护管理的技术规程》</w:t>
      </w:r>
      <w:r>
        <w:rPr>
          <w:rFonts w:hAnsi="宋体"/>
          <w:color w:val="auto"/>
          <w:szCs w:val="24"/>
          <w:highlight w:val="none"/>
        </w:rPr>
        <w:t xml:space="preserve">  DBJ08-67-97</w:t>
      </w:r>
    </w:p>
    <w:p>
      <w:pPr>
        <w:rPr>
          <w:rFonts w:hAnsi="宋体"/>
          <w:color w:val="auto"/>
          <w:szCs w:val="24"/>
          <w:highlight w:val="none"/>
        </w:rPr>
      </w:pPr>
      <w:r>
        <w:rPr>
          <w:rFonts w:hint="eastAsia" w:hAnsi="宋体"/>
          <w:color w:val="auto"/>
          <w:szCs w:val="24"/>
          <w:highlight w:val="none"/>
        </w:rPr>
        <w:t>《上海市园林绿化养护标准》</w:t>
      </w:r>
      <w:r>
        <w:rPr>
          <w:rFonts w:hAnsi="宋体"/>
          <w:color w:val="auto"/>
          <w:szCs w:val="24"/>
          <w:highlight w:val="none"/>
        </w:rPr>
        <w:t xml:space="preserve">  1998.12</w:t>
      </w:r>
    </w:p>
    <w:p>
      <w:pPr>
        <w:rPr>
          <w:rFonts w:hAnsi="宋体"/>
          <w:color w:val="auto"/>
          <w:szCs w:val="24"/>
          <w:highlight w:val="none"/>
        </w:rPr>
      </w:pPr>
      <w:r>
        <w:rPr>
          <w:rFonts w:hint="eastAsia" w:hAnsi="宋体"/>
          <w:color w:val="auto"/>
          <w:szCs w:val="24"/>
          <w:highlight w:val="none"/>
        </w:rPr>
        <w:t>《上海市园林工程预算定额（</w:t>
      </w:r>
      <w:r>
        <w:rPr>
          <w:rFonts w:hAnsi="宋体"/>
          <w:color w:val="auto"/>
          <w:szCs w:val="24"/>
          <w:highlight w:val="none"/>
        </w:rPr>
        <w:t>2016</w:t>
      </w:r>
      <w:r>
        <w:rPr>
          <w:rFonts w:hint="eastAsia" w:hAnsi="宋体"/>
          <w:color w:val="auto"/>
          <w:szCs w:val="24"/>
          <w:highlight w:val="none"/>
        </w:rPr>
        <w:t>）》</w:t>
      </w:r>
    </w:p>
    <w:p>
      <w:pPr>
        <w:rPr>
          <w:rFonts w:hAnsi="宋体"/>
          <w:color w:val="auto"/>
          <w:szCs w:val="24"/>
          <w:highlight w:val="none"/>
        </w:rPr>
      </w:pPr>
      <w:r>
        <w:rPr>
          <w:rFonts w:hint="eastAsia" w:hAnsi="宋体"/>
          <w:color w:val="auto"/>
          <w:szCs w:val="24"/>
          <w:highlight w:val="none"/>
        </w:rPr>
        <w:t>《上海市绿地养护概算定额（</w:t>
      </w:r>
      <w:r>
        <w:rPr>
          <w:rFonts w:hAnsi="宋体"/>
          <w:color w:val="auto"/>
          <w:szCs w:val="24"/>
          <w:highlight w:val="none"/>
        </w:rPr>
        <w:t>2010</w:t>
      </w:r>
      <w:r>
        <w:rPr>
          <w:rFonts w:hint="eastAsia" w:hAnsi="宋体"/>
          <w:color w:val="auto"/>
          <w:szCs w:val="24"/>
          <w:highlight w:val="none"/>
        </w:rPr>
        <w:t>）》</w:t>
      </w:r>
    </w:p>
    <w:p>
      <w:pPr>
        <w:rPr>
          <w:rFonts w:hAnsi="宋体"/>
          <w:color w:val="auto"/>
          <w:szCs w:val="24"/>
          <w:highlight w:val="none"/>
        </w:rPr>
      </w:pPr>
      <w:r>
        <w:rPr>
          <w:rFonts w:hint="eastAsia" w:hAnsi="宋体"/>
          <w:color w:val="auto"/>
          <w:szCs w:val="24"/>
          <w:highlight w:val="none"/>
        </w:rPr>
        <w:t>《绿地设计规范》</w:t>
      </w:r>
      <w:r>
        <w:rPr>
          <w:rFonts w:hAnsi="宋体"/>
          <w:color w:val="auto"/>
          <w:szCs w:val="24"/>
          <w:highlight w:val="none"/>
        </w:rPr>
        <w:t xml:space="preserve">  DG/TJ08-15-2009 J11525-2009</w:t>
      </w:r>
    </w:p>
    <w:p>
      <w:pPr>
        <w:rPr>
          <w:rFonts w:hAnsi="宋体"/>
          <w:color w:val="auto"/>
          <w:szCs w:val="24"/>
          <w:highlight w:val="none"/>
        </w:rPr>
      </w:pPr>
      <w:r>
        <w:rPr>
          <w:rFonts w:hint="eastAsia" w:hAnsi="宋体"/>
          <w:color w:val="auto"/>
          <w:szCs w:val="24"/>
          <w:highlight w:val="none"/>
        </w:rPr>
        <w:t>《假山叠石工程施工规程》</w:t>
      </w:r>
      <w:r>
        <w:rPr>
          <w:rFonts w:hAnsi="宋体"/>
          <w:color w:val="auto"/>
          <w:szCs w:val="24"/>
          <w:highlight w:val="none"/>
        </w:rPr>
        <w:t xml:space="preserve">  DG/TJ08-</w:t>
      </w:r>
      <w:r>
        <w:rPr>
          <w:rFonts w:hint="eastAsia" w:hAnsi="宋体"/>
          <w:color w:val="auto"/>
          <w:szCs w:val="24"/>
          <w:highlight w:val="none"/>
        </w:rPr>
        <w:t>211-2014</w:t>
      </w:r>
    </w:p>
    <w:p>
      <w:pPr>
        <w:rPr>
          <w:rFonts w:hAnsi="宋体"/>
          <w:color w:val="auto"/>
          <w:szCs w:val="24"/>
          <w:highlight w:val="none"/>
        </w:rPr>
      </w:pPr>
      <w:r>
        <w:rPr>
          <w:rFonts w:hint="eastAsia" w:hAnsi="宋体"/>
          <w:color w:val="auto"/>
          <w:szCs w:val="24"/>
          <w:highlight w:val="none"/>
        </w:rPr>
        <w:t>《花坛、花境技术规程》</w:t>
      </w:r>
      <w:r>
        <w:rPr>
          <w:rFonts w:hAnsi="宋体"/>
          <w:color w:val="auto"/>
          <w:szCs w:val="24"/>
          <w:highlight w:val="none"/>
        </w:rPr>
        <w:t xml:space="preserve">  DG/TJ08</w:t>
      </w:r>
      <w:r>
        <w:rPr>
          <w:rFonts w:hint="eastAsia" w:hAnsi="宋体"/>
          <w:color w:val="auto"/>
          <w:szCs w:val="24"/>
          <w:highlight w:val="none"/>
        </w:rPr>
        <w:t>-66-2016</w:t>
      </w:r>
    </w:p>
    <w:p>
      <w:pPr>
        <w:rPr>
          <w:rFonts w:hAnsi="宋体"/>
          <w:color w:val="auto"/>
          <w:szCs w:val="24"/>
          <w:highlight w:val="none"/>
        </w:rPr>
      </w:pPr>
      <w:r>
        <w:rPr>
          <w:rFonts w:hint="eastAsia" w:hAnsi="宋体"/>
          <w:color w:val="auto"/>
          <w:szCs w:val="24"/>
          <w:highlight w:val="none"/>
        </w:rPr>
        <w:t>《屋顶绿化技术规范》  DB31/T493-2017</w:t>
      </w:r>
    </w:p>
    <w:p>
      <w:pPr>
        <w:rPr>
          <w:rFonts w:hAnsi="宋体"/>
          <w:color w:val="auto"/>
          <w:szCs w:val="24"/>
          <w:highlight w:val="none"/>
        </w:rPr>
      </w:pPr>
      <w:r>
        <w:rPr>
          <w:rFonts w:hint="eastAsia" w:hAnsi="宋体"/>
          <w:color w:val="auto"/>
          <w:szCs w:val="24"/>
          <w:highlight w:val="none"/>
        </w:rPr>
        <w:t>《园林绿化种植土质量标准》</w:t>
      </w:r>
      <w:r>
        <w:rPr>
          <w:rFonts w:hAnsi="宋体"/>
          <w:color w:val="auto"/>
          <w:szCs w:val="24"/>
          <w:highlight w:val="none"/>
        </w:rPr>
        <w:t>DG/TJ 08-231-2013</w:t>
      </w:r>
    </w:p>
    <w:p>
      <w:pPr>
        <w:rPr>
          <w:rFonts w:hAnsi="宋体"/>
          <w:color w:val="auto"/>
          <w:szCs w:val="24"/>
          <w:highlight w:val="none"/>
        </w:rPr>
      </w:pPr>
      <w:r>
        <w:rPr>
          <w:rFonts w:hint="eastAsia" w:hAnsi="宋体"/>
          <w:color w:val="auto"/>
          <w:szCs w:val="24"/>
          <w:highlight w:val="none"/>
        </w:rPr>
        <w:t>《垂直绿化技术规程》</w:t>
      </w:r>
      <w:r>
        <w:rPr>
          <w:rFonts w:hAnsi="宋体"/>
          <w:color w:val="auto"/>
          <w:szCs w:val="24"/>
          <w:highlight w:val="none"/>
        </w:rPr>
        <w:t xml:space="preserve">   DBJ08-75-98</w:t>
      </w:r>
    </w:p>
    <w:p>
      <w:pPr>
        <w:rPr>
          <w:rFonts w:hAnsi="宋体"/>
          <w:color w:val="auto"/>
          <w:szCs w:val="24"/>
          <w:highlight w:val="none"/>
        </w:rPr>
      </w:pPr>
      <w:r>
        <w:rPr>
          <w:rFonts w:hint="eastAsia" w:hAnsi="宋体"/>
          <w:color w:val="auto"/>
          <w:szCs w:val="24"/>
          <w:highlight w:val="none"/>
        </w:rPr>
        <w:t>《立体绿化技术规程》</w:t>
      </w:r>
    </w:p>
    <w:p>
      <w:pPr>
        <w:rPr>
          <w:rFonts w:hAnsi="宋体"/>
          <w:color w:val="auto"/>
          <w:szCs w:val="24"/>
          <w:highlight w:val="none"/>
        </w:rPr>
      </w:pPr>
      <w:r>
        <w:rPr>
          <w:rFonts w:hint="eastAsia" w:hAnsi="宋体"/>
          <w:color w:val="auto"/>
          <w:szCs w:val="24"/>
          <w:highlight w:val="none"/>
        </w:rPr>
        <w:t>《立体花坛技术规程》  DB31/T 1295-2021</w:t>
      </w:r>
    </w:p>
    <w:p>
      <w:pPr>
        <w:rPr>
          <w:rFonts w:hAnsi="宋体" w:cs="宋体"/>
          <w:color w:val="auto"/>
          <w:szCs w:val="24"/>
          <w:highlight w:val="none"/>
        </w:rPr>
      </w:pPr>
      <w:r>
        <w:rPr>
          <w:rFonts w:hint="eastAsia" w:hAnsi="宋体" w:cs="宋体"/>
          <w:color w:val="auto"/>
          <w:szCs w:val="24"/>
          <w:highlight w:val="none"/>
        </w:rPr>
        <w:t>《古树名木和古树后续资源养护质量评价》DB31/T 1294-2021</w:t>
      </w:r>
    </w:p>
    <w:p>
      <w:pPr>
        <w:rPr>
          <w:rFonts w:hAnsi="宋体" w:cs="宋体"/>
          <w:color w:val="auto"/>
          <w:szCs w:val="24"/>
          <w:highlight w:val="none"/>
        </w:rPr>
      </w:pPr>
      <w:r>
        <w:rPr>
          <w:rFonts w:hint="eastAsia" w:hAnsi="宋体" w:cs="宋体"/>
          <w:color w:val="auto"/>
          <w:szCs w:val="24"/>
          <w:highlight w:val="none"/>
        </w:rPr>
        <w:t>《绿道建设技术标准》DG/TJ08-2336-2020</w:t>
      </w:r>
    </w:p>
    <w:p>
      <w:pPr>
        <w:rPr>
          <w:rFonts w:hAnsi="宋体" w:cs="宋体"/>
          <w:color w:val="auto"/>
          <w:szCs w:val="24"/>
          <w:highlight w:val="none"/>
        </w:rPr>
      </w:pPr>
      <w:r>
        <w:rPr>
          <w:rFonts w:hint="eastAsia" w:hAnsi="宋体" w:cs="宋体"/>
          <w:color w:val="auto"/>
          <w:szCs w:val="24"/>
          <w:highlight w:val="none"/>
        </w:rPr>
        <w:t>《绿地设计标准》DG/TJ 08-15-2020</w:t>
      </w:r>
    </w:p>
    <w:p>
      <w:pPr>
        <w:rPr>
          <w:rFonts w:hAnsi="宋体" w:cs="宋体"/>
          <w:color w:val="auto"/>
          <w:szCs w:val="24"/>
          <w:highlight w:val="none"/>
        </w:rPr>
      </w:pPr>
      <w:r>
        <w:rPr>
          <w:rFonts w:hint="eastAsia" w:hAnsi="宋体" w:cs="宋体"/>
          <w:color w:val="auto"/>
          <w:szCs w:val="24"/>
          <w:highlight w:val="none"/>
        </w:rPr>
        <w:t>《白玉兰栽植养护技术规范》DB31/T 1393-2023</w:t>
      </w:r>
    </w:p>
    <w:p>
      <w:pPr>
        <w:rPr>
          <w:rFonts w:hAnsi="宋体" w:cs="宋体"/>
          <w:color w:val="auto"/>
          <w:szCs w:val="24"/>
          <w:highlight w:val="none"/>
        </w:rPr>
      </w:pPr>
      <w:r>
        <w:rPr>
          <w:rFonts w:hint="eastAsia" w:hAnsi="宋体" w:cs="宋体"/>
          <w:color w:val="auto"/>
          <w:szCs w:val="24"/>
          <w:highlight w:val="none"/>
        </w:rPr>
        <w:t>《植物铭牌设置规范》DB31/T 1233-2020</w:t>
      </w:r>
    </w:p>
    <w:p>
      <w:pPr>
        <w:rPr>
          <w:rFonts w:hAnsi="宋体" w:cs="宋体"/>
          <w:color w:val="auto"/>
          <w:szCs w:val="24"/>
          <w:highlight w:val="none"/>
        </w:rPr>
      </w:pPr>
      <w:r>
        <w:rPr>
          <w:rFonts w:hint="eastAsia" w:hAnsi="宋体" w:cs="宋体"/>
          <w:color w:val="auto"/>
          <w:szCs w:val="24"/>
          <w:highlight w:val="none"/>
        </w:rPr>
        <w:t>《上海市口袋公园建设技术导则》</w:t>
      </w:r>
    </w:p>
    <w:p>
      <w:pPr>
        <w:rPr>
          <w:rFonts w:hAnsi="宋体" w:cs="宋体"/>
          <w:color w:val="auto"/>
          <w:szCs w:val="24"/>
          <w:highlight w:val="none"/>
        </w:rPr>
      </w:pPr>
      <w:r>
        <w:rPr>
          <w:rFonts w:hint="eastAsia" w:hAnsi="宋体" w:cs="宋体"/>
          <w:color w:val="auto"/>
          <w:szCs w:val="24"/>
          <w:highlight w:val="none"/>
        </w:rPr>
        <w:t>《上海市绿化特色道路创建办法》</w:t>
      </w:r>
    </w:p>
    <w:p>
      <w:pPr>
        <w:rPr>
          <w:rFonts w:hAnsi="宋体" w:cs="宋体"/>
          <w:color w:val="auto"/>
          <w:szCs w:val="24"/>
          <w:highlight w:val="none"/>
        </w:rPr>
      </w:pPr>
      <w:r>
        <w:rPr>
          <w:rFonts w:hint="eastAsia" w:hAnsi="宋体" w:cs="宋体"/>
          <w:color w:val="auto"/>
          <w:szCs w:val="24"/>
          <w:highlight w:val="none"/>
        </w:rPr>
        <w:t>《上海市口袋公园管理指导意见》</w:t>
      </w:r>
    </w:p>
    <w:p>
      <w:pPr>
        <w:rPr>
          <w:rFonts w:hAnsi="宋体"/>
          <w:color w:val="auto"/>
          <w:szCs w:val="24"/>
          <w:highlight w:val="none"/>
        </w:rPr>
      </w:pPr>
      <w:r>
        <w:rPr>
          <w:rFonts w:hint="eastAsia" w:hAnsi="宋体"/>
          <w:color w:val="auto"/>
          <w:szCs w:val="24"/>
          <w:highlight w:val="none"/>
        </w:rPr>
        <w:t>《上海市工程建设规范（园林工程质量检验评定标准）》</w:t>
      </w:r>
      <w:r>
        <w:rPr>
          <w:rFonts w:hAnsi="宋体"/>
          <w:color w:val="auto"/>
          <w:szCs w:val="24"/>
          <w:highlight w:val="none"/>
        </w:rPr>
        <w:t xml:space="preserve">  DG/TJ08-701-2000</w:t>
      </w:r>
    </w:p>
    <w:p>
      <w:pPr>
        <w:rPr>
          <w:rFonts w:hAnsi="宋体"/>
          <w:color w:val="auto"/>
          <w:szCs w:val="24"/>
          <w:highlight w:val="none"/>
        </w:rPr>
      </w:pPr>
      <w:r>
        <w:rPr>
          <w:rFonts w:hint="eastAsia" w:hAnsi="宋体"/>
          <w:color w:val="auto"/>
          <w:szCs w:val="24"/>
          <w:highlight w:val="none"/>
        </w:rPr>
        <w:t>其它：政府相应的必须执行的有关标准</w:t>
      </w:r>
    </w:p>
    <w:p>
      <w:pPr>
        <w:rPr>
          <w:rFonts w:hAnsi="宋体"/>
          <w:color w:val="auto"/>
          <w:szCs w:val="24"/>
          <w:highlight w:val="none"/>
        </w:rPr>
      </w:pPr>
      <w:r>
        <w:rPr>
          <w:rFonts w:hint="eastAsia" w:hAnsi="宋体"/>
          <w:color w:val="auto"/>
          <w:szCs w:val="24"/>
          <w:highlight w:val="none"/>
        </w:rPr>
        <w:t>养护技术标准参照《园林绿化养护标准》DG/TJ 08-19-2023</w:t>
      </w:r>
    </w:p>
    <w:p>
      <w:pPr>
        <w:ind w:firstLine="240" w:firstLineChars="100"/>
        <w:rPr>
          <w:rFonts w:hAnsi="宋体"/>
          <w:color w:val="auto"/>
          <w:szCs w:val="24"/>
          <w:highlight w:val="none"/>
        </w:rPr>
      </w:pPr>
      <w:r>
        <w:rPr>
          <w:rFonts w:hAnsi="宋体"/>
          <w:color w:val="auto"/>
          <w:szCs w:val="24"/>
          <w:highlight w:val="none"/>
        </w:rPr>
        <w:t xml:space="preserve">3.7  </w:t>
      </w:r>
      <w:r>
        <w:rPr>
          <w:rFonts w:hint="eastAsia" w:hAnsi="宋体"/>
          <w:color w:val="auto"/>
          <w:szCs w:val="24"/>
          <w:highlight w:val="none"/>
        </w:rPr>
        <w:t>公园绿地管理要求</w:t>
      </w:r>
    </w:p>
    <w:p>
      <w:pPr>
        <w:rPr>
          <w:rFonts w:hAnsi="宋体"/>
          <w:color w:val="auto"/>
          <w:szCs w:val="24"/>
          <w:highlight w:val="none"/>
        </w:rPr>
      </w:pPr>
      <w:r>
        <w:rPr>
          <w:rFonts w:hint="eastAsia" w:hAnsi="宋体"/>
          <w:color w:val="auto"/>
          <w:szCs w:val="24"/>
          <w:highlight w:val="none"/>
        </w:rPr>
        <w:t>一、公园绿地景观管理要求</w:t>
      </w:r>
    </w:p>
    <w:p>
      <w:pPr>
        <w:ind w:firstLine="480" w:firstLineChars="200"/>
        <w:rPr>
          <w:rFonts w:hAnsi="宋体"/>
          <w:color w:val="auto"/>
          <w:szCs w:val="24"/>
          <w:highlight w:val="none"/>
        </w:rPr>
      </w:pPr>
      <w:r>
        <w:rPr>
          <w:rFonts w:hint="eastAsia" w:hAnsi="宋体"/>
          <w:color w:val="auto"/>
          <w:szCs w:val="24"/>
          <w:highlight w:val="none"/>
        </w:rPr>
        <w:t>公园绿地景观应做到植物群落结构合理，植株疏密得当，层次分明，生长势良好，无显著病虫害，整体景观优美，具体要求如下：</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）公园绿化植物养护应按沪建设</w:t>
      </w:r>
      <w:r>
        <w:rPr>
          <w:rFonts w:hAnsi="宋体"/>
          <w:color w:val="auto"/>
          <w:szCs w:val="24"/>
          <w:highlight w:val="none"/>
        </w:rPr>
        <w:t>[2005]375</w:t>
      </w:r>
      <w:r>
        <w:rPr>
          <w:rFonts w:hint="eastAsia" w:hAnsi="宋体"/>
          <w:color w:val="auto"/>
          <w:szCs w:val="24"/>
          <w:highlight w:val="none"/>
        </w:rPr>
        <w:t>号上海市工程建设规范《园林绿化养护技术等级标准》和《上海市城市公园实施分类分级管理指导意见》（沪绿容</w:t>
      </w:r>
      <w:r>
        <w:rPr>
          <w:rFonts w:hAnsi="宋体"/>
          <w:color w:val="auto"/>
          <w:szCs w:val="24"/>
          <w:highlight w:val="none"/>
        </w:rPr>
        <w:t>[2019]156</w:t>
      </w:r>
      <w:r>
        <w:rPr>
          <w:rFonts w:hint="eastAsia" w:hAnsi="宋体"/>
          <w:color w:val="auto"/>
          <w:szCs w:val="24"/>
          <w:highlight w:val="none"/>
        </w:rPr>
        <w:t>号）的考核标准执行。绿化元素包含的树林、树丛、孤植树、花坛、花境、绿篱、盆栽植物、草坪草地、地被植物、竹类、水生植物、古树名木及古树后续资源、土壤、水体、园林设施等进行科学养管，达到各公园相应等级标准。</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）中标单位应按照公园总体规划和植物配置设计，实施植物的栽植、调整和养护，使公园的园林景观面貌符合原设计要求，始终保持最佳状态。</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）中标单位应提供全年养护计划、技术措施及植物调整计划，公园绿地的主要出入口和重要景点，应有节日和重大活动花坛布置和全年用花计划。做好</w:t>
      </w:r>
      <w:r>
        <w:rPr>
          <w:rFonts w:hint="eastAsia" w:hAnsi="宋体"/>
          <w:color w:val="auto"/>
          <w:szCs w:val="24"/>
          <w:highlight w:val="none"/>
        </w:rPr>
        <w:t>公园的</w:t>
      </w:r>
      <w:r>
        <w:rPr>
          <w:rFonts w:hint="eastAsia" w:hAnsi="宋体"/>
          <w:color w:val="auto"/>
          <w:szCs w:val="24"/>
          <w:highlight w:val="none"/>
        </w:rPr>
        <w:t>花坛花境方案设计工作和花卉布置实施工作，确保在全市的公园花坛花境评比中取得好成绩。</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）中标单位应按照公园的特点，做好日常养护工作的记录，建立重点树种的专项档案和养护日志，建立全园精细化养护方案。</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）中标单位应做好公园绿地内的古树名木及古树保护工作。保持植株自然面貌，观赏价值高，设立有效保护范围，竖立保护铭牌，古树名木保护应符合《上海市古树名木和古树后续资源保护条例》各项规定。</w:t>
      </w:r>
    </w:p>
    <w:p>
      <w:pPr>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）中标单位应按《绿化植物保护技术规程》</w:t>
      </w:r>
      <w:r>
        <w:rPr>
          <w:rFonts w:hAnsi="宋体"/>
          <w:color w:val="auto"/>
          <w:szCs w:val="24"/>
          <w:highlight w:val="none"/>
        </w:rPr>
        <w:t>DG/TJ08-35-2014</w:t>
      </w:r>
      <w:r>
        <w:rPr>
          <w:rFonts w:hint="eastAsia" w:hAnsi="宋体"/>
          <w:color w:val="auto"/>
          <w:szCs w:val="24"/>
          <w:highlight w:val="none"/>
        </w:rPr>
        <w:t>做好公园绿地的植物保护工作，“预防为主、科学防控”以提高植物保护工作能力和质量。要确保养护费用中植保经费的专项使用。植保工作要有专人负责，做到工作有计划、有总结，监测有数据，防治有记录。做好防治药剂和防治机械设备的储备。做好有害生物监测工作，落实专人负责监测数据的记录和按要求上报制度。</w:t>
      </w:r>
    </w:p>
    <w:p>
      <w:pPr>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加强对检疫性害虫（特别是美国白蛾）及悬铃木方翅网蝽、星天牛、白蚁、枫香刺小蠹、悬铃木白粉病及煤污病（即“四虫二病”）等绿化重点有害生物的监测和防控，同时做好其它绿化有害生物的防控工作。防控工作以“绿色、环保、可控”为目标，推进药剂减量化，因虫施策，绿色防控，并做好“绿色防控”技术的推广。</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8</w:t>
      </w:r>
      <w:r>
        <w:rPr>
          <w:rFonts w:hint="eastAsia" w:hAnsi="宋体"/>
          <w:color w:val="auto"/>
          <w:szCs w:val="24"/>
          <w:highlight w:val="none"/>
        </w:rPr>
        <w:t>）中标单位应维护好公园所取得的所有荣誉。确保各项荣誉称号的延续并积极扩展新的荣誉称号。</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9</w:t>
      </w:r>
      <w:r>
        <w:rPr>
          <w:rFonts w:hint="eastAsia" w:hAnsi="宋体"/>
          <w:color w:val="auto"/>
          <w:szCs w:val="24"/>
          <w:highlight w:val="none"/>
        </w:rPr>
        <w:t>）中标单位应参加区绿化中心季度公园养护工作例会,汇报本季度公园管理情况和下季度公园管理计划。</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10</w:t>
      </w:r>
      <w:r>
        <w:rPr>
          <w:rFonts w:hint="eastAsia" w:hAnsi="宋体"/>
          <w:color w:val="auto"/>
          <w:szCs w:val="24"/>
          <w:highlight w:val="none"/>
        </w:rPr>
        <w:t>）中标单位承担公园的综合管理职责，并对公园保安、保洁工作进行日常管理和监督考核。</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11</w:t>
      </w:r>
      <w:r>
        <w:rPr>
          <w:rFonts w:hint="eastAsia" w:hAnsi="宋体"/>
          <w:color w:val="auto"/>
          <w:szCs w:val="24"/>
          <w:highlight w:val="none"/>
        </w:rPr>
        <w:t>）中标单位应安排专人讲解员，熟练掌握公园的建设、历史、特色和活动情况等。</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12</w:t>
      </w:r>
      <w:r>
        <w:rPr>
          <w:rFonts w:hint="eastAsia" w:hAnsi="宋体"/>
          <w:color w:val="auto"/>
          <w:szCs w:val="24"/>
          <w:highlight w:val="none"/>
        </w:rPr>
        <w:t>）中标单位应按照区绿化中心要求做好市局和区政府的各项行业考核工作，确保公园绿地的养护管理工作在各项考核中达到优秀。</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13</w:t>
      </w:r>
      <w:r>
        <w:rPr>
          <w:rFonts w:hint="eastAsia" w:hAnsi="宋体"/>
          <w:color w:val="auto"/>
          <w:szCs w:val="24"/>
          <w:highlight w:val="none"/>
        </w:rPr>
        <w:t>）中标单位按照要求做好公园24小时开放期间的管理工作。</w:t>
      </w:r>
    </w:p>
    <w:p>
      <w:pPr>
        <w:ind w:firstLine="480" w:firstLineChars="200"/>
        <w:rPr>
          <w:rFonts w:hAnsi="宋体"/>
          <w:color w:val="auto"/>
          <w:szCs w:val="24"/>
          <w:highlight w:val="none"/>
        </w:rPr>
      </w:pPr>
      <w:r>
        <w:rPr>
          <w:rFonts w:hint="eastAsia" w:hAnsi="宋体"/>
          <w:color w:val="auto"/>
          <w:szCs w:val="24"/>
          <w:highlight w:val="none"/>
        </w:rPr>
        <w:t xml:space="preserve">（14）中标单位按照要求做好公园草坪开放、适老适幼工作。 </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5）</w:t>
      </w:r>
      <w:r>
        <w:rPr>
          <w:rFonts w:hAnsi="宋体"/>
          <w:color w:val="auto"/>
          <w:szCs w:val="24"/>
          <w:highlight w:val="none"/>
        </w:rPr>
        <w:t xml:space="preserve"> </w:t>
      </w:r>
      <w:r>
        <w:rPr>
          <w:rFonts w:hint="eastAsia" w:hAnsi="宋体"/>
          <w:color w:val="auto"/>
          <w:szCs w:val="24"/>
          <w:highlight w:val="none"/>
        </w:rPr>
        <w:t>中标单位应做好绿地监管工作，如遇调查统计及审批改造等情况，积极配合。</w:t>
      </w:r>
    </w:p>
    <w:p>
      <w:pPr>
        <w:rPr>
          <w:rFonts w:hAnsi="宋体"/>
          <w:color w:val="auto"/>
          <w:szCs w:val="24"/>
          <w:highlight w:val="none"/>
        </w:rPr>
      </w:pPr>
      <w:r>
        <w:rPr>
          <w:rFonts w:hint="eastAsia" w:hAnsi="宋体"/>
          <w:color w:val="auto"/>
          <w:szCs w:val="24"/>
          <w:highlight w:val="none"/>
        </w:rPr>
        <w:t>二、公园绿地设施设备管理要求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中标单位应确保公园绿地的设施设备“正常运行无故障、安全生产无事故、维修及时无影响、日常检查无隐患”，具体要求如下：</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）建筑物、小品</w:t>
      </w:r>
    </w:p>
    <w:p>
      <w:pPr>
        <w:ind w:firstLine="480" w:firstLineChars="200"/>
        <w:rPr>
          <w:rFonts w:hAnsi="宋体"/>
          <w:color w:val="auto"/>
          <w:szCs w:val="24"/>
          <w:highlight w:val="none"/>
        </w:rPr>
      </w:pPr>
      <w:r>
        <w:rPr>
          <w:rFonts w:hint="eastAsia" w:hAnsi="宋体"/>
          <w:color w:val="auto"/>
          <w:szCs w:val="24"/>
          <w:highlight w:val="none"/>
        </w:rPr>
        <w:t>建筑小品均不得有违章搭建，要保持外型完好整洁，无乱张贴、乱涂写、乱刻画；公园内各类附属设施应每日检查保持设施完好。如有损坏应及时修复，大面积的修复时应设有临时围护隔离。设施油漆每年应至少一次；椅、凳、台、花坛应固定位置，根据游人活动规律在不影响绿化情况下可增设安放椅凳。</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）雕塑</w:t>
      </w:r>
    </w:p>
    <w:p>
      <w:pPr>
        <w:ind w:firstLine="480" w:firstLineChars="200"/>
        <w:rPr>
          <w:rFonts w:hAnsi="宋体"/>
          <w:color w:val="auto"/>
          <w:szCs w:val="24"/>
          <w:highlight w:val="none"/>
        </w:rPr>
      </w:pPr>
      <w:r>
        <w:rPr>
          <w:rFonts w:hint="eastAsia" w:hAnsi="宋体"/>
          <w:color w:val="auto"/>
          <w:szCs w:val="24"/>
          <w:highlight w:val="none"/>
        </w:rPr>
        <w:t>中标单位应做好公园内的雕塑定期检查、按期保养工作，保持好绿地雕塑的结构、基础安全稳定。</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）道路地坪</w:t>
      </w:r>
    </w:p>
    <w:p>
      <w:pPr>
        <w:ind w:firstLine="480" w:firstLineChars="200"/>
        <w:rPr>
          <w:rFonts w:hAnsi="宋体"/>
          <w:color w:val="auto"/>
          <w:szCs w:val="24"/>
          <w:highlight w:val="none"/>
        </w:rPr>
      </w:pPr>
      <w:r>
        <w:rPr>
          <w:rFonts w:hint="eastAsia" w:hAnsi="宋体"/>
          <w:color w:val="auto"/>
          <w:szCs w:val="24"/>
          <w:highlight w:val="none"/>
        </w:rPr>
        <w:t>中标单位应确保公园绿地中的道路地坪平整无破损，无积水，如有损坏应及时维修，木质地坪需每年油漆</w:t>
      </w:r>
      <w:r>
        <w:rPr>
          <w:rFonts w:hAnsi="宋体"/>
          <w:color w:val="auto"/>
          <w:szCs w:val="24"/>
          <w:highlight w:val="none"/>
        </w:rPr>
        <w:t>1</w:t>
      </w:r>
      <w:r>
        <w:rPr>
          <w:rFonts w:hint="eastAsia" w:hAnsi="宋体"/>
          <w:color w:val="auto"/>
          <w:szCs w:val="24"/>
          <w:highlight w:val="none"/>
        </w:rPr>
        <w:t>次。</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）市政给水、排水</w:t>
      </w:r>
    </w:p>
    <w:p>
      <w:pPr>
        <w:ind w:firstLine="480" w:firstLineChars="200"/>
        <w:rPr>
          <w:rFonts w:hAnsi="宋体"/>
          <w:color w:val="auto"/>
          <w:szCs w:val="24"/>
          <w:highlight w:val="none"/>
        </w:rPr>
      </w:pPr>
      <w:r>
        <w:rPr>
          <w:rFonts w:hint="eastAsia" w:hAnsi="宋体"/>
          <w:color w:val="auto"/>
          <w:szCs w:val="24"/>
          <w:highlight w:val="none"/>
        </w:rPr>
        <w:t>中标单位应确保绿地中的上下水管道保持畅通、无污染、无渗漏。现有排水管线应定期检修疏通；中标单位应确保绿地中的消防龙头、灌溉龙头、喷泉喷嘴、供水龙头等外露的给水设备，应随坏随修，随窃随装，避免浪费、污染环境；中标单位应确保绿地中的窨井、进水口、涵洞、闸门、泵房等外露的排水设备应保持完整、清洁，无隐患，老化、损坏、被盗窃的设施应及时更新。</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）供电、照明、动力</w:t>
      </w:r>
    </w:p>
    <w:p>
      <w:pPr>
        <w:ind w:firstLine="480" w:firstLineChars="200"/>
        <w:rPr>
          <w:rFonts w:hAnsi="宋体"/>
          <w:color w:val="auto"/>
          <w:szCs w:val="24"/>
          <w:highlight w:val="none"/>
        </w:rPr>
      </w:pPr>
      <w:r>
        <w:rPr>
          <w:rFonts w:hint="eastAsia" w:hAnsi="宋体"/>
          <w:color w:val="auto"/>
          <w:szCs w:val="24"/>
          <w:highlight w:val="none"/>
        </w:rPr>
        <w:t>中标单位应确保绿地中的路灯、庭院灯、草坪灯、泛光灯、地埋灯、水下灯、低压装饰灯等照明设施，应保持完整、清洁，无安全隐患，损坏后立即维修更换；中标单位应确保绿地中的泵房、空调、水箱、机修等各种动力设备应安全用电。</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）门牌、导向牌、告示牌、广告牌报纸宣传廊及临时设置的各种横幅</w:t>
      </w:r>
    </w:p>
    <w:p>
      <w:pPr>
        <w:adjustRightInd w:val="0"/>
        <w:snapToGrid w:val="0"/>
        <w:ind w:left="2" w:leftChars="1" w:firstLine="480" w:firstLineChars="200"/>
        <w:rPr>
          <w:rFonts w:hAnsi="宋体"/>
          <w:color w:val="auto"/>
          <w:szCs w:val="24"/>
          <w:highlight w:val="none"/>
        </w:rPr>
      </w:pPr>
      <w:r>
        <w:rPr>
          <w:rFonts w:hint="eastAsia" w:hAnsi="宋体"/>
          <w:color w:val="auto"/>
          <w:szCs w:val="24"/>
          <w:highlight w:val="none"/>
        </w:rPr>
        <w:t>中标单位应确保公园内各项陈列资料应有专人负责，保持完整清洁，定期更换，报廊内报纸应每日更新；布告、宣传资料、临时设置的横幅等应在活动有效期过后即行更换拆除；广告宣传类应报经有关部门批准，其内容不得超越核定范围，应在规定期内拆除。</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）无障碍设施</w:t>
      </w:r>
    </w:p>
    <w:p>
      <w:pPr>
        <w:adjustRightInd w:val="0"/>
        <w:snapToGrid w:val="0"/>
        <w:ind w:firstLine="480"/>
        <w:rPr>
          <w:rFonts w:hAnsi="宋体"/>
          <w:color w:val="auto"/>
          <w:szCs w:val="24"/>
          <w:highlight w:val="none"/>
        </w:rPr>
      </w:pPr>
      <w:r>
        <w:rPr>
          <w:rFonts w:hint="eastAsia" w:hAnsi="宋体"/>
          <w:color w:val="auto"/>
          <w:szCs w:val="24"/>
          <w:highlight w:val="none"/>
        </w:rPr>
        <w:t>中标单位须确保绿地无障碍设施的安全有效。包括无障碍通道，无障碍公厕、盲人导游图、提示性盲道等。应有专人负责，随坏随修，确保无障碍设施的安全有效使用。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8</w:t>
      </w:r>
      <w:r>
        <w:rPr>
          <w:rFonts w:hint="eastAsia" w:hAnsi="宋体"/>
          <w:color w:val="auto"/>
          <w:szCs w:val="24"/>
          <w:highlight w:val="none"/>
        </w:rPr>
        <w:t>）设备、设施维护维修流程</w:t>
      </w:r>
    </w:p>
    <w:p>
      <w:pPr>
        <w:adjustRightInd w:val="0"/>
        <w:snapToGrid w:val="0"/>
        <w:ind w:firstLine="480" w:firstLineChars="200"/>
        <w:rPr>
          <w:rFonts w:hAnsi="宋体"/>
          <w:color w:val="auto"/>
          <w:szCs w:val="24"/>
          <w:highlight w:val="none"/>
        </w:rPr>
      </w:pPr>
      <w:r>
        <w:rPr>
          <w:rFonts w:hint="eastAsia" w:hAnsi="宋体"/>
          <w:color w:val="auto"/>
          <w:szCs w:val="24"/>
          <w:highlight w:val="none"/>
        </w:rPr>
        <w:t>中标单位应对绿地中各类设备设施定期检查，发现问题应首先做好记录，及时维修解决。如有需要更换设备原厂配件或大、中修等项目，中标养护单位应及时上报区绿化中心，由绿化中心核实情况后统一采购设备、统一委托施工单位进行维修，维修完成后需由施工方、管理方和区绿化中心共同验收合格后再交付使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9</w:t>
      </w:r>
      <w:r>
        <w:rPr>
          <w:rFonts w:hint="eastAsia" w:hAnsi="宋体"/>
          <w:color w:val="auto"/>
          <w:szCs w:val="24"/>
          <w:highlight w:val="none"/>
        </w:rPr>
        <w:t>）假山叠石</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中标单位应确保公园中的假山叠石保持完整、稳固、安全。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10</w:t>
      </w:r>
      <w:r>
        <w:rPr>
          <w:rFonts w:hint="eastAsia" w:hAnsi="宋体"/>
          <w:color w:val="auto"/>
          <w:szCs w:val="24"/>
          <w:highlight w:val="none"/>
        </w:rPr>
        <w:t>）娱乐、健身、体育、儿童设施</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中标单位应确保公园中的娱乐、健身、体育、儿童游戏设施应有专人负责管理，每日检查清洁和机械运转情况，每月定期检测和维修，并做好检修记录。</w:t>
      </w:r>
    </w:p>
    <w:p>
      <w:pPr>
        <w:rPr>
          <w:rFonts w:hAnsi="宋体"/>
          <w:color w:val="auto"/>
          <w:szCs w:val="24"/>
          <w:highlight w:val="none"/>
        </w:rPr>
      </w:pPr>
      <w:r>
        <w:rPr>
          <w:rFonts w:hint="eastAsia" w:hAnsi="宋体"/>
          <w:color w:val="auto"/>
          <w:szCs w:val="24"/>
          <w:highlight w:val="none"/>
        </w:rPr>
        <w:t>三、公园绿地经营服务、活动管理要求</w:t>
      </w:r>
    </w:p>
    <w:p>
      <w:pPr>
        <w:tabs>
          <w:tab w:val="left" w:pos="3780"/>
        </w:tabs>
        <w:ind w:firstLine="240" w:firstLineChars="1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）中标单位应与公园内的经营服务单位处理好关系，做好经营服务单位的窗口服务、文明经营、安全保卫等方面的监督管理工作。对不符合公园管理要求的行为和现象要及时制止并上报区绿化中心。</w:t>
      </w:r>
    </w:p>
    <w:p>
      <w:pPr>
        <w:tabs>
          <w:tab w:val="left" w:pos="3780"/>
        </w:tabs>
        <w:ind w:firstLine="240" w:firstLineChars="1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在接到区绿化中心关于公园活动审批许可后，应安排专人与活动方人员对接，活动前明确搭台、安保、保洁等具体细节工作，活动结束后做好公园的绿化设施维护和场地的卫生保洁工作，确保在活动结束后的半天内完成撤场，恢复公园景观面貌。</w:t>
      </w:r>
    </w:p>
    <w:p>
      <w:pPr>
        <w:adjustRightInd w:val="0"/>
        <w:snapToGrid w:val="0"/>
        <w:rPr>
          <w:rFonts w:hAnsi="宋体"/>
          <w:color w:val="auto"/>
          <w:szCs w:val="24"/>
          <w:highlight w:val="none"/>
        </w:rPr>
      </w:pPr>
      <w:r>
        <w:rPr>
          <w:rFonts w:hint="eastAsia" w:hAnsi="宋体"/>
          <w:color w:val="auto"/>
          <w:szCs w:val="24"/>
          <w:highlight w:val="none"/>
        </w:rPr>
        <w:t>四、公园绿地安全和保卫管理要求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中标单位一定要牢固树立“安全第一”、“安全责任重于泰山”的工作理念，提高对安全管理工作的认识，把保证安全工作放在各项工作的首位，要配备安全管理人员，完善各项安全生产规章制度，切实落实安全生产措施，明确安全生产工作责任，定期对职工和作业人员的安全生产教育，做到警钟长鸣，长治久安。</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要加强消防安全监管，切实做好防火工作，公园内禁止擅自烧烤、焚烧枯枝落叶等行为，主要建筑物和设施内，如办公室、地下室、配电间、弱电室、仓库等必须按照消防要求配备一定数量的灭火器材，防患于未然。</w:t>
      </w:r>
    </w:p>
    <w:p>
      <w:pPr>
        <w:adjustRightInd w:val="0"/>
        <w:snapToGrid w:val="0"/>
        <w:ind w:left="1"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要强化绿地内用电安全管理，配电间门要常锁闭，钥匙由专人管理，出入要登记。路灯、庭院灯、草坪灯、泛光灯、地埋灯、水下灯、低压装饰灯等照明设施，应保持完整、清洁，无安全隐患。泵房、空调、水箱、机修等各种动力设备应安全用电，由具有资质人员操作，喷水池等可能存在隐患供电点应为低压供电，安保、通讯、网络等各种弱电系统应有专业单位人员负责养管，保证设备完整运转。绿地内电器设施维修工作人员必须具备电工资质。</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中标单位要严格按照技术规程，制定安全措施，确保工作人员和游客的安全，作业或养护有可能对游客正常游园造成影响的，要事先告知，项目作业、养护时要注意加强现场围护，作业堆料、绿化垃圾要划定专门区域堆放并用遮盖物覆盖，作业完毕后要工完场清。公园内农药、试剂、汽油等危险品、易燃品要落实专人保管，使用要登记。</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）中标单位要加强信息沟通。中标单位负责人应保持手机等通讯工具</w:t>
      </w:r>
      <w:r>
        <w:rPr>
          <w:rFonts w:hAnsi="宋体"/>
          <w:color w:val="auto"/>
          <w:szCs w:val="24"/>
          <w:highlight w:val="none"/>
        </w:rPr>
        <w:t>24</w:t>
      </w:r>
      <w:r>
        <w:rPr>
          <w:rFonts w:hint="eastAsia" w:hAnsi="宋体"/>
          <w:color w:val="auto"/>
          <w:szCs w:val="24"/>
          <w:highlight w:val="none"/>
        </w:rPr>
        <w:t>小时通畅，如发生安全、伤亡等事故，应及时向区绿化中心及相关管理部门报告，并按规定保护事故现场。</w:t>
      </w:r>
    </w:p>
    <w:p>
      <w:pPr>
        <w:pStyle w:val="2"/>
        <w:adjustRightInd w:val="0"/>
        <w:snapToGrid w:val="0"/>
        <w:spacing w:before="0" w:beforeAutospacing="0" w:after="0" w:afterAutospacing="0" w:line="360" w:lineRule="auto"/>
        <w:jc w:val="both"/>
        <w:rPr>
          <w:rFonts w:cs="Times New Roman"/>
          <w:color w:val="auto"/>
          <w:kern w:val="2"/>
          <w:highlight w:val="none"/>
        </w:rPr>
      </w:pPr>
      <w:r>
        <w:rPr>
          <w:rFonts w:hint="eastAsia" w:cs="Times New Roman"/>
          <w:color w:val="auto"/>
          <w:kern w:val="2"/>
          <w:highlight w:val="none"/>
        </w:rPr>
        <w:t>五、公园绿地文明行业管理要求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公园文明行业创建工作是我区绿化行业精神文明创建活动的重要组成部分，是提高公园窗口服务质量，促进绿化行业协调发展的重要载体。中标单位应在区绿化中心的领导下组织开展公园的创建工作并安排专人负责此项工作的开展。中标单位作为文明行业创建工作的实施者，要立足公园行业特点，结合工作实际，制定操作性强、标准明确的文明行业创建实施计划，认真组织实施。</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做好公园的志愿者管理。配合区绿化中心积极做好文明监督、护绿保洁、治安防范等工作；做好公园拳操队和晨练体锻队伍的引导和管理工作；配合区绿化管理中心制定公园活动年度计划，并负责公园活动的开展实施。</w:t>
      </w:r>
    </w:p>
    <w:p>
      <w:pPr>
        <w:adjustRightInd w:val="0"/>
        <w:snapToGrid w:val="0"/>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）中标单位做好公园绿地各项便民便利服务措施。认真听取公园游客的建议、意见，并做好公园游客投诉的处理工作。</w:t>
      </w:r>
    </w:p>
    <w:p>
      <w:pPr>
        <w:ind w:firstLine="240" w:firstLineChars="100"/>
        <w:rPr>
          <w:rFonts w:hAnsi="宋体"/>
          <w:color w:val="auto"/>
          <w:szCs w:val="24"/>
          <w:highlight w:val="none"/>
        </w:rPr>
      </w:pPr>
      <w:r>
        <w:rPr>
          <w:rFonts w:hAnsi="宋体"/>
          <w:color w:val="auto"/>
          <w:szCs w:val="24"/>
          <w:highlight w:val="none"/>
        </w:rPr>
        <w:t>3.7.4</w:t>
      </w:r>
      <w:r>
        <w:rPr>
          <w:rFonts w:hint="eastAsia" w:hAnsi="宋体"/>
          <w:color w:val="auto"/>
          <w:szCs w:val="24"/>
          <w:highlight w:val="none"/>
        </w:rPr>
        <w:t>绿地具体养护操作规范</w:t>
      </w:r>
    </w:p>
    <w:p>
      <w:pPr>
        <w:rPr>
          <w:rFonts w:hAnsi="宋体"/>
          <w:color w:val="auto"/>
          <w:szCs w:val="24"/>
          <w:highlight w:val="none"/>
        </w:rPr>
      </w:pPr>
      <w:r>
        <w:rPr>
          <w:rFonts w:hint="eastAsia" w:hAnsi="宋体"/>
          <w:color w:val="auto"/>
          <w:szCs w:val="24"/>
          <w:highlight w:val="none"/>
        </w:rPr>
        <w:t>总体要求：</w:t>
      </w:r>
    </w:p>
    <w:p>
      <w:pPr>
        <w:rPr>
          <w:rFonts w:hAnsi="宋体"/>
          <w:color w:val="auto"/>
          <w:szCs w:val="24"/>
          <w:highlight w:val="none"/>
        </w:rPr>
      </w:pPr>
      <w:r>
        <w:rPr>
          <w:rFonts w:hint="eastAsia" w:hAnsi="宋体"/>
          <w:color w:val="auto"/>
          <w:szCs w:val="24"/>
          <w:highlight w:val="none"/>
        </w:rPr>
        <w:t>遵守各项规章制度；统一着装，佩戴胸牌；不得在工作岗位上吸烟、进食，阅读书报及听广播、干私活；不得串岗、并岗，因事离岗必须经队长同意；工作中必须严格执行《安全操作规程》，按《安全操作规程》进行养护工作；必须仪表整洁，礼貌待客，不与游客争吵。</w:t>
      </w:r>
    </w:p>
    <w:p>
      <w:pPr>
        <w:rPr>
          <w:rFonts w:hAnsi="宋体"/>
          <w:color w:val="auto"/>
          <w:szCs w:val="24"/>
          <w:highlight w:val="none"/>
        </w:rPr>
      </w:pPr>
      <w:r>
        <w:rPr>
          <w:rFonts w:hint="eastAsia" w:hAnsi="宋体"/>
          <w:color w:val="auto"/>
          <w:szCs w:val="24"/>
          <w:highlight w:val="none"/>
        </w:rPr>
        <w:t>绿化养护：</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）除执行绿地养护景观标准外，应结合绿地的实际情况，根据新种植物的生长习性和要求，适时进行根外施肥和施基肥，树杆伤口或大剪口应用羊毛脂封口。</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）根据设计意图和养护效果，合理修剪，以达到设计和养护目的。</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）加强新种引进苗木病虫害的监测，及时发现及早防治。</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）做好新种大树的抗旱工作，抗旱浇水应避开高温，宜晨或夜间浇水。</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）做好防汛防台和应急抢险工作。</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）草坪养护根据季节及时修剪，高度控制在</w:t>
      </w:r>
      <w:r>
        <w:rPr>
          <w:rFonts w:hAnsi="宋体"/>
          <w:color w:val="auto"/>
          <w:szCs w:val="24"/>
          <w:highlight w:val="none"/>
        </w:rPr>
        <w:t>3-5</w:t>
      </w:r>
      <w:r>
        <w:rPr>
          <w:rFonts w:hint="eastAsia" w:hAnsi="宋体"/>
          <w:color w:val="auto"/>
          <w:szCs w:val="24"/>
          <w:highlight w:val="none"/>
        </w:rPr>
        <w:t>厘米，每年冬季施一次基肥，其他季节每月一次追肥。</w:t>
      </w:r>
    </w:p>
    <w:p>
      <w:pPr>
        <w:rPr>
          <w:rFonts w:hAnsi="宋体"/>
          <w:color w:val="auto"/>
          <w:szCs w:val="24"/>
          <w:highlight w:val="none"/>
        </w:rPr>
      </w:pPr>
      <w:r>
        <w:rPr>
          <w:rFonts w:hint="eastAsia" w:hAnsi="宋体"/>
          <w:color w:val="auto"/>
          <w:szCs w:val="24"/>
          <w:highlight w:val="none"/>
        </w:rPr>
        <w:t>水体：</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）执行瀑布水泵开放时间规定。</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）水体必须保持清洁，不能有垃圾和漂浮物。</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）水生植物不能有残花败叶，观赏鱼每天定时投饵一次。</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）不准在水池中洗涤东西。</w:t>
      </w:r>
    </w:p>
    <w:p>
      <w:pPr>
        <w:rPr>
          <w:rFonts w:hAnsi="宋体"/>
          <w:color w:val="auto"/>
          <w:szCs w:val="24"/>
          <w:highlight w:val="none"/>
        </w:rPr>
      </w:pPr>
      <w:r>
        <w:rPr>
          <w:rFonts w:hint="eastAsia" w:hAnsi="宋体"/>
          <w:color w:val="auto"/>
          <w:szCs w:val="24"/>
          <w:highlight w:val="none"/>
        </w:rPr>
        <w:t>保洁：</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）每天包干区不间断打扫，并随时捡拾保洁，做到绿地、水体保洁无死角，道路侧石，台阶无泥浆淤结。</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）废物箱每天清洗不少于</w:t>
      </w:r>
      <w:r>
        <w:rPr>
          <w:rFonts w:hAnsi="宋体"/>
          <w:color w:val="auto"/>
          <w:szCs w:val="24"/>
          <w:highlight w:val="none"/>
        </w:rPr>
        <w:t>1</w:t>
      </w:r>
      <w:r>
        <w:rPr>
          <w:rFonts w:hint="eastAsia" w:hAnsi="宋体"/>
          <w:color w:val="auto"/>
          <w:szCs w:val="24"/>
          <w:highlight w:val="none"/>
        </w:rPr>
        <w:t>次，清除废物箱垃圾一天二次，亭、廊及绿地内的石台、石凳要每天擦二次，保证所有座椅无水迹。</w:t>
      </w:r>
    </w:p>
    <w:p>
      <w:pPr>
        <w:ind w:firstLine="480"/>
        <w:rPr>
          <w:rFonts w:hAnsi="宋体"/>
          <w:color w:val="auto"/>
          <w:szCs w:val="24"/>
          <w:highlight w:val="none"/>
        </w:rPr>
      </w:pPr>
      <w:r>
        <w:rPr>
          <w:rFonts w:hint="eastAsia" w:hAnsi="宋体"/>
          <w:color w:val="auto"/>
          <w:szCs w:val="24"/>
          <w:highlight w:val="none"/>
        </w:rPr>
        <w:t>3.8  街区绿化养护要求</w:t>
      </w:r>
    </w:p>
    <w:p>
      <w:pPr>
        <w:ind w:firstLine="480"/>
        <w:rPr>
          <w:rFonts w:hAnsi="宋体"/>
          <w:color w:val="auto"/>
          <w:szCs w:val="24"/>
          <w:highlight w:val="none"/>
        </w:rPr>
      </w:pPr>
      <w:r>
        <w:rPr>
          <w:rFonts w:hint="eastAsia" w:hAnsi="宋体"/>
          <w:color w:val="auto"/>
          <w:szCs w:val="24"/>
          <w:highlight w:val="none"/>
        </w:rPr>
        <w:t>3.8.1  街区绿化养护管理要求</w:t>
      </w:r>
    </w:p>
    <w:p>
      <w:pPr>
        <w:ind w:firstLine="480"/>
        <w:rPr>
          <w:rFonts w:hAnsi="宋体"/>
          <w:color w:val="auto"/>
          <w:szCs w:val="24"/>
          <w:highlight w:val="none"/>
        </w:rPr>
      </w:pPr>
      <w:r>
        <w:rPr>
          <w:rFonts w:hint="eastAsia" w:hAnsi="宋体"/>
          <w:color w:val="auto"/>
          <w:szCs w:val="24"/>
          <w:highlight w:val="none"/>
        </w:rPr>
        <w:t>1、街区绿化景观管理要求</w:t>
      </w:r>
    </w:p>
    <w:p>
      <w:pPr>
        <w:ind w:firstLine="480"/>
        <w:rPr>
          <w:rFonts w:hAnsi="宋体"/>
          <w:color w:val="auto"/>
          <w:szCs w:val="24"/>
          <w:highlight w:val="none"/>
        </w:rPr>
      </w:pPr>
      <w:r>
        <w:rPr>
          <w:rFonts w:hint="eastAsia" w:hAnsi="宋体"/>
          <w:color w:val="auto"/>
          <w:szCs w:val="24"/>
          <w:highlight w:val="none"/>
        </w:rPr>
        <w:t>绿地景观应做到植物群落结构合理，植株疏密得当，层次分明，生长势良好，无显著病虫害，整体景观优美，具体要求如下：</w:t>
      </w:r>
    </w:p>
    <w:p>
      <w:pPr>
        <w:ind w:firstLine="480"/>
        <w:rPr>
          <w:rFonts w:hAnsi="宋体"/>
          <w:color w:val="auto"/>
          <w:szCs w:val="24"/>
          <w:highlight w:val="none"/>
        </w:rPr>
      </w:pPr>
      <w:r>
        <w:rPr>
          <w:rFonts w:hint="eastAsia" w:hAnsi="宋体"/>
          <w:color w:val="auto"/>
          <w:szCs w:val="24"/>
          <w:highlight w:val="none"/>
        </w:rPr>
        <w:t>（1）绿化植物养护应按</w:t>
      </w:r>
      <w:r>
        <w:rPr>
          <w:rFonts w:hint="eastAsia" w:hAnsi="宋体"/>
          <w:color w:val="auto"/>
          <w:szCs w:val="24"/>
          <w:highlight w:val="none"/>
        </w:rPr>
        <w:t>《园林绿化养护标准》DG/TJ 08-19-2023</w:t>
      </w:r>
      <w:r>
        <w:rPr>
          <w:rFonts w:hint="eastAsia" w:hAnsi="宋体"/>
          <w:color w:val="auto"/>
          <w:szCs w:val="24"/>
          <w:highlight w:val="none"/>
        </w:rPr>
        <w:t>和市局白玉兰杯的考核标准执行。</w:t>
      </w:r>
      <w:r>
        <w:rPr>
          <w:rFonts w:hint="eastAsia" w:hAnsi="宋体"/>
          <w:color w:val="auto"/>
          <w:szCs w:val="24"/>
          <w:highlight w:val="none"/>
        </w:rPr>
        <w:t>绿化元素包含的树木、花卉、草坪和草地、地被植物、水生植物、竹类、行道树、古树名木和古树后续资源、立体绿化、容器绿化、园林建构筑物、道路和地坪、假山和叠石、园桌、园椅和园凳、娱乐健身设施、垃圾箱、雕塑、标识标牌和宣传设施、灯光和照明设施、广播和监控设施、消防设施、无障碍设施、土壤、水体等进行科学养管</w:t>
      </w:r>
      <w:r>
        <w:rPr>
          <w:rFonts w:hint="eastAsia" w:hAnsi="宋体"/>
          <w:color w:val="auto"/>
          <w:szCs w:val="24"/>
          <w:highlight w:val="none"/>
        </w:rPr>
        <w:t>，达到相应标准。</w:t>
      </w:r>
    </w:p>
    <w:p>
      <w:pPr>
        <w:ind w:firstLine="480"/>
        <w:rPr>
          <w:rFonts w:hAnsi="宋体"/>
          <w:color w:val="auto"/>
          <w:szCs w:val="24"/>
          <w:highlight w:val="none"/>
        </w:rPr>
      </w:pPr>
      <w:r>
        <w:rPr>
          <w:rFonts w:hint="eastAsia" w:hAnsi="宋体"/>
          <w:color w:val="auto"/>
          <w:szCs w:val="24"/>
          <w:highlight w:val="none"/>
        </w:rPr>
        <w:t>（2）中标单位应按照绿地总体规划和植物配置设计，实施植物的栽植、调整和养护，使绿地的园林景观面貌始终保持最佳状态。</w:t>
      </w:r>
    </w:p>
    <w:p>
      <w:pPr>
        <w:ind w:firstLine="480"/>
        <w:rPr>
          <w:rFonts w:hAnsi="宋体"/>
          <w:color w:val="auto"/>
          <w:szCs w:val="24"/>
          <w:highlight w:val="none"/>
        </w:rPr>
      </w:pPr>
      <w:r>
        <w:rPr>
          <w:rFonts w:hint="eastAsia" w:hAnsi="宋体"/>
          <w:color w:val="auto"/>
          <w:szCs w:val="24"/>
          <w:highlight w:val="none"/>
        </w:rPr>
        <w:t>（3）中标单位应提供全年养护计划、技术措施及植物调整计划，</w:t>
      </w:r>
      <w:r>
        <w:rPr>
          <w:rFonts w:hint="eastAsia" w:hAnsi="宋体"/>
          <w:color w:val="auto"/>
          <w:szCs w:val="24"/>
          <w:highlight w:val="none"/>
        </w:rPr>
        <w:t>应有元旦、春节、五一、七一、十一、进博会等重要节日花坛、景点、立体绿化布置和全年用花计划。</w:t>
      </w:r>
      <w:r>
        <w:rPr>
          <w:rFonts w:hint="eastAsia" w:hAnsi="宋体"/>
          <w:color w:val="auto"/>
          <w:szCs w:val="24"/>
          <w:highlight w:val="none"/>
        </w:rPr>
        <w:t>做好花坛花境的方案设计工作和花卉布置实施工作，确保在全市的花坛花境评比中取得好成绩。</w:t>
      </w:r>
    </w:p>
    <w:p>
      <w:pPr>
        <w:ind w:firstLine="480"/>
        <w:rPr>
          <w:rFonts w:hAnsi="宋体"/>
          <w:color w:val="auto"/>
          <w:szCs w:val="24"/>
          <w:highlight w:val="none"/>
        </w:rPr>
      </w:pPr>
      <w:r>
        <w:rPr>
          <w:rFonts w:hint="eastAsia" w:hAnsi="宋体"/>
          <w:color w:val="auto"/>
          <w:szCs w:val="24"/>
          <w:highlight w:val="none"/>
        </w:rPr>
        <w:t>（4）中标单位应做好日常养护、巡查、自检工作、重点区域、一般区域巡查频率、巡查记录工作的记录，</w:t>
      </w:r>
      <w:r>
        <w:rPr>
          <w:rFonts w:hint="eastAsia" w:hAnsi="宋体"/>
          <w:color w:val="auto"/>
          <w:szCs w:val="24"/>
          <w:highlight w:val="none"/>
        </w:rPr>
        <w:t>建立口袋公园、绿化特色道路、绿道、花道、重点树种的专项档案和养护日志，逐步建立精细化养护方案。</w:t>
      </w:r>
    </w:p>
    <w:p>
      <w:pPr>
        <w:ind w:firstLine="480"/>
        <w:rPr>
          <w:rFonts w:hAnsi="宋体"/>
          <w:color w:val="auto"/>
          <w:szCs w:val="24"/>
          <w:highlight w:val="none"/>
        </w:rPr>
      </w:pPr>
      <w:r>
        <w:rPr>
          <w:rFonts w:hint="eastAsia" w:hAnsi="宋体"/>
          <w:color w:val="auto"/>
          <w:szCs w:val="24"/>
          <w:highlight w:val="none"/>
        </w:rPr>
        <w:t>（5）中标单位应做好绿地内的古树名木及古树后续资源保护工作。保持植株自然面貌，观赏价值高，设立有效保护范围，竖立保护铭牌，古树名木保护应符合《上海市古树名木和古树后续资源保护条例》各项规定。</w:t>
      </w:r>
    </w:p>
    <w:p>
      <w:pPr>
        <w:ind w:firstLine="480"/>
        <w:rPr>
          <w:rFonts w:hAnsi="宋体"/>
          <w:color w:val="auto"/>
          <w:szCs w:val="24"/>
          <w:highlight w:val="none"/>
        </w:rPr>
      </w:pPr>
      <w:r>
        <w:rPr>
          <w:rFonts w:hint="eastAsia" w:hAnsi="宋体"/>
          <w:color w:val="auto"/>
          <w:szCs w:val="24"/>
          <w:highlight w:val="none"/>
        </w:rPr>
        <w:t>（6）中标单位应按《绿化植物保护技术规程》DG/TJ08-35-2014做好绿地的植物保护工作，“预防为主、科学防控”以提高植物保护工作能力和质量。要确保养护费用中植保经费的专项使用。植保工作要有专人负责，做到工作有计划、有总结，监测有数据，防治有记录。做好防治药剂和防治机械设备的储备。做好有害生物监测工作，落实专人负责监测数据的记录和按要求上报制度。</w:t>
      </w:r>
    </w:p>
    <w:p>
      <w:pPr>
        <w:ind w:firstLine="480"/>
        <w:rPr>
          <w:rFonts w:hAnsi="宋体"/>
          <w:color w:val="auto"/>
          <w:szCs w:val="24"/>
          <w:highlight w:val="none"/>
        </w:rPr>
      </w:pPr>
      <w:r>
        <w:rPr>
          <w:rFonts w:hint="eastAsia" w:hAnsi="宋体"/>
          <w:color w:val="auto"/>
          <w:szCs w:val="24"/>
          <w:highlight w:val="none"/>
        </w:rPr>
        <w:t>（7）加强对检疫性害虫（特别是美国白蛾）及悬铃木方翅网蝽、星天牛、白蚁、枫香刺小蠹、悬铃木白粉病及煤污病（即“四虫二病”）等绿化重点有害生物的监测和防控，同时做好其它绿化有害生物的防控工作。防控工作以“绿色、环保、可控”为目标，推进药剂减量化，因虫施策，绿色防控，并做好“绿色防控”技术的推广。</w:t>
      </w:r>
    </w:p>
    <w:p>
      <w:pPr>
        <w:ind w:firstLine="480"/>
        <w:rPr>
          <w:rFonts w:hAnsi="宋体"/>
          <w:color w:val="auto"/>
          <w:szCs w:val="24"/>
          <w:highlight w:val="none"/>
        </w:rPr>
      </w:pPr>
      <w:r>
        <w:rPr>
          <w:rFonts w:hint="eastAsia" w:hAnsi="宋体"/>
          <w:color w:val="auto"/>
          <w:szCs w:val="24"/>
          <w:highlight w:val="none"/>
        </w:rPr>
        <w:t>（8）中标单位应按照区绿化中心要求做好市局和区政府的各项行业考核工作，确保绿地的养护管理工作在各项考核中达到优秀。</w:t>
      </w:r>
    </w:p>
    <w:p>
      <w:pPr>
        <w:ind w:firstLine="480"/>
        <w:rPr>
          <w:rFonts w:hAnsi="宋体"/>
          <w:color w:val="auto"/>
          <w:szCs w:val="24"/>
          <w:highlight w:val="none"/>
        </w:rPr>
      </w:pPr>
      <w:r>
        <w:rPr>
          <w:rFonts w:hint="eastAsia" w:hAnsi="宋体"/>
          <w:color w:val="auto"/>
          <w:szCs w:val="24"/>
          <w:highlight w:val="none"/>
        </w:rPr>
        <w:t xml:space="preserve"> </w:t>
      </w:r>
      <w:r>
        <w:rPr>
          <w:rFonts w:hint="eastAsia" w:hAnsi="宋体"/>
          <w:color w:val="auto"/>
          <w:szCs w:val="24"/>
          <w:highlight w:val="none"/>
        </w:rPr>
        <w:t>(9) 中标单位应做好绿地监管工作，如遇调查统计、审批改造、行政许可苗木搬迁等情况，积极配合。如遇毁绿、占绿行为，应及时制止，并向区绿化中心及相关管理部门报告。</w:t>
      </w:r>
    </w:p>
    <w:p>
      <w:pPr>
        <w:ind w:firstLine="480"/>
        <w:rPr>
          <w:rFonts w:hAnsi="宋体"/>
          <w:color w:val="auto"/>
          <w:szCs w:val="24"/>
          <w:highlight w:val="none"/>
        </w:rPr>
      </w:pPr>
      <w:r>
        <w:rPr>
          <w:rFonts w:hint="eastAsia" w:hAnsi="宋体"/>
          <w:color w:val="auto"/>
          <w:szCs w:val="24"/>
          <w:highlight w:val="none"/>
        </w:rPr>
        <w:t>2、绿地设施设备管理要求</w:t>
      </w:r>
    </w:p>
    <w:p>
      <w:pPr>
        <w:ind w:firstLine="480"/>
        <w:rPr>
          <w:rFonts w:hAnsi="宋体"/>
          <w:color w:val="auto"/>
          <w:szCs w:val="24"/>
          <w:highlight w:val="none"/>
        </w:rPr>
      </w:pPr>
      <w:r>
        <w:rPr>
          <w:rFonts w:hint="eastAsia" w:hAnsi="宋体"/>
          <w:color w:val="auto"/>
          <w:szCs w:val="24"/>
          <w:highlight w:val="none"/>
        </w:rPr>
        <w:t>中标单位应确保绿地的设施设备“正常运行无故障、安全生产无事故、维修及时无影响、日常检查无隐患”，具体要求如下：</w:t>
      </w:r>
    </w:p>
    <w:p>
      <w:pPr>
        <w:ind w:firstLine="480"/>
        <w:rPr>
          <w:rFonts w:hAnsi="宋体"/>
          <w:color w:val="auto"/>
          <w:szCs w:val="24"/>
          <w:highlight w:val="none"/>
        </w:rPr>
      </w:pPr>
      <w:r>
        <w:rPr>
          <w:rFonts w:hint="eastAsia" w:hAnsi="宋体"/>
          <w:color w:val="auto"/>
          <w:szCs w:val="24"/>
          <w:highlight w:val="none"/>
        </w:rPr>
        <w:t>（1）建筑物、小品</w:t>
      </w:r>
    </w:p>
    <w:p>
      <w:pPr>
        <w:ind w:firstLine="480"/>
        <w:rPr>
          <w:rFonts w:hAnsi="宋体"/>
          <w:color w:val="auto"/>
          <w:szCs w:val="24"/>
          <w:highlight w:val="none"/>
        </w:rPr>
      </w:pPr>
      <w:r>
        <w:rPr>
          <w:rFonts w:hint="eastAsia" w:hAnsi="宋体"/>
          <w:color w:val="auto"/>
          <w:szCs w:val="24"/>
          <w:highlight w:val="none"/>
        </w:rPr>
        <w:t>建筑小品均不得有违章搭建，要保持外型完好整洁，无乱张贴、乱涂写、乱刻画；绿地内各类附属设施应每日检查保持设施完好。如有损坏应即时修复，大面积的修复时应设有临时围护隔离。设施油漆每年应至少一次，于每年5月1日或10月1日前完成；椅、凳、台、花坛应固定位置，根据游人活动规律在不影响绿化情况下可增设安放椅凳。</w:t>
      </w:r>
    </w:p>
    <w:p>
      <w:pPr>
        <w:ind w:firstLine="480"/>
        <w:rPr>
          <w:rFonts w:hAnsi="宋体"/>
          <w:color w:val="auto"/>
          <w:szCs w:val="24"/>
          <w:highlight w:val="none"/>
        </w:rPr>
      </w:pPr>
      <w:r>
        <w:rPr>
          <w:rFonts w:hint="eastAsia" w:hAnsi="宋体"/>
          <w:color w:val="auto"/>
          <w:szCs w:val="24"/>
          <w:highlight w:val="none"/>
        </w:rPr>
        <w:t>（2）雕塑</w:t>
      </w:r>
    </w:p>
    <w:p>
      <w:pPr>
        <w:ind w:firstLine="480"/>
        <w:rPr>
          <w:rFonts w:hAnsi="宋体"/>
          <w:color w:val="auto"/>
          <w:szCs w:val="24"/>
          <w:highlight w:val="none"/>
        </w:rPr>
      </w:pPr>
      <w:r>
        <w:rPr>
          <w:rFonts w:hint="eastAsia" w:hAnsi="宋体"/>
          <w:color w:val="auto"/>
          <w:szCs w:val="24"/>
          <w:highlight w:val="none"/>
        </w:rPr>
        <w:t>中标单位应做好绿地中的雕塑定期检查、按期保养工作，保持好绿地雕塑的结构、基础安全稳定。</w:t>
      </w:r>
    </w:p>
    <w:p>
      <w:pPr>
        <w:ind w:firstLine="480"/>
        <w:rPr>
          <w:rFonts w:hAnsi="宋体"/>
          <w:color w:val="auto"/>
          <w:szCs w:val="24"/>
          <w:highlight w:val="none"/>
        </w:rPr>
      </w:pPr>
      <w:r>
        <w:rPr>
          <w:rFonts w:hint="eastAsia" w:hAnsi="宋体"/>
          <w:color w:val="auto"/>
          <w:szCs w:val="24"/>
          <w:highlight w:val="none"/>
        </w:rPr>
        <w:t>（3）道路地坪</w:t>
      </w:r>
    </w:p>
    <w:p>
      <w:pPr>
        <w:ind w:firstLine="480"/>
        <w:rPr>
          <w:rFonts w:hAnsi="宋体"/>
          <w:color w:val="auto"/>
          <w:szCs w:val="24"/>
          <w:highlight w:val="none"/>
        </w:rPr>
      </w:pPr>
      <w:r>
        <w:rPr>
          <w:rFonts w:hint="eastAsia" w:hAnsi="宋体"/>
          <w:color w:val="auto"/>
          <w:szCs w:val="24"/>
          <w:highlight w:val="none"/>
        </w:rPr>
        <w:t>中标单位应确保绿地中的道路地坪平整无破损，无积水，如有损坏应及时维修，木质地坪需每年防腐油漆1次，于每年5月1日前完成。如日常巡查中发现，有褪色、锈蚀现象，应在10月1日前再行修补一次。</w:t>
      </w:r>
    </w:p>
    <w:p>
      <w:pPr>
        <w:ind w:firstLine="480"/>
        <w:rPr>
          <w:rFonts w:hAnsi="宋体"/>
          <w:color w:val="auto"/>
          <w:szCs w:val="24"/>
          <w:highlight w:val="none"/>
        </w:rPr>
      </w:pPr>
      <w:r>
        <w:rPr>
          <w:rFonts w:hint="eastAsia" w:hAnsi="宋体"/>
          <w:color w:val="auto"/>
          <w:szCs w:val="24"/>
          <w:highlight w:val="none"/>
        </w:rPr>
        <w:t>（4）市政给水、排水</w:t>
      </w:r>
    </w:p>
    <w:p>
      <w:pPr>
        <w:ind w:firstLine="480"/>
        <w:rPr>
          <w:rFonts w:hAnsi="宋体"/>
          <w:color w:val="auto"/>
          <w:szCs w:val="24"/>
          <w:highlight w:val="none"/>
        </w:rPr>
      </w:pPr>
      <w:r>
        <w:rPr>
          <w:rFonts w:hint="eastAsia" w:hAnsi="宋体"/>
          <w:color w:val="auto"/>
          <w:szCs w:val="24"/>
          <w:highlight w:val="none"/>
        </w:rPr>
        <w:t>中标单位应确保绿地中的上下水管道保持畅通、无污染、无渗漏。现有排水管线应定期检修疏通；中标单位应确保绿地中的消防龙头、灌溉龙头、喷泉喷嘴、供水龙头等外露的给水设备，应随坏随修，随窃随装，避免浪费、污染环境；中标单位应确保绿地中的窨井、进水口、涵洞、闸门、泵房等外露的排水设备应保持完整、清洁，无隐患，老化、损坏、被盗窃的设施应及时更新。</w:t>
      </w:r>
    </w:p>
    <w:p>
      <w:pPr>
        <w:ind w:firstLine="480"/>
        <w:rPr>
          <w:rFonts w:hAnsi="宋体"/>
          <w:color w:val="auto"/>
          <w:szCs w:val="24"/>
          <w:highlight w:val="none"/>
        </w:rPr>
      </w:pPr>
      <w:r>
        <w:rPr>
          <w:rFonts w:hint="eastAsia" w:hAnsi="宋体"/>
          <w:color w:val="auto"/>
          <w:szCs w:val="24"/>
          <w:highlight w:val="none"/>
        </w:rPr>
        <w:t>（5）供电、照明、动力</w:t>
      </w:r>
    </w:p>
    <w:p>
      <w:pPr>
        <w:ind w:firstLine="480"/>
        <w:rPr>
          <w:rFonts w:hAnsi="宋体"/>
          <w:color w:val="auto"/>
          <w:szCs w:val="24"/>
          <w:highlight w:val="none"/>
        </w:rPr>
      </w:pPr>
      <w:r>
        <w:rPr>
          <w:rFonts w:hint="eastAsia" w:hAnsi="宋体"/>
          <w:color w:val="auto"/>
          <w:szCs w:val="24"/>
          <w:highlight w:val="none"/>
        </w:rPr>
        <w:t>中标单位应确保绿地中的路灯、庭院灯、草坪灯、泛光灯、地埋灯、水下灯、低压装饰灯等照明设施正常使用，应保持完整、清洁，无安全隐患，损坏后立即维修更换；中标单位应确保绿地中的泵房、空调、水箱、机修等各种动力设备应安全用电。</w:t>
      </w:r>
    </w:p>
    <w:p>
      <w:pPr>
        <w:ind w:firstLine="480"/>
        <w:rPr>
          <w:rFonts w:hAnsi="宋体"/>
          <w:color w:val="auto"/>
          <w:szCs w:val="24"/>
          <w:highlight w:val="none"/>
        </w:rPr>
      </w:pPr>
      <w:r>
        <w:rPr>
          <w:rFonts w:hint="eastAsia" w:hAnsi="宋体"/>
          <w:color w:val="auto"/>
          <w:szCs w:val="24"/>
          <w:highlight w:val="none"/>
        </w:rPr>
        <w:t>（6）门牌、导向牌、告示牌、广告牌报纸宣传廊及临时设置的各种横幅</w:t>
      </w:r>
    </w:p>
    <w:p>
      <w:pPr>
        <w:ind w:firstLine="480"/>
        <w:rPr>
          <w:rFonts w:hAnsi="宋体"/>
          <w:color w:val="auto"/>
          <w:szCs w:val="24"/>
          <w:highlight w:val="none"/>
        </w:rPr>
      </w:pPr>
      <w:r>
        <w:rPr>
          <w:rFonts w:hint="eastAsia" w:hAnsi="宋体"/>
          <w:color w:val="auto"/>
          <w:szCs w:val="24"/>
          <w:highlight w:val="none"/>
        </w:rPr>
        <w:t>中标单位应确保绿地中各项陈列资料应有专人负责，保持完整清洁，定期更换，报廊内报纸应每日更新；布告、宣传资料、临时设置的横幅等应在活动有效期过后即行更换拆除；广告宣传类应报经有关部门批准，其内容不得超越核定范围，应在规定期内拆除。</w:t>
      </w:r>
    </w:p>
    <w:p>
      <w:pPr>
        <w:ind w:firstLine="480"/>
        <w:rPr>
          <w:rFonts w:hAnsi="宋体"/>
          <w:color w:val="auto"/>
          <w:szCs w:val="24"/>
          <w:highlight w:val="none"/>
        </w:rPr>
      </w:pPr>
      <w:r>
        <w:rPr>
          <w:rFonts w:hint="eastAsia" w:hAnsi="宋体"/>
          <w:color w:val="auto"/>
          <w:szCs w:val="24"/>
          <w:highlight w:val="none"/>
        </w:rPr>
        <w:t>（7）无障碍设施</w:t>
      </w:r>
    </w:p>
    <w:p>
      <w:pPr>
        <w:ind w:firstLine="480"/>
        <w:rPr>
          <w:rFonts w:hAnsi="宋体"/>
          <w:color w:val="auto"/>
          <w:szCs w:val="24"/>
          <w:highlight w:val="none"/>
        </w:rPr>
      </w:pPr>
      <w:r>
        <w:rPr>
          <w:rFonts w:hint="eastAsia" w:hAnsi="宋体"/>
          <w:color w:val="auto"/>
          <w:szCs w:val="24"/>
          <w:highlight w:val="none"/>
        </w:rPr>
        <w:t>中标单位须确保绿地无障碍设施的安全有效。应有专人负责，随坏随修，确保无障碍设施的安全有效使用。</w:t>
      </w:r>
    </w:p>
    <w:p>
      <w:pPr>
        <w:ind w:firstLine="480"/>
        <w:rPr>
          <w:rFonts w:hAnsi="宋体"/>
          <w:color w:val="auto"/>
          <w:szCs w:val="24"/>
          <w:highlight w:val="none"/>
        </w:rPr>
      </w:pPr>
      <w:r>
        <w:rPr>
          <w:rFonts w:hint="eastAsia" w:hAnsi="宋体"/>
          <w:color w:val="auto"/>
          <w:szCs w:val="24"/>
          <w:highlight w:val="none"/>
        </w:rPr>
        <w:t>（8）设备、设施维护维修</w:t>
      </w:r>
    </w:p>
    <w:p>
      <w:pPr>
        <w:ind w:firstLine="480"/>
        <w:rPr>
          <w:rFonts w:hAnsi="宋体"/>
          <w:color w:val="auto"/>
          <w:szCs w:val="24"/>
          <w:highlight w:val="none"/>
        </w:rPr>
      </w:pPr>
      <w:r>
        <w:rPr>
          <w:rFonts w:hint="eastAsia" w:hAnsi="宋体"/>
          <w:color w:val="auto"/>
          <w:szCs w:val="24"/>
          <w:highlight w:val="none"/>
        </w:rPr>
        <w:t>中标单位应对绿地中各类设备设施定期检查，发现问题应首先做好记录，及时维修解决。如有需要更换设备原厂配件或大、中修等项目，中标养护单位应及时上报区绿化中心，由绿化中心核实情况后统一采购设备、统一委托施工单位进行维修，维修完成后需由施工方、管理方和区绿化中心共同验收合格后再交付使用。</w:t>
      </w:r>
    </w:p>
    <w:p>
      <w:pPr>
        <w:ind w:firstLine="480"/>
        <w:rPr>
          <w:rFonts w:hAnsi="宋体"/>
          <w:color w:val="auto"/>
          <w:szCs w:val="24"/>
          <w:highlight w:val="none"/>
        </w:rPr>
      </w:pPr>
      <w:r>
        <w:rPr>
          <w:rFonts w:hint="eastAsia" w:hAnsi="宋体"/>
          <w:color w:val="auto"/>
          <w:szCs w:val="24"/>
          <w:highlight w:val="none"/>
        </w:rPr>
        <w:t>3、立体绿化管理要求</w:t>
      </w:r>
    </w:p>
    <w:p>
      <w:pPr>
        <w:ind w:firstLine="480"/>
        <w:rPr>
          <w:rFonts w:hAnsi="宋体"/>
          <w:color w:val="auto"/>
          <w:szCs w:val="24"/>
          <w:highlight w:val="none"/>
        </w:rPr>
      </w:pPr>
      <w:r>
        <w:rPr>
          <w:rFonts w:hint="eastAsia" w:hAnsi="宋体"/>
          <w:color w:val="auto"/>
          <w:szCs w:val="24"/>
          <w:highlight w:val="none"/>
        </w:rPr>
        <w:t>（1） 立体绿化设施维护要求</w:t>
      </w:r>
    </w:p>
    <w:p>
      <w:pPr>
        <w:ind w:firstLine="480"/>
        <w:rPr>
          <w:rFonts w:hAnsi="宋体"/>
          <w:color w:val="auto"/>
          <w:szCs w:val="24"/>
          <w:highlight w:val="none"/>
        </w:rPr>
      </w:pPr>
      <w:r>
        <w:rPr>
          <w:rFonts w:hint="eastAsia" w:hAnsi="宋体"/>
          <w:color w:val="auto"/>
          <w:szCs w:val="24"/>
          <w:highlight w:val="none"/>
        </w:rPr>
        <w:t>①垂直绿化：挂网、铁质线、墙体支撑、给排水系统等设施应及时检修、保证完好。</w:t>
      </w:r>
    </w:p>
    <w:p>
      <w:pPr>
        <w:ind w:firstLine="480"/>
        <w:rPr>
          <w:rFonts w:hAnsi="宋体"/>
          <w:color w:val="auto"/>
          <w:szCs w:val="24"/>
          <w:highlight w:val="none"/>
        </w:rPr>
      </w:pPr>
      <w:r>
        <w:rPr>
          <w:rFonts w:hint="eastAsia" w:hAnsi="宋体"/>
          <w:color w:val="auto"/>
          <w:szCs w:val="24"/>
          <w:highlight w:val="none"/>
        </w:rPr>
        <w:t>②容器花箱：定期检查、及时替换已破损的构件，保证花箱景观的整体性和完整性。</w:t>
      </w:r>
    </w:p>
    <w:p>
      <w:pPr>
        <w:ind w:firstLine="480"/>
        <w:rPr>
          <w:rFonts w:hAnsi="宋体"/>
          <w:color w:val="auto"/>
          <w:szCs w:val="24"/>
          <w:highlight w:val="none"/>
        </w:rPr>
      </w:pPr>
      <w:r>
        <w:rPr>
          <w:rFonts w:hint="eastAsia" w:hAnsi="宋体"/>
          <w:color w:val="auto"/>
          <w:szCs w:val="24"/>
          <w:highlight w:val="none"/>
        </w:rPr>
        <w:t>（2） 立体绿化植物养护要求</w:t>
      </w:r>
    </w:p>
    <w:p>
      <w:pPr>
        <w:ind w:firstLine="480"/>
        <w:rPr>
          <w:rFonts w:hAnsi="宋体"/>
          <w:color w:val="auto"/>
          <w:szCs w:val="24"/>
          <w:highlight w:val="none"/>
        </w:rPr>
      </w:pPr>
      <w:r>
        <w:rPr>
          <w:rFonts w:hint="eastAsia" w:hAnsi="宋体"/>
          <w:color w:val="auto"/>
          <w:szCs w:val="24"/>
          <w:highlight w:val="none"/>
        </w:rPr>
        <w:t>垂直绿化：应按照《园林绿化养护技术规程》（DG/TJ08-19）相关条款规定执行；墙面攀爬或墙面贴植、春季应做好牵引固定；攀援植物秋季应及时松绑；攀援植物应及时修剪枯叶枯枝，并对向外生长枝条进行短截；新种植株修剪宜与理藤同时进行；栽植2年以上植株宜在2月—3月或花后进行；构件绿墙应及时更新长势差的植物；不可强行拉扯具有吸盘的植物落叶。</w:t>
      </w:r>
    </w:p>
    <w:p>
      <w:pPr>
        <w:ind w:firstLine="480"/>
        <w:rPr>
          <w:rFonts w:hAnsi="宋体"/>
          <w:color w:val="auto"/>
          <w:szCs w:val="24"/>
          <w:highlight w:val="none"/>
        </w:rPr>
      </w:pPr>
      <w:r>
        <w:rPr>
          <w:rFonts w:hint="eastAsia" w:hAnsi="宋体"/>
          <w:color w:val="auto"/>
          <w:szCs w:val="24"/>
          <w:highlight w:val="none"/>
        </w:rPr>
        <w:t>（3）其他养护作业要求：</w:t>
      </w:r>
    </w:p>
    <w:p>
      <w:pPr>
        <w:ind w:firstLine="480"/>
        <w:rPr>
          <w:rFonts w:hAnsi="宋体"/>
          <w:color w:val="auto"/>
          <w:szCs w:val="24"/>
          <w:highlight w:val="none"/>
        </w:rPr>
      </w:pPr>
      <w:r>
        <w:rPr>
          <w:rFonts w:hint="eastAsia" w:hAnsi="宋体"/>
          <w:color w:val="auto"/>
          <w:szCs w:val="24"/>
          <w:highlight w:val="none"/>
        </w:rPr>
        <w:t>①中标单位应提供养护计划、技术措施及植物调整计划。</w:t>
      </w:r>
    </w:p>
    <w:p>
      <w:pPr>
        <w:ind w:firstLine="480"/>
        <w:rPr>
          <w:rFonts w:hAnsi="宋体"/>
          <w:color w:val="auto"/>
          <w:szCs w:val="24"/>
          <w:highlight w:val="none"/>
        </w:rPr>
      </w:pPr>
      <w:r>
        <w:rPr>
          <w:rFonts w:hint="eastAsia" w:hAnsi="宋体"/>
          <w:color w:val="auto"/>
          <w:szCs w:val="24"/>
          <w:highlight w:val="none"/>
        </w:rPr>
        <w:t>②中标单位应做好日常养护工作的记录，逐步建立精细化养护方案。</w:t>
      </w:r>
    </w:p>
    <w:p>
      <w:pPr>
        <w:ind w:firstLine="480"/>
        <w:rPr>
          <w:rFonts w:hAnsi="宋体"/>
          <w:color w:val="auto"/>
          <w:szCs w:val="24"/>
          <w:highlight w:val="none"/>
        </w:rPr>
      </w:pPr>
      <w:r>
        <w:rPr>
          <w:rFonts w:hint="eastAsia" w:hAnsi="宋体"/>
          <w:color w:val="auto"/>
          <w:szCs w:val="24"/>
          <w:highlight w:val="none"/>
        </w:rPr>
        <w:t>③中标单位应参加区绿化中心组织的养护管理例会，汇报管理情况和管理计划等工作。</w:t>
      </w:r>
    </w:p>
    <w:p>
      <w:pPr>
        <w:ind w:firstLine="480"/>
        <w:rPr>
          <w:rFonts w:hAnsi="宋体"/>
          <w:color w:val="auto"/>
          <w:szCs w:val="24"/>
          <w:highlight w:val="none"/>
        </w:rPr>
      </w:pPr>
      <w:r>
        <w:rPr>
          <w:rFonts w:hint="eastAsia" w:hAnsi="宋体"/>
          <w:color w:val="auto"/>
          <w:szCs w:val="24"/>
          <w:highlight w:val="none"/>
        </w:rPr>
        <w:t>④中标单位应按照区绿化中心要求做好市局和区政府的各项行业考核工作，确保绿地的养护管理工作在各项考核中达到优秀。</w:t>
      </w:r>
    </w:p>
    <w:p>
      <w:pPr>
        <w:ind w:firstLine="480"/>
        <w:rPr>
          <w:rFonts w:hAnsi="宋体"/>
          <w:color w:val="auto"/>
          <w:szCs w:val="24"/>
          <w:highlight w:val="none"/>
        </w:rPr>
      </w:pPr>
      <w:r>
        <w:rPr>
          <w:rFonts w:hint="eastAsia" w:hAnsi="宋体"/>
          <w:color w:val="auto"/>
          <w:szCs w:val="24"/>
          <w:highlight w:val="none"/>
        </w:rPr>
        <w:t>⑤园林废弃物的收集利用：中标单位应建立垃圾分类、整理和回收利用体制，提倡再生物资的生产、利用；中标单位应对绿地修剪后的枯枝落叶应自行回收利用，严禁私自焚烧、填埋。</w:t>
      </w:r>
    </w:p>
    <w:p>
      <w:pPr>
        <w:ind w:firstLine="480"/>
        <w:rPr>
          <w:rFonts w:hAnsi="宋体"/>
          <w:color w:val="auto"/>
          <w:szCs w:val="24"/>
          <w:highlight w:val="none"/>
        </w:rPr>
      </w:pPr>
      <w:r>
        <w:rPr>
          <w:rFonts w:hint="eastAsia" w:hAnsi="宋体"/>
          <w:color w:val="auto"/>
          <w:szCs w:val="24"/>
          <w:highlight w:val="none"/>
        </w:rPr>
        <w:t>⑥遵守各项规章制度；统一着装，佩戴胸牌；不得在工作岗位上吸烟、进食，阅读书报及听广播、干私活；不得串岗、并岗，因事离岗必须经队长同意；工作中必须严格执行《安全操作规程》，按《安全操作规程》进行养护工作；必须仪表整洁，礼貌待客，不与市民争吵。</w:t>
      </w:r>
    </w:p>
    <w:p>
      <w:pPr>
        <w:ind w:firstLine="480"/>
        <w:rPr>
          <w:rFonts w:hAnsi="宋体"/>
          <w:color w:val="auto"/>
          <w:szCs w:val="24"/>
          <w:highlight w:val="none"/>
        </w:rPr>
      </w:pPr>
      <w:r>
        <w:rPr>
          <w:rFonts w:hint="eastAsia" w:hAnsi="宋体"/>
          <w:color w:val="auto"/>
          <w:szCs w:val="24"/>
          <w:highlight w:val="none"/>
        </w:rPr>
        <w:t>⑦做好相关养护范围内的保洁工作。</w:t>
      </w:r>
    </w:p>
    <w:p>
      <w:pPr>
        <w:ind w:firstLine="480"/>
        <w:rPr>
          <w:rFonts w:hAnsi="宋体"/>
          <w:color w:val="auto"/>
          <w:szCs w:val="24"/>
          <w:highlight w:val="none"/>
        </w:rPr>
      </w:pPr>
      <w:r>
        <w:rPr>
          <w:rFonts w:hint="eastAsia" w:hAnsi="宋体"/>
          <w:color w:val="auto"/>
          <w:szCs w:val="24"/>
          <w:highlight w:val="none"/>
        </w:rPr>
        <w:t>（4）立体绿化安全和保卫管理要求</w:t>
      </w:r>
    </w:p>
    <w:p>
      <w:pPr>
        <w:ind w:firstLine="480"/>
        <w:rPr>
          <w:rFonts w:hAnsi="宋体"/>
          <w:color w:val="auto"/>
          <w:szCs w:val="24"/>
          <w:highlight w:val="none"/>
        </w:rPr>
      </w:pPr>
      <w:r>
        <w:rPr>
          <w:rFonts w:hint="eastAsia" w:hAnsi="宋体"/>
          <w:color w:val="auto"/>
          <w:szCs w:val="24"/>
          <w:highlight w:val="none"/>
        </w:rPr>
        <w:t>①中标单位一定要牢固树立“安全第一”、“安全责任重于泰山”的工作理念，提高对安全管理工作的认识，把保证安全工作放在各项工作的首位，要配备专（兼）职的安全管理人员，完善各项安全生产规章制度，切实落实安全生产措施，明确安全生产工作责任，定期对职工和作业人员的安全生产教育，做到警钟长鸣，长治久安。</w:t>
      </w:r>
    </w:p>
    <w:p>
      <w:pPr>
        <w:ind w:firstLine="480"/>
        <w:rPr>
          <w:rFonts w:hAnsi="宋体"/>
          <w:color w:val="auto"/>
          <w:szCs w:val="24"/>
          <w:highlight w:val="none"/>
        </w:rPr>
      </w:pPr>
      <w:r>
        <w:rPr>
          <w:rFonts w:hint="eastAsia" w:hAnsi="宋体"/>
          <w:color w:val="auto"/>
          <w:szCs w:val="24"/>
          <w:highlight w:val="none"/>
        </w:rPr>
        <w:t>②中标单位要加强消防安全监管，切实做好防火工作，院内禁止擅自烧烤、焚烧枯枝落叶等行为。</w:t>
      </w:r>
    </w:p>
    <w:p>
      <w:pPr>
        <w:ind w:firstLine="480"/>
        <w:rPr>
          <w:rFonts w:hAnsi="宋体"/>
          <w:color w:val="auto"/>
          <w:szCs w:val="24"/>
          <w:highlight w:val="none"/>
        </w:rPr>
      </w:pPr>
      <w:r>
        <w:rPr>
          <w:rFonts w:hint="eastAsia" w:hAnsi="宋体"/>
          <w:color w:val="auto"/>
          <w:szCs w:val="24"/>
          <w:highlight w:val="none"/>
        </w:rPr>
        <w:t>③中标单位要强化绿地内用电安全管理。</w:t>
      </w:r>
    </w:p>
    <w:p>
      <w:pPr>
        <w:ind w:firstLine="480"/>
        <w:rPr>
          <w:rFonts w:hAnsi="宋体"/>
          <w:color w:val="auto"/>
          <w:szCs w:val="24"/>
          <w:highlight w:val="none"/>
        </w:rPr>
      </w:pPr>
      <w:r>
        <w:rPr>
          <w:rFonts w:hint="eastAsia" w:hAnsi="宋体"/>
          <w:color w:val="auto"/>
          <w:szCs w:val="24"/>
          <w:highlight w:val="none"/>
        </w:rPr>
        <w:t>④绿地内农药、试剂、汽油等危险品、易燃品要落实专人保管，使用要登记。</w:t>
      </w:r>
    </w:p>
    <w:p>
      <w:pPr>
        <w:ind w:firstLine="480"/>
        <w:rPr>
          <w:rFonts w:hAnsi="宋体"/>
          <w:color w:val="auto"/>
          <w:szCs w:val="24"/>
          <w:highlight w:val="none"/>
        </w:rPr>
      </w:pPr>
      <w:r>
        <w:rPr>
          <w:rFonts w:hint="eastAsia" w:hAnsi="宋体"/>
          <w:color w:val="auto"/>
          <w:szCs w:val="24"/>
          <w:highlight w:val="none"/>
        </w:rPr>
        <w:t>⑤中标单位要加强信息沟通。中标单位负责人应保持手机等通讯工具24小时通畅，如发生安全、伤亡等事故，应及时向区绿化中心及相关管理部门报告，并按规定保护事故现场。</w:t>
      </w:r>
    </w:p>
    <w:p>
      <w:pPr>
        <w:ind w:firstLine="480"/>
        <w:rPr>
          <w:rFonts w:hAnsi="宋体"/>
          <w:color w:val="auto"/>
          <w:szCs w:val="24"/>
          <w:highlight w:val="none"/>
        </w:rPr>
      </w:pPr>
      <w:r>
        <w:rPr>
          <w:rFonts w:hint="eastAsia" w:hAnsi="宋体"/>
          <w:color w:val="auto"/>
          <w:szCs w:val="24"/>
          <w:highlight w:val="none"/>
        </w:rPr>
        <w:t>4、绿地安全和保卫管理要求</w:t>
      </w:r>
    </w:p>
    <w:p>
      <w:pPr>
        <w:ind w:firstLine="480"/>
        <w:rPr>
          <w:rFonts w:hAnsi="宋体"/>
          <w:color w:val="auto"/>
          <w:szCs w:val="24"/>
          <w:highlight w:val="none"/>
        </w:rPr>
      </w:pPr>
      <w:r>
        <w:rPr>
          <w:rFonts w:hint="eastAsia" w:hAnsi="宋体"/>
          <w:color w:val="auto"/>
          <w:szCs w:val="24"/>
          <w:highlight w:val="none"/>
        </w:rPr>
        <w:t>（1）中标单位一定要牢固树立“安全第一”、“安全责任重于泰山”的工作理念，提高对安全管理工作的认识，把保证安全工作放在各项工作的首位，要配备安全管理人员，完善各项安全生产规章制度，切实落实安全生产措施，明确安全生产工作责任，定期对职工和作业人员的安全生产教育，做到警钟长鸣，长治久安。</w:t>
      </w:r>
    </w:p>
    <w:p>
      <w:pPr>
        <w:ind w:firstLine="480"/>
        <w:rPr>
          <w:rFonts w:hAnsi="宋体"/>
          <w:color w:val="auto"/>
          <w:szCs w:val="24"/>
          <w:highlight w:val="none"/>
        </w:rPr>
      </w:pPr>
      <w:r>
        <w:rPr>
          <w:rFonts w:hint="eastAsia" w:hAnsi="宋体"/>
          <w:color w:val="auto"/>
          <w:szCs w:val="24"/>
          <w:highlight w:val="none"/>
        </w:rPr>
        <w:t>（2）中标单位要加强消防安全监管，切实做好防火工作，院内禁止擅自烧烤、焚烧枯枝落叶等行为，主要建筑物和设施内，如办公室、地下室、配电间、弱电室、仓库、电动工具充电场所等必须按照消防要求配备一定数量的灭火器材，防患于未然。</w:t>
      </w:r>
    </w:p>
    <w:p>
      <w:pPr>
        <w:ind w:firstLine="480"/>
        <w:rPr>
          <w:rFonts w:hAnsi="宋体"/>
          <w:color w:val="auto"/>
          <w:szCs w:val="24"/>
          <w:highlight w:val="none"/>
        </w:rPr>
      </w:pPr>
      <w:r>
        <w:rPr>
          <w:rFonts w:hint="eastAsia" w:hAnsi="宋体"/>
          <w:color w:val="auto"/>
          <w:szCs w:val="24"/>
          <w:highlight w:val="none"/>
        </w:rPr>
        <w:t>（3）中标单位要强化绿地内用电安全管理，配电间门要常锁闭，钥匙由专人管理，出入要登记。路灯、庭院灯、草坪灯、泛光灯、地埋灯、水下灯、低压装饰灯等照明设施，应保持完整、清洁，无安全隐患。泵房、空调、水箱、机修等各种动力设备应安全用电，由具有资质人员操作，喷水池等可能存在隐患供电点应为低压供电，安保、通讯、网络等各种弱电系统应有专业人员负责养管，保证设备完整运转。绿地内电器设施维修工作人员必须持证上岗。</w:t>
      </w:r>
    </w:p>
    <w:p>
      <w:pPr>
        <w:ind w:firstLine="480"/>
        <w:rPr>
          <w:rFonts w:hAnsi="宋体"/>
          <w:color w:val="auto"/>
          <w:szCs w:val="24"/>
          <w:highlight w:val="none"/>
        </w:rPr>
      </w:pPr>
      <w:r>
        <w:rPr>
          <w:rFonts w:hint="eastAsia" w:hAnsi="宋体"/>
          <w:color w:val="auto"/>
          <w:szCs w:val="24"/>
          <w:highlight w:val="none"/>
        </w:rPr>
        <w:t>（4）中标单位要严格按照技术规程，制定安全措施，确保工作人员和游客的安全，作业或养护有可能对游客正常游园造成影响的，要事先告之，项目作业、养护时要注意加强现场围护，作业堆料、绿化垃圾要划定专门区域堆放并用遮盖物覆盖，作业完毕后要工完场清。绿地内农药、试剂、汽油等危险品、易燃品要落实专人保管，使用要登记。</w:t>
      </w:r>
    </w:p>
    <w:p>
      <w:pPr>
        <w:ind w:firstLine="480"/>
        <w:rPr>
          <w:rFonts w:hAnsi="宋体"/>
          <w:color w:val="auto"/>
          <w:szCs w:val="24"/>
          <w:highlight w:val="none"/>
        </w:rPr>
      </w:pPr>
      <w:r>
        <w:rPr>
          <w:rFonts w:hint="eastAsia" w:hAnsi="宋体"/>
          <w:color w:val="auto"/>
          <w:szCs w:val="24"/>
          <w:highlight w:val="none"/>
        </w:rPr>
        <w:t>　　（5）中标单位要加强信息沟通。中标单位负责人应保持手机等通讯工具24小时通畅，如发生安全、伤亡等事故，应及时向区绿化中心及相关管理部门报告，并按规定保护事故现场。</w:t>
      </w:r>
    </w:p>
    <w:p>
      <w:pPr>
        <w:ind w:firstLine="480"/>
        <w:rPr>
          <w:rFonts w:hAnsi="宋体"/>
          <w:color w:val="auto"/>
          <w:szCs w:val="24"/>
          <w:highlight w:val="none"/>
        </w:rPr>
      </w:pPr>
      <w:r>
        <w:rPr>
          <w:rFonts w:hint="eastAsia" w:hAnsi="宋体"/>
          <w:color w:val="auto"/>
          <w:szCs w:val="24"/>
          <w:highlight w:val="none"/>
        </w:rPr>
        <w:t>5、绿地具体养护操作规范</w:t>
      </w:r>
    </w:p>
    <w:p>
      <w:pPr>
        <w:ind w:firstLine="480"/>
        <w:rPr>
          <w:rFonts w:hAnsi="宋体"/>
          <w:color w:val="auto"/>
          <w:szCs w:val="24"/>
          <w:highlight w:val="none"/>
        </w:rPr>
      </w:pPr>
      <w:r>
        <w:rPr>
          <w:rFonts w:hint="eastAsia" w:hAnsi="宋体"/>
          <w:color w:val="auto"/>
          <w:szCs w:val="24"/>
          <w:highlight w:val="none"/>
        </w:rPr>
        <w:t>（1）总体要求：</w:t>
      </w:r>
    </w:p>
    <w:p>
      <w:pPr>
        <w:ind w:firstLine="480"/>
        <w:rPr>
          <w:rFonts w:hAnsi="宋体"/>
          <w:color w:val="auto"/>
          <w:szCs w:val="24"/>
          <w:highlight w:val="none"/>
        </w:rPr>
      </w:pPr>
      <w:r>
        <w:rPr>
          <w:rFonts w:hint="eastAsia" w:hAnsi="宋体"/>
          <w:color w:val="auto"/>
          <w:szCs w:val="24"/>
          <w:highlight w:val="none"/>
        </w:rPr>
        <w:t>遵守各项规章制度；统一着装，佩戴胸牌；不得在工作岗位上吸烟、进食，阅读书报及听广播、干私活；不得串岗、并岗，因事离岗必须经队长同意；工作中必须严格执行《安全操作规程》，按《安全操作规程》进行养护工作；必须仪表整洁，礼貌待客，不与游客争吵；所有街区绿地养护均需配备专职的保洁和设施维护人员。</w:t>
      </w:r>
    </w:p>
    <w:p>
      <w:pPr>
        <w:ind w:firstLine="480"/>
        <w:rPr>
          <w:rFonts w:hAnsi="宋体"/>
          <w:color w:val="auto"/>
          <w:szCs w:val="24"/>
          <w:highlight w:val="none"/>
        </w:rPr>
      </w:pPr>
      <w:r>
        <w:rPr>
          <w:rFonts w:hint="eastAsia" w:hAnsi="宋体"/>
          <w:color w:val="auto"/>
          <w:szCs w:val="24"/>
          <w:highlight w:val="none"/>
        </w:rPr>
        <w:t>（2）绿化养护：</w:t>
      </w:r>
    </w:p>
    <w:p>
      <w:pPr>
        <w:ind w:firstLine="480"/>
        <w:rPr>
          <w:rFonts w:hAnsi="宋体"/>
          <w:color w:val="auto"/>
          <w:szCs w:val="24"/>
          <w:highlight w:val="none"/>
        </w:rPr>
      </w:pPr>
      <w:r>
        <w:rPr>
          <w:rFonts w:hint="eastAsia" w:hAnsi="宋体"/>
          <w:color w:val="auto"/>
          <w:szCs w:val="24"/>
          <w:highlight w:val="none"/>
        </w:rPr>
        <w:t>①除执行绿地养护景观标准外，应结合绿地的实际情况，根据新种植物的生长习性和要求，适时进行根外施肥和施基肥，树杆伤口或大剪口应用羊毛脂封口。</w:t>
      </w:r>
    </w:p>
    <w:p>
      <w:pPr>
        <w:ind w:firstLine="480"/>
        <w:rPr>
          <w:rFonts w:hAnsi="宋体"/>
          <w:color w:val="auto"/>
          <w:szCs w:val="24"/>
          <w:highlight w:val="none"/>
        </w:rPr>
      </w:pPr>
      <w:r>
        <w:rPr>
          <w:rFonts w:hint="eastAsia" w:hAnsi="宋体"/>
          <w:color w:val="auto"/>
          <w:szCs w:val="24"/>
          <w:highlight w:val="none"/>
        </w:rPr>
        <w:t>②加强花灌木修剪管理，积极推进花灌木自然式修剪，充分发挥花灌木的观赏价值和生态价值。</w:t>
      </w:r>
    </w:p>
    <w:p>
      <w:pPr>
        <w:ind w:firstLine="480"/>
        <w:rPr>
          <w:rFonts w:hAnsi="宋体"/>
          <w:color w:val="auto"/>
          <w:szCs w:val="24"/>
          <w:highlight w:val="none"/>
        </w:rPr>
      </w:pPr>
      <w:r>
        <w:rPr>
          <w:rFonts w:hint="eastAsia" w:hAnsi="宋体"/>
          <w:color w:val="auto"/>
          <w:szCs w:val="24"/>
          <w:highlight w:val="none"/>
        </w:rPr>
        <w:t>③加强新种引进苗木病虫害的监测，及时发现及早防治。</w:t>
      </w:r>
    </w:p>
    <w:p>
      <w:pPr>
        <w:ind w:firstLine="480"/>
        <w:rPr>
          <w:rFonts w:hAnsi="宋体"/>
          <w:color w:val="auto"/>
          <w:szCs w:val="24"/>
          <w:highlight w:val="none"/>
        </w:rPr>
      </w:pPr>
      <w:r>
        <w:rPr>
          <w:rFonts w:hint="eastAsia" w:hAnsi="宋体"/>
          <w:color w:val="auto"/>
          <w:szCs w:val="24"/>
          <w:highlight w:val="none"/>
        </w:rPr>
        <w:t>④做好新种大树的抗旱工作，抗旱浇水应避开高温，宜晨或夜间浇水。</w:t>
      </w:r>
    </w:p>
    <w:p>
      <w:pPr>
        <w:ind w:firstLine="480"/>
        <w:rPr>
          <w:rFonts w:hAnsi="宋体"/>
          <w:color w:val="auto"/>
          <w:szCs w:val="24"/>
          <w:highlight w:val="none"/>
        </w:rPr>
      </w:pPr>
      <w:r>
        <w:rPr>
          <w:rFonts w:hint="eastAsia" w:hAnsi="宋体"/>
          <w:color w:val="auto"/>
          <w:szCs w:val="24"/>
          <w:highlight w:val="none"/>
        </w:rPr>
        <w:t>⑤做好防汛防台和应急抢险工作。</w:t>
      </w:r>
    </w:p>
    <w:p>
      <w:pPr>
        <w:ind w:firstLine="480"/>
        <w:rPr>
          <w:rFonts w:hAnsi="宋体"/>
          <w:color w:val="auto"/>
          <w:szCs w:val="24"/>
          <w:highlight w:val="none"/>
        </w:rPr>
      </w:pPr>
      <w:r>
        <w:rPr>
          <w:rFonts w:hint="eastAsia" w:hAnsi="宋体"/>
          <w:color w:val="auto"/>
          <w:szCs w:val="24"/>
          <w:highlight w:val="none"/>
        </w:rPr>
        <w:t>⑥草坪养护根据季节及时修剪，高度控制在3-5厘米，每年冬季施一次基肥，其他季节每月一次追肥。</w:t>
      </w:r>
    </w:p>
    <w:p>
      <w:pPr>
        <w:ind w:firstLine="480"/>
        <w:rPr>
          <w:rFonts w:hAnsi="宋体"/>
          <w:color w:val="auto"/>
          <w:szCs w:val="24"/>
          <w:highlight w:val="none"/>
        </w:rPr>
      </w:pPr>
      <w:r>
        <w:rPr>
          <w:rFonts w:hint="eastAsia" w:hAnsi="宋体"/>
          <w:color w:val="auto"/>
          <w:szCs w:val="24"/>
          <w:highlight w:val="none"/>
        </w:rPr>
        <w:t>（3）水体：</w:t>
      </w:r>
    </w:p>
    <w:p>
      <w:pPr>
        <w:ind w:firstLine="480"/>
        <w:rPr>
          <w:rFonts w:hAnsi="宋体"/>
          <w:color w:val="auto"/>
          <w:szCs w:val="24"/>
          <w:highlight w:val="none"/>
        </w:rPr>
      </w:pPr>
      <w:r>
        <w:rPr>
          <w:rFonts w:hint="eastAsia" w:hAnsi="宋体"/>
          <w:color w:val="auto"/>
          <w:szCs w:val="24"/>
          <w:highlight w:val="none"/>
        </w:rPr>
        <w:t>①执行瀑布水泵开放时间规定。</w:t>
      </w:r>
    </w:p>
    <w:p>
      <w:pPr>
        <w:ind w:firstLine="480"/>
        <w:rPr>
          <w:rFonts w:hAnsi="宋体"/>
          <w:color w:val="auto"/>
          <w:szCs w:val="24"/>
          <w:highlight w:val="none"/>
        </w:rPr>
      </w:pPr>
      <w:r>
        <w:rPr>
          <w:rFonts w:hint="eastAsia" w:hAnsi="宋体"/>
          <w:color w:val="auto"/>
          <w:szCs w:val="24"/>
          <w:highlight w:val="none"/>
        </w:rPr>
        <w:t>②水体必须保持清洁，不能有垃圾和漂浮物。</w:t>
      </w:r>
    </w:p>
    <w:p>
      <w:pPr>
        <w:ind w:firstLine="480"/>
        <w:rPr>
          <w:rFonts w:hAnsi="宋体"/>
          <w:color w:val="auto"/>
          <w:szCs w:val="24"/>
          <w:highlight w:val="none"/>
        </w:rPr>
      </w:pPr>
      <w:r>
        <w:rPr>
          <w:rFonts w:hint="eastAsia" w:hAnsi="宋体"/>
          <w:color w:val="auto"/>
          <w:szCs w:val="24"/>
          <w:highlight w:val="none"/>
        </w:rPr>
        <w:t>③水生植物不能有残花败叶，观赏鱼每天定时投饵一次。</w:t>
      </w:r>
    </w:p>
    <w:p>
      <w:pPr>
        <w:ind w:firstLine="480"/>
        <w:rPr>
          <w:rFonts w:hAnsi="宋体"/>
          <w:color w:val="auto"/>
          <w:szCs w:val="24"/>
          <w:highlight w:val="none"/>
        </w:rPr>
      </w:pPr>
      <w:r>
        <w:rPr>
          <w:rFonts w:hint="eastAsia" w:hAnsi="宋体"/>
          <w:color w:val="auto"/>
          <w:szCs w:val="24"/>
          <w:highlight w:val="none"/>
        </w:rPr>
        <w:t>④不准在水池中洗涤东西。</w:t>
      </w:r>
    </w:p>
    <w:p>
      <w:pPr>
        <w:ind w:firstLine="480"/>
        <w:rPr>
          <w:rFonts w:hAnsi="宋体"/>
          <w:color w:val="auto"/>
          <w:szCs w:val="24"/>
          <w:highlight w:val="none"/>
        </w:rPr>
      </w:pPr>
      <w:r>
        <w:rPr>
          <w:rFonts w:hint="eastAsia" w:hAnsi="宋体"/>
          <w:color w:val="auto"/>
          <w:szCs w:val="24"/>
          <w:highlight w:val="none"/>
        </w:rPr>
        <w:t>（4）保洁：</w:t>
      </w:r>
    </w:p>
    <w:p>
      <w:pPr>
        <w:ind w:firstLine="480"/>
        <w:rPr>
          <w:rFonts w:hAnsi="宋体"/>
          <w:color w:val="auto"/>
          <w:szCs w:val="24"/>
          <w:highlight w:val="none"/>
        </w:rPr>
      </w:pPr>
      <w:r>
        <w:rPr>
          <w:rFonts w:hint="eastAsia" w:hAnsi="宋体"/>
          <w:color w:val="auto"/>
          <w:szCs w:val="24"/>
          <w:highlight w:val="none"/>
        </w:rPr>
        <w:t>①每天包干区不间断打扫，并随时捡拾保洁，做到绿地、水体保洁无死角，绿地内无废弃物，无痰痕、无烟蒂，道路侧石，台阶无泥浆淤结。</w:t>
      </w:r>
    </w:p>
    <w:p>
      <w:pPr>
        <w:ind w:firstLine="480"/>
        <w:rPr>
          <w:rFonts w:hAnsi="宋体"/>
          <w:color w:val="auto"/>
          <w:szCs w:val="24"/>
          <w:highlight w:val="none"/>
        </w:rPr>
      </w:pPr>
      <w:r>
        <w:rPr>
          <w:rFonts w:hint="eastAsia" w:hAnsi="宋体"/>
          <w:color w:val="auto"/>
          <w:szCs w:val="24"/>
          <w:highlight w:val="none"/>
        </w:rPr>
        <w:t>②废物箱每天清洗不少于1次，清除废物箱垃圾一天二次，亭、廊及绿地内的石台、石凳要每天擦二次，保证所有座椅无水迹。</w:t>
      </w:r>
    </w:p>
    <w:p>
      <w:pPr>
        <w:ind w:firstLine="480"/>
        <w:rPr>
          <w:rFonts w:hAnsi="宋体"/>
          <w:color w:val="auto"/>
          <w:szCs w:val="24"/>
          <w:highlight w:val="none"/>
        </w:rPr>
      </w:pPr>
      <w:r>
        <w:rPr>
          <w:rFonts w:hint="eastAsia" w:hAnsi="宋体"/>
          <w:color w:val="auto"/>
          <w:szCs w:val="24"/>
          <w:highlight w:val="none"/>
        </w:rPr>
        <w:t>③绿地内的厕所每天应不间断打扫，并随时捡拾保洁，做到厕所内无痰痕、无烟蒂，便器清洁无黄渍。厕所应定期消毒、杀菌、除异味。</w:t>
      </w:r>
    </w:p>
    <w:p>
      <w:pPr>
        <w:ind w:firstLine="480"/>
        <w:rPr>
          <w:rFonts w:hAnsi="宋体"/>
          <w:color w:val="auto"/>
          <w:szCs w:val="24"/>
          <w:highlight w:val="none"/>
        </w:rPr>
      </w:pPr>
      <w:r>
        <w:rPr>
          <w:rFonts w:hint="eastAsia" w:hAnsi="宋体"/>
          <w:color w:val="auto"/>
          <w:szCs w:val="24"/>
          <w:highlight w:val="none"/>
        </w:rPr>
        <w:t>6、口袋公园及街心花园，除满足前四项养护管理要求以外，还需确保：</w:t>
      </w:r>
    </w:p>
    <w:p>
      <w:pPr>
        <w:ind w:firstLine="480"/>
        <w:rPr>
          <w:rFonts w:hAnsi="宋体"/>
          <w:color w:val="auto"/>
          <w:szCs w:val="24"/>
          <w:highlight w:val="none"/>
        </w:rPr>
      </w:pPr>
      <w:r>
        <w:rPr>
          <w:rFonts w:hint="eastAsia" w:hAnsi="宋体"/>
          <w:color w:val="auto"/>
          <w:szCs w:val="24"/>
          <w:highlight w:val="none"/>
        </w:rPr>
        <w:t>（1）需针对口袋公园和街心花园特点，制定专类植物养护、花卉更新、设施维护、保洁等方案，落实专业养护单位开展日常养护工作。</w:t>
      </w:r>
    </w:p>
    <w:p>
      <w:pPr>
        <w:ind w:firstLine="480"/>
        <w:rPr>
          <w:rFonts w:hAnsi="宋体"/>
          <w:color w:val="auto"/>
          <w:szCs w:val="24"/>
          <w:highlight w:val="none"/>
        </w:rPr>
      </w:pPr>
      <w:r>
        <w:rPr>
          <w:rFonts w:hint="eastAsia" w:hAnsi="宋体"/>
          <w:color w:val="auto"/>
          <w:szCs w:val="24"/>
          <w:highlight w:val="none"/>
        </w:rPr>
        <w:t>（2）口袋公园均指定一人，确保每日在园时间上午不少于2小时，下午不少于2小时，进行养护，确保每日养护、保洁、设施检查、灯光检查、游客劝导工作，做到精细化、园艺化养护，提高口袋公园服务质量，养护单位应运用信息化手段建立养护台账及相关打卡记录。</w:t>
      </w:r>
    </w:p>
    <w:p>
      <w:pPr>
        <w:ind w:firstLine="480"/>
        <w:rPr>
          <w:rFonts w:hAnsi="宋体"/>
          <w:color w:val="auto"/>
          <w:szCs w:val="24"/>
          <w:highlight w:val="none"/>
        </w:rPr>
      </w:pPr>
      <w:r>
        <w:rPr>
          <w:rFonts w:hint="eastAsia" w:hAnsi="宋体"/>
          <w:color w:val="auto"/>
          <w:szCs w:val="24"/>
          <w:highlight w:val="none"/>
        </w:rPr>
        <w:t>（3）口袋公园和街心花园保洁要求：常规保洁包含地面、座椅、栏杆、水体、绿化带等保洁，应确保至少每天2次；整体保洁包含建构筑物、园林小品、灯具等保洁，应确保至少每周1次。</w:t>
      </w:r>
    </w:p>
    <w:p>
      <w:pPr>
        <w:ind w:firstLine="480"/>
        <w:rPr>
          <w:rFonts w:hAnsi="宋体"/>
          <w:color w:val="auto"/>
          <w:szCs w:val="24"/>
          <w:highlight w:val="none"/>
        </w:rPr>
      </w:pPr>
      <w:r>
        <w:rPr>
          <w:rFonts w:hint="eastAsia" w:hAnsi="宋体"/>
          <w:color w:val="auto"/>
          <w:szCs w:val="24"/>
          <w:highlight w:val="none"/>
        </w:rPr>
        <w:t>（4）口袋公园和街心花园设施维护要求：口袋公园养护人员需每日对园内设施进行检查，如有损坏，及时维修；园内栏杆、小品的油漆、粉刷应确保至少每年1次（于每年5月1日之前完成）。</w:t>
      </w:r>
    </w:p>
    <w:p>
      <w:pPr>
        <w:ind w:firstLine="480"/>
        <w:rPr>
          <w:rFonts w:hAnsi="宋体"/>
          <w:color w:val="auto"/>
          <w:szCs w:val="24"/>
          <w:highlight w:val="none"/>
        </w:rPr>
      </w:pPr>
      <w:r>
        <w:rPr>
          <w:rFonts w:hint="eastAsia" w:hAnsi="宋体"/>
          <w:color w:val="auto"/>
          <w:szCs w:val="24"/>
          <w:highlight w:val="none"/>
        </w:rPr>
        <w:t>（5）口袋公园和街心花园内照明设施应确保夜间常亮（开闭时间于路灯一致）。</w:t>
      </w:r>
    </w:p>
    <w:p>
      <w:pPr>
        <w:ind w:firstLine="480"/>
        <w:rPr>
          <w:rFonts w:hAnsi="宋体"/>
          <w:color w:val="auto"/>
          <w:szCs w:val="24"/>
          <w:highlight w:val="none"/>
        </w:rPr>
      </w:pPr>
      <w:r>
        <w:rPr>
          <w:rFonts w:hint="eastAsia" w:hAnsi="宋体"/>
          <w:color w:val="auto"/>
          <w:szCs w:val="24"/>
          <w:highlight w:val="none"/>
        </w:rPr>
        <w:t>（6）没有安保服务的口袋公园养护人员在园期间应兼任安保、劝导游客的工作。</w:t>
      </w:r>
    </w:p>
    <w:p>
      <w:pPr>
        <w:ind w:firstLine="480"/>
        <w:jc w:val="center"/>
        <w:rPr>
          <w:rFonts w:hAnsi="宋体"/>
          <w:b/>
          <w:bCs/>
          <w:color w:val="auto"/>
          <w:szCs w:val="24"/>
          <w:highlight w:val="none"/>
        </w:rPr>
      </w:pPr>
      <w:r>
        <w:rPr>
          <w:rFonts w:hint="eastAsia" w:hAnsi="宋体"/>
          <w:b/>
          <w:bCs/>
          <w:color w:val="auto"/>
          <w:szCs w:val="24"/>
          <w:highlight w:val="none"/>
        </w:rPr>
        <w:t>静安区口袋公园名录</w:t>
      </w:r>
    </w:p>
    <w:tbl>
      <w:tblPr>
        <w:tblStyle w:val="3"/>
        <w:tblW w:w="77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4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序号</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公园名称</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同福花园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石门一路南京西路西南角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2</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曹家渡花园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余姚路康定路路口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3</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昌新花园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新闸路昌化路西北角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4</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威海路花园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威海路陕西北路路口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5</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音花园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胶州路安远路路口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6</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锦绣花园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光复路长安西路路口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7</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芷江花园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共和新路736号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8</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永源浜花园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南京西路永源路路口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9</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知秋园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光复路梅园路西北角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10</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拾影花园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南京西路青海路东南角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11</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曹家渡绿岛花园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长宁路万航渡路西南角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12</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幸福花园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彭浦镇幸福新苑南侧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13</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蓁园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江场西路510号东侧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80"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14</w:t>
            </w:r>
          </w:p>
        </w:tc>
        <w:tc>
          <w:tcPr>
            <w:tcW w:w="2459"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芃园</w:t>
            </w:r>
          </w:p>
        </w:tc>
        <w:tc>
          <w:tcPr>
            <w:tcW w:w="4253" w:type="dxa"/>
            <w:noWrap/>
            <w:vAlign w:val="center"/>
          </w:tcPr>
          <w:p>
            <w:pPr>
              <w:widowControl/>
              <w:jc w:val="center"/>
              <w:rPr>
                <w:rFonts w:hAnsi="宋体" w:cs="宋体"/>
                <w:color w:val="auto"/>
                <w:szCs w:val="24"/>
                <w:highlight w:val="none"/>
              </w:rPr>
            </w:pPr>
            <w:r>
              <w:rPr>
                <w:rFonts w:hint="eastAsia" w:hAnsi="宋体" w:cs="宋体"/>
                <w:color w:val="auto"/>
                <w:szCs w:val="24"/>
                <w:highlight w:val="none"/>
              </w:rPr>
              <w:t>江场西路501号东侧</w:t>
            </w:r>
          </w:p>
        </w:tc>
      </w:tr>
    </w:tbl>
    <w:p>
      <w:pPr>
        <w:ind w:firstLine="480"/>
        <w:rPr>
          <w:rFonts w:hAnsi="宋体"/>
          <w:color w:val="auto"/>
          <w:szCs w:val="24"/>
          <w:highlight w:val="none"/>
        </w:rPr>
      </w:pPr>
    </w:p>
    <w:p>
      <w:pPr>
        <w:ind w:firstLine="480"/>
        <w:jc w:val="center"/>
        <w:rPr>
          <w:rFonts w:hAnsi="宋体"/>
          <w:b/>
          <w:bCs/>
          <w:color w:val="auto"/>
          <w:szCs w:val="24"/>
          <w:highlight w:val="none"/>
        </w:rPr>
      </w:pPr>
      <w:r>
        <w:rPr>
          <w:rFonts w:hint="eastAsia" w:hAnsi="宋体"/>
          <w:b/>
          <w:bCs/>
          <w:color w:val="auto"/>
          <w:szCs w:val="24"/>
          <w:highlight w:val="none"/>
        </w:rPr>
        <w:t>静安区街心花园名录</w:t>
      </w:r>
    </w:p>
    <w:tbl>
      <w:tblPr>
        <w:tblStyle w:val="3"/>
        <w:tblW w:w="8028" w:type="dxa"/>
        <w:tblInd w:w="113" w:type="dxa"/>
        <w:tblLayout w:type="autofit"/>
        <w:tblCellMar>
          <w:top w:w="0" w:type="dxa"/>
          <w:left w:w="108" w:type="dxa"/>
          <w:bottom w:w="0" w:type="dxa"/>
          <w:right w:w="108" w:type="dxa"/>
        </w:tblCellMar>
      </w:tblPr>
      <w:tblGrid>
        <w:gridCol w:w="1047"/>
        <w:gridCol w:w="2492"/>
        <w:gridCol w:w="4253"/>
        <w:gridCol w:w="236"/>
      </w:tblGrid>
      <w:tr>
        <w:tblPrEx>
          <w:tblCellMar>
            <w:top w:w="0" w:type="dxa"/>
            <w:left w:w="108" w:type="dxa"/>
            <w:bottom w:w="0" w:type="dxa"/>
            <w:right w:w="108" w:type="dxa"/>
          </w:tblCellMar>
        </w:tblPrEx>
        <w:trPr>
          <w:gridAfter w:val="1"/>
          <w:wAfter w:w="236" w:type="dxa"/>
          <w:trHeight w:val="645" w:hRule="atLeast"/>
        </w:trPr>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序号</w:t>
            </w:r>
          </w:p>
        </w:tc>
        <w:tc>
          <w:tcPr>
            <w:tcW w:w="24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绿地名称</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地 址</w:t>
            </w:r>
          </w:p>
        </w:tc>
      </w:tr>
      <w:tr>
        <w:tblPrEx>
          <w:tblCellMar>
            <w:top w:w="0" w:type="dxa"/>
            <w:left w:w="108" w:type="dxa"/>
            <w:bottom w:w="0" w:type="dxa"/>
            <w:right w:w="108" w:type="dxa"/>
          </w:tblCellMar>
        </w:tblPrEx>
        <w:trPr>
          <w:trHeight w:val="255" w:hRule="atLeast"/>
        </w:trPr>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p>
        </w:tc>
        <w:tc>
          <w:tcPr>
            <w:tcW w:w="24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auto"/>
                <w:szCs w:val="24"/>
                <w:highlight w:val="none"/>
              </w:rPr>
            </w:pPr>
          </w:p>
        </w:tc>
        <w:tc>
          <w:tcPr>
            <w:tcW w:w="236" w:type="dxa"/>
            <w:tcBorders>
              <w:top w:val="nil"/>
              <w:left w:val="nil"/>
              <w:bottom w:val="nil"/>
              <w:right w:val="nil"/>
            </w:tcBorders>
            <w:noWrap/>
            <w:vAlign w:val="center"/>
          </w:tcPr>
          <w:p>
            <w:pPr>
              <w:widowControl/>
              <w:jc w:val="center"/>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西藏北路、中山北路西北角绿地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西藏北路中山北路西北角</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西康路771号绿地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西康路771号绿地</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白玉兰广场绿地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天目西路恒丰路东北角</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外事办绿地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南京西路铜仁路口</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彭浦新村地铁站西侧绿地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彭浦新村地铁站西侧</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彭浦新村地铁站东侧绿地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彭浦新村地铁站东侧</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宝山路，虬江路街心花园</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宝山地铁站</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大宁路181弄绿地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大宁路181弄</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悦广场绿地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文安路曲阜路交叉口</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大统路绿地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大统路、天目西路</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市北壹中心</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共和新路江场路</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闸环绿地建设项目</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场中路云欣路路口</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63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粤秀名邸走马塘公共绿地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走马塘北岸（平型关路-粤秀北路）</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石门二路凤阳路临时绿地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石门二路凤阳路东北角</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玫瑰花园</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南京西路1398号</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云和花园</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延平路新闸路西北角</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48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昌平路38-3号地块公共绿地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昌平路北侧（江宁路-昌化路）</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48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昌平路北侧（句容路-昌化路）临时绿地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昌平路北侧（句容路-昌化路）</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510"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M8线西藏北路站（平型关路-宝山路）绿地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西藏北路地铁2号口</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云欣绿地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云欣路200号南侧</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龙盛佳苑沿街绿地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沪太路1329弄</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象屿地产周边绿地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象屿大宁悦府西北角东南角</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协信广场公共绿地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协信广场西侧与南侧</w:t>
            </w:r>
          </w:p>
        </w:tc>
        <w:tc>
          <w:tcPr>
            <w:tcW w:w="236" w:type="dxa"/>
            <w:vAlign w:val="center"/>
          </w:tcPr>
          <w:p>
            <w:pPr>
              <w:widowControl/>
              <w:rPr>
                <w:rFonts w:hAnsi="宋体" w:cs="宋体"/>
                <w:color w:val="auto"/>
                <w:szCs w:val="24"/>
                <w:highlight w:val="none"/>
              </w:rPr>
            </w:pPr>
          </w:p>
        </w:tc>
      </w:tr>
      <w:tr>
        <w:tblPrEx>
          <w:tblCellMar>
            <w:top w:w="0" w:type="dxa"/>
            <w:left w:w="108" w:type="dxa"/>
            <w:bottom w:w="0" w:type="dxa"/>
            <w:right w:w="108" w:type="dxa"/>
          </w:tblCellMar>
        </w:tblPrEx>
        <w:trPr>
          <w:trHeight w:val="285" w:hRule="atLeast"/>
        </w:trPr>
        <w:tc>
          <w:tcPr>
            <w:tcW w:w="1047" w:type="dxa"/>
            <w:tcBorders>
              <w:top w:val="nil"/>
              <w:left w:val="single" w:color="auto" w:sz="4" w:space="0"/>
              <w:bottom w:val="single" w:color="auto" w:sz="4" w:space="0"/>
              <w:right w:val="single" w:color="auto" w:sz="4" w:space="0"/>
            </w:tcBorders>
            <w:vAlign w:val="center"/>
          </w:tcPr>
          <w:p>
            <w:pPr>
              <w:pStyle w:val="8"/>
              <w:widowControl/>
              <w:numPr>
                <w:ilvl w:val="0"/>
                <w:numId w:val="1"/>
              </w:numPr>
              <w:jc w:val="center"/>
              <w:rPr>
                <w:rFonts w:hAnsi="宋体" w:cs="宋体"/>
                <w:color w:val="auto"/>
                <w:szCs w:val="24"/>
                <w:highlight w:val="none"/>
              </w:rPr>
            </w:pPr>
          </w:p>
        </w:tc>
        <w:tc>
          <w:tcPr>
            <w:tcW w:w="2492"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广中路平型关路东北角绿地</w:t>
            </w:r>
          </w:p>
        </w:tc>
        <w:tc>
          <w:tcPr>
            <w:tcW w:w="4253" w:type="dxa"/>
            <w:tcBorders>
              <w:top w:val="nil"/>
              <w:left w:val="nil"/>
              <w:bottom w:val="single" w:color="auto" w:sz="4" w:space="0"/>
              <w:right w:val="single" w:color="auto" w:sz="4" w:space="0"/>
            </w:tcBorders>
            <w:vAlign w:val="center"/>
          </w:tcPr>
          <w:p>
            <w:pPr>
              <w:widowControl/>
              <w:jc w:val="center"/>
              <w:rPr>
                <w:rFonts w:hAnsi="宋体" w:cs="宋体"/>
                <w:color w:val="auto"/>
                <w:szCs w:val="24"/>
                <w:highlight w:val="none"/>
              </w:rPr>
            </w:pPr>
            <w:r>
              <w:rPr>
                <w:rFonts w:hint="eastAsia" w:hAnsi="宋体" w:cs="宋体"/>
                <w:color w:val="auto"/>
                <w:szCs w:val="24"/>
                <w:highlight w:val="none"/>
              </w:rPr>
              <w:t>广中路平型关路东北角</w:t>
            </w:r>
          </w:p>
        </w:tc>
        <w:tc>
          <w:tcPr>
            <w:tcW w:w="236" w:type="dxa"/>
            <w:vAlign w:val="center"/>
          </w:tcPr>
          <w:p>
            <w:pPr>
              <w:widowControl/>
              <w:rPr>
                <w:rFonts w:hAnsi="宋体" w:cs="宋体"/>
                <w:color w:val="auto"/>
                <w:szCs w:val="24"/>
                <w:highlight w:val="none"/>
              </w:rPr>
            </w:pPr>
          </w:p>
        </w:tc>
      </w:tr>
    </w:tbl>
    <w:p>
      <w:pPr>
        <w:ind w:firstLine="480"/>
        <w:jc w:val="center"/>
        <w:rPr>
          <w:rFonts w:hAnsi="宋体"/>
          <w:b/>
          <w:bCs/>
          <w:color w:val="auto"/>
          <w:szCs w:val="24"/>
          <w:highlight w:val="none"/>
        </w:rPr>
      </w:pPr>
    </w:p>
    <w:p>
      <w:pPr>
        <w:ind w:firstLine="480"/>
        <w:rPr>
          <w:rFonts w:hAnsi="宋体"/>
          <w:color w:val="auto"/>
          <w:szCs w:val="24"/>
          <w:highlight w:val="none"/>
        </w:rPr>
      </w:pPr>
      <w:r>
        <w:rPr>
          <w:rFonts w:hint="eastAsia" w:hAnsi="宋体"/>
          <w:color w:val="auto"/>
          <w:szCs w:val="24"/>
          <w:highlight w:val="none"/>
        </w:rPr>
        <w:t>7、绿化特色道路，除满足以上街区绿地和行道树养护管理要求以外，还需确保：每日巡查1次，确保每日养护、保洁、附属设施检查，制定花灌木、乔木的修剪方案，确保道路植物景观效果，及时摘除残花、残果，开花和观叶植物根据需求一年至少施肥2次，针对各类病虫害进行科学防治，确保道路无死株，发现死株需及时更新。确保行道树支撑、盖板等附属设施平整、完好、无破损、美观。</w:t>
      </w:r>
    </w:p>
    <w:p>
      <w:pPr>
        <w:ind w:firstLine="480"/>
        <w:rPr>
          <w:rFonts w:hAnsi="宋体"/>
          <w:color w:val="auto"/>
          <w:szCs w:val="24"/>
          <w:highlight w:val="none"/>
        </w:rPr>
      </w:pPr>
      <w:r>
        <w:rPr>
          <w:rFonts w:hint="eastAsia" w:hAnsi="宋体"/>
          <w:color w:val="auto"/>
          <w:szCs w:val="24"/>
          <w:highlight w:val="none"/>
        </w:rPr>
        <w:t>静安区绿化特色道路名录：万荣路（广中西路-灵石路）、恒通路（恒丰路-共和新路）、恒通东路（共和新路-晋元路）、广中（西）路（沪太路—北宝兴路）、石门一路（南京西路-威海路）、光复路（长寿路桥-普济路）。</w:t>
      </w:r>
    </w:p>
    <w:p>
      <w:pPr>
        <w:ind w:firstLine="480"/>
        <w:rPr>
          <w:rFonts w:hAnsi="宋体"/>
          <w:color w:val="auto"/>
          <w:szCs w:val="24"/>
          <w:highlight w:val="none"/>
        </w:rPr>
      </w:pPr>
      <w:r>
        <w:rPr>
          <w:rFonts w:hint="eastAsia" w:hAnsi="宋体"/>
          <w:color w:val="auto"/>
          <w:szCs w:val="24"/>
          <w:highlight w:val="none"/>
        </w:rPr>
        <w:t>七、花道除满足以上街区绿地和行道树养护管理要求以外，还需确保：</w:t>
      </w:r>
    </w:p>
    <w:p>
      <w:pPr>
        <w:ind w:firstLine="480"/>
        <w:rPr>
          <w:rFonts w:hAnsi="宋体"/>
          <w:color w:val="auto"/>
          <w:szCs w:val="24"/>
          <w:highlight w:val="none"/>
        </w:rPr>
      </w:pPr>
      <w:r>
        <w:rPr>
          <w:rFonts w:hint="eastAsia" w:hAnsi="宋体"/>
          <w:color w:val="auto"/>
          <w:szCs w:val="24"/>
          <w:highlight w:val="none"/>
        </w:rPr>
        <w:t>落实精细化管养措施，维护行道树良好的景观面貌。做好行道树病虫害防治工作和树洞修补工作，清除枯枝烂头，排除树枝坠落和风折等安全隐患，处理好树木与周边建筑和设施的矛盾；加强树穴盖板、护树桩等附属设施管理，确保道路通行安全；结合道路改造因地制宜扩大树穴空间，通过加强树木根系管理，增强行道树生长势。</w:t>
      </w:r>
    </w:p>
    <w:p>
      <w:pPr>
        <w:ind w:firstLine="480"/>
        <w:rPr>
          <w:rFonts w:hAnsi="宋体"/>
          <w:color w:val="auto"/>
          <w:szCs w:val="24"/>
          <w:highlight w:val="none"/>
        </w:rPr>
      </w:pPr>
      <w:r>
        <w:rPr>
          <w:rFonts w:hint="eastAsia" w:hAnsi="宋体"/>
          <w:color w:val="auto"/>
          <w:szCs w:val="24"/>
          <w:highlight w:val="none"/>
        </w:rPr>
        <w:t>8、以月季、紫薇为重点，兼顾红花檵木、八仙花、海棠、樱花等品种，通过水肥管理和科学修剪等精细化管养措施，确保植株生长健壮，实现盛花和多次开花特色景观。重点抓好月季紫薇冬季规范化修剪，留足花芽，施足底肥，做好病虫害冬防等措施，落实好翌年精细化管养各项技术措施，使月季盛花三次（五一、七一、十一），紫薇盛花两次（7 月底、十一）。做好红花檵木、八仙花、海棠、樱花等花灌木精细化管养，开展红花檵木二次开花花期调控试点，形成规模化的花灌木特色景观。</w:t>
      </w:r>
    </w:p>
    <w:p>
      <w:pPr>
        <w:ind w:firstLine="480"/>
        <w:rPr>
          <w:rFonts w:hAnsi="宋体"/>
          <w:color w:val="auto"/>
          <w:szCs w:val="24"/>
          <w:highlight w:val="none"/>
        </w:rPr>
      </w:pPr>
      <w:r>
        <w:rPr>
          <w:rFonts w:hint="eastAsia" w:hAnsi="宋体"/>
          <w:color w:val="auto"/>
          <w:szCs w:val="24"/>
          <w:highlight w:val="none"/>
        </w:rPr>
        <w:t xml:space="preserve">    花道养护做到一路一技师，一路一方案，建立绿化中心、中标单位和道路技术负责人管理体系，编制专项提升方案。针对不同道路形成养护记录，落实精细化养管措施。</w:t>
      </w:r>
    </w:p>
    <w:p>
      <w:pPr>
        <w:ind w:firstLine="480"/>
        <w:rPr>
          <w:rFonts w:hAnsi="宋体"/>
          <w:color w:val="auto"/>
          <w:szCs w:val="24"/>
          <w:highlight w:val="none"/>
        </w:rPr>
      </w:pPr>
      <w:r>
        <w:rPr>
          <w:rFonts w:hint="eastAsia" w:hAnsi="宋体"/>
          <w:color w:val="auto"/>
          <w:szCs w:val="24"/>
          <w:highlight w:val="none"/>
        </w:rPr>
        <w:t>静安区花道名录</w:t>
      </w:r>
    </w:p>
    <w:tbl>
      <w:tblPr>
        <w:tblStyle w:val="3"/>
        <w:tblW w:w="8926" w:type="dxa"/>
        <w:tblInd w:w="113" w:type="dxa"/>
        <w:tblLayout w:type="autofit"/>
        <w:tblCellMar>
          <w:top w:w="0" w:type="dxa"/>
          <w:left w:w="108" w:type="dxa"/>
          <w:bottom w:w="0" w:type="dxa"/>
          <w:right w:w="108" w:type="dxa"/>
        </w:tblCellMar>
      </w:tblPr>
      <w:tblGrid>
        <w:gridCol w:w="1080"/>
        <w:gridCol w:w="2176"/>
        <w:gridCol w:w="2551"/>
        <w:gridCol w:w="3119"/>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序号</w:t>
            </w: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道路（点位）</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路段</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特色花灌木品种</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曲阜路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天潼路-恒丰路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红火球紫薇、染井吉野樱</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芷江中路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西藏北路-通阁路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天鹅绒紫薇</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中兴路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西藏北路-东宝兴路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垂丝海棠、红花檵木</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沪太路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宜川路-晋城路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垂丝海棠、美人茶</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曹家渡花园</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康定路余姚路路口</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八仙花</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万荣路中心连带</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广中路-灵石路段</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大花月季</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石门一路连带</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南京西路-威海路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巨紫荆</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昌新绿地</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昌化路新闸路路口</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茶花</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新闸路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万航渡路-昌化路</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束花茶花</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江场西路</w:t>
            </w:r>
          </w:p>
        </w:tc>
        <w:tc>
          <w:tcPr>
            <w:tcW w:w="2551"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高平路-彭越浦</w:t>
            </w:r>
          </w:p>
        </w:tc>
        <w:tc>
          <w:tcPr>
            <w:tcW w:w="3119" w:type="dxa"/>
            <w:tcBorders>
              <w:top w:val="nil"/>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帚桃</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天目东（中）路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海宁路-河南北路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帚桃</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石门二路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北京西路-新闸路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八仙花</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昌平路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江宁路-西苏州路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帚桃</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恒通路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光复路-恒丰路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帚桃</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广中（西）路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北宝兴路-沪太路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垂丝海棠、穗花牡荆</w:t>
            </w:r>
          </w:p>
        </w:tc>
      </w:tr>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pStyle w:val="8"/>
              <w:widowControl/>
              <w:numPr>
                <w:ilvl w:val="0"/>
                <w:numId w:val="2"/>
              </w:numPr>
              <w:jc w:val="center"/>
              <w:rPr>
                <w:rFonts w:hAnsi="宋体" w:cs="宋体"/>
                <w:color w:val="auto"/>
                <w:szCs w:val="24"/>
                <w:highlight w:val="none"/>
              </w:rPr>
            </w:pPr>
          </w:p>
        </w:tc>
        <w:tc>
          <w:tcPr>
            <w:tcW w:w="2176"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永和东路</w:t>
            </w:r>
          </w:p>
        </w:tc>
        <w:tc>
          <w:tcPr>
            <w:tcW w:w="2551"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共和新路-平型关路</w:t>
            </w:r>
          </w:p>
        </w:tc>
        <w:tc>
          <w:tcPr>
            <w:tcW w:w="3119" w:type="dxa"/>
            <w:tcBorders>
              <w:top w:val="single" w:color="auto" w:sz="4" w:space="0"/>
              <w:left w:val="nil"/>
              <w:bottom w:val="single" w:color="auto" w:sz="4" w:space="0"/>
              <w:right w:val="single" w:color="auto" w:sz="4" w:space="0"/>
            </w:tcBorders>
            <w:noWrap/>
            <w:vAlign w:val="center"/>
          </w:tcPr>
          <w:p>
            <w:pPr>
              <w:widowControl/>
              <w:jc w:val="center"/>
              <w:rPr>
                <w:rFonts w:hAnsi="宋体" w:cs="宋体"/>
                <w:color w:val="auto"/>
                <w:szCs w:val="24"/>
                <w:highlight w:val="none"/>
              </w:rPr>
            </w:pPr>
            <w:r>
              <w:rPr>
                <w:rFonts w:hint="eastAsia" w:hAnsi="宋体" w:cs="宋体"/>
                <w:color w:val="auto"/>
                <w:szCs w:val="24"/>
                <w:highlight w:val="none"/>
              </w:rPr>
              <w:t>樱花</w:t>
            </w:r>
          </w:p>
        </w:tc>
      </w:tr>
    </w:tbl>
    <w:p>
      <w:pPr>
        <w:ind w:firstLine="240" w:firstLineChars="100"/>
        <w:rPr>
          <w:rFonts w:hAnsi="宋体"/>
          <w:color w:val="auto"/>
          <w:szCs w:val="24"/>
          <w:highlight w:val="none"/>
        </w:rPr>
      </w:pPr>
    </w:p>
    <w:p>
      <w:pPr>
        <w:ind w:firstLine="240" w:firstLineChars="100"/>
        <w:rPr>
          <w:rFonts w:hAnsi="宋体"/>
          <w:color w:val="auto"/>
          <w:szCs w:val="24"/>
          <w:highlight w:val="none"/>
        </w:rPr>
      </w:pPr>
      <w:r>
        <w:rPr>
          <w:rFonts w:hAnsi="宋体"/>
          <w:color w:val="auto"/>
          <w:szCs w:val="24"/>
          <w:highlight w:val="none"/>
        </w:rPr>
        <w:t>3.</w:t>
      </w:r>
      <w:r>
        <w:rPr>
          <w:rFonts w:hint="eastAsia" w:hAnsi="宋体"/>
          <w:color w:val="auto"/>
          <w:szCs w:val="24"/>
          <w:highlight w:val="none"/>
        </w:rPr>
        <w:t>9养护考核细则</w:t>
      </w:r>
    </w:p>
    <w:p>
      <w:pPr>
        <w:ind w:firstLine="240" w:firstLineChars="100"/>
        <w:rPr>
          <w:rFonts w:hAnsi="宋体"/>
          <w:color w:val="auto"/>
          <w:szCs w:val="24"/>
          <w:highlight w:val="none"/>
        </w:rPr>
      </w:pPr>
      <w:r>
        <w:rPr>
          <w:rFonts w:hint="eastAsia" w:hAnsi="宋体"/>
          <w:color w:val="auto"/>
          <w:szCs w:val="24"/>
          <w:highlight w:val="none"/>
        </w:rPr>
        <w:t>3.9.1 考核原则</w:t>
      </w:r>
    </w:p>
    <w:p>
      <w:pPr>
        <w:ind w:firstLine="240" w:firstLineChars="100"/>
        <w:rPr>
          <w:rFonts w:hAnsi="宋体"/>
          <w:color w:val="auto"/>
          <w:szCs w:val="24"/>
          <w:highlight w:val="none"/>
        </w:rPr>
      </w:pPr>
      <w:r>
        <w:rPr>
          <w:rFonts w:hint="eastAsia" w:hAnsi="宋体"/>
          <w:color w:val="auto"/>
          <w:szCs w:val="24"/>
          <w:highlight w:val="none"/>
        </w:rPr>
        <w:t xml:space="preserve">  按照“科室考评与第三方考评相结合，养护管理考评与重点工作考评相结合”的原则，对各绿化养护单位的工作进行综合考核。</w:t>
      </w:r>
    </w:p>
    <w:p>
      <w:pPr>
        <w:adjustRightInd w:val="0"/>
        <w:snapToGrid w:val="0"/>
        <w:ind w:firstLine="240" w:firstLineChars="100"/>
        <w:rPr>
          <w:rFonts w:hAnsi="宋体"/>
          <w:color w:val="auto"/>
          <w:szCs w:val="24"/>
          <w:highlight w:val="none"/>
        </w:rPr>
      </w:pPr>
      <w:r>
        <w:rPr>
          <w:rFonts w:hAnsi="宋体"/>
          <w:color w:val="auto"/>
          <w:szCs w:val="24"/>
          <w:highlight w:val="none"/>
        </w:rPr>
        <w:t>3.</w:t>
      </w:r>
      <w:r>
        <w:rPr>
          <w:rFonts w:hint="eastAsia" w:hAnsi="宋体"/>
          <w:color w:val="auto"/>
          <w:szCs w:val="24"/>
          <w:highlight w:val="none"/>
        </w:rPr>
        <w:t>9</w:t>
      </w:r>
      <w:r>
        <w:rPr>
          <w:rFonts w:hAnsi="宋体"/>
          <w:color w:val="auto"/>
          <w:szCs w:val="24"/>
          <w:highlight w:val="none"/>
        </w:rPr>
        <w:t>.</w:t>
      </w:r>
      <w:r>
        <w:rPr>
          <w:rFonts w:hint="eastAsia" w:hAnsi="宋体"/>
          <w:color w:val="auto"/>
          <w:szCs w:val="24"/>
          <w:highlight w:val="none"/>
        </w:rPr>
        <w:t>2考核方式</w:t>
      </w:r>
    </w:p>
    <w:p>
      <w:pPr>
        <w:adjustRightInd w:val="0"/>
        <w:snapToGrid w:val="0"/>
        <w:rPr>
          <w:rFonts w:hAnsi="宋体"/>
          <w:color w:val="auto"/>
          <w:szCs w:val="24"/>
          <w:highlight w:val="none"/>
        </w:rPr>
      </w:pPr>
      <w:r>
        <w:rPr>
          <w:rFonts w:hint="eastAsia" w:hAnsi="宋体"/>
          <w:color w:val="auto"/>
          <w:szCs w:val="24"/>
          <w:highlight w:val="none"/>
        </w:rPr>
        <w:t>一、公园绿地</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）由区绿化中心公园科负责三级巡查；中心规划发展科组织公园协会第三方考评，每季度一次</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）考核内容根据《上海市城市公园实施分类分级管理指导意见》（沪绿容</w:t>
      </w:r>
      <w:r>
        <w:rPr>
          <w:rFonts w:hAnsi="宋体"/>
          <w:color w:val="auto"/>
          <w:szCs w:val="24"/>
          <w:highlight w:val="none"/>
        </w:rPr>
        <w:t>[2019]156</w:t>
      </w:r>
      <w:r>
        <w:rPr>
          <w:rFonts w:hint="eastAsia" w:hAnsi="宋体"/>
          <w:color w:val="auto"/>
          <w:szCs w:val="24"/>
          <w:highlight w:val="none"/>
        </w:rPr>
        <w:t>号）相关测评标准执行；</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）中兴公园应达到四星级社区公园标准。未达到相应标准的，另行制订相关办法，并扣除相应养护费。</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）养护管理考核项目分；植物养护、景观面貌、清卫管理及设施维护等四项。</w:t>
      </w:r>
    </w:p>
    <w:p>
      <w:pPr>
        <w:adjustRightInd w:val="0"/>
        <w:snapToGrid w:val="0"/>
        <w:rPr>
          <w:rFonts w:hAnsi="宋体"/>
          <w:color w:val="auto"/>
          <w:szCs w:val="24"/>
          <w:highlight w:val="none"/>
        </w:rPr>
      </w:pPr>
      <w:r>
        <w:rPr>
          <w:rFonts w:hint="eastAsia" w:hAnsi="宋体"/>
          <w:color w:val="auto"/>
          <w:szCs w:val="24"/>
          <w:highlight w:val="none"/>
        </w:rPr>
        <w:t>二、街区绿化及花卉布置</w:t>
      </w:r>
    </w:p>
    <w:p>
      <w:pPr>
        <w:adjustRightInd w:val="0"/>
        <w:snapToGrid w:val="0"/>
        <w:rPr>
          <w:rFonts w:hAnsi="宋体"/>
          <w:color w:val="auto"/>
          <w:szCs w:val="24"/>
          <w:highlight w:val="none"/>
        </w:rPr>
      </w:pPr>
      <w:r>
        <w:rPr>
          <w:rFonts w:hAnsi="宋体"/>
          <w:color w:val="auto"/>
          <w:szCs w:val="24"/>
          <w:highlight w:val="none"/>
        </w:rPr>
        <w:t>1、养护管理工作：公园、公共绿地、行道树、花街、立体绿化、社会绿地（代管）、古树名木及后续资源养护考核工作由区绿化管理中心规划发展科负责，采用第三方考评与相关职能部门日常考评相结合，注重工作实效和常态长效。</w:t>
      </w:r>
    </w:p>
    <w:p>
      <w:pPr>
        <w:adjustRightInd w:val="0"/>
        <w:snapToGrid w:val="0"/>
        <w:rPr>
          <w:rFonts w:hAnsi="宋体"/>
          <w:color w:val="auto"/>
          <w:szCs w:val="24"/>
          <w:highlight w:val="none"/>
        </w:rPr>
      </w:pPr>
      <w:r>
        <w:rPr>
          <w:rFonts w:hAnsi="宋体"/>
          <w:color w:val="auto"/>
          <w:szCs w:val="24"/>
          <w:highlight w:val="none"/>
        </w:rPr>
        <w:t>2、重点工作：星级公园创建、绿化特色道路创建、花坛花境评比、园艺特色营造工作，根据市级行业部门评定结果，由职能部门在考评时评定附加分。</w:t>
      </w:r>
    </w:p>
    <w:p>
      <w:pPr>
        <w:adjustRightInd w:val="0"/>
        <w:snapToGrid w:val="0"/>
        <w:rPr>
          <w:rFonts w:hAnsi="宋体"/>
          <w:color w:val="auto"/>
          <w:szCs w:val="24"/>
          <w:highlight w:val="none"/>
        </w:rPr>
      </w:pPr>
      <w:r>
        <w:rPr>
          <w:rFonts w:hint="eastAsia" w:hAnsi="宋体"/>
          <w:color w:val="auto"/>
          <w:szCs w:val="24"/>
          <w:highlight w:val="none"/>
        </w:rPr>
        <w:t>3、</w:t>
      </w:r>
      <w:r>
        <w:rPr>
          <w:rFonts w:hAnsi="宋体"/>
          <w:color w:val="auto"/>
          <w:szCs w:val="24"/>
          <w:highlight w:val="none"/>
        </w:rPr>
        <w:t>由考核工作办公室牵头，委托第三方（市园林绿化行业协会）按养护标段</w:t>
      </w:r>
      <w:r>
        <w:rPr>
          <w:rFonts w:hAnsi="宋体"/>
          <w:color w:val="auto"/>
          <w:szCs w:val="24"/>
          <w:highlight w:val="none"/>
        </w:rPr>
        <w:t>每</w:t>
      </w:r>
      <w:r>
        <w:rPr>
          <w:rFonts w:hint="eastAsia" w:hAnsi="宋体"/>
          <w:color w:val="auto"/>
          <w:szCs w:val="24"/>
          <w:highlight w:val="none"/>
        </w:rPr>
        <w:t>季度一次</w:t>
      </w:r>
      <w:r>
        <w:rPr>
          <w:rFonts w:hAnsi="宋体"/>
          <w:color w:val="auto"/>
          <w:szCs w:val="24"/>
          <w:highlight w:val="none"/>
        </w:rPr>
        <w:t>对绿化养护情况进行考核,并整改督办。</w:t>
      </w:r>
    </w:p>
    <w:p>
      <w:pPr>
        <w:adjustRightInd w:val="0"/>
        <w:snapToGrid w:val="0"/>
        <w:rPr>
          <w:rFonts w:hAnsi="宋体"/>
          <w:color w:val="auto"/>
          <w:szCs w:val="24"/>
          <w:highlight w:val="none"/>
        </w:rPr>
      </w:pPr>
      <w:r>
        <w:rPr>
          <w:rFonts w:hint="eastAsia" w:hAnsi="宋体"/>
          <w:color w:val="auto"/>
          <w:szCs w:val="24"/>
          <w:highlight w:val="none"/>
        </w:rPr>
        <w:t>4、</w:t>
      </w:r>
      <w:r>
        <w:rPr>
          <w:rFonts w:hAnsi="宋体"/>
          <w:color w:val="auto"/>
          <w:szCs w:val="24"/>
          <w:highlight w:val="none"/>
        </w:rPr>
        <w:t>职能部门负责对养护标段的日常养护管理和重点工作情况进行考核评分。（鼓励中标单位积极参与市局和区政府各项行业考核，在考核中成绩优秀的，可适当考虑加分；中标单位应参加区绿化中心组织的养护管理例会，汇报养护管理情况和计划，汇报质量计入考核评分。）</w:t>
      </w:r>
    </w:p>
    <w:p>
      <w:pPr>
        <w:adjustRightInd w:val="0"/>
        <w:snapToGrid w:val="0"/>
        <w:rPr>
          <w:rFonts w:hAnsi="宋体"/>
          <w:color w:val="auto"/>
          <w:szCs w:val="24"/>
          <w:highlight w:val="none"/>
        </w:rPr>
      </w:pPr>
      <w:r>
        <w:rPr>
          <w:rFonts w:hint="eastAsia" w:hAnsi="宋体"/>
          <w:color w:val="auto"/>
          <w:szCs w:val="24"/>
          <w:highlight w:val="none"/>
        </w:rPr>
        <w:t>5、</w:t>
      </w:r>
      <w:r>
        <w:rPr>
          <w:rFonts w:hAnsi="宋体"/>
          <w:color w:val="auto"/>
          <w:szCs w:val="24"/>
          <w:highlight w:val="none"/>
        </w:rPr>
        <w:t>考核工作办公室根据第三方及职能部门考评评分，测算综合考评评分，提出考核等次建议，经领导小组审核确定后，向各养护单位公布考核结果。</w:t>
      </w:r>
    </w:p>
    <w:p>
      <w:pPr>
        <w:adjustRightInd w:val="0"/>
        <w:snapToGrid w:val="0"/>
        <w:ind w:firstLine="240" w:firstLineChars="100"/>
        <w:rPr>
          <w:rFonts w:hAnsi="宋体"/>
          <w:color w:val="auto"/>
          <w:szCs w:val="24"/>
          <w:highlight w:val="none"/>
        </w:rPr>
      </w:pPr>
      <w:r>
        <w:rPr>
          <w:rFonts w:hAnsi="宋体"/>
          <w:color w:val="auto"/>
          <w:szCs w:val="24"/>
          <w:highlight w:val="none"/>
        </w:rPr>
        <w:t>3.8.</w:t>
      </w:r>
      <w:r>
        <w:rPr>
          <w:rFonts w:hint="eastAsia" w:hAnsi="宋体"/>
          <w:color w:val="auto"/>
          <w:szCs w:val="24"/>
          <w:highlight w:val="none"/>
        </w:rPr>
        <w:t>2考核评分与标准说明</w:t>
      </w:r>
    </w:p>
    <w:p>
      <w:pPr>
        <w:adjustRightInd w:val="0"/>
        <w:snapToGrid w:val="0"/>
        <w:rPr>
          <w:rFonts w:hAnsi="宋体"/>
          <w:color w:val="auto"/>
          <w:szCs w:val="24"/>
          <w:highlight w:val="none"/>
        </w:rPr>
      </w:pPr>
      <w:r>
        <w:rPr>
          <w:rFonts w:hint="eastAsia" w:hAnsi="宋体"/>
          <w:color w:val="auto"/>
          <w:szCs w:val="24"/>
          <w:highlight w:val="none"/>
        </w:rPr>
        <w:t>一、公园绿地养护管理（满分</w:t>
      </w:r>
      <w:r>
        <w:rPr>
          <w:rFonts w:hAnsi="宋体"/>
          <w:color w:val="auto"/>
          <w:szCs w:val="24"/>
          <w:highlight w:val="none"/>
        </w:rPr>
        <w:t>80</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（一）植物养护（标准分</w:t>
      </w:r>
      <w:r>
        <w:rPr>
          <w:rFonts w:hAnsi="宋体"/>
          <w:color w:val="auto"/>
          <w:szCs w:val="24"/>
          <w:highlight w:val="none"/>
        </w:rPr>
        <w:t>35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）乔灌木树冠完整，生长旺盛，无病虫枝无枯枝</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分。发现有死株，每株扣</w:t>
      </w:r>
      <w:r>
        <w:rPr>
          <w:rFonts w:hAnsi="宋体"/>
          <w:color w:val="auto"/>
          <w:szCs w:val="24"/>
          <w:highlight w:val="none"/>
        </w:rPr>
        <w:t>2</w:t>
      </w:r>
      <w:r>
        <w:rPr>
          <w:rFonts w:hint="eastAsia" w:hAnsi="宋体"/>
          <w:color w:val="auto"/>
          <w:szCs w:val="24"/>
          <w:highlight w:val="none"/>
        </w:rPr>
        <w:t>分、树冠不完整，每</w:t>
      </w:r>
      <w:r>
        <w:rPr>
          <w:rFonts w:hAnsi="宋体"/>
          <w:color w:val="auto"/>
          <w:szCs w:val="24"/>
          <w:highlight w:val="none"/>
        </w:rPr>
        <w:t>2</w:t>
      </w:r>
      <w:r>
        <w:rPr>
          <w:rFonts w:hint="eastAsia" w:hAnsi="宋体"/>
          <w:color w:val="auto"/>
          <w:szCs w:val="24"/>
          <w:highlight w:val="none"/>
        </w:rPr>
        <w:t>株扣</w:t>
      </w:r>
      <w:r>
        <w:rPr>
          <w:rFonts w:hAnsi="宋体"/>
          <w:color w:val="auto"/>
          <w:szCs w:val="24"/>
          <w:highlight w:val="none"/>
        </w:rPr>
        <w:t>0.5-1</w:t>
      </w:r>
      <w:r>
        <w:rPr>
          <w:rFonts w:hint="eastAsia" w:hAnsi="宋体"/>
          <w:color w:val="auto"/>
          <w:szCs w:val="24"/>
          <w:highlight w:val="none"/>
        </w:rPr>
        <w:t>分、明显枯枝，每</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）绿篱、色块整齐形态完美，控制高度适宜无破残，有效控制徒长枝、无残枝、死株</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分。死株，每</w:t>
      </w:r>
      <w:r>
        <w:rPr>
          <w:rFonts w:hAnsi="宋体"/>
          <w:color w:val="auto"/>
          <w:szCs w:val="24"/>
          <w:highlight w:val="none"/>
        </w:rPr>
        <w:t>2</w:t>
      </w:r>
      <w:r>
        <w:rPr>
          <w:rFonts w:hint="eastAsia" w:hAnsi="宋体"/>
          <w:color w:val="auto"/>
          <w:szCs w:val="24"/>
          <w:highlight w:val="none"/>
        </w:rPr>
        <w:t>株扣</w:t>
      </w:r>
      <w:r>
        <w:rPr>
          <w:rFonts w:hAnsi="宋体"/>
          <w:color w:val="auto"/>
          <w:szCs w:val="24"/>
          <w:highlight w:val="none"/>
        </w:rPr>
        <w:t>0.5-1</w:t>
      </w:r>
      <w:r>
        <w:rPr>
          <w:rFonts w:hint="eastAsia" w:hAnsi="宋体"/>
          <w:color w:val="auto"/>
          <w:szCs w:val="24"/>
          <w:highlight w:val="none"/>
        </w:rPr>
        <w:t>分，破残〉</w:t>
      </w:r>
      <w:r>
        <w:rPr>
          <w:rFonts w:hAnsi="宋体"/>
          <w:color w:val="auto"/>
          <w:szCs w:val="24"/>
          <w:highlight w:val="none"/>
        </w:rPr>
        <w:t>0.3m</w:t>
      </w:r>
      <w:r>
        <w:rPr>
          <w:rFonts w:hint="eastAsia" w:hAnsi="宋体"/>
          <w:color w:val="auto"/>
          <w:szCs w:val="24"/>
          <w:highlight w:val="none"/>
        </w:rPr>
        <w:t>²扣</w:t>
      </w:r>
      <w:r>
        <w:rPr>
          <w:rFonts w:hAnsi="宋体"/>
          <w:color w:val="auto"/>
          <w:szCs w:val="24"/>
          <w:highlight w:val="none"/>
        </w:rPr>
        <w:t>0.2</w:t>
      </w:r>
      <w:r>
        <w:rPr>
          <w:rFonts w:hint="eastAsia" w:hAnsi="宋体"/>
          <w:color w:val="auto"/>
          <w:szCs w:val="24"/>
          <w:highlight w:val="none"/>
        </w:rPr>
        <w:t>分，徒长枝未得到控制、未适时修剪的每处扣</w:t>
      </w:r>
      <w:r>
        <w:rPr>
          <w:rFonts w:hAnsi="宋体"/>
          <w:color w:val="auto"/>
          <w:szCs w:val="24"/>
          <w:highlight w:val="none"/>
        </w:rPr>
        <w:t>0.1</w:t>
      </w:r>
      <w:r>
        <w:rPr>
          <w:rFonts w:hint="eastAsia" w:hAnsi="宋体"/>
          <w:color w:val="auto"/>
          <w:szCs w:val="24"/>
          <w:highlight w:val="none"/>
        </w:rPr>
        <w:t>分，生长一般的扣</w:t>
      </w:r>
      <w:r>
        <w:rPr>
          <w:rFonts w:hAnsi="宋体"/>
          <w:color w:val="auto"/>
          <w:szCs w:val="24"/>
          <w:highlight w:val="none"/>
        </w:rPr>
        <w:t>1-3</w:t>
      </w:r>
      <w:r>
        <w:rPr>
          <w:rFonts w:hint="eastAsia" w:hAnsi="宋体"/>
          <w:color w:val="auto"/>
          <w:szCs w:val="24"/>
          <w:highlight w:val="none"/>
        </w:rPr>
        <w:t>分，生长较差的扣</w:t>
      </w:r>
      <w:r>
        <w:rPr>
          <w:rFonts w:hAnsi="宋体"/>
          <w:color w:val="auto"/>
          <w:szCs w:val="24"/>
          <w:highlight w:val="none"/>
        </w:rPr>
        <w:t>3-5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）地被植物长势茂盛，无杂草，无明显残叶枯花，草坪高度控制平坦整齐，生长良好，无明显杂草裸地积水，嵌草砖内草坪全覆盖〉标准分</w:t>
      </w:r>
      <w:r>
        <w:rPr>
          <w:rFonts w:hAnsi="宋体"/>
          <w:color w:val="auto"/>
          <w:szCs w:val="24"/>
          <w:highlight w:val="none"/>
        </w:rPr>
        <w:t>8</w:t>
      </w:r>
      <w:r>
        <w:rPr>
          <w:rFonts w:hint="eastAsia" w:hAnsi="宋体"/>
          <w:color w:val="auto"/>
          <w:szCs w:val="24"/>
          <w:highlight w:val="none"/>
        </w:rPr>
        <w:t>分。明显高度杂草扣</w:t>
      </w:r>
      <w:r>
        <w:rPr>
          <w:rFonts w:hAnsi="宋体"/>
          <w:color w:val="auto"/>
          <w:szCs w:val="24"/>
          <w:highlight w:val="none"/>
        </w:rPr>
        <w:t>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²，残缺扣</w:t>
      </w:r>
      <w:r>
        <w:rPr>
          <w:rFonts w:hAnsi="宋体"/>
          <w:color w:val="auto"/>
          <w:szCs w:val="24"/>
          <w:highlight w:val="none"/>
        </w:rPr>
        <w:t>0.1-0.5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²，裸地扣</w:t>
      </w:r>
      <w:r>
        <w:rPr>
          <w:rFonts w:hAnsi="宋体"/>
          <w:color w:val="auto"/>
          <w:szCs w:val="24"/>
          <w:highlight w:val="none"/>
        </w:rPr>
        <w:t>0.5-1</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²，嵌草砖裸地扣</w:t>
      </w:r>
      <w:r>
        <w:rPr>
          <w:rFonts w:hAnsi="宋体"/>
          <w:color w:val="auto"/>
          <w:szCs w:val="24"/>
          <w:highlight w:val="none"/>
        </w:rPr>
        <w:t>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）造型植物保持优美形态，生长旺盛，无明显残缺，有效控制徒长枝</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分。每株残缺面〉</w:t>
      </w:r>
      <w:r>
        <w:rPr>
          <w:rFonts w:hAnsi="宋体"/>
          <w:color w:val="auto"/>
          <w:szCs w:val="24"/>
          <w:highlight w:val="none"/>
        </w:rPr>
        <w:t>10%</w:t>
      </w:r>
      <w:r>
        <w:rPr>
          <w:rFonts w:hint="eastAsia" w:hAnsi="宋体"/>
          <w:color w:val="auto"/>
          <w:szCs w:val="24"/>
          <w:highlight w:val="none"/>
        </w:rPr>
        <w:t>扣</w:t>
      </w:r>
      <w:r>
        <w:rPr>
          <w:rFonts w:hAnsi="宋体"/>
          <w:color w:val="auto"/>
          <w:szCs w:val="24"/>
          <w:highlight w:val="none"/>
        </w:rPr>
        <w:t>0.1</w:t>
      </w:r>
      <w:r>
        <w:rPr>
          <w:rFonts w:hint="eastAsia" w:hAnsi="宋体"/>
          <w:color w:val="auto"/>
          <w:szCs w:val="24"/>
          <w:highlight w:val="none"/>
        </w:rPr>
        <w:t>分，〉</w:t>
      </w:r>
      <w:r>
        <w:rPr>
          <w:rFonts w:hAnsi="宋体"/>
          <w:color w:val="auto"/>
          <w:szCs w:val="24"/>
          <w:highlight w:val="none"/>
        </w:rPr>
        <w:t>20%</w:t>
      </w:r>
      <w:r>
        <w:rPr>
          <w:rFonts w:hint="eastAsia" w:hAnsi="宋体"/>
          <w:color w:val="auto"/>
          <w:szCs w:val="24"/>
          <w:highlight w:val="none"/>
        </w:rPr>
        <w:t>扣</w:t>
      </w:r>
      <w:r>
        <w:rPr>
          <w:rFonts w:hAnsi="宋体"/>
          <w:color w:val="auto"/>
          <w:szCs w:val="24"/>
          <w:highlight w:val="none"/>
        </w:rPr>
        <w:t>0.2</w:t>
      </w:r>
      <w:r>
        <w:rPr>
          <w:rFonts w:hint="eastAsia" w:hAnsi="宋体"/>
          <w:color w:val="auto"/>
          <w:szCs w:val="24"/>
          <w:highlight w:val="none"/>
        </w:rPr>
        <w:t>分，徒长枝未得到控制，影响形态的每处扣</w:t>
      </w:r>
      <w:r>
        <w:rPr>
          <w:rFonts w:hAnsi="宋体"/>
          <w:color w:val="auto"/>
          <w:szCs w:val="24"/>
          <w:highlight w:val="none"/>
        </w:rPr>
        <w:t>0.5-1</w:t>
      </w:r>
      <w:r>
        <w:rPr>
          <w:rFonts w:hint="eastAsia" w:hAnsi="宋体"/>
          <w:color w:val="auto"/>
          <w:szCs w:val="24"/>
          <w:highlight w:val="none"/>
        </w:rPr>
        <w:t>分，造型差的每处扣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）花坛养护做到植株健壮，花型正，花色艳，始花期方可上花坛种植，株行距适宜，不露底土，无缺株倒伏，无枯枝残花，花坛内无垃圾杂草，花坛边界应切边</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分，植株型色差，株行距不适宜，每处扣</w:t>
      </w:r>
      <w:r>
        <w:rPr>
          <w:rFonts w:hAnsi="宋体"/>
          <w:color w:val="auto"/>
          <w:szCs w:val="24"/>
          <w:highlight w:val="none"/>
        </w:rPr>
        <w:t>0.1-0.5</w:t>
      </w:r>
      <w:r>
        <w:rPr>
          <w:rFonts w:hint="eastAsia" w:hAnsi="宋体"/>
          <w:color w:val="auto"/>
          <w:szCs w:val="24"/>
          <w:highlight w:val="none"/>
        </w:rPr>
        <w:t>分；露底土、有缺株倒伏或枯枝残花，每处扣</w:t>
      </w:r>
      <w:r>
        <w:rPr>
          <w:rFonts w:hAnsi="宋体"/>
          <w:color w:val="auto"/>
          <w:szCs w:val="24"/>
          <w:highlight w:val="none"/>
        </w:rPr>
        <w:t>0.1-0.5</w:t>
      </w:r>
      <w:r>
        <w:rPr>
          <w:rFonts w:hint="eastAsia" w:hAnsi="宋体"/>
          <w:color w:val="auto"/>
          <w:szCs w:val="24"/>
          <w:highlight w:val="none"/>
        </w:rPr>
        <w:t>分；有垃圾杂草，每处扣</w:t>
      </w:r>
      <w:r>
        <w:rPr>
          <w:rFonts w:hAnsi="宋体"/>
          <w:color w:val="auto"/>
          <w:szCs w:val="24"/>
          <w:highlight w:val="none"/>
        </w:rPr>
        <w:t>0.1-0.5</w:t>
      </w:r>
      <w:r>
        <w:rPr>
          <w:rFonts w:hint="eastAsia" w:hAnsi="宋体"/>
          <w:color w:val="auto"/>
          <w:szCs w:val="24"/>
          <w:highlight w:val="none"/>
        </w:rPr>
        <w:t>分，未切边，每处扣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）花境应做到适时开花，有整体形态和色彩效果。花卉生长正常，不露底土，基本无枯枝残花。无大型野草，杂草高度低于花卉植株，并保持卫生整洁</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3</w:t>
      </w:r>
      <w:r>
        <w:rPr>
          <w:rFonts w:hint="eastAsia" w:hAnsi="宋体"/>
          <w:color w:val="auto"/>
          <w:szCs w:val="24"/>
          <w:highlight w:val="none"/>
        </w:rPr>
        <w:t>分。未适时开花、整体形色差，每处扣</w:t>
      </w:r>
      <w:r>
        <w:rPr>
          <w:rFonts w:hAnsi="宋体"/>
          <w:color w:val="auto"/>
          <w:szCs w:val="24"/>
          <w:highlight w:val="none"/>
        </w:rPr>
        <w:t>0.1-0.5</w:t>
      </w:r>
      <w:r>
        <w:rPr>
          <w:rFonts w:hint="eastAsia" w:hAnsi="宋体"/>
          <w:color w:val="auto"/>
          <w:szCs w:val="24"/>
          <w:highlight w:val="none"/>
        </w:rPr>
        <w:t>分；露底土、有枯枝残花，每处扣</w:t>
      </w:r>
      <w:r>
        <w:rPr>
          <w:rFonts w:hAnsi="宋体"/>
          <w:color w:val="auto"/>
          <w:szCs w:val="24"/>
          <w:highlight w:val="none"/>
        </w:rPr>
        <w:t>0.1-0.5</w:t>
      </w:r>
      <w:r>
        <w:rPr>
          <w:rFonts w:hint="eastAsia" w:hAnsi="宋体"/>
          <w:color w:val="auto"/>
          <w:szCs w:val="24"/>
          <w:highlight w:val="none"/>
        </w:rPr>
        <w:t>分；有野草、杂草、有垃圾，每处扣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）绿化有害生物防控及时，不得出现危险性、检疫性有害生物；其他各类绿化有害生物危害率控制在</w:t>
      </w:r>
      <w:r>
        <w:rPr>
          <w:rFonts w:hAnsi="宋体"/>
          <w:color w:val="auto"/>
          <w:szCs w:val="24"/>
          <w:highlight w:val="none"/>
        </w:rPr>
        <w:t>5%</w:t>
      </w:r>
      <w:r>
        <w:rPr>
          <w:rFonts w:hint="eastAsia" w:hAnsi="宋体"/>
          <w:color w:val="auto"/>
          <w:szCs w:val="24"/>
          <w:highlight w:val="none"/>
        </w:rPr>
        <w:t>以下</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分，明显病虫害每处扣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（二）、景观面貌（标准分</w:t>
      </w:r>
      <w:r>
        <w:rPr>
          <w:rFonts w:hAnsi="宋体"/>
          <w:color w:val="auto"/>
          <w:szCs w:val="24"/>
          <w:highlight w:val="none"/>
        </w:rPr>
        <w:t>15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）老树保存率</w:t>
      </w:r>
      <w:r>
        <w:rPr>
          <w:rFonts w:hAnsi="宋体"/>
          <w:color w:val="auto"/>
          <w:szCs w:val="24"/>
          <w:highlight w:val="none"/>
        </w:rPr>
        <w:t>98%</w:t>
      </w:r>
      <w:r>
        <w:rPr>
          <w:rFonts w:hint="eastAsia" w:hAnsi="宋体"/>
          <w:color w:val="auto"/>
          <w:szCs w:val="24"/>
          <w:highlight w:val="none"/>
        </w:rPr>
        <w:t>以上，补种及时，成活率在</w:t>
      </w:r>
      <w:r>
        <w:rPr>
          <w:rFonts w:hAnsi="宋体"/>
          <w:color w:val="auto"/>
          <w:szCs w:val="24"/>
          <w:highlight w:val="none"/>
        </w:rPr>
        <w:t>95%</w:t>
      </w:r>
      <w:r>
        <w:rPr>
          <w:rFonts w:hint="eastAsia" w:hAnsi="宋体"/>
          <w:color w:val="auto"/>
          <w:szCs w:val="24"/>
          <w:highlight w:val="none"/>
        </w:rPr>
        <w:t>以上，无死</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分。老树每死亡减少</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1</w:t>
      </w:r>
      <w:r>
        <w:rPr>
          <w:rFonts w:hint="eastAsia" w:hAnsi="宋体"/>
          <w:color w:val="auto"/>
          <w:szCs w:val="24"/>
          <w:highlight w:val="none"/>
        </w:rPr>
        <w:t>分，发现乔木死树</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0.5</w:t>
      </w:r>
      <w:r>
        <w:rPr>
          <w:rFonts w:hint="eastAsia" w:hAnsi="宋体"/>
          <w:color w:val="auto"/>
          <w:szCs w:val="24"/>
          <w:highlight w:val="none"/>
        </w:rPr>
        <w:t>分，发现灌木死亡每处扣</w:t>
      </w:r>
      <w:r>
        <w:rPr>
          <w:rFonts w:hAnsi="宋体"/>
          <w:color w:val="auto"/>
          <w:szCs w:val="24"/>
          <w:highlight w:val="none"/>
        </w:rPr>
        <w:t>0.1-0.5</w:t>
      </w:r>
      <w:r>
        <w:rPr>
          <w:rFonts w:hint="eastAsia" w:hAnsi="宋体"/>
          <w:color w:val="auto"/>
          <w:szCs w:val="24"/>
          <w:highlight w:val="none"/>
        </w:rPr>
        <w:t>分，未及时补种每处扣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）绿化景观效果显著，无植物倒伏，无景点破坏</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分，植物倒伏每处扣</w:t>
      </w:r>
      <w:r>
        <w:rPr>
          <w:rFonts w:hAnsi="宋体"/>
          <w:color w:val="auto"/>
          <w:szCs w:val="24"/>
          <w:highlight w:val="none"/>
        </w:rPr>
        <w:t>0.5</w:t>
      </w:r>
      <w:r>
        <w:rPr>
          <w:rFonts w:hint="eastAsia" w:hAnsi="宋体"/>
          <w:color w:val="auto"/>
          <w:szCs w:val="24"/>
          <w:highlight w:val="none"/>
        </w:rPr>
        <w:t>分，植物造景破坏每处扣</w:t>
      </w:r>
      <w:r>
        <w:rPr>
          <w:rFonts w:hAnsi="宋体"/>
          <w:color w:val="auto"/>
          <w:szCs w:val="24"/>
          <w:highlight w:val="none"/>
        </w:rPr>
        <w:t>0.5</w:t>
      </w:r>
      <w:r>
        <w:rPr>
          <w:rFonts w:hint="eastAsia" w:hAnsi="宋体"/>
          <w:color w:val="auto"/>
          <w:szCs w:val="24"/>
          <w:highlight w:val="none"/>
        </w:rPr>
        <w:t>分，杂草每处扣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（三）、清卫管理（标准分</w:t>
      </w:r>
      <w:r>
        <w:rPr>
          <w:rFonts w:hAnsi="宋体"/>
          <w:color w:val="auto"/>
          <w:szCs w:val="24"/>
          <w:highlight w:val="none"/>
        </w:rPr>
        <w:t>14</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）绿地、水体清洁、无明显纸屑、果壳、杂物、垃圾、建筑物保持整洁卫生</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7</w:t>
      </w:r>
      <w:r>
        <w:rPr>
          <w:rFonts w:hint="eastAsia" w:hAnsi="宋体"/>
          <w:color w:val="auto"/>
          <w:szCs w:val="24"/>
          <w:highlight w:val="none"/>
        </w:rPr>
        <w:t>分，发现绿地或水体内明显有杂物每处扣</w:t>
      </w:r>
      <w:r>
        <w:rPr>
          <w:rFonts w:hAnsi="宋体"/>
          <w:color w:val="auto"/>
          <w:szCs w:val="24"/>
          <w:highlight w:val="none"/>
        </w:rPr>
        <w:t>0.1-0.5</w:t>
      </w:r>
      <w:r>
        <w:rPr>
          <w:rFonts w:hint="eastAsia" w:hAnsi="宋体"/>
          <w:color w:val="auto"/>
          <w:szCs w:val="24"/>
          <w:highlight w:val="none"/>
        </w:rPr>
        <w:t>分，建筑物室内外不整洁每处扣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）园路、广场全日保洁，无明显垃圾异物和积水，无死角、无明显鼠害</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7</w:t>
      </w:r>
      <w:r>
        <w:rPr>
          <w:rFonts w:hint="eastAsia" w:hAnsi="宋体"/>
          <w:color w:val="auto"/>
          <w:szCs w:val="24"/>
          <w:highlight w:val="none"/>
        </w:rPr>
        <w:t>分，发现明显垃圾每处扣</w:t>
      </w:r>
      <w:r>
        <w:rPr>
          <w:rFonts w:hAnsi="宋体"/>
          <w:color w:val="auto"/>
          <w:szCs w:val="24"/>
          <w:highlight w:val="none"/>
        </w:rPr>
        <w:t>0.5</w:t>
      </w:r>
      <w:r>
        <w:rPr>
          <w:rFonts w:hint="eastAsia" w:hAnsi="宋体"/>
          <w:color w:val="auto"/>
          <w:szCs w:val="24"/>
          <w:highlight w:val="none"/>
        </w:rPr>
        <w:t>分，积水每处扣</w:t>
      </w:r>
      <w:r>
        <w:rPr>
          <w:rFonts w:hAnsi="宋体"/>
          <w:color w:val="auto"/>
          <w:szCs w:val="24"/>
          <w:highlight w:val="none"/>
        </w:rPr>
        <w:t>0.5</w:t>
      </w:r>
      <w:r>
        <w:rPr>
          <w:rFonts w:hint="eastAsia" w:hAnsi="宋体"/>
          <w:color w:val="auto"/>
          <w:szCs w:val="24"/>
          <w:highlight w:val="none"/>
        </w:rPr>
        <w:t>分，发现死角每处扣</w:t>
      </w:r>
      <w:r>
        <w:rPr>
          <w:rFonts w:hAnsi="宋体"/>
          <w:color w:val="auto"/>
          <w:szCs w:val="24"/>
          <w:highlight w:val="none"/>
        </w:rPr>
        <w:t>1-2</w:t>
      </w:r>
      <w:r>
        <w:rPr>
          <w:rFonts w:hint="eastAsia" w:hAnsi="宋体"/>
          <w:color w:val="auto"/>
          <w:szCs w:val="24"/>
          <w:highlight w:val="none"/>
        </w:rPr>
        <w:t>分，发现鼠害扣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（四）、设施维护（标准分</w:t>
      </w:r>
      <w:r>
        <w:rPr>
          <w:rFonts w:hAnsi="宋体"/>
          <w:color w:val="auto"/>
          <w:szCs w:val="24"/>
          <w:highlight w:val="none"/>
        </w:rPr>
        <w:t>16</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）亭、廊、平台等整洁，无剥落物及痕迹</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分。发现亭、廊刻划每处扣</w:t>
      </w:r>
      <w:r>
        <w:rPr>
          <w:rFonts w:hAnsi="宋体"/>
          <w:color w:val="auto"/>
          <w:szCs w:val="24"/>
          <w:highlight w:val="none"/>
        </w:rPr>
        <w:t>0.1-0.5</w:t>
      </w:r>
      <w:r>
        <w:rPr>
          <w:rFonts w:hint="eastAsia" w:hAnsi="宋体"/>
          <w:color w:val="auto"/>
          <w:szCs w:val="24"/>
          <w:highlight w:val="none"/>
        </w:rPr>
        <w:t>分，油漆脱落有碍观瞻的每处扣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）各种设施不得无故减少，位置不得随意变动，园灯、园椅、园路、果壳箱、导游牌、指示牌、园路小品等设施无破损、喷灌、喷泉等设施完好</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分。设施每减少</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0.5-1</w:t>
      </w:r>
      <w:r>
        <w:rPr>
          <w:rFonts w:hint="eastAsia" w:hAnsi="宋体"/>
          <w:color w:val="auto"/>
          <w:szCs w:val="24"/>
          <w:highlight w:val="none"/>
        </w:rPr>
        <w:t>分，随意变动</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0.5</w:t>
      </w:r>
      <w:r>
        <w:rPr>
          <w:rFonts w:hint="eastAsia" w:hAnsi="宋体"/>
          <w:color w:val="auto"/>
          <w:szCs w:val="24"/>
          <w:highlight w:val="none"/>
        </w:rPr>
        <w:t>分，发现破损</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0.1-0.5</w:t>
      </w:r>
      <w:r>
        <w:rPr>
          <w:rFonts w:hint="eastAsia" w:hAnsi="宋体"/>
          <w:color w:val="auto"/>
          <w:szCs w:val="24"/>
          <w:highlight w:val="none"/>
        </w:rPr>
        <w:t>分，节日不能如期运行</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二、安全文明作业与社会监督（标准分</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（一）、安全文明及文明作业（标准分</w:t>
      </w:r>
      <w:r>
        <w:rPr>
          <w:rFonts w:hAnsi="宋体"/>
          <w:color w:val="auto"/>
          <w:szCs w:val="24"/>
          <w:highlight w:val="none"/>
        </w:rPr>
        <w:t>7</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）有安全管理网络，制度齐全，责任落实，严格按照制定的安全规程作业</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分，有安全制度但达不到要求的扣</w:t>
      </w:r>
      <w:r>
        <w:rPr>
          <w:rFonts w:hAnsi="宋体"/>
          <w:color w:val="auto"/>
          <w:szCs w:val="24"/>
          <w:highlight w:val="none"/>
        </w:rPr>
        <w:t>0.5-1</w:t>
      </w:r>
      <w:r>
        <w:rPr>
          <w:rFonts w:hint="eastAsia" w:hAnsi="宋体"/>
          <w:color w:val="auto"/>
          <w:szCs w:val="24"/>
          <w:highlight w:val="none"/>
        </w:rPr>
        <w:t>分，无安全管理制度的扣</w:t>
      </w:r>
      <w:r>
        <w:rPr>
          <w:rFonts w:hAnsi="宋体"/>
          <w:color w:val="auto"/>
          <w:szCs w:val="24"/>
          <w:highlight w:val="none"/>
        </w:rPr>
        <w:t>1-2</w:t>
      </w:r>
      <w:r>
        <w:rPr>
          <w:rFonts w:hint="eastAsia" w:hAnsi="宋体"/>
          <w:color w:val="auto"/>
          <w:szCs w:val="24"/>
          <w:highlight w:val="none"/>
        </w:rPr>
        <w:t>分，未按照安全管理制度作业的、出现事故的扣</w:t>
      </w:r>
      <w:r>
        <w:rPr>
          <w:rFonts w:hAnsi="宋体"/>
          <w:color w:val="auto"/>
          <w:szCs w:val="24"/>
          <w:highlight w:val="none"/>
        </w:rPr>
        <w:t>2-4</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）提倡文明生产作业，礼貌用语，不与居民、行人争吵</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2</w:t>
      </w:r>
      <w:r>
        <w:rPr>
          <w:rFonts w:hint="eastAsia" w:hAnsi="宋体"/>
          <w:color w:val="auto"/>
          <w:szCs w:val="24"/>
          <w:highlight w:val="none"/>
        </w:rPr>
        <w:t>分。发生争吵的每起扣</w:t>
      </w:r>
      <w:r>
        <w:rPr>
          <w:rFonts w:hAnsi="宋体"/>
          <w:color w:val="auto"/>
          <w:szCs w:val="24"/>
          <w:highlight w:val="none"/>
        </w:rPr>
        <w:t>0.5-1</w:t>
      </w:r>
      <w:r>
        <w:rPr>
          <w:rFonts w:hint="eastAsia" w:hAnsi="宋体"/>
          <w:color w:val="auto"/>
          <w:szCs w:val="24"/>
          <w:highlight w:val="none"/>
        </w:rPr>
        <w:t>分，情节严重造成一定影响的扣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）涉及供电、物业公司的相关作业，必须事先与供电部门和物业公司取得联系</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1</w:t>
      </w:r>
      <w:r>
        <w:rPr>
          <w:rFonts w:hint="eastAsia" w:hAnsi="宋体"/>
          <w:color w:val="auto"/>
          <w:szCs w:val="24"/>
          <w:highlight w:val="none"/>
        </w:rPr>
        <w:t>分。未事先沟通联系造成矛盾的扣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（二）、社会监督（标准分</w:t>
      </w:r>
      <w:r>
        <w:rPr>
          <w:rFonts w:hAnsi="宋体"/>
          <w:color w:val="auto"/>
          <w:szCs w:val="24"/>
          <w:highlight w:val="none"/>
        </w:rPr>
        <w:t>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公园养护接受社会监督。</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）失管、失养或养护不当受到群众举报属实的或受到市、区领导部门批评的，每次每处扣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）失管、失养或养护不当受到媒体曝光的，每次每处扣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）受到举报或批评或曝光后不及时整改的，每次每处扣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业内资料（满分</w:t>
      </w:r>
      <w:r>
        <w:rPr>
          <w:rFonts w:hAnsi="宋体"/>
          <w:color w:val="auto"/>
          <w:szCs w:val="24"/>
          <w:highlight w:val="none"/>
        </w:rPr>
        <w:t>8</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（一）、各类原始台账、记录、报表、签证、计划、总结齐全准确、能按要求及时上报。</w:t>
      </w:r>
    </w:p>
    <w:p>
      <w:pPr>
        <w:adjustRightInd w:val="0"/>
        <w:snapToGrid w:val="0"/>
        <w:rPr>
          <w:rFonts w:hAnsi="宋体"/>
          <w:color w:val="auto"/>
          <w:szCs w:val="24"/>
          <w:highlight w:val="none"/>
        </w:rPr>
      </w:pPr>
      <w:r>
        <w:rPr>
          <w:rFonts w:hint="eastAsia" w:hAnsi="宋体"/>
          <w:color w:val="auto"/>
          <w:szCs w:val="24"/>
          <w:highlight w:val="none"/>
        </w:rPr>
        <w:t>（二）、在规定时限内完成指令性任务，配合做好各类群众性活动工作。</w:t>
      </w:r>
    </w:p>
    <w:p>
      <w:pPr>
        <w:adjustRightInd w:val="0"/>
        <w:snapToGrid w:val="0"/>
        <w:rPr>
          <w:rFonts w:hAnsi="宋体"/>
          <w:color w:val="auto"/>
          <w:szCs w:val="24"/>
          <w:highlight w:val="none"/>
        </w:rPr>
      </w:pPr>
      <w:r>
        <w:rPr>
          <w:rFonts w:hint="eastAsia" w:hAnsi="宋体"/>
          <w:color w:val="auto"/>
          <w:szCs w:val="24"/>
          <w:highlight w:val="none"/>
        </w:rPr>
        <w:t>（三）、按每季向绿化中心公园科报送绿化养护计划，做好季初有计划，季中有落实、季终有总结。</w:t>
      </w:r>
    </w:p>
    <w:p>
      <w:pPr>
        <w:adjustRightInd w:val="0"/>
        <w:snapToGrid w:val="0"/>
        <w:rPr>
          <w:rFonts w:hAnsi="宋体"/>
          <w:color w:val="auto"/>
          <w:szCs w:val="24"/>
          <w:highlight w:val="none"/>
        </w:rPr>
      </w:pPr>
      <w:r>
        <w:rPr>
          <w:rFonts w:hint="eastAsia" w:hAnsi="宋体"/>
          <w:color w:val="auto"/>
          <w:szCs w:val="24"/>
          <w:highlight w:val="none"/>
        </w:rPr>
        <w:t>（四）、“三冬”工作期间要及时做好树木管护工作。</w:t>
      </w:r>
    </w:p>
    <w:p>
      <w:pPr>
        <w:rPr>
          <w:rFonts w:hAnsi="宋体"/>
          <w:color w:val="auto"/>
          <w:szCs w:val="24"/>
          <w:highlight w:val="none"/>
        </w:rPr>
        <w:sectPr>
          <w:pgSz w:w="11906" w:h="16838"/>
          <w:pgMar w:top="1440" w:right="1800" w:bottom="1440" w:left="1800" w:header="851" w:footer="992" w:gutter="0"/>
          <w:cols w:space="720" w:num="1"/>
          <w:docGrid w:type="lines" w:linePitch="312" w:charSpace="0"/>
        </w:sectPr>
      </w:pPr>
      <w:r>
        <w:rPr>
          <w:rFonts w:hint="eastAsia" w:hAnsi="宋体"/>
          <w:color w:val="auto"/>
          <w:szCs w:val="24"/>
          <w:highlight w:val="none"/>
        </w:rPr>
        <w:t>以上各项做不到的每项每次扣</w:t>
      </w:r>
      <w:r>
        <w:rPr>
          <w:rFonts w:hAnsi="宋体"/>
          <w:color w:val="auto"/>
          <w:szCs w:val="24"/>
          <w:highlight w:val="none"/>
        </w:rPr>
        <w:t>0.5-1</w:t>
      </w:r>
      <w:r>
        <w:rPr>
          <w:rFonts w:hint="eastAsia" w:hAnsi="宋体"/>
          <w:color w:val="auto"/>
          <w:szCs w:val="24"/>
          <w:highlight w:val="none"/>
        </w:rPr>
        <w:t>分，应报到未报的、每项每处扣</w:t>
      </w:r>
      <w:r>
        <w:rPr>
          <w:rFonts w:hAnsi="宋体"/>
          <w:color w:val="auto"/>
          <w:szCs w:val="24"/>
          <w:highlight w:val="none"/>
        </w:rPr>
        <w:t>0.5-1</w:t>
      </w:r>
      <w:r>
        <w:rPr>
          <w:rFonts w:hint="eastAsia" w:hAnsi="宋体"/>
          <w:color w:val="auto"/>
          <w:szCs w:val="24"/>
          <w:highlight w:val="none"/>
        </w:rPr>
        <w:t>分，弄虚作假的不得分。</w:t>
      </w:r>
    </w:p>
    <w:p>
      <w:pPr>
        <w:rPr>
          <w:rFonts w:hAnsi="宋体"/>
          <w:color w:val="auto"/>
          <w:szCs w:val="24"/>
          <w:highlight w:val="none"/>
        </w:rPr>
      </w:pPr>
      <w:r>
        <w:rPr>
          <w:rFonts w:hint="eastAsia" w:hAnsi="宋体"/>
          <w:color w:val="auto"/>
          <w:szCs w:val="24"/>
          <w:highlight w:val="none"/>
        </w:rPr>
        <w:t>附件：</w:t>
      </w:r>
    </w:p>
    <w:tbl>
      <w:tblPr>
        <w:tblStyle w:val="3"/>
        <w:tblW w:w="5011" w:type="pct"/>
        <w:tblInd w:w="0" w:type="dxa"/>
        <w:tblLayout w:type="autofit"/>
        <w:tblCellMar>
          <w:top w:w="0" w:type="dxa"/>
          <w:left w:w="0" w:type="dxa"/>
          <w:bottom w:w="0" w:type="dxa"/>
          <w:right w:w="0" w:type="dxa"/>
        </w:tblCellMar>
      </w:tblPr>
      <w:tblGrid>
        <w:gridCol w:w="1076"/>
        <w:gridCol w:w="4095"/>
        <w:gridCol w:w="1710"/>
        <w:gridCol w:w="1473"/>
      </w:tblGrid>
      <w:tr>
        <w:tblPrEx>
          <w:tblCellMar>
            <w:top w:w="0" w:type="dxa"/>
            <w:left w:w="0" w:type="dxa"/>
            <w:bottom w:w="0" w:type="dxa"/>
            <w:right w:w="0" w:type="dxa"/>
          </w:tblCellMar>
        </w:tblPrEx>
        <w:trPr>
          <w:trHeight w:val="780" w:hRule="atLeast"/>
        </w:trPr>
        <w:tc>
          <w:tcPr>
            <w:tcW w:w="5000" w:type="pct"/>
            <w:gridSpan w:val="4"/>
            <w:tcBorders>
              <w:top w:val="nil"/>
              <w:left w:val="nil"/>
              <w:bottom w:val="nil"/>
              <w:right w:val="nil"/>
            </w:tcBorders>
            <w:noWrap/>
            <w:tcMar>
              <w:top w:w="15" w:type="dxa"/>
              <w:left w:w="15" w:type="dxa"/>
              <w:right w:w="15" w:type="dxa"/>
            </w:tcMar>
            <w:vAlign w:val="center"/>
          </w:tcPr>
          <w:p>
            <w:pPr>
              <w:widowControl/>
              <w:jc w:val="center"/>
              <w:textAlignment w:val="center"/>
              <w:rPr>
                <w:rFonts w:hAnsi="宋体" w:cs="宋体"/>
                <w:b/>
                <w:color w:val="auto"/>
                <w:szCs w:val="24"/>
                <w:highlight w:val="none"/>
              </w:rPr>
            </w:pPr>
            <w:r>
              <w:rPr>
                <w:rFonts w:hint="eastAsia" w:hAnsi="宋体"/>
                <w:b/>
                <w:color w:val="auto"/>
                <w:szCs w:val="24"/>
                <w:highlight w:val="none"/>
              </w:rPr>
              <w:t>静安区公园养护项目（中兴公园）</w:t>
            </w:r>
            <w:r>
              <w:rPr>
                <w:rFonts w:hint="eastAsia" w:hAnsi="宋体" w:cs="宋体"/>
                <w:b/>
                <w:color w:val="auto"/>
                <w:kern w:val="0"/>
                <w:szCs w:val="24"/>
                <w:highlight w:val="none"/>
              </w:rPr>
              <w:t>养护清单</w:t>
            </w:r>
          </w:p>
        </w:tc>
      </w:tr>
      <w:tr>
        <w:tblPrEx>
          <w:tblCellMar>
            <w:top w:w="0" w:type="dxa"/>
            <w:left w:w="0" w:type="dxa"/>
            <w:bottom w:w="0" w:type="dxa"/>
            <w:right w:w="0" w:type="dxa"/>
          </w:tblCellMar>
        </w:tblPrEx>
        <w:trPr>
          <w:trHeight w:val="467" w:hRule="atLeast"/>
        </w:trPr>
        <w:tc>
          <w:tcPr>
            <w:tcW w:w="7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序号</w:t>
            </w:r>
          </w:p>
        </w:tc>
        <w:tc>
          <w:tcPr>
            <w:tcW w:w="2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公园名称</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面积（平方米）</w:t>
            </w:r>
          </w:p>
        </w:tc>
        <w:tc>
          <w:tcPr>
            <w:tcW w:w="10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养护等级</w:t>
            </w:r>
          </w:p>
        </w:tc>
      </w:tr>
      <w:tr>
        <w:tblPrEx>
          <w:tblCellMar>
            <w:top w:w="0" w:type="dxa"/>
            <w:left w:w="0" w:type="dxa"/>
            <w:bottom w:w="0" w:type="dxa"/>
            <w:right w:w="0" w:type="dxa"/>
          </w:tblCellMar>
        </w:tblPrEx>
        <w:trPr>
          <w:trHeight w:val="702" w:hRule="atLeast"/>
        </w:trPr>
        <w:tc>
          <w:tcPr>
            <w:tcW w:w="7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szCs w:val="24"/>
                <w:highlight w:val="none"/>
              </w:rPr>
            </w:pPr>
            <w:r>
              <w:rPr>
                <w:rFonts w:hAnsi="宋体" w:cs="宋体"/>
                <w:color w:val="auto"/>
                <w:kern w:val="0"/>
                <w:szCs w:val="24"/>
                <w:highlight w:val="none"/>
              </w:rPr>
              <w:t>1</w:t>
            </w:r>
          </w:p>
        </w:tc>
        <w:tc>
          <w:tcPr>
            <w:tcW w:w="2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szCs w:val="24"/>
                <w:highlight w:val="none"/>
              </w:rPr>
            </w:pPr>
            <w:r>
              <w:rPr>
                <w:rFonts w:hint="eastAsia" w:hAnsi="宋体" w:cs="宋体"/>
                <w:color w:val="auto"/>
                <w:kern w:val="0"/>
                <w:szCs w:val="24"/>
                <w:highlight w:val="none"/>
              </w:rPr>
              <w:t>中兴公园</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szCs w:val="24"/>
                <w:highlight w:val="none"/>
              </w:rPr>
            </w:pPr>
            <w:r>
              <w:rPr>
                <w:rFonts w:hint="eastAsia" w:hAnsi="宋体" w:cs="宋体"/>
                <w:color w:val="auto"/>
                <w:kern w:val="0"/>
                <w:szCs w:val="24"/>
                <w:highlight w:val="none"/>
              </w:rPr>
              <w:t>34498</w:t>
            </w:r>
          </w:p>
        </w:tc>
        <w:tc>
          <w:tcPr>
            <w:tcW w:w="10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szCs w:val="24"/>
                <w:highlight w:val="none"/>
              </w:rPr>
            </w:pPr>
            <w:r>
              <w:rPr>
                <w:rFonts w:hint="eastAsia" w:hAnsi="宋体" w:cs="宋体"/>
                <w:color w:val="auto"/>
                <w:kern w:val="0"/>
                <w:szCs w:val="24"/>
                <w:highlight w:val="none"/>
              </w:rPr>
              <w:t>2</w:t>
            </w:r>
          </w:p>
        </w:tc>
      </w:tr>
      <w:tr>
        <w:tblPrEx>
          <w:tblCellMar>
            <w:top w:w="0" w:type="dxa"/>
            <w:left w:w="0" w:type="dxa"/>
            <w:bottom w:w="0" w:type="dxa"/>
            <w:right w:w="0" w:type="dxa"/>
          </w:tblCellMar>
        </w:tblPrEx>
        <w:trPr>
          <w:trHeight w:val="702" w:hRule="atLeast"/>
        </w:trPr>
        <w:tc>
          <w:tcPr>
            <w:tcW w:w="7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kern w:val="0"/>
                <w:szCs w:val="24"/>
                <w:highlight w:val="none"/>
              </w:rPr>
            </w:pPr>
          </w:p>
        </w:tc>
        <w:tc>
          <w:tcPr>
            <w:tcW w:w="2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合计</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34498</w:t>
            </w:r>
          </w:p>
        </w:tc>
        <w:tc>
          <w:tcPr>
            <w:tcW w:w="10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Ansi="宋体" w:cs="宋体"/>
                <w:color w:val="auto"/>
                <w:szCs w:val="24"/>
                <w:highlight w:val="none"/>
              </w:rPr>
            </w:pPr>
          </w:p>
        </w:tc>
      </w:tr>
    </w:tbl>
    <w:p>
      <w:pPr>
        <w:rPr>
          <w:color w:val="auto"/>
          <w:highlight w:val="none"/>
        </w:rPr>
      </w:pPr>
    </w:p>
    <w:p>
      <w:pPr>
        <w:jc w:val="center"/>
        <w:rPr>
          <w:rFonts w:ascii="仿宋_GB2312" w:eastAsia="仿宋_GB2312"/>
          <w:b/>
          <w:bCs/>
          <w:color w:val="auto"/>
          <w:szCs w:val="24"/>
          <w:highlight w:val="none"/>
        </w:rPr>
      </w:pPr>
      <w:r>
        <w:rPr>
          <w:rFonts w:hint="eastAsia" w:ascii="仿宋_GB2312" w:eastAsia="仿宋_GB2312"/>
          <w:b/>
          <w:bCs/>
          <w:color w:val="auto"/>
          <w:szCs w:val="24"/>
          <w:highlight w:val="none"/>
        </w:rPr>
        <w:t>街区绿化养护清单（图斑与清单不符时，以清单为准）</w:t>
      </w:r>
    </w:p>
    <w:tbl>
      <w:tblPr>
        <w:tblStyle w:val="3"/>
        <w:tblW w:w="0" w:type="auto"/>
        <w:tblInd w:w="113" w:type="dxa"/>
        <w:tblLayout w:type="autofit"/>
        <w:tblCellMar>
          <w:top w:w="0" w:type="dxa"/>
          <w:left w:w="108" w:type="dxa"/>
          <w:bottom w:w="0" w:type="dxa"/>
          <w:right w:w="108" w:type="dxa"/>
        </w:tblCellMar>
      </w:tblPr>
      <w:tblGrid>
        <w:gridCol w:w="376"/>
        <w:gridCol w:w="615"/>
        <w:gridCol w:w="536"/>
        <w:gridCol w:w="2370"/>
        <w:gridCol w:w="2370"/>
        <w:gridCol w:w="376"/>
        <w:gridCol w:w="376"/>
        <w:gridCol w:w="376"/>
        <w:gridCol w:w="1014"/>
      </w:tblGrid>
      <w:tr>
        <w:tblPrEx>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街道</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绿地属性</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绿地名称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绿地地址</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面积</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等级</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包件</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b/>
                <w:bCs/>
                <w:color w:val="auto"/>
                <w:kern w:val="0"/>
                <w:sz w:val="22"/>
                <w:highlight w:val="none"/>
              </w:rPr>
            </w:pPr>
            <w:r>
              <w:rPr>
                <w:rFonts w:hint="eastAsia" w:hAnsi="宋体" w:cs="宋体"/>
                <w:b/>
                <w:bCs/>
                <w:color w:val="auto"/>
                <w:kern w:val="0"/>
                <w:sz w:val="22"/>
                <w:highlight w:val="none"/>
              </w:rPr>
              <w:t>备注</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宝昌路(宝山路-中兴路)连接带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宝昌路(宝山路-中兴路)连接带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154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宝昌路西侧隔离带（芷江中路—青云路）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芷江路宝昌路西北侧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143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宝山路（宝通路—东宝兴路）东北高级职校围墙边绿地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宝山路（宝通路-东宝兴路）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265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宝山路宝源路东南角绿地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宝山路宝源路东南角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512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宝山路宝源路口绿地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宝山路宝源路东北角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632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宝山路永兴路口绿地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宝山路永兴路口西北角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345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宝源路西侧（东宝兴路—宝源路）绿地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宝源路（东宝兴路-宝源路）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714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东宝兴路(中兴路-宝山路）机非隔离带绿地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东宝兴路(中兴路-宝山路）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81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绿洲雅宾利花园一期东南角绿地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中兴路公兴路西北角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558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虬江路909弄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虬江路909弄-917号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虬江路隔离带绿地（宝山路-宝昌路）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宝山路-宝昌路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172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虬江路民德路东南角绿地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虬江路民德路东南角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307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万科翡翠雅宾利墙外绿地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天通阁路36号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1642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西藏北路地道出入口两侧绿地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西藏北路地道出入口两侧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353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西藏北路桥两侧绿化及桥顶口南北两块绿地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西藏北路桥两侧绿化及桥顶口南北两块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767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西藏北路中兴路地铁站绿地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西藏北路中兴路东南角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3404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芷江中路机非隔离带(西藏北路—通阁路）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芷江中路（西藏北路-通阁路）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918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中兴路北宝兴路西北角绿地（长征大厦）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中兴路215号-220号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281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中兴路两侧中央绿化带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中兴路（共和新路-东宝兴路）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3596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二级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宝昌路600弄绿地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宝昌路600弄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179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宝山路地铁站口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3号线宝山路地铁站口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20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宝山路鸿兴路（家得利超市）门前绿地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宝山路、鸿兴路（家得利超市）门前</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81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宝山路农业银行门口绿地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宝山路宝昌路东北角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192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宝通路宝川路东北夹角绿地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宝通路宝川路东北角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宝通路宝源路东北角绿地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宝通路宝源路东北角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112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宝通路中华新路口绿地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宝通路中华新路口东南角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宝源路（启东路-宝通路）道路北侧绿地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宝源路（启东路-宝通路）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156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宝源路分车岛绿地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宝源路219号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103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公兴路80号绿地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公兴路80号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176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青云路宝昌路绿地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青云路宝昌路西南角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116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青云路止园路口绿地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青云路止园路西南角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198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虬江路888弄口绿地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虬江路888弄口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西藏北路东侧（天通庵路—芷江中路）绿地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西藏北路854号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西藏北路东侧（永兴路—中兴路）绿地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西藏北路（永兴路-中兴路）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93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西藏北路东侧人行道绿地（中华新路—天通庵路）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西藏北路（中华新路-天通庵路）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西藏北路芷江中路转角绿地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中兴路293号门前</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中兴路293号门前</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中山北路东宝兴路西南角绿地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中山北路东宝兴路西南角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24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M8线中山北路站（平型关路-宝山路）绿地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M8线中山北路站（平型关路-宝山路）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2483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一级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虬江路音响城绿地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宝山路虬江路东南角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2687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一级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西藏北路青云路东北角绿地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西藏北路青云路东北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一级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西藏北路芷江中路东北角连带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一级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公共绿地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西藏北路芷江中路东北角绿地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西藏北路芷江中路东北角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272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一级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虬江路1080号—民德路小杨商店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虬江路1080号-民德路小杨商店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虬江路1150号局西村边花坛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虬江路1150号局西村边花坛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虬江路拆违建绿工程（虬江路宝通路东北角）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虬江路宝通路东北角（地块三）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49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虬江路拆违建绿工程（虬江路宝通路西北角）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虬江路宝通路西北角（地块二）</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566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虬江路拆违建绿工程（虬江路公兴路西北角）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虬江路公兴路西北角（地块一）</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105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天通庵路宝通路街心花园</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天通庵路宝通路街心花园</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1072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王家宅135号边花坛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王家宅135号边花坛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王家宅支路35号边花坛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王家宅支路35号边花坛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永兴路北侧（公兴路—宝山路）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永兴路北侧（公兴路-宝山路）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芷江中路258弄-1号（上海银行）东侧3处花坛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芷江中路258弄-1号（上海银行）东侧3处花坛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3号线宝山路地铁站沿街绿地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3号线地铁宝山路站</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10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宝昌路533号党群服务中心北墙靠芷江中路久欣公寓门口旁边</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宝昌路533号党群服务中心北墙靠芷江中路久欣公寓门口旁边</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宝山路（东宝兴路-鸿兴路）机非隔离带绿化</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宝山路（东宝兴路-鸿兴路）机非隔离带绿化</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1500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59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宝山路交通路地铁2号口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宝山路交通路地铁2号口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274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宝通大楼沿街绿地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陆丰路9号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宝通公寓沿街绿地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宝通路393号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108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春光大厦沿街绿地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中山北路470号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东宝兴路宝山路西南角绿地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东宝兴路宝山路西南角</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63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东宝兴路沿线绿地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东宝兴路西侧（青云路-恒业路）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618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公兴路7号门前绿地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公兴路7号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广盛公寓沿街绿地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宝昌路738号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93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和馨苑沿街绿地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宝通路157弄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宏业公寓沿街绿地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芷江中路428弄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69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会文路5弄小区沿街绿地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会文路5弄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会文路交通路口西侧沿街绿地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会文路3号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会文路聚源大厦沿街花坛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虬江路1000号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142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金鹭幼儿园围墙外侧绿地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会文路永兴路路口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30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久欣公寓258弄西侧花坛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芷江中路258弄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蒙特利城沿街绿地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永兴路99弄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青云中学沿街绿地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止园路389号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虬江大楼沿街绿地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虬江路1120号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虬江路809弄小区沿街绿地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虬江路809弄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虬江路860号门前绿地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虬江路860号门前</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57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79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虬江路会文路路口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虬江路会文路路口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57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三宝花苑沿街绿地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宝昌路265号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上海市第十人民医院分院沿街绿地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虬江路1057号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上海市中医医院沿街绿地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天通庵路191号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申桂公寓沿街绿地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东宝兴路418号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天吉小区沿街绿地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永兴路37号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168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通阁小区沿街绿地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通阁路200弄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50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童天公寓沿街绿地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西藏北路800号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武夷商务园沿街绿地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虬江路865号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9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西藏北路1060号门前绿地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西藏北路1060号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89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西藏北路772弄门前绿地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西藏北路772弄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西藏北路地铁站2口旁绿地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西藏北路地铁站2口旁</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536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西藏北路地铁站健身笼式足球场</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西藏北路地铁站健身笼式足球场</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495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西藏北路地铁站健身笼式足球场外围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西藏北路地铁站健身笼式足球场外围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464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西藏北路围墙边绿地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西藏北路围墙边</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30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16m垂直绿化，高1.5m</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西藏路永兴路口上海铭德大酒店沿街绿地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西藏路永兴路口上海铭德大酒店沿街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168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象山小区入口花坛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象山小区入口花坛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扬波大厦沿街绿地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永兴路58弄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永会大楼沿街绿地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会文路50号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邮电小区沿街绿地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止园路240弄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99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长兴小区沿街绿地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宝通路135弄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长征大厦沿街绿地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东宝兴路560号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78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长征医院宿舍楼门头外侧绿地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会文路交通路口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45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102</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止园路（天通庵路—芷江中路）隔离带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止园路（天通庵路-芷江中路）隔离带</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55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止园路400弄门口绿地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止园路400弄门口绿地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8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104</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芷江中路600号（老盛兴—神州通讯）之间的花坛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芷江中路600号（老盛兴-神州通讯）之间的花坛</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6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105</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芷江中路678号门口花坛（2个）</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芷江中路678号门口花坛（2个）</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13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106</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芷江中路宝通路路口花坛（2个）</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芷江中路宝通路路口花坛（2个）</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35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107</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中铁物资大厦沿街绿地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会文路88号</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291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108</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中兴路800号宣传栏下（会文路中兴路交叉口）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中兴路800号宣传栏下（会文路中兴路交叉口）</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无图斑</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109</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中兴路北侧（宝通路—鸿兴路）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中兴路北侧（宝通路-鸿兴路）</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3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110</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宝山路街道</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社会绿地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紫光苑沿街绿地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宝通路518弄</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 xml:space="preserve">2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四级</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三</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rPr>
                <w:rFonts w:hAnsi="宋体" w:cs="宋体"/>
                <w:color w:val="auto"/>
                <w:kern w:val="0"/>
                <w:sz w:val="22"/>
                <w:highlight w:val="none"/>
              </w:rPr>
            </w:pPr>
            <w:r>
              <w:rPr>
                <w:rFonts w:hint="eastAsia" w:hAnsi="宋体" w:cs="宋体"/>
                <w:color w:val="auto"/>
                <w:kern w:val="0"/>
                <w:sz w:val="22"/>
                <w:highlight w:val="none"/>
              </w:rPr>
              <w:t>　</w:t>
            </w:r>
          </w:p>
        </w:tc>
      </w:tr>
    </w:tbl>
    <w:p>
      <w:pPr>
        <w:rPr>
          <w:color w:val="auto"/>
          <w:highlight w:val="none"/>
        </w:rPr>
      </w:pPr>
    </w:p>
    <w:tbl>
      <w:tblPr>
        <w:tblStyle w:val="3"/>
        <w:tblW w:w="0" w:type="auto"/>
        <w:tblInd w:w="108" w:type="dxa"/>
        <w:tblLayout w:type="autofit"/>
        <w:tblCellMar>
          <w:top w:w="0" w:type="dxa"/>
          <w:left w:w="108" w:type="dxa"/>
          <w:bottom w:w="0" w:type="dxa"/>
          <w:right w:w="108" w:type="dxa"/>
        </w:tblCellMar>
      </w:tblPr>
      <w:tblGrid>
        <w:gridCol w:w="760"/>
        <w:gridCol w:w="1911"/>
        <w:gridCol w:w="679"/>
        <w:gridCol w:w="789"/>
        <w:gridCol w:w="841"/>
        <w:gridCol w:w="1200"/>
        <w:gridCol w:w="899"/>
        <w:gridCol w:w="818"/>
        <w:gridCol w:w="517"/>
      </w:tblGrid>
      <w:tr>
        <w:tblPrEx>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vAlign w:val="center"/>
          </w:tcPr>
          <w:p>
            <w:pPr>
              <w:widowControl/>
              <w:spacing w:line="240" w:lineRule="auto"/>
              <w:jc w:val="center"/>
              <w:rPr>
                <w:rFonts w:ascii="仿宋_GB2312" w:hAnsi="等线" w:eastAsia="仿宋_GB2312" w:cs="宋体"/>
                <w:b/>
                <w:bCs/>
                <w:color w:val="auto"/>
                <w:kern w:val="0"/>
                <w:sz w:val="22"/>
                <w:highlight w:val="none"/>
              </w:rPr>
            </w:pPr>
            <w:r>
              <w:rPr>
                <w:rFonts w:hint="eastAsia" w:ascii="仿宋_GB2312" w:hAnsi="等线" w:eastAsia="仿宋_GB2312" w:cs="宋体"/>
                <w:b/>
                <w:bCs/>
                <w:color w:val="auto"/>
                <w:kern w:val="0"/>
                <w:sz w:val="22"/>
                <w:highlight w:val="none"/>
              </w:rPr>
              <w:t>街区绿化花卉布置清单</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所属街道</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地点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种植时间</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面积/数量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计划品种</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容器规格（</w:t>
            </w:r>
            <w:r>
              <w:rPr>
                <w:rFonts w:hint="eastAsia" w:ascii="Segoe UI Symbol" w:hAnsi="Segoe UI Symbol" w:eastAsia="Segoe UI Symbol" w:cs="Segoe UI Symbol"/>
                <w:color w:val="auto"/>
                <w:kern w:val="0"/>
                <w:sz w:val="22"/>
                <w:highlight w:val="none"/>
              </w:rPr>
              <w:t>㎝</w:t>
            </w:r>
            <w:r>
              <w:rPr>
                <w:rFonts w:hint="eastAsia" w:ascii="仿宋_GB2312" w:hAnsi="仿宋_GB2312" w:eastAsia="仿宋_GB2312" w:cs="仿宋_GB2312"/>
                <w:color w:val="auto"/>
                <w:kern w:val="0"/>
                <w:sz w:val="22"/>
                <w:highlight w:val="none"/>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花卉颜色</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数量(株)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备注</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虬江路民德路花坛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虬江路街心花园花坛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美女樱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1715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音响绿地花坛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2940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永兴路鸿兴路口花坛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1372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虬江路1080号-民德路小杨商店花坛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美女樱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4802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宝通路芷江路口花坛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美女樱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882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王家宅135号边花坛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539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王家宅支路35号边花坛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美女樱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490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虬江路11月50号局西村花坛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1470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美女樱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垂吊矮牵牛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4459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虬江路民德路花坛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虬江路街心花园花坛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香彩雀</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1715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音响绿地花坛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2940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永兴路鸿兴路口花坛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1372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虬江路1080号-民德路小杨商店花坛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香彩雀</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4802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宝通路芷江路口花坛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香彩雀</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882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王家宅135号边花坛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539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王家宅支路35号边花坛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香彩雀</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490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虬江路1151号局西村花坛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1470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香彩雀</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4459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虬江路民德路花坛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何氏凤仙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玫红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虬江路街心花园花坛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1715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音响绿地花坛</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60</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1470</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绿叶粉花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1470</w:t>
            </w: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永兴路鸿兴路口花坛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虬江路1081号-民德路小杨商店花坛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宝通路芷江路口花坛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648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王家宅136号边花坛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396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王家宅支路36号边花坛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虬江路1151号局西村花坛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3276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虬江路民德路花坛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虬江路街心花园花坛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1715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音响绿地花坛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雏菊</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2940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永兴路鸿兴路口花坛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1372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虬江路1082号-民德路小杨商店花坛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4802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宝通路芷江路口花坛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882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王家宅137号边花坛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539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王家宅支路37号边花坛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490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虬江路1151号局西村花坛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1470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青云路北侧（东宝兴路-宝昌路）花坛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宝山路北侧（三宝花苑-东宝兴路）花坛</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紫色、粉色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4459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宝山路街道</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虬江路宝山路花境</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矾根</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水果兰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H35 P25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火焰南天竹</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欧石竹</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宝山路街道</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虬江路宝山路花境</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大花飞燕草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大花耧斗菜</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羽扇豆</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毛地黄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天竺葵</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满天星</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超级凤仙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大花天人菊</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宝山路街道</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虬江路宝山路花境</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6月</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天蓝鼠尾草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柳叶马鞭草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黄金构骨</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H70 P80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圆锥八仙花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S20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紫叶千鸟花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S20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花叶美人蕉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H35 P25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红、黄</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茛力花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虬江路宝山路花境</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阔叶红千层</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D12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高杆千日红</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S20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观赏谷子</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小兔子狼尾草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1加仑</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虬江路宝山路花境</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380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常绿萱草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新西兰亚麻</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一加仑</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无刺枸骨</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H60 P50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角堇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羽衣甘蓝</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朱焦</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bl>
    <w:p>
      <w:pPr>
        <w:rPr>
          <w:color w:val="auto"/>
          <w:highlight w:val="none"/>
        </w:rPr>
      </w:pPr>
    </w:p>
    <w:tbl>
      <w:tblPr>
        <w:tblStyle w:val="3"/>
        <w:tblW w:w="0" w:type="auto"/>
        <w:tblInd w:w="108" w:type="dxa"/>
        <w:tblLayout w:type="autofit"/>
        <w:tblCellMar>
          <w:top w:w="0" w:type="dxa"/>
          <w:left w:w="108" w:type="dxa"/>
          <w:bottom w:w="0" w:type="dxa"/>
          <w:right w:w="108" w:type="dxa"/>
        </w:tblCellMar>
      </w:tblPr>
      <w:tblGrid>
        <w:gridCol w:w="825"/>
        <w:gridCol w:w="2100"/>
        <w:gridCol w:w="934"/>
        <w:gridCol w:w="879"/>
        <w:gridCol w:w="880"/>
        <w:gridCol w:w="602"/>
        <w:gridCol w:w="769"/>
        <w:gridCol w:w="878"/>
        <w:gridCol w:w="547"/>
      </w:tblGrid>
      <w:tr>
        <w:tblPrEx>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vAlign w:val="center"/>
          </w:tcPr>
          <w:p>
            <w:pPr>
              <w:widowControl/>
              <w:spacing w:line="240" w:lineRule="auto"/>
              <w:jc w:val="center"/>
              <w:rPr>
                <w:rFonts w:ascii="仿宋_GB2312" w:hAnsi="等线" w:eastAsia="仿宋_GB2312" w:cs="宋体"/>
                <w:b/>
                <w:bCs/>
                <w:color w:val="auto"/>
                <w:kern w:val="0"/>
                <w:sz w:val="22"/>
                <w:highlight w:val="none"/>
              </w:rPr>
            </w:pPr>
            <w:r>
              <w:rPr>
                <w:rFonts w:hint="eastAsia" w:ascii="仿宋_GB2312" w:hAnsi="等线" w:eastAsia="仿宋_GB2312" w:cs="宋体"/>
                <w:b/>
                <w:bCs/>
                <w:color w:val="auto"/>
                <w:kern w:val="0"/>
                <w:sz w:val="22"/>
                <w:highlight w:val="none"/>
              </w:rPr>
              <w:t>立体绿化养护清单</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所属街道</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地点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种植时间</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面积/数量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计划品种</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规格</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颜色</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数量(株)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备注</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虬江路绿地绿墙</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184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萼距花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银叶菊</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single" w:color="auto" w:sz="4" w:space="0"/>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五色梅</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肾蕨</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金线蒲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single" w:color="auto" w:sz="4" w:space="0"/>
              <w:left w:val="single" w:color="auto" w:sz="4" w:space="0"/>
              <w:bottom w:val="nil"/>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7月</w:t>
            </w: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金线蒲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火焰南天竹</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肾蕨</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银叶菊</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肾蕨</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nil"/>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金线蒲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xml:space="preserve"> 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西藏北路芷江中路</w:t>
            </w:r>
            <w:r>
              <w:rPr>
                <w:rFonts w:hint="eastAsia" w:ascii="仿宋_GB2312" w:hAnsi="等线" w:eastAsia="仿宋_GB2312" w:cs="宋体"/>
                <w:color w:val="auto"/>
                <w:kern w:val="0"/>
                <w:sz w:val="22"/>
                <w:highlight w:val="none"/>
              </w:rPr>
              <w:br w:type="textWrapping"/>
            </w:r>
            <w:r>
              <w:rPr>
                <w:rFonts w:hint="eastAsia" w:ascii="仿宋_GB2312" w:hAnsi="等线" w:eastAsia="仿宋_GB2312" w:cs="宋体"/>
                <w:color w:val="auto"/>
                <w:kern w:val="0"/>
                <w:sz w:val="22"/>
                <w:highlight w:val="none"/>
              </w:rPr>
              <w:t>绿墙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194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角堇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7月</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4月、9月</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壁植袋</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1200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xml:space="preserve"> 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虬江路公兴路西北角垂直绿墙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角堇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7月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宝山路虬江路东北角、西北角绿墙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223</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角堇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7月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560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xml:space="preserve"> 宝山街道</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公兴路永兴路西南角绿墙</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2月</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35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角堇</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混色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4月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四季海棠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7月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彩叶草</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9月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金森女贞</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大花海棠</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绿叶红花</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11月</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rPr>
                <w:rFonts w:ascii="仿宋_GB2312" w:hAnsi="等线" w:eastAsia="仿宋_GB2312" w:cs="宋体"/>
                <w:color w:val="auto"/>
                <w:kern w:val="0"/>
                <w:sz w:val="22"/>
                <w:highlight w:val="none"/>
              </w:rPr>
            </w:pP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紫罗兰</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S18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紫色</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150</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仿宋_GB2312" w:hAnsi="等线" w:eastAsia="仿宋_GB2312" w:cs="宋体"/>
                <w:color w:val="auto"/>
                <w:kern w:val="0"/>
                <w:sz w:val="22"/>
                <w:highlight w:val="none"/>
              </w:rPr>
            </w:pPr>
            <w:r>
              <w:rPr>
                <w:rFonts w:hint="eastAsia" w:ascii="仿宋_GB2312" w:hAnsi="等线" w:eastAsia="仿宋_GB2312" w:cs="宋体"/>
                <w:color w:val="auto"/>
                <w:kern w:val="0"/>
                <w:sz w:val="22"/>
                <w:highlight w:val="none"/>
              </w:rPr>
              <w:t>　</w:t>
            </w:r>
          </w:p>
        </w:tc>
      </w:tr>
    </w:tbl>
    <w:p>
      <w:pPr>
        <w:rPr>
          <w:color w:val="auto"/>
          <w:highlight w:val="none"/>
        </w:rPr>
      </w:pPr>
    </w:p>
    <w:p>
      <w:pPr>
        <w:widowControl/>
        <w:spacing w:line="240" w:lineRule="auto"/>
        <w:rPr>
          <w:color w:val="auto"/>
          <w:highlight w:val="none"/>
        </w:rPr>
      </w:pPr>
      <w:r>
        <w:rPr>
          <w:color w:val="auto"/>
          <w:highlight w:val="none"/>
        </w:rPr>
        <w:br w:type="page"/>
      </w:r>
    </w:p>
    <w:p>
      <w:pPr>
        <w:rPr>
          <w:color w:val="auto"/>
          <w:highlight w:val="none"/>
        </w:rPr>
      </w:pPr>
      <w:r>
        <w:rPr>
          <w:rFonts w:hint="eastAsia"/>
          <w:color w:val="auto"/>
          <w:highlight w:val="none"/>
        </w:rPr>
        <w:t>宝山路街道</w:t>
      </w:r>
    </w:p>
    <w:p>
      <w:pPr>
        <w:rPr>
          <w:color w:val="auto"/>
          <w:highlight w:val="none"/>
        </w:rPr>
      </w:pPr>
      <w:r>
        <w:rPr>
          <w:color w:val="auto"/>
          <w:highlight w:val="none"/>
        </w:rPr>
        <w:drawing>
          <wp:inline distT="0" distB="0" distL="0" distR="0">
            <wp:extent cx="5274310" cy="7457440"/>
            <wp:effectExtent l="0" t="0" r="2540" b="0"/>
            <wp:docPr id="17960903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90355"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7457440"/>
                    </a:xfrm>
                    <a:prstGeom prst="rect">
                      <a:avLst/>
                    </a:prstGeom>
                    <a:noFill/>
                    <a:ln>
                      <a:noFill/>
                    </a:ln>
                  </pic:spPr>
                </pic:pic>
              </a:graphicData>
            </a:graphic>
          </wp:inline>
        </w:drawing>
      </w:r>
    </w:p>
    <w:p>
      <w:pPr>
        <w:rPr>
          <w:color w:val="auto"/>
          <w:highlight w:val="none"/>
        </w:rPr>
      </w:pPr>
    </w:p>
    <w:p>
      <w:pPr>
        <w:rPr>
          <w:color w:val="auto"/>
          <w:highlight w:val="none"/>
        </w:rPr>
      </w:pPr>
    </w:p>
    <w:p>
      <w:pPr>
        <w:rPr>
          <w:color w:val="auto"/>
          <w:highlight w:val="none"/>
        </w:rPr>
      </w:pPr>
    </w:p>
    <w:p>
      <w:pPr>
        <w:jc w:val="left"/>
        <w:rPr>
          <w:rFonts w:hint="eastAsia" w:hAnsi="宋体" w:eastAsia="宋体"/>
          <w:b/>
          <w:color w:val="auto"/>
          <w:sz w:val="32"/>
          <w:szCs w:val="32"/>
          <w:highlight w:val="none"/>
          <w:lang w:val="en-US" w:eastAsia="zh-CN"/>
        </w:rPr>
      </w:pPr>
      <w:r>
        <w:rPr>
          <w:rFonts w:hint="eastAsia" w:hAnsi="宋体"/>
          <w:b/>
          <w:color w:val="auto"/>
          <w:sz w:val="32"/>
          <w:szCs w:val="32"/>
          <w:highlight w:val="none"/>
          <w:lang w:val="en-US" w:eastAsia="zh-CN"/>
        </w:rPr>
        <w:t>包:2：</w:t>
      </w:r>
    </w:p>
    <w:p>
      <w:pPr>
        <w:jc w:val="center"/>
        <w:rPr>
          <w:rFonts w:hint="eastAsia" w:hAnsi="宋体"/>
          <w:b/>
          <w:color w:val="auto"/>
          <w:sz w:val="32"/>
          <w:szCs w:val="32"/>
          <w:highlight w:val="none"/>
        </w:rPr>
      </w:pPr>
      <w:r>
        <w:rPr>
          <w:rFonts w:hint="eastAsia" w:hAnsi="宋体"/>
          <w:b/>
          <w:color w:val="auto"/>
          <w:sz w:val="32"/>
          <w:szCs w:val="32"/>
          <w:highlight w:val="none"/>
        </w:rPr>
        <w:t>静安青年体育公园、市北绿地养护</w:t>
      </w:r>
    </w:p>
    <w:p>
      <w:pPr>
        <w:jc w:val="center"/>
        <w:rPr>
          <w:rFonts w:hint="eastAsia" w:hAnsi="宋体" w:eastAsia="宋体"/>
          <w:b/>
          <w:color w:val="auto"/>
          <w:sz w:val="32"/>
          <w:szCs w:val="32"/>
          <w:highlight w:val="none"/>
          <w:lang w:eastAsia="zh-CN"/>
        </w:rPr>
      </w:pPr>
      <w:r>
        <w:rPr>
          <w:rFonts w:hint="eastAsia" w:hAnsi="宋体"/>
          <w:b/>
          <w:color w:val="auto"/>
          <w:sz w:val="32"/>
          <w:szCs w:val="32"/>
          <w:highlight w:val="none"/>
          <w:lang w:val="en-US" w:eastAsia="zh-CN"/>
        </w:rPr>
        <w:t>采购需求</w:t>
      </w:r>
    </w:p>
    <w:p>
      <w:pPr>
        <w:rPr>
          <w:rFonts w:hAnsi="宋体"/>
          <w:color w:val="auto"/>
          <w:szCs w:val="24"/>
          <w:highlight w:val="none"/>
        </w:rPr>
      </w:pPr>
      <w:r>
        <w:rPr>
          <w:rFonts w:hint="eastAsia" w:hAnsi="宋体"/>
          <w:color w:val="auto"/>
          <w:szCs w:val="24"/>
          <w:highlight w:val="none"/>
        </w:rPr>
        <w:t>一、合格的投标人必须具备以下条件：</w:t>
      </w:r>
    </w:p>
    <w:p>
      <w:pPr>
        <w:rPr>
          <w:rFonts w:hAnsi="宋体"/>
          <w:color w:val="auto"/>
          <w:szCs w:val="24"/>
          <w:highlight w:val="none"/>
        </w:rPr>
      </w:pPr>
      <w:r>
        <w:rPr>
          <w:rFonts w:hAnsi="宋体"/>
          <w:color w:val="auto"/>
          <w:szCs w:val="24"/>
          <w:highlight w:val="none"/>
        </w:rPr>
        <w:t>1</w:t>
      </w:r>
      <w:r>
        <w:rPr>
          <w:rFonts w:hint="eastAsia" w:hAnsi="宋体"/>
          <w:color w:val="auto"/>
          <w:szCs w:val="24"/>
          <w:highlight w:val="none"/>
        </w:rPr>
        <w:t>、符合《中华人民共和国政府采购法》第二十二条规定的供应商。</w:t>
      </w:r>
    </w:p>
    <w:p>
      <w:pPr>
        <w:rPr>
          <w:rFonts w:hAnsi="宋体"/>
          <w:color w:val="auto"/>
          <w:szCs w:val="24"/>
          <w:highlight w:val="none"/>
        </w:rPr>
      </w:pPr>
      <w:r>
        <w:rPr>
          <w:rFonts w:hAnsi="宋体"/>
          <w:color w:val="auto"/>
          <w:szCs w:val="24"/>
          <w:highlight w:val="none"/>
        </w:rPr>
        <w:t>2</w:t>
      </w:r>
      <w:r>
        <w:rPr>
          <w:rFonts w:hint="eastAsia" w:hAnsi="宋体"/>
          <w:color w:val="auto"/>
          <w:szCs w:val="24"/>
          <w:highlight w:val="none"/>
        </w:rPr>
        <w:t>、根据《上海市政府采购供应商登记及诚信管理办法》已登记入库的供应商。</w:t>
      </w:r>
    </w:p>
    <w:p>
      <w:pPr>
        <w:rPr>
          <w:rFonts w:hAnsi="宋体"/>
          <w:color w:val="auto"/>
          <w:szCs w:val="24"/>
          <w:highlight w:val="none"/>
        </w:rPr>
      </w:pPr>
      <w:r>
        <w:rPr>
          <w:rFonts w:hAnsi="宋体"/>
          <w:color w:val="auto"/>
          <w:szCs w:val="24"/>
          <w:highlight w:val="none"/>
        </w:rPr>
        <w:t>3</w:t>
      </w:r>
      <w:r>
        <w:rPr>
          <w:rFonts w:hint="eastAsia" w:hAnsi="宋体"/>
          <w:color w:val="auto"/>
          <w:szCs w:val="24"/>
          <w:highlight w:val="none"/>
        </w:rPr>
        <w:t>、其他资质要求：</w:t>
      </w:r>
    </w:p>
    <w:p>
      <w:pPr>
        <w:rPr>
          <w:rFonts w:hint="eastAsia" w:hAnsi="宋体"/>
          <w:color w:val="auto"/>
          <w:szCs w:val="24"/>
          <w:highlight w:val="none"/>
        </w:rPr>
      </w:pPr>
      <w:r>
        <w:rPr>
          <w:rFonts w:hint="eastAsia" w:hAnsi="宋体"/>
          <w:color w:val="auto"/>
          <w:szCs w:val="24"/>
          <w:highlight w:val="none"/>
        </w:rPr>
        <w:t>（1）投标供应商必须具有独立法人资格；</w:t>
      </w:r>
    </w:p>
    <w:p>
      <w:pPr>
        <w:rPr>
          <w:rFonts w:hint="eastAsia" w:hAnsi="宋体"/>
          <w:color w:val="auto"/>
          <w:szCs w:val="24"/>
          <w:highlight w:val="none"/>
        </w:rPr>
      </w:pPr>
      <w:r>
        <w:rPr>
          <w:rFonts w:hint="eastAsia" w:hAnsi="宋体"/>
          <w:color w:val="auto"/>
          <w:szCs w:val="24"/>
          <w:highlight w:val="none"/>
        </w:rPr>
        <w:t>（2）本项目不接受联合体投标；</w:t>
      </w:r>
    </w:p>
    <w:p>
      <w:pPr>
        <w:rPr>
          <w:rFonts w:hint="eastAsia" w:hAnsi="宋体"/>
          <w:color w:val="auto"/>
          <w:szCs w:val="24"/>
          <w:highlight w:val="none"/>
        </w:rPr>
      </w:pPr>
      <w:r>
        <w:rPr>
          <w:rFonts w:hint="eastAsia" w:hAnsi="宋体"/>
          <w:color w:val="auto"/>
          <w:szCs w:val="24"/>
          <w:highlight w:val="none"/>
        </w:rPr>
        <w:t>（3）本项目面向</w:t>
      </w:r>
      <w:r>
        <w:rPr>
          <w:rFonts w:hint="eastAsia" w:hAnsi="宋体"/>
          <w:color w:val="auto"/>
          <w:szCs w:val="24"/>
          <w:highlight w:val="none"/>
          <w:lang w:val="en-US" w:eastAsia="zh-CN"/>
        </w:rPr>
        <w:t>所有</w:t>
      </w:r>
      <w:r>
        <w:rPr>
          <w:rFonts w:hint="eastAsia" w:hAnsi="宋体"/>
          <w:color w:val="auto"/>
          <w:szCs w:val="24"/>
          <w:highlight w:val="none"/>
        </w:rPr>
        <w:t>企业投标；</w:t>
      </w:r>
    </w:p>
    <w:p>
      <w:pPr>
        <w:rPr>
          <w:rFonts w:hint="eastAsia" w:hAnsi="宋体"/>
          <w:color w:val="auto"/>
          <w:szCs w:val="24"/>
          <w:highlight w:val="none"/>
        </w:rPr>
      </w:pPr>
      <w:r>
        <w:rPr>
          <w:rFonts w:hint="eastAsia" w:hAnsi="宋体"/>
          <w:color w:val="auto"/>
          <w:szCs w:val="24"/>
          <w:highlight w:val="none"/>
        </w:rPr>
        <w:t>（4）具有固定的经营场所及维修、维护人员，且能提供良好的技术支持的优先；</w:t>
      </w:r>
    </w:p>
    <w:p>
      <w:pPr>
        <w:rPr>
          <w:rFonts w:hAnsi="宋体"/>
          <w:color w:val="auto"/>
          <w:szCs w:val="24"/>
          <w:highlight w:val="none"/>
        </w:rPr>
      </w:pPr>
      <w:r>
        <w:rPr>
          <w:rFonts w:hint="eastAsia" w:hAnsi="宋体"/>
          <w:color w:val="auto"/>
          <w:szCs w:val="24"/>
          <w:highlight w:val="none"/>
        </w:rPr>
        <w:t>（5）有近三年类似规模同类项目业绩的优先。</w:t>
      </w:r>
    </w:p>
    <w:p>
      <w:pPr>
        <w:rPr>
          <w:rFonts w:hAnsi="宋体"/>
          <w:color w:val="auto"/>
          <w:szCs w:val="24"/>
          <w:highlight w:val="none"/>
        </w:rPr>
      </w:pPr>
      <w:r>
        <w:rPr>
          <w:rFonts w:hint="eastAsia" w:hAnsi="宋体"/>
          <w:color w:val="auto"/>
          <w:szCs w:val="24"/>
          <w:highlight w:val="none"/>
        </w:rPr>
        <w:t>二、项目概况：</w:t>
      </w:r>
    </w:p>
    <w:p>
      <w:pPr>
        <w:ind w:firstLine="300" w:firstLineChars="125"/>
        <w:rPr>
          <w:rFonts w:hint="eastAsia" w:hAnsi="宋体"/>
          <w:color w:val="auto"/>
          <w:szCs w:val="24"/>
          <w:highlight w:val="none"/>
          <w:u w:val="single"/>
        </w:rPr>
      </w:pPr>
      <w:r>
        <w:rPr>
          <w:rFonts w:hint="eastAsia" w:hAnsi="宋体"/>
          <w:color w:val="auto"/>
          <w:szCs w:val="24"/>
          <w:highlight w:val="none"/>
        </w:rPr>
        <w:t>1、</w:t>
      </w:r>
      <w:r>
        <w:rPr>
          <w:rFonts w:hint="eastAsia" w:hAnsi="宋体"/>
          <w:color w:val="auto"/>
          <w:szCs w:val="24"/>
          <w:highlight w:val="none"/>
          <w:lang w:val="en-US" w:eastAsia="zh-CN"/>
        </w:rPr>
        <w:t>包？：</w:t>
      </w:r>
      <w:r>
        <w:rPr>
          <w:rFonts w:hint="eastAsia" w:hAnsi="宋体"/>
          <w:color w:val="auto"/>
          <w:szCs w:val="24"/>
          <w:highlight w:val="none"/>
          <w:u w:val="single"/>
        </w:rPr>
        <w:t>静安青年体育公园、市北绿地养护</w:t>
      </w:r>
    </w:p>
    <w:p>
      <w:pPr>
        <w:ind w:firstLine="300"/>
        <w:rPr>
          <w:rFonts w:hAnsi="宋体"/>
          <w:color w:val="auto"/>
          <w:szCs w:val="24"/>
          <w:highlight w:val="none"/>
          <w:u w:val="single"/>
        </w:rPr>
      </w:pPr>
      <w:r>
        <w:rPr>
          <w:rFonts w:hAnsi="宋体"/>
          <w:color w:val="auto"/>
          <w:szCs w:val="24"/>
          <w:highlight w:val="none"/>
        </w:rPr>
        <w:t>2</w:t>
      </w:r>
      <w:r>
        <w:rPr>
          <w:rFonts w:hint="eastAsia" w:hAnsi="宋体"/>
          <w:color w:val="auto"/>
          <w:szCs w:val="24"/>
          <w:highlight w:val="none"/>
        </w:rPr>
        <w:t>、采购编号：</w:t>
      </w:r>
      <w:r>
        <w:rPr>
          <w:rFonts w:hint="eastAsia" w:hAnsi="宋体"/>
          <w:color w:val="auto"/>
          <w:szCs w:val="24"/>
          <w:highlight w:val="none"/>
          <w:u w:val="single"/>
        </w:rPr>
        <w:t>0624-00050205</w:t>
      </w:r>
    </w:p>
    <w:p>
      <w:pPr>
        <w:ind w:firstLine="300"/>
        <w:rPr>
          <w:rFonts w:hAnsi="宋体"/>
          <w:color w:val="auto"/>
          <w:szCs w:val="24"/>
          <w:highlight w:val="none"/>
        </w:rPr>
      </w:pPr>
      <w:r>
        <w:rPr>
          <w:rFonts w:hAnsi="宋体"/>
          <w:color w:val="auto"/>
          <w:szCs w:val="24"/>
          <w:highlight w:val="none"/>
        </w:rPr>
        <w:t>3</w:t>
      </w:r>
      <w:r>
        <w:rPr>
          <w:rFonts w:hint="eastAsia" w:hAnsi="宋体"/>
          <w:color w:val="auto"/>
          <w:szCs w:val="24"/>
          <w:highlight w:val="none"/>
        </w:rPr>
        <w:t>、项目主要内容、数量及要求：</w:t>
      </w:r>
    </w:p>
    <w:p>
      <w:pPr>
        <w:ind w:firstLine="300"/>
        <w:rPr>
          <w:rFonts w:hAnsi="宋体"/>
          <w:color w:val="auto"/>
          <w:szCs w:val="24"/>
          <w:highlight w:val="none"/>
        </w:rPr>
      </w:pPr>
      <w:r>
        <w:rPr>
          <w:rFonts w:hAnsi="宋体"/>
          <w:color w:val="auto"/>
          <w:szCs w:val="24"/>
          <w:highlight w:val="none"/>
        </w:rPr>
        <w:t xml:space="preserve">3.1  </w:t>
      </w:r>
      <w:r>
        <w:rPr>
          <w:rFonts w:hint="eastAsia" w:hAnsi="宋体"/>
          <w:color w:val="auto"/>
          <w:szCs w:val="24"/>
          <w:highlight w:val="none"/>
          <w:lang w:val="en-US" w:eastAsia="zh-CN"/>
        </w:rPr>
        <w:t>本包件预算金额</w:t>
      </w:r>
      <w:r>
        <w:rPr>
          <w:rFonts w:hint="eastAsia" w:hAnsi="宋体"/>
          <w:color w:val="auto"/>
          <w:szCs w:val="24"/>
          <w:highlight w:val="none"/>
        </w:rPr>
        <w:t>为</w:t>
      </w:r>
      <w:r>
        <w:rPr>
          <w:rFonts w:hint="eastAsia" w:hAnsi="宋体"/>
          <w:color w:val="auto"/>
          <w:szCs w:val="24"/>
          <w:highlight w:val="none"/>
          <w:u w:val="single"/>
        </w:rPr>
        <w:t>459.81</w:t>
      </w:r>
      <w:r>
        <w:rPr>
          <w:rFonts w:hint="eastAsia" w:hAnsi="宋体"/>
          <w:color w:val="auto"/>
          <w:szCs w:val="24"/>
          <w:highlight w:val="none"/>
        </w:rPr>
        <w:t>万元。</w:t>
      </w:r>
    </w:p>
    <w:p>
      <w:pPr>
        <w:ind w:firstLine="300"/>
        <w:rPr>
          <w:rFonts w:hAnsi="宋体"/>
          <w:color w:val="auto"/>
          <w:szCs w:val="24"/>
          <w:highlight w:val="none"/>
        </w:rPr>
      </w:pPr>
      <w:r>
        <w:rPr>
          <w:rFonts w:hAnsi="宋体"/>
          <w:color w:val="auto"/>
          <w:szCs w:val="24"/>
          <w:highlight w:val="none"/>
        </w:rPr>
        <w:t xml:space="preserve">3.2  </w:t>
      </w:r>
      <w:r>
        <w:rPr>
          <w:rFonts w:hint="eastAsia" w:hAnsi="宋体"/>
          <w:color w:val="auto"/>
          <w:szCs w:val="24"/>
          <w:highlight w:val="none"/>
        </w:rPr>
        <w:t>项目内容：</w:t>
      </w:r>
    </w:p>
    <w:p>
      <w:pPr>
        <w:ind w:firstLine="480" w:firstLineChars="200"/>
        <w:rPr>
          <w:rFonts w:hAnsi="宋体"/>
          <w:color w:val="auto"/>
          <w:szCs w:val="24"/>
          <w:highlight w:val="none"/>
        </w:rPr>
      </w:pPr>
      <w:r>
        <w:rPr>
          <w:rFonts w:hint="eastAsia" w:hAnsi="宋体"/>
          <w:color w:val="auto"/>
          <w:szCs w:val="24"/>
          <w:highlight w:val="none"/>
        </w:rPr>
        <w:t>本标段养护面积：公园绿地</w:t>
      </w:r>
      <w:r>
        <w:rPr>
          <w:rFonts w:hAnsi="宋体"/>
          <w:color w:val="auto"/>
          <w:szCs w:val="24"/>
          <w:highlight w:val="none"/>
        </w:rPr>
        <w:t>63914.4</w:t>
      </w:r>
      <w:r>
        <w:rPr>
          <w:rFonts w:hint="eastAsia" w:hAnsi="宋体"/>
          <w:color w:val="auto"/>
          <w:szCs w:val="24"/>
          <w:highlight w:val="none"/>
        </w:rPr>
        <w:t>平方米，公园花卉采购、布置。本次招标清单详见附件。</w:t>
      </w:r>
    </w:p>
    <w:p>
      <w:pPr>
        <w:ind w:firstLine="480"/>
        <w:rPr>
          <w:rFonts w:hAnsi="宋体"/>
          <w:color w:val="auto"/>
          <w:szCs w:val="24"/>
          <w:highlight w:val="none"/>
        </w:rPr>
      </w:pPr>
      <w:r>
        <w:rPr>
          <w:rFonts w:hint="eastAsia" w:hAnsi="宋体"/>
          <w:color w:val="auto"/>
          <w:szCs w:val="24"/>
          <w:highlight w:val="none"/>
        </w:rPr>
        <w:t>本包件预算金额为</w:t>
      </w:r>
      <w:r>
        <w:rPr>
          <w:rFonts w:hint="eastAsia" w:hAnsi="宋体"/>
          <w:color w:val="auto"/>
          <w:szCs w:val="24"/>
          <w:highlight w:val="none"/>
          <w:u w:val="single"/>
        </w:rPr>
        <w:t>459.81</w:t>
      </w:r>
      <w:r>
        <w:rPr>
          <w:rFonts w:hint="eastAsia" w:hAnsi="宋体"/>
          <w:color w:val="auto"/>
          <w:szCs w:val="24"/>
          <w:highlight w:val="none"/>
        </w:rPr>
        <w:t>万元，其中各养护分类建议不超过最高限价（见下表），具体金额如下：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22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养护分类</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最高限价（万元）</w:t>
            </w:r>
          </w:p>
        </w:tc>
        <w:tc>
          <w:tcPr>
            <w:tcW w:w="2460" w:type="dxa"/>
            <w:noWrap w:val="0"/>
            <w:vAlign w:val="center"/>
          </w:tcPr>
          <w:p>
            <w:pPr>
              <w:jc w:val="center"/>
              <w:rPr>
                <w:rFonts w:hAnsi="宋体"/>
                <w:color w:val="auto"/>
                <w:szCs w:val="24"/>
                <w:highlight w:val="none"/>
              </w:rPr>
            </w:pPr>
            <w:r>
              <w:rPr>
                <w:rFonts w:hint="eastAsia" w:hAnsi="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公园植物元素养护费</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194.68</w:t>
            </w:r>
          </w:p>
        </w:tc>
        <w:tc>
          <w:tcPr>
            <w:tcW w:w="2460" w:type="dxa"/>
            <w:noWrap w:val="0"/>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公园非植物元素养护费</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104.97</w:t>
            </w:r>
          </w:p>
        </w:tc>
        <w:tc>
          <w:tcPr>
            <w:tcW w:w="2460" w:type="dxa"/>
            <w:noWrap w:val="0"/>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公园保洁费</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160.16</w:t>
            </w:r>
          </w:p>
        </w:tc>
        <w:tc>
          <w:tcPr>
            <w:tcW w:w="2460" w:type="dxa"/>
            <w:noWrap w:val="0"/>
            <w:vAlign w:val="center"/>
          </w:tcPr>
          <w:p>
            <w:pPr>
              <w:jc w:val="center"/>
              <w:rPr>
                <w:rFonts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公园立体绿化养护费</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0</w:t>
            </w:r>
          </w:p>
        </w:tc>
        <w:tc>
          <w:tcPr>
            <w:tcW w:w="2460" w:type="dxa"/>
            <w:noWrap w:val="0"/>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水体治理</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40.81</w:t>
            </w:r>
          </w:p>
        </w:tc>
        <w:tc>
          <w:tcPr>
            <w:tcW w:w="2460" w:type="dxa"/>
            <w:noWrap w:val="0"/>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公园花卉采购及种植布置费</w:t>
            </w:r>
          </w:p>
        </w:tc>
        <w:tc>
          <w:tcPr>
            <w:tcW w:w="2260" w:type="dxa"/>
            <w:noWrap w:val="0"/>
            <w:vAlign w:val="center"/>
          </w:tcPr>
          <w:p>
            <w:pPr>
              <w:jc w:val="center"/>
              <w:rPr>
                <w:rFonts w:hAnsi="宋体"/>
                <w:color w:val="auto"/>
                <w:szCs w:val="24"/>
                <w:highlight w:val="none"/>
              </w:rPr>
            </w:pPr>
            <w:r>
              <w:rPr>
                <w:rFonts w:hint="eastAsia" w:hAnsi="宋体"/>
                <w:color w:val="auto"/>
                <w:szCs w:val="24"/>
                <w:highlight w:val="none"/>
              </w:rPr>
              <w:t>12.04</w:t>
            </w:r>
          </w:p>
        </w:tc>
        <w:tc>
          <w:tcPr>
            <w:tcW w:w="2460" w:type="dxa"/>
            <w:noWrap w:val="0"/>
            <w:vAlign w:val="center"/>
          </w:tcPr>
          <w:p>
            <w:pPr>
              <w:jc w:val="cente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8" w:type="dxa"/>
            <w:noWrap w:val="0"/>
            <w:vAlign w:val="center"/>
          </w:tcPr>
          <w:p>
            <w:pPr>
              <w:jc w:val="center"/>
              <w:rPr>
                <w:rFonts w:hAnsi="宋体"/>
                <w:color w:val="auto"/>
                <w:szCs w:val="24"/>
                <w:highlight w:val="none"/>
              </w:rPr>
            </w:pPr>
            <w:r>
              <w:rPr>
                <w:rFonts w:hint="eastAsia" w:hAnsi="宋体"/>
                <w:color w:val="auto"/>
                <w:szCs w:val="24"/>
                <w:highlight w:val="none"/>
              </w:rPr>
              <w:t>合计</w:t>
            </w:r>
          </w:p>
        </w:tc>
        <w:tc>
          <w:tcPr>
            <w:tcW w:w="2260" w:type="dxa"/>
            <w:noWrap w:val="0"/>
            <w:vAlign w:val="center"/>
          </w:tcPr>
          <w:p>
            <w:pPr>
              <w:jc w:val="center"/>
              <w:rPr>
                <w:rFonts w:hAnsi="宋体"/>
                <w:color w:val="auto"/>
                <w:szCs w:val="24"/>
                <w:highlight w:val="none"/>
                <w:u w:val="single"/>
              </w:rPr>
            </w:pPr>
            <w:r>
              <w:rPr>
                <w:rFonts w:hint="eastAsia" w:hAnsi="宋体"/>
                <w:color w:val="auto"/>
                <w:szCs w:val="24"/>
                <w:highlight w:val="none"/>
              </w:rPr>
              <w:t>459.81</w:t>
            </w:r>
          </w:p>
        </w:tc>
        <w:tc>
          <w:tcPr>
            <w:tcW w:w="2460" w:type="dxa"/>
            <w:noWrap w:val="0"/>
            <w:vAlign w:val="center"/>
          </w:tcPr>
          <w:p>
            <w:pPr>
              <w:jc w:val="center"/>
              <w:rPr>
                <w:rFonts w:hAnsi="宋体"/>
                <w:color w:val="auto"/>
                <w:szCs w:val="24"/>
                <w:highlight w:val="none"/>
              </w:rPr>
            </w:pPr>
          </w:p>
        </w:tc>
      </w:tr>
    </w:tbl>
    <w:p>
      <w:pPr>
        <w:ind w:firstLine="480" w:firstLineChars="200"/>
        <w:rPr>
          <w:rFonts w:hint="eastAsia" w:hAnsi="宋体"/>
          <w:color w:val="auto"/>
          <w:szCs w:val="24"/>
          <w:highlight w:val="none"/>
        </w:rPr>
      </w:pPr>
      <w:r>
        <w:rPr>
          <w:rFonts w:hint="eastAsia" w:hAnsi="宋体"/>
          <w:color w:val="auto"/>
          <w:szCs w:val="24"/>
          <w:highlight w:val="none"/>
        </w:rPr>
        <w:t>投标单位需在投标文件中针对公园绿地、花卉养护的特点，对可能发生的交通、极端天气等紧急情况作出相应的应急预案响应。</w:t>
      </w:r>
    </w:p>
    <w:p>
      <w:pPr>
        <w:ind w:firstLine="360" w:firstLineChars="150"/>
        <w:rPr>
          <w:rFonts w:hAnsi="宋体"/>
          <w:color w:val="auto"/>
          <w:szCs w:val="24"/>
          <w:highlight w:val="none"/>
        </w:rPr>
      </w:pPr>
      <w:r>
        <w:rPr>
          <w:rFonts w:hAnsi="宋体"/>
          <w:color w:val="auto"/>
          <w:szCs w:val="24"/>
          <w:highlight w:val="none"/>
        </w:rPr>
        <w:t xml:space="preserve">3.3  </w:t>
      </w:r>
      <w:r>
        <w:rPr>
          <w:rFonts w:hint="eastAsia" w:hAnsi="宋体"/>
          <w:color w:val="auto"/>
          <w:szCs w:val="24"/>
          <w:highlight w:val="none"/>
        </w:rPr>
        <w:t>现场条件</w:t>
      </w:r>
    </w:p>
    <w:p>
      <w:pPr>
        <w:ind w:firstLine="360" w:firstLineChars="150"/>
        <w:rPr>
          <w:rFonts w:hAnsi="宋体"/>
          <w:color w:val="auto"/>
          <w:szCs w:val="24"/>
          <w:highlight w:val="none"/>
        </w:rPr>
      </w:pPr>
      <w:r>
        <w:rPr>
          <w:rFonts w:hAnsi="宋体"/>
          <w:color w:val="auto"/>
          <w:szCs w:val="24"/>
          <w:highlight w:val="none"/>
        </w:rPr>
        <w:t xml:space="preserve">3.3.1  </w:t>
      </w:r>
      <w:r>
        <w:rPr>
          <w:rFonts w:hint="eastAsia" w:hAnsi="宋体"/>
          <w:color w:val="auto"/>
          <w:szCs w:val="24"/>
          <w:highlight w:val="none"/>
        </w:rPr>
        <w:t>采购人提供现有养护道班房，不提供办公场所等设施，投标单位自行安排。</w:t>
      </w:r>
    </w:p>
    <w:p>
      <w:pPr>
        <w:ind w:firstLine="360" w:firstLineChars="150"/>
        <w:rPr>
          <w:rFonts w:hint="eastAsia" w:hAnsi="宋体"/>
          <w:color w:val="auto"/>
          <w:szCs w:val="24"/>
          <w:highlight w:val="none"/>
        </w:rPr>
      </w:pPr>
      <w:r>
        <w:rPr>
          <w:rFonts w:hAnsi="宋体"/>
          <w:color w:val="auto"/>
          <w:szCs w:val="24"/>
          <w:highlight w:val="none"/>
        </w:rPr>
        <w:t xml:space="preserve">3.3.2  </w:t>
      </w:r>
      <w:r>
        <w:rPr>
          <w:rFonts w:hint="eastAsia" w:hAnsi="宋体"/>
          <w:color w:val="auto"/>
          <w:szCs w:val="24"/>
          <w:highlight w:val="none"/>
        </w:rPr>
        <w:t>中标单位应十分重视养护工人在现场操作时的安全问题，进行上岗安全知识教育，采取必要的安全保障措施。</w:t>
      </w:r>
    </w:p>
    <w:p>
      <w:pPr>
        <w:ind w:firstLine="360" w:firstLineChars="150"/>
        <w:rPr>
          <w:rFonts w:hAnsi="宋体"/>
          <w:color w:val="auto"/>
          <w:szCs w:val="24"/>
          <w:highlight w:val="none"/>
        </w:rPr>
      </w:pPr>
      <w:r>
        <w:rPr>
          <w:rFonts w:hAnsi="宋体"/>
          <w:color w:val="auto"/>
          <w:szCs w:val="24"/>
          <w:highlight w:val="none"/>
        </w:rPr>
        <w:t xml:space="preserve">3.3.3  </w:t>
      </w:r>
      <w:r>
        <w:rPr>
          <w:rFonts w:hint="eastAsia" w:hAnsi="宋体"/>
          <w:color w:val="auto"/>
          <w:szCs w:val="24"/>
          <w:highlight w:val="none"/>
        </w:rPr>
        <w:t>水、电、工具等由中标方自行解决。</w:t>
      </w:r>
    </w:p>
    <w:p>
      <w:pPr>
        <w:ind w:firstLine="360" w:firstLineChars="150"/>
        <w:rPr>
          <w:rFonts w:hint="eastAsia" w:hAnsi="宋体"/>
          <w:color w:val="auto"/>
          <w:szCs w:val="24"/>
          <w:highlight w:val="none"/>
        </w:rPr>
      </w:pPr>
      <w:r>
        <w:rPr>
          <w:rFonts w:hAnsi="宋体"/>
          <w:color w:val="auto"/>
          <w:szCs w:val="24"/>
          <w:highlight w:val="none"/>
        </w:rPr>
        <w:t xml:space="preserve">3.3.4  </w:t>
      </w:r>
      <w:r>
        <w:rPr>
          <w:rFonts w:hint="eastAsia" w:hAnsi="宋体"/>
          <w:color w:val="auto"/>
          <w:szCs w:val="24"/>
          <w:highlight w:val="none"/>
        </w:rPr>
        <w:t>养护现场需统一服装。</w:t>
      </w:r>
    </w:p>
    <w:p>
      <w:pPr>
        <w:ind w:firstLine="360" w:firstLineChars="15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3.3.5  岗位要求情况</w:t>
      </w:r>
    </w:p>
    <w:tbl>
      <w:tblPr>
        <w:tblStyle w:val="4"/>
        <w:tblW w:w="6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28"/>
        <w:gridCol w:w="1010"/>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序号</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岗位名称</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岗位数</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项目经理</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技师或绿化专业中级职称（含）以上职业资格，无在建项目承诺，提供近3个月社保证明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安全员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质量员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公园专职园长</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1</w:t>
            </w:r>
          </w:p>
        </w:tc>
        <w:tc>
          <w:tcPr>
            <w:tcW w:w="2098" w:type="dxa"/>
            <w:tcBorders>
              <w:top w:val="single" w:color="000000" w:sz="4" w:space="0"/>
              <w:left w:val="single" w:color="000000" w:sz="4" w:space="0"/>
              <w:right w:val="single" w:color="000000" w:sz="4" w:space="0"/>
            </w:tcBorders>
            <w:shd w:val="clear" w:color="auto" w:fill="FFFFFF"/>
          </w:tcPr>
          <w:p>
            <w:pPr>
              <w:jc w:val="both"/>
              <w:rPr>
                <w:rFonts w:hint="eastAsia" w:ascii="宋体" w:hAnsi="宋体" w:eastAsia="宋体" w:cs="宋体"/>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技术负责人</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ascii="宋体" w:hAnsi="宋体" w:eastAsia="宋体" w:cs="宋体"/>
                <w:color w:val="auto"/>
                <w:szCs w:val="24"/>
                <w:highlight w:val="none"/>
                <w:vertAlign w:val="baseline"/>
                <w:lang w:eastAsia="zh-CN"/>
              </w:rPr>
              <w:t>1</w:t>
            </w:r>
          </w:p>
        </w:tc>
        <w:tc>
          <w:tcPr>
            <w:tcW w:w="2098" w:type="dxa"/>
            <w:vMerge w:val="restart"/>
            <w:tcBorders>
              <w:top w:val="single" w:color="000000" w:sz="4" w:space="0"/>
              <w:left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hAnsi="宋体"/>
                <w:color w:val="auto"/>
                <w:szCs w:val="24"/>
                <w:highlight w:val="none"/>
              </w:rPr>
              <w:t>具有中级职称以上的专业技术</w:t>
            </w:r>
            <w:r>
              <w:rPr>
                <w:rFonts w:hint="eastAsia" w:hAnsi="宋体"/>
                <w:color w:val="auto"/>
                <w:szCs w:val="24"/>
                <w:highlight w:val="none"/>
                <w:lang w:val="en-US" w:eastAsia="zh-CN"/>
              </w:rPr>
              <w:t>人员</w:t>
            </w:r>
            <w:r>
              <w:rPr>
                <w:rFonts w:hAnsi="宋体"/>
                <w:color w:val="auto"/>
                <w:szCs w:val="24"/>
                <w:highlight w:val="none"/>
              </w:rPr>
              <w:t>2</w:t>
            </w:r>
            <w:r>
              <w:rPr>
                <w:rFonts w:hint="eastAsia" w:hAnsi="宋体"/>
                <w:color w:val="auto"/>
                <w:szCs w:val="24"/>
                <w:highlight w:val="none"/>
                <w:lang w:val="en-US" w:eastAsia="zh-CN"/>
              </w:rPr>
              <w:t>人，</w:t>
            </w:r>
            <w:r>
              <w:rPr>
                <w:rFonts w:hint="eastAsia" w:hAnsi="宋体"/>
                <w:color w:val="auto"/>
                <w:szCs w:val="24"/>
                <w:highlight w:val="none"/>
              </w:rPr>
              <w:t>（工程师</w:t>
            </w:r>
            <w:r>
              <w:rPr>
                <w:rFonts w:hint="eastAsia" w:hAnsi="宋体"/>
                <w:color w:val="auto"/>
                <w:szCs w:val="24"/>
                <w:highlight w:val="none"/>
                <w:lang w:val="en-US" w:eastAsia="zh-CN"/>
              </w:rPr>
              <w:t>1人</w:t>
            </w:r>
            <w:r>
              <w:rPr>
                <w:rFonts w:hint="eastAsia" w:hAnsi="宋体"/>
                <w:color w:val="auto"/>
                <w:szCs w:val="24"/>
                <w:highlight w:val="none"/>
              </w:rPr>
              <w:t>），中、高级技术工人</w:t>
            </w:r>
            <w:r>
              <w:rPr>
                <w:rFonts w:hAnsi="宋体"/>
                <w:color w:val="auto"/>
                <w:szCs w:val="24"/>
                <w:highlight w:val="none"/>
              </w:rPr>
              <w:t>5</w:t>
            </w:r>
            <w:r>
              <w:rPr>
                <w:rFonts w:hint="eastAsia" w:hAnsi="宋体"/>
                <w:color w:val="auto"/>
                <w:szCs w:val="24"/>
                <w:highlight w:val="none"/>
              </w:rPr>
              <w:t>人</w:t>
            </w:r>
            <w:r>
              <w:rPr>
                <w:rFonts w:hint="eastAsia" w:hAnsi="宋体"/>
                <w:color w:val="auto"/>
                <w:szCs w:val="24"/>
                <w:highlight w:val="none"/>
                <w:lang w:eastAsia="zh-CN"/>
              </w:rPr>
              <w:t>，</w:t>
            </w:r>
            <w:r>
              <w:rPr>
                <w:rFonts w:hint="eastAsia" w:hAnsi="宋体"/>
                <w:color w:val="auto"/>
                <w:szCs w:val="24"/>
                <w:highlight w:val="none"/>
                <w:lang w:val="en-US" w:eastAsia="zh-CN"/>
              </w:rPr>
              <w:t>技术负责人需提供近3个月的社保证明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养护人员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20</w:t>
            </w:r>
          </w:p>
        </w:tc>
        <w:tc>
          <w:tcPr>
            <w:tcW w:w="2098" w:type="dxa"/>
            <w:vMerge w:val="continue"/>
            <w:tcBorders>
              <w:left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color w:val="auto"/>
                <w:szCs w:val="24"/>
                <w:highlight w:val="none"/>
                <w:vertAlign w:val="baseline"/>
                <w:lang w:eastAsia="zh-CN"/>
              </w:rPr>
            </w:pPr>
            <w:r>
              <w:rPr>
                <w:rFonts w:hint="eastAsia" w:hAnsi="宋体"/>
                <w:color w:val="auto"/>
                <w:szCs w:val="24"/>
                <w:highlight w:val="none"/>
              </w:rPr>
              <w:t>专职植保</w:t>
            </w:r>
            <w:r>
              <w:rPr>
                <w:rFonts w:hint="eastAsia" w:ascii="宋体" w:hAnsi="宋体" w:eastAsia="宋体" w:cs="宋体"/>
                <w:color w:val="auto"/>
                <w:szCs w:val="24"/>
                <w:highlight w:val="none"/>
                <w:vertAlign w:val="baseline"/>
                <w:lang w:eastAsia="zh-CN"/>
              </w:rPr>
              <w:t>人员</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eastAsia="zh-CN"/>
              </w:rPr>
            </w:pPr>
            <w:r>
              <w:rPr>
                <w:rFonts w:hint="eastAsia" w:hAnsi="宋体" w:cs="宋体"/>
                <w:color w:val="auto"/>
                <w:szCs w:val="24"/>
                <w:highlight w:val="none"/>
                <w:vertAlign w:val="baseline"/>
                <w:lang w:val="en-US" w:eastAsia="zh-CN"/>
              </w:rPr>
              <w:t>1</w:t>
            </w:r>
          </w:p>
        </w:tc>
        <w:tc>
          <w:tcPr>
            <w:tcW w:w="2098" w:type="dxa"/>
            <w:vMerge w:val="continue"/>
            <w:tcBorders>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hAnsi="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仿宋_GB2312" w:hAnsi="Calibri" w:eastAsia="仿宋_GB2312" w:cs="Times New Roman"/>
                <w:color w:val="auto"/>
                <w:kern w:val="2"/>
                <w:sz w:val="24"/>
                <w:szCs w:val="24"/>
                <w:highlight w:val="none"/>
                <w:vertAlign w:val="baseline"/>
                <w:lang w:val="en-US" w:eastAsia="zh-CN" w:bidi="ar-SA"/>
              </w:rPr>
            </w:pPr>
            <w:r>
              <w:rPr>
                <w:rFonts w:hint="eastAsia" w:hAnsi="宋体"/>
                <w:color w:val="auto"/>
                <w:szCs w:val="24"/>
                <w:highlight w:val="none"/>
                <w:lang w:val="en-US" w:eastAsia="zh-CN"/>
              </w:rPr>
              <w:t>水、电工</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_GB2312" w:hAnsi="Calibri" w:eastAsia="仿宋_GB2312" w:cs="Times New Roman"/>
                <w:color w:val="auto"/>
                <w:kern w:val="2"/>
                <w:sz w:val="24"/>
                <w:szCs w:val="24"/>
                <w:highlight w:val="none"/>
                <w:vertAlign w:val="baseline"/>
                <w:lang w:val="en-US" w:eastAsia="zh-CN" w:bidi="ar-SA"/>
              </w:rPr>
            </w:pPr>
            <w:r>
              <w:rPr>
                <w:rFonts w:hint="eastAsia" w:ascii="仿宋_GB2312" w:eastAsia="仿宋_GB2312"/>
                <w:color w:val="auto"/>
                <w:szCs w:val="24"/>
                <w:highlight w:val="none"/>
                <w:vertAlign w:val="baseline"/>
                <w:lang w:val="en-US" w:eastAsia="zh-CN"/>
              </w:rPr>
              <w:t>1</w:t>
            </w:r>
          </w:p>
        </w:tc>
        <w:tc>
          <w:tcPr>
            <w:tcW w:w="2098" w:type="dxa"/>
            <w:tcBorders>
              <w:left w:val="single" w:color="000000" w:sz="4" w:space="0"/>
              <w:bottom w:val="single" w:color="000000" w:sz="4" w:space="0"/>
              <w:right w:val="single" w:color="000000" w:sz="4" w:space="0"/>
            </w:tcBorders>
            <w:shd w:val="clear" w:color="auto" w:fill="FFFFFF"/>
            <w:vAlign w:val="top"/>
          </w:tcPr>
          <w:p>
            <w:pPr>
              <w:jc w:val="both"/>
              <w:rPr>
                <w:rFonts w:hint="default" w:ascii="仿宋_GB2312" w:hAnsi="Calibri" w:eastAsia="仿宋_GB2312" w:cs="Times New Roman"/>
                <w:color w:val="auto"/>
                <w:kern w:val="2"/>
                <w:sz w:val="24"/>
                <w:szCs w:val="24"/>
                <w:highlight w:val="none"/>
                <w:vertAlign w:val="baseline"/>
                <w:lang w:val="en-US" w:eastAsia="zh-CN" w:bidi="ar-SA"/>
              </w:rPr>
            </w:pPr>
            <w:r>
              <w:rPr>
                <w:rFonts w:hint="eastAsia" w:hAnsi="宋体" w:cs="宋体"/>
                <w:color w:val="auto"/>
                <w:szCs w:val="24"/>
                <w:highlight w:val="none"/>
                <w:vertAlign w:val="baseline"/>
                <w:lang w:val="en-US" w:eastAsia="zh-CN"/>
              </w:rPr>
              <w:t>电工</w:t>
            </w:r>
            <w:r>
              <w:rPr>
                <w:rFonts w:hint="eastAsia" w:ascii="宋体" w:hAnsi="宋体" w:eastAsia="宋体" w:cs="宋体"/>
                <w:color w:val="auto"/>
                <w:szCs w:val="24"/>
                <w:highlight w:val="none"/>
                <w:vertAlign w:val="baseline"/>
                <w:lang w:val="en-US" w:eastAsia="zh-CN"/>
              </w:rPr>
              <w:t>持有</w:t>
            </w:r>
            <w:r>
              <w:rPr>
                <w:rFonts w:hint="eastAsia" w:hAnsi="宋体" w:cs="宋体"/>
                <w:color w:val="auto"/>
                <w:szCs w:val="24"/>
                <w:highlight w:val="none"/>
                <w:vertAlign w:val="baseline"/>
                <w:lang w:val="en-US" w:eastAsia="zh-CN"/>
              </w:rPr>
              <w:t>低压电工</w:t>
            </w:r>
            <w:r>
              <w:rPr>
                <w:rFonts w:hint="eastAsia" w:ascii="宋体" w:hAnsi="宋体" w:eastAsia="宋体" w:cs="宋体"/>
                <w:color w:val="auto"/>
                <w:szCs w:val="24"/>
                <w:highlight w:val="none"/>
                <w:vertAlign w:val="baseline"/>
                <w:lang w:val="en-US" w:eastAsia="zh-CN"/>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1" w:type="dxa"/>
            <w:gridSpan w:val="2"/>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eastAsia" w:ascii="宋体" w:hAnsi="宋体" w:eastAsia="宋体" w:cs="宋体"/>
                <w:color w:val="auto"/>
                <w:szCs w:val="24"/>
                <w:highlight w:val="none"/>
                <w:vertAlign w:val="baseline"/>
                <w:lang w:val="en-US" w:eastAsia="zh-CN"/>
              </w:rPr>
            </w:pPr>
            <w:r>
              <w:rPr>
                <w:rFonts w:hint="eastAsia" w:ascii="宋体" w:hAnsi="宋体" w:eastAsia="宋体" w:cs="宋体"/>
                <w:color w:val="auto"/>
                <w:szCs w:val="24"/>
                <w:highlight w:val="none"/>
                <w:vertAlign w:val="baseline"/>
                <w:lang w:val="en-US" w:eastAsia="zh-CN"/>
              </w:rPr>
              <w:t>合计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Pr>
          <w:p>
            <w:pPr>
              <w:jc w:val="center"/>
              <w:rPr>
                <w:rFonts w:hint="default" w:ascii="宋体" w:hAnsi="宋体" w:eastAsia="宋体" w:cs="宋体"/>
                <w:color w:val="auto"/>
                <w:szCs w:val="24"/>
                <w:highlight w:val="none"/>
                <w:vertAlign w:val="baseline"/>
                <w:lang w:val="en-US" w:eastAsia="zh-CN"/>
              </w:rPr>
            </w:pPr>
            <w:r>
              <w:rPr>
                <w:rFonts w:hint="eastAsia" w:hAnsi="宋体" w:cs="宋体"/>
                <w:color w:val="auto"/>
                <w:szCs w:val="24"/>
                <w:highlight w:val="none"/>
                <w:vertAlign w:val="baseline"/>
                <w:lang w:val="en-US" w:eastAsia="zh-CN"/>
              </w:rPr>
              <w:t>27</w:t>
            </w:r>
          </w:p>
        </w:tc>
        <w:tc>
          <w:tcPr>
            <w:tcW w:w="2098" w:type="dxa"/>
            <w:tcBorders>
              <w:left w:val="single" w:color="000000" w:sz="4" w:space="0"/>
              <w:bottom w:val="single" w:color="000000" w:sz="4" w:space="0"/>
              <w:right w:val="single" w:color="000000" w:sz="4" w:space="0"/>
            </w:tcBorders>
            <w:shd w:val="clear" w:color="auto" w:fill="FFFFFF"/>
          </w:tcPr>
          <w:p>
            <w:pPr>
              <w:jc w:val="both"/>
              <w:rPr>
                <w:rFonts w:hint="eastAsia" w:ascii="宋体" w:hAnsi="宋体" w:eastAsia="宋体" w:cs="宋体"/>
                <w:color w:val="auto"/>
                <w:szCs w:val="24"/>
                <w:highlight w:val="none"/>
                <w:vertAlign w:val="baseline"/>
                <w:lang w:eastAsia="zh-CN"/>
              </w:rPr>
            </w:pPr>
          </w:p>
        </w:tc>
      </w:tr>
    </w:tbl>
    <w:p>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注：1、投标人应合理配置团队服务人数，确保达到岗位配置要求，所有养护人员须</w:t>
      </w:r>
      <w:r>
        <w:rPr>
          <w:rFonts w:hint="eastAsia" w:ascii="宋体" w:hAnsi="宋体" w:eastAsia="宋体" w:cs="宋体"/>
          <w:color w:val="auto"/>
          <w:szCs w:val="24"/>
          <w:highlight w:val="none"/>
          <w:lang w:val="en-US" w:eastAsia="zh-CN"/>
        </w:rPr>
        <w:t>经过</w:t>
      </w:r>
      <w:r>
        <w:rPr>
          <w:rFonts w:hint="eastAsia" w:ascii="宋体" w:hAnsi="宋体" w:eastAsia="宋体" w:cs="宋体"/>
          <w:color w:val="auto"/>
          <w:szCs w:val="24"/>
          <w:highlight w:val="none"/>
          <w:lang w:eastAsia="zh-CN"/>
        </w:rPr>
        <w:t>培训合格，</w:t>
      </w:r>
      <w:r>
        <w:rPr>
          <w:rFonts w:hint="eastAsia" w:ascii="宋体" w:hAnsi="宋体" w:eastAsia="宋体" w:cs="宋体"/>
          <w:color w:val="auto"/>
          <w:szCs w:val="24"/>
          <w:highlight w:val="none"/>
          <w:lang w:val="en-US" w:eastAsia="zh-CN"/>
        </w:rPr>
        <w:t>部分岗位需</w:t>
      </w:r>
      <w:r>
        <w:rPr>
          <w:rFonts w:hint="eastAsia" w:ascii="宋体" w:hAnsi="宋体" w:eastAsia="宋体" w:cs="宋体"/>
          <w:color w:val="auto"/>
          <w:szCs w:val="24"/>
          <w:highlight w:val="none"/>
          <w:lang w:eastAsia="zh-CN"/>
        </w:rPr>
        <w:t>取得</w:t>
      </w:r>
      <w:r>
        <w:rPr>
          <w:rFonts w:hint="eastAsia" w:ascii="宋体" w:hAnsi="宋体" w:eastAsia="宋体" w:cs="宋体"/>
          <w:color w:val="auto"/>
          <w:szCs w:val="24"/>
          <w:highlight w:val="none"/>
          <w:lang w:val="en-US" w:eastAsia="zh-CN"/>
        </w:rPr>
        <w:t>行业类</w:t>
      </w:r>
      <w:r>
        <w:rPr>
          <w:rFonts w:hint="eastAsia" w:ascii="宋体" w:hAnsi="宋体" w:eastAsia="宋体" w:cs="宋体"/>
          <w:color w:val="auto"/>
          <w:szCs w:val="24"/>
          <w:highlight w:val="none"/>
          <w:lang w:eastAsia="zh-CN"/>
        </w:rPr>
        <w:t>上岗证书，同时承诺所有服务人员劳动时间符合</w:t>
      </w:r>
      <w:r>
        <w:rPr>
          <w:rFonts w:hint="eastAsia" w:ascii="宋体" w:hAnsi="宋体" w:eastAsia="宋体" w:cs="宋体"/>
          <w:color w:val="auto"/>
          <w:szCs w:val="24"/>
          <w:highlight w:val="none"/>
          <w:lang w:val="en-US" w:eastAsia="zh-CN"/>
        </w:rPr>
        <w:t>国家和上海市有关用工法规和政策要求</w:t>
      </w:r>
      <w:r>
        <w:rPr>
          <w:rFonts w:hint="eastAsia" w:ascii="宋体" w:hAnsi="宋体" w:eastAsia="宋体" w:cs="宋体"/>
          <w:color w:val="auto"/>
          <w:szCs w:val="24"/>
          <w:highlight w:val="none"/>
          <w:lang w:eastAsia="zh-CN"/>
        </w:rPr>
        <w:t>的规定。2、</w:t>
      </w:r>
      <w:r>
        <w:rPr>
          <w:rFonts w:hint="eastAsia" w:hAnsi="宋体" w:cs="宋体"/>
          <w:szCs w:val="24"/>
        </w:rPr>
        <w:t>投标人需承诺，若中标为项目所有团队服务人员投保足够份额的雇主责任险、公众责任险、工伤保险费等</w:t>
      </w:r>
      <w:r>
        <w:rPr>
          <w:rFonts w:hint="eastAsia" w:ascii="宋体" w:hAnsi="宋体" w:eastAsia="宋体" w:cs="宋体"/>
          <w:color w:val="auto"/>
          <w:szCs w:val="24"/>
          <w:highlight w:val="none"/>
          <w:lang w:eastAsia="zh-CN"/>
        </w:rPr>
        <w:t>。</w:t>
      </w:r>
    </w:p>
    <w:p>
      <w:pPr>
        <w:ind w:firstLine="360" w:firstLineChars="150"/>
        <w:rPr>
          <w:rFonts w:hAnsi="宋体"/>
          <w:color w:val="auto"/>
          <w:szCs w:val="24"/>
          <w:highlight w:val="none"/>
        </w:rPr>
      </w:pPr>
      <w:r>
        <w:rPr>
          <w:rFonts w:hAnsi="宋体"/>
          <w:color w:val="auto"/>
          <w:szCs w:val="24"/>
          <w:highlight w:val="none"/>
        </w:rPr>
        <w:t xml:space="preserve">3.4  </w:t>
      </w:r>
      <w:r>
        <w:rPr>
          <w:rFonts w:hint="eastAsia" w:hAnsi="宋体"/>
          <w:color w:val="auto"/>
          <w:szCs w:val="24"/>
          <w:highlight w:val="none"/>
          <w:lang w:val="en-US" w:eastAsia="zh-CN"/>
        </w:rPr>
        <w:t>服务</w:t>
      </w:r>
      <w:r>
        <w:rPr>
          <w:rFonts w:hint="eastAsia" w:hAnsi="宋体"/>
          <w:color w:val="auto"/>
          <w:szCs w:val="24"/>
          <w:highlight w:val="none"/>
        </w:rPr>
        <w:t>内容和范围</w:t>
      </w:r>
    </w:p>
    <w:p>
      <w:pPr>
        <w:ind w:firstLine="360" w:firstLineChars="150"/>
        <w:rPr>
          <w:rFonts w:hAnsi="宋体"/>
          <w:color w:val="auto"/>
          <w:szCs w:val="24"/>
          <w:highlight w:val="none"/>
        </w:rPr>
      </w:pPr>
      <w:r>
        <w:rPr>
          <w:rFonts w:hAnsi="宋体"/>
          <w:color w:val="auto"/>
          <w:szCs w:val="24"/>
          <w:highlight w:val="none"/>
        </w:rPr>
        <w:t xml:space="preserve">3.4.1  </w:t>
      </w:r>
      <w:r>
        <w:rPr>
          <w:rFonts w:hint="eastAsia" w:hAnsi="宋体"/>
          <w:color w:val="auto"/>
          <w:szCs w:val="24"/>
          <w:highlight w:val="none"/>
        </w:rPr>
        <w:t>本次养护内容：公园绿地养护，公园景观水体维护（按照“河长制”工作要求，保持水体水质清澈、水面漂浮物落叶清理、水草定期收割及水处理设施（设备）运转功能正常）、花卉采购及布置，公园迎风旗制作安装，“</w:t>
      </w:r>
      <w:r>
        <w:rPr>
          <w:rFonts w:hAnsi="宋体"/>
          <w:color w:val="auto"/>
          <w:szCs w:val="24"/>
          <w:highlight w:val="none"/>
        </w:rPr>
        <w:t>12345</w:t>
      </w:r>
      <w:r>
        <w:rPr>
          <w:rFonts w:hint="eastAsia" w:hAnsi="宋体"/>
          <w:color w:val="auto"/>
          <w:szCs w:val="24"/>
          <w:highlight w:val="none"/>
        </w:rPr>
        <w:t>”、“网格化管理”等各类与工作内容相符的市民投诉处置。</w:t>
      </w:r>
    </w:p>
    <w:p>
      <w:pPr>
        <w:ind w:firstLine="360" w:firstLineChars="150"/>
        <w:rPr>
          <w:rFonts w:hint="eastAsia" w:hAnsi="宋体"/>
          <w:color w:val="auto"/>
          <w:szCs w:val="24"/>
          <w:highlight w:val="none"/>
        </w:rPr>
      </w:pPr>
      <w:r>
        <w:rPr>
          <w:rFonts w:hAnsi="宋体"/>
          <w:color w:val="auto"/>
          <w:szCs w:val="24"/>
          <w:highlight w:val="none"/>
        </w:rPr>
        <w:t xml:space="preserve">3.4.2  </w:t>
      </w:r>
      <w:r>
        <w:rPr>
          <w:rFonts w:hint="eastAsia" w:hAnsi="宋体"/>
          <w:color w:val="auto"/>
          <w:szCs w:val="24"/>
          <w:highlight w:val="none"/>
        </w:rPr>
        <w:t>卫生保洁：规定范围内的建构筑物、绿地花坛、公园各类设施设备、水面保洁。</w:t>
      </w:r>
    </w:p>
    <w:p>
      <w:pPr>
        <w:ind w:firstLine="360" w:firstLineChars="150"/>
        <w:rPr>
          <w:rFonts w:hAnsi="宋体"/>
          <w:color w:val="auto"/>
          <w:szCs w:val="24"/>
          <w:highlight w:val="none"/>
        </w:rPr>
      </w:pPr>
      <w:r>
        <w:rPr>
          <w:rFonts w:hAnsi="宋体"/>
          <w:color w:val="auto"/>
          <w:szCs w:val="24"/>
          <w:highlight w:val="none"/>
        </w:rPr>
        <w:t xml:space="preserve">3.4.3  </w:t>
      </w:r>
      <w:r>
        <w:rPr>
          <w:rFonts w:hint="eastAsia" w:hAnsi="宋体"/>
          <w:color w:val="auto"/>
          <w:szCs w:val="24"/>
          <w:highlight w:val="none"/>
        </w:rPr>
        <w:t>按业主要求，采购花卉苗木，并按规定种植和布置，中标单位须进行公园花坛、花境专项设计，报采购方同意后，方可进行公园花坛、花境布置。公园须参加市、区公园管理部门组织的花坛、花境评比，按照参评要求做好设计方案和花卉布置，并获得较好名次：</w:t>
      </w:r>
    </w:p>
    <w:p>
      <w:pPr>
        <w:ind w:firstLine="360" w:firstLineChars="150"/>
        <w:rPr>
          <w:rFonts w:hAnsi="宋体"/>
          <w:color w:val="auto"/>
          <w:szCs w:val="24"/>
          <w:highlight w:val="none"/>
        </w:rPr>
      </w:pPr>
      <w:r>
        <w:rPr>
          <w:rFonts w:hint="eastAsia" w:hAnsi="宋体"/>
          <w:color w:val="auto"/>
          <w:szCs w:val="24"/>
          <w:highlight w:val="none"/>
        </w:rPr>
        <w:t>花坛、花境需按照要求提供设计方案并按照设计方案完成种植和养护。</w:t>
      </w:r>
    </w:p>
    <w:p>
      <w:pPr>
        <w:ind w:firstLine="360" w:firstLineChars="150"/>
        <w:rPr>
          <w:rFonts w:hAnsi="宋体"/>
          <w:color w:val="auto"/>
          <w:szCs w:val="24"/>
          <w:highlight w:val="none"/>
        </w:rPr>
      </w:pPr>
      <w:r>
        <w:rPr>
          <w:rFonts w:hAnsi="宋体"/>
          <w:color w:val="auto"/>
          <w:szCs w:val="24"/>
          <w:highlight w:val="none"/>
        </w:rPr>
        <w:t xml:space="preserve">3.4.4  </w:t>
      </w:r>
      <w:r>
        <w:rPr>
          <w:rFonts w:hint="eastAsia" w:hAnsi="宋体"/>
          <w:color w:val="auto"/>
          <w:szCs w:val="24"/>
          <w:highlight w:val="none"/>
        </w:rPr>
        <w:t>为营造公园内各节假日及各类公益宣传氛围，中标单位应按照业主指令，在养护公园内安装灯杆迎风旗，时间为：元旦、春节、五一、迎十一、迎创城宣传、机动1次，共6次。迎风旗安装数量合计每次不少于50对。迎风旗图案由中标单位设计，报业主确定同意后实施。</w:t>
      </w:r>
    </w:p>
    <w:p>
      <w:pPr>
        <w:ind w:firstLine="360" w:firstLineChars="150"/>
        <w:rPr>
          <w:rFonts w:hAnsi="宋体"/>
          <w:color w:val="auto"/>
          <w:szCs w:val="24"/>
          <w:highlight w:val="none"/>
        </w:rPr>
      </w:pPr>
      <w:r>
        <w:rPr>
          <w:rFonts w:hAnsi="宋体"/>
          <w:color w:val="auto"/>
          <w:szCs w:val="24"/>
          <w:highlight w:val="none"/>
        </w:rPr>
        <w:t xml:space="preserve">3.4.5  </w:t>
      </w:r>
      <w:r>
        <w:rPr>
          <w:rFonts w:hint="eastAsia" w:hAnsi="宋体"/>
          <w:color w:val="auto"/>
          <w:szCs w:val="24"/>
          <w:highlight w:val="none"/>
        </w:rPr>
        <w:t>本招标项目不包括苗木因大幅度调整而发生的挖掘、移植等作业内容；因节日或特殊需要而发生的新增苗木、花卉等的材料费用和栽植人工费。但局部的苗木调整费用由中标单位负责。</w:t>
      </w:r>
    </w:p>
    <w:p>
      <w:pPr>
        <w:ind w:firstLine="360" w:firstLineChars="150"/>
        <w:rPr>
          <w:rFonts w:hAnsi="宋体"/>
          <w:color w:val="auto"/>
          <w:szCs w:val="24"/>
          <w:highlight w:val="none"/>
        </w:rPr>
      </w:pPr>
      <w:r>
        <w:rPr>
          <w:rFonts w:hAnsi="宋体"/>
          <w:color w:val="auto"/>
          <w:szCs w:val="24"/>
          <w:highlight w:val="none"/>
        </w:rPr>
        <w:t xml:space="preserve">3.4.6  </w:t>
      </w:r>
      <w:r>
        <w:rPr>
          <w:rFonts w:hint="eastAsia" w:hAnsi="宋体"/>
          <w:color w:val="auto"/>
          <w:szCs w:val="24"/>
          <w:highlight w:val="none"/>
        </w:rPr>
        <w:t>如发生以上不包含在承包内容和范围内的情况，需征得业主同意，按《上海市园林工程预算定额》有关规定或双方协商、合同确定，另列清单，按实计算。</w:t>
      </w:r>
    </w:p>
    <w:p>
      <w:pPr>
        <w:ind w:firstLine="360" w:firstLineChars="150"/>
        <w:rPr>
          <w:rFonts w:hAnsi="宋体"/>
          <w:color w:val="auto"/>
          <w:szCs w:val="24"/>
          <w:highlight w:val="none"/>
        </w:rPr>
      </w:pPr>
      <w:r>
        <w:rPr>
          <w:rFonts w:hAnsi="宋体"/>
          <w:color w:val="auto"/>
          <w:szCs w:val="24"/>
          <w:highlight w:val="none"/>
        </w:rPr>
        <w:t xml:space="preserve">3.4.7  </w:t>
      </w:r>
      <w:r>
        <w:rPr>
          <w:rFonts w:hint="eastAsia" w:hAnsi="宋体"/>
          <w:color w:val="auto"/>
          <w:szCs w:val="24"/>
          <w:highlight w:val="none"/>
        </w:rPr>
        <w:t>中标单位因养护管理不善造成绿地内各类苗木的死亡（包括人为践踏造成的）和道路等设施损坏，均由中标单位负责补缺和修缮。</w:t>
      </w:r>
    </w:p>
    <w:p>
      <w:pPr>
        <w:adjustRightInd w:val="0"/>
        <w:snapToGrid w:val="0"/>
        <w:ind w:firstLine="352" w:firstLineChars="147"/>
        <w:rPr>
          <w:rFonts w:hAnsi="宋体"/>
          <w:color w:val="auto"/>
          <w:szCs w:val="24"/>
          <w:highlight w:val="none"/>
        </w:rPr>
      </w:pPr>
      <w:r>
        <w:rPr>
          <w:rFonts w:hAnsi="宋体"/>
          <w:color w:val="auto"/>
          <w:szCs w:val="24"/>
          <w:highlight w:val="none"/>
        </w:rPr>
        <w:t xml:space="preserve">3.4.8  </w:t>
      </w:r>
      <w:r>
        <w:rPr>
          <w:rFonts w:hint="eastAsia" w:hAnsi="宋体"/>
          <w:color w:val="auto"/>
          <w:szCs w:val="24"/>
          <w:highlight w:val="none"/>
        </w:rPr>
        <w:t>园林废弃物的收集利用</w:t>
      </w:r>
    </w:p>
    <w:p>
      <w:pPr>
        <w:ind w:firstLine="360" w:firstLineChars="150"/>
        <w:rPr>
          <w:rFonts w:hAnsi="宋体"/>
          <w:color w:val="auto"/>
          <w:szCs w:val="24"/>
          <w:highlight w:val="none"/>
        </w:rPr>
      </w:pPr>
      <w:r>
        <w:rPr>
          <w:rFonts w:hint="eastAsia" w:hAnsi="宋体"/>
          <w:color w:val="auto"/>
          <w:szCs w:val="24"/>
          <w:highlight w:val="none"/>
        </w:rPr>
        <w:t>中标单位应建立垃圾分类、整理和回收利用机制，提倡再生物资的生产、利用；中标单位应对公园修剪后的枯枝落叶自行回收利用，严禁私自焚烧、填埋。</w:t>
      </w:r>
    </w:p>
    <w:p>
      <w:pPr>
        <w:ind w:firstLine="360" w:firstLineChars="150"/>
        <w:rPr>
          <w:rFonts w:hAnsi="宋体"/>
          <w:color w:val="auto"/>
          <w:szCs w:val="24"/>
          <w:highlight w:val="none"/>
        </w:rPr>
      </w:pPr>
      <w:r>
        <w:rPr>
          <w:rFonts w:hAnsi="宋体"/>
          <w:color w:val="auto"/>
          <w:szCs w:val="24"/>
          <w:highlight w:val="none"/>
        </w:rPr>
        <w:t xml:space="preserve">3.4.9 </w:t>
      </w:r>
      <w:r>
        <w:rPr>
          <w:rFonts w:hint="eastAsia" w:hAnsi="宋体"/>
          <w:color w:val="auto"/>
          <w:szCs w:val="24"/>
          <w:highlight w:val="none"/>
        </w:rPr>
        <w:t>防台防汛和突发安全事件的处置</w:t>
      </w:r>
    </w:p>
    <w:p>
      <w:pPr>
        <w:ind w:firstLine="360" w:firstLineChars="150"/>
        <w:rPr>
          <w:rFonts w:hAnsi="宋体"/>
          <w:color w:val="auto"/>
          <w:szCs w:val="24"/>
          <w:highlight w:val="none"/>
        </w:rPr>
      </w:pPr>
      <w:r>
        <w:rPr>
          <w:rFonts w:hint="eastAsia" w:hAnsi="宋体"/>
          <w:color w:val="auto"/>
          <w:szCs w:val="24"/>
          <w:highlight w:val="none"/>
        </w:rPr>
        <w:t>中标单位应编制防台防汛和突发安全事件的处置预案，并落实保证相应的抢险人力及抢险物资、设备储备。防台防汛和突发安全事件发生后，中标单位承担相应的职责和全区公共和社会绿化的应急抢险兜底任务。</w:t>
      </w:r>
    </w:p>
    <w:p>
      <w:pPr>
        <w:ind w:firstLine="360" w:firstLineChars="150"/>
        <w:rPr>
          <w:rFonts w:hAnsi="宋体"/>
          <w:color w:val="auto"/>
          <w:szCs w:val="24"/>
          <w:highlight w:val="none"/>
        </w:rPr>
      </w:pPr>
      <w:r>
        <w:rPr>
          <w:rFonts w:hAnsi="宋体"/>
          <w:color w:val="auto"/>
          <w:szCs w:val="24"/>
          <w:highlight w:val="none"/>
        </w:rPr>
        <w:t xml:space="preserve">3.5  </w:t>
      </w:r>
      <w:r>
        <w:rPr>
          <w:rFonts w:hint="eastAsia" w:hAnsi="宋体"/>
          <w:color w:val="auto"/>
          <w:szCs w:val="24"/>
          <w:highlight w:val="none"/>
        </w:rPr>
        <w:t>服务期限和</w:t>
      </w:r>
      <w:r>
        <w:rPr>
          <w:rFonts w:hint="eastAsia" w:hAnsi="宋体"/>
          <w:color w:val="auto"/>
          <w:szCs w:val="24"/>
          <w:highlight w:val="none"/>
          <w:lang w:val="en-US" w:eastAsia="zh-CN"/>
        </w:rPr>
        <w:t>付款</w:t>
      </w:r>
      <w:r>
        <w:rPr>
          <w:rFonts w:hint="eastAsia" w:hAnsi="宋体"/>
          <w:color w:val="auto"/>
          <w:szCs w:val="24"/>
          <w:highlight w:val="none"/>
        </w:rPr>
        <w:t>方式</w:t>
      </w:r>
    </w:p>
    <w:p>
      <w:pPr>
        <w:ind w:firstLine="360" w:firstLineChars="150"/>
        <w:rPr>
          <w:rFonts w:hint="eastAsia" w:hAnsi="宋体"/>
          <w:color w:val="auto"/>
          <w:szCs w:val="24"/>
          <w:highlight w:val="none"/>
        </w:rPr>
      </w:pPr>
      <w:r>
        <w:rPr>
          <w:rFonts w:hint="eastAsia" w:hAnsi="宋体"/>
          <w:color w:val="auto"/>
          <w:szCs w:val="24"/>
          <w:highlight w:val="none"/>
        </w:rPr>
        <w:t>3.5.1  服务期限：合同签订后至2024年12月。</w:t>
      </w:r>
    </w:p>
    <w:p>
      <w:pPr>
        <w:ind w:firstLine="360" w:firstLineChars="150"/>
        <w:rPr>
          <w:rFonts w:hint="eastAsia" w:hAnsi="宋体"/>
          <w:color w:val="auto"/>
          <w:szCs w:val="24"/>
          <w:highlight w:val="none"/>
        </w:rPr>
      </w:pPr>
      <w:r>
        <w:rPr>
          <w:rFonts w:hAnsi="宋体"/>
          <w:color w:val="auto"/>
          <w:szCs w:val="24"/>
          <w:highlight w:val="none"/>
        </w:rPr>
        <w:t xml:space="preserve">3.5.2  </w:t>
      </w:r>
      <w:r>
        <w:rPr>
          <w:rFonts w:hint="eastAsia" w:hAnsi="宋体"/>
          <w:color w:val="auto"/>
          <w:szCs w:val="24"/>
          <w:highlight w:val="none"/>
        </w:rPr>
        <w:t>服务方式：采用包工包料方式。</w:t>
      </w:r>
    </w:p>
    <w:p>
      <w:pPr>
        <w:ind w:firstLine="360" w:firstLineChars="150"/>
        <w:rPr>
          <w:rFonts w:hint="eastAsia" w:hAnsi="宋体"/>
          <w:color w:val="auto"/>
          <w:szCs w:val="24"/>
          <w:highlight w:val="none"/>
        </w:rPr>
      </w:pPr>
      <w:r>
        <w:rPr>
          <w:rFonts w:hint="eastAsia" w:hAnsi="宋体"/>
          <w:color w:val="auto"/>
          <w:szCs w:val="24"/>
          <w:highlight w:val="none"/>
          <w:lang w:val="en-US" w:eastAsia="zh-CN"/>
        </w:rPr>
        <w:t xml:space="preserve">3.5.3  </w:t>
      </w:r>
      <w:r>
        <w:rPr>
          <w:rFonts w:hint="eastAsia" w:hAnsi="宋体"/>
          <w:color w:val="auto"/>
          <w:szCs w:val="24"/>
          <w:highlight w:val="none"/>
        </w:rPr>
        <w:t>养护费的计放</w:t>
      </w:r>
    </w:p>
    <w:p>
      <w:pPr>
        <w:ind w:firstLine="480" w:firstLineChars="200"/>
        <w:rPr>
          <w:rFonts w:hint="eastAsia" w:hAnsi="宋体"/>
          <w:color w:val="auto"/>
          <w:szCs w:val="24"/>
          <w:highlight w:val="none"/>
        </w:rPr>
      </w:pPr>
      <w:r>
        <w:rPr>
          <w:rFonts w:hint="eastAsia" w:hAnsi="宋体"/>
          <w:color w:val="auto"/>
          <w:szCs w:val="24"/>
          <w:highlight w:val="none"/>
          <w:lang w:val="en-US" w:eastAsia="zh-CN"/>
        </w:rPr>
        <w:t>支付方式：每季度末按养护进度支付。</w:t>
      </w:r>
    </w:p>
    <w:p>
      <w:pPr>
        <w:adjustRightInd w:val="0"/>
        <w:snapToGrid w:val="0"/>
        <w:rPr>
          <w:rFonts w:hint="eastAsia" w:hAnsi="宋体"/>
          <w:color w:val="auto"/>
          <w:szCs w:val="24"/>
          <w:highlight w:val="none"/>
        </w:rPr>
      </w:pPr>
      <w:r>
        <w:rPr>
          <w:rFonts w:hint="eastAsia" w:hAnsi="宋体"/>
          <w:color w:val="auto"/>
          <w:szCs w:val="24"/>
          <w:highlight w:val="none"/>
        </w:rPr>
        <w:t xml:space="preserve">    本包件养护款的支付与养护质量挂钩。采购人按照“科室考评与第三方考评相结合，养护管理考评与重点工作考评相结合”的原则，对公园养护单位的养护工作进行综合考核。以综合考核评分</w:t>
      </w:r>
      <w:r>
        <w:rPr>
          <w:rFonts w:hint="eastAsia" w:hAnsi="宋体"/>
          <w:color w:val="auto"/>
          <w:szCs w:val="24"/>
          <w:highlight w:val="none"/>
          <w:lang w:val="en-US" w:eastAsia="zh-CN"/>
        </w:rPr>
        <w:t>85</w:t>
      </w:r>
      <w:r>
        <w:rPr>
          <w:rFonts w:hint="eastAsia" w:hAnsi="宋体"/>
          <w:color w:val="auto"/>
          <w:szCs w:val="24"/>
          <w:highlight w:val="none"/>
        </w:rPr>
        <w:t>分作为养护费发放基准分，每季度支付一次养护经费。综合评分不满基准分的，每低1分，扣除当季度养护费的1个百分点。绿化养护工作受到市、区领导批评、媒体曝光，经查确为养护单位原因造成的，根据事件负面影响程度，扣除本季度养护费5-10万元。</w:t>
      </w:r>
    </w:p>
    <w:p>
      <w:pPr>
        <w:adjustRightInd w:val="0"/>
        <w:snapToGrid w:val="0"/>
        <w:ind w:firstLine="480" w:firstLineChars="200"/>
        <w:rPr>
          <w:rFonts w:hint="eastAsia" w:hAnsi="宋体"/>
          <w:color w:val="auto"/>
          <w:szCs w:val="24"/>
          <w:highlight w:val="none"/>
        </w:rPr>
      </w:pPr>
      <w:r>
        <w:rPr>
          <w:rFonts w:hint="eastAsia" w:hAnsi="宋体"/>
          <w:color w:val="auto"/>
          <w:szCs w:val="24"/>
          <w:highlight w:val="none"/>
        </w:rPr>
        <w:t>本包件内花卉布置费用根据投标的综合单价按实结算，采购人委托财务监理单位对本包件内花卉布置的费用进行审核,并出具每季度的花卉布置项目投资监理报告，中标单位按投标清单完成花卉布置工作的，前三季度花卉布置按照投标费用按季度支付。11月底，财务监理单位出具全年花卉布置项目投资监理报告，如果花卉结算核定总价低于花卉投标总价的，按照核定总价支付余款；如果花卉结算核定总价高于花卉投标总价，最终按照投标总价支付余款。</w:t>
      </w:r>
    </w:p>
    <w:p>
      <w:pPr>
        <w:adjustRightInd w:val="0"/>
        <w:snapToGrid w:val="0"/>
        <w:ind w:firstLine="480" w:firstLineChars="200"/>
        <w:rPr>
          <w:rFonts w:hint="eastAsia" w:hAnsi="宋体"/>
          <w:color w:val="auto"/>
          <w:szCs w:val="24"/>
          <w:highlight w:val="none"/>
        </w:rPr>
      </w:pPr>
      <w:r>
        <w:rPr>
          <w:rFonts w:hint="eastAsia" w:hAnsi="宋体"/>
          <w:color w:val="auto"/>
          <w:szCs w:val="24"/>
          <w:highlight w:val="none"/>
          <w:lang w:val="en-US" w:eastAsia="zh-CN"/>
        </w:rPr>
        <w:t>中标单位</w:t>
      </w:r>
      <w:r>
        <w:rPr>
          <w:rFonts w:hint="eastAsia" w:hAnsi="宋体"/>
          <w:color w:val="auto"/>
          <w:szCs w:val="24"/>
          <w:highlight w:val="none"/>
        </w:rPr>
        <w:t>对养护区域内的古树名木和古树后续资源进行专项养护，如因养护不到位造成古树名木或古树后续资源死亡的，扣除当年养护费用30万元；因养护不到位造成古树名木或古树后续资源濒危的，扣除当年养护费用10万元；因养护不到位造成古树名木或古树后续资源衰弱的，扣除当年养护费用5万元；因未对古树名木或古树后续资源开展病虫害防治、树洞修补、枯（断）枝修剪等工作影响古树名木或古树后续资源健康生长的，每一项扣除当年养护费用2万元。</w:t>
      </w:r>
    </w:p>
    <w:p>
      <w:pPr>
        <w:adjustRightInd w:val="0"/>
        <w:snapToGrid w:val="0"/>
        <w:ind w:firstLine="480" w:firstLineChars="200"/>
        <w:rPr>
          <w:rFonts w:hint="eastAsia" w:hAnsi="宋体"/>
          <w:color w:val="auto"/>
          <w:szCs w:val="24"/>
          <w:highlight w:val="none"/>
        </w:rPr>
      </w:pPr>
      <w:r>
        <w:rPr>
          <w:rFonts w:hint="eastAsia" w:hAnsi="宋体"/>
          <w:color w:val="auto"/>
          <w:szCs w:val="24"/>
          <w:highlight w:val="none"/>
        </w:rPr>
        <w:t>花卉投标综合单价时应附具体费用组成明细。</w:t>
      </w:r>
    </w:p>
    <w:tbl>
      <w:tblPr>
        <w:tblStyle w:val="3"/>
        <w:tblW w:w="9087" w:type="dxa"/>
        <w:tblInd w:w="93" w:type="dxa"/>
        <w:tblLayout w:type="fixed"/>
        <w:tblCellMar>
          <w:top w:w="0" w:type="dxa"/>
          <w:left w:w="108" w:type="dxa"/>
          <w:bottom w:w="0" w:type="dxa"/>
          <w:right w:w="108" w:type="dxa"/>
        </w:tblCellMar>
      </w:tblPr>
      <w:tblGrid>
        <w:gridCol w:w="341"/>
        <w:gridCol w:w="341"/>
        <w:gridCol w:w="341"/>
        <w:gridCol w:w="341"/>
        <w:gridCol w:w="392"/>
        <w:gridCol w:w="349"/>
        <w:gridCol w:w="465"/>
        <w:gridCol w:w="1163"/>
        <w:gridCol w:w="1164"/>
        <w:gridCol w:w="1163"/>
        <w:gridCol w:w="1047"/>
        <w:gridCol w:w="988"/>
        <w:gridCol w:w="992"/>
      </w:tblGrid>
      <w:tr>
        <w:tblPrEx>
          <w:tblCellMar>
            <w:top w:w="0" w:type="dxa"/>
            <w:left w:w="108" w:type="dxa"/>
            <w:bottom w:w="0" w:type="dxa"/>
            <w:right w:w="108" w:type="dxa"/>
          </w:tblCellMar>
        </w:tblPrEx>
        <w:trPr>
          <w:trHeight w:val="740" w:hRule="atLeast"/>
        </w:trPr>
        <w:tc>
          <w:tcPr>
            <w:tcW w:w="9087" w:type="dxa"/>
            <w:gridSpan w:val="13"/>
            <w:tcBorders>
              <w:top w:val="nil"/>
              <w:left w:val="nil"/>
              <w:bottom w:val="nil"/>
              <w:right w:val="nil"/>
            </w:tcBorders>
            <w:noWrap/>
            <w:vAlign w:val="center"/>
          </w:tcPr>
          <w:p>
            <w:pPr>
              <w:widowControl/>
              <w:spacing w:line="240" w:lineRule="auto"/>
              <w:jc w:val="center"/>
              <w:rPr>
                <w:rFonts w:hAnsi="宋体" w:cs="宋体"/>
                <w:color w:val="auto"/>
                <w:kern w:val="0"/>
                <w:sz w:val="22"/>
                <w:highlight w:val="none"/>
              </w:rPr>
            </w:pPr>
            <w:r>
              <w:rPr>
                <w:rFonts w:hint="eastAsia" w:hAnsi="宋体" w:cs="宋体"/>
                <w:color w:val="auto"/>
                <w:kern w:val="0"/>
                <w:sz w:val="22"/>
                <w:highlight w:val="none"/>
              </w:rPr>
              <w:t>报价模板</w:t>
            </w:r>
          </w:p>
        </w:tc>
      </w:tr>
      <w:tr>
        <w:tblPrEx>
          <w:tblCellMar>
            <w:top w:w="0" w:type="dxa"/>
            <w:left w:w="108" w:type="dxa"/>
            <w:bottom w:w="0" w:type="dxa"/>
            <w:right w:w="108" w:type="dxa"/>
          </w:tblCellMar>
        </w:tblPrEx>
        <w:trPr>
          <w:trHeight w:val="556" w:hRule="atLeast"/>
        </w:trPr>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序号</w:t>
            </w:r>
          </w:p>
        </w:tc>
        <w:tc>
          <w:tcPr>
            <w:tcW w:w="34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养护绿地</w:t>
            </w:r>
          </w:p>
        </w:tc>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种植时间</w:t>
            </w:r>
          </w:p>
        </w:tc>
        <w:tc>
          <w:tcPr>
            <w:tcW w:w="3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计划使用品种</w:t>
            </w:r>
          </w:p>
        </w:tc>
        <w:tc>
          <w:tcPr>
            <w:tcW w:w="3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容器规格（CM)</w:t>
            </w:r>
          </w:p>
        </w:tc>
        <w:tc>
          <w:tcPr>
            <w:tcW w:w="3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花卉颜色</w:t>
            </w:r>
          </w:p>
        </w:tc>
        <w:tc>
          <w:tcPr>
            <w:tcW w:w="4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计划种植数量（株）</w:t>
            </w:r>
          </w:p>
        </w:tc>
        <w:tc>
          <w:tcPr>
            <w:tcW w:w="1163" w:type="dxa"/>
            <w:tcBorders>
              <w:top w:val="single" w:color="auto" w:sz="4" w:space="0"/>
              <w:left w:val="nil"/>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花卉费</w:t>
            </w:r>
            <w:r>
              <w:rPr>
                <w:color w:val="auto"/>
                <w:highlight w:val="none"/>
              </w:rPr>
              <w:br w:type="textWrapping"/>
            </w:r>
            <w:r>
              <w:rPr>
                <w:rFonts w:hint="eastAsia" w:hAnsi="宋体" w:cs="宋体"/>
                <w:color w:val="auto"/>
                <w:kern w:val="0"/>
                <w:sz w:val="20"/>
                <w:szCs w:val="20"/>
                <w:highlight w:val="none"/>
              </w:rPr>
              <w:t>（元）</w:t>
            </w:r>
          </w:p>
        </w:tc>
        <w:tc>
          <w:tcPr>
            <w:tcW w:w="1164" w:type="dxa"/>
            <w:tcBorders>
              <w:top w:val="single" w:color="auto" w:sz="4" w:space="0"/>
              <w:left w:val="nil"/>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人工费(元）</w:t>
            </w:r>
          </w:p>
        </w:tc>
        <w:tc>
          <w:tcPr>
            <w:tcW w:w="1163" w:type="dxa"/>
            <w:tcBorders>
              <w:top w:val="single" w:color="auto" w:sz="4" w:space="0"/>
              <w:left w:val="nil"/>
              <w:bottom w:val="single" w:color="auto" w:sz="4" w:space="0"/>
              <w:right w:val="nil"/>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利润(元）</w:t>
            </w:r>
          </w:p>
        </w:tc>
        <w:tc>
          <w:tcPr>
            <w:tcW w:w="1047" w:type="dxa"/>
            <w:tcBorders>
              <w:top w:val="single" w:color="auto" w:sz="4" w:space="0"/>
              <w:left w:val="single" w:color="auto" w:sz="4" w:space="0"/>
              <w:bottom w:val="single" w:color="auto" w:sz="4" w:space="0"/>
              <w:right w:val="single" w:color="auto" w:sz="4" w:space="0"/>
            </w:tcBorders>
            <w:shd w:val="clear" w:color="000000" w:fill="CCE8CF"/>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税金（元）</w:t>
            </w:r>
          </w:p>
        </w:tc>
        <w:tc>
          <w:tcPr>
            <w:tcW w:w="98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综合单价（元）</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hAnsi="宋体" w:cs="宋体"/>
                <w:color w:val="auto"/>
                <w:kern w:val="0"/>
                <w:sz w:val="20"/>
                <w:szCs w:val="20"/>
                <w:highlight w:val="none"/>
              </w:rPr>
            </w:pPr>
            <w:r>
              <w:rPr>
                <w:rFonts w:hint="eastAsia" w:hAnsi="宋体" w:cs="宋体"/>
                <w:color w:val="auto"/>
                <w:kern w:val="0"/>
                <w:sz w:val="20"/>
                <w:szCs w:val="20"/>
                <w:highlight w:val="none"/>
              </w:rPr>
              <w:t>投标合价（元）</w:t>
            </w:r>
          </w:p>
        </w:tc>
      </w:tr>
    </w:tbl>
    <w:p>
      <w:pPr>
        <w:adjustRightInd w:val="0"/>
        <w:snapToGrid w:val="0"/>
        <w:ind w:firstLine="480" w:firstLineChars="200"/>
        <w:rPr>
          <w:rFonts w:hint="eastAsia" w:hAnsi="宋体"/>
          <w:color w:val="auto"/>
          <w:szCs w:val="24"/>
          <w:highlight w:val="none"/>
        </w:rPr>
      </w:pPr>
    </w:p>
    <w:p>
      <w:pPr>
        <w:ind w:firstLine="480" w:firstLineChars="200"/>
        <w:rPr>
          <w:rFonts w:hAnsi="宋体"/>
          <w:color w:val="auto"/>
          <w:szCs w:val="24"/>
          <w:highlight w:val="none"/>
        </w:rPr>
      </w:pPr>
      <w:r>
        <w:rPr>
          <w:rFonts w:hAnsi="宋体"/>
          <w:color w:val="auto"/>
          <w:szCs w:val="24"/>
          <w:highlight w:val="none"/>
        </w:rPr>
        <w:t xml:space="preserve">3.6  </w:t>
      </w:r>
      <w:r>
        <w:rPr>
          <w:rFonts w:hint="eastAsia" w:hAnsi="宋体"/>
          <w:color w:val="auto"/>
          <w:szCs w:val="24"/>
          <w:highlight w:val="none"/>
        </w:rPr>
        <w:t>养护技术规范、标准</w:t>
      </w:r>
    </w:p>
    <w:p>
      <w:pPr>
        <w:rPr>
          <w:rFonts w:hAnsi="宋体"/>
          <w:color w:val="auto"/>
          <w:szCs w:val="24"/>
          <w:highlight w:val="none"/>
        </w:rPr>
      </w:pPr>
      <w:r>
        <w:rPr>
          <w:rFonts w:hint="eastAsia" w:hAnsi="宋体"/>
          <w:color w:val="auto"/>
          <w:szCs w:val="24"/>
          <w:highlight w:val="none"/>
        </w:rPr>
        <w:t>《上海市城市公园实施分类分级管理指导意见》（沪绿容</w:t>
      </w:r>
      <w:r>
        <w:rPr>
          <w:rFonts w:hAnsi="宋体"/>
          <w:color w:val="auto"/>
          <w:szCs w:val="24"/>
          <w:highlight w:val="none"/>
        </w:rPr>
        <w:t>[2019]156</w:t>
      </w:r>
      <w:r>
        <w:rPr>
          <w:rFonts w:hint="eastAsia" w:hAnsi="宋体"/>
          <w:color w:val="auto"/>
          <w:szCs w:val="24"/>
          <w:highlight w:val="none"/>
        </w:rPr>
        <w:t>号）</w:t>
      </w:r>
    </w:p>
    <w:p>
      <w:pPr>
        <w:rPr>
          <w:rFonts w:hAnsi="宋体"/>
          <w:color w:val="auto"/>
          <w:szCs w:val="24"/>
          <w:highlight w:val="none"/>
        </w:rPr>
      </w:pPr>
      <w:r>
        <w:rPr>
          <w:rFonts w:hint="eastAsia" w:hAnsi="宋体"/>
          <w:color w:val="auto"/>
          <w:szCs w:val="24"/>
          <w:highlight w:val="none"/>
        </w:rPr>
        <w:t>《对承包单位机构、人员配备的要求》</w:t>
      </w:r>
    </w:p>
    <w:p>
      <w:pPr>
        <w:rPr>
          <w:rFonts w:hAnsi="宋体"/>
          <w:color w:val="auto"/>
          <w:szCs w:val="24"/>
          <w:highlight w:val="none"/>
        </w:rPr>
      </w:pPr>
      <w:r>
        <w:rPr>
          <w:rFonts w:hint="eastAsia" w:hAnsi="宋体"/>
          <w:color w:val="auto"/>
          <w:szCs w:val="24"/>
          <w:highlight w:val="none"/>
        </w:rPr>
        <w:t>《园林绿化养护标准》（DG/TJ08-19-2023）</w:t>
      </w:r>
    </w:p>
    <w:p>
      <w:pPr>
        <w:rPr>
          <w:rFonts w:hAnsi="宋体"/>
          <w:color w:val="auto"/>
          <w:szCs w:val="24"/>
          <w:highlight w:val="none"/>
        </w:rPr>
      </w:pPr>
      <w:r>
        <w:rPr>
          <w:rFonts w:hint="eastAsia" w:hAnsi="宋体"/>
          <w:color w:val="auto"/>
          <w:szCs w:val="24"/>
          <w:highlight w:val="none"/>
        </w:rPr>
        <w:t>《园林绿化养护技术等级标准》</w:t>
      </w:r>
    </w:p>
    <w:p>
      <w:pPr>
        <w:autoSpaceDE w:val="0"/>
        <w:autoSpaceDN w:val="0"/>
        <w:adjustRightInd w:val="0"/>
        <w:rPr>
          <w:rFonts w:hAnsi="宋体"/>
          <w:color w:val="auto"/>
          <w:szCs w:val="24"/>
          <w:highlight w:val="none"/>
        </w:rPr>
      </w:pPr>
      <w:r>
        <w:rPr>
          <w:rFonts w:hint="eastAsia" w:hAnsi="宋体"/>
          <w:color w:val="auto"/>
          <w:szCs w:val="24"/>
          <w:highlight w:val="none"/>
        </w:rPr>
        <w:t>《园林绿化植物栽植技术规程》</w:t>
      </w:r>
      <w:r>
        <w:rPr>
          <w:rFonts w:hAnsi="宋体"/>
          <w:color w:val="auto"/>
          <w:szCs w:val="24"/>
          <w:highlight w:val="none"/>
        </w:rPr>
        <w:t xml:space="preserve">  DG/TJ08-18-2011 J11913-2011</w:t>
      </w:r>
    </w:p>
    <w:p>
      <w:pPr>
        <w:rPr>
          <w:rFonts w:hAnsi="宋体"/>
          <w:color w:val="auto"/>
          <w:szCs w:val="24"/>
          <w:highlight w:val="none"/>
        </w:rPr>
      </w:pPr>
      <w:r>
        <w:rPr>
          <w:rFonts w:hint="eastAsia" w:hAnsi="宋体"/>
          <w:color w:val="auto"/>
          <w:szCs w:val="24"/>
          <w:highlight w:val="none"/>
        </w:rPr>
        <w:t>《园林植物养护技术规程》</w:t>
      </w:r>
      <w:r>
        <w:rPr>
          <w:rFonts w:hAnsi="宋体"/>
          <w:color w:val="auto"/>
          <w:szCs w:val="24"/>
          <w:highlight w:val="none"/>
        </w:rPr>
        <w:t xml:space="preserve">  DBJ08-19-91</w:t>
      </w:r>
    </w:p>
    <w:p>
      <w:pPr>
        <w:rPr>
          <w:rFonts w:hAnsi="宋体"/>
          <w:color w:val="auto"/>
          <w:szCs w:val="24"/>
          <w:highlight w:val="none"/>
        </w:rPr>
      </w:pPr>
      <w:r>
        <w:rPr>
          <w:rFonts w:hint="eastAsia" w:hAnsi="宋体"/>
          <w:color w:val="auto"/>
          <w:szCs w:val="24"/>
          <w:highlight w:val="none"/>
        </w:rPr>
        <w:t>《园林植物保护技术规程》</w:t>
      </w:r>
      <w:r>
        <w:rPr>
          <w:rFonts w:hAnsi="宋体"/>
          <w:color w:val="auto"/>
          <w:szCs w:val="24"/>
          <w:highlight w:val="none"/>
        </w:rPr>
        <w:t xml:space="preserve">  DG/TJ08-</w:t>
      </w:r>
      <w:r>
        <w:rPr>
          <w:rFonts w:hint="eastAsia" w:hAnsi="宋体"/>
          <w:color w:val="auto"/>
          <w:szCs w:val="24"/>
          <w:highlight w:val="none"/>
        </w:rPr>
        <w:t>35-2014</w:t>
      </w:r>
    </w:p>
    <w:p>
      <w:pPr>
        <w:rPr>
          <w:rFonts w:hAnsi="宋体"/>
          <w:color w:val="auto"/>
          <w:szCs w:val="24"/>
          <w:highlight w:val="none"/>
        </w:rPr>
      </w:pPr>
      <w:r>
        <w:rPr>
          <w:rFonts w:hint="eastAsia" w:hAnsi="宋体"/>
          <w:color w:val="auto"/>
          <w:szCs w:val="24"/>
          <w:highlight w:val="none"/>
        </w:rPr>
        <w:t>《行道树养护技术规程》（DG/TJ08-2105-2012）</w:t>
      </w:r>
    </w:p>
    <w:p>
      <w:pPr>
        <w:rPr>
          <w:rFonts w:hAnsi="宋体"/>
          <w:color w:val="auto"/>
          <w:szCs w:val="24"/>
          <w:highlight w:val="none"/>
        </w:rPr>
      </w:pPr>
      <w:r>
        <w:rPr>
          <w:rFonts w:hint="eastAsia" w:hAnsi="宋体"/>
          <w:color w:val="auto"/>
          <w:szCs w:val="24"/>
          <w:highlight w:val="none"/>
        </w:rPr>
        <w:t>《行道树栽植技术规程》</w:t>
      </w:r>
      <w:r>
        <w:rPr>
          <w:rFonts w:hAnsi="宋体"/>
          <w:color w:val="auto"/>
          <w:szCs w:val="24"/>
          <w:highlight w:val="none"/>
        </w:rPr>
        <w:t xml:space="preserve">    DBJ08-5</w:t>
      </w:r>
      <w:r>
        <w:rPr>
          <w:rFonts w:hint="eastAsia" w:hAnsi="宋体"/>
          <w:color w:val="auto"/>
          <w:szCs w:val="24"/>
          <w:highlight w:val="none"/>
        </w:rPr>
        <w:t>3-2016</w:t>
      </w:r>
    </w:p>
    <w:p>
      <w:pPr>
        <w:rPr>
          <w:rFonts w:hAnsi="宋体"/>
          <w:color w:val="auto"/>
          <w:szCs w:val="24"/>
          <w:highlight w:val="none"/>
        </w:rPr>
      </w:pPr>
      <w:r>
        <w:rPr>
          <w:rFonts w:hint="eastAsia" w:hAnsi="宋体"/>
          <w:color w:val="auto"/>
          <w:szCs w:val="24"/>
          <w:highlight w:val="none"/>
        </w:rPr>
        <w:t>《大树移植技术规程》</w:t>
      </w:r>
      <w:r>
        <w:rPr>
          <w:rFonts w:hAnsi="宋体"/>
          <w:color w:val="auto"/>
          <w:szCs w:val="24"/>
          <w:highlight w:val="none"/>
        </w:rPr>
        <w:t xml:space="preserve">      DBJ08-53-96</w:t>
      </w:r>
    </w:p>
    <w:p>
      <w:pPr>
        <w:rPr>
          <w:rFonts w:hAnsi="宋体"/>
          <w:color w:val="auto"/>
          <w:szCs w:val="24"/>
          <w:highlight w:val="none"/>
        </w:rPr>
      </w:pPr>
      <w:r>
        <w:rPr>
          <w:rFonts w:hint="eastAsia" w:hAnsi="宋体"/>
          <w:color w:val="auto"/>
          <w:szCs w:val="24"/>
          <w:highlight w:val="none"/>
        </w:rPr>
        <w:t>《草坪建植和草坪养护管理的技术规程》</w:t>
      </w:r>
      <w:r>
        <w:rPr>
          <w:rFonts w:hAnsi="宋体"/>
          <w:color w:val="auto"/>
          <w:szCs w:val="24"/>
          <w:highlight w:val="none"/>
        </w:rPr>
        <w:t xml:space="preserve">  DBJ08-67-97</w:t>
      </w:r>
    </w:p>
    <w:p>
      <w:pPr>
        <w:rPr>
          <w:rFonts w:hAnsi="宋体"/>
          <w:color w:val="auto"/>
          <w:szCs w:val="24"/>
          <w:highlight w:val="none"/>
        </w:rPr>
      </w:pPr>
      <w:r>
        <w:rPr>
          <w:rFonts w:hint="eastAsia" w:hAnsi="宋体"/>
          <w:color w:val="auto"/>
          <w:szCs w:val="24"/>
          <w:highlight w:val="none"/>
        </w:rPr>
        <w:t>《上海市园林绿化养护标准》</w:t>
      </w:r>
      <w:r>
        <w:rPr>
          <w:rFonts w:hAnsi="宋体"/>
          <w:color w:val="auto"/>
          <w:szCs w:val="24"/>
          <w:highlight w:val="none"/>
        </w:rPr>
        <w:t xml:space="preserve">  1998.12</w:t>
      </w:r>
    </w:p>
    <w:p>
      <w:pPr>
        <w:rPr>
          <w:rFonts w:hAnsi="宋体"/>
          <w:color w:val="auto"/>
          <w:szCs w:val="24"/>
          <w:highlight w:val="none"/>
        </w:rPr>
      </w:pPr>
      <w:r>
        <w:rPr>
          <w:rFonts w:hint="eastAsia" w:hAnsi="宋体"/>
          <w:color w:val="auto"/>
          <w:szCs w:val="24"/>
          <w:highlight w:val="none"/>
        </w:rPr>
        <w:t>《上海市园林工程预算定额（</w:t>
      </w:r>
      <w:r>
        <w:rPr>
          <w:rFonts w:hAnsi="宋体"/>
          <w:color w:val="auto"/>
          <w:szCs w:val="24"/>
          <w:highlight w:val="none"/>
        </w:rPr>
        <w:t>2016</w:t>
      </w:r>
      <w:r>
        <w:rPr>
          <w:rFonts w:hint="eastAsia" w:hAnsi="宋体"/>
          <w:color w:val="auto"/>
          <w:szCs w:val="24"/>
          <w:highlight w:val="none"/>
        </w:rPr>
        <w:t>）》</w:t>
      </w:r>
    </w:p>
    <w:p>
      <w:pPr>
        <w:rPr>
          <w:rFonts w:hAnsi="宋体"/>
          <w:color w:val="auto"/>
          <w:szCs w:val="24"/>
          <w:highlight w:val="none"/>
        </w:rPr>
      </w:pPr>
      <w:r>
        <w:rPr>
          <w:rFonts w:hint="eastAsia" w:hAnsi="宋体"/>
          <w:color w:val="auto"/>
          <w:szCs w:val="24"/>
          <w:highlight w:val="none"/>
        </w:rPr>
        <w:t>《上海市绿地养护概算定额（</w:t>
      </w:r>
      <w:r>
        <w:rPr>
          <w:rFonts w:hAnsi="宋体"/>
          <w:color w:val="auto"/>
          <w:szCs w:val="24"/>
          <w:highlight w:val="none"/>
        </w:rPr>
        <w:t>2010</w:t>
      </w:r>
      <w:r>
        <w:rPr>
          <w:rFonts w:hint="eastAsia" w:hAnsi="宋体"/>
          <w:color w:val="auto"/>
          <w:szCs w:val="24"/>
          <w:highlight w:val="none"/>
        </w:rPr>
        <w:t>）》</w:t>
      </w:r>
    </w:p>
    <w:p>
      <w:pPr>
        <w:rPr>
          <w:rFonts w:hAnsi="宋体"/>
          <w:color w:val="auto"/>
          <w:szCs w:val="24"/>
          <w:highlight w:val="none"/>
        </w:rPr>
      </w:pPr>
      <w:r>
        <w:rPr>
          <w:rFonts w:hint="eastAsia" w:hAnsi="宋体"/>
          <w:color w:val="auto"/>
          <w:szCs w:val="24"/>
          <w:highlight w:val="none"/>
        </w:rPr>
        <w:t>《绿地设计规范》</w:t>
      </w:r>
      <w:r>
        <w:rPr>
          <w:rFonts w:hAnsi="宋体"/>
          <w:color w:val="auto"/>
          <w:szCs w:val="24"/>
          <w:highlight w:val="none"/>
        </w:rPr>
        <w:t xml:space="preserve">  DG/TJ08-15-2009 J11525-2009</w:t>
      </w:r>
    </w:p>
    <w:p>
      <w:pPr>
        <w:rPr>
          <w:rFonts w:hAnsi="宋体"/>
          <w:color w:val="auto"/>
          <w:szCs w:val="24"/>
          <w:highlight w:val="none"/>
        </w:rPr>
      </w:pPr>
      <w:r>
        <w:rPr>
          <w:rFonts w:hint="eastAsia" w:hAnsi="宋体"/>
          <w:color w:val="auto"/>
          <w:szCs w:val="24"/>
          <w:highlight w:val="none"/>
        </w:rPr>
        <w:t>《假山叠石工程施工规程》</w:t>
      </w:r>
      <w:r>
        <w:rPr>
          <w:rFonts w:hAnsi="宋体"/>
          <w:color w:val="auto"/>
          <w:szCs w:val="24"/>
          <w:highlight w:val="none"/>
        </w:rPr>
        <w:t xml:space="preserve">  DG/TJ08-</w:t>
      </w:r>
      <w:r>
        <w:rPr>
          <w:rFonts w:hint="eastAsia" w:hAnsi="宋体"/>
          <w:color w:val="auto"/>
          <w:szCs w:val="24"/>
          <w:highlight w:val="none"/>
        </w:rPr>
        <w:t>211-2014</w:t>
      </w:r>
    </w:p>
    <w:p>
      <w:pPr>
        <w:rPr>
          <w:rFonts w:hAnsi="宋体"/>
          <w:color w:val="auto"/>
          <w:szCs w:val="24"/>
          <w:highlight w:val="none"/>
        </w:rPr>
      </w:pPr>
      <w:r>
        <w:rPr>
          <w:rFonts w:hint="eastAsia" w:hAnsi="宋体"/>
          <w:color w:val="auto"/>
          <w:szCs w:val="24"/>
          <w:highlight w:val="none"/>
        </w:rPr>
        <w:t>《花坛、花境技术规程》</w:t>
      </w:r>
      <w:r>
        <w:rPr>
          <w:rFonts w:hAnsi="宋体"/>
          <w:color w:val="auto"/>
          <w:szCs w:val="24"/>
          <w:highlight w:val="none"/>
        </w:rPr>
        <w:t xml:space="preserve">  DG/TJ08</w:t>
      </w:r>
      <w:r>
        <w:rPr>
          <w:rFonts w:hint="eastAsia" w:hAnsi="宋体"/>
          <w:color w:val="auto"/>
          <w:szCs w:val="24"/>
          <w:highlight w:val="none"/>
        </w:rPr>
        <w:t>-66-2016</w:t>
      </w:r>
    </w:p>
    <w:p>
      <w:pPr>
        <w:rPr>
          <w:rFonts w:hAnsi="宋体"/>
          <w:color w:val="auto"/>
          <w:szCs w:val="24"/>
          <w:highlight w:val="none"/>
        </w:rPr>
      </w:pPr>
      <w:r>
        <w:rPr>
          <w:rFonts w:hint="eastAsia" w:hAnsi="宋体"/>
          <w:color w:val="auto"/>
          <w:szCs w:val="24"/>
          <w:highlight w:val="none"/>
        </w:rPr>
        <w:t>《屋顶绿化技术规范》  DB31/T493-2017</w:t>
      </w:r>
    </w:p>
    <w:p>
      <w:pPr>
        <w:rPr>
          <w:rFonts w:hAnsi="宋体"/>
          <w:color w:val="auto"/>
          <w:szCs w:val="24"/>
          <w:highlight w:val="none"/>
        </w:rPr>
      </w:pPr>
      <w:r>
        <w:rPr>
          <w:rFonts w:hint="eastAsia" w:hAnsi="宋体"/>
          <w:color w:val="auto"/>
          <w:szCs w:val="24"/>
          <w:highlight w:val="none"/>
        </w:rPr>
        <w:t>《园林绿化种植土质量标准》</w:t>
      </w:r>
      <w:r>
        <w:rPr>
          <w:rFonts w:hAnsi="宋体"/>
          <w:color w:val="auto"/>
          <w:szCs w:val="24"/>
          <w:highlight w:val="none"/>
        </w:rPr>
        <w:t>DG/TJ 08-231-2013</w:t>
      </w:r>
    </w:p>
    <w:p>
      <w:pPr>
        <w:rPr>
          <w:rFonts w:hAnsi="宋体"/>
          <w:color w:val="auto"/>
          <w:szCs w:val="24"/>
          <w:highlight w:val="none"/>
        </w:rPr>
      </w:pPr>
      <w:r>
        <w:rPr>
          <w:rFonts w:hint="eastAsia" w:hAnsi="宋体"/>
          <w:color w:val="auto"/>
          <w:szCs w:val="24"/>
          <w:highlight w:val="none"/>
        </w:rPr>
        <w:t>《垂直绿化技术规程》</w:t>
      </w:r>
      <w:r>
        <w:rPr>
          <w:rFonts w:hAnsi="宋体"/>
          <w:color w:val="auto"/>
          <w:szCs w:val="24"/>
          <w:highlight w:val="none"/>
        </w:rPr>
        <w:t xml:space="preserve">   DBJ08-75-98</w:t>
      </w:r>
    </w:p>
    <w:p>
      <w:pPr>
        <w:rPr>
          <w:rFonts w:hAnsi="宋体"/>
          <w:color w:val="auto"/>
          <w:szCs w:val="24"/>
          <w:highlight w:val="none"/>
        </w:rPr>
      </w:pPr>
      <w:r>
        <w:rPr>
          <w:rFonts w:hint="eastAsia" w:hAnsi="宋体"/>
          <w:color w:val="auto"/>
          <w:szCs w:val="24"/>
          <w:highlight w:val="none"/>
        </w:rPr>
        <w:t>《上海市工程建设规范（园林工程质量检验评定标准）》</w:t>
      </w:r>
      <w:r>
        <w:rPr>
          <w:rFonts w:hAnsi="宋体"/>
          <w:color w:val="auto"/>
          <w:szCs w:val="24"/>
          <w:highlight w:val="none"/>
        </w:rPr>
        <w:t xml:space="preserve">  DG/TJ08-701-2000</w:t>
      </w:r>
    </w:p>
    <w:p>
      <w:pPr>
        <w:rPr>
          <w:rFonts w:hAnsi="宋体"/>
          <w:color w:val="auto"/>
          <w:szCs w:val="24"/>
          <w:highlight w:val="none"/>
        </w:rPr>
      </w:pPr>
      <w:r>
        <w:rPr>
          <w:rFonts w:hint="eastAsia" w:hAnsi="宋体"/>
          <w:color w:val="auto"/>
          <w:szCs w:val="24"/>
          <w:highlight w:val="none"/>
        </w:rPr>
        <w:t>其它：政府相应的必须执行的有关标准</w:t>
      </w:r>
    </w:p>
    <w:p>
      <w:pPr>
        <w:ind w:firstLine="240" w:firstLineChars="100"/>
        <w:rPr>
          <w:rFonts w:hAnsi="宋体"/>
          <w:color w:val="auto"/>
          <w:szCs w:val="24"/>
          <w:highlight w:val="none"/>
        </w:rPr>
      </w:pPr>
      <w:r>
        <w:rPr>
          <w:rFonts w:hAnsi="宋体"/>
          <w:color w:val="auto"/>
          <w:szCs w:val="24"/>
          <w:highlight w:val="none"/>
        </w:rPr>
        <w:t xml:space="preserve">3.7  </w:t>
      </w:r>
      <w:r>
        <w:rPr>
          <w:rFonts w:hint="eastAsia" w:hAnsi="宋体"/>
          <w:color w:val="auto"/>
          <w:szCs w:val="24"/>
          <w:highlight w:val="none"/>
        </w:rPr>
        <w:t>公园绿地管理要求</w:t>
      </w:r>
    </w:p>
    <w:p>
      <w:pPr>
        <w:rPr>
          <w:rFonts w:hAnsi="宋体"/>
          <w:color w:val="auto"/>
          <w:szCs w:val="24"/>
          <w:highlight w:val="none"/>
        </w:rPr>
      </w:pPr>
      <w:r>
        <w:rPr>
          <w:rFonts w:hint="eastAsia" w:hAnsi="宋体"/>
          <w:color w:val="auto"/>
          <w:szCs w:val="24"/>
          <w:highlight w:val="none"/>
        </w:rPr>
        <w:t>一、公园绿地景观管理要求</w:t>
      </w:r>
    </w:p>
    <w:p>
      <w:pPr>
        <w:ind w:firstLine="480" w:firstLineChars="200"/>
        <w:rPr>
          <w:rFonts w:hAnsi="宋体"/>
          <w:color w:val="auto"/>
          <w:szCs w:val="24"/>
          <w:highlight w:val="none"/>
        </w:rPr>
      </w:pPr>
      <w:r>
        <w:rPr>
          <w:rFonts w:hint="eastAsia" w:hAnsi="宋体"/>
          <w:color w:val="auto"/>
          <w:szCs w:val="24"/>
          <w:highlight w:val="none"/>
        </w:rPr>
        <w:t>公园绿地景观应做到植物群落结构合理，植株疏密得当，层次分明，生长势良好，无显著病虫害，整体景观优美，具体要求如下：</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）公园绿化植物养护应按沪建设</w:t>
      </w:r>
      <w:r>
        <w:rPr>
          <w:rFonts w:hAnsi="宋体"/>
          <w:color w:val="auto"/>
          <w:szCs w:val="24"/>
          <w:highlight w:val="none"/>
        </w:rPr>
        <w:t>[2005]375</w:t>
      </w:r>
      <w:r>
        <w:rPr>
          <w:rFonts w:hint="eastAsia" w:hAnsi="宋体"/>
          <w:color w:val="auto"/>
          <w:szCs w:val="24"/>
          <w:highlight w:val="none"/>
        </w:rPr>
        <w:t>号上海市工程建设规范《园林绿化养护技术等级标准》和《上海市城市公园实施分类分级管理指导意见》（沪绿容</w:t>
      </w:r>
      <w:r>
        <w:rPr>
          <w:rFonts w:hAnsi="宋体"/>
          <w:color w:val="auto"/>
          <w:szCs w:val="24"/>
          <w:highlight w:val="none"/>
        </w:rPr>
        <w:t>[2019]156</w:t>
      </w:r>
      <w:r>
        <w:rPr>
          <w:rFonts w:hint="eastAsia" w:hAnsi="宋体"/>
          <w:color w:val="auto"/>
          <w:szCs w:val="24"/>
          <w:highlight w:val="none"/>
        </w:rPr>
        <w:t>号）的考核标准执行。绿化元素包含的树林、树丛、孤植树、花坛、花境、绿篱、盆栽植物、草坪草地、地被植物、竹类、水生植物、古树名木及古树后续资源、土壤、水体、园林设施等进行科学养管，达到各公园相应等级标准。</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）中标单位应按照公园总体规划和植物配置设计，实施植物的栽植、调整和养护，使公园的园林景观面貌符合原设计要求，始终保持最佳状态。</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应提供全年养护计划、技术措施及植物调整计划，公园绿地的主要出入口和重要景点，应有节日和重大活动花坛布置和全年用花计划。做好公园的花坛花境方案设计工作和花卉布置实施工作，确保在全市的公园花坛花境评比中取得好成绩。</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）中标单位应按照公园的特点，做好日常养护工作的记录，建立重点树种的专项档案和养护日志，建立全园精细化养护方案。</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）中标单位应做好公园绿地内的古树名木及古树保护工作。保持植株自然面貌，观赏价值高，设立有效保护范围，竖立保护铭牌，古树名木保护应符合《上海市古树名木和古树后续资源保护条例》各项规定。</w:t>
      </w:r>
    </w:p>
    <w:p>
      <w:pPr>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）中标单位应按《绿化植物保护技术规程》</w:t>
      </w:r>
      <w:r>
        <w:rPr>
          <w:rFonts w:hAnsi="宋体"/>
          <w:color w:val="auto"/>
          <w:szCs w:val="24"/>
          <w:highlight w:val="none"/>
        </w:rPr>
        <w:t>DG/TJ08-35-2014</w:t>
      </w:r>
      <w:r>
        <w:rPr>
          <w:rFonts w:hint="eastAsia" w:hAnsi="宋体"/>
          <w:color w:val="auto"/>
          <w:szCs w:val="24"/>
          <w:highlight w:val="none"/>
        </w:rPr>
        <w:t>做好公园绿地的植物保护工作，“预防为主、科学防控”以提高植物保护工作能力和质量。要确保养护费用中植保经费的专项使用。植保工作要有专人负责，做到工作有计划、有总结，监测有数据，防治有记录。做好防治药剂和防治机械设备的储备。做好有害生物监测工作，落实专人负责监测数据的记录和按要求上报制度。</w:t>
      </w:r>
    </w:p>
    <w:p>
      <w:pPr>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加强对检疫性害虫（特别是美国白蛾）及悬铃木方翅网蝽、星天牛、白蚁、枫香刺小蠹、悬铃木白粉病及煤污病（即“四虫二病”）等绿化重点有害生物的监测和防控，同时做好其它绿化有害生物的防控工作。防控工作以“绿色、环保、可控”为目标，推进药剂减量化，因虫施策，绿色防控，并做好“绿色防控”技术的推广。</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8</w:t>
      </w:r>
      <w:r>
        <w:rPr>
          <w:rFonts w:hint="eastAsia" w:hAnsi="宋体"/>
          <w:color w:val="auto"/>
          <w:szCs w:val="24"/>
          <w:highlight w:val="none"/>
        </w:rPr>
        <w:t>）中标单位应维护好公园所取得的所有荣誉。确保各项荣誉称号的延续并积极扩展新的荣誉称号。</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9</w:t>
      </w:r>
      <w:r>
        <w:rPr>
          <w:rFonts w:hint="eastAsia" w:hAnsi="宋体"/>
          <w:color w:val="auto"/>
          <w:szCs w:val="24"/>
          <w:highlight w:val="none"/>
        </w:rPr>
        <w:t>）中标单位应参加区绿化中心季度公园养护工作例会,汇报本季度公园管理情况和下季度公园管理计划。</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10</w:t>
      </w:r>
      <w:r>
        <w:rPr>
          <w:rFonts w:hint="eastAsia" w:hAnsi="宋体"/>
          <w:color w:val="auto"/>
          <w:szCs w:val="24"/>
          <w:highlight w:val="none"/>
        </w:rPr>
        <w:t>）中标单位承担公园的综合管理职责，并对公园保安、保洁工作进行日常管理和监督考核。</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11</w:t>
      </w:r>
      <w:r>
        <w:rPr>
          <w:rFonts w:hint="eastAsia" w:hAnsi="宋体"/>
          <w:color w:val="auto"/>
          <w:szCs w:val="24"/>
          <w:highlight w:val="none"/>
        </w:rPr>
        <w:t>）中标单位应安排专人讲解员，熟练掌握公园的建设、历史、特色和活动情况等。</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12</w:t>
      </w:r>
      <w:r>
        <w:rPr>
          <w:rFonts w:hint="eastAsia" w:hAnsi="宋体"/>
          <w:color w:val="auto"/>
          <w:szCs w:val="24"/>
          <w:highlight w:val="none"/>
        </w:rPr>
        <w:t>）中标单位应按照区绿化中心要求做好市局和区政府的各项行业考核工作，确保公园绿地的养护管理工作在各项考核中达到优秀。</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13</w:t>
      </w:r>
      <w:r>
        <w:rPr>
          <w:rFonts w:hint="eastAsia" w:hAnsi="宋体"/>
          <w:color w:val="auto"/>
          <w:szCs w:val="24"/>
          <w:highlight w:val="none"/>
        </w:rPr>
        <w:t>）中标单位按照要求做好公园24小时开放准备工作及开放后管理工作。</w:t>
      </w:r>
    </w:p>
    <w:p>
      <w:pPr>
        <w:ind w:firstLine="480" w:firstLineChars="200"/>
        <w:rPr>
          <w:rFonts w:hAnsi="宋体"/>
          <w:color w:val="auto"/>
          <w:szCs w:val="24"/>
          <w:highlight w:val="none"/>
        </w:rPr>
      </w:pPr>
      <w:r>
        <w:rPr>
          <w:rFonts w:hint="eastAsia" w:hAnsi="宋体"/>
          <w:color w:val="auto"/>
          <w:szCs w:val="24"/>
          <w:highlight w:val="none"/>
        </w:rPr>
        <w:t xml:space="preserve">（14）中标单位按照要求做好公园草坪开放、适老适幼工作。 </w:t>
      </w:r>
    </w:p>
    <w:p>
      <w:pPr>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5） 中标单位应做好绿地监管工作，如遇调查统计及审批改造等情况，积极配合。</w:t>
      </w:r>
    </w:p>
    <w:p>
      <w:pPr>
        <w:rPr>
          <w:rFonts w:hAnsi="宋体"/>
          <w:color w:val="auto"/>
          <w:szCs w:val="24"/>
          <w:highlight w:val="none"/>
        </w:rPr>
      </w:pPr>
      <w:r>
        <w:rPr>
          <w:rFonts w:hint="eastAsia" w:hAnsi="宋体"/>
          <w:color w:val="auto"/>
          <w:szCs w:val="24"/>
          <w:highlight w:val="none"/>
        </w:rPr>
        <w:t>二、公园绿地设施设备管理要求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中标单位应确保公园绿地的设施设备“正常运行无故障、安全生产无事故、维修及时无影响、日常检查无隐患”，具体要求如下：</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）建筑物、小品</w:t>
      </w:r>
    </w:p>
    <w:p>
      <w:pPr>
        <w:ind w:firstLine="480" w:firstLineChars="200"/>
        <w:rPr>
          <w:rFonts w:hAnsi="宋体"/>
          <w:color w:val="auto"/>
          <w:szCs w:val="24"/>
          <w:highlight w:val="none"/>
        </w:rPr>
      </w:pPr>
      <w:r>
        <w:rPr>
          <w:rFonts w:hint="eastAsia" w:hAnsi="宋体"/>
          <w:color w:val="auto"/>
          <w:szCs w:val="24"/>
          <w:highlight w:val="none"/>
        </w:rPr>
        <w:t>建筑小品均不得有违章搭建，要保持外型完好整洁，无乱张贴、乱涂写、乱刻画；公园内各类附属设施应每日检查保持设施完好。如有损坏应及时修复，大面积的修复时应设有临时围护隔离。设施油漆每年应至少一次；椅、凳、台、花坛应固定位置，根据游人活动规律在不影响绿化情况下可增设安放椅凳。</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）雕塑</w:t>
      </w:r>
    </w:p>
    <w:p>
      <w:pPr>
        <w:ind w:firstLine="480" w:firstLineChars="200"/>
        <w:rPr>
          <w:rFonts w:hAnsi="宋体"/>
          <w:color w:val="auto"/>
          <w:szCs w:val="24"/>
          <w:highlight w:val="none"/>
        </w:rPr>
      </w:pPr>
      <w:r>
        <w:rPr>
          <w:rFonts w:hint="eastAsia" w:hAnsi="宋体"/>
          <w:color w:val="auto"/>
          <w:szCs w:val="24"/>
          <w:highlight w:val="none"/>
        </w:rPr>
        <w:t>中标单位应做好公园内的雕塑定期检查、按期保养工作，保持好绿地雕塑的结构、基础安全稳定。</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）道路地坪</w:t>
      </w:r>
    </w:p>
    <w:p>
      <w:pPr>
        <w:ind w:firstLine="480" w:firstLineChars="200"/>
        <w:rPr>
          <w:rFonts w:hAnsi="宋体"/>
          <w:color w:val="auto"/>
          <w:szCs w:val="24"/>
          <w:highlight w:val="none"/>
        </w:rPr>
      </w:pPr>
      <w:r>
        <w:rPr>
          <w:rFonts w:hint="eastAsia" w:hAnsi="宋体"/>
          <w:color w:val="auto"/>
          <w:szCs w:val="24"/>
          <w:highlight w:val="none"/>
        </w:rPr>
        <w:t>中标单位应确保公园绿地中的道路地坪平整无破损，无积水，如有损坏应及时维修，木质地坪需每年油漆</w:t>
      </w:r>
      <w:r>
        <w:rPr>
          <w:rFonts w:hAnsi="宋体"/>
          <w:color w:val="auto"/>
          <w:szCs w:val="24"/>
          <w:highlight w:val="none"/>
        </w:rPr>
        <w:t>1</w:t>
      </w:r>
      <w:r>
        <w:rPr>
          <w:rFonts w:hint="eastAsia" w:hAnsi="宋体"/>
          <w:color w:val="auto"/>
          <w:szCs w:val="24"/>
          <w:highlight w:val="none"/>
        </w:rPr>
        <w:t>次。</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）市政给水、排水</w:t>
      </w:r>
    </w:p>
    <w:p>
      <w:pPr>
        <w:ind w:firstLine="480" w:firstLineChars="200"/>
        <w:rPr>
          <w:rFonts w:hAnsi="宋体"/>
          <w:color w:val="auto"/>
          <w:szCs w:val="24"/>
          <w:highlight w:val="none"/>
        </w:rPr>
      </w:pPr>
      <w:r>
        <w:rPr>
          <w:rFonts w:hint="eastAsia" w:hAnsi="宋体"/>
          <w:color w:val="auto"/>
          <w:szCs w:val="24"/>
          <w:highlight w:val="none"/>
        </w:rPr>
        <w:t>中标单位应确保绿地中的上下水管道保持畅通、无污染、无渗漏。现有排水管线应定期检修疏通；中标单位应确保绿地中的消防龙头、灌溉龙头、喷泉喷嘴、供水龙头等外露的给水设备，应随坏随修，随窃随装，避免浪费、污染环境；中标单位应确保绿地中的窨井、进水口、涵洞、闸门、泵房等外露的排水设备应保持完整、清洁，无隐患，老化、损坏、被盗窃的设施应及时更新。</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）供电、照明、动力</w:t>
      </w:r>
    </w:p>
    <w:p>
      <w:pPr>
        <w:ind w:firstLine="480" w:firstLineChars="200"/>
        <w:rPr>
          <w:rFonts w:hAnsi="宋体"/>
          <w:color w:val="auto"/>
          <w:szCs w:val="24"/>
          <w:highlight w:val="none"/>
        </w:rPr>
      </w:pPr>
      <w:r>
        <w:rPr>
          <w:rFonts w:hint="eastAsia" w:hAnsi="宋体"/>
          <w:color w:val="auto"/>
          <w:szCs w:val="24"/>
          <w:highlight w:val="none"/>
        </w:rPr>
        <w:t>中标单位应确保绿地中的路灯、庭院灯、草坪灯、泛光灯、地埋灯、水下灯、低压装饰灯等照明设施，应保持完整、清洁，无安全隐患，损坏后立即维修更换；中标单位应确保绿地中的泵房、空调、水箱、机修等各种动力设备应安全用电。</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）门牌、导向牌、告示牌、广告牌报纸宣传廊及临时设置的各种横幅</w:t>
      </w:r>
    </w:p>
    <w:p>
      <w:pPr>
        <w:adjustRightInd w:val="0"/>
        <w:snapToGrid w:val="0"/>
        <w:ind w:left="2" w:leftChars="1" w:firstLine="480" w:firstLineChars="200"/>
        <w:rPr>
          <w:rFonts w:hAnsi="宋体"/>
          <w:color w:val="auto"/>
          <w:szCs w:val="24"/>
          <w:highlight w:val="none"/>
        </w:rPr>
      </w:pPr>
      <w:r>
        <w:rPr>
          <w:rFonts w:hint="eastAsia" w:hAnsi="宋体"/>
          <w:color w:val="auto"/>
          <w:szCs w:val="24"/>
          <w:highlight w:val="none"/>
        </w:rPr>
        <w:t>中标单位应确保公园内各项陈列资料应有专人负责，保持完整清洁，定期更换，报廊内报纸应每日更新；布告、宣传资料、临时设置的横幅等应在活动有效期过后即行更换拆除；广告宣传类应报经有关部门批准，其内容不得超越核定范围，应在规定期内拆除。</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）无障碍设施</w:t>
      </w:r>
    </w:p>
    <w:p>
      <w:pPr>
        <w:adjustRightInd w:val="0"/>
        <w:snapToGrid w:val="0"/>
        <w:ind w:firstLine="480"/>
        <w:rPr>
          <w:rFonts w:hAnsi="宋体"/>
          <w:color w:val="auto"/>
          <w:szCs w:val="24"/>
          <w:highlight w:val="none"/>
        </w:rPr>
      </w:pPr>
      <w:r>
        <w:rPr>
          <w:rFonts w:hint="eastAsia" w:hAnsi="宋体"/>
          <w:color w:val="auto"/>
          <w:szCs w:val="24"/>
          <w:highlight w:val="none"/>
        </w:rPr>
        <w:t>中标单位须确保绿地无障碍设施的安全有效。包括无障碍通道，无障碍公厕、盲人导游图、提示性盲道等。应有专人负责，随坏随修，确保无障碍设施的安全有效使用。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8</w:t>
      </w:r>
      <w:r>
        <w:rPr>
          <w:rFonts w:hint="eastAsia" w:hAnsi="宋体"/>
          <w:color w:val="auto"/>
          <w:szCs w:val="24"/>
          <w:highlight w:val="none"/>
        </w:rPr>
        <w:t>）设备、设施维护维修流程</w:t>
      </w:r>
    </w:p>
    <w:p>
      <w:pPr>
        <w:adjustRightInd w:val="0"/>
        <w:snapToGrid w:val="0"/>
        <w:ind w:firstLine="480" w:firstLineChars="200"/>
        <w:rPr>
          <w:rFonts w:hAnsi="宋体"/>
          <w:color w:val="auto"/>
          <w:szCs w:val="24"/>
          <w:highlight w:val="none"/>
        </w:rPr>
      </w:pPr>
      <w:r>
        <w:rPr>
          <w:rFonts w:hint="eastAsia" w:hAnsi="宋体"/>
          <w:color w:val="auto"/>
          <w:szCs w:val="24"/>
          <w:highlight w:val="none"/>
        </w:rPr>
        <w:t>中标单位应对绿地中各类设备设施定期检查，发现问题应首先做好记录，及时维修解决。如有需要更换设备原厂配件或大、中修等项目，中标养护单位应及时上报区绿化中心，由绿化中心核实情况后统一采购设备、统一委托施工单位进行维修，维修完成后需由施工方、管理方和区绿化中心共同验收合格后再交付使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9</w:t>
      </w:r>
      <w:r>
        <w:rPr>
          <w:rFonts w:hint="eastAsia" w:hAnsi="宋体"/>
          <w:color w:val="auto"/>
          <w:szCs w:val="24"/>
          <w:highlight w:val="none"/>
        </w:rPr>
        <w:t>）假山叠石</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中标单位应确保公园中的假山叠石保持完整、稳固、安全。</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10</w:t>
      </w:r>
      <w:r>
        <w:rPr>
          <w:rFonts w:hint="eastAsia" w:hAnsi="宋体"/>
          <w:color w:val="auto"/>
          <w:szCs w:val="24"/>
          <w:highlight w:val="none"/>
        </w:rPr>
        <w:t>）娱乐、健身、体育、儿童设施</w:t>
      </w:r>
    </w:p>
    <w:p>
      <w:pPr>
        <w:adjustRightInd w:val="0"/>
        <w:snapToGrid w:val="0"/>
        <w:ind w:firstLine="240" w:firstLineChars="100"/>
        <w:outlineLvl w:val="0"/>
        <w:rPr>
          <w:rFonts w:hAnsi="宋体"/>
          <w:color w:val="auto"/>
          <w:szCs w:val="24"/>
          <w:highlight w:val="none"/>
        </w:rPr>
      </w:pPr>
      <w:r>
        <w:rPr>
          <w:rFonts w:hint="eastAsia" w:hAnsi="宋体"/>
          <w:color w:val="auto"/>
          <w:szCs w:val="24"/>
          <w:highlight w:val="none"/>
        </w:rPr>
        <w:t>中标单位应确保公园中的娱乐、健身、体育、儿童游戏设施应有专人负责管理，每日检查清洁和机械运转情况，每月定期检测和维修，并做好检修记录。</w:t>
      </w:r>
    </w:p>
    <w:p>
      <w:pPr>
        <w:rPr>
          <w:rFonts w:hAnsi="宋体"/>
          <w:color w:val="auto"/>
          <w:szCs w:val="24"/>
          <w:highlight w:val="none"/>
        </w:rPr>
      </w:pPr>
      <w:r>
        <w:rPr>
          <w:rFonts w:hint="eastAsia" w:hAnsi="宋体"/>
          <w:color w:val="auto"/>
          <w:szCs w:val="24"/>
          <w:highlight w:val="none"/>
        </w:rPr>
        <w:t>三、公园绿地经营服务、活动管理要求</w:t>
      </w:r>
    </w:p>
    <w:p>
      <w:pPr>
        <w:tabs>
          <w:tab w:val="left" w:pos="3780"/>
        </w:tabs>
        <w:ind w:firstLine="240" w:firstLineChars="1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）中标单位应与公园内的经营服务单位处理好关系，做好经营服务单位的窗口服务、文明经营、安全保卫等方面的监督管理工作。对不符合公园管理要求的行为和现象要及时制止并上报区绿化中心。</w:t>
      </w:r>
    </w:p>
    <w:p>
      <w:pPr>
        <w:tabs>
          <w:tab w:val="left" w:pos="3780"/>
        </w:tabs>
        <w:ind w:firstLine="240" w:firstLineChars="1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在接到区绿化中心关于公园活动审批许可后，应安排专人与活动方人员对接，活动前明确搭台、安保、保洁等具体细节工作，活动结束后做好公园的绿化设施维护和场地的卫生保洁工作，确保在活动结束后的半天内完成撤场，恢复公园景观面貌。</w:t>
      </w:r>
    </w:p>
    <w:p>
      <w:pPr>
        <w:adjustRightInd w:val="0"/>
        <w:snapToGrid w:val="0"/>
        <w:rPr>
          <w:rFonts w:hAnsi="宋体"/>
          <w:color w:val="auto"/>
          <w:szCs w:val="24"/>
          <w:highlight w:val="none"/>
        </w:rPr>
      </w:pPr>
      <w:r>
        <w:rPr>
          <w:rFonts w:hint="eastAsia" w:hAnsi="宋体"/>
          <w:color w:val="auto"/>
          <w:szCs w:val="24"/>
          <w:highlight w:val="none"/>
        </w:rPr>
        <w:t>四、公园绿地安全和保卫管理要求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中标单位一定要牢固树立“安全第一”、“安全责任重于泰山”的工作理念，提高对安全管理工作的认识，把保证安全工作放在各项工作的首位，要配备安全管理人员，完善各项安全生产规章制度，切实落实安全生产措施，明确安全生产工作责任，定期对职工和作业人员的安全生产教育，做到警钟长鸣，长治久安。</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要加强消防安全监管，切实做好防火工作，公园内禁止擅自烧烤、焚烧枯枝落叶等行为，主要建筑物和设施内，如办公室、地下室、配电间、弱电室、仓库等必须按照消防要求配备一定数量的灭火器材，防患于未然。</w:t>
      </w:r>
    </w:p>
    <w:p>
      <w:pPr>
        <w:adjustRightInd w:val="0"/>
        <w:snapToGrid w:val="0"/>
        <w:ind w:left="1"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要强化绿地内用电安全管理，配电间门要常锁闭，钥匙由专人管理，出入要登记。路灯、庭院灯、草坪灯、泛光灯、地埋灯、水下灯、低压装饰灯等照明设施，应保持完整、清洁，无安全隐患。泵房、空调、水箱、机修等各种动力设备应安全用电，由具有资质人员操作，喷水池等可能存在隐患供电点应为低压供电，安保、通讯、网络等各种弱电系统应有专业单位人员负责养管，保证设备完整运转。绿地内电器设施维修工作人员必须具备电工资质。</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中标单位要严格按照技术规程，制定安全措施，确保工作人员和游客的安全，作业或养护有可能对游客正常游园造成影响的，要事先告知，项目作业、养护时要注意加强现场围护，作业堆料、绿化垃圾要划定专门区域堆放并用遮盖物覆盖，作业完毕后要工完场清。公园内农药、试剂、汽油等危险品、易燃品要落实专人保管，使用要登记。</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）中标单位要加强信息沟通。中标单位负责人应保持手机等通讯工具</w:t>
      </w:r>
      <w:r>
        <w:rPr>
          <w:rFonts w:hAnsi="宋体"/>
          <w:color w:val="auto"/>
          <w:szCs w:val="24"/>
          <w:highlight w:val="none"/>
        </w:rPr>
        <w:t>24</w:t>
      </w:r>
      <w:r>
        <w:rPr>
          <w:rFonts w:hint="eastAsia" w:hAnsi="宋体"/>
          <w:color w:val="auto"/>
          <w:szCs w:val="24"/>
          <w:highlight w:val="none"/>
        </w:rPr>
        <w:t>小时通畅，如发生安全、伤亡等事故，应及时向区绿化中心及相关管理部门报告，并按规定保护事故现场。</w:t>
      </w:r>
    </w:p>
    <w:p>
      <w:pPr>
        <w:pStyle w:val="2"/>
        <w:adjustRightInd w:val="0"/>
        <w:snapToGrid w:val="0"/>
        <w:spacing w:before="0" w:beforeAutospacing="0" w:after="0" w:afterAutospacing="0" w:line="360" w:lineRule="auto"/>
        <w:jc w:val="both"/>
        <w:rPr>
          <w:rFonts w:cs="Times New Roman"/>
          <w:color w:val="auto"/>
          <w:kern w:val="2"/>
          <w:highlight w:val="none"/>
        </w:rPr>
      </w:pPr>
      <w:r>
        <w:rPr>
          <w:rFonts w:hint="eastAsia" w:cs="Times New Roman"/>
          <w:color w:val="auto"/>
          <w:kern w:val="2"/>
          <w:highlight w:val="none"/>
        </w:rPr>
        <w:t>五、公园绿地文明行业管理要求</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公园文明行业创建工作是我区绿化行业精神文明创建活动的重要组成部分，是提高公园窗口服务质量，促进绿化行业协调发展的重要载体。中标单位应在区绿化中心的领导下组织开展公园的创建工作并安排专人负责此项工作的开展。中标单位作为文明行业创建工作的实施者，要立足公园行业特点，结合工作实际，制定操作性强、标准明确的文明行业创建实施计划，认真组织实施。</w:t>
      </w:r>
    </w:p>
    <w:p>
      <w:pPr>
        <w:adjustRightInd w:val="0"/>
        <w:snapToGrid w:val="0"/>
        <w:ind w:firstLine="480" w:firstLineChars="20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中标单位做好公园的志愿者管理。配合区绿化中心积极做好文明监督、护绿保洁、治安防范等工作；做好公园拳操队和晨练体锻队伍的引导和管理工作；配合区绿化管理中心制定公园活动年度计划，并负责公园活动的开展实施。</w:t>
      </w:r>
    </w:p>
    <w:p>
      <w:pPr>
        <w:adjustRightInd w:val="0"/>
        <w:snapToGrid w:val="0"/>
        <w:ind w:firstLine="480" w:firstLineChars="200"/>
        <w:outlineLvl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）中标单位做好公园绿地各项便民便利服务措施。认真听取公园游客的建议、意见，并做好公园游客投诉的处理工作。</w:t>
      </w:r>
    </w:p>
    <w:p>
      <w:pPr>
        <w:ind w:firstLine="240" w:firstLineChars="100"/>
        <w:rPr>
          <w:rFonts w:hAnsi="宋体"/>
          <w:color w:val="auto"/>
          <w:szCs w:val="24"/>
          <w:highlight w:val="none"/>
        </w:rPr>
      </w:pPr>
      <w:r>
        <w:rPr>
          <w:rFonts w:hAnsi="宋体"/>
          <w:color w:val="auto"/>
          <w:szCs w:val="24"/>
          <w:highlight w:val="none"/>
        </w:rPr>
        <w:t>3.7.4</w:t>
      </w:r>
      <w:r>
        <w:rPr>
          <w:rFonts w:hint="eastAsia" w:hAnsi="宋体"/>
          <w:color w:val="auto"/>
          <w:szCs w:val="24"/>
          <w:highlight w:val="none"/>
        </w:rPr>
        <w:t>绿地具体养护操作规范</w:t>
      </w:r>
    </w:p>
    <w:p>
      <w:pPr>
        <w:rPr>
          <w:rFonts w:hAnsi="宋体"/>
          <w:color w:val="auto"/>
          <w:szCs w:val="24"/>
          <w:highlight w:val="none"/>
        </w:rPr>
      </w:pPr>
      <w:r>
        <w:rPr>
          <w:rFonts w:hint="eastAsia" w:hAnsi="宋体"/>
          <w:color w:val="auto"/>
          <w:szCs w:val="24"/>
          <w:highlight w:val="none"/>
        </w:rPr>
        <w:t>总体要求：</w:t>
      </w:r>
    </w:p>
    <w:p>
      <w:pPr>
        <w:rPr>
          <w:rFonts w:hAnsi="宋体"/>
          <w:color w:val="auto"/>
          <w:szCs w:val="24"/>
          <w:highlight w:val="none"/>
        </w:rPr>
      </w:pPr>
      <w:r>
        <w:rPr>
          <w:rFonts w:hint="eastAsia" w:hAnsi="宋体"/>
          <w:color w:val="auto"/>
          <w:szCs w:val="24"/>
          <w:highlight w:val="none"/>
        </w:rPr>
        <w:t>遵守各项规章制度；统一着装，佩戴胸牌；不得在工作岗位上吸烟、进食，阅读书报及听广播、干私活；不得串岗、并岗，因事离岗必须经队长同意；工作中必须严格执行《安全操作规程》，按《安全操作规程》进行养护工作；必须仪表整洁，礼貌待客，不与游客争吵。</w:t>
      </w:r>
    </w:p>
    <w:p>
      <w:pPr>
        <w:rPr>
          <w:rFonts w:hAnsi="宋体"/>
          <w:color w:val="auto"/>
          <w:szCs w:val="24"/>
          <w:highlight w:val="none"/>
        </w:rPr>
      </w:pPr>
      <w:r>
        <w:rPr>
          <w:rFonts w:hint="eastAsia" w:hAnsi="宋体"/>
          <w:color w:val="auto"/>
          <w:szCs w:val="24"/>
          <w:highlight w:val="none"/>
        </w:rPr>
        <w:t>绿化养护：</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）除执行绿地养护景观标准外，应结合绿地的实际情况，根据新种植物的生长习性和要求，适时进行根外施肥和施基肥，树杆伤口或大剪口应用羊毛脂封口。</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）根据设计意图和养护效果，合理修剪，以达到设计和养护目的。</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）加强新种引进苗木病虫害的监测，及时发现及早防治。</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）做好新种大树的抗旱工作，抗旱浇水应避开高温，宜晨或夜间浇水。</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）做好防汛防台和应急抢险工作。</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）草坪养护根据季节及时修剪，高度控制在</w:t>
      </w:r>
      <w:r>
        <w:rPr>
          <w:rFonts w:hAnsi="宋体"/>
          <w:color w:val="auto"/>
          <w:szCs w:val="24"/>
          <w:highlight w:val="none"/>
        </w:rPr>
        <w:t>3-5</w:t>
      </w:r>
      <w:r>
        <w:rPr>
          <w:rFonts w:hint="eastAsia" w:hAnsi="宋体"/>
          <w:color w:val="auto"/>
          <w:szCs w:val="24"/>
          <w:highlight w:val="none"/>
        </w:rPr>
        <w:t>厘米，每年冬季施一次基肥，其他季节每月一次追肥。</w:t>
      </w:r>
    </w:p>
    <w:p>
      <w:pPr>
        <w:rPr>
          <w:rFonts w:hAnsi="宋体"/>
          <w:color w:val="auto"/>
          <w:szCs w:val="24"/>
          <w:highlight w:val="none"/>
        </w:rPr>
      </w:pPr>
      <w:r>
        <w:rPr>
          <w:rFonts w:hint="eastAsia" w:hAnsi="宋体"/>
          <w:color w:val="auto"/>
          <w:szCs w:val="24"/>
          <w:highlight w:val="none"/>
        </w:rPr>
        <w:t>水体：</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）执行瀑布水泵开放时间规定。</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）水体必须保持清洁，不能有垃圾和漂浮物。</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）水生植物不能有残花败叶，观赏鱼每天定时投饵一次。</w:t>
      </w:r>
    </w:p>
    <w:p>
      <w:pPr>
        <w:ind w:firstLine="465"/>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）不准在水池中洗涤东西。</w:t>
      </w:r>
    </w:p>
    <w:p>
      <w:pPr>
        <w:rPr>
          <w:rFonts w:hAnsi="宋体"/>
          <w:color w:val="auto"/>
          <w:szCs w:val="24"/>
          <w:highlight w:val="none"/>
        </w:rPr>
      </w:pPr>
      <w:r>
        <w:rPr>
          <w:rFonts w:hint="eastAsia" w:hAnsi="宋体"/>
          <w:color w:val="auto"/>
          <w:szCs w:val="24"/>
          <w:highlight w:val="none"/>
        </w:rPr>
        <w:t>保洁：</w:t>
      </w:r>
      <w:r>
        <w:rPr>
          <w:rFonts w:hAnsi="宋体"/>
          <w:color w:val="auto"/>
          <w:szCs w:val="24"/>
          <w:highlight w:val="none"/>
        </w:rPr>
        <w:t xml:space="preserve"> </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）每天包干区不间断打扫，并随时捡拾保洁，做到绿地、水体保洁无死角，道路侧石，台阶无泥浆淤结。</w:t>
      </w:r>
    </w:p>
    <w:p>
      <w:pPr>
        <w:ind w:firstLine="48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）废物箱每天清洗不少于</w:t>
      </w:r>
      <w:r>
        <w:rPr>
          <w:rFonts w:hAnsi="宋体"/>
          <w:color w:val="auto"/>
          <w:szCs w:val="24"/>
          <w:highlight w:val="none"/>
        </w:rPr>
        <w:t>1</w:t>
      </w:r>
      <w:r>
        <w:rPr>
          <w:rFonts w:hint="eastAsia" w:hAnsi="宋体"/>
          <w:color w:val="auto"/>
          <w:szCs w:val="24"/>
          <w:highlight w:val="none"/>
        </w:rPr>
        <w:t>次，清除废物箱垃圾一天二次，亭、廊及绿地内的石台、石凳要每天擦二次，保证所有座椅无水迹。</w:t>
      </w:r>
    </w:p>
    <w:p>
      <w:pPr>
        <w:ind w:firstLine="240" w:firstLineChars="100"/>
        <w:rPr>
          <w:rFonts w:hAnsi="宋体"/>
          <w:color w:val="auto"/>
          <w:szCs w:val="24"/>
          <w:highlight w:val="none"/>
        </w:rPr>
      </w:pPr>
      <w:r>
        <w:rPr>
          <w:rFonts w:hAnsi="宋体"/>
          <w:color w:val="auto"/>
          <w:szCs w:val="24"/>
          <w:highlight w:val="none"/>
        </w:rPr>
        <w:t>3.8</w:t>
      </w:r>
      <w:r>
        <w:rPr>
          <w:rFonts w:hint="eastAsia" w:hAnsi="宋体"/>
          <w:color w:val="auto"/>
          <w:szCs w:val="24"/>
          <w:highlight w:val="none"/>
        </w:rPr>
        <w:t>养护考核细则</w:t>
      </w:r>
    </w:p>
    <w:p>
      <w:pPr>
        <w:adjustRightInd w:val="0"/>
        <w:snapToGrid w:val="0"/>
        <w:ind w:firstLine="240" w:firstLineChars="100"/>
        <w:rPr>
          <w:rFonts w:hAnsi="宋体"/>
          <w:color w:val="auto"/>
          <w:szCs w:val="24"/>
          <w:highlight w:val="none"/>
        </w:rPr>
      </w:pPr>
      <w:r>
        <w:rPr>
          <w:rFonts w:hAnsi="宋体"/>
          <w:color w:val="auto"/>
          <w:szCs w:val="24"/>
          <w:highlight w:val="none"/>
        </w:rPr>
        <w:t>3.8.1</w:t>
      </w:r>
      <w:r>
        <w:rPr>
          <w:rFonts w:hint="eastAsia" w:hAnsi="宋体"/>
          <w:color w:val="auto"/>
          <w:szCs w:val="24"/>
          <w:highlight w:val="none"/>
        </w:rPr>
        <w:t>考核方式</w:t>
      </w:r>
    </w:p>
    <w:p>
      <w:pPr>
        <w:adjustRightInd w:val="0"/>
        <w:snapToGrid w:val="0"/>
        <w:rPr>
          <w:rFonts w:hAnsi="宋体"/>
          <w:color w:val="auto"/>
          <w:szCs w:val="24"/>
          <w:highlight w:val="none"/>
        </w:rPr>
      </w:pPr>
      <w:r>
        <w:rPr>
          <w:rFonts w:hint="eastAsia" w:hAnsi="宋体"/>
          <w:color w:val="auto"/>
          <w:szCs w:val="24"/>
          <w:highlight w:val="none"/>
        </w:rPr>
        <w:t>一、公园绿地</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）由区绿化中心公园科负责三级巡查；中心规划发展科组织公园协会第三方考评，每季度一次。</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）考核内容根据《上海市城市公园实施分类分级管理指导意见》（沪绿容</w:t>
      </w:r>
      <w:r>
        <w:rPr>
          <w:rFonts w:hAnsi="宋体"/>
          <w:color w:val="auto"/>
          <w:szCs w:val="24"/>
          <w:highlight w:val="none"/>
        </w:rPr>
        <w:t>[2019]156</w:t>
      </w:r>
      <w:r>
        <w:rPr>
          <w:rFonts w:hint="eastAsia" w:hAnsi="宋体"/>
          <w:color w:val="auto"/>
          <w:szCs w:val="24"/>
          <w:highlight w:val="none"/>
        </w:rPr>
        <w:t>号）相关测评标准执行；</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）静安青年体育公园、市北绿地应达到三星级社区公园标准。未达到相应标准的，另行制订相关办法，并扣除相应养护费。</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）养护管理考核项目分；植物养护、景观面貌、清卫管理及设施维护等四项。</w:t>
      </w:r>
    </w:p>
    <w:p>
      <w:pPr>
        <w:adjustRightInd w:val="0"/>
        <w:snapToGrid w:val="0"/>
        <w:ind w:firstLine="240" w:firstLineChars="100"/>
        <w:rPr>
          <w:rFonts w:hAnsi="宋体"/>
          <w:color w:val="auto"/>
          <w:szCs w:val="24"/>
          <w:highlight w:val="none"/>
        </w:rPr>
      </w:pPr>
      <w:r>
        <w:rPr>
          <w:rFonts w:hAnsi="宋体"/>
          <w:color w:val="auto"/>
          <w:szCs w:val="24"/>
          <w:highlight w:val="none"/>
        </w:rPr>
        <w:t>3.8.</w:t>
      </w:r>
      <w:r>
        <w:rPr>
          <w:rFonts w:hint="eastAsia" w:hAnsi="宋体"/>
          <w:color w:val="auto"/>
          <w:szCs w:val="24"/>
          <w:highlight w:val="none"/>
          <w:lang w:val="en-US" w:eastAsia="zh-CN"/>
        </w:rPr>
        <w:t>2</w:t>
      </w:r>
      <w:r>
        <w:rPr>
          <w:rFonts w:hint="eastAsia" w:hAnsi="宋体"/>
          <w:color w:val="auto"/>
          <w:szCs w:val="24"/>
          <w:highlight w:val="none"/>
        </w:rPr>
        <w:t>考核评分与标准说明</w:t>
      </w:r>
    </w:p>
    <w:p>
      <w:pPr>
        <w:adjustRightInd w:val="0"/>
        <w:snapToGrid w:val="0"/>
        <w:rPr>
          <w:rFonts w:hAnsi="宋体"/>
          <w:color w:val="auto"/>
          <w:szCs w:val="24"/>
          <w:highlight w:val="none"/>
        </w:rPr>
      </w:pPr>
      <w:r>
        <w:rPr>
          <w:rFonts w:hint="eastAsia" w:hAnsi="宋体"/>
          <w:color w:val="auto"/>
          <w:szCs w:val="24"/>
          <w:highlight w:val="none"/>
        </w:rPr>
        <w:t>公园绿地养护管理（满分</w:t>
      </w:r>
      <w:r>
        <w:rPr>
          <w:rFonts w:hAnsi="宋体"/>
          <w:color w:val="auto"/>
          <w:szCs w:val="24"/>
          <w:highlight w:val="none"/>
        </w:rPr>
        <w:t>80</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（一）植物养护（标准分</w:t>
      </w:r>
      <w:r>
        <w:rPr>
          <w:rFonts w:hAnsi="宋体"/>
          <w:color w:val="auto"/>
          <w:szCs w:val="24"/>
          <w:highlight w:val="none"/>
        </w:rPr>
        <w:t>35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）乔灌木树冠完整，生长旺盛，无病虫枝无枯枝</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分。发现有死株，每株扣</w:t>
      </w:r>
      <w:r>
        <w:rPr>
          <w:rFonts w:hAnsi="宋体"/>
          <w:color w:val="auto"/>
          <w:szCs w:val="24"/>
          <w:highlight w:val="none"/>
        </w:rPr>
        <w:t>2</w:t>
      </w:r>
      <w:r>
        <w:rPr>
          <w:rFonts w:hint="eastAsia" w:hAnsi="宋体"/>
          <w:color w:val="auto"/>
          <w:szCs w:val="24"/>
          <w:highlight w:val="none"/>
        </w:rPr>
        <w:t>分、树冠不完整，每</w:t>
      </w:r>
      <w:r>
        <w:rPr>
          <w:rFonts w:hAnsi="宋体"/>
          <w:color w:val="auto"/>
          <w:szCs w:val="24"/>
          <w:highlight w:val="none"/>
        </w:rPr>
        <w:t>2</w:t>
      </w:r>
      <w:r>
        <w:rPr>
          <w:rFonts w:hint="eastAsia" w:hAnsi="宋体"/>
          <w:color w:val="auto"/>
          <w:szCs w:val="24"/>
          <w:highlight w:val="none"/>
        </w:rPr>
        <w:t>株扣</w:t>
      </w:r>
      <w:r>
        <w:rPr>
          <w:rFonts w:hAnsi="宋体"/>
          <w:color w:val="auto"/>
          <w:szCs w:val="24"/>
          <w:highlight w:val="none"/>
        </w:rPr>
        <w:t>0.5-1</w:t>
      </w:r>
      <w:r>
        <w:rPr>
          <w:rFonts w:hint="eastAsia" w:hAnsi="宋体"/>
          <w:color w:val="auto"/>
          <w:szCs w:val="24"/>
          <w:highlight w:val="none"/>
        </w:rPr>
        <w:t>分、明显枯枝，每</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）绿篱、色块整齐形态完美，控制高度适宜无破残，有效控制徒长枝、无残枝、死株</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分。死株，每</w:t>
      </w:r>
      <w:r>
        <w:rPr>
          <w:rFonts w:hAnsi="宋体"/>
          <w:color w:val="auto"/>
          <w:szCs w:val="24"/>
          <w:highlight w:val="none"/>
        </w:rPr>
        <w:t>2</w:t>
      </w:r>
      <w:r>
        <w:rPr>
          <w:rFonts w:hint="eastAsia" w:hAnsi="宋体"/>
          <w:color w:val="auto"/>
          <w:szCs w:val="24"/>
          <w:highlight w:val="none"/>
        </w:rPr>
        <w:t>株扣</w:t>
      </w:r>
      <w:r>
        <w:rPr>
          <w:rFonts w:hAnsi="宋体"/>
          <w:color w:val="auto"/>
          <w:szCs w:val="24"/>
          <w:highlight w:val="none"/>
        </w:rPr>
        <w:t>0.5-1</w:t>
      </w:r>
      <w:r>
        <w:rPr>
          <w:rFonts w:hint="eastAsia" w:hAnsi="宋体"/>
          <w:color w:val="auto"/>
          <w:szCs w:val="24"/>
          <w:highlight w:val="none"/>
        </w:rPr>
        <w:t>分，破残〉</w:t>
      </w:r>
      <w:r>
        <w:rPr>
          <w:rFonts w:hAnsi="宋体"/>
          <w:color w:val="auto"/>
          <w:szCs w:val="24"/>
          <w:highlight w:val="none"/>
        </w:rPr>
        <w:t>0.3m</w:t>
      </w:r>
      <w:r>
        <w:rPr>
          <w:rFonts w:hint="eastAsia" w:hAnsi="宋体"/>
          <w:color w:val="auto"/>
          <w:szCs w:val="24"/>
          <w:highlight w:val="none"/>
        </w:rPr>
        <w:t>²扣</w:t>
      </w:r>
      <w:r>
        <w:rPr>
          <w:rFonts w:hAnsi="宋体"/>
          <w:color w:val="auto"/>
          <w:szCs w:val="24"/>
          <w:highlight w:val="none"/>
        </w:rPr>
        <w:t>0.2</w:t>
      </w:r>
      <w:r>
        <w:rPr>
          <w:rFonts w:hint="eastAsia" w:hAnsi="宋体"/>
          <w:color w:val="auto"/>
          <w:szCs w:val="24"/>
          <w:highlight w:val="none"/>
        </w:rPr>
        <w:t>分，徒长枝未得到控制、未适时修剪的每处扣</w:t>
      </w:r>
      <w:r>
        <w:rPr>
          <w:rFonts w:hAnsi="宋体"/>
          <w:color w:val="auto"/>
          <w:szCs w:val="24"/>
          <w:highlight w:val="none"/>
        </w:rPr>
        <w:t>0.1</w:t>
      </w:r>
      <w:r>
        <w:rPr>
          <w:rFonts w:hint="eastAsia" w:hAnsi="宋体"/>
          <w:color w:val="auto"/>
          <w:szCs w:val="24"/>
          <w:highlight w:val="none"/>
        </w:rPr>
        <w:t>分，生长一般的扣</w:t>
      </w:r>
      <w:r>
        <w:rPr>
          <w:rFonts w:hAnsi="宋体"/>
          <w:color w:val="auto"/>
          <w:szCs w:val="24"/>
          <w:highlight w:val="none"/>
        </w:rPr>
        <w:t>1-3</w:t>
      </w:r>
      <w:r>
        <w:rPr>
          <w:rFonts w:hint="eastAsia" w:hAnsi="宋体"/>
          <w:color w:val="auto"/>
          <w:szCs w:val="24"/>
          <w:highlight w:val="none"/>
        </w:rPr>
        <w:t>分，生长较差的扣</w:t>
      </w:r>
      <w:r>
        <w:rPr>
          <w:rFonts w:hAnsi="宋体"/>
          <w:color w:val="auto"/>
          <w:szCs w:val="24"/>
          <w:highlight w:val="none"/>
        </w:rPr>
        <w:t>3-5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）地被植物长势茂盛，无杂草，无明显残叶枯花，草坪高度控制平坦整齐，生长良好，无明显杂草裸地积水，嵌草砖内草坪全覆盖〉标准分</w:t>
      </w:r>
      <w:r>
        <w:rPr>
          <w:rFonts w:hAnsi="宋体"/>
          <w:color w:val="auto"/>
          <w:szCs w:val="24"/>
          <w:highlight w:val="none"/>
        </w:rPr>
        <w:t>8</w:t>
      </w:r>
      <w:r>
        <w:rPr>
          <w:rFonts w:hint="eastAsia" w:hAnsi="宋体"/>
          <w:color w:val="auto"/>
          <w:szCs w:val="24"/>
          <w:highlight w:val="none"/>
        </w:rPr>
        <w:t>分。明显高度杂草扣</w:t>
      </w:r>
      <w:r>
        <w:rPr>
          <w:rFonts w:hAnsi="宋体"/>
          <w:color w:val="auto"/>
          <w:szCs w:val="24"/>
          <w:highlight w:val="none"/>
        </w:rPr>
        <w:t>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²，残缺扣</w:t>
      </w:r>
      <w:r>
        <w:rPr>
          <w:rFonts w:hAnsi="宋体"/>
          <w:color w:val="auto"/>
          <w:szCs w:val="24"/>
          <w:highlight w:val="none"/>
        </w:rPr>
        <w:t>0.1-0.5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²，裸地扣</w:t>
      </w:r>
      <w:r>
        <w:rPr>
          <w:rFonts w:hAnsi="宋体"/>
          <w:color w:val="auto"/>
          <w:szCs w:val="24"/>
          <w:highlight w:val="none"/>
        </w:rPr>
        <w:t>0.5-1</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²，嵌草砖裸地扣</w:t>
      </w:r>
      <w:r>
        <w:rPr>
          <w:rFonts w:hAnsi="宋体"/>
          <w:color w:val="auto"/>
          <w:szCs w:val="24"/>
          <w:highlight w:val="none"/>
        </w:rPr>
        <w:t>0.5</w:t>
      </w:r>
      <w:r>
        <w:rPr>
          <w:rFonts w:hint="eastAsia" w:hAnsi="宋体"/>
          <w:color w:val="auto"/>
          <w:szCs w:val="24"/>
          <w:highlight w:val="none"/>
        </w:rPr>
        <w:t>分</w:t>
      </w:r>
      <w:r>
        <w:rPr>
          <w:rFonts w:hAnsi="宋体"/>
          <w:color w:val="auto"/>
          <w:szCs w:val="24"/>
          <w:highlight w:val="none"/>
        </w:rPr>
        <w:t>/ m</w:t>
      </w:r>
      <w:r>
        <w:rPr>
          <w:rFonts w:hint="eastAsia" w:hAnsi="宋体"/>
          <w:color w:val="auto"/>
          <w:szCs w:val="24"/>
          <w:highlight w:val="none"/>
        </w:rPr>
        <w:t>²。</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4</w:t>
      </w:r>
      <w:r>
        <w:rPr>
          <w:rFonts w:hint="eastAsia" w:hAnsi="宋体"/>
          <w:color w:val="auto"/>
          <w:szCs w:val="24"/>
          <w:highlight w:val="none"/>
        </w:rPr>
        <w:t>）造型植物保持优美形态，生长旺盛，无明显残缺，有效控制徒长枝</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分。每株残缺面〉</w:t>
      </w:r>
      <w:r>
        <w:rPr>
          <w:rFonts w:hAnsi="宋体"/>
          <w:color w:val="auto"/>
          <w:szCs w:val="24"/>
          <w:highlight w:val="none"/>
        </w:rPr>
        <w:t>10%</w:t>
      </w:r>
      <w:r>
        <w:rPr>
          <w:rFonts w:hint="eastAsia" w:hAnsi="宋体"/>
          <w:color w:val="auto"/>
          <w:szCs w:val="24"/>
          <w:highlight w:val="none"/>
        </w:rPr>
        <w:t>扣</w:t>
      </w:r>
      <w:r>
        <w:rPr>
          <w:rFonts w:hAnsi="宋体"/>
          <w:color w:val="auto"/>
          <w:szCs w:val="24"/>
          <w:highlight w:val="none"/>
        </w:rPr>
        <w:t>0.1</w:t>
      </w:r>
      <w:r>
        <w:rPr>
          <w:rFonts w:hint="eastAsia" w:hAnsi="宋体"/>
          <w:color w:val="auto"/>
          <w:szCs w:val="24"/>
          <w:highlight w:val="none"/>
        </w:rPr>
        <w:t>分，〉</w:t>
      </w:r>
      <w:r>
        <w:rPr>
          <w:rFonts w:hAnsi="宋体"/>
          <w:color w:val="auto"/>
          <w:szCs w:val="24"/>
          <w:highlight w:val="none"/>
        </w:rPr>
        <w:t>20%</w:t>
      </w:r>
      <w:r>
        <w:rPr>
          <w:rFonts w:hint="eastAsia" w:hAnsi="宋体"/>
          <w:color w:val="auto"/>
          <w:szCs w:val="24"/>
          <w:highlight w:val="none"/>
        </w:rPr>
        <w:t>扣</w:t>
      </w:r>
      <w:r>
        <w:rPr>
          <w:rFonts w:hAnsi="宋体"/>
          <w:color w:val="auto"/>
          <w:szCs w:val="24"/>
          <w:highlight w:val="none"/>
        </w:rPr>
        <w:t>0.2</w:t>
      </w:r>
      <w:r>
        <w:rPr>
          <w:rFonts w:hint="eastAsia" w:hAnsi="宋体"/>
          <w:color w:val="auto"/>
          <w:szCs w:val="24"/>
          <w:highlight w:val="none"/>
        </w:rPr>
        <w:t>分，徒长枝未得到控制，影响形态的每处扣</w:t>
      </w:r>
      <w:r>
        <w:rPr>
          <w:rFonts w:hAnsi="宋体"/>
          <w:color w:val="auto"/>
          <w:szCs w:val="24"/>
          <w:highlight w:val="none"/>
        </w:rPr>
        <w:t>0.5-1</w:t>
      </w:r>
      <w:r>
        <w:rPr>
          <w:rFonts w:hint="eastAsia" w:hAnsi="宋体"/>
          <w:color w:val="auto"/>
          <w:szCs w:val="24"/>
          <w:highlight w:val="none"/>
        </w:rPr>
        <w:t>分，造型差的每处扣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5</w:t>
      </w:r>
      <w:r>
        <w:rPr>
          <w:rFonts w:hint="eastAsia" w:hAnsi="宋体"/>
          <w:color w:val="auto"/>
          <w:szCs w:val="24"/>
          <w:highlight w:val="none"/>
        </w:rPr>
        <w:t>）花坛养护做到植株健壮，花型正，花色艳，始花期方可上花坛种植，株行距适宜，不露底土，无缺株倒伏，无枯枝残花，花坛内无垃圾杂草，花坛边界应切边</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分，植株型色差，株行距不适宜，每处扣</w:t>
      </w:r>
      <w:r>
        <w:rPr>
          <w:rFonts w:hAnsi="宋体"/>
          <w:color w:val="auto"/>
          <w:szCs w:val="24"/>
          <w:highlight w:val="none"/>
        </w:rPr>
        <w:t>0.1-0.5</w:t>
      </w:r>
      <w:r>
        <w:rPr>
          <w:rFonts w:hint="eastAsia" w:hAnsi="宋体"/>
          <w:color w:val="auto"/>
          <w:szCs w:val="24"/>
          <w:highlight w:val="none"/>
        </w:rPr>
        <w:t>分；露底土、有缺株倒伏或枯枝残花，每处扣</w:t>
      </w:r>
      <w:r>
        <w:rPr>
          <w:rFonts w:hAnsi="宋体"/>
          <w:color w:val="auto"/>
          <w:szCs w:val="24"/>
          <w:highlight w:val="none"/>
        </w:rPr>
        <w:t>0.1-0.5</w:t>
      </w:r>
      <w:r>
        <w:rPr>
          <w:rFonts w:hint="eastAsia" w:hAnsi="宋体"/>
          <w:color w:val="auto"/>
          <w:szCs w:val="24"/>
          <w:highlight w:val="none"/>
        </w:rPr>
        <w:t>分；有垃圾杂草，每处扣</w:t>
      </w:r>
      <w:r>
        <w:rPr>
          <w:rFonts w:hAnsi="宋体"/>
          <w:color w:val="auto"/>
          <w:szCs w:val="24"/>
          <w:highlight w:val="none"/>
        </w:rPr>
        <w:t>0.1-0.5</w:t>
      </w:r>
      <w:r>
        <w:rPr>
          <w:rFonts w:hint="eastAsia" w:hAnsi="宋体"/>
          <w:color w:val="auto"/>
          <w:szCs w:val="24"/>
          <w:highlight w:val="none"/>
        </w:rPr>
        <w:t>分，未切边，每处扣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6</w:t>
      </w:r>
      <w:r>
        <w:rPr>
          <w:rFonts w:hint="eastAsia" w:hAnsi="宋体"/>
          <w:color w:val="auto"/>
          <w:szCs w:val="24"/>
          <w:highlight w:val="none"/>
        </w:rPr>
        <w:t>）花境应做到适时开花，有整体形态和色彩效果。花卉生长正常，不露底土，基本无枯枝残花。无大型野草，杂草高度低于花卉植株，并保持卫生整洁</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3</w:t>
      </w:r>
      <w:r>
        <w:rPr>
          <w:rFonts w:hint="eastAsia" w:hAnsi="宋体"/>
          <w:color w:val="auto"/>
          <w:szCs w:val="24"/>
          <w:highlight w:val="none"/>
        </w:rPr>
        <w:t>分。未适时开花、整体形色差，每处扣</w:t>
      </w:r>
      <w:r>
        <w:rPr>
          <w:rFonts w:hAnsi="宋体"/>
          <w:color w:val="auto"/>
          <w:szCs w:val="24"/>
          <w:highlight w:val="none"/>
        </w:rPr>
        <w:t>0.1-0.5</w:t>
      </w:r>
      <w:r>
        <w:rPr>
          <w:rFonts w:hint="eastAsia" w:hAnsi="宋体"/>
          <w:color w:val="auto"/>
          <w:szCs w:val="24"/>
          <w:highlight w:val="none"/>
        </w:rPr>
        <w:t>分；露底土、有枯枝残花，每处扣</w:t>
      </w:r>
      <w:r>
        <w:rPr>
          <w:rFonts w:hAnsi="宋体"/>
          <w:color w:val="auto"/>
          <w:szCs w:val="24"/>
          <w:highlight w:val="none"/>
        </w:rPr>
        <w:t>0.1-0.5</w:t>
      </w:r>
      <w:r>
        <w:rPr>
          <w:rFonts w:hint="eastAsia" w:hAnsi="宋体"/>
          <w:color w:val="auto"/>
          <w:szCs w:val="24"/>
          <w:highlight w:val="none"/>
        </w:rPr>
        <w:t>分；有野草、杂草、有垃圾，每处扣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7</w:t>
      </w:r>
      <w:r>
        <w:rPr>
          <w:rFonts w:hint="eastAsia" w:hAnsi="宋体"/>
          <w:color w:val="auto"/>
          <w:szCs w:val="24"/>
          <w:highlight w:val="none"/>
        </w:rPr>
        <w:t>）绿化有害生物防控及时，不得出现危险性、检疫性有害生物；其他各类绿化有害生物危害率控制在</w:t>
      </w:r>
      <w:r>
        <w:rPr>
          <w:rFonts w:hAnsi="宋体"/>
          <w:color w:val="auto"/>
          <w:szCs w:val="24"/>
          <w:highlight w:val="none"/>
        </w:rPr>
        <w:t>5%</w:t>
      </w:r>
      <w:r>
        <w:rPr>
          <w:rFonts w:hint="eastAsia" w:hAnsi="宋体"/>
          <w:color w:val="auto"/>
          <w:szCs w:val="24"/>
          <w:highlight w:val="none"/>
        </w:rPr>
        <w:t>以下</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分，明显病虫害每处扣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（二）、景观面貌（标准分</w:t>
      </w:r>
      <w:r>
        <w:rPr>
          <w:rFonts w:hAnsi="宋体"/>
          <w:color w:val="auto"/>
          <w:szCs w:val="24"/>
          <w:highlight w:val="none"/>
        </w:rPr>
        <w:t>15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）老树保存率</w:t>
      </w:r>
      <w:r>
        <w:rPr>
          <w:rFonts w:hAnsi="宋体"/>
          <w:color w:val="auto"/>
          <w:szCs w:val="24"/>
          <w:highlight w:val="none"/>
        </w:rPr>
        <w:t>98%</w:t>
      </w:r>
      <w:r>
        <w:rPr>
          <w:rFonts w:hint="eastAsia" w:hAnsi="宋体"/>
          <w:color w:val="auto"/>
          <w:szCs w:val="24"/>
          <w:highlight w:val="none"/>
        </w:rPr>
        <w:t>以上，补种及时，成活率在</w:t>
      </w:r>
      <w:r>
        <w:rPr>
          <w:rFonts w:hAnsi="宋体"/>
          <w:color w:val="auto"/>
          <w:szCs w:val="24"/>
          <w:highlight w:val="none"/>
        </w:rPr>
        <w:t>95%</w:t>
      </w:r>
      <w:r>
        <w:rPr>
          <w:rFonts w:hint="eastAsia" w:hAnsi="宋体"/>
          <w:color w:val="auto"/>
          <w:szCs w:val="24"/>
          <w:highlight w:val="none"/>
        </w:rPr>
        <w:t>以上，无死</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分。老树每死亡减少</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1</w:t>
      </w:r>
      <w:r>
        <w:rPr>
          <w:rFonts w:hint="eastAsia" w:hAnsi="宋体"/>
          <w:color w:val="auto"/>
          <w:szCs w:val="24"/>
          <w:highlight w:val="none"/>
        </w:rPr>
        <w:t>分，发现乔木死树</w:t>
      </w:r>
      <w:r>
        <w:rPr>
          <w:rFonts w:hAnsi="宋体"/>
          <w:color w:val="auto"/>
          <w:szCs w:val="24"/>
          <w:highlight w:val="none"/>
        </w:rPr>
        <w:t>1</w:t>
      </w:r>
      <w:r>
        <w:rPr>
          <w:rFonts w:hint="eastAsia" w:hAnsi="宋体"/>
          <w:color w:val="auto"/>
          <w:szCs w:val="24"/>
          <w:highlight w:val="none"/>
        </w:rPr>
        <w:t>株扣</w:t>
      </w:r>
      <w:r>
        <w:rPr>
          <w:rFonts w:hAnsi="宋体"/>
          <w:color w:val="auto"/>
          <w:szCs w:val="24"/>
          <w:highlight w:val="none"/>
        </w:rPr>
        <w:t>0.5</w:t>
      </w:r>
      <w:r>
        <w:rPr>
          <w:rFonts w:hint="eastAsia" w:hAnsi="宋体"/>
          <w:color w:val="auto"/>
          <w:szCs w:val="24"/>
          <w:highlight w:val="none"/>
        </w:rPr>
        <w:t>分，发现灌木死亡每处扣</w:t>
      </w:r>
      <w:r>
        <w:rPr>
          <w:rFonts w:hAnsi="宋体"/>
          <w:color w:val="auto"/>
          <w:szCs w:val="24"/>
          <w:highlight w:val="none"/>
        </w:rPr>
        <w:t>0.1-0.5</w:t>
      </w:r>
      <w:r>
        <w:rPr>
          <w:rFonts w:hint="eastAsia" w:hAnsi="宋体"/>
          <w:color w:val="auto"/>
          <w:szCs w:val="24"/>
          <w:highlight w:val="none"/>
        </w:rPr>
        <w:t>分，未及时补种每处扣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）绿化景观效果显著，无植物倒伏，无景点破坏</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5</w:t>
      </w:r>
      <w:r>
        <w:rPr>
          <w:rFonts w:hint="eastAsia" w:hAnsi="宋体"/>
          <w:color w:val="auto"/>
          <w:szCs w:val="24"/>
          <w:highlight w:val="none"/>
        </w:rPr>
        <w:t>分，植物倒伏每处扣</w:t>
      </w:r>
      <w:r>
        <w:rPr>
          <w:rFonts w:hAnsi="宋体"/>
          <w:color w:val="auto"/>
          <w:szCs w:val="24"/>
          <w:highlight w:val="none"/>
        </w:rPr>
        <w:t>0.5</w:t>
      </w:r>
      <w:r>
        <w:rPr>
          <w:rFonts w:hint="eastAsia" w:hAnsi="宋体"/>
          <w:color w:val="auto"/>
          <w:szCs w:val="24"/>
          <w:highlight w:val="none"/>
        </w:rPr>
        <w:t>分，植物造景破坏每处扣</w:t>
      </w:r>
      <w:r>
        <w:rPr>
          <w:rFonts w:hAnsi="宋体"/>
          <w:color w:val="auto"/>
          <w:szCs w:val="24"/>
          <w:highlight w:val="none"/>
        </w:rPr>
        <w:t>0.5</w:t>
      </w:r>
      <w:r>
        <w:rPr>
          <w:rFonts w:hint="eastAsia" w:hAnsi="宋体"/>
          <w:color w:val="auto"/>
          <w:szCs w:val="24"/>
          <w:highlight w:val="none"/>
        </w:rPr>
        <w:t>分，杂草每处扣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（三）、清卫管理（标准分</w:t>
      </w:r>
      <w:r>
        <w:rPr>
          <w:rFonts w:hAnsi="宋体"/>
          <w:color w:val="auto"/>
          <w:szCs w:val="24"/>
          <w:highlight w:val="none"/>
        </w:rPr>
        <w:t>14</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）绿地、水体清洁、无明显纸屑、果壳、杂物、垃圾、建筑物保持整洁卫生</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7</w:t>
      </w:r>
      <w:r>
        <w:rPr>
          <w:rFonts w:hint="eastAsia" w:hAnsi="宋体"/>
          <w:color w:val="auto"/>
          <w:szCs w:val="24"/>
          <w:highlight w:val="none"/>
        </w:rPr>
        <w:t>分，发现绿地或水体内明显有杂物每处扣</w:t>
      </w:r>
      <w:r>
        <w:rPr>
          <w:rFonts w:hAnsi="宋体"/>
          <w:color w:val="auto"/>
          <w:szCs w:val="24"/>
          <w:highlight w:val="none"/>
        </w:rPr>
        <w:t>0.1-0.5</w:t>
      </w:r>
      <w:r>
        <w:rPr>
          <w:rFonts w:hint="eastAsia" w:hAnsi="宋体"/>
          <w:color w:val="auto"/>
          <w:szCs w:val="24"/>
          <w:highlight w:val="none"/>
        </w:rPr>
        <w:t>分，建筑物室内外不整洁每处扣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）园路、广场全日保洁，无明显垃圾异物和积水，无死角、无明显鼠害</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7</w:t>
      </w:r>
      <w:r>
        <w:rPr>
          <w:rFonts w:hint="eastAsia" w:hAnsi="宋体"/>
          <w:color w:val="auto"/>
          <w:szCs w:val="24"/>
          <w:highlight w:val="none"/>
        </w:rPr>
        <w:t>分，发现明显垃圾每处扣</w:t>
      </w:r>
      <w:r>
        <w:rPr>
          <w:rFonts w:hAnsi="宋体"/>
          <w:color w:val="auto"/>
          <w:szCs w:val="24"/>
          <w:highlight w:val="none"/>
        </w:rPr>
        <w:t>0.5</w:t>
      </w:r>
      <w:r>
        <w:rPr>
          <w:rFonts w:hint="eastAsia" w:hAnsi="宋体"/>
          <w:color w:val="auto"/>
          <w:szCs w:val="24"/>
          <w:highlight w:val="none"/>
        </w:rPr>
        <w:t>分，积水每处扣</w:t>
      </w:r>
      <w:r>
        <w:rPr>
          <w:rFonts w:hAnsi="宋体"/>
          <w:color w:val="auto"/>
          <w:szCs w:val="24"/>
          <w:highlight w:val="none"/>
        </w:rPr>
        <w:t>0.5</w:t>
      </w:r>
      <w:r>
        <w:rPr>
          <w:rFonts w:hint="eastAsia" w:hAnsi="宋体"/>
          <w:color w:val="auto"/>
          <w:szCs w:val="24"/>
          <w:highlight w:val="none"/>
        </w:rPr>
        <w:t>分，发现死角每处扣</w:t>
      </w:r>
      <w:r>
        <w:rPr>
          <w:rFonts w:hAnsi="宋体"/>
          <w:color w:val="auto"/>
          <w:szCs w:val="24"/>
          <w:highlight w:val="none"/>
        </w:rPr>
        <w:t>1-2</w:t>
      </w:r>
      <w:r>
        <w:rPr>
          <w:rFonts w:hint="eastAsia" w:hAnsi="宋体"/>
          <w:color w:val="auto"/>
          <w:szCs w:val="24"/>
          <w:highlight w:val="none"/>
        </w:rPr>
        <w:t>分，发现鼠害扣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（四）、设施维护（标准分</w:t>
      </w:r>
      <w:r>
        <w:rPr>
          <w:rFonts w:hAnsi="宋体"/>
          <w:color w:val="auto"/>
          <w:szCs w:val="24"/>
          <w:highlight w:val="none"/>
        </w:rPr>
        <w:t>16</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）亭、廊、平台等整洁，无剥落物及痕迹</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分。发现亭、廊刻划每处扣</w:t>
      </w:r>
      <w:r>
        <w:rPr>
          <w:rFonts w:hAnsi="宋体"/>
          <w:color w:val="auto"/>
          <w:szCs w:val="24"/>
          <w:highlight w:val="none"/>
        </w:rPr>
        <w:t>0.1-0.5</w:t>
      </w:r>
      <w:r>
        <w:rPr>
          <w:rFonts w:hint="eastAsia" w:hAnsi="宋体"/>
          <w:color w:val="auto"/>
          <w:szCs w:val="24"/>
          <w:highlight w:val="none"/>
        </w:rPr>
        <w:t>分，油漆脱落有碍观瞻的每处扣</w:t>
      </w:r>
      <w:r>
        <w:rPr>
          <w:rFonts w:hAnsi="宋体"/>
          <w:color w:val="auto"/>
          <w:szCs w:val="24"/>
          <w:highlight w:val="none"/>
        </w:rPr>
        <w:t>0.1-0.5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）各种设施不得无故减少，位置不得随意变动，园灯、园椅、园路、果壳箱、导游牌、指示牌、园路小品等设施无破损、喷灌、喷泉等设施完好</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8</w:t>
      </w:r>
      <w:r>
        <w:rPr>
          <w:rFonts w:hint="eastAsia" w:hAnsi="宋体"/>
          <w:color w:val="auto"/>
          <w:szCs w:val="24"/>
          <w:highlight w:val="none"/>
        </w:rPr>
        <w:t>分。设施每减少</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0.5-1</w:t>
      </w:r>
      <w:r>
        <w:rPr>
          <w:rFonts w:hint="eastAsia" w:hAnsi="宋体"/>
          <w:color w:val="auto"/>
          <w:szCs w:val="24"/>
          <w:highlight w:val="none"/>
        </w:rPr>
        <w:t>分，随意变动</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0.5</w:t>
      </w:r>
      <w:r>
        <w:rPr>
          <w:rFonts w:hint="eastAsia" w:hAnsi="宋体"/>
          <w:color w:val="auto"/>
          <w:szCs w:val="24"/>
          <w:highlight w:val="none"/>
        </w:rPr>
        <w:t>分，发现破损</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0.1-0.5</w:t>
      </w:r>
      <w:r>
        <w:rPr>
          <w:rFonts w:hint="eastAsia" w:hAnsi="宋体"/>
          <w:color w:val="auto"/>
          <w:szCs w:val="24"/>
          <w:highlight w:val="none"/>
        </w:rPr>
        <w:t>分，节日不能如期运行</w:t>
      </w:r>
      <w:r>
        <w:rPr>
          <w:rFonts w:hAnsi="宋体"/>
          <w:color w:val="auto"/>
          <w:szCs w:val="24"/>
          <w:highlight w:val="none"/>
        </w:rPr>
        <w:t>1</w:t>
      </w:r>
      <w:r>
        <w:rPr>
          <w:rFonts w:hint="eastAsia" w:hAnsi="宋体"/>
          <w:color w:val="auto"/>
          <w:szCs w:val="24"/>
          <w:highlight w:val="none"/>
        </w:rPr>
        <w:t>处扣</w:t>
      </w:r>
      <w:r>
        <w:rPr>
          <w:rFonts w:hAnsi="宋体"/>
          <w:color w:val="auto"/>
          <w:szCs w:val="24"/>
          <w:highlight w:val="none"/>
        </w:rPr>
        <w:t>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安全文明作业与社会监督（标准分</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（一）、安全文明及文明作业（标准分</w:t>
      </w:r>
      <w:r>
        <w:rPr>
          <w:rFonts w:hAnsi="宋体"/>
          <w:color w:val="auto"/>
          <w:szCs w:val="24"/>
          <w:highlight w:val="none"/>
        </w:rPr>
        <w:t>7</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）有安全管理网络，制度齐全，责任落实，严格按照制定的安全规程作业</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4</w:t>
      </w:r>
      <w:r>
        <w:rPr>
          <w:rFonts w:hint="eastAsia" w:hAnsi="宋体"/>
          <w:color w:val="auto"/>
          <w:szCs w:val="24"/>
          <w:highlight w:val="none"/>
        </w:rPr>
        <w:t>分，有安全制度但达不到要求的扣</w:t>
      </w:r>
      <w:r>
        <w:rPr>
          <w:rFonts w:hAnsi="宋体"/>
          <w:color w:val="auto"/>
          <w:szCs w:val="24"/>
          <w:highlight w:val="none"/>
        </w:rPr>
        <w:t>0.5-1</w:t>
      </w:r>
      <w:r>
        <w:rPr>
          <w:rFonts w:hint="eastAsia" w:hAnsi="宋体"/>
          <w:color w:val="auto"/>
          <w:szCs w:val="24"/>
          <w:highlight w:val="none"/>
        </w:rPr>
        <w:t>分，无安全管理制度的扣</w:t>
      </w:r>
      <w:r>
        <w:rPr>
          <w:rFonts w:hAnsi="宋体"/>
          <w:color w:val="auto"/>
          <w:szCs w:val="24"/>
          <w:highlight w:val="none"/>
        </w:rPr>
        <w:t>1-2</w:t>
      </w:r>
      <w:r>
        <w:rPr>
          <w:rFonts w:hint="eastAsia" w:hAnsi="宋体"/>
          <w:color w:val="auto"/>
          <w:szCs w:val="24"/>
          <w:highlight w:val="none"/>
        </w:rPr>
        <w:t>分，未按照安全管理制度作业的、出现事故的扣</w:t>
      </w:r>
      <w:r>
        <w:rPr>
          <w:rFonts w:hAnsi="宋体"/>
          <w:color w:val="auto"/>
          <w:szCs w:val="24"/>
          <w:highlight w:val="none"/>
        </w:rPr>
        <w:t>2-4</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）提倡文明生产作业，礼貌用语，不与居民、行人争吵</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2</w:t>
      </w:r>
      <w:r>
        <w:rPr>
          <w:rFonts w:hint="eastAsia" w:hAnsi="宋体"/>
          <w:color w:val="auto"/>
          <w:szCs w:val="24"/>
          <w:highlight w:val="none"/>
        </w:rPr>
        <w:t>分。发生争吵的每起扣</w:t>
      </w:r>
      <w:r>
        <w:rPr>
          <w:rFonts w:hAnsi="宋体"/>
          <w:color w:val="auto"/>
          <w:szCs w:val="24"/>
          <w:highlight w:val="none"/>
        </w:rPr>
        <w:t>0.5-1</w:t>
      </w:r>
      <w:r>
        <w:rPr>
          <w:rFonts w:hint="eastAsia" w:hAnsi="宋体"/>
          <w:color w:val="auto"/>
          <w:szCs w:val="24"/>
          <w:highlight w:val="none"/>
        </w:rPr>
        <w:t>分，情节严重造成一定影响的扣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）涉及供电、物业公司的相关作业，必须事先与供电部门和物业公司取得联系</w:t>
      </w:r>
      <w:r>
        <w:rPr>
          <w:rFonts w:hAnsi="宋体"/>
          <w:color w:val="auto"/>
          <w:szCs w:val="24"/>
          <w:highlight w:val="none"/>
        </w:rPr>
        <w:t>——</w:t>
      </w:r>
      <w:r>
        <w:rPr>
          <w:rFonts w:hint="eastAsia" w:hAnsi="宋体"/>
          <w:color w:val="auto"/>
          <w:szCs w:val="24"/>
          <w:highlight w:val="none"/>
        </w:rPr>
        <w:t>标准分</w:t>
      </w:r>
      <w:r>
        <w:rPr>
          <w:rFonts w:hAnsi="宋体"/>
          <w:color w:val="auto"/>
          <w:szCs w:val="24"/>
          <w:highlight w:val="none"/>
        </w:rPr>
        <w:t>1</w:t>
      </w:r>
      <w:r>
        <w:rPr>
          <w:rFonts w:hint="eastAsia" w:hAnsi="宋体"/>
          <w:color w:val="auto"/>
          <w:szCs w:val="24"/>
          <w:highlight w:val="none"/>
        </w:rPr>
        <w:t>分。未事先沟通联系造成矛盾的扣</w:t>
      </w:r>
      <w:r>
        <w:rPr>
          <w:rFonts w:hAnsi="宋体"/>
          <w:color w:val="auto"/>
          <w:szCs w:val="24"/>
          <w:highlight w:val="none"/>
        </w:rPr>
        <w:t>0.5-1</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（二）、社会监督（标准分</w:t>
      </w:r>
      <w:r>
        <w:rPr>
          <w:rFonts w:hAnsi="宋体"/>
          <w:color w:val="auto"/>
          <w:szCs w:val="24"/>
          <w:highlight w:val="none"/>
        </w:rPr>
        <w:t>5</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公园养护接受社会监督。</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1</w:t>
      </w:r>
      <w:r>
        <w:rPr>
          <w:rFonts w:hint="eastAsia" w:hAnsi="宋体"/>
          <w:color w:val="auto"/>
          <w:szCs w:val="24"/>
          <w:highlight w:val="none"/>
        </w:rPr>
        <w:t>）失管、失养或养护不当受到群众举报属实的或受到市、区领导部门批评的，每次每处扣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2</w:t>
      </w:r>
      <w:r>
        <w:rPr>
          <w:rFonts w:hint="eastAsia" w:hAnsi="宋体"/>
          <w:color w:val="auto"/>
          <w:szCs w:val="24"/>
          <w:highlight w:val="none"/>
        </w:rPr>
        <w:t>）失管、失养或养护不当受到媒体曝光的，每次每处扣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w:t>
      </w:r>
      <w:r>
        <w:rPr>
          <w:rFonts w:hAnsi="宋体"/>
          <w:color w:val="auto"/>
          <w:szCs w:val="24"/>
          <w:highlight w:val="none"/>
        </w:rPr>
        <w:t>3</w:t>
      </w:r>
      <w:r>
        <w:rPr>
          <w:rFonts w:hint="eastAsia" w:hAnsi="宋体"/>
          <w:color w:val="auto"/>
          <w:szCs w:val="24"/>
          <w:highlight w:val="none"/>
        </w:rPr>
        <w:t>）受到举报或批评或曝光后不及时整改的，每次每处扣</w:t>
      </w:r>
      <w:r>
        <w:rPr>
          <w:rFonts w:hAnsi="宋体"/>
          <w:color w:val="auto"/>
          <w:szCs w:val="24"/>
          <w:highlight w:val="none"/>
        </w:rPr>
        <w:t>1-2</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业内资料（满分</w:t>
      </w:r>
      <w:r>
        <w:rPr>
          <w:rFonts w:hAnsi="宋体"/>
          <w:color w:val="auto"/>
          <w:szCs w:val="24"/>
          <w:highlight w:val="none"/>
        </w:rPr>
        <w:t>8</w:t>
      </w:r>
      <w:r>
        <w:rPr>
          <w:rFonts w:hint="eastAsia" w:hAnsi="宋体"/>
          <w:color w:val="auto"/>
          <w:szCs w:val="24"/>
          <w:highlight w:val="none"/>
        </w:rPr>
        <w:t>分）</w:t>
      </w:r>
    </w:p>
    <w:p>
      <w:pPr>
        <w:adjustRightInd w:val="0"/>
        <w:snapToGrid w:val="0"/>
        <w:rPr>
          <w:rFonts w:hAnsi="宋体"/>
          <w:color w:val="auto"/>
          <w:szCs w:val="24"/>
          <w:highlight w:val="none"/>
        </w:rPr>
      </w:pPr>
      <w:r>
        <w:rPr>
          <w:rFonts w:hint="eastAsia" w:hAnsi="宋体"/>
          <w:color w:val="auto"/>
          <w:szCs w:val="24"/>
          <w:highlight w:val="none"/>
        </w:rPr>
        <w:t>（一）、各类原始台账、记录、报表、签证、计划、总结齐全准确、能按要求及时上报。</w:t>
      </w:r>
    </w:p>
    <w:p>
      <w:pPr>
        <w:adjustRightInd w:val="0"/>
        <w:snapToGrid w:val="0"/>
        <w:rPr>
          <w:rFonts w:hAnsi="宋体"/>
          <w:color w:val="auto"/>
          <w:szCs w:val="24"/>
          <w:highlight w:val="none"/>
        </w:rPr>
      </w:pPr>
      <w:r>
        <w:rPr>
          <w:rFonts w:hint="eastAsia" w:hAnsi="宋体"/>
          <w:color w:val="auto"/>
          <w:szCs w:val="24"/>
          <w:highlight w:val="none"/>
        </w:rPr>
        <w:t>（二）、在规定时限内完成指令性任务，配合做好各类群众性活动工作。</w:t>
      </w:r>
    </w:p>
    <w:p>
      <w:pPr>
        <w:adjustRightInd w:val="0"/>
        <w:snapToGrid w:val="0"/>
        <w:rPr>
          <w:rFonts w:hAnsi="宋体"/>
          <w:color w:val="auto"/>
          <w:szCs w:val="24"/>
          <w:highlight w:val="none"/>
        </w:rPr>
      </w:pPr>
      <w:r>
        <w:rPr>
          <w:rFonts w:hint="eastAsia" w:hAnsi="宋体"/>
          <w:color w:val="auto"/>
          <w:szCs w:val="24"/>
          <w:highlight w:val="none"/>
        </w:rPr>
        <w:t>（三）、按每季向绿化中心公园科报送绿化养护计划，做好季初有计划，季中有落实、季终有总结。</w:t>
      </w:r>
    </w:p>
    <w:p>
      <w:pPr>
        <w:adjustRightInd w:val="0"/>
        <w:snapToGrid w:val="0"/>
        <w:rPr>
          <w:rFonts w:hAnsi="宋体"/>
          <w:color w:val="auto"/>
          <w:szCs w:val="24"/>
          <w:highlight w:val="none"/>
        </w:rPr>
      </w:pPr>
      <w:r>
        <w:rPr>
          <w:rFonts w:hint="eastAsia" w:hAnsi="宋体"/>
          <w:color w:val="auto"/>
          <w:szCs w:val="24"/>
          <w:highlight w:val="none"/>
        </w:rPr>
        <w:t>（四）、“三冬”工作期间要及时做好树木管护工作。</w:t>
      </w:r>
    </w:p>
    <w:p>
      <w:pPr>
        <w:rPr>
          <w:rFonts w:hint="eastAsia" w:hAnsi="宋体"/>
          <w:color w:val="auto"/>
          <w:szCs w:val="24"/>
          <w:highlight w:val="none"/>
        </w:rPr>
      </w:pPr>
      <w:r>
        <w:rPr>
          <w:rFonts w:hint="eastAsia" w:hAnsi="宋体"/>
          <w:color w:val="auto"/>
          <w:szCs w:val="24"/>
          <w:highlight w:val="none"/>
        </w:rPr>
        <w:t>以上各项做不到的每项每次扣</w:t>
      </w:r>
      <w:r>
        <w:rPr>
          <w:rFonts w:hAnsi="宋体"/>
          <w:color w:val="auto"/>
          <w:szCs w:val="24"/>
          <w:highlight w:val="none"/>
        </w:rPr>
        <w:t>0.5-1</w:t>
      </w:r>
      <w:r>
        <w:rPr>
          <w:rFonts w:hint="eastAsia" w:hAnsi="宋体"/>
          <w:color w:val="auto"/>
          <w:szCs w:val="24"/>
          <w:highlight w:val="none"/>
        </w:rPr>
        <w:t>分，应报到未报的、每项每处扣</w:t>
      </w:r>
      <w:r>
        <w:rPr>
          <w:rFonts w:hAnsi="宋体"/>
          <w:color w:val="auto"/>
          <w:szCs w:val="24"/>
          <w:highlight w:val="none"/>
        </w:rPr>
        <w:t>0.5-1</w:t>
      </w:r>
      <w:r>
        <w:rPr>
          <w:rFonts w:hint="eastAsia" w:hAnsi="宋体"/>
          <w:color w:val="auto"/>
          <w:szCs w:val="24"/>
          <w:highlight w:val="none"/>
        </w:rPr>
        <w:t>分，弄虚作假的不得分。</w:t>
      </w:r>
    </w:p>
    <w:p>
      <w:pPr>
        <w:rPr>
          <w:rFonts w:hint="eastAsia" w:hAnsi="宋体" w:eastAsia="宋体"/>
          <w:color w:val="auto"/>
          <w:szCs w:val="24"/>
          <w:highlight w:val="none"/>
          <w:lang w:val="en-US" w:eastAsia="zh-CN"/>
        </w:rPr>
      </w:pPr>
    </w:p>
    <w:p>
      <w:pPr>
        <w:rPr>
          <w:rFonts w:hint="eastAsia" w:hAnsi="宋体"/>
          <w:color w:val="auto"/>
          <w:szCs w:val="24"/>
          <w:highlight w:val="none"/>
        </w:rPr>
        <w:sectPr>
          <w:pgSz w:w="11906" w:h="16838"/>
          <w:pgMar w:top="1440" w:right="1800" w:bottom="1440" w:left="1800" w:header="851" w:footer="992" w:gutter="0"/>
          <w:cols w:space="720" w:num="1"/>
          <w:docGrid w:type="lines" w:linePitch="312" w:charSpace="0"/>
        </w:sectPr>
      </w:pPr>
    </w:p>
    <w:p>
      <w:pPr>
        <w:rPr>
          <w:rFonts w:hint="eastAsia" w:hAnsi="宋体" w:eastAsia="宋体"/>
          <w:color w:val="auto"/>
          <w:szCs w:val="24"/>
          <w:highlight w:val="none"/>
          <w:lang w:val="en-US" w:eastAsia="zh-CN"/>
        </w:rPr>
      </w:pPr>
      <w:r>
        <w:rPr>
          <w:rFonts w:hint="eastAsia" w:hAnsi="宋体"/>
          <w:color w:val="auto"/>
          <w:szCs w:val="24"/>
          <w:highlight w:val="none"/>
          <w:lang w:val="en-US" w:eastAsia="zh-CN"/>
        </w:rPr>
        <w:t>附件：</w:t>
      </w:r>
    </w:p>
    <w:tbl>
      <w:tblPr>
        <w:tblStyle w:val="3"/>
        <w:tblW w:w="5010" w:type="pct"/>
        <w:tblInd w:w="0" w:type="dxa"/>
        <w:tblLayout w:type="autofit"/>
        <w:tblCellMar>
          <w:top w:w="0" w:type="dxa"/>
          <w:left w:w="0" w:type="dxa"/>
          <w:bottom w:w="0" w:type="dxa"/>
          <w:right w:w="0" w:type="dxa"/>
        </w:tblCellMar>
      </w:tblPr>
      <w:tblGrid>
        <w:gridCol w:w="1316"/>
        <w:gridCol w:w="4335"/>
        <w:gridCol w:w="986"/>
        <w:gridCol w:w="1716"/>
      </w:tblGrid>
      <w:tr>
        <w:tblPrEx>
          <w:tblCellMar>
            <w:top w:w="0" w:type="dxa"/>
            <w:left w:w="0" w:type="dxa"/>
            <w:bottom w:w="0" w:type="dxa"/>
            <w:right w:w="0" w:type="dxa"/>
          </w:tblCellMar>
        </w:tblPrEx>
        <w:trPr>
          <w:trHeight w:val="780" w:hRule="atLeast"/>
        </w:trPr>
        <w:tc>
          <w:tcPr>
            <w:tcW w:w="5000" w:type="pct"/>
            <w:gridSpan w:val="4"/>
            <w:tcBorders>
              <w:top w:val="nil"/>
              <w:left w:val="nil"/>
              <w:bottom w:val="nil"/>
              <w:right w:val="nil"/>
            </w:tcBorders>
            <w:noWrap/>
            <w:tcMar>
              <w:top w:w="15" w:type="dxa"/>
              <w:left w:w="15" w:type="dxa"/>
              <w:right w:w="15" w:type="dxa"/>
            </w:tcMar>
            <w:vAlign w:val="center"/>
          </w:tcPr>
          <w:p>
            <w:pPr>
              <w:widowControl/>
              <w:jc w:val="center"/>
              <w:textAlignment w:val="center"/>
              <w:rPr>
                <w:rFonts w:hAnsi="宋体" w:cs="宋体"/>
                <w:b/>
                <w:color w:val="auto"/>
                <w:szCs w:val="24"/>
                <w:highlight w:val="none"/>
              </w:rPr>
            </w:pPr>
            <w:r>
              <w:rPr>
                <w:rFonts w:hint="eastAsia" w:hAnsi="宋体"/>
                <w:b/>
                <w:color w:val="auto"/>
                <w:szCs w:val="24"/>
                <w:highlight w:val="none"/>
              </w:rPr>
              <w:t>静安区公园养护项目</w:t>
            </w:r>
            <w:r>
              <w:rPr>
                <w:rFonts w:hint="eastAsia" w:hAnsi="宋体" w:cs="宋体"/>
                <w:b/>
                <w:color w:val="auto"/>
                <w:kern w:val="0"/>
                <w:szCs w:val="24"/>
                <w:highlight w:val="none"/>
              </w:rPr>
              <w:t>（静安青年体育公园、市北绿地）清单</w:t>
            </w:r>
          </w:p>
        </w:tc>
      </w:tr>
      <w:tr>
        <w:tblPrEx>
          <w:tblCellMar>
            <w:top w:w="0" w:type="dxa"/>
            <w:left w:w="0" w:type="dxa"/>
            <w:bottom w:w="0" w:type="dxa"/>
            <w:right w:w="0" w:type="dxa"/>
          </w:tblCellMar>
        </w:tblPrEx>
        <w:trPr>
          <w:trHeight w:val="467" w:hRule="atLeast"/>
        </w:trPr>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序号</w:t>
            </w:r>
          </w:p>
        </w:tc>
        <w:tc>
          <w:tcPr>
            <w:tcW w:w="2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公园名称</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面积（平方米）</w:t>
            </w:r>
          </w:p>
        </w:tc>
        <w:tc>
          <w:tcPr>
            <w:tcW w:w="1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Ansi="宋体" w:cs="宋体"/>
                <w:color w:val="auto"/>
                <w:szCs w:val="24"/>
                <w:highlight w:val="none"/>
              </w:rPr>
            </w:pPr>
            <w:r>
              <w:rPr>
                <w:rFonts w:hint="eastAsia" w:hAnsi="宋体" w:cs="宋体"/>
                <w:color w:val="auto"/>
                <w:szCs w:val="24"/>
                <w:highlight w:val="none"/>
              </w:rPr>
              <w:t>养护等级</w:t>
            </w:r>
          </w:p>
        </w:tc>
      </w:tr>
      <w:tr>
        <w:tblPrEx>
          <w:tblCellMar>
            <w:top w:w="0" w:type="dxa"/>
            <w:left w:w="0" w:type="dxa"/>
            <w:bottom w:w="0" w:type="dxa"/>
            <w:right w:w="0" w:type="dxa"/>
          </w:tblCellMar>
        </w:tblPrEx>
        <w:trPr>
          <w:trHeight w:val="702" w:hRule="atLeast"/>
        </w:trPr>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Ansi="宋体" w:cs="宋体"/>
                <w:color w:val="auto"/>
                <w:szCs w:val="24"/>
                <w:highlight w:val="none"/>
              </w:rPr>
            </w:pPr>
            <w:r>
              <w:rPr>
                <w:rFonts w:hAnsi="宋体" w:cs="宋体"/>
                <w:color w:val="auto"/>
                <w:kern w:val="0"/>
                <w:szCs w:val="24"/>
                <w:highlight w:val="none"/>
              </w:rPr>
              <w:t>1</w:t>
            </w:r>
          </w:p>
        </w:tc>
        <w:tc>
          <w:tcPr>
            <w:tcW w:w="2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Cs w:val="24"/>
                <w:highlight w:val="none"/>
              </w:rPr>
            </w:pPr>
            <w:r>
              <w:rPr>
                <w:rFonts w:hint="eastAsia" w:hAnsi="宋体" w:cs="宋体"/>
                <w:color w:val="auto"/>
                <w:szCs w:val="24"/>
                <w:highlight w:val="none"/>
              </w:rPr>
              <w:t>静安青年体育公园</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Ansi="宋体" w:cs="宋体"/>
                <w:color w:val="auto"/>
                <w:szCs w:val="24"/>
                <w:highlight w:val="none"/>
              </w:rPr>
            </w:pPr>
            <w:r>
              <w:rPr>
                <w:rFonts w:hint="eastAsia" w:hAnsi="宋体" w:cs="宋体"/>
                <w:color w:val="auto"/>
                <w:szCs w:val="24"/>
                <w:highlight w:val="none"/>
              </w:rPr>
              <w:t>38552.4</w:t>
            </w:r>
          </w:p>
        </w:tc>
        <w:tc>
          <w:tcPr>
            <w:tcW w:w="1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Cs w:val="24"/>
                <w:highlight w:val="none"/>
              </w:rPr>
            </w:pPr>
            <w:r>
              <w:rPr>
                <w:rFonts w:hint="eastAsia" w:hAnsi="宋体" w:cs="宋体"/>
                <w:color w:val="auto"/>
                <w:szCs w:val="24"/>
                <w:highlight w:val="none"/>
              </w:rPr>
              <w:t>2</w:t>
            </w:r>
          </w:p>
        </w:tc>
      </w:tr>
      <w:tr>
        <w:tblPrEx>
          <w:tblCellMar>
            <w:top w:w="0" w:type="dxa"/>
            <w:left w:w="0" w:type="dxa"/>
            <w:bottom w:w="0" w:type="dxa"/>
            <w:right w:w="0" w:type="dxa"/>
          </w:tblCellMar>
        </w:tblPrEx>
        <w:trPr>
          <w:trHeight w:val="702" w:hRule="atLeast"/>
        </w:trPr>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kern w:val="0"/>
                <w:szCs w:val="24"/>
                <w:highlight w:val="none"/>
              </w:rPr>
            </w:pPr>
            <w:r>
              <w:rPr>
                <w:rFonts w:hint="eastAsia" w:hAnsi="宋体" w:cs="宋体"/>
                <w:color w:val="auto"/>
                <w:kern w:val="0"/>
                <w:szCs w:val="24"/>
                <w:highlight w:val="none"/>
              </w:rPr>
              <w:t>2</w:t>
            </w:r>
          </w:p>
        </w:tc>
        <w:tc>
          <w:tcPr>
            <w:tcW w:w="2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kern w:val="0"/>
                <w:szCs w:val="24"/>
                <w:highlight w:val="none"/>
              </w:rPr>
            </w:pPr>
            <w:r>
              <w:rPr>
                <w:rFonts w:hint="eastAsia" w:hAnsi="宋体" w:cs="宋体"/>
                <w:color w:val="auto"/>
                <w:kern w:val="0"/>
                <w:szCs w:val="24"/>
                <w:highlight w:val="none"/>
              </w:rPr>
              <w:t>市北绿地</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Ansi="宋体" w:cs="宋体"/>
                <w:color w:val="auto"/>
                <w:kern w:val="0"/>
                <w:szCs w:val="24"/>
                <w:highlight w:val="none"/>
              </w:rPr>
            </w:pPr>
            <w:r>
              <w:rPr>
                <w:rFonts w:hint="eastAsia" w:hAnsi="宋体" w:cs="宋体"/>
                <w:color w:val="auto"/>
                <w:kern w:val="0"/>
                <w:szCs w:val="24"/>
                <w:highlight w:val="none"/>
              </w:rPr>
              <w:t>2</w:t>
            </w:r>
            <w:r>
              <w:rPr>
                <w:rFonts w:hAnsi="宋体" w:cs="宋体"/>
                <w:color w:val="auto"/>
                <w:kern w:val="0"/>
                <w:szCs w:val="24"/>
                <w:highlight w:val="none"/>
              </w:rPr>
              <w:t>5362</w:t>
            </w:r>
          </w:p>
        </w:tc>
        <w:tc>
          <w:tcPr>
            <w:tcW w:w="1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Cs w:val="24"/>
                <w:highlight w:val="none"/>
              </w:rPr>
            </w:pPr>
            <w:r>
              <w:rPr>
                <w:rFonts w:hint="eastAsia" w:hAnsi="宋体" w:cs="宋体"/>
                <w:color w:val="auto"/>
                <w:szCs w:val="24"/>
                <w:highlight w:val="none"/>
              </w:rPr>
              <w:t>2</w:t>
            </w:r>
          </w:p>
        </w:tc>
      </w:tr>
      <w:tr>
        <w:tblPrEx>
          <w:tblCellMar>
            <w:top w:w="0" w:type="dxa"/>
            <w:left w:w="0" w:type="dxa"/>
            <w:bottom w:w="0" w:type="dxa"/>
            <w:right w:w="0" w:type="dxa"/>
          </w:tblCellMar>
        </w:tblPrEx>
        <w:trPr>
          <w:trHeight w:val="702" w:hRule="atLeast"/>
        </w:trPr>
        <w:tc>
          <w:tcPr>
            <w:tcW w:w="7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kern w:val="0"/>
                <w:szCs w:val="24"/>
                <w:highlight w:val="none"/>
              </w:rPr>
            </w:pPr>
          </w:p>
        </w:tc>
        <w:tc>
          <w:tcPr>
            <w:tcW w:w="2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kern w:val="0"/>
                <w:szCs w:val="24"/>
                <w:highlight w:val="none"/>
              </w:rPr>
            </w:pPr>
            <w:r>
              <w:rPr>
                <w:rFonts w:hint="eastAsia" w:hAnsi="宋体" w:cs="宋体"/>
                <w:color w:val="auto"/>
                <w:kern w:val="0"/>
                <w:szCs w:val="24"/>
                <w:highlight w:val="none"/>
              </w:rPr>
              <w:t>合计</w:t>
            </w:r>
          </w:p>
        </w:tc>
        <w:tc>
          <w:tcPr>
            <w:tcW w:w="5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kern w:val="0"/>
                <w:szCs w:val="24"/>
                <w:highlight w:val="none"/>
              </w:rPr>
            </w:pPr>
            <w:r>
              <w:rPr>
                <w:rFonts w:hint="eastAsia" w:hAnsi="宋体" w:cs="宋体"/>
                <w:color w:val="auto"/>
                <w:kern w:val="0"/>
                <w:szCs w:val="24"/>
                <w:highlight w:val="none"/>
              </w:rPr>
              <w:t>6</w:t>
            </w:r>
            <w:r>
              <w:rPr>
                <w:rFonts w:hAnsi="宋体" w:cs="宋体"/>
                <w:color w:val="auto"/>
                <w:kern w:val="0"/>
                <w:szCs w:val="24"/>
                <w:highlight w:val="none"/>
              </w:rPr>
              <w:t>3914.4</w:t>
            </w:r>
          </w:p>
        </w:tc>
        <w:tc>
          <w:tcPr>
            <w:tcW w:w="102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Cs w:val="24"/>
                <w:highlight w:val="none"/>
              </w:rPr>
            </w:pPr>
          </w:p>
        </w:tc>
      </w:tr>
    </w:tbl>
    <w:p>
      <w:pPr>
        <w:rPr>
          <w:rFonts w:hint="eastAsia" w:eastAsia="宋体"/>
          <w:color w:val="auto"/>
          <w:highlight w:val="none"/>
          <w:lang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D7761"/>
    <w:multiLevelType w:val="multilevel"/>
    <w:tmpl w:val="217D776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E7506D8"/>
    <w:multiLevelType w:val="multilevel"/>
    <w:tmpl w:val="2E7506D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0AD7A9F"/>
    <w:rsid w:val="000672D7"/>
    <w:rsid w:val="001143D9"/>
    <w:rsid w:val="00153507"/>
    <w:rsid w:val="001C7CBC"/>
    <w:rsid w:val="007367FA"/>
    <w:rsid w:val="00AD7A9F"/>
    <w:rsid w:val="00B53C42"/>
    <w:rsid w:val="00D5451C"/>
    <w:rsid w:val="00EC44E9"/>
    <w:rsid w:val="00EE2985"/>
    <w:rsid w:val="00F72D78"/>
    <w:rsid w:val="0B495EAF"/>
    <w:rsid w:val="14155E2E"/>
    <w:rsid w:val="1BB96694"/>
    <w:rsid w:val="243925A3"/>
    <w:rsid w:val="26A10E3D"/>
    <w:rsid w:val="26EA2488"/>
    <w:rsid w:val="2C2E39F0"/>
    <w:rsid w:val="35E26929"/>
    <w:rsid w:val="384127C0"/>
    <w:rsid w:val="3F310A83"/>
    <w:rsid w:val="40F12D91"/>
    <w:rsid w:val="41674A60"/>
    <w:rsid w:val="4B1D32F8"/>
    <w:rsid w:val="4EEC34FB"/>
    <w:rsid w:val="56EA115F"/>
    <w:rsid w:val="65717652"/>
    <w:rsid w:val="6EF8735F"/>
    <w:rsid w:val="6FB37E46"/>
    <w:rsid w:val="75200A44"/>
    <w:rsid w:val="7685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Calibri" w:eastAsia="宋体" w:cs="Times New Roman"/>
      <w:kern w:val="2"/>
      <w:sz w:val="24"/>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line="240" w:lineRule="auto"/>
    </w:pPr>
    <w:rPr>
      <w:rFonts w:hAnsi="宋体" w:cs="宋体"/>
      <w:kern w:val="0"/>
      <w:szCs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unhideWhenUsed/>
    <w:qFormat/>
    <w:uiPriority w:val="99"/>
    <w:rPr>
      <w:color w:val="954F72"/>
      <w:u w:val="single"/>
    </w:rPr>
  </w:style>
  <w:style w:type="character" w:styleId="7">
    <w:name w:val="Hyperlink"/>
    <w:basedOn w:val="5"/>
    <w:unhideWhenUsed/>
    <w:qFormat/>
    <w:uiPriority w:val="99"/>
    <w:rPr>
      <w:color w:val="0563C1"/>
      <w:u w:val="single"/>
    </w:rPr>
  </w:style>
  <w:style w:type="paragraph" w:styleId="8">
    <w:name w:val="List Paragraph"/>
    <w:basedOn w:val="1"/>
    <w:qFormat/>
    <w:uiPriority w:val="34"/>
    <w:pPr>
      <w:ind w:left="320" w:firstLine="624"/>
    </w:pPr>
  </w:style>
  <w:style w:type="paragraph" w:customStyle="1" w:styleId="9">
    <w:name w:val="msonormal"/>
    <w:basedOn w:val="1"/>
    <w:qFormat/>
    <w:uiPriority w:val="0"/>
    <w:pPr>
      <w:widowControl/>
      <w:spacing w:before="100" w:beforeAutospacing="1" w:after="100" w:afterAutospacing="1" w:line="240" w:lineRule="auto"/>
    </w:pPr>
    <w:rPr>
      <w:rFonts w:hAnsi="宋体" w:cs="宋体"/>
      <w:kern w:val="0"/>
      <w:szCs w:val="24"/>
    </w:rPr>
  </w:style>
  <w:style w:type="paragraph" w:customStyle="1" w:styleId="1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b/>
      <w:bCs/>
      <w:kern w:val="0"/>
      <w:szCs w:val="24"/>
    </w:rPr>
  </w:style>
  <w:style w:type="paragraph" w:customStyle="1" w:styleId="1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b/>
      <w:bCs/>
      <w:kern w:val="0"/>
      <w:szCs w:val="24"/>
    </w:rPr>
  </w:style>
  <w:style w:type="paragraph" w:customStyle="1" w:styleId="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b/>
      <w:bCs/>
      <w:kern w:val="0"/>
      <w:szCs w:val="24"/>
    </w:rPr>
  </w:style>
  <w:style w:type="paragraph" w:customStyle="1" w:styleId="13">
    <w:name w:val="xl75"/>
    <w:basedOn w:val="1"/>
    <w:qFormat/>
    <w:uiPriority w:val="0"/>
    <w:pPr>
      <w:widowControl/>
      <w:spacing w:before="100" w:beforeAutospacing="1" w:after="100" w:afterAutospacing="1" w:line="240" w:lineRule="auto"/>
      <w:jc w:val="center"/>
    </w:pPr>
    <w:rPr>
      <w:rFonts w:hAnsi="宋体" w:cs="宋体"/>
      <w:b/>
      <w:bCs/>
      <w:kern w:val="0"/>
      <w:szCs w:val="24"/>
    </w:rPr>
  </w:style>
  <w:style w:type="paragraph" w:customStyle="1" w:styleId="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1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1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1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19">
    <w:name w:val="xl81"/>
    <w:basedOn w:val="1"/>
    <w:qFormat/>
    <w:uiPriority w:val="0"/>
    <w:pPr>
      <w:widowControl/>
      <w:spacing w:before="100" w:beforeAutospacing="1" w:after="100" w:afterAutospacing="1" w:line="240" w:lineRule="auto"/>
      <w:jc w:val="center"/>
    </w:pPr>
    <w:rPr>
      <w:rFonts w:hAnsi="宋体" w:cs="宋体"/>
      <w:kern w:val="0"/>
      <w:szCs w:val="24"/>
    </w:rPr>
  </w:style>
  <w:style w:type="paragraph" w:customStyle="1" w:styleId="2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2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2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2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2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hAnsi="宋体" w:cs="宋体"/>
      <w:kern w:val="0"/>
      <w:szCs w:val="24"/>
    </w:rPr>
  </w:style>
  <w:style w:type="paragraph" w:customStyle="1" w:styleId="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 w:type="paragraph" w:customStyle="1" w:styleId="2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hAnsi="宋体" w:cs="宋体"/>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4338</Words>
  <Characters>24727</Characters>
  <Lines>206</Lines>
  <Paragraphs>58</Paragraphs>
  <TotalTime>2</TotalTime>
  <ScaleCrop>false</ScaleCrop>
  <LinksUpToDate>false</LinksUpToDate>
  <CharactersWithSpaces>29007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2023-12-01T04:02:00Z</dcterms:created>
  <dc:creator>22924</dc:creator>
  <cp:lastModifiedBy>WPS_1673492552</cp:lastModifiedBy>
  <dcterms:modified xsi:type="dcterms:W3CDTF">2023-12-25T08:48:23Z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9AF4BA18654B4367B2935A93415497D9_13</vt:lpwstr>
  </property>
</Properties>
</file>