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525608">
      <w:pPr>
        <w:spacing w:line="360" w:lineRule="auto"/>
        <w:jc w:val="center"/>
        <w:rPr>
          <w:rFonts w:hint="eastAsia" w:ascii="宋体" w:hAnsi="宋体" w:eastAsia="宋体"/>
          <w:color w:val="auto"/>
          <w:sz w:val="32"/>
          <w:szCs w:val="24"/>
          <w:highlight w:val="none"/>
        </w:rPr>
      </w:pPr>
      <w:r>
        <w:rPr>
          <w:rFonts w:hint="eastAsia" w:ascii="宋体" w:hAnsi="宋体" w:eastAsia="宋体"/>
          <w:color w:val="auto"/>
          <w:sz w:val="32"/>
          <w:szCs w:val="24"/>
          <w:highlight w:val="none"/>
        </w:rPr>
        <w:t>集控中心运行及箱体维护服务需求</w:t>
      </w:r>
    </w:p>
    <w:p w14:paraId="0352766D">
      <w:pPr>
        <w:widowControl/>
        <w:spacing w:line="360" w:lineRule="auto"/>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lang w:eastAsia="zh-CN"/>
        </w:rPr>
        <w:t>采购编号：</w:t>
      </w:r>
      <w:r>
        <w:rPr>
          <w:rFonts w:hint="eastAsia" w:ascii="宋体" w:hAnsi="宋体" w:eastAsia="宋体"/>
          <w:color w:val="auto"/>
          <w:sz w:val="28"/>
          <w:szCs w:val="28"/>
          <w:highlight w:val="none"/>
        </w:rPr>
        <w:fldChar w:fldCharType="begin"/>
      </w:r>
      <w:r>
        <w:rPr>
          <w:rFonts w:hint="eastAsia" w:ascii="宋体" w:hAnsi="宋体" w:eastAsia="宋体"/>
          <w:color w:val="auto"/>
          <w:sz w:val="28"/>
          <w:szCs w:val="28"/>
          <w:highlight w:val="none"/>
        </w:rPr>
        <w:instrText xml:space="preserve"> HYPERLINK "https://pay.zfcg.sh.gov.cn/purchaseplan_front/" \l "/plan/list/view?id=1000000000001353826&amp;districtCode=310106" </w:instrText>
      </w:r>
      <w:r>
        <w:rPr>
          <w:rFonts w:hint="eastAsia" w:ascii="宋体" w:hAnsi="宋体" w:eastAsia="宋体"/>
          <w:color w:val="auto"/>
          <w:sz w:val="28"/>
          <w:szCs w:val="28"/>
          <w:highlight w:val="none"/>
        </w:rPr>
        <w:fldChar w:fldCharType="separate"/>
      </w:r>
      <w:r>
        <w:rPr>
          <w:rFonts w:hint="eastAsia" w:ascii="宋体" w:hAnsi="宋体" w:eastAsia="宋体"/>
          <w:color w:val="auto"/>
          <w:sz w:val="28"/>
          <w:szCs w:val="28"/>
          <w:highlight w:val="none"/>
        </w:rPr>
        <w:t>0625-00002236</w:t>
      </w:r>
      <w:r>
        <w:rPr>
          <w:rFonts w:hint="eastAsia" w:ascii="宋体" w:hAnsi="宋体" w:eastAsia="宋体"/>
          <w:color w:val="auto"/>
          <w:sz w:val="28"/>
          <w:szCs w:val="28"/>
          <w:highlight w:val="none"/>
        </w:rPr>
        <w:fldChar w:fldCharType="end"/>
      </w:r>
    </w:p>
    <w:p w14:paraId="25EEE312">
      <w:pPr>
        <w:widowControl/>
        <w:spacing w:line="360" w:lineRule="auto"/>
        <w:ind w:firstLine="560" w:firstLineChars="200"/>
        <w:jc w:val="center"/>
        <w:rPr>
          <w:rFonts w:hint="eastAsia" w:ascii="宋体" w:hAnsi="宋体" w:eastAsia="宋体"/>
          <w:color w:val="auto"/>
          <w:sz w:val="28"/>
          <w:szCs w:val="28"/>
          <w:highlight w:val="none"/>
          <w:lang w:eastAsia="zh-CN"/>
        </w:rPr>
      </w:pPr>
    </w:p>
    <w:p w14:paraId="45BB4E44">
      <w:pPr>
        <w:pStyle w:val="8"/>
        <w:numPr>
          <w:ilvl w:val="0"/>
          <w:numId w:val="1"/>
        </w:numPr>
        <w:spacing w:line="360" w:lineRule="auto"/>
        <w:ind w:left="0" w:firstLine="562"/>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t>项目介绍</w:t>
      </w:r>
    </w:p>
    <w:p w14:paraId="3DB66CFB">
      <w:pPr>
        <w:widowControl/>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本项目为静安区</w:t>
      </w:r>
      <w:r>
        <w:rPr>
          <w:rFonts w:hint="eastAsia" w:ascii="宋体" w:hAnsi="宋体" w:eastAsia="宋体" w:cs="Arial"/>
          <w:color w:val="auto"/>
          <w:kern w:val="0"/>
          <w:sz w:val="28"/>
          <w:szCs w:val="28"/>
          <w:highlight w:val="none"/>
        </w:rPr>
        <w:t>远程智能灯光控制系统</w:t>
      </w:r>
      <w:r>
        <w:rPr>
          <w:rFonts w:hint="eastAsia" w:ascii="宋体" w:hAnsi="宋体" w:eastAsia="宋体"/>
          <w:color w:val="auto"/>
          <w:sz w:val="28"/>
          <w:szCs w:val="28"/>
          <w:highlight w:val="none"/>
        </w:rPr>
        <w:t>维护服务，</w:t>
      </w:r>
      <w:r>
        <w:rPr>
          <w:rFonts w:hint="eastAsia" w:ascii="Calibri" w:hAnsi="Calibri" w:eastAsia="宋体" w:cs="Times New Roman"/>
          <w:color w:val="auto"/>
          <w:sz w:val="28"/>
          <w:szCs w:val="28"/>
          <w:highlight w:val="none"/>
        </w:rPr>
        <w:t>主要是对</w:t>
      </w:r>
      <w:r>
        <w:rPr>
          <w:rFonts w:hint="eastAsia"/>
          <w:color w:val="auto"/>
          <w:sz w:val="28"/>
          <w:szCs w:val="28"/>
          <w:highlight w:val="none"/>
        </w:rPr>
        <w:t>静安</w:t>
      </w:r>
      <w:r>
        <w:rPr>
          <w:rFonts w:hint="eastAsia" w:ascii="Calibri" w:hAnsi="Calibri" w:eastAsia="宋体" w:cs="Times New Roman"/>
          <w:color w:val="auto"/>
          <w:sz w:val="28"/>
          <w:szCs w:val="28"/>
          <w:highlight w:val="none"/>
        </w:rPr>
        <w:t>区</w:t>
      </w:r>
      <w:r>
        <w:rPr>
          <w:rFonts w:hint="eastAsia" w:ascii="宋体" w:hAnsi="宋体" w:eastAsia="宋体" w:cs="Arial"/>
          <w:color w:val="auto"/>
          <w:kern w:val="0"/>
          <w:sz w:val="28"/>
          <w:szCs w:val="28"/>
          <w:highlight w:val="none"/>
        </w:rPr>
        <w:t>远程智能灯光控制系统</w:t>
      </w:r>
      <w:r>
        <w:rPr>
          <w:rFonts w:hint="eastAsia" w:ascii="Calibri" w:hAnsi="Calibri" w:eastAsia="宋体" w:cs="Times New Roman"/>
          <w:color w:val="auto"/>
          <w:sz w:val="28"/>
          <w:szCs w:val="28"/>
          <w:highlight w:val="none"/>
        </w:rPr>
        <w:t>中</w:t>
      </w:r>
      <w:r>
        <w:rPr>
          <w:rFonts w:ascii="宋体" w:hAnsi="宋体" w:eastAsia="宋体" w:cs="Times New Roman"/>
          <w:b/>
          <w:color w:val="auto"/>
          <w:sz w:val="28"/>
          <w:szCs w:val="28"/>
          <w:highlight w:val="none"/>
        </w:rPr>
        <w:t>70</w:t>
      </w:r>
      <w:r>
        <w:rPr>
          <w:rFonts w:hint="eastAsia" w:ascii="宋体" w:hAnsi="宋体" w:eastAsia="宋体" w:cs="Times New Roman"/>
          <w:b/>
          <w:color w:val="auto"/>
          <w:sz w:val="28"/>
          <w:szCs w:val="28"/>
          <w:highlight w:val="none"/>
        </w:rPr>
        <w:t>0</w:t>
      </w:r>
      <w:r>
        <w:rPr>
          <w:rFonts w:hint="eastAsia" w:ascii="Calibri" w:hAnsi="Calibri" w:eastAsia="宋体" w:cs="Times New Roman"/>
          <w:color w:val="auto"/>
          <w:sz w:val="28"/>
          <w:szCs w:val="28"/>
          <w:highlight w:val="none"/>
        </w:rPr>
        <w:t>台下位机的</w:t>
      </w:r>
      <w:r>
        <w:rPr>
          <w:rFonts w:hint="eastAsia"/>
          <w:color w:val="auto"/>
          <w:sz w:val="28"/>
          <w:szCs w:val="28"/>
          <w:highlight w:val="none"/>
        </w:rPr>
        <w:t>维护管理</w:t>
      </w:r>
      <w:r>
        <w:rPr>
          <w:rFonts w:hint="eastAsia" w:ascii="宋体" w:hAnsi="宋体" w:eastAsia="宋体"/>
          <w:color w:val="auto"/>
          <w:sz w:val="28"/>
          <w:szCs w:val="28"/>
          <w:highlight w:val="none"/>
        </w:rPr>
        <w:t>。运用</w:t>
      </w:r>
      <w:r>
        <w:rPr>
          <w:rFonts w:ascii="宋体" w:hAnsi="宋体" w:eastAsia="宋体"/>
          <w:color w:val="auto"/>
          <w:sz w:val="28"/>
          <w:szCs w:val="28"/>
          <w:highlight w:val="none"/>
        </w:rPr>
        <w:t>无线集群技术，实现对静安区区域内景观灯光的准时开启和关闭，以保持静安区景观灯光的良好运行状态，确保日常景观灯光亮灯率</w:t>
      </w:r>
      <w:r>
        <w:rPr>
          <w:rFonts w:hint="eastAsia" w:ascii="宋体" w:hAnsi="宋体" w:eastAsia="宋体"/>
          <w:color w:val="auto"/>
          <w:sz w:val="28"/>
          <w:szCs w:val="28"/>
          <w:highlight w:val="none"/>
        </w:rPr>
        <w:t>98%</w:t>
      </w:r>
      <w:r>
        <w:rPr>
          <w:rFonts w:ascii="宋体" w:hAnsi="宋体" w:eastAsia="宋体"/>
          <w:color w:val="auto"/>
          <w:sz w:val="28"/>
          <w:szCs w:val="28"/>
          <w:highlight w:val="none"/>
        </w:rPr>
        <w:t>、完好率</w:t>
      </w:r>
      <w:r>
        <w:rPr>
          <w:rFonts w:hint="eastAsia" w:ascii="宋体" w:hAnsi="宋体" w:eastAsia="宋体"/>
          <w:color w:val="auto"/>
          <w:sz w:val="28"/>
          <w:szCs w:val="28"/>
          <w:highlight w:val="none"/>
        </w:rPr>
        <w:t>98%</w:t>
      </w:r>
      <w:r>
        <w:rPr>
          <w:rFonts w:ascii="宋体" w:hAnsi="宋体" w:eastAsia="宋体"/>
          <w:color w:val="auto"/>
          <w:sz w:val="28"/>
          <w:szCs w:val="28"/>
          <w:highlight w:val="none"/>
        </w:rPr>
        <w:t>达到</w:t>
      </w:r>
      <w:r>
        <w:rPr>
          <w:rFonts w:hint="eastAsia" w:ascii="宋体" w:hAnsi="宋体" w:eastAsia="宋体"/>
          <w:color w:val="auto"/>
          <w:sz w:val="28"/>
          <w:szCs w:val="28"/>
          <w:highlight w:val="none"/>
        </w:rPr>
        <w:t>区</w:t>
      </w:r>
      <w:r>
        <w:rPr>
          <w:rFonts w:ascii="宋体" w:hAnsi="宋体" w:eastAsia="宋体"/>
          <w:color w:val="auto"/>
          <w:sz w:val="28"/>
          <w:szCs w:val="28"/>
          <w:highlight w:val="none"/>
        </w:rPr>
        <w:t>局要求，展示静安区域景观风貌。</w:t>
      </w:r>
    </w:p>
    <w:p w14:paraId="1A7FB0B4">
      <w:pPr>
        <w:widowControl/>
        <w:spacing w:line="360" w:lineRule="auto"/>
        <w:ind w:firstLine="560" w:firstLineChars="200"/>
        <w:rPr>
          <w:rFonts w:hint="eastAsia" w:ascii="宋体" w:hAnsi="宋体" w:eastAsia="宋体" w:cs="Arial"/>
          <w:color w:val="auto"/>
          <w:kern w:val="0"/>
          <w:sz w:val="28"/>
          <w:szCs w:val="28"/>
          <w:highlight w:val="none"/>
        </w:rPr>
      </w:pPr>
      <w:r>
        <w:rPr>
          <w:rFonts w:hint="eastAsia" w:ascii="宋体" w:hAnsi="宋体" w:eastAsia="宋体"/>
          <w:color w:val="auto"/>
          <w:sz w:val="28"/>
          <w:szCs w:val="28"/>
          <w:highlight w:val="none"/>
        </w:rPr>
        <w:t>按照集控系统的特点与系统，预算金额为</w:t>
      </w:r>
      <w:r>
        <w:rPr>
          <w:rFonts w:hint="eastAsia" w:ascii="宋体" w:hAnsi="宋体" w:eastAsia="宋体"/>
          <w:b/>
          <w:color w:val="auto"/>
          <w:sz w:val="28"/>
          <w:szCs w:val="28"/>
          <w:highlight w:val="none"/>
        </w:rPr>
        <w:t>1</w:t>
      </w:r>
      <w:r>
        <w:rPr>
          <w:rFonts w:ascii="宋体" w:hAnsi="宋体" w:eastAsia="宋体"/>
          <w:b/>
          <w:color w:val="auto"/>
          <w:sz w:val="28"/>
          <w:szCs w:val="28"/>
          <w:highlight w:val="none"/>
        </w:rPr>
        <w:t>8</w:t>
      </w:r>
      <w:r>
        <w:rPr>
          <w:rFonts w:hint="eastAsia" w:ascii="宋体" w:hAnsi="宋体" w:eastAsia="宋体"/>
          <w:b/>
          <w:color w:val="auto"/>
          <w:sz w:val="28"/>
          <w:szCs w:val="28"/>
          <w:highlight w:val="none"/>
        </w:rPr>
        <w:t>0</w:t>
      </w:r>
      <w:r>
        <w:rPr>
          <w:rFonts w:hint="eastAsia" w:ascii="宋体" w:hAnsi="宋体" w:eastAsia="宋体"/>
          <w:color w:val="auto"/>
          <w:sz w:val="28"/>
          <w:szCs w:val="28"/>
          <w:highlight w:val="none"/>
        </w:rPr>
        <w:t>万，具体维护清单见下表：</w:t>
      </w:r>
    </w:p>
    <w:tbl>
      <w:tblPr>
        <w:tblStyle w:val="5"/>
        <w:tblW w:w="8160" w:type="dxa"/>
        <w:tblInd w:w="108" w:type="dxa"/>
        <w:tblLayout w:type="autofit"/>
        <w:tblCellMar>
          <w:top w:w="0" w:type="dxa"/>
          <w:left w:w="108" w:type="dxa"/>
          <w:bottom w:w="0" w:type="dxa"/>
          <w:right w:w="108" w:type="dxa"/>
        </w:tblCellMar>
      </w:tblPr>
      <w:tblGrid>
        <w:gridCol w:w="1080"/>
        <w:gridCol w:w="4940"/>
        <w:gridCol w:w="1080"/>
        <w:gridCol w:w="1060"/>
      </w:tblGrid>
      <w:tr w14:paraId="1CBEFF76">
        <w:tblPrEx>
          <w:tblCellMar>
            <w:top w:w="0" w:type="dxa"/>
            <w:left w:w="108" w:type="dxa"/>
            <w:bottom w:w="0" w:type="dxa"/>
            <w:right w:w="108" w:type="dxa"/>
          </w:tblCellMar>
        </w:tblPrEx>
        <w:trPr>
          <w:trHeight w:val="36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AAA2DD">
            <w:pPr>
              <w:widowControl/>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序号</w:t>
            </w:r>
          </w:p>
        </w:tc>
        <w:tc>
          <w:tcPr>
            <w:tcW w:w="4940" w:type="dxa"/>
            <w:tcBorders>
              <w:top w:val="single" w:color="auto" w:sz="4" w:space="0"/>
              <w:left w:val="nil"/>
              <w:bottom w:val="single" w:color="auto" w:sz="4" w:space="0"/>
              <w:right w:val="single" w:color="auto" w:sz="4" w:space="0"/>
            </w:tcBorders>
            <w:shd w:val="clear" w:color="auto" w:fill="auto"/>
            <w:noWrap/>
            <w:vAlign w:val="center"/>
          </w:tcPr>
          <w:p w14:paraId="4036B7F9">
            <w:pPr>
              <w:widowControl/>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项目</w:t>
            </w:r>
          </w:p>
        </w:tc>
        <w:tc>
          <w:tcPr>
            <w:tcW w:w="1080" w:type="dxa"/>
            <w:tcBorders>
              <w:top w:val="single" w:color="auto" w:sz="4" w:space="0"/>
              <w:left w:val="nil"/>
              <w:bottom w:val="single" w:color="auto" w:sz="4" w:space="0"/>
              <w:right w:val="single" w:color="auto" w:sz="4" w:space="0"/>
            </w:tcBorders>
            <w:shd w:val="clear" w:color="auto" w:fill="auto"/>
            <w:noWrap/>
            <w:vAlign w:val="center"/>
          </w:tcPr>
          <w:p w14:paraId="0E3CB46F">
            <w:pPr>
              <w:widowControl/>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单位</w:t>
            </w:r>
          </w:p>
        </w:tc>
        <w:tc>
          <w:tcPr>
            <w:tcW w:w="1060" w:type="dxa"/>
            <w:tcBorders>
              <w:top w:val="single" w:color="auto" w:sz="4" w:space="0"/>
              <w:left w:val="nil"/>
              <w:bottom w:val="single" w:color="auto" w:sz="4" w:space="0"/>
              <w:right w:val="single" w:color="auto" w:sz="4" w:space="0"/>
            </w:tcBorders>
            <w:shd w:val="clear" w:color="auto" w:fill="auto"/>
            <w:noWrap/>
            <w:vAlign w:val="center"/>
          </w:tcPr>
          <w:p w14:paraId="49E2CC28">
            <w:pPr>
              <w:widowControl/>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 xml:space="preserve"> 数量</w:t>
            </w:r>
          </w:p>
        </w:tc>
      </w:tr>
      <w:tr w14:paraId="484AA31B">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665B1F0B">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p>
        </w:tc>
        <w:tc>
          <w:tcPr>
            <w:tcW w:w="4940" w:type="dxa"/>
            <w:tcBorders>
              <w:top w:val="nil"/>
              <w:left w:val="nil"/>
              <w:bottom w:val="single" w:color="auto" w:sz="4" w:space="0"/>
              <w:right w:val="single" w:color="auto" w:sz="4" w:space="0"/>
            </w:tcBorders>
            <w:shd w:val="clear" w:color="auto" w:fill="auto"/>
            <w:noWrap/>
            <w:vAlign w:val="center"/>
          </w:tcPr>
          <w:p w14:paraId="50C2C648">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远程智能灯光控制系统服务费</w:t>
            </w:r>
          </w:p>
        </w:tc>
        <w:tc>
          <w:tcPr>
            <w:tcW w:w="1080" w:type="dxa"/>
            <w:tcBorders>
              <w:top w:val="nil"/>
              <w:left w:val="nil"/>
              <w:bottom w:val="single" w:color="auto" w:sz="4" w:space="0"/>
              <w:right w:val="single" w:color="auto" w:sz="4" w:space="0"/>
            </w:tcBorders>
            <w:shd w:val="clear" w:color="auto" w:fill="auto"/>
            <w:noWrap/>
            <w:vAlign w:val="center"/>
          </w:tcPr>
          <w:p w14:paraId="5B3D9777">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w:t>
            </w:r>
          </w:p>
        </w:tc>
        <w:tc>
          <w:tcPr>
            <w:tcW w:w="1060" w:type="dxa"/>
            <w:tcBorders>
              <w:top w:val="nil"/>
              <w:left w:val="nil"/>
              <w:bottom w:val="single" w:color="auto" w:sz="4" w:space="0"/>
              <w:right w:val="single" w:color="auto" w:sz="4" w:space="0"/>
            </w:tcBorders>
            <w:shd w:val="clear" w:color="auto" w:fill="auto"/>
            <w:noWrap/>
            <w:vAlign w:val="center"/>
          </w:tcPr>
          <w:p w14:paraId="64E88BDE">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p>
        </w:tc>
      </w:tr>
      <w:tr w14:paraId="14060796">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72602C61">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2</w:t>
            </w:r>
          </w:p>
        </w:tc>
        <w:tc>
          <w:tcPr>
            <w:tcW w:w="4940" w:type="dxa"/>
            <w:tcBorders>
              <w:top w:val="nil"/>
              <w:left w:val="nil"/>
              <w:bottom w:val="single" w:color="auto" w:sz="4" w:space="0"/>
              <w:right w:val="single" w:color="auto" w:sz="4" w:space="0"/>
            </w:tcBorders>
            <w:shd w:val="clear" w:color="auto" w:fill="auto"/>
            <w:noWrap/>
            <w:vAlign w:val="center"/>
          </w:tcPr>
          <w:p w14:paraId="6E9382D1">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电信IP专线通信费（10M、1个固定IP地址）</w:t>
            </w:r>
          </w:p>
        </w:tc>
        <w:tc>
          <w:tcPr>
            <w:tcW w:w="1080" w:type="dxa"/>
            <w:tcBorders>
              <w:top w:val="nil"/>
              <w:left w:val="nil"/>
              <w:bottom w:val="single" w:color="auto" w:sz="4" w:space="0"/>
              <w:right w:val="single" w:color="auto" w:sz="4" w:space="0"/>
            </w:tcBorders>
            <w:shd w:val="clear" w:color="auto" w:fill="auto"/>
            <w:noWrap/>
            <w:vAlign w:val="center"/>
          </w:tcPr>
          <w:p w14:paraId="2C0E7640">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w:t>
            </w:r>
          </w:p>
        </w:tc>
        <w:tc>
          <w:tcPr>
            <w:tcW w:w="1060" w:type="dxa"/>
            <w:tcBorders>
              <w:top w:val="nil"/>
              <w:left w:val="nil"/>
              <w:bottom w:val="single" w:color="auto" w:sz="4" w:space="0"/>
              <w:right w:val="single" w:color="auto" w:sz="4" w:space="0"/>
            </w:tcBorders>
            <w:shd w:val="clear" w:color="auto" w:fill="auto"/>
            <w:noWrap/>
            <w:vAlign w:val="center"/>
          </w:tcPr>
          <w:p w14:paraId="41DB4580">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p>
        </w:tc>
      </w:tr>
      <w:tr w14:paraId="2B135DB9">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465DAEED">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3</w:t>
            </w:r>
          </w:p>
        </w:tc>
        <w:tc>
          <w:tcPr>
            <w:tcW w:w="4940" w:type="dxa"/>
            <w:tcBorders>
              <w:top w:val="nil"/>
              <w:left w:val="nil"/>
              <w:bottom w:val="single" w:color="auto" w:sz="4" w:space="0"/>
              <w:right w:val="single" w:color="auto" w:sz="4" w:space="0"/>
            </w:tcBorders>
            <w:shd w:val="clear" w:color="auto" w:fill="auto"/>
            <w:noWrap/>
            <w:vAlign w:val="center"/>
          </w:tcPr>
          <w:p w14:paraId="130CA519">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集控上位机通信费</w:t>
            </w:r>
          </w:p>
        </w:tc>
        <w:tc>
          <w:tcPr>
            <w:tcW w:w="1080" w:type="dxa"/>
            <w:tcBorders>
              <w:top w:val="nil"/>
              <w:left w:val="nil"/>
              <w:bottom w:val="single" w:color="auto" w:sz="4" w:space="0"/>
              <w:right w:val="single" w:color="auto" w:sz="4" w:space="0"/>
            </w:tcBorders>
            <w:shd w:val="clear" w:color="auto" w:fill="auto"/>
            <w:noWrap/>
            <w:vAlign w:val="center"/>
          </w:tcPr>
          <w:p w14:paraId="6726723E">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台</w:t>
            </w:r>
          </w:p>
        </w:tc>
        <w:tc>
          <w:tcPr>
            <w:tcW w:w="1060" w:type="dxa"/>
            <w:tcBorders>
              <w:top w:val="nil"/>
              <w:left w:val="nil"/>
              <w:bottom w:val="single" w:color="auto" w:sz="4" w:space="0"/>
              <w:right w:val="single" w:color="auto" w:sz="4" w:space="0"/>
            </w:tcBorders>
            <w:shd w:val="clear" w:color="auto" w:fill="auto"/>
            <w:noWrap/>
            <w:vAlign w:val="center"/>
          </w:tcPr>
          <w:p w14:paraId="48F99D46">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w:t>
            </w:r>
          </w:p>
        </w:tc>
      </w:tr>
      <w:tr w14:paraId="4F559DE1">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20FF4D23">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4</w:t>
            </w:r>
          </w:p>
        </w:tc>
        <w:tc>
          <w:tcPr>
            <w:tcW w:w="4940" w:type="dxa"/>
            <w:tcBorders>
              <w:top w:val="nil"/>
              <w:left w:val="nil"/>
              <w:bottom w:val="single" w:color="auto" w:sz="4" w:space="0"/>
              <w:right w:val="single" w:color="auto" w:sz="4" w:space="0"/>
            </w:tcBorders>
            <w:shd w:val="clear" w:color="auto" w:fill="auto"/>
            <w:noWrap/>
            <w:vAlign w:val="center"/>
          </w:tcPr>
          <w:p w14:paraId="7D3F03C3">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集控中心设备服务费</w:t>
            </w:r>
          </w:p>
        </w:tc>
        <w:tc>
          <w:tcPr>
            <w:tcW w:w="1080" w:type="dxa"/>
            <w:tcBorders>
              <w:top w:val="nil"/>
              <w:left w:val="nil"/>
              <w:bottom w:val="single" w:color="auto" w:sz="4" w:space="0"/>
              <w:right w:val="single" w:color="auto" w:sz="4" w:space="0"/>
            </w:tcBorders>
            <w:shd w:val="clear" w:color="auto" w:fill="auto"/>
            <w:noWrap/>
            <w:vAlign w:val="center"/>
          </w:tcPr>
          <w:p w14:paraId="75805E0D">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w:t>
            </w:r>
          </w:p>
        </w:tc>
        <w:tc>
          <w:tcPr>
            <w:tcW w:w="1060" w:type="dxa"/>
            <w:tcBorders>
              <w:top w:val="nil"/>
              <w:left w:val="nil"/>
              <w:bottom w:val="single" w:color="auto" w:sz="4" w:space="0"/>
              <w:right w:val="single" w:color="auto" w:sz="4" w:space="0"/>
            </w:tcBorders>
            <w:shd w:val="clear" w:color="auto" w:fill="auto"/>
            <w:noWrap/>
            <w:vAlign w:val="center"/>
          </w:tcPr>
          <w:p w14:paraId="58A50FA2">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p>
        </w:tc>
      </w:tr>
      <w:tr w14:paraId="71AD3724">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2296AD63">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w:t>
            </w:r>
          </w:p>
        </w:tc>
        <w:tc>
          <w:tcPr>
            <w:tcW w:w="4940" w:type="dxa"/>
            <w:tcBorders>
              <w:top w:val="nil"/>
              <w:left w:val="nil"/>
              <w:bottom w:val="single" w:color="auto" w:sz="4" w:space="0"/>
              <w:right w:val="single" w:color="auto" w:sz="4" w:space="0"/>
            </w:tcBorders>
            <w:shd w:val="clear" w:color="auto" w:fill="auto"/>
            <w:noWrap/>
            <w:vAlign w:val="center"/>
          </w:tcPr>
          <w:p w14:paraId="098670FB">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南北系统合并整合费</w:t>
            </w:r>
          </w:p>
        </w:tc>
        <w:tc>
          <w:tcPr>
            <w:tcW w:w="1080" w:type="dxa"/>
            <w:tcBorders>
              <w:top w:val="nil"/>
              <w:left w:val="nil"/>
              <w:bottom w:val="single" w:color="auto" w:sz="4" w:space="0"/>
              <w:right w:val="single" w:color="auto" w:sz="4" w:space="0"/>
            </w:tcBorders>
            <w:shd w:val="clear" w:color="auto" w:fill="auto"/>
            <w:noWrap/>
            <w:vAlign w:val="center"/>
          </w:tcPr>
          <w:p w14:paraId="05A901A3">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w:t>
            </w:r>
          </w:p>
        </w:tc>
        <w:tc>
          <w:tcPr>
            <w:tcW w:w="1060" w:type="dxa"/>
            <w:tcBorders>
              <w:top w:val="nil"/>
              <w:left w:val="nil"/>
              <w:bottom w:val="single" w:color="auto" w:sz="4" w:space="0"/>
              <w:right w:val="single" w:color="auto" w:sz="4" w:space="0"/>
            </w:tcBorders>
            <w:shd w:val="clear" w:color="auto" w:fill="auto"/>
            <w:noWrap/>
            <w:vAlign w:val="center"/>
          </w:tcPr>
          <w:p w14:paraId="3FB08363">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p>
        </w:tc>
      </w:tr>
      <w:tr w14:paraId="30997A79">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1D29598A">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6</w:t>
            </w:r>
          </w:p>
        </w:tc>
        <w:tc>
          <w:tcPr>
            <w:tcW w:w="4940" w:type="dxa"/>
            <w:tcBorders>
              <w:top w:val="nil"/>
              <w:left w:val="nil"/>
              <w:bottom w:val="single" w:color="auto" w:sz="4" w:space="0"/>
              <w:right w:val="single" w:color="auto" w:sz="4" w:space="0"/>
            </w:tcBorders>
            <w:shd w:val="clear" w:color="auto" w:fill="auto"/>
            <w:noWrap/>
            <w:vAlign w:val="center"/>
          </w:tcPr>
          <w:p w14:paraId="565CC78B">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集控箱通信费</w:t>
            </w:r>
          </w:p>
        </w:tc>
        <w:tc>
          <w:tcPr>
            <w:tcW w:w="1080" w:type="dxa"/>
            <w:tcBorders>
              <w:top w:val="nil"/>
              <w:left w:val="nil"/>
              <w:bottom w:val="single" w:color="auto" w:sz="4" w:space="0"/>
              <w:right w:val="single" w:color="auto" w:sz="4" w:space="0"/>
            </w:tcBorders>
            <w:shd w:val="clear" w:color="auto" w:fill="auto"/>
            <w:noWrap/>
            <w:vAlign w:val="center"/>
          </w:tcPr>
          <w:p w14:paraId="405FF31E">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台</w:t>
            </w:r>
          </w:p>
        </w:tc>
        <w:tc>
          <w:tcPr>
            <w:tcW w:w="1060" w:type="dxa"/>
            <w:tcBorders>
              <w:top w:val="nil"/>
              <w:left w:val="nil"/>
              <w:bottom w:val="single" w:color="auto" w:sz="4" w:space="0"/>
              <w:right w:val="single" w:color="auto" w:sz="4" w:space="0"/>
            </w:tcBorders>
            <w:shd w:val="clear" w:color="auto" w:fill="auto"/>
            <w:noWrap/>
            <w:vAlign w:val="center"/>
          </w:tcPr>
          <w:p w14:paraId="3BFE94A6">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700</w:t>
            </w:r>
          </w:p>
        </w:tc>
      </w:tr>
      <w:tr w14:paraId="5AAC1AD7">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0AFC4974">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w:t>
            </w:r>
          </w:p>
        </w:tc>
        <w:tc>
          <w:tcPr>
            <w:tcW w:w="4940" w:type="dxa"/>
            <w:tcBorders>
              <w:top w:val="nil"/>
              <w:left w:val="nil"/>
              <w:bottom w:val="single" w:color="auto" w:sz="4" w:space="0"/>
              <w:right w:val="single" w:color="auto" w:sz="4" w:space="0"/>
            </w:tcBorders>
            <w:shd w:val="clear" w:color="auto" w:fill="auto"/>
            <w:noWrap/>
            <w:vAlign w:val="center"/>
          </w:tcPr>
          <w:p w14:paraId="0B9AA449">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集控箱运行服务费</w:t>
            </w:r>
          </w:p>
        </w:tc>
        <w:tc>
          <w:tcPr>
            <w:tcW w:w="1080" w:type="dxa"/>
            <w:tcBorders>
              <w:top w:val="nil"/>
              <w:left w:val="nil"/>
              <w:bottom w:val="single" w:color="auto" w:sz="4" w:space="0"/>
              <w:right w:val="single" w:color="auto" w:sz="4" w:space="0"/>
            </w:tcBorders>
            <w:shd w:val="clear" w:color="auto" w:fill="auto"/>
            <w:noWrap/>
            <w:vAlign w:val="center"/>
          </w:tcPr>
          <w:p w14:paraId="469D4063">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台</w:t>
            </w:r>
          </w:p>
        </w:tc>
        <w:tc>
          <w:tcPr>
            <w:tcW w:w="1060" w:type="dxa"/>
            <w:tcBorders>
              <w:top w:val="nil"/>
              <w:left w:val="nil"/>
              <w:bottom w:val="single" w:color="auto" w:sz="4" w:space="0"/>
              <w:right w:val="single" w:color="auto" w:sz="4" w:space="0"/>
            </w:tcBorders>
            <w:shd w:val="clear" w:color="auto" w:fill="auto"/>
            <w:noWrap/>
            <w:vAlign w:val="center"/>
          </w:tcPr>
          <w:p w14:paraId="19BBF4D4">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700</w:t>
            </w:r>
          </w:p>
        </w:tc>
      </w:tr>
      <w:tr w14:paraId="56791DB6">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178EA24B">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8</w:t>
            </w:r>
          </w:p>
        </w:tc>
        <w:tc>
          <w:tcPr>
            <w:tcW w:w="4940" w:type="dxa"/>
            <w:tcBorders>
              <w:top w:val="nil"/>
              <w:left w:val="nil"/>
              <w:bottom w:val="single" w:color="auto" w:sz="4" w:space="0"/>
              <w:right w:val="single" w:color="auto" w:sz="4" w:space="0"/>
            </w:tcBorders>
            <w:shd w:val="clear" w:color="auto" w:fill="auto"/>
            <w:noWrap/>
            <w:vAlign w:val="center"/>
          </w:tcPr>
          <w:p w14:paraId="55F4D835">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单路集控箱箱体维保费</w:t>
            </w:r>
          </w:p>
        </w:tc>
        <w:tc>
          <w:tcPr>
            <w:tcW w:w="1080" w:type="dxa"/>
            <w:tcBorders>
              <w:top w:val="nil"/>
              <w:left w:val="nil"/>
              <w:bottom w:val="single" w:color="auto" w:sz="4" w:space="0"/>
              <w:right w:val="single" w:color="auto" w:sz="4" w:space="0"/>
            </w:tcBorders>
            <w:shd w:val="clear" w:color="auto" w:fill="auto"/>
            <w:noWrap/>
            <w:vAlign w:val="center"/>
          </w:tcPr>
          <w:p w14:paraId="2D17559A">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套</w:t>
            </w:r>
          </w:p>
        </w:tc>
        <w:tc>
          <w:tcPr>
            <w:tcW w:w="1060" w:type="dxa"/>
            <w:tcBorders>
              <w:top w:val="nil"/>
              <w:left w:val="nil"/>
              <w:bottom w:val="single" w:color="auto" w:sz="4" w:space="0"/>
              <w:right w:val="single" w:color="auto" w:sz="4" w:space="0"/>
            </w:tcBorders>
            <w:shd w:val="clear" w:color="auto" w:fill="auto"/>
            <w:noWrap/>
            <w:vAlign w:val="center"/>
          </w:tcPr>
          <w:p w14:paraId="733BC172">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172</w:t>
            </w:r>
          </w:p>
        </w:tc>
      </w:tr>
      <w:tr w14:paraId="6739C229">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7F75AD26">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9</w:t>
            </w:r>
          </w:p>
        </w:tc>
        <w:tc>
          <w:tcPr>
            <w:tcW w:w="4940" w:type="dxa"/>
            <w:tcBorders>
              <w:top w:val="nil"/>
              <w:left w:val="nil"/>
              <w:bottom w:val="single" w:color="auto" w:sz="4" w:space="0"/>
              <w:right w:val="single" w:color="auto" w:sz="4" w:space="0"/>
            </w:tcBorders>
            <w:shd w:val="clear" w:color="auto" w:fill="auto"/>
            <w:noWrap/>
            <w:vAlign w:val="center"/>
          </w:tcPr>
          <w:p w14:paraId="6080896F">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四路集控箱箱体维保费</w:t>
            </w:r>
          </w:p>
        </w:tc>
        <w:tc>
          <w:tcPr>
            <w:tcW w:w="1080" w:type="dxa"/>
            <w:tcBorders>
              <w:top w:val="nil"/>
              <w:left w:val="nil"/>
              <w:bottom w:val="single" w:color="auto" w:sz="4" w:space="0"/>
              <w:right w:val="single" w:color="auto" w:sz="4" w:space="0"/>
            </w:tcBorders>
            <w:shd w:val="clear" w:color="auto" w:fill="auto"/>
            <w:noWrap/>
            <w:vAlign w:val="center"/>
          </w:tcPr>
          <w:p w14:paraId="3E254044">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套</w:t>
            </w:r>
          </w:p>
        </w:tc>
        <w:tc>
          <w:tcPr>
            <w:tcW w:w="1060" w:type="dxa"/>
            <w:tcBorders>
              <w:top w:val="nil"/>
              <w:left w:val="nil"/>
              <w:bottom w:val="single" w:color="auto" w:sz="4" w:space="0"/>
              <w:right w:val="single" w:color="auto" w:sz="4" w:space="0"/>
            </w:tcBorders>
            <w:shd w:val="clear" w:color="auto" w:fill="auto"/>
            <w:noWrap/>
            <w:vAlign w:val="center"/>
          </w:tcPr>
          <w:p w14:paraId="361F3B7C">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7</w:t>
            </w:r>
          </w:p>
        </w:tc>
      </w:tr>
      <w:tr w14:paraId="3C5E60C6">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2DDA8EFD">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10</w:t>
            </w:r>
          </w:p>
        </w:tc>
        <w:tc>
          <w:tcPr>
            <w:tcW w:w="4940" w:type="dxa"/>
            <w:tcBorders>
              <w:top w:val="nil"/>
              <w:left w:val="nil"/>
              <w:bottom w:val="single" w:color="auto" w:sz="4" w:space="0"/>
              <w:right w:val="single" w:color="auto" w:sz="4" w:space="0"/>
            </w:tcBorders>
            <w:shd w:val="clear" w:color="auto" w:fill="auto"/>
            <w:noWrap/>
            <w:vAlign w:val="center"/>
          </w:tcPr>
          <w:p w14:paraId="34AC4F8F">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智能控制箱维保费</w:t>
            </w:r>
          </w:p>
        </w:tc>
        <w:tc>
          <w:tcPr>
            <w:tcW w:w="1080" w:type="dxa"/>
            <w:tcBorders>
              <w:top w:val="nil"/>
              <w:left w:val="nil"/>
              <w:bottom w:val="single" w:color="auto" w:sz="4" w:space="0"/>
              <w:right w:val="single" w:color="auto" w:sz="4" w:space="0"/>
            </w:tcBorders>
            <w:shd w:val="clear" w:color="auto" w:fill="auto"/>
            <w:noWrap/>
            <w:vAlign w:val="center"/>
          </w:tcPr>
          <w:p w14:paraId="5174FE02">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套</w:t>
            </w:r>
          </w:p>
        </w:tc>
        <w:tc>
          <w:tcPr>
            <w:tcW w:w="1060" w:type="dxa"/>
            <w:tcBorders>
              <w:top w:val="nil"/>
              <w:left w:val="nil"/>
              <w:bottom w:val="single" w:color="auto" w:sz="4" w:space="0"/>
              <w:right w:val="single" w:color="auto" w:sz="4" w:space="0"/>
            </w:tcBorders>
            <w:shd w:val="clear" w:color="auto" w:fill="auto"/>
            <w:noWrap/>
            <w:vAlign w:val="center"/>
          </w:tcPr>
          <w:p w14:paraId="1041837F">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521</w:t>
            </w:r>
          </w:p>
        </w:tc>
      </w:tr>
      <w:tr w14:paraId="7C920189">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14:paraId="0BB36A45">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11</w:t>
            </w:r>
          </w:p>
        </w:tc>
        <w:tc>
          <w:tcPr>
            <w:tcW w:w="4940" w:type="dxa"/>
            <w:tcBorders>
              <w:top w:val="nil"/>
              <w:left w:val="nil"/>
              <w:bottom w:val="single" w:color="auto" w:sz="4" w:space="0"/>
              <w:right w:val="single" w:color="auto" w:sz="4" w:space="0"/>
            </w:tcBorders>
            <w:shd w:val="clear" w:color="auto" w:fill="auto"/>
            <w:noWrap/>
            <w:vAlign w:val="center"/>
          </w:tcPr>
          <w:p w14:paraId="7D00807A">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手机APP软件服务费</w:t>
            </w:r>
          </w:p>
        </w:tc>
        <w:tc>
          <w:tcPr>
            <w:tcW w:w="1080" w:type="dxa"/>
            <w:tcBorders>
              <w:top w:val="nil"/>
              <w:left w:val="nil"/>
              <w:bottom w:val="single" w:color="auto" w:sz="4" w:space="0"/>
              <w:right w:val="single" w:color="auto" w:sz="4" w:space="0"/>
            </w:tcBorders>
            <w:shd w:val="clear" w:color="auto" w:fill="auto"/>
            <w:noWrap/>
            <w:vAlign w:val="center"/>
          </w:tcPr>
          <w:p w14:paraId="174DB6FE">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项</w:t>
            </w:r>
          </w:p>
        </w:tc>
        <w:tc>
          <w:tcPr>
            <w:tcW w:w="1060" w:type="dxa"/>
            <w:tcBorders>
              <w:top w:val="nil"/>
              <w:left w:val="nil"/>
              <w:bottom w:val="single" w:color="auto" w:sz="4" w:space="0"/>
              <w:right w:val="single" w:color="auto" w:sz="4" w:space="0"/>
            </w:tcBorders>
            <w:shd w:val="clear" w:color="auto" w:fill="auto"/>
            <w:noWrap/>
            <w:vAlign w:val="center"/>
          </w:tcPr>
          <w:p w14:paraId="1B71ECB1">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1</w:t>
            </w:r>
          </w:p>
        </w:tc>
      </w:tr>
    </w:tbl>
    <w:p w14:paraId="0851F0AA">
      <w:pPr>
        <w:pStyle w:val="8"/>
        <w:numPr>
          <w:ilvl w:val="0"/>
          <w:numId w:val="2"/>
        </w:numPr>
        <w:spacing w:line="360" w:lineRule="auto"/>
        <w:ind w:firstLineChars="0"/>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t>服务要求</w:t>
      </w:r>
    </w:p>
    <w:p w14:paraId="4A8A6207">
      <w:pPr>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（一）中标方固定维护保养人员配置要求</w:t>
      </w:r>
    </w:p>
    <w:p w14:paraId="39DF9031">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1、设立维修维护管理项目经理一名,须具有机电二级建造师资质证书；负责与各部门之间的协调，解决处理疑难问题等。</w:t>
      </w:r>
    </w:p>
    <w:p w14:paraId="50AB85FC">
      <w:pPr>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2、中标方配置专业人员，提供24小时服务；</w:t>
      </w:r>
    </w:p>
    <w:p w14:paraId="5F3FFABF">
      <w:pPr>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注：巡查人员的配置请各投标单位自行在维护方案中说明。</w:t>
      </w:r>
    </w:p>
    <w:p w14:paraId="3483684D">
      <w:pPr>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（二）中标方服务承诺</w:t>
      </w:r>
    </w:p>
    <w:p w14:paraId="30450F91">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1、中标方须负责静安区平型关路400号机房内的集控中心设备，并按照采购人要求运用电脑集群技术支持并24小时监控，遇到有技术问题8小时内排除。</w:t>
      </w:r>
    </w:p>
    <w:p w14:paraId="6472ECFD">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2、在采购人要求的亮灯时段内（基本集中在每周五周六、节假日的晚上，临时保障按通知要求执行），至现场对全部</w:t>
      </w:r>
      <w:r>
        <w:rPr>
          <w:rFonts w:hint="eastAsia" w:ascii="宋体" w:hAnsi="宋体" w:eastAsia="宋体" w:cs="宋体"/>
          <w:color w:val="auto"/>
          <w:kern w:val="0"/>
          <w:sz w:val="28"/>
          <w:szCs w:val="28"/>
          <w:highlight w:val="none"/>
        </w:rPr>
        <w:t>集控箱</w:t>
      </w:r>
      <w:r>
        <w:rPr>
          <w:rFonts w:hint="eastAsia" w:ascii="宋体" w:hAnsi="宋体" w:eastAsia="宋体"/>
          <w:color w:val="auto"/>
          <w:sz w:val="28"/>
          <w:szCs w:val="28"/>
          <w:highlight w:val="none"/>
        </w:rPr>
        <w:t>巡查一遍，确保</w:t>
      </w:r>
      <w:r>
        <w:rPr>
          <w:rFonts w:hint="eastAsia" w:ascii="宋体" w:hAnsi="宋体" w:eastAsia="宋体" w:cs="宋体"/>
          <w:color w:val="auto"/>
          <w:kern w:val="0"/>
          <w:sz w:val="28"/>
          <w:szCs w:val="28"/>
          <w:highlight w:val="none"/>
        </w:rPr>
        <w:t>集控箱</w:t>
      </w:r>
      <w:r>
        <w:rPr>
          <w:rFonts w:hint="eastAsia" w:ascii="宋体" w:hAnsi="宋体" w:eastAsia="宋体"/>
          <w:color w:val="auto"/>
          <w:sz w:val="28"/>
          <w:szCs w:val="28"/>
          <w:highlight w:val="none"/>
        </w:rPr>
        <w:t>运行状态良好，并做好检查记录，发现异常情况当场解决，如当场不能解决的应在24小时内组织队伍进场进行维修并做好维修记录。于次日报采购人验收。</w:t>
      </w:r>
    </w:p>
    <w:p w14:paraId="27FA9268">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3、在巡查过程中如发现下位机大面积的损坏、被盗或存在较大安全隐患的情况，应立即向采购人报告，采购人人员到现场查看。在做好安全防护措施后，对现场进行拍照并做好详细记录，同时立即组织维修队伍进行抢修。</w:t>
      </w:r>
    </w:p>
    <w:p w14:paraId="52CF7A38">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4、如遇突发事件，必须在接到采购人通知后半小时内赶到现场组织实施抢修。</w:t>
      </w:r>
    </w:p>
    <w:p w14:paraId="7C909965">
      <w:pPr>
        <w:pStyle w:val="8"/>
        <w:spacing w:line="360" w:lineRule="auto"/>
        <w:ind w:firstLine="560"/>
        <w:rPr>
          <w:rFonts w:hint="eastAsia" w:ascii="宋体" w:hAnsi="宋体" w:eastAsia="宋体" w:cs="Arial"/>
          <w:color w:val="auto"/>
          <w:kern w:val="0"/>
          <w:sz w:val="28"/>
          <w:szCs w:val="28"/>
          <w:highlight w:val="none"/>
        </w:rPr>
      </w:pPr>
      <w:r>
        <w:rPr>
          <w:rFonts w:hint="eastAsia" w:ascii="宋体" w:hAnsi="宋体" w:eastAsia="宋体"/>
          <w:color w:val="auto"/>
          <w:sz w:val="28"/>
          <w:szCs w:val="28"/>
          <w:highlight w:val="none"/>
        </w:rPr>
        <w:t>5、静安区</w:t>
      </w:r>
      <w:r>
        <w:rPr>
          <w:rFonts w:hint="eastAsia" w:ascii="宋体" w:hAnsi="宋体" w:eastAsia="宋体" w:cs="Arial"/>
          <w:color w:val="auto"/>
          <w:kern w:val="0"/>
          <w:sz w:val="28"/>
          <w:szCs w:val="28"/>
          <w:highlight w:val="none"/>
        </w:rPr>
        <w:t>远程智能灯光控制系统可以兼容多种下位机；包括GSM单回路、GSM四回路、智能灯光控制箱等</w:t>
      </w:r>
      <w:r>
        <w:rPr>
          <w:rFonts w:hint="eastAsia" w:ascii="宋体" w:hAnsi="宋体" w:eastAsia="宋体" w:cs="宋体"/>
          <w:color w:val="auto"/>
          <w:kern w:val="0"/>
          <w:sz w:val="28"/>
          <w:szCs w:val="28"/>
          <w:highlight w:val="none"/>
        </w:rPr>
        <w:t>集控箱</w:t>
      </w:r>
      <w:r>
        <w:rPr>
          <w:rFonts w:hint="eastAsia" w:ascii="宋体" w:hAnsi="宋体" w:eastAsia="宋体" w:cs="Arial"/>
          <w:color w:val="auto"/>
          <w:kern w:val="0"/>
          <w:sz w:val="28"/>
          <w:szCs w:val="28"/>
          <w:highlight w:val="none"/>
        </w:rPr>
        <w:t>。可在同一界面下统一运行及管理，并具有开灯与关灯、定时开关、防盗、数据报表和火灾隐患的智能判别等功能。</w:t>
      </w:r>
    </w:p>
    <w:p w14:paraId="5259BCD7">
      <w:pPr>
        <w:pStyle w:val="8"/>
        <w:spacing w:line="360" w:lineRule="auto"/>
        <w:ind w:firstLine="560"/>
        <w:rPr>
          <w:rFonts w:hint="eastAsia" w:ascii="宋体" w:hAnsi="宋体" w:eastAsia="宋体" w:cs="Arial"/>
          <w:color w:val="auto"/>
          <w:kern w:val="0"/>
          <w:sz w:val="28"/>
          <w:szCs w:val="28"/>
          <w:highlight w:val="none"/>
        </w:rPr>
      </w:pPr>
      <w:r>
        <w:rPr>
          <w:rFonts w:hint="eastAsia" w:ascii="宋体" w:hAnsi="宋体" w:eastAsia="宋体" w:cs="Arial"/>
          <w:color w:val="auto"/>
          <w:kern w:val="0"/>
          <w:sz w:val="28"/>
          <w:szCs w:val="28"/>
          <w:highlight w:val="none"/>
        </w:rPr>
        <w:t>6、若</w:t>
      </w:r>
      <w:r>
        <w:rPr>
          <w:rFonts w:hint="eastAsia" w:ascii="宋体" w:hAnsi="宋体" w:eastAsia="宋体" w:cs="宋体"/>
          <w:color w:val="auto"/>
          <w:kern w:val="0"/>
          <w:sz w:val="28"/>
          <w:szCs w:val="28"/>
          <w:highlight w:val="none"/>
        </w:rPr>
        <w:t>集控箱</w:t>
      </w:r>
      <w:r>
        <w:rPr>
          <w:rFonts w:hint="eastAsia" w:ascii="宋体" w:hAnsi="宋体" w:eastAsia="宋体" w:cs="Arial"/>
          <w:color w:val="auto"/>
          <w:kern w:val="0"/>
          <w:sz w:val="28"/>
          <w:szCs w:val="28"/>
          <w:highlight w:val="none"/>
        </w:rPr>
        <w:t>故障且无法进行修复，更换智能灯光控制箱系列。</w:t>
      </w:r>
    </w:p>
    <w:p w14:paraId="57AE5567">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7、在各法定节假日以及重大活动之前，提前做好全面检查以确保景观灯光的正常亮灯。</w:t>
      </w:r>
    </w:p>
    <w:p w14:paraId="560F2D54">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8、采购人在日常检查时，发现损坏情况及时通知中标方修复，中标方在24小时内不予修复又不能做出正当解释的，采购人可另请他人修复，修复费用由维护方承担。</w:t>
      </w:r>
    </w:p>
    <w:p w14:paraId="1F4AD259">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9、在维护期半年内完成对采购人的操作培训（包括远程智能控制系统、手机APP控制、上下位机控制、网络网站维护等）；完成对采购人的技术交底、参数提供、物资设备盘点与转移（含通信与电力设施）、运行支持；履行设施设备维护、运行保障及咨询服务等。</w:t>
      </w:r>
    </w:p>
    <w:p w14:paraId="7271AED0">
      <w:pPr>
        <w:pStyle w:val="8"/>
        <w:spacing w:line="360" w:lineRule="auto"/>
        <w:ind w:firstLine="560"/>
        <w:rPr>
          <w:rFonts w:hint="eastAsia" w:ascii="宋体" w:hAnsi="宋体" w:eastAsia="宋体"/>
          <w:color w:val="auto"/>
          <w:sz w:val="28"/>
          <w:szCs w:val="28"/>
          <w:highlight w:val="none"/>
          <w:lang w:eastAsia="zh-CN"/>
        </w:rPr>
      </w:pPr>
      <w:r>
        <w:rPr>
          <w:rFonts w:hint="eastAsia" w:ascii="宋体" w:hAnsi="宋体" w:eastAsia="宋体"/>
          <w:color w:val="auto"/>
          <w:sz w:val="28"/>
          <w:szCs w:val="28"/>
          <w:highlight w:val="none"/>
          <w:lang w:val="en-US" w:eastAsia="zh-CN"/>
        </w:rPr>
        <w:t>10、</w:t>
      </w:r>
      <w:r>
        <w:rPr>
          <w:rFonts w:hint="eastAsia" w:ascii="宋体" w:hAnsi="宋体" w:eastAsia="宋体"/>
          <w:color w:val="auto"/>
          <w:sz w:val="28"/>
          <w:szCs w:val="28"/>
          <w:highlight w:val="none"/>
          <w:lang w:eastAsia="zh-CN"/>
        </w:rPr>
        <w:t>维护过程中</w:t>
      </w:r>
      <w:r>
        <w:rPr>
          <w:rFonts w:hint="eastAsia" w:ascii="宋体" w:hAnsi="宋体" w:eastAsia="宋体"/>
          <w:color w:val="auto"/>
          <w:sz w:val="28"/>
          <w:szCs w:val="28"/>
          <w:highlight w:val="none"/>
        </w:rPr>
        <w:t>须认真贯彻</w:t>
      </w:r>
      <w:r>
        <w:rPr>
          <w:rFonts w:hint="eastAsia" w:ascii="宋体" w:hAnsi="宋体" w:eastAsia="宋体"/>
          <w:color w:val="auto"/>
          <w:sz w:val="28"/>
          <w:szCs w:val="28"/>
          <w:highlight w:val="none"/>
          <w:lang w:eastAsia="zh-CN"/>
        </w:rPr>
        <w:t>各级</w:t>
      </w:r>
      <w:r>
        <w:rPr>
          <w:rFonts w:hint="eastAsia" w:ascii="宋体" w:hAnsi="宋体" w:eastAsia="宋体"/>
          <w:color w:val="auto"/>
          <w:sz w:val="28"/>
          <w:szCs w:val="28"/>
          <w:highlight w:val="none"/>
        </w:rPr>
        <w:t>安全生产主管部门颁发的有关安全</w:t>
      </w:r>
      <w:r>
        <w:rPr>
          <w:rFonts w:hint="eastAsia" w:ascii="宋体" w:hAnsi="宋体" w:eastAsia="宋体"/>
          <w:color w:val="auto"/>
          <w:sz w:val="28"/>
          <w:szCs w:val="28"/>
          <w:highlight w:val="none"/>
          <w:lang w:eastAsia="zh-CN"/>
        </w:rPr>
        <w:t>生产</w:t>
      </w:r>
      <w:r>
        <w:rPr>
          <w:rFonts w:hint="eastAsia" w:ascii="宋体" w:hAnsi="宋体" w:eastAsia="宋体"/>
          <w:color w:val="auto"/>
          <w:sz w:val="28"/>
          <w:szCs w:val="28"/>
          <w:highlight w:val="none"/>
        </w:rPr>
        <w:t>、</w:t>
      </w:r>
      <w:r>
        <w:rPr>
          <w:rFonts w:hint="eastAsia" w:ascii="宋体" w:hAnsi="宋体" w:eastAsia="宋体"/>
          <w:color w:val="auto"/>
          <w:sz w:val="28"/>
          <w:szCs w:val="28"/>
          <w:highlight w:val="none"/>
          <w:lang w:eastAsia="zh-CN"/>
        </w:rPr>
        <w:t>文明施工、</w:t>
      </w:r>
      <w:r>
        <w:rPr>
          <w:rFonts w:hint="eastAsia" w:ascii="宋体" w:hAnsi="宋体" w:eastAsia="宋体"/>
          <w:color w:val="auto"/>
          <w:sz w:val="28"/>
          <w:szCs w:val="28"/>
          <w:highlight w:val="none"/>
        </w:rPr>
        <w:t>消防</w:t>
      </w:r>
      <w:r>
        <w:rPr>
          <w:rFonts w:hint="eastAsia" w:ascii="宋体" w:hAnsi="宋体" w:eastAsia="宋体"/>
          <w:color w:val="auto"/>
          <w:sz w:val="28"/>
          <w:szCs w:val="28"/>
          <w:highlight w:val="none"/>
          <w:lang w:eastAsia="zh-CN"/>
        </w:rPr>
        <w:t>等</w:t>
      </w:r>
      <w:r>
        <w:rPr>
          <w:rFonts w:hint="eastAsia" w:ascii="宋体" w:hAnsi="宋体" w:eastAsia="宋体"/>
          <w:color w:val="auto"/>
          <w:sz w:val="28"/>
          <w:szCs w:val="28"/>
          <w:highlight w:val="none"/>
        </w:rPr>
        <w:t>工作</w:t>
      </w:r>
      <w:r>
        <w:rPr>
          <w:rFonts w:hint="eastAsia" w:ascii="宋体" w:hAnsi="宋体" w:eastAsia="宋体"/>
          <w:color w:val="auto"/>
          <w:sz w:val="28"/>
          <w:szCs w:val="28"/>
          <w:highlight w:val="none"/>
          <w:lang w:eastAsia="zh-CN"/>
        </w:rPr>
        <w:t>要求，</w:t>
      </w:r>
      <w:r>
        <w:rPr>
          <w:rFonts w:hint="eastAsia" w:ascii="宋体" w:hAnsi="宋体" w:eastAsia="宋体"/>
          <w:color w:val="auto"/>
          <w:sz w:val="28"/>
          <w:szCs w:val="28"/>
          <w:highlight w:val="none"/>
        </w:rPr>
        <w:t>制定有针对性的安全技术措施计划，严格按要求施工</w:t>
      </w:r>
      <w:r>
        <w:rPr>
          <w:rFonts w:hint="eastAsia" w:ascii="宋体" w:hAnsi="宋体" w:eastAsia="宋体"/>
          <w:color w:val="auto"/>
          <w:sz w:val="28"/>
          <w:szCs w:val="28"/>
          <w:highlight w:val="none"/>
          <w:lang w:eastAsia="zh-CN"/>
        </w:rPr>
        <w:t>维护。</w:t>
      </w:r>
    </w:p>
    <w:p w14:paraId="14746A37">
      <w:pPr>
        <w:pStyle w:val="8"/>
        <w:numPr>
          <w:ilvl w:val="0"/>
          <w:numId w:val="2"/>
        </w:numPr>
        <w:spacing w:line="360" w:lineRule="auto"/>
        <w:ind w:left="0" w:firstLine="562"/>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t>其他要求</w:t>
      </w:r>
    </w:p>
    <w:p w14:paraId="25B8DAB6">
      <w:pPr>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1、制定静安区景观灯光远程智能集控系统维护整体方案及措施（包括重大活动及应急处置管理思路）；</w:t>
      </w:r>
    </w:p>
    <w:p w14:paraId="3FAB4345">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2、静安区景观灯光远程智能集控系统日常养护、维修工作所涵盖的内容；</w:t>
      </w:r>
    </w:p>
    <w:p w14:paraId="28408F06">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3、保障静安区景观灯光远程智能集控系统</w:t>
      </w:r>
      <w:r>
        <w:rPr>
          <w:rFonts w:hint="eastAsia" w:ascii="宋体" w:hAnsi="宋体" w:eastAsia="宋体" w:cs="Arial"/>
          <w:color w:val="auto"/>
          <w:kern w:val="0"/>
          <w:sz w:val="28"/>
          <w:szCs w:val="28"/>
          <w:highlight w:val="none"/>
        </w:rPr>
        <w:t>和</w:t>
      </w:r>
      <w:r>
        <w:rPr>
          <w:rFonts w:hint="eastAsia" w:ascii="宋体" w:hAnsi="宋体" w:eastAsia="宋体"/>
          <w:color w:val="auto"/>
          <w:sz w:val="28"/>
          <w:szCs w:val="28"/>
          <w:highlight w:val="none"/>
        </w:rPr>
        <w:t>静安区整合系统之间，数据传送的正常运行；</w:t>
      </w:r>
    </w:p>
    <w:p w14:paraId="4FBBB4AB">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4、保障静安区景观灯光远程智能集控系统</w:t>
      </w:r>
      <w:r>
        <w:rPr>
          <w:rFonts w:hint="eastAsia" w:ascii="宋体" w:hAnsi="宋体" w:eastAsia="宋体" w:cs="Arial"/>
          <w:color w:val="auto"/>
          <w:kern w:val="0"/>
          <w:sz w:val="28"/>
          <w:szCs w:val="28"/>
          <w:highlight w:val="none"/>
        </w:rPr>
        <w:t>和</w:t>
      </w:r>
      <w:r>
        <w:rPr>
          <w:rFonts w:hint="eastAsia" w:ascii="宋体" w:hAnsi="宋体" w:eastAsia="宋体"/>
          <w:color w:val="auto"/>
          <w:sz w:val="28"/>
          <w:szCs w:val="28"/>
          <w:highlight w:val="none"/>
        </w:rPr>
        <w:t>上海市绿化和市容管理局系统之间，互联互通数据的正常运行；</w:t>
      </w:r>
    </w:p>
    <w:p w14:paraId="6F0ED5A4">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5、拟采取的管理方式、工作计划和物资设备情况；</w:t>
      </w:r>
    </w:p>
    <w:p w14:paraId="2726E665">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（1）管理方式：内容管理架构、激励机制、监督机制、自我约束机制、信息反馈及处理机制等。</w:t>
      </w:r>
    </w:p>
    <w:p w14:paraId="1A61873C">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（2）物资设备：灯光养护服务专业用具、工具；安全防范装备及用品；其他维护维修工具及特殊消耗品等；集控及相关备品备件不得低于1%。</w:t>
      </w:r>
    </w:p>
    <w:p w14:paraId="2A8DDAC5">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6、人员的配备、培训、管理：</w:t>
      </w:r>
    </w:p>
    <w:p w14:paraId="1F0E8678">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（1）管理人员配备：项目经理简历、从事类似灯光维护管理项目经验和业绩；</w:t>
      </w:r>
    </w:p>
    <w:p w14:paraId="0B496757">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（2）日常专职维护人员的配备，维护人员需持有低压电工作业证，需提供专职维护人员的社保缴纳证明等；</w:t>
      </w:r>
    </w:p>
    <w:p w14:paraId="1A0E1B7F">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（3）人员培训：对各类人员的培训计划、方式、目标及行为规范的培训等。</w:t>
      </w:r>
    </w:p>
    <w:p w14:paraId="2A419507">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7、响应时间和服务承诺（包括各项指标的承诺及为完成承诺指标采取的措施）</w:t>
      </w:r>
    </w:p>
    <w:p w14:paraId="30FF08BB">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（1）故障响应时间，到达现场时间，及修复时限等；</w:t>
      </w:r>
    </w:p>
    <w:p w14:paraId="42FEC9F2">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（2）对有效投诉处理率。</w:t>
      </w:r>
    </w:p>
    <w:p w14:paraId="439624DA">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8、投标单位在维护期内若提供如下资源：行政管理人员及维护人员住房、办公用户、器械、交通工具以及通讯、安全防范装备及办公用品等。请投标单位自行考虑此部分的费用，并在报价明细中体现；</w:t>
      </w:r>
    </w:p>
    <w:p w14:paraId="72109429">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9、</w:t>
      </w:r>
      <w:r>
        <w:rPr>
          <w:rFonts w:hint="eastAsia" w:ascii="宋体" w:hAnsi="宋体" w:eastAsia="宋体"/>
          <w:b/>
          <w:color w:val="auto"/>
          <w:sz w:val="28"/>
          <w:szCs w:val="28"/>
          <w:highlight w:val="none"/>
        </w:rPr>
        <w:t>本项目服务期限自合同签订日起1年</w:t>
      </w:r>
      <w:r>
        <w:rPr>
          <w:rFonts w:hint="eastAsia" w:ascii="宋体" w:hAnsi="宋体" w:eastAsia="宋体"/>
          <w:color w:val="auto"/>
          <w:sz w:val="28"/>
          <w:szCs w:val="28"/>
          <w:highlight w:val="none"/>
        </w:rPr>
        <w:t>；</w:t>
      </w:r>
    </w:p>
    <w:p w14:paraId="0110E85A">
      <w:pPr>
        <w:spacing w:line="360" w:lineRule="auto"/>
        <w:ind w:firstLine="560" w:firstLineChars="20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10、</w:t>
      </w:r>
      <w:r>
        <w:rPr>
          <w:rFonts w:hint="eastAsia" w:ascii="宋体" w:hAnsi="宋体" w:eastAsia="宋体"/>
          <w:b/>
          <w:color w:val="auto"/>
          <w:sz w:val="28"/>
          <w:szCs w:val="28"/>
          <w:highlight w:val="none"/>
        </w:rPr>
        <w:t>付款方式：合同签订后付50%首付款，11月中旬再支付50%服务尾款</w:t>
      </w:r>
      <w:r>
        <w:rPr>
          <w:rFonts w:hint="eastAsia" w:ascii="宋体" w:hAnsi="宋体" w:eastAsia="宋体"/>
          <w:color w:val="auto"/>
          <w:sz w:val="28"/>
          <w:szCs w:val="28"/>
          <w:highlight w:val="none"/>
        </w:rPr>
        <w:t>；</w:t>
      </w:r>
    </w:p>
    <w:p w14:paraId="00AE7720">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11、投标单位应承诺在合同期内发生的管理成本增加因素由本企业自行消化；</w:t>
      </w:r>
    </w:p>
    <w:p w14:paraId="401CC378">
      <w:pPr>
        <w:pStyle w:val="8"/>
        <w:spacing w:line="360" w:lineRule="auto"/>
        <w:ind w:firstLine="560"/>
        <w:rPr>
          <w:rFonts w:hint="eastAsia" w:ascii="宋体" w:hAnsi="宋体" w:eastAsia="宋体"/>
          <w:color w:val="auto"/>
          <w:sz w:val="28"/>
          <w:szCs w:val="28"/>
          <w:highlight w:val="none"/>
        </w:rPr>
      </w:pPr>
      <w:bookmarkStart w:id="0" w:name="_GoBack"/>
      <w:r>
        <w:rPr>
          <w:rFonts w:hint="eastAsia" w:ascii="宋体" w:hAnsi="宋体" w:eastAsia="宋体"/>
          <w:color w:val="auto"/>
          <w:sz w:val="28"/>
          <w:szCs w:val="28"/>
          <w:highlight w:val="none"/>
        </w:rPr>
        <w:t>12、投标单位在本市设有长期、固定的服务机构，并提供服务场</w:t>
      </w:r>
      <w:bookmarkEnd w:id="0"/>
      <w:r>
        <w:rPr>
          <w:rFonts w:hint="eastAsia" w:ascii="宋体" w:hAnsi="宋体" w:eastAsia="宋体"/>
          <w:color w:val="auto"/>
          <w:sz w:val="28"/>
          <w:szCs w:val="28"/>
          <w:highlight w:val="none"/>
        </w:rPr>
        <w:t>地的使用证明（租赁合同、产权证明等）</w:t>
      </w:r>
    </w:p>
    <w:p w14:paraId="6B85A655">
      <w:pPr>
        <w:pStyle w:val="8"/>
        <w:spacing w:line="360" w:lineRule="auto"/>
        <w:ind w:firstLine="560"/>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13、投标单位具有类似业绩的优先，提供最近三年内合同复印件加盖公章，提供最近三年内业主方评价优秀（或满意）的材料；</w:t>
      </w:r>
    </w:p>
    <w:p w14:paraId="13625316">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1</w:t>
      </w:r>
      <w:r>
        <w:rPr>
          <w:rFonts w:hint="eastAsia" w:ascii="宋体" w:hAnsi="宋体" w:eastAsia="宋体"/>
          <w:color w:val="auto"/>
          <w:sz w:val="28"/>
          <w:szCs w:val="28"/>
          <w:highlight w:val="none"/>
          <w:lang w:val="en-US" w:eastAsia="zh-CN"/>
        </w:rPr>
        <w:t>4</w:t>
      </w:r>
      <w:r>
        <w:rPr>
          <w:rFonts w:hint="eastAsia" w:ascii="宋体" w:hAnsi="宋体" w:eastAsia="宋体"/>
          <w:color w:val="auto"/>
          <w:sz w:val="28"/>
          <w:szCs w:val="28"/>
          <w:highlight w:val="none"/>
        </w:rPr>
        <w:t>、投标人应合理配置团队服务人数，确保达到岗位配置要求，同时承诺所有服务人员劳动时间符合《劳动法》的规定。</w:t>
      </w:r>
    </w:p>
    <w:p w14:paraId="3D26C487">
      <w:pPr>
        <w:pStyle w:val="8"/>
        <w:spacing w:line="360" w:lineRule="auto"/>
        <w:ind w:firstLine="560"/>
        <w:rPr>
          <w:rFonts w:hint="eastAsia"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15</w:t>
      </w:r>
      <w:r>
        <w:rPr>
          <w:rFonts w:hint="eastAsia" w:ascii="宋体" w:hAnsi="宋体" w:eastAsia="宋体"/>
          <w:color w:val="auto"/>
          <w:sz w:val="28"/>
          <w:szCs w:val="28"/>
          <w:highlight w:val="none"/>
        </w:rPr>
        <w:t>、投标人需承诺，若中标为项目所有团队服务人员投保足够份额的雇主责任险、公众责任险等。</w:t>
      </w:r>
    </w:p>
    <w:p w14:paraId="1748B6CE">
      <w:pPr>
        <w:pStyle w:val="8"/>
        <w:spacing w:line="360" w:lineRule="auto"/>
        <w:ind w:firstLine="560"/>
        <w:rPr>
          <w:rFonts w:hint="eastAsia" w:ascii="宋体" w:hAnsi="宋体" w:eastAsia="宋体"/>
          <w:color w:val="auto"/>
          <w:sz w:val="28"/>
          <w:szCs w:val="28"/>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125514"/>
      <w:docPartObj>
        <w:docPartGallery w:val="autotext"/>
      </w:docPartObj>
    </w:sdtPr>
    <w:sdtContent>
      <w:p w14:paraId="2CC0EF59">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14:paraId="00AAE91A">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E432C"/>
    <w:multiLevelType w:val="multilevel"/>
    <w:tmpl w:val="563E432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E9D3F98"/>
    <w:multiLevelType w:val="multilevel"/>
    <w:tmpl w:val="6E9D3F9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674"/>
    <w:rsid w:val="0006252D"/>
    <w:rsid w:val="00067BD8"/>
    <w:rsid w:val="00081F0A"/>
    <w:rsid w:val="00095F6E"/>
    <w:rsid w:val="00097674"/>
    <w:rsid w:val="00100CBB"/>
    <w:rsid w:val="00101C20"/>
    <w:rsid w:val="0011058F"/>
    <w:rsid w:val="00111A60"/>
    <w:rsid w:val="0011221E"/>
    <w:rsid w:val="00123FEA"/>
    <w:rsid w:val="00137B03"/>
    <w:rsid w:val="0016044B"/>
    <w:rsid w:val="001611EB"/>
    <w:rsid w:val="001649CD"/>
    <w:rsid w:val="0017176E"/>
    <w:rsid w:val="001A39FD"/>
    <w:rsid w:val="001C4D7C"/>
    <w:rsid w:val="001E708D"/>
    <w:rsid w:val="00207296"/>
    <w:rsid w:val="0024316D"/>
    <w:rsid w:val="002741DE"/>
    <w:rsid w:val="00283037"/>
    <w:rsid w:val="002A1823"/>
    <w:rsid w:val="002E26B3"/>
    <w:rsid w:val="0030569C"/>
    <w:rsid w:val="003150A3"/>
    <w:rsid w:val="00325214"/>
    <w:rsid w:val="00374EBA"/>
    <w:rsid w:val="003844FD"/>
    <w:rsid w:val="0042077A"/>
    <w:rsid w:val="00444B42"/>
    <w:rsid w:val="0045775C"/>
    <w:rsid w:val="004724B8"/>
    <w:rsid w:val="0047475D"/>
    <w:rsid w:val="00491689"/>
    <w:rsid w:val="004A314F"/>
    <w:rsid w:val="00535218"/>
    <w:rsid w:val="00571F27"/>
    <w:rsid w:val="005900CC"/>
    <w:rsid w:val="005A3D78"/>
    <w:rsid w:val="00612D19"/>
    <w:rsid w:val="0061504F"/>
    <w:rsid w:val="00625F5D"/>
    <w:rsid w:val="00627761"/>
    <w:rsid w:val="006402D6"/>
    <w:rsid w:val="0066034C"/>
    <w:rsid w:val="006837B5"/>
    <w:rsid w:val="006934B8"/>
    <w:rsid w:val="00693517"/>
    <w:rsid w:val="006D36A0"/>
    <w:rsid w:val="006F0931"/>
    <w:rsid w:val="00744D9A"/>
    <w:rsid w:val="00765E23"/>
    <w:rsid w:val="0078252D"/>
    <w:rsid w:val="008047ED"/>
    <w:rsid w:val="008B6DAA"/>
    <w:rsid w:val="008C166F"/>
    <w:rsid w:val="008D6479"/>
    <w:rsid w:val="00903EB3"/>
    <w:rsid w:val="00906D16"/>
    <w:rsid w:val="00932252"/>
    <w:rsid w:val="00932A5C"/>
    <w:rsid w:val="009A1737"/>
    <w:rsid w:val="009B2E41"/>
    <w:rsid w:val="009B4231"/>
    <w:rsid w:val="00A34CA0"/>
    <w:rsid w:val="00A6702C"/>
    <w:rsid w:val="00A7047F"/>
    <w:rsid w:val="00A950AE"/>
    <w:rsid w:val="00AC1CC8"/>
    <w:rsid w:val="00AC73CC"/>
    <w:rsid w:val="00AD710D"/>
    <w:rsid w:val="00AE7243"/>
    <w:rsid w:val="00B10E64"/>
    <w:rsid w:val="00B34141"/>
    <w:rsid w:val="00B53110"/>
    <w:rsid w:val="00B57D80"/>
    <w:rsid w:val="00B80F70"/>
    <w:rsid w:val="00B8159B"/>
    <w:rsid w:val="00B904C0"/>
    <w:rsid w:val="00C178D3"/>
    <w:rsid w:val="00C25700"/>
    <w:rsid w:val="00C56BE7"/>
    <w:rsid w:val="00C60A0E"/>
    <w:rsid w:val="00C747FB"/>
    <w:rsid w:val="00C840EF"/>
    <w:rsid w:val="00C922E7"/>
    <w:rsid w:val="00CA3FE3"/>
    <w:rsid w:val="00CC1B2E"/>
    <w:rsid w:val="00D154A6"/>
    <w:rsid w:val="00D4130B"/>
    <w:rsid w:val="00DD5368"/>
    <w:rsid w:val="00DE7105"/>
    <w:rsid w:val="00DF335B"/>
    <w:rsid w:val="00E755BE"/>
    <w:rsid w:val="00E842CA"/>
    <w:rsid w:val="00E943AD"/>
    <w:rsid w:val="00EA689E"/>
    <w:rsid w:val="00EC1028"/>
    <w:rsid w:val="00F13729"/>
    <w:rsid w:val="00F218E4"/>
    <w:rsid w:val="00F43BE8"/>
    <w:rsid w:val="00F66E5D"/>
    <w:rsid w:val="00F9500D"/>
    <w:rsid w:val="00F96B79"/>
    <w:rsid w:val="00FA4A06"/>
    <w:rsid w:val="00FB5023"/>
    <w:rsid w:val="00FC19B6"/>
    <w:rsid w:val="00FC4237"/>
    <w:rsid w:val="00FD4C58"/>
    <w:rsid w:val="10EB29D2"/>
    <w:rsid w:val="129C5FA6"/>
    <w:rsid w:val="25CD79B1"/>
    <w:rsid w:val="432068D6"/>
    <w:rsid w:val="53AF5454"/>
    <w:rsid w:val="6DCB0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eastAsia="宋体" w:cs="Times New Roman"/>
      <w:kern w:val="0"/>
      <w:sz w:val="18"/>
      <w:szCs w:val="18"/>
    </w:rPr>
  </w:style>
  <w:style w:type="character" w:styleId="7">
    <w:name w:val="Hyperlink"/>
    <w:basedOn w:val="6"/>
    <w:semiHidden/>
    <w:unhideWhenUsed/>
    <w:qFormat/>
    <w:uiPriority w:val="99"/>
    <w:rPr>
      <w:color w:val="0000FF"/>
      <w:u w:val="single"/>
    </w:rPr>
  </w:style>
  <w:style w:type="paragraph" w:styleId="8">
    <w:name w:val="List Paragraph"/>
    <w:basedOn w:val="1"/>
    <w:qFormat/>
    <w:uiPriority w:val="34"/>
    <w:pPr>
      <w:ind w:firstLine="420" w:firstLineChars="200"/>
    </w:p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2062</Words>
  <Characters>2122</Characters>
  <Lines>14</Lines>
  <Paragraphs>4</Paragraphs>
  <TotalTime>2</TotalTime>
  <ScaleCrop>false</ScaleCrop>
  <LinksUpToDate>false</LinksUpToDate>
  <CharactersWithSpaces>2123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2025-03-04T09:31:00Z</dcterms:created>
  <dc:creator>ZBJG</dc:creator>
  <cp:lastModifiedBy>待到尘埃落定时</cp:lastModifiedBy>
  <cp:lastPrinted>2018-12-10T06:23:00Z</cp:lastPrinted>
  <dcterms:modified xsi:type="dcterms:W3CDTF">2025-03-27T03:40:52Z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eyJoZGlkIjoiZTVkYjAxNTA2NmNkNTRlODkzYjNlOTNiMjZjMTI5MTAiLCJ1c2VySWQiOiI1NDYxNjc0MDMifQ==</vt:lpwstr>
  </property>
  <property fmtid="{D5CDD505-2E9C-101B-9397-08002B2CF9AE}" pid="3" name="KSOProductBuildVer">
    <vt:lpwstr>2052-12.1.0.20305</vt:lpwstr>
  </property>
  <property fmtid="{D5CDD505-2E9C-101B-9397-08002B2CF9AE}" pid="4" name="ICV">
    <vt:lpwstr>9D32B41F16E340E49E2408F12D84B66D_13</vt:lpwstr>
  </property>
</Properties>
</file>