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1390" w:type="dxa"/>
        <w:tblInd w:w="-1483" w:type="dxa"/>
        <w:tblLayout w:type="autofit"/>
        <w:tblCellMar>
          <w:top w:w="0" w:type="dxa"/>
          <w:left w:w="108" w:type="dxa"/>
          <w:bottom w:w="0" w:type="dxa"/>
          <w:right w:w="108" w:type="dxa"/>
        </w:tblCellMar>
      </w:tblPr>
      <w:tblGrid>
        <w:gridCol w:w="990"/>
        <w:gridCol w:w="891"/>
        <w:gridCol w:w="99"/>
        <w:gridCol w:w="990"/>
        <w:gridCol w:w="990"/>
        <w:gridCol w:w="990"/>
        <w:gridCol w:w="990"/>
        <w:gridCol w:w="990"/>
        <w:gridCol w:w="1120"/>
        <w:gridCol w:w="1080"/>
        <w:gridCol w:w="1270"/>
        <w:gridCol w:w="990"/>
      </w:tblGrid>
      <w:tr w14:paraId="4B527ADB">
        <w:tblPrEx>
          <w:tblCellMar>
            <w:top w:w="0" w:type="dxa"/>
            <w:left w:w="108" w:type="dxa"/>
            <w:bottom w:w="0" w:type="dxa"/>
            <w:right w:w="108" w:type="dxa"/>
          </w:tblCellMar>
        </w:tblPrEx>
        <w:trPr>
          <w:trHeight w:val="280" w:hRule="atLeast"/>
        </w:trPr>
        <w:tc>
          <w:tcPr>
            <w:tcW w:w="990" w:type="dxa"/>
            <w:tcBorders>
              <w:top w:val="nil"/>
              <w:left w:val="nil"/>
              <w:bottom w:val="nil"/>
              <w:right w:val="nil"/>
            </w:tcBorders>
            <w:shd w:val="clear" w:color="auto" w:fill="auto"/>
            <w:noWrap/>
            <w:vAlign w:val="center"/>
          </w:tcPr>
          <w:p w14:paraId="76AE345C">
            <w:pPr>
              <w:rPr>
                <w:rFonts w:hint="eastAsia"/>
              </w:rPr>
            </w:pPr>
          </w:p>
        </w:tc>
        <w:tc>
          <w:tcPr>
            <w:tcW w:w="990" w:type="dxa"/>
            <w:gridSpan w:val="2"/>
            <w:tcBorders>
              <w:top w:val="nil"/>
              <w:left w:val="nil"/>
              <w:bottom w:val="nil"/>
              <w:right w:val="nil"/>
            </w:tcBorders>
            <w:shd w:val="clear" w:color="auto" w:fill="auto"/>
            <w:noWrap/>
            <w:vAlign w:val="center"/>
          </w:tcPr>
          <w:p w14:paraId="141BA5AF">
            <w:pPr>
              <w:rPr>
                <w:rFonts w:hint="eastAsia"/>
              </w:rPr>
            </w:pPr>
          </w:p>
        </w:tc>
        <w:tc>
          <w:tcPr>
            <w:tcW w:w="990" w:type="dxa"/>
            <w:tcBorders>
              <w:top w:val="nil"/>
              <w:left w:val="nil"/>
              <w:bottom w:val="nil"/>
              <w:right w:val="nil"/>
            </w:tcBorders>
            <w:shd w:val="clear" w:color="auto" w:fill="auto"/>
            <w:noWrap/>
            <w:vAlign w:val="center"/>
          </w:tcPr>
          <w:p w14:paraId="03AFF296">
            <w:pPr>
              <w:rPr>
                <w:rFonts w:hint="eastAsia"/>
              </w:rPr>
            </w:pPr>
          </w:p>
        </w:tc>
        <w:tc>
          <w:tcPr>
            <w:tcW w:w="990" w:type="dxa"/>
            <w:tcBorders>
              <w:top w:val="nil"/>
              <w:left w:val="nil"/>
              <w:bottom w:val="nil"/>
              <w:right w:val="nil"/>
            </w:tcBorders>
            <w:shd w:val="clear" w:color="auto" w:fill="auto"/>
            <w:noWrap/>
            <w:vAlign w:val="center"/>
          </w:tcPr>
          <w:p w14:paraId="0FFA06F6">
            <w:pPr>
              <w:rPr>
                <w:rFonts w:hint="eastAsia"/>
              </w:rPr>
            </w:pPr>
          </w:p>
        </w:tc>
        <w:tc>
          <w:tcPr>
            <w:tcW w:w="990" w:type="dxa"/>
            <w:tcBorders>
              <w:top w:val="nil"/>
              <w:left w:val="nil"/>
              <w:bottom w:val="nil"/>
              <w:right w:val="nil"/>
            </w:tcBorders>
            <w:shd w:val="clear" w:color="auto" w:fill="auto"/>
            <w:noWrap/>
            <w:vAlign w:val="center"/>
          </w:tcPr>
          <w:p w14:paraId="05E9D420">
            <w:pPr>
              <w:rPr>
                <w:rFonts w:hint="eastAsia"/>
              </w:rPr>
            </w:pPr>
          </w:p>
        </w:tc>
        <w:tc>
          <w:tcPr>
            <w:tcW w:w="990" w:type="dxa"/>
            <w:tcBorders>
              <w:top w:val="nil"/>
              <w:left w:val="nil"/>
              <w:bottom w:val="nil"/>
              <w:right w:val="nil"/>
            </w:tcBorders>
            <w:shd w:val="clear" w:color="auto" w:fill="auto"/>
            <w:noWrap/>
            <w:vAlign w:val="center"/>
          </w:tcPr>
          <w:p w14:paraId="767B9169">
            <w:pPr>
              <w:rPr>
                <w:rFonts w:hint="eastAsia"/>
              </w:rPr>
            </w:pPr>
          </w:p>
        </w:tc>
        <w:tc>
          <w:tcPr>
            <w:tcW w:w="990" w:type="dxa"/>
            <w:tcBorders>
              <w:top w:val="nil"/>
              <w:left w:val="nil"/>
              <w:bottom w:val="nil"/>
              <w:right w:val="nil"/>
            </w:tcBorders>
            <w:shd w:val="clear" w:color="auto" w:fill="auto"/>
            <w:noWrap/>
            <w:vAlign w:val="center"/>
          </w:tcPr>
          <w:p w14:paraId="7D86556A">
            <w:pPr>
              <w:rPr>
                <w:rFonts w:hint="eastAsia"/>
              </w:rPr>
            </w:pPr>
          </w:p>
        </w:tc>
        <w:tc>
          <w:tcPr>
            <w:tcW w:w="1120" w:type="dxa"/>
            <w:tcBorders>
              <w:top w:val="nil"/>
              <w:left w:val="nil"/>
              <w:bottom w:val="nil"/>
              <w:right w:val="nil"/>
            </w:tcBorders>
            <w:shd w:val="clear" w:color="auto" w:fill="auto"/>
            <w:noWrap/>
            <w:vAlign w:val="center"/>
          </w:tcPr>
          <w:p w14:paraId="2587AF7B">
            <w:pPr>
              <w:rPr>
                <w:rFonts w:hint="eastAsia"/>
              </w:rPr>
            </w:pPr>
          </w:p>
        </w:tc>
        <w:tc>
          <w:tcPr>
            <w:tcW w:w="1080" w:type="dxa"/>
            <w:tcBorders>
              <w:top w:val="nil"/>
              <w:left w:val="nil"/>
              <w:bottom w:val="nil"/>
              <w:right w:val="nil"/>
            </w:tcBorders>
            <w:shd w:val="clear" w:color="auto" w:fill="auto"/>
            <w:noWrap/>
            <w:vAlign w:val="center"/>
          </w:tcPr>
          <w:p w14:paraId="6163D1C8">
            <w:pPr>
              <w:rPr>
                <w:rFonts w:hint="eastAsia"/>
              </w:rPr>
            </w:pPr>
          </w:p>
        </w:tc>
        <w:tc>
          <w:tcPr>
            <w:tcW w:w="1270" w:type="dxa"/>
            <w:tcBorders>
              <w:top w:val="nil"/>
              <w:left w:val="nil"/>
              <w:bottom w:val="nil"/>
              <w:right w:val="nil"/>
            </w:tcBorders>
            <w:shd w:val="clear" w:color="auto" w:fill="auto"/>
            <w:noWrap/>
            <w:vAlign w:val="center"/>
          </w:tcPr>
          <w:p w14:paraId="4D73C62A">
            <w:pPr>
              <w:rPr>
                <w:rFonts w:hint="eastAsia"/>
              </w:rPr>
            </w:pPr>
          </w:p>
        </w:tc>
        <w:tc>
          <w:tcPr>
            <w:tcW w:w="990" w:type="dxa"/>
            <w:tcBorders>
              <w:top w:val="nil"/>
              <w:left w:val="nil"/>
              <w:bottom w:val="nil"/>
              <w:right w:val="nil"/>
            </w:tcBorders>
            <w:shd w:val="clear" w:color="auto" w:fill="auto"/>
            <w:noWrap/>
            <w:vAlign w:val="center"/>
          </w:tcPr>
          <w:p w14:paraId="6D86114C">
            <w:pPr>
              <w:rPr>
                <w:rFonts w:hint="eastAsia"/>
              </w:rPr>
            </w:pPr>
          </w:p>
        </w:tc>
      </w:tr>
      <w:tr w14:paraId="53305DF6">
        <w:tblPrEx>
          <w:tblCellMar>
            <w:top w:w="0" w:type="dxa"/>
            <w:left w:w="108" w:type="dxa"/>
            <w:bottom w:w="0" w:type="dxa"/>
            <w:right w:w="108" w:type="dxa"/>
          </w:tblCellMar>
        </w:tblPrEx>
        <w:trPr>
          <w:trHeight w:val="46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36401347">
            <w:pPr>
              <w:rPr>
                <w:rFonts w:hint="eastAsia"/>
              </w:rPr>
            </w:pPr>
            <w:r>
              <w:rPr>
                <w:rFonts w:hint="eastAsia"/>
              </w:rPr>
              <w:t>一、主要功能与目标</w:t>
            </w:r>
          </w:p>
        </w:tc>
      </w:tr>
      <w:tr w14:paraId="498259CD">
        <w:tblPrEx>
          <w:tblCellMar>
            <w:top w:w="0" w:type="dxa"/>
            <w:left w:w="108" w:type="dxa"/>
            <w:bottom w:w="0" w:type="dxa"/>
            <w:right w:w="108" w:type="dxa"/>
          </w:tblCellMar>
        </w:tblPrEx>
        <w:trPr>
          <w:trHeight w:val="79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191980A">
            <w:pPr>
              <w:rPr>
                <w:rFonts w:hint="eastAsia"/>
              </w:rPr>
            </w:pPr>
            <w:r>
              <w:rPr>
                <w:rFonts w:hint="eastAsia"/>
              </w:rPr>
              <w:t xml:space="preserve">   高档彩色多普勒超声诊断仪主要用于腹部、心脏、妇产科、外周血管、小器官、肌骨、介入等方面的临床超声诊断和科研，具备持续升级能力，能满足开展新的临床应用需求。</w:t>
            </w:r>
          </w:p>
        </w:tc>
      </w:tr>
      <w:tr w14:paraId="4AA8D094">
        <w:tblPrEx>
          <w:tblCellMar>
            <w:top w:w="0" w:type="dxa"/>
            <w:left w:w="108" w:type="dxa"/>
            <w:bottom w:w="0" w:type="dxa"/>
            <w:right w:w="108" w:type="dxa"/>
          </w:tblCellMar>
        </w:tblPrEx>
        <w:trPr>
          <w:trHeight w:val="550" w:hRule="atLeast"/>
        </w:trPr>
        <w:tc>
          <w:tcPr>
            <w:tcW w:w="11390" w:type="dxa"/>
            <w:gridSpan w:val="12"/>
            <w:tcBorders>
              <w:top w:val="single" w:color="000000" w:sz="4" w:space="0"/>
              <w:left w:val="single" w:color="000000" w:sz="4" w:space="0"/>
              <w:bottom w:val="nil"/>
              <w:right w:val="single" w:color="000000" w:sz="4" w:space="0"/>
            </w:tcBorders>
            <w:shd w:val="clear" w:color="auto" w:fill="BFBFBF"/>
            <w:noWrap/>
            <w:vAlign w:val="center"/>
          </w:tcPr>
          <w:p w14:paraId="28BBE0B9">
            <w:pPr>
              <w:rPr>
                <w:rFonts w:hint="eastAsia"/>
              </w:rPr>
            </w:pPr>
            <w:r>
              <w:rPr>
                <w:rFonts w:hint="eastAsia"/>
              </w:rPr>
              <w:t>二、主要技术参数（所有主要技术参数均需提供技术证明材料且标注具体页码）</w:t>
            </w:r>
          </w:p>
        </w:tc>
      </w:tr>
      <w:tr w14:paraId="3F1F3D90">
        <w:tblPrEx>
          <w:tblCellMar>
            <w:top w:w="0" w:type="dxa"/>
            <w:left w:w="108" w:type="dxa"/>
            <w:bottom w:w="0" w:type="dxa"/>
            <w:right w:w="108" w:type="dxa"/>
          </w:tblCellMar>
        </w:tblPrEx>
        <w:trPr>
          <w:trHeight w:val="280"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956A085">
            <w:pPr>
              <w:rPr>
                <w:rFonts w:hint="eastAsia"/>
              </w:rPr>
            </w:pPr>
            <w:r>
              <w:rPr>
                <w:rFonts w:hint="eastAsia"/>
              </w:rPr>
              <w:t>1、智能动态微切片技术，超声切面厚度方向能够进行所有深度的连续精确聚焦，实现超薄切面成像。 可进行薄、厚超声切面的控制调节，灰阶模式和彩色模式的超声切面厚度分0-2档可视可调。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F798">
            <w:pPr>
              <w:rPr>
                <w:rFonts w:hint="eastAsia" w:eastAsia="仿宋"/>
                <w:lang w:eastAsia="zh-CN"/>
              </w:rPr>
            </w:pPr>
            <w:r>
              <w:rPr>
                <w:rFonts w:hint="eastAsia"/>
                <w:lang w:val="en-US" w:eastAsia="zh-CN"/>
              </w:rPr>
              <w:t>4</w:t>
            </w:r>
          </w:p>
        </w:tc>
      </w:tr>
      <w:tr w14:paraId="67BF3D5D">
        <w:tblPrEx>
          <w:tblCellMar>
            <w:top w:w="0" w:type="dxa"/>
            <w:left w:w="108" w:type="dxa"/>
            <w:bottom w:w="0" w:type="dxa"/>
            <w:right w:w="108" w:type="dxa"/>
          </w:tblCellMar>
        </w:tblPrEx>
        <w:trPr>
          <w:trHeight w:val="590"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C8991C2">
            <w:pPr>
              <w:rPr>
                <w:rFonts w:hint="eastAsia"/>
              </w:rPr>
            </w:pPr>
            <w:r>
              <w:rPr>
                <w:rFonts w:hint="eastAsia"/>
              </w:rPr>
              <w:t>2、微小钙化增强显示，采用独特的信号处理技术，将微小钙化从组织背景中提取并增强显示，采用蓝色组织背景，可以与原始图像实时双幅对比显示，可应用在乳腺、甲状腺等腺体组织恶性肿瘤的早期筛查及穿刺引导。</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98E27">
            <w:pPr>
              <w:rPr>
                <w:rFonts w:hint="eastAsia" w:eastAsia="仿宋"/>
                <w:lang w:eastAsia="zh-CN"/>
              </w:rPr>
            </w:pPr>
            <w:r>
              <w:rPr>
                <w:rFonts w:hint="eastAsia"/>
                <w:lang w:val="en-US" w:eastAsia="zh-CN"/>
              </w:rPr>
              <w:t>5</w:t>
            </w:r>
          </w:p>
        </w:tc>
      </w:tr>
      <w:tr w14:paraId="6A7CB6D8">
        <w:tblPrEx>
          <w:tblCellMar>
            <w:top w:w="0" w:type="dxa"/>
            <w:left w:w="108" w:type="dxa"/>
            <w:bottom w:w="0" w:type="dxa"/>
            <w:right w:w="108" w:type="dxa"/>
          </w:tblCellMar>
        </w:tblPrEx>
        <w:trPr>
          <w:trHeight w:val="280"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EA218C4">
            <w:pPr>
              <w:rPr>
                <w:rFonts w:hint="eastAsia"/>
              </w:rPr>
            </w:pPr>
            <w:r>
              <w:rPr>
                <w:rFonts w:hint="eastAsia"/>
              </w:rPr>
              <w:t>3、超微血流成像，应用多普勒技术，显示超微细血流及低速血流信号，彩色标尺具有速度范围显示，彩色标尺最低显示≤0.2cm/s，常规检查条件下成像帧频≥50帧/秒，具有三同步显示功能，可取频谱及血管指数双定量，支持三维成像模式，实现超低速血流的高分辨率立体显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D3F9">
            <w:pPr>
              <w:rPr>
                <w:rFonts w:hint="eastAsia" w:eastAsia="仿宋"/>
                <w:lang w:eastAsia="zh-CN"/>
              </w:rPr>
            </w:pPr>
            <w:r>
              <w:rPr>
                <w:rFonts w:hint="eastAsia"/>
                <w:lang w:val="en-US" w:eastAsia="zh-CN"/>
              </w:rPr>
              <w:t>5</w:t>
            </w:r>
          </w:p>
        </w:tc>
      </w:tr>
      <w:tr w14:paraId="738A1A81">
        <w:tblPrEx>
          <w:tblCellMar>
            <w:top w:w="0" w:type="dxa"/>
            <w:left w:w="108" w:type="dxa"/>
            <w:bottom w:w="0" w:type="dxa"/>
            <w:right w:w="108" w:type="dxa"/>
          </w:tblCellMar>
        </w:tblPrEx>
        <w:trPr>
          <w:trHeight w:val="280"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D7F6FEF">
            <w:pPr>
              <w:rPr>
                <w:rFonts w:hint="eastAsia"/>
              </w:rPr>
            </w:pPr>
            <w:r>
              <w:rPr>
                <w:rFonts w:hint="eastAsia"/>
              </w:rPr>
              <w:t>4、系统最大成像深度≥50cm。</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5FA25">
            <w:pPr>
              <w:rPr>
                <w:rFonts w:hint="eastAsia" w:eastAsia="仿宋"/>
                <w:lang w:eastAsia="zh-CN"/>
              </w:rPr>
            </w:pPr>
            <w:r>
              <w:rPr>
                <w:rFonts w:hint="eastAsia"/>
                <w:lang w:val="en-US" w:eastAsia="zh-CN"/>
              </w:rPr>
              <w:t>4</w:t>
            </w:r>
          </w:p>
        </w:tc>
      </w:tr>
      <w:tr w14:paraId="10F601E3">
        <w:tblPrEx>
          <w:tblCellMar>
            <w:top w:w="0" w:type="dxa"/>
            <w:left w:w="108" w:type="dxa"/>
            <w:bottom w:w="0" w:type="dxa"/>
            <w:right w:w="108" w:type="dxa"/>
          </w:tblCellMar>
        </w:tblPrEx>
        <w:trPr>
          <w:trHeight w:val="280"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427C87E">
            <w:pPr>
              <w:rPr>
                <w:rFonts w:hint="eastAsia"/>
              </w:rPr>
            </w:pPr>
            <w:r>
              <w:rPr>
                <w:rFonts w:hint="eastAsia"/>
              </w:rPr>
              <w:t>5、组织多普勒成像，支持相控阵探头、凸阵探头和经食道探头。系统支持的探头频率范围：在1—30MHz之间选择，最高显示频率≥30MH</w:t>
            </w:r>
            <w:r>
              <w:t>z</w:t>
            </w:r>
            <w:r>
              <w:rPr>
                <w:rFonts w:hint="eastAsia"/>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3468A">
            <w:pPr>
              <w:rPr>
                <w:rFonts w:hint="eastAsia" w:eastAsia="仿宋"/>
                <w:lang w:eastAsia="zh-CN"/>
              </w:rPr>
            </w:pPr>
            <w:r>
              <w:rPr>
                <w:rFonts w:hint="eastAsia"/>
                <w:lang w:val="en-US" w:eastAsia="zh-CN"/>
              </w:rPr>
              <w:t>4</w:t>
            </w:r>
          </w:p>
        </w:tc>
      </w:tr>
      <w:tr w14:paraId="47C661B4">
        <w:tblPrEx>
          <w:tblCellMar>
            <w:top w:w="0" w:type="dxa"/>
            <w:left w:w="108" w:type="dxa"/>
            <w:bottom w:w="0" w:type="dxa"/>
            <w:right w:w="108" w:type="dxa"/>
          </w:tblCellMar>
        </w:tblPrEx>
        <w:trPr>
          <w:trHeight w:val="280" w:hRule="atLeast"/>
        </w:trPr>
        <w:tc>
          <w:tcPr>
            <w:tcW w:w="104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8B32E91">
            <w:pPr>
              <w:rPr>
                <w:rFonts w:hint="eastAsia"/>
              </w:rPr>
            </w:pPr>
            <w:r>
              <w:rPr>
                <w:rFonts w:hint="eastAsia"/>
              </w:rPr>
              <w:t>6、系统可同时支持凸-线、凸-凸双平面探头。</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46FF">
            <w:pPr>
              <w:rPr>
                <w:rFonts w:hint="eastAsia" w:eastAsia="仿宋"/>
                <w:lang w:eastAsia="zh-CN"/>
              </w:rPr>
            </w:pPr>
            <w:r>
              <w:rPr>
                <w:rFonts w:hint="eastAsia"/>
                <w:lang w:val="en-US" w:eastAsia="zh-CN"/>
              </w:rPr>
              <w:t>4</w:t>
            </w:r>
          </w:p>
        </w:tc>
      </w:tr>
      <w:tr w14:paraId="53F2B61F">
        <w:tblPrEx>
          <w:tblCellMar>
            <w:top w:w="0" w:type="dxa"/>
            <w:left w:w="108" w:type="dxa"/>
            <w:bottom w:w="0" w:type="dxa"/>
            <w:right w:w="108" w:type="dxa"/>
          </w:tblCellMar>
        </w:tblPrEx>
        <w:trPr>
          <w:trHeight w:val="500" w:hRule="atLeast"/>
        </w:trPr>
        <w:tc>
          <w:tcPr>
            <w:tcW w:w="10400" w:type="dxa"/>
            <w:gridSpan w:val="11"/>
            <w:tcBorders>
              <w:top w:val="nil"/>
              <w:left w:val="single" w:color="000000" w:sz="4" w:space="0"/>
              <w:bottom w:val="single" w:color="000000" w:sz="4" w:space="0"/>
              <w:right w:val="single" w:color="000000" w:sz="4" w:space="0"/>
            </w:tcBorders>
            <w:shd w:val="clear" w:color="auto" w:fill="D9D9D9"/>
            <w:vAlign w:val="center"/>
          </w:tcPr>
          <w:p w14:paraId="209F11A8">
            <w:pPr>
              <w:rPr>
                <w:rFonts w:ascii="Times New Roman" w:hAnsi="Times New Roman"/>
              </w:rPr>
            </w:pPr>
            <w:r>
              <w:rPr>
                <w:rFonts w:ascii="Times New Roman" w:hAnsi="Times New Roman"/>
              </w:rPr>
              <w:t xml:space="preserve"> </w:t>
            </w:r>
            <w:r>
              <w:t>主要技术参数小计分值</w:t>
            </w:r>
            <w:r>
              <w:rPr>
                <w:rFonts w:ascii="Times New Roman" w:hAnsi="Times New Roman"/>
              </w:rPr>
              <w:t xml:space="preserve"> </w:t>
            </w:r>
          </w:p>
        </w:tc>
        <w:tc>
          <w:tcPr>
            <w:tcW w:w="990" w:type="dxa"/>
            <w:tcBorders>
              <w:top w:val="nil"/>
              <w:left w:val="single" w:color="000000" w:sz="4" w:space="0"/>
              <w:bottom w:val="single" w:color="000000" w:sz="4" w:space="0"/>
              <w:right w:val="single" w:color="000000" w:sz="4" w:space="0"/>
            </w:tcBorders>
            <w:shd w:val="clear" w:color="auto" w:fill="D9D9D9"/>
            <w:noWrap/>
            <w:vAlign w:val="center"/>
          </w:tcPr>
          <w:p w14:paraId="117516A7">
            <w:pPr>
              <w:rPr>
                <w:rFonts w:hint="default" w:eastAsia="仿宋"/>
                <w:lang w:val="en-US" w:eastAsia="zh-CN"/>
              </w:rPr>
            </w:pPr>
            <w:r>
              <w:rPr>
                <w:rFonts w:hint="eastAsia"/>
                <w:lang w:val="en-US" w:eastAsia="zh-CN"/>
              </w:rPr>
              <w:t>26</w:t>
            </w:r>
          </w:p>
        </w:tc>
      </w:tr>
      <w:tr w14:paraId="6C8847E0">
        <w:tblPrEx>
          <w:tblCellMar>
            <w:top w:w="0" w:type="dxa"/>
            <w:left w:w="108" w:type="dxa"/>
            <w:bottom w:w="0" w:type="dxa"/>
            <w:right w:w="108" w:type="dxa"/>
          </w:tblCellMar>
        </w:tblPrEx>
        <w:trPr>
          <w:trHeight w:val="48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2141989B">
            <w:pPr>
              <w:rPr>
                <w:rFonts w:hint="eastAsia"/>
              </w:rPr>
            </w:pPr>
            <w:r>
              <w:rPr>
                <w:rFonts w:hint="eastAsia"/>
              </w:rPr>
              <w:t>三、一般技术参数（所有需提供技术证明等材料的均需标注具体页码）</w:t>
            </w:r>
          </w:p>
        </w:tc>
      </w:tr>
      <w:tr w14:paraId="519E4E00">
        <w:tblPrEx>
          <w:tblCellMar>
            <w:top w:w="0" w:type="dxa"/>
            <w:left w:w="108" w:type="dxa"/>
            <w:bottom w:w="0" w:type="dxa"/>
            <w:right w:w="108" w:type="dxa"/>
          </w:tblCellMar>
        </w:tblPrEx>
        <w:trPr>
          <w:trHeight w:val="65" w:hRule="atLeast"/>
        </w:trPr>
        <w:tc>
          <w:tcPr>
            <w:tcW w:w="1881" w:type="dxa"/>
            <w:gridSpan w:val="2"/>
            <w:vMerge w:val="restart"/>
            <w:tcBorders>
              <w:left w:val="single" w:color="000000" w:sz="4" w:space="0"/>
              <w:right w:val="single" w:color="000000" w:sz="4" w:space="0"/>
            </w:tcBorders>
            <w:shd w:val="clear" w:color="auto" w:fill="auto"/>
            <w:vAlign w:val="center"/>
          </w:tcPr>
          <w:p w14:paraId="3BD1C6B8">
            <w:pPr>
              <w:rPr>
                <w:rFonts w:hint="eastAsia"/>
              </w:rPr>
            </w:pPr>
            <w:r>
              <w:rPr>
                <w:rFonts w:hint="eastAsia"/>
              </w:rPr>
              <w:t>1、主机及技术参数：</w:t>
            </w: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79C16685">
            <w:pPr>
              <w:rPr>
                <w:rFonts w:hint="eastAsia"/>
              </w:rPr>
            </w:pPr>
            <w:r>
              <w:rPr>
                <w:rFonts w:hint="eastAsia"/>
              </w:rPr>
              <w:t>高技术平台，应用最新智能波束形成技术，包括多同步脉冲激励、多声束高密度接收及多谐波声束复合等技术。穿刺针增强显示，可独立调整穿刺针的显示增益，具有多种增强模式供选择。</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B86E8D1">
            <w:pPr>
              <w:rPr>
                <w:rFonts w:hint="eastAsia"/>
              </w:rPr>
            </w:pPr>
            <w:r>
              <w:rPr>
                <w:rFonts w:hint="eastAsia"/>
              </w:rPr>
              <w:t>0.5</w:t>
            </w:r>
          </w:p>
        </w:tc>
      </w:tr>
      <w:tr w14:paraId="50A8AE6A">
        <w:tblPrEx>
          <w:tblCellMar>
            <w:top w:w="0" w:type="dxa"/>
            <w:left w:w="108" w:type="dxa"/>
            <w:bottom w:w="0" w:type="dxa"/>
            <w:right w:w="108" w:type="dxa"/>
          </w:tblCellMar>
        </w:tblPrEx>
        <w:trPr>
          <w:trHeight w:val="775" w:hRule="atLeast"/>
        </w:trPr>
        <w:tc>
          <w:tcPr>
            <w:tcW w:w="1881" w:type="dxa"/>
            <w:gridSpan w:val="2"/>
            <w:vMerge w:val="continue"/>
            <w:tcBorders>
              <w:left w:val="single" w:color="000000" w:sz="4" w:space="0"/>
              <w:right w:val="single" w:color="000000" w:sz="4" w:space="0"/>
            </w:tcBorders>
            <w:shd w:val="clear" w:color="auto" w:fill="auto"/>
            <w:vAlign w:val="center"/>
          </w:tcPr>
          <w:p w14:paraId="74EAABD8">
            <w:pPr>
              <w:rPr>
                <w:rFonts w:hint="eastAsia"/>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69CF7713">
            <w:pPr>
              <w:rPr>
                <w:rFonts w:hint="eastAsia"/>
              </w:rPr>
            </w:pPr>
            <w:r>
              <w:rPr>
                <w:rFonts w:hint="eastAsia"/>
              </w:rPr>
              <w:t>≥3种不同方式的组织谐波成像技术。差量组织谐波成像，同时发射低频/高频两个不同频率的基波，接收二次谐波和高、低频波的差量波，提高图像的分辨率和穿透力。</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7180C9C">
            <w:pPr>
              <w:rPr>
                <w:rFonts w:hint="eastAsia"/>
              </w:rPr>
            </w:pPr>
            <w:r>
              <w:rPr>
                <w:rFonts w:hint="eastAsia"/>
              </w:rPr>
              <w:t>0.5</w:t>
            </w:r>
          </w:p>
        </w:tc>
      </w:tr>
      <w:tr w14:paraId="6AD2435B">
        <w:tblPrEx>
          <w:tblCellMar>
            <w:top w:w="0" w:type="dxa"/>
            <w:left w:w="108" w:type="dxa"/>
            <w:bottom w:w="0" w:type="dxa"/>
            <w:right w:w="108" w:type="dxa"/>
          </w:tblCellMar>
        </w:tblPrEx>
        <w:trPr>
          <w:trHeight w:val="566" w:hRule="atLeast"/>
        </w:trPr>
        <w:tc>
          <w:tcPr>
            <w:tcW w:w="1881" w:type="dxa"/>
            <w:gridSpan w:val="2"/>
            <w:vMerge w:val="continue"/>
            <w:tcBorders>
              <w:left w:val="single" w:color="000000" w:sz="4" w:space="0"/>
              <w:right w:val="single" w:color="000000" w:sz="4" w:space="0"/>
            </w:tcBorders>
            <w:shd w:val="clear" w:color="auto" w:fill="auto"/>
            <w:vAlign w:val="center"/>
          </w:tcPr>
          <w:p w14:paraId="7237E801">
            <w:pPr>
              <w:rPr>
                <w:rFonts w:hint="eastAsia"/>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65CC63D9">
            <w:pPr>
              <w:rPr>
                <w:rFonts w:hint="eastAsia"/>
              </w:rPr>
            </w:pPr>
            <w:r>
              <w:rPr>
                <w:rFonts w:hint="eastAsia"/>
              </w:rPr>
              <w:t>精确成像技术，实现组织结构更清晰、对比度更强显示，≥9档可视可调。</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D1F74D7">
            <w:pPr>
              <w:rPr>
                <w:rFonts w:hint="eastAsia"/>
              </w:rPr>
            </w:pPr>
            <w:r>
              <w:rPr>
                <w:rFonts w:hint="eastAsia"/>
              </w:rPr>
              <w:t>0.5</w:t>
            </w:r>
          </w:p>
        </w:tc>
      </w:tr>
      <w:tr w14:paraId="3052380B">
        <w:tblPrEx>
          <w:tblCellMar>
            <w:top w:w="0" w:type="dxa"/>
            <w:left w:w="108" w:type="dxa"/>
            <w:bottom w:w="0" w:type="dxa"/>
            <w:right w:w="108" w:type="dxa"/>
          </w:tblCellMar>
        </w:tblPrEx>
        <w:trPr>
          <w:trHeight w:val="85" w:hRule="atLeast"/>
        </w:trPr>
        <w:tc>
          <w:tcPr>
            <w:tcW w:w="1881" w:type="dxa"/>
            <w:gridSpan w:val="2"/>
            <w:vMerge w:val="restart"/>
            <w:tcBorders>
              <w:top w:val="single" w:color="000000" w:sz="4" w:space="0"/>
              <w:left w:val="single" w:color="000000" w:sz="4" w:space="0"/>
              <w:right w:val="single" w:color="000000" w:sz="4" w:space="0"/>
            </w:tcBorders>
            <w:shd w:val="clear" w:color="auto" w:fill="auto"/>
            <w:vAlign w:val="center"/>
          </w:tcPr>
          <w:p w14:paraId="6E2624FA">
            <w:pPr>
              <w:rPr>
                <w:rFonts w:hint="eastAsia"/>
              </w:rPr>
            </w:pPr>
            <w:r>
              <w:rPr>
                <w:rFonts w:hint="eastAsia"/>
              </w:rPr>
              <w:t>2、测量和分析：（B型、M型、频谱多普勒、彩色多普勒）</w:t>
            </w: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4865797D">
            <w:pPr>
              <w:rPr>
                <w:rFonts w:hint="eastAsia"/>
              </w:rPr>
            </w:pPr>
            <w:r>
              <w:rPr>
                <w:rFonts w:hint="eastAsia"/>
              </w:rPr>
              <w:t>具备心脏二维360°功能测量与分析。</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77F29530">
            <w:pPr>
              <w:rPr>
                <w:rFonts w:hint="eastAsia" w:eastAsia="仿宋"/>
                <w:lang w:val="en-US" w:eastAsia="zh-CN"/>
              </w:rPr>
            </w:pPr>
            <w:r>
              <w:rPr>
                <w:rFonts w:hint="eastAsia"/>
                <w:lang w:val="en-US" w:eastAsia="zh-CN"/>
              </w:rPr>
              <w:t>1</w:t>
            </w:r>
          </w:p>
        </w:tc>
      </w:tr>
      <w:tr w14:paraId="1C602A94">
        <w:tblPrEx>
          <w:tblCellMar>
            <w:top w:w="0" w:type="dxa"/>
            <w:left w:w="108" w:type="dxa"/>
            <w:bottom w:w="0" w:type="dxa"/>
            <w:right w:w="108" w:type="dxa"/>
          </w:tblCellMar>
        </w:tblPrEx>
        <w:trPr>
          <w:trHeight w:val="705" w:hRule="atLeast"/>
        </w:trPr>
        <w:tc>
          <w:tcPr>
            <w:tcW w:w="1881" w:type="dxa"/>
            <w:gridSpan w:val="2"/>
            <w:vMerge w:val="continue"/>
            <w:tcBorders>
              <w:left w:val="single" w:color="000000" w:sz="4" w:space="0"/>
              <w:right w:val="single" w:color="000000" w:sz="4" w:space="0"/>
            </w:tcBorders>
            <w:shd w:val="clear" w:color="auto" w:fill="auto"/>
            <w:vAlign w:val="center"/>
          </w:tcPr>
          <w:p w14:paraId="77EEFEEA">
            <w:pPr>
              <w:rPr>
                <w:rFonts w:hint="eastAsia"/>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26B64D52">
            <w:pPr>
              <w:rPr>
                <w:rFonts w:hint="eastAsia"/>
              </w:rPr>
            </w:pPr>
            <w:r>
              <w:rPr>
                <w:rFonts w:hint="eastAsia"/>
              </w:rPr>
              <w:t>具备血管血流测量与分析、具备血管内中膜自动测量、具备血管指数分析工具，可定量评估感兴趣区域内的血流密度、具备颈后透明层自动测量。</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需提供技术证明文件）</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AC11570">
            <w:pPr>
              <w:rPr>
                <w:rFonts w:hint="eastAsia" w:eastAsia="仿宋"/>
                <w:lang w:eastAsia="zh-CN"/>
              </w:rPr>
            </w:pPr>
            <w:r>
              <w:rPr>
                <w:rFonts w:hint="eastAsia"/>
                <w:lang w:val="en-US" w:eastAsia="zh-CN"/>
              </w:rPr>
              <w:t>1</w:t>
            </w:r>
          </w:p>
        </w:tc>
      </w:tr>
      <w:tr w14:paraId="433E9B0A">
        <w:tblPrEx>
          <w:tblCellMar>
            <w:top w:w="0" w:type="dxa"/>
            <w:left w:w="108" w:type="dxa"/>
            <w:bottom w:w="0" w:type="dxa"/>
            <w:right w:w="108" w:type="dxa"/>
          </w:tblCellMar>
        </w:tblPrEx>
        <w:trPr>
          <w:trHeight w:val="360" w:hRule="atLeast"/>
        </w:trPr>
        <w:tc>
          <w:tcPr>
            <w:tcW w:w="1881" w:type="dxa"/>
            <w:gridSpan w:val="2"/>
            <w:vMerge w:val="continue"/>
            <w:tcBorders>
              <w:left w:val="single" w:color="000000" w:sz="4" w:space="0"/>
              <w:right w:val="single" w:color="000000" w:sz="4" w:space="0"/>
            </w:tcBorders>
            <w:shd w:val="clear" w:color="auto" w:fill="auto"/>
            <w:vAlign w:val="center"/>
          </w:tcPr>
          <w:p w14:paraId="304E2EC8">
            <w:pPr>
              <w:rPr>
                <w:rFonts w:hint="eastAsia"/>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42657F47">
            <w:pPr>
              <w:rPr>
                <w:rFonts w:hint="eastAsia"/>
              </w:rPr>
            </w:pPr>
            <w:r>
              <w:rPr>
                <w:rFonts w:hint="eastAsia"/>
              </w:rPr>
              <w:t>具备2D直方图分析工具。</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AD0B1B7">
            <w:pPr>
              <w:rPr>
                <w:rFonts w:hint="eastAsia" w:eastAsia="仿宋"/>
                <w:lang w:eastAsia="zh-CN"/>
              </w:rPr>
            </w:pPr>
            <w:r>
              <w:rPr>
                <w:rFonts w:hint="eastAsia"/>
                <w:lang w:val="en-US" w:eastAsia="zh-CN"/>
              </w:rPr>
              <w:t>1</w:t>
            </w:r>
          </w:p>
        </w:tc>
      </w:tr>
      <w:tr w14:paraId="21A739A7">
        <w:tblPrEx>
          <w:tblCellMar>
            <w:top w:w="0" w:type="dxa"/>
            <w:left w:w="108" w:type="dxa"/>
            <w:bottom w:w="0" w:type="dxa"/>
            <w:right w:w="108" w:type="dxa"/>
          </w:tblCellMar>
        </w:tblPrEx>
        <w:trPr>
          <w:trHeight w:val="248" w:hRule="atLeast"/>
        </w:trPr>
        <w:tc>
          <w:tcPr>
            <w:tcW w:w="1881" w:type="dxa"/>
            <w:gridSpan w:val="2"/>
            <w:tcBorders>
              <w:top w:val="single" w:color="000000" w:sz="4" w:space="0"/>
              <w:left w:val="single" w:color="000000" w:sz="4" w:space="0"/>
              <w:right w:val="single" w:color="000000" w:sz="4" w:space="0"/>
            </w:tcBorders>
            <w:shd w:val="clear" w:color="auto" w:fill="auto"/>
            <w:vAlign w:val="center"/>
          </w:tcPr>
          <w:p w14:paraId="53CE9524">
            <w:pPr>
              <w:rPr>
                <w:rFonts w:hint="eastAsia"/>
              </w:rPr>
            </w:pPr>
            <w:r>
              <w:rPr>
                <w:rFonts w:hint="eastAsia"/>
              </w:rPr>
              <w:t>3、输入/输出信号：</w:t>
            </w: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373C5CFF">
            <w:pPr>
              <w:rPr>
                <w:rFonts w:hint="eastAsia"/>
              </w:rPr>
            </w:pPr>
            <w:r>
              <w:rPr>
                <w:rFonts w:hint="eastAsia"/>
              </w:rPr>
              <w:t>输入：外部视频输入。输出：复合彩色视频、S-Video、DVI（HDMI）、USB接口，USB接口≥5个。</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1C87117">
            <w:pPr>
              <w:rPr>
                <w:rFonts w:hint="eastAsia" w:eastAsia="仿宋"/>
                <w:lang w:eastAsia="zh-CN"/>
              </w:rPr>
            </w:pPr>
            <w:r>
              <w:rPr>
                <w:rFonts w:hint="eastAsia"/>
                <w:lang w:val="en-US" w:eastAsia="zh-CN"/>
              </w:rPr>
              <w:t>1</w:t>
            </w:r>
          </w:p>
        </w:tc>
      </w:tr>
      <w:tr w14:paraId="2E55CF23">
        <w:tblPrEx>
          <w:tblCellMar>
            <w:top w:w="0" w:type="dxa"/>
            <w:left w:w="108" w:type="dxa"/>
            <w:bottom w:w="0" w:type="dxa"/>
            <w:right w:w="108" w:type="dxa"/>
          </w:tblCellMar>
        </w:tblPrEx>
        <w:trPr>
          <w:trHeight w:val="44" w:hRule="atLeast"/>
        </w:trPr>
        <w:tc>
          <w:tcPr>
            <w:tcW w:w="1881" w:type="dxa"/>
            <w:gridSpan w:val="2"/>
            <w:tcBorders>
              <w:top w:val="single" w:color="000000" w:sz="4" w:space="0"/>
              <w:left w:val="single" w:color="000000" w:sz="4" w:space="0"/>
              <w:right w:val="single" w:color="000000" w:sz="4" w:space="0"/>
            </w:tcBorders>
            <w:shd w:val="clear" w:color="auto" w:fill="auto"/>
            <w:vAlign w:val="center"/>
          </w:tcPr>
          <w:p w14:paraId="2C9D188E">
            <w:pPr>
              <w:rPr>
                <w:rFonts w:hint="eastAsia"/>
              </w:rPr>
            </w:pPr>
            <w:r>
              <w:rPr>
                <w:rFonts w:hint="eastAsia"/>
              </w:rPr>
              <w:t>4、连通性：</w:t>
            </w: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21C3C725">
            <w:pPr>
              <w:rPr>
                <w:rFonts w:hint="eastAsia"/>
              </w:rPr>
            </w:pPr>
            <w:r>
              <w:rPr>
                <w:rFonts w:hint="eastAsia"/>
              </w:rPr>
              <w:t>医学数字图像和通信DICOM3.0版接口部件，装机后可正常使用。</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EBB9BD3">
            <w:pPr>
              <w:rPr>
                <w:rFonts w:hint="eastAsia" w:eastAsia="仿宋"/>
                <w:lang w:eastAsia="zh-CN"/>
              </w:rPr>
            </w:pPr>
            <w:r>
              <w:rPr>
                <w:rFonts w:hint="eastAsia"/>
                <w:lang w:val="en-US" w:eastAsia="zh-CN"/>
              </w:rPr>
              <w:t>1</w:t>
            </w:r>
          </w:p>
        </w:tc>
      </w:tr>
      <w:tr w14:paraId="1DC1FE68">
        <w:tblPrEx>
          <w:tblCellMar>
            <w:top w:w="0" w:type="dxa"/>
            <w:left w:w="108" w:type="dxa"/>
            <w:bottom w:w="0" w:type="dxa"/>
            <w:right w:w="108" w:type="dxa"/>
          </w:tblCellMar>
        </w:tblPrEx>
        <w:trPr>
          <w:trHeight w:val="122" w:hRule="atLeast"/>
        </w:trPr>
        <w:tc>
          <w:tcPr>
            <w:tcW w:w="1881" w:type="dxa"/>
            <w:gridSpan w:val="2"/>
            <w:vMerge w:val="restart"/>
            <w:tcBorders>
              <w:top w:val="single" w:color="000000" w:sz="4" w:space="0"/>
              <w:left w:val="single" w:color="000000" w:sz="4" w:space="0"/>
              <w:right w:val="single" w:color="000000" w:sz="4" w:space="0"/>
            </w:tcBorders>
            <w:shd w:val="clear" w:color="auto" w:fill="auto"/>
            <w:vAlign w:val="center"/>
          </w:tcPr>
          <w:p w14:paraId="2CF83155">
            <w:pPr>
              <w:rPr>
                <w:rFonts w:hint="eastAsia"/>
              </w:rPr>
            </w:pPr>
            <w:r>
              <w:rPr>
                <w:rFonts w:hint="eastAsia"/>
              </w:rPr>
              <w:t>5、图像管理与记录装置：</w:t>
            </w: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48894586">
            <w:pPr>
              <w:rPr>
                <w:rFonts w:hint="eastAsia"/>
              </w:rPr>
            </w:pPr>
            <w:r>
              <w:rPr>
                <w:rFonts w:hint="eastAsia"/>
              </w:rPr>
              <w:t>内置超声图像存档与病案管理功能，在主机中完成病人静态图像和动态图像的存储、管理及回放，可完成硬盘、DVD/CD、USB存储盘等多种文件格式静态及动态图像的存储。</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53CEFA2">
            <w:pPr>
              <w:rPr>
                <w:rFonts w:hint="eastAsia"/>
              </w:rPr>
            </w:pPr>
            <w:r>
              <w:rPr>
                <w:rFonts w:hint="eastAsia"/>
              </w:rPr>
              <w:t>0.5</w:t>
            </w:r>
          </w:p>
        </w:tc>
      </w:tr>
      <w:tr w14:paraId="0F30C6F9">
        <w:tblPrEx>
          <w:tblCellMar>
            <w:top w:w="0" w:type="dxa"/>
            <w:left w:w="108" w:type="dxa"/>
            <w:bottom w:w="0" w:type="dxa"/>
            <w:right w:w="108" w:type="dxa"/>
          </w:tblCellMar>
        </w:tblPrEx>
        <w:trPr>
          <w:trHeight w:val="122" w:hRule="atLeast"/>
        </w:trPr>
        <w:tc>
          <w:tcPr>
            <w:tcW w:w="1881" w:type="dxa"/>
            <w:gridSpan w:val="2"/>
            <w:vMerge w:val="continue"/>
            <w:tcBorders>
              <w:left w:val="single" w:color="000000" w:sz="4" w:space="0"/>
              <w:right w:val="single" w:color="000000" w:sz="4" w:space="0"/>
            </w:tcBorders>
            <w:shd w:val="clear" w:color="auto" w:fill="auto"/>
            <w:vAlign w:val="center"/>
          </w:tcPr>
          <w:p w14:paraId="3649AC7B">
            <w:pPr>
              <w:rPr>
                <w:rFonts w:hint="eastAsia"/>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436AB636">
            <w:pPr>
              <w:rPr>
                <w:rFonts w:hint="eastAsia"/>
              </w:rPr>
            </w:pPr>
            <w:r>
              <w:rPr>
                <w:rFonts w:hint="eastAsia"/>
              </w:rPr>
              <w:t>支持原始数据存储（RAW DATA）；采用内置双盘设置，包括固态盘SSD和硬盘HDD，提高机器启动和运行速度。</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FDD130D">
            <w:pPr>
              <w:rPr>
                <w:rFonts w:hint="eastAsia"/>
              </w:rPr>
            </w:pPr>
            <w:r>
              <w:rPr>
                <w:rFonts w:hint="eastAsia"/>
              </w:rPr>
              <w:t>0.5</w:t>
            </w:r>
          </w:p>
        </w:tc>
      </w:tr>
      <w:tr w14:paraId="2C590979">
        <w:tblPrEx>
          <w:tblCellMar>
            <w:top w:w="0" w:type="dxa"/>
            <w:left w:w="108" w:type="dxa"/>
            <w:bottom w:w="0" w:type="dxa"/>
            <w:right w:w="108" w:type="dxa"/>
          </w:tblCellMar>
        </w:tblPrEx>
        <w:trPr>
          <w:trHeight w:val="122" w:hRule="atLeast"/>
        </w:trPr>
        <w:tc>
          <w:tcPr>
            <w:tcW w:w="1881" w:type="dxa"/>
            <w:gridSpan w:val="2"/>
            <w:vMerge w:val="restart"/>
            <w:tcBorders>
              <w:top w:val="single" w:color="000000" w:sz="4" w:space="0"/>
              <w:left w:val="single" w:color="000000" w:sz="4" w:space="0"/>
              <w:right w:val="single" w:color="000000" w:sz="4" w:space="0"/>
            </w:tcBorders>
            <w:shd w:val="clear" w:color="auto" w:fill="auto"/>
            <w:vAlign w:val="center"/>
          </w:tcPr>
          <w:p w14:paraId="19E750D3">
            <w:pPr>
              <w:rPr>
                <w:rFonts w:hint="eastAsia"/>
              </w:rPr>
            </w:pPr>
            <w:r>
              <w:rPr>
                <w:rFonts w:hint="eastAsia"/>
              </w:rPr>
              <w:t>6、系统通用功能：</w:t>
            </w: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5A147F20">
            <w:pPr>
              <w:rPr>
                <w:rFonts w:hint="eastAsia"/>
              </w:rPr>
            </w:pPr>
            <w:r>
              <w:rPr>
                <w:rFonts w:hint="eastAsia"/>
              </w:rPr>
              <w:t>显示器：高分辨率宽屏显示器≥23英寸，可实现上下左右前后任意方位调节，可折叠。</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F5DCB9C">
            <w:pPr>
              <w:rPr>
                <w:rFonts w:hint="eastAsia"/>
              </w:rPr>
            </w:pPr>
            <w:r>
              <w:rPr>
                <w:rFonts w:hint="eastAsia"/>
              </w:rPr>
              <w:t>0.5</w:t>
            </w:r>
          </w:p>
        </w:tc>
      </w:tr>
      <w:tr w14:paraId="5F14A8FC">
        <w:tblPrEx>
          <w:tblCellMar>
            <w:top w:w="0" w:type="dxa"/>
            <w:left w:w="108" w:type="dxa"/>
            <w:bottom w:w="0" w:type="dxa"/>
            <w:right w:w="108" w:type="dxa"/>
          </w:tblCellMar>
        </w:tblPrEx>
        <w:trPr>
          <w:trHeight w:val="97" w:hRule="atLeast"/>
        </w:trPr>
        <w:tc>
          <w:tcPr>
            <w:tcW w:w="1881" w:type="dxa"/>
            <w:gridSpan w:val="2"/>
            <w:vMerge w:val="continue"/>
            <w:tcBorders>
              <w:left w:val="single" w:color="000000" w:sz="4" w:space="0"/>
              <w:bottom w:val="single" w:color="auto" w:sz="4" w:space="0"/>
              <w:right w:val="single" w:color="000000" w:sz="4" w:space="0"/>
            </w:tcBorders>
            <w:shd w:val="clear" w:color="auto" w:fill="auto"/>
            <w:vAlign w:val="center"/>
          </w:tcPr>
          <w:p w14:paraId="6ECD2CB6">
            <w:pPr>
              <w:rPr>
                <w:rFonts w:hint="eastAsia"/>
              </w:rPr>
            </w:pPr>
          </w:p>
        </w:tc>
        <w:tc>
          <w:tcPr>
            <w:tcW w:w="8519" w:type="dxa"/>
            <w:gridSpan w:val="9"/>
            <w:tcBorders>
              <w:top w:val="single" w:color="000000" w:sz="4" w:space="0"/>
              <w:left w:val="single" w:color="000000" w:sz="4" w:space="0"/>
              <w:bottom w:val="single" w:color="auto" w:sz="4" w:space="0"/>
              <w:right w:val="single" w:color="auto" w:sz="4" w:space="0"/>
            </w:tcBorders>
            <w:shd w:val="clear" w:color="auto" w:fill="auto"/>
            <w:vAlign w:val="center"/>
          </w:tcPr>
          <w:p w14:paraId="50394671">
            <w:pPr>
              <w:rPr>
                <w:rFonts w:hint="eastAsia"/>
              </w:rPr>
            </w:pPr>
            <w:r>
              <w:rPr>
                <w:rFonts w:hint="eastAsia"/>
              </w:rPr>
              <w:t>彩色液晶触摸屏≥12英寸，分辨率为1280 × 800，滑动翻页设计，触摸屏位置可倾斜调节。操作面板设计简洁，控制按键数量≤35个。操作控制台可上下左右自由调节。</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0502E80">
            <w:pPr>
              <w:rPr>
                <w:rFonts w:hint="default" w:eastAsia="仿宋"/>
                <w:lang w:val="en-US" w:eastAsia="zh-CN"/>
              </w:rPr>
            </w:pPr>
            <w:r>
              <w:rPr>
                <w:rFonts w:hint="eastAsia"/>
                <w:lang w:val="en-US" w:eastAsia="zh-CN"/>
              </w:rPr>
              <w:t>0.5</w:t>
            </w:r>
          </w:p>
        </w:tc>
      </w:tr>
      <w:tr w14:paraId="52F4DCE7">
        <w:tblPrEx>
          <w:tblCellMar>
            <w:top w:w="0" w:type="dxa"/>
            <w:left w:w="108" w:type="dxa"/>
            <w:bottom w:w="0" w:type="dxa"/>
            <w:right w:w="108" w:type="dxa"/>
          </w:tblCellMar>
        </w:tblPrEx>
        <w:trPr>
          <w:trHeight w:val="719" w:hRule="exact"/>
        </w:trPr>
        <w:tc>
          <w:tcPr>
            <w:tcW w:w="18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8D552A">
            <w:pPr>
              <w:rPr>
                <w:rFonts w:hint="eastAsia"/>
              </w:rPr>
            </w:pPr>
            <w:r>
              <w:rPr>
                <w:rFonts w:hint="eastAsia"/>
              </w:rPr>
              <w:t>7、探头规格：</w:t>
            </w:r>
          </w:p>
        </w:tc>
        <w:tc>
          <w:tcPr>
            <w:tcW w:w="8519"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1F0916F5">
            <w:pPr>
              <w:rPr>
                <w:rFonts w:hint="eastAsia"/>
              </w:rPr>
            </w:pPr>
            <w:r>
              <w:rPr>
                <w:rFonts w:hint="eastAsia"/>
              </w:rPr>
              <w:t>探头个数：1个+1个。激活成像探头接口≥4个，通用可互换。探头类型：凸阵探头、线阵探头。</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需提供技术证明文件）</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AC281A8">
            <w:pPr>
              <w:rPr>
                <w:rFonts w:hint="eastAsia" w:eastAsia="仿宋"/>
                <w:lang w:eastAsia="zh-CN"/>
              </w:rPr>
            </w:pPr>
            <w:r>
              <w:rPr>
                <w:rFonts w:hint="eastAsia"/>
                <w:lang w:val="en-US" w:eastAsia="zh-CN"/>
              </w:rPr>
              <w:t>1</w:t>
            </w:r>
          </w:p>
        </w:tc>
      </w:tr>
      <w:tr w14:paraId="4CE2D370">
        <w:tblPrEx>
          <w:tblCellMar>
            <w:top w:w="0" w:type="dxa"/>
            <w:left w:w="108" w:type="dxa"/>
            <w:bottom w:w="0" w:type="dxa"/>
            <w:right w:w="108" w:type="dxa"/>
          </w:tblCellMar>
        </w:tblPrEx>
        <w:trPr>
          <w:trHeight w:val="332" w:hRule="atLeast"/>
        </w:trPr>
        <w:tc>
          <w:tcPr>
            <w:tcW w:w="1881"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CB5FB7">
            <w:pPr>
              <w:rPr>
                <w:rFonts w:hint="eastAsia"/>
              </w:rPr>
            </w:pPr>
          </w:p>
        </w:tc>
        <w:tc>
          <w:tcPr>
            <w:tcW w:w="8519"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69DC44D">
            <w:pPr>
              <w:rPr>
                <w:rFonts w:hint="eastAsia"/>
              </w:rPr>
            </w:pPr>
            <w:r>
              <w:rPr>
                <w:rFonts w:hint="eastAsia"/>
              </w:rPr>
              <w:t>凸阵探头：可视频率范围：1.8~6.2MHz，单晶体探头，厚薄切面可视可调。</w:t>
            </w:r>
          </w:p>
          <w:p w14:paraId="1323A223">
            <w:pPr>
              <w:rPr>
                <w:rFonts w:hint="eastAsia"/>
              </w:rPr>
            </w:pPr>
            <w:r>
              <w:rPr>
                <w:rFonts w:hint="eastAsia"/>
              </w:rPr>
              <w:t>线阵探头：频率范围：3.8-14MHz</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需提供技术证明文件）</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90FC419">
            <w:pPr>
              <w:rPr>
                <w:rFonts w:hint="eastAsia" w:eastAsia="仿宋"/>
                <w:lang w:eastAsia="zh-CN"/>
              </w:rPr>
            </w:pPr>
            <w:r>
              <w:rPr>
                <w:rFonts w:hint="eastAsia"/>
                <w:lang w:val="en-US" w:eastAsia="zh-CN"/>
              </w:rPr>
              <w:t>1</w:t>
            </w:r>
          </w:p>
        </w:tc>
      </w:tr>
      <w:tr w14:paraId="1A19C07A">
        <w:tblPrEx>
          <w:tblCellMar>
            <w:top w:w="0" w:type="dxa"/>
            <w:left w:w="108" w:type="dxa"/>
            <w:bottom w:w="0" w:type="dxa"/>
            <w:right w:w="108" w:type="dxa"/>
          </w:tblCellMar>
        </w:tblPrEx>
        <w:trPr>
          <w:trHeight w:val="47" w:hRule="atLeast"/>
        </w:trPr>
        <w:tc>
          <w:tcPr>
            <w:tcW w:w="1881"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D66028">
            <w:pPr>
              <w:rPr>
                <w:rFonts w:hint="eastAsia"/>
              </w:rPr>
            </w:pPr>
          </w:p>
        </w:tc>
        <w:tc>
          <w:tcPr>
            <w:tcW w:w="8519"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1F33AAA9">
            <w:pPr>
              <w:rPr>
                <w:rFonts w:hint="eastAsia"/>
              </w:rPr>
            </w:pPr>
            <w:r>
              <w:rPr>
                <w:rFonts w:hint="eastAsia"/>
              </w:rPr>
              <w:t>系统支持3把≥20MHz的高频探头。</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1C26DDDA">
            <w:pPr>
              <w:rPr>
                <w:rFonts w:hint="eastAsia"/>
              </w:rPr>
            </w:pPr>
            <w:r>
              <w:rPr>
                <w:rFonts w:hint="eastAsia"/>
              </w:rPr>
              <w:t>0.5</w:t>
            </w:r>
          </w:p>
        </w:tc>
      </w:tr>
      <w:tr w14:paraId="1C8F76AE">
        <w:tblPrEx>
          <w:tblCellMar>
            <w:top w:w="0" w:type="dxa"/>
            <w:left w:w="108" w:type="dxa"/>
            <w:bottom w:w="0" w:type="dxa"/>
            <w:right w:w="108" w:type="dxa"/>
          </w:tblCellMar>
        </w:tblPrEx>
        <w:trPr>
          <w:trHeight w:val="47" w:hRule="atLeast"/>
        </w:trPr>
        <w:tc>
          <w:tcPr>
            <w:tcW w:w="18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5F0146">
            <w:pPr>
              <w:rPr>
                <w:rFonts w:hint="eastAsia"/>
              </w:rPr>
            </w:pPr>
            <w:r>
              <w:rPr>
                <w:rFonts w:hint="eastAsia"/>
              </w:rPr>
              <w:t>8、二维灰阶成像主要参数：</w:t>
            </w:r>
          </w:p>
        </w:tc>
        <w:tc>
          <w:tcPr>
            <w:tcW w:w="8519"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60C09B2B">
            <w:pPr>
              <w:rPr>
                <w:rFonts w:hint="eastAsia"/>
              </w:rPr>
            </w:pPr>
            <w:r>
              <w:rPr>
                <w:rFonts w:hint="eastAsia"/>
              </w:rPr>
              <w:t>扫描线：最大每帧线密度≥500超声线（线阵探头）。</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580D9810">
            <w:pPr>
              <w:rPr>
                <w:rFonts w:hint="eastAsia"/>
              </w:rPr>
            </w:pPr>
            <w:r>
              <w:rPr>
                <w:rFonts w:hint="eastAsia"/>
              </w:rPr>
              <w:t>0.5</w:t>
            </w:r>
          </w:p>
        </w:tc>
      </w:tr>
      <w:tr w14:paraId="44CE3F3E">
        <w:tblPrEx>
          <w:tblCellMar>
            <w:top w:w="0" w:type="dxa"/>
            <w:left w:w="108" w:type="dxa"/>
            <w:bottom w:w="0" w:type="dxa"/>
            <w:right w:w="108" w:type="dxa"/>
          </w:tblCellMar>
        </w:tblPrEx>
        <w:trPr>
          <w:trHeight w:val="47" w:hRule="atLeast"/>
        </w:trPr>
        <w:tc>
          <w:tcPr>
            <w:tcW w:w="1881"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C8B505">
            <w:pPr>
              <w:rPr>
                <w:rFonts w:hint="eastAsia"/>
              </w:rPr>
            </w:pPr>
          </w:p>
        </w:tc>
        <w:tc>
          <w:tcPr>
            <w:tcW w:w="8519"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1CD5696B">
            <w:pPr>
              <w:rPr>
                <w:rFonts w:hint="eastAsia"/>
              </w:rPr>
            </w:pPr>
            <w:r>
              <w:rPr>
                <w:rFonts w:hint="eastAsia"/>
              </w:rPr>
              <w:t>回放重现：灰阶图像回放≥9900幅，回放时间≥180秒。</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4239F73A">
            <w:pPr>
              <w:rPr>
                <w:rFonts w:hint="eastAsia"/>
              </w:rPr>
            </w:pPr>
            <w:r>
              <w:rPr>
                <w:rFonts w:hint="eastAsia"/>
              </w:rPr>
              <w:t>0.5</w:t>
            </w:r>
          </w:p>
        </w:tc>
      </w:tr>
      <w:tr w14:paraId="3DA7D21C">
        <w:tblPrEx>
          <w:tblCellMar>
            <w:top w:w="0" w:type="dxa"/>
            <w:left w:w="108" w:type="dxa"/>
            <w:bottom w:w="0" w:type="dxa"/>
            <w:right w:w="108" w:type="dxa"/>
          </w:tblCellMar>
        </w:tblPrEx>
        <w:trPr>
          <w:trHeight w:val="53" w:hRule="atLeast"/>
        </w:trPr>
        <w:tc>
          <w:tcPr>
            <w:tcW w:w="1881" w:type="dxa"/>
            <w:gridSpan w:val="2"/>
            <w:vMerge w:val="restart"/>
            <w:tcBorders>
              <w:top w:val="single" w:color="auto" w:sz="4" w:space="0"/>
              <w:left w:val="single" w:color="000000" w:sz="4" w:space="0"/>
              <w:right w:val="single" w:color="000000" w:sz="4" w:space="0"/>
            </w:tcBorders>
            <w:shd w:val="clear" w:color="auto" w:fill="auto"/>
            <w:vAlign w:val="center"/>
          </w:tcPr>
          <w:p w14:paraId="37264A5C">
            <w:pPr>
              <w:rPr>
                <w:rFonts w:hint="eastAsia"/>
              </w:rPr>
            </w:pPr>
            <w:r>
              <w:rPr>
                <w:rFonts w:hint="eastAsia"/>
              </w:rPr>
              <w:t>9、频谱多普勒：</w:t>
            </w:r>
          </w:p>
        </w:tc>
        <w:tc>
          <w:tcPr>
            <w:tcW w:w="8519" w:type="dxa"/>
            <w:gridSpan w:val="9"/>
            <w:tcBorders>
              <w:top w:val="single" w:color="auto" w:sz="4" w:space="0"/>
              <w:left w:val="single" w:color="000000" w:sz="4" w:space="0"/>
              <w:bottom w:val="single" w:color="auto" w:sz="4" w:space="0"/>
              <w:right w:val="single" w:color="auto" w:sz="4" w:space="0"/>
            </w:tcBorders>
            <w:shd w:val="clear" w:color="auto" w:fill="auto"/>
            <w:vAlign w:val="center"/>
          </w:tcPr>
          <w:p w14:paraId="52FF8EA1">
            <w:pPr>
              <w:rPr>
                <w:rFonts w:hint="eastAsia"/>
              </w:rPr>
            </w:pPr>
            <w:r>
              <w:t>取样宽度及位置范围：宽度</w:t>
            </w:r>
            <w:r>
              <w:rPr>
                <w:rFonts w:hint="eastAsia"/>
              </w:rPr>
              <w:t>0.3</w:t>
            </w:r>
            <w:r>
              <w:t>mm至20mm；分1</w:t>
            </w:r>
            <w:r>
              <w:rPr>
                <w:rFonts w:hint="eastAsia"/>
              </w:rPr>
              <w:t>5</w:t>
            </w:r>
            <w:r>
              <w:t>级。</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10F93DA">
            <w:pPr>
              <w:rPr>
                <w:rFonts w:hint="eastAsia"/>
              </w:rPr>
            </w:pPr>
            <w:r>
              <w:rPr>
                <w:rFonts w:hint="eastAsia"/>
              </w:rPr>
              <w:t>0.5</w:t>
            </w:r>
          </w:p>
        </w:tc>
      </w:tr>
      <w:tr w14:paraId="00E88D45">
        <w:tblPrEx>
          <w:tblCellMar>
            <w:top w:w="0" w:type="dxa"/>
            <w:left w:w="108" w:type="dxa"/>
            <w:bottom w:w="0" w:type="dxa"/>
            <w:right w:w="108" w:type="dxa"/>
          </w:tblCellMar>
        </w:tblPrEx>
        <w:trPr>
          <w:trHeight w:val="53" w:hRule="atLeast"/>
        </w:trPr>
        <w:tc>
          <w:tcPr>
            <w:tcW w:w="1881" w:type="dxa"/>
            <w:gridSpan w:val="2"/>
            <w:vMerge w:val="continue"/>
            <w:tcBorders>
              <w:left w:val="single" w:color="000000" w:sz="4" w:space="0"/>
              <w:bottom w:val="single" w:color="auto" w:sz="4" w:space="0"/>
              <w:right w:val="single" w:color="000000" w:sz="4" w:space="0"/>
            </w:tcBorders>
            <w:shd w:val="clear" w:color="auto" w:fill="auto"/>
            <w:vAlign w:val="center"/>
          </w:tcPr>
          <w:p w14:paraId="4FB1071A">
            <w:pPr>
              <w:rPr>
                <w:rFonts w:hint="eastAsia"/>
              </w:rPr>
            </w:pP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556A602A">
            <w:pPr>
              <w:rPr>
                <w:rFonts w:hint="eastAsia"/>
              </w:rPr>
            </w:pPr>
            <w:r>
              <w:rPr>
                <w:rFonts w:hint="eastAsia"/>
              </w:rPr>
              <w:t>最大可测量速度：PWD：最大血流速度≥17.0m/s。 CWD：最大血流速度≥22.0m/s。最低测量速度：≤0.1cm/s（非噪声信号）。</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6CF7FE6D">
            <w:pPr>
              <w:rPr>
                <w:rFonts w:hint="eastAsia"/>
              </w:rPr>
            </w:pPr>
            <w:r>
              <w:rPr>
                <w:rFonts w:hint="eastAsia"/>
              </w:rPr>
              <w:t>0.5</w:t>
            </w:r>
          </w:p>
        </w:tc>
      </w:tr>
      <w:tr w14:paraId="29E03767">
        <w:tblPrEx>
          <w:tblCellMar>
            <w:top w:w="0" w:type="dxa"/>
            <w:left w:w="108" w:type="dxa"/>
            <w:bottom w:w="0" w:type="dxa"/>
            <w:right w:w="108" w:type="dxa"/>
          </w:tblCellMar>
        </w:tblPrEx>
        <w:trPr>
          <w:trHeight w:val="53" w:hRule="atLeast"/>
        </w:trPr>
        <w:tc>
          <w:tcPr>
            <w:tcW w:w="1881" w:type="dxa"/>
            <w:gridSpan w:val="2"/>
            <w:tcBorders>
              <w:top w:val="single" w:color="auto" w:sz="4" w:space="0"/>
              <w:left w:val="single" w:color="000000" w:sz="4" w:space="0"/>
              <w:right w:val="single" w:color="000000" w:sz="4" w:space="0"/>
            </w:tcBorders>
            <w:shd w:val="clear" w:color="auto" w:fill="auto"/>
            <w:vAlign w:val="center"/>
          </w:tcPr>
          <w:p w14:paraId="78F57457">
            <w:pPr>
              <w:rPr>
                <w:rFonts w:hint="eastAsia"/>
              </w:rPr>
            </w:pPr>
            <w:r>
              <w:rPr>
                <w:rFonts w:hint="eastAsia"/>
              </w:rPr>
              <w:t>10、彩色多普勒：</w:t>
            </w:r>
          </w:p>
        </w:tc>
        <w:tc>
          <w:tcPr>
            <w:tcW w:w="8519" w:type="dxa"/>
            <w:gridSpan w:val="9"/>
            <w:tcBorders>
              <w:top w:val="single" w:color="000000" w:sz="4" w:space="0"/>
              <w:left w:val="single" w:color="000000" w:sz="4" w:space="0"/>
              <w:bottom w:val="single" w:color="000000" w:sz="4" w:space="0"/>
              <w:right w:val="single" w:color="auto" w:sz="4" w:space="0"/>
            </w:tcBorders>
            <w:shd w:val="clear" w:color="auto" w:fill="auto"/>
            <w:vAlign w:val="center"/>
          </w:tcPr>
          <w:p w14:paraId="7B7D1D52">
            <w:pPr>
              <w:rPr>
                <w:rFonts w:hint="eastAsia"/>
              </w:rPr>
            </w:pPr>
            <w:r>
              <w:rPr>
                <w:rFonts w:hint="eastAsia"/>
              </w:rPr>
              <w:t>彩色增强功能：组织多普勒成像，方向性能量图，高分辨血流成像，超微血流成像。彩色显示速度：超微血流模式最低平均血流显示速度≤2mm/s。</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09DACC67">
            <w:pPr>
              <w:rPr>
                <w:rFonts w:hint="eastAsia" w:eastAsia="仿宋"/>
                <w:lang w:eastAsia="zh-CN"/>
              </w:rPr>
            </w:pPr>
            <w:r>
              <w:rPr>
                <w:rFonts w:hint="eastAsia"/>
                <w:lang w:val="en-US" w:eastAsia="zh-CN"/>
              </w:rPr>
              <w:t>1</w:t>
            </w:r>
          </w:p>
        </w:tc>
      </w:tr>
      <w:tr w14:paraId="54CFA48B">
        <w:tblPrEx>
          <w:tblCellMar>
            <w:top w:w="0" w:type="dxa"/>
            <w:left w:w="108" w:type="dxa"/>
            <w:bottom w:w="0" w:type="dxa"/>
            <w:right w:w="108" w:type="dxa"/>
          </w:tblCellMar>
        </w:tblPrEx>
        <w:trPr>
          <w:trHeight w:val="560" w:hRule="atLeast"/>
        </w:trPr>
        <w:tc>
          <w:tcPr>
            <w:tcW w:w="10400" w:type="dxa"/>
            <w:gridSpan w:val="11"/>
            <w:tcBorders>
              <w:top w:val="single" w:color="auto" w:sz="4" w:space="0"/>
              <w:left w:val="single" w:color="000000" w:sz="4" w:space="0"/>
              <w:bottom w:val="single" w:color="000000" w:sz="4" w:space="0"/>
              <w:right w:val="single" w:color="000000" w:sz="4" w:space="0"/>
            </w:tcBorders>
            <w:shd w:val="clear" w:color="auto" w:fill="D9D9D9"/>
            <w:vAlign w:val="center"/>
          </w:tcPr>
          <w:p w14:paraId="3BF9B6A7">
            <w:pPr>
              <w:rPr>
                <w:rFonts w:hint="eastAsia"/>
              </w:rPr>
            </w:pPr>
            <w:r>
              <w:rPr>
                <w:rFonts w:hint="eastAsia"/>
              </w:rPr>
              <w:t xml:space="preserve"> 一般技术参数小计分值  </w:t>
            </w:r>
          </w:p>
        </w:tc>
        <w:tc>
          <w:tcPr>
            <w:tcW w:w="990" w:type="dxa"/>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75E106D2">
            <w:pPr>
              <w:rPr>
                <w:rFonts w:hint="eastAsia" w:eastAsia="仿宋"/>
                <w:lang w:eastAsia="zh-CN"/>
              </w:rPr>
            </w:pPr>
            <w:r>
              <w:rPr>
                <w:rFonts w:hint="eastAsia"/>
              </w:rPr>
              <w:t>1</w:t>
            </w:r>
            <w:r>
              <w:rPr>
                <w:rFonts w:hint="eastAsia"/>
                <w:lang w:val="en-US" w:eastAsia="zh-CN"/>
              </w:rPr>
              <w:t>4</w:t>
            </w:r>
          </w:p>
        </w:tc>
      </w:tr>
      <w:tr w14:paraId="35A76A85">
        <w:tblPrEx>
          <w:tblCellMar>
            <w:top w:w="0" w:type="dxa"/>
            <w:left w:w="108" w:type="dxa"/>
            <w:bottom w:w="0" w:type="dxa"/>
            <w:right w:w="108" w:type="dxa"/>
          </w:tblCellMar>
        </w:tblPrEx>
        <w:trPr>
          <w:trHeight w:val="57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3CE844E2">
            <w:pPr>
              <w:rPr>
                <w:rFonts w:hint="eastAsia"/>
              </w:rPr>
            </w:pPr>
            <w:r>
              <w:rPr>
                <w:rFonts w:hint="eastAsia"/>
              </w:rPr>
              <w:t>四、伴随服务要求</w:t>
            </w:r>
          </w:p>
        </w:tc>
      </w:tr>
      <w:tr w14:paraId="1F8E5E2D">
        <w:tblPrEx>
          <w:tblCellMar>
            <w:top w:w="0" w:type="dxa"/>
            <w:left w:w="108" w:type="dxa"/>
            <w:bottom w:w="0" w:type="dxa"/>
            <w:right w:w="108" w:type="dxa"/>
          </w:tblCellMar>
        </w:tblPrEx>
        <w:trPr>
          <w:trHeight w:val="28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2AE30AD">
            <w:pPr>
              <w:rPr>
                <w:rFonts w:hint="eastAsia"/>
              </w:rPr>
            </w:pPr>
            <w:r>
              <w:rPr>
                <w:rFonts w:hint="eastAsia"/>
              </w:rPr>
              <w:t>1、技术、维修、培训及其它</w:t>
            </w:r>
          </w:p>
        </w:tc>
      </w:tr>
      <w:tr w14:paraId="5B27292E">
        <w:tblPrEx>
          <w:tblCellMar>
            <w:top w:w="0" w:type="dxa"/>
            <w:left w:w="108" w:type="dxa"/>
            <w:bottom w:w="0" w:type="dxa"/>
            <w:right w:w="108" w:type="dxa"/>
          </w:tblCellMar>
        </w:tblPrEx>
        <w:trPr>
          <w:trHeight w:val="122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3BFAB9B">
            <w:pPr>
              <w:rPr>
                <w:rFonts w:hint="eastAsia"/>
              </w:rPr>
            </w:pPr>
            <w:r>
              <w:rPr>
                <w:rFonts w:hint="eastAsia"/>
              </w:rPr>
              <w:t>（1）厂商在中国境内设有备件仓库，并保证十年以上的售后服务工程师，支持安装、调试及维修，厂商在上海有常驻售后服务工程师，维修响应时间≤4小时，24小时内上门维修，并提供24小时维修电话。</w:t>
            </w:r>
          </w:p>
        </w:tc>
      </w:tr>
      <w:tr w14:paraId="7523C040">
        <w:tblPrEx>
          <w:tblCellMar>
            <w:top w:w="0" w:type="dxa"/>
            <w:left w:w="108" w:type="dxa"/>
            <w:bottom w:w="0" w:type="dxa"/>
            <w:right w:w="108" w:type="dxa"/>
          </w:tblCellMar>
        </w:tblPrEx>
        <w:trPr>
          <w:trHeight w:val="60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863BBAE">
            <w:pPr>
              <w:rPr>
                <w:rFonts w:hint="eastAsia"/>
              </w:rPr>
            </w:pPr>
            <w:r>
              <w:rPr>
                <w:rFonts w:hint="eastAsia"/>
              </w:rPr>
              <w:t>（2）提供设备例行保养，并有报告。</w:t>
            </w:r>
          </w:p>
        </w:tc>
      </w:tr>
      <w:tr w14:paraId="671976B8">
        <w:tblPrEx>
          <w:tblCellMar>
            <w:top w:w="0" w:type="dxa"/>
            <w:left w:w="108" w:type="dxa"/>
            <w:bottom w:w="0" w:type="dxa"/>
            <w:right w:w="108" w:type="dxa"/>
          </w:tblCellMar>
        </w:tblPrEx>
        <w:trPr>
          <w:trHeight w:val="39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793405F">
            <w:pPr>
              <w:rPr>
                <w:rFonts w:hint="eastAsia"/>
              </w:rPr>
            </w:pPr>
            <w:r>
              <w:rPr>
                <w:rFonts w:hint="eastAsia"/>
              </w:rPr>
              <w:t>（3）培训要求：装机后提供免费培训，并提供培训方案。</w:t>
            </w:r>
          </w:p>
        </w:tc>
      </w:tr>
      <w:tr w14:paraId="43755C2D">
        <w:tblPrEx>
          <w:tblCellMar>
            <w:top w:w="0" w:type="dxa"/>
            <w:left w:w="108" w:type="dxa"/>
            <w:bottom w:w="0" w:type="dxa"/>
            <w:right w:w="108" w:type="dxa"/>
          </w:tblCellMar>
        </w:tblPrEx>
        <w:trPr>
          <w:trHeight w:val="39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6EC5492">
            <w:pPr>
              <w:rPr>
                <w:rFonts w:hint="eastAsia"/>
              </w:rPr>
            </w:pPr>
            <w:r>
              <w:rPr>
                <w:rFonts w:hint="eastAsia"/>
              </w:rPr>
              <w:t>（4）设备使用期间，提供应用软件免费升级，操作系统以及数据库完善和稳定性升级。</w:t>
            </w:r>
          </w:p>
        </w:tc>
      </w:tr>
      <w:tr w14:paraId="18B9C3C9">
        <w:tblPrEx>
          <w:tblCellMar>
            <w:top w:w="0" w:type="dxa"/>
            <w:left w:w="108" w:type="dxa"/>
            <w:bottom w:w="0" w:type="dxa"/>
            <w:right w:w="108" w:type="dxa"/>
          </w:tblCellMar>
        </w:tblPrEx>
        <w:trPr>
          <w:trHeight w:val="41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85DFCD9">
            <w:pPr>
              <w:rPr>
                <w:rFonts w:hint="eastAsia"/>
              </w:rPr>
            </w:pPr>
            <w:r>
              <w:rPr>
                <w:rFonts w:hint="eastAsia"/>
              </w:rPr>
              <w:t>2、验收方案：</w:t>
            </w:r>
          </w:p>
        </w:tc>
      </w:tr>
      <w:tr w14:paraId="63A21CAA">
        <w:tblPrEx>
          <w:tblCellMar>
            <w:top w:w="0" w:type="dxa"/>
            <w:left w:w="108" w:type="dxa"/>
            <w:bottom w:w="0" w:type="dxa"/>
            <w:right w:w="108" w:type="dxa"/>
          </w:tblCellMar>
        </w:tblPrEx>
        <w:trPr>
          <w:trHeight w:val="83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998BD47">
            <w:pPr>
              <w:rPr>
                <w:rFonts w:hint="eastAsia"/>
              </w:rPr>
            </w:pPr>
            <w:r>
              <w:rPr>
                <w:rFonts w:hint="eastAsia"/>
              </w:rPr>
              <w:t xml:space="preserve">（1）服务根据合同的规定完成后，甲方应及时进行根据合同的规定进行服务验收。乙方应当以书面形式向甲方递交验收通知书，甲方在收到验收通知书后的10个工作日内，确定具体日期，由双方按照本合同的规定完成服务验收。甲方有权委托第三方检测机构进行验收，对此乙方应当配合。 </w:t>
            </w:r>
          </w:p>
        </w:tc>
      </w:tr>
      <w:tr w14:paraId="78F3789C">
        <w:tblPrEx>
          <w:tblCellMar>
            <w:top w:w="0" w:type="dxa"/>
            <w:left w:w="108" w:type="dxa"/>
            <w:bottom w:w="0" w:type="dxa"/>
            <w:right w:w="108" w:type="dxa"/>
          </w:tblCellMar>
        </w:tblPrEx>
        <w:trPr>
          <w:trHeight w:val="57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D3297B9">
            <w:pPr>
              <w:rPr>
                <w:rFonts w:hint="eastAsia"/>
              </w:rPr>
            </w:pPr>
            <w:r>
              <w:rPr>
                <w:rFonts w:hint="eastAsia"/>
              </w:rPr>
              <w:t xml:space="preserve">（2）如果属于乙方原因致使系统未能通过验收，乙方应当排除故障，并自行承担相关费用，同时进行试运行，直至服务完全符合验收标准。 </w:t>
            </w:r>
          </w:p>
        </w:tc>
      </w:tr>
      <w:tr w14:paraId="4CB5036A">
        <w:tblPrEx>
          <w:tblCellMar>
            <w:top w:w="0" w:type="dxa"/>
            <w:left w:w="108" w:type="dxa"/>
            <w:bottom w:w="0" w:type="dxa"/>
            <w:right w:w="108" w:type="dxa"/>
          </w:tblCellMar>
        </w:tblPrEx>
        <w:trPr>
          <w:trHeight w:val="47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5D6CE4B">
            <w:pPr>
              <w:rPr>
                <w:rFonts w:hint="eastAsia"/>
              </w:rPr>
            </w:pPr>
            <w:r>
              <w:rPr>
                <w:rFonts w:hint="eastAsia"/>
              </w:rPr>
              <w:t>（3）甲方根据合同的规定对服务验收合格后，甲方收取发票并签署验收意见。</w:t>
            </w:r>
          </w:p>
        </w:tc>
      </w:tr>
      <w:tr w14:paraId="5250146F">
        <w:tblPrEx>
          <w:tblCellMar>
            <w:top w:w="0" w:type="dxa"/>
            <w:left w:w="108" w:type="dxa"/>
            <w:bottom w:w="0" w:type="dxa"/>
            <w:right w:w="108" w:type="dxa"/>
          </w:tblCellMar>
        </w:tblPrEx>
        <w:trPr>
          <w:trHeight w:val="45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750D033">
            <w:pPr>
              <w:rPr>
                <w:rFonts w:hint="eastAsia"/>
              </w:rPr>
            </w:pPr>
            <w:r>
              <w:rPr>
                <w:rFonts w:hint="eastAsia"/>
              </w:rPr>
              <w:t>3</w:t>
            </w:r>
            <w:r>
              <w:t xml:space="preserve">、其他要求： </w:t>
            </w:r>
          </w:p>
        </w:tc>
      </w:tr>
      <w:tr w14:paraId="03B4BBD4">
        <w:tblPrEx>
          <w:tblCellMar>
            <w:top w:w="0" w:type="dxa"/>
            <w:left w:w="108" w:type="dxa"/>
            <w:bottom w:w="0" w:type="dxa"/>
            <w:right w:w="108" w:type="dxa"/>
          </w:tblCellMar>
        </w:tblPrEx>
        <w:trPr>
          <w:trHeight w:val="56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52CD358">
            <w:pPr>
              <w:rPr>
                <w:rFonts w:hint="eastAsia"/>
              </w:rPr>
            </w:pPr>
            <w:r>
              <w:rPr>
                <w:rFonts w:hint="eastAsia"/>
              </w:rPr>
              <w:t>中标人需在签订合同后60天内完成设备安装且验收合格。</w:t>
            </w:r>
          </w:p>
        </w:tc>
      </w:tr>
      <w:tr w14:paraId="6D1C0054">
        <w:tblPrEx>
          <w:tblCellMar>
            <w:top w:w="0" w:type="dxa"/>
            <w:left w:w="108" w:type="dxa"/>
            <w:bottom w:w="0" w:type="dxa"/>
            <w:right w:w="108" w:type="dxa"/>
          </w:tblCellMar>
        </w:tblPrEx>
        <w:trPr>
          <w:trHeight w:val="63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479653DC">
            <w:pPr>
              <w:rPr>
                <w:rFonts w:hint="eastAsia"/>
              </w:rPr>
            </w:pPr>
            <w:r>
              <w:rPr>
                <w:rFonts w:hint="eastAsia"/>
              </w:rPr>
              <w:t>五、售后服务方案及其他（所有需提供证明材料的均需标注具体页码）</w:t>
            </w:r>
          </w:p>
        </w:tc>
      </w:tr>
      <w:tr w14:paraId="11B79C04">
        <w:tblPrEx>
          <w:tblCellMar>
            <w:top w:w="0" w:type="dxa"/>
            <w:left w:w="108" w:type="dxa"/>
            <w:bottom w:w="0" w:type="dxa"/>
            <w:right w:w="108" w:type="dxa"/>
          </w:tblCellMar>
        </w:tblPrEx>
        <w:trPr>
          <w:trHeight w:val="35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6457573">
            <w:pPr>
              <w:rPr>
                <w:rFonts w:hint="eastAsia"/>
              </w:rPr>
            </w:pPr>
            <w:r>
              <w:rPr>
                <w:rFonts w:hint="eastAsia"/>
              </w:rPr>
              <w:t>1、质保要求：</w:t>
            </w:r>
          </w:p>
        </w:tc>
      </w:tr>
      <w:tr w14:paraId="42DC3D0E">
        <w:tblPrEx>
          <w:tblCellMar>
            <w:top w:w="0" w:type="dxa"/>
            <w:left w:w="108" w:type="dxa"/>
            <w:bottom w:w="0" w:type="dxa"/>
            <w:right w:w="108" w:type="dxa"/>
          </w:tblCellMar>
        </w:tblPrEx>
        <w:trPr>
          <w:trHeight w:val="84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BE8F3C2">
            <w:pPr>
              <w:rPr>
                <w:rFonts w:hint="eastAsia"/>
              </w:rPr>
            </w:pPr>
            <w:r>
              <w:t>（</w:t>
            </w:r>
            <w:r>
              <w:rPr>
                <w:rFonts w:hint="eastAsia"/>
              </w:rPr>
              <w:t>1</w:t>
            </w:r>
            <w:r>
              <w:t>）</w:t>
            </w:r>
            <w:r>
              <w:rPr>
                <w:rFonts w:hint="eastAsia"/>
              </w:rPr>
              <w:t>中标人负责设备到货搬运和安装就位（由此产生的费用由卖方承担）。中标人负责机房结构、电源、线路等技术参数的设计，并提供图纸，以符合装机要求。中标人应派遣有经验工程师对设备进行的安装和调试，确保安装质量达到产品出厂技术标准。装机时间不超过10天。</w:t>
            </w:r>
          </w:p>
        </w:tc>
      </w:tr>
      <w:tr w14:paraId="44CC6A42">
        <w:tblPrEx>
          <w:tblCellMar>
            <w:top w:w="0" w:type="dxa"/>
            <w:left w:w="108" w:type="dxa"/>
            <w:bottom w:w="0" w:type="dxa"/>
            <w:right w:w="108" w:type="dxa"/>
          </w:tblCellMar>
        </w:tblPrEx>
        <w:trPr>
          <w:trHeight w:val="74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61F2B4A">
            <w:pPr>
              <w:rPr>
                <w:rFonts w:hint="eastAsia"/>
              </w:rPr>
            </w:pPr>
            <w:r>
              <w:t>（</w:t>
            </w:r>
            <w:r>
              <w:rPr>
                <w:rFonts w:hint="eastAsia"/>
              </w:rPr>
              <w:t>2</w:t>
            </w:r>
            <w:r>
              <w:t>）</w:t>
            </w:r>
            <w:r>
              <w:rPr>
                <w:rFonts w:hint="eastAsia"/>
              </w:rPr>
              <w:t>中标人提供整机免费保修，保修期自设备安装完毕，双方签署本次集中采购统一格式的验收报告后开始计算。保修期≥3年（含探头）；保修期间要确保系统的正常运行，保证全年开机率(按365天/年计算)不低于95%，如达不到此标准，需按1:3（停机一</w:t>
            </w:r>
            <w:bookmarkStart w:id="0" w:name="_GoBack"/>
            <w:bookmarkEnd w:id="0"/>
            <w:r>
              <w:rPr>
                <w:rFonts w:hint="eastAsia"/>
              </w:rPr>
              <w:t>天延长三天）天数延长，延长期中出现停机按同样比例要求延长保修期。</w:t>
            </w:r>
            <w:r>
              <w:rPr>
                <w:rFonts w:hint="eastAsia" w:ascii="仿宋" w:hAnsi="仿宋" w:eastAsia="仿宋" w:cs="宋体"/>
                <w:color w:val="000000"/>
                <w:kern w:val="0"/>
              </w:rPr>
              <w:t>且必须提供</w:t>
            </w:r>
            <w:r>
              <w:rPr>
                <w:rFonts w:hint="eastAsia" w:ascii="仿宋" w:hAnsi="仿宋" w:eastAsia="仿宋" w:cs="宋体"/>
                <w:color w:val="000000"/>
                <w:kern w:val="0"/>
                <w:lang w:val="en-US" w:eastAsia="zh-CN"/>
              </w:rPr>
              <w:t>由</w:t>
            </w:r>
            <w:r>
              <w:rPr>
                <w:rFonts w:hint="eastAsia" w:ascii="仿宋" w:hAnsi="仿宋" w:eastAsia="仿宋" w:cs="宋体"/>
                <w:color w:val="000000"/>
                <w:kern w:val="0"/>
              </w:rPr>
              <w:t>设备制造商出具的售后服务承诺</w:t>
            </w:r>
            <w:r>
              <w:rPr>
                <w:rFonts w:hint="eastAsia" w:ascii="仿宋" w:hAnsi="仿宋" w:eastAsia="仿宋" w:cs="宋体"/>
                <w:color w:val="000000"/>
                <w:kern w:val="0"/>
                <w:lang w:val="en-US" w:eastAsia="zh-CN"/>
              </w:rPr>
              <w:t>函</w:t>
            </w:r>
            <w:r>
              <w:t>。</w:t>
            </w:r>
          </w:p>
        </w:tc>
      </w:tr>
      <w:tr w14:paraId="570D28CC">
        <w:tblPrEx>
          <w:tblCellMar>
            <w:top w:w="0" w:type="dxa"/>
            <w:left w:w="108" w:type="dxa"/>
            <w:bottom w:w="0" w:type="dxa"/>
            <w:right w:w="108" w:type="dxa"/>
          </w:tblCellMar>
        </w:tblPrEx>
        <w:trPr>
          <w:trHeight w:val="535"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1153E8A">
            <w:pPr>
              <w:rPr>
                <w:rFonts w:hint="eastAsia"/>
              </w:rPr>
            </w:pPr>
            <w:r>
              <w:rPr>
                <w:rFonts w:hint="eastAsia"/>
              </w:rPr>
              <w:t>（3）年度维保：保修期外的整机年度保修合同不得高于设备总价的7%，保修期内的年度定期预防性维护保养次数不得少于4次。</w:t>
            </w:r>
          </w:p>
        </w:tc>
      </w:tr>
      <w:tr w14:paraId="52A74F1B">
        <w:tblPrEx>
          <w:tblCellMar>
            <w:top w:w="0" w:type="dxa"/>
            <w:left w:w="108" w:type="dxa"/>
            <w:bottom w:w="0" w:type="dxa"/>
            <w:right w:w="108" w:type="dxa"/>
          </w:tblCellMar>
        </w:tblPrEx>
        <w:trPr>
          <w:trHeight w:val="535"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EE2ECE8">
            <w:pPr>
              <w:rPr>
                <w:rFonts w:hint="eastAsia"/>
              </w:rPr>
            </w:pPr>
            <w:r>
              <w:rPr>
                <w:rFonts w:hint="eastAsia"/>
              </w:rPr>
              <w:t>（4）提供零配件清单，质保期外单次维修仅收取零配件费用，不收取维修、差旅费等其他费用。质保期满后以≤8折的优惠价供应维修零配件。</w:t>
            </w:r>
          </w:p>
        </w:tc>
      </w:tr>
      <w:tr w14:paraId="4E756449">
        <w:tblPrEx>
          <w:tblCellMar>
            <w:top w:w="0" w:type="dxa"/>
            <w:left w:w="108" w:type="dxa"/>
            <w:bottom w:w="0" w:type="dxa"/>
            <w:right w:w="108" w:type="dxa"/>
          </w:tblCellMar>
        </w:tblPrEx>
        <w:trPr>
          <w:trHeight w:val="61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7929BF1">
            <w:pPr>
              <w:rPr>
                <w:rFonts w:hint="eastAsia"/>
              </w:rPr>
            </w:pPr>
            <w:r>
              <w:rPr>
                <w:rFonts w:hint="eastAsia"/>
              </w:rPr>
              <w:t>2、中标人提供的设备，其品牌、型号和技术参数等要符合招投标文件和投标文件的相关要求和承诺事项。如有不符，招标人可无条件退货，由此所造成的损失由中标人自行承担。</w:t>
            </w:r>
          </w:p>
        </w:tc>
      </w:tr>
      <w:tr w14:paraId="5D416F81">
        <w:tblPrEx>
          <w:tblCellMar>
            <w:top w:w="0" w:type="dxa"/>
            <w:left w:w="108" w:type="dxa"/>
            <w:bottom w:w="0" w:type="dxa"/>
            <w:right w:w="108" w:type="dxa"/>
          </w:tblCellMar>
        </w:tblPrEx>
        <w:trPr>
          <w:trHeight w:val="858"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895288D">
            <w:pPr>
              <w:rPr>
                <w:rFonts w:hint="eastAsia"/>
              </w:rPr>
            </w:pPr>
            <w:r>
              <w:rPr>
                <w:rFonts w:hint="eastAsia"/>
              </w:rPr>
              <w:t xml:space="preserve">3、维修响应时间：设有专用报修电话，保证在接到设备故障报修通知后，维修工程师4小时内响应，24小时内到达现场检修，保修期内外（包括休息日和节假日）均能派出维修工程师到达现场维修。 </w:t>
            </w:r>
          </w:p>
        </w:tc>
      </w:tr>
      <w:tr w14:paraId="172D4EFA">
        <w:tblPrEx>
          <w:tblCellMar>
            <w:top w:w="0" w:type="dxa"/>
            <w:left w:w="108" w:type="dxa"/>
            <w:bottom w:w="0" w:type="dxa"/>
            <w:right w:w="108" w:type="dxa"/>
          </w:tblCellMar>
        </w:tblPrEx>
        <w:trPr>
          <w:trHeight w:val="68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25F903D">
            <w:pPr>
              <w:rPr>
                <w:rFonts w:hint="eastAsia"/>
              </w:rPr>
            </w:pPr>
            <w:r>
              <w:rPr>
                <w:rFonts w:hint="eastAsia"/>
              </w:rPr>
              <w:t xml:space="preserve">4、投标人报价应包含但不限于完成本项目的设备购置费、运输费、安装调试、验收、质保期运行维护、测试费、培训费、流量费、售后服务和税金、接口费等一切费用，招标人后期不再追加预算。 </w:t>
            </w:r>
          </w:p>
        </w:tc>
      </w:tr>
      <w:tr w14:paraId="46902B74">
        <w:tblPrEx>
          <w:tblCellMar>
            <w:top w:w="0" w:type="dxa"/>
            <w:left w:w="108" w:type="dxa"/>
            <w:bottom w:w="0" w:type="dxa"/>
            <w:right w:w="108" w:type="dxa"/>
          </w:tblCellMar>
        </w:tblPrEx>
        <w:trPr>
          <w:trHeight w:val="355"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03B85FE">
            <w:pPr>
              <w:rPr>
                <w:rFonts w:hint="eastAsia"/>
              </w:rPr>
            </w:pPr>
            <w:r>
              <w:rPr>
                <w:rFonts w:hint="eastAsia"/>
              </w:rPr>
              <w:t>5.其他要求：</w:t>
            </w:r>
          </w:p>
        </w:tc>
      </w:tr>
      <w:tr w14:paraId="5CDDEC7E">
        <w:tblPrEx>
          <w:tblCellMar>
            <w:top w:w="0" w:type="dxa"/>
            <w:left w:w="108" w:type="dxa"/>
            <w:bottom w:w="0" w:type="dxa"/>
            <w:right w:w="108" w:type="dxa"/>
          </w:tblCellMar>
        </w:tblPrEx>
        <w:trPr>
          <w:trHeight w:val="355"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3DFD43D">
            <w:pPr>
              <w:rPr>
                <w:rFonts w:hint="eastAsia"/>
              </w:rPr>
            </w:pPr>
            <w:r>
              <w:rPr>
                <w:rFonts w:hint="eastAsia"/>
              </w:rPr>
              <w:t>（1）投标人所投产品需运行稳定性高、返修率低及投标产品的品牌的市场认可度高。投标人需有相应的服务质量管理能力。需要提供产品制造商的研发机构设置、产品研发流程及执行情况、设计分析能力，以及产品制造商的产品制造能力、供应链管理能力、制造产品配置等内容。</w:t>
            </w:r>
          </w:p>
        </w:tc>
      </w:tr>
      <w:tr w14:paraId="04AD6842">
        <w:tblPrEx>
          <w:tblCellMar>
            <w:top w:w="0" w:type="dxa"/>
            <w:left w:w="108" w:type="dxa"/>
            <w:bottom w:w="0" w:type="dxa"/>
            <w:right w:w="108" w:type="dxa"/>
          </w:tblCellMar>
        </w:tblPrEx>
        <w:trPr>
          <w:trHeight w:val="355"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8C690CA">
            <w:pPr>
              <w:rPr>
                <w:rFonts w:hint="eastAsia"/>
              </w:rPr>
            </w:pPr>
            <w:r>
              <w:rPr>
                <w:rFonts w:hint="eastAsia"/>
              </w:rPr>
              <w:t>（2）投标人需有近三年以来同类产品的销售业绩。</w:t>
            </w:r>
          </w:p>
        </w:tc>
      </w:tr>
      <w:tr w14:paraId="16107DCD">
        <w:tblPrEx>
          <w:tblCellMar>
            <w:top w:w="0" w:type="dxa"/>
            <w:left w:w="108" w:type="dxa"/>
            <w:bottom w:w="0" w:type="dxa"/>
            <w:right w:w="108" w:type="dxa"/>
          </w:tblCellMar>
        </w:tblPrEx>
        <w:trPr>
          <w:trHeight w:val="68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0B855B69">
            <w:pPr>
              <w:rPr>
                <w:rFonts w:hint="eastAsia"/>
              </w:rPr>
            </w:pPr>
            <w:r>
              <w:rPr>
                <w:rFonts w:hint="eastAsia"/>
              </w:rPr>
              <w:t xml:space="preserve">六、付款方式 </w:t>
            </w:r>
          </w:p>
        </w:tc>
      </w:tr>
      <w:tr w14:paraId="2CDDCDEB">
        <w:tblPrEx>
          <w:tblCellMar>
            <w:top w:w="0" w:type="dxa"/>
            <w:left w:w="108" w:type="dxa"/>
            <w:bottom w:w="0" w:type="dxa"/>
            <w:right w:w="108" w:type="dxa"/>
          </w:tblCellMar>
        </w:tblPrEx>
        <w:trPr>
          <w:trHeight w:val="1060" w:hRule="atLeast"/>
        </w:trPr>
        <w:tc>
          <w:tcPr>
            <w:tcW w:w="11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1B6CCDC">
            <w:pPr>
              <w:rPr>
                <w:rFonts w:hint="eastAsia"/>
              </w:rPr>
            </w:pPr>
            <w:r>
              <w:rPr>
                <w:rFonts w:hint="eastAsia" w:ascii="仿宋" w:hAnsi="仿宋" w:eastAsia="仿宋" w:cs="Arial"/>
                <w:szCs w:val="21"/>
                <w:lang w:val="en-US" w:eastAsia="zh-CN"/>
              </w:rPr>
              <w:t>合同签订并完成设备安装验收后，90个工作日内支付全款。</w:t>
            </w:r>
          </w:p>
        </w:tc>
      </w:tr>
    </w:tbl>
    <w:p w14:paraId="54317A79">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C14CF7"/>
    <w:multiLevelType w:val="multilevel"/>
    <w:tmpl w:val="2EC14CF7"/>
    <w:lvl w:ilvl="0" w:tentative="0">
      <w:start w:val="1"/>
      <w:numFmt w:val="chineseCountingThousand"/>
      <w:suff w:val="space"/>
      <w:lvlText w:val="%1、"/>
      <w:lvlJc w:val="left"/>
      <w:pPr>
        <w:ind w:left="0" w:firstLine="0"/>
      </w:pPr>
      <w:rPr>
        <w:rFonts w:hint="eastAsia"/>
      </w:rPr>
    </w:lvl>
    <w:lvl w:ilvl="1" w:tentative="0">
      <w:start w:val="1"/>
      <w:numFmt w:val="decimal"/>
      <w:pStyle w:val="2"/>
      <w:isLgl/>
      <w:suff w:val="space"/>
      <w:lvlText w:val="%1.%2"/>
      <w:lvlJc w:val="left"/>
      <w:pPr>
        <w:ind w:left="284" w:firstLine="0"/>
      </w:pPr>
      <w:rPr>
        <w:rFonts w:hint="eastAsia"/>
        <w:spacing w:val="0"/>
        <w:w w:val="100"/>
        <w:kern w:val="21"/>
        <w:position w:val="0"/>
      </w:rPr>
    </w:lvl>
    <w:lvl w:ilvl="2" w:tentative="0">
      <w:start w:val="1"/>
      <w:numFmt w:val="decimal"/>
      <w:pStyle w:val="3"/>
      <w:isLgl/>
      <w:suff w:val="space"/>
      <w:lvlText w:val="%1.%2.%3"/>
      <w:lvlJc w:val="left"/>
      <w:pPr>
        <w:ind w:left="2268" w:firstLine="0"/>
      </w:pPr>
      <w:rPr>
        <w:rFonts w:hint="eastAsia"/>
        <w:color w:val="auto"/>
      </w:rPr>
    </w:lvl>
    <w:lvl w:ilvl="3" w:tentative="0">
      <w:start w:val="1"/>
      <w:numFmt w:val="decimal"/>
      <w:lvlText w:val="%1.%2.%3.%4"/>
      <w:lvlJc w:val="left"/>
      <w:pPr>
        <w:ind w:left="852" w:firstLine="0"/>
      </w:pPr>
      <w:rPr>
        <w:rFonts w:hint="eastAsia"/>
      </w:rPr>
    </w:lvl>
    <w:lvl w:ilvl="4" w:tentative="0">
      <w:start w:val="1"/>
      <w:numFmt w:val="decimal"/>
      <w:lvlText w:val="%1.%2.%3.%4.%5"/>
      <w:lvlJc w:val="left"/>
      <w:pPr>
        <w:ind w:left="1136" w:firstLine="0"/>
      </w:pPr>
      <w:rPr>
        <w:rFonts w:hint="eastAsia"/>
      </w:rPr>
    </w:lvl>
    <w:lvl w:ilvl="5" w:tentative="0">
      <w:start w:val="1"/>
      <w:numFmt w:val="decimal"/>
      <w:lvlText w:val="%1.%2.%3.%4.%5.%6"/>
      <w:lvlJc w:val="left"/>
      <w:pPr>
        <w:ind w:left="1420" w:firstLine="0"/>
      </w:pPr>
      <w:rPr>
        <w:rFonts w:hint="eastAsia"/>
      </w:rPr>
    </w:lvl>
    <w:lvl w:ilvl="6" w:tentative="0">
      <w:start w:val="1"/>
      <w:numFmt w:val="decimal"/>
      <w:lvlText w:val="%1.%2.%3.%4.%5.%6.%7"/>
      <w:lvlJc w:val="left"/>
      <w:pPr>
        <w:ind w:left="1704" w:firstLine="0"/>
      </w:pPr>
      <w:rPr>
        <w:rFonts w:hint="eastAsia"/>
      </w:rPr>
    </w:lvl>
    <w:lvl w:ilvl="7" w:tentative="0">
      <w:start w:val="1"/>
      <w:numFmt w:val="decimal"/>
      <w:lvlText w:val="%1.%2.%3.%4.%5.%6.%7.%8"/>
      <w:lvlJc w:val="left"/>
      <w:pPr>
        <w:ind w:left="1988" w:firstLine="0"/>
      </w:pPr>
      <w:rPr>
        <w:rFonts w:hint="eastAsia"/>
      </w:rPr>
    </w:lvl>
    <w:lvl w:ilvl="8" w:tentative="0">
      <w:start w:val="1"/>
      <w:numFmt w:val="decimal"/>
      <w:lvlText w:val="%1.%2.%3.%4.%5.%6.%7.%8.%9"/>
      <w:lvlJc w:val="left"/>
      <w:pPr>
        <w:ind w:left="2272"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2ODIzYzFkYjU5ODA0ZWQ3MmQzN2ZjOWExODM5MzIifQ=="/>
  </w:docVars>
  <w:rsids>
    <w:rsidRoot w:val="00447B8E"/>
    <w:rsid w:val="00005594"/>
    <w:rsid w:val="00047D06"/>
    <w:rsid w:val="00057D72"/>
    <w:rsid w:val="00097D95"/>
    <w:rsid w:val="000A5373"/>
    <w:rsid w:val="000B5DB7"/>
    <w:rsid w:val="000E5DB9"/>
    <w:rsid w:val="000E6E85"/>
    <w:rsid w:val="000F6F95"/>
    <w:rsid w:val="00131319"/>
    <w:rsid w:val="00144C75"/>
    <w:rsid w:val="00171410"/>
    <w:rsid w:val="00193695"/>
    <w:rsid w:val="001B538D"/>
    <w:rsid w:val="001D7227"/>
    <w:rsid w:val="001F0667"/>
    <w:rsid w:val="00220AD0"/>
    <w:rsid w:val="00231AEE"/>
    <w:rsid w:val="002432FB"/>
    <w:rsid w:val="002710B4"/>
    <w:rsid w:val="002C7E55"/>
    <w:rsid w:val="002E5E47"/>
    <w:rsid w:val="00332955"/>
    <w:rsid w:val="00346DF0"/>
    <w:rsid w:val="003501D9"/>
    <w:rsid w:val="003502F6"/>
    <w:rsid w:val="00353D22"/>
    <w:rsid w:val="003610AC"/>
    <w:rsid w:val="00362B6D"/>
    <w:rsid w:val="00366EF6"/>
    <w:rsid w:val="003878D8"/>
    <w:rsid w:val="003A6154"/>
    <w:rsid w:val="003D7E3B"/>
    <w:rsid w:val="0040221A"/>
    <w:rsid w:val="00414F30"/>
    <w:rsid w:val="00424796"/>
    <w:rsid w:val="004320A6"/>
    <w:rsid w:val="00447B8E"/>
    <w:rsid w:val="004617E8"/>
    <w:rsid w:val="00463710"/>
    <w:rsid w:val="00477ACD"/>
    <w:rsid w:val="004C5330"/>
    <w:rsid w:val="004D2C1F"/>
    <w:rsid w:val="004F560D"/>
    <w:rsid w:val="00511A27"/>
    <w:rsid w:val="0051590E"/>
    <w:rsid w:val="0053760E"/>
    <w:rsid w:val="00540AE3"/>
    <w:rsid w:val="00553AB9"/>
    <w:rsid w:val="005A0AC2"/>
    <w:rsid w:val="005A6B7D"/>
    <w:rsid w:val="005E20F0"/>
    <w:rsid w:val="005E5E4C"/>
    <w:rsid w:val="006359EA"/>
    <w:rsid w:val="00637290"/>
    <w:rsid w:val="00663904"/>
    <w:rsid w:val="006B0996"/>
    <w:rsid w:val="00711D13"/>
    <w:rsid w:val="00725ED8"/>
    <w:rsid w:val="0075798E"/>
    <w:rsid w:val="00795306"/>
    <w:rsid w:val="007B3C9C"/>
    <w:rsid w:val="007C557C"/>
    <w:rsid w:val="007C579A"/>
    <w:rsid w:val="007D57F9"/>
    <w:rsid w:val="007F7BA3"/>
    <w:rsid w:val="008035AD"/>
    <w:rsid w:val="008321F7"/>
    <w:rsid w:val="008507EE"/>
    <w:rsid w:val="008539D3"/>
    <w:rsid w:val="008B22A0"/>
    <w:rsid w:val="008B7A24"/>
    <w:rsid w:val="008E2BBA"/>
    <w:rsid w:val="008F1D47"/>
    <w:rsid w:val="0090179A"/>
    <w:rsid w:val="00910DA3"/>
    <w:rsid w:val="00931C0E"/>
    <w:rsid w:val="009436F2"/>
    <w:rsid w:val="00953405"/>
    <w:rsid w:val="0096727E"/>
    <w:rsid w:val="0097112C"/>
    <w:rsid w:val="00972C4A"/>
    <w:rsid w:val="00986C33"/>
    <w:rsid w:val="009B2ADE"/>
    <w:rsid w:val="009D0F9B"/>
    <w:rsid w:val="00A26397"/>
    <w:rsid w:val="00A34723"/>
    <w:rsid w:val="00A4049C"/>
    <w:rsid w:val="00A4300B"/>
    <w:rsid w:val="00A4746E"/>
    <w:rsid w:val="00A57A47"/>
    <w:rsid w:val="00A77330"/>
    <w:rsid w:val="00A86576"/>
    <w:rsid w:val="00A97375"/>
    <w:rsid w:val="00AE61B8"/>
    <w:rsid w:val="00B23CC2"/>
    <w:rsid w:val="00B25A0F"/>
    <w:rsid w:val="00B37A15"/>
    <w:rsid w:val="00B82A26"/>
    <w:rsid w:val="00BB5191"/>
    <w:rsid w:val="00BC1A04"/>
    <w:rsid w:val="00BC3275"/>
    <w:rsid w:val="00C150FE"/>
    <w:rsid w:val="00C205C8"/>
    <w:rsid w:val="00C35095"/>
    <w:rsid w:val="00C6336F"/>
    <w:rsid w:val="00C6381E"/>
    <w:rsid w:val="00CF02BD"/>
    <w:rsid w:val="00D77B8C"/>
    <w:rsid w:val="00DA3802"/>
    <w:rsid w:val="00DB5BEF"/>
    <w:rsid w:val="00DB6677"/>
    <w:rsid w:val="00DC530C"/>
    <w:rsid w:val="00E20B92"/>
    <w:rsid w:val="00E30671"/>
    <w:rsid w:val="00E61017"/>
    <w:rsid w:val="00E62188"/>
    <w:rsid w:val="00E67EE2"/>
    <w:rsid w:val="00E766AC"/>
    <w:rsid w:val="00EB68BC"/>
    <w:rsid w:val="00EC6875"/>
    <w:rsid w:val="00EE4EFD"/>
    <w:rsid w:val="00EF3B57"/>
    <w:rsid w:val="00F35499"/>
    <w:rsid w:val="00F362EB"/>
    <w:rsid w:val="00F51689"/>
    <w:rsid w:val="00F67189"/>
    <w:rsid w:val="00F767AD"/>
    <w:rsid w:val="00FA6CC9"/>
    <w:rsid w:val="00FE211B"/>
    <w:rsid w:val="05125494"/>
    <w:rsid w:val="07C02047"/>
    <w:rsid w:val="083D3697"/>
    <w:rsid w:val="089A7FB1"/>
    <w:rsid w:val="0935570F"/>
    <w:rsid w:val="096A0D55"/>
    <w:rsid w:val="09AD03A9"/>
    <w:rsid w:val="0EE02FCE"/>
    <w:rsid w:val="118A0FD0"/>
    <w:rsid w:val="125927F5"/>
    <w:rsid w:val="14667AD2"/>
    <w:rsid w:val="17181A91"/>
    <w:rsid w:val="1767428D"/>
    <w:rsid w:val="17E337DB"/>
    <w:rsid w:val="18736D2E"/>
    <w:rsid w:val="1BC11A92"/>
    <w:rsid w:val="1CB43ECE"/>
    <w:rsid w:val="1D3369BF"/>
    <w:rsid w:val="1EB853CE"/>
    <w:rsid w:val="1F3C7DAD"/>
    <w:rsid w:val="26695200"/>
    <w:rsid w:val="26E76738"/>
    <w:rsid w:val="27B23302"/>
    <w:rsid w:val="2BE71103"/>
    <w:rsid w:val="2C3167C0"/>
    <w:rsid w:val="2E3F24CE"/>
    <w:rsid w:val="36BE7C00"/>
    <w:rsid w:val="3AA27206"/>
    <w:rsid w:val="4182569C"/>
    <w:rsid w:val="42AC179A"/>
    <w:rsid w:val="432307B8"/>
    <w:rsid w:val="459900F2"/>
    <w:rsid w:val="476C1892"/>
    <w:rsid w:val="4DD01EC9"/>
    <w:rsid w:val="4EB64BD7"/>
    <w:rsid w:val="4FD23C92"/>
    <w:rsid w:val="52F25D4B"/>
    <w:rsid w:val="54DC4C6B"/>
    <w:rsid w:val="579A2768"/>
    <w:rsid w:val="58E6430A"/>
    <w:rsid w:val="5AF22760"/>
    <w:rsid w:val="5BA364E3"/>
    <w:rsid w:val="649A1E84"/>
    <w:rsid w:val="65F30067"/>
    <w:rsid w:val="6CA43E69"/>
    <w:rsid w:val="6CEF1588"/>
    <w:rsid w:val="6D8A238B"/>
    <w:rsid w:val="6E561C1D"/>
    <w:rsid w:val="70174FDE"/>
    <w:rsid w:val="724E2F94"/>
    <w:rsid w:val="72EE3DD6"/>
    <w:rsid w:val="75862CA5"/>
    <w:rsid w:val="796B468C"/>
    <w:rsid w:val="79AC25AE"/>
    <w:rsid w:val="7DD34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0" w:lineRule="atLeast"/>
      <w:jc w:val="both"/>
    </w:pPr>
    <w:rPr>
      <w:rFonts w:ascii="仿宋" w:hAnsi="仿宋" w:eastAsia="仿宋" w:cs="Arial"/>
      <w:kern w:val="2"/>
      <w:sz w:val="21"/>
      <w:szCs w:val="21"/>
      <w:lang w:val="en-US" w:eastAsia="zh-CN" w:bidi="ar-SA"/>
    </w:rPr>
  </w:style>
  <w:style w:type="paragraph" w:styleId="2">
    <w:name w:val="heading 2"/>
    <w:next w:val="1"/>
    <w:autoRedefine/>
    <w:qFormat/>
    <w:uiPriority w:val="0"/>
    <w:pPr>
      <w:numPr>
        <w:ilvl w:val="1"/>
        <w:numId w:val="1"/>
      </w:numPr>
      <w:snapToGrid w:val="0"/>
      <w:outlineLvl w:val="1"/>
    </w:pPr>
    <w:rPr>
      <w:rFonts w:ascii="微软雅黑" w:hAnsi="微软雅黑" w:eastAsia="微软雅黑" w:cs="Times New Roman"/>
      <w:b/>
      <w:bCs/>
      <w:kern w:val="2"/>
      <w:sz w:val="21"/>
      <w:szCs w:val="32"/>
      <w:lang w:val="en-US" w:eastAsia="zh-CN" w:bidi="ar-SA"/>
    </w:rPr>
  </w:style>
  <w:style w:type="paragraph" w:styleId="3">
    <w:name w:val="heading 3"/>
    <w:next w:val="1"/>
    <w:autoRedefine/>
    <w:qFormat/>
    <w:uiPriority w:val="0"/>
    <w:pPr>
      <w:numPr>
        <w:ilvl w:val="2"/>
        <w:numId w:val="1"/>
      </w:numPr>
      <w:snapToGrid w:val="0"/>
      <w:ind w:left="567"/>
      <w:outlineLvl w:val="2"/>
    </w:pPr>
    <w:rPr>
      <w:rFonts w:ascii="微软雅黑" w:hAnsi="微软雅黑" w:eastAsia="微软雅黑" w:cs="Times New Roman"/>
      <w:bCs/>
      <w:kern w:val="2"/>
      <w:sz w:val="21"/>
      <w:szCs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semiHidden/>
    <w:unhideWhenUsed/>
    <w:qFormat/>
    <w:uiPriority w:val="99"/>
    <w:pPr>
      <w:spacing w:line="240" w:lineRule="auto"/>
    </w:pPr>
    <w:rPr>
      <w:sz w:val="18"/>
      <w:szCs w:val="18"/>
    </w:rPr>
  </w:style>
  <w:style w:type="paragraph" w:styleId="5">
    <w:name w:val="footer"/>
    <w:basedOn w:val="1"/>
    <w:link w:val="15"/>
    <w:semiHidden/>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4"/>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9">
    <w:name w:val="font41"/>
    <w:basedOn w:val="8"/>
    <w:autoRedefine/>
    <w:qFormat/>
    <w:uiPriority w:val="0"/>
    <w:rPr>
      <w:rFonts w:hint="default" w:ascii="Times New Roman" w:hAnsi="Times New Roman" w:cs="Times New Roman"/>
      <w:color w:val="000000"/>
      <w:sz w:val="21"/>
      <w:szCs w:val="21"/>
      <w:u w:val="none"/>
    </w:rPr>
  </w:style>
  <w:style w:type="character" w:customStyle="1" w:styleId="10">
    <w:name w:val="font31"/>
    <w:basedOn w:val="8"/>
    <w:autoRedefine/>
    <w:qFormat/>
    <w:uiPriority w:val="0"/>
    <w:rPr>
      <w:rFonts w:hint="eastAsia" w:ascii="仿宋" w:hAnsi="仿宋" w:eastAsia="仿宋"/>
      <w:color w:val="000000"/>
      <w:sz w:val="21"/>
      <w:szCs w:val="21"/>
      <w:u w:val="none"/>
    </w:rPr>
  </w:style>
  <w:style w:type="character" w:customStyle="1" w:styleId="11">
    <w:name w:val="font81"/>
    <w:basedOn w:val="8"/>
    <w:autoRedefine/>
    <w:qFormat/>
    <w:uiPriority w:val="0"/>
    <w:rPr>
      <w:rFonts w:hint="eastAsia" w:ascii="宋体" w:hAnsi="宋体" w:eastAsia="宋体"/>
      <w:color w:val="000000"/>
      <w:sz w:val="21"/>
      <w:szCs w:val="21"/>
      <w:u w:val="none"/>
    </w:rPr>
  </w:style>
  <w:style w:type="character" w:customStyle="1" w:styleId="12">
    <w:name w:val="font61"/>
    <w:basedOn w:val="8"/>
    <w:autoRedefine/>
    <w:qFormat/>
    <w:uiPriority w:val="0"/>
    <w:rPr>
      <w:rFonts w:hint="eastAsia" w:ascii="仿宋" w:hAnsi="仿宋" w:eastAsia="仿宋"/>
      <w:color w:val="000000"/>
      <w:sz w:val="21"/>
      <w:szCs w:val="21"/>
      <w:u w:val="none"/>
    </w:rPr>
  </w:style>
  <w:style w:type="character" w:customStyle="1" w:styleId="13">
    <w:name w:val="批注框文本 字符"/>
    <w:basedOn w:val="8"/>
    <w:link w:val="4"/>
    <w:semiHidden/>
    <w:qFormat/>
    <w:uiPriority w:val="99"/>
    <w:rPr>
      <w:rFonts w:ascii="仿宋" w:hAnsi="仿宋" w:eastAsia="仿宋" w:cs="Arial"/>
      <w:kern w:val="2"/>
      <w:sz w:val="18"/>
      <w:szCs w:val="18"/>
    </w:rPr>
  </w:style>
  <w:style w:type="character" w:customStyle="1" w:styleId="14">
    <w:name w:val="页眉 字符"/>
    <w:basedOn w:val="8"/>
    <w:link w:val="6"/>
    <w:semiHidden/>
    <w:qFormat/>
    <w:uiPriority w:val="99"/>
    <w:rPr>
      <w:rFonts w:ascii="仿宋" w:hAnsi="仿宋" w:eastAsia="仿宋" w:cs="Arial"/>
      <w:kern w:val="2"/>
      <w:sz w:val="18"/>
      <w:szCs w:val="18"/>
    </w:rPr>
  </w:style>
  <w:style w:type="character" w:customStyle="1" w:styleId="15">
    <w:name w:val="页脚 字符"/>
    <w:basedOn w:val="8"/>
    <w:link w:val="5"/>
    <w:semiHidden/>
    <w:qFormat/>
    <w:uiPriority w:val="99"/>
    <w:rPr>
      <w:rFonts w:ascii="仿宋" w:hAnsi="仿宋" w:eastAsia="仿宋" w:cs="Arial"/>
      <w:kern w:val="2"/>
      <w:sz w:val="18"/>
      <w:szCs w:val="18"/>
    </w:rPr>
  </w:style>
  <w:style w:type="paragraph" w:customStyle="1" w:styleId="16">
    <w:name w:val="Revision"/>
    <w:hidden/>
    <w:unhideWhenUsed/>
    <w:qFormat/>
    <w:uiPriority w:val="99"/>
    <w:rPr>
      <w:rFonts w:ascii="仿宋" w:hAnsi="仿宋" w:eastAsia="仿宋" w:cs="Arial"/>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10F00-2672-4C2D-9736-7A1C5158F43C}">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2934</Words>
  <Characters>3108</Characters>
  <Lines>26</Lines>
  <Paragraphs>7</Paragraphs>
  <TotalTime>1</TotalTime>
  <ScaleCrop>false</ScaleCrop>
  <LinksUpToDate>false</LinksUpToDate>
  <CharactersWithSpaces>3127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2025-04-16T04:05:00Z</dcterms:created>
  <dc:creator>zww</dc:creator>
  <cp:lastModifiedBy>待到尘埃落定时</cp:lastModifiedBy>
  <cp:lastPrinted>2025-04-08T08:45:00Z</cp:lastPrinted>
  <dcterms:modified xsi:type="dcterms:W3CDTF">2025-04-21T06:27:58Z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364D09687E75447DB8A27D8C468B38E7_13</vt:lpwstr>
  </property>
  <property fmtid="{D5CDD505-2E9C-101B-9397-08002B2CF9AE}" pid="4" name="KSOTemplateDocerSaveRecord">
    <vt:lpwstr>eyJoZGlkIjoiZTVkYjAxNTA2NmNkNTRlODkzYjNlOTNiMjZjMTI5MTAiLCJ1c2VySWQiOiI1NDYxNjc0MDMifQ==</vt:lpwstr>
  </property>
</Properties>
</file>