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1390" w:type="dxa"/>
        <w:tblInd w:w="-1483" w:type="dxa"/>
        <w:tblLayout w:type="autofit"/>
        <w:tblCellMar>
          <w:top w:w="0" w:type="dxa"/>
          <w:left w:w="108" w:type="dxa"/>
          <w:bottom w:w="0" w:type="dxa"/>
          <w:right w:w="108" w:type="dxa"/>
        </w:tblCellMar>
      </w:tblPr>
      <w:tblGrid>
        <w:gridCol w:w="990"/>
        <w:gridCol w:w="891"/>
        <w:gridCol w:w="99"/>
        <w:gridCol w:w="990"/>
        <w:gridCol w:w="990"/>
        <w:gridCol w:w="990"/>
        <w:gridCol w:w="990"/>
        <w:gridCol w:w="990"/>
        <w:gridCol w:w="1120"/>
        <w:gridCol w:w="1080"/>
        <w:gridCol w:w="1270"/>
        <w:gridCol w:w="990"/>
      </w:tblGrid>
      <w:tr w14:paraId="6BE18E2D">
        <w:tblPrEx>
          <w:tblCellMar>
            <w:top w:w="0" w:type="dxa"/>
            <w:left w:w="108" w:type="dxa"/>
            <w:bottom w:w="0" w:type="dxa"/>
            <w:right w:w="108" w:type="dxa"/>
          </w:tblCellMar>
        </w:tblPrEx>
        <w:trPr>
          <w:trHeight w:val="280" w:hRule="atLeast"/>
        </w:trPr>
        <w:tc>
          <w:tcPr>
            <w:tcW w:w="990" w:type="dxa"/>
            <w:tcBorders>
              <w:top w:val="nil"/>
              <w:left w:val="nil"/>
              <w:bottom w:val="nil"/>
              <w:right w:val="nil"/>
            </w:tcBorders>
            <w:shd w:val="clear" w:color="auto" w:fill="auto"/>
            <w:noWrap/>
            <w:vAlign w:val="center"/>
          </w:tcPr>
          <w:p w14:paraId="70198C0B">
            <w:pPr>
              <w:widowControl/>
              <w:jc w:val="left"/>
              <w:rPr>
                <w:rFonts w:ascii="宋体" w:hAnsi="宋体" w:eastAsia="宋体" w:cs="宋体"/>
                <w:color w:val="000000"/>
                <w:kern w:val="0"/>
                <w:sz w:val="22"/>
              </w:rPr>
            </w:pPr>
            <w:r>
              <w:rPr>
                <w:rFonts w:ascii="仿宋" w:hAnsi="仿宋" w:eastAsia="仿宋" w:cs="宋体"/>
                <w:color w:val="000000"/>
                <w:kern w:val="0"/>
                <w:szCs w:val="21"/>
              </w:rPr>
              <mc:AlternateContent>
                <mc:Choice Requires="wps">
                  <w:drawing>
                    <wp:anchor distT="0" distB="0" distL="114300" distR="114300" simplePos="0" relativeHeight="251660288" behindDoc="0" locked="0" layoutInCell="0" allowOverlap="1">
                      <wp:simplePos x="0" y="0"/>
                      <wp:positionH relativeFrom="page">
                        <wp:posOffset>465455</wp:posOffset>
                      </wp:positionH>
                      <wp:positionV relativeFrom="paragraph">
                        <wp:posOffset>-930275</wp:posOffset>
                      </wp:positionV>
                      <wp:extent cx="37465" cy="37465"/>
                      <wp:effectExtent l="0" t="0" r="635" b="635"/>
                      <wp:wrapNone/>
                      <wp:docPr id="2" name="任意多边形: 形状 3"/>
                      <wp:cNvGraphicFramePr/>
                      <a:graphic xmlns:a="http://schemas.openxmlformats.org/drawingml/2006/main">
                        <a:graphicData uri="http://schemas.microsoft.com/office/word/2010/wordprocessingShape">
                          <wps:wsp>
                            <wps:cNvSpPr/>
                            <wps:spPr bwMode="auto">
                              <a:xfrm>
                                <a:off x="0" y="0"/>
                                <a:ext cx="37465" cy="37465"/>
                              </a:xfrm>
                              <a:custGeom>
                                <a:avLst/>
                                <a:gdLst>
                                  <a:gd name="T0" fmla="*/ 37 w 59"/>
                                  <a:gd name="T1" fmla="*/ 0 h 59"/>
                                  <a:gd name="T2" fmla="*/ 21 w 59"/>
                                  <a:gd name="T3" fmla="*/ 0 h 59"/>
                                  <a:gd name="T4" fmla="*/ 14 w 59"/>
                                  <a:gd name="T5" fmla="*/ 2 h 59"/>
                                  <a:gd name="T6" fmla="*/ 2 w 59"/>
                                  <a:gd name="T7" fmla="*/ 14 h 59"/>
                                  <a:gd name="T8" fmla="*/ 0 w 59"/>
                                  <a:gd name="T9" fmla="*/ 21 h 59"/>
                                  <a:gd name="T10" fmla="*/ 0 w 59"/>
                                  <a:gd name="T11" fmla="*/ 29 h 59"/>
                                  <a:gd name="T12" fmla="*/ 0 w 59"/>
                                  <a:gd name="T13" fmla="*/ 37 h 59"/>
                                  <a:gd name="T14" fmla="*/ 2 w 59"/>
                                  <a:gd name="T15" fmla="*/ 44 h 59"/>
                                  <a:gd name="T16" fmla="*/ 14 w 59"/>
                                  <a:gd name="T17" fmla="*/ 55 h 59"/>
                                  <a:gd name="T18" fmla="*/ 21 w 59"/>
                                  <a:gd name="T19" fmla="*/ 58 h 59"/>
                                  <a:gd name="T20" fmla="*/ 37 w 59"/>
                                  <a:gd name="T21" fmla="*/ 58 h 59"/>
                                  <a:gd name="T22" fmla="*/ 44 w 59"/>
                                  <a:gd name="T23" fmla="*/ 55 h 59"/>
                                  <a:gd name="T24" fmla="*/ 55 w 59"/>
                                  <a:gd name="T25" fmla="*/ 44 h 59"/>
                                  <a:gd name="T26" fmla="*/ 58 w 59"/>
                                  <a:gd name="T27" fmla="*/ 37 h 59"/>
                                  <a:gd name="T28" fmla="*/ 58 w 59"/>
                                  <a:gd name="T29" fmla="*/ 21 h 59"/>
                                  <a:gd name="T30" fmla="*/ 55 w 59"/>
                                  <a:gd name="T31" fmla="*/ 14 h 59"/>
                                  <a:gd name="T32" fmla="*/ 44 w 59"/>
                                  <a:gd name="T33" fmla="*/ 2 h 59"/>
                                  <a:gd name="T34" fmla="*/ 37 w 59"/>
                                  <a:gd name="T35" fmla="*/ 0 h 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59" h="59">
                                    <a:moveTo>
                                      <a:pt x="37" y="0"/>
                                    </a:moveTo>
                                    <a:lnTo>
                                      <a:pt x="21" y="0"/>
                                    </a:lnTo>
                                    <a:lnTo>
                                      <a:pt x="14" y="2"/>
                                    </a:lnTo>
                                    <a:lnTo>
                                      <a:pt x="2" y="14"/>
                                    </a:lnTo>
                                    <a:lnTo>
                                      <a:pt x="0" y="21"/>
                                    </a:lnTo>
                                    <a:lnTo>
                                      <a:pt x="0" y="29"/>
                                    </a:lnTo>
                                    <a:lnTo>
                                      <a:pt x="0" y="37"/>
                                    </a:lnTo>
                                    <a:lnTo>
                                      <a:pt x="2" y="44"/>
                                    </a:lnTo>
                                    <a:lnTo>
                                      <a:pt x="14" y="55"/>
                                    </a:lnTo>
                                    <a:lnTo>
                                      <a:pt x="21" y="58"/>
                                    </a:lnTo>
                                    <a:lnTo>
                                      <a:pt x="37" y="58"/>
                                    </a:lnTo>
                                    <a:lnTo>
                                      <a:pt x="44" y="55"/>
                                    </a:lnTo>
                                    <a:lnTo>
                                      <a:pt x="55" y="44"/>
                                    </a:lnTo>
                                    <a:lnTo>
                                      <a:pt x="58" y="37"/>
                                    </a:lnTo>
                                    <a:lnTo>
                                      <a:pt x="58" y="21"/>
                                    </a:lnTo>
                                    <a:lnTo>
                                      <a:pt x="55" y="14"/>
                                    </a:lnTo>
                                    <a:lnTo>
                                      <a:pt x="44" y="2"/>
                                    </a:lnTo>
                                    <a:lnTo>
                                      <a:pt x="37" y="0"/>
                                    </a:lnTo>
                                    <a:close/>
                                  </a:path>
                                </a:pathLst>
                              </a:custGeom>
                              <a:solidFill>
                                <a:srgbClr val="EB2E29"/>
                              </a:solidFill>
                              <a:ln>
                                <a:noFill/>
                              </a:ln>
                              <a:effectLst/>
                            </wps:spPr>
                            <wps:bodyPr rot="0" vert="horz" wrap="square" lIns="91440" tIns="45720" rIns="91440" bIns="45720" anchor="t" anchorCtr="0" upright="1">
                              <a:noAutofit/>
                            </wps:bodyPr>
                          </wps:wsp>
                        </a:graphicData>
                      </a:graphic>
                    </wp:anchor>
                  </w:drawing>
                </mc:Choice>
                <mc:Fallback>
                  <w:pict>
                    <v:shape id="任意多边形: 形状 3" o:spid="_x0000_s1026" o:spt="100" style="position:absolute;left:0pt;margin-left:36.65pt;margin-top:-73.25pt;height:2.95pt;width:2.95pt;mso-position-horizontal-relative:page;z-index:251660288;mso-width-relative:page;mso-height-relative:page;" fillcolor="#EB2E29" filled="t" stroked="f" coordsize="59,59" o:allowincell="f" o:gfxdata="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" path="m37,0l21,0,14,2,2,14,0,21,0,29,0,37,2,44,14,55,21,58,37,58,44,55,55,44,58,37,58,21,55,14,44,2,37,0xe">
                      <v:path o:connectlocs="23495,0;13335,0;8890,1270;1270,8890;0,13335;0,18415;0,23495;1270,27940;8890,34925;13335,36830;23495,36830;27940,34925;34925,27940;36830,23495;36830,13335;34925,8890;27940,1270;23495,0" o:connectangles="0,0,0,0,0,0,0,0,0,0,0,0,0,0,0,0,0,0"/>
                      <v:fill on="t" focussize="0,0"/>
                      <v:stroke on="f"/>
                      <v:imagedata o:title=""/>
                      <o:lock v:ext="edit" aspectratio="f"/>
                    </v:shape>
                  </w:pict>
                </mc:Fallback>
              </mc:AlternateContent>
            </w:r>
            <w:r>
              <w:rPr>
                <w:rFonts w:ascii="仿宋" w:hAnsi="仿宋" w:eastAsia="仿宋" w:cs="宋体"/>
                <w:color w:val="000000"/>
                <w:kern w:val="0"/>
                <w:szCs w:val="21"/>
              </w:rPr>
              <mc:AlternateContent>
                <mc:Choice Requires="wps">
                  <w:drawing>
                    <wp:anchor distT="0" distB="0" distL="114300" distR="114300" simplePos="0" relativeHeight="251659264" behindDoc="0" locked="0" layoutInCell="0" allowOverlap="1">
                      <wp:simplePos x="0" y="0"/>
                      <wp:positionH relativeFrom="page">
                        <wp:posOffset>-1002665</wp:posOffset>
                      </wp:positionH>
                      <wp:positionV relativeFrom="paragraph">
                        <wp:posOffset>-11773535</wp:posOffset>
                      </wp:positionV>
                      <wp:extent cx="37465" cy="37465"/>
                      <wp:effectExtent l="0" t="0" r="635" b="635"/>
                      <wp:wrapNone/>
                      <wp:docPr id="1" name="任意多边形: 形状 1"/>
                      <wp:cNvGraphicFramePr/>
                      <a:graphic xmlns:a="http://schemas.openxmlformats.org/drawingml/2006/main">
                        <a:graphicData uri="http://schemas.microsoft.com/office/word/2010/wordprocessingShape">
                          <wps:wsp>
                            <wps:cNvSpPr/>
                            <wps:spPr bwMode="auto">
                              <a:xfrm>
                                <a:off x="0" y="0"/>
                                <a:ext cx="37465" cy="37465"/>
                              </a:xfrm>
                              <a:custGeom>
                                <a:avLst/>
                                <a:gdLst>
                                  <a:gd name="T0" fmla="*/ 37 w 59"/>
                                  <a:gd name="T1" fmla="*/ 0 h 59"/>
                                  <a:gd name="T2" fmla="*/ 21 w 59"/>
                                  <a:gd name="T3" fmla="*/ 0 h 59"/>
                                  <a:gd name="T4" fmla="*/ 14 w 59"/>
                                  <a:gd name="T5" fmla="*/ 2 h 59"/>
                                  <a:gd name="T6" fmla="*/ 2 w 59"/>
                                  <a:gd name="T7" fmla="*/ 14 h 59"/>
                                  <a:gd name="T8" fmla="*/ 0 w 59"/>
                                  <a:gd name="T9" fmla="*/ 21 h 59"/>
                                  <a:gd name="T10" fmla="*/ 0 w 59"/>
                                  <a:gd name="T11" fmla="*/ 29 h 59"/>
                                  <a:gd name="T12" fmla="*/ 0 w 59"/>
                                  <a:gd name="T13" fmla="*/ 37 h 59"/>
                                  <a:gd name="T14" fmla="*/ 2 w 59"/>
                                  <a:gd name="T15" fmla="*/ 44 h 59"/>
                                  <a:gd name="T16" fmla="*/ 14 w 59"/>
                                  <a:gd name="T17" fmla="*/ 55 h 59"/>
                                  <a:gd name="T18" fmla="*/ 21 w 59"/>
                                  <a:gd name="T19" fmla="*/ 58 h 59"/>
                                  <a:gd name="T20" fmla="*/ 37 w 59"/>
                                  <a:gd name="T21" fmla="*/ 58 h 59"/>
                                  <a:gd name="T22" fmla="*/ 44 w 59"/>
                                  <a:gd name="T23" fmla="*/ 55 h 59"/>
                                  <a:gd name="T24" fmla="*/ 55 w 59"/>
                                  <a:gd name="T25" fmla="*/ 44 h 59"/>
                                  <a:gd name="T26" fmla="*/ 58 w 59"/>
                                  <a:gd name="T27" fmla="*/ 37 h 59"/>
                                  <a:gd name="T28" fmla="*/ 58 w 59"/>
                                  <a:gd name="T29" fmla="*/ 21 h 59"/>
                                  <a:gd name="T30" fmla="*/ 55 w 59"/>
                                  <a:gd name="T31" fmla="*/ 14 h 59"/>
                                  <a:gd name="T32" fmla="*/ 44 w 59"/>
                                  <a:gd name="T33" fmla="*/ 2 h 59"/>
                                  <a:gd name="T34" fmla="*/ 37 w 59"/>
                                  <a:gd name="T35" fmla="*/ 0 h 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59" h="59">
                                    <a:moveTo>
                                      <a:pt x="37" y="0"/>
                                    </a:moveTo>
                                    <a:lnTo>
                                      <a:pt x="21" y="0"/>
                                    </a:lnTo>
                                    <a:lnTo>
                                      <a:pt x="14" y="2"/>
                                    </a:lnTo>
                                    <a:lnTo>
                                      <a:pt x="2" y="14"/>
                                    </a:lnTo>
                                    <a:lnTo>
                                      <a:pt x="0" y="21"/>
                                    </a:lnTo>
                                    <a:lnTo>
                                      <a:pt x="0" y="29"/>
                                    </a:lnTo>
                                    <a:lnTo>
                                      <a:pt x="0" y="37"/>
                                    </a:lnTo>
                                    <a:lnTo>
                                      <a:pt x="2" y="44"/>
                                    </a:lnTo>
                                    <a:lnTo>
                                      <a:pt x="14" y="55"/>
                                    </a:lnTo>
                                    <a:lnTo>
                                      <a:pt x="21" y="58"/>
                                    </a:lnTo>
                                    <a:lnTo>
                                      <a:pt x="37" y="58"/>
                                    </a:lnTo>
                                    <a:lnTo>
                                      <a:pt x="44" y="55"/>
                                    </a:lnTo>
                                    <a:lnTo>
                                      <a:pt x="55" y="44"/>
                                    </a:lnTo>
                                    <a:lnTo>
                                      <a:pt x="58" y="37"/>
                                    </a:lnTo>
                                    <a:lnTo>
                                      <a:pt x="58" y="21"/>
                                    </a:lnTo>
                                    <a:lnTo>
                                      <a:pt x="55" y="14"/>
                                    </a:lnTo>
                                    <a:lnTo>
                                      <a:pt x="44" y="2"/>
                                    </a:lnTo>
                                    <a:lnTo>
                                      <a:pt x="37" y="0"/>
                                    </a:lnTo>
                                    <a:close/>
                                  </a:path>
                                </a:pathLst>
                              </a:custGeom>
                              <a:solidFill>
                                <a:srgbClr val="EB2E29"/>
                              </a:solidFill>
                              <a:ln>
                                <a:noFill/>
                              </a:ln>
                              <a:effectLst/>
                            </wps:spPr>
                            <wps:bodyPr rot="0" vert="horz" wrap="square" lIns="91440" tIns="45720" rIns="91440" bIns="45720" anchor="t" anchorCtr="0" upright="1">
                              <a:noAutofit/>
                            </wps:bodyPr>
                          </wps:wsp>
                        </a:graphicData>
                      </a:graphic>
                    </wp:anchor>
                  </w:drawing>
                </mc:Choice>
                <mc:Fallback>
                  <w:pict>
                    <v:shape id="任意多边形: 形状 1" o:spid="_x0000_s1026" o:spt="100" style="position:absolute;left:0pt;margin-left:-78.95pt;margin-top:-927.05pt;height:2.95pt;width:2.95pt;mso-position-horizontal-relative:page;z-index:251659264;mso-width-relative:page;mso-height-relative:page;" fillcolor="#EB2E29" filled="t" stroked="f" coordsize="59,59" o:allowincell="f" o:gfxdata="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" path="m37,0l21,0,14,2,2,14,0,21,0,29,0,37,2,44,14,55,21,58,37,58,44,55,55,44,58,37,58,21,55,14,44,2,37,0xe">
                      <v:path o:connectlocs="23495,0;13335,0;8890,1270;1270,8890;0,13335;0,18415;0,23495;1270,27940;8890,34925;13335,36830;23495,36830;27940,34925;34925,27940;36830,23495;36830,13335;34925,8890;27940,1270;23495,0" o:connectangles="0,0,0,0,0,0,0,0,0,0,0,0,0,0,0,0,0,0"/>
                      <v:fill on="t" focussize="0,0"/>
                      <v:stroke on="f"/>
                      <v:imagedata o:title=""/>
                      <o:lock v:ext="edit" aspectratio="f"/>
                    </v:shape>
                  </w:pict>
                </mc:Fallback>
              </mc:AlternateContent>
            </w:r>
          </w:p>
        </w:tc>
        <w:tc>
          <w:tcPr>
            <w:tcW w:w="990" w:type="dxa"/>
            <w:gridSpan w:val="2"/>
            <w:tcBorders>
              <w:top w:val="nil"/>
              <w:left w:val="nil"/>
              <w:bottom w:val="nil"/>
              <w:right w:val="nil"/>
            </w:tcBorders>
            <w:shd w:val="clear" w:color="auto" w:fill="auto"/>
            <w:noWrap/>
            <w:vAlign w:val="center"/>
          </w:tcPr>
          <w:p w14:paraId="31EB709D">
            <w:pPr>
              <w:widowControl/>
              <w:jc w:val="left"/>
              <w:rPr>
                <w:rFonts w:ascii="宋体" w:hAnsi="宋体" w:eastAsia="宋体" w:cs="宋体"/>
                <w:color w:val="000000"/>
                <w:kern w:val="0"/>
                <w:sz w:val="22"/>
              </w:rPr>
            </w:pPr>
          </w:p>
        </w:tc>
        <w:tc>
          <w:tcPr>
            <w:tcW w:w="990" w:type="dxa"/>
            <w:tcBorders>
              <w:top w:val="nil"/>
              <w:left w:val="nil"/>
              <w:bottom w:val="nil"/>
              <w:right w:val="nil"/>
            </w:tcBorders>
            <w:shd w:val="clear" w:color="auto" w:fill="auto"/>
            <w:noWrap/>
            <w:vAlign w:val="center"/>
          </w:tcPr>
          <w:p w14:paraId="52EA8C19">
            <w:pPr>
              <w:widowControl/>
              <w:jc w:val="left"/>
              <w:rPr>
                <w:rFonts w:ascii="宋体" w:hAnsi="宋体" w:eastAsia="宋体" w:cs="宋体"/>
                <w:color w:val="000000"/>
                <w:kern w:val="0"/>
                <w:sz w:val="22"/>
              </w:rPr>
            </w:pPr>
          </w:p>
        </w:tc>
        <w:tc>
          <w:tcPr>
            <w:tcW w:w="990" w:type="dxa"/>
            <w:tcBorders>
              <w:top w:val="nil"/>
              <w:left w:val="nil"/>
              <w:bottom w:val="nil"/>
              <w:right w:val="nil"/>
            </w:tcBorders>
            <w:shd w:val="clear" w:color="auto" w:fill="auto"/>
            <w:noWrap/>
            <w:vAlign w:val="center"/>
          </w:tcPr>
          <w:p w14:paraId="07EDD432">
            <w:pPr>
              <w:widowControl/>
              <w:jc w:val="left"/>
              <w:rPr>
                <w:rFonts w:ascii="宋体" w:hAnsi="宋体" w:eastAsia="宋体" w:cs="宋体"/>
                <w:color w:val="000000"/>
                <w:kern w:val="0"/>
                <w:sz w:val="22"/>
              </w:rPr>
            </w:pPr>
          </w:p>
        </w:tc>
        <w:tc>
          <w:tcPr>
            <w:tcW w:w="990" w:type="dxa"/>
            <w:tcBorders>
              <w:top w:val="nil"/>
              <w:left w:val="nil"/>
              <w:bottom w:val="nil"/>
              <w:right w:val="nil"/>
            </w:tcBorders>
            <w:shd w:val="clear" w:color="auto" w:fill="auto"/>
            <w:noWrap/>
            <w:vAlign w:val="center"/>
          </w:tcPr>
          <w:p w14:paraId="384B0D94">
            <w:pPr>
              <w:widowControl/>
              <w:jc w:val="left"/>
              <w:rPr>
                <w:rFonts w:ascii="宋体" w:hAnsi="宋体" w:eastAsia="宋体" w:cs="宋体"/>
                <w:color w:val="000000"/>
                <w:kern w:val="0"/>
                <w:sz w:val="22"/>
              </w:rPr>
            </w:pPr>
          </w:p>
        </w:tc>
        <w:tc>
          <w:tcPr>
            <w:tcW w:w="990" w:type="dxa"/>
            <w:tcBorders>
              <w:top w:val="nil"/>
              <w:left w:val="nil"/>
              <w:bottom w:val="nil"/>
              <w:right w:val="nil"/>
            </w:tcBorders>
            <w:shd w:val="clear" w:color="auto" w:fill="auto"/>
            <w:noWrap/>
            <w:vAlign w:val="center"/>
          </w:tcPr>
          <w:p w14:paraId="758E30C5">
            <w:pPr>
              <w:widowControl/>
              <w:jc w:val="left"/>
              <w:rPr>
                <w:rFonts w:ascii="宋体" w:hAnsi="宋体" w:eastAsia="宋体" w:cs="宋体"/>
                <w:color w:val="000000"/>
                <w:kern w:val="0"/>
                <w:sz w:val="22"/>
              </w:rPr>
            </w:pPr>
          </w:p>
        </w:tc>
        <w:tc>
          <w:tcPr>
            <w:tcW w:w="990" w:type="dxa"/>
            <w:tcBorders>
              <w:top w:val="nil"/>
              <w:left w:val="nil"/>
              <w:bottom w:val="nil"/>
              <w:right w:val="nil"/>
            </w:tcBorders>
            <w:shd w:val="clear" w:color="auto" w:fill="auto"/>
            <w:noWrap/>
            <w:vAlign w:val="center"/>
          </w:tcPr>
          <w:p w14:paraId="7A542C6C">
            <w:pPr>
              <w:widowControl/>
              <w:jc w:val="left"/>
              <w:rPr>
                <w:rFonts w:ascii="宋体" w:hAnsi="宋体" w:eastAsia="宋体" w:cs="宋体"/>
                <w:color w:val="000000"/>
                <w:kern w:val="0"/>
                <w:sz w:val="22"/>
              </w:rPr>
            </w:pPr>
          </w:p>
        </w:tc>
        <w:tc>
          <w:tcPr>
            <w:tcW w:w="1120" w:type="dxa"/>
            <w:tcBorders>
              <w:top w:val="nil"/>
              <w:left w:val="nil"/>
              <w:bottom w:val="nil"/>
              <w:right w:val="nil"/>
            </w:tcBorders>
            <w:shd w:val="clear" w:color="auto" w:fill="auto"/>
            <w:noWrap/>
            <w:vAlign w:val="center"/>
          </w:tcPr>
          <w:p w14:paraId="67A77DC8">
            <w:pPr>
              <w:widowControl/>
              <w:jc w:val="left"/>
              <w:rPr>
                <w:rFonts w:ascii="宋体" w:hAnsi="宋体" w:eastAsia="宋体" w:cs="宋体"/>
                <w:color w:val="000000"/>
                <w:kern w:val="0"/>
                <w:sz w:val="22"/>
              </w:rPr>
            </w:pPr>
          </w:p>
        </w:tc>
        <w:tc>
          <w:tcPr>
            <w:tcW w:w="1080" w:type="dxa"/>
            <w:tcBorders>
              <w:top w:val="nil"/>
              <w:left w:val="nil"/>
              <w:bottom w:val="nil"/>
              <w:right w:val="nil"/>
            </w:tcBorders>
            <w:shd w:val="clear" w:color="auto" w:fill="auto"/>
            <w:noWrap/>
            <w:vAlign w:val="center"/>
          </w:tcPr>
          <w:p w14:paraId="3F080A55">
            <w:pPr>
              <w:widowControl/>
              <w:jc w:val="left"/>
              <w:rPr>
                <w:rFonts w:ascii="宋体" w:hAnsi="宋体" w:eastAsia="宋体" w:cs="宋体"/>
                <w:color w:val="000000"/>
                <w:kern w:val="0"/>
                <w:sz w:val="22"/>
              </w:rPr>
            </w:pPr>
          </w:p>
        </w:tc>
        <w:tc>
          <w:tcPr>
            <w:tcW w:w="1270" w:type="dxa"/>
            <w:tcBorders>
              <w:top w:val="nil"/>
              <w:left w:val="nil"/>
              <w:bottom w:val="nil"/>
              <w:right w:val="nil"/>
            </w:tcBorders>
            <w:shd w:val="clear" w:color="auto" w:fill="auto"/>
            <w:noWrap/>
            <w:vAlign w:val="center"/>
          </w:tcPr>
          <w:p w14:paraId="4F6B5621">
            <w:pPr>
              <w:widowControl/>
              <w:jc w:val="left"/>
              <w:rPr>
                <w:rFonts w:ascii="宋体" w:hAnsi="宋体" w:eastAsia="宋体" w:cs="宋体"/>
                <w:color w:val="000000"/>
                <w:kern w:val="0"/>
                <w:sz w:val="22"/>
              </w:rPr>
            </w:pPr>
          </w:p>
        </w:tc>
        <w:tc>
          <w:tcPr>
            <w:tcW w:w="990" w:type="dxa"/>
            <w:tcBorders>
              <w:top w:val="nil"/>
              <w:left w:val="nil"/>
              <w:bottom w:val="nil"/>
              <w:right w:val="nil"/>
            </w:tcBorders>
            <w:shd w:val="clear" w:color="auto" w:fill="auto"/>
            <w:noWrap/>
            <w:vAlign w:val="center"/>
          </w:tcPr>
          <w:p w14:paraId="019D61D3">
            <w:pPr>
              <w:widowControl/>
              <w:jc w:val="left"/>
              <w:rPr>
                <w:rFonts w:ascii="宋体" w:hAnsi="宋体" w:eastAsia="宋体" w:cs="宋体"/>
                <w:color w:val="000000"/>
                <w:kern w:val="0"/>
                <w:sz w:val="22"/>
              </w:rPr>
            </w:pPr>
          </w:p>
        </w:tc>
      </w:tr>
      <w:tr w14:paraId="24772E02">
        <w:tblPrEx>
          <w:tblCellMar>
            <w:top w:w="0" w:type="dxa"/>
            <w:left w:w="108" w:type="dxa"/>
            <w:bottom w:w="0" w:type="dxa"/>
            <w:right w:w="108" w:type="dxa"/>
          </w:tblCellMar>
        </w:tblPrEx>
        <w:trPr>
          <w:trHeight w:val="460" w:hRule="atLeast"/>
        </w:trPr>
        <w:tc>
          <w:tcPr>
            <w:tcW w:w="11390" w:type="dxa"/>
            <w:gridSpan w:val="12"/>
            <w:tcBorders>
              <w:top w:val="single" w:color="000000" w:sz="4" w:space="0"/>
              <w:left w:val="single" w:color="000000" w:sz="4" w:space="0"/>
              <w:bottom w:val="single" w:color="000000" w:sz="4" w:space="0"/>
              <w:right w:val="single" w:color="000000" w:sz="4" w:space="0"/>
            </w:tcBorders>
            <w:shd w:val="clear" w:color="auto" w:fill="BFBFBF"/>
            <w:noWrap/>
            <w:vAlign w:val="center"/>
          </w:tcPr>
          <w:p w14:paraId="7AD44123">
            <w:pPr>
              <w:widowControl/>
              <w:jc w:val="center"/>
              <w:rPr>
                <w:rFonts w:ascii="黑体" w:hAnsi="黑体" w:eastAsia="黑体" w:cs="宋体"/>
                <w:b/>
                <w:bCs/>
                <w:color w:val="000000"/>
                <w:kern w:val="0"/>
                <w:sz w:val="24"/>
                <w:szCs w:val="24"/>
              </w:rPr>
            </w:pPr>
            <w:r>
              <w:rPr>
                <w:rFonts w:hint="eastAsia" w:ascii="黑体" w:hAnsi="黑体" w:eastAsia="黑体" w:cs="宋体"/>
                <w:b/>
                <w:bCs/>
                <w:color w:val="000000"/>
                <w:kern w:val="0"/>
                <w:sz w:val="24"/>
                <w:szCs w:val="24"/>
              </w:rPr>
              <w:t>一、主要功能与目标</w:t>
            </w:r>
          </w:p>
        </w:tc>
      </w:tr>
      <w:tr w14:paraId="5C44FB4A">
        <w:tblPrEx>
          <w:tblCellMar>
            <w:top w:w="0" w:type="dxa"/>
            <w:left w:w="108" w:type="dxa"/>
            <w:bottom w:w="0" w:type="dxa"/>
            <w:right w:w="108" w:type="dxa"/>
          </w:tblCellMar>
        </w:tblPrEx>
        <w:trPr>
          <w:trHeight w:val="790" w:hRule="atLeast"/>
        </w:trPr>
        <w:tc>
          <w:tcPr>
            <w:tcW w:w="1139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6351D613">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超声乳化玻切一体机主要用于晶状体乳化及吸出、玻璃体切除、术中出血点的凝结，激光模块用于视网膜光凝。超乳白内障、外伤、眼底外科相关疾病、相关需要做玻切进行治疗的患者、手术病人都要用到，我院眼科手术室必备设备。</w:t>
            </w:r>
          </w:p>
        </w:tc>
      </w:tr>
      <w:tr w14:paraId="4DBB5EF7">
        <w:tblPrEx>
          <w:tblCellMar>
            <w:top w:w="0" w:type="dxa"/>
            <w:left w:w="108" w:type="dxa"/>
            <w:bottom w:w="0" w:type="dxa"/>
            <w:right w:w="108" w:type="dxa"/>
          </w:tblCellMar>
        </w:tblPrEx>
        <w:trPr>
          <w:trHeight w:val="550" w:hRule="atLeast"/>
        </w:trPr>
        <w:tc>
          <w:tcPr>
            <w:tcW w:w="11390" w:type="dxa"/>
            <w:gridSpan w:val="12"/>
            <w:tcBorders>
              <w:top w:val="single" w:color="000000" w:sz="4" w:space="0"/>
              <w:left w:val="single" w:color="000000" w:sz="4" w:space="0"/>
              <w:bottom w:val="nil"/>
              <w:right w:val="single" w:color="000000" w:sz="4" w:space="0"/>
            </w:tcBorders>
            <w:shd w:val="clear" w:color="auto" w:fill="BFBFBF"/>
            <w:noWrap/>
            <w:vAlign w:val="center"/>
          </w:tcPr>
          <w:p w14:paraId="56315E35">
            <w:pPr>
              <w:widowControl/>
              <w:jc w:val="center"/>
              <w:rPr>
                <w:rFonts w:ascii="黑体" w:hAnsi="黑体" w:eastAsia="黑体" w:cs="宋体"/>
                <w:b/>
                <w:bCs/>
                <w:color w:val="000000"/>
                <w:kern w:val="0"/>
                <w:sz w:val="24"/>
                <w:szCs w:val="24"/>
              </w:rPr>
            </w:pPr>
            <w:r>
              <w:rPr>
                <w:rFonts w:hint="eastAsia" w:ascii="黑体" w:hAnsi="黑体" w:eastAsia="黑体" w:cs="宋体"/>
                <w:b/>
                <w:bCs/>
                <w:color w:val="000000"/>
                <w:kern w:val="0"/>
                <w:sz w:val="24"/>
                <w:szCs w:val="24"/>
              </w:rPr>
              <w:t>二、主要技术参数（所有主要技术参数均需提供技术证明材料且标注具体页码）</w:t>
            </w:r>
          </w:p>
        </w:tc>
      </w:tr>
      <w:tr w14:paraId="189831FD">
        <w:tblPrEx>
          <w:tblCellMar>
            <w:top w:w="0" w:type="dxa"/>
            <w:left w:w="108" w:type="dxa"/>
            <w:bottom w:w="0" w:type="dxa"/>
            <w:right w:w="108" w:type="dxa"/>
          </w:tblCellMar>
        </w:tblPrEx>
        <w:trPr>
          <w:trHeight w:val="280" w:hRule="atLeast"/>
        </w:trPr>
        <w:tc>
          <w:tcPr>
            <w:tcW w:w="104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10E87BD6">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1、为保证设备运转稳定，要求为投标设备原厂生产制造。</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F00E6">
            <w:pPr>
              <w:widowControl/>
              <w:jc w:val="center"/>
              <w:rPr>
                <w:rFonts w:ascii="仿宋" w:hAnsi="仿宋" w:eastAsia="仿宋" w:cs="宋体"/>
                <w:color w:val="000000"/>
                <w:kern w:val="0"/>
                <w:szCs w:val="21"/>
                <w:highlight w:val="none"/>
              </w:rPr>
            </w:pPr>
            <w:r>
              <w:rPr>
                <w:rFonts w:hint="eastAsia" w:ascii="仿宋" w:hAnsi="仿宋" w:eastAsia="仿宋" w:cs="宋体"/>
                <w:color w:val="000000"/>
                <w:kern w:val="0"/>
                <w:szCs w:val="21"/>
                <w:highlight w:val="none"/>
              </w:rPr>
              <w:t>1</w:t>
            </w:r>
            <w:r>
              <w:rPr>
                <w:rFonts w:hint="eastAsia" w:ascii="仿宋" w:hAnsi="仿宋" w:eastAsia="仿宋" w:cs="仿宋"/>
                <w:color w:val="000000"/>
                <w:kern w:val="0"/>
                <w:szCs w:val="21"/>
                <w:highlight w:val="none"/>
              </w:rPr>
              <w:t>分</w:t>
            </w:r>
          </w:p>
        </w:tc>
      </w:tr>
      <w:tr w14:paraId="2D22B55E">
        <w:tblPrEx>
          <w:tblCellMar>
            <w:top w:w="0" w:type="dxa"/>
            <w:left w:w="108" w:type="dxa"/>
            <w:bottom w:w="0" w:type="dxa"/>
            <w:right w:w="108" w:type="dxa"/>
          </w:tblCellMar>
        </w:tblPrEx>
        <w:trPr>
          <w:trHeight w:val="280" w:hRule="atLeast"/>
        </w:trPr>
        <w:tc>
          <w:tcPr>
            <w:tcW w:w="104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1C0C245B">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2、彩色触摸屏</w:t>
            </w:r>
            <w:r>
              <w:rPr>
                <w:rFonts w:hint="eastAsia" w:ascii="仿宋" w:hAnsi="仿宋" w:eastAsia="仿宋" w:cs="宋体"/>
                <w:color w:val="auto"/>
                <w:kern w:val="0"/>
                <w:szCs w:val="21"/>
              </w:rPr>
              <w:t>幕</w:t>
            </w:r>
            <w:r>
              <w:rPr>
                <w:rFonts w:hint="eastAsia" w:ascii="仿宋" w:hAnsi="仿宋" w:eastAsia="仿宋" w:cs="宋体"/>
                <w:color w:val="auto"/>
                <w:kern w:val="0"/>
                <w:szCs w:val="21"/>
                <w:lang w:val="en-US" w:eastAsia="zh-CN"/>
              </w:rPr>
              <w:t>≥</w:t>
            </w:r>
            <w:r>
              <w:rPr>
                <w:rFonts w:hint="eastAsia" w:ascii="仿宋" w:hAnsi="仿宋" w:eastAsia="仿宋" w:cs="宋体"/>
                <w:color w:val="000000"/>
                <w:kern w:val="0"/>
                <w:szCs w:val="21"/>
              </w:rPr>
              <w:t>18寸，中文菜单。</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070B4">
            <w:pPr>
              <w:widowControl/>
              <w:jc w:val="center"/>
              <w:rPr>
                <w:rFonts w:hint="eastAsia" w:ascii="仿宋" w:hAnsi="仿宋" w:eastAsia="仿宋" w:cs="宋体"/>
                <w:color w:val="000000"/>
                <w:kern w:val="0"/>
                <w:szCs w:val="21"/>
                <w:highlight w:val="none"/>
                <w:lang w:eastAsia="zh-CN"/>
              </w:rPr>
            </w:pPr>
            <w:r>
              <w:rPr>
                <w:rFonts w:hint="eastAsia" w:ascii="仿宋" w:hAnsi="仿宋" w:eastAsia="仿宋" w:cs="宋体"/>
                <w:color w:val="000000"/>
                <w:kern w:val="0"/>
                <w:szCs w:val="21"/>
                <w:highlight w:val="none"/>
                <w:lang w:val="en-US" w:eastAsia="zh-CN"/>
              </w:rPr>
              <w:t>4</w:t>
            </w:r>
            <w:r>
              <w:rPr>
                <w:rFonts w:hint="eastAsia" w:ascii="仿宋" w:hAnsi="仿宋" w:eastAsia="仿宋" w:cs="仿宋"/>
                <w:color w:val="000000"/>
                <w:kern w:val="0"/>
                <w:szCs w:val="21"/>
                <w:highlight w:val="none"/>
              </w:rPr>
              <w:t>分</w:t>
            </w:r>
          </w:p>
        </w:tc>
      </w:tr>
      <w:tr w14:paraId="5B9A5CD0">
        <w:tblPrEx>
          <w:tblCellMar>
            <w:top w:w="0" w:type="dxa"/>
            <w:left w:w="108" w:type="dxa"/>
            <w:bottom w:w="0" w:type="dxa"/>
            <w:right w:w="108" w:type="dxa"/>
          </w:tblCellMar>
        </w:tblPrEx>
        <w:trPr>
          <w:trHeight w:val="280" w:hRule="atLeast"/>
        </w:trPr>
        <w:tc>
          <w:tcPr>
            <w:tcW w:w="104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339C1C47">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3、具备自动升降输液杆重力灌注功能。</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FFDE0">
            <w:pPr>
              <w:widowControl/>
              <w:jc w:val="center"/>
              <w:rPr>
                <w:rFonts w:ascii="仿宋" w:hAnsi="仿宋" w:eastAsia="仿宋" w:cs="宋体"/>
                <w:color w:val="000000"/>
                <w:kern w:val="0"/>
                <w:szCs w:val="21"/>
                <w:highlight w:val="none"/>
              </w:rPr>
            </w:pPr>
            <w:r>
              <w:rPr>
                <w:rFonts w:hint="eastAsia" w:ascii="仿宋" w:hAnsi="仿宋" w:eastAsia="仿宋" w:cs="宋体"/>
                <w:color w:val="000000"/>
                <w:kern w:val="0"/>
                <w:szCs w:val="21"/>
                <w:highlight w:val="none"/>
              </w:rPr>
              <w:t>6</w:t>
            </w:r>
            <w:r>
              <w:rPr>
                <w:rFonts w:hint="eastAsia" w:ascii="仿宋" w:hAnsi="仿宋" w:eastAsia="仿宋" w:cs="仿宋"/>
                <w:color w:val="000000"/>
                <w:kern w:val="0"/>
                <w:szCs w:val="21"/>
                <w:highlight w:val="none"/>
              </w:rPr>
              <w:t>分</w:t>
            </w:r>
          </w:p>
        </w:tc>
      </w:tr>
      <w:tr w14:paraId="3BBE47BC">
        <w:tblPrEx>
          <w:tblCellMar>
            <w:top w:w="0" w:type="dxa"/>
            <w:left w:w="108" w:type="dxa"/>
            <w:bottom w:w="0" w:type="dxa"/>
            <w:right w:w="108" w:type="dxa"/>
          </w:tblCellMar>
        </w:tblPrEx>
        <w:trPr>
          <w:trHeight w:val="313" w:hRule="atLeast"/>
        </w:trPr>
        <w:tc>
          <w:tcPr>
            <w:tcW w:w="104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2787CCB0">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4、</w:t>
            </w:r>
            <w:r>
              <w:rPr>
                <w:rFonts w:hint="eastAsia" w:ascii="仿宋" w:hAnsi="仿宋" w:eastAsia="仿宋" w:cs="仿宋"/>
                <w:kern w:val="0"/>
                <w:szCs w:val="21"/>
              </w:rPr>
              <w:t>照明光源：三个独立LED，三端口照明光源，从白光到黄光20级调节，单端口40流明。</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5D387">
            <w:pPr>
              <w:widowControl/>
              <w:jc w:val="center"/>
              <w:rPr>
                <w:rFonts w:ascii="仿宋" w:hAnsi="仿宋" w:eastAsia="仿宋" w:cs="宋体"/>
                <w:color w:val="000000"/>
                <w:kern w:val="0"/>
                <w:szCs w:val="21"/>
                <w:highlight w:val="none"/>
              </w:rPr>
            </w:pPr>
            <w:r>
              <w:rPr>
                <w:rFonts w:hint="eastAsia" w:ascii="仿宋" w:hAnsi="仿宋" w:eastAsia="仿宋" w:cs="宋体"/>
                <w:color w:val="000000"/>
                <w:kern w:val="0"/>
                <w:szCs w:val="21"/>
                <w:highlight w:val="none"/>
              </w:rPr>
              <w:t>4</w:t>
            </w:r>
            <w:r>
              <w:rPr>
                <w:rFonts w:hint="eastAsia" w:ascii="仿宋" w:hAnsi="仿宋" w:eastAsia="仿宋" w:cs="仿宋"/>
                <w:color w:val="000000"/>
                <w:kern w:val="0"/>
                <w:szCs w:val="21"/>
                <w:highlight w:val="none"/>
              </w:rPr>
              <w:t>分</w:t>
            </w:r>
          </w:p>
        </w:tc>
      </w:tr>
      <w:tr w14:paraId="53720444">
        <w:tblPrEx>
          <w:tblCellMar>
            <w:top w:w="0" w:type="dxa"/>
            <w:left w:w="108" w:type="dxa"/>
            <w:bottom w:w="0" w:type="dxa"/>
            <w:right w:w="108" w:type="dxa"/>
          </w:tblCellMar>
        </w:tblPrEx>
        <w:trPr>
          <w:trHeight w:val="313" w:hRule="atLeast"/>
        </w:trPr>
        <w:tc>
          <w:tcPr>
            <w:tcW w:w="104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6F91B5D9">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5、</w:t>
            </w:r>
            <w:r>
              <w:rPr>
                <w:rFonts w:hint="eastAsia" w:ascii="仿宋" w:hAnsi="仿宋" w:eastAsia="仿宋" w:cs="仿宋"/>
                <w:kern w:val="0"/>
                <w:szCs w:val="21"/>
                <w:lang w:eastAsia="zh-CN"/>
              </w:rPr>
              <w:t>吊顶灯系统具有双路吊顶灯光纤，提供无阴影广角照明。</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1B13A">
            <w:pPr>
              <w:widowControl/>
              <w:jc w:val="center"/>
              <w:rPr>
                <w:rFonts w:hint="eastAsia" w:ascii="仿宋" w:hAnsi="仿宋" w:eastAsia="仿宋" w:cs="宋体"/>
                <w:color w:val="000000"/>
                <w:kern w:val="0"/>
                <w:szCs w:val="21"/>
                <w:highlight w:val="none"/>
                <w:lang w:eastAsia="zh-CN"/>
              </w:rPr>
            </w:pPr>
            <w:r>
              <w:rPr>
                <w:rFonts w:hint="eastAsia" w:ascii="仿宋" w:hAnsi="仿宋" w:eastAsia="仿宋" w:cs="宋体"/>
                <w:color w:val="000000"/>
                <w:kern w:val="0"/>
                <w:szCs w:val="21"/>
                <w:highlight w:val="none"/>
                <w:lang w:val="en-US" w:eastAsia="zh-CN"/>
              </w:rPr>
              <w:t>1</w:t>
            </w:r>
            <w:r>
              <w:rPr>
                <w:rFonts w:hint="eastAsia" w:ascii="仿宋" w:hAnsi="仿宋" w:eastAsia="仿宋" w:cs="仿宋"/>
                <w:color w:val="000000"/>
                <w:kern w:val="0"/>
                <w:szCs w:val="21"/>
                <w:highlight w:val="none"/>
              </w:rPr>
              <w:t>分</w:t>
            </w:r>
          </w:p>
        </w:tc>
      </w:tr>
      <w:tr w14:paraId="3DC5136F">
        <w:tblPrEx>
          <w:tblCellMar>
            <w:top w:w="0" w:type="dxa"/>
            <w:left w:w="108" w:type="dxa"/>
            <w:bottom w:w="0" w:type="dxa"/>
            <w:right w:w="108" w:type="dxa"/>
          </w:tblCellMar>
        </w:tblPrEx>
        <w:trPr>
          <w:trHeight w:val="331" w:hRule="atLeast"/>
        </w:trPr>
        <w:tc>
          <w:tcPr>
            <w:tcW w:w="104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7258506C">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6、12000</w:t>
            </w:r>
            <w:r>
              <w:rPr>
                <w:rFonts w:hint="eastAsia" w:ascii="仿宋" w:hAnsi="仿宋" w:eastAsia="仿宋" w:cs="宋体"/>
                <w:color w:val="000000"/>
                <w:kern w:val="0"/>
                <w:szCs w:val="21"/>
                <w:lang w:val="en-US" w:eastAsia="zh-CN"/>
              </w:rPr>
              <w:t>cpm≤</w:t>
            </w:r>
            <w:r>
              <w:rPr>
                <w:rFonts w:hint="eastAsia" w:ascii="仿宋" w:hAnsi="仿宋" w:eastAsia="仿宋" w:cs="宋体"/>
                <w:color w:val="000000"/>
                <w:kern w:val="0"/>
                <w:szCs w:val="21"/>
              </w:rPr>
              <w:t>切割速率≤16000cpm，具有双刃玻切头。</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B8D15">
            <w:pPr>
              <w:widowControl/>
              <w:jc w:val="center"/>
              <w:rPr>
                <w:rFonts w:ascii="仿宋" w:hAnsi="仿宋" w:eastAsia="仿宋" w:cs="宋体"/>
                <w:color w:val="000000"/>
                <w:kern w:val="0"/>
                <w:szCs w:val="21"/>
                <w:highlight w:val="none"/>
              </w:rPr>
            </w:pPr>
            <w:r>
              <w:rPr>
                <w:rFonts w:hint="eastAsia" w:ascii="仿宋" w:hAnsi="仿宋" w:eastAsia="仿宋" w:cs="宋体"/>
                <w:color w:val="000000"/>
                <w:kern w:val="0"/>
                <w:szCs w:val="21"/>
                <w:highlight w:val="none"/>
              </w:rPr>
              <w:t>4</w:t>
            </w:r>
            <w:r>
              <w:rPr>
                <w:rFonts w:hint="eastAsia" w:ascii="仿宋" w:hAnsi="仿宋" w:eastAsia="仿宋" w:cs="仿宋"/>
                <w:color w:val="000000"/>
                <w:kern w:val="0"/>
                <w:szCs w:val="21"/>
                <w:highlight w:val="none"/>
              </w:rPr>
              <w:t>分</w:t>
            </w:r>
          </w:p>
        </w:tc>
      </w:tr>
      <w:tr w14:paraId="4F220DFB">
        <w:tblPrEx>
          <w:tblCellMar>
            <w:top w:w="0" w:type="dxa"/>
            <w:left w:w="108" w:type="dxa"/>
            <w:bottom w:w="0" w:type="dxa"/>
            <w:right w:w="108" w:type="dxa"/>
          </w:tblCellMar>
        </w:tblPrEx>
        <w:trPr>
          <w:trHeight w:val="280" w:hRule="atLeast"/>
        </w:trPr>
        <w:tc>
          <w:tcPr>
            <w:tcW w:w="104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0BD46BDD">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7、抽吸控制系统：实现蠕动泵和文丘里泵效应。液流精准控制在0.1cc/min，可消除脉动；负压提升速度快，500ms负压可从0升至680mmHg；可实时监测，稳定眼内压。</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96870">
            <w:pPr>
              <w:widowControl/>
              <w:jc w:val="center"/>
              <w:rPr>
                <w:rFonts w:ascii="仿宋" w:hAnsi="仿宋" w:eastAsia="仿宋" w:cs="宋体"/>
                <w:color w:val="000000"/>
                <w:kern w:val="0"/>
                <w:szCs w:val="21"/>
                <w:highlight w:val="none"/>
              </w:rPr>
            </w:pPr>
            <w:r>
              <w:rPr>
                <w:rFonts w:hint="eastAsia" w:ascii="仿宋" w:hAnsi="仿宋" w:eastAsia="仿宋" w:cs="宋体"/>
                <w:color w:val="000000"/>
                <w:kern w:val="0"/>
                <w:szCs w:val="21"/>
                <w:highlight w:val="none"/>
              </w:rPr>
              <w:t>4</w:t>
            </w:r>
            <w:r>
              <w:rPr>
                <w:rFonts w:hint="eastAsia" w:ascii="仿宋" w:hAnsi="仿宋" w:eastAsia="仿宋" w:cs="仿宋"/>
                <w:color w:val="000000"/>
                <w:kern w:val="0"/>
                <w:szCs w:val="21"/>
                <w:highlight w:val="none"/>
              </w:rPr>
              <w:t>分</w:t>
            </w:r>
          </w:p>
        </w:tc>
      </w:tr>
      <w:tr w14:paraId="1BD4386F">
        <w:tblPrEx>
          <w:tblCellMar>
            <w:top w:w="0" w:type="dxa"/>
            <w:left w:w="108" w:type="dxa"/>
            <w:bottom w:w="0" w:type="dxa"/>
            <w:right w:w="108" w:type="dxa"/>
          </w:tblCellMar>
        </w:tblPrEx>
        <w:trPr>
          <w:trHeight w:val="423" w:hRule="atLeast"/>
        </w:trPr>
        <w:tc>
          <w:tcPr>
            <w:tcW w:w="104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1227D5CD">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8、具备无线脚踏开关，同时具备单线性和左右双线性功能，≥6个可编程按钮，集成激光超乳玻切脚踏一体。</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D1DB0">
            <w:pPr>
              <w:widowControl/>
              <w:jc w:val="center"/>
              <w:rPr>
                <w:rFonts w:hint="eastAsia" w:ascii="仿宋" w:hAnsi="仿宋" w:eastAsia="仿宋" w:cs="宋体"/>
                <w:color w:val="000000"/>
                <w:kern w:val="0"/>
                <w:szCs w:val="21"/>
                <w:highlight w:val="none"/>
                <w:lang w:eastAsia="zh-CN"/>
              </w:rPr>
            </w:pPr>
            <w:r>
              <w:rPr>
                <w:rFonts w:hint="eastAsia" w:ascii="仿宋" w:hAnsi="仿宋" w:eastAsia="仿宋" w:cs="宋体"/>
                <w:color w:val="000000"/>
                <w:kern w:val="0"/>
                <w:szCs w:val="21"/>
                <w:highlight w:val="none"/>
                <w:lang w:val="en-US" w:eastAsia="zh-CN"/>
              </w:rPr>
              <w:t>4</w:t>
            </w:r>
            <w:r>
              <w:rPr>
                <w:rFonts w:hint="eastAsia" w:ascii="仿宋" w:hAnsi="仿宋" w:eastAsia="仿宋" w:cs="仿宋"/>
                <w:color w:val="000000"/>
                <w:kern w:val="0"/>
                <w:szCs w:val="21"/>
                <w:highlight w:val="none"/>
              </w:rPr>
              <w:t>分</w:t>
            </w:r>
          </w:p>
        </w:tc>
      </w:tr>
      <w:tr w14:paraId="24EAF9D6">
        <w:tblPrEx>
          <w:tblCellMar>
            <w:top w:w="0" w:type="dxa"/>
            <w:left w:w="108" w:type="dxa"/>
            <w:bottom w:w="0" w:type="dxa"/>
            <w:right w:w="108" w:type="dxa"/>
          </w:tblCellMar>
        </w:tblPrEx>
        <w:trPr>
          <w:trHeight w:val="500" w:hRule="atLeast"/>
        </w:trPr>
        <w:tc>
          <w:tcPr>
            <w:tcW w:w="10400" w:type="dxa"/>
            <w:gridSpan w:val="11"/>
            <w:tcBorders>
              <w:top w:val="nil"/>
              <w:left w:val="single" w:color="000000" w:sz="4" w:space="0"/>
              <w:bottom w:val="single" w:color="000000" w:sz="4" w:space="0"/>
              <w:right w:val="single" w:color="000000" w:sz="4" w:space="0"/>
            </w:tcBorders>
            <w:shd w:val="clear" w:color="auto" w:fill="D9D9D9"/>
            <w:vAlign w:val="center"/>
          </w:tcPr>
          <w:p w14:paraId="411D5904">
            <w:pPr>
              <w:widowControl/>
              <w:jc w:val="left"/>
              <w:rPr>
                <w:rFonts w:ascii="Times New Roman" w:hAnsi="Times New Roman" w:eastAsia="宋体" w:cs="Times New Roman"/>
                <w:color w:val="000000"/>
                <w:kern w:val="0"/>
                <w:szCs w:val="21"/>
              </w:rPr>
            </w:pPr>
            <w:r>
              <w:rPr>
                <w:rFonts w:ascii="宋体" w:hAnsi="宋体" w:eastAsia="宋体" w:cs="Times New Roman"/>
                <w:color w:val="000000"/>
                <w:kern w:val="0"/>
              </w:rPr>
              <w:t>主要技术参数小计分值</w:t>
            </w:r>
          </w:p>
        </w:tc>
        <w:tc>
          <w:tcPr>
            <w:tcW w:w="990" w:type="dxa"/>
            <w:tcBorders>
              <w:top w:val="nil"/>
              <w:left w:val="single" w:color="000000" w:sz="4" w:space="0"/>
              <w:bottom w:val="single" w:color="000000" w:sz="4" w:space="0"/>
              <w:right w:val="single" w:color="000000" w:sz="4" w:space="0"/>
            </w:tcBorders>
            <w:shd w:val="clear" w:color="auto" w:fill="D9D9D9"/>
            <w:noWrap/>
            <w:vAlign w:val="center"/>
          </w:tcPr>
          <w:p w14:paraId="3DFD2648">
            <w:pPr>
              <w:widowControl/>
              <w:jc w:val="center"/>
              <w:rPr>
                <w:rFonts w:hint="eastAsia" w:ascii="宋体" w:hAnsi="宋体" w:eastAsia="宋体" w:cs="宋体"/>
                <w:color w:val="000000"/>
                <w:kern w:val="0"/>
                <w:sz w:val="22"/>
                <w:lang w:val="en-US" w:eastAsia="zh-CN"/>
              </w:rPr>
            </w:pPr>
            <w:r>
              <w:rPr>
                <w:rFonts w:hint="eastAsia" w:ascii="宋体" w:hAnsi="宋体" w:eastAsia="宋体" w:cs="宋体"/>
                <w:color w:val="000000"/>
                <w:kern w:val="0"/>
                <w:sz w:val="22"/>
              </w:rPr>
              <w:t>2</w:t>
            </w:r>
            <w:r>
              <w:rPr>
                <w:rFonts w:hint="eastAsia" w:ascii="宋体" w:hAnsi="宋体" w:eastAsia="宋体" w:cs="宋体"/>
                <w:color w:val="000000"/>
                <w:kern w:val="0"/>
                <w:sz w:val="22"/>
                <w:lang w:val="en-US" w:eastAsia="zh-CN"/>
              </w:rPr>
              <w:t>8</w:t>
            </w:r>
            <w:r>
              <w:rPr>
                <w:rFonts w:hint="eastAsia" w:ascii="仿宋" w:hAnsi="仿宋" w:eastAsia="仿宋" w:cs="仿宋"/>
                <w:color w:val="000000"/>
                <w:kern w:val="0"/>
                <w:szCs w:val="21"/>
                <w:highlight w:val="none"/>
              </w:rPr>
              <w:t>分</w:t>
            </w:r>
          </w:p>
        </w:tc>
      </w:tr>
      <w:tr w14:paraId="1869783E">
        <w:tblPrEx>
          <w:tblCellMar>
            <w:top w:w="0" w:type="dxa"/>
            <w:left w:w="108" w:type="dxa"/>
            <w:bottom w:w="0" w:type="dxa"/>
            <w:right w:w="108" w:type="dxa"/>
          </w:tblCellMar>
        </w:tblPrEx>
        <w:trPr>
          <w:trHeight w:val="480" w:hRule="atLeast"/>
        </w:trPr>
        <w:tc>
          <w:tcPr>
            <w:tcW w:w="11390" w:type="dxa"/>
            <w:gridSpan w:val="12"/>
            <w:tcBorders>
              <w:top w:val="single" w:color="000000" w:sz="4" w:space="0"/>
              <w:left w:val="single" w:color="000000" w:sz="4" w:space="0"/>
              <w:bottom w:val="single" w:color="000000" w:sz="4" w:space="0"/>
              <w:right w:val="single" w:color="000000" w:sz="4" w:space="0"/>
            </w:tcBorders>
            <w:shd w:val="clear" w:color="auto" w:fill="BFBFBF"/>
            <w:noWrap/>
            <w:vAlign w:val="center"/>
          </w:tcPr>
          <w:p w14:paraId="53D53F26">
            <w:pPr>
              <w:widowControl/>
              <w:jc w:val="center"/>
              <w:rPr>
                <w:rFonts w:ascii="黑体" w:hAnsi="黑体" w:eastAsia="黑体" w:cs="宋体"/>
                <w:b/>
                <w:bCs/>
                <w:color w:val="000000"/>
                <w:kern w:val="0"/>
                <w:sz w:val="24"/>
                <w:szCs w:val="24"/>
              </w:rPr>
            </w:pPr>
            <w:r>
              <w:rPr>
                <w:rFonts w:hint="eastAsia" w:ascii="黑体" w:hAnsi="黑体" w:eastAsia="黑体" w:cs="宋体"/>
                <w:b/>
                <w:bCs/>
                <w:color w:val="000000"/>
                <w:kern w:val="0"/>
                <w:sz w:val="24"/>
                <w:szCs w:val="24"/>
              </w:rPr>
              <w:t>三、一般技术参数（所有需提供技术证明等材料的均需标注具体页码）</w:t>
            </w:r>
          </w:p>
        </w:tc>
      </w:tr>
      <w:tr w14:paraId="72AE7EC8">
        <w:tblPrEx>
          <w:tblCellMar>
            <w:top w:w="0" w:type="dxa"/>
            <w:left w:w="108" w:type="dxa"/>
            <w:bottom w:w="0" w:type="dxa"/>
            <w:right w:w="108" w:type="dxa"/>
          </w:tblCellMar>
        </w:tblPrEx>
        <w:trPr>
          <w:trHeight w:val="65" w:hRule="atLeast"/>
        </w:trPr>
        <w:tc>
          <w:tcPr>
            <w:tcW w:w="1881" w:type="dxa"/>
            <w:gridSpan w:val="2"/>
            <w:vMerge w:val="restart"/>
            <w:tcBorders>
              <w:top w:val="single" w:color="000000" w:sz="4" w:space="0"/>
              <w:left w:val="single" w:color="000000" w:sz="4" w:space="0"/>
              <w:right w:val="single" w:color="000000" w:sz="4" w:space="0"/>
            </w:tcBorders>
            <w:shd w:val="clear" w:color="auto" w:fill="auto"/>
            <w:vAlign w:val="center"/>
          </w:tcPr>
          <w:p w14:paraId="07E5A45C">
            <w:pPr>
              <w:widowControl/>
              <w:jc w:val="left"/>
              <w:rPr>
                <w:rFonts w:ascii="仿宋" w:hAnsi="仿宋" w:eastAsia="仿宋" w:cs="仿宋"/>
                <w:color w:val="000000"/>
                <w:kern w:val="0"/>
                <w:szCs w:val="21"/>
              </w:rPr>
            </w:pPr>
            <w:r>
              <w:rPr>
                <w:rFonts w:hint="eastAsia" w:ascii="仿宋" w:hAnsi="仿宋" w:eastAsia="仿宋" w:cs="仿宋"/>
                <w:color w:val="000000"/>
                <w:kern w:val="0"/>
                <w:szCs w:val="21"/>
              </w:rPr>
              <w:t>1、主机系统：</w:t>
            </w:r>
          </w:p>
        </w:tc>
        <w:tc>
          <w:tcPr>
            <w:tcW w:w="8519" w:type="dxa"/>
            <w:gridSpan w:val="9"/>
            <w:tcBorders>
              <w:top w:val="single" w:color="000000" w:sz="4" w:space="0"/>
              <w:left w:val="single" w:color="000000" w:sz="4" w:space="0"/>
              <w:bottom w:val="single" w:color="000000" w:sz="4" w:space="0"/>
              <w:right w:val="single" w:color="auto" w:sz="4" w:space="0"/>
            </w:tcBorders>
            <w:shd w:val="clear" w:color="auto" w:fill="auto"/>
            <w:vAlign w:val="center"/>
          </w:tcPr>
          <w:p w14:paraId="4EACE1BE">
            <w:pPr>
              <w:pStyle w:val="4"/>
              <w:rPr>
                <w:rFonts w:hint="default" w:ascii="仿宋" w:hAnsi="仿宋" w:eastAsia="仿宋" w:cs="仿宋"/>
                <w:color w:val="000000"/>
                <w:kern w:val="0"/>
                <w:szCs w:val="21"/>
              </w:rPr>
            </w:pPr>
            <w:r>
              <w:rPr>
                <w:rFonts w:ascii="仿宋" w:hAnsi="仿宋" w:eastAsia="仿宋" w:cs="仿宋"/>
                <w:kern w:val="0"/>
                <w:szCs w:val="21"/>
              </w:rPr>
              <w:t>语音提示：全功能语音提示功能。</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3D53D8D1">
            <w:pPr>
              <w:widowControl/>
              <w:jc w:val="center"/>
              <w:rPr>
                <w:rFonts w:ascii="仿宋" w:hAnsi="仿宋" w:eastAsia="仿宋" w:cs="仿宋"/>
                <w:color w:val="000000"/>
                <w:kern w:val="0"/>
                <w:szCs w:val="21"/>
                <w:highlight w:val="none"/>
              </w:rPr>
            </w:pPr>
            <w:r>
              <w:rPr>
                <w:rFonts w:hint="eastAsia" w:ascii="仿宋" w:hAnsi="仿宋" w:eastAsia="仿宋" w:cs="宋体"/>
                <w:color w:val="000000"/>
                <w:kern w:val="0"/>
                <w:szCs w:val="21"/>
                <w:highlight w:val="none"/>
                <w:lang w:val="en-US" w:eastAsia="zh-CN"/>
              </w:rPr>
              <w:t>1</w:t>
            </w:r>
            <w:r>
              <w:rPr>
                <w:rFonts w:hint="eastAsia" w:ascii="仿宋" w:hAnsi="仿宋" w:eastAsia="仿宋" w:cs="仿宋"/>
                <w:color w:val="000000"/>
                <w:kern w:val="0"/>
                <w:szCs w:val="21"/>
                <w:highlight w:val="none"/>
              </w:rPr>
              <w:t>分</w:t>
            </w:r>
          </w:p>
        </w:tc>
      </w:tr>
      <w:tr w14:paraId="00D48422">
        <w:tblPrEx>
          <w:tblCellMar>
            <w:top w:w="0" w:type="dxa"/>
            <w:left w:w="108" w:type="dxa"/>
            <w:bottom w:w="0" w:type="dxa"/>
            <w:right w:w="108" w:type="dxa"/>
          </w:tblCellMar>
        </w:tblPrEx>
        <w:trPr>
          <w:trHeight w:val="65" w:hRule="atLeast"/>
        </w:trPr>
        <w:tc>
          <w:tcPr>
            <w:tcW w:w="1881" w:type="dxa"/>
            <w:gridSpan w:val="2"/>
            <w:vMerge w:val="continue"/>
            <w:tcBorders>
              <w:left w:val="single" w:color="000000" w:sz="4" w:space="0"/>
              <w:right w:val="single" w:color="000000" w:sz="4" w:space="0"/>
            </w:tcBorders>
            <w:shd w:val="clear" w:color="auto" w:fill="auto"/>
            <w:vAlign w:val="center"/>
          </w:tcPr>
          <w:p w14:paraId="0E56681B">
            <w:pPr>
              <w:widowControl/>
              <w:jc w:val="left"/>
              <w:rPr>
                <w:rFonts w:ascii="仿宋" w:hAnsi="仿宋" w:eastAsia="仿宋" w:cs="仿宋"/>
                <w:color w:val="000000"/>
                <w:kern w:val="0"/>
                <w:szCs w:val="21"/>
              </w:rPr>
            </w:pPr>
          </w:p>
        </w:tc>
        <w:tc>
          <w:tcPr>
            <w:tcW w:w="8519" w:type="dxa"/>
            <w:gridSpan w:val="9"/>
            <w:tcBorders>
              <w:top w:val="single" w:color="000000" w:sz="4" w:space="0"/>
              <w:left w:val="single" w:color="000000" w:sz="4" w:space="0"/>
              <w:bottom w:val="single" w:color="000000" w:sz="4" w:space="0"/>
              <w:right w:val="single" w:color="auto" w:sz="4" w:space="0"/>
            </w:tcBorders>
            <w:shd w:val="clear" w:color="auto" w:fill="auto"/>
            <w:vAlign w:val="center"/>
          </w:tcPr>
          <w:p w14:paraId="50FF671E">
            <w:pPr>
              <w:pStyle w:val="4"/>
              <w:rPr>
                <w:rFonts w:hint="default" w:ascii="仿宋" w:hAnsi="仿宋" w:eastAsia="仿宋" w:cs="仿宋"/>
                <w:color w:val="000000"/>
                <w:kern w:val="0"/>
                <w:szCs w:val="21"/>
              </w:rPr>
            </w:pPr>
            <w:r>
              <w:rPr>
                <w:rFonts w:ascii="仿宋" w:hAnsi="仿宋" w:eastAsia="仿宋" w:cs="仿宋"/>
                <w:kern w:val="0"/>
                <w:szCs w:val="21"/>
              </w:rPr>
              <w:t>脚踏调节：脚踏板阻尼可调节，行程段位距离可调节。</w:t>
            </w:r>
            <w:r>
              <w:rPr>
                <w:rFonts w:hint="eastAsia" w:ascii="仿宋" w:hAnsi="仿宋" w:eastAsia="仿宋" w:cs="仿宋"/>
                <w:kern w:val="0"/>
                <w:szCs w:val="21"/>
              </w:rPr>
              <w:t>具备眼内532激光功能，集成超乳玻切激光脚踏一体。</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67EABE92">
            <w:pPr>
              <w:widowControl/>
              <w:jc w:val="center"/>
              <w:rPr>
                <w:rFonts w:ascii="仿宋" w:hAnsi="仿宋" w:eastAsia="仿宋" w:cs="仿宋"/>
                <w:color w:val="000000"/>
                <w:kern w:val="0"/>
                <w:szCs w:val="21"/>
                <w:highlight w:val="none"/>
              </w:rPr>
            </w:pPr>
            <w:r>
              <w:rPr>
                <w:rFonts w:hint="eastAsia" w:ascii="仿宋" w:hAnsi="仿宋" w:eastAsia="仿宋" w:cs="宋体"/>
                <w:color w:val="000000"/>
                <w:kern w:val="0"/>
                <w:szCs w:val="21"/>
                <w:highlight w:val="none"/>
                <w:lang w:val="en-US" w:eastAsia="zh-CN"/>
              </w:rPr>
              <w:t>1</w:t>
            </w:r>
            <w:r>
              <w:rPr>
                <w:rFonts w:hint="eastAsia" w:ascii="仿宋" w:hAnsi="仿宋" w:eastAsia="仿宋" w:cs="仿宋"/>
                <w:color w:val="000000"/>
                <w:kern w:val="0"/>
                <w:szCs w:val="21"/>
                <w:highlight w:val="none"/>
              </w:rPr>
              <w:t>分</w:t>
            </w:r>
          </w:p>
        </w:tc>
      </w:tr>
      <w:tr w14:paraId="266463ED">
        <w:tblPrEx>
          <w:tblCellMar>
            <w:top w:w="0" w:type="dxa"/>
            <w:left w:w="108" w:type="dxa"/>
            <w:bottom w:w="0" w:type="dxa"/>
            <w:right w:w="108" w:type="dxa"/>
          </w:tblCellMar>
        </w:tblPrEx>
        <w:trPr>
          <w:trHeight w:val="328" w:hRule="atLeast"/>
        </w:trPr>
        <w:tc>
          <w:tcPr>
            <w:tcW w:w="1881" w:type="dxa"/>
            <w:gridSpan w:val="2"/>
            <w:vMerge w:val="continue"/>
            <w:tcBorders>
              <w:left w:val="single" w:color="000000" w:sz="4" w:space="0"/>
              <w:right w:val="single" w:color="000000" w:sz="4" w:space="0"/>
            </w:tcBorders>
            <w:shd w:val="clear" w:color="auto" w:fill="auto"/>
            <w:vAlign w:val="center"/>
          </w:tcPr>
          <w:p w14:paraId="6A42028F">
            <w:pPr>
              <w:widowControl/>
              <w:jc w:val="left"/>
              <w:rPr>
                <w:rFonts w:ascii="仿宋" w:hAnsi="仿宋" w:eastAsia="仿宋" w:cs="仿宋"/>
                <w:color w:val="000000"/>
                <w:kern w:val="0"/>
                <w:szCs w:val="21"/>
              </w:rPr>
            </w:pPr>
          </w:p>
        </w:tc>
        <w:tc>
          <w:tcPr>
            <w:tcW w:w="8519" w:type="dxa"/>
            <w:gridSpan w:val="9"/>
            <w:tcBorders>
              <w:top w:val="single" w:color="000000" w:sz="4" w:space="0"/>
              <w:left w:val="single" w:color="000000" w:sz="4" w:space="0"/>
              <w:bottom w:val="single" w:color="000000" w:sz="4" w:space="0"/>
              <w:right w:val="single" w:color="auto" w:sz="4" w:space="0"/>
            </w:tcBorders>
            <w:shd w:val="clear" w:color="auto" w:fill="auto"/>
            <w:vAlign w:val="center"/>
          </w:tcPr>
          <w:p w14:paraId="59AA3A26">
            <w:pPr>
              <w:pStyle w:val="4"/>
              <w:rPr>
                <w:rFonts w:hint="eastAsia" w:ascii="仿宋" w:hAnsi="仿宋" w:eastAsia="仿宋" w:cs="仿宋"/>
                <w:color w:val="000000"/>
                <w:kern w:val="0"/>
                <w:szCs w:val="21"/>
                <w:lang w:eastAsia="zh-CN"/>
              </w:rPr>
            </w:pPr>
            <w:r>
              <w:rPr>
                <w:rFonts w:ascii="仿宋" w:hAnsi="仿宋" w:eastAsia="仿宋" w:cs="仿宋"/>
                <w:kern w:val="0"/>
                <w:szCs w:val="21"/>
              </w:rPr>
              <w:t>硅油模块：具备自动注入及取出硅油功能</w:t>
            </w:r>
            <w:r>
              <w:rPr>
                <w:rFonts w:hint="eastAsia" w:ascii="仿宋" w:hAnsi="仿宋" w:eastAsia="仿宋" w:cs="仿宋"/>
                <w:kern w:val="0"/>
                <w:szCs w:val="21"/>
                <w:lang w:eastAsia="zh-CN"/>
              </w:rPr>
              <w:t>，</w:t>
            </w:r>
            <w:r>
              <w:rPr>
                <w:rFonts w:hint="eastAsia" w:ascii="仿宋" w:hAnsi="仿宋" w:eastAsia="仿宋" w:cs="仿宋"/>
                <w:kern w:val="0"/>
                <w:szCs w:val="21"/>
              </w:rPr>
              <w:t>硅油注入压力≥6bar,硅油吸出负压＞650 mmHg</w:t>
            </w:r>
            <w:r>
              <w:rPr>
                <w:rFonts w:hint="eastAsia" w:ascii="仿宋" w:hAnsi="仿宋" w:eastAsia="仿宋" w:cs="仿宋"/>
                <w:kern w:val="0"/>
                <w:szCs w:val="21"/>
                <w:lang w:eastAsia="zh-CN"/>
              </w:rPr>
              <w:t>。（</w:t>
            </w:r>
            <w:r>
              <w:rPr>
                <w:rFonts w:hint="eastAsia" w:ascii="仿宋" w:hAnsi="仿宋" w:eastAsia="仿宋" w:cs="仿宋"/>
                <w:kern w:val="0"/>
                <w:szCs w:val="21"/>
                <w:lang w:val="en-US" w:eastAsia="zh-CN"/>
              </w:rPr>
              <w:t>需提供技术证明文件）</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764D45E9">
            <w:pPr>
              <w:widowControl/>
              <w:jc w:val="center"/>
              <w:rPr>
                <w:rFonts w:ascii="仿宋" w:hAnsi="仿宋" w:eastAsia="仿宋" w:cs="仿宋"/>
                <w:color w:val="000000"/>
                <w:kern w:val="0"/>
                <w:szCs w:val="21"/>
                <w:highlight w:val="none"/>
              </w:rPr>
            </w:pPr>
            <w:r>
              <w:rPr>
                <w:rFonts w:hint="eastAsia" w:ascii="仿宋" w:hAnsi="仿宋" w:eastAsia="仿宋" w:cs="宋体"/>
                <w:color w:val="000000"/>
                <w:kern w:val="0"/>
                <w:szCs w:val="21"/>
                <w:highlight w:val="none"/>
                <w:lang w:val="en-US" w:eastAsia="zh-CN"/>
              </w:rPr>
              <w:t>1</w:t>
            </w:r>
            <w:r>
              <w:rPr>
                <w:rFonts w:hint="eastAsia" w:ascii="仿宋" w:hAnsi="仿宋" w:eastAsia="仿宋" w:cs="仿宋"/>
                <w:color w:val="000000"/>
                <w:kern w:val="0"/>
                <w:szCs w:val="21"/>
                <w:highlight w:val="none"/>
              </w:rPr>
              <w:t>分</w:t>
            </w:r>
          </w:p>
        </w:tc>
      </w:tr>
      <w:tr w14:paraId="4F3C8B95">
        <w:tblPrEx>
          <w:tblCellMar>
            <w:top w:w="0" w:type="dxa"/>
            <w:left w:w="108" w:type="dxa"/>
            <w:bottom w:w="0" w:type="dxa"/>
            <w:right w:w="108" w:type="dxa"/>
          </w:tblCellMar>
        </w:tblPrEx>
        <w:trPr>
          <w:trHeight w:val="65" w:hRule="atLeast"/>
        </w:trPr>
        <w:tc>
          <w:tcPr>
            <w:tcW w:w="1881" w:type="dxa"/>
            <w:gridSpan w:val="2"/>
            <w:vMerge w:val="continue"/>
            <w:tcBorders>
              <w:left w:val="single" w:color="000000" w:sz="4" w:space="0"/>
              <w:right w:val="single" w:color="000000" w:sz="4" w:space="0"/>
            </w:tcBorders>
            <w:shd w:val="clear" w:color="auto" w:fill="auto"/>
            <w:vAlign w:val="center"/>
          </w:tcPr>
          <w:p w14:paraId="711DE81C">
            <w:pPr>
              <w:widowControl/>
              <w:jc w:val="left"/>
              <w:rPr>
                <w:rFonts w:ascii="仿宋" w:hAnsi="仿宋" w:eastAsia="仿宋" w:cs="仿宋"/>
                <w:color w:val="000000"/>
                <w:kern w:val="0"/>
                <w:szCs w:val="21"/>
              </w:rPr>
            </w:pPr>
          </w:p>
        </w:tc>
        <w:tc>
          <w:tcPr>
            <w:tcW w:w="8519" w:type="dxa"/>
            <w:gridSpan w:val="9"/>
            <w:tcBorders>
              <w:top w:val="single" w:color="000000" w:sz="4" w:space="0"/>
              <w:left w:val="single" w:color="000000" w:sz="4" w:space="0"/>
              <w:bottom w:val="single" w:color="000000" w:sz="4" w:space="0"/>
              <w:right w:val="single" w:color="auto" w:sz="4" w:space="0"/>
            </w:tcBorders>
            <w:shd w:val="clear" w:color="auto" w:fill="auto"/>
            <w:vAlign w:val="center"/>
          </w:tcPr>
          <w:p w14:paraId="0D8C0682">
            <w:pPr>
              <w:pStyle w:val="4"/>
              <w:rPr>
                <w:rFonts w:hint="default" w:ascii="仿宋" w:hAnsi="仿宋" w:eastAsia="仿宋" w:cs="仿宋"/>
                <w:color w:val="000000"/>
                <w:kern w:val="0"/>
                <w:szCs w:val="21"/>
              </w:rPr>
            </w:pPr>
            <w:r>
              <w:rPr>
                <w:rFonts w:ascii="仿宋" w:hAnsi="仿宋" w:eastAsia="仿宋" w:cs="仿宋"/>
                <w:kern w:val="0"/>
                <w:szCs w:val="21"/>
              </w:rPr>
              <w:t>电凝模块：具备可重复使用外眼双极电凝和眼内电凝功能。</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01D67625">
            <w:pPr>
              <w:widowControl/>
              <w:jc w:val="center"/>
              <w:rPr>
                <w:rFonts w:ascii="仿宋" w:hAnsi="仿宋" w:eastAsia="仿宋" w:cs="仿宋"/>
                <w:color w:val="000000"/>
                <w:kern w:val="0"/>
                <w:szCs w:val="21"/>
                <w:highlight w:val="none"/>
              </w:rPr>
            </w:pPr>
            <w:r>
              <w:rPr>
                <w:rFonts w:hint="eastAsia" w:ascii="仿宋" w:hAnsi="仿宋" w:eastAsia="仿宋" w:cs="宋体"/>
                <w:color w:val="000000"/>
                <w:kern w:val="0"/>
                <w:szCs w:val="21"/>
                <w:highlight w:val="none"/>
                <w:lang w:val="en-US" w:eastAsia="zh-CN"/>
              </w:rPr>
              <w:t>1</w:t>
            </w:r>
            <w:r>
              <w:rPr>
                <w:rFonts w:hint="eastAsia" w:ascii="仿宋" w:hAnsi="仿宋" w:eastAsia="仿宋" w:cs="仿宋"/>
                <w:color w:val="000000"/>
                <w:kern w:val="0"/>
                <w:szCs w:val="21"/>
                <w:highlight w:val="none"/>
              </w:rPr>
              <w:t>分</w:t>
            </w:r>
          </w:p>
        </w:tc>
      </w:tr>
      <w:tr w14:paraId="798C21C3">
        <w:tblPrEx>
          <w:tblCellMar>
            <w:top w:w="0" w:type="dxa"/>
            <w:left w:w="108" w:type="dxa"/>
            <w:bottom w:w="0" w:type="dxa"/>
            <w:right w:w="108" w:type="dxa"/>
          </w:tblCellMar>
        </w:tblPrEx>
        <w:trPr>
          <w:trHeight w:val="65" w:hRule="atLeast"/>
        </w:trPr>
        <w:tc>
          <w:tcPr>
            <w:tcW w:w="1881" w:type="dxa"/>
            <w:gridSpan w:val="2"/>
            <w:vMerge w:val="continue"/>
            <w:tcBorders>
              <w:left w:val="single" w:color="000000" w:sz="4" w:space="0"/>
              <w:right w:val="single" w:color="000000" w:sz="4" w:space="0"/>
            </w:tcBorders>
            <w:shd w:val="clear" w:color="auto" w:fill="auto"/>
            <w:vAlign w:val="center"/>
          </w:tcPr>
          <w:p w14:paraId="563DA9EE">
            <w:pPr>
              <w:widowControl/>
              <w:jc w:val="left"/>
              <w:rPr>
                <w:rFonts w:ascii="仿宋" w:hAnsi="仿宋" w:eastAsia="仿宋" w:cs="仿宋"/>
                <w:color w:val="000000"/>
                <w:kern w:val="0"/>
                <w:szCs w:val="21"/>
              </w:rPr>
            </w:pPr>
          </w:p>
        </w:tc>
        <w:tc>
          <w:tcPr>
            <w:tcW w:w="8519" w:type="dxa"/>
            <w:gridSpan w:val="9"/>
            <w:tcBorders>
              <w:top w:val="single" w:color="000000" w:sz="4" w:space="0"/>
              <w:left w:val="single" w:color="000000" w:sz="4" w:space="0"/>
              <w:bottom w:val="single" w:color="000000" w:sz="4" w:space="0"/>
              <w:right w:val="single" w:color="auto" w:sz="4" w:space="0"/>
            </w:tcBorders>
            <w:shd w:val="clear" w:color="auto" w:fill="auto"/>
            <w:vAlign w:val="center"/>
          </w:tcPr>
          <w:p w14:paraId="1E18BFEC">
            <w:pPr>
              <w:pStyle w:val="4"/>
              <w:rPr>
                <w:rFonts w:hint="default" w:ascii="仿宋" w:hAnsi="仿宋" w:eastAsia="仿宋" w:cs="仿宋"/>
                <w:color w:val="000000"/>
                <w:kern w:val="0"/>
                <w:szCs w:val="21"/>
              </w:rPr>
            </w:pPr>
            <w:r>
              <w:rPr>
                <w:rFonts w:ascii="仿宋" w:hAnsi="仿宋" w:eastAsia="仿宋" w:cs="仿宋"/>
                <w:kern w:val="0"/>
                <w:szCs w:val="21"/>
              </w:rPr>
              <w:t>气液交换功能：具备气液交换功能。实时监测眼内压，保证眼内压的稳定。</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263CAC65">
            <w:pPr>
              <w:widowControl/>
              <w:jc w:val="center"/>
              <w:rPr>
                <w:rFonts w:ascii="仿宋" w:hAnsi="仿宋" w:eastAsia="仿宋" w:cs="仿宋"/>
                <w:color w:val="000000"/>
                <w:kern w:val="0"/>
                <w:szCs w:val="21"/>
                <w:highlight w:val="none"/>
              </w:rPr>
            </w:pPr>
            <w:r>
              <w:rPr>
                <w:rFonts w:hint="eastAsia" w:ascii="仿宋" w:hAnsi="仿宋" w:eastAsia="仿宋" w:cs="宋体"/>
                <w:color w:val="000000"/>
                <w:kern w:val="0"/>
                <w:szCs w:val="21"/>
                <w:highlight w:val="none"/>
                <w:lang w:val="en-US" w:eastAsia="zh-CN"/>
              </w:rPr>
              <w:t>1</w:t>
            </w:r>
            <w:r>
              <w:rPr>
                <w:rFonts w:hint="eastAsia" w:ascii="仿宋" w:hAnsi="仿宋" w:eastAsia="仿宋" w:cs="仿宋"/>
                <w:color w:val="000000"/>
                <w:kern w:val="0"/>
                <w:szCs w:val="21"/>
                <w:highlight w:val="none"/>
              </w:rPr>
              <w:t>分</w:t>
            </w:r>
          </w:p>
        </w:tc>
      </w:tr>
      <w:tr w14:paraId="1D4513EE">
        <w:tblPrEx>
          <w:tblCellMar>
            <w:top w:w="0" w:type="dxa"/>
            <w:left w:w="108" w:type="dxa"/>
            <w:bottom w:w="0" w:type="dxa"/>
            <w:right w:w="108" w:type="dxa"/>
          </w:tblCellMar>
        </w:tblPrEx>
        <w:trPr>
          <w:trHeight w:val="272" w:hRule="atLeast"/>
        </w:trPr>
        <w:tc>
          <w:tcPr>
            <w:tcW w:w="1881" w:type="dxa"/>
            <w:gridSpan w:val="2"/>
            <w:vMerge w:val="continue"/>
            <w:tcBorders>
              <w:left w:val="single" w:color="000000" w:sz="4" w:space="0"/>
              <w:right w:val="single" w:color="000000" w:sz="4" w:space="0"/>
            </w:tcBorders>
            <w:shd w:val="clear" w:color="auto" w:fill="auto"/>
            <w:vAlign w:val="center"/>
          </w:tcPr>
          <w:p w14:paraId="1B54686B">
            <w:pPr>
              <w:widowControl/>
              <w:jc w:val="left"/>
              <w:rPr>
                <w:rFonts w:ascii="仿宋" w:hAnsi="仿宋" w:eastAsia="仿宋" w:cs="仿宋"/>
                <w:color w:val="000000"/>
                <w:kern w:val="0"/>
                <w:szCs w:val="21"/>
              </w:rPr>
            </w:pPr>
          </w:p>
        </w:tc>
        <w:tc>
          <w:tcPr>
            <w:tcW w:w="8519" w:type="dxa"/>
            <w:gridSpan w:val="9"/>
            <w:tcBorders>
              <w:top w:val="single" w:color="000000" w:sz="4" w:space="0"/>
              <w:left w:val="single" w:color="000000" w:sz="4" w:space="0"/>
              <w:bottom w:val="single" w:color="000000" w:sz="4" w:space="0"/>
              <w:right w:val="single" w:color="auto" w:sz="4" w:space="0"/>
            </w:tcBorders>
            <w:shd w:val="clear" w:color="auto" w:fill="auto"/>
            <w:vAlign w:val="center"/>
          </w:tcPr>
          <w:p w14:paraId="121E8A65">
            <w:pPr>
              <w:pStyle w:val="4"/>
              <w:rPr>
                <w:rFonts w:hint="default" w:ascii="仿宋" w:hAnsi="仿宋" w:eastAsia="仿宋" w:cs="仿宋"/>
                <w:color w:val="000000"/>
                <w:kern w:val="0"/>
                <w:szCs w:val="21"/>
              </w:rPr>
            </w:pPr>
            <w:r>
              <w:rPr>
                <w:rFonts w:ascii="仿宋" w:hAnsi="仿宋" w:eastAsia="仿宋" w:cs="仿宋"/>
                <w:kern w:val="0"/>
                <w:szCs w:val="21"/>
              </w:rPr>
              <w:t>编程和贮存功能：个性化设定手术步骤，并对每一步手术步骤进行个性化参数设定。</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4AB8DFA9">
            <w:pPr>
              <w:widowControl/>
              <w:jc w:val="center"/>
              <w:rPr>
                <w:rFonts w:ascii="仿宋" w:hAnsi="仿宋" w:eastAsia="仿宋" w:cs="仿宋"/>
                <w:color w:val="000000"/>
                <w:kern w:val="0"/>
                <w:szCs w:val="21"/>
                <w:highlight w:val="none"/>
              </w:rPr>
            </w:pPr>
            <w:r>
              <w:rPr>
                <w:rFonts w:hint="eastAsia" w:ascii="仿宋" w:hAnsi="仿宋" w:eastAsia="仿宋" w:cs="宋体"/>
                <w:color w:val="000000"/>
                <w:kern w:val="0"/>
                <w:szCs w:val="21"/>
                <w:highlight w:val="none"/>
                <w:lang w:val="en-US" w:eastAsia="zh-CN"/>
              </w:rPr>
              <w:t>1</w:t>
            </w:r>
            <w:r>
              <w:rPr>
                <w:rFonts w:hint="eastAsia" w:ascii="仿宋" w:hAnsi="仿宋" w:eastAsia="仿宋" w:cs="仿宋"/>
                <w:color w:val="000000"/>
                <w:kern w:val="0"/>
                <w:szCs w:val="21"/>
                <w:highlight w:val="none"/>
              </w:rPr>
              <w:t>分</w:t>
            </w:r>
          </w:p>
        </w:tc>
      </w:tr>
      <w:tr w14:paraId="602229D5">
        <w:tblPrEx>
          <w:tblCellMar>
            <w:top w:w="0" w:type="dxa"/>
            <w:left w:w="108" w:type="dxa"/>
            <w:bottom w:w="0" w:type="dxa"/>
            <w:right w:w="108" w:type="dxa"/>
          </w:tblCellMar>
        </w:tblPrEx>
        <w:trPr>
          <w:trHeight w:val="546" w:hRule="atLeast"/>
        </w:trPr>
        <w:tc>
          <w:tcPr>
            <w:tcW w:w="1881" w:type="dxa"/>
            <w:gridSpan w:val="2"/>
            <w:vMerge w:val="restart"/>
            <w:tcBorders>
              <w:top w:val="single" w:color="000000" w:sz="4" w:space="0"/>
              <w:left w:val="single" w:color="000000" w:sz="4" w:space="0"/>
              <w:right w:val="single" w:color="000000" w:sz="4" w:space="0"/>
            </w:tcBorders>
            <w:shd w:val="clear" w:color="auto" w:fill="auto"/>
            <w:vAlign w:val="center"/>
          </w:tcPr>
          <w:p w14:paraId="50CADCE4">
            <w:pPr>
              <w:widowControl/>
              <w:jc w:val="left"/>
              <w:rPr>
                <w:rFonts w:ascii="仿宋" w:hAnsi="仿宋" w:eastAsia="仿宋" w:cs="仿宋"/>
                <w:color w:val="000000"/>
                <w:kern w:val="0"/>
                <w:szCs w:val="21"/>
              </w:rPr>
            </w:pPr>
            <w:r>
              <w:rPr>
                <w:rFonts w:hint="eastAsia" w:ascii="仿宋" w:hAnsi="仿宋" w:eastAsia="仿宋" w:cs="仿宋"/>
                <w:color w:val="000000"/>
                <w:kern w:val="0"/>
                <w:szCs w:val="21"/>
              </w:rPr>
              <w:t>2、</w:t>
            </w:r>
            <w:r>
              <w:rPr>
                <w:rFonts w:hint="eastAsia" w:ascii="仿宋" w:hAnsi="仿宋" w:eastAsia="仿宋" w:cs="仿宋"/>
                <w:kern w:val="0"/>
                <w:szCs w:val="21"/>
              </w:rPr>
              <w:t>超声乳化系统</w:t>
            </w:r>
            <w:r>
              <w:rPr>
                <w:rFonts w:hint="eastAsia" w:ascii="仿宋" w:hAnsi="仿宋" w:eastAsia="仿宋" w:cs="仿宋"/>
                <w:color w:val="000000"/>
                <w:kern w:val="0"/>
                <w:szCs w:val="21"/>
              </w:rPr>
              <w:t>：</w:t>
            </w:r>
          </w:p>
        </w:tc>
        <w:tc>
          <w:tcPr>
            <w:tcW w:w="8519" w:type="dxa"/>
            <w:gridSpan w:val="9"/>
            <w:tcBorders>
              <w:top w:val="single" w:color="000000" w:sz="4" w:space="0"/>
              <w:left w:val="single" w:color="000000" w:sz="4" w:space="0"/>
              <w:bottom w:val="single" w:color="000000" w:sz="4" w:space="0"/>
              <w:right w:val="single" w:color="auto" w:sz="4" w:space="0"/>
            </w:tcBorders>
            <w:shd w:val="clear" w:color="auto" w:fill="auto"/>
            <w:vAlign w:val="center"/>
          </w:tcPr>
          <w:p w14:paraId="5C1D6D73">
            <w:pPr>
              <w:rPr>
                <w:rFonts w:ascii="仿宋" w:hAnsi="仿宋" w:eastAsia="仿宋" w:cs="仿宋"/>
                <w:color w:val="000000"/>
                <w:kern w:val="0"/>
                <w:szCs w:val="21"/>
              </w:rPr>
            </w:pPr>
            <w:r>
              <w:rPr>
                <w:rFonts w:hint="eastAsia" w:ascii="仿宋" w:hAnsi="仿宋" w:eastAsia="仿宋" w:cs="仿宋"/>
                <w:kern w:val="0"/>
                <w:szCs w:val="21"/>
              </w:rPr>
              <w:t>液流系统：界面可实现负压和液流切换功能效应</w:t>
            </w:r>
            <w:r>
              <w:rPr>
                <w:rFonts w:hint="eastAsia" w:ascii="仿宋" w:hAnsi="仿宋" w:eastAsia="仿宋" w:cs="仿宋"/>
                <w:kern w:val="0"/>
                <w:szCs w:val="21"/>
                <w:lang w:eastAsia="zh-CN"/>
              </w:rPr>
              <w:t>。</w:t>
            </w:r>
            <w:r>
              <w:rPr>
                <w:rFonts w:hint="eastAsia" w:ascii="仿宋" w:hAnsi="仿宋" w:eastAsia="仿宋" w:cs="仿宋"/>
                <w:kern w:val="0"/>
                <w:szCs w:val="21"/>
              </w:rPr>
              <w:t>超声乳化模式：脉冲模式，连续模式、爆破模式，冷超乳模式，软超乳模式。谐振频率：40KHz</w:t>
            </w:r>
            <w:r>
              <w:rPr>
                <w:rFonts w:hint="eastAsia" w:ascii="仿宋" w:hAnsi="仿宋" w:eastAsia="仿宋" w:cs="仿宋"/>
                <w:kern w:val="0"/>
                <w:szCs w:val="21"/>
                <w:lang w:val="en-US" w:eastAsia="zh-CN"/>
              </w:rPr>
              <w:t>±2%</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55FDDCF6">
            <w:pPr>
              <w:widowControl/>
              <w:jc w:val="center"/>
              <w:rPr>
                <w:rFonts w:ascii="仿宋" w:hAnsi="仿宋" w:eastAsia="仿宋" w:cs="仿宋"/>
                <w:color w:val="000000"/>
                <w:kern w:val="0"/>
                <w:szCs w:val="21"/>
                <w:highlight w:val="none"/>
              </w:rPr>
            </w:pPr>
            <w:r>
              <w:rPr>
                <w:rFonts w:hint="eastAsia" w:ascii="仿宋" w:hAnsi="仿宋" w:eastAsia="仿宋" w:cs="宋体"/>
                <w:color w:val="000000"/>
                <w:kern w:val="0"/>
                <w:szCs w:val="21"/>
                <w:highlight w:val="none"/>
                <w:lang w:val="en-US" w:eastAsia="zh-CN"/>
              </w:rPr>
              <w:t>1</w:t>
            </w:r>
            <w:r>
              <w:rPr>
                <w:rFonts w:hint="eastAsia" w:ascii="仿宋" w:hAnsi="仿宋" w:eastAsia="仿宋" w:cs="仿宋"/>
                <w:color w:val="000000"/>
                <w:kern w:val="0"/>
                <w:szCs w:val="21"/>
                <w:highlight w:val="none"/>
              </w:rPr>
              <w:t>分</w:t>
            </w:r>
          </w:p>
        </w:tc>
      </w:tr>
      <w:tr w14:paraId="59C72E9B">
        <w:tblPrEx>
          <w:tblCellMar>
            <w:top w:w="0" w:type="dxa"/>
            <w:left w:w="108" w:type="dxa"/>
            <w:bottom w:w="0" w:type="dxa"/>
            <w:right w:w="108" w:type="dxa"/>
          </w:tblCellMar>
        </w:tblPrEx>
        <w:trPr>
          <w:trHeight w:val="462" w:hRule="atLeast"/>
        </w:trPr>
        <w:tc>
          <w:tcPr>
            <w:tcW w:w="1881" w:type="dxa"/>
            <w:gridSpan w:val="2"/>
            <w:vMerge w:val="continue"/>
            <w:tcBorders>
              <w:left w:val="single" w:color="000000" w:sz="4" w:space="0"/>
              <w:right w:val="single" w:color="000000" w:sz="4" w:space="0"/>
            </w:tcBorders>
            <w:shd w:val="clear" w:color="auto" w:fill="auto"/>
            <w:vAlign w:val="center"/>
          </w:tcPr>
          <w:p w14:paraId="6596BABD">
            <w:pPr>
              <w:widowControl/>
              <w:jc w:val="left"/>
              <w:rPr>
                <w:rFonts w:ascii="仿宋" w:hAnsi="仿宋" w:eastAsia="仿宋" w:cs="仿宋"/>
                <w:color w:val="000000"/>
                <w:kern w:val="0"/>
                <w:szCs w:val="21"/>
              </w:rPr>
            </w:pPr>
          </w:p>
        </w:tc>
        <w:tc>
          <w:tcPr>
            <w:tcW w:w="8519" w:type="dxa"/>
            <w:gridSpan w:val="9"/>
            <w:tcBorders>
              <w:top w:val="single" w:color="000000" w:sz="4" w:space="0"/>
              <w:left w:val="single" w:color="000000" w:sz="4" w:space="0"/>
              <w:bottom w:val="single" w:color="000000" w:sz="4" w:space="0"/>
              <w:right w:val="single" w:color="auto" w:sz="4" w:space="0"/>
            </w:tcBorders>
            <w:shd w:val="clear" w:color="auto" w:fill="auto"/>
            <w:vAlign w:val="center"/>
          </w:tcPr>
          <w:p w14:paraId="7CB265B8">
            <w:pPr>
              <w:rPr>
                <w:rFonts w:ascii="仿宋" w:hAnsi="仿宋" w:eastAsia="仿宋" w:cs="仿宋"/>
                <w:color w:val="000000"/>
                <w:kern w:val="0"/>
                <w:szCs w:val="21"/>
              </w:rPr>
            </w:pPr>
            <w:r>
              <w:rPr>
                <w:rFonts w:hint="eastAsia" w:ascii="仿宋" w:hAnsi="仿宋" w:eastAsia="仿宋" w:cs="仿宋"/>
                <w:kern w:val="0"/>
                <w:szCs w:val="21"/>
              </w:rPr>
              <w:t>超乳针头：具备30°和45°角度，超乳针头及喇叭口针头</w:t>
            </w:r>
            <w:r>
              <w:rPr>
                <w:rFonts w:hint="eastAsia" w:ascii="仿宋" w:hAnsi="仿宋" w:eastAsia="仿宋" w:cs="仿宋"/>
                <w:kern w:val="0"/>
                <w:szCs w:val="21"/>
                <w:lang w:eastAsia="zh-CN"/>
              </w:rPr>
              <w:t>。</w:t>
            </w:r>
            <w:r>
              <w:rPr>
                <w:rFonts w:hint="eastAsia" w:ascii="仿宋" w:hAnsi="仿宋" w:eastAsia="仿宋" w:cs="仿宋"/>
                <w:kern w:val="0"/>
                <w:szCs w:val="21"/>
              </w:rPr>
              <w:t>超乳针头满足切口：1.8mm、2.2mm、2.8mm。</w:t>
            </w:r>
            <w:r>
              <w:rPr>
                <w:rFonts w:hint="eastAsia" w:ascii="仿宋" w:hAnsi="仿宋" w:eastAsia="仿宋" w:cs="仿宋"/>
                <w:kern w:val="0"/>
                <w:szCs w:val="21"/>
                <w:lang w:eastAsia="zh-CN"/>
              </w:rPr>
              <w:t>（</w:t>
            </w:r>
            <w:r>
              <w:rPr>
                <w:rFonts w:hint="eastAsia" w:ascii="仿宋" w:hAnsi="仿宋" w:eastAsia="仿宋" w:cs="仿宋"/>
                <w:kern w:val="0"/>
                <w:szCs w:val="21"/>
                <w:lang w:val="en-US" w:eastAsia="zh-CN"/>
              </w:rPr>
              <w:t>需提供技术证明文件）</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23C24691">
            <w:pPr>
              <w:widowControl/>
              <w:jc w:val="center"/>
              <w:rPr>
                <w:rFonts w:ascii="仿宋" w:hAnsi="仿宋" w:eastAsia="仿宋" w:cs="仿宋"/>
                <w:color w:val="000000"/>
                <w:kern w:val="0"/>
                <w:szCs w:val="21"/>
                <w:highlight w:val="none"/>
              </w:rPr>
            </w:pPr>
            <w:r>
              <w:rPr>
                <w:rFonts w:hint="eastAsia" w:ascii="仿宋" w:hAnsi="仿宋" w:eastAsia="仿宋" w:cs="宋体"/>
                <w:color w:val="000000"/>
                <w:kern w:val="0"/>
                <w:szCs w:val="21"/>
                <w:highlight w:val="none"/>
                <w:lang w:val="en-US" w:eastAsia="zh-CN"/>
              </w:rPr>
              <w:t>1</w:t>
            </w:r>
            <w:r>
              <w:rPr>
                <w:rFonts w:hint="eastAsia" w:ascii="仿宋" w:hAnsi="仿宋" w:eastAsia="仿宋" w:cs="仿宋"/>
                <w:color w:val="000000"/>
                <w:kern w:val="0"/>
                <w:szCs w:val="21"/>
                <w:highlight w:val="none"/>
              </w:rPr>
              <w:t>分</w:t>
            </w:r>
          </w:p>
        </w:tc>
      </w:tr>
      <w:tr w14:paraId="572F48A3">
        <w:tblPrEx>
          <w:tblCellMar>
            <w:top w:w="0" w:type="dxa"/>
            <w:left w:w="108" w:type="dxa"/>
            <w:bottom w:w="0" w:type="dxa"/>
            <w:right w:w="108" w:type="dxa"/>
          </w:tblCellMar>
        </w:tblPrEx>
        <w:trPr>
          <w:trHeight w:val="332" w:hRule="atLeast"/>
        </w:trPr>
        <w:tc>
          <w:tcPr>
            <w:tcW w:w="1881" w:type="dxa"/>
            <w:gridSpan w:val="2"/>
            <w:vMerge w:val="restart"/>
            <w:tcBorders>
              <w:top w:val="single" w:color="000000" w:sz="4" w:space="0"/>
              <w:left w:val="single" w:color="000000" w:sz="4" w:space="0"/>
              <w:right w:val="single" w:color="000000" w:sz="4" w:space="0"/>
            </w:tcBorders>
            <w:shd w:val="clear" w:color="auto" w:fill="auto"/>
            <w:vAlign w:val="center"/>
          </w:tcPr>
          <w:p w14:paraId="2C6DD5DA">
            <w:pPr>
              <w:widowControl/>
              <w:jc w:val="left"/>
              <w:rPr>
                <w:rFonts w:ascii="仿宋" w:hAnsi="仿宋" w:eastAsia="仿宋" w:cs="仿宋"/>
                <w:color w:val="000000"/>
                <w:kern w:val="0"/>
                <w:szCs w:val="21"/>
              </w:rPr>
            </w:pPr>
            <w:r>
              <w:rPr>
                <w:rFonts w:hint="eastAsia" w:ascii="仿宋" w:hAnsi="仿宋" w:eastAsia="仿宋" w:cs="仿宋"/>
                <w:color w:val="000000"/>
                <w:kern w:val="0"/>
                <w:szCs w:val="21"/>
              </w:rPr>
              <w:t>3、</w:t>
            </w:r>
            <w:r>
              <w:rPr>
                <w:rFonts w:hint="eastAsia" w:ascii="仿宋" w:hAnsi="仿宋" w:eastAsia="仿宋" w:cs="仿宋"/>
                <w:kern w:val="0"/>
                <w:szCs w:val="21"/>
              </w:rPr>
              <w:t>玻璃体切割系统</w:t>
            </w:r>
          </w:p>
        </w:tc>
        <w:tc>
          <w:tcPr>
            <w:tcW w:w="8519" w:type="dxa"/>
            <w:gridSpan w:val="9"/>
            <w:tcBorders>
              <w:top w:val="single" w:color="000000" w:sz="4" w:space="0"/>
              <w:left w:val="single" w:color="000000" w:sz="4" w:space="0"/>
              <w:bottom w:val="single" w:color="000000" w:sz="4" w:space="0"/>
              <w:right w:val="single" w:color="auto" w:sz="4" w:space="0"/>
            </w:tcBorders>
            <w:shd w:val="clear" w:color="auto" w:fill="auto"/>
            <w:vAlign w:val="center"/>
          </w:tcPr>
          <w:p w14:paraId="10DACCAA">
            <w:pPr>
              <w:rPr>
                <w:rFonts w:ascii="仿宋" w:hAnsi="仿宋" w:eastAsia="仿宋" w:cs="仿宋"/>
                <w:color w:val="000000"/>
                <w:kern w:val="0"/>
                <w:szCs w:val="21"/>
              </w:rPr>
            </w:pPr>
            <w:r>
              <w:rPr>
                <w:rFonts w:hint="eastAsia" w:ascii="仿宋" w:hAnsi="仿宋" w:eastAsia="仿宋" w:cs="仿宋"/>
                <w:kern w:val="0"/>
                <w:szCs w:val="21"/>
              </w:rPr>
              <w:t>玻切模式：线性，双线性，3D模式</w:t>
            </w:r>
            <w:r>
              <w:rPr>
                <w:rFonts w:hint="eastAsia" w:ascii="仿宋" w:hAnsi="仿宋" w:eastAsia="仿宋" w:cs="仿宋"/>
                <w:kern w:val="0"/>
                <w:szCs w:val="21"/>
                <w:lang w:eastAsia="zh-CN"/>
              </w:rPr>
              <w:t>。（</w:t>
            </w:r>
            <w:r>
              <w:rPr>
                <w:rFonts w:hint="eastAsia" w:ascii="仿宋" w:hAnsi="仿宋" w:eastAsia="仿宋" w:cs="仿宋"/>
                <w:kern w:val="0"/>
                <w:szCs w:val="21"/>
                <w:lang w:val="en-US" w:eastAsia="zh-CN"/>
              </w:rPr>
              <w:t>需提供技术证明文件）</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2FBDEA4E">
            <w:pPr>
              <w:widowControl/>
              <w:jc w:val="center"/>
              <w:rPr>
                <w:rFonts w:ascii="仿宋" w:hAnsi="仿宋" w:eastAsia="仿宋" w:cs="仿宋"/>
                <w:color w:val="000000"/>
                <w:kern w:val="0"/>
                <w:szCs w:val="21"/>
                <w:highlight w:val="none"/>
              </w:rPr>
            </w:pPr>
            <w:r>
              <w:rPr>
                <w:rFonts w:hint="eastAsia" w:ascii="仿宋" w:hAnsi="仿宋" w:eastAsia="仿宋" w:cs="宋体"/>
                <w:color w:val="000000"/>
                <w:kern w:val="0"/>
                <w:szCs w:val="21"/>
                <w:highlight w:val="none"/>
                <w:lang w:val="en-US" w:eastAsia="zh-CN"/>
              </w:rPr>
              <w:t>1</w:t>
            </w:r>
            <w:r>
              <w:rPr>
                <w:rFonts w:hint="eastAsia" w:ascii="仿宋" w:hAnsi="仿宋" w:eastAsia="仿宋" w:cs="仿宋"/>
                <w:color w:val="000000"/>
                <w:kern w:val="0"/>
                <w:szCs w:val="21"/>
                <w:highlight w:val="none"/>
              </w:rPr>
              <w:t>分</w:t>
            </w:r>
          </w:p>
        </w:tc>
      </w:tr>
      <w:tr w14:paraId="015544D3">
        <w:tblPrEx>
          <w:tblCellMar>
            <w:top w:w="0" w:type="dxa"/>
            <w:left w:w="108" w:type="dxa"/>
            <w:bottom w:w="0" w:type="dxa"/>
            <w:right w:w="108" w:type="dxa"/>
          </w:tblCellMar>
        </w:tblPrEx>
        <w:trPr>
          <w:trHeight w:val="248" w:hRule="atLeast"/>
        </w:trPr>
        <w:tc>
          <w:tcPr>
            <w:tcW w:w="1881" w:type="dxa"/>
            <w:gridSpan w:val="2"/>
            <w:vMerge w:val="continue"/>
            <w:tcBorders>
              <w:left w:val="single" w:color="000000" w:sz="4" w:space="0"/>
              <w:right w:val="single" w:color="000000" w:sz="4" w:space="0"/>
            </w:tcBorders>
            <w:shd w:val="clear" w:color="auto" w:fill="auto"/>
            <w:vAlign w:val="center"/>
          </w:tcPr>
          <w:p w14:paraId="471E01DE">
            <w:pPr>
              <w:widowControl/>
              <w:jc w:val="left"/>
              <w:rPr>
                <w:rFonts w:ascii="仿宋" w:hAnsi="仿宋" w:eastAsia="仿宋" w:cs="仿宋"/>
                <w:color w:val="000000"/>
                <w:kern w:val="0"/>
                <w:szCs w:val="21"/>
              </w:rPr>
            </w:pPr>
          </w:p>
        </w:tc>
        <w:tc>
          <w:tcPr>
            <w:tcW w:w="8519" w:type="dxa"/>
            <w:gridSpan w:val="9"/>
            <w:tcBorders>
              <w:top w:val="single" w:color="000000" w:sz="4" w:space="0"/>
              <w:left w:val="single" w:color="000000" w:sz="4" w:space="0"/>
              <w:bottom w:val="single" w:color="000000" w:sz="4" w:space="0"/>
              <w:right w:val="single" w:color="auto" w:sz="4" w:space="0"/>
            </w:tcBorders>
            <w:shd w:val="clear" w:color="auto" w:fill="auto"/>
            <w:vAlign w:val="center"/>
          </w:tcPr>
          <w:p w14:paraId="65A2785E">
            <w:pPr>
              <w:rPr>
                <w:rFonts w:hint="eastAsia" w:ascii="仿宋" w:hAnsi="仿宋" w:eastAsia="仿宋" w:cs="仿宋"/>
                <w:color w:val="000000"/>
                <w:kern w:val="0"/>
                <w:szCs w:val="21"/>
                <w:lang w:eastAsia="zh-CN"/>
              </w:rPr>
            </w:pPr>
            <w:r>
              <w:rPr>
                <w:rFonts w:hint="eastAsia" w:ascii="仿宋" w:hAnsi="仿宋" w:eastAsia="仿宋" w:cs="仿宋"/>
                <w:kern w:val="0"/>
                <w:szCs w:val="21"/>
              </w:rPr>
              <w:t>气液交换：可数字显示预设气压值，压力范围0-150mmHg</w:t>
            </w:r>
            <w:r>
              <w:rPr>
                <w:rFonts w:hint="eastAsia" w:ascii="仿宋" w:hAnsi="仿宋" w:eastAsia="仿宋" w:cs="仿宋"/>
                <w:kern w:val="0"/>
                <w:szCs w:val="21"/>
                <w:lang w:eastAsia="zh-CN"/>
              </w:rPr>
              <w:t>。（</w:t>
            </w:r>
            <w:r>
              <w:rPr>
                <w:rFonts w:hint="eastAsia" w:ascii="仿宋" w:hAnsi="仿宋" w:eastAsia="仿宋" w:cs="仿宋"/>
                <w:kern w:val="0"/>
                <w:szCs w:val="21"/>
                <w:lang w:val="en-US" w:eastAsia="zh-CN"/>
              </w:rPr>
              <w:t>需提供技术证明文件）</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6735FBDC">
            <w:pPr>
              <w:widowControl/>
              <w:jc w:val="center"/>
              <w:rPr>
                <w:rFonts w:ascii="仿宋" w:hAnsi="仿宋" w:eastAsia="仿宋" w:cs="仿宋"/>
                <w:color w:val="000000"/>
                <w:kern w:val="0"/>
                <w:szCs w:val="21"/>
                <w:highlight w:val="none"/>
              </w:rPr>
            </w:pPr>
            <w:r>
              <w:rPr>
                <w:rFonts w:hint="eastAsia" w:ascii="仿宋" w:hAnsi="仿宋" w:eastAsia="仿宋" w:cs="宋体"/>
                <w:color w:val="000000"/>
                <w:kern w:val="0"/>
                <w:szCs w:val="21"/>
                <w:highlight w:val="none"/>
                <w:lang w:val="en-US" w:eastAsia="zh-CN"/>
              </w:rPr>
              <w:t>1</w:t>
            </w:r>
            <w:r>
              <w:rPr>
                <w:rFonts w:hint="eastAsia" w:ascii="仿宋" w:hAnsi="仿宋" w:eastAsia="仿宋" w:cs="仿宋"/>
                <w:color w:val="000000"/>
                <w:kern w:val="0"/>
                <w:szCs w:val="21"/>
                <w:highlight w:val="none"/>
              </w:rPr>
              <w:t>分</w:t>
            </w:r>
          </w:p>
        </w:tc>
      </w:tr>
      <w:tr w14:paraId="02C9CC98">
        <w:tblPrEx>
          <w:tblCellMar>
            <w:top w:w="0" w:type="dxa"/>
            <w:left w:w="108" w:type="dxa"/>
            <w:bottom w:w="0" w:type="dxa"/>
            <w:right w:w="108" w:type="dxa"/>
          </w:tblCellMar>
        </w:tblPrEx>
        <w:trPr>
          <w:trHeight w:val="90" w:hRule="atLeast"/>
        </w:trPr>
        <w:tc>
          <w:tcPr>
            <w:tcW w:w="1881" w:type="dxa"/>
            <w:gridSpan w:val="2"/>
            <w:vMerge w:val="continue"/>
            <w:tcBorders>
              <w:left w:val="single" w:color="000000" w:sz="4" w:space="0"/>
              <w:right w:val="single" w:color="000000" w:sz="4" w:space="0"/>
            </w:tcBorders>
            <w:shd w:val="clear" w:color="auto" w:fill="auto"/>
            <w:vAlign w:val="center"/>
          </w:tcPr>
          <w:p w14:paraId="1EBC6F2C">
            <w:pPr>
              <w:widowControl/>
              <w:jc w:val="left"/>
              <w:rPr>
                <w:rFonts w:ascii="仿宋" w:hAnsi="仿宋" w:eastAsia="仿宋" w:cs="仿宋"/>
                <w:color w:val="000000"/>
                <w:kern w:val="0"/>
                <w:szCs w:val="21"/>
              </w:rPr>
            </w:pPr>
          </w:p>
        </w:tc>
        <w:tc>
          <w:tcPr>
            <w:tcW w:w="8519" w:type="dxa"/>
            <w:gridSpan w:val="9"/>
            <w:tcBorders>
              <w:top w:val="single" w:color="000000" w:sz="4" w:space="0"/>
              <w:left w:val="single" w:color="000000" w:sz="4" w:space="0"/>
              <w:bottom w:val="single" w:color="000000" w:sz="4" w:space="0"/>
              <w:right w:val="single" w:color="auto" w:sz="4" w:space="0"/>
            </w:tcBorders>
            <w:shd w:val="clear" w:color="auto" w:fill="auto"/>
            <w:vAlign w:val="center"/>
          </w:tcPr>
          <w:p w14:paraId="6F339427">
            <w:pPr>
              <w:rPr>
                <w:rFonts w:ascii="仿宋" w:hAnsi="仿宋" w:eastAsia="仿宋" w:cs="仿宋"/>
                <w:color w:val="000000"/>
                <w:kern w:val="0"/>
                <w:szCs w:val="21"/>
              </w:rPr>
            </w:pPr>
            <w:r>
              <w:rPr>
                <w:rFonts w:hint="eastAsia" w:ascii="仿宋" w:hAnsi="仿宋" w:eastAsia="仿宋" w:cs="仿宋"/>
                <w:kern w:val="0"/>
                <w:szCs w:val="21"/>
              </w:rPr>
              <w:t>可重复使用的眼内电凝</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52003C41">
            <w:pPr>
              <w:widowControl/>
              <w:jc w:val="center"/>
              <w:rPr>
                <w:rFonts w:ascii="仿宋" w:hAnsi="仿宋" w:eastAsia="仿宋" w:cs="仿宋"/>
                <w:color w:val="000000"/>
                <w:kern w:val="0"/>
                <w:szCs w:val="21"/>
                <w:highlight w:val="none"/>
              </w:rPr>
            </w:pPr>
            <w:r>
              <w:rPr>
                <w:rFonts w:hint="eastAsia" w:ascii="仿宋" w:hAnsi="仿宋" w:eastAsia="仿宋" w:cs="宋体"/>
                <w:color w:val="000000"/>
                <w:kern w:val="0"/>
                <w:szCs w:val="21"/>
                <w:highlight w:val="none"/>
                <w:lang w:val="en-US" w:eastAsia="zh-CN"/>
              </w:rPr>
              <w:t>1</w:t>
            </w:r>
            <w:r>
              <w:rPr>
                <w:rFonts w:hint="eastAsia" w:ascii="仿宋" w:hAnsi="仿宋" w:eastAsia="仿宋" w:cs="仿宋"/>
                <w:color w:val="000000"/>
                <w:kern w:val="0"/>
                <w:szCs w:val="21"/>
                <w:highlight w:val="none"/>
              </w:rPr>
              <w:t>分</w:t>
            </w:r>
          </w:p>
        </w:tc>
      </w:tr>
      <w:tr w14:paraId="5FF83D22">
        <w:tblPrEx>
          <w:tblCellMar>
            <w:top w:w="0" w:type="dxa"/>
            <w:left w:w="108" w:type="dxa"/>
            <w:bottom w:w="0" w:type="dxa"/>
            <w:right w:w="108" w:type="dxa"/>
          </w:tblCellMar>
        </w:tblPrEx>
        <w:trPr>
          <w:trHeight w:val="90" w:hRule="atLeast"/>
        </w:trPr>
        <w:tc>
          <w:tcPr>
            <w:tcW w:w="1881" w:type="dxa"/>
            <w:gridSpan w:val="2"/>
            <w:tcBorders>
              <w:top w:val="single" w:color="000000" w:sz="4" w:space="0"/>
              <w:left w:val="single" w:color="000000" w:sz="4" w:space="0"/>
              <w:right w:val="single" w:color="000000" w:sz="4" w:space="0"/>
            </w:tcBorders>
            <w:shd w:val="clear" w:color="auto" w:fill="auto"/>
            <w:vAlign w:val="center"/>
          </w:tcPr>
          <w:p w14:paraId="1CDFC2F6">
            <w:pPr>
              <w:widowControl/>
              <w:jc w:val="left"/>
              <w:rPr>
                <w:rFonts w:ascii="仿宋" w:hAnsi="仿宋" w:eastAsia="仿宋" w:cs="仿宋"/>
                <w:color w:val="000000"/>
                <w:kern w:val="0"/>
                <w:szCs w:val="21"/>
              </w:rPr>
            </w:pPr>
            <w:r>
              <w:rPr>
                <w:rFonts w:hint="eastAsia" w:ascii="仿宋" w:hAnsi="仿宋" w:eastAsia="仿宋" w:cs="仿宋"/>
                <w:color w:val="000000"/>
                <w:kern w:val="0"/>
                <w:szCs w:val="21"/>
              </w:rPr>
              <w:t>4、</w:t>
            </w:r>
            <w:r>
              <w:rPr>
                <w:rFonts w:hint="eastAsia" w:ascii="仿宋" w:hAnsi="仿宋" w:eastAsia="仿宋" w:cs="仿宋"/>
                <w:kern w:val="0"/>
                <w:szCs w:val="21"/>
              </w:rPr>
              <w:t>超声粉碎系统</w:t>
            </w:r>
          </w:p>
        </w:tc>
        <w:tc>
          <w:tcPr>
            <w:tcW w:w="8519" w:type="dxa"/>
            <w:gridSpan w:val="9"/>
            <w:tcBorders>
              <w:top w:val="single" w:color="000000" w:sz="4" w:space="0"/>
              <w:left w:val="single" w:color="000000" w:sz="4" w:space="0"/>
              <w:bottom w:val="single" w:color="000000" w:sz="4" w:space="0"/>
              <w:right w:val="single" w:color="auto" w:sz="4" w:space="0"/>
            </w:tcBorders>
            <w:shd w:val="clear" w:color="auto" w:fill="auto"/>
            <w:vAlign w:val="center"/>
          </w:tcPr>
          <w:p w14:paraId="72359011">
            <w:pPr>
              <w:widowControl/>
              <w:jc w:val="left"/>
              <w:rPr>
                <w:rFonts w:ascii="仿宋" w:hAnsi="仿宋" w:eastAsia="仿宋" w:cs="仿宋"/>
                <w:color w:val="000000"/>
                <w:kern w:val="0"/>
                <w:szCs w:val="21"/>
              </w:rPr>
            </w:pPr>
            <w:r>
              <w:rPr>
                <w:rFonts w:hint="eastAsia" w:ascii="仿宋" w:hAnsi="仿宋" w:eastAsia="仿宋" w:cs="仿宋"/>
                <w:kern w:val="0"/>
                <w:szCs w:val="21"/>
              </w:rPr>
              <w:t>具备超声粉碎功能。</w:t>
            </w:r>
          </w:p>
        </w:tc>
        <w:tc>
          <w:tcPr>
            <w:tcW w:w="990" w:type="dxa"/>
            <w:tcBorders>
              <w:top w:val="single" w:color="auto" w:sz="4" w:space="0"/>
              <w:left w:val="single" w:color="auto" w:sz="4" w:space="0"/>
              <w:right w:val="single" w:color="auto" w:sz="4" w:space="0"/>
            </w:tcBorders>
            <w:shd w:val="clear" w:color="auto" w:fill="auto"/>
            <w:vAlign w:val="center"/>
          </w:tcPr>
          <w:p w14:paraId="7D694B21">
            <w:pPr>
              <w:widowControl/>
              <w:jc w:val="center"/>
              <w:rPr>
                <w:rFonts w:ascii="仿宋" w:hAnsi="仿宋" w:eastAsia="仿宋" w:cs="仿宋"/>
                <w:color w:val="000000"/>
                <w:kern w:val="0"/>
                <w:szCs w:val="21"/>
                <w:highlight w:val="none"/>
              </w:rPr>
            </w:pPr>
            <w:r>
              <w:rPr>
                <w:rFonts w:hint="eastAsia" w:ascii="仿宋" w:hAnsi="仿宋" w:eastAsia="仿宋" w:cs="仿宋"/>
                <w:color w:val="000000"/>
                <w:kern w:val="0"/>
                <w:szCs w:val="21"/>
                <w:highlight w:val="none"/>
              </w:rPr>
              <w:t>1分</w:t>
            </w:r>
          </w:p>
        </w:tc>
      </w:tr>
      <w:tr w14:paraId="292343EF">
        <w:tblPrEx>
          <w:tblCellMar>
            <w:top w:w="0" w:type="dxa"/>
            <w:left w:w="108" w:type="dxa"/>
            <w:bottom w:w="0" w:type="dxa"/>
            <w:right w:w="108" w:type="dxa"/>
          </w:tblCellMar>
        </w:tblPrEx>
        <w:trPr>
          <w:trHeight w:val="560" w:hRule="atLeast"/>
        </w:trPr>
        <w:tc>
          <w:tcPr>
            <w:tcW w:w="10400" w:type="dxa"/>
            <w:gridSpan w:val="11"/>
            <w:tcBorders>
              <w:top w:val="single" w:color="000000" w:sz="4" w:space="0"/>
              <w:left w:val="single" w:color="000000" w:sz="4" w:space="0"/>
              <w:bottom w:val="single" w:color="000000" w:sz="4" w:space="0"/>
              <w:right w:val="single" w:color="000000" w:sz="4" w:space="0"/>
            </w:tcBorders>
            <w:shd w:val="clear" w:color="auto" w:fill="D9D9D9"/>
            <w:vAlign w:val="center"/>
          </w:tcPr>
          <w:p w14:paraId="7C607F1A">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 xml:space="preserve">一般技术参数小计分值 </w:t>
            </w:r>
          </w:p>
        </w:tc>
        <w:tc>
          <w:tcPr>
            <w:tcW w:w="990" w:type="dxa"/>
            <w:tcBorders>
              <w:top w:val="single" w:color="000000" w:sz="4" w:space="0"/>
              <w:left w:val="single" w:color="000000" w:sz="4" w:space="0"/>
              <w:bottom w:val="single" w:color="000000" w:sz="4" w:space="0"/>
              <w:right w:val="single" w:color="000000" w:sz="4" w:space="0"/>
            </w:tcBorders>
            <w:shd w:val="clear" w:color="auto" w:fill="D9D9D9"/>
            <w:noWrap/>
            <w:vAlign w:val="center"/>
          </w:tcPr>
          <w:p w14:paraId="55447066">
            <w:pPr>
              <w:widowControl/>
              <w:jc w:val="center"/>
              <w:rPr>
                <w:rFonts w:hint="eastAsia" w:ascii="仿宋" w:hAnsi="仿宋" w:eastAsia="仿宋" w:cs="宋体"/>
                <w:color w:val="000000"/>
                <w:kern w:val="0"/>
                <w:szCs w:val="21"/>
                <w:lang w:val="en-US" w:eastAsia="zh-CN"/>
              </w:rPr>
            </w:pPr>
            <w:r>
              <w:rPr>
                <w:rFonts w:hint="eastAsia" w:ascii="仿宋" w:hAnsi="仿宋" w:eastAsia="仿宋" w:cs="宋体"/>
                <w:color w:val="000000"/>
                <w:kern w:val="0"/>
                <w:szCs w:val="21"/>
              </w:rPr>
              <w:t>12</w:t>
            </w:r>
            <w:r>
              <w:rPr>
                <w:rFonts w:hint="eastAsia" w:ascii="仿宋" w:hAnsi="仿宋" w:eastAsia="仿宋" w:cs="宋体"/>
                <w:color w:val="000000"/>
                <w:kern w:val="0"/>
                <w:szCs w:val="21"/>
                <w:lang w:val="en-US" w:eastAsia="zh-CN"/>
              </w:rPr>
              <w:t>分</w:t>
            </w:r>
          </w:p>
        </w:tc>
      </w:tr>
      <w:tr w14:paraId="3D1B8715">
        <w:tblPrEx>
          <w:tblCellMar>
            <w:top w:w="0" w:type="dxa"/>
            <w:left w:w="108" w:type="dxa"/>
            <w:bottom w:w="0" w:type="dxa"/>
            <w:right w:w="108" w:type="dxa"/>
          </w:tblCellMar>
        </w:tblPrEx>
        <w:trPr>
          <w:trHeight w:val="570" w:hRule="atLeast"/>
        </w:trPr>
        <w:tc>
          <w:tcPr>
            <w:tcW w:w="11390" w:type="dxa"/>
            <w:gridSpan w:val="12"/>
            <w:tcBorders>
              <w:top w:val="single" w:color="000000" w:sz="4" w:space="0"/>
              <w:left w:val="single" w:color="000000" w:sz="4" w:space="0"/>
              <w:bottom w:val="single" w:color="000000" w:sz="4" w:space="0"/>
              <w:right w:val="single" w:color="000000" w:sz="4" w:space="0"/>
            </w:tcBorders>
            <w:shd w:val="clear" w:color="auto" w:fill="BFBFBF"/>
            <w:noWrap/>
            <w:vAlign w:val="center"/>
          </w:tcPr>
          <w:p w14:paraId="40297D79">
            <w:pPr>
              <w:widowControl/>
              <w:jc w:val="center"/>
              <w:rPr>
                <w:rFonts w:ascii="黑体" w:hAnsi="黑体" w:eastAsia="黑体" w:cs="宋体"/>
                <w:b/>
                <w:bCs/>
                <w:color w:val="000000"/>
                <w:kern w:val="0"/>
                <w:sz w:val="24"/>
                <w:szCs w:val="24"/>
              </w:rPr>
            </w:pPr>
            <w:r>
              <w:rPr>
                <w:rFonts w:hint="eastAsia" w:ascii="黑体" w:hAnsi="黑体" w:eastAsia="黑体" w:cs="宋体"/>
                <w:b/>
                <w:bCs/>
                <w:color w:val="000000"/>
                <w:kern w:val="0"/>
                <w:sz w:val="24"/>
                <w:szCs w:val="24"/>
              </w:rPr>
              <w:t>四、伴随服务要求</w:t>
            </w:r>
          </w:p>
        </w:tc>
      </w:tr>
      <w:tr w14:paraId="75E4AF77">
        <w:tblPrEx>
          <w:tblCellMar>
            <w:top w:w="0" w:type="dxa"/>
            <w:left w:w="108" w:type="dxa"/>
            <w:bottom w:w="0" w:type="dxa"/>
            <w:right w:w="108" w:type="dxa"/>
          </w:tblCellMar>
        </w:tblPrEx>
        <w:trPr>
          <w:trHeight w:val="280" w:hRule="atLeast"/>
        </w:trPr>
        <w:tc>
          <w:tcPr>
            <w:tcW w:w="1139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775AF74A">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1、技术、维修、培训及其它</w:t>
            </w:r>
          </w:p>
        </w:tc>
      </w:tr>
      <w:tr w14:paraId="1BEC67A0">
        <w:tblPrEx>
          <w:tblCellMar>
            <w:top w:w="0" w:type="dxa"/>
            <w:left w:w="108" w:type="dxa"/>
            <w:bottom w:w="0" w:type="dxa"/>
            <w:right w:w="108" w:type="dxa"/>
          </w:tblCellMar>
        </w:tblPrEx>
        <w:trPr>
          <w:trHeight w:val="90" w:hRule="atLeast"/>
        </w:trPr>
        <w:tc>
          <w:tcPr>
            <w:tcW w:w="1139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62C6CB56">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（1）厂商在中国境内设有备件仓库，并保证十年以上的售后服务工程师，支持安装、调试及维修，厂商在上海有常驻售后服务工程师，维修响应时间≤4小时，24小时内上门维修，并提供24小时维修电话。</w:t>
            </w:r>
          </w:p>
        </w:tc>
      </w:tr>
      <w:tr w14:paraId="120CB341">
        <w:tblPrEx>
          <w:tblCellMar>
            <w:top w:w="0" w:type="dxa"/>
            <w:left w:w="108" w:type="dxa"/>
            <w:bottom w:w="0" w:type="dxa"/>
            <w:right w:w="108" w:type="dxa"/>
          </w:tblCellMar>
        </w:tblPrEx>
        <w:trPr>
          <w:trHeight w:val="374" w:hRule="atLeast"/>
        </w:trPr>
        <w:tc>
          <w:tcPr>
            <w:tcW w:w="1139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3C1DD24C">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（2）提供设备例行保养，并有报告。</w:t>
            </w:r>
          </w:p>
        </w:tc>
      </w:tr>
      <w:tr w14:paraId="1B831C9B">
        <w:tblPrEx>
          <w:tblCellMar>
            <w:top w:w="0" w:type="dxa"/>
            <w:left w:w="108" w:type="dxa"/>
            <w:bottom w:w="0" w:type="dxa"/>
            <w:right w:w="108" w:type="dxa"/>
          </w:tblCellMar>
        </w:tblPrEx>
        <w:trPr>
          <w:trHeight w:val="390" w:hRule="atLeast"/>
        </w:trPr>
        <w:tc>
          <w:tcPr>
            <w:tcW w:w="1139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6AC487BD">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（3）培训要求：装机后提供免费培训，并提供培训方案。</w:t>
            </w:r>
          </w:p>
        </w:tc>
      </w:tr>
      <w:tr w14:paraId="4D703A1A">
        <w:tblPrEx>
          <w:tblCellMar>
            <w:top w:w="0" w:type="dxa"/>
            <w:left w:w="108" w:type="dxa"/>
            <w:bottom w:w="0" w:type="dxa"/>
            <w:right w:w="108" w:type="dxa"/>
          </w:tblCellMar>
        </w:tblPrEx>
        <w:trPr>
          <w:trHeight w:val="390" w:hRule="atLeast"/>
        </w:trPr>
        <w:tc>
          <w:tcPr>
            <w:tcW w:w="1139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546C817C">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（4）设备使用期间，提供应用软件免费升级，操作系统以及数据库完善和稳定性升级。</w:t>
            </w:r>
          </w:p>
        </w:tc>
      </w:tr>
      <w:tr w14:paraId="668ED896">
        <w:tblPrEx>
          <w:tblCellMar>
            <w:top w:w="0" w:type="dxa"/>
            <w:left w:w="108" w:type="dxa"/>
            <w:bottom w:w="0" w:type="dxa"/>
            <w:right w:w="108" w:type="dxa"/>
          </w:tblCellMar>
        </w:tblPrEx>
        <w:trPr>
          <w:trHeight w:val="410" w:hRule="atLeast"/>
        </w:trPr>
        <w:tc>
          <w:tcPr>
            <w:tcW w:w="1139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020E7230">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2、验收方案：</w:t>
            </w:r>
          </w:p>
        </w:tc>
      </w:tr>
      <w:tr w14:paraId="7426450A">
        <w:tblPrEx>
          <w:tblCellMar>
            <w:top w:w="0" w:type="dxa"/>
            <w:left w:w="108" w:type="dxa"/>
            <w:bottom w:w="0" w:type="dxa"/>
            <w:right w:w="108" w:type="dxa"/>
          </w:tblCellMar>
        </w:tblPrEx>
        <w:trPr>
          <w:trHeight w:val="830" w:hRule="atLeast"/>
        </w:trPr>
        <w:tc>
          <w:tcPr>
            <w:tcW w:w="1139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07735765">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 xml:space="preserve">（1）服务根据合同的规定完成后，甲方应及时进行根据合同的规定进行服务验收。乙方应当以书面形式向甲方递交验收通知书，甲方在收到验收通知书后的10个工作日内，确定具体日期，由双方按照本合同的规定完成服务验收。甲方有权委托第三方检测机构进行验收，对此乙方应当配合。 </w:t>
            </w:r>
          </w:p>
        </w:tc>
      </w:tr>
      <w:tr w14:paraId="5DAE0A14">
        <w:tblPrEx>
          <w:tblCellMar>
            <w:top w:w="0" w:type="dxa"/>
            <w:left w:w="108" w:type="dxa"/>
            <w:bottom w:w="0" w:type="dxa"/>
            <w:right w:w="108" w:type="dxa"/>
          </w:tblCellMar>
        </w:tblPrEx>
        <w:trPr>
          <w:trHeight w:val="570" w:hRule="atLeast"/>
        </w:trPr>
        <w:tc>
          <w:tcPr>
            <w:tcW w:w="1139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4E442D18">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 xml:space="preserve">（2）如果属于乙方原因致使系统未能通过验收，乙方应当排除故障，并自行承担相关费用，同时进行试运行，直至服务完全符合验收标准。 </w:t>
            </w:r>
          </w:p>
        </w:tc>
      </w:tr>
      <w:tr w14:paraId="0704672D">
        <w:tblPrEx>
          <w:tblCellMar>
            <w:top w:w="0" w:type="dxa"/>
            <w:left w:w="108" w:type="dxa"/>
            <w:bottom w:w="0" w:type="dxa"/>
            <w:right w:w="108" w:type="dxa"/>
          </w:tblCellMar>
        </w:tblPrEx>
        <w:trPr>
          <w:trHeight w:val="366" w:hRule="atLeast"/>
        </w:trPr>
        <w:tc>
          <w:tcPr>
            <w:tcW w:w="1139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191C0757">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w:t>
            </w:r>
            <w:r>
              <w:rPr>
                <w:rFonts w:hint="eastAsia" w:ascii="仿宋" w:hAnsi="仿宋" w:eastAsia="仿宋" w:cs="宋体"/>
                <w:color w:val="auto"/>
                <w:kern w:val="0"/>
                <w:szCs w:val="21"/>
                <w:lang w:val="en-US" w:eastAsia="zh-CN"/>
              </w:rPr>
              <w:t>3</w:t>
            </w:r>
            <w:r>
              <w:rPr>
                <w:rFonts w:hint="eastAsia" w:ascii="仿宋" w:hAnsi="仿宋" w:eastAsia="仿宋" w:cs="宋体"/>
                <w:color w:val="000000"/>
                <w:kern w:val="0"/>
                <w:szCs w:val="21"/>
              </w:rPr>
              <w:t>）甲方根据合同的规定对服务验收合格后，甲方收取发票并签署验收意见。</w:t>
            </w:r>
          </w:p>
        </w:tc>
      </w:tr>
      <w:tr w14:paraId="3F3E6478">
        <w:tblPrEx>
          <w:tblCellMar>
            <w:top w:w="0" w:type="dxa"/>
            <w:left w:w="108" w:type="dxa"/>
            <w:bottom w:w="0" w:type="dxa"/>
            <w:right w:w="108" w:type="dxa"/>
          </w:tblCellMar>
        </w:tblPrEx>
        <w:trPr>
          <w:trHeight w:val="90" w:hRule="atLeast"/>
        </w:trPr>
        <w:tc>
          <w:tcPr>
            <w:tcW w:w="1139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20A4D5B4">
            <w:pPr>
              <w:widowControl/>
              <w:jc w:val="left"/>
              <w:rPr>
                <w:rFonts w:ascii="仿宋" w:hAnsi="仿宋" w:eastAsia="仿宋" w:cs="宋体"/>
                <w:color w:val="000000"/>
                <w:kern w:val="0"/>
                <w:szCs w:val="21"/>
              </w:rPr>
            </w:pPr>
            <w:r>
              <w:rPr>
                <w:rFonts w:ascii="仿宋" w:hAnsi="仿宋" w:eastAsia="仿宋" w:cs="宋体"/>
                <w:color w:val="000000"/>
                <w:kern w:val="0"/>
              </w:rPr>
              <w:t>5、其他要求：</w:t>
            </w:r>
          </w:p>
        </w:tc>
      </w:tr>
      <w:tr w14:paraId="1859ABFE">
        <w:tblPrEx>
          <w:tblCellMar>
            <w:top w:w="0" w:type="dxa"/>
            <w:left w:w="108" w:type="dxa"/>
            <w:bottom w:w="0" w:type="dxa"/>
            <w:right w:w="108" w:type="dxa"/>
          </w:tblCellMar>
        </w:tblPrEx>
        <w:trPr>
          <w:trHeight w:val="560" w:hRule="atLeast"/>
        </w:trPr>
        <w:tc>
          <w:tcPr>
            <w:tcW w:w="1139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52052276">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中标人需在签订合同后60天内完成设备安装且验收合格。</w:t>
            </w:r>
          </w:p>
        </w:tc>
      </w:tr>
      <w:tr w14:paraId="52DCBD44">
        <w:tblPrEx>
          <w:tblCellMar>
            <w:top w:w="0" w:type="dxa"/>
            <w:left w:w="108" w:type="dxa"/>
            <w:bottom w:w="0" w:type="dxa"/>
            <w:right w:w="108" w:type="dxa"/>
          </w:tblCellMar>
        </w:tblPrEx>
        <w:trPr>
          <w:trHeight w:val="630" w:hRule="atLeast"/>
        </w:trPr>
        <w:tc>
          <w:tcPr>
            <w:tcW w:w="11390" w:type="dxa"/>
            <w:gridSpan w:val="12"/>
            <w:tcBorders>
              <w:top w:val="single" w:color="000000" w:sz="4" w:space="0"/>
              <w:left w:val="single" w:color="000000" w:sz="4" w:space="0"/>
              <w:bottom w:val="single" w:color="000000" w:sz="4" w:space="0"/>
              <w:right w:val="single" w:color="000000" w:sz="4" w:space="0"/>
            </w:tcBorders>
            <w:shd w:val="clear" w:color="auto" w:fill="BFBFBF"/>
            <w:noWrap/>
            <w:vAlign w:val="center"/>
          </w:tcPr>
          <w:p w14:paraId="3AF863DA">
            <w:pPr>
              <w:widowControl/>
              <w:jc w:val="center"/>
              <w:rPr>
                <w:rFonts w:ascii="黑体" w:hAnsi="黑体" w:eastAsia="黑体" w:cs="宋体"/>
                <w:b/>
                <w:bCs/>
                <w:color w:val="000000"/>
                <w:kern w:val="0"/>
                <w:sz w:val="24"/>
                <w:szCs w:val="24"/>
              </w:rPr>
            </w:pPr>
            <w:r>
              <w:rPr>
                <w:rFonts w:hint="eastAsia" w:ascii="黑体" w:hAnsi="黑体" w:eastAsia="黑体" w:cs="宋体"/>
                <w:b/>
                <w:bCs/>
                <w:color w:val="000000"/>
                <w:kern w:val="0"/>
                <w:sz w:val="24"/>
                <w:szCs w:val="24"/>
              </w:rPr>
              <w:t>五、售后服务方案及其他（所有需提供证明材料的均需标注具体页码）</w:t>
            </w:r>
          </w:p>
        </w:tc>
      </w:tr>
      <w:tr w14:paraId="273EE128">
        <w:tblPrEx>
          <w:tblCellMar>
            <w:top w:w="0" w:type="dxa"/>
            <w:left w:w="108" w:type="dxa"/>
            <w:bottom w:w="0" w:type="dxa"/>
            <w:right w:w="108" w:type="dxa"/>
          </w:tblCellMar>
        </w:tblPrEx>
        <w:trPr>
          <w:trHeight w:val="350" w:hRule="atLeast"/>
        </w:trPr>
        <w:tc>
          <w:tcPr>
            <w:tcW w:w="1139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653E0E7D">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1、质保要求：</w:t>
            </w:r>
          </w:p>
        </w:tc>
      </w:tr>
      <w:tr w14:paraId="7E95D4BC">
        <w:tblPrEx>
          <w:tblCellMar>
            <w:top w:w="0" w:type="dxa"/>
            <w:left w:w="108" w:type="dxa"/>
            <w:bottom w:w="0" w:type="dxa"/>
            <w:right w:w="108" w:type="dxa"/>
          </w:tblCellMar>
        </w:tblPrEx>
        <w:trPr>
          <w:trHeight w:val="840" w:hRule="atLeast"/>
        </w:trPr>
        <w:tc>
          <w:tcPr>
            <w:tcW w:w="1139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672FACE5">
            <w:pPr>
              <w:widowControl/>
              <w:jc w:val="left"/>
              <w:rPr>
                <w:rFonts w:ascii="仿宋" w:hAnsi="仿宋" w:eastAsia="仿宋" w:cs="宋体"/>
                <w:color w:val="000000"/>
                <w:kern w:val="0"/>
                <w:szCs w:val="21"/>
              </w:rPr>
            </w:pPr>
            <w:r>
              <w:rPr>
                <w:rFonts w:ascii="仿宋" w:hAnsi="仿宋" w:eastAsia="仿宋" w:cs="宋体"/>
                <w:color w:val="000000"/>
                <w:kern w:val="0"/>
              </w:rPr>
              <w:t>（</w:t>
            </w:r>
            <w:r>
              <w:rPr>
                <w:rFonts w:hint="eastAsia" w:ascii="仿宋" w:hAnsi="仿宋" w:eastAsia="仿宋" w:cs="宋体"/>
                <w:color w:val="000000"/>
                <w:kern w:val="0"/>
              </w:rPr>
              <w:t>1</w:t>
            </w:r>
            <w:r>
              <w:rPr>
                <w:rFonts w:ascii="仿宋" w:hAnsi="仿宋" w:eastAsia="仿宋" w:cs="宋体"/>
                <w:color w:val="000000"/>
                <w:kern w:val="0"/>
              </w:rPr>
              <w:t>）</w:t>
            </w:r>
            <w:r>
              <w:rPr>
                <w:rFonts w:hint="eastAsia" w:ascii="仿宋" w:hAnsi="仿宋" w:eastAsia="仿宋" w:cs="宋体"/>
                <w:color w:val="000000"/>
                <w:kern w:val="0"/>
                <w:szCs w:val="21"/>
              </w:rPr>
              <w:t>中标人</w:t>
            </w:r>
            <w:r>
              <w:rPr>
                <w:rFonts w:hint="eastAsia" w:ascii="仿宋" w:hAnsi="仿宋" w:eastAsia="仿宋" w:cs="宋体"/>
                <w:color w:val="000000"/>
                <w:kern w:val="0"/>
              </w:rPr>
              <w:t>负责设备到货搬运和安装就位（由此产生的费用由卖方承担）。</w:t>
            </w:r>
            <w:r>
              <w:rPr>
                <w:rFonts w:hint="eastAsia" w:ascii="仿宋" w:hAnsi="仿宋" w:eastAsia="仿宋" w:cs="宋体"/>
                <w:color w:val="000000"/>
                <w:kern w:val="0"/>
                <w:szCs w:val="21"/>
              </w:rPr>
              <w:t>中标人</w:t>
            </w:r>
            <w:r>
              <w:rPr>
                <w:rFonts w:hint="eastAsia" w:ascii="仿宋" w:hAnsi="仿宋" w:eastAsia="仿宋" w:cs="宋体"/>
                <w:color w:val="000000"/>
                <w:kern w:val="0"/>
              </w:rPr>
              <w:t>负责机房结构、电源、线路等技术参数的设计，并提供图纸，以符合装机要求。</w:t>
            </w:r>
            <w:r>
              <w:rPr>
                <w:rFonts w:hint="eastAsia" w:ascii="仿宋" w:hAnsi="仿宋" w:eastAsia="仿宋" w:cs="宋体"/>
                <w:color w:val="000000"/>
                <w:kern w:val="0"/>
                <w:szCs w:val="21"/>
              </w:rPr>
              <w:t>中标人</w:t>
            </w:r>
            <w:r>
              <w:rPr>
                <w:rFonts w:hint="eastAsia" w:ascii="仿宋" w:hAnsi="仿宋" w:eastAsia="仿宋" w:cs="宋体"/>
                <w:color w:val="000000"/>
                <w:kern w:val="0"/>
              </w:rPr>
              <w:t>应派遣有经验工程师对设备进行的安装和调试，确保安装质量达到产品出厂技术标准。装机时间不超过10天。</w:t>
            </w:r>
          </w:p>
        </w:tc>
      </w:tr>
      <w:tr w14:paraId="24FA7A17">
        <w:tblPrEx>
          <w:tblCellMar>
            <w:top w:w="0" w:type="dxa"/>
            <w:left w:w="108" w:type="dxa"/>
            <w:bottom w:w="0" w:type="dxa"/>
            <w:right w:w="108" w:type="dxa"/>
          </w:tblCellMar>
        </w:tblPrEx>
        <w:trPr>
          <w:trHeight w:val="740" w:hRule="atLeast"/>
        </w:trPr>
        <w:tc>
          <w:tcPr>
            <w:tcW w:w="1139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5C7A17BC">
            <w:pPr>
              <w:widowControl/>
              <w:jc w:val="left"/>
              <w:rPr>
                <w:rFonts w:ascii="仿宋" w:hAnsi="仿宋" w:eastAsia="仿宋" w:cs="宋体"/>
                <w:color w:val="000000"/>
                <w:kern w:val="0"/>
                <w:szCs w:val="21"/>
              </w:rPr>
            </w:pPr>
            <w:r>
              <w:rPr>
                <w:rFonts w:ascii="仿宋" w:hAnsi="仿宋" w:eastAsia="仿宋" w:cs="宋体"/>
                <w:color w:val="000000"/>
                <w:kern w:val="0"/>
              </w:rPr>
              <w:t>（</w:t>
            </w:r>
            <w:r>
              <w:rPr>
                <w:rFonts w:hint="eastAsia" w:ascii="仿宋" w:hAnsi="仿宋" w:eastAsia="仿宋" w:cs="宋体"/>
                <w:color w:val="000000"/>
                <w:kern w:val="0"/>
              </w:rPr>
              <w:t>2</w:t>
            </w:r>
            <w:r>
              <w:rPr>
                <w:rFonts w:ascii="仿宋" w:hAnsi="仿宋" w:eastAsia="仿宋" w:cs="宋体"/>
                <w:color w:val="000000"/>
                <w:kern w:val="0"/>
              </w:rPr>
              <w:t>）</w:t>
            </w:r>
            <w:r>
              <w:rPr>
                <w:rFonts w:hint="eastAsia" w:ascii="仿宋" w:hAnsi="仿宋" w:eastAsia="仿宋" w:cs="宋体"/>
                <w:color w:val="000000"/>
                <w:kern w:val="0"/>
                <w:szCs w:val="21"/>
              </w:rPr>
              <w:t>中标人</w:t>
            </w:r>
            <w:r>
              <w:rPr>
                <w:rFonts w:hint="eastAsia" w:ascii="仿宋" w:hAnsi="仿宋" w:eastAsia="仿宋" w:cs="宋体"/>
                <w:color w:val="000000"/>
                <w:kern w:val="0"/>
              </w:rPr>
              <w:t>提供整机免费保修，保修期自设备安装完毕，双方签署本次集中采购统一格式的验收报告后开始计算。</w:t>
            </w:r>
            <w:bookmarkStart w:id="0" w:name="_GoBack"/>
            <w:r>
              <w:rPr>
                <w:rFonts w:hint="eastAsia" w:ascii="仿宋" w:hAnsi="仿宋" w:eastAsia="仿宋" w:cs="宋体"/>
                <w:color w:val="000000"/>
                <w:kern w:val="0"/>
              </w:rPr>
              <w:t>保修期≥</w:t>
            </w:r>
            <w:r>
              <w:rPr>
                <w:rFonts w:hint="eastAsia" w:ascii="仿宋" w:hAnsi="仿宋" w:eastAsia="仿宋" w:cs="宋体"/>
                <w:color w:val="000000"/>
                <w:kern w:val="0"/>
                <w:lang w:val="en-US" w:eastAsia="zh-CN"/>
              </w:rPr>
              <w:t>3</w:t>
            </w:r>
            <w:r>
              <w:rPr>
                <w:rFonts w:hint="eastAsia" w:ascii="仿宋" w:hAnsi="仿宋" w:eastAsia="仿宋" w:cs="宋体"/>
                <w:color w:val="000000"/>
                <w:kern w:val="0"/>
              </w:rPr>
              <w:t>年；保修期间要确保系统的正常运行，保证全年开机率(按365天/年计算)不低于95%，如达不到此标准，需按1:3（停机一天延长三天）天数延长，延长期中出现停机按同样比例要求延长保修期。且必须提供</w:t>
            </w:r>
            <w:r>
              <w:rPr>
                <w:rFonts w:hint="eastAsia" w:ascii="仿宋" w:hAnsi="仿宋" w:eastAsia="仿宋" w:cs="宋体"/>
                <w:color w:val="000000"/>
                <w:kern w:val="0"/>
                <w:lang w:val="en-US" w:eastAsia="zh-CN"/>
              </w:rPr>
              <w:t>由</w:t>
            </w:r>
            <w:r>
              <w:rPr>
                <w:rFonts w:hint="eastAsia" w:ascii="仿宋" w:hAnsi="仿宋" w:eastAsia="仿宋" w:cs="宋体"/>
                <w:color w:val="000000"/>
                <w:kern w:val="0"/>
              </w:rPr>
              <w:t>设备制造商出具的售后服务承诺</w:t>
            </w:r>
            <w:r>
              <w:rPr>
                <w:rFonts w:hint="eastAsia" w:ascii="仿宋" w:hAnsi="仿宋" w:eastAsia="仿宋" w:cs="宋体"/>
                <w:color w:val="000000"/>
                <w:kern w:val="0"/>
                <w:lang w:val="en-US" w:eastAsia="zh-CN"/>
              </w:rPr>
              <w:t>函</w:t>
            </w:r>
            <w:r>
              <w:rPr>
                <w:rFonts w:ascii="仿宋" w:hAnsi="仿宋" w:eastAsia="仿宋" w:cs="宋体"/>
                <w:color w:val="000000"/>
                <w:kern w:val="0"/>
              </w:rPr>
              <w:t>。</w:t>
            </w:r>
            <w:bookmarkEnd w:id="0"/>
          </w:p>
        </w:tc>
      </w:tr>
      <w:tr w14:paraId="0F7A89EB">
        <w:tblPrEx>
          <w:tblCellMar>
            <w:top w:w="0" w:type="dxa"/>
            <w:left w:w="108" w:type="dxa"/>
            <w:bottom w:w="0" w:type="dxa"/>
            <w:right w:w="108" w:type="dxa"/>
          </w:tblCellMar>
        </w:tblPrEx>
        <w:trPr>
          <w:trHeight w:val="617" w:hRule="atLeast"/>
        </w:trPr>
        <w:tc>
          <w:tcPr>
            <w:tcW w:w="1139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7C8373D1">
            <w:pPr>
              <w:widowControl/>
              <w:jc w:val="left"/>
              <w:rPr>
                <w:rFonts w:hint="eastAsia" w:ascii="仿宋" w:hAnsi="仿宋" w:eastAsia="仿宋" w:cs="宋体"/>
                <w:color w:val="000000"/>
                <w:kern w:val="0"/>
              </w:rPr>
            </w:pPr>
            <w:r>
              <w:rPr>
                <w:rFonts w:hint="eastAsia" w:ascii="仿宋" w:hAnsi="仿宋" w:eastAsia="仿宋" w:cs="宋体"/>
                <w:color w:val="000000"/>
                <w:kern w:val="0"/>
                <w:lang w:eastAsia="zh-CN"/>
              </w:rPr>
              <w:t>（</w:t>
            </w:r>
            <w:r>
              <w:rPr>
                <w:rFonts w:hint="eastAsia" w:ascii="仿宋" w:hAnsi="仿宋" w:eastAsia="仿宋" w:cs="宋体"/>
                <w:color w:val="000000"/>
                <w:kern w:val="0"/>
                <w:lang w:val="en-US" w:eastAsia="zh-CN"/>
              </w:rPr>
              <w:t>3）年度维保：保修期外的整机年度保修合同不得高于设备总价的7%，保修期内的年度定期预防性维护保养次数不得少于4次。</w:t>
            </w:r>
          </w:p>
        </w:tc>
      </w:tr>
      <w:tr w14:paraId="23441527">
        <w:tblPrEx>
          <w:tblCellMar>
            <w:top w:w="0" w:type="dxa"/>
            <w:left w:w="108" w:type="dxa"/>
            <w:bottom w:w="0" w:type="dxa"/>
            <w:right w:w="108" w:type="dxa"/>
          </w:tblCellMar>
        </w:tblPrEx>
        <w:trPr>
          <w:trHeight w:val="740" w:hRule="atLeast"/>
        </w:trPr>
        <w:tc>
          <w:tcPr>
            <w:tcW w:w="1139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34F13857">
            <w:pPr>
              <w:widowControl/>
              <w:jc w:val="left"/>
              <w:rPr>
                <w:rFonts w:hint="eastAsia" w:ascii="仿宋" w:hAnsi="仿宋" w:eastAsia="仿宋" w:cs="宋体"/>
                <w:color w:val="000000"/>
                <w:kern w:val="0"/>
              </w:rPr>
            </w:pPr>
            <w:r>
              <w:rPr>
                <w:rFonts w:hint="eastAsia" w:ascii="仿宋" w:hAnsi="仿宋" w:eastAsia="仿宋" w:cs="宋体"/>
                <w:color w:val="000000"/>
                <w:kern w:val="0"/>
                <w:lang w:eastAsia="zh-CN"/>
              </w:rPr>
              <w:t>（</w:t>
            </w:r>
            <w:r>
              <w:rPr>
                <w:rFonts w:hint="eastAsia" w:ascii="仿宋" w:hAnsi="仿宋" w:eastAsia="仿宋" w:cs="宋体"/>
                <w:color w:val="000000"/>
                <w:kern w:val="0"/>
                <w:lang w:val="en-US" w:eastAsia="zh-CN"/>
              </w:rPr>
              <w:t>4）提供零配件清单，质保期外单次维修仅收取零配件费用，不收取维修、差旅费等其他费用。质保期满后以≤8折的优惠价供应维修零配件。</w:t>
            </w:r>
          </w:p>
        </w:tc>
      </w:tr>
      <w:tr w14:paraId="438EDFBA">
        <w:tblPrEx>
          <w:tblCellMar>
            <w:top w:w="0" w:type="dxa"/>
            <w:left w:w="108" w:type="dxa"/>
            <w:bottom w:w="0" w:type="dxa"/>
            <w:right w:w="108" w:type="dxa"/>
          </w:tblCellMar>
        </w:tblPrEx>
        <w:trPr>
          <w:trHeight w:val="610" w:hRule="atLeast"/>
        </w:trPr>
        <w:tc>
          <w:tcPr>
            <w:tcW w:w="1139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29E8BEB9">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2、中标人提供的设备，其品牌、型号和技术参数等要符合招投标文件和投标文件的相关要求和承诺事项。如有不符，招标人可无条件退货，由此所造成的损失由中标人自行承担。</w:t>
            </w:r>
          </w:p>
        </w:tc>
      </w:tr>
      <w:tr w14:paraId="13E11984">
        <w:tblPrEx>
          <w:tblCellMar>
            <w:top w:w="0" w:type="dxa"/>
            <w:left w:w="108" w:type="dxa"/>
            <w:bottom w:w="0" w:type="dxa"/>
            <w:right w:w="108" w:type="dxa"/>
          </w:tblCellMar>
        </w:tblPrEx>
        <w:trPr>
          <w:trHeight w:val="671" w:hRule="atLeast"/>
        </w:trPr>
        <w:tc>
          <w:tcPr>
            <w:tcW w:w="1139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2A9B01D6">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 xml:space="preserve">3、维修响应时间：设有专用报修电话，保证在接到设备故障报修通知后，维修工程师4小时内响应，24小时内到达现场检修，保修期内外（包括休息日和节假日）均能派出维修工程师到达现场维修。 </w:t>
            </w:r>
          </w:p>
        </w:tc>
      </w:tr>
      <w:tr w14:paraId="184290E3">
        <w:tblPrEx>
          <w:tblCellMar>
            <w:top w:w="0" w:type="dxa"/>
            <w:left w:w="108" w:type="dxa"/>
            <w:bottom w:w="0" w:type="dxa"/>
            <w:right w:w="108" w:type="dxa"/>
          </w:tblCellMar>
        </w:tblPrEx>
        <w:trPr>
          <w:trHeight w:val="680" w:hRule="atLeast"/>
        </w:trPr>
        <w:tc>
          <w:tcPr>
            <w:tcW w:w="1139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53692FA9">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 xml:space="preserve">4、投标人报价应包含但不限于完成本项目的设备购置费、运输费、安装调试、验收、质保期运行维护、测试费、培训费、流量费、售后服务和税金、接口费等一切费用，招标人后期不再追加预算。 </w:t>
            </w:r>
          </w:p>
        </w:tc>
      </w:tr>
      <w:tr w14:paraId="62F9555C">
        <w:tblPrEx>
          <w:tblCellMar>
            <w:top w:w="0" w:type="dxa"/>
            <w:left w:w="108" w:type="dxa"/>
            <w:bottom w:w="0" w:type="dxa"/>
            <w:right w:w="108" w:type="dxa"/>
          </w:tblCellMar>
        </w:tblPrEx>
        <w:trPr>
          <w:trHeight w:val="370" w:hRule="atLeast"/>
        </w:trPr>
        <w:tc>
          <w:tcPr>
            <w:tcW w:w="1139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1608077D">
            <w:pPr>
              <w:spacing w:line="0" w:lineRule="atLeast"/>
              <w:rPr>
                <w:rFonts w:hint="eastAsia" w:ascii="仿宋" w:hAnsi="仿宋" w:eastAsia="仿宋" w:cs="Arial"/>
                <w:kern w:val="2"/>
                <w:szCs w:val="21"/>
              </w:rPr>
            </w:pPr>
            <w:r>
              <w:rPr>
                <w:rFonts w:hint="eastAsia" w:ascii="仿宋" w:hAnsi="仿宋" w:eastAsia="仿宋" w:cs="Arial"/>
                <w:szCs w:val="21"/>
                <w:lang w:val="en-US" w:eastAsia="zh-CN"/>
              </w:rPr>
              <w:t>5.其他要求：</w:t>
            </w:r>
          </w:p>
        </w:tc>
      </w:tr>
      <w:tr w14:paraId="574A7D1A">
        <w:tblPrEx>
          <w:tblCellMar>
            <w:top w:w="0" w:type="dxa"/>
            <w:left w:w="108" w:type="dxa"/>
            <w:bottom w:w="0" w:type="dxa"/>
            <w:right w:w="108" w:type="dxa"/>
          </w:tblCellMar>
        </w:tblPrEx>
        <w:trPr>
          <w:trHeight w:val="680" w:hRule="atLeast"/>
        </w:trPr>
        <w:tc>
          <w:tcPr>
            <w:tcW w:w="1139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476E9A3F">
            <w:pPr>
              <w:spacing w:line="0" w:lineRule="atLeast"/>
              <w:rPr>
                <w:rFonts w:hint="eastAsia" w:ascii="仿宋" w:hAnsi="仿宋" w:eastAsia="仿宋" w:cs="Arial"/>
                <w:kern w:val="2"/>
                <w:szCs w:val="21"/>
              </w:rPr>
            </w:pPr>
            <w:r>
              <w:rPr>
                <w:rFonts w:hint="eastAsia" w:ascii="仿宋" w:hAnsi="仿宋" w:eastAsia="仿宋" w:cs="Arial"/>
                <w:szCs w:val="21"/>
                <w:lang w:val="en-US" w:eastAsia="zh-CN"/>
              </w:rPr>
              <w:t>（1）投标人所投产品需运行稳定性高、返修率低及投标产品的品牌的市场认可度高。投标人需有相应的服务质量管理能力。需要提供产品制造商的研发机构设置、产品研发流程及执行情况、设计分析能力，以及产品制造商的产品制造能力、供应链管理能力、制造产品配置等内容。</w:t>
            </w:r>
          </w:p>
        </w:tc>
      </w:tr>
      <w:tr w14:paraId="3B4E4884">
        <w:tblPrEx>
          <w:tblCellMar>
            <w:top w:w="0" w:type="dxa"/>
            <w:left w:w="108" w:type="dxa"/>
            <w:bottom w:w="0" w:type="dxa"/>
            <w:right w:w="108" w:type="dxa"/>
          </w:tblCellMar>
        </w:tblPrEx>
        <w:trPr>
          <w:trHeight w:val="370" w:hRule="atLeast"/>
        </w:trPr>
        <w:tc>
          <w:tcPr>
            <w:tcW w:w="1139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4AD6CAB5">
            <w:pPr>
              <w:spacing w:line="0" w:lineRule="atLeast"/>
              <w:rPr>
                <w:rFonts w:hint="eastAsia" w:ascii="仿宋" w:hAnsi="仿宋" w:eastAsia="仿宋" w:cs="Arial"/>
                <w:kern w:val="2"/>
                <w:szCs w:val="21"/>
              </w:rPr>
            </w:pPr>
            <w:r>
              <w:rPr>
                <w:rFonts w:hint="eastAsia" w:ascii="仿宋" w:hAnsi="仿宋" w:eastAsia="仿宋" w:cs="Arial"/>
                <w:szCs w:val="21"/>
                <w:lang w:val="en-US" w:eastAsia="zh-CN"/>
              </w:rPr>
              <w:t>（2）投标人需有近三年以来同类产品的销售业绩。</w:t>
            </w:r>
          </w:p>
        </w:tc>
      </w:tr>
      <w:tr w14:paraId="3E555A1C">
        <w:tblPrEx>
          <w:tblCellMar>
            <w:top w:w="0" w:type="dxa"/>
            <w:left w:w="108" w:type="dxa"/>
            <w:bottom w:w="0" w:type="dxa"/>
            <w:right w:w="108" w:type="dxa"/>
          </w:tblCellMar>
        </w:tblPrEx>
        <w:trPr>
          <w:trHeight w:val="680" w:hRule="atLeast"/>
        </w:trPr>
        <w:tc>
          <w:tcPr>
            <w:tcW w:w="11390" w:type="dxa"/>
            <w:gridSpan w:val="12"/>
            <w:tcBorders>
              <w:top w:val="single" w:color="000000" w:sz="4" w:space="0"/>
              <w:left w:val="single" w:color="000000" w:sz="4" w:space="0"/>
              <w:bottom w:val="single" w:color="000000" w:sz="4" w:space="0"/>
              <w:right w:val="single" w:color="000000" w:sz="4" w:space="0"/>
            </w:tcBorders>
            <w:shd w:val="clear" w:color="auto" w:fill="BFBFBF"/>
            <w:noWrap/>
            <w:vAlign w:val="center"/>
          </w:tcPr>
          <w:p w14:paraId="29511068">
            <w:pPr>
              <w:widowControl/>
              <w:jc w:val="center"/>
              <w:rPr>
                <w:rFonts w:ascii="黑体" w:hAnsi="黑体" w:eastAsia="黑体" w:cs="宋体"/>
                <w:b/>
                <w:bCs/>
                <w:color w:val="000000"/>
                <w:kern w:val="0"/>
                <w:sz w:val="24"/>
                <w:szCs w:val="24"/>
              </w:rPr>
            </w:pPr>
            <w:r>
              <w:rPr>
                <w:rFonts w:hint="eastAsia" w:ascii="黑体" w:hAnsi="黑体" w:eastAsia="黑体" w:cs="宋体"/>
                <w:b/>
                <w:bCs/>
                <w:color w:val="000000"/>
                <w:kern w:val="0"/>
                <w:sz w:val="24"/>
                <w:szCs w:val="24"/>
              </w:rPr>
              <w:t xml:space="preserve">六、付款方式 </w:t>
            </w:r>
          </w:p>
        </w:tc>
      </w:tr>
      <w:tr w14:paraId="1CAF47F5">
        <w:tblPrEx>
          <w:tblCellMar>
            <w:top w:w="0" w:type="dxa"/>
            <w:left w:w="108" w:type="dxa"/>
            <w:bottom w:w="0" w:type="dxa"/>
            <w:right w:w="108" w:type="dxa"/>
          </w:tblCellMar>
        </w:tblPrEx>
        <w:trPr>
          <w:trHeight w:val="759" w:hRule="atLeast"/>
        </w:trPr>
        <w:tc>
          <w:tcPr>
            <w:tcW w:w="1139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1551BCAF">
            <w:pPr>
              <w:widowControl/>
              <w:jc w:val="left"/>
              <w:rPr>
                <w:rFonts w:ascii="仿宋" w:hAnsi="仿宋" w:eastAsia="仿宋" w:cs="宋体"/>
                <w:color w:val="000000"/>
                <w:kern w:val="0"/>
                <w:szCs w:val="21"/>
              </w:rPr>
            </w:pPr>
            <w:r>
              <w:rPr>
                <w:rFonts w:hint="eastAsia" w:ascii="仿宋" w:hAnsi="仿宋" w:eastAsia="仿宋" w:cs="Arial"/>
                <w:szCs w:val="21"/>
                <w:lang w:val="en-US" w:eastAsia="zh-CN"/>
              </w:rPr>
              <w:t>合同签订并完成设备安装验收后，90个工作日内支付全款。</w:t>
            </w:r>
          </w:p>
        </w:tc>
      </w:tr>
    </w:tbl>
    <w:p w14:paraId="6523270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6320EEE"/>
    <w:rsid w:val="166D0546"/>
    <w:rsid w:val="230D5D8D"/>
    <w:rsid w:val="49350D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Table Paragraph"/>
    <w:basedOn w:val="1"/>
    <w:unhideWhenUsed/>
    <w:qFormat/>
    <w:uiPriority w:val="1"/>
    <w:pPr>
      <w:widowControl/>
    </w:pPr>
    <w:rPr>
      <w:rFonts w:hint="eastAsia" w:ascii="宋体" w:hAnsi="宋体"/>
      <w:szCs w:val="20"/>
      <w:lang w:val="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2282</Words>
  <Characters>2375</Characters>
  <Lines>0</Lines>
  <Paragraphs>0</Paragraphs>
  <TotalTime>0</TotalTime>
  <ScaleCrop>false</ScaleCrop>
  <LinksUpToDate>false</LinksUpToDate>
  <CharactersWithSpaces>2382</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2025-04-21T02:35:00Z</dcterms:created>
  <dc:creator>nxc</dc:creator>
  <cp:lastModifiedBy>待到尘埃落定时</cp:lastModifiedBy>
  <dcterms:modified xsi:type="dcterms:W3CDTF">2025-04-21T09:00:20Z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eyJoZGlkIjoiZTVkYjAxNTA2NmNkNTRlODkzYjNlOTNiMjZjMTI5MTAiLCJ1c2VySWQiOiI1NDYxNjc0MDMifQ==</vt:lpwstr>
  </property>
  <property fmtid="{D5CDD505-2E9C-101B-9397-08002B2CF9AE}" pid="4" name="ICV">
    <vt:lpwstr>FB2C71CE8F204796A87B0ADE138A5558_13</vt:lpwstr>
  </property>
</Properties>
</file>