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55474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000000" w:themeColor="text1"/>
          <w:sz w:val="44"/>
          <w:szCs w:val="44"/>
          <w:highlight w:val="none"/>
          <w:lang w:eastAsia="zh-CN"/>
          <w14:textFill>
            <w14:solidFill>
              <w14:schemeClr w14:val="tx1"/>
            </w14:solidFill>
          </w14:textFill>
        </w:rPr>
      </w:pPr>
    </w:p>
    <w:p w14:paraId="6774370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000000" w:themeColor="text1"/>
          <w:sz w:val="44"/>
          <w:szCs w:val="44"/>
          <w:highlight w:val="none"/>
          <w:lang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highlight w:val="none"/>
          <w:lang w:eastAsia="zh-CN"/>
          <w14:textFill>
            <w14:solidFill>
              <w14:schemeClr w14:val="tx1"/>
            </w14:solidFill>
          </w14:textFill>
        </w:rPr>
        <w:t>宝山路街道</w:t>
      </w:r>
      <w:r>
        <w:rPr>
          <w:rFonts w:hint="eastAsia" w:ascii="方正小标宋简体" w:hAnsi="方正小标宋简体" w:eastAsia="方正小标宋简体" w:cs="方正小标宋简体"/>
          <w:color w:val="000000" w:themeColor="text1"/>
          <w:sz w:val="44"/>
          <w:szCs w:val="44"/>
          <w:highlight w:val="none"/>
          <w:lang w:val="en-US" w:eastAsia="zh-CN"/>
          <w14:textFill>
            <w14:solidFill>
              <w14:schemeClr w14:val="tx1"/>
            </w14:solidFill>
          </w14:textFill>
        </w:rPr>
        <w:t>2025年</w:t>
      </w:r>
      <w:r>
        <w:rPr>
          <w:rFonts w:hint="eastAsia" w:ascii="方正小标宋简体" w:hAnsi="方正小标宋简体" w:eastAsia="方正小标宋简体" w:cs="方正小标宋简体"/>
          <w:color w:val="000000" w:themeColor="text1"/>
          <w:sz w:val="44"/>
          <w:szCs w:val="44"/>
          <w:highlight w:val="none"/>
          <w:lang w:eastAsia="zh-CN"/>
          <w14:textFill>
            <w14:solidFill>
              <w14:schemeClr w14:val="tx1"/>
            </w14:solidFill>
          </w14:textFill>
        </w:rPr>
        <w:t>市容环境作业项目需求书</w:t>
      </w:r>
    </w:p>
    <w:p w14:paraId="26BAE6B6">
      <w:pPr>
        <w:keepNext w:val="0"/>
        <w:keepLines w:val="0"/>
        <w:pageBreakBefore w:val="0"/>
        <w:widowControl w:val="0"/>
        <w:kinsoku/>
        <w:wordWrap/>
        <w:overflowPunct/>
        <w:topLinePunct w:val="0"/>
        <w:autoSpaceDE/>
        <w:autoSpaceDN/>
        <w:bidi w:val="0"/>
        <w:adjustRightInd/>
        <w:snapToGrid/>
        <w:spacing w:line="560" w:lineRule="exact"/>
        <w:ind w:left="0" w:firstLine="420" w:firstLineChars="200"/>
        <w:textAlignment w:val="auto"/>
        <w:rPr>
          <w:rFonts w:hint="eastAsia"/>
          <w:color w:val="000000" w:themeColor="text1"/>
          <w:highlight w:val="none"/>
          <w:lang w:eastAsia="zh-CN"/>
          <w14:textFill>
            <w14:solidFill>
              <w14:schemeClr w14:val="tx1"/>
            </w14:solidFill>
          </w14:textFill>
        </w:rPr>
      </w:pPr>
    </w:p>
    <w:p w14:paraId="79112AC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000000" w:themeColor="text1"/>
          <w:sz w:val="32"/>
          <w:szCs w:val="32"/>
          <w:highlight w:val="none"/>
          <w:lang w:eastAsia="zh-CN"/>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一、</w:t>
      </w:r>
      <w:r>
        <w:rPr>
          <w:rFonts w:hint="eastAsia" w:ascii="黑体" w:hAnsi="黑体" w:eastAsia="黑体" w:cs="黑体"/>
          <w:color w:val="000000" w:themeColor="text1"/>
          <w:sz w:val="32"/>
          <w:szCs w:val="32"/>
          <w:highlight w:val="none"/>
          <w:lang w:eastAsia="zh-CN"/>
          <w14:textFill>
            <w14:solidFill>
              <w14:schemeClr w14:val="tx1"/>
            </w14:solidFill>
          </w14:textFill>
        </w:rPr>
        <w:t>项目概况</w:t>
      </w:r>
    </w:p>
    <w:p w14:paraId="27D9B31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市容环境作业项目旨在为提升辖区市容环境卫生面貌和市民满意度，做好示范道路创建和垃圾分类工作，实现门责精细化管理的目标，拟聘请第三方力量对辖区内20处沿街公共投放点提供固守，定时驳运、保洁，对居民误时投放进行劝阻和宣传服务，对辖区内26条道路沿街门责单位开展生活垃圾上门收集。</w:t>
      </w:r>
    </w:p>
    <w:p w14:paraId="63EE8E6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000000" w:themeColor="text1"/>
          <w:kern w:val="2"/>
          <w:sz w:val="32"/>
          <w:szCs w:val="32"/>
          <w:lang w:val="en-US" w:eastAsia="zh-CN" w:bidi="ar-SA"/>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二、项目需求及服务标准</w:t>
      </w:r>
    </w:p>
    <w:p w14:paraId="162879A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市容环境作业项目作业范围为街道辖区20处沿街公共投放点和26条道路沿街商户。</w:t>
      </w:r>
    </w:p>
    <w:p w14:paraId="5D43D69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textAlignment w:val="auto"/>
        <w:rPr>
          <w:rFonts w:hint="eastAsia" w:ascii="楷体_GB2312" w:hAnsi="楷体_GB2312" w:eastAsia="楷体_GB2312" w:cs="楷体_GB2312"/>
          <w:b/>
          <w:bCs/>
          <w:color w:val="000000" w:themeColor="text1"/>
          <w:sz w:val="32"/>
          <w:szCs w:val="32"/>
          <w:highlight w:val="none"/>
          <w:lang w:val="en-US" w:eastAsia="zh-CN"/>
          <w14:textFill>
            <w14:solidFill>
              <w14:schemeClr w14:val="tx1"/>
            </w14:solidFill>
          </w14:textFill>
        </w:rPr>
      </w:pPr>
      <w:r>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t>（一）</w:t>
      </w:r>
      <w:r>
        <w:rPr>
          <w:rFonts w:hint="eastAsia" w:ascii="楷体_GB2312" w:hAnsi="楷体_GB2312" w:eastAsia="楷体_GB2312" w:cs="楷体_GB2312"/>
          <w:b/>
          <w:bCs/>
          <w:color w:val="000000" w:themeColor="text1"/>
          <w:sz w:val="32"/>
          <w:szCs w:val="32"/>
          <w:highlight w:val="none"/>
          <w:lang w:val="en-US" w:eastAsia="zh-CN"/>
          <w14:textFill>
            <w14:solidFill>
              <w14:schemeClr w14:val="tx1"/>
            </w14:solidFill>
          </w14:textFill>
        </w:rPr>
        <w:t>20处沿街公共投放点项目需求及服务标准</w:t>
      </w:r>
    </w:p>
    <w:p w14:paraId="3D9BCEF0">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对辖区内20处公共垃圾投放点位按照定时定点的要求，准时驳运垃圾桶上下点位，并做好投放点的保洁冲洗工作；</w:t>
      </w:r>
    </w:p>
    <w:p w14:paraId="14199240">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接到</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城运中心</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或居民投诉电话发现</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公共投放点</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周边有暴露垃圾通知后，</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工作</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人员应在30分钟内赶到现场并进行有效清除</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p>
    <w:p w14:paraId="4D7C66E1">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服务方在工作中必须加强对员工的安全教育和劳动保护</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并为员工购买保险，</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如服务方员工在工作过程中发生经济损失或人身伤亡事故均由服务方自行处理</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p>
    <w:p w14:paraId="2C3FD345">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如白天清理所辖区域内再度出现在</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公共投放点</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周边的暴露垃圾，处理时限不超过30分钟</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p>
    <w:p w14:paraId="1BC90502">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工作</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人员</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固守中</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发现的问题，均要拍照留存</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凡当场整改的，</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整改</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后也要拍照存档</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凡当场未能整改的，应及时上报</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城运中心；</w:t>
      </w:r>
    </w:p>
    <w:p w14:paraId="2B40EC14">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管理人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员应</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做好日常管理工作的书面记录</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及人员考勤</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每月对</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工作情况</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进行</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书面汇报</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p>
    <w:p w14:paraId="5093B7F5">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服务方应</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积极参与街道相关部门组织的专项宣传、整治活动</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p>
    <w:p w14:paraId="5EEFF0A0">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为确保服务执勤的效率和质量，服务方</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须</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安排专人定时对服务工作现状和实效进行督查，发现问题，及时指出并落实整改</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p>
    <w:p w14:paraId="21F9D8F1">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面对服务过程中可能发生的各类人防、物防的突发事件，服务方应制定相关的应急预案，如在服务过程中发生矛盾、对抗或者造成物损等</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p>
    <w:p w14:paraId="32B77D57">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如遇突发情况无法及时处理，应立即上报</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街道城运中心。</w:t>
      </w:r>
    </w:p>
    <w:p w14:paraId="32B33C6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日常服务实施安排需明确：</w:t>
      </w:r>
      <w:r>
        <w:rPr>
          <w:rFonts w:hint="eastAsia" w:ascii="仿宋_GB2312" w:hAnsi="仿宋_GB2312" w:eastAsia="仿宋_GB2312" w:cs="仿宋_GB2312"/>
          <w:color w:val="auto"/>
          <w:sz w:val="32"/>
          <w:szCs w:val="32"/>
          <w:highlight w:val="none"/>
          <w:lang w:val="en-US" w:eastAsia="zh-CN"/>
        </w:rPr>
        <w:t>每天6:00前清理投放点位及周边隔夜产生的暴露垃圾，并保持6:00至22:00所辖区域公共投放点周边无暴露垃圾。</w:t>
      </w:r>
      <w:r>
        <w:rPr>
          <w:rFonts w:hint="default" w:ascii="仿宋_GB2312" w:hAnsi="仿宋_GB2312" w:eastAsia="仿宋_GB2312" w:cs="仿宋_GB2312"/>
          <w:color w:val="auto"/>
          <w:sz w:val="32"/>
          <w:szCs w:val="32"/>
          <w:highlight w:val="none"/>
          <w:lang w:val="en-US" w:eastAsia="zh-CN"/>
        </w:rPr>
        <w:t>对辖区内道路两侧沿街公共投放点固守，执勤时间为每天6点至22点，节假日不间断，做到“全天候”“全年无休”，人员可由服务方内部自行调剂安排</w:t>
      </w:r>
      <w:r>
        <w:rPr>
          <w:rFonts w:hint="eastAsia" w:ascii="仿宋_GB2312" w:hAnsi="仿宋_GB2312" w:eastAsia="仿宋_GB2312" w:cs="仿宋_GB2312"/>
          <w:color w:val="auto"/>
          <w:sz w:val="32"/>
          <w:szCs w:val="32"/>
          <w:highlight w:val="none"/>
          <w:lang w:val="en-US" w:eastAsia="zh-CN"/>
        </w:rPr>
        <w:t>。</w:t>
      </w:r>
    </w:p>
    <w:p w14:paraId="79548FB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textAlignment w:val="auto"/>
        <w:rPr>
          <w:rFonts w:hint="eastAsia" w:ascii="楷体_GB2312" w:hAnsi="楷体_GB2312" w:eastAsia="楷体_GB2312" w:cs="楷体_GB2312"/>
          <w:b/>
          <w:bCs/>
          <w:color w:val="auto"/>
          <w:kern w:val="2"/>
          <w:sz w:val="32"/>
          <w:szCs w:val="32"/>
          <w:highlight w:val="none"/>
          <w:lang w:val="en-US" w:eastAsia="zh-CN" w:bidi="ar-SA"/>
        </w:rPr>
      </w:pPr>
      <w:r>
        <w:rPr>
          <w:rFonts w:hint="eastAsia" w:ascii="楷体_GB2312" w:hAnsi="楷体_GB2312" w:eastAsia="楷体_GB2312" w:cs="楷体_GB2312"/>
          <w:b/>
          <w:bCs/>
          <w:color w:val="auto"/>
          <w:kern w:val="2"/>
          <w:sz w:val="32"/>
          <w:szCs w:val="32"/>
          <w:highlight w:val="none"/>
          <w:lang w:val="en-US" w:eastAsia="zh-CN" w:bidi="ar-SA"/>
        </w:rPr>
        <w:t>（二）26条道路沿街商户项目需求及服务标准</w:t>
      </w:r>
    </w:p>
    <w:p w14:paraId="3862ACEA">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上门收集垃圾人员上岗前，</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服务</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方</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应</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组织专业培训，实行挂牌上门收集服务，</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明确</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上门收集管理要求、文明宣传、文明上门收集、做到不留死角</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，并积极宣传垃圾分类收集的重要意义，规范收集、严格管理、做好干、湿生活垃圾分类收集；做好</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每日报表及每月报表</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由</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城运中心备查；</w:t>
      </w:r>
    </w:p>
    <w:p w14:paraId="676DF262">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上门收集垃圾过程中，</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服务方应</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不定期召集上门收集人员召开例会，传达上级对上门收集垃圾的最近工作要求和指示，交流上门收集垃圾经验，寻找上门收集垃圾工作中的不足，不断提高上门收集垃圾的收集率和上门收集垃圾分类宣传实效</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p>
    <w:p w14:paraId="5DC83C5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3、服务</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方须保持上门收集车辆车身洁净、无污渍、无异味</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，在上门收集垃圾途中发现门责户门前有小包垃圾应随手捡拾放入上门收集垃圾车内，确保门责户门前的整洁无生活垃圾存在；</w:t>
      </w:r>
    </w:p>
    <w:p w14:paraId="386CBD5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4、对小包垃圾易落地的问题点位，通过增派物力、人力等方式做好相应对策，确保消除此类问题点位；</w:t>
      </w:r>
    </w:p>
    <w:p w14:paraId="4452336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5、服务方应做好每日上门收集垃圾及车位吨数台账资料，积极参与城运中心组织的专项宣传、整治活动；</w:t>
      </w:r>
    </w:p>
    <w:p w14:paraId="19E2E65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6、城运中心会</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对上门收集垃圾人员进行每日不定时跟踪检查，确保上门收集垃圾落实成效，发现遗漏的门责户收集进行及时督促整改，考核检查与</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人员</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工资挂钩</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p>
    <w:p w14:paraId="0C0F0AA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7、服务方</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全面负责对有关工作人员进行安全教育，严禁闯红灯、乱穿马路、逆向行驶，</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服务方在</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工作中产生的</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经济、</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社会</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赔偿责任</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由</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服务</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方自行解决。</w:t>
      </w:r>
    </w:p>
    <w:p w14:paraId="3455DFB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8、</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服务方应配置上门收集垃圾专用电瓶三轮车，三轮车贴有上门收集垃圾标识，上门收集人员统一佩戴上门收集工作证。</w:t>
      </w:r>
    </w:p>
    <w:p w14:paraId="26D3F99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日常服务实施安排需明确：按照门责管理工作及上门收集生活垃圾的要求，服务方要按日按时进行上门收集生活垃圾，每日上门次数不少于2次，服务时间为每天9:00至22：00，每日分两个时间段上门收集：上午8点—12点，下午18点—22点，全年无休。</w:t>
      </w:r>
    </w:p>
    <w:p w14:paraId="3779676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000000" w:themeColor="text1"/>
          <w:kern w:val="2"/>
          <w:sz w:val="32"/>
          <w:szCs w:val="32"/>
          <w:lang w:val="en-US" w:eastAsia="zh-CN" w:bidi="ar-SA"/>
          <w14:textFill>
            <w14:solidFill>
              <w14:schemeClr w14:val="tx1"/>
            </w14:solidFill>
          </w14:textFill>
        </w:rPr>
      </w:pPr>
      <w:r>
        <w:rPr>
          <w:rFonts w:hint="eastAsia" w:ascii="黑体" w:hAnsi="黑体" w:eastAsia="黑体" w:cs="黑体"/>
          <w:color w:val="000000" w:themeColor="text1"/>
          <w:kern w:val="2"/>
          <w:sz w:val="32"/>
          <w:szCs w:val="32"/>
          <w:highlight w:val="none"/>
          <w:lang w:val="en-US" w:eastAsia="zh-CN" w:bidi="ar-SA"/>
          <w14:textFill>
            <w14:solidFill>
              <w14:schemeClr w14:val="tx1"/>
            </w14:solidFill>
          </w14:textFill>
        </w:rPr>
        <w:t>三、服务及硬</w:t>
      </w:r>
      <w:r>
        <w:rPr>
          <w:rFonts w:hint="eastAsia" w:ascii="黑体" w:hAnsi="黑体" w:eastAsia="黑体" w:cs="黑体"/>
          <w:color w:val="000000" w:themeColor="text1"/>
          <w:kern w:val="2"/>
          <w:sz w:val="32"/>
          <w:szCs w:val="32"/>
          <w:lang w:val="en-US" w:eastAsia="zh-CN" w:bidi="ar-SA"/>
          <w14:textFill>
            <w14:solidFill>
              <w14:schemeClr w14:val="tx1"/>
            </w14:solidFill>
          </w14:textFill>
        </w:rPr>
        <w:t>件要求</w:t>
      </w:r>
    </w:p>
    <w:p w14:paraId="688FD34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服务方聘请人员需身体健康，年龄不超过55周岁优先，工作时间中需做到服装统一，仪表整洁、端庄。服装由中标方公司自行配备，费用由中标方公司承担。</w:t>
      </w:r>
    </w:p>
    <w:p w14:paraId="610124C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2、服务方须自行配备与项目相关设施设备，包括但不限于投放点垃圾清运及上门收集垃圾车辆及作业工具，车辆及工具配置数量应满足日常工作要求，车辆停放及每日作业中产生的垃圾由服务方自行解决。</w:t>
      </w:r>
    </w:p>
    <w:p w14:paraId="30E06FC4">
      <w:pPr>
        <w:pStyle w:val="4"/>
        <w:keepNext w:val="0"/>
        <w:keepLines w:val="0"/>
        <w:pageBreakBefore w:val="0"/>
        <w:kinsoku/>
        <w:wordWrap/>
        <w:overflowPunct/>
        <w:topLinePunct w:val="0"/>
        <w:autoSpaceDE/>
        <w:autoSpaceDN/>
        <w:bidi w:val="0"/>
        <w:adjustRightInd w:val="0"/>
        <w:snapToGrid/>
        <w:spacing w:line="600" w:lineRule="exact"/>
        <w:ind w:right="0" w:firstLine="640" w:firstLineChars="200"/>
        <w:textAlignment w:val="auto"/>
        <w:rPr>
          <w:rFonts w:hint="eastAsia" w:ascii="仿宋_GB2312" w:hAnsi="仿宋_GB2312" w:eastAsia="仿宋_GB2312" w:cs="仿宋_GB2312"/>
          <w:sz w:val="32"/>
          <w:szCs w:val="32"/>
          <w:highlight w:val="none"/>
          <w:u w:val="none"/>
        </w:rPr>
      </w:pPr>
      <w:r>
        <w:rPr>
          <w:rFonts w:hint="eastAsia" w:ascii="仿宋_GB2312" w:hAnsi="仿宋_GB2312" w:eastAsia="仿宋_GB2312" w:cs="仿宋_GB2312"/>
          <w:sz w:val="32"/>
          <w:szCs w:val="32"/>
          <w:highlight w:val="none"/>
          <w:u w:val="none"/>
          <w:lang w:val="en-US" w:eastAsia="zh-CN"/>
        </w:rPr>
        <w:t>3、</w:t>
      </w:r>
      <w:r>
        <w:rPr>
          <w:rFonts w:hint="eastAsia" w:ascii="仿宋_GB2312" w:hAnsi="仿宋_GB2312" w:eastAsia="仿宋_GB2312" w:cs="仿宋_GB2312"/>
          <w:sz w:val="32"/>
          <w:szCs w:val="32"/>
          <w:highlight w:val="none"/>
          <w:u w:val="none"/>
        </w:rPr>
        <w:t>人员履历要清楚，经得起政治审查，同时保证工作人员在工作期间无任何违反国家法律法规政策的行为，</w:t>
      </w:r>
      <w:r>
        <w:rPr>
          <w:rFonts w:hint="eastAsia" w:ascii="仿宋_GB2312" w:hAnsi="仿宋_GB2312" w:eastAsia="仿宋_GB2312" w:cs="仿宋_GB2312"/>
          <w:sz w:val="32"/>
          <w:szCs w:val="32"/>
          <w:highlight w:val="none"/>
          <w:u w:val="none"/>
          <w:lang w:eastAsia="zh-CN"/>
        </w:rPr>
        <w:t>服务方</w:t>
      </w:r>
      <w:r>
        <w:rPr>
          <w:rFonts w:hint="eastAsia" w:ascii="仿宋_GB2312" w:hAnsi="仿宋_GB2312" w:eastAsia="仿宋_GB2312" w:cs="仿宋_GB2312"/>
          <w:sz w:val="32"/>
          <w:szCs w:val="32"/>
          <w:highlight w:val="none"/>
          <w:u w:val="none"/>
        </w:rPr>
        <w:t>并对其工作人员开展经常性的</w:t>
      </w:r>
      <w:r>
        <w:rPr>
          <w:rFonts w:ascii="仿宋_GB2312" w:hAnsi="仿宋_GB2312" w:eastAsia="仿宋_GB2312" w:cs="仿宋_GB2312"/>
          <w:sz w:val="32"/>
          <w:szCs w:val="32"/>
          <w:highlight w:val="none"/>
          <w:u w:val="none"/>
        </w:rPr>
        <w:t>安全法规教育</w:t>
      </w:r>
      <w:r>
        <w:rPr>
          <w:rFonts w:hint="eastAsia" w:ascii="仿宋_GB2312" w:hAnsi="仿宋_GB2312" w:eastAsia="仿宋_GB2312" w:cs="仿宋_GB2312"/>
          <w:sz w:val="32"/>
          <w:szCs w:val="32"/>
          <w:highlight w:val="none"/>
          <w:u w:val="none"/>
        </w:rPr>
        <w:t>。如发生人员违法违纪活动等造成财产损失，经当地公安机关、相关部门确认是</w:t>
      </w:r>
      <w:r>
        <w:rPr>
          <w:rFonts w:hint="eastAsia" w:ascii="仿宋_GB2312" w:hAnsi="仿宋_GB2312" w:eastAsia="仿宋_GB2312" w:cs="仿宋_GB2312"/>
          <w:sz w:val="32"/>
          <w:szCs w:val="32"/>
          <w:highlight w:val="none"/>
          <w:u w:val="none"/>
          <w:lang w:eastAsia="zh-CN"/>
        </w:rPr>
        <w:t>由</w:t>
      </w:r>
      <w:r>
        <w:rPr>
          <w:rFonts w:hint="eastAsia" w:ascii="仿宋_GB2312" w:hAnsi="仿宋_GB2312" w:eastAsia="仿宋_GB2312" w:cs="仿宋_GB2312"/>
          <w:sz w:val="32"/>
          <w:szCs w:val="32"/>
          <w:highlight w:val="none"/>
          <w:u w:val="none"/>
        </w:rPr>
        <w:t>自身行为所引起的均由</w:t>
      </w:r>
      <w:r>
        <w:rPr>
          <w:rFonts w:hint="eastAsia" w:ascii="仿宋_GB2312" w:hAnsi="仿宋_GB2312" w:eastAsia="仿宋_GB2312" w:cs="仿宋_GB2312"/>
          <w:sz w:val="32"/>
          <w:szCs w:val="32"/>
          <w:highlight w:val="none"/>
          <w:u w:val="none"/>
          <w:lang w:eastAsia="zh-CN"/>
        </w:rPr>
        <w:t>服务方</w:t>
      </w:r>
      <w:r>
        <w:rPr>
          <w:rFonts w:hint="eastAsia" w:ascii="仿宋_GB2312" w:hAnsi="仿宋_GB2312" w:eastAsia="仿宋_GB2312" w:cs="仿宋_GB2312"/>
          <w:sz w:val="32"/>
          <w:szCs w:val="32"/>
          <w:highlight w:val="none"/>
          <w:u w:val="none"/>
        </w:rPr>
        <w:t>承担相应责任。</w:t>
      </w:r>
    </w:p>
    <w:p w14:paraId="33F0E552">
      <w:pPr>
        <w:pStyle w:val="4"/>
        <w:keepNext w:val="0"/>
        <w:keepLines w:val="0"/>
        <w:pageBreakBefore w:val="0"/>
        <w:kinsoku/>
        <w:wordWrap/>
        <w:overflowPunct/>
        <w:topLinePunct w:val="0"/>
        <w:autoSpaceDE/>
        <w:autoSpaceDN/>
        <w:bidi w:val="0"/>
        <w:adjustRightInd w:val="0"/>
        <w:snapToGrid/>
        <w:spacing w:line="600" w:lineRule="exact"/>
        <w:ind w:right="0" w:firstLine="640" w:firstLineChars="200"/>
        <w:textAlignment w:val="auto"/>
        <w:rPr>
          <w:rFonts w:hint="eastAsia" w:ascii="仿宋_GB2312" w:hAnsi="仿宋_GB2312" w:eastAsia="仿宋_GB2312" w:cs="仿宋_GB2312"/>
          <w:b/>
          <w:sz w:val="32"/>
          <w:szCs w:val="32"/>
          <w:highlight w:val="none"/>
          <w:u w:val="none"/>
        </w:rPr>
      </w:pPr>
      <w:r>
        <w:rPr>
          <w:rFonts w:hint="eastAsia" w:ascii="仿宋_GB2312" w:hAnsi="仿宋_GB2312" w:eastAsia="仿宋_GB2312" w:cs="仿宋_GB2312"/>
          <w:sz w:val="32"/>
          <w:szCs w:val="32"/>
          <w:highlight w:val="none"/>
          <w:u w:val="none"/>
          <w:lang w:eastAsia="zh-CN"/>
        </w:rPr>
        <w:t>服务方</w:t>
      </w:r>
      <w:r>
        <w:rPr>
          <w:rFonts w:hint="eastAsia" w:ascii="仿宋_GB2312" w:hAnsi="仿宋_GB2312" w:eastAsia="仿宋_GB2312" w:cs="仿宋_GB2312"/>
          <w:sz w:val="32"/>
          <w:szCs w:val="32"/>
          <w:highlight w:val="none"/>
          <w:u w:val="none"/>
        </w:rPr>
        <w:t>应与其工作人员按照国家有关规定签订劳动合同，承担相应的社会保险。本街道与</w:t>
      </w:r>
      <w:r>
        <w:rPr>
          <w:rFonts w:hint="eastAsia" w:ascii="仿宋_GB2312" w:hAnsi="仿宋_GB2312" w:eastAsia="仿宋_GB2312" w:cs="仿宋_GB2312"/>
          <w:sz w:val="32"/>
          <w:szCs w:val="32"/>
          <w:highlight w:val="none"/>
          <w:u w:val="none"/>
          <w:lang w:eastAsia="zh-CN"/>
        </w:rPr>
        <w:t>服务方</w:t>
      </w:r>
      <w:r>
        <w:rPr>
          <w:rFonts w:hint="eastAsia" w:ascii="仿宋_GB2312" w:hAnsi="仿宋_GB2312" w:eastAsia="仿宋_GB2312" w:cs="仿宋_GB2312"/>
          <w:sz w:val="32"/>
          <w:szCs w:val="32"/>
          <w:highlight w:val="none"/>
          <w:u w:val="none"/>
        </w:rPr>
        <w:t>派遣的工作人员无任何劳动关系、劳务关系或授权委托关系。工作人员在</w:t>
      </w:r>
      <w:r>
        <w:rPr>
          <w:rFonts w:ascii="仿宋_GB2312" w:hAnsi="仿宋_GB2312" w:eastAsia="仿宋_GB2312" w:cs="仿宋_GB2312"/>
          <w:sz w:val="32"/>
          <w:szCs w:val="32"/>
          <w:highlight w:val="none"/>
          <w:u w:val="none"/>
        </w:rPr>
        <w:t>工作期间</w:t>
      </w:r>
      <w:r>
        <w:rPr>
          <w:rFonts w:hint="eastAsia" w:ascii="仿宋_GB2312" w:hAnsi="仿宋_GB2312" w:eastAsia="仿宋_GB2312" w:cs="仿宋_GB2312"/>
          <w:sz w:val="32"/>
          <w:szCs w:val="32"/>
          <w:highlight w:val="none"/>
          <w:u w:val="none"/>
        </w:rPr>
        <w:t>发生的</w:t>
      </w:r>
      <w:r>
        <w:rPr>
          <w:rFonts w:ascii="仿宋_GB2312" w:hAnsi="仿宋_GB2312" w:eastAsia="仿宋_GB2312" w:cs="仿宋_GB2312"/>
          <w:sz w:val="32"/>
          <w:szCs w:val="32"/>
          <w:highlight w:val="none"/>
          <w:u w:val="none"/>
        </w:rPr>
        <w:t>一切问题和纠纷</w:t>
      </w:r>
      <w:r>
        <w:rPr>
          <w:rFonts w:hint="eastAsia" w:ascii="仿宋_GB2312" w:hAnsi="仿宋_GB2312" w:eastAsia="仿宋_GB2312" w:cs="仿宋_GB2312"/>
          <w:sz w:val="32"/>
          <w:szCs w:val="32"/>
          <w:highlight w:val="none"/>
          <w:u w:val="none"/>
        </w:rPr>
        <w:t>，均由</w:t>
      </w:r>
      <w:r>
        <w:rPr>
          <w:rFonts w:hint="eastAsia" w:ascii="仿宋_GB2312" w:hAnsi="仿宋_GB2312" w:eastAsia="仿宋_GB2312" w:cs="仿宋_GB2312"/>
          <w:sz w:val="32"/>
          <w:szCs w:val="32"/>
          <w:highlight w:val="none"/>
          <w:u w:val="none"/>
          <w:lang w:eastAsia="zh-CN"/>
        </w:rPr>
        <w:t>服务方</w:t>
      </w:r>
      <w:r>
        <w:rPr>
          <w:rFonts w:hint="eastAsia" w:ascii="仿宋_GB2312" w:hAnsi="仿宋_GB2312" w:eastAsia="仿宋_GB2312" w:cs="仿宋_GB2312"/>
          <w:sz w:val="32"/>
          <w:szCs w:val="32"/>
          <w:highlight w:val="none"/>
          <w:u w:val="none"/>
        </w:rPr>
        <w:t>承担所有的责任并派员解决。</w:t>
      </w:r>
    </w:p>
    <w:p w14:paraId="1ABE6CA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sz w:val="32"/>
          <w:szCs w:val="32"/>
          <w:highlight w:val="none"/>
          <w:u w:val="none"/>
          <w:lang w:val="en-US" w:eastAsia="zh-CN"/>
        </w:rPr>
        <w:t>4、服务方</w:t>
      </w:r>
      <w:r>
        <w:rPr>
          <w:rFonts w:hint="eastAsia" w:ascii="仿宋_GB2312" w:hAnsi="仿宋_GB2312" w:eastAsia="仿宋_GB2312" w:cs="仿宋_GB2312"/>
          <w:color w:val="auto"/>
          <w:sz w:val="32"/>
          <w:szCs w:val="32"/>
          <w:highlight w:val="none"/>
          <w:lang w:val="en-US" w:eastAsia="zh-CN"/>
        </w:rPr>
        <w:t>设立规范的工作制度，包括但不限于：岗前培训机制、激励机制、监督机制、自我约束机制、信息反馈渠道、处理机制等。服从街道的统一调度指挥，维护形象，有问题及时汇报。</w:t>
      </w:r>
    </w:p>
    <w:p w14:paraId="3644FE3A">
      <w:pPr>
        <w:pStyle w:val="4"/>
        <w:keepNext w:val="0"/>
        <w:keepLines w:val="0"/>
        <w:pageBreakBefore w:val="0"/>
        <w:kinsoku/>
        <w:wordWrap/>
        <w:overflowPunct/>
        <w:topLinePunct w:val="0"/>
        <w:autoSpaceDE/>
        <w:autoSpaceDN/>
        <w:bidi w:val="0"/>
        <w:adjustRightInd w:val="0"/>
        <w:snapToGrid/>
        <w:spacing w:line="600" w:lineRule="exact"/>
        <w:ind w:right="0" w:firstLine="640" w:firstLineChars="200"/>
        <w:textAlignment w:val="auto"/>
        <w:rPr>
          <w:rFonts w:hint="eastAsia" w:ascii="仿宋_GB2312" w:hAnsi="仿宋_GB2312" w:eastAsia="仿宋_GB2312" w:cs="仿宋_GB2312"/>
          <w:sz w:val="32"/>
          <w:szCs w:val="32"/>
          <w:highlight w:val="none"/>
          <w:u w:val="none"/>
          <w:lang w:eastAsia="zh-CN"/>
        </w:rPr>
      </w:pPr>
      <w:r>
        <w:rPr>
          <w:rFonts w:hint="eastAsia" w:ascii="仿宋_GB2312" w:hAnsi="仿宋_GB2312" w:eastAsia="仿宋_GB2312" w:cs="仿宋_GB2312"/>
          <w:sz w:val="32"/>
          <w:szCs w:val="32"/>
          <w:highlight w:val="none"/>
          <w:u w:val="none"/>
          <w:lang w:val="en-US" w:eastAsia="zh-CN"/>
        </w:rPr>
        <w:t>5、服务方应</w:t>
      </w:r>
      <w:r>
        <w:rPr>
          <w:rFonts w:hint="eastAsia" w:ascii="仿宋_GB2312" w:hAnsi="仿宋_GB2312" w:eastAsia="仿宋_GB2312" w:cs="仿宋_GB2312"/>
          <w:sz w:val="32"/>
          <w:szCs w:val="32"/>
          <w:highlight w:val="none"/>
          <w:u w:val="none"/>
          <w:lang w:eastAsia="zh-CN"/>
        </w:rPr>
        <w:t>定期对员工进行培训，使工作人员了解服务内容及工作方法、程序及要求，对日常管理用语应进行统一规范，确保工作中不激发矛盾、不产生负面影响，若激发矛盾，产生负面影响，服务方需承担相应责任。</w:t>
      </w:r>
    </w:p>
    <w:p w14:paraId="22EEA6BD">
      <w:pPr>
        <w:pStyle w:val="4"/>
        <w:keepNext w:val="0"/>
        <w:keepLines w:val="0"/>
        <w:pageBreakBefore w:val="0"/>
        <w:kinsoku/>
        <w:wordWrap/>
        <w:overflowPunct/>
        <w:topLinePunct w:val="0"/>
        <w:autoSpaceDE/>
        <w:autoSpaceDN/>
        <w:bidi w:val="0"/>
        <w:adjustRightInd w:val="0"/>
        <w:snapToGrid/>
        <w:spacing w:line="600" w:lineRule="exact"/>
        <w:ind w:right="0" w:firstLine="640" w:firstLineChars="200"/>
        <w:textAlignment w:val="auto"/>
        <w:rPr>
          <w:rFonts w:hint="eastAsia" w:ascii="仿宋_GB2312" w:hAnsi="仿宋_GB2312" w:eastAsia="仿宋_GB2312" w:cs="仿宋_GB2312"/>
          <w:sz w:val="32"/>
          <w:szCs w:val="32"/>
          <w:highlight w:val="none"/>
          <w:u w:val="none"/>
          <w:lang w:val="en-US" w:eastAsia="zh-CN"/>
        </w:rPr>
      </w:pPr>
      <w:r>
        <w:rPr>
          <w:rFonts w:hint="eastAsia" w:ascii="仿宋_GB2312" w:hAnsi="仿宋_GB2312" w:eastAsia="仿宋_GB2312" w:cs="仿宋_GB2312"/>
          <w:b w:val="0"/>
          <w:bCs w:val="0"/>
          <w:sz w:val="32"/>
          <w:szCs w:val="32"/>
          <w:highlight w:val="none"/>
          <w:u w:val="none"/>
          <w:lang w:val="en-US" w:eastAsia="zh-CN"/>
        </w:rPr>
        <w:t>6、</w:t>
      </w:r>
      <w:r>
        <w:rPr>
          <w:rFonts w:hint="eastAsia" w:ascii="仿宋_GB2312" w:hAnsi="仿宋_GB2312" w:eastAsia="仿宋_GB2312" w:cs="仿宋_GB2312"/>
          <w:b w:val="0"/>
          <w:bCs w:val="0"/>
          <w:sz w:val="32"/>
          <w:szCs w:val="32"/>
          <w:highlight w:val="none"/>
          <w:u w:val="none"/>
        </w:rPr>
        <w:t>管理台账与档案管理</w:t>
      </w:r>
      <w:r>
        <w:rPr>
          <w:rFonts w:hint="eastAsia" w:ascii="仿宋_GB2312" w:hAnsi="仿宋_GB2312" w:eastAsia="仿宋_GB2312" w:cs="仿宋_GB2312"/>
          <w:b w:val="0"/>
          <w:bCs w:val="0"/>
          <w:sz w:val="32"/>
          <w:szCs w:val="32"/>
          <w:highlight w:val="none"/>
          <w:u w:val="none"/>
          <w:lang w:eastAsia="zh-CN"/>
        </w:rPr>
        <w:t>。</w:t>
      </w:r>
      <w:r>
        <w:rPr>
          <w:rFonts w:hint="eastAsia" w:ascii="仿宋_GB2312" w:hAnsi="仿宋_GB2312" w:eastAsia="仿宋_GB2312" w:cs="仿宋_GB2312"/>
          <w:sz w:val="32"/>
          <w:szCs w:val="32"/>
          <w:highlight w:val="none"/>
          <w:u w:val="none"/>
          <w:lang w:eastAsia="zh-CN"/>
        </w:rPr>
        <w:t>服务方应根据每日工作情况做好相应记录，有条件的可以</w:t>
      </w:r>
      <w:r>
        <w:rPr>
          <w:rFonts w:hint="eastAsia" w:ascii="仿宋_GB2312" w:hAnsi="仿宋_GB2312" w:eastAsia="仿宋_GB2312" w:cs="仿宋_GB2312"/>
          <w:sz w:val="32"/>
          <w:szCs w:val="32"/>
          <w:highlight w:val="none"/>
          <w:u w:val="none"/>
        </w:rPr>
        <w:t>建立电子化档案管理系统，确保数据可追溯、可分析，并定期向</w:t>
      </w:r>
      <w:r>
        <w:rPr>
          <w:rFonts w:hint="eastAsia" w:ascii="仿宋_GB2312" w:hAnsi="仿宋_GB2312" w:eastAsia="仿宋_GB2312" w:cs="仿宋_GB2312"/>
          <w:sz w:val="32"/>
          <w:szCs w:val="32"/>
          <w:highlight w:val="none"/>
          <w:u w:val="none"/>
          <w:lang w:eastAsia="zh-CN"/>
        </w:rPr>
        <w:t>街道</w:t>
      </w:r>
      <w:r>
        <w:rPr>
          <w:rFonts w:hint="eastAsia" w:ascii="仿宋_GB2312" w:hAnsi="仿宋_GB2312" w:eastAsia="仿宋_GB2312" w:cs="仿宋_GB2312"/>
          <w:sz w:val="32"/>
          <w:szCs w:val="32"/>
          <w:highlight w:val="none"/>
          <w:u w:val="none"/>
        </w:rPr>
        <w:t>提交</w:t>
      </w:r>
      <w:r>
        <w:rPr>
          <w:rFonts w:hint="eastAsia" w:ascii="仿宋_GB2312" w:hAnsi="仿宋_GB2312" w:eastAsia="仿宋_GB2312" w:cs="仿宋_GB2312"/>
          <w:sz w:val="32"/>
          <w:szCs w:val="32"/>
          <w:highlight w:val="none"/>
          <w:u w:val="none"/>
          <w:lang w:eastAsia="zh-CN"/>
        </w:rPr>
        <w:t>档案供核对检查</w:t>
      </w:r>
      <w:r>
        <w:rPr>
          <w:rFonts w:hint="eastAsia" w:ascii="仿宋_GB2312" w:hAnsi="仿宋_GB2312" w:eastAsia="仿宋_GB2312" w:cs="仿宋_GB2312"/>
          <w:sz w:val="32"/>
          <w:szCs w:val="32"/>
          <w:highlight w:val="none"/>
          <w:u w:val="none"/>
        </w:rPr>
        <w:t>。</w:t>
      </w:r>
    </w:p>
    <w:p w14:paraId="6041585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华文仿宋" w:hAnsi="华文仿宋" w:eastAsia="华文仿宋" w:cs="宋体"/>
          <w:sz w:val="32"/>
          <w:szCs w:val="32"/>
        </w:rPr>
      </w:pPr>
      <w:r>
        <w:rPr>
          <w:rFonts w:hint="eastAsia" w:ascii="华文仿宋" w:hAnsi="华文仿宋" w:eastAsia="华文仿宋" w:cs="宋体"/>
          <w:sz w:val="32"/>
          <w:szCs w:val="32"/>
          <w:lang w:val="en-US" w:eastAsia="zh-CN"/>
        </w:rPr>
        <w:t>7、</w:t>
      </w:r>
      <w:r>
        <w:rPr>
          <w:rFonts w:hint="eastAsia" w:ascii="华文仿宋" w:hAnsi="华文仿宋" w:eastAsia="华文仿宋" w:cs="宋体"/>
          <w:sz w:val="32"/>
          <w:szCs w:val="32"/>
        </w:rPr>
        <w:t>岗位配置要求：</w:t>
      </w:r>
    </w:p>
    <w:tbl>
      <w:tblPr>
        <w:tblStyle w:val="2"/>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
        <w:gridCol w:w="2024"/>
        <w:gridCol w:w="1083"/>
        <w:gridCol w:w="1630"/>
        <w:gridCol w:w="3870"/>
      </w:tblGrid>
      <w:tr w14:paraId="63C4C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trPr>
        <w:tc>
          <w:tcPr>
            <w:tcW w:w="432" w:type="dxa"/>
            <w:shd w:val="clear" w:color="auto" w:fill="auto"/>
            <w:noWrap/>
            <w:vAlign w:val="center"/>
          </w:tcPr>
          <w:p w14:paraId="701321AF">
            <w:pPr>
              <w:spacing w:line="280" w:lineRule="exact"/>
              <w:jc w:val="center"/>
              <w:rPr>
                <w:rFonts w:eastAsia="华文仿宋"/>
                <w:sz w:val="28"/>
                <w:szCs w:val="28"/>
              </w:rPr>
            </w:pPr>
            <w:r>
              <w:rPr>
                <w:rFonts w:eastAsia="华文仿宋"/>
                <w:b/>
                <w:bCs/>
                <w:sz w:val="28"/>
                <w:szCs w:val="28"/>
              </w:rPr>
              <w:t>序号</w:t>
            </w:r>
          </w:p>
        </w:tc>
        <w:tc>
          <w:tcPr>
            <w:tcW w:w="2024" w:type="dxa"/>
            <w:shd w:val="clear" w:color="auto" w:fill="auto"/>
            <w:noWrap/>
            <w:vAlign w:val="center"/>
          </w:tcPr>
          <w:p w14:paraId="636842BF">
            <w:pPr>
              <w:spacing w:line="280" w:lineRule="exact"/>
              <w:jc w:val="center"/>
              <w:rPr>
                <w:rFonts w:eastAsia="华文仿宋"/>
                <w:sz w:val="28"/>
                <w:szCs w:val="28"/>
              </w:rPr>
            </w:pPr>
            <w:r>
              <w:rPr>
                <w:rFonts w:eastAsia="华文仿宋"/>
                <w:b/>
                <w:bCs/>
                <w:sz w:val="28"/>
                <w:szCs w:val="28"/>
              </w:rPr>
              <w:t>岗位</w:t>
            </w:r>
          </w:p>
        </w:tc>
        <w:tc>
          <w:tcPr>
            <w:tcW w:w="1083" w:type="dxa"/>
            <w:shd w:val="clear" w:color="auto" w:fill="auto"/>
            <w:noWrap/>
            <w:vAlign w:val="center"/>
          </w:tcPr>
          <w:p w14:paraId="4E992C47">
            <w:pPr>
              <w:spacing w:line="280" w:lineRule="exact"/>
              <w:jc w:val="center"/>
              <w:rPr>
                <w:rFonts w:eastAsia="华文仿宋"/>
                <w:sz w:val="28"/>
                <w:szCs w:val="28"/>
              </w:rPr>
            </w:pPr>
            <w:r>
              <w:rPr>
                <w:rFonts w:eastAsia="华文仿宋"/>
                <w:b/>
                <w:bCs/>
                <w:sz w:val="28"/>
                <w:szCs w:val="28"/>
              </w:rPr>
              <w:t>岗位数</w:t>
            </w:r>
          </w:p>
        </w:tc>
        <w:tc>
          <w:tcPr>
            <w:tcW w:w="1630" w:type="dxa"/>
            <w:vAlign w:val="center"/>
          </w:tcPr>
          <w:p w14:paraId="084B1084">
            <w:pPr>
              <w:spacing w:line="280" w:lineRule="exact"/>
              <w:jc w:val="center"/>
              <w:rPr>
                <w:rFonts w:eastAsia="华文仿宋"/>
                <w:sz w:val="28"/>
                <w:szCs w:val="28"/>
              </w:rPr>
            </w:pPr>
            <w:r>
              <w:rPr>
                <w:rFonts w:eastAsia="华文仿宋"/>
                <w:b/>
                <w:bCs/>
                <w:sz w:val="28"/>
                <w:szCs w:val="28"/>
              </w:rPr>
              <w:t>工作时间</w:t>
            </w:r>
          </w:p>
        </w:tc>
        <w:tc>
          <w:tcPr>
            <w:tcW w:w="3870" w:type="dxa"/>
            <w:shd w:val="clear" w:color="auto" w:fill="auto"/>
            <w:vAlign w:val="center"/>
          </w:tcPr>
          <w:p w14:paraId="2FE57F4B">
            <w:pPr>
              <w:spacing w:line="280" w:lineRule="exact"/>
              <w:jc w:val="center"/>
              <w:rPr>
                <w:rFonts w:eastAsia="华文仿宋"/>
                <w:b/>
                <w:sz w:val="28"/>
                <w:szCs w:val="28"/>
              </w:rPr>
            </w:pPr>
            <w:r>
              <w:rPr>
                <w:rFonts w:hint="eastAsia" w:eastAsia="华文仿宋"/>
                <w:b/>
                <w:bCs/>
                <w:sz w:val="28"/>
                <w:szCs w:val="28"/>
              </w:rPr>
              <w:t>要求</w:t>
            </w:r>
          </w:p>
        </w:tc>
      </w:tr>
      <w:tr w14:paraId="19C58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trPr>
        <w:tc>
          <w:tcPr>
            <w:tcW w:w="432" w:type="dxa"/>
            <w:shd w:val="clear" w:color="auto" w:fill="auto"/>
            <w:noWrap/>
            <w:vAlign w:val="center"/>
          </w:tcPr>
          <w:p w14:paraId="76E3A91F">
            <w:pPr>
              <w:spacing w:line="280" w:lineRule="exact"/>
              <w:jc w:val="center"/>
              <w:rPr>
                <w:rFonts w:eastAsia="华文仿宋"/>
                <w:sz w:val="28"/>
                <w:szCs w:val="28"/>
              </w:rPr>
            </w:pPr>
          </w:p>
        </w:tc>
        <w:tc>
          <w:tcPr>
            <w:tcW w:w="2024" w:type="dxa"/>
            <w:shd w:val="clear" w:color="auto" w:fill="auto"/>
            <w:noWrap/>
            <w:vAlign w:val="center"/>
          </w:tcPr>
          <w:p w14:paraId="56989276">
            <w:pPr>
              <w:spacing w:line="280" w:lineRule="exact"/>
              <w:jc w:val="center"/>
              <w:rPr>
                <w:rFonts w:eastAsia="华文仿宋"/>
                <w:sz w:val="28"/>
                <w:szCs w:val="28"/>
              </w:rPr>
            </w:pPr>
            <w:r>
              <w:rPr>
                <w:rFonts w:hint="eastAsia" w:eastAsia="华文仿宋"/>
                <w:sz w:val="28"/>
                <w:szCs w:val="28"/>
              </w:rPr>
              <w:t>项目经理</w:t>
            </w:r>
          </w:p>
        </w:tc>
        <w:tc>
          <w:tcPr>
            <w:tcW w:w="1083" w:type="dxa"/>
            <w:shd w:val="clear" w:color="auto" w:fill="auto"/>
            <w:noWrap/>
            <w:vAlign w:val="center"/>
          </w:tcPr>
          <w:p w14:paraId="7DBC7097">
            <w:pPr>
              <w:spacing w:line="280" w:lineRule="exact"/>
              <w:jc w:val="center"/>
              <w:rPr>
                <w:rFonts w:eastAsia="华文仿宋"/>
                <w:sz w:val="28"/>
                <w:szCs w:val="28"/>
              </w:rPr>
            </w:pPr>
            <w:r>
              <w:rPr>
                <w:rFonts w:eastAsia="华文仿宋"/>
                <w:sz w:val="28"/>
                <w:szCs w:val="28"/>
              </w:rPr>
              <w:t>1</w:t>
            </w:r>
          </w:p>
        </w:tc>
        <w:tc>
          <w:tcPr>
            <w:tcW w:w="1630" w:type="dxa"/>
            <w:vAlign w:val="center"/>
          </w:tcPr>
          <w:p w14:paraId="15AFEF14">
            <w:pPr>
              <w:spacing w:line="280" w:lineRule="exact"/>
              <w:jc w:val="center"/>
              <w:rPr>
                <w:rFonts w:hint="eastAsia" w:eastAsia="华文仿宋"/>
                <w:sz w:val="28"/>
                <w:szCs w:val="28"/>
                <w:lang w:eastAsia="zh-CN"/>
              </w:rPr>
            </w:pPr>
            <w:r>
              <w:rPr>
                <w:rFonts w:eastAsia="华文仿宋"/>
                <w:sz w:val="28"/>
                <w:szCs w:val="28"/>
              </w:rPr>
              <w:t>周一到周</w:t>
            </w:r>
            <w:r>
              <w:rPr>
                <w:rFonts w:hint="eastAsia" w:eastAsia="华文仿宋"/>
                <w:sz w:val="28"/>
                <w:szCs w:val="28"/>
                <w:lang w:eastAsia="zh-CN"/>
              </w:rPr>
              <w:t>五</w:t>
            </w:r>
          </w:p>
          <w:p w14:paraId="3410C7EE">
            <w:pPr>
              <w:spacing w:line="280" w:lineRule="exact"/>
              <w:jc w:val="center"/>
              <w:rPr>
                <w:rFonts w:eastAsia="华文仿宋"/>
                <w:sz w:val="28"/>
                <w:szCs w:val="28"/>
              </w:rPr>
            </w:pPr>
            <w:r>
              <w:rPr>
                <w:rFonts w:eastAsia="华文仿宋"/>
                <w:sz w:val="28"/>
                <w:szCs w:val="28"/>
              </w:rPr>
              <w:t>8</w:t>
            </w:r>
            <w:r>
              <w:rPr>
                <w:rFonts w:hint="eastAsia" w:eastAsia="华文仿宋"/>
                <w:sz w:val="28"/>
                <w:szCs w:val="28"/>
                <w:lang w:val="en-US" w:eastAsia="zh-CN"/>
              </w:rPr>
              <w:t>:</w:t>
            </w:r>
            <w:r>
              <w:rPr>
                <w:rFonts w:eastAsia="华文仿宋"/>
                <w:sz w:val="28"/>
                <w:szCs w:val="28"/>
              </w:rPr>
              <w:t>30-</w:t>
            </w:r>
            <w:r>
              <w:rPr>
                <w:rFonts w:hint="eastAsia" w:eastAsia="华文仿宋"/>
                <w:sz w:val="28"/>
                <w:szCs w:val="28"/>
                <w:lang w:val="en-US" w:eastAsia="zh-CN"/>
              </w:rPr>
              <w:t>20:</w:t>
            </w:r>
            <w:r>
              <w:rPr>
                <w:rFonts w:eastAsia="华文仿宋"/>
                <w:sz w:val="28"/>
                <w:szCs w:val="28"/>
              </w:rPr>
              <w:t>30</w:t>
            </w:r>
          </w:p>
          <w:p w14:paraId="1D0B9933">
            <w:pPr>
              <w:spacing w:line="280" w:lineRule="exact"/>
              <w:jc w:val="center"/>
              <w:rPr>
                <w:rFonts w:eastAsia="华文仿宋"/>
                <w:sz w:val="28"/>
                <w:szCs w:val="28"/>
              </w:rPr>
            </w:pPr>
          </w:p>
        </w:tc>
        <w:tc>
          <w:tcPr>
            <w:tcW w:w="3870" w:type="dxa"/>
            <w:shd w:val="clear" w:color="auto" w:fill="auto"/>
            <w:vAlign w:val="center"/>
          </w:tcPr>
          <w:p w14:paraId="01BCD9F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（1）五官端正、身体健康、</w:t>
            </w:r>
            <w:r>
              <w:rPr>
                <w:rFonts w:hint="eastAsia" w:ascii="仿宋_GB2312" w:hAnsi="仿宋_GB2312" w:eastAsia="仿宋_GB2312" w:cs="仿宋_GB2312"/>
                <w:sz w:val="28"/>
                <w:szCs w:val="28"/>
                <w:lang w:eastAsia="zh-CN"/>
              </w:rPr>
              <w:t>年龄不超过</w:t>
            </w:r>
            <w:r>
              <w:rPr>
                <w:rFonts w:hint="eastAsia" w:ascii="仿宋_GB2312" w:hAnsi="仿宋_GB2312" w:eastAsia="仿宋_GB2312" w:cs="仿宋_GB2312"/>
                <w:sz w:val="28"/>
                <w:szCs w:val="28"/>
                <w:lang w:val="en-US" w:eastAsia="zh-CN"/>
              </w:rPr>
              <w:t>55周岁优先</w:t>
            </w:r>
            <w:r>
              <w:rPr>
                <w:rFonts w:hint="eastAsia" w:ascii="仿宋_GB2312" w:hAnsi="仿宋_GB2312" w:eastAsia="仿宋_GB2312" w:cs="仿宋_GB2312"/>
                <w:sz w:val="28"/>
                <w:szCs w:val="28"/>
                <w:lang w:eastAsia="zh-CN"/>
              </w:rPr>
              <w:t>。</w:t>
            </w:r>
          </w:p>
          <w:p w14:paraId="486AE3BE">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仿宋_GB2312" w:hAnsi="仿宋_GB2312" w:eastAsia="仿宋_GB2312" w:cs="仿宋_GB2312"/>
                <w:sz w:val="28"/>
                <w:szCs w:val="28"/>
                <w:lang w:val="en-US"/>
              </w:rPr>
            </w:pPr>
            <w:r>
              <w:rPr>
                <w:rFonts w:hint="eastAsia" w:ascii="仿宋_GB2312" w:hAnsi="仿宋_GB2312" w:eastAsia="仿宋_GB2312" w:cs="仿宋_GB2312"/>
                <w:sz w:val="28"/>
                <w:szCs w:val="28"/>
              </w:rPr>
              <w:t>（2）具有</w:t>
            </w:r>
            <w:r>
              <w:rPr>
                <w:rFonts w:hint="eastAsia" w:ascii="仿宋_GB2312" w:hAnsi="仿宋_GB2312" w:eastAsia="仿宋_GB2312" w:cs="仿宋_GB2312"/>
                <w:sz w:val="28"/>
                <w:szCs w:val="28"/>
                <w:lang w:eastAsia="zh-CN"/>
              </w:rPr>
              <w:t>大专</w:t>
            </w:r>
            <w:r>
              <w:rPr>
                <w:rFonts w:hint="eastAsia" w:ascii="仿宋_GB2312" w:hAnsi="仿宋_GB2312" w:eastAsia="仿宋_GB2312" w:cs="仿宋_GB2312"/>
                <w:sz w:val="28"/>
                <w:szCs w:val="28"/>
              </w:rPr>
              <w:t>及以上学历</w:t>
            </w:r>
            <w:r>
              <w:rPr>
                <w:rFonts w:hint="eastAsia" w:ascii="仿宋_GB2312" w:hAnsi="仿宋_GB2312" w:eastAsia="仿宋_GB2312" w:cs="仿宋_GB2312"/>
                <w:sz w:val="28"/>
                <w:szCs w:val="28"/>
                <w:highlight w:val="none"/>
                <w:lang w:val="en-US" w:eastAsia="zh-CN"/>
              </w:rPr>
              <w:t>有较高的政治思想素质和组织管理能力,负责对管理区域的工作人员进行业务指导、管理与监督，确保工作人员按工作要求开展工作，无违规、违纪事件发生。</w:t>
            </w:r>
          </w:p>
          <w:p w14:paraId="004698FF">
            <w:pPr>
              <w:keepNext w:val="0"/>
              <w:keepLines w:val="0"/>
              <w:pageBreakBefore w:val="0"/>
              <w:widowControl w:val="0"/>
              <w:kinsoku/>
              <w:wordWrap/>
              <w:overflowPunct/>
              <w:topLinePunct w:val="0"/>
              <w:autoSpaceDE/>
              <w:autoSpaceDN/>
              <w:bidi w:val="0"/>
              <w:adjustRightInd/>
              <w:snapToGrid/>
              <w:spacing w:line="400" w:lineRule="exact"/>
              <w:textAlignment w:val="auto"/>
              <w:rPr>
                <w:rFonts w:eastAsia="华文仿宋"/>
                <w:sz w:val="28"/>
                <w:szCs w:val="28"/>
              </w:rPr>
            </w:pP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highlight w:val="none"/>
                <w:lang w:val="en-US" w:eastAsia="zh-CN"/>
              </w:rPr>
              <w:t>具备三年及以上的类似工作服务经验</w:t>
            </w:r>
            <w:r>
              <w:rPr>
                <w:rFonts w:hint="eastAsia" w:ascii="仿宋_GB2312" w:hAnsi="仿宋_GB2312" w:eastAsia="仿宋_GB2312" w:cs="仿宋_GB2312"/>
                <w:sz w:val="28"/>
                <w:szCs w:val="28"/>
              </w:rPr>
              <w:t>。</w:t>
            </w:r>
          </w:p>
        </w:tc>
      </w:tr>
      <w:tr w14:paraId="0A543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432" w:type="dxa"/>
            <w:shd w:val="clear" w:color="auto" w:fill="auto"/>
            <w:noWrap/>
            <w:vAlign w:val="center"/>
          </w:tcPr>
          <w:p w14:paraId="1D1308C2">
            <w:pPr>
              <w:spacing w:line="280" w:lineRule="exact"/>
              <w:jc w:val="center"/>
              <w:rPr>
                <w:rFonts w:eastAsia="华文仿宋"/>
                <w:sz w:val="28"/>
                <w:szCs w:val="28"/>
              </w:rPr>
            </w:pPr>
            <w:r>
              <w:rPr>
                <w:rFonts w:hint="eastAsia" w:eastAsia="华文仿宋"/>
                <w:sz w:val="28"/>
                <w:szCs w:val="28"/>
              </w:rPr>
              <w:t>2</w:t>
            </w:r>
          </w:p>
        </w:tc>
        <w:tc>
          <w:tcPr>
            <w:tcW w:w="2024" w:type="dxa"/>
            <w:shd w:val="clear" w:color="auto" w:fill="auto"/>
            <w:noWrap/>
            <w:vAlign w:val="center"/>
          </w:tcPr>
          <w:p w14:paraId="09CCC135">
            <w:pPr>
              <w:spacing w:line="280" w:lineRule="exact"/>
              <w:jc w:val="center"/>
              <w:rPr>
                <w:rFonts w:hint="eastAsia" w:eastAsia="华文仿宋"/>
                <w:sz w:val="28"/>
                <w:szCs w:val="28"/>
                <w:lang w:val="en-US" w:eastAsia="zh-CN"/>
              </w:rPr>
            </w:pPr>
            <w:r>
              <w:rPr>
                <w:rFonts w:hint="eastAsia" w:eastAsia="华文仿宋"/>
                <w:sz w:val="28"/>
                <w:szCs w:val="28"/>
                <w:lang w:val="en-US" w:eastAsia="zh-CN"/>
              </w:rPr>
              <w:t>点位管理</w:t>
            </w:r>
          </w:p>
        </w:tc>
        <w:tc>
          <w:tcPr>
            <w:tcW w:w="1083" w:type="dxa"/>
            <w:shd w:val="clear" w:color="auto" w:fill="auto"/>
            <w:noWrap/>
            <w:vAlign w:val="center"/>
          </w:tcPr>
          <w:p w14:paraId="020FFE7D">
            <w:pPr>
              <w:spacing w:line="280" w:lineRule="exact"/>
              <w:jc w:val="center"/>
              <w:rPr>
                <w:rFonts w:hint="default" w:eastAsia="华文仿宋"/>
                <w:sz w:val="28"/>
                <w:szCs w:val="28"/>
                <w:lang w:val="en-US" w:eastAsia="zh-CN"/>
              </w:rPr>
            </w:pPr>
            <w:r>
              <w:rPr>
                <w:rFonts w:hint="eastAsia" w:eastAsia="华文仿宋"/>
                <w:sz w:val="28"/>
                <w:szCs w:val="28"/>
                <w:lang w:val="en-US" w:eastAsia="zh-CN"/>
              </w:rPr>
              <w:t>14</w:t>
            </w:r>
          </w:p>
        </w:tc>
        <w:tc>
          <w:tcPr>
            <w:tcW w:w="1630" w:type="dxa"/>
            <w:shd w:val="clear" w:color="auto" w:fill="auto"/>
            <w:vAlign w:val="center"/>
          </w:tcPr>
          <w:p w14:paraId="01B1DE82">
            <w:pPr>
              <w:spacing w:line="280" w:lineRule="exact"/>
              <w:jc w:val="center"/>
              <w:rPr>
                <w:rFonts w:hint="default" w:eastAsia="华文仿宋"/>
                <w:sz w:val="28"/>
                <w:szCs w:val="28"/>
                <w:lang w:val="en-US" w:eastAsia="zh-CN"/>
              </w:rPr>
            </w:pPr>
            <w:r>
              <w:rPr>
                <w:rFonts w:hint="eastAsia" w:eastAsia="华文仿宋"/>
                <w:sz w:val="28"/>
                <w:szCs w:val="28"/>
                <w:lang w:eastAsia="zh-CN"/>
              </w:rPr>
              <w:t>每日</w:t>
            </w:r>
            <w:r>
              <w:rPr>
                <w:rFonts w:hint="eastAsia" w:eastAsia="华文仿宋"/>
                <w:sz w:val="28"/>
                <w:szCs w:val="28"/>
                <w:lang w:val="en-US" w:eastAsia="zh-CN"/>
              </w:rPr>
              <w:t>6:00-22:00</w:t>
            </w:r>
          </w:p>
        </w:tc>
        <w:tc>
          <w:tcPr>
            <w:tcW w:w="3870" w:type="dxa"/>
            <w:shd w:val="clear" w:color="auto" w:fill="auto"/>
            <w:vAlign w:val="center"/>
          </w:tcPr>
          <w:p w14:paraId="6617A211">
            <w:pPr>
              <w:keepNext w:val="0"/>
              <w:keepLines w:val="0"/>
              <w:pageBreakBefore w:val="0"/>
              <w:widowControl w:val="0"/>
              <w:numPr>
                <w:ilvl w:val="0"/>
                <w:numId w:val="3"/>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身体健康，年龄不超过</w:t>
            </w:r>
            <w:r>
              <w:rPr>
                <w:rFonts w:hint="eastAsia" w:ascii="仿宋_GB2312" w:hAnsi="仿宋_GB2312" w:eastAsia="仿宋_GB2312" w:cs="仿宋_GB2312"/>
                <w:sz w:val="28"/>
                <w:szCs w:val="28"/>
                <w:lang w:val="en-US" w:eastAsia="zh-CN"/>
              </w:rPr>
              <w:t>55周岁优先。</w:t>
            </w:r>
          </w:p>
          <w:p w14:paraId="785D0390">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highlight w:val="none"/>
                <w:lang w:val="en-US" w:eastAsia="zh-CN"/>
              </w:rPr>
              <w:t>具备两年及以上的类似工作服务经验</w:t>
            </w:r>
            <w:r>
              <w:rPr>
                <w:rFonts w:hint="eastAsia" w:ascii="仿宋_GB2312" w:hAnsi="仿宋_GB2312" w:eastAsia="仿宋_GB2312" w:cs="仿宋_GB2312"/>
                <w:sz w:val="28"/>
                <w:szCs w:val="28"/>
              </w:rPr>
              <w:t>。</w:t>
            </w:r>
          </w:p>
        </w:tc>
      </w:tr>
      <w:tr w14:paraId="2AA6D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432" w:type="dxa"/>
            <w:shd w:val="clear" w:color="auto" w:fill="auto"/>
            <w:noWrap/>
            <w:vAlign w:val="center"/>
          </w:tcPr>
          <w:p w14:paraId="12597AA9">
            <w:pPr>
              <w:spacing w:line="280" w:lineRule="exact"/>
              <w:jc w:val="center"/>
              <w:rPr>
                <w:rFonts w:eastAsia="华文仿宋"/>
                <w:bCs/>
                <w:sz w:val="28"/>
                <w:szCs w:val="28"/>
              </w:rPr>
            </w:pPr>
            <w:r>
              <w:rPr>
                <w:rFonts w:hint="eastAsia" w:eastAsia="华文仿宋"/>
                <w:bCs/>
                <w:sz w:val="28"/>
                <w:szCs w:val="28"/>
              </w:rPr>
              <w:t>3</w:t>
            </w:r>
          </w:p>
        </w:tc>
        <w:tc>
          <w:tcPr>
            <w:tcW w:w="2024" w:type="dxa"/>
            <w:shd w:val="clear" w:color="auto" w:fill="auto"/>
            <w:noWrap/>
            <w:vAlign w:val="center"/>
          </w:tcPr>
          <w:p w14:paraId="08CD2DCC">
            <w:pPr>
              <w:spacing w:line="280" w:lineRule="exact"/>
              <w:jc w:val="center"/>
              <w:rPr>
                <w:rFonts w:hint="eastAsia" w:eastAsia="华文仿宋"/>
                <w:sz w:val="28"/>
                <w:szCs w:val="28"/>
                <w:lang w:eastAsia="zh-CN"/>
              </w:rPr>
            </w:pPr>
            <w:r>
              <w:rPr>
                <w:rFonts w:hint="eastAsia" w:eastAsia="华文仿宋"/>
                <w:sz w:val="28"/>
                <w:szCs w:val="28"/>
                <w:lang w:eastAsia="zh-CN"/>
              </w:rPr>
              <w:t>上门收集</w:t>
            </w:r>
          </w:p>
        </w:tc>
        <w:tc>
          <w:tcPr>
            <w:tcW w:w="1083" w:type="dxa"/>
            <w:shd w:val="clear" w:color="auto" w:fill="auto"/>
            <w:noWrap/>
            <w:vAlign w:val="center"/>
          </w:tcPr>
          <w:p w14:paraId="09320AB5">
            <w:pPr>
              <w:spacing w:line="280" w:lineRule="exact"/>
              <w:jc w:val="center"/>
              <w:rPr>
                <w:rFonts w:hint="eastAsia" w:eastAsia="华文仿宋"/>
                <w:sz w:val="28"/>
                <w:szCs w:val="28"/>
                <w:lang w:eastAsia="zh-CN"/>
              </w:rPr>
            </w:pPr>
            <w:r>
              <w:rPr>
                <w:rFonts w:hint="eastAsia" w:eastAsia="华文仿宋"/>
                <w:sz w:val="28"/>
                <w:szCs w:val="28"/>
                <w:lang w:val="en-US" w:eastAsia="zh-CN"/>
              </w:rPr>
              <w:t>4</w:t>
            </w:r>
          </w:p>
        </w:tc>
        <w:tc>
          <w:tcPr>
            <w:tcW w:w="1630" w:type="dxa"/>
            <w:shd w:val="clear" w:color="auto" w:fill="auto"/>
            <w:vAlign w:val="center"/>
          </w:tcPr>
          <w:p w14:paraId="47CB2B94">
            <w:pPr>
              <w:spacing w:line="280" w:lineRule="exact"/>
              <w:jc w:val="center"/>
              <w:rPr>
                <w:rFonts w:eastAsia="华文仿宋"/>
                <w:sz w:val="28"/>
                <w:szCs w:val="28"/>
              </w:rPr>
            </w:pPr>
            <w:r>
              <w:rPr>
                <w:rFonts w:hint="eastAsia" w:eastAsia="华文仿宋"/>
                <w:sz w:val="28"/>
                <w:szCs w:val="28"/>
                <w:lang w:eastAsia="zh-CN"/>
              </w:rPr>
              <w:t>每日</w:t>
            </w:r>
            <w:r>
              <w:rPr>
                <w:rFonts w:hint="eastAsia" w:eastAsia="华文仿宋"/>
                <w:sz w:val="28"/>
                <w:szCs w:val="28"/>
                <w:lang w:val="en-US" w:eastAsia="zh-CN"/>
              </w:rPr>
              <w:t>9:00-22:00</w:t>
            </w:r>
          </w:p>
        </w:tc>
        <w:tc>
          <w:tcPr>
            <w:tcW w:w="3870" w:type="dxa"/>
            <w:shd w:val="clear" w:color="auto" w:fill="auto"/>
            <w:vAlign w:val="center"/>
          </w:tcPr>
          <w:p w14:paraId="49216988">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lang w:eastAsia="zh-CN"/>
              </w:rPr>
              <w:t>）身体健康，年龄不超过</w:t>
            </w:r>
            <w:r>
              <w:rPr>
                <w:rFonts w:hint="eastAsia" w:ascii="仿宋_GB2312" w:hAnsi="仿宋_GB2312" w:eastAsia="仿宋_GB2312" w:cs="仿宋_GB2312"/>
                <w:sz w:val="28"/>
                <w:szCs w:val="28"/>
                <w:lang w:val="en-US" w:eastAsia="zh-CN"/>
              </w:rPr>
              <w:t>55周岁优先。</w:t>
            </w:r>
          </w:p>
          <w:p w14:paraId="64474618">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仿宋_GB2312" w:hAnsi="仿宋_GB2312" w:eastAsia="仿宋_GB2312" w:cs="仿宋_GB2312"/>
                <w:kern w:val="0"/>
                <w:sz w:val="28"/>
                <w:szCs w:val="28"/>
                <w:lang w:val="en-US" w:eastAsia="zh-CN" w:bidi="ar-SA"/>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highlight w:val="none"/>
                <w:lang w:val="en-US" w:eastAsia="zh-CN"/>
              </w:rPr>
              <w:t>具备两年及以上的类似工作服务经验</w:t>
            </w:r>
            <w:r>
              <w:rPr>
                <w:rFonts w:hint="eastAsia" w:ascii="仿宋_GB2312" w:hAnsi="仿宋_GB2312" w:eastAsia="仿宋_GB2312" w:cs="仿宋_GB2312"/>
                <w:sz w:val="28"/>
                <w:szCs w:val="28"/>
              </w:rPr>
              <w:t>。</w:t>
            </w:r>
          </w:p>
        </w:tc>
      </w:tr>
      <w:tr w14:paraId="20AE2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2456" w:type="dxa"/>
            <w:gridSpan w:val="2"/>
            <w:shd w:val="clear" w:color="auto" w:fill="auto"/>
            <w:noWrap/>
            <w:vAlign w:val="center"/>
          </w:tcPr>
          <w:p w14:paraId="4EC67090">
            <w:pPr>
              <w:spacing w:line="280" w:lineRule="exact"/>
              <w:jc w:val="center"/>
              <w:rPr>
                <w:rFonts w:eastAsia="华文仿宋"/>
                <w:sz w:val="28"/>
                <w:szCs w:val="28"/>
              </w:rPr>
            </w:pPr>
            <w:r>
              <w:rPr>
                <w:rFonts w:eastAsia="华文仿宋"/>
                <w:b/>
                <w:sz w:val="28"/>
                <w:szCs w:val="28"/>
              </w:rPr>
              <w:t>合计</w:t>
            </w:r>
          </w:p>
        </w:tc>
        <w:tc>
          <w:tcPr>
            <w:tcW w:w="1083" w:type="dxa"/>
            <w:shd w:val="clear" w:color="auto" w:fill="auto"/>
            <w:noWrap/>
            <w:vAlign w:val="center"/>
          </w:tcPr>
          <w:p w14:paraId="1703A30E">
            <w:pPr>
              <w:spacing w:line="280" w:lineRule="exact"/>
              <w:jc w:val="center"/>
              <w:rPr>
                <w:rFonts w:hint="default" w:eastAsia="华文仿宋"/>
                <w:b/>
                <w:sz w:val="28"/>
                <w:szCs w:val="28"/>
                <w:lang w:val="en-US" w:eastAsia="zh-CN"/>
              </w:rPr>
            </w:pPr>
            <w:r>
              <w:rPr>
                <w:rFonts w:hint="eastAsia" w:eastAsia="华文仿宋"/>
                <w:sz w:val="28"/>
                <w:szCs w:val="28"/>
                <w:lang w:val="en-US" w:eastAsia="zh-CN"/>
              </w:rPr>
              <w:t>19</w:t>
            </w:r>
          </w:p>
        </w:tc>
        <w:tc>
          <w:tcPr>
            <w:tcW w:w="1630" w:type="dxa"/>
            <w:vAlign w:val="center"/>
          </w:tcPr>
          <w:p w14:paraId="6382C721">
            <w:pPr>
              <w:spacing w:line="280" w:lineRule="exact"/>
              <w:jc w:val="center"/>
              <w:rPr>
                <w:rFonts w:eastAsia="华文仿宋"/>
                <w:b/>
                <w:sz w:val="28"/>
                <w:szCs w:val="28"/>
              </w:rPr>
            </w:pPr>
          </w:p>
        </w:tc>
        <w:tc>
          <w:tcPr>
            <w:tcW w:w="3870" w:type="dxa"/>
            <w:shd w:val="clear" w:color="auto" w:fill="auto"/>
            <w:vAlign w:val="center"/>
          </w:tcPr>
          <w:p w14:paraId="6B57EE1A">
            <w:pPr>
              <w:spacing w:line="280" w:lineRule="exact"/>
              <w:jc w:val="center"/>
              <w:rPr>
                <w:rFonts w:eastAsia="华文仿宋"/>
                <w:sz w:val="28"/>
                <w:szCs w:val="28"/>
              </w:rPr>
            </w:pPr>
          </w:p>
        </w:tc>
      </w:tr>
    </w:tbl>
    <w:p w14:paraId="5FB9640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注：1.服务方应合理配置团队服务人数，确保达到岗位配要求，同时承诺所有服务人员劳动时间符合《劳动法》的规定。</w:t>
      </w:r>
    </w:p>
    <w:p w14:paraId="7C51DF2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2、服务方需承诺，若中标为项目所有团队服务人员投保足够份额的雇主责任险、公众责任险等。</w:t>
      </w:r>
    </w:p>
    <w:p w14:paraId="2505B1C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0" w:firstLineChars="1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8、服务质量承诺</w:t>
      </w:r>
    </w:p>
    <w:p w14:paraId="5E48990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服务方需承诺以下服务质量指标：20处沿街公共投放点、26条道路沿街商户覆盖率100%；项目需求完成率100%；12345工单办结率100%，群众满意率≥90%。</w:t>
      </w:r>
    </w:p>
    <w:p w14:paraId="2154EE8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000000" w:themeColor="text1"/>
          <w:kern w:val="2"/>
          <w:sz w:val="32"/>
          <w:szCs w:val="32"/>
          <w:lang w:val="en-US" w:eastAsia="zh-CN" w:bidi="ar-SA"/>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四、项目金额及服务期限</w:t>
      </w:r>
    </w:p>
    <w:p w14:paraId="5A827DC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项目金额3022200元，服务期为一年，以实际中标日期确定服务期限。</w:t>
      </w:r>
    </w:p>
    <w:p w14:paraId="77E5F933">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
          <w:color w:val="000000" w:themeColor="text1"/>
          <w:sz w:val="32"/>
          <w:szCs w:val="32"/>
          <w:highlight w:val="none"/>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五、合同的签订及结算方式</w:t>
      </w:r>
    </w:p>
    <w:p w14:paraId="15204F3B">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合同一年一签，结算方式为月结。</w:t>
      </w:r>
    </w:p>
    <w:p w14:paraId="6C3D759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000000" w:themeColor="text1"/>
          <w:kern w:val="2"/>
          <w:sz w:val="32"/>
          <w:szCs w:val="32"/>
          <w:highlight w:val="none"/>
          <w:lang w:val="en-US" w:eastAsia="zh-CN" w:bidi="ar-SA"/>
          <w14:textFill>
            <w14:solidFill>
              <w14:schemeClr w14:val="tx1"/>
            </w14:solidFill>
          </w14:textFill>
        </w:rPr>
      </w:pPr>
      <w:r>
        <w:rPr>
          <w:rFonts w:hint="eastAsia" w:ascii="黑体" w:hAnsi="黑体" w:eastAsia="黑体" w:cs="黑体"/>
          <w:color w:val="000000" w:themeColor="text1"/>
          <w:kern w:val="2"/>
          <w:sz w:val="32"/>
          <w:szCs w:val="32"/>
          <w:highlight w:val="none"/>
          <w:lang w:val="en-US" w:eastAsia="zh-CN" w:bidi="ar-SA"/>
          <w14:textFill>
            <w14:solidFill>
              <w14:schemeClr w14:val="tx1"/>
            </w14:solidFill>
          </w14:textFill>
        </w:rPr>
        <w:t>六、其他</w:t>
      </w:r>
      <w:bookmarkStart w:id="0" w:name="_GoBack"/>
      <w:bookmarkEnd w:id="0"/>
    </w:p>
    <w:p w14:paraId="1A723F9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本项目面向有资质的中、小、微型企业。投标单位具有类似业绩的优先，提供最近三年内合同复印件加盖公章，提供最近三年内业主方评价优秀（或满意）的材料。</w:t>
      </w:r>
    </w:p>
    <w:sectPr>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3B2651"/>
    <w:multiLevelType w:val="singleLevel"/>
    <w:tmpl w:val="EF3B2651"/>
    <w:lvl w:ilvl="0" w:tentative="0">
      <w:start w:val="1"/>
      <w:numFmt w:val="decimal"/>
      <w:suff w:val="nothing"/>
      <w:lvlText w:val="%1、"/>
      <w:lvlJc w:val="left"/>
    </w:lvl>
  </w:abstractNum>
  <w:abstractNum w:abstractNumId="1">
    <w:nsid w:val="4B56E4C8"/>
    <w:multiLevelType w:val="singleLevel"/>
    <w:tmpl w:val="4B56E4C8"/>
    <w:lvl w:ilvl="0" w:tentative="0">
      <w:start w:val="1"/>
      <w:numFmt w:val="decimal"/>
      <w:suff w:val="nothing"/>
      <w:lvlText w:val="%1、"/>
      <w:lvlJc w:val="left"/>
      <w:pPr>
        <w:ind w:left="160" w:leftChars="0" w:firstLine="0" w:firstLineChars="0"/>
      </w:pPr>
    </w:lvl>
  </w:abstractNum>
  <w:abstractNum w:abstractNumId="2">
    <w:nsid w:val="7160F6C4"/>
    <w:multiLevelType w:val="singleLevel"/>
    <w:tmpl w:val="7160F6C4"/>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jYjY3OWFhNzI3OGFkNjlmM2JiMTc5NDlkYjhjYzgifQ=="/>
  </w:docVars>
  <w:rsids>
    <w:rsidRoot w:val="00000000"/>
    <w:rsid w:val="019404F8"/>
    <w:rsid w:val="0377378E"/>
    <w:rsid w:val="03BD3D36"/>
    <w:rsid w:val="049E1D27"/>
    <w:rsid w:val="04D94B9F"/>
    <w:rsid w:val="0523406D"/>
    <w:rsid w:val="06681E61"/>
    <w:rsid w:val="07266A4E"/>
    <w:rsid w:val="07612C2A"/>
    <w:rsid w:val="08FD4BD5"/>
    <w:rsid w:val="099F6322"/>
    <w:rsid w:val="0ADA0590"/>
    <w:rsid w:val="0BF57DE5"/>
    <w:rsid w:val="0C4274CE"/>
    <w:rsid w:val="0CEC568C"/>
    <w:rsid w:val="0E4D215A"/>
    <w:rsid w:val="10051032"/>
    <w:rsid w:val="102E38C6"/>
    <w:rsid w:val="10AC526D"/>
    <w:rsid w:val="110F1949"/>
    <w:rsid w:val="128B4FFF"/>
    <w:rsid w:val="12AD3605"/>
    <w:rsid w:val="14357918"/>
    <w:rsid w:val="156A107F"/>
    <w:rsid w:val="16774218"/>
    <w:rsid w:val="1A444411"/>
    <w:rsid w:val="1AB175CD"/>
    <w:rsid w:val="1B9B4505"/>
    <w:rsid w:val="1CC21F65"/>
    <w:rsid w:val="1CE343B6"/>
    <w:rsid w:val="1D7274E7"/>
    <w:rsid w:val="1D7C3EC2"/>
    <w:rsid w:val="1E7E194D"/>
    <w:rsid w:val="1FD55B0C"/>
    <w:rsid w:val="21366A7E"/>
    <w:rsid w:val="21C26E80"/>
    <w:rsid w:val="21E834B8"/>
    <w:rsid w:val="223F1616"/>
    <w:rsid w:val="22E54766"/>
    <w:rsid w:val="234424ED"/>
    <w:rsid w:val="237F4F9E"/>
    <w:rsid w:val="23C87E61"/>
    <w:rsid w:val="23DA5DE6"/>
    <w:rsid w:val="24831F0B"/>
    <w:rsid w:val="24F42ED8"/>
    <w:rsid w:val="25055DB0"/>
    <w:rsid w:val="254F010E"/>
    <w:rsid w:val="25583467"/>
    <w:rsid w:val="25B044F7"/>
    <w:rsid w:val="26154EB4"/>
    <w:rsid w:val="26E21AF1"/>
    <w:rsid w:val="27634AAD"/>
    <w:rsid w:val="27B30E28"/>
    <w:rsid w:val="28E219C5"/>
    <w:rsid w:val="2BC17B4B"/>
    <w:rsid w:val="2C3302A0"/>
    <w:rsid w:val="2C4B2D51"/>
    <w:rsid w:val="2C803B90"/>
    <w:rsid w:val="2CB05936"/>
    <w:rsid w:val="2CE62741"/>
    <w:rsid w:val="2D796883"/>
    <w:rsid w:val="2DE73F83"/>
    <w:rsid w:val="2EF01B85"/>
    <w:rsid w:val="2EF57F78"/>
    <w:rsid w:val="307A24E3"/>
    <w:rsid w:val="30F73B34"/>
    <w:rsid w:val="311F752F"/>
    <w:rsid w:val="327D450D"/>
    <w:rsid w:val="32D57D96"/>
    <w:rsid w:val="32E131F9"/>
    <w:rsid w:val="339F04B3"/>
    <w:rsid w:val="351D1FD7"/>
    <w:rsid w:val="361243F6"/>
    <w:rsid w:val="361B6516"/>
    <w:rsid w:val="362C0724"/>
    <w:rsid w:val="36316220"/>
    <w:rsid w:val="386F2B4A"/>
    <w:rsid w:val="388D5165"/>
    <w:rsid w:val="396D0930"/>
    <w:rsid w:val="3A06416B"/>
    <w:rsid w:val="3A88623A"/>
    <w:rsid w:val="3AFE4168"/>
    <w:rsid w:val="3B3B4F65"/>
    <w:rsid w:val="3C460065"/>
    <w:rsid w:val="3EE53B65"/>
    <w:rsid w:val="3FA702E8"/>
    <w:rsid w:val="3FAF7CCF"/>
    <w:rsid w:val="400C2114"/>
    <w:rsid w:val="40135981"/>
    <w:rsid w:val="40C36351"/>
    <w:rsid w:val="420662CD"/>
    <w:rsid w:val="45AD4E5D"/>
    <w:rsid w:val="45C269AF"/>
    <w:rsid w:val="4645313C"/>
    <w:rsid w:val="465671E9"/>
    <w:rsid w:val="47482EE3"/>
    <w:rsid w:val="4B701042"/>
    <w:rsid w:val="4B986D1E"/>
    <w:rsid w:val="4C57335C"/>
    <w:rsid w:val="4E2F0959"/>
    <w:rsid w:val="4F533A8F"/>
    <w:rsid w:val="4F6A14DB"/>
    <w:rsid w:val="4FCB3BEE"/>
    <w:rsid w:val="50AC6291"/>
    <w:rsid w:val="512C2F2E"/>
    <w:rsid w:val="525E220E"/>
    <w:rsid w:val="52910041"/>
    <w:rsid w:val="539D3474"/>
    <w:rsid w:val="53E00FDA"/>
    <w:rsid w:val="53F12DDC"/>
    <w:rsid w:val="55874E19"/>
    <w:rsid w:val="570F117E"/>
    <w:rsid w:val="57DD1426"/>
    <w:rsid w:val="59ED742A"/>
    <w:rsid w:val="5A2A0594"/>
    <w:rsid w:val="5B6634E0"/>
    <w:rsid w:val="5C583AA6"/>
    <w:rsid w:val="5CAB1AF3"/>
    <w:rsid w:val="5E2F0501"/>
    <w:rsid w:val="5EBC2F9D"/>
    <w:rsid w:val="60AC5E39"/>
    <w:rsid w:val="618B0816"/>
    <w:rsid w:val="61AD1CEC"/>
    <w:rsid w:val="621E2D67"/>
    <w:rsid w:val="6239194F"/>
    <w:rsid w:val="62413AC2"/>
    <w:rsid w:val="63316C55"/>
    <w:rsid w:val="63CB2A7A"/>
    <w:rsid w:val="65A73073"/>
    <w:rsid w:val="65FA2502"/>
    <w:rsid w:val="66552ACF"/>
    <w:rsid w:val="66D2244A"/>
    <w:rsid w:val="6817003C"/>
    <w:rsid w:val="68B23507"/>
    <w:rsid w:val="6A1339CC"/>
    <w:rsid w:val="6B210887"/>
    <w:rsid w:val="6DEA5B67"/>
    <w:rsid w:val="6E3A4A84"/>
    <w:rsid w:val="6E7066F8"/>
    <w:rsid w:val="6E9248C1"/>
    <w:rsid w:val="6E9A4ED4"/>
    <w:rsid w:val="6ECE3270"/>
    <w:rsid w:val="6F6E0637"/>
    <w:rsid w:val="6FA53951"/>
    <w:rsid w:val="714F2D3E"/>
    <w:rsid w:val="71C92300"/>
    <w:rsid w:val="72715987"/>
    <w:rsid w:val="72A252EE"/>
    <w:rsid w:val="72E96A79"/>
    <w:rsid w:val="749558C0"/>
    <w:rsid w:val="764062FA"/>
    <w:rsid w:val="781947B0"/>
    <w:rsid w:val="791E49C9"/>
    <w:rsid w:val="7A8625B1"/>
    <w:rsid w:val="7E402F74"/>
    <w:rsid w:val="7E927FC5"/>
    <w:rsid w:val="7F370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paragraph" w:customStyle="1" w:styleId="4">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2042</Words>
  <Characters>2074</Characters>
  <Lines>0</Lines>
  <Paragraphs>0</Paragraphs>
  <TotalTime>4</TotalTime>
  <ScaleCrop>false</ScaleCrop>
  <LinksUpToDate>false</LinksUpToDate>
  <CharactersWithSpaces>2074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2022-03-01T07:20:00Z</dcterms:created>
  <dc:creator>lenovo</dc:creator>
  <cp:lastModifiedBy>待到尘埃落定时</cp:lastModifiedBy>
  <cp:lastPrinted>2024-04-01T08:36:00Z</cp:lastPrinted>
  <dcterms:modified xsi:type="dcterms:W3CDTF">2025-04-08T06:35:27Z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C1B6EB1B7F8E417195C184A7133C791A_13</vt:lpwstr>
  </property>
  <property fmtid="{D5CDD505-2E9C-101B-9397-08002B2CF9AE}" pid="4" name="KSOTemplateDocerSaveRecord">
    <vt:lpwstr>eyJoZGlkIjoiZTVkYjAxNTA2NmNkNTRlODkzYjNlOTNiMjZjMTI5MTAiLCJ1c2VySWQiOiI1NDYxNjc0MDMifQ==</vt:lpwstr>
  </property>
</Properties>
</file>