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AF3C8">
      <w:pPr>
        <w:jc w:val="center"/>
        <w:rPr>
          <w:rFonts w:hint="eastAsia" w:ascii="宋体" w:hAnsi="宋体" w:eastAsia="宋体" w:cs="宋体"/>
          <w:b/>
          <w:bCs/>
          <w:color w:val="auto"/>
          <w:sz w:val="32"/>
          <w:szCs w:val="32"/>
          <w:lang w:val="en-US" w:eastAsia="zh-CN"/>
        </w:rPr>
      </w:pPr>
      <w:r>
        <w:rPr>
          <w:rFonts w:hint="eastAsia"/>
          <w:b/>
          <w:sz w:val="32"/>
          <w:szCs w:val="32"/>
        </w:rPr>
        <w:t>北站街道</w:t>
      </w:r>
      <w:r>
        <w:rPr>
          <w:rFonts w:hint="eastAsia"/>
          <w:b/>
          <w:sz w:val="32"/>
          <w:szCs w:val="32"/>
          <w:lang w:eastAsia="zh-CN"/>
        </w:rPr>
        <w:t>七浦办关于</w:t>
      </w:r>
      <w:r>
        <w:rPr>
          <w:rFonts w:hint="eastAsia" w:ascii="宋体" w:hAnsi="宋体" w:eastAsia="宋体" w:cs="宋体"/>
          <w:b/>
          <w:bCs/>
          <w:sz w:val="32"/>
          <w:szCs w:val="32"/>
          <w:lang w:eastAsia="zh-CN"/>
        </w:rPr>
        <w:t>七浦路</w:t>
      </w:r>
      <w:r>
        <w:rPr>
          <w:rFonts w:hint="eastAsia" w:ascii="宋体" w:hAnsi="宋体" w:eastAsia="宋体" w:cs="宋体"/>
          <w:b/>
          <w:bCs/>
          <w:sz w:val="32"/>
          <w:szCs w:val="32"/>
          <w:lang w:val="en-US" w:eastAsia="zh-CN"/>
        </w:rPr>
        <w:t>街区第三方治安钉子岗</w:t>
      </w:r>
    </w:p>
    <w:p w14:paraId="2CDE232D">
      <w:pPr>
        <w:jc w:val="center"/>
        <w:rPr>
          <w:rFonts w:hint="eastAsia"/>
          <w:b/>
          <w:sz w:val="32"/>
          <w:szCs w:val="32"/>
        </w:rPr>
      </w:pPr>
      <w:r>
        <w:rPr>
          <w:rFonts w:hint="eastAsia"/>
          <w:b/>
          <w:sz w:val="32"/>
          <w:szCs w:val="32"/>
        </w:rPr>
        <w:t>服务项目需求书</w:t>
      </w:r>
    </w:p>
    <w:p w14:paraId="4499C887">
      <w:pPr>
        <w:jc w:val="left"/>
        <w:rPr>
          <w:rFonts w:hint="eastAsia" w:ascii="宋体" w:hAnsi="宋体" w:eastAsia="宋体" w:cs="宋体"/>
          <w:b w:val="0"/>
          <w:bCs/>
          <w:sz w:val="24"/>
          <w:szCs w:val="24"/>
          <w:lang w:val="en-US" w:eastAsia="zh-CN"/>
        </w:rPr>
      </w:pPr>
    </w:p>
    <w:p w14:paraId="5A83C0E3">
      <w:pPr>
        <w:spacing w:line="57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一、项目背景</w:t>
      </w:r>
    </w:p>
    <w:p w14:paraId="7AB55FB9">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七浦路服饰商业街区位于河南北路以西、浙江北路以东、天潼路以北、海宁路以南，</w:t>
      </w:r>
      <w:r>
        <w:rPr>
          <w:rFonts w:hint="eastAsia" w:ascii="仿宋_GB2312" w:hAnsi="仿宋_GB2312" w:eastAsia="仿宋_GB2312" w:cs="仿宋_GB2312"/>
          <w:sz w:val="28"/>
          <w:szCs w:val="28"/>
          <w:lang w:val="en-US" w:eastAsia="zh-CN"/>
        </w:rPr>
        <w:t>地</w:t>
      </w:r>
      <w:r>
        <w:rPr>
          <w:rFonts w:hint="eastAsia" w:ascii="仿宋_GB2312" w:hAnsi="仿宋_GB2312" w:eastAsia="仿宋_GB2312" w:cs="仿宋_GB2312"/>
          <w:sz w:val="28"/>
          <w:szCs w:val="28"/>
          <w:lang w:eastAsia="zh-CN"/>
        </w:rPr>
        <w:t>处苏河湾核心区域，占地面积0.5平方公里，是一个以服饰批发为主、零售为辅的商业街区。经过</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0多年螺旋式发展，七浦路实现从“马路市场”向楼宇市场的跨越。目前街区有新七浦、豪浦、凯旋城、圣和圣、七浦批发、白马、超飞捷、联富、新金浦、兰城等10个室内市场，总建筑面积近</w:t>
      </w:r>
      <w:r>
        <w:rPr>
          <w:rFonts w:hint="eastAsia" w:ascii="仿宋_GB2312" w:hAnsi="仿宋_GB2312" w:eastAsia="仿宋_GB2312" w:cs="仿宋_GB2312"/>
          <w:sz w:val="28"/>
          <w:szCs w:val="28"/>
          <w:lang w:val="en-US" w:eastAsia="zh-CN"/>
        </w:rPr>
        <w:t>30万</w:t>
      </w:r>
      <w:r>
        <w:rPr>
          <w:rFonts w:hint="eastAsia" w:ascii="仿宋_GB2312" w:hAnsi="仿宋_GB2312" w:eastAsia="仿宋_GB2312" w:cs="仿宋_GB2312"/>
          <w:sz w:val="28"/>
          <w:szCs w:val="28"/>
          <w:lang w:eastAsia="zh-CN"/>
        </w:rPr>
        <w:t>㎡，经营面积逾</w:t>
      </w:r>
      <w:r>
        <w:rPr>
          <w:rFonts w:hint="eastAsia" w:ascii="仿宋_GB2312" w:hAnsi="仿宋_GB2312" w:eastAsia="仿宋_GB2312" w:cs="仿宋_GB2312"/>
          <w:sz w:val="28"/>
          <w:szCs w:val="28"/>
          <w:lang w:val="en-US" w:eastAsia="zh-CN"/>
        </w:rPr>
        <w:t>20万</w:t>
      </w:r>
      <w:r>
        <w:rPr>
          <w:rFonts w:hint="eastAsia" w:ascii="仿宋_GB2312" w:hAnsi="仿宋_GB2312" w:eastAsia="仿宋_GB2312" w:cs="仿宋_GB2312"/>
          <w:sz w:val="28"/>
          <w:szCs w:val="28"/>
          <w:lang w:eastAsia="zh-CN"/>
        </w:rPr>
        <w:t>㎡，约有大小商铺6</w:t>
      </w:r>
      <w:r>
        <w:rPr>
          <w:rFonts w:hint="eastAsia" w:ascii="仿宋_GB2312" w:hAnsi="仿宋_GB2312" w:eastAsia="仿宋_GB2312" w:cs="仿宋_GB2312"/>
          <w:sz w:val="28"/>
          <w:szCs w:val="28"/>
          <w:lang w:val="en-US" w:eastAsia="zh-CN"/>
        </w:rPr>
        <w:t>500余</w:t>
      </w:r>
      <w:r>
        <w:rPr>
          <w:rFonts w:hint="eastAsia" w:ascii="仿宋_GB2312" w:hAnsi="仿宋_GB2312" w:eastAsia="仿宋_GB2312" w:cs="仿宋_GB2312"/>
          <w:sz w:val="28"/>
          <w:szCs w:val="28"/>
          <w:lang w:eastAsia="zh-CN"/>
        </w:rPr>
        <w:t>铺，从业人员近万人，经营各类服饰、箱包、首饰等，日常人流量</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万人次，</w:t>
      </w:r>
      <w:r>
        <w:rPr>
          <w:rFonts w:hint="eastAsia" w:ascii="仿宋_GB2312" w:hAnsi="仿宋_GB2312" w:eastAsia="仿宋_GB2312" w:cs="仿宋_GB2312"/>
          <w:sz w:val="28"/>
          <w:szCs w:val="28"/>
          <w:lang w:val="en-US" w:eastAsia="zh-CN"/>
        </w:rPr>
        <w:t>日均货物进出量200-300吨，</w:t>
      </w:r>
      <w:r>
        <w:rPr>
          <w:rFonts w:hint="eastAsia" w:ascii="仿宋_GB2312" w:hAnsi="仿宋_GB2312" w:eastAsia="仿宋_GB2312" w:cs="仿宋_GB2312"/>
          <w:sz w:val="28"/>
          <w:szCs w:val="28"/>
          <w:lang w:eastAsia="zh-CN"/>
        </w:rPr>
        <w:t>在上海乃至全国都具有一定知名度。</w:t>
      </w:r>
    </w:p>
    <w:p w14:paraId="75CB19D0">
      <w:pPr>
        <w:spacing w:line="57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二、项目分析</w:t>
      </w:r>
    </w:p>
    <w:p w14:paraId="2C1E941A">
      <w:pPr>
        <w:spacing w:line="570" w:lineRule="exact"/>
        <w:ind w:firstLine="560" w:firstLineChars="200"/>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val="0"/>
          <w:sz w:val="28"/>
          <w:szCs w:val="28"/>
          <w:lang w:eastAsia="zh-CN"/>
        </w:rPr>
        <w:t>七浦路街区</w:t>
      </w:r>
      <w:r>
        <w:rPr>
          <w:rFonts w:hint="eastAsia" w:ascii="仿宋_GB2312" w:hAnsi="仿宋_GB2312" w:eastAsia="仿宋_GB2312" w:cs="仿宋_GB2312"/>
          <w:b w:val="0"/>
          <w:bCs w:val="0"/>
          <w:sz w:val="28"/>
          <w:szCs w:val="28"/>
          <w:lang w:val="en-US" w:eastAsia="zh-CN"/>
        </w:rPr>
        <w:t>由于</w:t>
      </w:r>
      <w:r>
        <w:rPr>
          <w:rFonts w:hint="eastAsia" w:ascii="仿宋_GB2312" w:hAnsi="仿宋_GB2312" w:eastAsia="仿宋_GB2312" w:cs="仿宋_GB2312"/>
          <w:b w:val="0"/>
          <w:bCs w:val="0"/>
          <w:sz w:val="28"/>
          <w:szCs w:val="28"/>
          <w:lang w:eastAsia="zh-CN"/>
        </w:rPr>
        <w:t>人流量、货流量巨大，</w:t>
      </w:r>
      <w:r>
        <w:rPr>
          <w:rFonts w:hint="eastAsia" w:ascii="仿宋_GB2312" w:hAnsi="仿宋_GB2312" w:eastAsia="仿宋_GB2312" w:cs="仿宋_GB2312"/>
          <w:b w:val="0"/>
          <w:bCs w:val="0"/>
          <w:sz w:val="28"/>
          <w:szCs w:val="28"/>
          <w:lang w:val="en-US" w:eastAsia="zh-CN"/>
        </w:rPr>
        <w:t>黄牛拉客、偷盗扒窃、寻衅滋事等扰乱治安行为以及影响交通、市容、卫生的不文明行为较多发</w:t>
      </w:r>
      <w:r>
        <w:rPr>
          <w:rFonts w:hint="eastAsia" w:ascii="仿宋_GB2312" w:hAnsi="仿宋_GB2312" w:eastAsia="仿宋_GB2312" w:cs="仿宋_GB2312"/>
          <w:b w:val="0"/>
          <w:bCs w:val="0"/>
          <w:sz w:val="28"/>
          <w:szCs w:val="28"/>
          <w:lang w:eastAsia="zh-CN"/>
        </w:rPr>
        <w:t>，但</w:t>
      </w:r>
      <w:r>
        <w:rPr>
          <w:rFonts w:hint="eastAsia" w:ascii="仿宋_GB2312" w:hAnsi="仿宋_GB2312" w:eastAsia="仿宋_GB2312" w:cs="仿宋_GB2312"/>
          <w:b w:val="0"/>
          <w:bCs w:val="0"/>
          <w:sz w:val="28"/>
          <w:szCs w:val="28"/>
          <w:lang w:val="en-US" w:eastAsia="zh-CN"/>
        </w:rPr>
        <w:t>街区相关职能部门人员</w:t>
      </w:r>
      <w:r>
        <w:rPr>
          <w:rFonts w:hint="eastAsia" w:ascii="仿宋_GB2312" w:hAnsi="仿宋_GB2312" w:eastAsia="仿宋_GB2312" w:cs="仿宋_GB2312"/>
          <w:b w:val="0"/>
          <w:bCs w:val="0"/>
          <w:sz w:val="28"/>
          <w:szCs w:val="28"/>
          <w:lang w:eastAsia="zh-CN"/>
        </w:rPr>
        <w:t>力量不足，</w:t>
      </w:r>
      <w:r>
        <w:rPr>
          <w:rFonts w:hint="eastAsia" w:ascii="仿宋_GB2312" w:hAnsi="仿宋_GB2312" w:eastAsia="仿宋_GB2312" w:cs="仿宋_GB2312"/>
          <w:b w:val="0"/>
          <w:bCs w:val="0"/>
          <w:sz w:val="28"/>
          <w:szCs w:val="28"/>
          <w:lang w:val="en-US" w:eastAsia="zh-CN"/>
        </w:rPr>
        <w:t>打击整治和持续巩固无法兼顾，容易出现脱节和反弹</w:t>
      </w:r>
      <w:r>
        <w:rPr>
          <w:rFonts w:hint="eastAsia" w:ascii="仿宋_GB2312" w:hAnsi="仿宋_GB2312" w:eastAsia="仿宋_GB2312" w:cs="仿宋_GB2312"/>
          <w:b w:val="0"/>
          <w:bCs w:val="0"/>
          <w:sz w:val="28"/>
          <w:szCs w:val="28"/>
          <w:lang w:eastAsia="zh-CN"/>
        </w:rPr>
        <w:t>。为进一步维护七浦路街区社会</w:t>
      </w:r>
      <w:r>
        <w:rPr>
          <w:rFonts w:hint="eastAsia" w:ascii="仿宋_GB2312" w:hAnsi="仿宋_GB2312" w:eastAsia="仿宋_GB2312" w:cs="仿宋_GB2312"/>
          <w:b w:val="0"/>
          <w:bCs w:val="0"/>
          <w:sz w:val="28"/>
          <w:szCs w:val="28"/>
          <w:lang w:val="en-US" w:eastAsia="zh-CN"/>
        </w:rPr>
        <w:t>治安，强化街区综合治理</w:t>
      </w:r>
      <w:r>
        <w:rPr>
          <w:rFonts w:hint="eastAsia" w:ascii="仿宋_GB2312" w:hAnsi="仿宋_GB2312" w:eastAsia="仿宋_GB2312" w:cs="仿宋_GB2312"/>
          <w:b w:val="0"/>
          <w:bCs w:val="0"/>
          <w:sz w:val="28"/>
          <w:szCs w:val="28"/>
          <w:lang w:eastAsia="zh-CN"/>
        </w:rPr>
        <w:t>工作，通过购买第三方服务的方式，辅助职能部门加强</w:t>
      </w:r>
      <w:r>
        <w:rPr>
          <w:rFonts w:hint="eastAsia" w:ascii="仿宋_GB2312" w:hAnsi="仿宋_GB2312" w:eastAsia="仿宋_GB2312" w:cs="仿宋_GB2312"/>
          <w:b w:val="0"/>
          <w:bCs w:val="0"/>
          <w:sz w:val="28"/>
          <w:szCs w:val="28"/>
          <w:lang w:val="en-US" w:eastAsia="zh-CN"/>
        </w:rPr>
        <w:t>相关整治，强化重点区域“钉子岗”</w:t>
      </w:r>
      <w:r>
        <w:rPr>
          <w:rFonts w:hint="eastAsia" w:ascii="仿宋_GB2312" w:hAnsi="仿宋_GB2312" w:eastAsia="仿宋_GB2312" w:cs="仿宋_GB2312"/>
          <w:b w:val="0"/>
          <w:bCs w:val="0"/>
          <w:sz w:val="28"/>
          <w:szCs w:val="28"/>
          <w:lang w:eastAsia="zh-CN"/>
        </w:rPr>
        <w:t>工作</w:t>
      </w:r>
      <w:r>
        <w:rPr>
          <w:rFonts w:hint="eastAsia" w:ascii="仿宋_GB2312" w:hAnsi="仿宋_GB2312" w:eastAsia="仿宋_GB2312" w:cs="仿宋_GB2312"/>
          <w:b w:val="0"/>
          <w:bCs w:val="0"/>
          <w:sz w:val="28"/>
          <w:szCs w:val="28"/>
          <w:lang w:val="en-US" w:eastAsia="zh-CN"/>
        </w:rPr>
        <w:t>。</w:t>
      </w:r>
    </w:p>
    <w:p w14:paraId="216A50DC">
      <w:pPr>
        <w:numPr>
          <w:ilvl w:val="0"/>
          <w:numId w:val="1"/>
        </w:numPr>
        <w:spacing w:line="57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项目需求</w:t>
      </w:r>
    </w:p>
    <w:p w14:paraId="33A9E5CD">
      <w:pPr>
        <w:numPr>
          <w:ilvl w:val="0"/>
          <w:numId w:val="2"/>
        </w:numPr>
        <w:spacing w:line="57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岗位要求</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679"/>
        <w:gridCol w:w="1083"/>
        <w:gridCol w:w="1772"/>
        <w:gridCol w:w="3211"/>
      </w:tblGrid>
      <w:tr w14:paraId="3689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0" w:type="auto"/>
            <w:shd w:val="clear" w:color="auto" w:fill="auto"/>
            <w:noWrap/>
            <w:vAlign w:val="center"/>
          </w:tcPr>
          <w:p w14:paraId="0BDA082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序号</w:t>
            </w:r>
          </w:p>
        </w:tc>
        <w:tc>
          <w:tcPr>
            <w:tcW w:w="1679" w:type="dxa"/>
            <w:shd w:val="clear" w:color="auto" w:fill="auto"/>
            <w:noWrap/>
            <w:vAlign w:val="center"/>
          </w:tcPr>
          <w:p w14:paraId="02AF618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岗位</w:t>
            </w:r>
          </w:p>
        </w:tc>
        <w:tc>
          <w:tcPr>
            <w:tcW w:w="1083" w:type="dxa"/>
            <w:shd w:val="clear" w:color="auto" w:fill="auto"/>
            <w:noWrap/>
            <w:vAlign w:val="center"/>
          </w:tcPr>
          <w:p w14:paraId="1436470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岗位数</w:t>
            </w:r>
          </w:p>
        </w:tc>
        <w:tc>
          <w:tcPr>
            <w:tcW w:w="1772" w:type="dxa"/>
            <w:vAlign w:val="center"/>
          </w:tcPr>
          <w:p w14:paraId="66233A7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工作时间</w:t>
            </w:r>
          </w:p>
        </w:tc>
        <w:tc>
          <w:tcPr>
            <w:tcW w:w="3211" w:type="dxa"/>
            <w:shd w:val="clear" w:color="auto" w:fill="auto"/>
            <w:vAlign w:val="center"/>
          </w:tcPr>
          <w:p w14:paraId="19DC9C3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要求</w:t>
            </w:r>
          </w:p>
        </w:tc>
      </w:tr>
      <w:tr w14:paraId="0FE9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shd w:val="clear" w:color="auto" w:fill="auto"/>
            <w:noWrap/>
            <w:vAlign w:val="center"/>
          </w:tcPr>
          <w:p w14:paraId="40C7B05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1</w:t>
            </w:r>
          </w:p>
        </w:tc>
        <w:tc>
          <w:tcPr>
            <w:tcW w:w="1679" w:type="dxa"/>
            <w:shd w:val="clear" w:color="auto" w:fill="auto"/>
            <w:noWrap/>
            <w:vAlign w:val="center"/>
          </w:tcPr>
          <w:p w14:paraId="3231860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项目负责人</w:t>
            </w:r>
          </w:p>
        </w:tc>
        <w:tc>
          <w:tcPr>
            <w:tcW w:w="1083" w:type="dxa"/>
            <w:shd w:val="clear" w:color="auto" w:fill="auto"/>
            <w:noWrap/>
            <w:vAlign w:val="center"/>
          </w:tcPr>
          <w:p w14:paraId="0C0CEBD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1</w:t>
            </w:r>
          </w:p>
        </w:tc>
        <w:tc>
          <w:tcPr>
            <w:tcW w:w="1772" w:type="dxa"/>
            <w:shd w:val="clear" w:color="auto" w:fill="auto"/>
            <w:vAlign w:val="center"/>
          </w:tcPr>
          <w:p w14:paraId="20CD5EE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周一到周日</w:t>
            </w:r>
            <w:r>
              <w:rPr>
                <w:rFonts w:hint="eastAsia" w:ascii="仿宋_GB2312" w:hAnsi="仿宋_GB2312" w:eastAsia="仿宋_GB2312" w:cs="仿宋_GB2312"/>
                <w:b w:val="0"/>
                <w:bCs/>
                <w:sz w:val="28"/>
                <w:szCs w:val="28"/>
                <w:lang w:val="en-US" w:eastAsia="zh-CN"/>
              </w:rPr>
              <w:t>6</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val="en-US" w:eastAsia="zh-CN"/>
              </w:rPr>
              <w:t>00</w:t>
            </w:r>
            <w:r>
              <w:rPr>
                <w:rFonts w:hint="eastAsia" w:ascii="仿宋_GB2312" w:hAnsi="仿宋_GB2312" w:eastAsia="仿宋_GB2312" w:cs="仿宋_GB2312"/>
                <w:b w:val="0"/>
                <w:bCs/>
                <w:sz w:val="28"/>
                <w:szCs w:val="28"/>
              </w:rPr>
              <w:t>-1</w:t>
            </w:r>
            <w:r>
              <w:rPr>
                <w:rFonts w:hint="eastAsia" w:ascii="仿宋_GB2312" w:hAnsi="仿宋_GB2312" w:eastAsia="仿宋_GB2312" w:cs="仿宋_GB2312"/>
                <w:b w:val="0"/>
                <w:bCs/>
                <w:sz w:val="28"/>
                <w:szCs w:val="28"/>
                <w:lang w:val="en-US" w:eastAsia="zh-CN"/>
              </w:rPr>
              <w:t>8</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val="en-US" w:eastAsia="zh-CN"/>
              </w:rPr>
              <w:t>00</w:t>
            </w:r>
            <w:r>
              <w:rPr>
                <w:rFonts w:hint="eastAsia" w:ascii="仿宋_GB2312" w:hAnsi="仿宋_GB2312" w:eastAsia="仿宋_GB2312" w:cs="仿宋_GB2312"/>
                <w:b w:val="0"/>
                <w:bCs/>
                <w:sz w:val="28"/>
                <w:szCs w:val="28"/>
              </w:rPr>
              <w:t>。</w:t>
            </w:r>
          </w:p>
        </w:tc>
        <w:tc>
          <w:tcPr>
            <w:tcW w:w="3211" w:type="dxa"/>
            <w:shd w:val="clear" w:color="auto" w:fill="auto"/>
            <w:vAlign w:val="center"/>
          </w:tcPr>
          <w:p w14:paraId="4179881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b w:val="0"/>
                <w:bCs/>
                <w:sz w:val="28"/>
                <w:szCs w:val="28"/>
                <w:lang w:eastAsia="zh-CN"/>
              </w:rPr>
            </w:pPr>
            <w:r>
              <w:rPr>
                <w:rFonts w:hint="eastAsia" w:ascii="Calibri" w:hAnsi="Calibri" w:eastAsia="宋体" w:cs="Times New Roman"/>
                <w:kern w:val="2"/>
                <w:sz w:val="21"/>
                <w:szCs w:val="24"/>
                <w:lang w:val="en-US" w:eastAsia="zh-CN" w:bidi="ar-SA"/>
              </w:rPr>
              <w:t>大专及以上学历，身体健康，无任何违法犯罪记录，品行良好，具有二级保卫管理员及以上资格证书（含保卫师、保安员（二级））</w:t>
            </w:r>
            <w:r>
              <w:rPr>
                <w:rFonts w:hint="eastAsia" w:ascii="仿宋_GB2312" w:hAnsi="仿宋_GB2312" w:eastAsia="仿宋_GB2312" w:cs="仿宋_GB2312"/>
                <w:b w:val="0"/>
                <w:bCs/>
                <w:sz w:val="28"/>
                <w:szCs w:val="28"/>
                <w:lang w:eastAsia="zh-CN"/>
              </w:rPr>
              <w:t>，</w:t>
            </w:r>
            <w:r>
              <w:rPr>
                <w:rFonts w:hint="eastAsia" w:ascii="Calibri" w:hAnsi="Calibri" w:eastAsia="宋体" w:cs="Times New Roman"/>
                <w:kern w:val="2"/>
                <w:sz w:val="21"/>
                <w:szCs w:val="24"/>
                <w:lang w:val="en-US" w:eastAsia="zh-CN" w:bidi="ar-SA"/>
              </w:rPr>
              <w:t>有5年及以上从事相关工作经历。（需提供项目负责人身份证、学历证书、资质证书、社保缴纳证明、工作经历证明等扫描件证明）</w:t>
            </w:r>
          </w:p>
        </w:tc>
      </w:tr>
      <w:tr w14:paraId="34E9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79" w:type="dxa"/>
            <w:shd w:val="clear" w:color="auto" w:fill="auto"/>
            <w:noWrap/>
            <w:vAlign w:val="center"/>
          </w:tcPr>
          <w:p w14:paraId="290C38C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2</w:t>
            </w:r>
          </w:p>
        </w:tc>
        <w:tc>
          <w:tcPr>
            <w:tcW w:w="1679" w:type="dxa"/>
            <w:shd w:val="clear" w:color="auto" w:fill="auto"/>
            <w:noWrap/>
            <w:vAlign w:val="center"/>
          </w:tcPr>
          <w:p w14:paraId="40C53BE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街面治安“钉子岗”</w:t>
            </w:r>
          </w:p>
        </w:tc>
        <w:tc>
          <w:tcPr>
            <w:tcW w:w="1083" w:type="dxa"/>
            <w:shd w:val="clear" w:color="auto" w:fill="auto"/>
            <w:noWrap/>
            <w:vAlign w:val="center"/>
          </w:tcPr>
          <w:p w14:paraId="57AF2DF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8</w:t>
            </w:r>
          </w:p>
        </w:tc>
        <w:tc>
          <w:tcPr>
            <w:tcW w:w="1772" w:type="dxa"/>
            <w:shd w:val="clear" w:color="auto" w:fill="auto"/>
            <w:vAlign w:val="center"/>
          </w:tcPr>
          <w:p w14:paraId="08F5F09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周一到周日</w:t>
            </w:r>
            <w:r>
              <w:rPr>
                <w:rFonts w:hint="eastAsia" w:ascii="仿宋_GB2312" w:hAnsi="仿宋_GB2312" w:eastAsia="仿宋_GB2312" w:cs="仿宋_GB2312"/>
                <w:b w:val="0"/>
                <w:bCs/>
                <w:sz w:val="28"/>
                <w:szCs w:val="28"/>
                <w:lang w:val="en-US" w:eastAsia="zh-CN"/>
              </w:rPr>
              <w:t>6</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val="en-US" w:eastAsia="zh-CN"/>
              </w:rPr>
              <w:t>00</w:t>
            </w:r>
            <w:r>
              <w:rPr>
                <w:rFonts w:hint="eastAsia" w:ascii="仿宋_GB2312" w:hAnsi="仿宋_GB2312" w:eastAsia="仿宋_GB2312" w:cs="仿宋_GB2312"/>
                <w:b w:val="0"/>
                <w:bCs/>
                <w:sz w:val="28"/>
                <w:szCs w:val="28"/>
              </w:rPr>
              <w:t>-1</w:t>
            </w:r>
            <w:r>
              <w:rPr>
                <w:rFonts w:hint="eastAsia" w:ascii="仿宋_GB2312" w:hAnsi="仿宋_GB2312" w:eastAsia="仿宋_GB2312" w:cs="仿宋_GB2312"/>
                <w:b w:val="0"/>
                <w:bCs/>
                <w:sz w:val="28"/>
                <w:szCs w:val="28"/>
                <w:lang w:val="en-US" w:eastAsia="zh-CN"/>
              </w:rPr>
              <w:t>8</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val="en-US" w:eastAsia="zh-CN"/>
              </w:rPr>
              <w:t>00</w:t>
            </w:r>
          </w:p>
        </w:tc>
        <w:tc>
          <w:tcPr>
            <w:tcW w:w="3211" w:type="dxa"/>
            <w:shd w:val="clear" w:color="auto" w:fill="auto"/>
            <w:vAlign w:val="center"/>
          </w:tcPr>
          <w:p w14:paraId="458D42E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男性</w:t>
            </w:r>
            <w:r>
              <w:rPr>
                <w:rFonts w:hint="eastAsia" w:ascii="仿宋_GB2312" w:hAnsi="仿宋_GB2312" w:eastAsia="仿宋_GB2312" w:cs="仿宋_GB2312"/>
                <w:b w:val="0"/>
                <w:bCs/>
                <w:sz w:val="28"/>
                <w:szCs w:val="28"/>
                <w:lang w:eastAsia="zh-CN"/>
              </w:rPr>
              <w:t>≤</w:t>
            </w:r>
            <w:r>
              <w:rPr>
                <w:rFonts w:hint="eastAsia" w:ascii="仿宋_GB2312" w:hAnsi="仿宋_GB2312" w:eastAsia="仿宋_GB2312" w:cs="仿宋_GB2312"/>
                <w:b w:val="0"/>
                <w:bCs/>
                <w:sz w:val="28"/>
                <w:szCs w:val="28"/>
                <w:lang w:val="en-US" w:eastAsia="zh-CN"/>
              </w:rPr>
              <w:t>55岁，其中40岁以下的占比50%以上优先</w:t>
            </w:r>
            <w:r>
              <w:rPr>
                <w:rFonts w:hint="eastAsia" w:ascii="仿宋_GB2312" w:hAnsi="仿宋_GB2312" w:eastAsia="仿宋_GB2312" w:cs="仿宋_GB2312"/>
                <w:b w:val="0"/>
                <w:bCs/>
                <w:sz w:val="28"/>
                <w:szCs w:val="28"/>
                <w:lang w:eastAsia="zh-CN"/>
              </w:rPr>
              <w:t>，身体健康，</w:t>
            </w:r>
            <w:r>
              <w:rPr>
                <w:rFonts w:hint="eastAsia" w:ascii="仿宋_GB2312" w:hAnsi="仿宋_GB2312" w:eastAsia="仿宋_GB2312" w:cs="仿宋_GB2312"/>
                <w:b w:val="0"/>
                <w:bCs/>
                <w:sz w:val="28"/>
                <w:szCs w:val="28"/>
              </w:rPr>
              <w:t>无任何违法犯罪记录，品行良好</w:t>
            </w:r>
            <w:r>
              <w:rPr>
                <w:rFonts w:hint="eastAsia" w:ascii="仿宋_GB2312" w:hAnsi="仿宋_GB2312" w:eastAsia="仿宋_GB2312" w:cs="仿宋_GB2312"/>
                <w:b w:val="0"/>
                <w:bCs/>
                <w:sz w:val="28"/>
                <w:szCs w:val="28"/>
                <w:lang w:eastAsia="zh-CN"/>
              </w:rPr>
              <w:t>，有保安上岗证。</w:t>
            </w:r>
          </w:p>
        </w:tc>
      </w:tr>
    </w:tbl>
    <w:p w14:paraId="7C3865BD">
      <w:pPr>
        <w:numPr>
          <w:ilvl w:val="0"/>
          <w:numId w:val="0"/>
        </w:numPr>
        <w:spacing w:line="570" w:lineRule="exact"/>
        <w:ind w:firstLine="560" w:firstLineChars="200"/>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注：1、中标方应根</w:t>
      </w:r>
      <w:bookmarkStart w:id="0" w:name="_GoBack"/>
      <w:bookmarkEnd w:id="0"/>
      <w:r>
        <w:rPr>
          <w:rFonts w:hint="eastAsia" w:ascii="仿宋_GB2312" w:hAnsi="仿宋_GB2312" w:eastAsia="仿宋_GB2312" w:cs="仿宋_GB2312"/>
          <w:b w:val="0"/>
          <w:bCs/>
          <w:sz w:val="28"/>
          <w:szCs w:val="28"/>
          <w:lang w:val="en-US" w:eastAsia="zh-CN"/>
        </w:rPr>
        <w:t>据岗位要求合理配置派遣</w:t>
      </w:r>
      <w:r>
        <w:rPr>
          <w:rFonts w:hint="eastAsia" w:ascii="仿宋_GB2312" w:hAnsi="仿宋_GB2312" w:eastAsia="仿宋_GB2312" w:cs="仿宋_GB2312"/>
          <w:b w:val="0"/>
          <w:bCs/>
          <w:sz w:val="28"/>
          <w:szCs w:val="28"/>
        </w:rPr>
        <w:t>人员</w:t>
      </w:r>
      <w:r>
        <w:rPr>
          <w:rFonts w:hint="eastAsia" w:ascii="仿宋_GB2312" w:hAnsi="仿宋_GB2312" w:eastAsia="仿宋_GB2312" w:cs="仿宋_GB2312"/>
          <w:b w:val="0"/>
          <w:bCs/>
          <w:sz w:val="28"/>
          <w:szCs w:val="28"/>
          <w:lang w:eastAsia="zh-CN"/>
        </w:rPr>
        <w:t>数量，并根据工作内容制定人员岗位和排班，保障岗点人员适格。</w:t>
      </w:r>
    </w:p>
    <w:p w14:paraId="7BD242DD">
      <w:pPr>
        <w:numPr>
          <w:ilvl w:val="0"/>
          <w:numId w:val="0"/>
        </w:numPr>
        <w:spacing w:line="570" w:lineRule="exact"/>
        <w:ind w:firstLine="1120" w:firstLineChars="400"/>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2、中标</w:t>
      </w:r>
      <w:r>
        <w:rPr>
          <w:rFonts w:hint="eastAsia" w:ascii="仿宋_GB2312" w:hAnsi="仿宋_GB2312" w:eastAsia="仿宋_GB2312" w:cs="仿宋_GB2312"/>
          <w:b w:val="0"/>
          <w:bCs/>
          <w:sz w:val="28"/>
          <w:szCs w:val="28"/>
          <w:lang w:eastAsia="zh-CN"/>
        </w:rPr>
        <w:t>方应保证派遣的人员在劳动用工上符合国家有关法律法规，工作时间应符合劳动法的要求，承诺购买足额的雇主责任险和公众责任险等必要的保险。</w:t>
      </w:r>
    </w:p>
    <w:p w14:paraId="00CBB6A5">
      <w:pPr>
        <w:numPr>
          <w:ilvl w:val="0"/>
          <w:numId w:val="2"/>
        </w:numPr>
        <w:spacing w:line="570" w:lineRule="exact"/>
        <w:ind w:firstLine="562" w:firstLineChars="200"/>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lang w:eastAsia="zh-CN"/>
        </w:rPr>
        <w:t>工作安排</w:t>
      </w:r>
    </w:p>
    <w:p w14:paraId="279805AC">
      <w:pPr>
        <w:numPr>
          <w:ilvl w:val="0"/>
          <w:numId w:val="0"/>
        </w:numPr>
        <w:spacing w:line="570" w:lineRule="exact"/>
        <w:ind w:firstLine="560" w:firstLineChars="200"/>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七浦路</w:t>
      </w:r>
      <w:r>
        <w:rPr>
          <w:rFonts w:hint="eastAsia" w:ascii="仿宋_GB2312" w:hAnsi="仿宋_GB2312" w:eastAsia="仿宋_GB2312" w:cs="仿宋_GB2312"/>
          <w:b w:val="0"/>
          <w:bCs/>
          <w:sz w:val="28"/>
          <w:szCs w:val="28"/>
          <w:lang w:val="en-US" w:eastAsia="zh-CN"/>
        </w:rPr>
        <w:t>街区治安钉子岗需覆盖街区主要路段和路口，具体为：福建北路塘沽路路口、福建北路七浦路路口、山西北路七浦路路口、浙江北路七浦路口、山西北路塘沽路路口、河南北路天潼路路口、河南北路七浦路路口、河南北路塘沽路路口等8个路口，辅助职能部门开展相关治理工作及后续“钉子岗”固守。工作内容为：(1)协助民警开展街区相关治安、反恐、维稳工作。（2）在岗点周边巡逻，及时发现、劝阻、上报扰乱治安和威胁公共安全的行为。(3)岗点周边道路两侧人行道有划定非机动车停放区域的，维护各种非机动车停放整齐、有序，劝阻非机动车乱停放行为。（4）在岗点周边有交通、市容、卫生等相关街区治理工作时予以力所能及的协助和配合。中标方应针对上述工作内容制定</w:t>
      </w:r>
      <w:r>
        <w:rPr>
          <w:rFonts w:hint="eastAsia" w:ascii="仿宋_GB2312" w:hAnsi="仿宋_GB2312" w:eastAsia="仿宋_GB2312" w:cs="仿宋_GB2312"/>
          <w:b w:val="0"/>
          <w:bCs/>
          <w:sz w:val="28"/>
          <w:szCs w:val="28"/>
        </w:rPr>
        <w:t>具体工作</w:t>
      </w:r>
      <w:r>
        <w:rPr>
          <w:rFonts w:hint="eastAsia" w:ascii="仿宋_GB2312" w:hAnsi="仿宋_GB2312" w:eastAsia="仿宋_GB2312" w:cs="仿宋_GB2312"/>
          <w:b w:val="0"/>
          <w:bCs/>
          <w:sz w:val="28"/>
          <w:szCs w:val="28"/>
          <w:lang w:eastAsia="zh-CN"/>
        </w:rPr>
        <w:t>方案和措施。</w:t>
      </w:r>
    </w:p>
    <w:p w14:paraId="54E7813E">
      <w:pPr>
        <w:numPr>
          <w:ilvl w:val="0"/>
          <w:numId w:val="2"/>
        </w:numPr>
        <w:spacing w:line="570" w:lineRule="exact"/>
        <w:ind w:firstLine="562" w:firstLineChars="200"/>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lang w:eastAsia="zh-CN"/>
        </w:rPr>
        <w:t>配套设备</w:t>
      </w:r>
    </w:p>
    <w:p w14:paraId="22264859">
      <w:pPr>
        <w:numPr>
          <w:ilvl w:val="0"/>
          <w:numId w:val="0"/>
        </w:numPr>
        <w:spacing w:line="570" w:lineRule="exact"/>
        <w:ind w:firstLine="560" w:firstLineChars="200"/>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派遣人员需着</w:t>
      </w:r>
      <w:r>
        <w:rPr>
          <w:rFonts w:hint="eastAsia" w:ascii="仿宋_GB2312" w:hAnsi="仿宋_GB2312" w:eastAsia="仿宋_GB2312" w:cs="仿宋_GB2312"/>
          <w:b w:val="0"/>
          <w:bCs/>
          <w:sz w:val="28"/>
          <w:szCs w:val="28"/>
          <w:lang w:val="en-US" w:eastAsia="zh-CN"/>
        </w:rPr>
        <w:t>统一制服，配备头盔、对讲机、录音、录像设备等，队伍需配置防暴盾、防暴钢叉等工具。</w:t>
      </w:r>
    </w:p>
    <w:p w14:paraId="68B2E446">
      <w:pPr>
        <w:numPr>
          <w:ilvl w:val="0"/>
          <w:numId w:val="2"/>
        </w:numPr>
        <w:spacing w:line="570" w:lineRule="exact"/>
        <w:ind w:firstLine="562" w:firstLineChars="200"/>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lang w:eastAsia="zh-CN"/>
        </w:rPr>
        <w:t>应急预案</w:t>
      </w:r>
    </w:p>
    <w:p w14:paraId="353A822E">
      <w:pPr>
        <w:numPr>
          <w:ilvl w:val="0"/>
          <w:numId w:val="0"/>
        </w:numPr>
        <w:spacing w:line="570" w:lineRule="exact"/>
        <w:ind w:firstLine="560" w:firstLineChars="200"/>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sz w:val="28"/>
          <w:szCs w:val="28"/>
          <w:lang w:eastAsia="zh-CN"/>
        </w:rPr>
        <w:t>中标方应针对七浦路街区可能的公共安全风险，有相关应急预案，内容涉及如防</w:t>
      </w:r>
      <w:r>
        <w:rPr>
          <w:rFonts w:hint="eastAsia" w:ascii="仿宋_GB2312" w:hAnsi="仿宋_GB2312" w:eastAsia="仿宋_GB2312" w:cs="仿宋_GB2312"/>
          <w:b w:val="0"/>
          <w:bCs/>
          <w:color w:val="auto"/>
          <w:sz w:val="28"/>
          <w:szCs w:val="28"/>
          <w:lang w:eastAsia="zh-CN"/>
        </w:rPr>
        <w:t>火、防台、防汛、反恐及其他突发应急情况等。</w:t>
      </w:r>
    </w:p>
    <w:p w14:paraId="4ADCF899">
      <w:pPr>
        <w:numPr>
          <w:ilvl w:val="0"/>
          <w:numId w:val="2"/>
        </w:numPr>
        <w:spacing w:line="570" w:lineRule="exact"/>
        <w:ind w:firstLine="562" w:firstLineChars="200"/>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lang w:eastAsia="zh-CN"/>
        </w:rPr>
        <w:t>派遣人员管理</w:t>
      </w:r>
    </w:p>
    <w:p w14:paraId="1D7B0989">
      <w:pPr>
        <w:numPr>
          <w:ilvl w:val="0"/>
          <w:numId w:val="0"/>
        </w:numPr>
        <w:spacing w:line="570" w:lineRule="exact"/>
        <w:ind w:firstLine="560" w:firstLineChars="200"/>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eastAsia="zh-CN"/>
        </w:rPr>
        <w:t>中标方应有完善的人员管理制度，有激励机制、监督机制、自我约束机制、信息反馈渠道及处理机制，有可靠的服务质量保证措施，服务质量检查、验收方法和标准，投诉处理和及时整改方案。同时派遣人员日常工作受北站街道及七浦路商业街区管理办公室领导，中标方需保障派遣人员遵守上述用人单位相关制度和工作要求</w:t>
      </w:r>
      <w:r>
        <w:rPr>
          <w:rFonts w:hint="eastAsia" w:ascii="仿宋_GB2312" w:hAnsi="仿宋_GB2312" w:eastAsia="仿宋_GB2312" w:cs="仿宋_GB2312"/>
          <w:b w:val="0"/>
          <w:bCs/>
          <w:color w:val="auto"/>
          <w:sz w:val="28"/>
          <w:szCs w:val="28"/>
          <w:lang w:val="en-US" w:eastAsia="zh-CN"/>
        </w:rPr>
        <w:t>。</w:t>
      </w:r>
    </w:p>
    <w:p w14:paraId="06909E06">
      <w:pPr>
        <w:numPr>
          <w:ilvl w:val="0"/>
          <w:numId w:val="2"/>
        </w:numPr>
        <w:spacing w:line="570" w:lineRule="exact"/>
        <w:ind w:firstLine="562" w:firstLineChars="200"/>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lang w:eastAsia="zh-CN"/>
        </w:rPr>
        <w:t>派遣人员培训</w:t>
      </w:r>
    </w:p>
    <w:p w14:paraId="39892B6F">
      <w:pPr>
        <w:numPr>
          <w:ilvl w:val="0"/>
          <w:numId w:val="0"/>
        </w:numPr>
        <w:spacing w:line="570" w:lineRule="exact"/>
        <w:ind w:firstLine="560" w:firstLineChars="200"/>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eastAsia="zh-CN"/>
        </w:rPr>
        <w:t>中标方需对派遣人员</w:t>
      </w:r>
      <w:r>
        <w:rPr>
          <w:rFonts w:hint="eastAsia" w:ascii="仿宋_GB2312" w:hAnsi="仿宋_GB2312" w:eastAsia="仿宋_GB2312" w:cs="仿宋_GB2312"/>
          <w:b w:val="0"/>
          <w:bCs/>
          <w:color w:val="auto"/>
          <w:sz w:val="28"/>
          <w:szCs w:val="28"/>
        </w:rPr>
        <w:t>进行岗前培训，</w:t>
      </w:r>
      <w:r>
        <w:rPr>
          <w:rFonts w:hint="eastAsia" w:ascii="仿宋_GB2312" w:hAnsi="仿宋_GB2312" w:eastAsia="仿宋_GB2312" w:cs="仿宋_GB2312"/>
          <w:b w:val="0"/>
          <w:bCs/>
          <w:color w:val="auto"/>
          <w:sz w:val="28"/>
          <w:szCs w:val="28"/>
          <w:lang w:eastAsia="zh-CN"/>
        </w:rPr>
        <w:t>有相应的培训方案，</w:t>
      </w:r>
      <w:r>
        <w:rPr>
          <w:rFonts w:hint="eastAsia" w:ascii="仿宋_GB2312" w:hAnsi="仿宋_GB2312" w:eastAsia="仿宋_GB2312" w:cs="仿宋_GB2312"/>
          <w:b w:val="0"/>
          <w:bCs/>
          <w:color w:val="auto"/>
          <w:sz w:val="28"/>
          <w:szCs w:val="28"/>
        </w:rPr>
        <w:t>培训</w:t>
      </w:r>
      <w:r>
        <w:rPr>
          <w:rFonts w:hint="eastAsia" w:ascii="仿宋_GB2312" w:hAnsi="仿宋_GB2312" w:eastAsia="仿宋_GB2312" w:cs="仿宋_GB2312"/>
          <w:b w:val="0"/>
          <w:bCs/>
          <w:color w:val="auto"/>
          <w:sz w:val="28"/>
          <w:szCs w:val="28"/>
          <w:lang w:eastAsia="zh-CN"/>
        </w:rPr>
        <w:t>合格</w:t>
      </w:r>
      <w:r>
        <w:rPr>
          <w:rFonts w:hint="eastAsia" w:ascii="仿宋_GB2312" w:hAnsi="仿宋_GB2312" w:eastAsia="仿宋_GB2312" w:cs="仿宋_GB2312"/>
          <w:b w:val="0"/>
          <w:bCs/>
          <w:color w:val="auto"/>
          <w:sz w:val="28"/>
          <w:szCs w:val="28"/>
        </w:rPr>
        <w:t>方可上岗</w:t>
      </w:r>
      <w:r>
        <w:rPr>
          <w:rFonts w:hint="eastAsia" w:ascii="仿宋_GB2312" w:hAnsi="仿宋_GB2312" w:eastAsia="仿宋_GB2312" w:cs="仿宋_GB2312"/>
          <w:b w:val="0"/>
          <w:bCs/>
          <w:color w:val="auto"/>
          <w:sz w:val="28"/>
          <w:szCs w:val="28"/>
          <w:lang w:eastAsia="zh-CN"/>
        </w:rPr>
        <w:t>。</w:t>
      </w:r>
    </w:p>
    <w:p w14:paraId="6AF31144">
      <w:pPr>
        <w:numPr>
          <w:ilvl w:val="0"/>
          <w:numId w:val="2"/>
        </w:numPr>
        <w:spacing w:line="570" w:lineRule="exact"/>
        <w:ind w:firstLine="562" w:firstLineChars="200"/>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lang w:eastAsia="zh-CN"/>
        </w:rPr>
        <w:t>服务承诺</w:t>
      </w:r>
    </w:p>
    <w:p w14:paraId="4EA32EE7">
      <w:pPr>
        <w:numPr>
          <w:ilvl w:val="0"/>
          <w:numId w:val="3"/>
        </w:numPr>
        <w:spacing w:line="570" w:lineRule="exact"/>
        <w:ind w:firstLine="560" w:firstLineChars="200"/>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项目合同签订后第二天相关人员即需到岗开展工作，合同期间</w:t>
      </w:r>
      <w:r>
        <w:rPr>
          <w:rFonts w:hint="eastAsia" w:ascii="仿宋_GB2312" w:hAnsi="仿宋_GB2312" w:eastAsia="仿宋_GB2312" w:cs="仿宋_GB2312"/>
          <w:b w:val="0"/>
          <w:bCs/>
          <w:color w:val="auto"/>
          <w:sz w:val="28"/>
          <w:szCs w:val="28"/>
          <w:lang w:val="en-US" w:eastAsia="zh-CN"/>
        </w:rPr>
        <w:t>中标</w:t>
      </w:r>
      <w:r>
        <w:rPr>
          <w:rFonts w:hint="eastAsia" w:ascii="仿宋_GB2312" w:hAnsi="仿宋_GB2312" w:eastAsia="仿宋_GB2312" w:cs="仿宋_GB2312"/>
          <w:b w:val="0"/>
          <w:bCs/>
          <w:color w:val="auto"/>
          <w:sz w:val="28"/>
          <w:szCs w:val="28"/>
          <w:lang w:eastAsia="zh-CN"/>
        </w:rPr>
        <w:t>方不得提高服务价格，应确保每个岗位人员的稳定性，流动性不大于</w:t>
      </w:r>
      <w:r>
        <w:rPr>
          <w:rFonts w:hint="eastAsia" w:ascii="仿宋_GB2312" w:hAnsi="仿宋_GB2312" w:eastAsia="仿宋_GB2312" w:cs="仿宋_GB2312"/>
          <w:b w:val="0"/>
          <w:bCs/>
          <w:color w:val="auto"/>
          <w:sz w:val="28"/>
          <w:szCs w:val="28"/>
          <w:lang w:val="en-US" w:eastAsia="zh-CN"/>
        </w:rPr>
        <w:t>10%，且不得缺岗，</w:t>
      </w:r>
      <w:r>
        <w:rPr>
          <w:rFonts w:hint="eastAsia" w:ascii="仿宋_GB2312" w:hAnsi="仿宋_GB2312" w:eastAsia="仿宋_GB2312" w:cs="仿宋_GB2312"/>
          <w:b w:val="0"/>
          <w:bCs/>
          <w:color w:val="auto"/>
          <w:sz w:val="28"/>
          <w:szCs w:val="28"/>
          <w:lang w:eastAsia="zh-CN"/>
        </w:rPr>
        <w:t>如遇特殊情况，用人单位要求额外增加工作量的，根据相关规定执行。</w:t>
      </w:r>
    </w:p>
    <w:p w14:paraId="5B3B9CD8">
      <w:pPr>
        <w:numPr>
          <w:ilvl w:val="0"/>
          <w:numId w:val="3"/>
        </w:numPr>
        <w:spacing w:line="570" w:lineRule="exact"/>
        <w:ind w:left="0" w:leftChars="0" w:firstLine="560" w:firstLineChars="200"/>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派遣人员如不能完成工作任务或达不到用人单位的要求，用人单位有权要求</w:t>
      </w:r>
      <w:r>
        <w:rPr>
          <w:rFonts w:hint="eastAsia" w:ascii="仿宋_GB2312" w:hAnsi="仿宋_GB2312" w:eastAsia="仿宋_GB2312" w:cs="仿宋_GB2312"/>
          <w:b w:val="0"/>
          <w:bCs/>
          <w:color w:val="auto"/>
          <w:sz w:val="28"/>
          <w:szCs w:val="28"/>
          <w:lang w:val="en-US" w:eastAsia="zh-CN"/>
        </w:rPr>
        <w:t>中标</w:t>
      </w:r>
      <w:r>
        <w:rPr>
          <w:rFonts w:hint="eastAsia" w:ascii="仿宋_GB2312" w:hAnsi="仿宋_GB2312" w:eastAsia="仿宋_GB2312" w:cs="仿宋_GB2312"/>
          <w:b w:val="0"/>
          <w:bCs/>
          <w:color w:val="auto"/>
          <w:sz w:val="28"/>
          <w:szCs w:val="28"/>
          <w:lang w:eastAsia="zh-CN"/>
        </w:rPr>
        <w:t>方更换人员，确保相关工作顺利开展。</w:t>
      </w:r>
    </w:p>
    <w:p w14:paraId="56BE24BC">
      <w:pPr>
        <w:numPr>
          <w:ilvl w:val="0"/>
          <w:numId w:val="3"/>
        </w:numPr>
        <w:spacing w:line="570" w:lineRule="exact"/>
        <w:ind w:left="0" w:leftChars="0" w:firstLine="560" w:firstLineChars="200"/>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val="en-US" w:eastAsia="zh-CN"/>
        </w:rPr>
        <w:t>中标方对其派遣人员在工作中发生的一切非用人单位因素造成的人身伤害及财产损坏负全部责任，派遣人员</w:t>
      </w:r>
      <w:r>
        <w:rPr>
          <w:rFonts w:hint="eastAsia" w:ascii="仿宋_GB2312" w:hAnsi="仿宋_GB2312" w:eastAsia="仿宋_GB2312" w:cs="仿宋_GB2312"/>
          <w:b w:val="0"/>
          <w:bCs/>
          <w:color w:val="auto"/>
          <w:sz w:val="28"/>
          <w:szCs w:val="28"/>
          <w:lang w:eastAsia="zh-CN"/>
        </w:rPr>
        <w:t>的</w:t>
      </w:r>
      <w:r>
        <w:rPr>
          <w:rFonts w:hint="eastAsia" w:ascii="仿宋_GB2312" w:hAnsi="仿宋_GB2312" w:eastAsia="仿宋_GB2312" w:cs="仿宋_GB2312"/>
          <w:b w:val="0"/>
          <w:bCs/>
          <w:color w:val="auto"/>
          <w:sz w:val="28"/>
          <w:szCs w:val="28"/>
          <w:lang w:val="en-US" w:eastAsia="zh-CN"/>
        </w:rPr>
        <w:t>服装、</w:t>
      </w:r>
      <w:r>
        <w:rPr>
          <w:rFonts w:hint="eastAsia" w:ascii="仿宋_GB2312" w:hAnsi="仿宋_GB2312" w:eastAsia="仿宋_GB2312" w:cs="仿宋_GB2312"/>
          <w:b w:val="0"/>
          <w:bCs/>
          <w:color w:val="auto"/>
          <w:sz w:val="28"/>
          <w:szCs w:val="28"/>
          <w:lang w:eastAsia="zh-CN"/>
        </w:rPr>
        <w:t>装备、食宿等后勤保障工作由中标</w:t>
      </w:r>
      <w:r>
        <w:rPr>
          <w:rFonts w:hint="eastAsia" w:ascii="仿宋_GB2312" w:hAnsi="仿宋_GB2312" w:eastAsia="仿宋_GB2312" w:cs="仿宋_GB2312"/>
          <w:b w:val="0"/>
          <w:bCs/>
          <w:color w:val="auto"/>
          <w:sz w:val="28"/>
          <w:szCs w:val="28"/>
          <w:lang w:val="en-US" w:eastAsia="zh-CN"/>
        </w:rPr>
        <w:t>方</w:t>
      </w:r>
      <w:r>
        <w:rPr>
          <w:rFonts w:hint="eastAsia" w:ascii="仿宋_GB2312" w:hAnsi="仿宋_GB2312" w:eastAsia="仿宋_GB2312" w:cs="仿宋_GB2312"/>
          <w:b w:val="0"/>
          <w:bCs/>
          <w:color w:val="auto"/>
          <w:sz w:val="28"/>
          <w:szCs w:val="28"/>
          <w:lang w:eastAsia="zh-CN"/>
        </w:rPr>
        <w:t>负责。</w:t>
      </w:r>
    </w:p>
    <w:p w14:paraId="165C1FDC">
      <w:pPr>
        <w:numPr>
          <w:ilvl w:val="0"/>
          <w:numId w:val="2"/>
        </w:numPr>
        <w:spacing w:line="570" w:lineRule="exact"/>
        <w:ind w:left="0" w:leftChars="0" w:firstLine="562" w:firstLineChars="200"/>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综合实力和项目业绩</w:t>
      </w:r>
    </w:p>
    <w:p w14:paraId="5507D108">
      <w:pPr>
        <w:numPr>
          <w:ilvl w:val="0"/>
          <w:numId w:val="4"/>
        </w:numPr>
        <w:spacing w:line="570" w:lineRule="exact"/>
        <w:ind w:left="0" w:leftChars="0"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投标单位具有在有效期内的质量管理体系认证、环境管理体系认证、职业健康安全管理体系认证等资质的优先。</w:t>
      </w:r>
    </w:p>
    <w:p w14:paraId="3792C243">
      <w:pPr>
        <w:numPr>
          <w:ilvl w:val="0"/>
          <w:numId w:val="4"/>
        </w:numPr>
        <w:spacing w:line="570" w:lineRule="exact"/>
        <w:ind w:left="0" w:leftChars="0" w:firstLine="560" w:firstLineChars="200"/>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color w:val="auto"/>
          <w:sz w:val="28"/>
          <w:szCs w:val="28"/>
          <w:lang w:val="en-US" w:eastAsia="zh-CN"/>
        </w:rPr>
        <w:t>投标单位具有类似</w:t>
      </w:r>
      <w:r>
        <w:rPr>
          <w:rFonts w:hint="eastAsia" w:ascii="仿宋_GB2312" w:hAnsi="仿宋_GB2312" w:eastAsia="仿宋_GB2312" w:cs="仿宋_GB2312"/>
          <w:b w:val="0"/>
          <w:bCs/>
          <w:color w:val="auto"/>
          <w:sz w:val="28"/>
          <w:szCs w:val="28"/>
          <w:lang w:val="en-US" w:eastAsia="zh-CN"/>
        </w:rPr>
        <w:t>项目</w:t>
      </w:r>
      <w:r>
        <w:rPr>
          <w:rFonts w:hint="default" w:ascii="仿宋_GB2312" w:hAnsi="仿宋_GB2312" w:eastAsia="仿宋_GB2312" w:cs="仿宋_GB2312"/>
          <w:b w:val="0"/>
          <w:bCs/>
          <w:color w:val="auto"/>
          <w:sz w:val="28"/>
          <w:szCs w:val="28"/>
          <w:lang w:val="en-US" w:eastAsia="zh-CN"/>
        </w:rPr>
        <w:t>业绩的优先，提供最近三年内合同复印件加盖公章，提供最近</w:t>
      </w:r>
      <w:r>
        <w:rPr>
          <w:rFonts w:hint="default" w:ascii="仿宋_GB2312" w:hAnsi="仿宋_GB2312" w:eastAsia="仿宋_GB2312" w:cs="仿宋_GB2312"/>
          <w:b w:val="0"/>
          <w:bCs/>
          <w:sz w:val="28"/>
          <w:szCs w:val="28"/>
          <w:lang w:val="en-US" w:eastAsia="zh-CN"/>
        </w:rPr>
        <w:t>三年内</w:t>
      </w:r>
      <w:r>
        <w:rPr>
          <w:rFonts w:hint="eastAsia" w:ascii="仿宋_GB2312" w:hAnsi="仿宋_GB2312" w:eastAsia="仿宋_GB2312" w:cs="仿宋_GB2312"/>
          <w:b w:val="0"/>
          <w:bCs/>
          <w:sz w:val="28"/>
          <w:szCs w:val="28"/>
          <w:lang w:val="en-US" w:eastAsia="zh-CN"/>
        </w:rPr>
        <w:t>服务购买方</w:t>
      </w:r>
      <w:r>
        <w:rPr>
          <w:rFonts w:hint="default" w:ascii="仿宋_GB2312" w:hAnsi="仿宋_GB2312" w:eastAsia="仿宋_GB2312" w:cs="仿宋_GB2312"/>
          <w:b w:val="0"/>
          <w:bCs/>
          <w:sz w:val="28"/>
          <w:szCs w:val="28"/>
          <w:lang w:val="en-US" w:eastAsia="zh-CN"/>
        </w:rPr>
        <w:t>评价优秀（或满意）的材料。</w:t>
      </w:r>
    </w:p>
    <w:p w14:paraId="2D968091">
      <w:pPr>
        <w:spacing w:line="570" w:lineRule="exac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四、其他事项</w:t>
      </w:r>
    </w:p>
    <w:p w14:paraId="542B0F06">
      <w:pPr>
        <w:spacing w:line="57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1、</w:t>
      </w:r>
      <w:r>
        <w:rPr>
          <w:rFonts w:hint="eastAsia" w:ascii="仿宋_GB2312" w:hAnsi="仿宋_GB2312" w:eastAsia="仿宋_GB2312" w:cs="仿宋_GB2312"/>
          <w:b/>
          <w:bCs w:val="0"/>
          <w:sz w:val="28"/>
          <w:szCs w:val="28"/>
        </w:rPr>
        <w:t>本项</w:t>
      </w:r>
      <w:r>
        <w:rPr>
          <w:rFonts w:hint="eastAsia" w:ascii="仿宋_GB2312" w:hAnsi="仿宋_GB2312" w:eastAsia="仿宋_GB2312" w:cs="仿宋_GB2312"/>
          <w:b/>
          <w:bCs w:val="0"/>
          <w:sz w:val="28"/>
          <w:szCs w:val="28"/>
          <w:lang w:eastAsia="zh-CN"/>
        </w:rPr>
        <w:t>目</w:t>
      </w:r>
      <w:r>
        <w:rPr>
          <w:rFonts w:hint="eastAsia" w:ascii="仿宋_GB2312" w:hAnsi="仿宋_GB2312" w:eastAsia="仿宋_GB2312" w:cs="仿宋_GB2312"/>
          <w:b/>
          <w:bCs w:val="0"/>
          <w:sz w:val="28"/>
          <w:szCs w:val="28"/>
        </w:rPr>
        <w:t>起止时间为202</w:t>
      </w:r>
      <w:r>
        <w:rPr>
          <w:rFonts w:hint="eastAsia" w:ascii="仿宋_GB2312" w:hAnsi="仿宋_GB2312" w:eastAsia="仿宋_GB2312" w:cs="仿宋_GB2312"/>
          <w:b/>
          <w:bCs w:val="0"/>
          <w:sz w:val="28"/>
          <w:szCs w:val="28"/>
          <w:lang w:val="en-US" w:eastAsia="zh-CN"/>
        </w:rPr>
        <w:t>5</w:t>
      </w:r>
      <w:r>
        <w:rPr>
          <w:rFonts w:hint="eastAsia" w:ascii="仿宋_GB2312" w:hAnsi="仿宋_GB2312" w:eastAsia="仿宋_GB2312" w:cs="仿宋_GB2312"/>
          <w:b/>
          <w:bCs w:val="0"/>
          <w:sz w:val="28"/>
          <w:szCs w:val="28"/>
        </w:rPr>
        <w:t>年</w:t>
      </w:r>
      <w:r>
        <w:rPr>
          <w:rFonts w:hint="eastAsia" w:ascii="仿宋_GB2312" w:hAnsi="仿宋_GB2312" w:eastAsia="仿宋_GB2312" w:cs="仿宋_GB2312"/>
          <w:b/>
          <w:bCs w:val="0"/>
          <w:sz w:val="28"/>
          <w:szCs w:val="28"/>
          <w:lang w:val="en-US" w:eastAsia="zh-CN"/>
        </w:rPr>
        <w:t>7</w:t>
      </w:r>
      <w:r>
        <w:rPr>
          <w:rFonts w:hint="eastAsia" w:ascii="仿宋_GB2312" w:hAnsi="仿宋_GB2312" w:eastAsia="仿宋_GB2312" w:cs="仿宋_GB2312"/>
          <w:b/>
          <w:bCs w:val="0"/>
          <w:sz w:val="28"/>
          <w:szCs w:val="28"/>
        </w:rPr>
        <w:t>月1</w:t>
      </w:r>
      <w:r>
        <w:rPr>
          <w:rFonts w:hint="eastAsia" w:ascii="仿宋_GB2312" w:hAnsi="仿宋_GB2312" w:eastAsia="仿宋_GB2312" w:cs="仿宋_GB2312"/>
          <w:b/>
          <w:bCs w:val="0"/>
          <w:sz w:val="28"/>
          <w:szCs w:val="28"/>
          <w:lang w:val="en-US" w:eastAsia="zh-CN"/>
        </w:rPr>
        <w:t>9</w:t>
      </w:r>
      <w:r>
        <w:rPr>
          <w:rFonts w:hint="eastAsia" w:ascii="仿宋_GB2312" w:hAnsi="仿宋_GB2312" w:eastAsia="仿宋_GB2312" w:cs="仿宋_GB2312"/>
          <w:b/>
          <w:bCs w:val="0"/>
          <w:sz w:val="28"/>
          <w:szCs w:val="28"/>
        </w:rPr>
        <w:t>日至202</w:t>
      </w:r>
      <w:r>
        <w:rPr>
          <w:rFonts w:hint="eastAsia" w:ascii="仿宋_GB2312" w:hAnsi="仿宋_GB2312" w:eastAsia="仿宋_GB2312" w:cs="仿宋_GB2312"/>
          <w:b/>
          <w:bCs w:val="0"/>
          <w:sz w:val="28"/>
          <w:szCs w:val="28"/>
          <w:lang w:val="en-US" w:eastAsia="zh-CN"/>
        </w:rPr>
        <w:t>6</w:t>
      </w:r>
      <w:r>
        <w:rPr>
          <w:rFonts w:hint="eastAsia" w:ascii="仿宋_GB2312" w:hAnsi="仿宋_GB2312" w:eastAsia="仿宋_GB2312" w:cs="仿宋_GB2312"/>
          <w:b/>
          <w:bCs w:val="0"/>
          <w:sz w:val="28"/>
          <w:szCs w:val="28"/>
        </w:rPr>
        <w:t>年</w:t>
      </w:r>
      <w:r>
        <w:rPr>
          <w:rFonts w:hint="eastAsia" w:ascii="仿宋_GB2312" w:hAnsi="仿宋_GB2312" w:eastAsia="仿宋_GB2312" w:cs="仿宋_GB2312"/>
          <w:b/>
          <w:bCs w:val="0"/>
          <w:sz w:val="28"/>
          <w:szCs w:val="28"/>
          <w:lang w:val="en-US" w:eastAsia="zh-CN"/>
        </w:rPr>
        <w:t>7</w:t>
      </w:r>
      <w:r>
        <w:rPr>
          <w:rFonts w:hint="eastAsia" w:ascii="仿宋_GB2312" w:hAnsi="仿宋_GB2312" w:eastAsia="仿宋_GB2312" w:cs="仿宋_GB2312"/>
          <w:b/>
          <w:bCs w:val="0"/>
          <w:sz w:val="28"/>
          <w:szCs w:val="28"/>
        </w:rPr>
        <w:t>月</w:t>
      </w:r>
      <w:r>
        <w:rPr>
          <w:rFonts w:hint="eastAsia" w:ascii="仿宋_GB2312" w:hAnsi="仿宋_GB2312" w:eastAsia="仿宋_GB2312" w:cs="仿宋_GB2312"/>
          <w:b/>
          <w:bCs w:val="0"/>
          <w:sz w:val="28"/>
          <w:szCs w:val="28"/>
          <w:lang w:val="en-US" w:eastAsia="zh-CN"/>
        </w:rPr>
        <w:t>18</w:t>
      </w:r>
      <w:r>
        <w:rPr>
          <w:rFonts w:hint="eastAsia" w:ascii="仿宋_GB2312" w:hAnsi="仿宋_GB2312" w:eastAsia="仿宋_GB2312" w:cs="仿宋_GB2312"/>
          <w:b/>
          <w:bCs w:val="0"/>
          <w:sz w:val="28"/>
          <w:szCs w:val="28"/>
        </w:rPr>
        <w:t>日。</w:t>
      </w:r>
    </w:p>
    <w:p w14:paraId="79BAC9E6">
      <w:pPr>
        <w:spacing w:line="570" w:lineRule="exact"/>
        <w:ind w:firstLine="560"/>
        <w:jc w:val="left"/>
        <w:rPr>
          <w:rFonts w:hint="eastAsia" w:ascii="仿宋" w:hAnsi="仿宋" w:eastAsia="仿宋" w:cs="仿宋"/>
          <w:b/>
          <w:bCs/>
          <w:color w:val="000000" w:themeColor="text1"/>
          <w:sz w:val="28"/>
          <w:szCs w:val="28"/>
          <w:lang w:eastAsia="zh-CN"/>
          <w14:textFill>
            <w14:solidFill>
              <w14:schemeClr w14:val="tx1"/>
            </w14:solidFill>
          </w14:textFill>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
          <w:bCs/>
          <w:color w:val="000000" w:themeColor="text1"/>
          <w:sz w:val="28"/>
          <w:szCs w:val="28"/>
          <w14:textFill>
            <w14:solidFill>
              <w14:schemeClr w14:val="tx1"/>
            </w14:solidFill>
          </w14:textFill>
        </w:rPr>
        <w:t>本项目预算金额为</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1027608</w:t>
      </w:r>
      <w:r>
        <w:rPr>
          <w:rFonts w:hint="eastAsia" w:ascii="仿宋_GB2312" w:hAnsi="仿宋_GB2312" w:eastAsia="仿宋_GB2312" w:cs="仿宋_GB2312"/>
          <w:b/>
          <w:bCs/>
          <w:color w:val="000000" w:themeColor="text1"/>
          <w:sz w:val="28"/>
          <w:szCs w:val="28"/>
          <w14:textFill>
            <w14:solidFill>
              <w14:schemeClr w14:val="tx1"/>
            </w14:solidFill>
          </w14:textFill>
        </w:rPr>
        <w:t>元</w:t>
      </w: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p>
    <w:p w14:paraId="3835A1E2">
      <w:pPr>
        <w:spacing w:line="570" w:lineRule="exact"/>
        <w:ind w:firstLine="560"/>
        <w:jc w:val="left"/>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3、</w:t>
      </w:r>
      <w:r>
        <w:rPr>
          <w:rFonts w:hint="eastAsia" w:ascii="仿宋_GB2312" w:hAnsi="仿宋_GB2312" w:eastAsia="仿宋_GB2312" w:cs="仿宋_GB2312"/>
          <w:b/>
          <w:bCs/>
          <w:color w:val="auto"/>
          <w:sz w:val="28"/>
          <w:szCs w:val="28"/>
        </w:rPr>
        <w:t>付费方式：</w:t>
      </w:r>
      <w:r>
        <w:rPr>
          <w:rFonts w:hint="eastAsia" w:ascii="仿宋_GB2312" w:hAnsi="仿宋_GB2312" w:eastAsia="仿宋_GB2312" w:cs="仿宋_GB2312"/>
          <w:b/>
          <w:bCs/>
          <w:color w:val="auto"/>
          <w:sz w:val="28"/>
          <w:szCs w:val="28"/>
          <w:lang w:val="en-US" w:eastAsia="zh-CN"/>
        </w:rPr>
        <w:t>按季度支付</w:t>
      </w:r>
      <w:r>
        <w:rPr>
          <w:rFonts w:hint="eastAsia" w:ascii="仿宋_GB2312" w:hAnsi="仿宋_GB2312" w:eastAsia="仿宋_GB2312" w:cs="仿宋_GB2312"/>
          <w:b/>
          <w:bCs/>
          <w:color w:val="auto"/>
          <w:sz w:val="28"/>
          <w:szCs w:val="28"/>
          <w:lang w:eastAsia="zh-CN"/>
        </w:rPr>
        <w:t>。</w:t>
      </w:r>
    </w:p>
    <w:p w14:paraId="267053AE">
      <w:pPr>
        <w:spacing w:line="570" w:lineRule="exact"/>
        <w:jc w:val="left"/>
        <w:rPr>
          <w:rFonts w:hint="eastAsia" w:ascii="仿宋" w:hAnsi="仿宋" w:eastAsia="仿宋" w:cs="仿宋"/>
          <w:b w:val="0"/>
          <w:bCs w:val="0"/>
          <w:sz w:val="28"/>
          <w:szCs w:val="28"/>
        </w:rPr>
      </w:pPr>
    </w:p>
    <w:p w14:paraId="4EB5A790">
      <w:pPr>
        <w:spacing w:line="570" w:lineRule="exact"/>
        <w:jc w:val="left"/>
        <w:rPr>
          <w:rFonts w:hint="eastAsia" w:ascii="仿宋" w:hAnsi="仿宋" w:eastAsia="仿宋" w:cs="仿宋"/>
          <w:b w:val="0"/>
          <w:bCs w:val="0"/>
          <w:sz w:val="28"/>
          <w:szCs w:val="28"/>
        </w:rPr>
      </w:pPr>
    </w:p>
    <w:p w14:paraId="1BB713CF">
      <w:pPr>
        <w:spacing w:line="570" w:lineRule="exact"/>
        <w:jc w:val="left"/>
        <w:rPr>
          <w:rFonts w:hint="eastAsia" w:ascii="仿宋" w:hAnsi="仿宋" w:eastAsia="仿宋" w:cs="仿宋"/>
          <w:b w:val="0"/>
          <w:bCs w:val="0"/>
          <w:sz w:val="28"/>
          <w:szCs w:val="28"/>
        </w:rPr>
      </w:pPr>
    </w:p>
    <w:p w14:paraId="7BA1A163">
      <w:pPr>
        <w:spacing w:line="570" w:lineRule="exact"/>
        <w:jc w:val="left"/>
        <w:rPr>
          <w:rFonts w:hint="eastAsia" w:ascii="仿宋" w:hAnsi="仿宋" w:eastAsia="仿宋" w:cs="仿宋"/>
          <w:b w:val="0"/>
          <w:bCs w:val="0"/>
          <w:sz w:val="28"/>
          <w:szCs w:val="28"/>
        </w:rPr>
      </w:pPr>
    </w:p>
    <w:p w14:paraId="67CDD34E">
      <w:pPr>
        <w:spacing w:line="570" w:lineRule="exact"/>
        <w:jc w:val="left"/>
        <w:rPr>
          <w:rFonts w:hint="eastAsia" w:ascii="仿宋" w:hAnsi="仿宋" w:eastAsia="仿宋" w:cs="仿宋"/>
          <w:b w:val="0"/>
          <w:bCs w:val="0"/>
          <w:sz w:val="28"/>
          <w:szCs w:val="28"/>
        </w:rPr>
      </w:pPr>
    </w:p>
    <w:p w14:paraId="0FA09983">
      <w:pPr>
        <w:spacing w:line="570" w:lineRule="exact"/>
        <w:jc w:val="left"/>
        <w:rPr>
          <w:rFonts w:ascii="仿宋_GB2312" w:hAnsi="仿宋_GB2312" w:eastAsia="仿宋_GB2312" w:cs="仿宋_GB2312"/>
          <w:bCs/>
          <w:sz w:val="28"/>
          <w:szCs w:val="28"/>
        </w:rPr>
      </w:pPr>
    </w:p>
    <w:p w14:paraId="31DBE4E1">
      <w:pPr>
        <w:spacing w:line="570" w:lineRule="exact"/>
        <w:ind w:firstLine="560" w:firstLineChars="200"/>
        <w:jc w:val="center"/>
        <w:rPr>
          <w:sz w:val="32"/>
          <w:szCs w:val="32"/>
        </w:rPr>
      </w:pPr>
      <w:r>
        <w:rPr>
          <w:rFonts w:hint="eastAsia" w:ascii="仿宋_GB2312" w:hAnsi="仿宋_GB2312" w:eastAsia="仿宋_GB2312" w:cs="仿宋_GB2312"/>
          <w:sz w:val="28"/>
          <w:szCs w:val="28"/>
        </w:rPr>
        <w:t xml:space="preserve">                                 </w:t>
      </w:r>
    </w:p>
    <w:sectPr>
      <w:footerReference r:id="rId3" w:type="default"/>
      <w:pgSz w:w="11906" w:h="16838"/>
      <w:pgMar w:top="860" w:right="1286" w:bottom="15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3882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4B43AB">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4B43AB">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480CA"/>
    <w:multiLevelType w:val="singleLevel"/>
    <w:tmpl w:val="A17480CA"/>
    <w:lvl w:ilvl="0" w:tentative="0">
      <w:start w:val="1"/>
      <w:numFmt w:val="decimal"/>
      <w:suff w:val="nothing"/>
      <w:lvlText w:val="（%1）"/>
      <w:lvlJc w:val="left"/>
      <w:pPr>
        <w:ind w:left="560" w:leftChars="0" w:firstLine="0" w:firstLineChars="0"/>
      </w:pPr>
    </w:lvl>
  </w:abstractNum>
  <w:abstractNum w:abstractNumId="1">
    <w:nsid w:val="4F9A8549"/>
    <w:multiLevelType w:val="singleLevel"/>
    <w:tmpl w:val="4F9A8549"/>
    <w:lvl w:ilvl="0" w:tentative="0">
      <w:start w:val="1"/>
      <w:numFmt w:val="decimal"/>
      <w:suff w:val="nothing"/>
      <w:lvlText w:val="（%1）"/>
      <w:lvlJc w:val="left"/>
    </w:lvl>
  </w:abstractNum>
  <w:abstractNum w:abstractNumId="2">
    <w:nsid w:val="51954C63"/>
    <w:multiLevelType w:val="singleLevel"/>
    <w:tmpl w:val="51954C63"/>
    <w:lvl w:ilvl="0" w:tentative="0">
      <w:start w:val="3"/>
      <w:numFmt w:val="chineseCounting"/>
      <w:suff w:val="nothing"/>
      <w:lvlText w:val="%1、"/>
      <w:lvlJc w:val="left"/>
      <w:rPr>
        <w:rFonts w:hint="eastAsia"/>
      </w:rPr>
    </w:lvl>
  </w:abstractNum>
  <w:abstractNum w:abstractNumId="3">
    <w:nsid w:val="69B654B0"/>
    <w:multiLevelType w:val="singleLevel"/>
    <w:tmpl w:val="69B654B0"/>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3MGY5NDVhMjE3NDQ5YmUyNGNkMjk3MDMwOWU0NzAifQ=="/>
  </w:docVars>
  <w:rsids>
    <w:rsidRoot w:val="002F6392"/>
    <w:rsid w:val="002F6392"/>
    <w:rsid w:val="00540D49"/>
    <w:rsid w:val="00F837D1"/>
    <w:rsid w:val="00FC62F0"/>
    <w:rsid w:val="022E59D3"/>
    <w:rsid w:val="030337B6"/>
    <w:rsid w:val="03F645C7"/>
    <w:rsid w:val="06182F1C"/>
    <w:rsid w:val="08490714"/>
    <w:rsid w:val="0F7B585C"/>
    <w:rsid w:val="14065675"/>
    <w:rsid w:val="1CE57EE7"/>
    <w:rsid w:val="1DFC50F4"/>
    <w:rsid w:val="1F854BCF"/>
    <w:rsid w:val="20743C00"/>
    <w:rsid w:val="22772CBF"/>
    <w:rsid w:val="235E04F0"/>
    <w:rsid w:val="26753510"/>
    <w:rsid w:val="272F272F"/>
    <w:rsid w:val="298806CD"/>
    <w:rsid w:val="2A445C43"/>
    <w:rsid w:val="2BFC6FF2"/>
    <w:rsid w:val="2C0501F6"/>
    <w:rsid w:val="2F6B25C2"/>
    <w:rsid w:val="2F9B49A5"/>
    <w:rsid w:val="32B4220B"/>
    <w:rsid w:val="35683AD4"/>
    <w:rsid w:val="38015CC7"/>
    <w:rsid w:val="3876258F"/>
    <w:rsid w:val="393C48D6"/>
    <w:rsid w:val="3A545376"/>
    <w:rsid w:val="40202A44"/>
    <w:rsid w:val="48F50ECB"/>
    <w:rsid w:val="4E961997"/>
    <w:rsid w:val="4F130DCE"/>
    <w:rsid w:val="54B77884"/>
    <w:rsid w:val="550B2323"/>
    <w:rsid w:val="5A723A6B"/>
    <w:rsid w:val="5C261348"/>
    <w:rsid w:val="5C3A14CB"/>
    <w:rsid w:val="5D230409"/>
    <w:rsid w:val="5D8E4C45"/>
    <w:rsid w:val="5E195288"/>
    <w:rsid w:val="629A3C26"/>
    <w:rsid w:val="640C28A3"/>
    <w:rsid w:val="64A21CA4"/>
    <w:rsid w:val="64D026E0"/>
    <w:rsid w:val="653C70DF"/>
    <w:rsid w:val="65D50057"/>
    <w:rsid w:val="66C46755"/>
    <w:rsid w:val="67963D26"/>
    <w:rsid w:val="6BD93326"/>
    <w:rsid w:val="6ECC6547"/>
    <w:rsid w:val="7427292B"/>
    <w:rsid w:val="750C2328"/>
    <w:rsid w:val="77705C77"/>
    <w:rsid w:val="78975D47"/>
    <w:rsid w:val="79FE1BBB"/>
    <w:rsid w:val="7AC43C46"/>
    <w:rsid w:val="7B3411DA"/>
    <w:rsid w:val="7E2D452B"/>
    <w:rsid w:val="7F927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1816</Words>
  <Characters>1867</Characters>
  <Lines>7</Lines>
  <Paragraphs>2</Paragraphs>
  <TotalTime>3</TotalTime>
  <ScaleCrop>false</ScaleCrop>
  <LinksUpToDate>false</LinksUpToDate>
  <CharactersWithSpaces>1904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2017-12-14T02:16:00Z</dcterms:created>
  <dc:creator>xb21cn</dc:creator>
  <cp:lastModifiedBy>待到尘埃落定时</cp:lastModifiedBy>
  <cp:lastPrinted>2025-05-26T03:01:00Z</cp:lastPrinted>
  <dcterms:modified xsi:type="dcterms:W3CDTF">2025-06-04T08:29:06Z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5EBD43B1D1F642FA9943DB8BA1253776_13</vt:lpwstr>
  </property>
  <property fmtid="{D5CDD505-2E9C-101B-9397-08002B2CF9AE}" pid="4" name="KSOTemplateDocerSaveRecord">
    <vt:lpwstr>eyJoZGlkIjoiZTVkYjAxNTA2NmNkNTRlODkzYjNlOTNiMjZjMTI5MTAiLCJ1c2VySWQiOiI1NDYxNjc0MDMifQ==</vt:lpwstr>
  </property>
</Properties>
</file>