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5FC09">
      <w:pPr>
        <w:spacing w:line="500" w:lineRule="exact"/>
        <w:jc w:val="center"/>
        <w:rPr>
          <w:rFonts w:hint="eastAsia" w:asciiTheme="majorEastAsia" w:hAnsiTheme="majorEastAsia" w:eastAsiaTheme="majorEastAsia"/>
          <w:b/>
          <w:szCs w:val="21"/>
        </w:rPr>
      </w:pPr>
      <w:r>
        <w:rPr>
          <w:rFonts w:hint="eastAsia" w:asciiTheme="majorEastAsia" w:hAnsiTheme="majorEastAsia" w:eastAsiaTheme="majorEastAsia"/>
          <w:b/>
          <w:szCs w:val="21"/>
        </w:rPr>
        <w:t>静安区就业促进中心物业管理服务采购要求</w:t>
      </w:r>
    </w:p>
    <w:p w14:paraId="754D1E99">
      <w:pPr>
        <w:rPr>
          <w:szCs w:val="21"/>
        </w:rPr>
      </w:pPr>
    </w:p>
    <w:p w14:paraId="5BB2595F">
      <w:pPr>
        <w:spacing w:line="360" w:lineRule="auto"/>
        <w:jc w:val="left"/>
        <w:rPr>
          <w:rFonts w:ascii="宋体"/>
          <w:b/>
          <w:szCs w:val="21"/>
        </w:rPr>
      </w:pPr>
      <w:r>
        <w:rPr>
          <w:rFonts w:hint="eastAsia" w:ascii="宋体"/>
          <w:b/>
          <w:szCs w:val="21"/>
        </w:rPr>
        <w:t>一、物业管理费概况</w:t>
      </w:r>
    </w:p>
    <w:p w14:paraId="7676A8CD">
      <w:pPr>
        <w:spacing w:line="360" w:lineRule="auto"/>
        <w:ind w:left="560"/>
        <w:rPr>
          <w:rFonts w:hint="eastAsia" w:ascii="宋体" w:hAnsi="宋体"/>
          <w:szCs w:val="21"/>
          <w:u w:val="single"/>
        </w:rPr>
      </w:pPr>
      <w:r>
        <w:rPr>
          <w:rFonts w:hint="eastAsia" w:ascii="宋体" w:hAnsi="宋体"/>
          <w:szCs w:val="21"/>
        </w:rPr>
        <w:t>单位名称：</w:t>
      </w:r>
      <w:r>
        <w:rPr>
          <w:rFonts w:hint="eastAsia" w:ascii="宋体" w:hAnsi="宋体"/>
          <w:szCs w:val="21"/>
          <w:u w:val="single"/>
        </w:rPr>
        <w:t xml:space="preserve">          上海市静安区就业促进中心              </w:t>
      </w:r>
    </w:p>
    <w:p w14:paraId="3CB02A29">
      <w:pPr>
        <w:spacing w:line="360" w:lineRule="auto"/>
        <w:ind w:left="560"/>
        <w:rPr>
          <w:rFonts w:hint="eastAsia" w:ascii="宋体" w:hAnsi="宋体"/>
          <w:szCs w:val="21"/>
          <w:u w:val="single"/>
        </w:rPr>
      </w:pPr>
      <w:r>
        <w:rPr>
          <w:rFonts w:hint="eastAsia" w:ascii="宋体" w:hAnsi="宋体"/>
          <w:szCs w:val="21"/>
        </w:rPr>
        <w:t>物业类型：</w:t>
      </w:r>
      <w:r>
        <w:rPr>
          <w:rFonts w:hint="eastAsia" w:ascii="宋体" w:hAnsi="宋体"/>
          <w:szCs w:val="21"/>
          <w:u w:val="single"/>
        </w:rPr>
        <w:t xml:space="preserve">             办公场所                    </w:t>
      </w:r>
    </w:p>
    <w:p w14:paraId="022F2674">
      <w:pPr>
        <w:spacing w:line="360" w:lineRule="auto"/>
        <w:ind w:left="560"/>
        <w:rPr>
          <w:rFonts w:ascii="宋体"/>
          <w:color w:val="auto"/>
          <w:szCs w:val="21"/>
        </w:rPr>
      </w:pPr>
      <w:r>
        <w:rPr>
          <w:rFonts w:hint="eastAsia" w:ascii="宋体"/>
          <w:color w:val="auto"/>
          <w:szCs w:val="21"/>
        </w:rPr>
        <w:t>采购编号：</w:t>
      </w:r>
      <w:r>
        <w:rPr>
          <w:rFonts w:hint="eastAsia" w:ascii="宋体" w:hAnsi="宋体"/>
          <w:color w:val="auto"/>
          <w:szCs w:val="21"/>
          <w:u w:val="single"/>
        </w:rPr>
        <w:t xml:space="preserve"> 0</w:t>
      </w:r>
      <w:r>
        <w:rPr>
          <w:rFonts w:ascii="宋体" w:hAnsi="宋体"/>
          <w:color w:val="auto"/>
          <w:szCs w:val="21"/>
          <w:u w:val="single"/>
        </w:rPr>
        <w:t>62</w:t>
      </w:r>
      <w:r>
        <w:rPr>
          <w:rFonts w:hint="eastAsia" w:ascii="宋体" w:hAnsi="宋体"/>
          <w:color w:val="auto"/>
          <w:szCs w:val="21"/>
          <w:u w:val="single"/>
        </w:rPr>
        <w:t>5</w:t>
      </w:r>
      <w:r>
        <w:rPr>
          <w:rFonts w:ascii="宋体" w:hAnsi="宋体"/>
          <w:color w:val="auto"/>
          <w:szCs w:val="21"/>
          <w:u w:val="single"/>
        </w:rPr>
        <w:t>-</w:t>
      </w:r>
      <w:r>
        <w:rPr>
          <w:rFonts w:hint="eastAsia" w:ascii="宋体" w:hAnsi="宋体"/>
          <w:color w:val="auto"/>
          <w:szCs w:val="21"/>
          <w:u w:val="single"/>
        </w:rPr>
        <w:t>00000134</w:t>
      </w:r>
    </w:p>
    <w:p w14:paraId="70AD37F2">
      <w:pPr>
        <w:spacing w:line="360" w:lineRule="auto"/>
        <w:ind w:firstLine="525" w:firstLineChars="250"/>
        <w:rPr>
          <w:rFonts w:hint="eastAsia" w:ascii="宋体" w:hAnsi="宋体"/>
          <w:color w:val="auto"/>
          <w:szCs w:val="21"/>
        </w:rPr>
      </w:pPr>
      <w:r>
        <w:rPr>
          <w:rFonts w:hint="eastAsia" w:ascii="宋体" w:hAnsi="宋体"/>
          <w:color w:val="auto"/>
          <w:szCs w:val="21"/>
        </w:rPr>
        <w:t>物业位置：</w:t>
      </w:r>
    </w:p>
    <w:p w14:paraId="21DC0326">
      <w:pPr>
        <w:spacing w:line="360" w:lineRule="auto"/>
        <w:ind w:firstLine="525" w:firstLineChars="250"/>
        <w:rPr>
          <w:rFonts w:hint="eastAsia" w:ascii="宋体" w:hAnsi="宋体"/>
          <w:color w:val="auto"/>
          <w:szCs w:val="21"/>
        </w:rPr>
      </w:pPr>
      <w:r>
        <w:rPr>
          <w:rFonts w:hint="eastAsia" w:ascii="宋体" w:hAnsi="宋体"/>
          <w:color w:val="auto"/>
          <w:szCs w:val="21"/>
        </w:rPr>
        <w:t xml:space="preserve">1、万荣路 </w:t>
      </w:r>
      <w:r>
        <w:rPr>
          <w:rFonts w:ascii="宋体" w:hAnsi="宋体"/>
          <w:color w:val="auto"/>
          <w:szCs w:val="21"/>
        </w:rPr>
        <w:t>908</w:t>
      </w:r>
      <w:r>
        <w:rPr>
          <w:rFonts w:hint="eastAsia" w:ascii="宋体" w:hAnsi="宋体"/>
          <w:color w:val="auto"/>
          <w:szCs w:val="21"/>
        </w:rPr>
        <w:t xml:space="preserve"> 号、建筑面积：</w:t>
      </w:r>
      <w:r>
        <w:rPr>
          <w:rFonts w:ascii="宋体" w:hAnsi="宋体"/>
          <w:color w:val="auto"/>
          <w:szCs w:val="21"/>
          <w:u w:val="single"/>
        </w:rPr>
        <w:t>6073</w:t>
      </w:r>
      <w:r>
        <w:rPr>
          <w:rFonts w:hint="eastAsia" w:ascii="宋体" w:hAnsi="宋体"/>
          <w:color w:val="auto"/>
          <w:szCs w:val="21"/>
        </w:rPr>
        <w:t>平方米；</w:t>
      </w:r>
    </w:p>
    <w:p w14:paraId="66FBB5A8">
      <w:pPr>
        <w:spacing w:line="360" w:lineRule="auto"/>
        <w:ind w:firstLine="525" w:firstLineChars="250"/>
        <w:rPr>
          <w:rFonts w:hint="eastAsia" w:ascii="宋体" w:hAnsi="宋体"/>
          <w:color w:val="auto"/>
          <w:szCs w:val="21"/>
        </w:rPr>
      </w:pPr>
      <w:r>
        <w:rPr>
          <w:rFonts w:hint="eastAsia" w:ascii="宋体" w:hAnsi="宋体"/>
          <w:color w:val="auto"/>
          <w:szCs w:val="21"/>
        </w:rPr>
        <w:t>2、公兴路 7 号、建筑面积：</w:t>
      </w:r>
      <w:r>
        <w:rPr>
          <w:rFonts w:hint="eastAsia" w:ascii="宋体" w:hAnsi="宋体"/>
          <w:color w:val="auto"/>
          <w:szCs w:val="21"/>
          <w:u w:val="single"/>
        </w:rPr>
        <w:t xml:space="preserve"> 276 </w:t>
      </w:r>
      <w:r>
        <w:rPr>
          <w:rFonts w:hint="eastAsia" w:ascii="宋体" w:hAnsi="宋体"/>
          <w:color w:val="auto"/>
          <w:szCs w:val="21"/>
        </w:rPr>
        <w:t>平方米；</w:t>
      </w:r>
    </w:p>
    <w:p w14:paraId="6198D2EF">
      <w:pPr>
        <w:spacing w:line="360" w:lineRule="auto"/>
        <w:ind w:firstLine="525" w:firstLineChars="250"/>
        <w:rPr>
          <w:rFonts w:hint="eastAsia" w:ascii="宋体" w:hAnsi="宋体"/>
          <w:color w:val="auto"/>
          <w:szCs w:val="21"/>
        </w:rPr>
      </w:pPr>
      <w:r>
        <w:rPr>
          <w:rFonts w:hint="eastAsia" w:ascii="宋体" w:hAnsi="宋体"/>
          <w:color w:val="auto"/>
          <w:szCs w:val="21"/>
        </w:rPr>
        <w:t>3、昌平路935号副楼一、二层、建筑面积：</w:t>
      </w:r>
      <w:r>
        <w:rPr>
          <w:rFonts w:hint="eastAsia" w:ascii="宋体" w:hAnsi="宋体"/>
          <w:color w:val="auto"/>
          <w:szCs w:val="21"/>
          <w:u w:val="single"/>
        </w:rPr>
        <w:t>422.88</w:t>
      </w:r>
      <w:r>
        <w:rPr>
          <w:rFonts w:hint="eastAsia" w:ascii="宋体" w:hAnsi="宋体"/>
          <w:color w:val="auto"/>
          <w:szCs w:val="21"/>
        </w:rPr>
        <w:t>平方米；</w:t>
      </w:r>
    </w:p>
    <w:p w14:paraId="795F9B06">
      <w:pPr>
        <w:spacing w:line="360" w:lineRule="auto"/>
        <w:ind w:firstLine="420" w:firstLineChars="200"/>
        <w:rPr>
          <w:rFonts w:hint="eastAsia" w:ascii="宋体" w:hAnsi="宋体"/>
          <w:color w:val="auto"/>
          <w:szCs w:val="21"/>
        </w:rPr>
      </w:pPr>
      <w:r>
        <w:rPr>
          <w:rFonts w:hint="eastAsia" w:ascii="宋体" w:hAnsi="宋体"/>
          <w:color w:val="auto"/>
          <w:szCs w:val="21"/>
        </w:rPr>
        <w:t>委托管理物业总建筑面积：</w:t>
      </w:r>
      <w:r>
        <w:rPr>
          <w:rFonts w:hint="eastAsia" w:ascii="宋体" w:hAnsi="宋体"/>
          <w:color w:val="auto"/>
          <w:szCs w:val="21"/>
          <w:u w:val="single"/>
        </w:rPr>
        <w:t>6771.88</w:t>
      </w:r>
      <w:r>
        <w:rPr>
          <w:rFonts w:hint="eastAsia" w:ascii="宋体" w:hAnsi="宋体"/>
          <w:color w:val="auto"/>
          <w:szCs w:val="21"/>
        </w:rPr>
        <w:t>平方米。</w:t>
      </w:r>
    </w:p>
    <w:p w14:paraId="32FF7199">
      <w:pPr>
        <w:spacing w:line="360" w:lineRule="auto"/>
        <w:ind w:firstLine="420" w:firstLineChars="200"/>
        <w:rPr>
          <w:rFonts w:hint="eastAsia" w:ascii="宋体" w:hAnsi="宋体"/>
          <w:color w:val="auto"/>
          <w:szCs w:val="21"/>
        </w:rPr>
      </w:pPr>
      <w:r>
        <w:rPr>
          <w:rFonts w:hint="eastAsia" w:ascii="宋体" w:hAnsi="宋体"/>
          <w:color w:val="auto"/>
          <w:szCs w:val="21"/>
        </w:rPr>
        <w:t>2</w:t>
      </w:r>
      <w:r>
        <w:rPr>
          <w:rFonts w:ascii="宋体" w:hAnsi="宋体"/>
          <w:color w:val="auto"/>
          <w:szCs w:val="21"/>
        </w:rPr>
        <w:t>02</w:t>
      </w:r>
      <w:r>
        <w:rPr>
          <w:rFonts w:hint="eastAsia" w:ascii="宋体" w:hAnsi="宋体"/>
          <w:color w:val="auto"/>
          <w:szCs w:val="21"/>
        </w:rPr>
        <w:t>5年一体化物业服务总金额</w:t>
      </w:r>
      <w:r>
        <w:rPr>
          <w:rFonts w:hint="eastAsia" w:ascii="宋体" w:hAnsi="宋体"/>
          <w:color w:val="auto"/>
          <w:szCs w:val="21"/>
          <w:u w:val="single"/>
        </w:rPr>
        <w:t>2234720.30</w:t>
      </w:r>
      <w:r>
        <w:rPr>
          <w:rFonts w:hint="eastAsia" w:ascii="宋体" w:hAnsi="宋体"/>
          <w:color w:val="auto"/>
          <w:szCs w:val="21"/>
        </w:rPr>
        <w:t>元。</w:t>
      </w:r>
    </w:p>
    <w:p w14:paraId="257DA216">
      <w:pPr>
        <w:spacing w:line="360" w:lineRule="auto"/>
        <w:ind w:firstLine="420" w:firstLineChars="200"/>
        <w:rPr>
          <w:rFonts w:hint="eastAsia" w:ascii="宋体" w:hAnsi="宋体"/>
          <w:color w:val="auto"/>
          <w:szCs w:val="21"/>
        </w:rPr>
      </w:pPr>
      <w:r>
        <w:rPr>
          <w:rFonts w:hint="eastAsia" w:ascii="宋体" w:hAnsi="宋体"/>
          <w:color w:val="auto"/>
          <w:szCs w:val="21"/>
        </w:rPr>
        <w:t>服务期限：2</w:t>
      </w:r>
      <w:r>
        <w:rPr>
          <w:rFonts w:ascii="宋体" w:hAnsi="宋体"/>
          <w:color w:val="auto"/>
          <w:szCs w:val="21"/>
        </w:rPr>
        <w:t>02</w:t>
      </w:r>
      <w:r>
        <w:rPr>
          <w:rFonts w:hint="eastAsia" w:ascii="宋体" w:hAnsi="宋体"/>
          <w:color w:val="auto"/>
          <w:szCs w:val="21"/>
        </w:rPr>
        <w:t>5年2月1日至</w:t>
      </w:r>
      <w:r>
        <w:rPr>
          <w:rFonts w:ascii="宋体" w:hAnsi="宋体"/>
          <w:color w:val="auto"/>
          <w:szCs w:val="21"/>
        </w:rPr>
        <w:t>12</w:t>
      </w:r>
      <w:r>
        <w:rPr>
          <w:rFonts w:hint="eastAsia" w:ascii="宋体" w:hAnsi="宋体"/>
          <w:color w:val="auto"/>
          <w:szCs w:val="21"/>
        </w:rPr>
        <w:t>月3</w:t>
      </w:r>
      <w:r>
        <w:rPr>
          <w:rFonts w:ascii="宋体" w:hAnsi="宋体"/>
          <w:color w:val="auto"/>
          <w:szCs w:val="21"/>
        </w:rPr>
        <w:t>1</w:t>
      </w:r>
      <w:r>
        <w:rPr>
          <w:rFonts w:hint="eastAsia" w:ascii="宋体" w:hAnsi="宋体"/>
          <w:color w:val="auto"/>
          <w:szCs w:val="21"/>
        </w:rPr>
        <w:t>日</w:t>
      </w:r>
    </w:p>
    <w:p w14:paraId="34041733">
      <w:pPr>
        <w:spacing w:line="360" w:lineRule="auto"/>
        <w:ind w:firstLine="420" w:firstLineChars="200"/>
        <w:rPr>
          <w:rFonts w:ascii="宋体"/>
          <w:szCs w:val="21"/>
        </w:rPr>
      </w:pPr>
      <w:r>
        <w:rPr>
          <w:rFonts w:hint="eastAsia" w:ascii="宋体"/>
          <w:szCs w:val="21"/>
        </w:rPr>
        <w:t>付款方式：按季度支付</w:t>
      </w:r>
    </w:p>
    <w:p w14:paraId="59F0DAD1">
      <w:pPr>
        <w:pStyle w:val="3"/>
        <w:spacing w:line="360" w:lineRule="auto"/>
        <w:rPr>
          <w:b/>
          <w:szCs w:val="21"/>
        </w:rPr>
      </w:pPr>
      <w:r>
        <w:rPr>
          <w:rFonts w:hint="eastAsia"/>
          <w:szCs w:val="21"/>
        </w:rPr>
        <w:t>二、</w:t>
      </w:r>
      <w:r>
        <w:rPr>
          <w:rFonts w:hint="eastAsia"/>
          <w:b/>
          <w:szCs w:val="21"/>
        </w:rPr>
        <w:t>委托管理物业管理内容及要求</w:t>
      </w:r>
    </w:p>
    <w:p w14:paraId="2CF42054">
      <w:pPr>
        <w:spacing w:line="500" w:lineRule="exact"/>
        <w:ind w:firstLine="422" w:firstLineChars="200"/>
        <w:rPr>
          <w:b/>
          <w:bCs/>
          <w:szCs w:val="21"/>
        </w:rPr>
      </w:pPr>
      <w:r>
        <w:rPr>
          <w:b/>
          <w:bCs/>
          <w:szCs w:val="21"/>
        </w:rPr>
        <w:t>1</w:t>
      </w:r>
      <w:r>
        <w:rPr>
          <w:rFonts w:hint="eastAsia"/>
          <w:b/>
          <w:bCs/>
          <w:szCs w:val="21"/>
        </w:rPr>
        <w:t>、安全保卫工作</w:t>
      </w:r>
    </w:p>
    <w:p w14:paraId="59D83669">
      <w:pPr>
        <w:spacing w:line="500" w:lineRule="exact"/>
        <w:ind w:firstLine="420" w:firstLineChars="200"/>
        <w:rPr>
          <w:szCs w:val="21"/>
        </w:rPr>
      </w:pPr>
      <w:r>
        <w:rPr>
          <w:szCs w:val="21"/>
        </w:rPr>
        <w:t>1.1</w:t>
      </w:r>
      <w:r>
        <w:rPr>
          <w:rFonts w:hint="eastAsia"/>
          <w:szCs w:val="21"/>
        </w:rPr>
        <w:t>中心接待与办公区域实行全年</w:t>
      </w:r>
      <w:r>
        <w:rPr>
          <w:szCs w:val="21"/>
        </w:rPr>
        <w:t>24</w:t>
      </w:r>
      <w:r>
        <w:rPr>
          <w:rFonts w:hint="eastAsia"/>
          <w:szCs w:val="21"/>
        </w:rPr>
        <w:t>小时安全保卫制，确保</w:t>
      </w:r>
      <w:r>
        <w:rPr>
          <w:szCs w:val="21"/>
        </w:rPr>
        <w:t>24</w:t>
      </w:r>
      <w:r>
        <w:rPr>
          <w:rFonts w:hint="eastAsia"/>
          <w:szCs w:val="21"/>
        </w:rPr>
        <w:t>小时安全、消防监控，所有触警情况应有书面记录。严格做到开放时间有门必设岗；开放期间定时巡视内部与周边，建立工作记录制度；接待与办公区域关闭后全面巡视，检查内容有建筑设施、设备无缺，目视检查完好；走廊、过道、楼梯地面、墙面、墙角、天花板等目视检查正常，废纸箱内无可疑物；夹层、暗角、洗手间内无来访者滞留；沿线办公室、会议室等处门窗锁定正常；巡检结束后确信无来访者滞留后再关门设防，使所有区域处于监控报警系统管理状态。巡视中如发现异常情况，应立即通知有关部门并在现场采取必要措施；节假期间安排合理值班。</w:t>
      </w:r>
    </w:p>
    <w:p w14:paraId="454C2B45">
      <w:pPr>
        <w:spacing w:line="500" w:lineRule="exact"/>
        <w:ind w:firstLine="420" w:firstLineChars="200"/>
        <w:rPr>
          <w:szCs w:val="21"/>
        </w:rPr>
      </w:pPr>
      <w:r>
        <w:rPr>
          <w:szCs w:val="21"/>
        </w:rPr>
        <w:t>1.2</w:t>
      </w:r>
      <w:r>
        <w:rPr>
          <w:rFonts w:hint="eastAsia"/>
          <w:szCs w:val="21"/>
        </w:rPr>
        <w:t>负责全中心监控报警系统的管理，保证对中心出入口、内部重点区域的安全监控及协助布警；熟悉报警系统运行状况及操作规程，保证安全保卫设施的正常运转，系统报警后保安人员应迅速作出反应，及时应对突发事件。</w:t>
      </w:r>
    </w:p>
    <w:p w14:paraId="055E0922">
      <w:pPr>
        <w:pStyle w:val="3"/>
        <w:spacing w:line="360" w:lineRule="auto"/>
        <w:ind w:firstLine="420" w:firstLineChars="200"/>
        <w:rPr>
          <w:rFonts w:ascii="Times New Roman" w:hAnsi="Times New Roman"/>
          <w:szCs w:val="21"/>
        </w:rPr>
      </w:pPr>
      <w:r>
        <w:rPr>
          <w:rFonts w:ascii="Times New Roman" w:hAnsi="Times New Roman"/>
          <w:szCs w:val="21"/>
        </w:rPr>
        <w:t>1.3</w:t>
      </w:r>
      <w:r>
        <w:rPr>
          <w:rFonts w:hint="eastAsia" w:ascii="Times New Roman" w:hAnsi="Times New Roman"/>
          <w:szCs w:val="21"/>
        </w:rPr>
        <w:t>根据消防部门的规范要求，负责全楼及内部重点区域的火灾报警系统的监控和管理工作。定期巡视、试验、维修、更新消防器材和设备，指定有关人员负责保养、维修和管理。熟悉消防系统的操作程序，保证消防设施齐全、功能正常运行及消防通道的畅通，确保设备操作的准确性，一旦发生警情，能及时处置。</w:t>
      </w:r>
    </w:p>
    <w:p w14:paraId="3AB7012C">
      <w:pPr>
        <w:spacing w:line="500" w:lineRule="exact"/>
        <w:ind w:firstLine="420" w:firstLineChars="200"/>
        <w:rPr>
          <w:szCs w:val="21"/>
        </w:rPr>
      </w:pPr>
      <w:r>
        <w:rPr>
          <w:szCs w:val="21"/>
        </w:rPr>
        <w:t>1.4</w:t>
      </w:r>
      <w:r>
        <w:rPr>
          <w:rFonts w:hint="eastAsia"/>
          <w:szCs w:val="21"/>
        </w:rPr>
        <w:t>负责中心门禁系统的维护与管理。接待服务时间（白天</w:t>
      </w:r>
      <w:r>
        <w:rPr>
          <w:szCs w:val="21"/>
        </w:rPr>
        <w:t>8</w:t>
      </w:r>
      <w:r>
        <w:rPr>
          <w:rFonts w:hint="eastAsia"/>
          <w:szCs w:val="21"/>
        </w:rPr>
        <w:t>：</w:t>
      </w:r>
      <w:r>
        <w:rPr>
          <w:szCs w:val="21"/>
        </w:rPr>
        <w:t>30</w:t>
      </w:r>
      <w:r>
        <w:rPr>
          <w:rFonts w:hint="eastAsia"/>
          <w:szCs w:val="21"/>
        </w:rPr>
        <w:t>－</w:t>
      </w:r>
      <w:r>
        <w:rPr>
          <w:szCs w:val="21"/>
        </w:rPr>
        <w:t>16</w:t>
      </w:r>
      <w:r>
        <w:rPr>
          <w:rFonts w:hint="eastAsia"/>
          <w:szCs w:val="21"/>
        </w:rPr>
        <w:t>：</w:t>
      </w:r>
      <w:r>
        <w:rPr>
          <w:szCs w:val="21"/>
        </w:rPr>
        <w:t>30</w:t>
      </w:r>
      <w:r>
        <w:rPr>
          <w:rFonts w:hint="eastAsia"/>
          <w:szCs w:val="21"/>
        </w:rPr>
        <w:t>时）各楼层、对外接待大厅、窗口应有保安巡视，并有巡视记录。对违反公共场所秩序的人员加以劝阻，如吸烟、喧哗、随地吐痰及乱扔果皮纸屑、破坏公物及公共设施等；检查沿线通道、走廊、绿化带。</w:t>
      </w:r>
    </w:p>
    <w:p w14:paraId="51912F39">
      <w:pPr>
        <w:spacing w:line="500" w:lineRule="exact"/>
        <w:ind w:firstLine="420" w:firstLineChars="200"/>
        <w:rPr>
          <w:szCs w:val="21"/>
        </w:rPr>
      </w:pPr>
      <w:r>
        <w:rPr>
          <w:szCs w:val="21"/>
        </w:rPr>
        <w:t>1.5</w:t>
      </w:r>
      <w:r>
        <w:rPr>
          <w:rFonts w:hint="eastAsia"/>
          <w:szCs w:val="21"/>
        </w:rPr>
        <w:t>加强对重点区域如接待大厅、办事窗口、档案室、办公室的巡查，并有巡视记录，认真做好安全防范及防火工作。严禁使用明火，严禁在公共场所吸烟，严禁违章用电。</w:t>
      </w:r>
    </w:p>
    <w:p w14:paraId="180B5337">
      <w:pPr>
        <w:spacing w:line="500" w:lineRule="exact"/>
        <w:ind w:firstLine="420" w:firstLineChars="200"/>
        <w:rPr>
          <w:szCs w:val="21"/>
        </w:rPr>
      </w:pPr>
      <w:r>
        <w:rPr>
          <w:szCs w:val="21"/>
        </w:rPr>
        <w:t>1.6</w:t>
      </w:r>
      <w:r>
        <w:rPr>
          <w:rFonts w:hint="eastAsia"/>
          <w:szCs w:val="21"/>
        </w:rPr>
        <w:t>在开放和关闭人流量高峰期要提前半小时做好开闭门准备，做好人员的疏导工作，确保各个出入口通畅，遇到紧急情况，应能迅速将人员疏散。</w:t>
      </w:r>
    </w:p>
    <w:p w14:paraId="541971B0">
      <w:pPr>
        <w:spacing w:line="500" w:lineRule="exact"/>
        <w:ind w:firstLine="420" w:firstLineChars="200"/>
        <w:rPr>
          <w:szCs w:val="21"/>
        </w:rPr>
      </w:pPr>
      <w:r>
        <w:rPr>
          <w:szCs w:val="21"/>
        </w:rPr>
        <w:t>1.7</w:t>
      </w:r>
      <w:r>
        <w:rPr>
          <w:rFonts w:hint="eastAsia"/>
          <w:szCs w:val="21"/>
        </w:rPr>
        <w:t>负责部分钥匙的保管、登记、领取、发放、收回及编号记录。</w:t>
      </w:r>
    </w:p>
    <w:p w14:paraId="3BF5E5E0">
      <w:pPr>
        <w:pStyle w:val="3"/>
        <w:spacing w:line="360" w:lineRule="auto"/>
        <w:ind w:firstLine="420" w:firstLineChars="200"/>
        <w:rPr>
          <w:rFonts w:ascii="Times New Roman" w:hAnsi="Times New Roman"/>
          <w:szCs w:val="21"/>
        </w:rPr>
      </w:pPr>
      <w:r>
        <w:rPr>
          <w:rFonts w:ascii="Times New Roman" w:hAnsi="Times New Roman"/>
          <w:szCs w:val="21"/>
        </w:rPr>
        <w:t>1.8</w:t>
      </w:r>
      <w:r>
        <w:rPr>
          <w:rFonts w:hint="eastAsia" w:ascii="Times New Roman" w:hAnsi="Times New Roman"/>
          <w:szCs w:val="21"/>
        </w:rPr>
        <w:t>配备的保安人员必须符合《保安服务管理条例》相关要求，并在其规定的权限内提供服务。保安人员能贯彻执行公安部门关于保安保卫工作方针、政策和有关条例，上班时着统一的制服，保安人员能坚决制止物业管理区域内的不文明及违法行为。</w:t>
      </w:r>
    </w:p>
    <w:p w14:paraId="68B2745E">
      <w:pPr>
        <w:spacing w:line="500" w:lineRule="exact"/>
        <w:ind w:firstLine="422" w:firstLineChars="200"/>
        <w:rPr>
          <w:szCs w:val="21"/>
        </w:rPr>
      </w:pPr>
      <w:r>
        <w:rPr>
          <w:rFonts w:hint="eastAsia"/>
          <w:b/>
          <w:bCs/>
          <w:szCs w:val="21"/>
        </w:rPr>
        <w:t>服务标准：</w:t>
      </w:r>
      <w:r>
        <w:rPr>
          <w:rFonts w:hint="eastAsia"/>
          <w:szCs w:val="21"/>
        </w:rPr>
        <w:t>建立安全保卫、保安、公共秩序等管理制度并认真落实，确保物业管理区域的安全和正常的工作环境。环境秩序良好，维护和保证防盗、防火报警、监控设备的正常运行。对办公区域安全状况进行</w:t>
      </w:r>
      <w:r>
        <w:rPr>
          <w:szCs w:val="21"/>
        </w:rPr>
        <w:t>24</w:t>
      </w:r>
      <w:r>
        <w:rPr>
          <w:rFonts w:hint="eastAsia"/>
          <w:szCs w:val="21"/>
        </w:rPr>
        <w:t>小时监控，收到火情、险情及其他异常情况报警信号后应及时报警，并通知相关人员及时赶到现场进行处理；做好安全防范日常巡视工作，及时发现和处理各种安全事故隐患，迅速有效处置突发事件。</w:t>
      </w:r>
    </w:p>
    <w:p w14:paraId="04074465">
      <w:pPr>
        <w:spacing w:line="500" w:lineRule="exact"/>
        <w:ind w:firstLine="422" w:firstLineChars="200"/>
        <w:rPr>
          <w:b/>
          <w:bCs/>
          <w:szCs w:val="21"/>
        </w:rPr>
      </w:pPr>
      <w:r>
        <w:rPr>
          <w:b/>
          <w:bCs/>
          <w:szCs w:val="21"/>
        </w:rPr>
        <w:t>2</w:t>
      </w:r>
      <w:r>
        <w:rPr>
          <w:rFonts w:hint="eastAsia"/>
          <w:b/>
          <w:bCs/>
          <w:szCs w:val="21"/>
        </w:rPr>
        <w:t>、物业设施设备的维修、养护和管理工作</w:t>
      </w:r>
    </w:p>
    <w:p w14:paraId="6262FABA">
      <w:pPr>
        <w:spacing w:line="500" w:lineRule="exact"/>
        <w:ind w:firstLine="420" w:firstLineChars="200"/>
        <w:rPr>
          <w:szCs w:val="21"/>
        </w:rPr>
      </w:pPr>
      <w:r>
        <w:rPr>
          <w:szCs w:val="21"/>
        </w:rPr>
        <w:t>2.1</w:t>
      </w:r>
      <w:r>
        <w:rPr>
          <w:rFonts w:hint="eastAsia"/>
          <w:szCs w:val="21"/>
        </w:rPr>
        <w:t>物业管理要熟悉、掌握中心的布局、结构、给排水、空调、电气、消防、各种线路（电线、网线、电话线等），并熟练掌握相关设备的使用方法。</w:t>
      </w:r>
    </w:p>
    <w:p w14:paraId="6A413388">
      <w:pPr>
        <w:spacing w:line="500" w:lineRule="exact"/>
        <w:ind w:firstLine="420" w:firstLineChars="200"/>
        <w:rPr>
          <w:szCs w:val="21"/>
        </w:rPr>
      </w:pPr>
      <w:r>
        <w:rPr>
          <w:szCs w:val="21"/>
        </w:rPr>
        <w:t>2.2</w:t>
      </w:r>
      <w:r>
        <w:rPr>
          <w:rFonts w:hint="eastAsia"/>
          <w:szCs w:val="21"/>
        </w:rPr>
        <w:t>对公共设施设备进行日常管理和维修养护，所有设备设施的小型维修费用应纳入物业管理费总量（不含材料费），并做好检修记录和保养记录。</w:t>
      </w:r>
    </w:p>
    <w:p w14:paraId="74F199C6">
      <w:pPr>
        <w:spacing w:line="500" w:lineRule="exact"/>
        <w:ind w:firstLine="420" w:firstLineChars="200"/>
        <w:rPr>
          <w:szCs w:val="21"/>
        </w:rPr>
      </w:pPr>
      <w:r>
        <w:rPr>
          <w:szCs w:val="21"/>
        </w:rPr>
        <w:t>2.3</w:t>
      </w:r>
      <w:r>
        <w:rPr>
          <w:rFonts w:hint="eastAsia"/>
          <w:szCs w:val="21"/>
        </w:rPr>
        <w:t>定期检查供水、供电等使用状况，出现损坏、泄漏，不能正常使用时，要及时组织抢修。</w:t>
      </w:r>
    </w:p>
    <w:p w14:paraId="51B2E511">
      <w:pPr>
        <w:spacing w:line="500" w:lineRule="exact"/>
        <w:ind w:firstLine="420" w:firstLineChars="200"/>
        <w:rPr>
          <w:szCs w:val="21"/>
        </w:rPr>
      </w:pPr>
      <w:r>
        <w:rPr>
          <w:szCs w:val="21"/>
        </w:rPr>
        <w:t>2.4</w:t>
      </w:r>
      <w:r>
        <w:rPr>
          <w:rFonts w:hint="eastAsia"/>
          <w:szCs w:val="21"/>
        </w:rPr>
        <w:t>保安人员要进行不间断巡查，确保硬件设备、公共设施、照明系统、门窗、玻璃等安全，做好巡查记录，一旦发现盗窃、损坏或故障，应及时报警或报修。</w:t>
      </w:r>
    </w:p>
    <w:p w14:paraId="4CC72999">
      <w:pPr>
        <w:spacing w:line="500" w:lineRule="exact"/>
        <w:ind w:firstLine="420" w:firstLineChars="200"/>
        <w:rPr>
          <w:szCs w:val="21"/>
        </w:rPr>
      </w:pPr>
      <w:r>
        <w:rPr>
          <w:szCs w:val="21"/>
        </w:rPr>
        <w:t>2.5</w:t>
      </w:r>
      <w:r>
        <w:rPr>
          <w:rFonts w:hint="eastAsia"/>
          <w:szCs w:val="21"/>
        </w:rPr>
        <w:t>定期对消防设施设备进行检查并详细记录在案，所有消防器材应保持完好，不超过有效期，确保正常使用；消防通道应保证畅通，并在明显位置设置消防设施平面示意图。</w:t>
      </w:r>
    </w:p>
    <w:p w14:paraId="712AC956">
      <w:pPr>
        <w:spacing w:line="500" w:lineRule="exact"/>
        <w:ind w:firstLine="420" w:firstLineChars="200"/>
        <w:rPr>
          <w:szCs w:val="21"/>
        </w:rPr>
      </w:pPr>
      <w:r>
        <w:rPr>
          <w:szCs w:val="21"/>
        </w:rPr>
        <w:t>2.6</w:t>
      </w:r>
      <w:r>
        <w:rPr>
          <w:rFonts w:hint="eastAsia"/>
          <w:szCs w:val="21"/>
        </w:rPr>
        <w:t>本物业主要设施设备包括：房屋、变配电系统、安全防范系统、消防系统、门禁管理系统、监控报警系统、给排水系统、公共照明系统及公共设施等。</w:t>
      </w:r>
    </w:p>
    <w:p w14:paraId="4FFD3600">
      <w:pPr>
        <w:spacing w:line="500" w:lineRule="exact"/>
        <w:ind w:firstLine="420" w:firstLineChars="200"/>
        <w:rPr>
          <w:szCs w:val="21"/>
        </w:rPr>
      </w:pPr>
      <w:r>
        <w:rPr>
          <w:szCs w:val="21"/>
        </w:rPr>
        <w:t>2.7</w:t>
      </w:r>
      <w:r>
        <w:rPr>
          <w:rFonts w:hint="eastAsia"/>
          <w:szCs w:val="21"/>
        </w:rPr>
        <w:t>物业管理方应建立健全以上设施设备的操作规程、维护、维修和管理制度。</w:t>
      </w:r>
    </w:p>
    <w:p w14:paraId="4D5D5A9F">
      <w:pPr>
        <w:spacing w:line="500" w:lineRule="exact"/>
        <w:ind w:firstLine="420" w:firstLineChars="200"/>
        <w:rPr>
          <w:szCs w:val="21"/>
        </w:rPr>
      </w:pPr>
      <w:r>
        <w:rPr>
          <w:szCs w:val="21"/>
        </w:rPr>
        <w:t>2.8</w:t>
      </w:r>
      <w:r>
        <w:rPr>
          <w:rFonts w:hint="eastAsia"/>
          <w:szCs w:val="21"/>
        </w:rPr>
        <w:t>大楼设施设备执行</w:t>
      </w:r>
      <w:r>
        <w:rPr>
          <w:szCs w:val="21"/>
        </w:rPr>
        <w:t>24</w:t>
      </w:r>
      <w:r>
        <w:rPr>
          <w:rFonts w:hint="eastAsia"/>
          <w:szCs w:val="21"/>
        </w:rPr>
        <w:t>小时维修服务，接到保修应在</w:t>
      </w:r>
      <w:r>
        <w:rPr>
          <w:szCs w:val="21"/>
        </w:rPr>
        <w:t>15</w:t>
      </w:r>
      <w:r>
        <w:rPr>
          <w:rFonts w:hint="eastAsia"/>
          <w:szCs w:val="21"/>
        </w:rPr>
        <w:t>分钟内迅速安排人员到现场处理。</w:t>
      </w:r>
    </w:p>
    <w:p w14:paraId="4AF116D5">
      <w:pPr>
        <w:spacing w:line="500" w:lineRule="exact"/>
        <w:ind w:firstLine="420" w:firstLineChars="200"/>
        <w:rPr>
          <w:szCs w:val="21"/>
        </w:rPr>
      </w:pPr>
      <w:r>
        <w:rPr>
          <w:szCs w:val="21"/>
        </w:rPr>
        <w:t>2.9</w:t>
      </w:r>
      <w:r>
        <w:rPr>
          <w:rFonts w:hint="eastAsia"/>
          <w:szCs w:val="21"/>
        </w:rPr>
        <w:t>物业管理方在接到有关停电、停水的通知后，要及时向中心办公室通报。如遇突发停电、停水等情况，应及时向有关方面了解情况，及时处理，必要时应启动应急预案，并同时向中心办公室通报。</w:t>
      </w:r>
    </w:p>
    <w:p w14:paraId="7D268B17">
      <w:pPr>
        <w:spacing w:line="360" w:lineRule="auto"/>
        <w:ind w:firstLine="422" w:firstLineChars="200"/>
        <w:rPr>
          <w:szCs w:val="21"/>
        </w:rPr>
      </w:pPr>
      <w:r>
        <w:rPr>
          <w:rFonts w:hint="eastAsia"/>
          <w:b/>
          <w:bCs/>
          <w:szCs w:val="21"/>
        </w:rPr>
        <w:t>服务标准：</w:t>
      </w:r>
      <w:r>
        <w:rPr>
          <w:rFonts w:hint="eastAsia"/>
          <w:szCs w:val="21"/>
        </w:rPr>
        <w:t>确保物业管理区域房屋完好等级和正常使用；及时完成各项零星维修任务，维修合格率应为</w:t>
      </w:r>
      <w:r>
        <w:rPr>
          <w:szCs w:val="21"/>
        </w:rPr>
        <w:t>100%</w:t>
      </w:r>
      <w:r>
        <w:rPr>
          <w:rFonts w:hint="eastAsia"/>
          <w:szCs w:val="21"/>
        </w:rPr>
        <w:t>。有专业或资质要求的工作岗位，从业人员必须符合国家与上海市相关要求。</w:t>
      </w:r>
    </w:p>
    <w:p w14:paraId="3A667791">
      <w:pPr>
        <w:spacing w:line="360" w:lineRule="auto"/>
        <w:ind w:firstLine="420" w:firstLineChars="200"/>
        <w:rPr>
          <w:szCs w:val="21"/>
        </w:rPr>
      </w:pPr>
      <w:r>
        <w:rPr>
          <w:rFonts w:hint="eastAsia"/>
          <w:szCs w:val="21"/>
        </w:rPr>
        <w:t>定期检查巡视，保证给排水系统正常运行使用。建立正常供水管理制度，防止跑、冒、滴、漏，对供水系统管路、水泵、水箱、阀门、机电设备等进行日常维护；定期对水泵房及机电设备进行检查、保养、维修、清洁，设备及机房环境整洁，无杂物、灰土，无鼠、虫害发生。操作人员健康合格证齐全。及时发现并解决故障，维修合格率</w:t>
      </w:r>
      <w:r>
        <w:rPr>
          <w:szCs w:val="21"/>
        </w:rPr>
        <w:t>100</w:t>
      </w:r>
      <w:r>
        <w:rPr>
          <w:rFonts w:hint="eastAsia"/>
          <w:szCs w:val="21"/>
        </w:rPr>
        <w:t>％；给排水系统发生事故时，维修人员在</w:t>
      </w:r>
      <w:r>
        <w:rPr>
          <w:szCs w:val="21"/>
        </w:rPr>
        <w:t>10</w:t>
      </w:r>
      <w:r>
        <w:rPr>
          <w:rFonts w:hint="eastAsia"/>
          <w:szCs w:val="21"/>
        </w:rPr>
        <w:t>分钟内到达现场抢修，一般事故的抢修做到不过夜；一年内无重大管理责任事故；根据现场情况，制定事故应急处理方案；制定停水、爆管等应急处理程序。</w:t>
      </w:r>
    </w:p>
    <w:p w14:paraId="5AA1725C">
      <w:pPr>
        <w:spacing w:line="360" w:lineRule="auto"/>
        <w:ind w:firstLine="420" w:firstLineChars="200"/>
        <w:rPr>
          <w:szCs w:val="21"/>
        </w:rPr>
      </w:pPr>
      <w:r>
        <w:rPr>
          <w:rFonts w:hint="eastAsia"/>
          <w:szCs w:val="21"/>
        </w:rPr>
        <w:t>对供电范围内的电器设备、仪器仪表定期巡视维护和重点检测；建立各项设备档案、台账、维修记录，做到安全、合理、节约用电；供电运行和维修人员必须持证上岗；建立运行维修值班制度，及时排除故障，一般故障排除时间不超过</w:t>
      </w:r>
      <w:r>
        <w:rPr>
          <w:szCs w:val="21"/>
        </w:rPr>
        <w:t>2</w:t>
      </w:r>
      <w:r>
        <w:rPr>
          <w:rFonts w:hint="eastAsia"/>
          <w:szCs w:val="21"/>
        </w:rPr>
        <w:t>小时，维修合格率</w:t>
      </w:r>
      <w:r>
        <w:rPr>
          <w:szCs w:val="21"/>
        </w:rPr>
        <w:t>100</w:t>
      </w:r>
      <w:r>
        <w:rPr>
          <w:rFonts w:hint="eastAsia"/>
          <w:szCs w:val="21"/>
        </w:rPr>
        <w:t>％；无重大管理责任事故。</w:t>
      </w:r>
    </w:p>
    <w:p w14:paraId="559A7849">
      <w:pPr>
        <w:pStyle w:val="3"/>
        <w:spacing w:line="360" w:lineRule="auto"/>
        <w:ind w:firstLine="420" w:firstLineChars="200"/>
        <w:rPr>
          <w:rFonts w:ascii="Times New Roman" w:hAnsi="Times New Roman"/>
          <w:szCs w:val="21"/>
        </w:rPr>
      </w:pPr>
      <w:r>
        <w:rPr>
          <w:rFonts w:hint="eastAsia" w:ascii="Times New Roman" w:hAnsi="Times New Roman"/>
          <w:szCs w:val="21"/>
        </w:rPr>
        <w:t>严格执行消防法规，建立消防安全管理制度，搞好消防管理工作，确保整个系统处于良好的状态；定期检查保养消防设备，维保质量达到消防要求，保证系统开通率及完好率均为</w:t>
      </w:r>
      <w:r>
        <w:rPr>
          <w:rFonts w:ascii="Times New Roman" w:hAnsi="Times New Roman"/>
          <w:szCs w:val="21"/>
        </w:rPr>
        <w:t>100</w:t>
      </w:r>
      <w:r>
        <w:rPr>
          <w:rFonts w:hint="eastAsia" w:ascii="Times New Roman" w:hAnsi="Times New Roman"/>
          <w:szCs w:val="21"/>
        </w:rPr>
        <w:t>％；安全出口、疏散指示灯火灾时应在维持</w:t>
      </w:r>
      <w:r>
        <w:rPr>
          <w:rFonts w:ascii="Times New Roman" w:hAnsi="Times New Roman"/>
          <w:szCs w:val="21"/>
        </w:rPr>
        <w:t>90</w:t>
      </w:r>
      <w:r>
        <w:rPr>
          <w:rFonts w:hint="eastAsia" w:ascii="Times New Roman" w:hAnsi="Times New Roman"/>
          <w:szCs w:val="21"/>
        </w:rPr>
        <w:t>分钟以上的照明时间，引路标志完好，紧急疏散通道畅通；消防水带每半年检查一次，应无破损、发黑、发霉现象；联动控制台工作正常、显示正确，系统误报率不超过</w:t>
      </w:r>
      <w:r>
        <w:rPr>
          <w:rFonts w:ascii="Times New Roman" w:hAnsi="Times New Roman"/>
          <w:szCs w:val="21"/>
        </w:rPr>
        <w:t>3</w:t>
      </w:r>
      <w:r>
        <w:rPr>
          <w:rFonts w:hint="eastAsia" w:ascii="Times New Roman" w:hAnsi="Times New Roman"/>
          <w:szCs w:val="21"/>
        </w:rPr>
        <w:t>％。确保整个消防系统通过消防部门的消防年检，取得年检合格证；消防监控系统运行人员必须有消防部门核发的上岗证书；有突发火灾应急方案。</w:t>
      </w:r>
    </w:p>
    <w:p w14:paraId="3C2834AE">
      <w:pPr>
        <w:spacing w:line="500" w:lineRule="exact"/>
        <w:ind w:firstLine="422" w:firstLineChars="200"/>
        <w:rPr>
          <w:b/>
          <w:bCs/>
          <w:szCs w:val="21"/>
        </w:rPr>
      </w:pPr>
      <w:r>
        <w:rPr>
          <w:b/>
          <w:bCs/>
          <w:szCs w:val="21"/>
        </w:rPr>
        <w:t>3</w:t>
      </w:r>
      <w:r>
        <w:rPr>
          <w:rFonts w:hint="eastAsia"/>
          <w:b/>
          <w:bCs/>
          <w:szCs w:val="21"/>
        </w:rPr>
        <w:t>、环境保洁范围及要求</w:t>
      </w:r>
    </w:p>
    <w:p w14:paraId="00E1A4BE">
      <w:pPr>
        <w:spacing w:line="500" w:lineRule="exact"/>
        <w:ind w:firstLine="420" w:firstLineChars="200"/>
        <w:rPr>
          <w:szCs w:val="21"/>
        </w:rPr>
      </w:pPr>
      <w:r>
        <w:rPr>
          <w:szCs w:val="21"/>
        </w:rPr>
        <w:t>3.1</w:t>
      </w:r>
      <w:r>
        <w:rPr>
          <w:rFonts w:hint="eastAsia"/>
          <w:szCs w:val="21"/>
        </w:rPr>
        <w:t>负责中心所有公共区域（包括大楼门厅、走廊、配电间、室内玻璃平面、办公室、档案室、会议室、机房、茶水间、员工食堂、楼梯、卫生间等地面、内外墙面、门窗玻璃、桌椅板凳、公共设施的日常清扫、保洁工作。根据不同区域的环境要求，分每日不间断保洁和每日一次保洁。（各类部位环境卫生服务要求见表</w:t>
      </w:r>
      <w:r>
        <w:rPr>
          <w:szCs w:val="21"/>
        </w:rPr>
        <w:t>1</w:t>
      </w:r>
      <w:r>
        <w:rPr>
          <w:rFonts w:hint="eastAsia"/>
          <w:szCs w:val="21"/>
        </w:rPr>
        <w:t>）</w:t>
      </w:r>
    </w:p>
    <w:tbl>
      <w:tblPr>
        <w:tblStyle w:val="6"/>
        <w:tblW w:w="9126"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7"/>
        <w:gridCol w:w="7029"/>
      </w:tblGrid>
      <w:tr w14:paraId="351C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2097" w:type="dxa"/>
            <w:tcBorders>
              <w:top w:val="single" w:color="auto" w:sz="4" w:space="0"/>
              <w:left w:val="single" w:color="auto" w:sz="4" w:space="0"/>
              <w:bottom w:val="single" w:color="auto" w:sz="4" w:space="0"/>
              <w:right w:val="single" w:color="auto" w:sz="4" w:space="0"/>
            </w:tcBorders>
          </w:tcPr>
          <w:p w14:paraId="64A1D038">
            <w:pPr>
              <w:spacing w:line="500" w:lineRule="exact"/>
              <w:jc w:val="center"/>
              <w:rPr>
                <w:szCs w:val="21"/>
              </w:rPr>
            </w:pPr>
            <w:r>
              <w:rPr>
                <w:rFonts w:hint="eastAsia"/>
                <w:szCs w:val="21"/>
              </w:rPr>
              <w:t>保洁范围</w:t>
            </w:r>
          </w:p>
        </w:tc>
        <w:tc>
          <w:tcPr>
            <w:tcW w:w="7029" w:type="dxa"/>
            <w:tcBorders>
              <w:top w:val="single" w:color="auto" w:sz="4" w:space="0"/>
              <w:left w:val="single" w:color="auto" w:sz="4" w:space="0"/>
              <w:bottom w:val="single" w:color="auto" w:sz="4" w:space="0"/>
              <w:right w:val="single" w:color="auto" w:sz="4" w:space="0"/>
            </w:tcBorders>
          </w:tcPr>
          <w:p w14:paraId="49220128">
            <w:pPr>
              <w:spacing w:line="500" w:lineRule="exact"/>
              <w:jc w:val="center"/>
              <w:rPr>
                <w:szCs w:val="21"/>
              </w:rPr>
            </w:pPr>
            <w:r>
              <w:rPr>
                <w:rFonts w:hint="eastAsia"/>
                <w:szCs w:val="21"/>
              </w:rPr>
              <w:t>服务要求</w:t>
            </w:r>
          </w:p>
        </w:tc>
      </w:tr>
      <w:tr w14:paraId="4955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2097" w:type="dxa"/>
            <w:tcBorders>
              <w:top w:val="single" w:color="auto" w:sz="4" w:space="0"/>
              <w:left w:val="single" w:color="auto" w:sz="4" w:space="0"/>
              <w:bottom w:val="single" w:color="auto" w:sz="4" w:space="0"/>
              <w:right w:val="single" w:color="auto" w:sz="4" w:space="0"/>
            </w:tcBorders>
          </w:tcPr>
          <w:p w14:paraId="00E9EA0F">
            <w:pPr>
              <w:spacing w:line="500" w:lineRule="exact"/>
              <w:rPr>
                <w:szCs w:val="21"/>
              </w:rPr>
            </w:pPr>
            <w:r>
              <w:rPr>
                <w:rFonts w:hint="eastAsia"/>
                <w:szCs w:val="21"/>
              </w:rPr>
              <w:t>走廊、门厅、大厅、楼梯地面</w:t>
            </w:r>
          </w:p>
        </w:tc>
        <w:tc>
          <w:tcPr>
            <w:tcW w:w="7029" w:type="dxa"/>
            <w:tcBorders>
              <w:top w:val="single" w:color="auto" w:sz="4" w:space="0"/>
              <w:left w:val="single" w:color="auto" w:sz="4" w:space="0"/>
              <w:bottom w:val="single" w:color="auto" w:sz="4" w:space="0"/>
              <w:right w:val="single" w:color="auto" w:sz="4" w:space="0"/>
            </w:tcBorders>
          </w:tcPr>
          <w:p w14:paraId="304A986D">
            <w:pPr>
              <w:spacing w:line="500" w:lineRule="exact"/>
              <w:rPr>
                <w:szCs w:val="21"/>
              </w:rPr>
            </w:pPr>
            <w:r>
              <w:rPr>
                <w:rFonts w:hint="eastAsia"/>
                <w:szCs w:val="21"/>
              </w:rPr>
              <w:t>每日不间断保洁地表面、接缝、角落、边线等处洁净，地面干净有光泽，无垃圾、杂物、灰尘、污迹、划痕等现象，保持地面材质原貌。门框、窗框、窗口、金属件表面光亮、无灰尘、无污渍、无絮状物。门中轴、门框、门边缝部位光亮、无痕迹、无灰尘。空调出风口、无灰尘、无污迹。门把手干净、无痕迹、定时消毒。</w:t>
            </w:r>
          </w:p>
        </w:tc>
      </w:tr>
      <w:tr w14:paraId="2E1F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2097" w:type="dxa"/>
            <w:tcBorders>
              <w:top w:val="single" w:color="auto" w:sz="4" w:space="0"/>
              <w:left w:val="single" w:color="auto" w:sz="4" w:space="0"/>
              <w:bottom w:val="single" w:color="auto" w:sz="4" w:space="0"/>
              <w:right w:val="single" w:color="auto" w:sz="4" w:space="0"/>
            </w:tcBorders>
          </w:tcPr>
          <w:p w14:paraId="3AB02263">
            <w:pPr>
              <w:spacing w:line="500" w:lineRule="exact"/>
              <w:rPr>
                <w:szCs w:val="21"/>
              </w:rPr>
            </w:pPr>
            <w:r>
              <w:rPr>
                <w:rFonts w:hint="eastAsia"/>
                <w:szCs w:val="21"/>
              </w:rPr>
              <w:t>楼梯扶手、栏杆、窗台、指示牌、告知栏</w:t>
            </w:r>
          </w:p>
        </w:tc>
        <w:tc>
          <w:tcPr>
            <w:tcW w:w="7029" w:type="dxa"/>
            <w:tcBorders>
              <w:top w:val="single" w:color="auto" w:sz="4" w:space="0"/>
              <w:left w:val="single" w:color="auto" w:sz="4" w:space="0"/>
              <w:bottom w:val="single" w:color="auto" w:sz="4" w:space="0"/>
              <w:right w:val="single" w:color="auto" w:sz="4" w:space="0"/>
            </w:tcBorders>
          </w:tcPr>
          <w:p w14:paraId="3AE1AEA2">
            <w:pPr>
              <w:spacing w:line="500" w:lineRule="exact"/>
              <w:rPr>
                <w:szCs w:val="21"/>
              </w:rPr>
            </w:pPr>
            <w:r>
              <w:rPr>
                <w:rFonts w:hint="eastAsia"/>
                <w:szCs w:val="21"/>
              </w:rPr>
              <w:t>每日不间断保洁，保持干净、无灰尘、光亮。窗框、窗台、金属件表面光亮、无灰尘、无污渍、无絮状物。指示牌、告知栏无灰尘、无污迹、无痕迹，金属件表面光亮，无痕迹。</w:t>
            </w:r>
          </w:p>
        </w:tc>
      </w:tr>
      <w:tr w14:paraId="4ADE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097" w:type="dxa"/>
            <w:tcBorders>
              <w:top w:val="single" w:color="auto" w:sz="4" w:space="0"/>
              <w:left w:val="single" w:color="auto" w:sz="4" w:space="0"/>
              <w:bottom w:val="single" w:color="auto" w:sz="4" w:space="0"/>
              <w:right w:val="single" w:color="auto" w:sz="4" w:space="0"/>
            </w:tcBorders>
          </w:tcPr>
          <w:p w14:paraId="08824E39">
            <w:pPr>
              <w:spacing w:line="500" w:lineRule="exact"/>
              <w:rPr>
                <w:szCs w:val="21"/>
              </w:rPr>
            </w:pPr>
            <w:r>
              <w:rPr>
                <w:rFonts w:hint="eastAsia"/>
                <w:szCs w:val="21"/>
              </w:rPr>
              <w:t>消防设施、公共设施</w:t>
            </w:r>
          </w:p>
        </w:tc>
        <w:tc>
          <w:tcPr>
            <w:tcW w:w="7029" w:type="dxa"/>
            <w:tcBorders>
              <w:top w:val="single" w:color="auto" w:sz="4" w:space="0"/>
              <w:left w:val="single" w:color="auto" w:sz="4" w:space="0"/>
              <w:bottom w:val="single" w:color="auto" w:sz="4" w:space="0"/>
              <w:right w:val="single" w:color="auto" w:sz="4" w:space="0"/>
            </w:tcBorders>
          </w:tcPr>
          <w:p w14:paraId="59A1360A">
            <w:pPr>
              <w:spacing w:line="500" w:lineRule="exact"/>
              <w:rPr>
                <w:szCs w:val="21"/>
              </w:rPr>
            </w:pPr>
            <w:r>
              <w:rPr>
                <w:rFonts w:hint="eastAsia"/>
                <w:szCs w:val="21"/>
              </w:rPr>
              <w:t>每日不间断保洁，保持干净、无灰尘、无污渍。报警器、火警通讯电话插座、灭火器表面光亮、无灰尘、无污迹。监控门禁表面光亮、无灰尘、无斑点、无絮状物。消防设施外表面光亮、无痕迹、无灰尘、内侧无灰尘、无污迹。</w:t>
            </w:r>
          </w:p>
        </w:tc>
      </w:tr>
      <w:tr w14:paraId="3BDC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2097" w:type="dxa"/>
            <w:tcBorders>
              <w:top w:val="single" w:color="auto" w:sz="4" w:space="0"/>
              <w:left w:val="single" w:color="auto" w:sz="4" w:space="0"/>
              <w:bottom w:val="single" w:color="auto" w:sz="4" w:space="0"/>
              <w:right w:val="single" w:color="auto" w:sz="4" w:space="0"/>
            </w:tcBorders>
          </w:tcPr>
          <w:p w14:paraId="45D44CDB">
            <w:pPr>
              <w:spacing w:line="500" w:lineRule="exact"/>
              <w:rPr>
                <w:szCs w:val="21"/>
              </w:rPr>
            </w:pPr>
            <w:r>
              <w:rPr>
                <w:rFonts w:hint="eastAsia"/>
                <w:szCs w:val="21"/>
              </w:rPr>
              <w:t>天花板、风口、公共灯具</w:t>
            </w:r>
          </w:p>
        </w:tc>
        <w:tc>
          <w:tcPr>
            <w:tcW w:w="7029" w:type="dxa"/>
            <w:tcBorders>
              <w:top w:val="single" w:color="auto" w:sz="4" w:space="0"/>
              <w:left w:val="single" w:color="auto" w:sz="4" w:space="0"/>
              <w:bottom w:val="single" w:color="auto" w:sz="4" w:space="0"/>
              <w:right w:val="single" w:color="auto" w:sz="4" w:space="0"/>
            </w:tcBorders>
          </w:tcPr>
          <w:p w14:paraId="29F6043B">
            <w:pPr>
              <w:spacing w:line="500" w:lineRule="exact"/>
              <w:rPr>
                <w:szCs w:val="21"/>
              </w:rPr>
            </w:pPr>
            <w:r>
              <w:rPr>
                <w:rFonts w:hint="eastAsia"/>
                <w:szCs w:val="21"/>
              </w:rPr>
              <w:t>每日不间断巡检目视无灰尘、无污迹、无蜘蛛网，表面、接缝、角落、边线等处无污迹、无灰尘、无斑点</w:t>
            </w:r>
          </w:p>
        </w:tc>
      </w:tr>
      <w:tr w14:paraId="74AE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2097" w:type="dxa"/>
            <w:tcBorders>
              <w:top w:val="single" w:color="auto" w:sz="4" w:space="0"/>
              <w:left w:val="single" w:color="auto" w:sz="4" w:space="0"/>
              <w:bottom w:val="single" w:color="auto" w:sz="4" w:space="0"/>
              <w:right w:val="single" w:color="auto" w:sz="4" w:space="0"/>
            </w:tcBorders>
          </w:tcPr>
          <w:p w14:paraId="19CFBEBA">
            <w:pPr>
              <w:spacing w:line="500" w:lineRule="exact"/>
              <w:rPr>
                <w:szCs w:val="21"/>
              </w:rPr>
            </w:pPr>
            <w:r>
              <w:rPr>
                <w:rFonts w:hint="eastAsia"/>
                <w:szCs w:val="21"/>
              </w:rPr>
              <w:t>走廊、窗户玻璃、大厅门厅玻璃。、</w:t>
            </w:r>
          </w:p>
        </w:tc>
        <w:tc>
          <w:tcPr>
            <w:tcW w:w="7029" w:type="dxa"/>
            <w:tcBorders>
              <w:top w:val="single" w:color="auto" w:sz="4" w:space="0"/>
              <w:left w:val="single" w:color="auto" w:sz="4" w:space="0"/>
              <w:bottom w:val="single" w:color="auto" w:sz="4" w:space="0"/>
              <w:right w:val="single" w:color="auto" w:sz="4" w:space="0"/>
            </w:tcBorders>
          </w:tcPr>
          <w:p w14:paraId="164C2898">
            <w:pPr>
              <w:spacing w:line="500" w:lineRule="exact"/>
              <w:rPr>
                <w:szCs w:val="21"/>
              </w:rPr>
            </w:pPr>
            <w:r>
              <w:rPr>
                <w:rFonts w:hint="eastAsia"/>
                <w:szCs w:val="21"/>
              </w:rPr>
              <w:t>每日不间断保洁；保持洁净、光亮、无灰尘、无污迹、无水痕。</w:t>
            </w:r>
          </w:p>
        </w:tc>
      </w:tr>
      <w:tr w14:paraId="1C9D2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2097" w:type="dxa"/>
            <w:tcBorders>
              <w:top w:val="single" w:color="auto" w:sz="4" w:space="0"/>
              <w:left w:val="single" w:color="auto" w:sz="4" w:space="0"/>
              <w:bottom w:val="single" w:color="auto" w:sz="4" w:space="0"/>
              <w:right w:val="single" w:color="auto" w:sz="4" w:space="0"/>
            </w:tcBorders>
          </w:tcPr>
          <w:p w14:paraId="7A0E8980">
            <w:pPr>
              <w:spacing w:line="500" w:lineRule="exact"/>
              <w:rPr>
                <w:szCs w:val="21"/>
              </w:rPr>
            </w:pPr>
            <w:r>
              <w:rPr>
                <w:rFonts w:hint="eastAsia"/>
                <w:szCs w:val="21"/>
              </w:rPr>
              <w:t>平台、屋顶</w:t>
            </w:r>
          </w:p>
        </w:tc>
        <w:tc>
          <w:tcPr>
            <w:tcW w:w="7029" w:type="dxa"/>
            <w:tcBorders>
              <w:top w:val="single" w:color="auto" w:sz="4" w:space="0"/>
              <w:left w:val="single" w:color="auto" w:sz="4" w:space="0"/>
              <w:bottom w:val="single" w:color="auto" w:sz="4" w:space="0"/>
              <w:right w:val="single" w:color="auto" w:sz="4" w:space="0"/>
            </w:tcBorders>
          </w:tcPr>
          <w:p w14:paraId="659F4740">
            <w:pPr>
              <w:spacing w:line="500" w:lineRule="exact"/>
              <w:rPr>
                <w:szCs w:val="21"/>
              </w:rPr>
            </w:pPr>
            <w:r>
              <w:rPr>
                <w:rFonts w:hint="eastAsia"/>
                <w:szCs w:val="21"/>
              </w:rPr>
              <w:t>定期保洁；无垃圾堆积。</w:t>
            </w:r>
          </w:p>
        </w:tc>
      </w:tr>
      <w:tr w14:paraId="73C8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2097" w:type="dxa"/>
            <w:tcBorders>
              <w:top w:val="single" w:color="auto" w:sz="4" w:space="0"/>
              <w:left w:val="single" w:color="auto" w:sz="4" w:space="0"/>
              <w:bottom w:val="single" w:color="auto" w:sz="4" w:space="0"/>
              <w:right w:val="single" w:color="auto" w:sz="4" w:space="0"/>
            </w:tcBorders>
          </w:tcPr>
          <w:p w14:paraId="713476CE">
            <w:pPr>
              <w:spacing w:line="500" w:lineRule="exact"/>
              <w:rPr>
                <w:szCs w:val="21"/>
              </w:rPr>
            </w:pPr>
            <w:r>
              <w:rPr>
                <w:rFonts w:hint="eastAsia"/>
                <w:szCs w:val="21"/>
              </w:rPr>
              <w:t>服务功能性用房（如会议室、接待室、茶水间）</w:t>
            </w:r>
          </w:p>
        </w:tc>
        <w:tc>
          <w:tcPr>
            <w:tcW w:w="7029" w:type="dxa"/>
            <w:tcBorders>
              <w:top w:val="single" w:color="auto" w:sz="4" w:space="0"/>
              <w:left w:val="single" w:color="auto" w:sz="4" w:space="0"/>
              <w:bottom w:val="single" w:color="auto" w:sz="4" w:space="0"/>
              <w:right w:val="single" w:color="auto" w:sz="4" w:space="0"/>
            </w:tcBorders>
          </w:tcPr>
          <w:p w14:paraId="3F2FFCD9">
            <w:pPr>
              <w:spacing w:line="500" w:lineRule="exact"/>
              <w:rPr>
                <w:szCs w:val="21"/>
              </w:rPr>
            </w:pPr>
            <w:r>
              <w:rPr>
                <w:rFonts w:hint="eastAsia"/>
                <w:szCs w:val="21"/>
              </w:rPr>
              <w:t>机动保洁，服务随时到位保持干净、整洁、无垃圾。不锈钢台面无水痕、无污迹、无擦痕。水槽干净、无斑点、无污迹、无杂物、水垢，落水口无污垢。下水道无异味、定期滴入消毒液。</w:t>
            </w:r>
          </w:p>
        </w:tc>
      </w:tr>
      <w:tr w14:paraId="3F34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2097" w:type="dxa"/>
            <w:tcBorders>
              <w:top w:val="single" w:color="auto" w:sz="4" w:space="0"/>
              <w:left w:val="single" w:color="auto" w:sz="4" w:space="0"/>
              <w:bottom w:val="single" w:color="auto" w:sz="4" w:space="0"/>
              <w:right w:val="single" w:color="auto" w:sz="4" w:space="0"/>
            </w:tcBorders>
          </w:tcPr>
          <w:p w14:paraId="64095744">
            <w:pPr>
              <w:spacing w:line="500" w:lineRule="exact"/>
              <w:rPr>
                <w:szCs w:val="21"/>
              </w:rPr>
            </w:pPr>
            <w:r>
              <w:rPr>
                <w:rFonts w:hint="eastAsia"/>
                <w:szCs w:val="21"/>
              </w:rPr>
              <w:t>设备机房、管道</w:t>
            </w:r>
          </w:p>
        </w:tc>
        <w:tc>
          <w:tcPr>
            <w:tcW w:w="7029" w:type="dxa"/>
            <w:tcBorders>
              <w:top w:val="single" w:color="auto" w:sz="4" w:space="0"/>
              <w:left w:val="single" w:color="auto" w:sz="4" w:space="0"/>
              <w:bottom w:val="single" w:color="auto" w:sz="4" w:space="0"/>
              <w:right w:val="single" w:color="auto" w:sz="4" w:space="0"/>
            </w:tcBorders>
          </w:tcPr>
          <w:p w14:paraId="3DFB9AA0">
            <w:pPr>
              <w:spacing w:line="500" w:lineRule="exact"/>
              <w:rPr>
                <w:szCs w:val="21"/>
              </w:rPr>
            </w:pPr>
            <w:r>
              <w:rPr>
                <w:rFonts w:hint="eastAsia"/>
                <w:szCs w:val="21"/>
              </w:rPr>
              <w:t>定期保洁；无卫生死角、无垃圾堆积，无灰尘、目视无蜘蛛网、无污渍、无水渍。</w:t>
            </w:r>
          </w:p>
        </w:tc>
      </w:tr>
      <w:tr w14:paraId="43281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2097" w:type="dxa"/>
            <w:tcBorders>
              <w:top w:val="single" w:color="auto" w:sz="4" w:space="0"/>
              <w:left w:val="single" w:color="auto" w:sz="4" w:space="0"/>
              <w:bottom w:val="single" w:color="auto" w:sz="4" w:space="0"/>
              <w:right w:val="single" w:color="auto" w:sz="4" w:space="0"/>
            </w:tcBorders>
          </w:tcPr>
          <w:p w14:paraId="30A01B95">
            <w:pPr>
              <w:spacing w:line="500" w:lineRule="exact"/>
              <w:rPr>
                <w:szCs w:val="21"/>
              </w:rPr>
            </w:pPr>
            <w:r>
              <w:rPr>
                <w:rFonts w:hint="eastAsia"/>
                <w:szCs w:val="21"/>
              </w:rPr>
              <w:t>所有各处地面和墙面</w:t>
            </w:r>
          </w:p>
        </w:tc>
        <w:tc>
          <w:tcPr>
            <w:tcW w:w="7029" w:type="dxa"/>
            <w:tcBorders>
              <w:top w:val="single" w:color="auto" w:sz="4" w:space="0"/>
              <w:left w:val="single" w:color="auto" w:sz="4" w:space="0"/>
              <w:bottom w:val="single" w:color="auto" w:sz="4" w:space="0"/>
              <w:right w:val="single" w:color="auto" w:sz="4" w:space="0"/>
            </w:tcBorders>
          </w:tcPr>
          <w:p w14:paraId="25B3D0E9">
            <w:pPr>
              <w:spacing w:line="500" w:lineRule="exact"/>
              <w:rPr>
                <w:szCs w:val="21"/>
              </w:rPr>
            </w:pPr>
            <w:r>
              <w:rPr>
                <w:rFonts w:hint="eastAsia"/>
                <w:szCs w:val="21"/>
              </w:rPr>
              <w:t>每日不间断巡检按不同材质进行保洁。地表面、接缝、角落、边线等均保持整洁、干净有光泽。无垃圾、杂物、灰尘、水渍、污迹等；墙角、天花板无灰尘、无蜘蛛网；公共部分的墙面根据需要粉刷。</w:t>
            </w:r>
          </w:p>
        </w:tc>
      </w:tr>
      <w:tr w14:paraId="70C0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2097" w:type="dxa"/>
            <w:tcBorders>
              <w:top w:val="single" w:color="auto" w:sz="4" w:space="0"/>
              <w:left w:val="single" w:color="auto" w:sz="4" w:space="0"/>
              <w:bottom w:val="single" w:color="auto" w:sz="4" w:space="0"/>
              <w:right w:val="single" w:color="auto" w:sz="4" w:space="0"/>
            </w:tcBorders>
          </w:tcPr>
          <w:p w14:paraId="16F41DE3">
            <w:pPr>
              <w:spacing w:line="500" w:lineRule="exact"/>
              <w:rPr>
                <w:szCs w:val="21"/>
              </w:rPr>
            </w:pPr>
            <w:r>
              <w:rPr>
                <w:rFonts w:hint="eastAsia"/>
                <w:szCs w:val="21"/>
              </w:rPr>
              <w:t>卫生间</w:t>
            </w:r>
          </w:p>
        </w:tc>
        <w:tc>
          <w:tcPr>
            <w:tcW w:w="7029" w:type="dxa"/>
            <w:tcBorders>
              <w:top w:val="single" w:color="auto" w:sz="4" w:space="0"/>
              <w:left w:val="single" w:color="auto" w:sz="4" w:space="0"/>
              <w:bottom w:val="single" w:color="auto" w:sz="4" w:space="0"/>
              <w:right w:val="single" w:color="auto" w:sz="4" w:space="0"/>
            </w:tcBorders>
          </w:tcPr>
          <w:p w14:paraId="02351117">
            <w:pPr>
              <w:spacing w:line="500" w:lineRule="exact"/>
              <w:rPr>
                <w:szCs w:val="21"/>
              </w:rPr>
            </w:pPr>
            <w:r>
              <w:rPr>
                <w:rFonts w:hint="eastAsia"/>
                <w:szCs w:val="21"/>
              </w:rPr>
              <w:t>每日不间断保洁；厕所坑内、小便池内喷洒消毒，保持无异味、污迹、水渍、垃圾、积水；下水道畅通无堵塞；镜面、台面、地面干燥，无头发、无污渍。更换卫生纸、洗手液。</w:t>
            </w:r>
          </w:p>
        </w:tc>
      </w:tr>
      <w:tr w14:paraId="00C66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2097" w:type="dxa"/>
            <w:tcBorders>
              <w:top w:val="single" w:color="auto" w:sz="4" w:space="0"/>
              <w:left w:val="single" w:color="auto" w:sz="4" w:space="0"/>
              <w:bottom w:val="single" w:color="auto" w:sz="4" w:space="0"/>
              <w:right w:val="single" w:color="auto" w:sz="4" w:space="0"/>
            </w:tcBorders>
          </w:tcPr>
          <w:p w14:paraId="2132F3D4">
            <w:pPr>
              <w:spacing w:line="500" w:lineRule="exact"/>
              <w:rPr>
                <w:szCs w:val="21"/>
              </w:rPr>
            </w:pPr>
            <w:r>
              <w:rPr>
                <w:rFonts w:hint="eastAsia"/>
                <w:szCs w:val="21"/>
              </w:rPr>
              <w:t>办公室、档案室等</w:t>
            </w:r>
          </w:p>
        </w:tc>
        <w:tc>
          <w:tcPr>
            <w:tcW w:w="7029" w:type="dxa"/>
            <w:tcBorders>
              <w:top w:val="single" w:color="auto" w:sz="4" w:space="0"/>
              <w:left w:val="single" w:color="auto" w:sz="4" w:space="0"/>
              <w:bottom w:val="single" w:color="auto" w:sz="4" w:space="0"/>
              <w:right w:val="single" w:color="auto" w:sz="4" w:space="0"/>
            </w:tcBorders>
          </w:tcPr>
          <w:p w14:paraId="633F364A">
            <w:pPr>
              <w:spacing w:line="500" w:lineRule="exact"/>
              <w:rPr>
                <w:szCs w:val="21"/>
              </w:rPr>
            </w:pPr>
            <w:r>
              <w:rPr>
                <w:rFonts w:hint="eastAsia"/>
                <w:szCs w:val="21"/>
              </w:rPr>
              <w:t>每日一次保洁；均保持洁净干净、干燥；无浮尘、无水渍、无污迹；无卫生死角。</w:t>
            </w:r>
          </w:p>
        </w:tc>
      </w:tr>
      <w:tr w14:paraId="777F2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2097" w:type="dxa"/>
            <w:tcBorders>
              <w:top w:val="single" w:color="auto" w:sz="4" w:space="0"/>
              <w:left w:val="single" w:color="auto" w:sz="4" w:space="0"/>
              <w:bottom w:val="single" w:color="auto" w:sz="4" w:space="0"/>
              <w:right w:val="single" w:color="auto" w:sz="4" w:space="0"/>
            </w:tcBorders>
          </w:tcPr>
          <w:p w14:paraId="1DD6DEF8">
            <w:pPr>
              <w:spacing w:line="500" w:lineRule="exact"/>
              <w:rPr>
                <w:szCs w:val="21"/>
              </w:rPr>
            </w:pPr>
            <w:r>
              <w:rPr>
                <w:rFonts w:hint="eastAsia"/>
                <w:szCs w:val="21"/>
              </w:rPr>
              <w:t>废物箱（垃圾箱）</w:t>
            </w:r>
          </w:p>
        </w:tc>
        <w:tc>
          <w:tcPr>
            <w:tcW w:w="7029" w:type="dxa"/>
            <w:tcBorders>
              <w:top w:val="single" w:color="auto" w:sz="4" w:space="0"/>
              <w:left w:val="single" w:color="auto" w:sz="4" w:space="0"/>
              <w:bottom w:val="single" w:color="auto" w:sz="4" w:space="0"/>
              <w:right w:val="single" w:color="auto" w:sz="4" w:space="0"/>
            </w:tcBorders>
          </w:tcPr>
          <w:p w14:paraId="4964E551">
            <w:pPr>
              <w:spacing w:line="500" w:lineRule="exact"/>
              <w:rPr>
                <w:szCs w:val="21"/>
              </w:rPr>
            </w:pPr>
            <w:r>
              <w:rPr>
                <w:rFonts w:hint="eastAsia"/>
                <w:szCs w:val="21"/>
              </w:rPr>
              <w:t>每日不间断巡检，收集处理垃圾周围清洁，无漫溢、无污渍、无异味。</w:t>
            </w:r>
          </w:p>
        </w:tc>
      </w:tr>
    </w:tbl>
    <w:p w14:paraId="652F3574">
      <w:pPr>
        <w:spacing w:line="500" w:lineRule="exact"/>
        <w:ind w:firstLine="420" w:firstLineChars="200"/>
        <w:jc w:val="center"/>
        <w:rPr>
          <w:szCs w:val="21"/>
        </w:rPr>
      </w:pPr>
      <w:r>
        <w:rPr>
          <w:rFonts w:hint="eastAsia"/>
          <w:szCs w:val="21"/>
        </w:rPr>
        <w:t>（表一）</w:t>
      </w:r>
    </w:p>
    <w:p w14:paraId="60AF3304">
      <w:pPr>
        <w:spacing w:line="360" w:lineRule="auto"/>
        <w:ind w:firstLine="422" w:firstLineChars="200"/>
        <w:rPr>
          <w:szCs w:val="21"/>
        </w:rPr>
      </w:pPr>
      <w:r>
        <w:rPr>
          <w:rFonts w:hint="eastAsia"/>
          <w:b/>
          <w:bCs/>
          <w:szCs w:val="21"/>
        </w:rPr>
        <w:t>服务标准：</w:t>
      </w:r>
      <w:r>
        <w:rPr>
          <w:rFonts w:hint="eastAsia"/>
          <w:szCs w:val="21"/>
        </w:rPr>
        <w:t>建立物业管理区域环境管理制度并认真落实。环卫设施齐备；组建专业保洁人员实行标准化清扫保洁，由专人负责检查监督，清洁率</w:t>
      </w:r>
      <w:r>
        <w:rPr>
          <w:szCs w:val="21"/>
        </w:rPr>
        <w:t>100%</w:t>
      </w:r>
      <w:r>
        <w:rPr>
          <w:rFonts w:hint="eastAsia"/>
          <w:szCs w:val="21"/>
        </w:rPr>
        <w:t>。</w:t>
      </w:r>
    </w:p>
    <w:p w14:paraId="2C91FACD">
      <w:pPr>
        <w:spacing w:line="360" w:lineRule="auto"/>
        <w:rPr>
          <w:szCs w:val="21"/>
        </w:rPr>
      </w:pPr>
      <w:r>
        <w:rPr>
          <w:rFonts w:hint="eastAsia"/>
          <w:szCs w:val="21"/>
        </w:rPr>
        <w:t>外围及周边道路地面干净无杂物、无积水，无明显污迹、油渍；明沟、窨井内无杂物、无异味；各种标示标牌表面干净无积尘、无水印。绿化带内无杂物，花台表面干净无污渍。</w:t>
      </w:r>
    </w:p>
    <w:p w14:paraId="1A0A4C1B">
      <w:pPr>
        <w:spacing w:line="360" w:lineRule="auto"/>
        <w:rPr>
          <w:szCs w:val="21"/>
        </w:rPr>
      </w:pPr>
      <w:r>
        <w:rPr>
          <w:rFonts w:hint="eastAsia"/>
          <w:szCs w:val="21"/>
        </w:rPr>
        <w:t>大厅、楼内，公共通道地面干净、无污渍，有光泽，保持地面材质原貌；门框、窗框、窗台、金属件表面光亮、无灰尘、无污渍；门窗玻璃干净无尘，透光性好，无明显印迹；各种金属件表面干净，无污渍，有金属光泽；门把手干净、无印迹、定时消毒；天花板干净，无污渍、无蛛网；灯具干净无积尘，中央空调风口干净，无污迹，进出口地垫摆放整齐，表面干净无杂物，盆栽植物无积尘。</w:t>
      </w:r>
    </w:p>
    <w:p w14:paraId="679321A1">
      <w:pPr>
        <w:spacing w:line="360" w:lineRule="auto"/>
        <w:rPr>
          <w:szCs w:val="21"/>
        </w:rPr>
      </w:pPr>
      <w:r>
        <w:rPr>
          <w:rFonts w:hint="eastAsia"/>
          <w:szCs w:val="21"/>
        </w:rPr>
        <w:t>会议室、接待室地面、墙面、干净，无灰尘、污渍；天花板、风口目视无灰尘、污渍；桌椅干净，物品摆放整齐、有序。</w:t>
      </w:r>
    </w:p>
    <w:p w14:paraId="31368DB0">
      <w:pPr>
        <w:spacing w:line="360" w:lineRule="auto"/>
        <w:rPr>
          <w:szCs w:val="21"/>
        </w:rPr>
      </w:pPr>
      <w:r>
        <w:rPr>
          <w:rFonts w:hint="eastAsia"/>
          <w:szCs w:val="21"/>
        </w:rPr>
        <w:t>楼梯及楼梯间梯步表面干净无污渍，防滑条</w:t>
      </w:r>
      <w:r>
        <w:rPr>
          <w:szCs w:val="21"/>
        </w:rPr>
        <w:t>(</w:t>
      </w:r>
      <w:r>
        <w:rPr>
          <w:rFonts w:hint="eastAsia"/>
          <w:szCs w:val="21"/>
        </w:rPr>
        <w:t>缝</w:t>
      </w:r>
      <w:r>
        <w:rPr>
          <w:szCs w:val="21"/>
        </w:rPr>
        <w:t>)</w:t>
      </w:r>
      <w:r>
        <w:rPr>
          <w:rFonts w:hint="eastAsia"/>
          <w:szCs w:val="21"/>
        </w:rPr>
        <w:t>干净，扶手栏杆表面干净元灰尘，防火门及闭门器表面干净无污渍，墙面、天花板无积尘、蛛网。</w:t>
      </w:r>
    </w:p>
    <w:p w14:paraId="18251F02">
      <w:pPr>
        <w:spacing w:line="360" w:lineRule="auto"/>
        <w:rPr>
          <w:szCs w:val="21"/>
        </w:rPr>
      </w:pPr>
      <w:r>
        <w:rPr>
          <w:rFonts w:hint="eastAsia"/>
          <w:szCs w:val="21"/>
        </w:rPr>
        <w:t>公共卫生间地面干净，无污渍、无积水，大小便器表面干净，无污渍，有光泽；各种隔断表面干净，无乱写乱画，金属饰件表面干净，无污迹，有金属光泽；墙壁表面干净，顶部各种管网、灯具表面干净无积尘、蛛网；墙面干净无积尘，各种指示牌表面干净有光泽；消防器材表面干净，摆放整齐。</w:t>
      </w:r>
    </w:p>
    <w:p w14:paraId="0D678B66">
      <w:pPr>
        <w:spacing w:line="360" w:lineRule="auto"/>
        <w:rPr>
          <w:szCs w:val="21"/>
        </w:rPr>
      </w:pPr>
      <w:r>
        <w:rPr>
          <w:rFonts w:hint="eastAsia"/>
          <w:szCs w:val="21"/>
        </w:rPr>
        <w:t>开水间及食堂地面干净，无杂物、无积水，地垫摆放整齐干净，各类工具摆放整齐有序，室内无明显异味。</w:t>
      </w:r>
    </w:p>
    <w:p w14:paraId="08CD219B">
      <w:pPr>
        <w:spacing w:line="360" w:lineRule="auto"/>
        <w:rPr>
          <w:szCs w:val="21"/>
        </w:rPr>
      </w:pPr>
      <w:r>
        <w:rPr>
          <w:rFonts w:hint="eastAsia"/>
          <w:szCs w:val="21"/>
        </w:rPr>
        <w:t>电器设施、灯泡、灯管、灯罩无积尘、无污迹。装饰件无积尘、无污迹；开关、插座、配电箱无积尘、无明显污迹。</w:t>
      </w:r>
    </w:p>
    <w:p w14:paraId="7609D88E">
      <w:pPr>
        <w:spacing w:line="360" w:lineRule="auto"/>
        <w:rPr>
          <w:szCs w:val="21"/>
        </w:rPr>
      </w:pPr>
      <w:r>
        <w:rPr>
          <w:rFonts w:hint="eastAsia"/>
          <w:szCs w:val="21"/>
        </w:rPr>
        <w:t>垃圾桶及果皮箱桶、箱按指定位置摆放，桶身表面干净无污渍无痰迹，内胆应定期清洁、消毒。</w:t>
      </w:r>
    </w:p>
    <w:p w14:paraId="1C94DD71">
      <w:pPr>
        <w:spacing w:line="360" w:lineRule="auto"/>
        <w:rPr>
          <w:szCs w:val="21"/>
        </w:rPr>
      </w:pPr>
      <w:r>
        <w:rPr>
          <w:rFonts w:hint="eastAsia"/>
          <w:szCs w:val="21"/>
        </w:rPr>
        <w:t>消防栓、消防箱，公共设施保持表面干净，无灰尘、无污渍。灭火器表面光亮、无积尘、无污迹；喷淋盖、烟感器、扬声器无积尘、无污渍。监控摄像头表面光亮、无积尘、无斑点；消防栓外表面光亮、无印迹、无积尘，内侧无积尘、无污迹。</w:t>
      </w:r>
    </w:p>
    <w:p w14:paraId="1F835D24">
      <w:pPr>
        <w:spacing w:line="360" w:lineRule="auto"/>
        <w:ind w:firstLine="420" w:firstLineChars="200"/>
        <w:rPr>
          <w:szCs w:val="21"/>
        </w:rPr>
      </w:pPr>
      <w:r>
        <w:rPr>
          <w:rFonts w:hint="eastAsia"/>
          <w:szCs w:val="21"/>
        </w:rPr>
        <w:t>设备机房、管道，指示牌无卫生死角、无垃圾堆积，无积尘、目视无蜘蛛网、无明显污渍、无水渍；指示牌、广告牌无灰尘、无污迹，金属件表面光亮，无痕迹。</w:t>
      </w:r>
    </w:p>
    <w:p w14:paraId="289A68B4">
      <w:pPr>
        <w:spacing w:line="360" w:lineRule="auto"/>
        <w:ind w:firstLine="420" w:firstLineChars="200"/>
        <w:rPr>
          <w:szCs w:val="21"/>
        </w:rPr>
      </w:pPr>
      <w:r>
        <w:rPr>
          <w:rFonts w:hint="eastAsia"/>
          <w:szCs w:val="21"/>
        </w:rPr>
        <w:t>保洁用等易耗品由物业公司自行提供。</w:t>
      </w:r>
    </w:p>
    <w:p w14:paraId="75356E29">
      <w:pPr>
        <w:spacing w:line="500" w:lineRule="exact"/>
        <w:ind w:firstLine="422" w:firstLineChars="200"/>
        <w:rPr>
          <w:b/>
          <w:bCs/>
          <w:szCs w:val="21"/>
        </w:rPr>
      </w:pPr>
      <w:r>
        <w:rPr>
          <w:b/>
          <w:bCs/>
          <w:szCs w:val="21"/>
        </w:rPr>
        <w:t>4</w:t>
      </w:r>
      <w:r>
        <w:rPr>
          <w:rFonts w:hint="eastAsia"/>
          <w:b/>
          <w:bCs/>
          <w:szCs w:val="21"/>
        </w:rPr>
        <w:t>、保绿范围、内容及要求：</w:t>
      </w:r>
    </w:p>
    <w:p w14:paraId="4C6EA001">
      <w:pPr>
        <w:spacing w:line="500" w:lineRule="exact"/>
        <w:ind w:firstLine="420" w:firstLineChars="200"/>
        <w:rPr>
          <w:szCs w:val="21"/>
        </w:rPr>
      </w:pPr>
      <w:r>
        <w:rPr>
          <w:rFonts w:hint="eastAsia"/>
          <w:szCs w:val="21"/>
        </w:rPr>
        <w:t>保绿范围：接待及办公区域内的所有绿化、门前绿化。</w:t>
      </w:r>
    </w:p>
    <w:p w14:paraId="54635742">
      <w:pPr>
        <w:spacing w:line="500" w:lineRule="exact"/>
        <w:ind w:firstLine="420" w:firstLineChars="200"/>
        <w:rPr>
          <w:szCs w:val="21"/>
        </w:rPr>
      </w:pPr>
      <w:r>
        <w:rPr>
          <w:rFonts w:hint="eastAsia"/>
          <w:szCs w:val="21"/>
        </w:rPr>
        <w:t>养护内容及要求：</w:t>
      </w:r>
    </w:p>
    <w:p w14:paraId="6AE779AD">
      <w:pPr>
        <w:spacing w:line="500" w:lineRule="exact"/>
        <w:ind w:firstLine="420" w:firstLineChars="200"/>
        <w:rPr>
          <w:szCs w:val="21"/>
        </w:rPr>
      </w:pPr>
      <w:r>
        <w:rPr>
          <w:szCs w:val="21"/>
        </w:rPr>
        <w:t>4.1</w:t>
      </w:r>
      <w:r>
        <w:rPr>
          <w:rFonts w:hint="eastAsia"/>
          <w:szCs w:val="21"/>
        </w:rPr>
        <w:t>室内阴生植物：总量配备合理，大、中、小盆配备合理。根据季节特点，定期施肥，及时防治病虫害，定期修剪，剪口平滑、美观，及时清除修剪物，及时剪除枯枝、病虫枝、黄枝，及时补全老、病死植株。定期浇水，定期抹叶片尘埃，保持植物生长旺盛，叶色墨绿光亮，盆身洁净。</w:t>
      </w:r>
    </w:p>
    <w:p w14:paraId="730C165C">
      <w:pPr>
        <w:spacing w:line="500" w:lineRule="exact"/>
        <w:ind w:firstLine="420" w:firstLineChars="200"/>
        <w:rPr>
          <w:szCs w:val="21"/>
        </w:rPr>
      </w:pPr>
      <w:r>
        <w:rPr>
          <w:szCs w:val="21"/>
        </w:rPr>
        <w:t>4.2</w:t>
      </w:r>
      <w:r>
        <w:rPr>
          <w:rFonts w:hint="eastAsia"/>
          <w:szCs w:val="21"/>
        </w:rPr>
        <w:t>门口绿化：植物配置合理，搭配适当，有特色，绿化充分，无裸露土地。绿化生长健状，树冠完整、美观，修剪适当，主侧枝分布匀称，无死树和枯枝；在正常条件下，不黄叶、不焦叶、不卷叶、不落叶；被啃咬的叶片最严重的每株在</w:t>
      </w:r>
      <w:r>
        <w:rPr>
          <w:szCs w:val="21"/>
        </w:rPr>
        <w:t>5%</w:t>
      </w:r>
      <w:r>
        <w:rPr>
          <w:rFonts w:hint="eastAsia"/>
          <w:szCs w:val="21"/>
        </w:rPr>
        <w:t>以下；无蛀干害虫的活卵、活虫；无钉栓、捆绑现象，无明显缺株。绿化区域内整洁，无杂树，无堆物、侵占等现象；无人为损坏，对违法行为能及时发现和处理；绿化生产垃圾及时清运。</w:t>
      </w:r>
    </w:p>
    <w:p w14:paraId="29BF8101">
      <w:pPr>
        <w:spacing w:line="500" w:lineRule="exact"/>
        <w:ind w:firstLine="422" w:firstLineChars="200"/>
        <w:rPr>
          <w:szCs w:val="21"/>
        </w:rPr>
      </w:pPr>
      <w:r>
        <w:rPr>
          <w:rFonts w:hint="eastAsia"/>
          <w:b/>
          <w:bCs/>
          <w:szCs w:val="21"/>
        </w:rPr>
        <w:t>服务标准：</w:t>
      </w:r>
      <w:r>
        <w:rPr>
          <w:rFonts w:hint="eastAsia"/>
          <w:szCs w:val="21"/>
        </w:rPr>
        <w:t>花草树木生长正常，修剪及时，叶面干净，具有光泽，无积尘，元枯枝败叶，无病虫害，无杂草；盆器及托盘完好干净，托盘无积土。室外绿化养护应达到绿地及花坛内各种植物存活率</w:t>
      </w:r>
      <w:r>
        <w:rPr>
          <w:szCs w:val="21"/>
        </w:rPr>
        <w:t>100</w:t>
      </w:r>
      <w:r>
        <w:rPr>
          <w:rFonts w:hint="eastAsia"/>
          <w:szCs w:val="21"/>
        </w:rPr>
        <w:t>％。绿地设施及硬质景观完好无损。植物群落完整，层次丰富，黄上不外露，有整体的观赏效果。植物生长茂盛；室内时花、苗木、盆栽及室内摆花等应按时浇水养护，清理、擦拭，保证其鲜亮、造型美观、无枯枝败叶。如需使用农药必须以不伤害人体健康为前提。</w:t>
      </w:r>
    </w:p>
    <w:p w14:paraId="0AC11288">
      <w:pPr>
        <w:spacing w:line="500" w:lineRule="exact"/>
        <w:ind w:firstLine="422" w:firstLineChars="200"/>
        <w:rPr>
          <w:b/>
          <w:bCs/>
          <w:szCs w:val="21"/>
        </w:rPr>
      </w:pPr>
      <w:r>
        <w:rPr>
          <w:rFonts w:hint="eastAsia"/>
          <w:b/>
          <w:bCs/>
          <w:szCs w:val="21"/>
        </w:rPr>
        <w:t>5、员工食堂管理要求</w:t>
      </w:r>
    </w:p>
    <w:p w14:paraId="78E02A51">
      <w:pPr>
        <w:pStyle w:val="3"/>
        <w:spacing w:line="360" w:lineRule="auto"/>
        <w:ind w:firstLine="435"/>
        <w:rPr>
          <w:rFonts w:ascii="Times New Roman" w:hAnsi="Times New Roman"/>
          <w:szCs w:val="21"/>
        </w:rPr>
      </w:pPr>
      <w:r>
        <w:rPr>
          <w:rFonts w:hint="eastAsia" w:ascii="Times New Roman" w:hAnsi="Times New Roman"/>
          <w:szCs w:val="21"/>
        </w:rPr>
        <w:t>员工食堂服务对象为中心的员工及后勤人员，不对外开放。主要提供周一至周六的工作早、中餐及遇加班及其他工作需要的工作餐。</w:t>
      </w:r>
    </w:p>
    <w:p w14:paraId="3A005FB6">
      <w:pPr>
        <w:pStyle w:val="3"/>
        <w:spacing w:line="360" w:lineRule="auto"/>
        <w:ind w:firstLine="435"/>
        <w:rPr>
          <w:rFonts w:ascii="Times New Roman" w:hAnsi="Times New Roman"/>
          <w:szCs w:val="21"/>
        </w:rPr>
      </w:pPr>
      <w:r>
        <w:rPr>
          <w:rFonts w:ascii="Times New Roman" w:hAnsi="Times New Roman"/>
          <w:szCs w:val="21"/>
        </w:rPr>
        <w:t>5.1</w:t>
      </w:r>
      <w:r>
        <w:rPr>
          <w:rFonts w:hint="eastAsia" w:ascii="Times New Roman" w:hAnsi="Times New Roman"/>
          <w:szCs w:val="21"/>
        </w:rPr>
        <w:t>食堂工作人员须分工合作，认真履行工作职责。按规定时间开放。</w:t>
      </w:r>
    </w:p>
    <w:p w14:paraId="0E55BCEE">
      <w:pPr>
        <w:pStyle w:val="3"/>
        <w:spacing w:line="360" w:lineRule="auto"/>
        <w:ind w:firstLine="420" w:firstLineChars="200"/>
        <w:rPr>
          <w:rFonts w:ascii="Times New Roman" w:hAnsi="Times New Roman"/>
          <w:szCs w:val="21"/>
        </w:rPr>
      </w:pPr>
      <w:r>
        <w:rPr>
          <w:rFonts w:ascii="Times New Roman" w:hAnsi="Times New Roman"/>
          <w:szCs w:val="21"/>
        </w:rPr>
        <w:t>5.2</w:t>
      </w:r>
      <w:r>
        <w:rPr>
          <w:rFonts w:hint="eastAsia" w:ascii="Times New Roman" w:hAnsi="Times New Roman"/>
          <w:szCs w:val="21"/>
        </w:rPr>
        <w:t>食堂必须遵守食品安全法律法规，确保食品质量安全。食材须保证食材新鲜、卫生，不得使用过期和不合格食材。食品加工、储存和烹饪过程中要严格遵守卫生要求，定期进行卫生检查和消毒。</w:t>
      </w:r>
    </w:p>
    <w:p w14:paraId="70F87C7E">
      <w:pPr>
        <w:pStyle w:val="3"/>
        <w:spacing w:line="360" w:lineRule="auto"/>
        <w:rPr>
          <w:rFonts w:ascii="Times New Roman" w:hAnsi="Times New Roman"/>
          <w:szCs w:val="21"/>
        </w:rPr>
      </w:pPr>
      <w:r>
        <w:rPr>
          <w:rFonts w:ascii="Times New Roman" w:hAnsi="Times New Roman"/>
          <w:szCs w:val="21"/>
        </w:rPr>
        <w:t>5.3</w:t>
      </w:r>
      <w:r>
        <w:rPr>
          <w:rFonts w:hint="eastAsia" w:ascii="Times New Roman" w:hAnsi="Times New Roman"/>
          <w:szCs w:val="21"/>
        </w:rPr>
        <w:t>保证食堂内部环境干净整洁，墙、地、餐桌椅等要每日清洁，保持无尘，无污渍，确保餐具的清洁和消毒。设立干湿垃圾桶，进行垃圾分类。</w:t>
      </w:r>
    </w:p>
    <w:p w14:paraId="3FE18882">
      <w:pPr>
        <w:pStyle w:val="3"/>
        <w:spacing w:line="360" w:lineRule="auto"/>
        <w:rPr>
          <w:rFonts w:ascii="Times New Roman" w:hAnsi="Times New Roman"/>
          <w:szCs w:val="21"/>
        </w:rPr>
      </w:pPr>
      <w:r>
        <w:rPr>
          <w:rFonts w:hint="eastAsia"/>
          <w:b/>
          <w:bCs/>
          <w:szCs w:val="21"/>
        </w:rPr>
        <w:t>服务标准：</w:t>
      </w:r>
      <w:r>
        <w:rPr>
          <w:rFonts w:hint="eastAsia"/>
          <w:szCs w:val="21"/>
        </w:rPr>
        <w:t>食堂工作人员要时刻保持个人和食堂卫生，定期进行健康检查。注重饭菜质量。</w:t>
      </w:r>
    </w:p>
    <w:p w14:paraId="19892FEB">
      <w:pPr>
        <w:spacing w:line="500" w:lineRule="exact"/>
        <w:ind w:firstLine="422" w:firstLineChars="200"/>
        <w:rPr>
          <w:b/>
          <w:bCs/>
          <w:szCs w:val="21"/>
        </w:rPr>
      </w:pPr>
      <w:r>
        <w:rPr>
          <w:b/>
          <w:bCs/>
          <w:szCs w:val="21"/>
        </w:rPr>
        <w:t>6</w:t>
      </w:r>
      <w:r>
        <w:rPr>
          <w:rFonts w:hint="eastAsia"/>
          <w:b/>
          <w:bCs/>
          <w:szCs w:val="21"/>
        </w:rPr>
        <w:t>、相关档案管理要求</w:t>
      </w:r>
    </w:p>
    <w:p w14:paraId="282A107D">
      <w:pPr>
        <w:pStyle w:val="3"/>
        <w:spacing w:line="360" w:lineRule="auto"/>
        <w:rPr>
          <w:rFonts w:ascii="Times New Roman" w:hAnsi="Times New Roman"/>
          <w:szCs w:val="21"/>
        </w:rPr>
      </w:pPr>
      <w:r>
        <w:rPr>
          <w:rFonts w:ascii="Times New Roman" w:hAnsi="Times New Roman"/>
          <w:szCs w:val="21"/>
        </w:rPr>
        <w:t>6.1</w:t>
      </w:r>
      <w:r>
        <w:rPr>
          <w:rFonts w:hint="eastAsia" w:ascii="Times New Roman" w:hAnsi="Times New Roman"/>
          <w:szCs w:val="21"/>
        </w:rPr>
        <w:t>建立管理人员、保安、保洁、维修人员等所有相关人员的人事档案和各类行政文件、合同的存档工作。</w:t>
      </w:r>
    </w:p>
    <w:p w14:paraId="72CC542A">
      <w:pPr>
        <w:pStyle w:val="3"/>
        <w:spacing w:line="360" w:lineRule="auto"/>
        <w:rPr>
          <w:rFonts w:ascii="Times New Roman" w:hAnsi="Times New Roman"/>
          <w:szCs w:val="21"/>
        </w:rPr>
      </w:pPr>
      <w:r>
        <w:rPr>
          <w:rFonts w:ascii="Times New Roman" w:hAnsi="Times New Roman"/>
          <w:szCs w:val="21"/>
        </w:rPr>
        <w:t>6.2</w:t>
      </w:r>
      <w:r>
        <w:rPr>
          <w:rFonts w:hint="eastAsia" w:ascii="Times New Roman" w:hAnsi="Times New Roman"/>
          <w:szCs w:val="21"/>
        </w:rPr>
        <w:t>建立设备、设施、保安、保洁、车辆等日常运作管理档案。</w:t>
      </w:r>
    </w:p>
    <w:p w14:paraId="7BB27793">
      <w:pPr>
        <w:pStyle w:val="3"/>
        <w:spacing w:line="360" w:lineRule="auto"/>
        <w:rPr>
          <w:rFonts w:ascii="Times New Roman" w:hAnsi="Times New Roman"/>
          <w:szCs w:val="21"/>
        </w:rPr>
      </w:pPr>
      <w:r>
        <w:rPr>
          <w:rFonts w:ascii="Times New Roman" w:hAnsi="Times New Roman"/>
          <w:szCs w:val="21"/>
        </w:rPr>
        <w:t>6.3</w:t>
      </w:r>
      <w:r>
        <w:rPr>
          <w:rFonts w:hint="eastAsia" w:ascii="Times New Roman" w:hAnsi="Times New Roman"/>
          <w:szCs w:val="21"/>
        </w:rPr>
        <w:t>所有资料及管理资料分为图、档、卡、册四类，安放于防火、防潮、防蛀之专用档案箱内。</w:t>
      </w:r>
    </w:p>
    <w:p w14:paraId="32A41996">
      <w:pPr>
        <w:spacing w:line="360" w:lineRule="auto"/>
        <w:ind w:firstLine="422" w:firstLineChars="200"/>
        <w:rPr>
          <w:szCs w:val="21"/>
        </w:rPr>
      </w:pPr>
      <w:r>
        <w:rPr>
          <w:rFonts w:hint="eastAsia"/>
          <w:b/>
          <w:bCs/>
          <w:szCs w:val="21"/>
        </w:rPr>
        <w:t>服务标准：</w:t>
      </w:r>
      <w:r>
        <w:rPr>
          <w:rFonts w:hint="eastAsia"/>
          <w:szCs w:val="21"/>
        </w:rPr>
        <w:t>人事档案及管理档案资料，保存完整、完好。</w:t>
      </w:r>
    </w:p>
    <w:p w14:paraId="3E682CAF">
      <w:pPr>
        <w:spacing w:line="500" w:lineRule="exact"/>
        <w:ind w:firstLine="422" w:firstLineChars="200"/>
        <w:rPr>
          <w:b/>
          <w:bCs/>
          <w:szCs w:val="21"/>
        </w:rPr>
      </w:pPr>
      <w:r>
        <w:rPr>
          <w:rFonts w:hint="eastAsia"/>
          <w:b/>
          <w:bCs/>
          <w:szCs w:val="21"/>
        </w:rPr>
        <w:t>三、岗位需求</w:t>
      </w:r>
    </w:p>
    <w:tbl>
      <w:tblPr>
        <w:tblStyle w:val="6"/>
        <w:tblW w:w="8495" w:type="dxa"/>
        <w:tblInd w:w="0" w:type="dxa"/>
        <w:tblLayout w:type="autofit"/>
        <w:tblCellMar>
          <w:top w:w="0" w:type="dxa"/>
          <w:left w:w="108" w:type="dxa"/>
          <w:bottom w:w="0" w:type="dxa"/>
          <w:right w:w="108" w:type="dxa"/>
        </w:tblCellMar>
      </w:tblPr>
      <w:tblGrid>
        <w:gridCol w:w="557"/>
        <w:gridCol w:w="709"/>
        <w:gridCol w:w="1843"/>
        <w:gridCol w:w="3402"/>
        <w:gridCol w:w="1984"/>
      </w:tblGrid>
      <w:tr w14:paraId="5FDA27F1">
        <w:tblPrEx>
          <w:tblCellMar>
            <w:top w:w="0" w:type="dxa"/>
            <w:left w:w="108" w:type="dxa"/>
            <w:bottom w:w="0" w:type="dxa"/>
            <w:right w:w="108" w:type="dxa"/>
          </w:tblCellMar>
        </w:tblPrEx>
        <w:trPr>
          <w:trHeight w:val="660" w:hRule="atLeast"/>
        </w:trPr>
        <w:tc>
          <w:tcPr>
            <w:tcW w:w="557" w:type="dxa"/>
            <w:tcBorders>
              <w:top w:val="single" w:color="auto" w:sz="8" w:space="0"/>
              <w:left w:val="single" w:color="auto" w:sz="8" w:space="0"/>
              <w:bottom w:val="single" w:color="auto" w:sz="4" w:space="0"/>
              <w:right w:val="single" w:color="auto" w:sz="4" w:space="0"/>
            </w:tcBorders>
            <w:shd w:val="clear" w:color="auto" w:fill="auto"/>
            <w:noWrap/>
            <w:vAlign w:val="center"/>
          </w:tcPr>
          <w:p w14:paraId="4ABADD68">
            <w:pPr>
              <w:widowControl/>
              <w:jc w:val="center"/>
              <w:rPr>
                <w:rFonts w:hint="eastAsia" w:ascii="宋体" w:hAnsi="宋体" w:cs="宋体"/>
                <w:b/>
                <w:bCs/>
                <w:kern w:val="0"/>
                <w:sz w:val="20"/>
                <w:szCs w:val="20"/>
              </w:rPr>
            </w:pPr>
            <w:r>
              <w:rPr>
                <w:rFonts w:hint="eastAsia" w:ascii="宋体" w:hAnsi="宋体" w:cs="宋体"/>
                <w:b/>
                <w:bCs/>
                <w:kern w:val="0"/>
                <w:sz w:val="20"/>
                <w:szCs w:val="20"/>
              </w:rPr>
              <w:t>序号</w:t>
            </w:r>
          </w:p>
        </w:tc>
        <w:tc>
          <w:tcPr>
            <w:tcW w:w="709" w:type="dxa"/>
            <w:tcBorders>
              <w:top w:val="single" w:color="auto" w:sz="8" w:space="0"/>
              <w:left w:val="nil"/>
              <w:bottom w:val="single" w:color="auto" w:sz="4" w:space="0"/>
              <w:right w:val="single" w:color="auto" w:sz="4" w:space="0"/>
            </w:tcBorders>
            <w:shd w:val="clear" w:color="auto" w:fill="auto"/>
            <w:vAlign w:val="center"/>
          </w:tcPr>
          <w:p w14:paraId="4258BA94">
            <w:pPr>
              <w:widowControl/>
              <w:jc w:val="center"/>
              <w:rPr>
                <w:rFonts w:hint="eastAsia" w:ascii="宋体" w:hAnsi="宋体" w:cs="宋体"/>
                <w:b/>
                <w:bCs/>
                <w:kern w:val="0"/>
                <w:sz w:val="20"/>
                <w:szCs w:val="20"/>
              </w:rPr>
            </w:pPr>
            <w:r>
              <w:rPr>
                <w:rFonts w:hint="eastAsia" w:ascii="宋体" w:hAnsi="宋体" w:cs="宋体"/>
                <w:b/>
                <w:bCs/>
                <w:kern w:val="0"/>
                <w:sz w:val="20"/>
                <w:szCs w:val="20"/>
              </w:rPr>
              <w:t>岗位</w:t>
            </w:r>
          </w:p>
        </w:tc>
        <w:tc>
          <w:tcPr>
            <w:tcW w:w="1843" w:type="dxa"/>
            <w:tcBorders>
              <w:top w:val="single" w:color="auto" w:sz="8" w:space="0"/>
              <w:left w:val="nil"/>
              <w:bottom w:val="single" w:color="auto" w:sz="4" w:space="0"/>
              <w:right w:val="single" w:color="auto" w:sz="4" w:space="0"/>
            </w:tcBorders>
            <w:shd w:val="clear" w:color="auto" w:fill="auto"/>
            <w:vAlign w:val="center"/>
          </w:tcPr>
          <w:p w14:paraId="330A86FB">
            <w:pPr>
              <w:widowControl/>
              <w:jc w:val="center"/>
              <w:rPr>
                <w:rFonts w:hint="eastAsia" w:ascii="宋体" w:hAnsi="宋体" w:cs="宋体"/>
                <w:b/>
                <w:bCs/>
                <w:kern w:val="0"/>
                <w:sz w:val="20"/>
                <w:szCs w:val="20"/>
              </w:rPr>
            </w:pPr>
            <w:r>
              <w:rPr>
                <w:rFonts w:hint="eastAsia" w:ascii="宋体" w:hAnsi="宋体" w:cs="宋体"/>
                <w:b/>
                <w:bCs/>
                <w:kern w:val="0"/>
                <w:sz w:val="20"/>
                <w:szCs w:val="20"/>
              </w:rPr>
              <w:t>要求</w:t>
            </w:r>
          </w:p>
        </w:tc>
        <w:tc>
          <w:tcPr>
            <w:tcW w:w="3402" w:type="dxa"/>
            <w:tcBorders>
              <w:top w:val="single" w:color="auto" w:sz="8" w:space="0"/>
              <w:left w:val="nil"/>
              <w:bottom w:val="single" w:color="auto" w:sz="4" w:space="0"/>
              <w:right w:val="single" w:color="auto" w:sz="4" w:space="0"/>
            </w:tcBorders>
            <w:shd w:val="clear" w:color="auto" w:fill="auto"/>
            <w:vAlign w:val="center"/>
          </w:tcPr>
          <w:p w14:paraId="16DDE34D">
            <w:pPr>
              <w:widowControl/>
              <w:jc w:val="center"/>
              <w:rPr>
                <w:rFonts w:hint="eastAsia" w:ascii="宋体" w:hAnsi="宋体" w:cs="宋体"/>
                <w:b/>
                <w:bCs/>
                <w:kern w:val="0"/>
                <w:sz w:val="20"/>
                <w:szCs w:val="20"/>
              </w:rPr>
            </w:pPr>
            <w:r>
              <w:rPr>
                <w:rFonts w:hint="eastAsia" w:ascii="宋体" w:hAnsi="宋体" w:cs="宋体"/>
                <w:b/>
                <w:bCs/>
                <w:kern w:val="0"/>
                <w:sz w:val="20"/>
                <w:szCs w:val="20"/>
              </w:rPr>
              <w:t>工作内容</w:t>
            </w:r>
          </w:p>
        </w:tc>
        <w:tc>
          <w:tcPr>
            <w:tcW w:w="1984" w:type="dxa"/>
            <w:tcBorders>
              <w:top w:val="single" w:color="auto" w:sz="8" w:space="0"/>
              <w:left w:val="nil"/>
              <w:bottom w:val="single" w:color="auto" w:sz="4" w:space="0"/>
              <w:right w:val="single" w:color="auto" w:sz="8" w:space="0"/>
            </w:tcBorders>
            <w:shd w:val="clear" w:color="auto" w:fill="auto"/>
            <w:noWrap/>
            <w:vAlign w:val="center"/>
          </w:tcPr>
          <w:p w14:paraId="2F648CBA">
            <w:pPr>
              <w:widowControl/>
              <w:jc w:val="center"/>
              <w:rPr>
                <w:rFonts w:hint="eastAsia" w:ascii="宋体" w:hAnsi="宋体" w:cs="宋体"/>
                <w:b/>
                <w:bCs/>
                <w:kern w:val="0"/>
                <w:sz w:val="20"/>
                <w:szCs w:val="20"/>
              </w:rPr>
            </w:pPr>
            <w:r>
              <w:rPr>
                <w:rFonts w:hint="eastAsia" w:ascii="宋体" w:hAnsi="宋体" w:cs="宋体"/>
                <w:b/>
                <w:bCs/>
                <w:kern w:val="0"/>
                <w:sz w:val="20"/>
                <w:szCs w:val="20"/>
              </w:rPr>
              <w:t>工作时间</w:t>
            </w:r>
          </w:p>
        </w:tc>
      </w:tr>
      <w:tr w14:paraId="7F6CFC59">
        <w:tblPrEx>
          <w:tblCellMar>
            <w:top w:w="0" w:type="dxa"/>
            <w:left w:w="108" w:type="dxa"/>
            <w:bottom w:w="0" w:type="dxa"/>
            <w:right w:w="108" w:type="dxa"/>
          </w:tblCellMar>
        </w:tblPrEx>
        <w:trPr>
          <w:trHeight w:val="2295" w:hRule="atLeast"/>
        </w:trPr>
        <w:tc>
          <w:tcPr>
            <w:tcW w:w="557" w:type="dxa"/>
            <w:tcBorders>
              <w:top w:val="nil"/>
              <w:left w:val="single" w:color="auto" w:sz="8" w:space="0"/>
              <w:bottom w:val="single" w:color="auto" w:sz="4" w:space="0"/>
              <w:right w:val="single" w:color="auto" w:sz="4" w:space="0"/>
            </w:tcBorders>
            <w:shd w:val="clear" w:color="auto" w:fill="auto"/>
            <w:vAlign w:val="center"/>
          </w:tcPr>
          <w:p w14:paraId="04D1E982">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709" w:type="dxa"/>
            <w:tcBorders>
              <w:top w:val="nil"/>
              <w:left w:val="nil"/>
              <w:bottom w:val="single" w:color="auto" w:sz="4" w:space="0"/>
              <w:right w:val="single" w:color="auto" w:sz="4" w:space="0"/>
            </w:tcBorders>
            <w:shd w:val="clear" w:color="auto" w:fill="auto"/>
            <w:vAlign w:val="center"/>
          </w:tcPr>
          <w:p w14:paraId="44498543">
            <w:pPr>
              <w:widowControl/>
              <w:jc w:val="center"/>
              <w:rPr>
                <w:rFonts w:hint="eastAsia" w:ascii="宋体" w:hAnsi="宋体" w:cs="宋体"/>
                <w:kern w:val="0"/>
                <w:sz w:val="20"/>
                <w:szCs w:val="20"/>
              </w:rPr>
            </w:pPr>
            <w:r>
              <w:rPr>
                <w:rFonts w:hint="eastAsia" w:ascii="宋体" w:hAnsi="宋体" w:cs="宋体"/>
                <w:kern w:val="0"/>
                <w:sz w:val="20"/>
                <w:szCs w:val="20"/>
              </w:rPr>
              <w:t>项目经理</w:t>
            </w:r>
          </w:p>
        </w:tc>
        <w:tc>
          <w:tcPr>
            <w:tcW w:w="1843" w:type="dxa"/>
            <w:tcBorders>
              <w:top w:val="nil"/>
              <w:left w:val="nil"/>
              <w:bottom w:val="single" w:color="auto" w:sz="4" w:space="0"/>
              <w:right w:val="single" w:color="auto" w:sz="4" w:space="0"/>
            </w:tcBorders>
            <w:shd w:val="clear" w:color="auto" w:fill="auto"/>
            <w:vAlign w:val="center"/>
          </w:tcPr>
          <w:p w14:paraId="60901930">
            <w:pPr>
              <w:widowControl/>
              <w:jc w:val="center"/>
              <w:rPr>
                <w:rFonts w:hint="eastAsia" w:ascii="宋体" w:hAnsi="宋体" w:cs="宋体"/>
                <w:kern w:val="0"/>
                <w:sz w:val="20"/>
                <w:szCs w:val="20"/>
              </w:rPr>
            </w:pPr>
            <w:r>
              <w:rPr>
                <w:rFonts w:hint="eastAsia" w:ascii="宋体" w:hAnsi="宋体" w:cs="宋体"/>
                <w:kern w:val="0"/>
                <w:sz w:val="20"/>
                <w:szCs w:val="20"/>
              </w:rPr>
              <w:t>具有大专以上，物业管理高级证书及3年以上物业管理经验</w:t>
            </w:r>
          </w:p>
        </w:tc>
        <w:tc>
          <w:tcPr>
            <w:tcW w:w="3402" w:type="dxa"/>
            <w:tcBorders>
              <w:top w:val="nil"/>
              <w:left w:val="nil"/>
              <w:bottom w:val="single" w:color="auto" w:sz="4" w:space="0"/>
              <w:right w:val="single" w:color="auto" w:sz="4" w:space="0"/>
            </w:tcBorders>
            <w:shd w:val="clear" w:color="auto" w:fill="auto"/>
            <w:vAlign w:val="center"/>
          </w:tcPr>
          <w:p w14:paraId="449F017D">
            <w:pPr>
              <w:widowControl/>
              <w:jc w:val="left"/>
              <w:rPr>
                <w:rFonts w:hint="eastAsia" w:ascii="宋体" w:hAnsi="宋体" w:cs="宋体"/>
                <w:kern w:val="0"/>
                <w:sz w:val="20"/>
                <w:szCs w:val="20"/>
              </w:rPr>
            </w:pPr>
            <w:r>
              <w:rPr>
                <w:rFonts w:hint="eastAsia" w:ascii="宋体" w:hAnsi="宋体" w:cs="宋体"/>
                <w:kern w:val="0"/>
                <w:sz w:val="20"/>
                <w:szCs w:val="20"/>
              </w:rPr>
              <w:t>确保物业管理区域房屋完好等级和正常使用；及时完成各项零星维修任务，维修合格率应为100%。建立安全保卫、保安、公共秩序等管理制度并认真落实，确保物业管理区域的安全和正常的工作环境。环境秩序良好，维护和保证防盗、防火报警、监控设备的正常运行。</w:t>
            </w:r>
          </w:p>
        </w:tc>
        <w:tc>
          <w:tcPr>
            <w:tcW w:w="1984" w:type="dxa"/>
            <w:tcBorders>
              <w:top w:val="nil"/>
              <w:left w:val="nil"/>
              <w:bottom w:val="single" w:color="auto" w:sz="4" w:space="0"/>
              <w:right w:val="single" w:color="auto" w:sz="8" w:space="0"/>
            </w:tcBorders>
            <w:shd w:val="clear" w:color="auto" w:fill="auto"/>
            <w:vAlign w:val="center"/>
          </w:tcPr>
          <w:p w14:paraId="33BC6F37">
            <w:pPr>
              <w:widowControl/>
              <w:jc w:val="center"/>
              <w:rPr>
                <w:rFonts w:hint="eastAsia" w:ascii="宋体" w:hAnsi="宋体" w:cs="宋体"/>
                <w:kern w:val="0"/>
                <w:sz w:val="20"/>
                <w:szCs w:val="20"/>
              </w:rPr>
            </w:pPr>
            <w:r>
              <w:rPr>
                <w:rFonts w:hint="eastAsia" w:ascii="宋体" w:hAnsi="宋体" w:cs="宋体"/>
                <w:kern w:val="0"/>
                <w:sz w:val="20"/>
                <w:szCs w:val="20"/>
              </w:rPr>
              <w:t>1岗（周一至周五8:30-17:00）</w:t>
            </w:r>
          </w:p>
        </w:tc>
      </w:tr>
      <w:tr w14:paraId="2EF62EFD">
        <w:tblPrEx>
          <w:tblCellMar>
            <w:top w:w="0" w:type="dxa"/>
            <w:left w:w="108" w:type="dxa"/>
            <w:bottom w:w="0" w:type="dxa"/>
            <w:right w:w="108" w:type="dxa"/>
          </w:tblCellMar>
        </w:tblPrEx>
        <w:trPr>
          <w:trHeight w:val="2295" w:hRule="atLeast"/>
        </w:trPr>
        <w:tc>
          <w:tcPr>
            <w:tcW w:w="557" w:type="dxa"/>
            <w:tcBorders>
              <w:top w:val="nil"/>
              <w:left w:val="single" w:color="auto" w:sz="8" w:space="0"/>
              <w:bottom w:val="single" w:color="auto" w:sz="4" w:space="0"/>
              <w:right w:val="single" w:color="auto" w:sz="4" w:space="0"/>
            </w:tcBorders>
            <w:shd w:val="clear" w:color="auto" w:fill="auto"/>
            <w:vAlign w:val="center"/>
          </w:tcPr>
          <w:p w14:paraId="23D829DF">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709" w:type="dxa"/>
            <w:tcBorders>
              <w:top w:val="nil"/>
              <w:left w:val="nil"/>
              <w:bottom w:val="single" w:color="auto" w:sz="4" w:space="0"/>
              <w:right w:val="single" w:color="auto" w:sz="4" w:space="0"/>
            </w:tcBorders>
            <w:shd w:val="clear" w:color="auto" w:fill="auto"/>
            <w:vAlign w:val="center"/>
          </w:tcPr>
          <w:p w14:paraId="40F98C6A">
            <w:pPr>
              <w:widowControl/>
              <w:jc w:val="center"/>
              <w:rPr>
                <w:rFonts w:hint="eastAsia" w:ascii="宋体" w:hAnsi="宋体" w:cs="宋体"/>
                <w:kern w:val="0"/>
                <w:sz w:val="20"/>
                <w:szCs w:val="20"/>
              </w:rPr>
            </w:pPr>
            <w:r>
              <w:rPr>
                <w:rFonts w:hint="eastAsia" w:ascii="宋体" w:hAnsi="宋体" w:cs="宋体"/>
                <w:kern w:val="0"/>
                <w:sz w:val="20"/>
                <w:szCs w:val="20"/>
              </w:rPr>
              <w:t>安全员</w:t>
            </w:r>
          </w:p>
        </w:tc>
        <w:tc>
          <w:tcPr>
            <w:tcW w:w="1843" w:type="dxa"/>
            <w:tcBorders>
              <w:top w:val="nil"/>
              <w:left w:val="nil"/>
              <w:bottom w:val="single" w:color="auto" w:sz="4" w:space="0"/>
              <w:right w:val="single" w:color="auto" w:sz="4" w:space="0"/>
            </w:tcBorders>
            <w:shd w:val="clear" w:color="auto" w:fill="auto"/>
            <w:vAlign w:val="center"/>
          </w:tcPr>
          <w:p w14:paraId="668F72B6">
            <w:pPr>
              <w:widowControl/>
              <w:jc w:val="center"/>
              <w:rPr>
                <w:rFonts w:hint="eastAsia" w:ascii="宋体" w:hAnsi="宋体" w:cs="宋体"/>
                <w:kern w:val="0"/>
                <w:sz w:val="20"/>
                <w:szCs w:val="20"/>
              </w:rPr>
            </w:pPr>
            <w:r>
              <w:rPr>
                <w:rFonts w:hint="eastAsia" w:ascii="宋体" w:hAnsi="宋体" w:cs="宋体"/>
                <w:kern w:val="0"/>
                <w:sz w:val="20"/>
                <w:szCs w:val="20"/>
              </w:rPr>
              <w:t>具有大专以上学历</w:t>
            </w:r>
          </w:p>
        </w:tc>
        <w:tc>
          <w:tcPr>
            <w:tcW w:w="3402" w:type="dxa"/>
            <w:tcBorders>
              <w:top w:val="nil"/>
              <w:left w:val="nil"/>
              <w:bottom w:val="single" w:color="auto" w:sz="4" w:space="0"/>
              <w:right w:val="single" w:color="auto" w:sz="4" w:space="0"/>
            </w:tcBorders>
            <w:shd w:val="clear" w:color="auto" w:fill="auto"/>
            <w:vAlign w:val="center"/>
          </w:tcPr>
          <w:p w14:paraId="10F31635">
            <w:pPr>
              <w:widowControl/>
              <w:jc w:val="left"/>
              <w:rPr>
                <w:rFonts w:hint="eastAsia" w:ascii="宋体" w:hAnsi="宋体" w:cs="宋体"/>
                <w:kern w:val="0"/>
                <w:sz w:val="20"/>
                <w:szCs w:val="20"/>
              </w:rPr>
            </w:pPr>
            <w:r>
              <w:rPr>
                <w:rFonts w:hint="eastAsia" w:ascii="宋体" w:hAnsi="宋体" w:cs="宋体"/>
                <w:kern w:val="0"/>
                <w:sz w:val="20"/>
                <w:szCs w:val="20"/>
              </w:rPr>
              <w:t>负责对重点区域如接待大厅、办事窗口、档案室、办公室的巡查，并有巡视记录，认真做好安全防范及防火工作。严禁使用明火，严禁在公共场所吸烟，严禁违章用电。</w:t>
            </w:r>
          </w:p>
        </w:tc>
        <w:tc>
          <w:tcPr>
            <w:tcW w:w="1984" w:type="dxa"/>
            <w:tcBorders>
              <w:top w:val="nil"/>
              <w:left w:val="nil"/>
              <w:bottom w:val="single" w:color="auto" w:sz="4" w:space="0"/>
              <w:right w:val="single" w:color="auto" w:sz="8" w:space="0"/>
            </w:tcBorders>
            <w:shd w:val="clear" w:color="auto" w:fill="auto"/>
            <w:vAlign w:val="center"/>
          </w:tcPr>
          <w:p w14:paraId="024B208A">
            <w:pPr>
              <w:widowControl/>
              <w:jc w:val="center"/>
              <w:rPr>
                <w:rFonts w:hint="eastAsia" w:ascii="宋体" w:hAnsi="宋体" w:cs="宋体"/>
                <w:kern w:val="0"/>
                <w:sz w:val="20"/>
                <w:szCs w:val="20"/>
              </w:rPr>
            </w:pPr>
            <w:r>
              <w:rPr>
                <w:rFonts w:hint="eastAsia" w:ascii="宋体" w:hAnsi="宋体" w:cs="宋体"/>
                <w:kern w:val="0"/>
                <w:sz w:val="20"/>
                <w:szCs w:val="20"/>
              </w:rPr>
              <w:t>1岗（周一至周五8:30-17:00）</w:t>
            </w:r>
          </w:p>
        </w:tc>
      </w:tr>
      <w:tr w14:paraId="7F2CC335">
        <w:tblPrEx>
          <w:tblCellMar>
            <w:top w:w="0" w:type="dxa"/>
            <w:left w:w="108" w:type="dxa"/>
            <w:bottom w:w="0" w:type="dxa"/>
            <w:right w:w="108" w:type="dxa"/>
          </w:tblCellMar>
        </w:tblPrEx>
        <w:trPr>
          <w:trHeight w:val="2295" w:hRule="atLeast"/>
        </w:trPr>
        <w:tc>
          <w:tcPr>
            <w:tcW w:w="557" w:type="dxa"/>
            <w:tcBorders>
              <w:top w:val="nil"/>
              <w:left w:val="single" w:color="auto" w:sz="8" w:space="0"/>
              <w:bottom w:val="single" w:color="auto" w:sz="4" w:space="0"/>
              <w:right w:val="single" w:color="auto" w:sz="4" w:space="0"/>
            </w:tcBorders>
            <w:shd w:val="clear" w:color="auto" w:fill="auto"/>
            <w:vAlign w:val="center"/>
          </w:tcPr>
          <w:p w14:paraId="258F83A9">
            <w:pPr>
              <w:widowControl/>
              <w:jc w:val="center"/>
              <w:rPr>
                <w:rFonts w:hint="eastAsia" w:ascii="宋体" w:hAnsi="宋体" w:cs="宋体"/>
                <w:kern w:val="0"/>
                <w:sz w:val="20"/>
                <w:szCs w:val="20"/>
              </w:rPr>
            </w:pPr>
            <w:r>
              <w:rPr>
                <w:rFonts w:ascii="宋体" w:hAnsi="宋体" w:cs="宋体"/>
                <w:kern w:val="0"/>
                <w:sz w:val="20"/>
                <w:szCs w:val="20"/>
              </w:rPr>
              <w:t>3</w:t>
            </w:r>
          </w:p>
        </w:tc>
        <w:tc>
          <w:tcPr>
            <w:tcW w:w="709" w:type="dxa"/>
            <w:tcBorders>
              <w:top w:val="nil"/>
              <w:left w:val="nil"/>
              <w:bottom w:val="single" w:color="auto" w:sz="4" w:space="0"/>
              <w:right w:val="single" w:color="auto" w:sz="4" w:space="0"/>
            </w:tcBorders>
            <w:shd w:val="clear" w:color="auto" w:fill="auto"/>
            <w:vAlign w:val="center"/>
          </w:tcPr>
          <w:p w14:paraId="5D5F43EC">
            <w:pPr>
              <w:widowControl/>
              <w:jc w:val="center"/>
              <w:rPr>
                <w:rFonts w:hint="eastAsia" w:ascii="宋体" w:hAnsi="宋体" w:cs="宋体"/>
                <w:kern w:val="0"/>
                <w:sz w:val="20"/>
                <w:szCs w:val="20"/>
              </w:rPr>
            </w:pPr>
            <w:r>
              <w:rPr>
                <w:rFonts w:hint="eastAsia" w:ascii="宋体" w:hAnsi="宋体" w:cs="宋体"/>
                <w:kern w:val="0"/>
                <w:sz w:val="20"/>
                <w:szCs w:val="20"/>
              </w:rPr>
              <w:t>保安</w:t>
            </w:r>
          </w:p>
        </w:tc>
        <w:tc>
          <w:tcPr>
            <w:tcW w:w="1843" w:type="dxa"/>
            <w:tcBorders>
              <w:top w:val="nil"/>
              <w:left w:val="nil"/>
              <w:bottom w:val="single" w:color="auto" w:sz="4" w:space="0"/>
              <w:right w:val="single" w:color="auto" w:sz="4" w:space="0"/>
            </w:tcBorders>
            <w:shd w:val="clear" w:color="auto" w:fill="auto"/>
            <w:vAlign w:val="center"/>
          </w:tcPr>
          <w:p w14:paraId="1AA8981A">
            <w:pPr>
              <w:widowControl/>
              <w:jc w:val="center"/>
              <w:rPr>
                <w:rFonts w:hint="eastAsia" w:ascii="宋体" w:hAnsi="宋体" w:cs="宋体"/>
                <w:kern w:val="0"/>
                <w:sz w:val="20"/>
                <w:szCs w:val="20"/>
              </w:rPr>
            </w:pPr>
            <w:r>
              <w:rPr>
                <w:rFonts w:hint="eastAsia" w:ascii="宋体" w:hAnsi="宋体" w:cs="宋体"/>
                <w:kern w:val="0"/>
                <w:sz w:val="20"/>
                <w:szCs w:val="20"/>
              </w:rPr>
              <w:t>保安上岗证</w:t>
            </w:r>
          </w:p>
        </w:tc>
        <w:tc>
          <w:tcPr>
            <w:tcW w:w="3402" w:type="dxa"/>
            <w:tcBorders>
              <w:top w:val="nil"/>
              <w:left w:val="nil"/>
              <w:bottom w:val="single" w:color="auto" w:sz="4" w:space="0"/>
              <w:right w:val="single" w:color="auto" w:sz="4" w:space="0"/>
            </w:tcBorders>
            <w:shd w:val="clear" w:color="auto" w:fill="auto"/>
            <w:vAlign w:val="center"/>
          </w:tcPr>
          <w:p w14:paraId="59570FCB">
            <w:pPr>
              <w:widowControl/>
              <w:jc w:val="left"/>
              <w:rPr>
                <w:rFonts w:hint="eastAsia" w:ascii="宋体" w:hAnsi="宋体" w:cs="宋体"/>
                <w:kern w:val="0"/>
                <w:sz w:val="20"/>
                <w:szCs w:val="20"/>
              </w:rPr>
            </w:pPr>
            <w:r>
              <w:rPr>
                <w:rFonts w:hint="eastAsia" w:ascii="宋体" w:hAnsi="宋体" w:cs="宋体"/>
                <w:kern w:val="0"/>
                <w:sz w:val="20"/>
                <w:szCs w:val="20"/>
              </w:rPr>
              <w:t>保证接待服务时间（白天8：30－17：00时）各楼层、对外接待大厅、窗口应有保安巡视，并有巡视记录。对违反公共场所秩序的人员加以劝阻，如吸烟、喧哗、随地吐痰及乱扔果皮纸屑、破坏公物及公共设施等；检查沿线通道、走廊、绿化带。</w:t>
            </w:r>
          </w:p>
        </w:tc>
        <w:tc>
          <w:tcPr>
            <w:tcW w:w="1984" w:type="dxa"/>
            <w:tcBorders>
              <w:top w:val="nil"/>
              <w:left w:val="nil"/>
              <w:bottom w:val="single" w:color="auto" w:sz="4" w:space="0"/>
              <w:right w:val="single" w:color="auto" w:sz="8" w:space="0"/>
            </w:tcBorders>
            <w:shd w:val="clear" w:color="auto" w:fill="auto"/>
            <w:vAlign w:val="center"/>
          </w:tcPr>
          <w:p w14:paraId="1E07D181">
            <w:pPr>
              <w:ind w:left="210" w:leftChars="100" w:right="210"/>
            </w:pPr>
            <w:r>
              <w:rPr>
                <w:rFonts w:hint="eastAsia"/>
              </w:rPr>
              <w:t>2</w:t>
            </w:r>
            <w:r>
              <w:t>4</w:t>
            </w:r>
            <w:r>
              <w:rPr>
                <w:rFonts w:hint="eastAsia"/>
              </w:rPr>
              <w:t>小时轮班</w:t>
            </w:r>
          </w:p>
          <w:p w14:paraId="3D8596CB">
            <w:pPr>
              <w:ind w:left="210" w:leftChars="100" w:right="210"/>
            </w:pPr>
            <w:r>
              <w:rPr>
                <w:rFonts w:hint="eastAsia"/>
              </w:rPr>
              <w:t>万荣路：常日班</w:t>
            </w:r>
            <w:r>
              <w:t>1</w:t>
            </w:r>
            <w:r>
              <w:rPr>
                <w:rFonts w:hint="eastAsia"/>
              </w:rPr>
              <w:t>岗（周一至周六），两两制翻班3岗</w:t>
            </w:r>
          </w:p>
          <w:p w14:paraId="2C8CE0B1">
            <w:pPr>
              <w:ind w:left="210" w:leftChars="100" w:right="210"/>
            </w:pPr>
            <w:r>
              <w:rPr>
                <w:rFonts w:hint="eastAsia"/>
                <w:color w:val="FF0000"/>
              </w:rPr>
              <w:t>昌平路：常日班</w:t>
            </w:r>
            <w:r>
              <w:rPr>
                <w:color w:val="FF0000"/>
              </w:rPr>
              <w:t>1</w:t>
            </w:r>
            <w:r>
              <w:rPr>
                <w:rFonts w:hint="eastAsia"/>
                <w:color w:val="FF0000"/>
              </w:rPr>
              <w:t>岗（周一至周五</w:t>
            </w:r>
            <w:r>
              <w:rPr>
                <w:rFonts w:hint="eastAsia"/>
              </w:rPr>
              <w:t>）</w:t>
            </w:r>
          </w:p>
          <w:p w14:paraId="5BA4342D">
            <w:pPr>
              <w:ind w:left="210" w:leftChars="100" w:right="210"/>
            </w:pPr>
            <w:r>
              <w:rPr>
                <w:rFonts w:hint="eastAsia"/>
              </w:rPr>
              <w:t>公兴路：常日班</w:t>
            </w:r>
            <w:r>
              <w:t>1</w:t>
            </w:r>
            <w:r>
              <w:rPr>
                <w:rFonts w:hint="eastAsia"/>
              </w:rPr>
              <w:t>岗</w:t>
            </w:r>
            <w:r>
              <w:rPr>
                <w:rFonts w:hint="eastAsia"/>
                <w:color w:val="FF0000"/>
              </w:rPr>
              <w:t>（周一至周五</w:t>
            </w:r>
            <w:r>
              <w:rPr>
                <w:rFonts w:hint="eastAsia"/>
              </w:rPr>
              <w:t>）</w:t>
            </w:r>
          </w:p>
          <w:p w14:paraId="1BF4F018">
            <w:pPr>
              <w:widowControl/>
              <w:jc w:val="center"/>
              <w:rPr>
                <w:rFonts w:hint="eastAsia" w:ascii="宋体" w:hAnsi="宋体" w:cs="宋体"/>
                <w:kern w:val="0"/>
                <w:sz w:val="20"/>
                <w:szCs w:val="20"/>
              </w:rPr>
            </w:pPr>
          </w:p>
        </w:tc>
      </w:tr>
      <w:tr w14:paraId="2DF1AF1B">
        <w:tblPrEx>
          <w:tblCellMar>
            <w:top w:w="0" w:type="dxa"/>
            <w:left w:w="108" w:type="dxa"/>
            <w:bottom w:w="0" w:type="dxa"/>
            <w:right w:w="108" w:type="dxa"/>
          </w:tblCellMar>
        </w:tblPrEx>
        <w:trPr>
          <w:trHeight w:val="2295" w:hRule="atLeast"/>
        </w:trPr>
        <w:tc>
          <w:tcPr>
            <w:tcW w:w="557" w:type="dxa"/>
            <w:tcBorders>
              <w:top w:val="nil"/>
              <w:left w:val="single" w:color="auto" w:sz="8" w:space="0"/>
              <w:bottom w:val="single" w:color="auto" w:sz="4" w:space="0"/>
              <w:right w:val="single" w:color="auto" w:sz="4" w:space="0"/>
            </w:tcBorders>
            <w:shd w:val="clear" w:color="auto" w:fill="auto"/>
            <w:vAlign w:val="center"/>
          </w:tcPr>
          <w:p w14:paraId="09F87400">
            <w:pPr>
              <w:widowControl/>
              <w:jc w:val="center"/>
              <w:rPr>
                <w:rFonts w:hint="eastAsia" w:ascii="宋体" w:hAnsi="宋体" w:cs="宋体"/>
                <w:kern w:val="0"/>
                <w:sz w:val="20"/>
                <w:szCs w:val="20"/>
              </w:rPr>
            </w:pPr>
            <w:r>
              <w:rPr>
                <w:rFonts w:ascii="宋体" w:hAnsi="宋体" w:cs="宋体"/>
                <w:kern w:val="0"/>
                <w:sz w:val="20"/>
                <w:szCs w:val="20"/>
              </w:rPr>
              <w:t>4</w:t>
            </w:r>
          </w:p>
        </w:tc>
        <w:tc>
          <w:tcPr>
            <w:tcW w:w="709" w:type="dxa"/>
            <w:tcBorders>
              <w:top w:val="nil"/>
              <w:left w:val="nil"/>
              <w:bottom w:val="single" w:color="auto" w:sz="4" w:space="0"/>
              <w:right w:val="single" w:color="auto" w:sz="4" w:space="0"/>
            </w:tcBorders>
            <w:shd w:val="clear" w:color="auto" w:fill="auto"/>
            <w:vAlign w:val="center"/>
          </w:tcPr>
          <w:p w14:paraId="03E86FC6">
            <w:pPr>
              <w:widowControl/>
              <w:jc w:val="center"/>
              <w:rPr>
                <w:rFonts w:hint="eastAsia" w:ascii="宋体" w:hAnsi="宋体" w:cs="宋体"/>
                <w:kern w:val="0"/>
                <w:sz w:val="20"/>
                <w:szCs w:val="20"/>
              </w:rPr>
            </w:pPr>
            <w:r>
              <w:rPr>
                <w:rFonts w:hint="eastAsia" w:ascii="宋体" w:hAnsi="宋体" w:cs="宋体"/>
                <w:kern w:val="0"/>
                <w:sz w:val="20"/>
                <w:szCs w:val="20"/>
              </w:rPr>
              <w:t>保洁</w:t>
            </w:r>
          </w:p>
        </w:tc>
        <w:tc>
          <w:tcPr>
            <w:tcW w:w="1843" w:type="dxa"/>
            <w:tcBorders>
              <w:top w:val="nil"/>
              <w:left w:val="nil"/>
              <w:bottom w:val="single" w:color="auto" w:sz="4" w:space="0"/>
              <w:right w:val="single" w:color="auto" w:sz="4" w:space="0"/>
            </w:tcBorders>
            <w:shd w:val="clear" w:color="auto" w:fill="auto"/>
            <w:vAlign w:val="center"/>
          </w:tcPr>
          <w:p w14:paraId="2B8CAA78">
            <w:pPr>
              <w:widowControl/>
              <w:jc w:val="center"/>
              <w:rPr>
                <w:rFonts w:hint="eastAsia" w:ascii="宋体" w:hAnsi="宋体" w:cs="宋体"/>
                <w:kern w:val="0"/>
                <w:sz w:val="20"/>
                <w:szCs w:val="20"/>
              </w:rPr>
            </w:pPr>
          </w:p>
        </w:tc>
        <w:tc>
          <w:tcPr>
            <w:tcW w:w="3402" w:type="dxa"/>
            <w:tcBorders>
              <w:top w:val="nil"/>
              <w:left w:val="nil"/>
              <w:bottom w:val="single" w:color="auto" w:sz="4" w:space="0"/>
              <w:right w:val="single" w:color="auto" w:sz="4" w:space="0"/>
            </w:tcBorders>
            <w:shd w:val="clear" w:color="auto" w:fill="auto"/>
            <w:vAlign w:val="center"/>
          </w:tcPr>
          <w:p w14:paraId="104A901C">
            <w:pPr>
              <w:widowControl/>
              <w:jc w:val="left"/>
              <w:rPr>
                <w:rFonts w:hint="eastAsia" w:ascii="宋体" w:hAnsi="宋体" w:cs="宋体"/>
                <w:kern w:val="0"/>
                <w:sz w:val="20"/>
                <w:szCs w:val="20"/>
              </w:rPr>
            </w:pPr>
            <w:r>
              <w:rPr>
                <w:rFonts w:hint="eastAsia" w:ascii="宋体" w:hAnsi="宋体" w:cs="宋体"/>
                <w:kern w:val="0"/>
                <w:sz w:val="20"/>
                <w:szCs w:val="20"/>
              </w:rPr>
              <w:t>负责中心所有公共区域（包括大楼门厅、走廊、配电间、室内玻璃平面、办公室、档案室、会议室、机房、茶水间、员工食堂、楼梯、卫生间等地面、内外墙面、门窗玻璃、桌椅板凳、公共设施的日常清扫、保洁工作。</w:t>
            </w:r>
          </w:p>
        </w:tc>
        <w:tc>
          <w:tcPr>
            <w:tcW w:w="1984" w:type="dxa"/>
            <w:tcBorders>
              <w:top w:val="nil"/>
              <w:left w:val="nil"/>
              <w:bottom w:val="single" w:color="auto" w:sz="4" w:space="0"/>
              <w:right w:val="single" w:color="auto" w:sz="8" w:space="0"/>
            </w:tcBorders>
            <w:shd w:val="clear" w:color="auto" w:fill="auto"/>
            <w:vAlign w:val="center"/>
          </w:tcPr>
          <w:p w14:paraId="42B7BCFA">
            <w:pPr>
              <w:widowControl/>
              <w:jc w:val="center"/>
              <w:rPr>
                <w:rFonts w:hint="eastAsia" w:ascii="宋体" w:hAnsi="宋体" w:cs="宋体"/>
                <w:kern w:val="0"/>
                <w:sz w:val="20"/>
                <w:szCs w:val="20"/>
              </w:rPr>
            </w:pPr>
            <w:r>
              <w:rPr>
                <w:rFonts w:hint="eastAsia" w:ascii="宋体" w:hAnsi="宋体" w:cs="宋体"/>
                <w:kern w:val="0"/>
                <w:sz w:val="20"/>
                <w:szCs w:val="20"/>
              </w:rPr>
              <w:t>周一至周五8:30-16:00周六8:30-11:30</w:t>
            </w:r>
          </w:p>
          <w:p w14:paraId="135AB8EB">
            <w:pPr>
              <w:widowControl/>
              <w:rPr>
                <w:rFonts w:hint="eastAsia" w:ascii="宋体" w:hAnsi="宋体" w:cs="宋体"/>
                <w:kern w:val="0"/>
                <w:sz w:val="20"/>
                <w:szCs w:val="20"/>
              </w:rPr>
            </w:pPr>
            <w:r>
              <w:rPr>
                <w:rFonts w:hint="eastAsia" w:ascii="宋体" w:hAnsi="宋体" w:cs="宋体"/>
                <w:kern w:val="0"/>
                <w:sz w:val="20"/>
                <w:szCs w:val="20"/>
              </w:rPr>
              <w:t>万荣路：常日班7岗（周六2岗）</w:t>
            </w:r>
          </w:p>
          <w:p w14:paraId="4E55CE4F">
            <w:pPr>
              <w:ind w:left="210" w:leftChars="100" w:right="210"/>
            </w:pPr>
            <w:r>
              <w:rPr>
                <w:rFonts w:hint="eastAsia"/>
                <w:color w:val="FF0000"/>
              </w:rPr>
              <w:t>昌平路：常日班</w:t>
            </w:r>
            <w:r>
              <w:rPr>
                <w:color w:val="FF0000"/>
              </w:rPr>
              <w:t>1</w:t>
            </w:r>
            <w:r>
              <w:rPr>
                <w:rFonts w:hint="eastAsia"/>
                <w:color w:val="FF0000"/>
              </w:rPr>
              <w:t>岗（周一至周五</w:t>
            </w:r>
            <w:r>
              <w:rPr>
                <w:rFonts w:hint="eastAsia"/>
              </w:rPr>
              <w:t>）</w:t>
            </w:r>
          </w:p>
          <w:p w14:paraId="2E2EF603">
            <w:pPr>
              <w:ind w:left="210" w:leftChars="100" w:right="210"/>
            </w:pPr>
            <w:r>
              <w:rPr>
                <w:rFonts w:hint="eastAsia"/>
              </w:rPr>
              <w:t>公兴路：常日班</w:t>
            </w:r>
            <w:r>
              <w:t>1</w:t>
            </w:r>
            <w:r>
              <w:rPr>
                <w:rFonts w:hint="eastAsia"/>
              </w:rPr>
              <w:t>岗（</w:t>
            </w:r>
            <w:r>
              <w:rPr>
                <w:rFonts w:hint="eastAsia"/>
                <w:color w:val="FF0000"/>
              </w:rPr>
              <w:t>周一至周五</w:t>
            </w:r>
            <w:r>
              <w:rPr>
                <w:rFonts w:hint="eastAsia"/>
              </w:rPr>
              <w:t>）</w:t>
            </w:r>
          </w:p>
          <w:p w14:paraId="66EB9B10">
            <w:pPr>
              <w:widowControl/>
              <w:rPr>
                <w:rFonts w:hint="eastAsia" w:ascii="宋体" w:hAnsi="宋体" w:cs="宋体"/>
                <w:kern w:val="0"/>
                <w:sz w:val="20"/>
                <w:szCs w:val="20"/>
              </w:rPr>
            </w:pPr>
          </w:p>
        </w:tc>
      </w:tr>
      <w:tr w14:paraId="58D0D992">
        <w:tblPrEx>
          <w:tblCellMar>
            <w:top w:w="0" w:type="dxa"/>
            <w:left w:w="108" w:type="dxa"/>
            <w:bottom w:w="0" w:type="dxa"/>
            <w:right w:w="108" w:type="dxa"/>
          </w:tblCellMar>
        </w:tblPrEx>
        <w:trPr>
          <w:trHeight w:val="2295" w:hRule="atLeast"/>
        </w:trPr>
        <w:tc>
          <w:tcPr>
            <w:tcW w:w="557" w:type="dxa"/>
            <w:tcBorders>
              <w:top w:val="nil"/>
              <w:left w:val="single" w:color="auto" w:sz="8" w:space="0"/>
              <w:bottom w:val="single" w:color="auto" w:sz="4" w:space="0"/>
              <w:right w:val="single" w:color="auto" w:sz="4" w:space="0"/>
            </w:tcBorders>
            <w:shd w:val="clear" w:color="auto" w:fill="auto"/>
            <w:vAlign w:val="center"/>
          </w:tcPr>
          <w:p w14:paraId="6409012C">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008F441E">
            <w:pPr>
              <w:widowControl/>
              <w:jc w:val="center"/>
              <w:rPr>
                <w:rFonts w:hint="eastAsia" w:ascii="宋体" w:hAnsi="宋体" w:cs="宋体"/>
                <w:kern w:val="0"/>
                <w:sz w:val="20"/>
                <w:szCs w:val="20"/>
              </w:rPr>
            </w:pPr>
            <w:r>
              <w:rPr>
                <w:rFonts w:hint="eastAsia" w:ascii="宋体" w:hAnsi="宋体" w:cs="宋体"/>
                <w:kern w:val="0"/>
                <w:sz w:val="20"/>
                <w:szCs w:val="20"/>
              </w:rPr>
              <w:t>绿化</w:t>
            </w:r>
          </w:p>
        </w:tc>
        <w:tc>
          <w:tcPr>
            <w:tcW w:w="1843" w:type="dxa"/>
            <w:tcBorders>
              <w:top w:val="nil"/>
              <w:left w:val="nil"/>
              <w:bottom w:val="single" w:color="auto" w:sz="4" w:space="0"/>
              <w:right w:val="single" w:color="auto" w:sz="4" w:space="0"/>
            </w:tcBorders>
            <w:shd w:val="clear" w:color="auto" w:fill="auto"/>
            <w:vAlign w:val="center"/>
          </w:tcPr>
          <w:p w14:paraId="32165A0D">
            <w:pPr>
              <w:widowControl/>
              <w:jc w:val="center"/>
              <w:rPr>
                <w:rFonts w:hint="eastAsia" w:ascii="宋体" w:hAnsi="宋体" w:cs="宋体"/>
                <w:kern w:val="0"/>
                <w:sz w:val="20"/>
                <w:szCs w:val="20"/>
              </w:rPr>
            </w:pPr>
          </w:p>
        </w:tc>
        <w:tc>
          <w:tcPr>
            <w:tcW w:w="3402" w:type="dxa"/>
            <w:tcBorders>
              <w:top w:val="nil"/>
              <w:left w:val="nil"/>
              <w:bottom w:val="single" w:color="auto" w:sz="4" w:space="0"/>
              <w:right w:val="single" w:color="auto" w:sz="4" w:space="0"/>
            </w:tcBorders>
            <w:shd w:val="clear" w:color="auto" w:fill="auto"/>
            <w:vAlign w:val="center"/>
          </w:tcPr>
          <w:p w14:paraId="1C28222C">
            <w:pPr>
              <w:widowControl/>
              <w:jc w:val="left"/>
              <w:rPr>
                <w:rFonts w:hint="eastAsia" w:ascii="宋体" w:hAnsi="宋体" w:cs="宋体"/>
                <w:kern w:val="0"/>
                <w:sz w:val="20"/>
                <w:szCs w:val="20"/>
              </w:rPr>
            </w:pPr>
            <w:r>
              <w:rPr>
                <w:rFonts w:hint="eastAsia" w:ascii="宋体" w:hAnsi="宋体" w:cs="宋体"/>
                <w:kern w:val="0"/>
                <w:sz w:val="20"/>
                <w:szCs w:val="20"/>
              </w:rPr>
              <w:t>负责接待及办公区域内的所有绿化、门前绿化养护，更换，清洁。经中心同意后，外包给相关绿化公司。</w:t>
            </w:r>
          </w:p>
        </w:tc>
        <w:tc>
          <w:tcPr>
            <w:tcW w:w="1984" w:type="dxa"/>
            <w:tcBorders>
              <w:top w:val="nil"/>
              <w:left w:val="nil"/>
              <w:bottom w:val="single" w:color="auto" w:sz="4" w:space="0"/>
              <w:right w:val="single" w:color="auto" w:sz="8" w:space="0"/>
            </w:tcBorders>
            <w:shd w:val="clear" w:color="auto" w:fill="auto"/>
            <w:vAlign w:val="center"/>
          </w:tcPr>
          <w:p w14:paraId="62836609">
            <w:pPr>
              <w:widowControl/>
              <w:jc w:val="center"/>
              <w:rPr>
                <w:rFonts w:hint="eastAsia" w:ascii="宋体" w:hAnsi="宋体" w:cs="宋体"/>
                <w:kern w:val="0"/>
                <w:sz w:val="20"/>
                <w:szCs w:val="20"/>
              </w:rPr>
            </w:pPr>
          </w:p>
        </w:tc>
      </w:tr>
      <w:tr w14:paraId="486ED870">
        <w:tblPrEx>
          <w:tblCellMar>
            <w:top w:w="0" w:type="dxa"/>
            <w:left w:w="108" w:type="dxa"/>
            <w:bottom w:w="0" w:type="dxa"/>
            <w:right w:w="108" w:type="dxa"/>
          </w:tblCellMar>
        </w:tblPrEx>
        <w:trPr>
          <w:trHeight w:val="2295" w:hRule="atLeast"/>
        </w:trPr>
        <w:tc>
          <w:tcPr>
            <w:tcW w:w="557" w:type="dxa"/>
            <w:tcBorders>
              <w:top w:val="nil"/>
              <w:left w:val="single" w:color="auto" w:sz="8" w:space="0"/>
              <w:bottom w:val="single" w:color="auto" w:sz="4" w:space="0"/>
              <w:right w:val="single" w:color="auto" w:sz="4" w:space="0"/>
            </w:tcBorders>
            <w:shd w:val="clear" w:color="auto" w:fill="auto"/>
            <w:vAlign w:val="center"/>
          </w:tcPr>
          <w:p w14:paraId="111B907B">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709" w:type="dxa"/>
            <w:tcBorders>
              <w:top w:val="nil"/>
              <w:left w:val="nil"/>
              <w:bottom w:val="single" w:color="auto" w:sz="4" w:space="0"/>
              <w:right w:val="single" w:color="auto" w:sz="4" w:space="0"/>
            </w:tcBorders>
            <w:shd w:val="clear" w:color="auto" w:fill="auto"/>
            <w:vAlign w:val="center"/>
          </w:tcPr>
          <w:p w14:paraId="522FEFCC">
            <w:pPr>
              <w:widowControl/>
              <w:jc w:val="center"/>
              <w:rPr>
                <w:rFonts w:hint="eastAsia" w:ascii="宋体" w:hAnsi="宋体" w:cs="宋体"/>
                <w:kern w:val="0"/>
                <w:sz w:val="20"/>
                <w:szCs w:val="20"/>
              </w:rPr>
            </w:pPr>
            <w:r>
              <w:rPr>
                <w:rFonts w:hint="eastAsia" w:ascii="宋体" w:hAnsi="宋体" w:cs="宋体"/>
                <w:kern w:val="0"/>
                <w:sz w:val="20"/>
                <w:szCs w:val="20"/>
              </w:rPr>
              <w:t>维修工</w:t>
            </w:r>
          </w:p>
        </w:tc>
        <w:tc>
          <w:tcPr>
            <w:tcW w:w="1843" w:type="dxa"/>
            <w:tcBorders>
              <w:top w:val="nil"/>
              <w:left w:val="nil"/>
              <w:bottom w:val="single" w:color="auto" w:sz="4" w:space="0"/>
              <w:right w:val="single" w:color="auto" w:sz="4" w:space="0"/>
            </w:tcBorders>
            <w:shd w:val="clear" w:color="auto" w:fill="auto"/>
            <w:vAlign w:val="center"/>
          </w:tcPr>
          <w:p w14:paraId="5B3AC96E">
            <w:pPr>
              <w:widowControl/>
              <w:jc w:val="center"/>
              <w:rPr>
                <w:rFonts w:hint="eastAsia" w:ascii="宋体" w:hAnsi="宋体" w:cs="宋体"/>
                <w:kern w:val="0"/>
                <w:sz w:val="20"/>
                <w:szCs w:val="20"/>
              </w:rPr>
            </w:pPr>
            <w:r>
              <w:rPr>
                <w:rFonts w:hint="eastAsia" w:ascii="宋体" w:hAnsi="宋体" w:cs="宋体"/>
                <w:kern w:val="0"/>
                <w:sz w:val="20"/>
                <w:szCs w:val="20"/>
              </w:rPr>
              <w:t>具有大专以上、高压电工证及低压电工证、物业水电维修中级证</w:t>
            </w:r>
          </w:p>
        </w:tc>
        <w:tc>
          <w:tcPr>
            <w:tcW w:w="3402" w:type="dxa"/>
            <w:tcBorders>
              <w:top w:val="nil"/>
              <w:left w:val="nil"/>
              <w:bottom w:val="single" w:color="auto" w:sz="4" w:space="0"/>
              <w:right w:val="single" w:color="auto" w:sz="4" w:space="0"/>
            </w:tcBorders>
            <w:shd w:val="clear" w:color="auto" w:fill="auto"/>
            <w:vAlign w:val="center"/>
          </w:tcPr>
          <w:p w14:paraId="254A005D">
            <w:pPr>
              <w:widowControl/>
              <w:jc w:val="left"/>
              <w:rPr>
                <w:rFonts w:hint="eastAsia" w:ascii="宋体" w:hAnsi="宋体" w:cs="宋体"/>
                <w:kern w:val="0"/>
                <w:sz w:val="20"/>
                <w:szCs w:val="20"/>
              </w:rPr>
            </w:pPr>
            <w:r>
              <w:rPr>
                <w:rFonts w:hint="eastAsia" w:ascii="宋体" w:hAnsi="宋体" w:cs="宋体"/>
                <w:kern w:val="0"/>
                <w:sz w:val="20"/>
                <w:szCs w:val="20"/>
              </w:rPr>
              <w:t>保证正常供水管理制度，防止跑、冒、滴、漏，对供水系统管路、水泵、水箱、阀门、机电设备等进行日常维护。</w:t>
            </w:r>
          </w:p>
        </w:tc>
        <w:tc>
          <w:tcPr>
            <w:tcW w:w="1984" w:type="dxa"/>
            <w:tcBorders>
              <w:top w:val="nil"/>
              <w:left w:val="nil"/>
              <w:bottom w:val="single" w:color="auto" w:sz="4" w:space="0"/>
              <w:right w:val="single" w:color="auto" w:sz="8" w:space="0"/>
            </w:tcBorders>
            <w:shd w:val="clear" w:color="auto" w:fill="auto"/>
            <w:vAlign w:val="center"/>
          </w:tcPr>
          <w:p w14:paraId="761EECF9">
            <w:pPr>
              <w:widowControl/>
              <w:jc w:val="center"/>
              <w:rPr>
                <w:rFonts w:hint="eastAsia" w:ascii="宋体" w:hAnsi="宋体" w:cs="宋体"/>
                <w:kern w:val="0"/>
                <w:sz w:val="20"/>
                <w:szCs w:val="20"/>
              </w:rPr>
            </w:pPr>
            <w:r>
              <w:rPr>
                <w:rFonts w:hint="eastAsia" w:ascii="宋体" w:hAnsi="宋体" w:cs="宋体"/>
                <w:kern w:val="0"/>
                <w:sz w:val="20"/>
                <w:szCs w:val="20"/>
              </w:rPr>
              <w:t>1岗（常日班8:</w:t>
            </w:r>
            <w:r>
              <w:rPr>
                <w:rFonts w:ascii="宋体" w:hAnsi="宋体" w:cs="宋体"/>
                <w:kern w:val="0"/>
                <w:sz w:val="20"/>
                <w:szCs w:val="20"/>
              </w:rPr>
              <w:t>30</w:t>
            </w:r>
            <w:r>
              <w:rPr>
                <w:rFonts w:hint="eastAsia" w:ascii="宋体" w:hAnsi="宋体" w:cs="宋体"/>
                <w:kern w:val="0"/>
                <w:sz w:val="20"/>
                <w:szCs w:val="20"/>
              </w:rPr>
              <w:t>至1</w:t>
            </w:r>
            <w:r>
              <w:rPr>
                <w:rFonts w:ascii="宋体" w:hAnsi="宋体" w:cs="宋体"/>
                <w:kern w:val="0"/>
                <w:sz w:val="20"/>
                <w:szCs w:val="20"/>
              </w:rPr>
              <w:t>7</w:t>
            </w:r>
            <w:r>
              <w:rPr>
                <w:rFonts w:hint="eastAsia" w:ascii="宋体" w:hAnsi="宋体" w:cs="宋体"/>
                <w:kern w:val="0"/>
                <w:sz w:val="20"/>
                <w:szCs w:val="20"/>
              </w:rPr>
              <w:t>:</w:t>
            </w:r>
            <w:r>
              <w:rPr>
                <w:rFonts w:ascii="宋体" w:hAnsi="宋体" w:cs="宋体"/>
                <w:kern w:val="0"/>
                <w:sz w:val="20"/>
                <w:szCs w:val="20"/>
              </w:rPr>
              <w:t>00</w:t>
            </w:r>
            <w:r>
              <w:rPr>
                <w:rFonts w:hint="eastAsia" w:ascii="宋体" w:hAnsi="宋体" w:cs="宋体"/>
                <w:kern w:val="0"/>
                <w:sz w:val="20"/>
                <w:szCs w:val="20"/>
              </w:rPr>
              <w:t>）</w:t>
            </w:r>
          </w:p>
        </w:tc>
      </w:tr>
      <w:tr w14:paraId="63412F47">
        <w:tblPrEx>
          <w:tblCellMar>
            <w:top w:w="0" w:type="dxa"/>
            <w:left w:w="108" w:type="dxa"/>
            <w:bottom w:w="0" w:type="dxa"/>
            <w:right w:w="108" w:type="dxa"/>
          </w:tblCellMar>
        </w:tblPrEx>
        <w:trPr>
          <w:trHeight w:val="2295" w:hRule="atLeast"/>
        </w:trPr>
        <w:tc>
          <w:tcPr>
            <w:tcW w:w="557" w:type="dxa"/>
            <w:tcBorders>
              <w:top w:val="nil"/>
              <w:left w:val="single" w:color="auto" w:sz="8" w:space="0"/>
              <w:bottom w:val="single" w:color="auto" w:sz="4" w:space="0"/>
              <w:right w:val="single" w:color="auto" w:sz="4" w:space="0"/>
            </w:tcBorders>
            <w:shd w:val="clear" w:color="auto" w:fill="auto"/>
            <w:vAlign w:val="center"/>
          </w:tcPr>
          <w:p w14:paraId="261FF889">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709" w:type="dxa"/>
            <w:tcBorders>
              <w:top w:val="nil"/>
              <w:left w:val="nil"/>
              <w:bottom w:val="single" w:color="auto" w:sz="4" w:space="0"/>
              <w:right w:val="single" w:color="auto" w:sz="4" w:space="0"/>
            </w:tcBorders>
            <w:shd w:val="clear" w:color="auto" w:fill="auto"/>
            <w:vAlign w:val="center"/>
          </w:tcPr>
          <w:p w14:paraId="7DCB8475">
            <w:pPr>
              <w:widowControl/>
              <w:jc w:val="center"/>
              <w:rPr>
                <w:rFonts w:hint="eastAsia" w:ascii="宋体" w:hAnsi="宋体" w:cs="宋体"/>
                <w:kern w:val="0"/>
                <w:sz w:val="20"/>
                <w:szCs w:val="20"/>
              </w:rPr>
            </w:pPr>
            <w:r>
              <w:rPr>
                <w:rFonts w:hint="eastAsia" w:ascii="宋体" w:hAnsi="宋体" w:cs="宋体"/>
                <w:kern w:val="0"/>
                <w:sz w:val="20"/>
                <w:szCs w:val="20"/>
              </w:rPr>
              <w:t>食堂</w:t>
            </w:r>
          </w:p>
        </w:tc>
        <w:tc>
          <w:tcPr>
            <w:tcW w:w="1843" w:type="dxa"/>
            <w:tcBorders>
              <w:top w:val="nil"/>
              <w:left w:val="nil"/>
              <w:bottom w:val="single" w:color="auto" w:sz="4" w:space="0"/>
              <w:right w:val="single" w:color="auto" w:sz="4" w:space="0"/>
            </w:tcBorders>
            <w:shd w:val="clear" w:color="auto" w:fill="auto"/>
            <w:vAlign w:val="center"/>
          </w:tcPr>
          <w:p w14:paraId="78319EE1">
            <w:pPr>
              <w:widowControl/>
              <w:jc w:val="center"/>
              <w:rPr>
                <w:rFonts w:hint="eastAsia" w:ascii="宋体" w:hAnsi="宋体" w:cs="宋体"/>
                <w:kern w:val="0"/>
                <w:sz w:val="20"/>
                <w:szCs w:val="20"/>
              </w:rPr>
            </w:pPr>
          </w:p>
        </w:tc>
        <w:tc>
          <w:tcPr>
            <w:tcW w:w="3402" w:type="dxa"/>
            <w:tcBorders>
              <w:top w:val="nil"/>
              <w:left w:val="nil"/>
              <w:bottom w:val="single" w:color="auto" w:sz="4" w:space="0"/>
              <w:right w:val="single" w:color="auto" w:sz="4" w:space="0"/>
            </w:tcBorders>
            <w:shd w:val="clear" w:color="auto" w:fill="auto"/>
            <w:vAlign w:val="center"/>
          </w:tcPr>
          <w:p w14:paraId="79CD1620">
            <w:pPr>
              <w:widowControl/>
              <w:jc w:val="left"/>
              <w:rPr>
                <w:rFonts w:hint="eastAsia" w:ascii="宋体" w:hAnsi="宋体" w:cs="宋体"/>
                <w:kern w:val="0"/>
                <w:sz w:val="20"/>
                <w:szCs w:val="20"/>
              </w:rPr>
            </w:pPr>
            <w:r>
              <w:rPr>
                <w:rFonts w:hint="eastAsia" w:ascii="宋体" w:hAnsi="宋体" w:cs="宋体"/>
                <w:kern w:val="0"/>
                <w:sz w:val="20"/>
                <w:szCs w:val="20"/>
              </w:rPr>
              <w:t>负责中心员工食堂工作。经中心同意后，外包给相关公司。</w:t>
            </w:r>
          </w:p>
        </w:tc>
        <w:tc>
          <w:tcPr>
            <w:tcW w:w="1984" w:type="dxa"/>
            <w:tcBorders>
              <w:top w:val="nil"/>
              <w:left w:val="nil"/>
              <w:bottom w:val="single" w:color="auto" w:sz="4" w:space="0"/>
              <w:right w:val="single" w:color="auto" w:sz="8" w:space="0"/>
            </w:tcBorders>
            <w:shd w:val="clear" w:color="auto" w:fill="auto"/>
            <w:vAlign w:val="center"/>
          </w:tcPr>
          <w:p w14:paraId="082D209F">
            <w:pPr>
              <w:widowControl/>
              <w:jc w:val="center"/>
              <w:rPr>
                <w:rFonts w:hint="eastAsia" w:ascii="宋体" w:hAnsi="宋体" w:cs="宋体"/>
                <w:kern w:val="0"/>
                <w:sz w:val="20"/>
                <w:szCs w:val="20"/>
              </w:rPr>
            </w:pPr>
            <w:r>
              <w:rPr>
                <w:rFonts w:hint="eastAsia" w:ascii="宋体" w:hAnsi="宋体" w:cs="宋体"/>
                <w:kern w:val="0"/>
                <w:sz w:val="20"/>
                <w:szCs w:val="20"/>
              </w:rPr>
              <w:t>主厨1岗</w:t>
            </w:r>
          </w:p>
          <w:p w14:paraId="2E857E2D">
            <w:pPr>
              <w:widowControl/>
              <w:jc w:val="center"/>
              <w:rPr>
                <w:rFonts w:hint="eastAsia" w:ascii="宋体" w:hAnsi="宋体" w:cs="宋体"/>
                <w:kern w:val="0"/>
                <w:sz w:val="20"/>
                <w:szCs w:val="20"/>
              </w:rPr>
            </w:pPr>
            <w:r>
              <w:rPr>
                <w:rFonts w:hint="eastAsia" w:ascii="宋体" w:hAnsi="宋体" w:cs="宋体"/>
                <w:kern w:val="0"/>
                <w:sz w:val="20"/>
                <w:szCs w:val="20"/>
              </w:rPr>
              <w:t>副厨1岗</w:t>
            </w:r>
          </w:p>
          <w:p w14:paraId="7FAE490D">
            <w:pPr>
              <w:widowControl/>
              <w:jc w:val="center"/>
              <w:rPr>
                <w:rFonts w:hint="eastAsia" w:ascii="宋体" w:hAnsi="宋体" w:cs="宋体"/>
                <w:kern w:val="0"/>
                <w:sz w:val="20"/>
                <w:szCs w:val="20"/>
              </w:rPr>
            </w:pPr>
            <w:r>
              <w:rPr>
                <w:rFonts w:hint="eastAsia" w:ascii="宋体" w:hAnsi="宋体" w:cs="宋体"/>
                <w:kern w:val="0"/>
                <w:sz w:val="20"/>
                <w:szCs w:val="20"/>
              </w:rPr>
              <w:t>面点师1岗</w:t>
            </w:r>
          </w:p>
          <w:p w14:paraId="60962A3D">
            <w:pPr>
              <w:widowControl/>
              <w:jc w:val="center"/>
              <w:rPr>
                <w:rFonts w:hint="eastAsia" w:ascii="宋体" w:hAnsi="宋体" w:cs="宋体"/>
                <w:kern w:val="0"/>
                <w:sz w:val="20"/>
                <w:szCs w:val="20"/>
              </w:rPr>
            </w:pPr>
            <w:r>
              <w:rPr>
                <w:rFonts w:hint="eastAsia" w:ascii="宋体" w:hAnsi="宋体" w:cs="宋体"/>
                <w:kern w:val="0"/>
                <w:sz w:val="20"/>
                <w:szCs w:val="20"/>
              </w:rPr>
              <w:t>帮工3岗（周一至周五6岗 ，周六3岗）</w:t>
            </w:r>
          </w:p>
        </w:tc>
      </w:tr>
    </w:tbl>
    <w:p w14:paraId="34D61041">
      <w:pPr>
        <w:spacing w:line="500" w:lineRule="exact"/>
        <w:ind w:firstLine="422" w:firstLineChars="200"/>
        <w:rPr>
          <w:b/>
          <w:bCs/>
          <w:szCs w:val="21"/>
        </w:rPr>
      </w:pPr>
    </w:p>
    <w:p w14:paraId="274A3A42">
      <w:pPr>
        <w:spacing w:line="500" w:lineRule="exact"/>
        <w:ind w:firstLine="422" w:firstLineChars="200"/>
        <w:rPr>
          <w:rFonts w:hint="eastAsia"/>
          <w:b/>
          <w:bCs/>
          <w:szCs w:val="21"/>
        </w:rPr>
      </w:pPr>
      <w:r>
        <w:rPr>
          <w:rFonts w:hint="eastAsia"/>
          <w:b/>
          <w:bCs/>
          <w:szCs w:val="21"/>
        </w:rPr>
        <w:t>四、其他要求</w:t>
      </w:r>
    </w:p>
    <w:p w14:paraId="45768F02">
      <w:pPr>
        <w:spacing w:line="500" w:lineRule="exact"/>
        <w:ind w:firstLine="420" w:firstLineChars="200"/>
        <w:rPr>
          <w:szCs w:val="21"/>
        </w:rPr>
      </w:pPr>
      <w:r>
        <w:rPr>
          <w:rFonts w:hint="eastAsia"/>
          <w:szCs w:val="21"/>
        </w:rPr>
        <w:t>1、物业公司具备保安服务许可证或自用保安备案证明优先，或者承诺在中标后取得本市公安部门颁发的《自行招用保安员单位备案证明》。</w:t>
      </w:r>
    </w:p>
    <w:p w14:paraId="15664DF3">
      <w:pPr>
        <w:spacing w:line="500" w:lineRule="exact"/>
        <w:ind w:firstLine="420" w:firstLineChars="200"/>
        <w:rPr>
          <w:szCs w:val="21"/>
        </w:rPr>
      </w:pPr>
      <w:r>
        <w:rPr>
          <w:rFonts w:hint="eastAsia"/>
          <w:szCs w:val="21"/>
        </w:rPr>
        <w:t>2、物业公司的管理人员、专业操作人员应按照国家有关规定取得物业管理职业资格证书或者上岗证书及学历正书。</w:t>
      </w:r>
    </w:p>
    <w:p w14:paraId="39EC52BB">
      <w:pPr>
        <w:spacing w:line="500" w:lineRule="exact"/>
        <w:ind w:firstLine="420" w:firstLineChars="200"/>
        <w:rPr>
          <w:szCs w:val="21"/>
        </w:rPr>
      </w:pPr>
      <w:r>
        <w:rPr>
          <w:rFonts w:hint="eastAsia"/>
          <w:szCs w:val="21"/>
        </w:rPr>
        <w:t>3、物业公司管理服务人员统一着装，行为规范，服务主动、热情。</w:t>
      </w:r>
    </w:p>
    <w:p w14:paraId="7FA44586">
      <w:pPr>
        <w:spacing w:line="500" w:lineRule="exact"/>
        <w:ind w:firstLine="420" w:firstLineChars="200"/>
        <w:rPr>
          <w:szCs w:val="21"/>
        </w:rPr>
      </w:pPr>
      <w:r>
        <w:rPr>
          <w:rFonts w:hint="eastAsia"/>
          <w:szCs w:val="21"/>
        </w:rPr>
        <w:t>4、物业公司管理服务人员应爱护所管物业的各种财物，并严守安全作业和高空作业安全操作规程，一旦有安全事故发生，由物业公司负全部责任。</w:t>
      </w:r>
    </w:p>
    <w:p w14:paraId="30936671">
      <w:pPr>
        <w:spacing w:line="500" w:lineRule="exact"/>
        <w:ind w:firstLine="420" w:firstLineChars="200"/>
        <w:rPr>
          <w:szCs w:val="21"/>
        </w:rPr>
      </w:pPr>
      <w:r>
        <w:rPr>
          <w:rFonts w:hint="eastAsia"/>
          <w:szCs w:val="21"/>
        </w:rPr>
        <w:t>5、物业公司设有服务接待指定联络人。各种维修保修服务能够及时得到处理。</w:t>
      </w:r>
    </w:p>
    <w:p w14:paraId="16A7AD6C">
      <w:pPr>
        <w:spacing w:line="500" w:lineRule="exact"/>
        <w:ind w:firstLine="420" w:firstLineChars="200"/>
        <w:rPr>
          <w:rFonts w:hint="eastAsia" w:eastAsia="宋体"/>
          <w:szCs w:val="21"/>
          <w:lang w:eastAsia="zh-CN"/>
        </w:rPr>
      </w:pPr>
      <w:r>
        <w:rPr>
          <w:rFonts w:hint="eastAsia"/>
          <w:szCs w:val="21"/>
        </w:rPr>
        <w:t>6、</w:t>
      </w:r>
      <w:r>
        <w:rPr>
          <w:rFonts w:hint="eastAsia"/>
          <w:szCs w:val="21"/>
          <w:lang w:eastAsia="zh-CN"/>
        </w:rPr>
        <w:t>物业公司具有类似项目的管理经验；</w:t>
      </w:r>
      <w:bookmarkStart w:id="0" w:name="_GoBack"/>
      <w:bookmarkEnd w:id="0"/>
    </w:p>
    <w:p w14:paraId="6028C7FA">
      <w:pPr>
        <w:spacing w:line="500" w:lineRule="exact"/>
        <w:ind w:firstLine="420" w:firstLineChars="200"/>
        <w:rPr>
          <w:szCs w:val="21"/>
        </w:rPr>
      </w:pPr>
      <w:r>
        <w:rPr>
          <w:rFonts w:hint="eastAsia"/>
          <w:szCs w:val="21"/>
          <w:lang w:val="en-US" w:eastAsia="zh-CN"/>
        </w:rPr>
        <w:t>7、</w:t>
      </w:r>
      <w:r>
        <w:rPr>
          <w:rFonts w:hint="eastAsia"/>
          <w:szCs w:val="21"/>
        </w:rPr>
        <w:t>定期向静安区就业促进中心征询服务意见。</w:t>
      </w:r>
    </w:p>
    <w:p w14:paraId="50C67DD3">
      <w:pPr>
        <w:spacing w:line="500" w:lineRule="exact"/>
        <w:ind w:firstLine="422" w:firstLineChars="200"/>
        <w:rPr>
          <w:b/>
          <w:bCs/>
          <w:szCs w:val="21"/>
        </w:rPr>
      </w:pPr>
      <w:r>
        <w:rPr>
          <w:rFonts w:hint="eastAsia"/>
          <w:b/>
          <w:bCs/>
          <w:szCs w:val="21"/>
        </w:rPr>
        <w:t>五、静安区就业促进中心与物业公司联络与协商机制</w:t>
      </w:r>
    </w:p>
    <w:p w14:paraId="086B24B8">
      <w:pPr>
        <w:spacing w:line="500" w:lineRule="exact"/>
        <w:ind w:firstLine="420" w:firstLineChars="200"/>
        <w:rPr>
          <w:szCs w:val="21"/>
        </w:rPr>
      </w:pPr>
      <w:r>
        <w:rPr>
          <w:rFonts w:hint="eastAsia"/>
          <w:szCs w:val="21"/>
        </w:rPr>
        <w:t>作为使用方的静安区就业促进中心指定中心办公室为与物业公司联络与协商的全权机构，并指定专人负责处理与物业相关的一切事宜。</w:t>
      </w:r>
    </w:p>
    <w:p w14:paraId="714C1781">
      <w:pPr>
        <w:spacing w:line="500" w:lineRule="exact"/>
        <w:ind w:firstLine="422" w:firstLineChars="200"/>
        <w:rPr>
          <w:b/>
          <w:bCs/>
          <w:szCs w:val="21"/>
        </w:rPr>
      </w:pPr>
      <w:r>
        <w:rPr>
          <w:rFonts w:hint="eastAsia"/>
          <w:b/>
          <w:bCs/>
          <w:szCs w:val="21"/>
        </w:rPr>
        <w:t>六、制约机制</w:t>
      </w:r>
    </w:p>
    <w:p w14:paraId="2C9B1284">
      <w:pPr>
        <w:spacing w:line="500" w:lineRule="exact"/>
        <w:ind w:firstLine="420" w:firstLineChars="200"/>
        <w:rPr>
          <w:szCs w:val="21"/>
        </w:rPr>
      </w:pPr>
      <w:r>
        <w:rPr>
          <w:szCs w:val="21"/>
        </w:rPr>
        <w:t>1</w:t>
      </w:r>
      <w:r>
        <w:rPr>
          <w:rFonts w:hint="eastAsia"/>
          <w:szCs w:val="21"/>
        </w:rPr>
        <w:t>、物业管理方</w:t>
      </w:r>
    </w:p>
    <w:p w14:paraId="30C3A5EF">
      <w:pPr>
        <w:spacing w:line="500" w:lineRule="exact"/>
        <w:ind w:firstLine="420" w:firstLineChars="200"/>
        <w:rPr>
          <w:szCs w:val="21"/>
        </w:rPr>
      </w:pPr>
      <w:r>
        <w:rPr>
          <w:szCs w:val="21"/>
        </w:rPr>
        <w:t>1.1</w:t>
      </w:r>
      <w:r>
        <w:rPr>
          <w:rFonts w:hint="eastAsia"/>
          <w:szCs w:val="21"/>
        </w:rPr>
        <w:t>抽查与检验。在物业管理服务中，除了物业方随时进行自查外，使用方根据要求实行定期或不定期的抽查，如有不合格，则对物业方提出整改意见。</w:t>
      </w:r>
    </w:p>
    <w:p w14:paraId="140A6FE8">
      <w:pPr>
        <w:spacing w:line="500" w:lineRule="exact"/>
        <w:ind w:firstLine="420" w:firstLineChars="200"/>
        <w:rPr>
          <w:szCs w:val="21"/>
        </w:rPr>
      </w:pPr>
      <w:r>
        <w:rPr>
          <w:szCs w:val="21"/>
        </w:rPr>
        <w:t>1.2</w:t>
      </w:r>
      <w:r>
        <w:rPr>
          <w:rFonts w:hint="eastAsia"/>
          <w:szCs w:val="21"/>
        </w:rPr>
        <w:t>投诉与考评。在物业管理服务中，如因物业方整改不到位而影响使用方的正常工作，使用方有权进行书面投诉，并对物业管理方罚以与损失相应金额的物业管理费。使用方定期对物业管理进行考评，如考评结果为不合格或有部分管理目标不合格，则对物业管理方罚以相应金额的物业管理费。</w:t>
      </w:r>
    </w:p>
    <w:p w14:paraId="28FE057D">
      <w:pPr>
        <w:spacing w:line="500" w:lineRule="exact"/>
        <w:ind w:firstLine="420" w:firstLineChars="200"/>
        <w:rPr>
          <w:szCs w:val="21"/>
        </w:rPr>
      </w:pPr>
      <w:r>
        <w:rPr>
          <w:szCs w:val="21"/>
        </w:rPr>
        <w:t>1.3</w:t>
      </w:r>
      <w:r>
        <w:rPr>
          <w:rFonts w:hint="eastAsia"/>
          <w:szCs w:val="21"/>
        </w:rPr>
        <w:t>使用方支付的物业管理费包括人员费用（包含保安、保洁、保绿及所有服务人员的工资、福利、社会保险费用</w:t>
      </w:r>
      <w:r>
        <w:rPr>
          <w:rFonts w:hint="eastAsia"/>
          <w:szCs w:val="21"/>
          <w:lang w:eastAsia="zh-CN"/>
        </w:rPr>
        <w:t>｛顾主责任险和公众责任险等｝</w:t>
      </w:r>
      <w:r>
        <w:rPr>
          <w:rFonts w:hint="eastAsia"/>
          <w:szCs w:val="21"/>
        </w:rPr>
        <w:t>、加班费、服务费、税收、离职费用等全部费用）、物耗费用、维修养护费用、清洁卫生费、报警联网费、绿化费、保险费、物业管理费、开办费用（包括服装费、设备配置费等）、相关人员体检费等各项费用。</w:t>
      </w:r>
    </w:p>
    <w:p w14:paraId="43A57ED8">
      <w:pPr>
        <w:spacing w:line="500" w:lineRule="exact"/>
        <w:ind w:firstLine="420" w:firstLineChars="200"/>
        <w:rPr>
          <w:szCs w:val="21"/>
        </w:rPr>
      </w:pPr>
      <w:r>
        <w:rPr>
          <w:szCs w:val="21"/>
        </w:rPr>
        <w:t>1.4</w:t>
      </w:r>
      <w:r>
        <w:rPr>
          <w:rFonts w:hint="eastAsia"/>
          <w:szCs w:val="21"/>
        </w:rPr>
        <w:t>中心的安保全权交给物业公司，物业公司应对中心的安全做好一切防范工作。如因发生偷窃造成财产损失，不管是设备原因或管理原因，其损失都应由物业公司来承担。</w:t>
      </w:r>
    </w:p>
    <w:p w14:paraId="446D3E68">
      <w:pPr>
        <w:spacing w:line="500" w:lineRule="exact"/>
        <w:ind w:firstLine="420" w:firstLineChars="200"/>
        <w:rPr>
          <w:szCs w:val="21"/>
        </w:rPr>
      </w:pPr>
      <w:r>
        <w:rPr>
          <w:szCs w:val="21"/>
        </w:rPr>
        <w:t>2</w:t>
      </w:r>
      <w:r>
        <w:rPr>
          <w:rFonts w:hint="eastAsia"/>
          <w:szCs w:val="21"/>
        </w:rPr>
        <w:t>、使用方</w:t>
      </w:r>
    </w:p>
    <w:p w14:paraId="46AAE732">
      <w:pPr>
        <w:spacing w:line="500" w:lineRule="exact"/>
        <w:ind w:firstLine="420" w:firstLineChars="200"/>
        <w:rPr>
          <w:szCs w:val="21"/>
        </w:rPr>
      </w:pPr>
      <w:r>
        <w:rPr>
          <w:szCs w:val="21"/>
        </w:rPr>
        <w:t>2.1</w:t>
      </w:r>
      <w:r>
        <w:rPr>
          <w:rFonts w:hint="eastAsia"/>
          <w:szCs w:val="21"/>
        </w:rPr>
        <w:t>在物业管理方按要求完成所有管理目标后，使用方应按合同规定按期支付物业管理费。</w:t>
      </w:r>
    </w:p>
    <w:p w14:paraId="330A4AF6">
      <w:pPr>
        <w:spacing w:line="500" w:lineRule="exact"/>
        <w:ind w:firstLine="420" w:firstLineChars="200"/>
        <w:rPr>
          <w:szCs w:val="21"/>
        </w:rPr>
      </w:pPr>
      <w:r>
        <w:rPr>
          <w:szCs w:val="21"/>
        </w:rPr>
        <w:t>2.2</w:t>
      </w:r>
      <w:r>
        <w:rPr>
          <w:rFonts w:hint="eastAsia"/>
          <w:szCs w:val="21"/>
        </w:rPr>
        <w:t>在合同规定的范围以外的维修，在使用方指定人员签字认可后，使用方应支付相关的设备设施维修费。</w:t>
      </w:r>
    </w:p>
    <w:p w14:paraId="2B73FF2F">
      <w:pPr>
        <w:pStyle w:val="11"/>
        <w:numPr>
          <w:ilvl w:val="0"/>
          <w:numId w:val="1"/>
        </w:numPr>
        <w:spacing w:line="500" w:lineRule="exact"/>
        <w:ind w:firstLineChars="0"/>
        <w:rPr>
          <w:b/>
          <w:bCs/>
          <w:szCs w:val="21"/>
        </w:rPr>
      </w:pPr>
      <w:r>
        <w:rPr>
          <w:rFonts w:hint="eastAsia"/>
          <w:b/>
          <w:bCs/>
          <w:szCs w:val="21"/>
        </w:rPr>
        <w:t>其他</w:t>
      </w:r>
    </w:p>
    <w:p w14:paraId="1C18A0FA">
      <w:pPr>
        <w:spacing w:line="500" w:lineRule="exact"/>
        <w:ind w:left="315"/>
        <w:rPr>
          <w:szCs w:val="21"/>
        </w:rPr>
      </w:pPr>
      <w:r>
        <w:rPr>
          <w:rFonts w:hint="eastAsia"/>
          <w:szCs w:val="21"/>
        </w:rPr>
        <w:t>根据政采要求，投标物业公司需中小企业。</w:t>
      </w:r>
    </w:p>
    <w:p w14:paraId="47F5E0C0">
      <w:pPr>
        <w:pStyle w:val="2"/>
        <w:rPr>
          <w:color w:val="FF0000"/>
          <w:sz w:val="21"/>
          <w:szCs w:val="21"/>
        </w:rPr>
      </w:pPr>
    </w:p>
    <w:p w14:paraId="5BC657A5">
      <w:pPr>
        <w:rPr>
          <w:szCs w:val="21"/>
        </w:rPr>
      </w:pPr>
    </w:p>
    <w:p w14:paraId="08CDA5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A27F85"/>
    <w:multiLevelType w:val="multilevel"/>
    <w:tmpl w:val="21A27F85"/>
    <w:lvl w:ilvl="0" w:tentative="0">
      <w:start w:val="7"/>
      <w:numFmt w:val="japaneseCounting"/>
      <w:lvlText w:val="%1、"/>
      <w:lvlJc w:val="left"/>
      <w:pPr>
        <w:ind w:left="900" w:hanging="450"/>
      </w:pPr>
      <w:rPr>
        <w:rFonts w:hint="default"/>
      </w:rPr>
    </w:lvl>
    <w:lvl w:ilvl="1" w:tentative="0">
      <w:start w:val="1"/>
      <w:numFmt w:val="lowerLetter"/>
      <w:lvlText w:val="%2)"/>
      <w:lvlJc w:val="left"/>
      <w:pPr>
        <w:ind w:left="1330" w:hanging="440"/>
      </w:pPr>
    </w:lvl>
    <w:lvl w:ilvl="2" w:tentative="0">
      <w:start w:val="1"/>
      <w:numFmt w:val="lowerRoman"/>
      <w:lvlText w:val="%3."/>
      <w:lvlJc w:val="right"/>
      <w:pPr>
        <w:ind w:left="1770" w:hanging="440"/>
      </w:pPr>
    </w:lvl>
    <w:lvl w:ilvl="3" w:tentative="0">
      <w:start w:val="1"/>
      <w:numFmt w:val="decimal"/>
      <w:lvlText w:val="%4."/>
      <w:lvlJc w:val="left"/>
      <w:pPr>
        <w:ind w:left="2210" w:hanging="440"/>
      </w:pPr>
    </w:lvl>
    <w:lvl w:ilvl="4" w:tentative="0">
      <w:start w:val="1"/>
      <w:numFmt w:val="lowerLetter"/>
      <w:lvlText w:val="%5)"/>
      <w:lvlJc w:val="left"/>
      <w:pPr>
        <w:ind w:left="2650" w:hanging="440"/>
      </w:pPr>
    </w:lvl>
    <w:lvl w:ilvl="5" w:tentative="0">
      <w:start w:val="1"/>
      <w:numFmt w:val="lowerRoman"/>
      <w:lvlText w:val="%6."/>
      <w:lvlJc w:val="right"/>
      <w:pPr>
        <w:ind w:left="3090" w:hanging="440"/>
      </w:pPr>
    </w:lvl>
    <w:lvl w:ilvl="6" w:tentative="0">
      <w:start w:val="1"/>
      <w:numFmt w:val="decimal"/>
      <w:lvlText w:val="%7."/>
      <w:lvlJc w:val="left"/>
      <w:pPr>
        <w:ind w:left="3530" w:hanging="440"/>
      </w:pPr>
    </w:lvl>
    <w:lvl w:ilvl="7" w:tentative="0">
      <w:start w:val="1"/>
      <w:numFmt w:val="lowerLetter"/>
      <w:lvlText w:val="%8)"/>
      <w:lvlJc w:val="left"/>
      <w:pPr>
        <w:ind w:left="3970" w:hanging="440"/>
      </w:pPr>
    </w:lvl>
    <w:lvl w:ilvl="8" w:tentative="0">
      <w:start w:val="1"/>
      <w:numFmt w:val="lowerRoman"/>
      <w:lvlText w:val="%9."/>
      <w:lvlJc w:val="right"/>
      <w:pPr>
        <w:ind w:left="441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NmYzNTQzNzYzNmQ4MzZlYWQ5MGViM2E4MjY5ZTYifQ=="/>
  </w:docVars>
  <w:rsids>
    <w:rsidRoot w:val="004A0121"/>
    <w:rsid w:val="00041F93"/>
    <w:rsid w:val="000C50C4"/>
    <w:rsid w:val="000E730E"/>
    <w:rsid w:val="0011190E"/>
    <w:rsid w:val="00116E13"/>
    <w:rsid w:val="0013454D"/>
    <w:rsid w:val="001C12F4"/>
    <w:rsid w:val="001D239E"/>
    <w:rsid w:val="002A7202"/>
    <w:rsid w:val="002F714C"/>
    <w:rsid w:val="003351CB"/>
    <w:rsid w:val="00356B1F"/>
    <w:rsid w:val="003E4D23"/>
    <w:rsid w:val="00422194"/>
    <w:rsid w:val="004449FB"/>
    <w:rsid w:val="004A0121"/>
    <w:rsid w:val="004D56F1"/>
    <w:rsid w:val="004E66AD"/>
    <w:rsid w:val="004F7578"/>
    <w:rsid w:val="0053085B"/>
    <w:rsid w:val="00597A1B"/>
    <w:rsid w:val="006B407A"/>
    <w:rsid w:val="00722D86"/>
    <w:rsid w:val="00725057"/>
    <w:rsid w:val="008A0BCF"/>
    <w:rsid w:val="0093126D"/>
    <w:rsid w:val="009C2FF9"/>
    <w:rsid w:val="009C6694"/>
    <w:rsid w:val="009D45BC"/>
    <w:rsid w:val="00A97732"/>
    <w:rsid w:val="00B13745"/>
    <w:rsid w:val="00B37EB8"/>
    <w:rsid w:val="00B62BBD"/>
    <w:rsid w:val="00B91A2A"/>
    <w:rsid w:val="00BA65D0"/>
    <w:rsid w:val="00BF5487"/>
    <w:rsid w:val="00C04D73"/>
    <w:rsid w:val="00CD0666"/>
    <w:rsid w:val="00D83F1D"/>
    <w:rsid w:val="00D968A4"/>
    <w:rsid w:val="00DE4C80"/>
    <w:rsid w:val="00E025B9"/>
    <w:rsid w:val="00E26E8E"/>
    <w:rsid w:val="00E464A1"/>
    <w:rsid w:val="00E847B2"/>
    <w:rsid w:val="00FD0E92"/>
    <w:rsid w:val="200E794F"/>
    <w:rsid w:val="36D25621"/>
    <w:rsid w:val="380B7600"/>
    <w:rsid w:val="3A3000B7"/>
    <w:rsid w:val="44C802D5"/>
    <w:rsid w:val="739A48BB"/>
    <w:rsid w:val="760459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
    <w:autoRedefine/>
    <w:semiHidden/>
    <w:unhideWhenUsed/>
    <w:qFormat/>
    <w:uiPriority w:val="0"/>
    <w:rPr>
      <w:b/>
      <w:bCs/>
      <w:sz w:val="24"/>
    </w:rPr>
  </w:style>
  <w:style w:type="paragraph" w:styleId="3">
    <w:name w:val="Plain Text"/>
    <w:basedOn w:val="1"/>
    <w:link w:val="9"/>
    <w:semiHidden/>
    <w:unhideWhenUsed/>
    <w:qFormat/>
    <w:uiPriority w:val="0"/>
    <w:rPr>
      <w:rFonts w:ascii="宋体" w:hAnsi="Courier New" w:cstheme="minorBidi"/>
      <w:szCs w:val="22"/>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tabs>
        <w:tab w:val="center" w:pos="4153"/>
        <w:tab w:val="right" w:pos="8306"/>
      </w:tabs>
      <w:snapToGrid w:val="0"/>
      <w:jc w:val="center"/>
    </w:pPr>
    <w:rPr>
      <w:sz w:val="18"/>
      <w:szCs w:val="18"/>
    </w:rPr>
  </w:style>
  <w:style w:type="character" w:customStyle="1" w:styleId="8">
    <w:name w:val="正文文本 字符"/>
    <w:basedOn w:val="7"/>
    <w:link w:val="2"/>
    <w:semiHidden/>
    <w:qFormat/>
    <w:uiPriority w:val="0"/>
    <w:rPr>
      <w:rFonts w:ascii="Times New Roman" w:hAnsi="Times New Roman" w:eastAsia="宋体" w:cs="Times New Roman"/>
      <w:b/>
      <w:bCs/>
      <w:sz w:val="24"/>
      <w:szCs w:val="24"/>
    </w:rPr>
  </w:style>
  <w:style w:type="character" w:customStyle="1" w:styleId="9">
    <w:name w:val="纯文本 字符"/>
    <w:basedOn w:val="7"/>
    <w:link w:val="3"/>
    <w:semiHidden/>
    <w:qFormat/>
    <w:locked/>
    <w:uiPriority w:val="0"/>
    <w:rPr>
      <w:rFonts w:ascii="宋体" w:hAnsi="Courier New" w:eastAsia="宋体"/>
    </w:rPr>
  </w:style>
  <w:style w:type="character" w:customStyle="1" w:styleId="10">
    <w:name w:val="纯文本 字符1"/>
    <w:basedOn w:val="7"/>
    <w:semiHidden/>
    <w:qFormat/>
    <w:uiPriority w:val="99"/>
    <w:rPr>
      <w:rFonts w:hAnsi="Courier New" w:cs="Courier New" w:asciiTheme="minorEastAsia"/>
      <w:szCs w:val="24"/>
    </w:rPr>
  </w:style>
  <w:style w:type="paragraph" w:styleId="11">
    <w:name w:val="List Paragraph"/>
    <w:basedOn w:val="1"/>
    <w:unhideWhenUsed/>
    <w:qFormat/>
    <w:uiPriority w:val="99"/>
    <w:pPr>
      <w:ind w:firstLine="420" w:firstLineChars="200"/>
    </w:pPr>
  </w:style>
  <w:style w:type="character" w:customStyle="1" w:styleId="12">
    <w:name w:val="页眉 字符"/>
    <w:basedOn w:val="7"/>
    <w:link w:val="5"/>
    <w:qFormat/>
    <w:uiPriority w:val="99"/>
    <w:rPr>
      <w:rFonts w:ascii="Times New Roman" w:hAnsi="Times New Roman" w:eastAsia="宋体" w:cs="Times New Roman"/>
      <w:kern w:val="2"/>
      <w:sz w:val="18"/>
      <w:szCs w:val="18"/>
    </w:rPr>
  </w:style>
  <w:style w:type="character" w:customStyle="1" w:styleId="13">
    <w:name w:val="页脚 字符"/>
    <w:basedOn w:val="7"/>
    <w:link w:val="4"/>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2852</Words>
  <Characters>2956</Characters>
  <Lines>54</Lines>
  <Paragraphs>15</Paragraphs>
  <TotalTime>6</TotalTime>
  <ScaleCrop>false</ScaleCrop>
  <LinksUpToDate>false</LinksUpToDate>
  <CharactersWithSpaces>3020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2024-11-25T02:11:00Z</dcterms:created>
  <dc:creator>LENOVO</dc:creator>
  <cp:lastModifiedBy>待到尘埃落定时</cp:lastModifiedBy>
  <dcterms:modified xsi:type="dcterms:W3CDTF">2024-12-25T03:38:07Z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92DD58EE26DB4E0983B3D30E07CBDDA1_13</vt:lpwstr>
  </property>
</Properties>
</file>