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B9BD6">
      <w:pPr>
        <w:widowControl/>
        <w:jc w:val="center"/>
        <w:rPr>
          <w:rFonts w:ascii="宋体" w:hAnsi="宋体" w:cs="Arial"/>
          <w:b/>
          <w:bCs/>
          <w:color w:val="000000"/>
          <w:kern w:val="0"/>
          <w:sz w:val="44"/>
          <w:szCs w:val="44"/>
        </w:rPr>
      </w:pPr>
    </w:p>
    <w:p w14:paraId="6C395EFE">
      <w:pPr>
        <w:widowControl/>
        <w:rPr>
          <w:rFonts w:ascii="宋体" w:hAnsi="宋体" w:cs="Arial"/>
          <w:b/>
          <w:bCs/>
          <w:color w:val="000000"/>
          <w:kern w:val="0"/>
          <w:sz w:val="44"/>
          <w:szCs w:val="44"/>
        </w:rPr>
      </w:pPr>
    </w:p>
    <w:p w14:paraId="4474306F">
      <w:pPr>
        <w:pStyle w:val="10"/>
        <w:spacing w:line="360" w:lineRule="auto"/>
        <w:jc w:val="center"/>
        <w:rPr>
          <w:rFonts w:ascii="方正小标宋简体" w:hAnsi="Times New Roman" w:eastAsia="方正小标宋简体"/>
          <w:bCs/>
          <w:kern w:val="2"/>
          <w:sz w:val="56"/>
          <w:szCs w:val="84"/>
        </w:rPr>
      </w:pPr>
      <w:r>
        <w:rPr>
          <w:rFonts w:ascii="Times New Roman" w:hAnsi="Times New Roman" w:eastAsia="方正小标宋简体"/>
          <w:bCs/>
          <w:kern w:val="2"/>
          <w:sz w:val="56"/>
          <w:szCs w:val="84"/>
        </w:rPr>
        <w:t>202</w:t>
      </w:r>
      <w:r>
        <w:rPr>
          <w:rFonts w:hint="eastAsia" w:ascii="Times New Roman" w:hAnsi="Times New Roman" w:eastAsia="方正小标宋简体"/>
          <w:bCs/>
          <w:kern w:val="2"/>
          <w:sz w:val="56"/>
          <w:szCs w:val="84"/>
          <w:lang w:val="en-US"/>
        </w:rPr>
        <w:t>5</w:t>
      </w:r>
      <w:r>
        <w:rPr>
          <w:rFonts w:hint="eastAsia" w:ascii="方正小标宋简体" w:hAnsi="Times New Roman" w:eastAsia="方正小标宋简体"/>
          <w:bCs/>
          <w:kern w:val="2"/>
          <w:sz w:val="56"/>
          <w:szCs w:val="84"/>
        </w:rPr>
        <w:t>年上海市静安区静安寺街道社区卫生服务中心保安服务</w:t>
      </w:r>
      <w:r>
        <w:rPr>
          <w:rFonts w:hint="eastAsia" w:ascii="方正小标宋简体" w:eastAsia="方正小标宋简体"/>
          <w:bCs/>
          <w:sz w:val="56"/>
          <w:szCs w:val="84"/>
        </w:rPr>
        <w:t>采购需求</w:t>
      </w:r>
    </w:p>
    <w:p w14:paraId="1B8DCEFF">
      <w:pPr>
        <w:spacing w:line="360" w:lineRule="auto"/>
        <w:jc w:val="center"/>
        <w:rPr>
          <w:rFonts w:hint="eastAsia"/>
          <w:sz w:val="24"/>
          <w:lang w:val="zh-CN"/>
        </w:rPr>
      </w:pPr>
    </w:p>
    <w:p w14:paraId="036494EA">
      <w:pPr>
        <w:spacing w:line="360" w:lineRule="auto"/>
        <w:jc w:val="center"/>
        <w:rPr>
          <w:rFonts w:hint="eastAsia"/>
          <w:sz w:val="24"/>
        </w:rPr>
      </w:pPr>
    </w:p>
    <w:p w14:paraId="2A97BFD3">
      <w:pPr>
        <w:spacing w:line="360" w:lineRule="auto"/>
        <w:jc w:val="center"/>
        <w:rPr>
          <w:rFonts w:hint="eastAsia"/>
          <w:sz w:val="24"/>
        </w:rPr>
      </w:pPr>
    </w:p>
    <w:p w14:paraId="65AEE01F">
      <w:pPr>
        <w:spacing w:line="360" w:lineRule="auto"/>
        <w:jc w:val="center"/>
        <w:rPr>
          <w:rFonts w:hint="eastAsia"/>
          <w:sz w:val="24"/>
        </w:rPr>
      </w:pPr>
    </w:p>
    <w:p w14:paraId="2D76DA0A">
      <w:pPr>
        <w:spacing w:line="360" w:lineRule="auto"/>
        <w:jc w:val="center"/>
        <w:rPr>
          <w:rFonts w:hint="eastAsia"/>
          <w:sz w:val="24"/>
        </w:rPr>
      </w:pPr>
    </w:p>
    <w:p w14:paraId="043D89CC">
      <w:pPr>
        <w:spacing w:line="360" w:lineRule="auto"/>
        <w:jc w:val="center"/>
        <w:rPr>
          <w:rFonts w:hint="eastAsia"/>
          <w:sz w:val="24"/>
        </w:rPr>
      </w:pPr>
    </w:p>
    <w:p w14:paraId="3966CC1F">
      <w:pPr>
        <w:spacing w:line="360" w:lineRule="auto"/>
        <w:jc w:val="center"/>
        <w:rPr>
          <w:rFonts w:hint="eastAsia"/>
          <w:sz w:val="24"/>
        </w:rPr>
      </w:pPr>
    </w:p>
    <w:p w14:paraId="52D5862E">
      <w:pPr>
        <w:spacing w:line="360" w:lineRule="auto"/>
        <w:jc w:val="center"/>
        <w:rPr>
          <w:rFonts w:hint="eastAsia"/>
          <w:sz w:val="24"/>
        </w:rPr>
      </w:pPr>
    </w:p>
    <w:p w14:paraId="4C0C0F50">
      <w:pPr>
        <w:spacing w:line="360" w:lineRule="auto"/>
        <w:jc w:val="center"/>
        <w:rPr>
          <w:rFonts w:hint="eastAsia"/>
          <w:sz w:val="24"/>
        </w:rPr>
      </w:pPr>
    </w:p>
    <w:p w14:paraId="665A755A">
      <w:pPr>
        <w:spacing w:line="360" w:lineRule="auto"/>
        <w:jc w:val="center"/>
        <w:rPr>
          <w:rFonts w:hint="eastAsia"/>
          <w:sz w:val="24"/>
        </w:rPr>
      </w:pPr>
    </w:p>
    <w:p w14:paraId="4DE6CA45">
      <w:pPr>
        <w:spacing w:line="360" w:lineRule="auto"/>
        <w:jc w:val="center"/>
        <w:rPr>
          <w:rFonts w:hint="eastAsia"/>
          <w:sz w:val="24"/>
        </w:rPr>
      </w:pPr>
    </w:p>
    <w:p w14:paraId="3DFB23F1">
      <w:pPr>
        <w:spacing w:line="360" w:lineRule="auto"/>
        <w:jc w:val="center"/>
        <w:rPr>
          <w:rFonts w:hint="eastAsia"/>
          <w:sz w:val="24"/>
        </w:rPr>
      </w:pPr>
      <w:bookmarkStart w:id="0" w:name="sign"/>
      <w:bookmarkEnd w:id="0"/>
    </w:p>
    <w:p w14:paraId="1CC9717D">
      <w:pPr>
        <w:spacing w:line="360" w:lineRule="auto"/>
        <w:jc w:val="center"/>
        <w:rPr>
          <w:rFonts w:ascii="仿宋" w:hAnsi="仿宋" w:eastAsia="仿宋"/>
          <w:b/>
          <w:bCs/>
          <w:sz w:val="36"/>
          <w:szCs w:val="36"/>
        </w:rPr>
      </w:pPr>
      <w:r>
        <w:rPr>
          <w:rFonts w:hint="eastAsia" w:ascii="仿宋" w:hAnsi="仿宋" w:eastAsia="仿宋"/>
          <w:b/>
          <w:bCs/>
          <w:sz w:val="36"/>
          <w:szCs w:val="36"/>
        </w:rPr>
        <w:t>上海市静安区静安寺街道社区卫生服务中心</w:t>
      </w:r>
    </w:p>
    <w:p w14:paraId="16434A4F">
      <w:pPr>
        <w:widowControl/>
        <w:jc w:val="left"/>
        <w:rPr>
          <w:rFonts w:ascii="Arial" w:hAnsi="Arial" w:cs="Arial"/>
          <w:color w:val="222222"/>
          <w:kern w:val="0"/>
          <w:sz w:val="24"/>
          <w:szCs w:val="24"/>
        </w:rPr>
      </w:pPr>
      <w:r>
        <w:rPr>
          <w:rFonts w:ascii="Arial" w:hAnsi="Arial" w:cs="Arial"/>
          <w:color w:val="222222"/>
          <w:kern w:val="0"/>
          <w:sz w:val="24"/>
          <w:szCs w:val="24"/>
        </w:rPr>
        <w:t> </w:t>
      </w:r>
    </w:p>
    <w:p w14:paraId="76130F84">
      <w:pPr>
        <w:widowControl/>
        <w:jc w:val="left"/>
        <w:rPr>
          <w:rFonts w:ascii="Arial" w:hAnsi="Arial" w:cs="Arial"/>
          <w:color w:val="222222"/>
          <w:kern w:val="0"/>
          <w:sz w:val="24"/>
          <w:szCs w:val="24"/>
        </w:rPr>
      </w:pPr>
      <w:r>
        <w:rPr>
          <w:rFonts w:ascii="Arial" w:hAnsi="Arial" w:cs="Arial"/>
          <w:color w:val="222222"/>
          <w:kern w:val="0"/>
          <w:sz w:val="24"/>
          <w:szCs w:val="24"/>
        </w:rPr>
        <w:t> </w:t>
      </w:r>
    </w:p>
    <w:p w14:paraId="41E3EDE2">
      <w:pPr>
        <w:widowControl/>
        <w:jc w:val="left"/>
        <w:rPr>
          <w:rFonts w:ascii="Arial" w:hAnsi="Arial" w:cs="Arial"/>
          <w:color w:val="222222"/>
          <w:kern w:val="0"/>
          <w:sz w:val="24"/>
          <w:szCs w:val="24"/>
        </w:rPr>
      </w:pPr>
      <w:r>
        <w:rPr>
          <w:rFonts w:ascii="Arial" w:hAnsi="Arial" w:cs="Arial"/>
          <w:color w:val="222222"/>
          <w:kern w:val="0"/>
          <w:sz w:val="24"/>
          <w:szCs w:val="24"/>
        </w:rPr>
        <w:t> </w:t>
      </w:r>
    </w:p>
    <w:p w14:paraId="6D0DD59B">
      <w:pPr>
        <w:widowControl/>
        <w:jc w:val="left"/>
        <w:rPr>
          <w:rFonts w:ascii="Arial" w:hAnsi="Arial" w:cs="Arial"/>
          <w:color w:val="222222"/>
          <w:kern w:val="0"/>
          <w:sz w:val="24"/>
          <w:szCs w:val="24"/>
        </w:rPr>
      </w:pPr>
      <w:r>
        <w:rPr>
          <w:rFonts w:ascii="Arial" w:hAnsi="Arial" w:cs="Arial"/>
          <w:color w:val="222222"/>
          <w:kern w:val="0"/>
          <w:sz w:val="24"/>
          <w:szCs w:val="24"/>
        </w:rPr>
        <w:t> </w:t>
      </w:r>
    </w:p>
    <w:p w14:paraId="7E8A1F12">
      <w:pPr>
        <w:widowControl/>
        <w:spacing w:before="100" w:beforeAutospacing="1" w:after="100" w:afterAutospacing="1"/>
        <w:jc w:val="left"/>
        <w:rPr>
          <w:rFonts w:ascii="Arial" w:hAnsi="Arial" w:cs="Arial"/>
          <w:color w:val="222222"/>
          <w:kern w:val="0"/>
          <w:sz w:val="24"/>
          <w:szCs w:val="24"/>
        </w:rPr>
      </w:pPr>
    </w:p>
    <w:p w14:paraId="32DCEC87">
      <w:pPr>
        <w:widowControl/>
        <w:jc w:val="left"/>
        <w:rPr>
          <w:rFonts w:ascii="黑体" w:hAnsi="黑体" w:eastAsia="黑体" w:cs="Arial"/>
          <w:b/>
          <w:color w:val="000000"/>
          <w:kern w:val="0"/>
          <w:sz w:val="28"/>
          <w:szCs w:val="28"/>
        </w:rPr>
      </w:pPr>
      <w:r>
        <w:rPr>
          <w:rFonts w:ascii="黑体" w:hAnsi="黑体" w:eastAsia="黑体" w:cs="Arial"/>
          <w:b/>
          <w:color w:val="000000"/>
          <w:kern w:val="0"/>
          <w:sz w:val="28"/>
          <w:szCs w:val="28"/>
        </w:rPr>
        <w:br w:type="page"/>
      </w:r>
    </w:p>
    <w:p w14:paraId="26CF7DB2">
      <w:pPr>
        <w:widowControl/>
        <w:spacing w:line="440" w:lineRule="exact"/>
        <w:jc w:val="left"/>
        <w:rPr>
          <w:rFonts w:ascii="黑体" w:hAnsi="黑体" w:eastAsia="黑体" w:cs="Arial"/>
          <w:b/>
          <w:color w:val="000000"/>
          <w:kern w:val="0"/>
          <w:sz w:val="28"/>
          <w:szCs w:val="28"/>
        </w:rPr>
      </w:pPr>
      <w:r>
        <w:rPr>
          <w:rFonts w:hint="eastAsia" w:ascii="黑体" w:hAnsi="黑体" w:eastAsia="黑体" w:cs="Arial"/>
          <w:b/>
          <w:color w:val="000000"/>
          <w:kern w:val="0"/>
          <w:sz w:val="28"/>
          <w:szCs w:val="28"/>
        </w:rPr>
        <w:t>一、供应商要求：</w:t>
      </w:r>
    </w:p>
    <w:p w14:paraId="26E4E20D">
      <w:pPr>
        <w:widowControl/>
        <w:spacing w:line="360" w:lineRule="auto"/>
        <w:ind w:left="360" w:hanging="360" w:hangingChars="150"/>
        <w:jc w:val="left"/>
        <w:rPr>
          <w:rFonts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1、符合《中华人民共和国政府采购法》第二十二条规定条件，未被列入“信用中国”网站(</w:t>
      </w:r>
      <w:r>
        <w:fldChar w:fldCharType="begin"/>
      </w:r>
      <w:r>
        <w:instrText xml:space="preserve"> HYPERLINK "http://www.creditchina.gov.cn/" \t "_parent" </w:instrText>
      </w:r>
      <w:r>
        <w:fldChar w:fldCharType="separate"/>
      </w:r>
      <w:r>
        <w:rPr>
          <w:rFonts w:hint="eastAsia" w:ascii="宋体" w:hAnsi="宋体" w:cs="宋体"/>
          <w:color w:val="0000FF"/>
          <w:kern w:val="0"/>
          <w:sz w:val="24"/>
          <w:szCs w:val="24"/>
          <w:u w:val="single"/>
        </w:rPr>
        <w:t>www.creditchina.gov.cn</w:t>
      </w:r>
      <w:r>
        <w:rPr>
          <w:rFonts w:hint="eastAsia" w:ascii="宋体" w:hAnsi="宋体" w:cs="宋体"/>
          <w:color w:val="0000FF"/>
          <w:kern w:val="0"/>
          <w:sz w:val="24"/>
          <w:szCs w:val="24"/>
          <w:u w:val="single"/>
        </w:rPr>
        <w:fldChar w:fldCharType="end"/>
      </w:r>
      <w:r>
        <w:rPr>
          <w:rFonts w:hint="eastAsia" w:ascii="宋体" w:hAnsi="宋体" w:cs="宋体"/>
          <w:color w:val="000000"/>
          <w:kern w:val="0"/>
          <w:sz w:val="24"/>
          <w:szCs w:val="24"/>
        </w:rPr>
        <w:t>)失信被执行人名单、重大税收违法案件当事人名单和中国政府采购网(www.ccgp.gov.cn)政府采购严重违法失信行为记录名单的供应商；</w:t>
      </w:r>
    </w:p>
    <w:p w14:paraId="5B9285F3">
      <w:pPr>
        <w:widowControl/>
        <w:spacing w:line="360" w:lineRule="auto"/>
        <w:ind w:left="360" w:hanging="360" w:hangingChars="150"/>
        <w:jc w:val="left"/>
        <w:rPr>
          <w:rFonts w:ascii="宋体" w:hAnsi="宋体" w:cs="宋体"/>
          <w:color w:val="000000"/>
          <w:kern w:val="0"/>
          <w:sz w:val="24"/>
          <w:szCs w:val="24"/>
        </w:rPr>
      </w:pPr>
      <w:r>
        <w:rPr>
          <w:rFonts w:hint="eastAsia" w:ascii="宋体" w:hAnsi="宋体" w:cs="宋体"/>
          <w:color w:val="000000"/>
          <w:kern w:val="0"/>
          <w:sz w:val="24"/>
          <w:szCs w:val="24"/>
        </w:rPr>
        <w:t>2、根据《上海市政府采购供应商登记及诚信管理（暂行）办法》已登记入库的供应商；</w:t>
      </w:r>
    </w:p>
    <w:p w14:paraId="5E152D97">
      <w:pPr>
        <w:widowControl/>
        <w:spacing w:line="360" w:lineRule="auto"/>
        <w:ind w:left="360" w:hanging="360" w:hangingChars="150"/>
        <w:jc w:val="left"/>
        <w:rPr>
          <w:rFonts w:ascii="宋体" w:hAnsi="宋体" w:cs="宋体"/>
          <w:color w:val="000000"/>
          <w:kern w:val="0"/>
          <w:sz w:val="24"/>
          <w:szCs w:val="24"/>
        </w:rPr>
      </w:pPr>
      <w:r>
        <w:rPr>
          <w:rFonts w:hint="eastAsia" w:ascii="宋体" w:hAnsi="宋体" w:cs="宋体"/>
          <w:color w:val="000000"/>
          <w:kern w:val="0"/>
          <w:sz w:val="24"/>
          <w:szCs w:val="24"/>
        </w:rPr>
        <w:t>3、应具有公安机关颁发的《保安服务许可证》或保安备案证或中标后取得公安部门颁发的《自行招用保安员单位备案证明》；</w:t>
      </w:r>
    </w:p>
    <w:p w14:paraId="089E592E">
      <w:pPr>
        <w:widowControl/>
        <w:spacing w:line="360" w:lineRule="auto"/>
        <w:ind w:left="360" w:hanging="360" w:hangingChars="150"/>
        <w:jc w:val="left"/>
        <w:rPr>
          <w:rFonts w:ascii="宋体" w:hAnsi="宋体" w:cs="宋体"/>
          <w:color w:val="000000"/>
          <w:kern w:val="0"/>
          <w:sz w:val="24"/>
          <w:szCs w:val="24"/>
        </w:rPr>
      </w:pPr>
      <w:r>
        <w:rPr>
          <w:rFonts w:hint="eastAsia" w:ascii="宋体" w:hAnsi="宋体" w:cs="宋体"/>
          <w:color w:val="000000"/>
          <w:kern w:val="0"/>
          <w:sz w:val="24"/>
          <w:szCs w:val="24"/>
        </w:rPr>
        <w:t>4、应具有完善的服务体系，具备良好的从业信誉和经验，在项目所在有固定的办公场所和服务地点；</w:t>
      </w:r>
    </w:p>
    <w:p w14:paraId="3A287E01">
      <w:pPr>
        <w:widowControl/>
        <w:spacing w:line="360" w:lineRule="auto"/>
        <w:ind w:left="480" w:hanging="480" w:hangingChars="200"/>
        <w:jc w:val="left"/>
        <w:rPr>
          <w:rFonts w:ascii="宋体" w:hAnsi="宋体" w:cs="宋体"/>
          <w:color w:val="000000"/>
          <w:kern w:val="0"/>
          <w:sz w:val="24"/>
          <w:szCs w:val="24"/>
        </w:rPr>
      </w:pPr>
      <w:r>
        <w:rPr>
          <w:rFonts w:hint="eastAsia" w:ascii="宋体" w:hAnsi="宋体" w:cs="宋体"/>
          <w:color w:val="000000"/>
          <w:kern w:val="0"/>
          <w:sz w:val="24"/>
          <w:szCs w:val="24"/>
        </w:rPr>
        <w:t>5、采购项目需要落实的政府采购政策情况：本次采购执行政府强制采购节能产品、鼓励环保产品、扶持福利企业和支持中小微企业的相关政策。</w:t>
      </w:r>
    </w:p>
    <w:p w14:paraId="7AA47534">
      <w:pPr>
        <w:widowControl/>
        <w:spacing w:line="360" w:lineRule="auto"/>
        <w:ind w:left="360" w:hanging="360" w:hangingChars="150"/>
        <w:jc w:val="left"/>
        <w:rPr>
          <w:rFonts w:ascii="宋体" w:hAnsi="宋体" w:cs="宋体"/>
          <w:color w:val="000000"/>
          <w:kern w:val="0"/>
          <w:sz w:val="24"/>
          <w:szCs w:val="24"/>
        </w:rPr>
      </w:pPr>
      <w:r>
        <w:rPr>
          <w:rFonts w:hint="eastAsia" w:ascii="宋体" w:hAnsi="宋体" w:cs="宋体"/>
          <w:color w:val="000000"/>
          <w:kern w:val="0"/>
          <w:sz w:val="24"/>
          <w:szCs w:val="24"/>
        </w:rPr>
        <w:t>6、本项目不接受联合体投标。</w:t>
      </w:r>
    </w:p>
    <w:p w14:paraId="2E2BF53A">
      <w:pPr>
        <w:widowControl/>
        <w:spacing w:line="440" w:lineRule="exact"/>
        <w:jc w:val="left"/>
        <w:rPr>
          <w:rFonts w:ascii="黑体" w:hAnsi="黑体" w:eastAsia="黑体" w:cs="Arial"/>
          <w:b/>
          <w:color w:val="000000"/>
          <w:kern w:val="0"/>
          <w:sz w:val="28"/>
          <w:szCs w:val="28"/>
        </w:rPr>
      </w:pPr>
    </w:p>
    <w:p w14:paraId="482D1F37">
      <w:pPr>
        <w:widowControl/>
        <w:spacing w:line="440" w:lineRule="exact"/>
        <w:jc w:val="left"/>
        <w:rPr>
          <w:rFonts w:ascii="黑体" w:hAnsi="黑体" w:eastAsia="黑体" w:cs="Arial"/>
          <w:b/>
          <w:color w:val="000000"/>
          <w:kern w:val="0"/>
          <w:sz w:val="28"/>
          <w:szCs w:val="28"/>
        </w:rPr>
      </w:pPr>
      <w:r>
        <w:rPr>
          <w:rFonts w:hint="eastAsia" w:ascii="黑体" w:hAnsi="黑体" w:eastAsia="黑体" w:cs="Arial"/>
          <w:b/>
          <w:color w:val="000000"/>
          <w:kern w:val="0"/>
          <w:sz w:val="28"/>
          <w:szCs w:val="28"/>
        </w:rPr>
        <w:t>二、提供保安服务公司其他要求</w:t>
      </w:r>
    </w:p>
    <w:p w14:paraId="28C9401B">
      <w:pPr>
        <w:widowControl/>
        <w:spacing w:line="440" w:lineRule="exact"/>
        <w:ind w:firstLine="480" w:firstLineChars="200"/>
        <w:jc w:val="left"/>
        <w:rPr>
          <w:rFonts w:ascii="宋体" w:hAnsi="宋体" w:cs="宋体"/>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提供服务公司</w:t>
      </w:r>
      <w:r>
        <w:rPr>
          <w:rFonts w:ascii="宋体" w:hAnsi="宋体" w:cs="宋体"/>
          <w:color w:val="000000"/>
          <w:kern w:val="0"/>
          <w:sz w:val="24"/>
          <w:szCs w:val="24"/>
        </w:rPr>
        <w:t>必须是</w:t>
      </w:r>
      <w:r>
        <w:rPr>
          <w:rFonts w:hint="eastAsia" w:ascii="宋体" w:hAnsi="宋体" w:cs="宋体"/>
          <w:color w:val="000000"/>
          <w:kern w:val="0"/>
          <w:sz w:val="24"/>
          <w:szCs w:val="24"/>
        </w:rPr>
        <w:t>上海市或同等省市符合保安资格要求（优先考虑）政府采购目录范围内的</w:t>
      </w:r>
      <w:r>
        <w:rPr>
          <w:rFonts w:ascii="宋体" w:hAnsi="宋体" w:cs="宋体"/>
          <w:color w:val="000000"/>
          <w:kern w:val="0"/>
          <w:sz w:val="24"/>
          <w:szCs w:val="24"/>
        </w:rPr>
        <w:t>安保公司，</w:t>
      </w:r>
      <w:r>
        <w:rPr>
          <w:rFonts w:hint="eastAsia" w:ascii="宋体" w:hAnsi="宋体" w:cs="宋体"/>
          <w:color w:val="000000"/>
          <w:kern w:val="0"/>
          <w:sz w:val="24"/>
          <w:szCs w:val="24"/>
        </w:rPr>
        <w:t>并符合上海市政府采购</w:t>
      </w:r>
      <w:r>
        <w:rPr>
          <w:rFonts w:ascii="宋体" w:hAnsi="宋体" w:cs="宋体"/>
          <w:color w:val="000000"/>
          <w:kern w:val="0"/>
          <w:sz w:val="24"/>
          <w:szCs w:val="24"/>
        </w:rPr>
        <w:t>资质要求。</w:t>
      </w:r>
    </w:p>
    <w:p w14:paraId="0BC9F6BF">
      <w:pPr>
        <w:widowControl/>
        <w:spacing w:line="440" w:lineRule="exact"/>
        <w:ind w:firstLine="480" w:firstLineChars="200"/>
        <w:jc w:val="left"/>
        <w:rPr>
          <w:rFonts w:hint="eastAsia" w:ascii="宋体" w:hAnsi="宋体" w:eastAsia="宋体" w:cs="宋体"/>
          <w:color w:val="000000"/>
          <w:kern w:val="0"/>
          <w:sz w:val="24"/>
          <w:szCs w:val="24"/>
          <w:lang w:eastAsia="zh-CN"/>
        </w:rPr>
      </w:pPr>
      <w:r>
        <w:rPr>
          <w:rFonts w:ascii="宋体" w:hAnsi="宋体" w:eastAsia="宋体" w:cs="宋体"/>
          <w:color w:val="000000"/>
          <w:kern w:val="0"/>
          <w:sz w:val="24"/>
          <w:szCs w:val="24"/>
        </w:rPr>
        <w:t>2、具备良好的从业信誉和较长的经营年限,有完善的管理体系和健全的内部管理规章。</w:t>
      </w:r>
      <w:r>
        <w:rPr>
          <w:rFonts w:hint="eastAsia" w:ascii="宋体" w:hAnsi="宋体" w:eastAsia="宋体" w:cs="宋体"/>
          <w:color w:val="000000"/>
          <w:kern w:val="0"/>
          <w:sz w:val="24"/>
          <w:szCs w:val="24"/>
          <w:lang w:eastAsia="zh-CN"/>
        </w:rPr>
        <w:t>具有</w:t>
      </w:r>
      <w:r>
        <w:rPr>
          <w:rFonts w:hint="eastAsia" w:ascii="宋体" w:hAnsi="宋体" w:eastAsia="宋体" w:cs="宋体"/>
          <w:color w:val="000000"/>
          <w:kern w:val="0"/>
          <w:sz w:val="24"/>
          <w:szCs w:val="24"/>
        </w:rPr>
        <w:t>质量</w:t>
      </w:r>
      <w:r>
        <w:rPr>
          <w:rFonts w:hint="eastAsia" w:ascii="宋体" w:hAnsi="宋体" w:eastAsia="宋体" w:cs="宋体"/>
          <w:color w:val="000000"/>
          <w:kern w:val="0"/>
          <w:sz w:val="24"/>
          <w:szCs w:val="24"/>
          <w:lang w:eastAsia="zh-CN"/>
        </w:rPr>
        <w:t>管理</w:t>
      </w:r>
      <w:r>
        <w:rPr>
          <w:rFonts w:hint="eastAsia" w:ascii="宋体" w:hAnsi="宋体" w:eastAsia="宋体" w:cs="宋体"/>
          <w:color w:val="000000"/>
          <w:kern w:val="0"/>
          <w:sz w:val="24"/>
          <w:szCs w:val="24"/>
        </w:rPr>
        <w:t>体系认证，环境</w:t>
      </w:r>
      <w:r>
        <w:rPr>
          <w:rFonts w:hint="eastAsia" w:ascii="宋体" w:hAnsi="宋体" w:eastAsia="宋体" w:cs="宋体"/>
          <w:color w:val="000000"/>
          <w:kern w:val="0"/>
          <w:sz w:val="24"/>
          <w:szCs w:val="24"/>
          <w:lang w:eastAsia="zh-CN"/>
        </w:rPr>
        <w:t>管理体系</w:t>
      </w:r>
      <w:r>
        <w:rPr>
          <w:rFonts w:hint="eastAsia" w:ascii="宋体" w:hAnsi="宋体" w:eastAsia="宋体" w:cs="宋体"/>
          <w:color w:val="000000"/>
          <w:kern w:val="0"/>
          <w:sz w:val="24"/>
          <w:szCs w:val="24"/>
        </w:rPr>
        <w:t>认证</w:t>
      </w:r>
      <w:r>
        <w:rPr>
          <w:rFonts w:hint="eastAsia" w:ascii="宋体" w:hAnsi="宋体" w:eastAsia="宋体" w:cs="宋体"/>
          <w:color w:val="000000"/>
          <w:kern w:val="0"/>
          <w:sz w:val="24"/>
          <w:szCs w:val="24"/>
          <w:lang w:eastAsia="zh-CN"/>
        </w:rPr>
        <w:t>和职业</w:t>
      </w:r>
      <w:r>
        <w:rPr>
          <w:rFonts w:hint="eastAsia" w:ascii="宋体" w:hAnsi="宋体" w:eastAsia="宋体" w:cs="宋体"/>
          <w:color w:val="000000"/>
          <w:kern w:val="0"/>
          <w:sz w:val="24"/>
          <w:szCs w:val="24"/>
        </w:rPr>
        <w:t>健康</w:t>
      </w:r>
      <w:r>
        <w:rPr>
          <w:rFonts w:hint="eastAsia" w:ascii="宋体" w:hAnsi="宋体" w:eastAsia="宋体" w:cs="宋体"/>
          <w:color w:val="000000"/>
          <w:kern w:val="0"/>
          <w:sz w:val="24"/>
          <w:szCs w:val="24"/>
          <w:lang w:eastAsia="zh-CN"/>
        </w:rPr>
        <w:t>安全管理</w:t>
      </w:r>
      <w:r>
        <w:rPr>
          <w:rFonts w:hint="eastAsia" w:ascii="宋体" w:hAnsi="宋体" w:eastAsia="宋体" w:cs="宋体"/>
          <w:color w:val="000000"/>
          <w:kern w:val="0"/>
          <w:sz w:val="24"/>
          <w:szCs w:val="24"/>
        </w:rPr>
        <w:t>认证系认证</w:t>
      </w:r>
      <w:r>
        <w:rPr>
          <w:rFonts w:hint="eastAsia" w:ascii="宋体" w:hAnsi="宋体" w:eastAsia="宋体" w:cs="宋体"/>
          <w:color w:val="000000"/>
          <w:kern w:val="0"/>
          <w:sz w:val="24"/>
          <w:szCs w:val="24"/>
          <w:lang w:eastAsia="zh-CN"/>
        </w:rPr>
        <w:t>的优先。</w:t>
      </w:r>
    </w:p>
    <w:p w14:paraId="4D0A0530">
      <w:pPr>
        <w:widowControl/>
        <w:spacing w:line="440" w:lineRule="exact"/>
        <w:ind w:firstLine="480" w:firstLineChars="200"/>
        <w:jc w:val="left"/>
        <w:rPr>
          <w:rFonts w:ascii="宋体" w:hAnsi="宋体" w:cs="宋体"/>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提供服务公司</w:t>
      </w:r>
      <w:r>
        <w:rPr>
          <w:rFonts w:ascii="宋体" w:hAnsi="宋体" w:cs="宋体"/>
          <w:color w:val="000000"/>
          <w:kern w:val="0"/>
          <w:sz w:val="24"/>
          <w:szCs w:val="24"/>
        </w:rPr>
        <w:t>应认真研究医院安保服务的属性，熟悉医院管理的特点，对医院进行实地查看，根据院内的不同服务对象，制订切实可行的医院安保服务整体方案，完善专项管理制度。</w:t>
      </w:r>
    </w:p>
    <w:p w14:paraId="1A9CC9CD">
      <w:pPr>
        <w:widowControl/>
        <w:spacing w:line="44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4、为保证服务质量，保安服务公司应保持保安员队伍稳定，承诺在合同有效期内确保每年人员流动率一般不得超过30%。</w:t>
      </w:r>
    </w:p>
    <w:p w14:paraId="0C7A74FE">
      <w:pPr>
        <w:widowControl/>
        <w:spacing w:line="440" w:lineRule="exact"/>
        <w:jc w:val="left"/>
        <w:rPr>
          <w:rFonts w:ascii="黑体" w:hAnsi="黑体" w:eastAsia="黑体" w:cs="Arial"/>
          <w:b/>
          <w:color w:val="000000"/>
          <w:kern w:val="0"/>
          <w:sz w:val="28"/>
          <w:szCs w:val="28"/>
        </w:rPr>
      </w:pPr>
    </w:p>
    <w:p w14:paraId="7379B047">
      <w:pPr>
        <w:widowControl/>
        <w:numPr>
          <w:ilvl w:val="0"/>
          <w:numId w:val="1"/>
        </w:numPr>
        <w:spacing w:line="440" w:lineRule="exact"/>
        <w:jc w:val="left"/>
        <w:rPr>
          <w:rFonts w:ascii="黑体" w:hAnsi="黑体" w:eastAsia="黑体" w:cs="Arial"/>
          <w:b/>
          <w:color w:val="000000"/>
          <w:kern w:val="0"/>
          <w:sz w:val="28"/>
          <w:szCs w:val="28"/>
        </w:rPr>
      </w:pPr>
      <w:r>
        <w:rPr>
          <w:rFonts w:hint="eastAsia" w:ascii="黑体" w:hAnsi="黑体" w:eastAsia="黑体" w:cs="Arial"/>
          <w:b/>
          <w:color w:val="000000"/>
          <w:kern w:val="0"/>
          <w:sz w:val="28"/>
          <w:szCs w:val="28"/>
        </w:rPr>
        <w:t>保安服务项目   全年预算 1</w:t>
      </w:r>
      <w:r>
        <w:rPr>
          <w:rFonts w:ascii="黑体" w:hAnsi="黑体" w:eastAsia="黑体" w:cs="Arial"/>
          <w:b/>
          <w:color w:val="000000"/>
          <w:kern w:val="0"/>
          <w:sz w:val="28"/>
          <w:szCs w:val="28"/>
        </w:rPr>
        <w:t>096</w:t>
      </w:r>
      <w:r>
        <w:rPr>
          <w:rFonts w:hint="eastAsia" w:ascii="黑体" w:hAnsi="黑体" w:eastAsia="黑体" w:cs="Arial"/>
          <w:b/>
          <w:color w:val="000000"/>
          <w:kern w:val="0"/>
          <w:sz w:val="28"/>
          <w:szCs w:val="28"/>
        </w:rPr>
        <w:t>248元</w:t>
      </w:r>
    </w:p>
    <w:p w14:paraId="078E9FC4">
      <w:pPr>
        <w:widowControl/>
        <w:spacing w:line="440" w:lineRule="exact"/>
        <w:jc w:val="left"/>
        <w:rPr>
          <w:rFonts w:ascii="黑体" w:hAnsi="黑体" w:eastAsia="黑体" w:cs="Arial"/>
          <w:b/>
          <w:color w:val="000000"/>
          <w:kern w:val="0"/>
          <w:sz w:val="28"/>
          <w:szCs w:val="28"/>
        </w:rPr>
      </w:pPr>
    </w:p>
    <w:p w14:paraId="13568390">
      <w:pPr>
        <w:widowControl/>
        <w:numPr>
          <w:ilvl w:val="0"/>
          <w:numId w:val="1"/>
        </w:numPr>
        <w:spacing w:line="440" w:lineRule="exact"/>
        <w:jc w:val="left"/>
        <w:rPr>
          <w:rFonts w:ascii="黑体" w:hAnsi="黑体" w:eastAsia="黑体" w:cs="Arial"/>
          <w:b/>
          <w:color w:val="000000"/>
          <w:kern w:val="0"/>
          <w:sz w:val="28"/>
          <w:szCs w:val="28"/>
        </w:rPr>
      </w:pPr>
      <w:r>
        <w:rPr>
          <w:rFonts w:hint="eastAsia" w:ascii="黑体" w:hAnsi="黑体" w:eastAsia="黑体" w:cs="Arial"/>
          <w:b/>
          <w:color w:val="000000"/>
          <w:kern w:val="0"/>
          <w:sz w:val="28"/>
          <w:szCs w:val="28"/>
        </w:rPr>
        <w:t>保安服务项目   采购明细编号 0625-00000171</w:t>
      </w:r>
    </w:p>
    <w:p w14:paraId="41F5A93D">
      <w:pPr>
        <w:widowControl/>
        <w:spacing w:line="440" w:lineRule="exact"/>
        <w:jc w:val="left"/>
        <w:rPr>
          <w:rFonts w:ascii="黑体" w:hAnsi="黑体" w:eastAsia="黑体" w:cs="Arial"/>
          <w:b/>
          <w:color w:val="000000"/>
          <w:kern w:val="0"/>
          <w:sz w:val="28"/>
          <w:szCs w:val="28"/>
        </w:rPr>
      </w:pPr>
    </w:p>
    <w:p w14:paraId="0CC8076D">
      <w:pPr>
        <w:widowControl/>
        <w:spacing w:line="440" w:lineRule="exact"/>
        <w:jc w:val="left"/>
        <w:rPr>
          <w:rFonts w:ascii="宋体" w:hAnsi="宋体" w:cs="Arial"/>
          <w:b/>
          <w:bCs/>
          <w:color w:val="000000"/>
          <w:kern w:val="0"/>
          <w:sz w:val="28"/>
          <w:szCs w:val="28"/>
        </w:rPr>
      </w:pPr>
      <w:r>
        <w:rPr>
          <w:rFonts w:hint="eastAsia" w:ascii="黑体" w:hAnsi="黑体" w:eastAsia="黑体" w:cs="Arial"/>
          <w:b/>
          <w:color w:val="000000"/>
          <w:kern w:val="0"/>
          <w:sz w:val="28"/>
          <w:szCs w:val="28"/>
        </w:rPr>
        <w:t xml:space="preserve">五、服务期限   </w:t>
      </w:r>
      <w:r>
        <w:rPr>
          <w:rFonts w:hint="eastAsia" w:ascii="宋体" w:hAnsi="宋体" w:cs="Arial"/>
          <w:b/>
          <w:bCs/>
          <w:color w:val="000000"/>
          <w:kern w:val="0"/>
          <w:sz w:val="28"/>
          <w:szCs w:val="28"/>
        </w:rPr>
        <w:t>2</w:t>
      </w:r>
      <w:r>
        <w:rPr>
          <w:rFonts w:ascii="宋体" w:hAnsi="宋体" w:cs="Arial"/>
          <w:b/>
          <w:bCs/>
          <w:color w:val="000000"/>
          <w:kern w:val="0"/>
          <w:sz w:val="28"/>
          <w:szCs w:val="28"/>
        </w:rPr>
        <w:t>02</w:t>
      </w:r>
      <w:r>
        <w:rPr>
          <w:rFonts w:hint="eastAsia" w:ascii="宋体" w:hAnsi="宋体" w:cs="Arial"/>
          <w:b/>
          <w:bCs/>
          <w:color w:val="000000"/>
          <w:kern w:val="0"/>
          <w:sz w:val="28"/>
          <w:szCs w:val="28"/>
        </w:rPr>
        <w:t>5年01月01日至</w:t>
      </w:r>
      <w:r>
        <w:rPr>
          <w:rFonts w:ascii="宋体" w:hAnsi="宋体" w:cs="Arial"/>
          <w:b/>
          <w:bCs/>
          <w:color w:val="000000"/>
          <w:kern w:val="0"/>
          <w:sz w:val="28"/>
          <w:szCs w:val="28"/>
        </w:rPr>
        <w:t>202</w:t>
      </w:r>
      <w:r>
        <w:rPr>
          <w:rFonts w:hint="eastAsia" w:ascii="宋体" w:hAnsi="宋体" w:cs="Arial"/>
          <w:b/>
          <w:bCs/>
          <w:color w:val="000000"/>
          <w:kern w:val="0"/>
          <w:sz w:val="28"/>
          <w:szCs w:val="28"/>
        </w:rPr>
        <w:t>5年1</w:t>
      </w:r>
      <w:r>
        <w:rPr>
          <w:rFonts w:ascii="宋体" w:hAnsi="宋体" w:cs="Arial"/>
          <w:b/>
          <w:bCs/>
          <w:color w:val="000000"/>
          <w:kern w:val="0"/>
          <w:sz w:val="28"/>
          <w:szCs w:val="28"/>
        </w:rPr>
        <w:t>2</w:t>
      </w:r>
      <w:r>
        <w:rPr>
          <w:rFonts w:hint="eastAsia" w:ascii="宋体" w:hAnsi="宋体" w:cs="Arial"/>
          <w:b/>
          <w:bCs/>
          <w:color w:val="000000"/>
          <w:kern w:val="0"/>
          <w:sz w:val="28"/>
          <w:szCs w:val="28"/>
        </w:rPr>
        <w:t>月3</w:t>
      </w:r>
      <w:r>
        <w:rPr>
          <w:rFonts w:ascii="宋体" w:hAnsi="宋体" w:cs="Arial"/>
          <w:b/>
          <w:bCs/>
          <w:color w:val="000000"/>
          <w:kern w:val="0"/>
          <w:sz w:val="28"/>
          <w:szCs w:val="28"/>
        </w:rPr>
        <w:t>1</w:t>
      </w:r>
      <w:r>
        <w:rPr>
          <w:rFonts w:hint="eastAsia" w:ascii="宋体" w:hAnsi="宋体" w:cs="Arial"/>
          <w:b/>
          <w:bCs/>
          <w:color w:val="000000"/>
          <w:kern w:val="0"/>
          <w:sz w:val="28"/>
          <w:szCs w:val="28"/>
        </w:rPr>
        <w:t>日</w:t>
      </w:r>
    </w:p>
    <w:p w14:paraId="58EA2C7D">
      <w:pPr>
        <w:widowControl/>
        <w:spacing w:line="440" w:lineRule="exact"/>
        <w:ind w:firstLine="585"/>
        <w:jc w:val="left"/>
        <w:rPr>
          <w:rFonts w:ascii="黑体" w:hAnsi="黑体" w:eastAsia="黑体" w:cs="Arial"/>
          <w:b/>
          <w:color w:val="000000"/>
          <w:kern w:val="0"/>
          <w:sz w:val="28"/>
          <w:szCs w:val="28"/>
        </w:rPr>
      </w:pPr>
    </w:p>
    <w:p w14:paraId="46F331EC">
      <w:pPr>
        <w:widowControl/>
        <w:spacing w:line="440" w:lineRule="exact"/>
        <w:jc w:val="left"/>
        <w:rPr>
          <w:rFonts w:ascii="黑体" w:hAnsi="黑体" w:eastAsia="黑体" w:cs="Arial"/>
          <w:b/>
          <w:color w:val="000000"/>
          <w:kern w:val="0"/>
          <w:sz w:val="28"/>
          <w:szCs w:val="28"/>
        </w:rPr>
      </w:pPr>
      <w:r>
        <w:rPr>
          <w:rFonts w:hint="eastAsia" w:ascii="黑体" w:hAnsi="黑体" w:eastAsia="黑体" w:cs="Arial"/>
          <w:b/>
          <w:color w:val="000000"/>
          <w:kern w:val="0"/>
          <w:sz w:val="28"/>
          <w:szCs w:val="28"/>
        </w:rPr>
        <w:t>六、服务内容（包括但不限于）</w:t>
      </w:r>
    </w:p>
    <w:p w14:paraId="6D607CDF">
      <w:pPr>
        <w:widowControl/>
        <w:jc w:val="left"/>
        <w:rPr>
          <w:rFonts w:ascii="宋体" w:hAnsi="宋体" w:cs="Arial"/>
          <w:b/>
          <w:color w:val="000000"/>
          <w:kern w:val="0"/>
          <w:sz w:val="28"/>
          <w:szCs w:val="28"/>
        </w:rPr>
      </w:pPr>
      <w:r>
        <w:rPr>
          <w:rFonts w:hint="eastAsia" w:ascii="宋体" w:hAnsi="宋体" w:cs="Arial"/>
          <w:b/>
          <w:color w:val="000000"/>
          <w:kern w:val="0"/>
          <w:sz w:val="28"/>
          <w:szCs w:val="28"/>
        </w:rPr>
        <w:t>1、服务内容</w:t>
      </w:r>
    </w:p>
    <w:p w14:paraId="7E50B5A8">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保安管理工作包括维护中心及站点医务人员及正常就诊、患者及其家属的人身安全、消防安全、财产安全、维护中心正常就诊秩序，落实24小时门卫值班制度。</w:t>
      </w:r>
    </w:p>
    <w:p w14:paraId="393A9866">
      <w:pPr>
        <w:widowControl/>
        <w:jc w:val="left"/>
        <w:rPr>
          <w:rFonts w:ascii="宋体" w:hAnsi="宋体" w:cs="Arial"/>
          <w:b/>
          <w:color w:val="000000"/>
          <w:kern w:val="0"/>
          <w:sz w:val="28"/>
          <w:szCs w:val="28"/>
        </w:rPr>
      </w:pPr>
      <w:r>
        <w:rPr>
          <w:rFonts w:hint="eastAsia" w:ascii="宋体" w:hAnsi="宋体" w:cs="Arial"/>
          <w:b/>
          <w:color w:val="000000"/>
          <w:kern w:val="0"/>
          <w:sz w:val="28"/>
          <w:szCs w:val="28"/>
        </w:rPr>
        <w:t>2、人员配备要求</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4013"/>
        <w:gridCol w:w="2841"/>
      </w:tblGrid>
      <w:tr w14:paraId="088A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14:paraId="18FD718D">
            <w:pPr>
              <w:widowControl/>
              <w:tabs>
                <w:tab w:val="right" w:pos="2624"/>
              </w:tabs>
              <w:jc w:val="center"/>
              <w:rPr>
                <w:rFonts w:ascii="宋体" w:hAnsi="宋体" w:cs="Arial"/>
                <w:color w:val="000000"/>
                <w:kern w:val="0"/>
                <w:sz w:val="24"/>
                <w:szCs w:val="28"/>
              </w:rPr>
            </w:pPr>
            <w:r>
              <w:rPr>
                <w:rFonts w:hint="eastAsia" w:ascii="宋体" w:hAnsi="宋体" w:cs="Arial"/>
                <w:color w:val="000000"/>
                <w:kern w:val="0"/>
                <w:sz w:val="24"/>
                <w:szCs w:val="28"/>
              </w:rPr>
              <w:t>序号</w:t>
            </w:r>
          </w:p>
        </w:tc>
        <w:tc>
          <w:tcPr>
            <w:tcW w:w="4013" w:type="dxa"/>
          </w:tcPr>
          <w:p w14:paraId="5FD299B8">
            <w:pPr>
              <w:widowControl/>
              <w:tabs>
                <w:tab w:val="right" w:pos="2624"/>
              </w:tabs>
              <w:jc w:val="center"/>
              <w:rPr>
                <w:rFonts w:ascii="宋体" w:hAnsi="宋体" w:cs="Arial"/>
                <w:color w:val="000000"/>
                <w:kern w:val="0"/>
                <w:sz w:val="24"/>
                <w:szCs w:val="28"/>
              </w:rPr>
            </w:pPr>
            <w:r>
              <w:rPr>
                <w:rFonts w:hint="eastAsia" w:ascii="宋体" w:hAnsi="宋体" w:cs="Arial"/>
                <w:color w:val="000000"/>
                <w:kern w:val="0"/>
                <w:sz w:val="24"/>
                <w:szCs w:val="28"/>
              </w:rPr>
              <w:t>岗位</w:t>
            </w:r>
          </w:p>
        </w:tc>
        <w:tc>
          <w:tcPr>
            <w:tcW w:w="2841" w:type="dxa"/>
          </w:tcPr>
          <w:p w14:paraId="73365B4B">
            <w:pPr>
              <w:widowControl/>
              <w:jc w:val="center"/>
              <w:rPr>
                <w:rFonts w:ascii="宋体" w:hAnsi="宋体" w:cs="Arial"/>
                <w:color w:val="000000"/>
                <w:kern w:val="0"/>
                <w:sz w:val="24"/>
                <w:szCs w:val="28"/>
              </w:rPr>
            </w:pPr>
            <w:r>
              <w:rPr>
                <w:rFonts w:hint="eastAsia" w:ascii="宋体" w:hAnsi="宋体" w:cs="Arial"/>
                <w:color w:val="000000"/>
                <w:kern w:val="0"/>
                <w:sz w:val="24"/>
                <w:szCs w:val="28"/>
              </w:rPr>
              <w:t>数量</w:t>
            </w:r>
          </w:p>
        </w:tc>
      </w:tr>
      <w:tr w14:paraId="44A5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14:paraId="2B20CC82">
            <w:pPr>
              <w:widowControl/>
              <w:tabs>
                <w:tab w:val="right" w:pos="2624"/>
              </w:tabs>
              <w:jc w:val="center"/>
              <w:rPr>
                <w:rFonts w:ascii="宋体" w:hAnsi="宋体" w:cs="Arial"/>
                <w:color w:val="000000"/>
                <w:kern w:val="0"/>
                <w:sz w:val="24"/>
                <w:szCs w:val="28"/>
              </w:rPr>
            </w:pPr>
            <w:r>
              <w:rPr>
                <w:rFonts w:hint="eastAsia" w:ascii="宋体" w:hAnsi="宋体" w:cs="Arial"/>
                <w:color w:val="000000"/>
                <w:kern w:val="0"/>
                <w:sz w:val="24"/>
                <w:szCs w:val="28"/>
              </w:rPr>
              <w:t>1</w:t>
            </w:r>
          </w:p>
        </w:tc>
        <w:tc>
          <w:tcPr>
            <w:tcW w:w="4013" w:type="dxa"/>
          </w:tcPr>
          <w:p w14:paraId="7F162D68">
            <w:pPr>
              <w:widowControl/>
              <w:tabs>
                <w:tab w:val="right" w:pos="2624"/>
              </w:tabs>
              <w:jc w:val="center"/>
              <w:rPr>
                <w:rFonts w:ascii="宋体" w:hAnsi="宋体" w:cs="Arial"/>
                <w:color w:val="000000"/>
                <w:kern w:val="0"/>
                <w:sz w:val="24"/>
                <w:szCs w:val="28"/>
              </w:rPr>
            </w:pPr>
            <w:r>
              <w:rPr>
                <w:rFonts w:hint="eastAsia" w:ascii="宋体" w:hAnsi="宋体" w:cs="Arial"/>
                <w:color w:val="000000"/>
                <w:kern w:val="0"/>
                <w:sz w:val="24"/>
                <w:szCs w:val="28"/>
              </w:rPr>
              <w:t>队长</w:t>
            </w:r>
          </w:p>
        </w:tc>
        <w:tc>
          <w:tcPr>
            <w:tcW w:w="2841" w:type="dxa"/>
          </w:tcPr>
          <w:p w14:paraId="23CB6217">
            <w:pPr>
              <w:widowControl/>
              <w:jc w:val="center"/>
              <w:rPr>
                <w:rFonts w:ascii="宋体" w:hAnsi="宋体" w:cs="Arial"/>
                <w:color w:val="000000"/>
                <w:kern w:val="0"/>
                <w:sz w:val="24"/>
                <w:szCs w:val="28"/>
              </w:rPr>
            </w:pPr>
            <w:r>
              <w:rPr>
                <w:rFonts w:hint="eastAsia" w:ascii="宋体" w:hAnsi="宋体" w:cs="Arial"/>
                <w:color w:val="000000"/>
                <w:kern w:val="0"/>
                <w:sz w:val="24"/>
                <w:szCs w:val="28"/>
              </w:rPr>
              <w:t>1</w:t>
            </w:r>
          </w:p>
        </w:tc>
      </w:tr>
      <w:tr w14:paraId="626CE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14:paraId="6A878F0E">
            <w:pPr>
              <w:widowControl/>
              <w:jc w:val="center"/>
              <w:rPr>
                <w:rFonts w:ascii="宋体" w:hAnsi="宋体" w:cs="Arial"/>
                <w:color w:val="000000"/>
                <w:kern w:val="0"/>
                <w:sz w:val="24"/>
                <w:szCs w:val="28"/>
              </w:rPr>
            </w:pPr>
            <w:r>
              <w:rPr>
                <w:rFonts w:ascii="宋体" w:hAnsi="宋体" w:cs="Arial"/>
                <w:color w:val="000000"/>
                <w:kern w:val="0"/>
                <w:sz w:val="24"/>
                <w:szCs w:val="28"/>
              </w:rPr>
              <w:t>2</w:t>
            </w:r>
          </w:p>
        </w:tc>
        <w:tc>
          <w:tcPr>
            <w:tcW w:w="4013" w:type="dxa"/>
          </w:tcPr>
          <w:p w14:paraId="2567427E">
            <w:pPr>
              <w:widowControl/>
              <w:jc w:val="center"/>
              <w:rPr>
                <w:rFonts w:ascii="宋体" w:hAnsi="宋体" w:cs="Arial"/>
                <w:color w:val="000000"/>
                <w:kern w:val="0"/>
                <w:sz w:val="24"/>
                <w:szCs w:val="28"/>
              </w:rPr>
            </w:pPr>
            <w:r>
              <w:rPr>
                <w:rFonts w:hint="eastAsia" w:ascii="宋体" w:hAnsi="宋体" w:cs="Arial"/>
                <w:color w:val="000000"/>
                <w:kern w:val="0"/>
                <w:sz w:val="24"/>
                <w:szCs w:val="28"/>
              </w:rPr>
              <w:t>日班门岗</w:t>
            </w:r>
          </w:p>
        </w:tc>
        <w:tc>
          <w:tcPr>
            <w:tcW w:w="2841" w:type="dxa"/>
          </w:tcPr>
          <w:p w14:paraId="0A6E6CE2">
            <w:pPr>
              <w:widowControl/>
              <w:jc w:val="center"/>
              <w:rPr>
                <w:rFonts w:ascii="宋体" w:hAnsi="宋体" w:cs="Arial"/>
                <w:color w:val="000000"/>
                <w:kern w:val="0"/>
                <w:sz w:val="24"/>
                <w:szCs w:val="28"/>
              </w:rPr>
            </w:pPr>
            <w:r>
              <w:rPr>
                <w:rFonts w:ascii="宋体" w:hAnsi="宋体" w:cs="Arial"/>
                <w:color w:val="000000"/>
                <w:kern w:val="0"/>
                <w:sz w:val="24"/>
                <w:szCs w:val="28"/>
              </w:rPr>
              <w:t>6</w:t>
            </w:r>
          </w:p>
        </w:tc>
      </w:tr>
      <w:tr w14:paraId="600A2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14:paraId="361AB64A">
            <w:pPr>
              <w:widowControl/>
              <w:jc w:val="center"/>
              <w:rPr>
                <w:rFonts w:ascii="宋体" w:hAnsi="宋体" w:cs="Arial"/>
                <w:color w:val="000000"/>
                <w:kern w:val="0"/>
                <w:sz w:val="24"/>
                <w:szCs w:val="28"/>
              </w:rPr>
            </w:pPr>
            <w:r>
              <w:rPr>
                <w:rFonts w:ascii="宋体" w:hAnsi="宋体" w:cs="Arial"/>
                <w:color w:val="000000"/>
                <w:kern w:val="0"/>
                <w:sz w:val="24"/>
                <w:szCs w:val="28"/>
              </w:rPr>
              <w:t>3</w:t>
            </w:r>
          </w:p>
        </w:tc>
        <w:tc>
          <w:tcPr>
            <w:tcW w:w="4013" w:type="dxa"/>
          </w:tcPr>
          <w:p w14:paraId="161A71A2">
            <w:pPr>
              <w:widowControl/>
              <w:jc w:val="center"/>
              <w:rPr>
                <w:rFonts w:ascii="宋体" w:hAnsi="宋体" w:cs="Arial"/>
                <w:color w:val="000000"/>
                <w:kern w:val="0"/>
                <w:sz w:val="24"/>
                <w:szCs w:val="28"/>
              </w:rPr>
            </w:pPr>
            <w:r>
              <w:rPr>
                <w:rFonts w:hint="eastAsia" w:ascii="宋体" w:hAnsi="宋体" w:cs="Arial"/>
                <w:color w:val="000000"/>
                <w:kern w:val="0"/>
                <w:sz w:val="24"/>
                <w:szCs w:val="28"/>
              </w:rPr>
              <w:t>夜班门岗</w:t>
            </w:r>
          </w:p>
        </w:tc>
        <w:tc>
          <w:tcPr>
            <w:tcW w:w="2841" w:type="dxa"/>
          </w:tcPr>
          <w:p w14:paraId="0263100F">
            <w:pPr>
              <w:widowControl/>
              <w:jc w:val="center"/>
              <w:rPr>
                <w:rFonts w:ascii="宋体" w:hAnsi="宋体" w:cs="Arial"/>
                <w:color w:val="000000"/>
                <w:kern w:val="0"/>
                <w:sz w:val="24"/>
                <w:szCs w:val="28"/>
              </w:rPr>
            </w:pPr>
            <w:r>
              <w:rPr>
                <w:rFonts w:ascii="宋体" w:hAnsi="宋体" w:cs="Arial"/>
                <w:color w:val="000000"/>
                <w:kern w:val="0"/>
                <w:sz w:val="24"/>
                <w:szCs w:val="28"/>
              </w:rPr>
              <w:t>4</w:t>
            </w:r>
          </w:p>
        </w:tc>
      </w:tr>
      <w:tr w14:paraId="52F6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14:paraId="5780C89D">
            <w:pPr>
              <w:widowControl/>
              <w:jc w:val="center"/>
              <w:rPr>
                <w:rFonts w:ascii="宋体" w:hAnsi="宋体" w:cs="Arial"/>
                <w:color w:val="000000"/>
                <w:kern w:val="0"/>
                <w:sz w:val="24"/>
                <w:szCs w:val="28"/>
              </w:rPr>
            </w:pPr>
            <w:r>
              <w:rPr>
                <w:rFonts w:ascii="宋体" w:hAnsi="宋体" w:cs="Arial"/>
                <w:color w:val="000000"/>
                <w:kern w:val="0"/>
                <w:sz w:val="24"/>
                <w:szCs w:val="28"/>
              </w:rPr>
              <w:t>4</w:t>
            </w:r>
          </w:p>
        </w:tc>
        <w:tc>
          <w:tcPr>
            <w:tcW w:w="4013" w:type="dxa"/>
          </w:tcPr>
          <w:p w14:paraId="2C6B7097">
            <w:pPr>
              <w:widowControl/>
              <w:jc w:val="center"/>
              <w:rPr>
                <w:rFonts w:ascii="宋体" w:hAnsi="宋体" w:cs="Arial"/>
                <w:color w:val="000000"/>
                <w:kern w:val="0"/>
                <w:sz w:val="24"/>
                <w:szCs w:val="28"/>
              </w:rPr>
            </w:pPr>
            <w:r>
              <w:rPr>
                <w:rFonts w:hint="eastAsia" w:ascii="宋体" w:hAnsi="宋体" w:cs="Arial"/>
                <w:color w:val="000000"/>
                <w:kern w:val="0"/>
                <w:sz w:val="24"/>
                <w:szCs w:val="28"/>
              </w:rPr>
              <w:t>流调岗</w:t>
            </w:r>
          </w:p>
        </w:tc>
        <w:tc>
          <w:tcPr>
            <w:tcW w:w="2841" w:type="dxa"/>
          </w:tcPr>
          <w:p w14:paraId="2790A826">
            <w:pPr>
              <w:widowControl/>
              <w:jc w:val="center"/>
              <w:rPr>
                <w:rFonts w:ascii="宋体" w:hAnsi="宋体" w:cs="Arial"/>
                <w:color w:val="000000"/>
                <w:kern w:val="0"/>
                <w:sz w:val="24"/>
                <w:szCs w:val="28"/>
              </w:rPr>
            </w:pPr>
            <w:r>
              <w:rPr>
                <w:rFonts w:hint="eastAsia" w:ascii="宋体" w:hAnsi="宋体" w:cs="Arial"/>
                <w:color w:val="000000"/>
                <w:kern w:val="0"/>
                <w:sz w:val="24"/>
                <w:szCs w:val="28"/>
              </w:rPr>
              <w:t>1</w:t>
            </w:r>
          </w:p>
        </w:tc>
      </w:tr>
    </w:tbl>
    <w:p w14:paraId="67EE0E0A">
      <w:pPr>
        <w:widowControl/>
        <w:jc w:val="left"/>
        <w:rPr>
          <w:rFonts w:ascii="宋体" w:hAnsi="宋体" w:cs="Arial"/>
          <w:b/>
          <w:color w:val="000000"/>
          <w:kern w:val="0"/>
          <w:sz w:val="28"/>
          <w:szCs w:val="28"/>
        </w:rPr>
      </w:pPr>
      <w:r>
        <w:rPr>
          <w:rFonts w:hint="eastAsia" w:ascii="宋体" w:hAnsi="宋体" w:cs="Arial"/>
          <w:b/>
          <w:color w:val="000000"/>
          <w:kern w:val="0"/>
          <w:sz w:val="28"/>
          <w:szCs w:val="28"/>
        </w:rPr>
        <w:t>3、服务内容</w:t>
      </w:r>
    </w:p>
    <w:p w14:paraId="0C39D19C">
      <w:pPr>
        <w:widowControl/>
        <w:spacing w:line="440" w:lineRule="exact"/>
        <w:jc w:val="left"/>
        <w:rPr>
          <w:rFonts w:ascii="宋体" w:hAnsi="宋体" w:cs="Arial"/>
          <w:b/>
          <w:color w:val="000000"/>
          <w:kern w:val="0"/>
          <w:sz w:val="28"/>
          <w:szCs w:val="28"/>
        </w:rPr>
      </w:pPr>
      <w:r>
        <w:rPr>
          <w:rFonts w:hint="eastAsia" w:ascii="宋体" w:hAnsi="宋体" w:cs="Arial"/>
          <w:b/>
          <w:color w:val="000000"/>
          <w:kern w:val="0"/>
          <w:sz w:val="28"/>
          <w:szCs w:val="28"/>
        </w:rPr>
        <w:t>（1）质量标准</w:t>
      </w:r>
    </w:p>
    <w:p w14:paraId="4783F627">
      <w:pPr>
        <w:widowControl/>
        <w:spacing w:line="440" w:lineRule="exact"/>
        <w:ind w:firstLine="840" w:firstLineChars="350"/>
        <w:jc w:val="left"/>
        <w:rPr>
          <w:rFonts w:ascii="宋体" w:hAnsi="宋体" w:cs="Arial"/>
          <w:color w:val="000000"/>
          <w:kern w:val="0"/>
          <w:sz w:val="24"/>
          <w:szCs w:val="24"/>
        </w:rPr>
      </w:pPr>
      <w:r>
        <w:rPr>
          <w:rFonts w:hint="eastAsia" w:ascii="宋体" w:hAnsi="宋体" w:cs="Arial"/>
          <w:color w:val="000000"/>
          <w:kern w:val="0"/>
          <w:sz w:val="24"/>
          <w:szCs w:val="24"/>
        </w:rPr>
        <w:t>1）中心内治安灾害事故减少发生率。</w:t>
      </w:r>
    </w:p>
    <w:p w14:paraId="09BC074E">
      <w:pPr>
        <w:widowControl/>
        <w:spacing w:line="440" w:lineRule="exact"/>
        <w:ind w:firstLine="840" w:firstLineChars="350"/>
        <w:jc w:val="left"/>
        <w:rPr>
          <w:rFonts w:ascii="宋体" w:hAnsi="宋体" w:cs="Arial"/>
          <w:color w:val="000000"/>
          <w:kern w:val="0"/>
          <w:sz w:val="24"/>
          <w:szCs w:val="24"/>
        </w:rPr>
      </w:pPr>
      <w:r>
        <w:rPr>
          <w:rFonts w:hint="eastAsia" w:ascii="宋体" w:hAnsi="宋体" w:cs="Arial"/>
          <w:color w:val="000000"/>
          <w:kern w:val="0"/>
          <w:sz w:val="24"/>
          <w:szCs w:val="24"/>
        </w:rPr>
        <w:t>2）中心内失窃事故减少发生率。</w:t>
      </w:r>
    </w:p>
    <w:p w14:paraId="5044505C">
      <w:pPr>
        <w:widowControl/>
        <w:spacing w:line="440" w:lineRule="exact"/>
        <w:ind w:firstLine="840" w:firstLineChars="350"/>
        <w:jc w:val="left"/>
        <w:rPr>
          <w:rFonts w:ascii="宋体" w:hAnsi="宋体" w:cs="Arial"/>
          <w:color w:val="000000"/>
          <w:kern w:val="0"/>
          <w:sz w:val="24"/>
          <w:szCs w:val="24"/>
        </w:rPr>
      </w:pPr>
      <w:r>
        <w:rPr>
          <w:rFonts w:hint="eastAsia" w:ascii="宋体" w:hAnsi="宋体" w:cs="Arial"/>
          <w:color w:val="000000"/>
          <w:kern w:val="0"/>
          <w:sz w:val="24"/>
          <w:szCs w:val="24"/>
        </w:rPr>
        <w:t>3）</w:t>
      </w:r>
      <w:r>
        <w:rPr>
          <w:rFonts w:hint="eastAsia" w:ascii="宋体" w:hAnsi="宋体" w:cs="Arial"/>
          <w:color w:val="000000"/>
          <w:kern w:val="0"/>
          <w:sz w:val="24"/>
          <w:szCs w:val="24"/>
          <w:lang w:eastAsia="zh-CN"/>
        </w:rPr>
        <w:t>确保</w:t>
      </w:r>
      <w:r>
        <w:rPr>
          <w:rFonts w:hint="eastAsia" w:ascii="宋体" w:hAnsi="宋体" w:cs="Arial"/>
          <w:color w:val="000000"/>
          <w:kern w:val="0"/>
          <w:sz w:val="24"/>
          <w:szCs w:val="24"/>
        </w:rPr>
        <w:t>中心内公共财物无人为损坏完好率达。</w:t>
      </w:r>
    </w:p>
    <w:p w14:paraId="2433A5AF">
      <w:pPr>
        <w:widowControl/>
        <w:spacing w:line="440" w:lineRule="exact"/>
        <w:ind w:firstLine="840" w:firstLineChars="350"/>
        <w:jc w:val="left"/>
        <w:rPr>
          <w:rFonts w:ascii="宋体" w:hAnsi="宋体" w:cs="Arial"/>
          <w:color w:val="000000"/>
          <w:kern w:val="0"/>
          <w:sz w:val="24"/>
          <w:szCs w:val="24"/>
        </w:rPr>
      </w:pPr>
      <w:r>
        <w:rPr>
          <w:rFonts w:hint="eastAsia" w:ascii="宋体" w:hAnsi="宋体" w:cs="Arial"/>
          <w:color w:val="000000"/>
          <w:kern w:val="0"/>
          <w:sz w:val="24"/>
          <w:szCs w:val="24"/>
        </w:rPr>
        <w:t>4）中心消防措施落实，无发生火警，定时检查消防器材，记录齐全。</w:t>
      </w:r>
    </w:p>
    <w:p w14:paraId="777043C8">
      <w:pPr>
        <w:widowControl/>
        <w:spacing w:line="440" w:lineRule="exact"/>
        <w:ind w:firstLine="840" w:firstLineChars="350"/>
        <w:jc w:val="left"/>
        <w:rPr>
          <w:rFonts w:ascii="宋体" w:hAnsi="宋体" w:cs="Arial"/>
          <w:color w:val="000000"/>
          <w:kern w:val="0"/>
          <w:sz w:val="24"/>
          <w:szCs w:val="24"/>
        </w:rPr>
      </w:pPr>
      <w:r>
        <w:rPr>
          <w:rFonts w:hint="eastAsia" w:ascii="宋体" w:hAnsi="宋体" w:cs="Arial"/>
          <w:color w:val="000000"/>
          <w:kern w:val="0"/>
          <w:sz w:val="24"/>
          <w:szCs w:val="24"/>
        </w:rPr>
        <w:t>5）职工投诉及时处理。</w:t>
      </w:r>
    </w:p>
    <w:p w14:paraId="608D3477">
      <w:pPr>
        <w:widowControl/>
        <w:spacing w:line="440" w:lineRule="exact"/>
        <w:jc w:val="left"/>
        <w:rPr>
          <w:rFonts w:ascii="宋体" w:hAnsi="宋体" w:cs="Arial"/>
          <w:b/>
          <w:color w:val="000000"/>
          <w:kern w:val="0"/>
          <w:sz w:val="28"/>
          <w:szCs w:val="28"/>
        </w:rPr>
      </w:pPr>
      <w:r>
        <w:rPr>
          <w:rFonts w:hint="eastAsia" w:ascii="宋体" w:hAnsi="宋体" w:cs="Arial"/>
          <w:b/>
          <w:color w:val="000000"/>
          <w:kern w:val="0"/>
          <w:sz w:val="28"/>
          <w:szCs w:val="28"/>
        </w:rPr>
        <w:t>（2）岗位设置</w:t>
      </w:r>
    </w:p>
    <w:p w14:paraId="4AC1DB69">
      <w:pPr>
        <w:widowControl/>
        <w:tabs>
          <w:tab w:val="left" w:pos="1473"/>
        </w:tabs>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 xml:space="preserve"> 保安岗位设置12岗（包括轮休顶班人员）。具体岗位设置由中标人在中标后按照中心要求拟定一份岗位设置及具体时间安排经中心批准后实施。</w:t>
      </w:r>
    </w:p>
    <w:p w14:paraId="4F38C668">
      <w:pPr>
        <w:widowControl/>
        <w:spacing w:line="440" w:lineRule="exact"/>
        <w:jc w:val="left"/>
        <w:rPr>
          <w:rFonts w:ascii="宋体" w:hAnsi="宋体" w:cs="Arial"/>
          <w:b/>
          <w:color w:val="000000"/>
          <w:kern w:val="0"/>
          <w:sz w:val="28"/>
          <w:szCs w:val="28"/>
        </w:rPr>
      </w:pPr>
      <w:r>
        <w:rPr>
          <w:rFonts w:hint="eastAsia" w:ascii="宋体" w:hAnsi="宋体" w:cs="Arial"/>
          <w:b/>
          <w:color w:val="000000"/>
          <w:kern w:val="0"/>
          <w:sz w:val="28"/>
          <w:szCs w:val="28"/>
        </w:rPr>
        <w:t>（3）基本要求</w:t>
      </w:r>
    </w:p>
    <w:p w14:paraId="22B56D23">
      <w:pPr>
        <w:widowControl/>
        <w:spacing w:line="440" w:lineRule="exact"/>
        <w:ind w:firstLine="360" w:firstLineChars="150"/>
        <w:jc w:val="left"/>
        <w:rPr>
          <w:rFonts w:ascii="宋体" w:hAnsi="宋体" w:cs="Arial"/>
          <w:color w:val="000000"/>
          <w:kern w:val="0"/>
          <w:sz w:val="24"/>
          <w:szCs w:val="24"/>
        </w:rPr>
      </w:pPr>
      <w:r>
        <w:rPr>
          <w:rFonts w:hint="eastAsia" w:ascii="宋体" w:hAnsi="宋体" w:cs="Arial"/>
          <w:color w:val="000000"/>
          <w:kern w:val="0"/>
          <w:sz w:val="24"/>
          <w:szCs w:val="24"/>
        </w:rPr>
        <w:t>1) 原则上年龄</w:t>
      </w:r>
      <w:r>
        <w:rPr>
          <w:rFonts w:ascii="宋体" w:hAnsi="宋体" w:cs="Arial"/>
          <w:color w:val="000000"/>
          <w:kern w:val="0"/>
          <w:sz w:val="24"/>
          <w:szCs w:val="24"/>
        </w:rPr>
        <w:t>20</w:t>
      </w:r>
      <w:r>
        <w:rPr>
          <w:rFonts w:hint="eastAsia" w:ascii="宋体" w:hAnsi="宋体" w:cs="Arial"/>
          <w:color w:val="000000"/>
          <w:kern w:val="0"/>
          <w:sz w:val="24"/>
          <w:szCs w:val="24"/>
        </w:rPr>
        <w:t>岁至55岁，身体健康（要求常规体检和新冠核酸检测，费用自理），无犯罪记录，初中以上文化程度，形象端庄、礼貌待人、作风正派、乐于助人、严守纪律、坚持原则。</w:t>
      </w:r>
    </w:p>
    <w:p w14:paraId="7370B5BF">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2）服务人员应按规定统一着装、着装整齐清洁，仪表仪容整洁端庄，佩戴标志、站姿端正、坐姿稳重，行为规范、服务主动。保持精力</w:t>
      </w:r>
      <w:r>
        <w:rPr>
          <w:rFonts w:hint="eastAsia" w:ascii="宋体" w:hAnsi="宋体" w:cs="Arial"/>
          <w:color w:val="000000"/>
          <w:kern w:val="0"/>
          <w:sz w:val="28"/>
          <w:szCs w:val="28"/>
        </w:rPr>
        <w:t>充沛，礼貌待人，耐心</w:t>
      </w:r>
      <w:r>
        <w:rPr>
          <w:rFonts w:hint="eastAsia" w:ascii="宋体" w:hAnsi="宋体" w:cs="Arial"/>
          <w:color w:val="000000"/>
          <w:kern w:val="0"/>
          <w:sz w:val="24"/>
          <w:szCs w:val="24"/>
        </w:rPr>
        <w:t>答复患者询问、主动做好指引联系工作，行为规范遵纪守规，无脱岗现象。上岗前自我检查，做好上岗签名。</w:t>
      </w:r>
    </w:p>
    <w:p w14:paraId="6BEBE234">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3）参与消防安保值班的人员必须有3人</w:t>
      </w:r>
      <w:r>
        <w:rPr>
          <w:rFonts w:ascii="宋体" w:hAnsi="宋体" w:cs="Arial"/>
          <w:color w:val="000000"/>
          <w:kern w:val="0"/>
          <w:sz w:val="24"/>
          <w:szCs w:val="24"/>
        </w:rPr>
        <w:t>具有建（构）筑物消防员证</w:t>
      </w:r>
      <w:r>
        <w:rPr>
          <w:rFonts w:hint="eastAsia" w:ascii="宋体" w:hAnsi="宋体" w:cs="Arial"/>
          <w:color w:val="000000"/>
          <w:kern w:val="0"/>
          <w:sz w:val="24"/>
          <w:szCs w:val="24"/>
        </w:rPr>
        <w:t>，能熟练操作消控室设备。做好安全及消防监控工作，严禁未经允许人员进入监控室，监控录像和有关资料未经中心同意不得外泄。</w:t>
      </w:r>
    </w:p>
    <w:p w14:paraId="05499AF2">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4）熟练掌握火灾的基本常识，灭火的原理，常见的火源、灭火的最佳时刻，灭火的基本方法。发生火警警报时，应到实地查看，作出正确的处理，并及时汇报领导，自救无力时，迅速拨打“</w:t>
      </w:r>
      <w:r>
        <w:rPr>
          <w:rFonts w:ascii="宋体" w:hAnsi="宋体" w:cs="Arial"/>
          <w:color w:val="000000"/>
          <w:kern w:val="0"/>
          <w:sz w:val="24"/>
          <w:szCs w:val="24"/>
        </w:rPr>
        <w:t>119”</w:t>
      </w:r>
      <w:r>
        <w:rPr>
          <w:rFonts w:hint="eastAsia" w:ascii="宋体" w:hAnsi="宋体" w:cs="Arial"/>
          <w:color w:val="000000"/>
          <w:kern w:val="0"/>
          <w:sz w:val="24"/>
          <w:szCs w:val="24"/>
        </w:rPr>
        <w:t>报警，在报警同时采取救援措施。</w:t>
      </w:r>
    </w:p>
    <w:p w14:paraId="7CCAED82">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5）讲正气，敢于向不良风气作斗争，维护服务中心的治安，保护职工、正常就诊患者及其家属的人身和财产安全，确保服务中心无治安灾害事故的发生，有医疗纠纷需第一时间到位。</w:t>
      </w:r>
    </w:p>
    <w:p w14:paraId="1BBED8B2">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6）每天保证质量不间断对中心各科室进行治安巡逻，注意水、电、照明、消防监控、电脑、电信设施等情况，发现问题及时处理，做到记录在案，并通知相关部门。禁止小商贩、派广告传单等闲杂人员进入中心内，对可疑人员要进行盘查，并责其离开。对易燃、易爆、放射性等高危险物品的储存场所应加强巡视，发现可疑之处及时报告有关部门。</w:t>
      </w:r>
    </w:p>
    <w:p w14:paraId="3CCD359D">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7）制止扰乱中心工作秩序的行为。如在中心内大声喧哗、吵闹等，以免响应他人工作，保持中心有个安静的工作环境。</w:t>
      </w:r>
    </w:p>
    <w:p w14:paraId="53948834">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8）确保中心门口街道整洁，制止车辆乱停乱放以及乱堆杂物，以保证通道畅顺。下雨天，及时铺好防滑地毯，放置好雨伞桶，做好安全服务工作。</w:t>
      </w:r>
    </w:p>
    <w:p w14:paraId="5070B2F5">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9）分发各科室的书报、信件；收发医务人员工作衣。</w:t>
      </w:r>
    </w:p>
    <w:p w14:paraId="6AA309AE">
      <w:pPr>
        <w:widowControl/>
        <w:spacing w:line="440" w:lineRule="exact"/>
        <w:ind w:firstLine="360" w:firstLineChars="150"/>
        <w:jc w:val="left"/>
        <w:rPr>
          <w:rFonts w:ascii="宋体" w:hAnsi="宋体" w:cs="Arial"/>
          <w:color w:val="000000"/>
          <w:kern w:val="0"/>
          <w:sz w:val="24"/>
          <w:szCs w:val="24"/>
        </w:rPr>
      </w:pPr>
      <w:r>
        <w:rPr>
          <w:rFonts w:hint="eastAsia" w:ascii="宋体" w:hAnsi="宋体" w:cs="Arial"/>
          <w:color w:val="000000"/>
          <w:kern w:val="0"/>
          <w:sz w:val="24"/>
          <w:szCs w:val="24"/>
        </w:rPr>
        <w:t>10）负责中心及站点的物品运送工作。</w:t>
      </w:r>
    </w:p>
    <w:p w14:paraId="6295D3F5">
      <w:pPr>
        <w:widowControl/>
        <w:spacing w:line="440" w:lineRule="exact"/>
        <w:ind w:firstLine="360" w:firstLineChars="150"/>
        <w:jc w:val="left"/>
        <w:rPr>
          <w:rFonts w:ascii="宋体" w:hAnsi="宋体" w:cs="Arial"/>
          <w:color w:val="000000"/>
          <w:kern w:val="0"/>
          <w:sz w:val="24"/>
          <w:szCs w:val="24"/>
        </w:rPr>
      </w:pPr>
      <w:r>
        <w:rPr>
          <w:rFonts w:hint="eastAsia" w:ascii="宋体" w:hAnsi="宋体" w:cs="Arial"/>
          <w:color w:val="000000"/>
          <w:kern w:val="0"/>
          <w:sz w:val="24"/>
          <w:szCs w:val="24"/>
        </w:rPr>
        <w:t>11）负责中心举行各类社会活动的相关保卫工作，遇重大节假日、庆典活动、领导视察及有外事活动时，应提前做好准备工作，同时延长工作时间增加巡视频率，并留有足够的值班人员。</w:t>
      </w:r>
    </w:p>
    <w:p w14:paraId="103EDA15">
      <w:pPr>
        <w:widowControl/>
        <w:spacing w:line="440" w:lineRule="exact"/>
        <w:ind w:firstLine="480" w:firstLineChars="200"/>
        <w:jc w:val="left"/>
        <w:rPr>
          <w:rFonts w:ascii="宋体" w:hAnsi="宋体" w:cs="Arial"/>
          <w:color w:val="000000"/>
          <w:kern w:val="0"/>
          <w:sz w:val="24"/>
          <w:szCs w:val="24"/>
        </w:rPr>
      </w:pPr>
      <w:r>
        <w:rPr>
          <w:rFonts w:hint="eastAsia" w:ascii="宋体" w:hAnsi="宋体" w:cs="Arial"/>
          <w:color w:val="000000"/>
          <w:kern w:val="0"/>
          <w:sz w:val="24"/>
          <w:szCs w:val="24"/>
        </w:rPr>
        <w:t>12）果断处理紧急突发事件，协助指挥疏散人群，并维持现场秩序。</w:t>
      </w:r>
    </w:p>
    <w:p w14:paraId="02E5F7F1">
      <w:pPr>
        <w:widowControl/>
        <w:spacing w:line="440" w:lineRule="exact"/>
        <w:ind w:firstLine="600" w:firstLineChars="250"/>
        <w:jc w:val="left"/>
        <w:rPr>
          <w:rFonts w:ascii="宋体" w:hAnsi="宋体" w:cs="Arial"/>
          <w:color w:val="000000"/>
          <w:kern w:val="0"/>
          <w:sz w:val="24"/>
          <w:szCs w:val="24"/>
        </w:rPr>
      </w:pPr>
      <w:r>
        <w:rPr>
          <w:rFonts w:hint="eastAsia" w:ascii="宋体" w:hAnsi="宋体" w:cs="Arial"/>
          <w:color w:val="000000"/>
          <w:kern w:val="0"/>
          <w:sz w:val="24"/>
          <w:szCs w:val="24"/>
        </w:rPr>
        <w:t>13）具备良好的职业道德，维护中心的形象，未经同意不得泄露中心工作的任何信息、资料、数据及患者的隐私。</w:t>
      </w:r>
    </w:p>
    <w:p w14:paraId="5F2D1A42">
      <w:pPr>
        <w:widowControl/>
        <w:spacing w:line="440" w:lineRule="exact"/>
        <w:jc w:val="left"/>
        <w:rPr>
          <w:rFonts w:ascii="宋体" w:hAnsi="宋体" w:cs="Arial"/>
          <w:b/>
          <w:color w:val="000000"/>
          <w:kern w:val="0"/>
          <w:sz w:val="28"/>
          <w:szCs w:val="28"/>
        </w:rPr>
      </w:pPr>
      <w:r>
        <w:rPr>
          <w:rFonts w:hint="eastAsia" w:ascii="宋体" w:hAnsi="宋体" w:cs="Arial"/>
          <w:b/>
          <w:color w:val="000000"/>
          <w:kern w:val="0"/>
          <w:sz w:val="28"/>
          <w:szCs w:val="28"/>
        </w:rPr>
        <w:t>（4）工作内容</w:t>
      </w:r>
    </w:p>
    <w:p w14:paraId="72D09BBB">
      <w:pPr>
        <w:widowControl/>
        <w:spacing w:line="360" w:lineRule="auto"/>
        <w:jc w:val="left"/>
        <w:rPr>
          <w:rFonts w:ascii="宋体" w:hAnsi="宋体" w:cs="宋体"/>
          <w:b/>
          <w:color w:val="000000"/>
          <w:kern w:val="0"/>
          <w:sz w:val="27"/>
          <w:szCs w:val="27"/>
        </w:rPr>
      </w:pPr>
      <w:r>
        <w:rPr>
          <w:rFonts w:hint="eastAsia" w:ascii="宋体" w:hAnsi="宋体" w:cs="宋体"/>
          <w:b/>
          <w:color w:val="000000"/>
          <w:kern w:val="0"/>
          <w:sz w:val="24"/>
          <w:szCs w:val="24"/>
          <w:lang w:val="en-US" w:eastAsia="zh-CN"/>
        </w:rPr>
        <w:t>1)</w:t>
      </w:r>
      <w:r>
        <w:rPr>
          <w:rFonts w:hint="eastAsia" w:ascii="宋体" w:hAnsi="宋体" w:cs="宋体"/>
          <w:b/>
          <w:color w:val="000000"/>
          <w:kern w:val="0"/>
          <w:sz w:val="24"/>
          <w:szCs w:val="24"/>
        </w:rPr>
        <w:t>保安服务内容</w:t>
      </w:r>
    </w:p>
    <w:p w14:paraId="53404294">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1）按季节规定正确着装，制服应干净、整齐，扭扣要全部扣好，不得敞开外衣、卷起裤脚、衣袖，领带必须结正。制服外衣袖、衣领、制服衬衣领口处，不得显露个人衣物，制服外不得显露个人物品，如纪念章、笔、纸张、钥匙扣等，服装衣袋不得装过大过厚物品。</w:t>
      </w:r>
    </w:p>
    <w:p w14:paraId="2B50823E">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（2）头发要整洁，男的不留长发、大包头，蓄发不得露于帽沿外，不得留长鬓角，鬓发长不超耳屏。</w:t>
      </w:r>
    </w:p>
    <w:p w14:paraId="559BECEA">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（3）值勤时精神振作，姿态良好，抬头挺胸，不得弯腰、驼背，不得东歪西倒、前倾后靠，不得伸懒腰，不袖手、背手、插腰或将手插入衣袋，不准在执勤时吸烟、吃零食。</w:t>
      </w:r>
    </w:p>
    <w:p w14:paraId="52E8D7FC">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（4）态度和蔼、言语文明。</w:t>
      </w:r>
    </w:p>
    <w:p w14:paraId="7D43342F">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（5）严禁擅离岗位，无故迟到、早退。</w:t>
      </w:r>
    </w:p>
    <w:p w14:paraId="47108DD0">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（6）严禁上班时间睡觉，看书、报、小说、聚众聊天、打牌、下棋、听音乐，做与工作无关的事情。</w:t>
      </w:r>
    </w:p>
    <w:p w14:paraId="10409580">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（7）严禁当勤叉腰，手插裤袋等行为。</w:t>
      </w:r>
    </w:p>
    <w:p w14:paraId="68DC0051">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（8）严禁利用职务之便，监守自盗，或内外勾结盗取公共财物。</w:t>
      </w:r>
    </w:p>
    <w:p w14:paraId="6CC65501">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（9）保持更衣室、休息室清洁卫生，不</w:t>
      </w:r>
      <w:r>
        <w:rPr>
          <w:rFonts w:hint="eastAsia" w:ascii="宋体" w:hAnsi="宋体" w:cs="宋体"/>
          <w:color w:val="000000"/>
          <w:kern w:val="0"/>
          <w:sz w:val="24"/>
          <w:szCs w:val="24"/>
          <w:u w:val="single"/>
        </w:rPr>
        <w:t>随</w:t>
      </w:r>
      <w:r>
        <w:rPr>
          <w:rFonts w:hint="eastAsia" w:ascii="宋体" w:hAnsi="宋体" w:cs="宋体"/>
          <w:color w:val="000000"/>
          <w:kern w:val="0"/>
          <w:sz w:val="24"/>
          <w:szCs w:val="24"/>
        </w:rPr>
        <w:t>地吐痰、乱扔果皮、纸屑、烟头等杂物。</w:t>
      </w:r>
    </w:p>
    <w:p w14:paraId="1D0BF878">
      <w:pPr>
        <w:widowControl/>
        <w:spacing w:line="360" w:lineRule="auto"/>
        <w:jc w:val="left"/>
        <w:rPr>
          <w:rFonts w:ascii="宋体" w:hAnsi="宋体" w:cs="宋体"/>
          <w:b/>
          <w:color w:val="000000"/>
          <w:kern w:val="0"/>
          <w:sz w:val="27"/>
          <w:szCs w:val="27"/>
        </w:rPr>
      </w:pPr>
      <w:r>
        <w:rPr>
          <w:rFonts w:hint="eastAsia" w:ascii="宋体" w:hAnsi="宋体" w:cs="宋体"/>
          <w:b/>
          <w:color w:val="000000"/>
          <w:kern w:val="0"/>
          <w:sz w:val="24"/>
          <w:szCs w:val="24"/>
          <w:lang w:val="en-US" w:eastAsia="zh-CN"/>
        </w:rPr>
        <w:t>2)</w:t>
      </w:r>
      <w:r>
        <w:rPr>
          <w:rFonts w:hint="eastAsia" w:ascii="宋体" w:hAnsi="宋体" w:cs="宋体"/>
          <w:b/>
          <w:color w:val="000000"/>
          <w:kern w:val="0"/>
          <w:sz w:val="24"/>
          <w:szCs w:val="24"/>
        </w:rPr>
        <w:t>停车管理</w:t>
      </w:r>
    </w:p>
    <w:p w14:paraId="15783653">
      <w:pPr>
        <w:widowControl/>
        <w:spacing w:line="360" w:lineRule="auto"/>
        <w:ind w:left="600" w:hanging="600" w:hangingChars="250"/>
        <w:jc w:val="left"/>
        <w:rPr>
          <w:rFonts w:ascii="宋体" w:hAnsi="宋体" w:cs="宋体"/>
          <w:color w:val="000000"/>
          <w:kern w:val="0"/>
          <w:sz w:val="27"/>
          <w:szCs w:val="27"/>
        </w:rPr>
      </w:pPr>
      <w:r>
        <w:rPr>
          <w:rFonts w:hint="eastAsia" w:ascii="宋体" w:hAnsi="宋体" w:cs="宋体"/>
          <w:color w:val="000000"/>
          <w:kern w:val="0"/>
          <w:sz w:val="24"/>
          <w:szCs w:val="24"/>
        </w:rPr>
        <w:t>（1）根据本项目的实际情况设置行车指示标志，规定车辆行驶路线，指定车辆停放区域。</w:t>
      </w:r>
    </w:p>
    <w:p w14:paraId="7E43962B">
      <w:pPr>
        <w:widowControl/>
        <w:spacing w:line="360" w:lineRule="auto"/>
        <w:ind w:left="600" w:hanging="600" w:hangingChars="250"/>
        <w:jc w:val="left"/>
        <w:rPr>
          <w:rFonts w:ascii="宋体" w:hAnsi="宋体" w:cs="宋体"/>
          <w:color w:val="000000"/>
          <w:kern w:val="0"/>
          <w:sz w:val="27"/>
          <w:szCs w:val="27"/>
        </w:rPr>
      </w:pPr>
      <w:r>
        <w:rPr>
          <w:rFonts w:hint="eastAsia" w:ascii="宋体" w:hAnsi="宋体" w:cs="宋体"/>
          <w:color w:val="000000"/>
          <w:kern w:val="0"/>
          <w:sz w:val="24"/>
          <w:szCs w:val="24"/>
        </w:rPr>
        <w:t>（2）保安人员应对进出的各类车辆进行管理，严禁外来车辆进入，维护交通秩序，保证车辆便于通行、易于停放。</w:t>
      </w:r>
    </w:p>
    <w:p w14:paraId="1CDC420D">
      <w:pPr>
        <w:widowControl/>
        <w:spacing w:line="360" w:lineRule="auto"/>
        <w:ind w:left="600" w:hanging="600" w:hangingChars="250"/>
        <w:jc w:val="left"/>
        <w:rPr>
          <w:rFonts w:ascii="宋体" w:hAnsi="宋体" w:cs="宋体"/>
          <w:color w:val="000000"/>
          <w:kern w:val="0"/>
          <w:sz w:val="27"/>
          <w:szCs w:val="27"/>
        </w:rPr>
      </w:pPr>
      <w:r>
        <w:rPr>
          <w:rFonts w:hint="eastAsia" w:ascii="宋体" w:hAnsi="宋体" w:cs="宋体"/>
          <w:color w:val="000000"/>
          <w:kern w:val="0"/>
          <w:sz w:val="24"/>
          <w:szCs w:val="24"/>
        </w:rPr>
        <w:t>（3）按车辆道路行驶要求设立明显指示牌和地标，保持进出通道畅通，车辆停放整齐。</w:t>
      </w:r>
    </w:p>
    <w:p w14:paraId="60A6830F">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（4）非机动车应停放指定地点，停放有序，不得妨碍管理区域内其他车辆和人员的通行。</w:t>
      </w:r>
    </w:p>
    <w:p w14:paraId="5CBD9477">
      <w:pPr>
        <w:widowControl/>
        <w:spacing w:line="360" w:lineRule="auto"/>
        <w:jc w:val="left"/>
        <w:rPr>
          <w:rFonts w:ascii="宋体" w:hAnsi="宋体" w:cs="宋体"/>
          <w:b/>
          <w:color w:val="000000"/>
          <w:kern w:val="0"/>
          <w:sz w:val="24"/>
          <w:szCs w:val="24"/>
        </w:rPr>
      </w:pPr>
      <w:bookmarkStart w:id="1" w:name="_Toc3473945"/>
      <w:bookmarkStart w:id="2" w:name="_Toc3991742"/>
      <w:r>
        <w:rPr>
          <w:rFonts w:hint="eastAsia" w:ascii="宋体" w:hAnsi="宋体" w:cs="宋体"/>
          <w:b/>
          <w:color w:val="000000"/>
          <w:kern w:val="0"/>
          <w:sz w:val="24"/>
          <w:szCs w:val="24"/>
          <w:lang w:val="en-US" w:eastAsia="zh-CN"/>
        </w:rPr>
        <w:t>3)</w:t>
      </w:r>
      <w:r>
        <w:rPr>
          <w:rFonts w:hint="eastAsia" w:ascii="宋体" w:hAnsi="宋体" w:cs="宋体"/>
          <w:b/>
          <w:color w:val="000000"/>
          <w:kern w:val="0"/>
          <w:sz w:val="24"/>
          <w:szCs w:val="24"/>
        </w:rPr>
        <w:t>物品进出管理</w:t>
      </w:r>
      <w:bookmarkEnd w:id="1"/>
      <w:bookmarkEnd w:id="2"/>
    </w:p>
    <w:p w14:paraId="139D9DEE">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（1）申报：凡有物品搬出，携带人须事先向值班人员提供物品出入登记表，并加盖单位公章，方可放行。</w:t>
      </w:r>
    </w:p>
    <w:p w14:paraId="53C5BCAE">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（2）盘查：对所有进出大件物品进行盘查，发现可疑情况及时处理。盘查时注意礼节，以和蔼的态度请求当事人配合，尽量快速地完成检查，以减少当事人之不便，不得无故刁难当事人。</w:t>
      </w:r>
    </w:p>
    <w:p w14:paraId="1BE1CB23">
      <w:pPr>
        <w:widowControl/>
        <w:spacing w:line="360" w:lineRule="auto"/>
        <w:jc w:val="left"/>
        <w:rPr>
          <w:rFonts w:ascii="宋体" w:hAnsi="宋体" w:cs="宋体"/>
          <w:b/>
          <w:color w:val="000000"/>
          <w:kern w:val="0"/>
          <w:sz w:val="24"/>
          <w:szCs w:val="24"/>
        </w:rPr>
      </w:pPr>
      <w:bookmarkStart w:id="3" w:name="_Toc3991743"/>
      <w:bookmarkStart w:id="4" w:name="_Toc3473946"/>
      <w:r>
        <w:rPr>
          <w:rFonts w:hint="eastAsia" w:ascii="宋体" w:hAnsi="宋体" w:cs="宋体"/>
          <w:b/>
          <w:color w:val="000000"/>
          <w:kern w:val="0"/>
          <w:sz w:val="24"/>
          <w:szCs w:val="24"/>
          <w:lang w:val="en-US" w:eastAsia="zh-CN"/>
        </w:rPr>
        <w:t>4)</w:t>
      </w:r>
      <w:r>
        <w:rPr>
          <w:rFonts w:hint="eastAsia" w:ascii="宋体" w:hAnsi="宋体" w:cs="宋体"/>
          <w:b/>
          <w:color w:val="000000"/>
          <w:kern w:val="0"/>
          <w:sz w:val="24"/>
          <w:szCs w:val="24"/>
        </w:rPr>
        <w:t>人员出入管理</w:t>
      </w:r>
      <w:bookmarkEnd w:id="3"/>
      <w:bookmarkEnd w:id="4"/>
    </w:p>
    <w:p w14:paraId="1EA63556">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（1）门岗及大堂值班岗须熟悉本职责区内业主的基本情况。包括：姓名、楼、室、相貌特征、常规出入大楼的时间等。</w:t>
      </w:r>
    </w:p>
    <w:p w14:paraId="5BBBF7C2">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（2）用户进入大楼时，应主动招呼。</w:t>
      </w:r>
    </w:p>
    <w:p w14:paraId="6018A833">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（3）发现提（拿）着重物的用户进出大门有困难时，应主动提供帮助。</w:t>
      </w:r>
    </w:p>
    <w:p w14:paraId="123CED08">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（4）非大楼用户凭有效出入证（卡）进、出大楼，谢绝推销或其它闲杂人员进入。</w:t>
      </w:r>
    </w:p>
    <w:p w14:paraId="798C619E">
      <w:pPr>
        <w:widowControl/>
        <w:spacing w:line="360" w:lineRule="auto"/>
        <w:ind w:left="600" w:hanging="600" w:hangingChars="250"/>
        <w:jc w:val="left"/>
        <w:rPr>
          <w:rFonts w:ascii="宋体" w:hAnsi="宋体" w:cs="宋体"/>
          <w:color w:val="000000"/>
          <w:kern w:val="0"/>
          <w:sz w:val="24"/>
          <w:szCs w:val="24"/>
        </w:rPr>
      </w:pPr>
      <w:r>
        <w:rPr>
          <w:rFonts w:hint="eastAsia" w:ascii="宋体" w:hAnsi="宋体" w:cs="宋体"/>
          <w:color w:val="000000"/>
          <w:kern w:val="0"/>
          <w:sz w:val="24"/>
          <w:szCs w:val="24"/>
        </w:rPr>
        <w:t>（5）来访人员须明确说出所找用户的姓名、处室，经电话确认后登记进入。</w:t>
      </w:r>
    </w:p>
    <w:p w14:paraId="21860B9C">
      <w:pPr>
        <w:adjustRightInd w:val="0"/>
        <w:snapToGrid w:val="0"/>
        <w:spacing w:line="360" w:lineRule="auto"/>
        <w:ind w:left="600" w:hanging="600" w:hangingChars="250"/>
        <w:rPr>
          <w:rFonts w:ascii="宋体" w:hAnsi="宋体" w:cs="宋体"/>
          <w:color w:val="000000"/>
          <w:kern w:val="0"/>
          <w:sz w:val="24"/>
          <w:szCs w:val="24"/>
        </w:rPr>
      </w:pPr>
      <w:r>
        <w:rPr>
          <w:rFonts w:hint="eastAsia" w:ascii="宋体" w:hAnsi="宋体" w:cs="宋体"/>
          <w:color w:val="000000"/>
          <w:kern w:val="0"/>
          <w:sz w:val="24"/>
          <w:szCs w:val="24"/>
        </w:rPr>
        <w:t>（6）值班员在登记前，应认真核对证件，若不符，谢绝入内；若相符，应登记来访人姓名、有效凭证名称及号码等。</w:t>
      </w:r>
    </w:p>
    <w:p w14:paraId="4DF194DD">
      <w:pPr>
        <w:adjustRightInd w:val="0"/>
        <w:snapToGrid w:val="0"/>
        <w:spacing w:line="360" w:lineRule="auto"/>
        <w:ind w:left="600" w:hanging="600" w:hangingChars="250"/>
        <w:rPr>
          <w:rFonts w:ascii="宋体" w:hAnsi="宋体" w:cs="宋体"/>
          <w:color w:val="000000"/>
          <w:kern w:val="0"/>
          <w:sz w:val="24"/>
          <w:szCs w:val="24"/>
        </w:rPr>
      </w:pPr>
      <w:r>
        <w:rPr>
          <w:rFonts w:hint="eastAsia" w:ascii="宋体" w:hAnsi="宋体" w:cs="宋体"/>
          <w:color w:val="000000"/>
          <w:kern w:val="0"/>
          <w:sz w:val="24"/>
          <w:szCs w:val="24"/>
        </w:rPr>
        <w:t>（7）若遇不愿出示证件，蛮横无理者，应耐心做好解释工作，尽可能消除其不满情绪。</w:t>
      </w:r>
    </w:p>
    <w:p w14:paraId="61CDF861">
      <w:pPr>
        <w:widowControl/>
        <w:spacing w:line="360" w:lineRule="auto"/>
        <w:ind w:left="375" w:hanging="375"/>
        <w:jc w:val="left"/>
        <w:rPr>
          <w:rFonts w:ascii="宋体" w:hAnsi="宋体" w:cs="宋体"/>
          <w:b/>
          <w:color w:val="000000"/>
          <w:kern w:val="0"/>
          <w:sz w:val="27"/>
          <w:szCs w:val="27"/>
        </w:rPr>
      </w:pPr>
      <w:bookmarkStart w:id="5" w:name="_Toc372526619"/>
      <w:bookmarkEnd w:id="5"/>
      <w:r>
        <w:rPr>
          <w:rFonts w:hint="eastAsia" w:ascii="宋体" w:hAnsi="宋体" w:cs="宋体"/>
          <w:b/>
          <w:color w:val="000000"/>
          <w:kern w:val="0"/>
          <w:sz w:val="24"/>
          <w:szCs w:val="24"/>
          <w:lang w:val="en-US" w:eastAsia="zh-CN"/>
        </w:rPr>
        <w:t>5)</w:t>
      </w:r>
      <w:bookmarkStart w:id="6" w:name="_GoBack"/>
      <w:bookmarkEnd w:id="6"/>
      <w:r>
        <w:rPr>
          <w:rFonts w:hint="eastAsia" w:ascii="宋体" w:hAnsi="宋体" w:cs="宋体"/>
          <w:b/>
          <w:bCs/>
          <w:color w:val="000000"/>
          <w:kern w:val="0"/>
          <w:sz w:val="24"/>
          <w:szCs w:val="24"/>
        </w:rPr>
        <w:t>突发公共事件处置</w:t>
      </w:r>
    </w:p>
    <w:p w14:paraId="13B4A692">
      <w:pPr>
        <w:widowControl/>
        <w:spacing w:line="360" w:lineRule="auto"/>
        <w:ind w:left="580" w:hanging="580" w:hangingChars="250"/>
        <w:jc w:val="left"/>
        <w:rPr>
          <w:rFonts w:hint="eastAsia" w:ascii="宋体" w:hAnsi="宋体" w:cs="宋体"/>
          <w:color w:val="000000"/>
          <w:spacing w:val="-4"/>
          <w:kern w:val="0"/>
          <w:sz w:val="24"/>
          <w:szCs w:val="24"/>
        </w:rPr>
      </w:pPr>
      <w:r>
        <w:rPr>
          <w:rFonts w:hint="eastAsia" w:ascii="宋体" w:hAnsi="宋体" w:cs="宋体"/>
          <w:color w:val="000000"/>
          <w:spacing w:val="-4"/>
          <w:kern w:val="0"/>
          <w:sz w:val="24"/>
          <w:szCs w:val="24"/>
        </w:rPr>
        <w:t>（1）依照《上海市突发公共事件总体应急预案》的要求制定安保突发公共事件的应急预案，并在监控中心室内悬挂，每年应配合采购人进行不少于1次的突发公共事件应急演习。</w:t>
      </w:r>
    </w:p>
    <w:p w14:paraId="313A01FF">
      <w:pPr>
        <w:widowControl/>
        <w:spacing w:line="360" w:lineRule="auto"/>
        <w:ind w:left="580" w:hanging="580" w:hangingChars="250"/>
        <w:jc w:val="left"/>
        <w:rPr>
          <w:rFonts w:ascii="宋体" w:hAnsi="宋体" w:cs="宋体"/>
          <w:color w:val="000000"/>
          <w:kern w:val="0"/>
          <w:sz w:val="27"/>
          <w:szCs w:val="27"/>
        </w:rPr>
      </w:pPr>
      <w:r>
        <w:rPr>
          <w:rFonts w:hint="eastAsia" w:ascii="宋体" w:hAnsi="宋体" w:cs="宋体"/>
          <w:color w:val="000000"/>
          <w:spacing w:val="-4"/>
          <w:kern w:val="0"/>
          <w:sz w:val="24"/>
          <w:szCs w:val="24"/>
        </w:rPr>
        <w:t>（2）根据我单位实际情况，提供防台防汛，防火防震，流行病防控等工作的应急预案。</w:t>
      </w:r>
    </w:p>
    <w:p w14:paraId="4EBE85BD">
      <w:pPr>
        <w:widowControl/>
        <w:spacing w:line="440" w:lineRule="exact"/>
        <w:jc w:val="left"/>
        <w:rPr>
          <w:rFonts w:ascii="宋体" w:hAnsi="宋体" w:cs="Arial"/>
          <w:b/>
          <w:color w:val="000000"/>
          <w:kern w:val="0"/>
          <w:sz w:val="28"/>
          <w:szCs w:val="28"/>
        </w:rPr>
      </w:pPr>
      <w:r>
        <w:rPr>
          <w:rFonts w:hint="eastAsia" w:ascii="宋体" w:hAnsi="宋体" w:cs="宋体"/>
          <w:color w:val="000000"/>
          <w:spacing w:val="-4"/>
          <w:kern w:val="0"/>
          <w:sz w:val="24"/>
          <w:szCs w:val="24"/>
        </w:rPr>
        <w:t>（3）</w:t>
      </w:r>
      <w:r>
        <w:rPr>
          <w:rFonts w:hint="eastAsia" w:ascii="宋体" w:hAnsi="宋体" w:cs="宋体"/>
          <w:color w:val="000000"/>
          <w:kern w:val="0"/>
          <w:sz w:val="24"/>
          <w:szCs w:val="24"/>
        </w:rPr>
        <w:t>当本项目发生突发公共事件时，各岗位服务人员必须配合，按规定实行岗位警戒，根据不同突发公共事件的现场情况应变处理，在有关部门到达现场前，保证人身安全，减少财产损失，并全力协助政府部门处理相关事宜。</w:t>
      </w:r>
    </w:p>
    <w:p w14:paraId="58E2B228">
      <w:pPr>
        <w:widowControl/>
        <w:jc w:val="left"/>
        <w:rPr>
          <w:rFonts w:ascii="宋体" w:hAnsi="宋体" w:cs="Arial"/>
          <w:b/>
          <w:color w:val="000000"/>
          <w:kern w:val="0"/>
          <w:sz w:val="28"/>
          <w:szCs w:val="28"/>
        </w:rPr>
      </w:pPr>
      <w:r>
        <w:rPr>
          <w:rFonts w:hint="eastAsia" w:ascii="宋体" w:hAnsi="宋体" w:cs="Arial"/>
          <w:b/>
          <w:color w:val="000000"/>
          <w:kern w:val="0"/>
          <w:sz w:val="28"/>
          <w:szCs w:val="28"/>
        </w:rPr>
        <w:t>4、其他要求</w:t>
      </w:r>
    </w:p>
    <w:p w14:paraId="3F65070E">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 </w:t>
      </w:r>
      <w:r>
        <w:rPr>
          <w:rFonts w:ascii="宋体" w:hAnsi="宋体" w:cs="Arial"/>
          <w:color w:val="222222"/>
          <w:kern w:val="0"/>
          <w:sz w:val="24"/>
          <w:szCs w:val="24"/>
        </w:rPr>
        <w:t>1</w:t>
      </w:r>
      <w:r>
        <w:rPr>
          <w:rFonts w:hint="eastAsia" w:ascii="宋体" w:hAnsi="宋体" w:cs="Arial"/>
          <w:color w:val="222222"/>
          <w:kern w:val="0"/>
          <w:sz w:val="24"/>
          <w:szCs w:val="24"/>
        </w:rPr>
        <w:t>、服务管理操作中所有安保随身用具、易耗品等所有费用由提供服务公司承担。</w:t>
      </w:r>
    </w:p>
    <w:p w14:paraId="0733ED88">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2中心如有临时性特殊任务需要协助的，</w:t>
      </w:r>
      <w:r>
        <w:rPr>
          <w:rFonts w:hint="eastAsia" w:ascii="宋体" w:hAnsi="宋体" w:cs="Arial"/>
          <w:color w:val="000000"/>
          <w:kern w:val="0"/>
          <w:sz w:val="24"/>
          <w:szCs w:val="24"/>
        </w:rPr>
        <w:t>提供服务公司</w:t>
      </w:r>
      <w:r>
        <w:rPr>
          <w:rFonts w:hint="eastAsia" w:ascii="宋体" w:hAnsi="宋体" w:cs="Arial"/>
          <w:color w:val="222222"/>
          <w:kern w:val="0"/>
          <w:sz w:val="24"/>
          <w:szCs w:val="24"/>
        </w:rPr>
        <w:t>要配合完成相关的后勤服务工作。</w:t>
      </w:r>
    </w:p>
    <w:p w14:paraId="1724B7B4">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3、</w:t>
      </w:r>
      <w:r>
        <w:rPr>
          <w:rFonts w:hint="eastAsia" w:ascii="宋体" w:hAnsi="宋体" w:cs="Arial"/>
          <w:color w:val="000000"/>
          <w:kern w:val="0"/>
          <w:sz w:val="24"/>
          <w:szCs w:val="24"/>
        </w:rPr>
        <w:t>提供服务公司</w:t>
      </w:r>
      <w:r>
        <w:rPr>
          <w:rFonts w:hint="eastAsia" w:ascii="宋体" w:hAnsi="宋体" w:cs="Arial"/>
          <w:color w:val="222222"/>
          <w:kern w:val="0"/>
          <w:sz w:val="24"/>
          <w:szCs w:val="24"/>
        </w:rPr>
        <w:t>要建立处理突发事故预警机制和管理队伍的建设机制。</w:t>
      </w:r>
    </w:p>
    <w:p w14:paraId="578BEC35">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4、服务期内如出现重大失误，严重影响中心正常工作的，中心有权提前终止合同。</w:t>
      </w:r>
    </w:p>
    <w:p w14:paraId="5C17EE8A">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5、所有上岗人员必须身体健康，上岗前具备健康证，年体检不少于</w:t>
      </w:r>
      <w:r>
        <w:rPr>
          <w:rFonts w:ascii="宋体" w:hAnsi="宋体" w:cs="Arial"/>
          <w:color w:val="222222"/>
          <w:kern w:val="0"/>
          <w:sz w:val="24"/>
          <w:szCs w:val="24"/>
        </w:rPr>
        <w:t> 1 </w:t>
      </w:r>
      <w:r>
        <w:rPr>
          <w:rFonts w:hint="eastAsia" w:ascii="宋体" w:hAnsi="宋体" w:cs="Arial"/>
          <w:color w:val="222222"/>
          <w:kern w:val="0"/>
          <w:sz w:val="24"/>
          <w:szCs w:val="24"/>
        </w:rPr>
        <w:t>次；相关人员按需做好预防接种，由</w:t>
      </w:r>
      <w:r>
        <w:rPr>
          <w:rFonts w:hint="eastAsia" w:ascii="宋体" w:hAnsi="宋体" w:cs="Arial"/>
          <w:color w:val="000000"/>
          <w:kern w:val="0"/>
          <w:sz w:val="24"/>
          <w:szCs w:val="24"/>
        </w:rPr>
        <w:t>提供服务公司</w:t>
      </w:r>
      <w:r>
        <w:rPr>
          <w:rFonts w:hint="eastAsia" w:ascii="宋体" w:hAnsi="宋体" w:cs="Arial"/>
          <w:color w:val="222222"/>
          <w:kern w:val="0"/>
          <w:sz w:val="24"/>
          <w:szCs w:val="24"/>
        </w:rPr>
        <w:t>承担相关费用。</w:t>
      </w:r>
    </w:p>
    <w:p w14:paraId="34B5C4EA">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6、符合国家规定（年龄、计划生育状况等）、所有工作人员必须经过卫生知识、安全规范、岗前培训合格。培训由</w:t>
      </w:r>
      <w:r>
        <w:rPr>
          <w:rFonts w:hint="eastAsia" w:ascii="宋体" w:hAnsi="宋体" w:cs="Arial"/>
          <w:color w:val="000000"/>
          <w:kern w:val="0"/>
          <w:sz w:val="24"/>
          <w:szCs w:val="24"/>
        </w:rPr>
        <w:t>提供服务公司</w:t>
      </w:r>
      <w:r>
        <w:rPr>
          <w:rFonts w:hint="eastAsia" w:ascii="宋体" w:hAnsi="宋体" w:cs="Arial"/>
          <w:color w:val="222222"/>
          <w:kern w:val="0"/>
          <w:sz w:val="24"/>
          <w:szCs w:val="24"/>
        </w:rPr>
        <w:t>组织，如无特殊情况，中心不参与。</w:t>
      </w:r>
    </w:p>
    <w:p w14:paraId="6C1AB51A">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7、</w:t>
      </w:r>
      <w:r>
        <w:rPr>
          <w:rFonts w:hint="eastAsia" w:ascii="宋体" w:hAnsi="宋体" w:cs="Arial"/>
          <w:color w:val="000000"/>
          <w:kern w:val="0"/>
          <w:sz w:val="24"/>
          <w:szCs w:val="24"/>
        </w:rPr>
        <w:t>提供服务公司</w:t>
      </w:r>
      <w:r>
        <w:rPr>
          <w:rFonts w:hint="eastAsia" w:ascii="宋体" w:hAnsi="宋体" w:cs="Arial"/>
          <w:color w:val="222222"/>
          <w:kern w:val="0"/>
          <w:sz w:val="24"/>
          <w:szCs w:val="24"/>
        </w:rPr>
        <w:t>应按劳动部门的相关要求为工作人员按工资比例交纳养老保险、失业保险、工伤和住房公积金；同时须为工作人员负责第三者责任险和员工意外保险。</w:t>
      </w:r>
    </w:p>
    <w:p w14:paraId="54621BB6">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8、如因个人原因与患者或家属发生矛盾由</w:t>
      </w:r>
      <w:r>
        <w:rPr>
          <w:rFonts w:hint="eastAsia" w:ascii="宋体" w:hAnsi="宋体" w:cs="Arial"/>
          <w:color w:val="000000"/>
          <w:kern w:val="0"/>
          <w:sz w:val="24"/>
          <w:szCs w:val="24"/>
        </w:rPr>
        <w:t>提供服务公司</w:t>
      </w:r>
      <w:r>
        <w:rPr>
          <w:rFonts w:hint="eastAsia" w:ascii="宋体" w:hAnsi="宋体" w:cs="Arial"/>
          <w:color w:val="222222"/>
          <w:kern w:val="0"/>
          <w:sz w:val="24"/>
          <w:szCs w:val="24"/>
        </w:rPr>
        <w:t>负责解决。</w:t>
      </w:r>
    </w:p>
    <w:p w14:paraId="3A891C17">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9、如因用工引起的劳动纠纷问题由</w:t>
      </w:r>
      <w:r>
        <w:rPr>
          <w:rFonts w:hint="eastAsia" w:ascii="宋体" w:hAnsi="宋体" w:cs="Arial"/>
          <w:color w:val="000000"/>
          <w:kern w:val="0"/>
          <w:sz w:val="24"/>
          <w:szCs w:val="24"/>
        </w:rPr>
        <w:t>提供服务公司</w:t>
      </w:r>
      <w:r>
        <w:rPr>
          <w:rFonts w:hint="eastAsia" w:ascii="宋体" w:hAnsi="宋体" w:cs="Arial"/>
          <w:color w:val="222222"/>
          <w:kern w:val="0"/>
          <w:sz w:val="24"/>
          <w:szCs w:val="24"/>
        </w:rPr>
        <w:t>负责解决。</w:t>
      </w:r>
    </w:p>
    <w:p w14:paraId="16FE5C25">
      <w:pPr>
        <w:widowControl/>
        <w:spacing w:line="440" w:lineRule="exact"/>
        <w:ind w:firstLine="465"/>
        <w:jc w:val="left"/>
        <w:rPr>
          <w:rFonts w:ascii="宋体" w:hAnsi="宋体" w:cs="Arial"/>
          <w:color w:val="222222"/>
          <w:kern w:val="0"/>
          <w:sz w:val="24"/>
          <w:szCs w:val="24"/>
        </w:rPr>
      </w:pPr>
      <w:r>
        <w:rPr>
          <w:rFonts w:hint="eastAsia" w:ascii="宋体" w:hAnsi="宋体" w:cs="Arial"/>
          <w:color w:val="222222"/>
          <w:kern w:val="0"/>
          <w:sz w:val="24"/>
          <w:szCs w:val="24"/>
        </w:rPr>
        <w:t>10、未尽事宜按照中心相关规定执行或经双方共同协商决定。</w:t>
      </w:r>
    </w:p>
    <w:p w14:paraId="0C2767C2">
      <w:pPr>
        <w:widowControl/>
        <w:ind w:firstLine="562" w:firstLineChars="200"/>
        <w:jc w:val="left"/>
        <w:rPr>
          <w:rFonts w:ascii="宋体" w:hAnsi="宋体" w:cs="Arial"/>
          <w:b/>
          <w:color w:val="000000"/>
          <w:kern w:val="0"/>
          <w:sz w:val="28"/>
          <w:szCs w:val="28"/>
        </w:rPr>
      </w:pPr>
      <w:r>
        <w:rPr>
          <w:rFonts w:hint="eastAsia" w:ascii="宋体" w:hAnsi="宋体" w:cs="Arial"/>
          <w:b/>
          <w:color w:val="000000"/>
          <w:kern w:val="0"/>
          <w:sz w:val="28"/>
          <w:szCs w:val="28"/>
        </w:rPr>
        <w:t>5、考核办法</w:t>
      </w:r>
    </w:p>
    <w:p w14:paraId="0E7F5FA4">
      <w:pPr>
        <w:pStyle w:val="53"/>
        <w:spacing w:before="0" w:after="0" w:line="440" w:lineRule="exact"/>
        <w:ind w:firstLine="480"/>
        <w:rPr>
          <w:rFonts w:ascii="宋体" w:hAnsi="宋体" w:cs="Arial"/>
          <w:color w:val="222222"/>
          <w:kern w:val="0"/>
          <w:szCs w:val="24"/>
        </w:rPr>
      </w:pPr>
      <w:r>
        <w:rPr>
          <w:rFonts w:hint="eastAsia" w:ascii="宋体" w:hAnsi="宋体" w:cs="Arial"/>
          <w:color w:val="222222"/>
          <w:kern w:val="0"/>
          <w:szCs w:val="24"/>
        </w:rPr>
        <w:t>考核通过定期检查方式评定保安服务质量，每月度评分一次，评分分为满意、基本满意和不满意三个等第（详见《月度巡检评分表》），考核等第为满意的，全额支付同期服务费；考核基本满意的，扣除同期保安服务费的5%，考核等第为不满意的，扣除同期保安服务费的10%，提供服务公司如连续三个月考核为基本满意或不满意的，中心有权无偿解除合同。</w:t>
      </w:r>
    </w:p>
    <w:p w14:paraId="4B1B286B">
      <w:pPr>
        <w:widowControl/>
        <w:spacing w:line="440" w:lineRule="exact"/>
        <w:ind w:left="560"/>
        <w:jc w:val="left"/>
        <w:rPr>
          <w:rFonts w:hint="eastAsia" w:ascii="宋体" w:hAnsi="宋体" w:cs="Arial"/>
          <w:b/>
          <w:color w:val="000000"/>
          <w:kern w:val="0"/>
          <w:sz w:val="28"/>
          <w:szCs w:val="28"/>
        </w:rPr>
      </w:pPr>
      <w:r>
        <w:rPr>
          <w:rFonts w:hint="eastAsia" w:ascii="宋体" w:hAnsi="宋体" w:cs="Arial"/>
          <w:b/>
          <w:color w:val="000000"/>
          <w:kern w:val="0"/>
          <w:sz w:val="28"/>
          <w:szCs w:val="28"/>
        </w:rPr>
        <w:t>6、供应商需提供提交与物业服务协作的方案</w:t>
      </w:r>
    </w:p>
    <w:p w14:paraId="1D515652">
      <w:pPr>
        <w:widowControl/>
        <w:spacing w:line="440" w:lineRule="exact"/>
        <w:ind w:left="560"/>
        <w:jc w:val="left"/>
        <w:rPr>
          <w:rFonts w:ascii="宋体" w:hAnsi="宋体" w:cs="Arial"/>
          <w:b/>
          <w:color w:val="000000"/>
          <w:kern w:val="0"/>
          <w:sz w:val="28"/>
          <w:szCs w:val="28"/>
        </w:rPr>
      </w:pPr>
    </w:p>
    <w:p w14:paraId="521F2213">
      <w:pPr>
        <w:pStyle w:val="2"/>
        <w:spacing w:before="0" w:beforeAutospacing="0" w:after="0" w:afterAutospacing="0" w:line="440" w:lineRule="exact"/>
        <w:rPr>
          <w:rFonts w:ascii="黑体" w:hAnsi="黑体" w:eastAsia="黑体"/>
          <w:sz w:val="28"/>
          <w:szCs w:val="28"/>
        </w:rPr>
      </w:pPr>
      <w:r>
        <w:rPr>
          <w:rFonts w:hint="eastAsia" w:ascii="黑体" w:hAnsi="黑体" w:eastAsia="黑体" w:cs="宋体"/>
          <w:sz w:val="28"/>
          <w:szCs w:val="28"/>
        </w:rPr>
        <w:t>七、支付方式</w:t>
      </w:r>
    </w:p>
    <w:p w14:paraId="5AEC2236">
      <w:pPr>
        <w:widowControl/>
        <w:spacing w:line="440" w:lineRule="exact"/>
        <w:ind w:firstLine="480" w:firstLineChars="200"/>
        <w:jc w:val="left"/>
        <w:rPr>
          <w:rFonts w:ascii="宋体" w:hAnsi="宋体" w:cs="Arial"/>
          <w:color w:val="222222"/>
          <w:kern w:val="0"/>
          <w:sz w:val="24"/>
          <w:szCs w:val="24"/>
        </w:rPr>
      </w:pPr>
      <w:r>
        <w:rPr>
          <w:rFonts w:hint="eastAsia" w:ascii="宋体" w:hAnsi="宋体" w:cs="Arial"/>
          <w:color w:val="222222"/>
          <w:kern w:val="0"/>
          <w:sz w:val="24"/>
          <w:szCs w:val="24"/>
        </w:rPr>
        <w:t>1、在本项目管理服务期限内，经考核合格后，实行按季付款方式，所需款项汇入提供服务公司帐号。</w:t>
      </w:r>
    </w:p>
    <w:p w14:paraId="2CF6FB25">
      <w:pPr>
        <w:widowControl/>
        <w:spacing w:line="440" w:lineRule="exact"/>
        <w:ind w:firstLine="480" w:firstLineChars="200"/>
        <w:jc w:val="left"/>
        <w:rPr>
          <w:rFonts w:ascii="宋体" w:hAnsi="宋体" w:cs="Arial"/>
          <w:color w:val="222222"/>
          <w:kern w:val="0"/>
          <w:sz w:val="24"/>
          <w:szCs w:val="24"/>
        </w:rPr>
      </w:pPr>
      <w:r>
        <w:rPr>
          <w:rFonts w:hint="eastAsia" w:ascii="宋体" w:hAnsi="宋体" w:cs="Arial"/>
          <w:color w:val="222222"/>
          <w:kern w:val="0"/>
          <w:sz w:val="24"/>
          <w:szCs w:val="24"/>
        </w:rPr>
        <w:t>2、人员工资不得低于本市市区现行最低工资标准，社会保险（养老保险、医疗保险、工伤保险、生育保险及失业保险）按国家相关规定执行。</w:t>
      </w:r>
    </w:p>
    <w:p w14:paraId="00E5BEFF">
      <w:pPr>
        <w:widowControl/>
        <w:spacing w:line="360" w:lineRule="auto"/>
        <w:jc w:val="left"/>
        <w:rPr>
          <w:rFonts w:ascii="宋体" w:hAnsi="宋体" w:cs="宋体"/>
          <w:b/>
          <w:bCs/>
          <w:color w:val="000000"/>
          <w:kern w:val="0"/>
          <w:sz w:val="28"/>
          <w:szCs w:val="28"/>
        </w:rPr>
      </w:pPr>
    </w:p>
    <w:p w14:paraId="5D042F54">
      <w:pPr>
        <w:widowControl/>
        <w:spacing w:line="360" w:lineRule="auto"/>
        <w:jc w:val="left"/>
        <w:rPr>
          <w:rFonts w:ascii="宋体" w:hAnsi="宋体" w:cs="宋体"/>
          <w:b/>
          <w:bCs/>
          <w:color w:val="000000"/>
          <w:kern w:val="0"/>
          <w:sz w:val="28"/>
          <w:szCs w:val="28"/>
        </w:rPr>
      </w:pPr>
      <w:r>
        <w:rPr>
          <w:rFonts w:hint="eastAsia" w:ascii="宋体" w:hAnsi="宋体" w:cs="宋体"/>
          <w:b/>
          <w:bCs/>
          <w:color w:val="000000"/>
          <w:kern w:val="0"/>
          <w:sz w:val="28"/>
          <w:szCs w:val="28"/>
        </w:rPr>
        <w:t>八、器材要求</w:t>
      </w:r>
    </w:p>
    <w:p w14:paraId="4473AF0E">
      <w:pPr>
        <w:widowControl/>
        <w:spacing w:line="360" w:lineRule="auto"/>
        <w:ind w:left="360" w:hanging="360" w:hangingChars="150"/>
        <w:jc w:val="left"/>
        <w:rPr>
          <w:rFonts w:ascii="宋体" w:hAnsi="宋体" w:cs="宋体"/>
          <w:color w:val="000000"/>
          <w:kern w:val="0"/>
          <w:sz w:val="27"/>
          <w:szCs w:val="27"/>
        </w:rPr>
      </w:pPr>
      <w:r>
        <w:rPr>
          <w:rFonts w:hint="eastAsia" w:ascii="宋体" w:hAnsi="宋体" w:cs="宋体"/>
          <w:color w:val="000000"/>
          <w:kern w:val="0"/>
          <w:sz w:val="24"/>
          <w:szCs w:val="24"/>
        </w:rPr>
        <w:t>1、所有保安设备器材，如对讲机（含电池板）、强电光电筒（含电池、灯泡）、警棍，服装、雨衣雨具、手套，劳保用品等由服务单位承担。</w:t>
      </w:r>
    </w:p>
    <w:p w14:paraId="08E1784B">
      <w:pPr>
        <w:widowControl/>
        <w:spacing w:line="360" w:lineRule="auto"/>
        <w:ind w:left="360" w:hanging="360" w:hangingChars="150"/>
        <w:jc w:val="left"/>
        <w:rPr>
          <w:rFonts w:ascii="宋体" w:hAnsi="宋体" w:cs="宋体"/>
          <w:color w:val="000000"/>
          <w:kern w:val="0"/>
          <w:sz w:val="24"/>
          <w:szCs w:val="24"/>
        </w:rPr>
      </w:pPr>
      <w:r>
        <w:rPr>
          <w:rFonts w:hint="eastAsia" w:ascii="宋体" w:hAnsi="宋体" w:cs="宋体"/>
          <w:color w:val="000000"/>
          <w:kern w:val="0"/>
          <w:sz w:val="24"/>
          <w:szCs w:val="24"/>
        </w:rPr>
        <w:t>2、所有保洁设备器材，如拖把、毛巾、扫帚、洗手液、卫生纸、垃圾袋等由中心承担。</w:t>
      </w:r>
    </w:p>
    <w:p w14:paraId="3252334A">
      <w:pPr>
        <w:widowControl/>
        <w:spacing w:line="360" w:lineRule="auto"/>
        <w:ind w:left="360" w:hanging="360" w:hangingChars="150"/>
        <w:jc w:val="left"/>
        <w:rPr>
          <w:rFonts w:ascii="宋体" w:hAnsi="宋体" w:cs="宋体"/>
          <w:color w:val="000000"/>
          <w:kern w:val="0"/>
          <w:sz w:val="27"/>
          <w:szCs w:val="27"/>
        </w:rPr>
      </w:pPr>
      <w:r>
        <w:rPr>
          <w:rFonts w:hint="eastAsia" w:ascii="宋体" w:hAnsi="宋体" w:cs="宋体"/>
          <w:color w:val="000000"/>
          <w:kern w:val="0"/>
          <w:sz w:val="24"/>
          <w:szCs w:val="24"/>
        </w:rPr>
        <w:t>3、日常生活设备：如电冰箱、微波炉、取暖器等由中心承担。</w:t>
      </w:r>
    </w:p>
    <w:p w14:paraId="28E949AA">
      <w:pPr>
        <w:widowControl/>
        <w:spacing w:line="360" w:lineRule="auto"/>
        <w:jc w:val="left"/>
        <w:rPr>
          <w:rFonts w:ascii="宋体" w:hAnsi="宋体" w:cs="宋体"/>
          <w:bCs/>
          <w:color w:val="000000"/>
          <w:kern w:val="0"/>
          <w:sz w:val="24"/>
          <w:szCs w:val="24"/>
        </w:rPr>
      </w:pPr>
    </w:p>
    <w:p w14:paraId="190989EB">
      <w:pPr>
        <w:widowControl/>
        <w:spacing w:line="360" w:lineRule="auto"/>
        <w:jc w:val="left"/>
        <w:rPr>
          <w:rFonts w:ascii="宋体" w:hAnsi="宋体" w:cs="宋体"/>
          <w:b/>
          <w:bCs/>
          <w:color w:val="000000"/>
          <w:kern w:val="0"/>
          <w:sz w:val="28"/>
          <w:szCs w:val="28"/>
        </w:rPr>
      </w:pPr>
      <w:r>
        <w:rPr>
          <w:rFonts w:hint="eastAsia" w:ascii="宋体" w:hAnsi="宋体" w:cs="宋体"/>
          <w:b/>
          <w:bCs/>
          <w:color w:val="000000"/>
          <w:kern w:val="0"/>
          <w:sz w:val="28"/>
          <w:szCs w:val="28"/>
        </w:rPr>
        <w:t>九、岗位纪律要求</w:t>
      </w:r>
    </w:p>
    <w:p w14:paraId="6BEA72DC">
      <w:pPr>
        <w:widowControl/>
        <w:spacing w:line="360" w:lineRule="auto"/>
        <w:ind w:firstLine="480" w:firstLineChars="200"/>
        <w:jc w:val="left"/>
        <w:rPr>
          <w:rFonts w:ascii="宋体" w:hAnsi="宋体" w:cs="宋体"/>
          <w:color w:val="000000"/>
          <w:kern w:val="0"/>
          <w:sz w:val="27"/>
          <w:szCs w:val="27"/>
        </w:rPr>
      </w:pPr>
      <w:r>
        <w:rPr>
          <w:rFonts w:hint="eastAsia" w:ascii="宋体" w:hAnsi="宋体" w:cs="宋体"/>
          <w:color w:val="000000"/>
          <w:kern w:val="0"/>
          <w:sz w:val="24"/>
          <w:szCs w:val="24"/>
        </w:rPr>
        <w:t>为保持最高效率工作，所有员工必须保持良好的行为规范。</w:t>
      </w:r>
    </w:p>
    <w:p w14:paraId="54497256">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1、保持良好形象，微笑服务，文明执勤。</w:t>
      </w:r>
    </w:p>
    <w:p w14:paraId="674EB913">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2、以礼待人，以理服人，遵章守纪。</w:t>
      </w:r>
    </w:p>
    <w:p w14:paraId="34FC6C20">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3、当班时必须穿着制服，佩戴铭牌。</w:t>
      </w:r>
    </w:p>
    <w:p w14:paraId="3AF6CF9E">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4、不得迟到、早退，不得擅离职守。</w:t>
      </w:r>
    </w:p>
    <w:p w14:paraId="1FC99973">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5、不得在当班时睡觉。</w:t>
      </w:r>
    </w:p>
    <w:p w14:paraId="5F1BF8C7">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6、不得在岗位上吸烟。</w:t>
      </w:r>
    </w:p>
    <w:p w14:paraId="27858DB8">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7、不得当班前或当班饮用含酒精类的饮品。</w:t>
      </w:r>
    </w:p>
    <w:p w14:paraId="5459894F">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8、不得在岗位上或办公室以任何形式赌博。</w:t>
      </w:r>
    </w:p>
    <w:p w14:paraId="7C0E9AB7">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9、不得发表对服务对象不利的言论。</w:t>
      </w:r>
    </w:p>
    <w:p w14:paraId="4A8751FE">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10、不得擅自向外泄露服务对象内部管理控制详情。</w:t>
      </w:r>
    </w:p>
    <w:p w14:paraId="168869DD">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11、不得在任何情况下以任何理由和管理部门发生争执。</w:t>
      </w:r>
    </w:p>
    <w:p w14:paraId="4561E9C8">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12、在任何区域发现遗留物品应即时上交。</w:t>
      </w:r>
    </w:p>
    <w:p w14:paraId="65201E9C">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13、在任何岗位不准看书报、听音乐、玩弄手机、打私人电话等。</w:t>
      </w:r>
    </w:p>
    <w:p w14:paraId="3F1D6BA9">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14、上班期间，不准接待亲友。</w:t>
      </w:r>
    </w:p>
    <w:p w14:paraId="77B0BE60">
      <w:pPr>
        <w:widowControl/>
        <w:spacing w:line="360" w:lineRule="auto"/>
        <w:jc w:val="left"/>
        <w:rPr>
          <w:rFonts w:ascii="宋体" w:hAnsi="宋体" w:cs="宋体"/>
          <w:color w:val="000000"/>
          <w:kern w:val="0"/>
          <w:sz w:val="27"/>
          <w:szCs w:val="27"/>
        </w:rPr>
      </w:pPr>
      <w:r>
        <w:rPr>
          <w:rFonts w:hint="eastAsia" w:ascii="宋体" w:hAnsi="宋体" w:cs="宋体"/>
          <w:color w:val="000000"/>
          <w:kern w:val="0"/>
          <w:sz w:val="24"/>
          <w:szCs w:val="24"/>
        </w:rPr>
        <w:t>15、在岗人员应保持通讯器材畅通。</w:t>
      </w:r>
    </w:p>
    <w:p w14:paraId="73DED822">
      <w:pPr>
        <w:widowControl/>
        <w:spacing w:line="440" w:lineRule="exact"/>
        <w:ind w:firstLine="552"/>
        <w:jc w:val="left"/>
        <w:rPr>
          <w:rFonts w:ascii="宋体" w:hAnsi="宋体" w:cs="Arial"/>
          <w:color w:val="222222"/>
          <w:kern w:val="0"/>
          <w:sz w:val="28"/>
          <w:szCs w:val="28"/>
        </w:rPr>
      </w:pPr>
    </w:p>
    <w:sectPr>
      <w:headerReference r:id="rId4" w:type="first"/>
      <w:footerReference r:id="rId7" w:type="first"/>
      <w:headerReference r:id="rId3" w:type="default"/>
      <w:footerReference r:id="rId5" w:type="default"/>
      <w:footerReference r:id="rId6" w:type="even"/>
      <w:pgSz w:w="11906" w:h="16838"/>
      <w:pgMar w:top="1440" w:right="1700" w:bottom="1440" w:left="15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nsolas">
    <w:panose1 w:val="020B0609020204030204"/>
    <w:charset w:val="00"/>
    <w:family w:val="modern"/>
    <w:pitch w:val="default"/>
    <w:sig w:usb0="E10002FF" w:usb1="4000FCFF" w:usb2="00000009" w:usb3="00000000" w:csb0="6000019F" w:csb1="DFD7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149D7">
    <w:pPr>
      <w:pStyle w:val="13"/>
      <w:rPr>
        <w:rFonts w:hint="eastAsia"/>
      </w:rPr>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70E7D8C4">
                          <w:pPr>
                            <w:pStyle w:val="13"/>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LW7l30AAAAAIBAAAPAAAAAAAAAAEAIAAAACIAAABkcnMvZG93&#10;bnJldi54bWxQSwECFAAUAAAACACHTuJAodzElQgCAAABBAAADgAAAAAAAAABACAAAAAfAQAAZHJz&#10;L2Uyb0RvYy54bWxQSwUGAAAAAAYABgBZAQAAmQUAAAAA&#10;">
              <v:fill on="f" focussize="0,0"/>
              <v:stroke on="f"/>
              <v:imagedata o:title=""/>
              <o:lock v:ext="edit" aspectratio="f"/>
              <v:textbox inset="0mm,0mm,0mm,0mm" style="mso-fit-shape-to-text:t;">
                <w:txbxContent>
                  <w:p w14:paraId="70E7D8C4">
                    <w:pPr>
                      <w:pStyle w:val="13"/>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91EF6">
    <w:pPr>
      <w:pStyle w:val="13"/>
      <w:framePr w:wrap="around" w:vAnchor="text" w:hAnchor="margin" w:xAlign="center" w:y="1"/>
      <w:rPr>
        <w:rStyle w:val="21"/>
        <w:rFonts w:hint="eastAsia"/>
      </w:rPr>
    </w:pPr>
    <w:r>
      <w:fldChar w:fldCharType="begin"/>
    </w:r>
    <w:r>
      <w:rPr>
        <w:rStyle w:val="21"/>
      </w:rPr>
      <w:instrText xml:space="preserve">PAGE  </w:instrText>
    </w:r>
    <w:r>
      <w:fldChar w:fldCharType="end"/>
    </w:r>
  </w:p>
  <w:p w14:paraId="03E2FB38">
    <w:pPr>
      <w:pStyle w:val="13"/>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C1E3B">
    <w:pPr>
      <w:pStyle w:val="13"/>
      <w:rPr>
        <w:rFonts w:hint="eastAsia"/>
      </w:rP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442A4D95">
                          <w:pPr>
                            <w:pStyle w:val="13"/>
                            <w:rPr>
                              <w:rFonts w:hint="eastAsia"/>
                            </w:rPr>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f1mLBgMCAAAEBAAADgAAAAAAAAABACAAAAAeAQAAZHJzL2Uyb0Rv&#10;Yy54bWxQSwUGAAAAAAYABgBZAQAAkwUAAAAA&#10;">
              <v:fill on="f" focussize="0,0"/>
              <v:stroke on="f"/>
              <v:imagedata o:title=""/>
              <o:lock v:ext="edit" aspectratio="f"/>
              <v:textbox inset="0mm,0mm,0mm,0mm" style="mso-fit-shape-to-text:t;">
                <w:txbxContent>
                  <w:p w14:paraId="442A4D95">
                    <w:pPr>
                      <w:pStyle w:val="13"/>
                      <w:rPr>
                        <w:rFonts w:hint="eastAsia"/>
                      </w:rPr>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3C451">
    <w:pPr>
      <w:pStyle w:val="14"/>
      <w:pBdr>
        <w:bottom w:val="none" w:color="auto" w:sz="0" w:space="0"/>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41D77">
    <w:pPr>
      <w:pStyle w:val="14"/>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D0EF0"/>
    <w:multiLevelType w:val="singleLevel"/>
    <w:tmpl w:val="BBBD0EF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mOWQ4ZThlZDM3NGYzZDFlYjk3NjU2ZjAzZjQ2M2YifQ=="/>
  </w:docVars>
  <w:rsids>
    <w:rsidRoot w:val="00127C18"/>
    <w:rsid w:val="000016D1"/>
    <w:rsid w:val="000143BD"/>
    <w:rsid w:val="00042A69"/>
    <w:rsid w:val="00047A1F"/>
    <w:rsid w:val="00053E03"/>
    <w:rsid w:val="00060028"/>
    <w:rsid w:val="000673DF"/>
    <w:rsid w:val="00075B71"/>
    <w:rsid w:val="00084327"/>
    <w:rsid w:val="000A3913"/>
    <w:rsid w:val="000C1194"/>
    <w:rsid w:val="000C3B0C"/>
    <w:rsid w:val="000D0625"/>
    <w:rsid w:val="000D6EDB"/>
    <w:rsid w:val="000E53C9"/>
    <w:rsid w:val="000F05B6"/>
    <w:rsid w:val="00127C18"/>
    <w:rsid w:val="00136813"/>
    <w:rsid w:val="00167B24"/>
    <w:rsid w:val="00197B20"/>
    <w:rsid w:val="001A51D4"/>
    <w:rsid w:val="001B56E4"/>
    <w:rsid w:val="001E1707"/>
    <w:rsid w:val="00202343"/>
    <w:rsid w:val="00216D35"/>
    <w:rsid w:val="00231B28"/>
    <w:rsid w:val="00241F60"/>
    <w:rsid w:val="0026082C"/>
    <w:rsid w:val="002611FD"/>
    <w:rsid w:val="002A398C"/>
    <w:rsid w:val="002A449D"/>
    <w:rsid w:val="002B2F43"/>
    <w:rsid w:val="002D6CAC"/>
    <w:rsid w:val="00303A5F"/>
    <w:rsid w:val="00314810"/>
    <w:rsid w:val="003177CB"/>
    <w:rsid w:val="00345D81"/>
    <w:rsid w:val="00362DFD"/>
    <w:rsid w:val="00387293"/>
    <w:rsid w:val="0039789E"/>
    <w:rsid w:val="003C3455"/>
    <w:rsid w:val="003D1702"/>
    <w:rsid w:val="003D3B68"/>
    <w:rsid w:val="003E5A73"/>
    <w:rsid w:val="004059F1"/>
    <w:rsid w:val="00413FA1"/>
    <w:rsid w:val="00466423"/>
    <w:rsid w:val="004808CD"/>
    <w:rsid w:val="00480A9E"/>
    <w:rsid w:val="00481AC3"/>
    <w:rsid w:val="0048666C"/>
    <w:rsid w:val="004C1208"/>
    <w:rsid w:val="00510D32"/>
    <w:rsid w:val="0052628D"/>
    <w:rsid w:val="00555CB1"/>
    <w:rsid w:val="00564254"/>
    <w:rsid w:val="00580B91"/>
    <w:rsid w:val="00585D2E"/>
    <w:rsid w:val="00590BE5"/>
    <w:rsid w:val="005B11E5"/>
    <w:rsid w:val="005E2712"/>
    <w:rsid w:val="00606D00"/>
    <w:rsid w:val="00632A9B"/>
    <w:rsid w:val="00664D1C"/>
    <w:rsid w:val="00673423"/>
    <w:rsid w:val="006A7517"/>
    <w:rsid w:val="006B20D7"/>
    <w:rsid w:val="006B346B"/>
    <w:rsid w:val="006C0B9C"/>
    <w:rsid w:val="006E7ABF"/>
    <w:rsid w:val="0072604C"/>
    <w:rsid w:val="0074120E"/>
    <w:rsid w:val="007A71EB"/>
    <w:rsid w:val="007E67E8"/>
    <w:rsid w:val="00800CF8"/>
    <w:rsid w:val="00801001"/>
    <w:rsid w:val="00813023"/>
    <w:rsid w:val="00834333"/>
    <w:rsid w:val="00837420"/>
    <w:rsid w:val="008A06C5"/>
    <w:rsid w:val="008A595D"/>
    <w:rsid w:val="008D45FA"/>
    <w:rsid w:val="008E506F"/>
    <w:rsid w:val="009148A6"/>
    <w:rsid w:val="00915738"/>
    <w:rsid w:val="00931D7E"/>
    <w:rsid w:val="00937190"/>
    <w:rsid w:val="0096675A"/>
    <w:rsid w:val="00975FE2"/>
    <w:rsid w:val="0099135B"/>
    <w:rsid w:val="009D3548"/>
    <w:rsid w:val="009F43AE"/>
    <w:rsid w:val="00A224F5"/>
    <w:rsid w:val="00A357E5"/>
    <w:rsid w:val="00A50FD5"/>
    <w:rsid w:val="00A5190D"/>
    <w:rsid w:val="00A63002"/>
    <w:rsid w:val="00A632C5"/>
    <w:rsid w:val="00A64355"/>
    <w:rsid w:val="00A83105"/>
    <w:rsid w:val="00A909B2"/>
    <w:rsid w:val="00A93E15"/>
    <w:rsid w:val="00AB35EC"/>
    <w:rsid w:val="00AC1B5D"/>
    <w:rsid w:val="00AC2D56"/>
    <w:rsid w:val="00AD4780"/>
    <w:rsid w:val="00B05AD8"/>
    <w:rsid w:val="00B14C48"/>
    <w:rsid w:val="00B24E26"/>
    <w:rsid w:val="00B26BBD"/>
    <w:rsid w:val="00B567D1"/>
    <w:rsid w:val="00B64202"/>
    <w:rsid w:val="00B70973"/>
    <w:rsid w:val="00B72B12"/>
    <w:rsid w:val="00B75DC8"/>
    <w:rsid w:val="00B86B5B"/>
    <w:rsid w:val="00BB4DC3"/>
    <w:rsid w:val="00BC0671"/>
    <w:rsid w:val="00BD7523"/>
    <w:rsid w:val="00C2592B"/>
    <w:rsid w:val="00C36B59"/>
    <w:rsid w:val="00C42AD4"/>
    <w:rsid w:val="00C54AC3"/>
    <w:rsid w:val="00C747FF"/>
    <w:rsid w:val="00CD5158"/>
    <w:rsid w:val="00CF5B49"/>
    <w:rsid w:val="00D03E29"/>
    <w:rsid w:val="00D15414"/>
    <w:rsid w:val="00D26293"/>
    <w:rsid w:val="00D35959"/>
    <w:rsid w:val="00D62D04"/>
    <w:rsid w:val="00D83DC8"/>
    <w:rsid w:val="00D876E0"/>
    <w:rsid w:val="00DB34BD"/>
    <w:rsid w:val="00DC56F3"/>
    <w:rsid w:val="00DD6BF7"/>
    <w:rsid w:val="00DE05E2"/>
    <w:rsid w:val="00DF24DE"/>
    <w:rsid w:val="00E13D69"/>
    <w:rsid w:val="00E52FC1"/>
    <w:rsid w:val="00E77883"/>
    <w:rsid w:val="00E86FBA"/>
    <w:rsid w:val="00E876FC"/>
    <w:rsid w:val="00E93117"/>
    <w:rsid w:val="00ED298C"/>
    <w:rsid w:val="00EE29F8"/>
    <w:rsid w:val="00EF36F8"/>
    <w:rsid w:val="00EF4257"/>
    <w:rsid w:val="00F060DA"/>
    <w:rsid w:val="00F118D8"/>
    <w:rsid w:val="00F14CCD"/>
    <w:rsid w:val="00F40247"/>
    <w:rsid w:val="00F41511"/>
    <w:rsid w:val="00F44704"/>
    <w:rsid w:val="00F663A9"/>
    <w:rsid w:val="00F93ED8"/>
    <w:rsid w:val="00FD7D97"/>
    <w:rsid w:val="00FE3F20"/>
    <w:rsid w:val="03B85ED5"/>
    <w:rsid w:val="05A70D81"/>
    <w:rsid w:val="0DE709C2"/>
    <w:rsid w:val="0FD31F78"/>
    <w:rsid w:val="10460812"/>
    <w:rsid w:val="108F10A9"/>
    <w:rsid w:val="13F001C0"/>
    <w:rsid w:val="147E01B2"/>
    <w:rsid w:val="173C78FC"/>
    <w:rsid w:val="185A0509"/>
    <w:rsid w:val="1F58270D"/>
    <w:rsid w:val="20A67D56"/>
    <w:rsid w:val="23F0342B"/>
    <w:rsid w:val="25B047BD"/>
    <w:rsid w:val="27790FE9"/>
    <w:rsid w:val="2F5F5AE6"/>
    <w:rsid w:val="33792DDE"/>
    <w:rsid w:val="35360721"/>
    <w:rsid w:val="362D4E11"/>
    <w:rsid w:val="3E9728FF"/>
    <w:rsid w:val="41975C74"/>
    <w:rsid w:val="44096816"/>
    <w:rsid w:val="452D1AC5"/>
    <w:rsid w:val="45D7393C"/>
    <w:rsid w:val="4D8C2E9B"/>
    <w:rsid w:val="4DC6761D"/>
    <w:rsid w:val="525A52D6"/>
    <w:rsid w:val="551913F0"/>
    <w:rsid w:val="586308C3"/>
    <w:rsid w:val="58E243B7"/>
    <w:rsid w:val="5BA75063"/>
    <w:rsid w:val="5CE75F8B"/>
    <w:rsid w:val="5CEA313A"/>
    <w:rsid w:val="5CFF783F"/>
    <w:rsid w:val="635D7C76"/>
    <w:rsid w:val="69307E9E"/>
    <w:rsid w:val="6C01543E"/>
    <w:rsid w:val="6D7E638C"/>
    <w:rsid w:val="70B82BAB"/>
    <w:rsid w:val="77944E36"/>
    <w:rsid w:val="78780DAA"/>
    <w:rsid w:val="7BFB3ADD"/>
    <w:rsid w:val="7D1C1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qFormat="1" w:uiPriority="99" w:semiHidden="0" w:name="HTML Address"/>
    <w:lsdException w:uiPriority="99" w:name="HTML Cite"/>
    <w:lsdException w:qFormat="1" w:uiPriority="99" w:semiHidden="0" w:name="HTML Code"/>
    <w:lsdException w:qFormat="1" w:uiPriority="99" w:semiHidden="0" w:name="HTML Definition"/>
    <w:lsdException w:qFormat="1" w:uiPriority="99" w:semiHidden="0" w:name="HTML Keyboard"/>
    <w:lsdException w:qFormat="1" w:uiPriority="99" w:semiHidden="0" w:name="HTML Preformatted"/>
    <w:lsdException w:qFormat="1" w:uiPriority="99" w:semiHidden="0"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link w:val="48"/>
    <w:qFormat/>
    <w:uiPriority w:val="9"/>
    <w:pPr>
      <w:widowControl/>
      <w:spacing w:before="100" w:beforeAutospacing="1" w:after="100" w:afterAutospacing="1"/>
      <w:jc w:val="left"/>
      <w:outlineLvl w:val="0"/>
    </w:pPr>
    <w:rPr>
      <w:rFonts w:ascii="宋体" w:hAnsi="宋体"/>
      <w:b/>
      <w:bCs/>
      <w:kern w:val="36"/>
      <w:sz w:val="48"/>
      <w:szCs w:val="48"/>
      <w:lang w:val="zh-CN"/>
    </w:rPr>
  </w:style>
  <w:style w:type="paragraph" w:styleId="3">
    <w:name w:val="heading 2"/>
    <w:basedOn w:val="1"/>
    <w:link w:val="44"/>
    <w:qFormat/>
    <w:uiPriority w:val="9"/>
    <w:pPr>
      <w:widowControl/>
      <w:spacing w:before="100" w:beforeAutospacing="1" w:after="100" w:afterAutospacing="1"/>
      <w:jc w:val="left"/>
      <w:outlineLvl w:val="1"/>
    </w:pPr>
    <w:rPr>
      <w:rFonts w:ascii="宋体" w:hAnsi="宋体"/>
      <w:b/>
      <w:bCs/>
      <w:kern w:val="0"/>
      <w:sz w:val="36"/>
      <w:szCs w:val="36"/>
      <w:lang w:val="zh-CN"/>
    </w:rPr>
  </w:style>
  <w:style w:type="paragraph" w:styleId="4">
    <w:name w:val="heading 3"/>
    <w:basedOn w:val="1"/>
    <w:link w:val="32"/>
    <w:qFormat/>
    <w:uiPriority w:val="9"/>
    <w:pPr>
      <w:widowControl/>
      <w:spacing w:before="100" w:beforeAutospacing="1" w:after="100" w:afterAutospacing="1"/>
      <w:jc w:val="left"/>
      <w:outlineLvl w:val="2"/>
    </w:pPr>
    <w:rPr>
      <w:rFonts w:ascii="宋体" w:hAnsi="宋体"/>
      <w:b/>
      <w:bCs/>
      <w:kern w:val="0"/>
      <w:sz w:val="27"/>
      <w:szCs w:val="27"/>
      <w:lang w:val="zh-CN"/>
    </w:rPr>
  </w:style>
  <w:style w:type="paragraph" w:styleId="5">
    <w:name w:val="heading 4"/>
    <w:basedOn w:val="1"/>
    <w:link w:val="28"/>
    <w:qFormat/>
    <w:uiPriority w:val="9"/>
    <w:pPr>
      <w:widowControl/>
      <w:spacing w:before="100" w:beforeAutospacing="1" w:after="100" w:afterAutospacing="1"/>
      <w:jc w:val="left"/>
      <w:outlineLvl w:val="3"/>
    </w:pPr>
    <w:rPr>
      <w:rFonts w:ascii="宋体" w:hAnsi="宋体"/>
      <w:b/>
      <w:bCs/>
      <w:kern w:val="0"/>
      <w:sz w:val="24"/>
      <w:szCs w:val="24"/>
      <w:lang w:val="zh-CN"/>
    </w:rPr>
  </w:style>
  <w:style w:type="paragraph" w:styleId="6">
    <w:name w:val="heading 5"/>
    <w:basedOn w:val="1"/>
    <w:link w:val="38"/>
    <w:qFormat/>
    <w:uiPriority w:val="9"/>
    <w:pPr>
      <w:widowControl/>
      <w:spacing w:before="100" w:beforeAutospacing="1" w:after="100" w:afterAutospacing="1"/>
      <w:jc w:val="left"/>
      <w:outlineLvl w:val="4"/>
    </w:pPr>
    <w:rPr>
      <w:rFonts w:ascii="宋体" w:hAnsi="宋体"/>
      <w:b/>
      <w:bCs/>
      <w:kern w:val="0"/>
      <w:sz w:val="20"/>
      <w:szCs w:val="20"/>
      <w:lang w:val="zh-CN"/>
    </w:rPr>
  </w:style>
  <w:style w:type="paragraph" w:styleId="7">
    <w:name w:val="heading 6"/>
    <w:basedOn w:val="1"/>
    <w:link w:val="46"/>
    <w:qFormat/>
    <w:uiPriority w:val="9"/>
    <w:pPr>
      <w:widowControl/>
      <w:spacing w:before="100" w:beforeAutospacing="1" w:after="100" w:afterAutospacing="1"/>
      <w:jc w:val="left"/>
      <w:outlineLvl w:val="5"/>
    </w:pPr>
    <w:rPr>
      <w:rFonts w:ascii="宋体" w:hAnsi="宋体"/>
      <w:b/>
      <w:bCs/>
      <w:kern w:val="0"/>
      <w:sz w:val="15"/>
      <w:szCs w:val="15"/>
      <w:lang w:val="zh-CN"/>
    </w:rPr>
  </w:style>
  <w:style w:type="paragraph" w:styleId="8">
    <w:name w:val="heading 7"/>
    <w:basedOn w:val="1"/>
    <w:link w:val="47"/>
    <w:qFormat/>
    <w:uiPriority w:val="9"/>
    <w:pPr>
      <w:widowControl/>
      <w:spacing w:before="100" w:beforeAutospacing="1" w:after="100" w:afterAutospacing="1"/>
      <w:jc w:val="left"/>
      <w:outlineLvl w:val="6"/>
    </w:pPr>
    <w:rPr>
      <w:rFonts w:ascii="宋体" w:hAnsi="宋体"/>
      <w:kern w:val="0"/>
      <w:sz w:val="24"/>
      <w:szCs w:val="24"/>
      <w:lang w:val="zh-CN"/>
    </w:rPr>
  </w:style>
  <w:style w:type="paragraph" w:styleId="9">
    <w:name w:val="heading 8"/>
    <w:basedOn w:val="1"/>
    <w:link w:val="33"/>
    <w:qFormat/>
    <w:uiPriority w:val="9"/>
    <w:pPr>
      <w:widowControl/>
      <w:spacing w:before="100" w:beforeAutospacing="1" w:after="100" w:afterAutospacing="1"/>
      <w:jc w:val="left"/>
      <w:outlineLvl w:val="7"/>
    </w:pPr>
    <w:rPr>
      <w:rFonts w:ascii="宋体" w:hAnsi="宋体"/>
      <w:kern w:val="0"/>
      <w:sz w:val="24"/>
      <w:szCs w:val="24"/>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0">
    <w:name w:val="Body Text"/>
    <w:basedOn w:val="1"/>
    <w:link w:val="31"/>
    <w:unhideWhenUsed/>
    <w:qFormat/>
    <w:uiPriority w:val="99"/>
    <w:pPr>
      <w:widowControl/>
      <w:spacing w:before="100" w:beforeAutospacing="1" w:after="100" w:afterAutospacing="1"/>
      <w:jc w:val="left"/>
    </w:pPr>
    <w:rPr>
      <w:rFonts w:ascii="宋体" w:hAnsi="宋体"/>
      <w:kern w:val="0"/>
      <w:sz w:val="24"/>
      <w:szCs w:val="24"/>
      <w:lang w:val="zh-CN"/>
    </w:rPr>
  </w:style>
  <w:style w:type="paragraph" w:styleId="11">
    <w:name w:val="HTML Address"/>
    <w:basedOn w:val="1"/>
    <w:link w:val="37"/>
    <w:unhideWhenUsed/>
    <w:qFormat/>
    <w:uiPriority w:val="99"/>
    <w:pPr>
      <w:widowControl/>
      <w:jc w:val="left"/>
    </w:pPr>
    <w:rPr>
      <w:rFonts w:ascii="宋体" w:hAnsi="宋体"/>
      <w:i/>
      <w:iCs/>
      <w:kern w:val="0"/>
      <w:sz w:val="24"/>
      <w:szCs w:val="24"/>
      <w:lang w:val="zh-CN"/>
    </w:rPr>
  </w:style>
  <w:style w:type="paragraph" w:styleId="12">
    <w:name w:val="Plain Text"/>
    <w:basedOn w:val="1"/>
    <w:link w:val="40"/>
    <w:unhideWhenUsed/>
    <w:qFormat/>
    <w:uiPriority w:val="99"/>
    <w:pPr>
      <w:widowControl/>
      <w:spacing w:before="100" w:beforeAutospacing="1" w:after="100" w:afterAutospacing="1"/>
      <w:jc w:val="left"/>
    </w:pPr>
    <w:rPr>
      <w:rFonts w:ascii="宋体" w:hAnsi="宋体"/>
      <w:kern w:val="0"/>
      <w:sz w:val="24"/>
      <w:szCs w:val="24"/>
      <w:lang w:val="zh-CN"/>
    </w:rPr>
  </w:style>
  <w:style w:type="paragraph" w:styleId="13">
    <w:name w:val="footer"/>
    <w:basedOn w:val="1"/>
    <w:link w:val="34"/>
    <w:unhideWhenUsed/>
    <w:qFormat/>
    <w:uiPriority w:val="99"/>
    <w:pPr>
      <w:tabs>
        <w:tab w:val="center" w:pos="4153"/>
        <w:tab w:val="right" w:pos="8306"/>
      </w:tabs>
      <w:snapToGrid w:val="0"/>
      <w:jc w:val="left"/>
    </w:pPr>
    <w:rPr>
      <w:sz w:val="18"/>
      <w:szCs w:val="18"/>
      <w:lang w:val="zh-CN"/>
    </w:rPr>
  </w:style>
  <w:style w:type="paragraph" w:styleId="14">
    <w:name w:val="header"/>
    <w:basedOn w:val="1"/>
    <w:link w:val="43"/>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15">
    <w:name w:val="HTML Preformatted"/>
    <w:basedOn w:val="1"/>
    <w:link w:val="4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lang w:val="zh-CN"/>
    </w:rPr>
  </w:style>
  <w:style w:type="paragraph" w:styleId="16">
    <w:name w:val="Title"/>
    <w:basedOn w:val="1"/>
    <w:next w:val="1"/>
    <w:link w:val="41"/>
    <w:qFormat/>
    <w:uiPriority w:val="10"/>
    <w:pPr>
      <w:spacing w:before="240" w:after="60"/>
      <w:jc w:val="center"/>
      <w:outlineLvl w:val="0"/>
    </w:pPr>
    <w:rPr>
      <w:rFonts w:ascii="Cambria" w:hAnsi="Cambria"/>
      <w:b/>
      <w:bCs/>
      <w:sz w:val="32"/>
      <w:szCs w:val="32"/>
      <w:lang w:val="zh-CN"/>
    </w:rPr>
  </w:style>
  <w:style w:type="table" w:styleId="18">
    <w:name w:val="Table Grid"/>
    <w:basedOn w:val="17"/>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rPr>
  </w:style>
  <w:style w:type="character" w:styleId="21">
    <w:name w:val="page number"/>
    <w:basedOn w:val="19"/>
    <w:qFormat/>
    <w:uiPriority w:val="0"/>
  </w:style>
  <w:style w:type="character" w:styleId="22">
    <w:name w:val="HTML Definition"/>
    <w:unhideWhenUsed/>
    <w:qFormat/>
    <w:uiPriority w:val="99"/>
    <w:rPr>
      <w:i/>
    </w:rPr>
  </w:style>
  <w:style w:type="character" w:styleId="23">
    <w:name w:val="Hyperlink"/>
    <w:unhideWhenUsed/>
    <w:qFormat/>
    <w:uiPriority w:val="99"/>
    <w:rPr>
      <w:color w:val="337AB7"/>
      <w:u w:val="none"/>
    </w:rPr>
  </w:style>
  <w:style w:type="character" w:styleId="24">
    <w:name w:val="HTML Code"/>
    <w:unhideWhenUsed/>
    <w:qFormat/>
    <w:uiPriority w:val="99"/>
    <w:rPr>
      <w:rFonts w:ascii="Consolas" w:hAnsi="Consolas" w:eastAsia="Consolas" w:cs="Consolas"/>
      <w:color w:val="C7254E"/>
      <w:sz w:val="21"/>
      <w:szCs w:val="21"/>
      <w:shd w:val="clear" w:color="auto" w:fill="F9F2F4"/>
    </w:rPr>
  </w:style>
  <w:style w:type="character" w:styleId="25">
    <w:name w:val="HTML Keyboard"/>
    <w:unhideWhenUsed/>
    <w:qFormat/>
    <w:uiPriority w:val="99"/>
    <w:rPr>
      <w:rFonts w:hint="default" w:ascii="Consolas" w:hAnsi="Consolas" w:eastAsia="Consolas" w:cs="Consolas"/>
      <w:color w:val="FFFFFF"/>
      <w:sz w:val="21"/>
      <w:szCs w:val="21"/>
      <w:shd w:val="clear" w:color="auto" w:fill="333333"/>
    </w:rPr>
  </w:style>
  <w:style w:type="character" w:styleId="26">
    <w:name w:val="HTML Sample"/>
    <w:unhideWhenUsed/>
    <w:qFormat/>
    <w:uiPriority w:val="99"/>
    <w:rPr>
      <w:rFonts w:hint="default" w:ascii="Consolas" w:hAnsi="Consolas" w:eastAsia="Consolas" w:cs="Consolas"/>
      <w:sz w:val="21"/>
      <w:szCs w:val="21"/>
    </w:rPr>
  </w:style>
  <w:style w:type="character" w:customStyle="1" w:styleId="27">
    <w:name w:val="已访问的超链接1"/>
    <w:unhideWhenUsed/>
    <w:qFormat/>
    <w:uiPriority w:val="99"/>
    <w:rPr>
      <w:color w:val="337AB7"/>
      <w:u w:val="none"/>
    </w:rPr>
  </w:style>
  <w:style w:type="character" w:customStyle="1" w:styleId="28">
    <w:name w:val="标题 4 Char"/>
    <w:link w:val="5"/>
    <w:qFormat/>
    <w:uiPriority w:val="9"/>
    <w:rPr>
      <w:rFonts w:ascii="宋体" w:hAnsi="宋体" w:eastAsia="宋体" w:cs="宋体"/>
      <w:b/>
      <w:bCs/>
      <w:sz w:val="24"/>
      <w:szCs w:val="24"/>
    </w:rPr>
  </w:style>
  <w:style w:type="character" w:customStyle="1" w:styleId="29">
    <w:name w:val="old"/>
    <w:qFormat/>
    <w:uiPriority w:val="0"/>
    <w:rPr>
      <w:color w:val="999999"/>
    </w:rPr>
  </w:style>
  <w:style w:type="character" w:customStyle="1" w:styleId="30">
    <w:name w:val="hover1"/>
    <w:qFormat/>
    <w:uiPriority w:val="0"/>
    <w:rPr>
      <w:shd w:val="clear" w:color="auto" w:fill="EEEEEE"/>
    </w:rPr>
  </w:style>
  <w:style w:type="character" w:customStyle="1" w:styleId="31">
    <w:name w:val="正文文本 Char"/>
    <w:link w:val="10"/>
    <w:semiHidden/>
    <w:qFormat/>
    <w:uiPriority w:val="99"/>
    <w:rPr>
      <w:rFonts w:ascii="宋体" w:hAnsi="宋体" w:eastAsia="宋体" w:cs="宋体"/>
      <w:sz w:val="24"/>
      <w:szCs w:val="24"/>
    </w:rPr>
  </w:style>
  <w:style w:type="character" w:customStyle="1" w:styleId="32">
    <w:name w:val="标题 3 Char"/>
    <w:link w:val="4"/>
    <w:qFormat/>
    <w:uiPriority w:val="9"/>
    <w:rPr>
      <w:rFonts w:ascii="宋体" w:hAnsi="宋体" w:eastAsia="宋体" w:cs="宋体"/>
      <w:b/>
      <w:bCs/>
      <w:sz w:val="27"/>
      <w:szCs w:val="27"/>
    </w:rPr>
  </w:style>
  <w:style w:type="character" w:customStyle="1" w:styleId="33">
    <w:name w:val="标题 8 Char"/>
    <w:link w:val="9"/>
    <w:qFormat/>
    <w:uiPriority w:val="9"/>
    <w:rPr>
      <w:rFonts w:ascii="宋体" w:hAnsi="宋体" w:eastAsia="宋体" w:cs="宋体"/>
      <w:sz w:val="24"/>
      <w:szCs w:val="24"/>
    </w:rPr>
  </w:style>
  <w:style w:type="character" w:customStyle="1" w:styleId="34">
    <w:name w:val="页脚 Char"/>
    <w:link w:val="13"/>
    <w:qFormat/>
    <w:uiPriority w:val="99"/>
    <w:rPr>
      <w:kern w:val="2"/>
      <w:sz w:val="18"/>
      <w:szCs w:val="18"/>
    </w:rPr>
  </w:style>
  <w:style w:type="character" w:customStyle="1" w:styleId="35">
    <w:name w:val="hour_pm"/>
    <w:basedOn w:val="19"/>
    <w:qFormat/>
    <w:uiPriority w:val="0"/>
  </w:style>
  <w:style w:type="character" w:customStyle="1" w:styleId="36">
    <w:name w:val="15"/>
    <w:qFormat/>
    <w:uiPriority w:val="0"/>
  </w:style>
  <w:style w:type="character" w:customStyle="1" w:styleId="37">
    <w:name w:val="HTML 地址 Char"/>
    <w:link w:val="11"/>
    <w:semiHidden/>
    <w:qFormat/>
    <w:uiPriority w:val="99"/>
    <w:rPr>
      <w:rFonts w:ascii="宋体" w:hAnsi="宋体" w:eastAsia="宋体" w:cs="宋体"/>
      <w:i/>
      <w:iCs/>
      <w:sz w:val="24"/>
      <w:szCs w:val="24"/>
    </w:rPr>
  </w:style>
  <w:style w:type="character" w:customStyle="1" w:styleId="38">
    <w:name w:val="标题 5 Char"/>
    <w:link w:val="6"/>
    <w:qFormat/>
    <w:uiPriority w:val="9"/>
    <w:rPr>
      <w:rFonts w:ascii="宋体" w:hAnsi="宋体" w:eastAsia="宋体" w:cs="宋体"/>
      <w:b/>
      <w:bCs/>
    </w:rPr>
  </w:style>
  <w:style w:type="character" w:customStyle="1" w:styleId="39">
    <w:name w:val="hour_am"/>
    <w:basedOn w:val="19"/>
    <w:qFormat/>
    <w:uiPriority w:val="0"/>
  </w:style>
  <w:style w:type="character" w:customStyle="1" w:styleId="40">
    <w:name w:val="纯文本 Char"/>
    <w:link w:val="12"/>
    <w:semiHidden/>
    <w:qFormat/>
    <w:uiPriority w:val="99"/>
    <w:rPr>
      <w:rFonts w:ascii="宋体" w:hAnsi="宋体" w:eastAsia="宋体" w:cs="宋体"/>
      <w:sz w:val="24"/>
      <w:szCs w:val="24"/>
    </w:rPr>
  </w:style>
  <w:style w:type="character" w:customStyle="1" w:styleId="41">
    <w:name w:val="标题 Char"/>
    <w:link w:val="16"/>
    <w:qFormat/>
    <w:uiPriority w:val="10"/>
    <w:rPr>
      <w:rFonts w:ascii="Cambria" w:hAnsi="Cambria" w:eastAsia="宋体"/>
      <w:b/>
      <w:bCs/>
      <w:kern w:val="2"/>
      <w:sz w:val="32"/>
      <w:szCs w:val="32"/>
    </w:rPr>
  </w:style>
  <w:style w:type="character" w:customStyle="1" w:styleId="42">
    <w:name w:val="HTML 预设格式 Char"/>
    <w:link w:val="15"/>
    <w:semiHidden/>
    <w:qFormat/>
    <w:uiPriority w:val="99"/>
    <w:rPr>
      <w:rFonts w:ascii="宋体" w:hAnsi="宋体" w:eastAsia="宋体" w:cs="宋体"/>
      <w:sz w:val="24"/>
      <w:szCs w:val="24"/>
    </w:rPr>
  </w:style>
  <w:style w:type="character" w:customStyle="1" w:styleId="43">
    <w:name w:val="页眉 Char"/>
    <w:link w:val="14"/>
    <w:qFormat/>
    <w:uiPriority w:val="99"/>
    <w:rPr>
      <w:kern w:val="2"/>
      <w:sz w:val="18"/>
      <w:szCs w:val="18"/>
    </w:rPr>
  </w:style>
  <w:style w:type="character" w:customStyle="1" w:styleId="44">
    <w:name w:val="标题 2 Char"/>
    <w:link w:val="3"/>
    <w:qFormat/>
    <w:uiPriority w:val="9"/>
    <w:rPr>
      <w:rFonts w:ascii="宋体" w:hAnsi="宋体" w:eastAsia="宋体" w:cs="宋体"/>
      <w:b/>
      <w:bCs/>
      <w:sz w:val="36"/>
      <w:szCs w:val="36"/>
    </w:rPr>
  </w:style>
  <w:style w:type="character" w:customStyle="1" w:styleId="45">
    <w:name w:val="glyphicon6"/>
    <w:basedOn w:val="19"/>
    <w:qFormat/>
    <w:uiPriority w:val="0"/>
  </w:style>
  <w:style w:type="character" w:customStyle="1" w:styleId="46">
    <w:name w:val="标题 6 Char"/>
    <w:link w:val="7"/>
    <w:qFormat/>
    <w:uiPriority w:val="9"/>
    <w:rPr>
      <w:rFonts w:ascii="宋体" w:hAnsi="宋体" w:eastAsia="宋体" w:cs="宋体"/>
      <w:b/>
      <w:bCs/>
      <w:sz w:val="15"/>
      <w:szCs w:val="15"/>
    </w:rPr>
  </w:style>
  <w:style w:type="character" w:customStyle="1" w:styleId="47">
    <w:name w:val="标题 7 Char"/>
    <w:link w:val="8"/>
    <w:qFormat/>
    <w:uiPriority w:val="9"/>
    <w:rPr>
      <w:rFonts w:ascii="宋体" w:hAnsi="宋体" w:eastAsia="宋体" w:cs="宋体"/>
      <w:sz w:val="24"/>
      <w:szCs w:val="24"/>
    </w:rPr>
  </w:style>
  <w:style w:type="character" w:customStyle="1" w:styleId="48">
    <w:name w:val="标题 1 Char"/>
    <w:link w:val="2"/>
    <w:qFormat/>
    <w:uiPriority w:val="9"/>
    <w:rPr>
      <w:rFonts w:ascii="宋体" w:hAnsi="宋体" w:eastAsia="宋体" w:cs="宋体"/>
      <w:b/>
      <w:bCs/>
      <w:kern w:val="36"/>
      <w:sz w:val="48"/>
      <w:szCs w:val="48"/>
    </w:rPr>
  </w:style>
  <w:style w:type="paragraph" w:customStyle="1" w:styleId="49">
    <w:name w:val="navbar-text"/>
    <w:basedOn w:val="1"/>
    <w:qFormat/>
    <w:uiPriority w:val="0"/>
    <w:pPr>
      <w:jc w:val="left"/>
    </w:pPr>
    <w:rPr>
      <w:color w:val="9D9D9D"/>
      <w:kern w:val="0"/>
    </w:rPr>
  </w:style>
  <w:style w:type="paragraph" w:customStyle="1" w:styleId="50">
    <w:name w:val="navbar-text4"/>
    <w:basedOn w:val="1"/>
    <w:qFormat/>
    <w:uiPriority w:val="0"/>
    <w:pPr>
      <w:ind w:left="225" w:right="225"/>
      <w:jc w:val="left"/>
    </w:pPr>
    <w:rPr>
      <w:color w:val="FFFFFF"/>
      <w:kern w:val="0"/>
    </w:rPr>
  </w:style>
  <w:style w:type="paragraph" w:styleId="51">
    <w:name w:val="List Paragraph"/>
    <w:basedOn w:val="1"/>
    <w:qFormat/>
    <w:uiPriority w:val="34"/>
    <w:pPr>
      <w:ind w:firstLine="420" w:firstLineChars="200"/>
    </w:pPr>
  </w:style>
  <w:style w:type="paragraph" w:customStyle="1" w:styleId="52">
    <w:name w:val="navbar-text2"/>
    <w:basedOn w:val="1"/>
    <w:qFormat/>
    <w:uiPriority w:val="0"/>
    <w:pPr>
      <w:spacing w:before="98" w:after="98" w:line="255" w:lineRule="atLeast"/>
      <w:jc w:val="left"/>
    </w:pPr>
    <w:rPr>
      <w:kern w:val="0"/>
    </w:rPr>
  </w:style>
  <w:style w:type="paragraph" w:customStyle="1" w:styleId="53">
    <w:name w:val="列出段落31"/>
    <w:basedOn w:val="1"/>
    <w:unhideWhenUsed/>
    <w:qFormat/>
    <w:uiPriority w:val="99"/>
    <w:pPr>
      <w:spacing w:before="120" w:after="120"/>
      <w:ind w:firstLine="420" w:firstLineChars="200"/>
    </w:pPr>
    <w:rPr>
      <w:sz w:val="24"/>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3040</Words>
  <Characters>3123</Characters>
  <Lines>99</Lines>
  <Paragraphs>54</Paragraphs>
  <TotalTime>3</TotalTime>
  <ScaleCrop>false</ScaleCrop>
  <LinksUpToDate>false</LinksUpToDate>
  <CharactersWithSpaces>3140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2023-11-17T03:08:00Z</dcterms:created>
  <dc:creator>xbany</dc:creator>
  <cp:lastModifiedBy>待到尘埃落定时</cp:lastModifiedBy>
  <cp:lastPrinted>2020-02-25T01:51:00Z</cp:lastPrinted>
  <dcterms:modified xsi:type="dcterms:W3CDTF">2024-12-04T06:16:35Z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0F22263C149A46A8B29F442A44966E7C_13</vt:lpwstr>
  </property>
</Properties>
</file>