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6CCD3">
      <w:pPr>
        <w:pStyle w:val="8"/>
        <w:spacing w:before="0" w:after="0" w:line="500" w:lineRule="exact"/>
        <w:rPr>
          <w:rFonts w:ascii="微软雅黑" w:hAnsi="微软雅黑" w:eastAsia="微软雅黑" w:cs="黑体"/>
          <w:bCs/>
          <w:sz w:val="36"/>
          <w:szCs w:val="36"/>
        </w:rPr>
      </w:pPr>
      <w:r>
        <w:rPr>
          <w:rFonts w:hint="eastAsia" w:ascii="微软雅黑" w:hAnsi="微软雅黑" w:eastAsia="微软雅黑" w:cs="黑体"/>
          <w:bCs/>
          <w:sz w:val="36"/>
          <w:szCs w:val="36"/>
          <w:lang w:eastAsia="zh-CN"/>
        </w:rPr>
        <w:t xml:space="preserve"> </w:t>
      </w:r>
      <w:r>
        <w:rPr>
          <w:rFonts w:hint="eastAsia" w:ascii="微软雅黑" w:hAnsi="微软雅黑" w:eastAsia="微软雅黑" w:cs="黑体"/>
          <w:bCs/>
          <w:sz w:val="36"/>
          <w:szCs w:val="36"/>
        </w:rPr>
        <w:t>上海市静安区闸北中心医院物业（保洁）服务需求</w:t>
      </w:r>
    </w:p>
    <w:p w14:paraId="7063F38D">
      <w:pPr>
        <w:rPr>
          <w:rFonts w:ascii="微软雅黑" w:hAnsi="微软雅黑" w:eastAsia="微软雅黑"/>
        </w:rPr>
      </w:pPr>
    </w:p>
    <w:p w14:paraId="6D00DCB5">
      <w:pPr>
        <w:spacing w:line="520" w:lineRule="exact"/>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上海市静安区闸北中心医院（原上海市闸北区中心医院）于1960年4月10日建立，1989年成为原闸北区红十字医院，占地面积39亩，业务用房建筑面积6.</w:t>
      </w:r>
      <w:r>
        <w:rPr>
          <w:rFonts w:cs="仿宋_GB2312" w:asciiTheme="majorEastAsia" w:hAnsiTheme="majorEastAsia" w:eastAsiaTheme="majorEastAsia"/>
          <w:sz w:val="24"/>
          <w:szCs w:val="24"/>
        </w:rPr>
        <w:t>8</w:t>
      </w:r>
      <w:r>
        <w:rPr>
          <w:rFonts w:hint="eastAsia" w:cs="仿宋_GB2312" w:asciiTheme="majorEastAsia" w:hAnsiTheme="majorEastAsia" w:eastAsiaTheme="majorEastAsia"/>
          <w:sz w:val="24"/>
          <w:szCs w:val="24"/>
        </w:rPr>
        <w:t>万平方米。核定床位669张，拥有职工1000余人，高级职称人员131名，硕、博士149名，有25个临床科室和7个医技科室，是一所集医疗、急救、教学、科研、预防保健、康复等功能为一体的二级甲等综合性医院。医院已连续十四届被上海市人民政府评为“上海市文明单位”，是“上海市五星诚信单位”荣誉称号，是上海市住院医师规范化培训基地，建设有全科、妇产科、放射科、超声科等专业基地，是国家药物临床试验机构、全国综合医院中医药工作示范单位，是</w:t>
      </w:r>
      <w:r>
        <w:rPr>
          <w:rFonts w:hint="eastAsia" w:cs="仿宋_GB2312" w:asciiTheme="majorEastAsia" w:hAnsiTheme="majorEastAsia" w:eastAsiaTheme="majorEastAsia"/>
          <w:bCs/>
          <w:sz w:val="24"/>
          <w:szCs w:val="24"/>
        </w:rPr>
        <w:t>上海市公立医院高质量发展试点单位、上海市现代医院管理试点单位、静安区中部医联体牵头单位</w:t>
      </w:r>
      <w:r>
        <w:rPr>
          <w:rFonts w:hint="eastAsia" w:cs="仿宋_GB2312" w:asciiTheme="majorEastAsia" w:hAnsiTheme="majorEastAsia" w:eastAsiaTheme="majorEastAsia"/>
          <w:sz w:val="24"/>
          <w:szCs w:val="24"/>
        </w:rPr>
        <w:t>。</w:t>
      </w:r>
    </w:p>
    <w:p w14:paraId="6684D144">
      <w:pPr>
        <w:spacing w:line="520" w:lineRule="exact"/>
        <w:ind w:firstLine="480" w:firstLineChars="200"/>
        <w:rPr>
          <w:rFonts w:cs="仿宋_GB2312" w:asciiTheme="majorEastAsia" w:hAnsiTheme="majorEastAsia" w:eastAsiaTheme="majorEastAsia"/>
          <w:sz w:val="24"/>
          <w:szCs w:val="24"/>
        </w:rPr>
      </w:pPr>
      <w:r>
        <w:rPr>
          <w:rFonts w:hint="eastAsia" w:cs="仿宋_GB2312" w:asciiTheme="majorEastAsia" w:hAnsiTheme="majorEastAsia" w:eastAsiaTheme="majorEastAsia"/>
          <w:sz w:val="24"/>
          <w:szCs w:val="24"/>
        </w:rPr>
        <w:t>医院拥有1.5T、3.0T磁共振数字影像系统（MRI），64排螺旋CT，</w:t>
      </w:r>
      <w:r>
        <w:rPr>
          <w:rFonts w:cs="仿宋_GB2312" w:asciiTheme="majorEastAsia" w:hAnsiTheme="majorEastAsia" w:eastAsiaTheme="majorEastAsia"/>
          <w:sz w:val="24"/>
          <w:szCs w:val="24"/>
        </w:rPr>
        <w:t>发射型计算机断层扫描仪</w:t>
      </w:r>
      <w:r>
        <w:rPr>
          <w:rFonts w:hint="eastAsia" w:cs="仿宋_GB2312" w:asciiTheme="majorEastAsia" w:hAnsiTheme="majorEastAsia" w:eastAsiaTheme="majorEastAsia"/>
          <w:sz w:val="24"/>
          <w:szCs w:val="24"/>
        </w:rPr>
        <w:t>（ECT）、数字减影血管造影（DSA）、多台数字化X光机（DR）、高清数字胃肠道电子内镜系统、3D腹腔镜系统、多台高端彩色超声诊断仪。医院有全市最大规模的血液透析中心以及中心城区最大规模的高压氧舱。</w:t>
      </w:r>
    </w:p>
    <w:p w14:paraId="59999CB7">
      <w:pPr>
        <w:pStyle w:val="4"/>
        <w:widowControl/>
        <w:snapToGrid w:val="0"/>
        <w:spacing w:afterLines="50" w:line="360" w:lineRule="auto"/>
        <w:ind w:firstLine="482" w:firstLineChars="200"/>
        <w:rPr>
          <w:rFonts w:hAnsi="宋体" w:cs="Arial"/>
          <w:kern w:val="0"/>
          <w:sz w:val="24"/>
          <w:szCs w:val="24"/>
        </w:rPr>
      </w:pPr>
      <w:r>
        <w:rPr>
          <w:rFonts w:hint="eastAsia" w:hAnsi="宋体"/>
          <w:b/>
          <w:sz w:val="24"/>
          <w:szCs w:val="24"/>
        </w:rPr>
        <w:t>本项目提供：</w:t>
      </w:r>
      <w:r>
        <w:rPr>
          <w:rFonts w:hint="eastAsia" w:cs="宋体"/>
          <w:kern w:val="0"/>
          <w:sz w:val="24"/>
          <w:szCs w:val="24"/>
          <w:lang w:val="zh-CN"/>
        </w:rPr>
        <w:t>保洁、运送、配膳、电梯</w:t>
      </w:r>
      <w:r>
        <w:rPr>
          <w:rFonts w:hint="eastAsia" w:hAnsi="宋体" w:cs="Arial"/>
          <w:kern w:val="0"/>
          <w:sz w:val="24"/>
          <w:szCs w:val="24"/>
        </w:rPr>
        <w:t>等服务；服务</w:t>
      </w:r>
      <w:r>
        <w:rPr>
          <w:rFonts w:hint="eastAsia" w:hAnsi="宋体" w:cs="Arial"/>
          <w:bCs/>
          <w:kern w:val="0"/>
          <w:sz w:val="24"/>
          <w:szCs w:val="24"/>
        </w:rPr>
        <w:t>人数：</w:t>
      </w:r>
      <w:r>
        <w:rPr>
          <w:rFonts w:hint="eastAsia" w:hAnsi="宋体" w:cs="Arial"/>
          <w:b/>
          <w:bCs/>
          <w:kern w:val="0"/>
          <w:sz w:val="24"/>
          <w:szCs w:val="24"/>
        </w:rPr>
        <w:t>不低于服务岗位数</w:t>
      </w:r>
      <w:r>
        <w:rPr>
          <w:rFonts w:hint="eastAsia" w:hAnsi="宋体" w:cs="Arial"/>
          <w:kern w:val="0"/>
          <w:sz w:val="24"/>
          <w:szCs w:val="24"/>
        </w:rPr>
        <w:t>。</w:t>
      </w:r>
    </w:p>
    <w:p w14:paraId="1CDE3600">
      <w:pPr>
        <w:adjustRightInd w:val="0"/>
        <w:snapToGrid w:val="0"/>
        <w:spacing w:line="360" w:lineRule="auto"/>
        <w:ind w:firstLine="482" w:firstLineChars="200"/>
        <w:jc w:val="left"/>
        <w:rPr>
          <w:rFonts w:ascii="宋体" w:hAnsi="宋体" w:cs="宋体"/>
          <w:bCs/>
          <w:sz w:val="24"/>
          <w:szCs w:val="24"/>
        </w:rPr>
      </w:pPr>
      <w:r>
        <w:rPr>
          <w:rFonts w:hint="eastAsia" w:hAnsi="宋体" w:cs="Arial"/>
          <w:b/>
          <w:bCs/>
          <w:kern w:val="0"/>
          <w:sz w:val="24"/>
          <w:szCs w:val="24"/>
        </w:rPr>
        <w:t>预算金额</w:t>
      </w:r>
      <w:r>
        <w:rPr>
          <w:rFonts w:hint="eastAsia" w:hAnsi="宋体" w:cs="Arial"/>
          <w:kern w:val="0"/>
          <w:sz w:val="24"/>
          <w:szCs w:val="24"/>
        </w:rPr>
        <w:t xml:space="preserve">：1100 </w:t>
      </w:r>
      <w:r>
        <w:rPr>
          <w:rFonts w:hint="eastAsia" w:ascii="宋体" w:hAnsi="宋体" w:cs="宋体"/>
          <w:bCs/>
          <w:sz w:val="24"/>
          <w:szCs w:val="24"/>
        </w:rPr>
        <w:t>万元/年，含人员工资、福利、行政办公费用、服务中的设备设施折旧费及各类耗材、物业管理企业利润、企业认为的服务中必要的费用等。</w:t>
      </w:r>
    </w:p>
    <w:p w14:paraId="6F3528E3">
      <w:pPr>
        <w:pStyle w:val="4"/>
        <w:widowControl/>
        <w:snapToGrid w:val="0"/>
        <w:spacing w:afterLines="50" w:line="360" w:lineRule="auto"/>
        <w:ind w:firstLine="420" w:firstLineChars="200"/>
        <w:rPr>
          <w:rFonts w:hAnsi="宋体" w:cs="Arial"/>
          <w:kern w:val="0"/>
          <w:szCs w:val="21"/>
        </w:rPr>
      </w:pPr>
    </w:p>
    <w:p w14:paraId="3001286B">
      <w:pPr>
        <w:spacing w:line="360" w:lineRule="auto"/>
        <w:rPr>
          <w:rFonts w:ascii="宋体" w:hAnsi="宋体"/>
          <w:b/>
          <w:szCs w:val="21"/>
        </w:rPr>
      </w:pPr>
      <w:r>
        <w:rPr>
          <w:rFonts w:hAnsi="宋体"/>
          <w:b/>
          <w:szCs w:val="21"/>
        </w:rPr>
        <w:t>二、</w:t>
      </w:r>
      <w:r>
        <w:rPr>
          <w:rFonts w:hint="eastAsia" w:ascii="宋体" w:hAnsi="宋体"/>
          <w:b/>
          <w:szCs w:val="21"/>
        </w:rPr>
        <w:t>服务期限与付款方式</w:t>
      </w:r>
    </w:p>
    <w:p w14:paraId="4F6D1102">
      <w:pPr>
        <w:spacing w:line="360" w:lineRule="auto"/>
        <w:ind w:firstLine="420" w:firstLineChars="200"/>
        <w:rPr>
          <w:rFonts w:ascii="宋体" w:hAnsi="宋体"/>
          <w:szCs w:val="21"/>
        </w:rPr>
      </w:pPr>
      <w:r>
        <w:rPr>
          <w:rFonts w:hint="eastAsia" w:ascii="宋体" w:hAnsi="宋体"/>
          <w:szCs w:val="21"/>
        </w:rPr>
        <w:t>1、服务期限：</w:t>
      </w:r>
      <w:r>
        <w:rPr>
          <w:rFonts w:hint="eastAsia" w:ascii="宋体" w:hAnsi="宋体" w:cs="Arial"/>
          <w:kern w:val="0"/>
          <w:szCs w:val="21"/>
        </w:rPr>
        <w:t>本项目采用一次招标三年沿用、合同一年一签的方式实施。</w:t>
      </w:r>
    </w:p>
    <w:p w14:paraId="67EF2D1A">
      <w:pPr>
        <w:spacing w:line="360" w:lineRule="auto"/>
        <w:ind w:firstLine="420" w:firstLineChars="200"/>
        <w:rPr>
          <w:rFonts w:hAnsi="宋体"/>
          <w:b/>
          <w:szCs w:val="21"/>
        </w:rPr>
      </w:pPr>
      <w:r>
        <w:rPr>
          <w:rFonts w:hint="eastAsia" w:ascii="宋体" w:hAnsi="宋体"/>
          <w:szCs w:val="21"/>
        </w:rPr>
        <w:t>2、付款方式：中标单位按月开具增值税发票给院方，院方收到发票后15个工作日内支付相应的费用。</w:t>
      </w:r>
    </w:p>
    <w:p w14:paraId="02DC069F">
      <w:pPr>
        <w:tabs>
          <w:tab w:val="left" w:pos="709"/>
        </w:tabs>
        <w:spacing w:line="480" w:lineRule="auto"/>
        <w:ind w:firstLine="480" w:firstLineChars="200"/>
        <w:rPr>
          <w:rFonts w:ascii="宋体" w:hAnsi="宋体"/>
          <w:sz w:val="24"/>
          <w:szCs w:val="24"/>
        </w:rPr>
      </w:pPr>
      <w:r>
        <w:rPr>
          <w:rFonts w:hint="eastAsia" w:ascii="宋体" w:hAnsi="宋体"/>
          <w:sz w:val="24"/>
          <w:szCs w:val="24"/>
        </w:rPr>
        <w:t>本项目各楼层面积及分布情况如下：</w:t>
      </w:r>
    </w:p>
    <w:p w14:paraId="3CCCAE9A">
      <w:pPr>
        <w:tabs>
          <w:tab w:val="left" w:pos="709"/>
        </w:tabs>
        <w:spacing w:line="480" w:lineRule="auto"/>
        <w:ind w:left="602"/>
        <w:rPr>
          <w:rFonts w:ascii="宋体" w:hAnsi="宋体"/>
          <w:sz w:val="24"/>
          <w:szCs w:val="24"/>
        </w:rPr>
      </w:pPr>
      <w:r>
        <w:rPr>
          <w:rFonts w:hint="eastAsia" w:ascii="宋体" w:hAnsi="宋体"/>
          <w:sz w:val="24"/>
          <w:szCs w:val="24"/>
        </w:rPr>
        <w:t>1、综合楼（病区、门急诊）：共计建筑面积37796.93平方米，共15层，</w:t>
      </w:r>
      <w:r>
        <w:rPr>
          <w:rFonts w:hint="eastAsia" w:ascii="宋体" w:hAnsi="宋体" w:cs="宋体"/>
          <w:szCs w:val="21"/>
        </w:rPr>
        <w:t>地上14 层，地下1层</w:t>
      </w:r>
    </w:p>
    <w:p w14:paraId="1205F349">
      <w:pPr>
        <w:tabs>
          <w:tab w:val="left" w:pos="709"/>
        </w:tabs>
        <w:spacing w:line="480" w:lineRule="auto"/>
        <w:ind w:left="602"/>
        <w:rPr>
          <w:rFonts w:ascii="宋体" w:hAnsi="宋体"/>
          <w:sz w:val="24"/>
          <w:szCs w:val="24"/>
        </w:rPr>
      </w:pPr>
      <w:r>
        <w:rPr>
          <w:rFonts w:hint="eastAsia" w:ascii="宋体" w:hAnsi="宋体"/>
          <w:sz w:val="24"/>
          <w:szCs w:val="24"/>
        </w:rPr>
        <w:t>2、2号楼（血透中心、病区）：共计建筑面积4485平方米，共6层</w:t>
      </w:r>
    </w:p>
    <w:p w14:paraId="690B6876">
      <w:pPr>
        <w:tabs>
          <w:tab w:val="left" w:pos="709"/>
        </w:tabs>
        <w:spacing w:line="480" w:lineRule="auto"/>
        <w:ind w:left="602"/>
        <w:rPr>
          <w:rFonts w:ascii="宋体" w:hAnsi="宋体"/>
          <w:sz w:val="24"/>
          <w:szCs w:val="24"/>
        </w:rPr>
      </w:pPr>
      <w:r>
        <w:rPr>
          <w:rFonts w:hint="eastAsia" w:ascii="宋体" w:hAnsi="宋体"/>
          <w:sz w:val="24"/>
          <w:szCs w:val="24"/>
        </w:rPr>
        <w:t>3、3号楼（行政办公楼）：共计建筑面积2187平方米，共5层</w:t>
      </w:r>
    </w:p>
    <w:p w14:paraId="0B961EAB">
      <w:pPr>
        <w:tabs>
          <w:tab w:val="left" w:pos="709"/>
        </w:tabs>
        <w:spacing w:line="480" w:lineRule="auto"/>
        <w:ind w:left="602"/>
        <w:rPr>
          <w:rFonts w:ascii="宋体" w:hAnsi="宋体"/>
          <w:sz w:val="24"/>
          <w:szCs w:val="24"/>
        </w:rPr>
      </w:pPr>
      <w:r>
        <w:rPr>
          <w:rFonts w:hint="eastAsia" w:ascii="宋体" w:hAnsi="宋体"/>
          <w:sz w:val="24"/>
          <w:szCs w:val="24"/>
        </w:rPr>
        <w:t>4、4号楼（感染科、急诊留观室）：共计建筑面积1566.56平方米，共4层</w:t>
      </w:r>
    </w:p>
    <w:p w14:paraId="35FCFFBE">
      <w:pPr>
        <w:tabs>
          <w:tab w:val="left" w:pos="709"/>
        </w:tabs>
        <w:spacing w:line="480" w:lineRule="auto"/>
        <w:ind w:left="602"/>
        <w:rPr>
          <w:rFonts w:ascii="宋体" w:hAnsi="宋体"/>
          <w:sz w:val="24"/>
          <w:szCs w:val="24"/>
        </w:rPr>
      </w:pPr>
      <w:r>
        <w:rPr>
          <w:rFonts w:hint="eastAsia" w:ascii="宋体" w:hAnsi="宋体"/>
          <w:sz w:val="24"/>
          <w:szCs w:val="24"/>
        </w:rPr>
        <w:t>5、医辅楼（医技科室、病区）：共计建筑面积2916.04平方米</w:t>
      </w:r>
    </w:p>
    <w:p w14:paraId="44567217">
      <w:pPr>
        <w:adjustRightInd w:val="0"/>
        <w:snapToGrid w:val="0"/>
        <w:spacing w:line="360" w:lineRule="auto"/>
        <w:ind w:left="422"/>
        <w:jc w:val="left"/>
        <w:rPr>
          <w:rFonts w:ascii="宋体" w:hAnsi="宋体" w:cs="宋体"/>
          <w:b/>
          <w:szCs w:val="21"/>
        </w:rPr>
      </w:pPr>
      <w:r>
        <w:rPr>
          <w:rFonts w:hint="eastAsia" w:ascii="宋体" w:hAnsi="宋体" w:cs="宋体"/>
          <w:b/>
          <w:szCs w:val="21"/>
        </w:rPr>
        <w:t>服务设施设备配备情况：</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2166"/>
        <w:gridCol w:w="2250"/>
        <w:gridCol w:w="2800"/>
        <w:gridCol w:w="726"/>
      </w:tblGrid>
      <w:tr w14:paraId="3CA2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vAlign w:val="center"/>
          </w:tcPr>
          <w:p w14:paraId="60A9A71E">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序号</w:t>
            </w:r>
          </w:p>
        </w:tc>
        <w:tc>
          <w:tcPr>
            <w:tcW w:w="2166" w:type="dxa"/>
            <w:vMerge w:val="restart"/>
            <w:vAlign w:val="center"/>
          </w:tcPr>
          <w:p w14:paraId="4DB395D4">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设施设备名称</w:t>
            </w:r>
          </w:p>
        </w:tc>
        <w:tc>
          <w:tcPr>
            <w:tcW w:w="5050" w:type="dxa"/>
            <w:gridSpan w:val="2"/>
            <w:vAlign w:val="center"/>
          </w:tcPr>
          <w:p w14:paraId="1B9FE93A">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配备要求</w:t>
            </w:r>
          </w:p>
        </w:tc>
        <w:tc>
          <w:tcPr>
            <w:tcW w:w="726" w:type="dxa"/>
            <w:vMerge w:val="restart"/>
            <w:vAlign w:val="center"/>
          </w:tcPr>
          <w:p w14:paraId="330A76ED">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备注</w:t>
            </w:r>
          </w:p>
        </w:tc>
      </w:tr>
      <w:tr w14:paraId="489B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continue"/>
            <w:vAlign w:val="center"/>
          </w:tcPr>
          <w:p w14:paraId="33399F54">
            <w:pPr>
              <w:tabs>
                <w:tab w:val="left" w:pos="7200"/>
              </w:tabs>
              <w:adjustRightInd w:val="0"/>
              <w:snapToGrid w:val="0"/>
              <w:spacing w:line="360" w:lineRule="auto"/>
              <w:jc w:val="center"/>
              <w:rPr>
                <w:rFonts w:ascii="宋体" w:hAnsi="宋体" w:cs="宋体"/>
                <w:bCs/>
                <w:kern w:val="0"/>
                <w:szCs w:val="21"/>
              </w:rPr>
            </w:pPr>
          </w:p>
        </w:tc>
        <w:tc>
          <w:tcPr>
            <w:tcW w:w="2166" w:type="dxa"/>
            <w:vMerge w:val="continue"/>
            <w:vAlign w:val="center"/>
          </w:tcPr>
          <w:p w14:paraId="5BEC88C6">
            <w:pPr>
              <w:tabs>
                <w:tab w:val="left" w:pos="7200"/>
              </w:tabs>
              <w:adjustRightInd w:val="0"/>
              <w:snapToGrid w:val="0"/>
              <w:spacing w:line="360" w:lineRule="auto"/>
              <w:jc w:val="center"/>
              <w:rPr>
                <w:rFonts w:ascii="宋体" w:hAnsi="宋体" w:cs="宋体"/>
                <w:bCs/>
                <w:kern w:val="0"/>
                <w:szCs w:val="21"/>
              </w:rPr>
            </w:pPr>
          </w:p>
        </w:tc>
        <w:tc>
          <w:tcPr>
            <w:tcW w:w="2250" w:type="dxa"/>
            <w:vAlign w:val="center"/>
          </w:tcPr>
          <w:p w14:paraId="7D341ADA">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由采购人提供</w:t>
            </w:r>
          </w:p>
        </w:tc>
        <w:tc>
          <w:tcPr>
            <w:tcW w:w="2800" w:type="dxa"/>
            <w:vAlign w:val="center"/>
          </w:tcPr>
          <w:p w14:paraId="54701A18">
            <w:pPr>
              <w:tabs>
                <w:tab w:val="left" w:pos="7200"/>
              </w:tabs>
              <w:adjustRightInd w:val="0"/>
              <w:snapToGrid w:val="0"/>
              <w:spacing w:line="360" w:lineRule="auto"/>
              <w:jc w:val="center"/>
              <w:rPr>
                <w:rFonts w:ascii="宋体" w:hAnsi="宋体" w:cs="宋体"/>
                <w:b/>
                <w:bCs/>
                <w:kern w:val="0"/>
                <w:szCs w:val="21"/>
              </w:rPr>
            </w:pPr>
            <w:r>
              <w:rPr>
                <w:rFonts w:hint="eastAsia" w:ascii="宋体" w:hAnsi="宋体" w:cs="宋体"/>
                <w:b/>
                <w:bCs/>
                <w:kern w:val="0"/>
                <w:szCs w:val="21"/>
              </w:rPr>
              <w:t>由投标人提供</w:t>
            </w:r>
          </w:p>
        </w:tc>
        <w:tc>
          <w:tcPr>
            <w:tcW w:w="726" w:type="dxa"/>
            <w:vMerge w:val="continue"/>
            <w:vAlign w:val="center"/>
          </w:tcPr>
          <w:p w14:paraId="3740620E">
            <w:pPr>
              <w:tabs>
                <w:tab w:val="left" w:pos="7200"/>
              </w:tabs>
              <w:adjustRightInd w:val="0"/>
              <w:snapToGrid w:val="0"/>
              <w:spacing w:line="360" w:lineRule="auto"/>
              <w:jc w:val="center"/>
              <w:rPr>
                <w:rFonts w:ascii="宋体" w:hAnsi="宋体" w:cs="宋体"/>
                <w:b/>
                <w:bCs/>
                <w:kern w:val="0"/>
                <w:szCs w:val="21"/>
              </w:rPr>
            </w:pPr>
          </w:p>
        </w:tc>
      </w:tr>
      <w:tr w14:paraId="2C6AF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3CB236FE">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1</w:t>
            </w:r>
          </w:p>
        </w:tc>
        <w:tc>
          <w:tcPr>
            <w:tcW w:w="2166" w:type="dxa"/>
            <w:vAlign w:val="center"/>
          </w:tcPr>
          <w:p w14:paraId="33CDE4B2">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szCs w:val="21"/>
              </w:rPr>
              <w:t>保洁、运送、电梯及配餐服务</w:t>
            </w:r>
            <w:r>
              <w:rPr>
                <w:rFonts w:hint="eastAsia" w:ascii="宋体" w:hAnsi="宋体" w:cs="宋体"/>
                <w:bCs/>
                <w:kern w:val="0"/>
                <w:szCs w:val="21"/>
              </w:rPr>
              <w:t>用房</w:t>
            </w:r>
          </w:p>
        </w:tc>
        <w:tc>
          <w:tcPr>
            <w:tcW w:w="2250" w:type="dxa"/>
            <w:vAlign w:val="center"/>
          </w:tcPr>
          <w:p w14:paraId="47351F8F">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间</w:t>
            </w:r>
          </w:p>
        </w:tc>
        <w:tc>
          <w:tcPr>
            <w:tcW w:w="2800" w:type="dxa"/>
            <w:vAlign w:val="center"/>
          </w:tcPr>
          <w:p w14:paraId="33151FCF">
            <w:pPr>
              <w:tabs>
                <w:tab w:val="left" w:pos="7200"/>
              </w:tabs>
              <w:adjustRightInd w:val="0"/>
              <w:snapToGrid w:val="0"/>
              <w:spacing w:line="360" w:lineRule="auto"/>
              <w:jc w:val="center"/>
              <w:rPr>
                <w:rFonts w:ascii="宋体" w:hAnsi="宋体" w:cs="宋体"/>
                <w:bCs/>
                <w:kern w:val="0"/>
                <w:szCs w:val="21"/>
              </w:rPr>
            </w:pPr>
          </w:p>
        </w:tc>
        <w:tc>
          <w:tcPr>
            <w:tcW w:w="726" w:type="dxa"/>
            <w:vAlign w:val="center"/>
          </w:tcPr>
          <w:p w14:paraId="6CF80110">
            <w:pPr>
              <w:tabs>
                <w:tab w:val="left" w:pos="7200"/>
              </w:tabs>
              <w:adjustRightInd w:val="0"/>
              <w:snapToGrid w:val="0"/>
              <w:spacing w:line="360" w:lineRule="auto"/>
              <w:jc w:val="center"/>
              <w:rPr>
                <w:rFonts w:ascii="宋体" w:hAnsi="宋体" w:cs="宋体"/>
                <w:bCs/>
                <w:kern w:val="0"/>
                <w:szCs w:val="21"/>
              </w:rPr>
            </w:pPr>
          </w:p>
        </w:tc>
      </w:tr>
      <w:tr w14:paraId="6235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580" w:type="dxa"/>
            <w:vAlign w:val="center"/>
          </w:tcPr>
          <w:p w14:paraId="1433CD75">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2</w:t>
            </w:r>
          </w:p>
        </w:tc>
        <w:tc>
          <w:tcPr>
            <w:tcW w:w="2166" w:type="dxa"/>
            <w:vAlign w:val="center"/>
          </w:tcPr>
          <w:p w14:paraId="30DD990D">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办公设施设备及耗材</w:t>
            </w:r>
          </w:p>
        </w:tc>
        <w:tc>
          <w:tcPr>
            <w:tcW w:w="2250" w:type="dxa"/>
            <w:vAlign w:val="center"/>
          </w:tcPr>
          <w:p w14:paraId="50D28B2B">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6BD7BC51">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电脑、打印复印机、办公用品等</w:t>
            </w:r>
          </w:p>
        </w:tc>
        <w:tc>
          <w:tcPr>
            <w:tcW w:w="726" w:type="dxa"/>
            <w:vAlign w:val="center"/>
          </w:tcPr>
          <w:p w14:paraId="22EFDE6D">
            <w:pPr>
              <w:tabs>
                <w:tab w:val="left" w:pos="7200"/>
              </w:tabs>
              <w:adjustRightInd w:val="0"/>
              <w:snapToGrid w:val="0"/>
              <w:spacing w:line="360" w:lineRule="auto"/>
              <w:jc w:val="center"/>
              <w:rPr>
                <w:rFonts w:ascii="宋体" w:hAnsi="宋体" w:cs="宋体"/>
                <w:bCs/>
                <w:kern w:val="0"/>
                <w:szCs w:val="21"/>
              </w:rPr>
            </w:pPr>
          </w:p>
        </w:tc>
      </w:tr>
      <w:tr w14:paraId="1FEF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restart"/>
            <w:vAlign w:val="center"/>
          </w:tcPr>
          <w:p w14:paraId="599ACC10">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3</w:t>
            </w:r>
          </w:p>
        </w:tc>
        <w:tc>
          <w:tcPr>
            <w:tcW w:w="2166" w:type="dxa"/>
            <w:vMerge w:val="restart"/>
            <w:vAlign w:val="center"/>
          </w:tcPr>
          <w:p w14:paraId="72F33C1C">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设备</w:t>
            </w:r>
          </w:p>
        </w:tc>
        <w:tc>
          <w:tcPr>
            <w:tcW w:w="2250" w:type="dxa"/>
            <w:vAlign w:val="center"/>
          </w:tcPr>
          <w:p w14:paraId="00775036">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餐车、餐具、运送推车</w:t>
            </w:r>
          </w:p>
        </w:tc>
        <w:tc>
          <w:tcPr>
            <w:tcW w:w="2800" w:type="dxa"/>
            <w:vAlign w:val="center"/>
          </w:tcPr>
          <w:p w14:paraId="13B2FFA1">
            <w:pPr>
              <w:tabs>
                <w:tab w:val="left" w:pos="7200"/>
              </w:tabs>
              <w:adjustRightInd w:val="0"/>
              <w:snapToGrid w:val="0"/>
              <w:spacing w:line="360" w:lineRule="auto"/>
              <w:jc w:val="center"/>
              <w:rPr>
                <w:rFonts w:ascii="宋体" w:hAnsi="宋体" w:cs="宋体"/>
                <w:bCs/>
                <w:kern w:val="0"/>
                <w:szCs w:val="21"/>
              </w:rPr>
            </w:pPr>
          </w:p>
        </w:tc>
        <w:tc>
          <w:tcPr>
            <w:tcW w:w="726" w:type="dxa"/>
            <w:vAlign w:val="center"/>
          </w:tcPr>
          <w:p w14:paraId="10570BD1">
            <w:pPr>
              <w:tabs>
                <w:tab w:val="left" w:pos="7200"/>
              </w:tabs>
              <w:adjustRightInd w:val="0"/>
              <w:snapToGrid w:val="0"/>
              <w:spacing w:line="360" w:lineRule="auto"/>
              <w:jc w:val="center"/>
              <w:rPr>
                <w:rFonts w:ascii="宋体" w:hAnsi="宋体" w:cs="宋体"/>
                <w:bCs/>
                <w:kern w:val="0"/>
                <w:szCs w:val="21"/>
              </w:rPr>
            </w:pPr>
          </w:p>
        </w:tc>
      </w:tr>
      <w:tr w14:paraId="2786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Merge w:val="continue"/>
            <w:vAlign w:val="center"/>
          </w:tcPr>
          <w:p w14:paraId="12F6E2FD">
            <w:pPr>
              <w:tabs>
                <w:tab w:val="left" w:pos="7200"/>
              </w:tabs>
              <w:adjustRightInd w:val="0"/>
              <w:snapToGrid w:val="0"/>
              <w:spacing w:line="360" w:lineRule="auto"/>
              <w:jc w:val="center"/>
              <w:rPr>
                <w:rFonts w:ascii="宋体" w:hAnsi="宋体" w:cs="宋体"/>
                <w:bCs/>
                <w:kern w:val="0"/>
                <w:szCs w:val="21"/>
              </w:rPr>
            </w:pPr>
          </w:p>
        </w:tc>
        <w:tc>
          <w:tcPr>
            <w:tcW w:w="2166" w:type="dxa"/>
            <w:vMerge w:val="continue"/>
            <w:vAlign w:val="center"/>
          </w:tcPr>
          <w:p w14:paraId="2E5B6314">
            <w:pPr>
              <w:tabs>
                <w:tab w:val="left" w:pos="7200"/>
              </w:tabs>
              <w:adjustRightInd w:val="0"/>
              <w:snapToGrid w:val="0"/>
              <w:spacing w:line="360" w:lineRule="auto"/>
              <w:jc w:val="center"/>
              <w:rPr>
                <w:rFonts w:ascii="宋体" w:hAnsi="宋体" w:cs="宋体"/>
                <w:bCs/>
                <w:kern w:val="0"/>
                <w:szCs w:val="21"/>
              </w:rPr>
            </w:pPr>
          </w:p>
        </w:tc>
        <w:tc>
          <w:tcPr>
            <w:tcW w:w="2250" w:type="dxa"/>
            <w:vAlign w:val="center"/>
          </w:tcPr>
          <w:p w14:paraId="59E0C7C0">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62299376">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保洁推车及配备物品、电动清洁机、抛光打蜡机</w:t>
            </w:r>
          </w:p>
        </w:tc>
        <w:tc>
          <w:tcPr>
            <w:tcW w:w="726" w:type="dxa"/>
            <w:vAlign w:val="center"/>
          </w:tcPr>
          <w:p w14:paraId="40101165">
            <w:pPr>
              <w:tabs>
                <w:tab w:val="left" w:pos="7200"/>
              </w:tabs>
              <w:adjustRightInd w:val="0"/>
              <w:snapToGrid w:val="0"/>
              <w:spacing w:line="360" w:lineRule="auto"/>
              <w:jc w:val="center"/>
              <w:rPr>
                <w:rFonts w:ascii="宋体" w:hAnsi="宋体" w:cs="宋体"/>
                <w:bCs/>
                <w:kern w:val="0"/>
                <w:szCs w:val="21"/>
              </w:rPr>
            </w:pPr>
          </w:p>
        </w:tc>
      </w:tr>
      <w:tr w14:paraId="7942D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471235D0">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4</w:t>
            </w:r>
          </w:p>
        </w:tc>
        <w:tc>
          <w:tcPr>
            <w:tcW w:w="2166" w:type="dxa"/>
            <w:vAlign w:val="center"/>
          </w:tcPr>
          <w:p w14:paraId="39B5A367">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个人用品</w:t>
            </w:r>
          </w:p>
        </w:tc>
        <w:tc>
          <w:tcPr>
            <w:tcW w:w="2250" w:type="dxa"/>
            <w:vAlign w:val="center"/>
          </w:tcPr>
          <w:p w14:paraId="2CFA1869">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7F16C3F9">
            <w:pPr>
              <w:tabs>
                <w:tab w:val="left" w:pos="7200"/>
              </w:tabs>
              <w:adjustRightInd w:val="0"/>
              <w:snapToGrid w:val="0"/>
              <w:spacing w:line="360" w:lineRule="auto"/>
              <w:rPr>
                <w:rFonts w:ascii="宋体" w:hAnsi="宋体" w:cs="宋体"/>
                <w:bCs/>
                <w:kern w:val="0"/>
                <w:szCs w:val="21"/>
              </w:rPr>
            </w:pPr>
            <w:r>
              <w:rPr>
                <w:rFonts w:hint="eastAsia" w:ascii="宋体" w:hAnsi="宋体" w:cs="宋体"/>
                <w:bCs/>
                <w:kern w:val="0"/>
                <w:szCs w:val="21"/>
              </w:rPr>
              <w:t>服装、鞋、发套、防护镜、手套等</w:t>
            </w:r>
          </w:p>
        </w:tc>
        <w:tc>
          <w:tcPr>
            <w:tcW w:w="726" w:type="dxa"/>
            <w:vAlign w:val="center"/>
          </w:tcPr>
          <w:p w14:paraId="6015EF28">
            <w:pPr>
              <w:tabs>
                <w:tab w:val="left" w:pos="7200"/>
              </w:tabs>
              <w:adjustRightInd w:val="0"/>
              <w:snapToGrid w:val="0"/>
              <w:spacing w:line="360" w:lineRule="auto"/>
              <w:jc w:val="center"/>
              <w:rPr>
                <w:rFonts w:ascii="宋体" w:hAnsi="宋体" w:cs="宋体"/>
                <w:bCs/>
                <w:kern w:val="0"/>
                <w:szCs w:val="21"/>
              </w:rPr>
            </w:pPr>
          </w:p>
        </w:tc>
      </w:tr>
      <w:tr w14:paraId="3AF0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80" w:type="dxa"/>
            <w:vAlign w:val="center"/>
          </w:tcPr>
          <w:p w14:paraId="37D92532">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5</w:t>
            </w:r>
          </w:p>
        </w:tc>
        <w:tc>
          <w:tcPr>
            <w:tcW w:w="2166" w:type="dxa"/>
            <w:vAlign w:val="center"/>
          </w:tcPr>
          <w:p w14:paraId="7F31C7F8">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保洁耗材</w:t>
            </w:r>
          </w:p>
        </w:tc>
        <w:tc>
          <w:tcPr>
            <w:tcW w:w="2250" w:type="dxa"/>
            <w:vAlign w:val="center"/>
          </w:tcPr>
          <w:p w14:paraId="5AD7C1E8">
            <w:pPr>
              <w:tabs>
                <w:tab w:val="left" w:pos="7200"/>
              </w:tabs>
              <w:adjustRightInd w:val="0"/>
              <w:snapToGrid w:val="0"/>
              <w:spacing w:line="360" w:lineRule="auto"/>
              <w:jc w:val="center"/>
              <w:rPr>
                <w:rFonts w:ascii="宋体" w:hAnsi="宋体" w:cs="宋体"/>
                <w:bCs/>
                <w:kern w:val="0"/>
                <w:szCs w:val="21"/>
              </w:rPr>
            </w:pPr>
          </w:p>
        </w:tc>
        <w:tc>
          <w:tcPr>
            <w:tcW w:w="2800" w:type="dxa"/>
            <w:vAlign w:val="center"/>
          </w:tcPr>
          <w:p w14:paraId="731EFA10">
            <w:pPr>
              <w:tabs>
                <w:tab w:val="left" w:pos="7200"/>
              </w:tabs>
              <w:adjustRightInd w:val="0"/>
              <w:snapToGrid w:val="0"/>
              <w:spacing w:line="360" w:lineRule="auto"/>
              <w:jc w:val="center"/>
              <w:rPr>
                <w:rFonts w:ascii="宋体" w:hAnsi="宋体" w:cs="宋体"/>
                <w:bCs/>
                <w:kern w:val="0"/>
                <w:szCs w:val="21"/>
              </w:rPr>
            </w:pPr>
            <w:r>
              <w:rPr>
                <w:rFonts w:hint="eastAsia" w:ascii="宋体" w:hAnsi="宋体" w:cs="宋体"/>
                <w:bCs/>
                <w:kern w:val="0"/>
                <w:szCs w:val="21"/>
              </w:rPr>
              <w:t>所有保洁用品</w:t>
            </w:r>
          </w:p>
        </w:tc>
        <w:tc>
          <w:tcPr>
            <w:tcW w:w="726" w:type="dxa"/>
            <w:vAlign w:val="center"/>
          </w:tcPr>
          <w:p w14:paraId="239CF641">
            <w:pPr>
              <w:tabs>
                <w:tab w:val="left" w:pos="7200"/>
              </w:tabs>
              <w:adjustRightInd w:val="0"/>
              <w:snapToGrid w:val="0"/>
              <w:spacing w:line="360" w:lineRule="auto"/>
              <w:jc w:val="center"/>
              <w:rPr>
                <w:rFonts w:ascii="宋体" w:hAnsi="宋体" w:cs="宋体"/>
                <w:bCs/>
                <w:kern w:val="0"/>
                <w:szCs w:val="21"/>
              </w:rPr>
            </w:pPr>
          </w:p>
        </w:tc>
      </w:tr>
    </w:tbl>
    <w:p w14:paraId="3DE76EEB">
      <w:pPr>
        <w:tabs>
          <w:tab w:val="left" w:pos="709"/>
        </w:tabs>
        <w:spacing w:line="480" w:lineRule="auto"/>
        <w:ind w:left="602"/>
        <w:rPr>
          <w:rFonts w:ascii="宋体" w:hAnsi="宋体"/>
          <w:sz w:val="24"/>
          <w:szCs w:val="24"/>
        </w:rPr>
      </w:pPr>
    </w:p>
    <w:p w14:paraId="2895278F">
      <w:pPr>
        <w:spacing w:line="360" w:lineRule="auto"/>
        <w:rPr>
          <w:rFonts w:ascii="宋体" w:hAnsi="宋体"/>
          <w:b/>
          <w:sz w:val="24"/>
          <w:szCs w:val="24"/>
        </w:rPr>
      </w:pPr>
      <w:r>
        <w:rPr>
          <w:rFonts w:ascii="宋体" w:hAnsi="宋体"/>
          <w:b/>
          <w:sz w:val="24"/>
          <w:szCs w:val="24"/>
        </w:rPr>
        <w:br w:type="page"/>
      </w:r>
      <w:r>
        <w:rPr>
          <w:rFonts w:hint="eastAsia" w:ascii="宋体" w:hAnsi="宋体"/>
          <w:b/>
          <w:sz w:val="24"/>
          <w:szCs w:val="24"/>
        </w:rPr>
        <w:t>二、物业管理服务人员需求</w:t>
      </w:r>
    </w:p>
    <w:p w14:paraId="6CB6C934">
      <w:pPr>
        <w:spacing w:line="360" w:lineRule="auto"/>
        <w:rPr>
          <w:rFonts w:ascii="宋体" w:hAnsi="宋体"/>
          <w:b/>
          <w:szCs w:val="28"/>
        </w:rPr>
      </w:pPr>
      <w:r>
        <w:rPr>
          <w:rFonts w:hint="eastAsia" w:ascii="宋体" w:hAnsi="宋体"/>
          <w:b/>
          <w:szCs w:val="28"/>
        </w:rPr>
        <w:t>2.1人员</w:t>
      </w:r>
      <w:r>
        <w:rPr>
          <w:rFonts w:ascii="宋体" w:hAnsi="宋体"/>
          <w:b/>
          <w:szCs w:val="28"/>
        </w:rPr>
        <w:t>基本需求</w:t>
      </w:r>
    </w:p>
    <w:tbl>
      <w:tblPr>
        <w:tblStyle w:val="9"/>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1254"/>
        <w:gridCol w:w="810"/>
        <w:gridCol w:w="865"/>
        <w:gridCol w:w="2250"/>
        <w:gridCol w:w="2554"/>
      </w:tblGrid>
      <w:tr w14:paraId="0363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exact"/>
          <w:jc w:val="center"/>
        </w:trPr>
        <w:tc>
          <w:tcPr>
            <w:tcW w:w="883" w:type="dxa"/>
            <w:vAlign w:val="center"/>
          </w:tcPr>
          <w:p w14:paraId="484D4B8E">
            <w:pPr>
              <w:spacing w:line="360" w:lineRule="auto"/>
              <w:jc w:val="center"/>
              <w:rPr>
                <w:rFonts w:ascii="宋体" w:hAnsi="宋体"/>
                <w:b/>
                <w:sz w:val="24"/>
              </w:rPr>
            </w:pPr>
            <w:r>
              <w:rPr>
                <w:rFonts w:hint="eastAsia" w:ascii="宋体" w:hAnsi="宋体"/>
                <w:b/>
                <w:sz w:val="24"/>
              </w:rPr>
              <w:t>部门</w:t>
            </w:r>
          </w:p>
        </w:tc>
        <w:tc>
          <w:tcPr>
            <w:tcW w:w="2064" w:type="dxa"/>
            <w:gridSpan w:val="2"/>
            <w:vAlign w:val="center"/>
          </w:tcPr>
          <w:p w14:paraId="39B04701">
            <w:pPr>
              <w:spacing w:line="360" w:lineRule="auto"/>
              <w:jc w:val="center"/>
              <w:rPr>
                <w:rFonts w:ascii="宋体" w:hAnsi="宋体"/>
                <w:b/>
                <w:sz w:val="24"/>
              </w:rPr>
            </w:pPr>
            <w:r>
              <w:rPr>
                <w:rFonts w:hint="eastAsia" w:ascii="宋体" w:hAnsi="宋体"/>
                <w:b/>
                <w:sz w:val="24"/>
              </w:rPr>
              <w:t>岗位</w:t>
            </w:r>
          </w:p>
        </w:tc>
        <w:tc>
          <w:tcPr>
            <w:tcW w:w="865" w:type="dxa"/>
            <w:vAlign w:val="center"/>
          </w:tcPr>
          <w:p w14:paraId="44921924">
            <w:pPr>
              <w:spacing w:line="360" w:lineRule="auto"/>
              <w:jc w:val="center"/>
              <w:rPr>
                <w:rFonts w:ascii="宋体" w:hAnsi="宋体"/>
                <w:b/>
                <w:sz w:val="24"/>
              </w:rPr>
            </w:pPr>
            <w:r>
              <w:rPr>
                <w:rFonts w:hint="eastAsia" w:ascii="宋体" w:hAnsi="宋体"/>
                <w:b/>
                <w:sz w:val="24"/>
              </w:rPr>
              <w:t>岗位数</w:t>
            </w:r>
          </w:p>
        </w:tc>
        <w:tc>
          <w:tcPr>
            <w:tcW w:w="2250" w:type="dxa"/>
            <w:vAlign w:val="center"/>
          </w:tcPr>
          <w:p w14:paraId="067FC770">
            <w:pPr>
              <w:spacing w:line="280" w:lineRule="exact"/>
              <w:jc w:val="center"/>
              <w:rPr>
                <w:rFonts w:asciiTheme="minorEastAsia" w:hAnsiTheme="minorEastAsia" w:eastAsiaTheme="minorEastAsia"/>
                <w:szCs w:val="21"/>
              </w:rPr>
            </w:pPr>
            <w:r>
              <w:rPr>
                <w:rFonts w:asciiTheme="minorEastAsia" w:hAnsiTheme="minorEastAsia" w:eastAsiaTheme="minorEastAsia"/>
                <w:b/>
                <w:bCs/>
                <w:szCs w:val="21"/>
              </w:rPr>
              <w:t>工作时间</w:t>
            </w:r>
          </w:p>
        </w:tc>
        <w:tc>
          <w:tcPr>
            <w:tcW w:w="2554" w:type="dxa"/>
            <w:vAlign w:val="center"/>
          </w:tcPr>
          <w:p w14:paraId="4533A407">
            <w:pPr>
              <w:spacing w:line="360" w:lineRule="auto"/>
              <w:jc w:val="center"/>
              <w:rPr>
                <w:rFonts w:ascii="宋体" w:hAnsi="宋体"/>
                <w:b/>
                <w:sz w:val="24"/>
              </w:rPr>
            </w:pPr>
            <w:r>
              <w:rPr>
                <w:rFonts w:hint="eastAsia" w:ascii="宋体" w:hAnsi="宋体"/>
                <w:b/>
                <w:sz w:val="24"/>
              </w:rPr>
              <w:t>要求</w:t>
            </w:r>
          </w:p>
        </w:tc>
      </w:tr>
      <w:tr w14:paraId="03D5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exact"/>
          <w:jc w:val="center"/>
        </w:trPr>
        <w:tc>
          <w:tcPr>
            <w:tcW w:w="883" w:type="dxa"/>
            <w:vMerge w:val="restart"/>
            <w:vAlign w:val="center"/>
          </w:tcPr>
          <w:p w14:paraId="0FB658FB">
            <w:pPr>
              <w:spacing w:line="360" w:lineRule="auto"/>
              <w:jc w:val="center"/>
              <w:rPr>
                <w:rFonts w:ascii="宋体" w:hAnsi="宋体"/>
                <w:sz w:val="24"/>
              </w:rPr>
            </w:pPr>
            <w:r>
              <w:rPr>
                <w:rFonts w:hint="eastAsia" w:ascii="宋体" w:hAnsi="宋体"/>
                <w:sz w:val="24"/>
              </w:rPr>
              <w:t>管理</w:t>
            </w:r>
            <w:r>
              <w:rPr>
                <w:rFonts w:ascii="宋体" w:hAnsi="宋体"/>
                <w:sz w:val="24"/>
              </w:rPr>
              <w:t>人员</w:t>
            </w:r>
          </w:p>
        </w:tc>
        <w:tc>
          <w:tcPr>
            <w:tcW w:w="2064" w:type="dxa"/>
            <w:gridSpan w:val="2"/>
            <w:vAlign w:val="center"/>
          </w:tcPr>
          <w:p w14:paraId="75B367A5">
            <w:pPr>
              <w:spacing w:line="360" w:lineRule="auto"/>
              <w:jc w:val="center"/>
              <w:rPr>
                <w:rFonts w:ascii="宋体" w:hAnsi="宋体"/>
                <w:sz w:val="20"/>
                <w:szCs w:val="20"/>
              </w:rPr>
            </w:pPr>
            <w:r>
              <w:rPr>
                <w:rFonts w:hint="eastAsia" w:ascii="宋体" w:hAnsi="宋体"/>
                <w:sz w:val="20"/>
                <w:szCs w:val="20"/>
              </w:rPr>
              <w:t>项目经理</w:t>
            </w:r>
          </w:p>
        </w:tc>
        <w:tc>
          <w:tcPr>
            <w:tcW w:w="865" w:type="dxa"/>
            <w:vAlign w:val="center"/>
          </w:tcPr>
          <w:p w14:paraId="4FFA5265">
            <w:pPr>
              <w:spacing w:line="360" w:lineRule="auto"/>
              <w:jc w:val="center"/>
              <w:rPr>
                <w:rFonts w:ascii="宋体" w:hAnsi="宋体"/>
                <w:sz w:val="20"/>
                <w:szCs w:val="20"/>
              </w:rPr>
            </w:pPr>
            <w:r>
              <w:rPr>
                <w:rFonts w:hint="eastAsia" w:ascii="宋体" w:hAnsi="宋体"/>
                <w:sz w:val="20"/>
                <w:szCs w:val="20"/>
              </w:rPr>
              <w:t>1</w:t>
            </w:r>
          </w:p>
        </w:tc>
        <w:tc>
          <w:tcPr>
            <w:tcW w:w="2250" w:type="dxa"/>
            <w:vAlign w:val="center"/>
          </w:tcPr>
          <w:p w14:paraId="11F97C26">
            <w:pPr>
              <w:spacing w:line="280" w:lineRule="exact"/>
              <w:jc w:val="center"/>
              <w:rPr>
                <w:rFonts w:asciiTheme="minorEastAsia" w:hAnsiTheme="minorEastAsia" w:eastAsiaTheme="minorEastAsia"/>
                <w:color w:val="000000" w:themeColor="text1"/>
                <w:sz w:val="20"/>
                <w:szCs w:val="20"/>
                <w14:textFill>
                  <w14:solidFill>
                    <w14:schemeClr w14:val="tx1"/>
                  </w14:solidFill>
                </w14:textFill>
              </w:rPr>
            </w:pPr>
            <w:r>
              <w:rPr>
                <w:rFonts w:hint="eastAsia" w:ascii="宋体" w:hAnsi="宋体" w:cs="宋体"/>
                <w:sz w:val="20"/>
                <w:szCs w:val="20"/>
              </w:rPr>
              <w:t>08:00-17:00（8小时工作制，有双休、1小时午休）</w:t>
            </w:r>
          </w:p>
        </w:tc>
        <w:tc>
          <w:tcPr>
            <w:tcW w:w="2554" w:type="dxa"/>
            <w:vAlign w:val="center"/>
          </w:tcPr>
          <w:p w14:paraId="38551B40">
            <w:pPr>
              <w:spacing w:line="360" w:lineRule="auto"/>
              <w:jc w:val="left"/>
              <w:rPr>
                <w:rFonts w:ascii="宋体" w:hAnsi="宋体"/>
                <w:sz w:val="20"/>
                <w:szCs w:val="20"/>
              </w:rPr>
            </w:pPr>
            <w:r>
              <w:rPr>
                <w:rFonts w:hint="eastAsia" w:ascii="宋体" w:hAnsi="宋体" w:cs="宋体"/>
                <w:sz w:val="20"/>
                <w:szCs w:val="20"/>
              </w:rPr>
              <w:t>总管</w:t>
            </w:r>
            <w:r>
              <w:rPr>
                <w:rFonts w:ascii="宋体" w:hAnsi="宋体" w:cs="宋体"/>
                <w:sz w:val="20"/>
                <w:szCs w:val="20"/>
              </w:rPr>
              <w:t>医院物业管理服务</w:t>
            </w:r>
          </w:p>
        </w:tc>
      </w:tr>
      <w:tr w14:paraId="5064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exact"/>
          <w:jc w:val="center"/>
        </w:trPr>
        <w:tc>
          <w:tcPr>
            <w:tcW w:w="883" w:type="dxa"/>
            <w:vMerge w:val="continue"/>
            <w:vAlign w:val="center"/>
          </w:tcPr>
          <w:p w14:paraId="58E74B0D">
            <w:pPr>
              <w:spacing w:line="360" w:lineRule="auto"/>
              <w:jc w:val="center"/>
              <w:rPr>
                <w:rFonts w:ascii="宋体" w:hAnsi="宋体"/>
                <w:sz w:val="24"/>
              </w:rPr>
            </w:pPr>
          </w:p>
        </w:tc>
        <w:tc>
          <w:tcPr>
            <w:tcW w:w="2064" w:type="dxa"/>
            <w:gridSpan w:val="2"/>
            <w:vAlign w:val="center"/>
          </w:tcPr>
          <w:p w14:paraId="6084B993">
            <w:pPr>
              <w:spacing w:line="360" w:lineRule="auto"/>
              <w:jc w:val="center"/>
              <w:rPr>
                <w:rFonts w:ascii="宋体" w:hAnsi="宋体"/>
                <w:sz w:val="20"/>
                <w:szCs w:val="20"/>
              </w:rPr>
            </w:pPr>
            <w:r>
              <w:rPr>
                <w:rFonts w:hint="eastAsia" w:ascii="宋体" w:hAnsi="宋体" w:cs="宋体"/>
                <w:sz w:val="20"/>
                <w:szCs w:val="20"/>
              </w:rPr>
              <w:t>主管</w:t>
            </w:r>
          </w:p>
        </w:tc>
        <w:tc>
          <w:tcPr>
            <w:tcW w:w="865" w:type="dxa"/>
            <w:vAlign w:val="center"/>
          </w:tcPr>
          <w:p w14:paraId="3C7E4950">
            <w:pPr>
              <w:spacing w:line="360" w:lineRule="auto"/>
              <w:jc w:val="center"/>
              <w:rPr>
                <w:rFonts w:ascii="宋体" w:hAnsi="宋体"/>
                <w:sz w:val="20"/>
                <w:szCs w:val="20"/>
              </w:rPr>
            </w:pPr>
            <w:r>
              <w:rPr>
                <w:rFonts w:hint="eastAsia" w:ascii="宋体" w:hAnsi="宋体"/>
                <w:sz w:val="20"/>
                <w:szCs w:val="20"/>
              </w:rPr>
              <w:t>1</w:t>
            </w:r>
          </w:p>
        </w:tc>
        <w:tc>
          <w:tcPr>
            <w:tcW w:w="2250" w:type="dxa"/>
          </w:tcPr>
          <w:p w14:paraId="49068E59">
            <w:pPr>
              <w:rPr>
                <w:rFonts w:ascii="宋体" w:hAnsi="宋体" w:cs="宋体"/>
                <w:sz w:val="20"/>
                <w:szCs w:val="20"/>
              </w:rPr>
            </w:pPr>
            <w:r>
              <w:rPr>
                <w:rFonts w:hint="eastAsia" w:ascii="宋体" w:hAnsi="宋体" w:cs="宋体"/>
                <w:sz w:val="20"/>
                <w:szCs w:val="20"/>
              </w:rPr>
              <w:t>08:00-17:00（8小时工作制，有双休、1小时午休）</w:t>
            </w:r>
          </w:p>
        </w:tc>
        <w:tc>
          <w:tcPr>
            <w:tcW w:w="2554" w:type="dxa"/>
            <w:vAlign w:val="center"/>
          </w:tcPr>
          <w:p w14:paraId="5A148B68">
            <w:pPr>
              <w:spacing w:line="360" w:lineRule="auto"/>
              <w:jc w:val="left"/>
              <w:rPr>
                <w:rFonts w:ascii="宋体" w:hAnsi="宋体"/>
                <w:sz w:val="20"/>
                <w:szCs w:val="20"/>
              </w:rPr>
            </w:pPr>
            <w:r>
              <w:rPr>
                <w:rFonts w:hint="eastAsia" w:ascii="宋体" w:hAnsi="宋体" w:cs="宋体"/>
                <w:sz w:val="20"/>
                <w:szCs w:val="20"/>
              </w:rPr>
              <w:t>协助</w:t>
            </w:r>
            <w:r>
              <w:rPr>
                <w:rFonts w:ascii="宋体" w:hAnsi="宋体" w:cs="宋体"/>
                <w:sz w:val="20"/>
                <w:szCs w:val="20"/>
              </w:rPr>
              <w:t>经理管理物业服务</w:t>
            </w:r>
          </w:p>
        </w:tc>
      </w:tr>
      <w:tr w14:paraId="6AFF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83" w:type="dxa"/>
            <w:vMerge w:val="continue"/>
            <w:vAlign w:val="center"/>
          </w:tcPr>
          <w:p w14:paraId="1257E1FC">
            <w:pPr>
              <w:spacing w:line="360" w:lineRule="auto"/>
              <w:jc w:val="center"/>
              <w:rPr>
                <w:rFonts w:ascii="宋体" w:hAnsi="宋体"/>
                <w:sz w:val="24"/>
              </w:rPr>
            </w:pPr>
          </w:p>
        </w:tc>
        <w:tc>
          <w:tcPr>
            <w:tcW w:w="2064" w:type="dxa"/>
            <w:gridSpan w:val="2"/>
            <w:vAlign w:val="center"/>
          </w:tcPr>
          <w:p w14:paraId="67F8168B">
            <w:pPr>
              <w:spacing w:line="360" w:lineRule="auto"/>
              <w:jc w:val="center"/>
              <w:rPr>
                <w:rFonts w:ascii="宋体" w:hAnsi="宋体"/>
                <w:sz w:val="20"/>
                <w:szCs w:val="20"/>
              </w:rPr>
            </w:pPr>
            <w:r>
              <w:rPr>
                <w:rFonts w:hint="eastAsia" w:ascii="宋体" w:hAnsi="宋体" w:cs="宋体"/>
                <w:sz w:val="20"/>
                <w:szCs w:val="20"/>
              </w:rPr>
              <w:t>文员</w:t>
            </w:r>
          </w:p>
        </w:tc>
        <w:tc>
          <w:tcPr>
            <w:tcW w:w="865" w:type="dxa"/>
            <w:vAlign w:val="center"/>
          </w:tcPr>
          <w:p w14:paraId="143EA4CC">
            <w:pPr>
              <w:spacing w:line="360" w:lineRule="auto"/>
              <w:jc w:val="center"/>
              <w:rPr>
                <w:rFonts w:ascii="宋体" w:hAnsi="宋体"/>
                <w:sz w:val="20"/>
                <w:szCs w:val="20"/>
              </w:rPr>
            </w:pPr>
            <w:r>
              <w:rPr>
                <w:rFonts w:hint="eastAsia" w:ascii="宋体" w:hAnsi="宋体"/>
                <w:sz w:val="20"/>
                <w:szCs w:val="20"/>
              </w:rPr>
              <w:t>1</w:t>
            </w:r>
          </w:p>
        </w:tc>
        <w:tc>
          <w:tcPr>
            <w:tcW w:w="2250" w:type="dxa"/>
          </w:tcPr>
          <w:p w14:paraId="79B44599">
            <w:pPr>
              <w:rPr>
                <w:rFonts w:ascii="宋体" w:hAnsi="宋体" w:cs="宋体"/>
                <w:sz w:val="20"/>
                <w:szCs w:val="20"/>
              </w:rPr>
            </w:pPr>
            <w:r>
              <w:rPr>
                <w:rFonts w:hint="eastAsia" w:ascii="宋体" w:hAnsi="宋体" w:cs="宋体"/>
                <w:sz w:val="20"/>
                <w:szCs w:val="20"/>
              </w:rPr>
              <w:t>08:00-17:00（8小时工作制，有双休、1小时午休）</w:t>
            </w:r>
          </w:p>
        </w:tc>
        <w:tc>
          <w:tcPr>
            <w:tcW w:w="2554" w:type="dxa"/>
            <w:vAlign w:val="center"/>
          </w:tcPr>
          <w:p w14:paraId="0EEC1F27">
            <w:pPr>
              <w:spacing w:line="360" w:lineRule="auto"/>
              <w:jc w:val="left"/>
              <w:rPr>
                <w:rFonts w:ascii="宋体" w:hAnsi="宋体" w:cs="宋体"/>
                <w:sz w:val="20"/>
                <w:szCs w:val="20"/>
              </w:rPr>
            </w:pPr>
            <w:r>
              <w:rPr>
                <w:rFonts w:hint="eastAsia" w:ascii="宋体" w:hAnsi="宋体" w:cs="宋体"/>
                <w:sz w:val="20"/>
                <w:szCs w:val="20"/>
              </w:rPr>
              <w:t>负责人员档案和仓库物资</w:t>
            </w:r>
          </w:p>
        </w:tc>
      </w:tr>
      <w:tr w14:paraId="12F9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jc w:val="center"/>
        </w:trPr>
        <w:tc>
          <w:tcPr>
            <w:tcW w:w="883" w:type="dxa"/>
            <w:vMerge w:val="continue"/>
            <w:vAlign w:val="center"/>
          </w:tcPr>
          <w:p w14:paraId="2467A46C">
            <w:pPr>
              <w:spacing w:line="360" w:lineRule="auto"/>
              <w:jc w:val="center"/>
              <w:rPr>
                <w:rFonts w:ascii="宋体" w:hAnsi="宋体"/>
                <w:sz w:val="24"/>
              </w:rPr>
            </w:pPr>
          </w:p>
        </w:tc>
        <w:tc>
          <w:tcPr>
            <w:tcW w:w="1254" w:type="dxa"/>
            <w:vMerge w:val="restart"/>
            <w:vAlign w:val="center"/>
          </w:tcPr>
          <w:p w14:paraId="0C34373E">
            <w:pPr>
              <w:spacing w:line="360" w:lineRule="auto"/>
              <w:jc w:val="center"/>
              <w:rPr>
                <w:rFonts w:ascii="宋体" w:hAnsi="宋体"/>
                <w:sz w:val="20"/>
                <w:szCs w:val="20"/>
              </w:rPr>
            </w:pPr>
            <w:r>
              <w:rPr>
                <w:rFonts w:hint="eastAsia" w:ascii="宋体" w:hAnsi="宋体" w:cs="宋体"/>
                <w:sz w:val="20"/>
                <w:szCs w:val="20"/>
              </w:rPr>
              <w:t>领班</w:t>
            </w:r>
          </w:p>
        </w:tc>
        <w:tc>
          <w:tcPr>
            <w:tcW w:w="810" w:type="dxa"/>
          </w:tcPr>
          <w:p w14:paraId="6D4BED37">
            <w:pPr>
              <w:spacing w:line="360" w:lineRule="auto"/>
              <w:jc w:val="center"/>
              <w:rPr>
                <w:rFonts w:ascii="宋体" w:hAnsi="宋体"/>
                <w:sz w:val="20"/>
                <w:szCs w:val="20"/>
              </w:rPr>
            </w:pPr>
            <w:r>
              <w:rPr>
                <w:rFonts w:hint="eastAsia" w:ascii="宋体" w:hAnsi="宋体"/>
                <w:sz w:val="20"/>
                <w:szCs w:val="20"/>
              </w:rPr>
              <w:t>保洁领班</w:t>
            </w:r>
          </w:p>
        </w:tc>
        <w:tc>
          <w:tcPr>
            <w:tcW w:w="865" w:type="dxa"/>
            <w:vAlign w:val="center"/>
          </w:tcPr>
          <w:p w14:paraId="62BB4421">
            <w:pPr>
              <w:spacing w:line="360" w:lineRule="auto"/>
              <w:jc w:val="center"/>
              <w:rPr>
                <w:rFonts w:ascii="宋体" w:hAnsi="宋体"/>
                <w:sz w:val="20"/>
                <w:szCs w:val="20"/>
              </w:rPr>
            </w:pPr>
            <w:r>
              <w:rPr>
                <w:rFonts w:hint="eastAsia" w:ascii="宋体" w:hAnsi="宋体"/>
                <w:sz w:val="20"/>
                <w:szCs w:val="20"/>
              </w:rPr>
              <w:t>1</w:t>
            </w:r>
          </w:p>
        </w:tc>
        <w:tc>
          <w:tcPr>
            <w:tcW w:w="2250" w:type="dxa"/>
            <w:vMerge w:val="restart"/>
          </w:tcPr>
          <w:p w14:paraId="4E887C2B">
            <w:pPr>
              <w:jc w:val="center"/>
              <w:rPr>
                <w:rFonts w:ascii="宋体" w:hAnsi="宋体" w:cs="宋体"/>
                <w:sz w:val="20"/>
                <w:szCs w:val="20"/>
              </w:rPr>
            </w:pPr>
          </w:p>
          <w:p w14:paraId="304ED03E">
            <w:pPr>
              <w:jc w:val="center"/>
              <w:rPr>
                <w:rFonts w:ascii="宋体" w:hAnsi="宋体" w:cs="宋体"/>
                <w:sz w:val="20"/>
                <w:szCs w:val="20"/>
              </w:rPr>
            </w:pPr>
          </w:p>
          <w:p w14:paraId="3BC98BC3">
            <w:pPr>
              <w:jc w:val="center"/>
              <w:rPr>
                <w:rFonts w:ascii="宋体" w:hAnsi="宋体" w:cs="宋体"/>
                <w:sz w:val="20"/>
                <w:szCs w:val="20"/>
              </w:rPr>
            </w:pPr>
            <w:r>
              <w:rPr>
                <w:rFonts w:hint="eastAsia" w:ascii="宋体" w:hAnsi="宋体" w:cs="宋体"/>
                <w:sz w:val="20"/>
                <w:szCs w:val="20"/>
              </w:rPr>
              <w:t>08:00-17:00（8小时工作制，有双休、1小时午休）</w:t>
            </w:r>
          </w:p>
        </w:tc>
        <w:tc>
          <w:tcPr>
            <w:tcW w:w="2554" w:type="dxa"/>
            <w:vAlign w:val="center"/>
          </w:tcPr>
          <w:p w14:paraId="445819AB">
            <w:pPr>
              <w:spacing w:line="360" w:lineRule="auto"/>
              <w:jc w:val="left"/>
              <w:rPr>
                <w:rFonts w:ascii="宋体" w:hAnsi="宋体"/>
                <w:sz w:val="20"/>
                <w:szCs w:val="20"/>
              </w:rPr>
            </w:pPr>
            <w:r>
              <w:rPr>
                <w:rFonts w:hint="eastAsia" w:ascii="宋体" w:hAnsi="宋体" w:cs="宋体"/>
                <w:sz w:val="20"/>
                <w:szCs w:val="20"/>
              </w:rPr>
              <w:t>分管保洁</w:t>
            </w:r>
            <w:r>
              <w:rPr>
                <w:rFonts w:ascii="宋体" w:hAnsi="宋体" w:cs="宋体"/>
                <w:sz w:val="20"/>
                <w:szCs w:val="20"/>
              </w:rPr>
              <w:t>条线物业服务</w:t>
            </w:r>
          </w:p>
        </w:tc>
      </w:tr>
      <w:tr w14:paraId="7E8D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jc w:val="center"/>
        </w:trPr>
        <w:tc>
          <w:tcPr>
            <w:tcW w:w="883" w:type="dxa"/>
            <w:vMerge w:val="continue"/>
            <w:vAlign w:val="center"/>
          </w:tcPr>
          <w:p w14:paraId="5C92B245">
            <w:pPr>
              <w:spacing w:line="360" w:lineRule="auto"/>
              <w:jc w:val="center"/>
              <w:rPr>
                <w:rFonts w:ascii="宋体" w:hAnsi="宋体"/>
                <w:sz w:val="24"/>
              </w:rPr>
            </w:pPr>
          </w:p>
        </w:tc>
        <w:tc>
          <w:tcPr>
            <w:tcW w:w="1254" w:type="dxa"/>
            <w:vMerge w:val="continue"/>
            <w:vAlign w:val="center"/>
          </w:tcPr>
          <w:p w14:paraId="3D2DF848">
            <w:pPr>
              <w:spacing w:line="360" w:lineRule="auto"/>
              <w:jc w:val="center"/>
              <w:rPr>
                <w:rFonts w:ascii="宋体" w:hAnsi="宋体" w:cs="宋体"/>
                <w:sz w:val="20"/>
                <w:szCs w:val="20"/>
              </w:rPr>
            </w:pPr>
          </w:p>
        </w:tc>
        <w:tc>
          <w:tcPr>
            <w:tcW w:w="810" w:type="dxa"/>
          </w:tcPr>
          <w:p w14:paraId="6D0A2436">
            <w:pPr>
              <w:spacing w:line="360" w:lineRule="auto"/>
              <w:jc w:val="center"/>
              <w:rPr>
                <w:rFonts w:ascii="宋体" w:hAnsi="宋体"/>
                <w:sz w:val="20"/>
                <w:szCs w:val="20"/>
              </w:rPr>
            </w:pPr>
            <w:r>
              <w:rPr>
                <w:rFonts w:hint="eastAsia" w:ascii="宋体" w:hAnsi="宋体"/>
                <w:sz w:val="20"/>
                <w:szCs w:val="20"/>
              </w:rPr>
              <w:t>配膳领班</w:t>
            </w:r>
          </w:p>
        </w:tc>
        <w:tc>
          <w:tcPr>
            <w:tcW w:w="865" w:type="dxa"/>
            <w:vAlign w:val="center"/>
          </w:tcPr>
          <w:p w14:paraId="2C4A5E3C">
            <w:pPr>
              <w:spacing w:line="360" w:lineRule="auto"/>
              <w:jc w:val="center"/>
              <w:rPr>
                <w:rFonts w:ascii="宋体" w:hAnsi="宋体"/>
                <w:sz w:val="20"/>
                <w:szCs w:val="20"/>
              </w:rPr>
            </w:pPr>
            <w:r>
              <w:rPr>
                <w:rFonts w:hint="eastAsia" w:ascii="宋体" w:hAnsi="宋体"/>
                <w:sz w:val="20"/>
                <w:szCs w:val="20"/>
              </w:rPr>
              <w:t>1</w:t>
            </w:r>
          </w:p>
        </w:tc>
        <w:tc>
          <w:tcPr>
            <w:tcW w:w="2250" w:type="dxa"/>
            <w:vMerge w:val="continue"/>
          </w:tcPr>
          <w:p w14:paraId="1E4FC6DC">
            <w:pPr>
              <w:rPr>
                <w:rFonts w:ascii="宋体" w:hAnsi="宋体" w:cs="宋体"/>
                <w:sz w:val="20"/>
                <w:szCs w:val="20"/>
              </w:rPr>
            </w:pPr>
          </w:p>
        </w:tc>
        <w:tc>
          <w:tcPr>
            <w:tcW w:w="2554" w:type="dxa"/>
            <w:vAlign w:val="center"/>
          </w:tcPr>
          <w:p w14:paraId="17F508AB">
            <w:pPr>
              <w:spacing w:line="360" w:lineRule="auto"/>
              <w:jc w:val="left"/>
              <w:rPr>
                <w:rFonts w:ascii="宋体" w:hAnsi="宋体"/>
                <w:sz w:val="20"/>
                <w:szCs w:val="20"/>
              </w:rPr>
            </w:pPr>
            <w:r>
              <w:rPr>
                <w:rFonts w:hint="eastAsia" w:ascii="宋体" w:hAnsi="宋体" w:cs="宋体"/>
                <w:sz w:val="20"/>
                <w:szCs w:val="20"/>
              </w:rPr>
              <w:t>分管配膳</w:t>
            </w:r>
            <w:r>
              <w:rPr>
                <w:rFonts w:ascii="宋体" w:hAnsi="宋体" w:cs="宋体"/>
                <w:sz w:val="20"/>
                <w:szCs w:val="20"/>
              </w:rPr>
              <w:t>条线物业服务</w:t>
            </w:r>
          </w:p>
        </w:tc>
      </w:tr>
      <w:tr w14:paraId="18E0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jc w:val="center"/>
        </w:trPr>
        <w:tc>
          <w:tcPr>
            <w:tcW w:w="883" w:type="dxa"/>
            <w:vMerge w:val="continue"/>
            <w:vAlign w:val="center"/>
          </w:tcPr>
          <w:p w14:paraId="6D1C7420">
            <w:pPr>
              <w:spacing w:line="360" w:lineRule="auto"/>
              <w:jc w:val="center"/>
              <w:rPr>
                <w:rFonts w:ascii="宋体" w:hAnsi="宋体"/>
                <w:sz w:val="24"/>
              </w:rPr>
            </w:pPr>
          </w:p>
        </w:tc>
        <w:tc>
          <w:tcPr>
            <w:tcW w:w="1254" w:type="dxa"/>
            <w:vMerge w:val="continue"/>
            <w:vAlign w:val="center"/>
          </w:tcPr>
          <w:p w14:paraId="249BA3C6">
            <w:pPr>
              <w:spacing w:line="360" w:lineRule="auto"/>
              <w:jc w:val="center"/>
              <w:rPr>
                <w:rFonts w:ascii="宋体" w:hAnsi="宋体" w:cs="宋体"/>
                <w:sz w:val="20"/>
                <w:szCs w:val="20"/>
              </w:rPr>
            </w:pPr>
          </w:p>
        </w:tc>
        <w:tc>
          <w:tcPr>
            <w:tcW w:w="810" w:type="dxa"/>
          </w:tcPr>
          <w:p w14:paraId="4F5623B2">
            <w:pPr>
              <w:spacing w:line="360" w:lineRule="auto"/>
              <w:jc w:val="center"/>
              <w:rPr>
                <w:rFonts w:ascii="宋体" w:hAnsi="宋体"/>
                <w:sz w:val="20"/>
                <w:szCs w:val="20"/>
              </w:rPr>
            </w:pPr>
            <w:r>
              <w:rPr>
                <w:rFonts w:hint="eastAsia" w:ascii="宋体" w:hAnsi="宋体"/>
                <w:sz w:val="20"/>
                <w:szCs w:val="20"/>
              </w:rPr>
              <w:t>运送领班</w:t>
            </w:r>
          </w:p>
        </w:tc>
        <w:tc>
          <w:tcPr>
            <w:tcW w:w="865" w:type="dxa"/>
            <w:vAlign w:val="center"/>
          </w:tcPr>
          <w:p w14:paraId="1CEEFF0F">
            <w:pPr>
              <w:spacing w:line="360" w:lineRule="auto"/>
              <w:jc w:val="center"/>
              <w:rPr>
                <w:rFonts w:ascii="宋体" w:hAnsi="宋体"/>
                <w:sz w:val="20"/>
                <w:szCs w:val="20"/>
              </w:rPr>
            </w:pPr>
            <w:r>
              <w:rPr>
                <w:rFonts w:hint="eastAsia" w:ascii="宋体" w:hAnsi="宋体"/>
                <w:sz w:val="20"/>
                <w:szCs w:val="20"/>
              </w:rPr>
              <w:t>1</w:t>
            </w:r>
          </w:p>
        </w:tc>
        <w:tc>
          <w:tcPr>
            <w:tcW w:w="2250" w:type="dxa"/>
            <w:vMerge w:val="continue"/>
          </w:tcPr>
          <w:p w14:paraId="4CA14BFB">
            <w:pPr>
              <w:rPr>
                <w:rFonts w:ascii="宋体" w:hAnsi="宋体" w:cs="宋体"/>
                <w:sz w:val="20"/>
                <w:szCs w:val="20"/>
              </w:rPr>
            </w:pPr>
          </w:p>
        </w:tc>
        <w:tc>
          <w:tcPr>
            <w:tcW w:w="2554" w:type="dxa"/>
            <w:vAlign w:val="center"/>
          </w:tcPr>
          <w:p w14:paraId="0DBB6B27">
            <w:pPr>
              <w:spacing w:line="360" w:lineRule="auto"/>
              <w:jc w:val="left"/>
              <w:rPr>
                <w:rFonts w:ascii="宋体" w:hAnsi="宋体"/>
                <w:sz w:val="20"/>
                <w:szCs w:val="20"/>
              </w:rPr>
            </w:pPr>
            <w:r>
              <w:rPr>
                <w:rFonts w:hint="eastAsia" w:ascii="宋体" w:hAnsi="宋体" w:cs="宋体"/>
                <w:sz w:val="20"/>
                <w:szCs w:val="20"/>
              </w:rPr>
              <w:t>分管运送</w:t>
            </w:r>
            <w:r>
              <w:rPr>
                <w:rFonts w:ascii="宋体" w:hAnsi="宋体" w:cs="宋体"/>
                <w:sz w:val="20"/>
                <w:szCs w:val="20"/>
              </w:rPr>
              <w:t>条线物业服务</w:t>
            </w:r>
          </w:p>
        </w:tc>
      </w:tr>
      <w:tr w14:paraId="78E1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4" w:hRule="atLeast"/>
          <w:jc w:val="center"/>
        </w:trPr>
        <w:tc>
          <w:tcPr>
            <w:tcW w:w="883" w:type="dxa"/>
            <w:vAlign w:val="center"/>
          </w:tcPr>
          <w:p w14:paraId="3F47277F">
            <w:pPr>
              <w:spacing w:line="360" w:lineRule="auto"/>
              <w:jc w:val="center"/>
              <w:rPr>
                <w:rFonts w:ascii="宋体" w:hAnsi="宋体"/>
                <w:sz w:val="24"/>
              </w:rPr>
            </w:pPr>
            <w:r>
              <w:rPr>
                <w:rFonts w:hint="eastAsia" w:ascii="宋体" w:hAnsi="宋体"/>
                <w:sz w:val="24"/>
              </w:rPr>
              <w:t>保洁</w:t>
            </w:r>
          </w:p>
        </w:tc>
        <w:tc>
          <w:tcPr>
            <w:tcW w:w="2064" w:type="dxa"/>
            <w:gridSpan w:val="2"/>
            <w:vAlign w:val="center"/>
          </w:tcPr>
          <w:p w14:paraId="1B733495">
            <w:pPr>
              <w:spacing w:line="360" w:lineRule="auto"/>
              <w:jc w:val="center"/>
              <w:rPr>
                <w:rFonts w:ascii="宋体" w:hAnsi="宋体"/>
                <w:sz w:val="20"/>
                <w:szCs w:val="20"/>
              </w:rPr>
            </w:pPr>
            <w:r>
              <w:rPr>
                <w:rFonts w:hint="eastAsia" w:ascii="宋体" w:hAnsi="宋体"/>
                <w:sz w:val="20"/>
                <w:szCs w:val="20"/>
              </w:rPr>
              <w:t>保洁</w:t>
            </w:r>
            <w:r>
              <w:rPr>
                <w:rFonts w:ascii="宋体" w:hAnsi="宋体"/>
                <w:sz w:val="20"/>
                <w:szCs w:val="20"/>
              </w:rPr>
              <w:t>员</w:t>
            </w:r>
          </w:p>
        </w:tc>
        <w:tc>
          <w:tcPr>
            <w:tcW w:w="865" w:type="dxa"/>
            <w:vAlign w:val="center"/>
          </w:tcPr>
          <w:p w14:paraId="15A4C16A">
            <w:pPr>
              <w:spacing w:line="360" w:lineRule="auto"/>
              <w:jc w:val="center"/>
              <w:rPr>
                <w:rFonts w:ascii="宋体" w:hAnsi="宋体"/>
                <w:sz w:val="20"/>
                <w:szCs w:val="20"/>
              </w:rPr>
            </w:pPr>
            <w:r>
              <w:rPr>
                <w:rFonts w:hint="eastAsia" w:ascii="宋体" w:hAnsi="宋体"/>
                <w:sz w:val="20"/>
                <w:szCs w:val="20"/>
              </w:rPr>
              <w:t>65</w:t>
            </w:r>
          </w:p>
        </w:tc>
        <w:tc>
          <w:tcPr>
            <w:tcW w:w="2250" w:type="dxa"/>
            <w:vAlign w:val="center"/>
          </w:tcPr>
          <w:p w14:paraId="423DF981">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早班：7:00-15：00</w:t>
            </w:r>
          </w:p>
          <w:p w14:paraId="5673D7E1">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中班：11:00-19:00</w:t>
            </w:r>
          </w:p>
          <w:p w14:paraId="2D4AE23D">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晚班：19:00-7:00</w:t>
            </w:r>
          </w:p>
          <w:p w14:paraId="77A3C346">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asciiTheme="minorEastAsia" w:hAnsiTheme="minorEastAsia" w:eastAsiaTheme="minorEastAsia"/>
                <w:color w:val="000000" w:themeColor="text1"/>
                <w:sz w:val="20"/>
                <w:szCs w:val="20"/>
                <w14:textFill>
                  <w14:solidFill>
                    <w14:schemeClr w14:val="tx1"/>
                  </w14:solidFill>
                </w14:textFill>
              </w:rPr>
              <w:t>周一到周</w:t>
            </w:r>
            <w:r>
              <w:rPr>
                <w:rFonts w:hint="eastAsia" w:asciiTheme="minorEastAsia" w:hAnsiTheme="minorEastAsia" w:eastAsiaTheme="minorEastAsia"/>
                <w:color w:val="000000" w:themeColor="text1"/>
                <w:sz w:val="20"/>
                <w:szCs w:val="20"/>
                <w14:textFill>
                  <w14:solidFill>
                    <w14:schemeClr w14:val="tx1"/>
                  </w14:solidFill>
                </w14:textFill>
              </w:rPr>
              <w:t>日，做六休一，1-2小时午休，每周总计工作时间不得超过40小时</w:t>
            </w:r>
          </w:p>
        </w:tc>
        <w:tc>
          <w:tcPr>
            <w:tcW w:w="2554" w:type="dxa"/>
            <w:vAlign w:val="center"/>
          </w:tcPr>
          <w:p w14:paraId="756A1C5C">
            <w:pPr>
              <w:jc w:val="left"/>
              <w:rPr>
                <w:rFonts w:ascii="宋体" w:hAnsi="宋体"/>
                <w:sz w:val="20"/>
                <w:szCs w:val="20"/>
              </w:rPr>
            </w:pPr>
            <w:r>
              <w:rPr>
                <w:rFonts w:hint="eastAsia" w:ascii="宋体" w:hAnsi="宋体" w:cs="宋体"/>
                <w:sz w:val="20"/>
                <w:szCs w:val="20"/>
              </w:rPr>
              <w:t>按要求</w:t>
            </w:r>
            <w:r>
              <w:rPr>
                <w:rFonts w:ascii="宋体" w:hAnsi="宋体" w:cs="宋体"/>
                <w:sz w:val="20"/>
                <w:szCs w:val="20"/>
              </w:rPr>
              <w:t>进行全院保洁工作</w:t>
            </w:r>
            <w:r>
              <w:rPr>
                <w:rFonts w:hint="eastAsia" w:ascii="宋体" w:hAnsi="宋体" w:cs="宋体"/>
                <w:sz w:val="20"/>
                <w:szCs w:val="20"/>
              </w:rPr>
              <w:t>，急诊、手术室、产房岗位需提供24小时保洁服务；发热门诊、血透中心、老年科、医技楼两个病区需提供16小时服务</w:t>
            </w:r>
          </w:p>
        </w:tc>
      </w:tr>
      <w:tr w14:paraId="055A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exact"/>
          <w:jc w:val="center"/>
        </w:trPr>
        <w:tc>
          <w:tcPr>
            <w:tcW w:w="883" w:type="dxa"/>
            <w:vAlign w:val="center"/>
          </w:tcPr>
          <w:p w14:paraId="166F289C">
            <w:pPr>
              <w:spacing w:line="360" w:lineRule="auto"/>
              <w:jc w:val="center"/>
              <w:rPr>
                <w:rFonts w:ascii="宋体" w:hAnsi="宋体"/>
                <w:sz w:val="24"/>
              </w:rPr>
            </w:pPr>
            <w:r>
              <w:rPr>
                <w:rFonts w:hint="eastAsia" w:ascii="宋体" w:hAnsi="宋体"/>
                <w:sz w:val="24"/>
              </w:rPr>
              <w:t>电梯</w:t>
            </w:r>
          </w:p>
        </w:tc>
        <w:tc>
          <w:tcPr>
            <w:tcW w:w="2064" w:type="dxa"/>
            <w:gridSpan w:val="2"/>
            <w:vAlign w:val="center"/>
          </w:tcPr>
          <w:p w14:paraId="2B3F7A62">
            <w:pPr>
              <w:spacing w:line="360" w:lineRule="auto"/>
              <w:jc w:val="center"/>
              <w:rPr>
                <w:rFonts w:ascii="宋体" w:hAnsi="宋体"/>
                <w:sz w:val="20"/>
                <w:szCs w:val="20"/>
              </w:rPr>
            </w:pPr>
            <w:r>
              <w:rPr>
                <w:rFonts w:hint="eastAsia" w:ascii="宋体" w:hAnsi="宋体"/>
                <w:sz w:val="20"/>
                <w:szCs w:val="20"/>
              </w:rPr>
              <w:t>电梯操作员</w:t>
            </w:r>
          </w:p>
        </w:tc>
        <w:tc>
          <w:tcPr>
            <w:tcW w:w="865" w:type="dxa"/>
            <w:vAlign w:val="center"/>
          </w:tcPr>
          <w:p w14:paraId="012DCB2C">
            <w:pPr>
              <w:spacing w:line="360" w:lineRule="auto"/>
              <w:jc w:val="center"/>
              <w:rPr>
                <w:rFonts w:ascii="宋体" w:hAnsi="宋体"/>
                <w:sz w:val="20"/>
                <w:szCs w:val="20"/>
              </w:rPr>
            </w:pPr>
            <w:r>
              <w:rPr>
                <w:rFonts w:hint="eastAsia" w:ascii="宋体" w:hAnsi="宋体"/>
                <w:sz w:val="20"/>
                <w:szCs w:val="20"/>
              </w:rPr>
              <w:t>5</w:t>
            </w:r>
          </w:p>
        </w:tc>
        <w:tc>
          <w:tcPr>
            <w:tcW w:w="2250" w:type="dxa"/>
            <w:vAlign w:val="center"/>
          </w:tcPr>
          <w:p w14:paraId="50947128">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早班：7:00-15：00</w:t>
            </w:r>
          </w:p>
          <w:p w14:paraId="7A8FFFE8">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中班：11:00-19:00</w:t>
            </w:r>
          </w:p>
          <w:p w14:paraId="3DC9F7CD">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晚班：19:00-7:00</w:t>
            </w:r>
          </w:p>
          <w:p w14:paraId="7E1C055C">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asciiTheme="minorEastAsia" w:hAnsiTheme="minorEastAsia" w:eastAsiaTheme="minorEastAsia"/>
                <w:color w:val="000000" w:themeColor="text1"/>
                <w:sz w:val="20"/>
                <w:szCs w:val="20"/>
                <w14:textFill>
                  <w14:solidFill>
                    <w14:schemeClr w14:val="tx1"/>
                  </w14:solidFill>
                </w14:textFill>
              </w:rPr>
              <w:t>周一到周</w:t>
            </w:r>
            <w:r>
              <w:rPr>
                <w:rFonts w:hint="eastAsia" w:asciiTheme="minorEastAsia" w:hAnsiTheme="minorEastAsia" w:eastAsiaTheme="minorEastAsia"/>
                <w:color w:val="000000" w:themeColor="text1"/>
                <w:sz w:val="20"/>
                <w:szCs w:val="20"/>
                <w14:textFill>
                  <w14:solidFill>
                    <w14:schemeClr w14:val="tx1"/>
                  </w14:solidFill>
                </w14:textFill>
              </w:rPr>
              <w:t>日，做六休一，1-2小时午休，每周总计工作时间不得超过40小时</w:t>
            </w:r>
          </w:p>
          <w:p w14:paraId="6DE368B5">
            <w:pPr>
              <w:spacing w:line="280" w:lineRule="exact"/>
              <w:jc w:val="center"/>
              <w:rPr>
                <w:rFonts w:asciiTheme="minorEastAsia" w:hAnsiTheme="minorEastAsia" w:eastAsiaTheme="minorEastAsia"/>
                <w:color w:val="000000" w:themeColor="text1"/>
                <w:sz w:val="20"/>
                <w:szCs w:val="20"/>
                <w14:textFill>
                  <w14:solidFill>
                    <w14:schemeClr w14:val="tx1"/>
                  </w14:solidFill>
                </w14:textFill>
              </w:rPr>
            </w:pPr>
          </w:p>
        </w:tc>
        <w:tc>
          <w:tcPr>
            <w:tcW w:w="2554" w:type="dxa"/>
            <w:tcBorders>
              <w:bottom w:val="single" w:color="auto" w:sz="4" w:space="0"/>
            </w:tcBorders>
            <w:vAlign w:val="center"/>
          </w:tcPr>
          <w:p w14:paraId="6FE45878">
            <w:pPr>
              <w:spacing w:line="360" w:lineRule="auto"/>
              <w:jc w:val="left"/>
              <w:rPr>
                <w:rFonts w:ascii="宋体" w:hAnsi="宋体"/>
                <w:sz w:val="20"/>
                <w:szCs w:val="20"/>
              </w:rPr>
            </w:pPr>
            <w:r>
              <w:rPr>
                <w:rFonts w:hint="eastAsia" w:ascii="宋体" w:hAnsi="宋体" w:cs="宋体"/>
                <w:sz w:val="20"/>
                <w:szCs w:val="20"/>
              </w:rPr>
              <w:t>负责</w:t>
            </w:r>
            <w:r>
              <w:rPr>
                <w:rFonts w:ascii="宋体" w:hAnsi="宋体" w:cs="宋体"/>
                <w:sz w:val="20"/>
                <w:szCs w:val="20"/>
              </w:rPr>
              <w:t>全院电梯操控</w:t>
            </w:r>
            <w:r>
              <w:rPr>
                <w:rFonts w:hint="eastAsia" w:ascii="宋体" w:hAnsi="宋体" w:cs="宋体"/>
                <w:sz w:val="20"/>
                <w:szCs w:val="20"/>
              </w:rPr>
              <w:t>管理</w:t>
            </w:r>
            <w:r>
              <w:rPr>
                <w:rFonts w:ascii="宋体" w:hAnsi="宋体" w:cs="宋体"/>
                <w:sz w:val="20"/>
                <w:szCs w:val="20"/>
              </w:rPr>
              <w:t>及清洁卫生工作</w:t>
            </w:r>
            <w:r>
              <w:rPr>
                <w:rFonts w:hint="eastAsia" w:ascii="宋体" w:hAnsi="宋体" w:cs="宋体"/>
                <w:sz w:val="20"/>
                <w:szCs w:val="20"/>
              </w:rPr>
              <w:t>，综合楼、2号楼电梯操作员需提供24小时服务</w:t>
            </w:r>
          </w:p>
        </w:tc>
      </w:tr>
      <w:tr w14:paraId="4AC6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exact"/>
          <w:jc w:val="center"/>
        </w:trPr>
        <w:tc>
          <w:tcPr>
            <w:tcW w:w="883" w:type="dxa"/>
            <w:vMerge w:val="restart"/>
            <w:vAlign w:val="center"/>
          </w:tcPr>
          <w:p w14:paraId="6046CE9D">
            <w:pPr>
              <w:spacing w:line="360" w:lineRule="auto"/>
              <w:jc w:val="center"/>
              <w:rPr>
                <w:rFonts w:ascii="宋体" w:hAnsi="宋体"/>
                <w:sz w:val="24"/>
              </w:rPr>
            </w:pPr>
          </w:p>
        </w:tc>
        <w:tc>
          <w:tcPr>
            <w:tcW w:w="2064" w:type="dxa"/>
            <w:gridSpan w:val="2"/>
            <w:vAlign w:val="center"/>
          </w:tcPr>
          <w:p w14:paraId="4459C5EE">
            <w:pPr>
              <w:spacing w:line="360" w:lineRule="auto"/>
              <w:jc w:val="center"/>
              <w:rPr>
                <w:rFonts w:ascii="宋体" w:hAnsi="宋体"/>
                <w:sz w:val="20"/>
                <w:szCs w:val="20"/>
              </w:rPr>
            </w:pPr>
            <w:r>
              <w:rPr>
                <w:rFonts w:hint="eastAsia" w:ascii="宋体" w:hAnsi="宋体"/>
                <w:sz w:val="20"/>
                <w:szCs w:val="20"/>
              </w:rPr>
              <w:t>配膳员</w:t>
            </w:r>
          </w:p>
        </w:tc>
        <w:tc>
          <w:tcPr>
            <w:tcW w:w="865" w:type="dxa"/>
            <w:vAlign w:val="center"/>
          </w:tcPr>
          <w:p w14:paraId="49886D41">
            <w:pPr>
              <w:spacing w:line="360" w:lineRule="auto"/>
              <w:jc w:val="center"/>
              <w:rPr>
                <w:rFonts w:ascii="宋体" w:hAnsi="宋体"/>
                <w:sz w:val="20"/>
                <w:szCs w:val="20"/>
              </w:rPr>
            </w:pPr>
            <w:r>
              <w:rPr>
                <w:rFonts w:hint="eastAsia" w:ascii="宋体" w:hAnsi="宋体"/>
                <w:sz w:val="20"/>
                <w:szCs w:val="20"/>
              </w:rPr>
              <w:t>21</w:t>
            </w:r>
          </w:p>
        </w:tc>
        <w:tc>
          <w:tcPr>
            <w:tcW w:w="2250" w:type="dxa"/>
            <w:vAlign w:val="center"/>
          </w:tcPr>
          <w:p w14:paraId="66BF12D9">
            <w:pPr>
              <w:spacing w:line="280" w:lineRule="exact"/>
              <w:rPr>
                <w:rFonts w:asciiTheme="minorEastAsia" w:hAnsiTheme="minorEastAsia" w:eastAsiaTheme="minorEastAsia"/>
                <w:color w:val="000000" w:themeColor="text1"/>
                <w:sz w:val="20"/>
                <w:szCs w:val="20"/>
                <w14:textFill>
                  <w14:solidFill>
                    <w14:schemeClr w14:val="tx1"/>
                  </w14:solidFill>
                </w14:textFill>
              </w:rPr>
            </w:pPr>
            <w:r>
              <w:rPr>
                <w:rFonts w:asciiTheme="minorEastAsia" w:hAnsiTheme="minorEastAsia" w:eastAsiaTheme="minorEastAsia"/>
                <w:color w:val="000000" w:themeColor="text1"/>
                <w:sz w:val="20"/>
                <w:szCs w:val="20"/>
                <w14:textFill>
                  <w14:solidFill>
                    <w14:schemeClr w14:val="tx1"/>
                  </w14:solidFill>
                </w14:textFill>
              </w:rPr>
              <w:t>周一到周</w:t>
            </w:r>
            <w:r>
              <w:rPr>
                <w:rFonts w:hint="eastAsia" w:asciiTheme="minorEastAsia" w:hAnsiTheme="minorEastAsia" w:eastAsiaTheme="minorEastAsia"/>
                <w:color w:val="000000" w:themeColor="text1"/>
                <w:sz w:val="20"/>
                <w:szCs w:val="20"/>
                <w14:textFill>
                  <w14:solidFill>
                    <w14:schemeClr w14:val="tx1"/>
                  </w14:solidFill>
                </w14:textFill>
              </w:rPr>
              <w:t>日</w:t>
            </w:r>
          </w:p>
          <w:p w14:paraId="193344D4">
            <w:pPr>
              <w:spacing w:line="280" w:lineRule="exac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6</w:t>
            </w:r>
            <w:r>
              <w:rPr>
                <w:rFonts w:asciiTheme="minorEastAsia" w:hAnsiTheme="minorEastAsia" w:eastAsiaTheme="minorEastAsia"/>
                <w:color w:val="000000" w:themeColor="text1"/>
                <w:sz w:val="20"/>
                <w:szCs w:val="20"/>
                <w14:textFill>
                  <w14:solidFill>
                    <w14:schemeClr w14:val="tx1"/>
                  </w14:solidFill>
                </w14:textFill>
              </w:rPr>
              <w:t>：30-17：30</w:t>
            </w:r>
            <w:r>
              <w:rPr>
                <w:rFonts w:hint="eastAsia" w:asciiTheme="minorEastAsia" w:hAnsiTheme="minorEastAsia" w:eastAsiaTheme="minorEastAsia"/>
                <w:color w:val="000000" w:themeColor="text1"/>
                <w:sz w:val="20"/>
                <w:szCs w:val="20"/>
                <w14:textFill>
                  <w14:solidFill>
                    <w14:schemeClr w14:val="tx1"/>
                  </w14:solidFill>
                </w14:textFill>
              </w:rPr>
              <w:t>，做六休一，4小时间休，每周总计工作时间不得超过40小时</w:t>
            </w:r>
          </w:p>
        </w:tc>
        <w:tc>
          <w:tcPr>
            <w:tcW w:w="2554" w:type="dxa"/>
            <w:vAlign w:val="center"/>
          </w:tcPr>
          <w:p w14:paraId="2DA76430">
            <w:pPr>
              <w:spacing w:line="360" w:lineRule="auto"/>
              <w:jc w:val="left"/>
              <w:rPr>
                <w:rFonts w:ascii="宋体" w:hAnsi="宋体"/>
                <w:sz w:val="20"/>
                <w:szCs w:val="20"/>
              </w:rPr>
            </w:pPr>
            <w:r>
              <w:rPr>
                <w:rFonts w:hint="eastAsia" w:ascii="宋体" w:hAnsi="宋体" w:cs="宋体"/>
                <w:sz w:val="20"/>
                <w:szCs w:val="20"/>
              </w:rPr>
              <w:t>协助营养科</w:t>
            </w:r>
            <w:r>
              <w:rPr>
                <w:rFonts w:ascii="宋体" w:hAnsi="宋体" w:cs="宋体"/>
                <w:sz w:val="20"/>
                <w:szCs w:val="20"/>
              </w:rPr>
              <w:t>进行患者膳食配送</w:t>
            </w:r>
            <w:r>
              <w:rPr>
                <w:rFonts w:hint="eastAsia" w:ascii="宋体" w:hAnsi="宋体" w:cs="宋体"/>
                <w:sz w:val="20"/>
                <w:szCs w:val="20"/>
              </w:rPr>
              <w:t>及基础</w:t>
            </w:r>
            <w:r>
              <w:rPr>
                <w:rFonts w:ascii="宋体" w:hAnsi="宋体" w:cs="宋体"/>
                <w:sz w:val="20"/>
                <w:szCs w:val="20"/>
              </w:rPr>
              <w:t>饮食宣教</w:t>
            </w:r>
          </w:p>
        </w:tc>
      </w:tr>
      <w:tr w14:paraId="2B9F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exact"/>
          <w:jc w:val="center"/>
        </w:trPr>
        <w:tc>
          <w:tcPr>
            <w:tcW w:w="883" w:type="dxa"/>
            <w:vMerge w:val="continue"/>
            <w:vAlign w:val="center"/>
          </w:tcPr>
          <w:p w14:paraId="3A695151">
            <w:pPr>
              <w:spacing w:line="360" w:lineRule="auto"/>
              <w:jc w:val="center"/>
              <w:rPr>
                <w:rFonts w:ascii="宋体" w:hAnsi="宋体"/>
                <w:sz w:val="24"/>
              </w:rPr>
            </w:pPr>
          </w:p>
        </w:tc>
        <w:tc>
          <w:tcPr>
            <w:tcW w:w="2064" w:type="dxa"/>
            <w:gridSpan w:val="2"/>
            <w:vAlign w:val="center"/>
          </w:tcPr>
          <w:p w14:paraId="59F63738">
            <w:pPr>
              <w:spacing w:line="360" w:lineRule="auto"/>
              <w:jc w:val="center"/>
              <w:rPr>
                <w:rFonts w:ascii="宋体" w:hAnsi="宋体"/>
                <w:sz w:val="20"/>
                <w:szCs w:val="20"/>
              </w:rPr>
            </w:pPr>
            <w:r>
              <w:rPr>
                <w:rFonts w:hint="eastAsia" w:ascii="宋体" w:hAnsi="宋体"/>
                <w:sz w:val="20"/>
                <w:szCs w:val="20"/>
              </w:rPr>
              <w:t>运送员</w:t>
            </w:r>
          </w:p>
        </w:tc>
        <w:tc>
          <w:tcPr>
            <w:tcW w:w="865" w:type="dxa"/>
            <w:vAlign w:val="center"/>
          </w:tcPr>
          <w:p w14:paraId="57AA1258">
            <w:pPr>
              <w:spacing w:line="360" w:lineRule="auto"/>
              <w:jc w:val="center"/>
              <w:rPr>
                <w:rFonts w:ascii="宋体" w:hAnsi="宋体"/>
                <w:sz w:val="20"/>
                <w:szCs w:val="20"/>
              </w:rPr>
            </w:pPr>
            <w:r>
              <w:rPr>
                <w:rFonts w:hint="eastAsia" w:ascii="宋体" w:hAnsi="宋体"/>
                <w:sz w:val="20"/>
                <w:szCs w:val="20"/>
              </w:rPr>
              <w:t>29</w:t>
            </w:r>
          </w:p>
        </w:tc>
        <w:tc>
          <w:tcPr>
            <w:tcW w:w="2250" w:type="dxa"/>
            <w:vAlign w:val="center"/>
          </w:tcPr>
          <w:p w14:paraId="69960A69">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早班：7:00-15：00</w:t>
            </w:r>
          </w:p>
          <w:p w14:paraId="7821B053">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中班：11:00-19:00</w:t>
            </w:r>
          </w:p>
          <w:p w14:paraId="7F617FAE">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hint="eastAsia" w:asciiTheme="minorEastAsia" w:hAnsiTheme="minorEastAsia" w:eastAsiaTheme="minorEastAsia"/>
                <w:color w:val="000000" w:themeColor="text1"/>
                <w:sz w:val="20"/>
                <w:szCs w:val="20"/>
                <w14:textFill>
                  <w14:solidFill>
                    <w14:schemeClr w14:val="tx1"/>
                  </w14:solidFill>
                </w14:textFill>
              </w:rPr>
              <w:t>晚班：19:00-7:00</w:t>
            </w:r>
          </w:p>
          <w:p w14:paraId="6C795332">
            <w:pPr>
              <w:spacing w:line="280" w:lineRule="exact"/>
              <w:jc w:val="left"/>
              <w:rPr>
                <w:rFonts w:asciiTheme="minorEastAsia" w:hAnsiTheme="minorEastAsia" w:eastAsiaTheme="minorEastAsia"/>
                <w:color w:val="000000" w:themeColor="text1"/>
                <w:sz w:val="20"/>
                <w:szCs w:val="20"/>
                <w14:textFill>
                  <w14:solidFill>
                    <w14:schemeClr w14:val="tx1"/>
                  </w14:solidFill>
                </w14:textFill>
              </w:rPr>
            </w:pPr>
            <w:r>
              <w:rPr>
                <w:rFonts w:asciiTheme="minorEastAsia" w:hAnsiTheme="minorEastAsia" w:eastAsiaTheme="minorEastAsia"/>
                <w:color w:val="000000" w:themeColor="text1"/>
                <w:sz w:val="20"/>
                <w:szCs w:val="20"/>
                <w14:textFill>
                  <w14:solidFill>
                    <w14:schemeClr w14:val="tx1"/>
                  </w14:solidFill>
                </w14:textFill>
              </w:rPr>
              <w:t>周一到周</w:t>
            </w:r>
            <w:r>
              <w:rPr>
                <w:rFonts w:hint="eastAsia" w:asciiTheme="minorEastAsia" w:hAnsiTheme="minorEastAsia" w:eastAsiaTheme="minorEastAsia"/>
                <w:color w:val="000000" w:themeColor="text1"/>
                <w:sz w:val="20"/>
                <w:szCs w:val="20"/>
                <w14:textFill>
                  <w14:solidFill>
                    <w14:schemeClr w14:val="tx1"/>
                  </w14:solidFill>
                </w14:textFill>
              </w:rPr>
              <w:t>日，做六休一，1-2小时午休，每周总计工作时间不得超过40小时</w:t>
            </w:r>
          </w:p>
        </w:tc>
        <w:tc>
          <w:tcPr>
            <w:tcW w:w="2554" w:type="dxa"/>
            <w:vAlign w:val="center"/>
          </w:tcPr>
          <w:p w14:paraId="55A3F1A2">
            <w:pPr>
              <w:jc w:val="left"/>
              <w:rPr>
                <w:rFonts w:ascii="宋体" w:hAnsi="宋体"/>
                <w:sz w:val="20"/>
                <w:szCs w:val="20"/>
              </w:rPr>
            </w:pPr>
            <w:r>
              <w:rPr>
                <w:rFonts w:hint="eastAsia" w:ascii="宋体" w:hAnsi="宋体" w:cs="宋体"/>
                <w:bCs/>
                <w:sz w:val="20"/>
                <w:szCs w:val="20"/>
              </w:rPr>
              <w:t>运送行动不便的病人、并包括检验标本、单据、药物、医用品等的运送，急诊、手术室及调度需提供24小时服务</w:t>
            </w:r>
          </w:p>
        </w:tc>
      </w:tr>
      <w:tr w14:paraId="5F64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jc w:val="center"/>
        </w:trPr>
        <w:tc>
          <w:tcPr>
            <w:tcW w:w="2947" w:type="dxa"/>
            <w:gridSpan w:val="3"/>
            <w:vAlign w:val="center"/>
          </w:tcPr>
          <w:p w14:paraId="62E85C36">
            <w:pPr>
              <w:spacing w:line="360" w:lineRule="auto"/>
              <w:jc w:val="center"/>
              <w:rPr>
                <w:rFonts w:ascii="宋体" w:hAnsi="宋体"/>
                <w:sz w:val="24"/>
              </w:rPr>
            </w:pPr>
            <w:r>
              <w:rPr>
                <w:rFonts w:hint="eastAsia" w:ascii="宋体" w:hAnsi="宋体"/>
                <w:sz w:val="24"/>
              </w:rPr>
              <w:t>合计</w:t>
            </w:r>
          </w:p>
        </w:tc>
        <w:tc>
          <w:tcPr>
            <w:tcW w:w="865" w:type="dxa"/>
            <w:vAlign w:val="center"/>
          </w:tcPr>
          <w:p w14:paraId="287A6655">
            <w:pPr>
              <w:spacing w:line="360" w:lineRule="auto"/>
              <w:jc w:val="center"/>
              <w:rPr>
                <w:rFonts w:ascii="宋体" w:hAnsi="宋体"/>
                <w:sz w:val="24"/>
              </w:rPr>
            </w:pPr>
            <w:r>
              <w:rPr>
                <w:rFonts w:hint="eastAsia" w:ascii="宋体" w:hAnsi="宋体"/>
                <w:sz w:val="24"/>
              </w:rPr>
              <w:t>126</w:t>
            </w:r>
          </w:p>
        </w:tc>
        <w:tc>
          <w:tcPr>
            <w:tcW w:w="2250" w:type="dxa"/>
          </w:tcPr>
          <w:p w14:paraId="1FACA5A3">
            <w:pPr>
              <w:spacing w:line="360" w:lineRule="auto"/>
              <w:jc w:val="center"/>
              <w:rPr>
                <w:rFonts w:ascii="宋体" w:hAnsi="宋体" w:cs="宋体"/>
                <w:sz w:val="22"/>
              </w:rPr>
            </w:pPr>
          </w:p>
        </w:tc>
        <w:tc>
          <w:tcPr>
            <w:tcW w:w="2554" w:type="dxa"/>
            <w:vAlign w:val="center"/>
          </w:tcPr>
          <w:p w14:paraId="7BB1A8E7">
            <w:pPr>
              <w:spacing w:line="360" w:lineRule="auto"/>
              <w:jc w:val="center"/>
              <w:rPr>
                <w:rFonts w:ascii="宋体" w:hAnsi="宋体" w:cs="宋体"/>
                <w:sz w:val="22"/>
              </w:rPr>
            </w:pPr>
          </w:p>
        </w:tc>
      </w:tr>
    </w:tbl>
    <w:p w14:paraId="4014ADE9">
      <w:pPr>
        <w:spacing w:line="360" w:lineRule="auto"/>
        <w:rPr>
          <w:rFonts w:ascii="宋体" w:hAnsi="宋体"/>
          <w:sz w:val="24"/>
          <w:szCs w:val="24"/>
        </w:rPr>
      </w:pPr>
      <w:r>
        <w:rPr>
          <w:rFonts w:hint="eastAsia" w:ascii="宋体" w:hAnsi="宋体"/>
          <w:sz w:val="24"/>
          <w:szCs w:val="24"/>
        </w:rPr>
        <w:t>备注：1、</w:t>
      </w:r>
      <w:r>
        <w:rPr>
          <w:rFonts w:hint="eastAsia" w:ascii="宋体" w:hAnsi="宋体" w:cs="宋体"/>
          <w:bCs/>
          <w:color w:val="000000" w:themeColor="text1"/>
          <w:sz w:val="24"/>
          <w:szCs w:val="24"/>
          <w14:textFill>
            <w14:solidFill>
              <w14:schemeClr w14:val="tx1"/>
            </w14:solidFill>
          </w14:textFill>
        </w:rPr>
        <w:t>中标公司中标后全年人员流动需与本单位协商，且流动率控制在25%以内</w:t>
      </w:r>
      <w:r>
        <w:rPr>
          <w:rFonts w:hint="eastAsia" w:ascii="宋体" w:hAnsi="宋体"/>
          <w:sz w:val="24"/>
          <w:szCs w:val="24"/>
        </w:rPr>
        <w:t>；2、所有服务人员的聘用及劳动工时必须符合《劳动法》及其他国家法律法规的规定；3、中标公司中标后部分特殊科室岗位工作时间按照实际服务要求再做相应调整</w:t>
      </w:r>
    </w:p>
    <w:p w14:paraId="2072749E">
      <w:pPr>
        <w:spacing w:line="360" w:lineRule="auto"/>
        <w:rPr>
          <w:rFonts w:ascii="宋体" w:hAnsi="宋体"/>
          <w:b/>
          <w:szCs w:val="28"/>
        </w:rPr>
      </w:pPr>
      <w:r>
        <w:rPr>
          <w:rFonts w:hint="eastAsia" w:ascii="宋体" w:hAnsi="宋体"/>
          <w:b/>
          <w:szCs w:val="28"/>
        </w:rPr>
        <w:t>2.2人员配置需求</w:t>
      </w:r>
    </w:p>
    <w:p w14:paraId="5B771048">
      <w:pPr>
        <w:widowControl/>
        <w:textAlignment w:val="center"/>
        <w:rPr>
          <w:rFonts w:ascii="宋体" w:hAnsi="宋体"/>
          <w:sz w:val="24"/>
          <w:szCs w:val="24"/>
        </w:rPr>
      </w:pPr>
      <w:r>
        <w:rPr>
          <w:rFonts w:hint="eastAsia" w:ascii="宋体" w:hAnsi="宋体"/>
          <w:sz w:val="24"/>
          <w:szCs w:val="24"/>
        </w:rPr>
        <w:t>1、所有服务人员须身体健康、适合医院环境工作。</w:t>
      </w:r>
    </w:p>
    <w:p w14:paraId="2CD27F8E">
      <w:pPr>
        <w:spacing w:line="460" w:lineRule="exact"/>
        <w:rPr>
          <w:rFonts w:ascii="宋体" w:hAnsi="宋体"/>
          <w:sz w:val="24"/>
          <w:szCs w:val="24"/>
        </w:rPr>
      </w:pPr>
      <w:r>
        <w:rPr>
          <w:rFonts w:hint="eastAsia" w:ascii="宋体" w:hAnsi="宋体"/>
          <w:sz w:val="24"/>
          <w:szCs w:val="24"/>
        </w:rPr>
        <w:t>2、管理人员、物业员工必须相对固定，避免经常更换，员工离职率每年度控制在25%以下。</w:t>
      </w:r>
    </w:p>
    <w:p w14:paraId="0BD416B9">
      <w:pPr>
        <w:spacing w:line="460" w:lineRule="exact"/>
        <w:rPr>
          <w:rFonts w:ascii="宋体" w:hAnsi="宋体"/>
          <w:sz w:val="24"/>
          <w:szCs w:val="24"/>
        </w:rPr>
      </w:pPr>
      <w:r>
        <w:rPr>
          <w:rFonts w:hint="eastAsia" w:ascii="宋体" w:hAnsi="宋体"/>
          <w:sz w:val="24"/>
          <w:szCs w:val="24"/>
        </w:rPr>
        <w:t>3、投标人根据现场情况岗位配置相应的员工人数，为满足医院运行，提高满意度，</w:t>
      </w:r>
    </w:p>
    <w:p w14:paraId="707E4BBC">
      <w:pPr>
        <w:spacing w:line="460" w:lineRule="exact"/>
        <w:rPr>
          <w:rFonts w:ascii="宋体" w:hAnsi="宋体"/>
          <w:sz w:val="24"/>
          <w:szCs w:val="24"/>
        </w:rPr>
      </w:pPr>
      <w:r>
        <w:rPr>
          <w:rFonts w:hint="eastAsia" w:ascii="宋体" w:hAnsi="宋体"/>
          <w:sz w:val="24"/>
          <w:szCs w:val="24"/>
        </w:rPr>
        <w:t>建议人员不少于182人/岗，院方可根据医院发展或基建建设情况，增加或减少人员的要求，投标人在接获院方书面正式通知后一周内完成。</w:t>
      </w:r>
    </w:p>
    <w:p w14:paraId="5B7A2EC1">
      <w:pPr>
        <w:spacing w:line="460" w:lineRule="exact"/>
        <w:rPr>
          <w:rFonts w:ascii="宋体" w:hAnsi="宋体"/>
          <w:sz w:val="24"/>
          <w:szCs w:val="24"/>
        </w:rPr>
      </w:pPr>
      <w:r>
        <w:rPr>
          <w:rFonts w:hint="eastAsia" w:ascii="宋体" w:hAnsi="宋体"/>
          <w:sz w:val="24"/>
          <w:szCs w:val="24"/>
        </w:rPr>
        <w:t>4、拟安排所有人员应具有《健康证》</w:t>
      </w:r>
    </w:p>
    <w:p w14:paraId="0146B9DA">
      <w:pPr>
        <w:spacing w:line="460" w:lineRule="exact"/>
        <w:rPr>
          <w:rFonts w:ascii="宋体" w:hAnsi="宋体"/>
          <w:sz w:val="24"/>
          <w:szCs w:val="24"/>
        </w:rPr>
      </w:pPr>
      <w:r>
        <w:rPr>
          <w:rFonts w:hint="eastAsia" w:ascii="宋体" w:hAnsi="宋体"/>
          <w:sz w:val="24"/>
          <w:szCs w:val="24"/>
        </w:rPr>
        <w:t>5、要求为拟安排人员购买意雇主责任险，公众责任险等。</w:t>
      </w:r>
    </w:p>
    <w:p w14:paraId="6EFF0703">
      <w:pPr>
        <w:spacing w:line="460" w:lineRule="exact"/>
        <w:rPr>
          <w:rFonts w:ascii="宋体" w:hAnsi="宋体"/>
          <w:b/>
          <w:sz w:val="24"/>
          <w:szCs w:val="24"/>
        </w:rPr>
      </w:pPr>
      <w:r>
        <w:rPr>
          <w:rFonts w:hint="eastAsia" w:ascii="宋体" w:hAnsi="宋体"/>
          <w:sz w:val="24"/>
          <w:szCs w:val="24"/>
        </w:rPr>
        <w:t>6、根据实际工作要求，相关人员须取得上岗操作证。</w:t>
      </w:r>
    </w:p>
    <w:p w14:paraId="310D023A">
      <w:pPr>
        <w:spacing w:line="460" w:lineRule="exact"/>
        <w:rPr>
          <w:rFonts w:ascii="宋体" w:hAnsi="宋体"/>
          <w:sz w:val="24"/>
          <w:szCs w:val="24"/>
        </w:rPr>
      </w:pPr>
    </w:p>
    <w:p w14:paraId="4CCA0149">
      <w:pPr>
        <w:spacing w:line="360" w:lineRule="auto"/>
        <w:rPr>
          <w:rFonts w:ascii="宋体" w:hAnsi="宋体"/>
          <w:b/>
          <w:szCs w:val="28"/>
        </w:rPr>
      </w:pPr>
      <w:r>
        <w:rPr>
          <w:rFonts w:hint="eastAsia" w:ascii="宋体" w:hAnsi="宋体"/>
          <w:b/>
          <w:szCs w:val="28"/>
        </w:rPr>
        <w:t>2.2.1项目经理（项目负责人）要求</w:t>
      </w:r>
    </w:p>
    <w:p w14:paraId="5D4D06E2">
      <w:pPr>
        <w:spacing w:line="460" w:lineRule="exact"/>
        <w:jc w:val="left"/>
        <w:rPr>
          <w:rFonts w:ascii="宋体" w:hAnsi="宋体"/>
          <w:sz w:val="24"/>
          <w:szCs w:val="24"/>
        </w:rPr>
      </w:pPr>
      <w:r>
        <w:rPr>
          <w:rFonts w:hint="eastAsia" w:ascii="宋体" w:hAnsi="宋体"/>
          <w:sz w:val="24"/>
          <w:szCs w:val="24"/>
        </w:rPr>
        <w:t xml:space="preserve">   全面负责区域内要求的服务工作的管理，做好与采购人的沟通和协调工作。</w:t>
      </w:r>
      <w:r>
        <w:rPr>
          <w:rFonts w:hint="eastAsia" w:ascii="宋体" w:hAnsi="宋体"/>
          <w:bCs/>
          <w:sz w:val="24"/>
          <w:szCs w:val="24"/>
        </w:rPr>
        <w:t>要求年龄在50岁以下，本科学历，</w:t>
      </w:r>
      <w:bookmarkStart w:id="4" w:name="_GoBack"/>
      <w:bookmarkStart w:id="0" w:name="OLE_LINK1"/>
      <w:r>
        <w:rPr>
          <w:rFonts w:hint="eastAsia" w:ascii="宋体" w:hAnsi="宋体"/>
          <w:bCs/>
          <w:sz w:val="24"/>
          <w:szCs w:val="24"/>
        </w:rPr>
        <w:t>持有物业经理高级证书</w:t>
      </w:r>
      <w:r>
        <w:rPr>
          <w:rFonts w:hint="eastAsia" w:ascii="宋体" w:hAnsi="宋体"/>
          <w:sz w:val="24"/>
          <w:szCs w:val="24"/>
        </w:rPr>
        <w:t>。具有于本项目同级别（或类似）五年及以上工作经验</w:t>
      </w:r>
      <w:r>
        <w:rPr>
          <w:rFonts w:hint="eastAsia" w:ascii="宋体" w:hAnsi="宋体"/>
          <w:sz w:val="24"/>
          <w:szCs w:val="24"/>
          <w:lang w:eastAsia="zh-CN"/>
        </w:rPr>
        <w:t>的优先</w:t>
      </w:r>
      <w:bookmarkEnd w:id="4"/>
      <w:bookmarkEnd w:id="0"/>
      <w:r>
        <w:rPr>
          <w:rFonts w:hint="eastAsia" w:ascii="宋体" w:hAnsi="宋体"/>
          <w:sz w:val="24"/>
          <w:szCs w:val="24"/>
        </w:rPr>
        <w:t>。</w:t>
      </w:r>
      <w:r>
        <w:rPr>
          <w:rFonts w:hint="eastAsia" w:ascii="宋体" w:hAnsi="宋体" w:cs="宋体"/>
          <w:bCs/>
          <w:color w:val="000000" w:themeColor="text1"/>
          <w:sz w:val="24"/>
          <w:szCs w:val="24"/>
          <w14:textFill>
            <w14:solidFill>
              <w14:schemeClr w14:val="tx1"/>
            </w14:solidFill>
          </w14:textFill>
        </w:rPr>
        <w:t>项目中标后不得更换项目经理，如需更换项目经理需经本单位同意</w:t>
      </w:r>
      <w:r>
        <w:rPr>
          <w:rFonts w:hint="eastAsia" w:ascii="宋体" w:hAnsi="宋体"/>
          <w:sz w:val="24"/>
          <w:szCs w:val="24"/>
        </w:rPr>
        <w:t>。</w:t>
      </w:r>
    </w:p>
    <w:p w14:paraId="50A6BD4F">
      <w:pPr>
        <w:spacing w:line="460" w:lineRule="exact"/>
        <w:jc w:val="left"/>
        <w:rPr>
          <w:rFonts w:ascii="宋体" w:hAnsi="宋体"/>
          <w:sz w:val="24"/>
          <w:szCs w:val="24"/>
        </w:rPr>
      </w:pPr>
      <w:r>
        <w:rPr>
          <w:rFonts w:hint="eastAsia" w:ascii="宋体" w:hAnsi="宋体"/>
          <w:sz w:val="24"/>
          <w:szCs w:val="24"/>
        </w:rPr>
        <w:t xml:space="preserve"> </w:t>
      </w:r>
    </w:p>
    <w:p w14:paraId="547F8B46">
      <w:pPr>
        <w:spacing w:line="360" w:lineRule="auto"/>
        <w:rPr>
          <w:rFonts w:ascii="宋体" w:hAnsi="宋体"/>
          <w:b/>
          <w:szCs w:val="28"/>
        </w:rPr>
      </w:pPr>
      <w:r>
        <w:rPr>
          <w:rFonts w:hint="eastAsia" w:ascii="宋体" w:hAnsi="宋体"/>
          <w:b/>
          <w:szCs w:val="28"/>
        </w:rPr>
        <w:t>2.2.2 主管要求</w:t>
      </w:r>
    </w:p>
    <w:p w14:paraId="523E9AAA">
      <w:pPr>
        <w:spacing w:line="360" w:lineRule="auto"/>
        <w:ind w:firstLine="480" w:firstLineChars="200"/>
        <w:rPr>
          <w:rFonts w:ascii="宋体" w:hAnsi="宋体"/>
          <w:sz w:val="24"/>
          <w:szCs w:val="24"/>
        </w:rPr>
      </w:pPr>
      <w:r>
        <w:rPr>
          <w:rFonts w:hint="eastAsia" w:ascii="宋体" w:hAnsi="宋体"/>
          <w:sz w:val="24"/>
          <w:szCs w:val="24"/>
        </w:rPr>
        <w:t>要求年龄在40岁以下，本科学历，具有物业经理中级证书，具有于本项目同级别（或类似）三年及以上工作经验。</w:t>
      </w:r>
    </w:p>
    <w:p w14:paraId="09C54680">
      <w:pPr>
        <w:spacing w:line="360" w:lineRule="auto"/>
        <w:ind w:firstLine="480" w:firstLineChars="200"/>
        <w:rPr>
          <w:rFonts w:ascii="宋体" w:hAnsi="宋体"/>
          <w:sz w:val="24"/>
          <w:szCs w:val="24"/>
        </w:rPr>
      </w:pPr>
    </w:p>
    <w:p w14:paraId="071F1978">
      <w:pPr>
        <w:spacing w:line="360" w:lineRule="auto"/>
        <w:rPr>
          <w:rFonts w:ascii="宋体" w:hAnsi="宋体"/>
          <w:b/>
          <w:szCs w:val="28"/>
        </w:rPr>
      </w:pPr>
      <w:r>
        <w:rPr>
          <w:rFonts w:hint="eastAsia" w:ascii="宋体" w:hAnsi="宋体"/>
          <w:b/>
          <w:szCs w:val="28"/>
        </w:rPr>
        <w:t>2.2.3 文员要求</w:t>
      </w:r>
    </w:p>
    <w:p w14:paraId="1CB3191F">
      <w:pPr>
        <w:spacing w:line="360" w:lineRule="auto"/>
        <w:ind w:firstLine="480" w:firstLineChars="200"/>
        <w:rPr>
          <w:rFonts w:ascii="宋体" w:hAnsi="宋体"/>
          <w:sz w:val="24"/>
          <w:szCs w:val="24"/>
        </w:rPr>
      </w:pPr>
      <w:r>
        <w:rPr>
          <w:rFonts w:hint="eastAsia" w:ascii="宋体" w:hAnsi="宋体"/>
          <w:sz w:val="24"/>
          <w:szCs w:val="24"/>
        </w:rPr>
        <w:t>要求年龄在40岁以下，大专及以上学历，具有仓储管理经验及熟悉电脑操作，熟练运用办公软件和文档的整理、归档及管理工作，具有于本项目同级别（或类似）三年及以上工作经验。</w:t>
      </w:r>
    </w:p>
    <w:p w14:paraId="79DCD48E">
      <w:pPr>
        <w:spacing w:line="360" w:lineRule="auto"/>
        <w:ind w:firstLine="480" w:firstLineChars="200"/>
        <w:rPr>
          <w:rFonts w:ascii="宋体" w:hAnsi="宋体"/>
          <w:sz w:val="24"/>
          <w:szCs w:val="24"/>
        </w:rPr>
      </w:pPr>
    </w:p>
    <w:p w14:paraId="36E6ACCC">
      <w:pPr>
        <w:spacing w:line="360" w:lineRule="auto"/>
        <w:rPr>
          <w:rFonts w:ascii="宋体" w:hAnsi="宋体"/>
          <w:b/>
          <w:szCs w:val="28"/>
        </w:rPr>
      </w:pPr>
      <w:r>
        <w:rPr>
          <w:rFonts w:hint="eastAsia" w:ascii="宋体" w:hAnsi="宋体"/>
          <w:b/>
          <w:szCs w:val="28"/>
        </w:rPr>
        <w:t>2.2.4 领班要求</w:t>
      </w:r>
    </w:p>
    <w:p w14:paraId="2312049F">
      <w:pPr>
        <w:spacing w:line="360" w:lineRule="auto"/>
        <w:ind w:firstLine="480" w:firstLineChars="200"/>
        <w:rPr>
          <w:rFonts w:ascii="宋体" w:hAnsi="宋体"/>
          <w:sz w:val="24"/>
          <w:szCs w:val="24"/>
        </w:rPr>
      </w:pPr>
      <w:r>
        <w:rPr>
          <w:rFonts w:hint="eastAsia" w:ascii="宋体" w:hAnsi="宋体"/>
          <w:sz w:val="24"/>
          <w:szCs w:val="24"/>
        </w:rPr>
        <w:t>要求年龄在55岁以下，大专及以上学历，具有物业经理中级证书，具有于本项目同级别（或类似）三年及以上工作经验。</w:t>
      </w:r>
    </w:p>
    <w:p w14:paraId="4B3CFEDD">
      <w:pPr>
        <w:spacing w:line="360" w:lineRule="auto"/>
        <w:ind w:firstLine="480" w:firstLineChars="200"/>
        <w:rPr>
          <w:rFonts w:ascii="宋体" w:hAnsi="宋体"/>
          <w:sz w:val="24"/>
          <w:szCs w:val="24"/>
        </w:rPr>
      </w:pPr>
    </w:p>
    <w:p w14:paraId="26F136CF">
      <w:pPr>
        <w:spacing w:line="360" w:lineRule="auto"/>
        <w:rPr>
          <w:rFonts w:ascii="宋体" w:hAnsi="宋体"/>
          <w:b/>
          <w:szCs w:val="28"/>
        </w:rPr>
      </w:pPr>
      <w:r>
        <w:rPr>
          <w:rFonts w:hint="eastAsia" w:ascii="宋体" w:hAnsi="宋体"/>
          <w:b/>
          <w:szCs w:val="28"/>
        </w:rPr>
        <w:t>2.2.5保洁人员要求</w:t>
      </w:r>
    </w:p>
    <w:p w14:paraId="4C5D79D9">
      <w:pPr>
        <w:spacing w:line="460" w:lineRule="exact"/>
        <w:ind w:firstLine="480" w:firstLineChars="200"/>
        <w:rPr>
          <w:rFonts w:ascii="宋体" w:hAnsi="宋体"/>
          <w:sz w:val="24"/>
          <w:szCs w:val="24"/>
        </w:rPr>
      </w:pPr>
      <w:r>
        <w:rPr>
          <w:rFonts w:hint="eastAsia" w:ascii="宋体" w:hAnsi="宋体"/>
          <w:sz w:val="24"/>
          <w:szCs w:val="24"/>
        </w:rPr>
        <w:t>负责区域内的环境卫生和日常保洁，工作积极主动、团结互助、以诚待人、以礼相待。人员配置要求男性不超过60周岁，女性不超过55周岁，体检合格，有从事过保洁工作经验、仪表整洁、礼貌和蔼，有良好素养和职业道德。人员身体健康，服务形象良好。</w:t>
      </w:r>
    </w:p>
    <w:p w14:paraId="055887B9">
      <w:pPr>
        <w:spacing w:line="460" w:lineRule="exact"/>
        <w:rPr>
          <w:rFonts w:ascii="宋体" w:hAnsi="宋体"/>
          <w:sz w:val="24"/>
          <w:szCs w:val="24"/>
        </w:rPr>
      </w:pPr>
      <w:r>
        <w:rPr>
          <w:rFonts w:hint="eastAsia" w:ascii="宋体" w:hAnsi="宋体"/>
          <w:sz w:val="24"/>
          <w:szCs w:val="24"/>
        </w:rPr>
        <w:t>1、投标人提供岗前培训，时限（岗前培训或在岗培训）职业素质、仪等内容视岗位内容而定。服务人员100%经过岗前或在岗培训合格才能独立上岗。投标人的各岗位员工要统一服装，并由投标人负责其员工工服配备和洗涤。员工佩戴能明显识别的工号牌，根据岗位需要合理配备劳动保护设施设备，发放劳保用品。以上所产生的费用由投标人承担。</w:t>
      </w:r>
    </w:p>
    <w:p w14:paraId="115C5EB6">
      <w:pPr>
        <w:spacing w:line="460" w:lineRule="exact"/>
        <w:rPr>
          <w:rFonts w:ascii="宋体" w:hAnsi="宋体"/>
          <w:sz w:val="24"/>
          <w:szCs w:val="24"/>
        </w:rPr>
      </w:pPr>
      <w:r>
        <w:rPr>
          <w:rFonts w:hint="eastAsia" w:ascii="宋体" w:hAnsi="宋体"/>
          <w:sz w:val="24"/>
          <w:szCs w:val="24"/>
        </w:rPr>
        <w:t>2、建立和完善员工档案，全体管理和服务人员必须登记造册（纸质与电子表格并附有身份证复印件，进场前报院方备案；履约过程中如有人员变动，应于变动后第二天书面通知院方。</w:t>
      </w:r>
    </w:p>
    <w:p w14:paraId="6A6C3780">
      <w:pPr>
        <w:spacing w:line="460" w:lineRule="exact"/>
        <w:rPr>
          <w:rFonts w:ascii="宋体" w:hAnsi="宋体"/>
          <w:sz w:val="24"/>
          <w:szCs w:val="24"/>
        </w:rPr>
      </w:pPr>
      <w:r>
        <w:rPr>
          <w:rFonts w:hint="eastAsia" w:ascii="宋体" w:hAnsi="宋体"/>
          <w:sz w:val="24"/>
          <w:szCs w:val="24"/>
        </w:rPr>
        <w:t>3、服务人员资质及经验要求</w:t>
      </w:r>
    </w:p>
    <w:p w14:paraId="584E7C01">
      <w:pPr>
        <w:spacing w:line="360" w:lineRule="auto"/>
        <w:ind w:firstLine="480" w:firstLineChars="200"/>
        <w:rPr>
          <w:rFonts w:ascii="宋体" w:hAnsi="宋体"/>
          <w:sz w:val="24"/>
          <w:szCs w:val="24"/>
        </w:rPr>
      </w:pPr>
      <w:r>
        <w:rPr>
          <w:rFonts w:hint="eastAsia" w:ascii="宋体" w:hAnsi="宋体"/>
          <w:sz w:val="24"/>
          <w:szCs w:val="24"/>
        </w:rPr>
        <w:t>三年以上同岗位工作经验，承诺中标以后为服务人员提供社会保障。</w:t>
      </w:r>
    </w:p>
    <w:p w14:paraId="528C61F5">
      <w:pPr>
        <w:spacing w:line="360" w:lineRule="auto"/>
        <w:ind w:firstLine="480" w:firstLineChars="200"/>
        <w:rPr>
          <w:rFonts w:ascii="宋体" w:hAnsi="宋体"/>
          <w:sz w:val="24"/>
          <w:szCs w:val="24"/>
        </w:rPr>
      </w:pPr>
    </w:p>
    <w:p w14:paraId="6BB36A3D">
      <w:pPr>
        <w:spacing w:line="360" w:lineRule="auto"/>
        <w:rPr>
          <w:rFonts w:ascii="宋体" w:hAnsi="宋体"/>
          <w:b/>
          <w:sz w:val="24"/>
          <w:szCs w:val="24"/>
        </w:rPr>
      </w:pPr>
      <w:r>
        <w:rPr>
          <w:rFonts w:hint="eastAsia" w:ascii="宋体" w:hAnsi="宋体"/>
          <w:b/>
          <w:sz w:val="24"/>
          <w:szCs w:val="24"/>
        </w:rPr>
        <w:t>2.2.6电梯操作员人员要求</w:t>
      </w:r>
    </w:p>
    <w:p w14:paraId="73CF0015">
      <w:pPr>
        <w:spacing w:line="360" w:lineRule="auto"/>
        <w:rPr>
          <w:rFonts w:ascii="宋体" w:hAnsi="宋体"/>
          <w:b/>
          <w:sz w:val="24"/>
          <w:szCs w:val="24"/>
        </w:rPr>
      </w:pPr>
      <w:r>
        <w:rPr>
          <w:rFonts w:hint="eastAsia" w:ascii="宋体" w:hAnsi="宋体"/>
          <w:b/>
          <w:sz w:val="24"/>
          <w:szCs w:val="24"/>
        </w:rPr>
        <w:t>1、着装要求</w:t>
      </w:r>
    </w:p>
    <w:p w14:paraId="627C9003">
      <w:pPr>
        <w:spacing w:line="360" w:lineRule="auto"/>
        <w:ind w:firstLine="480" w:firstLineChars="200"/>
        <w:rPr>
          <w:rFonts w:ascii="宋体" w:hAnsi="宋体"/>
          <w:sz w:val="24"/>
          <w:szCs w:val="24"/>
        </w:rPr>
      </w:pPr>
      <w:r>
        <w:rPr>
          <w:rFonts w:hint="eastAsia" w:ascii="宋体" w:hAnsi="宋体"/>
          <w:sz w:val="24"/>
          <w:szCs w:val="24"/>
        </w:rPr>
        <w:t>按要求佩戴统一标志、穿着统一工作制服，仪容仪表规范整齐（提供统一服装图片样本）。</w:t>
      </w:r>
    </w:p>
    <w:p w14:paraId="37666A69">
      <w:pPr>
        <w:spacing w:line="360" w:lineRule="auto"/>
        <w:rPr>
          <w:rFonts w:ascii="宋体" w:hAnsi="宋体"/>
          <w:b/>
          <w:sz w:val="24"/>
          <w:szCs w:val="24"/>
        </w:rPr>
      </w:pPr>
      <w:r>
        <w:rPr>
          <w:rFonts w:hint="eastAsia" w:ascii="宋体" w:hAnsi="宋体"/>
          <w:b/>
          <w:sz w:val="24"/>
          <w:szCs w:val="24"/>
        </w:rPr>
        <w:t>2、年龄要求</w:t>
      </w:r>
    </w:p>
    <w:p w14:paraId="2EDAF7B6">
      <w:pPr>
        <w:spacing w:line="360" w:lineRule="auto"/>
        <w:ind w:firstLine="480" w:firstLineChars="200"/>
        <w:rPr>
          <w:rFonts w:ascii="宋体" w:hAnsi="宋体"/>
          <w:sz w:val="24"/>
          <w:szCs w:val="24"/>
        </w:rPr>
      </w:pPr>
      <w:r>
        <w:rPr>
          <w:rFonts w:hint="eastAsia" w:ascii="宋体" w:hAnsi="宋体"/>
          <w:sz w:val="24"/>
          <w:szCs w:val="24"/>
        </w:rPr>
        <w:t>年龄45周岁以下，女性。</w:t>
      </w:r>
    </w:p>
    <w:p w14:paraId="3064E6F1">
      <w:pPr>
        <w:spacing w:line="360" w:lineRule="auto"/>
        <w:rPr>
          <w:rFonts w:ascii="宋体" w:hAnsi="宋体"/>
          <w:b/>
          <w:sz w:val="24"/>
          <w:szCs w:val="24"/>
        </w:rPr>
      </w:pPr>
      <w:r>
        <w:rPr>
          <w:rFonts w:hint="eastAsia" w:ascii="宋体" w:hAnsi="宋体"/>
          <w:b/>
          <w:sz w:val="24"/>
          <w:szCs w:val="24"/>
        </w:rPr>
        <w:t>3、服务人员资质及经验要求</w:t>
      </w:r>
    </w:p>
    <w:p w14:paraId="2C256FFA">
      <w:pPr>
        <w:spacing w:line="360" w:lineRule="auto"/>
        <w:ind w:firstLine="480" w:firstLineChars="200"/>
        <w:rPr>
          <w:rFonts w:ascii="宋体" w:hAnsi="宋体"/>
          <w:sz w:val="24"/>
          <w:szCs w:val="24"/>
        </w:rPr>
      </w:pPr>
      <w:r>
        <w:rPr>
          <w:rFonts w:hint="eastAsia" w:ascii="宋体" w:hAnsi="宋体"/>
          <w:sz w:val="24"/>
          <w:szCs w:val="24"/>
        </w:rPr>
        <w:t>须有一年以上电梯操作工作经验，</w:t>
      </w:r>
      <w:r>
        <w:rPr>
          <w:rFonts w:ascii="宋体" w:hAnsi="宋体"/>
          <w:sz w:val="24"/>
          <w:szCs w:val="24"/>
        </w:rPr>
        <w:t>需具备</w:t>
      </w:r>
      <w:r>
        <w:rPr>
          <w:rFonts w:hint="eastAsia" w:ascii="宋体" w:hAnsi="宋体"/>
          <w:sz w:val="24"/>
          <w:szCs w:val="24"/>
        </w:rPr>
        <w:t>同类型</w:t>
      </w:r>
      <w:r>
        <w:rPr>
          <w:rFonts w:ascii="宋体" w:hAnsi="宋体"/>
          <w:sz w:val="24"/>
          <w:szCs w:val="24"/>
        </w:rPr>
        <w:t>项目的工作</w:t>
      </w:r>
      <w:r>
        <w:rPr>
          <w:rFonts w:hint="eastAsia" w:ascii="宋体" w:hAnsi="宋体"/>
          <w:sz w:val="24"/>
          <w:szCs w:val="24"/>
        </w:rPr>
        <w:t>经验，</w:t>
      </w:r>
      <w:r>
        <w:rPr>
          <w:rFonts w:ascii="宋体" w:hAnsi="宋体"/>
          <w:sz w:val="24"/>
          <w:szCs w:val="24"/>
        </w:rPr>
        <w:t>普通话标准，具备流利的表达能力，</w:t>
      </w:r>
      <w:r>
        <w:rPr>
          <w:rFonts w:hint="eastAsia" w:ascii="宋体" w:hAnsi="宋体"/>
          <w:sz w:val="24"/>
          <w:szCs w:val="24"/>
        </w:rPr>
        <w:t>承诺中标以后为服务人员提供社会保障，需符合国家相关法律法规及条例规定的岗位要求。</w:t>
      </w:r>
    </w:p>
    <w:p w14:paraId="4EF86EB0">
      <w:pPr>
        <w:spacing w:line="360" w:lineRule="auto"/>
        <w:ind w:firstLine="480" w:firstLineChars="200"/>
        <w:rPr>
          <w:rFonts w:ascii="宋体" w:hAnsi="宋体"/>
          <w:sz w:val="24"/>
          <w:szCs w:val="24"/>
        </w:rPr>
      </w:pPr>
    </w:p>
    <w:p w14:paraId="4D10CB36">
      <w:pPr>
        <w:spacing w:line="360" w:lineRule="auto"/>
        <w:rPr>
          <w:rFonts w:ascii="宋体" w:hAnsi="宋体"/>
          <w:b/>
          <w:sz w:val="24"/>
          <w:szCs w:val="24"/>
        </w:rPr>
      </w:pPr>
      <w:r>
        <w:rPr>
          <w:rFonts w:hint="eastAsia" w:ascii="宋体" w:hAnsi="宋体"/>
          <w:b/>
          <w:sz w:val="24"/>
          <w:szCs w:val="24"/>
        </w:rPr>
        <w:t>2.2.7配膳人员要求</w:t>
      </w:r>
    </w:p>
    <w:p w14:paraId="7DC53F60">
      <w:pPr>
        <w:spacing w:line="360" w:lineRule="auto"/>
        <w:rPr>
          <w:rFonts w:ascii="宋体" w:hAnsi="宋体"/>
          <w:b/>
          <w:sz w:val="24"/>
          <w:szCs w:val="24"/>
        </w:rPr>
      </w:pPr>
      <w:r>
        <w:rPr>
          <w:rFonts w:hint="eastAsia" w:ascii="宋体" w:hAnsi="宋体"/>
          <w:b/>
          <w:sz w:val="24"/>
          <w:szCs w:val="24"/>
        </w:rPr>
        <w:t>1、着装要求</w:t>
      </w:r>
    </w:p>
    <w:p w14:paraId="46C83EE6">
      <w:pPr>
        <w:spacing w:line="360" w:lineRule="auto"/>
        <w:ind w:firstLine="480" w:firstLineChars="200"/>
        <w:rPr>
          <w:rFonts w:ascii="宋体" w:hAnsi="宋体"/>
          <w:sz w:val="24"/>
          <w:szCs w:val="24"/>
        </w:rPr>
      </w:pPr>
      <w:r>
        <w:rPr>
          <w:rFonts w:hint="eastAsia" w:ascii="宋体" w:hAnsi="宋体"/>
          <w:sz w:val="24"/>
          <w:szCs w:val="24"/>
        </w:rPr>
        <w:t>按要求佩戴统一标志、穿着统一工作制服，仪容仪表规范整齐。</w:t>
      </w:r>
    </w:p>
    <w:p w14:paraId="4AC922AA">
      <w:pPr>
        <w:spacing w:line="360" w:lineRule="auto"/>
        <w:rPr>
          <w:rFonts w:ascii="宋体" w:hAnsi="宋体"/>
          <w:b/>
          <w:sz w:val="24"/>
          <w:szCs w:val="24"/>
        </w:rPr>
      </w:pPr>
      <w:r>
        <w:rPr>
          <w:rFonts w:hint="eastAsia" w:ascii="宋体" w:hAnsi="宋体"/>
          <w:b/>
          <w:sz w:val="24"/>
          <w:szCs w:val="24"/>
        </w:rPr>
        <w:t>2、年龄要求</w:t>
      </w:r>
    </w:p>
    <w:p w14:paraId="48EB418A">
      <w:pPr>
        <w:spacing w:line="360" w:lineRule="auto"/>
        <w:ind w:firstLine="480" w:firstLineChars="200"/>
        <w:rPr>
          <w:rFonts w:ascii="宋体" w:hAnsi="宋体"/>
          <w:sz w:val="24"/>
          <w:szCs w:val="24"/>
        </w:rPr>
      </w:pPr>
      <w:r>
        <w:rPr>
          <w:rFonts w:hint="eastAsia" w:ascii="宋体" w:hAnsi="宋体"/>
          <w:sz w:val="24"/>
          <w:szCs w:val="24"/>
        </w:rPr>
        <w:t>女性，年龄50周岁以下。</w:t>
      </w:r>
    </w:p>
    <w:p w14:paraId="338A1C1B">
      <w:pPr>
        <w:spacing w:line="360" w:lineRule="auto"/>
        <w:rPr>
          <w:rFonts w:ascii="宋体" w:hAnsi="宋体"/>
          <w:b/>
          <w:sz w:val="24"/>
          <w:szCs w:val="24"/>
        </w:rPr>
      </w:pPr>
      <w:r>
        <w:rPr>
          <w:rFonts w:hint="eastAsia" w:ascii="宋体" w:hAnsi="宋体"/>
          <w:b/>
          <w:sz w:val="24"/>
          <w:szCs w:val="24"/>
        </w:rPr>
        <w:t>3、服务人员资质及经验要求</w:t>
      </w:r>
    </w:p>
    <w:p w14:paraId="4855FC57">
      <w:pPr>
        <w:spacing w:line="360" w:lineRule="auto"/>
        <w:ind w:firstLine="480" w:firstLineChars="200"/>
        <w:rPr>
          <w:rFonts w:ascii="宋体" w:hAnsi="宋体"/>
          <w:sz w:val="24"/>
          <w:szCs w:val="24"/>
        </w:rPr>
      </w:pPr>
      <w:r>
        <w:rPr>
          <w:rFonts w:hint="eastAsia" w:ascii="宋体" w:hAnsi="宋体"/>
          <w:sz w:val="24"/>
          <w:szCs w:val="24"/>
        </w:rPr>
        <w:t>需具备基本食品安全、营养膳食配置的技能，提供在近一年内的培训或复训记录及考核记录（投标单位内部培训及以上）；需具备在有效期内的上海市从业人员健康合格证，承诺中标以后为服务人员提供社会保障。</w:t>
      </w:r>
    </w:p>
    <w:p w14:paraId="7865777D">
      <w:pPr>
        <w:spacing w:line="360" w:lineRule="auto"/>
        <w:ind w:firstLine="480" w:firstLineChars="200"/>
        <w:rPr>
          <w:rFonts w:ascii="宋体" w:hAnsi="宋体"/>
          <w:sz w:val="24"/>
          <w:szCs w:val="24"/>
        </w:rPr>
      </w:pPr>
    </w:p>
    <w:p w14:paraId="430A75BD">
      <w:pPr>
        <w:spacing w:line="360" w:lineRule="auto"/>
        <w:rPr>
          <w:rFonts w:ascii="宋体" w:hAnsi="宋体"/>
          <w:sz w:val="24"/>
          <w:szCs w:val="24"/>
        </w:rPr>
      </w:pPr>
      <w:r>
        <w:rPr>
          <w:rFonts w:hint="eastAsia" w:ascii="宋体" w:hAnsi="宋体"/>
          <w:b/>
          <w:sz w:val="24"/>
          <w:szCs w:val="24"/>
        </w:rPr>
        <w:t>2.2.8运送人员要求</w:t>
      </w:r>
    </w:p>
    <w:p w14:paraId="14E87F2C">
      <w:pPr>
        <w:spacing w:line="360" w:lineRule="auto"/>
        <w:rPr>
          <w:rFonts w:ascii="宋体" w:hAnsi="宋体"/>
          <w:b/>
          <w:sz w:val="24"/>
          <w:szCs w:val="24"/>
        </w:rPr>
      </w:pPr>
      <w:r>
        <w:rPr>
          <w:rFonts w:hint="eastAsia" w:ascii="宋体" w:hAnsi="宋体"/>
          <w:b/>
          <w:sz w:val="24"/>
          <w:szCs w:val="24"/>
        </w:rPr>
        <w:t>1、着装要求</w:t>
      </w:r>
    </w:p>
    <w:p w14:paraId="1017B217">
      <w:pPr>
        <w:spacing w:line="360" w:lineRule="auto"/>
        <w:ind w:firstLine="480" w:firstLineChars="200"/>
        <w:rPr>
          <w:rFonts w:ascii="宋体" w:hAnsi="宋体"/>
          <w:sz w:val="24"/>
          <w:szCs w:val="24"/>
        </w:rPr>
      </w:pPr>
      <w:r>
        <w:rPr>
          <w:rFonts w:hint="eastAsia" w:ascii="宋体" w:hAnsi="宋体"/>
          <w:sz w:val="24"/>
          <w:szCs w:val="24"/>
        </w:rPr>
        <w:t>按要求佩戴统一标志、穿着统一工作制服，仪容仪表规范整齐。</w:t>
      </w:r>
    </w:p>
    <w:p w14:paraId="3548E024">
      <w:pPr>
        <w:spacing w:line="360" w:lineRule="auto"/>
        <w:rPr>
          <w:rFonts w:ascii="宋体" w:hAnsi="宋体"/>
          <w:b/>
          <w:sz w:val="24"/>
          <w:szCs w:val="24"/>
        </w:rPr>
      </w:pPr>
      <w:r>
        <w:rPr>
          <w:rFonts w:hint="eastAsia" w:ascii="宋体" w:hAnsi="宋体"/>
          <w:b/>
          <w:sz w:val="24"/>
          <w:szCs w:val="24"/>
        </w:rPr>
        <w:t>2、年龄要求</w:t>
      </w:r>
    </w:p>
    <w:p w14:paraId="4956B7DA">
      <w:pPr>
        <w:spacing w:line="360" w:lineRule="auto"/>
        <w:ind w:firstLine="480" w:firstLineChars="200"/>
        <w:rPr>
          <w:rFonts w:ascii="宋体" w:hAnsi="宋体"/>
          <w:sz w:val="24"/>
          <w:szCs w:val="24"/>
        </w:rPr>
      </w:pPr>
      <w:r>
        <w:rPr>
          <w:rFonts w:hint="eastAsia" w:ascii="宋体" w:hAnsi="宋体"/>
          <w:sz w:val="24"/>
          <w:szCs w:val="24"/>
        </w:rPr>
        <w:t>女性，年龄55周岁以下，男性，年龄60周岁以下。</w:t>
      </w:r>
    </w:p>
    <w:p w14:paraId="49CA6035">
      <w:pPr>
        <w:spacing w:line="360" w:lineRule="auto"/>
        <w:rPr>
          <w:rFonts w:ascii="宋体" w:hAnsi="宋体"/>
          <w:b/>
          <w:sz w:val="24"/>
          <w:szCs w:val="24"/>
        </w:rPr>
      </w:pPr>
      <w:r>
        <w:rPr>
          <w:rFonts w:hint="eastAsia" w:ascii="宋体" w:hAnsi="宋体"/>
          <w:b/>
          <w:sz w:val="24"/>
          <w:szCs w:val="24"/>
        </w:rPr>
        <w:t>3、服务人员资质及经验要求</w:t>
      </w:r>
    </w:p>
    <w:p w14:paraId="633EC754">
      <w:pPr>
        <w:spacing w:line="360" w:lineRule="auto"/>
        <w:ind w:firstLine="480" w:firstLineChars="200"/>
        <w:rPr>
          <w:rFonts w:ascii="宋体" w:hAnsi="宋体"/>
          <w:sz w:val="24"/>
          <w:szCs w:val="24"/>
        </w:rPr>
      </w:pPr>
      <w:r>
        <w:rPr>
          <w:rFonts w:hint="eastAsia" w:ascii="宋体" w:hAnsi="宋体"/>
          <w:sz w:val="24"/>
          <w:szCs w:val="24"/>
        </w:rPr>
        <w:t>运送员负责</w:t>
      </w:r>
      <w:r>
        <w:rPr>
          <w:rFonts w:hint="eastAsia" w:ascii="宋体" w:hAnsi="宋体" w:cs="宋体"/>
          <w:bCs/>
          <w:sz w:val="24"/>
          <w:szCs w:val="24"/>
        </w:rPr>
        <w:t>运送行动不便的病人到指定的诊疗地点、并包括检验标本、单据、药物、医用品等的运送</w:t>
      </w:r>
      <w:r>
        <w:rPr>
          <w:rFonts w:hint="eastAsia" w:ascii="宋体" w:hAnsi="宋体"/>
          <w:sz w:val="24"/>
          <w:szCs w:val="24"/>
        </w:rPr>
        <w:t>（标本运送员</w:t>
      </w:r>
      <w:r>
        <w:rPr>
          <w:rFonts w:ascii="宋体" w:hAnsi="宋体"/>
          <w:sz w:val="24"/>
          <w:szCs w:val="24"/>
        </w:rPr>
        <w:t>需具备消毒隔离知识及操作技能，</w:t>
      </w:r>
      <w:r>
        <w:rPr>
          <w:rFonts w:hint="eastAsia" w:ascii="宋体" w:hAnsi="宋体"/>
          <w:sz w:val="24"/>
          <w:szCs w:val="24"/>
        </w:rPr>
        <w:t>需</w:t>
      </w:r>
      <w:r>
        <w:rPr>
          <w:rFonts w:ascii="宋体" w:hAnsi="宋体"/>
          <w:sz w:val="24"/>
          <w:szCs w:val="24"/>
        </w:rPr>
        <w:t>掌握医院环境、物品常用清洁、消毒、灭菌方法，掌握规范的标本运转技能</w:t>
      </w:r>
      <w:r>
        <w:rPr>
          <w:rFonts w:hint="eastAsia" w:ascii="宋体" w:hAnsi="宋体"/>
          <w:sz w:val="24"/>
          <w:szCs w:val="24"/>
        </w:rPr>
        <w:t>及相关防范应急处置能力；手术室运送员需具备基础的手术室工务规范知识、院感知识以及转运器械操作技能）</w:t>
      </w:r>
      <w:r>
        <w:rPr>
          <w:rFonts w:ascii="宋体" w:hAnsi="宋体"/>
          <w:sz w:val="24"/>
          <w:szCs w:val="24"/>
        </w:rPr>
        <w:t>，需提供在近一年内的培训或复训记录及考核记录</w:t>
      </w:r>
      <w:r>
        <w:rPr>
          <w:rFonts w:hint="eastAsia" w:ascii="宋体" w:hAnsi="宋体"/>
          <w:sz w:val="24"/>
          <w:szCs w:val="24"/>
        </w:rPr>
        <w:t>（投标单位内部培训及以上），承诺中标以后为服务人员提供社会保障。</w:t>
      </w:r>
    </w:p>
    <w:p w14:paraId="37CD3072">
      <w:pPr>
        <w:pStyle w:val="15"/>
        <w:spacing w:line="360" w:lineRule="auto"/>
        <w:ind w:firstLine="0" w:firstLineChars="0"/>
        <w:jc w:val="left"/>
        <w:rPr>
          <w:rFonts w:ascii="宋体" w:hAnsi="宋体"/>
          <w:b/>
          <w:sz w:val="24"/>
          <w:szCs w:val="24"/>
        </w:rPr>
      </w:pPr>
      <w:r>
        <w:rPr>
          <w:rFonts w:hint="eastAsia" w:ascii="宋体" w:hAnsi="宋体"/>
          <w:b/>
          <w:sz w:val="24"/>
          <w:szCs w:val="24"/>
        </w:rPr>
        <w:t>三、管理服务需求</w:t>
      </w:r>
    </w:p>
    <w:p w14:paraId="6116797F">
      <w:pPr>
        <w:spacing w:before="240" w:line="360" w:lineRule="auto"/>
        <w:rPr>
          <w:rFonts w:ascii="宋体" w:hAnsi="宋体"/>
          <w:b/>
          <w:sz w:val="24"/>
          <w:szCs w:val="24"/>
        </w:rPr>
      </w:pPr>
      <w:r>
        <w:rPr>
          <w:rFonts w:hint="eastAsia" w:ascii="宋体" w:hAnsi="宋体"/>
          <w:b/>
          <w:sz w:val="24"/>
          <w:szCs w:val="24"/>
        </w:rPr>
        <w:t>3.1保洁服务</w:t>
      </w:r>
    </w:p>
    <w:p w14:paraId="3F7D73DF">
      <w:pPr>
        <w:spacing w:line="360" w:lineRule="auto"/>
        <w:ind w:right="-27" w:rightChars="-13" w:firstLine="480" w:firstLineChars="200"/>
        <w:rPr>
          <w:rFonts w:ascii="宋体" w:hAnsi="宋体"/>
          <w:sz w:val="24"/>
          <w:szCs w:val="24"/>
        </w:rPr>
      </w:pPr>
      <w:r>
        <w:rPr>
          <w:rFonts w:hint="eastAsia" w:ascii="宋体" w:hAnsi="宋体"/>
          <w:sz w:val="24"/>
          <w:szCs w:val="24"/>
        </w:rPr>
        <w:t>医院是特殊场所，人员流动性、密集度比较高，每天会有生活垃圾和医疗废弃物产生。按照上海市医院卫生管理以及医院感染方面的相关规定，对院内保洁及配送服务提出了更高要求，需要一支服务能力、管理能力、综合素质、员工队伍强的物业管理公司，做好保洁工作，降低院内感染的发生率，确保医院日常工作顺利进行。</w:t>
      </w:r>
    </w:p>
    <w:p w14:paraId="38806ADD">
      <w:pPr>
        <w:spacing w:before="240" w:line="360" w:lineRule="auto"/>
        <w:ind w:right="-27" w:rightChars="-13"/>
        <w:rPr>
          <w:rFonts w:ascii="宋体" w:hAnsi="宋体"/>
          <w:b/>
          <w:sz w:val="24"/>
          <w:szCs w:val="24"/>
        </w:rPr>
      </w:pPr>
      <w:r>
        <w:rPr>
          <w:rFonts w:hint="eastAsia" w:ascii="宋体" w:hAnsi="宋体"/>
          <w:b/>
          <w:sz w:val="24"/>
          <w:szCs w:val="24"/>
        </w:rPr>
        <w:t>3.1.1保洁服务内容</w:t>
      </w:r>
    </w:p>
    <w:p w14:paraId="202B8E6B">
      <w:pPr>
        <w:spacing w:line="360" w:lineRule="auto"/>
        <w:ind w:firstLine="480" w:firstLineChars="200"/>
        <w:rPr>
          <w:rFonts w:ascii="宋体" w:hAnsi="宋体"/>
          <w:b/>
          <w:sz w:val="24"/>
          <w:szCs w:val="24"/>
        </w:rPr>
      </w:pPr>
      <w:r>
        <w:rPr>
          <w:rFonts w:hint="eastAsia" w:ascii="宋体" w:hAnsi="宋体" w:cs="宋体"/>
          <w:bCs/>
          <w:sz w:val="24"/>
          <w:szCs w:val="24"/>
        </w:rPr>
        <w:t>负责医院室内、室外清洁卫生：包括内墙、玻璃、通风口、地面、室内家具、楼梯、走廊、通道、窗户、门、桌、椅、床、 柜、宣传栏、洗手间、电梯间、公共通道、各诊室、室外医院院落、道路的保洁工作及生活、餐厨垃圾、医疗固体废物、医疗化学废液、可利用医疗废物的收集、存放和运送（院内运送），外墙清洗（仅清洗离地面约 2 米以下的外墙）。保洁不包括高于 2 米以上的外墙清洗和爱卫会关于控制虫害的工作。（负责电话通知灭虫公司一周二次，并记录好灭虫记录）。</w:t>
      </w:r>
    </w:p>
    <w:p w14:paraId="31D295E6">
      <w:pPr>
        <w:spacing w:line="360" w:lineRule="auto"/>
        <w:rPr>
          <w:rFonts w:ascii="宋体" w:hAnsi="宋体" w:cs="宋体"/>
          <w:bCs/>
          <w:sz w:val="24"/>
          <w:szCs w:val="24"/>
        </w:rPr>
      </w:pPr>
      <w:r>
        <w:rPr>
          <w:rFonts w:hint="eastAsia" w:ascii="宋体" w:hAnsi="宋体" w:cs="宋体"/>
          <w:bCs/>
          <w:sz w:val="24"/>
          <w:szCs w:val="24"/>
        </w:rPr>
        <w:t>.室内 PVC 地面/橡胶地板的养护：定期抛光、喷磨、刷洗、补蜡、全面打蜡。</w:t>
      </w:r>
    </w:p>
    <w:p w14:paraId="46841D13">
      <w:pPr>
        <w:spacing w:line="360" w:lineRule="auto"/>
        <w:rPr>
          <w:rFonts w:ascii="宋体" w:hAnsi="宋体" w:cs="宋体"/>
          <w:bCs/>
          <w:sz w:val="24"/>
          <w:szCs w:val="24"/>
        </w:rPr>
      </w:pPr>
      <w:r>
        <w:rPr>
          <w:rFonts w:hint="eastAsia" w:ascii="宋体" w:hAnsi="宋体" w:cs="宋体"/>
          <w:bCs/>
          <w:sz w:val="24"/>
          <w:szCs w:val="24"/>
        </w:rPr>
        <w:t>.公共区域的 PVC 地面/防滑橡胶地板的清洗、养护：定期进行刷洗、抛光、喷磨、补蜡、全面打蜡。</w:t>
      </w:r>
    </w:p>
    <w:p w14:paraId="19E48459">
      <w:pPr>
        <w:spacing w:line="360" w:lineRule="auto"/>
        <w:rPr>
          <w:rFonts w:ascii="宋体" w:hAnsi="宋体" w:cs="宋体"/>
          <w:bCs/>
          <w:sz w:val="24"/>
          <w:szCs w:val="24"/>
        </w:rPr>
      </w:pPr>
      <w:r>
        <w:rPr>
          <w:rFonts w:hint="eastAsia" w:ascii="宋体" w:hAnsi="宋体" w:cs="宋体"/>
          <w:bCs/>
          <w:sz w:val="24"/>
          <w:szCs w:val="24"/>
        </w:rPr>
        <w:t>.医院玻化砖定期进行保养。</w:t>
      </w:r>
    </w:p>
    <w:p w14:paraId="1C646ED0">
      <w:pPr>
        <w:spacing w:line="360" w:lineRule="auto"/>
        <w:rPr>
          <w:rFonts w:ascii="宋体" w:hAnsi="宋体" w:cs="宋体"/>
          <w:bCs/>
          <w:sz w:val="24"/>
          <w:szCs w:val="24"/>
        </w:rPr>
      </w:pPr>
      <w:r>
        <w:rPr>
          <w:rFonts w:hint="eastAsia" w:ascii="宋体" w:hAnsi="宋体" w:cs="宋体"/>
          <w:bCs/>
          <w:sz w:val="24"/>
          <w:szCs w:val="24"/>
        </w:rPr>
        <w:t>.病区床单位使用终末的清洁、整理、加床拆除。</w:t>
      </w:r>
    </w:p>
    <w:p w14:paraId="758B5E41">
      <w:pPr>
        <w:spacing w:line="360" w:lineRule="auto"/>
        <w:rPr>
          <w:rFonts w:ascii="宋体" w:hAnsi="宋体" w:cs="宋体"/>
          <w:bCs/>
          <w:sz w:val="24"/>
          <w:szCs w:val="24"/>
        </w:rPr>
      </w:pPr>
      <w:r>
        <w:rPr>
          <w:rFonts w:hint="eastAsia" w:ascii="宋体" w:hAnsi="宋体" w:cs="宋体"/>
          <w:bCs/>
          <w:sz w:val="24"/>
          <w:szCs w:val="24"/>
        </w:rPr>
        <w:t>.拆装送洗病区的窗帘和隔断帘床单病员服及医护人员工作服。</w:t>
      </w:r>
    </w:p>
    <w:p w14:paraId="35A648D5">
      <w:pPr>
        <w:spacing w:line="360" w:lineRule="auto"/>
        <w:rPr>
          <w:rFonts w:ascii="宋体" w:hAnsi="宋体" w:cs="宋体"/>
          <w:bCs/>
          <w:sz w:val="24"/>
          <w:szCs w:val="24"/>
        </w:rPr>
      </w:pPr>
      <w:r>
        <w:rPr>
          <w:rFonts w:hint="eastAsia" w:ascii="宋体" w:hAnsi="宋体" w:cs="宋体"/>
          <w:bCs/>
          <w:sz w:val="24"/>
          <w:szCs w:val="24"/>
        </w:rPr>
        <w:t>.运送车辆清洗。</w:t>
      </w:r>
    </w:p>
    <w:p w14:paraId="4DDAA076">
      <w:pPr>
        <w:spacing w:line="360" w:lineRule="auto"/>
        <w:rPr>
          <w:rFonts w:ascii="宋体" w:hAnsi="宋体" w:cs="宋体"/>
          <w:bCs/>
          <w:szCs w:val="21"/>
        </w:rPr>
      </w:pPr>
      <w:r>
        <w:rPr>
          <w:rFonts w:hint="eastAsia" w:ascii="宋体" w:hAnsi="宋体" w:cs="宋体"/>
          <w:bCs/>
          <w:sz w:val="24"/>
          <w:szCs w:val="24"/>
        </w:rPr>
        <w:t>.其他因业务开展需要的服务</w:t>
      </w:r>
      <w:r>
        <w:rPr>
          <w:rFonts w:hint="eastAsia" w:ascii="宋体" w:hAnsi="宋体" w:cs="宋体"/>
          <w:bCs/>
          <w:szCs w:val="21"/>
        </w:rPr>
        <w:t>。</w:t>
      </w:r>
    </w:p>
    <w:p w14:paraId="70C905D1">
      <w:pPr>
        <w:spacing w:before="240" w:line="360" w:lineRule="auto"/>
        <w:ind w:right="-27" w:rightChars="-13"/>
        <w:rPr>
          <w:rFonts w:ascii="宋体" w:hAnsi="宋体"/>
          <w:b/>
          <w:sz w:val="24"/>
          <w:szCs w:val="24"/>
        </w:rPr>
      </w:pPr>
      <w:r>
        <w:rPr>
          <w:rFonts w:hint="eastAsia" w:ascii="宋体" w:hAnsi="宋体"/>
          <w:b/>
          <w:sz w:val="24"/>
          <w:szCs w:val="24"/>
        </w:rPr>
        <w:t>3.1.2保洁总体服务要求</w:t>
      </w:r>
    </w:p>
    <w:p w14:paraId="1D832B1F">
      <w:pPr>
        <w:numPr>
          <w:ilvl w:val="0"/>
          <w:numId w:val="1"/>
        </w:numPr>
        <w:spacing w:line="360" w:lineRule="auto"/>
        <w:ind w:right="-27" w:rightChars="-13"/>
        <w:rPr>
          <w:rFonts w:ascii="宋体" w:hAnsi="宋体"/>
          <w:b/>
          <w:sz w:val="24"/>
          <w:szCs w:val="24"/>
        </w:rPr>
      </w:pPr>
      <w:r>
        <w:rPr>
          <w:rFonts w:hint="eastAsia" w:ascii="宋体" w:hAnsi="宋体"/>
          <w:b/>
          <w:sz w:val="24"/>
          <w:szCs w:val="24"/>
        </w:rPr>
        <w:t>保洁服务要求</w:t>
      </w:r>
    </w:p>
    <w:p w14:paraId="427FA0E8">
      <w:pPr>
        <w:spacing w:line="360" w:lineRule="auto"/>
        <w:rPr>
          <w:rFonts w:ascii="宋体" w:hAnsi="宋体"/>
          <w:sz w:val="24"/>
          <w:szCs w:val="24"/>
        </w:rPr>
      </w:pPr>
      <w:r>
        <w:rPr>
          <w:rFonts w:hint="eastAsia" w:ascii="宋体" w:hAnsi="宋体"/>
          <w:sz w:val="24"/>
          <w:szCs w:val="24"/>
        </w:rPr>
        <w:t xml:space="preserve">·负责医院指定范围内楼宇的室内、室外清洁卫生并做好记录。 </w:t>
      </w:r>
    </w:p>
    <w:p w14:paraId="09754616">
      <w:pPr>
        <w:spacing w:line="360" w:lineRule="auto"/>
        <w:rPr>
          <w:rFonts w:ascii="宋体" w:hAnsi="宋体"/>
          <w:sz w:val="24"/>
          <w:szCs w:val="24"/>
        </w:rPr>
      </w:pPr>
      <w:r>
        <w:rPr>
          <w:rFonts w:hint="eastAsia" w:ascii="宋体" w:hAnsi="宋体"/>
          <w:sz w:val="24"/>
          <w:szCs w:val="24"/>
        </w:rPr>
        <w:t>·定时收集各类生活、餐饮垃圾，按照院内指定地点存放。</w:t>
      </w:r>
    </w:p>
    <w:p w14:paraId="36ED2033">
      <w:pPr>
        <w:spacing w:line="360" w:lineRule="auto"/>
        <w:rPr>
          <w:rFonts w:ascii="宋体" w:hAnsi="宋体"/>
          <w:sz w:val="24"/>
          <w:szCs w:val="24"/>
        </w:rPr>
      </w:pPr>
      <w:r>
        <w:rPr>
          <w:rFonts w:hint="eastAsia" w:ascii="宋体" w:hAnsi="宋体"/>
          <w:sz w:val="24"/>
          <w:szCs w:val="24"/>
        </w:rPr>
        <w:t>·医疗废弃物、医疗废液、可利用医疗废弃物，做好集中分类存放，并按照医院感染控制有关规定，做好称重、记量、表格汇总、按月递交。并做好暂存点及集中存放点的清洗、消毒工作及记录。</w:t>
      </w:r>
    </w:p>
    <w:p w14:paraId="4E344C0F">
      <w:pPr>
        <w:spacing w:line="360" w:lineRule="auto"/>
        <w:rPr>
          <w:rFonts w:ascii="宋体" w:hAnsi="宋体"/>
          <w:sz w:val="24"/>
          <w:szCs w:val="24"/>
        </w:rPr>
      </w:pPr>
      <w:r>
        <w:rPr>
          <w:rFonts w:hint="eastAsia" w:ascii="宋体" w:hAnsi="宋体"/>
          <w:sz w:val="24"/>
          <w:szCs w:val="24"/>
        </w:rPr>
        <w:t>·按时巡视负责区域，每层要做到地面洁净、整洁、无纸屑、痰迹，墙面无蜘蛛网；卫生间要清洁、干燥、无异味。</w:t>
      </w:r>
    </w:p>
    <w:p w14:paraId="4542C810">
      <w:pPr>
        <w:spacing w:line="360" w:lineRule="auto"/>
        <w:rPr>
          <w:rFonts w:ascii="宋体" w:hAnsi="宋体"/>
          <w:sz w:val="24"/>
          <w:szCs w:val="24"/>
        </w:rPr>
      </w:pPr>
      <w:r>
        <w:rPr>
          <w:rFonts w:hint="eastAsia" w:ascii="宋体" w:hAnsi="宋体"/>
          <w:sz w:val="24"/>
          <w:szCs w:val="24"/>
        </w:rPr>
        <w:t>·为避免尘土飞扬，地面干拖应使用尘推加牵尘剂的方法进行处理。</w:t>
      </w:r>
    </w:p>
    <w:p w14:paraId="7626C41D">
      <w:pPr>
        <w:spacing w:line="360" w:lineRule="auto"/>
        <w:rPr>
          <w:rFonts w:ascii="宋体" w:hAnsi="宋体"/>
          <w:sz w:val="24"/>
          <w:szCs w:val="24"/>
        </w:rPr>
      </w:pPr>
      <w:r>
        <w:rPr>
          <w:rFonts w:hint="eastAsia" w:ascii="宋体" w:hAnsi="宋体"/>
          <w:sz w:val="24"/>
          <w:szCs w:val="24"/>
        </w:rPr>
        <w:t>·使用专业洗衣机和烘干机对湿拖把头、尘推头、抹布进行洗涤和烘干，以防止交叉感染。</w:t>
      </w:r>
    </w:p>
    <w:p w14:paraId="0A2FDD5C">
      <w:pPr>
        <w:spacing w:line="360" w:lineRule="auto"/>
        <w:rPr>
          <w:rFonts w:ascii="宋体" w:hAnsi="宋体"/>
          <w:sz w:val="24"/>
          <w:szCs w:val="24"/>
        </w:rPr>
      </w:pPr>
      <w:r>
        <w:rPr>
          <w:rFonts w:hint="eastAsia" w:ascii="宋体" w:hAnsi="宋体"/>
          <w:sz w:val="24"/>
          <w:szCs w:val="24"/>
        </w:rPr>
        <w:t>·不同区域使用相对应的清洁工具，按医院院感控制的要求对集中堆放的物料用颜色、字标等方式进行严格的分类摆放，以防止交叉感染。</w:t>
      </w:r>
    </w:p>
    <w:p w14:paraId="3750DED9">
      <w:pPr>
        <w:spacing w:line="360" w:lineRule="auto"/>
        <w:rPr>
          <w:rFonts w:ascii="宋体" w:hAnsi="宋体"/>
          <w:sz w:val="24"/>
          <w:szCs w:val="24"/>
        </w:rPr>
      </w:pPr>
      <w:r>
        <w:rPr>
          <w:rFonts w:hint="eastAsia" w:ascii="宋体" w:hAnsi="宋体"/>
          <w:sz w:val="24"/>
          <w:szCs w:val="24"/>
        </w:rPr>
        <w:t>·做好环境保洁区域内所有地面的养护工作，制定符合医院地面养护频率的工作计划。</w:t>
      </w:r>
    </w:p>
    <w:p w14:paraId="38BD3CC6">
      <w:pPr>
        <w:spacing w:line="360" w:lineRule="auto"/>
        <w:rPr>
          <w:rFonts w:ascii="宋体" w:hAnsi="宋体"/>
          <w:sz w:val="24"/>
          <w:szCs w:val="24"/>
        </w:rPr>
      </w:pPr>
      <w:r>
        <w:rPr>
          <w:rFonts w:hint="eastAsia" w:ascii="宋体" w:hAnsi="宋体"/>
          <w:sz w:val="24"/>
          <w:szCs w:val="24"/>
        </w:rPr>
        <w:t>·所使用的清洁车辆必须是先进的全方位清洁手推车。</w:t>
      </w:r>
    </w:p>
    <w:p w14:paraId="74878115">
      <w:pPr>
        <w:spacing w:line="360" w:lineRule="auto"/>
        <w:rPr>
          <w:rFonts w:ascii="宋体" w:hAnsi="宋体"/>
          <w:sz w:val="24"/>
          <w:szCs w:val="24"/>
        </w:rPr>
      </w:pPr>
      <w:r>
        <w:rPr>
          <w:rFonts w:hint="eastAsia" w:ascii="宋体" w:hAnsi="宋体"/>
          <w:sz w:val="24"/>
          <w:szCs w:val="24"/>
        </w:rPr>
        <w:t>·地板要有专业人员每年清洗保养至少四次清洗、打蜡，进行保养。</w:t>
      </w:r>
    </w:p>
    <w:p w14:paraId="25A1557F">
      <w:pPr>
        <w:spacing w:line="360" w:lineRule="auto"/>
        <w:rPr>
          <w:rFonts w:ascii="宋体" w:hAnsi="宋体"/>
          <w:sz w:val="24"/>
          <w:szCs w:val="24"/>
        </w:rPr>
      </w:pPr>
      <w:r>
        <w:rPr>
          <w:rFonts w:hint="eastAsia" w:ascii="宋体" w:hAnsi="宋体"/>
          <w:sz w:val="24"/>
          <w:szCs w:val="24"/>
        </w:rPr>
        <w:t>·平时地面清洁需用可脱卸式拖把，每天进行清洗、消毒、更换。</w:t>
      </w:r>
    </w:p>
    <w:p w14:paraId="51BF80F8">
      <w:pPr>
        <w:spacing w:line="360" w:lineRule="auto"/>
        <w:rPr>
          <w:rFonts w:ascii="宋体" w:hAnsi="宋体"/>
          <w:sz w:val="24"/>
          <w:szCs w:val="24"/>
        </w:rPr>
      </w:pPr>
      <w:r>
        <w:rPr>
          <w:rFonts w:hint="eastAsia" w:ascii="宋体" w:hAnsi="宋体"/>
          <w:sz w:val="24"/>
          <w:szCs w:val="24"/>
        </w:rPr>
        <w:t>·每天及时擦净墙壁上的污迹和血迹。</w:t>
      </w:r>
    </w:p>
    <w:p w14:paraId="5769C917">
      <w:pPr>
        <w:spacing w:line="360" w:lineRule="auto"/>
        <w:rPr>
          <w:rFonts w:ascii="宋体" w:hAnsi="宋体"/>
          <w:sz w:val="24"/>
          <w:szCs w:val="24"/>
        </w:rPr>
      </w:pPr>
      <w:r>
        <w:rPr>
          <w:rFonts w:hint="eastAsia" w:ascii="宋体" w:hAnsi="宋体" w:cs="宋体"/>
          <w:bCs/>
          <w:sz w:val="24"/>
          <w:szCs w:val="24"/>
        </w:rPr>
        <w:t>.每天及时清洁回风网上的灰尘。</w:t>
      </w:r>
    </w:p>
    <w:p w14:paraId="66450CAF">
      <w:pPr>
        <w:spacing w:line="360" w:lineRule="auto"/>
        <w:rPr>
          <w:rFonts w:ascii="宋体" w:hAnsi="宋体" w:cs="宋体"/>
          <w:bCs/>
          <w:sz w:val="24"/>
          <w:szCs w:val="24"/>
        </w:rPr>
      </w:pPr>
      <w:r>
        <w:rPr>
          <w:rFonts w:hint="eastAsia" w:ascii="宋体" w:hAnsi="宋体"/>
          <w:sz w:val="24"/>
          <w:szCs w:val="24"/>
        </w:rPr>
        <w:t>·每周彻底清洁一次室内出风口、每月大扫除一次。整理敷料、打包，及时添加一次性用品、物品。</w:t>
      </w:r>
    </w:p>
    <w:p w14:paraId="3DCC115A">
      <w:pPr>
        <w:spacing w:line="360" w:lineRule="auto"/>
        <w:rPr>
          <w:rFonts w:ascii="宋体" w:hAnsi="宋体"/>
          <w:sz w:val="24"/>
          <w:szCs w:val="24"/>
        </w:rPr>
      </w:pPr>
      <w:r>
        <w:rPr>
          <w:rFonts w:hint="eastAsia" w:ascii="宋体" w:hAnsi="宋体"/>
          <w:sz w:val="24"/>
          <w:szCs w:val="24"/>
        </w:rPr>
        <w:t>·对各类被服类用品进行收集、存放、登记、医护人员工作服送洗等。</w:t>
      </w:r>
    </w:p>
    <w:p w14:paraId="6BACCB06">
      <w:pPr>
        <w:spacing w:line="360" w:lineRule="auto"/>
        <w:rPr>
          <w:rFonts w:ascii="宋体" w:hAnsi="宋体"/>
          <w:sz w:val="24"/>
          <w:szCs w:val="24"/>
        </w:rPr>
      </w:pPr>
      <w:r>
        <w:rPr>
          <w:rFonts w:hint="eastAsia" w:ascii="宋体" w:hAnsi="宋体"/>
          <w:sz w:val="24"/>
          <w:szCs w:val="24"/>
        </w:rPr>
        <w:t>·根据院感要求，定期做好人员培训。</w:t>
      </w:r>
    </w:p>
    <w:p w14:paraId="64A229A2">
      <w:pPr>
        <w:spacing w:line="360" w:lineRule="auto"/>
        <w:rPr>
          <w:rFonts w:ascii="宋体" w:hAnsi="宋体"/>
          <w:sz w:val="24"/>
          <w:szCs w:val="24"/>
        </w:rPr>
      </w:pPr>
      <w:r>
        <w:rPr>
          <w:rFonts w:hint="eastAsia" w:ascii="宋体" w:hAnsi="宋体"/>
          <w:sz w:val="24"/>
          <w:szCs w:val="24"/>
        </w:rPr>
        <w:t>·做好疫情期间员工个人防护，严格落实院感规定，对病室进行清洁和消毒工作。</w:t>
      </w:r>
    </w:p>
    <w:p w14:paraId="066FC42F">
      <w:pPr>
        <w:spacing w:line="360" w:lineRule="auto"/>
        <w:rPr>
          <w:rFonts w:ascii="宋体" w:hAnsi="宋体" w:cs="宋体"/>
          <w:bCs/>
          <w:sz w:val="24"/>
          <w:szCs w:val="24"/>
        </w:rPr>
      </w:pPr>
      <w:r>
        <w:rPr>
          <w:rFonts w:hint="eastAsia" w:ascii="宋体" w:hAnsi="宋体"/>
          <w:sz w:val="24"/>
          <w:szCs w:val="24"/>
        </w:rPr>
        <w:t>.</w:t>
      </w:r>
      <w:r>
        <w:rPr>
          <w:rFonts w:hint="eastAsia" w:ascii="宋体" w:hAnsi="宋体" w:cs="宋体"/>
          <w:bCs/>
          <w:sz w:val="24"/>
          <w:szCs w:val="24"/>
        </w:rPr>
        <w:t>制订保洁服务相关应急预案、疫情防控应急预案及相关措施，以保障各类突发情况能够快速、及时、妥善处理。</w:t>
      </w:r>
    </w:p>
    <w:p w14:paraId="32A42725">
      <w:pPr>
        <w:spacing w:line="360" w:lineRule="auto"/>
        <w:rPr>
          <w:rFonts w:ascii="宋体" w:hAnsi="宋体"/>
          <w:sz w:val="24"/>
          <w:szCs w:val="24"/>
        </w:rPr>
      </w:pPr>
      <w:r>
        <w:rPr>
          <w:rFonts w:hint="eastAsia" w:ascii="宋体" w:hAnsi="宋体"/>
          <w:sz w:val="24"/>
          <w:szCs w:val="24"/>
        </w:rPr>
        <w:t>·其他相关服务应达到医院要求。</w:t>
      </w:r>
    </w:p>
    <w:p w14:paraId="4AD269DD">
      <w:pPr>
        <w:numPr>
          <w:ilvl w:val="0"/>
          <w:numId w:val="1"/>
        </w:numPr>
        <w:spacing w:line="360" w:lineRule="auto"/>
        <w:ind w:right="-27" w:rightChars="-13"/>
        <w:rPr>
          <w:rFonts w:ascii="宋体" w:hAnsi="宋体"/>
          <w:b/>
          <w:sz w:val="24"/>
          <w:szCs w:val="24"/>
        </w:rPr>
      </w:pPr>
      <w:r>
        <w:rPr>
          <w:rFonts w:hint="eastAsia" w:ascii="宋体" w:hAnsi="宋体"/>
          <w:b/>
          <w:sz w:val="24"/>
          <w:szCs w:val="24"/>
        </w:rPr>
        <w:t>保洁设备及耗材要求</w:t>
      </w:r>
    </w:p>
    <w:p w14:paraId="4B82BFB1">
      <w:pPr>
        <w:spacing w:line="360" w:lineRule="auto"/>
        <w:ind w:firstLine="420"/>
        <w:rPr>
          <w:rFonts w:ascii="宋体" w:hAnsi="宋体" w:cs="宋体"/>
          <w:bCs/>
          <w:sz w:val="24"/>
          <w:szCs w:val="24"/>
        </w:rPr>
      </w:pPr>
      <w:r>
        <w:rPr>
          <w:rFonts w:hint="eastAsia" w:ascii="宋体" w:hAnsi="宋体"/>
          <w:sz w:val="24"/>
          <w:szCs w:val="24"/>
        </w:rPr>
        <w:t>要求投标单位</w:t>
      </w:r>
      <w:r>
        <w:rPr>
          <w:rFonts w:hint="eastAsia" w:ascii="宋体" w:hAnsi="宋体" w:cs="宋体"/>
          <w:bCs/>
          <w:sz w:val="24"/>
          <w:szCs w:val="24"/>
        </w:rPr>
        <w:t>对医院的项目管理配置专业的洗地机、自动洗地吸水机、抛光机、吸水洗尘机、地坪/地毯吹干机、真空吸尘机、对讲机、洗衣机和烘干机、垃圾车、榨水器、等设备设施。</w:t>
      </w:r>
    </w:p>
    <w:p w14:paraId="107207CF">
      <w:pPr>
        <w:spacing w:line="360" w:lineRule="auto"/>
        <w:ind w:right="-27" w:rightChars="-13" w:firstLine="480" w:firstLineChars="200"/>
        <w:rPr>
          <w:rFonts w:ascii="宋体" w:hAnsi="宋体"/>
          <w:sz w:val="24"/>
          <w:szCs w:val="24"/>
        </w:rPr>
      </w:pPr>
      <w:r>
        <w:rPr>
          <w:rFonts w:hint="eastAsia" w:ascii="宋体" w:hAnsi="宋体"/>
          <w:sz w:val="24"/>
          <w:szCs w:val="24"/>
        </w:rPr>
        <w:t>投标单位提供保洁用的清洁剂、洗涤剂、消毒剂和地面保护材料，这些消耗品必须是通过国家卫生部或国家有关部门准予生产使用的，并符合医院感染控制的要求，提供合理的耗材清单，包括设备品牌、型号等信息，并提供所列产品的证明材料。</w:t>
      </w:r>
    </w:p>
    <w:p w14:paraId="206F88AA">
      <w:pPr>
        <w:spacing w:line="360" w:lineRule="auto"/>
        <w:ind w:right="-27" w:rightChars="-13" w:firstLine="480" w:firstLineChars="200"/>
        <w:rPr>
          <w:rFonts w:ascii="宋体" w:hAnsi="宋体"/>
          <w:sz w:val="24"/>
          <w:szCs w:val="24"/>
        </w:rPr>
      </w:pPr>
      <w:r>
        <w:rPr>
          <w:rFonts w:hint="eastAsia" w:ascii="宋体" w:hAnsi="宋体" w:cs="宋体"/>
          <w:bCs/>
          <w:sz w:val="24"/>
          <w:szCs w:val="24"/>
        </w:rPr>
        <w:t>报价中包含：玻化砖翻新、定期保养，PVC 地面的护理，包括打蜡，喷磨和抛光等处理，保持 PVC 地面的光亮、整洁，并且注明保养的频率。</w:t>
      </w:r>
    </w:p>
    <w:p w14:paraId="3FD8C363">
      <w:pPr>
        <w:numPr>
          <w:ilvl w:val="0"/>
          <w:numId w:val="1"/>
        </w:numPr>
        <w:spacing w:line="360" w:lineRule="auto"/>
        <w:ind w:right="-27" w:rightChars="-13"/>
        <w:rPr>
          <w:rFonts w:ascii="宋体" w:hAnsi="宋体"/>
          <w:b/>
          <w:sz w:val="24"/>
          <w:szCs w:val="24"/>
        </w:rPr>
      </w:pPr>
      <w:r>
        <w:rPr>
          <w:rFonts w:hint="eastAsia" w:ascii="宋体" w:hAnsi="宋体"/>
          <w:b/>
          <w:sz w:val="24"/>
          <w:szCs w:val="24"/>
        </w:rPr>
        <w:t>保洁服务质量检查要求</w:t>
      </w:r>
    </w:p>
    <w:p w14:paraId="5929B001">
      <w:pPr>
        <w:spacing w:line="360" w:lineRule="auto"/>
        <w:ind w:right="-27" w:rightChars="-13"/>
        <w:rPr>
          <w:rFonts w:ascii="宋体" w:hAnsi="宋体"/>
          <w:sz w:val="24"/>
          <w:szCs w:val="24"/>
        </w:rPr>
      </w:pPr>
      <w:r>
        <w:rPr>
          <w:rFonts w:hint="eastAsia" w:ascii="宋体" w:hAnsi="宋体"/>
          <w:sz w:val="24"/>
          <w:szCs w:val="24"/>
        </w:rPr>
        <w:t>·需设立各保洁服务项目检查频次；</w:t>
      </w:r>
    </w:p>
    <w:p w14:paraId="1B19F4A5">
      <w:pPr>
        <w:spacing w:line="360" w:lineRule="auto"/>
        <w:ind w:right="-27" w:rightChars="-13"/>
        <w:rPr>
          <w:rFonts w:ascii="宋体" w:hAnsi="宋体"/>
          <w:sz w:val="24"/>
          <w:szCs w:val="24"/>
        </w:rPr>
      </w:pPr>
      <w:r>
        <w:rPr>
          <w:rFonts w:hint="eastAsia" w:ascii="宋体" w:hAnsi="宋体"/>
          <w:sz w:val="24"/>
          <w:szCs w:val="24"/>
        </w:rPr>
        <w:t>·需有日查、周查、月查检查表；</w:t>
      </w:r>
    </w:p>
    <w:p w14:paraId="18DE9F32">
      <w:pPr>
        <w:spacing w:line="360" w:lineRule="auto"/>
        <w:ind w:right="-27" w:rightChars="-13"/>
        <w:rPr>
          <w:rFonts w:ascii="宋体" w:hAnsi="宋体"/>
          <w:sz w:val="24"/>
          <w:szCs w:val="24"/>
        </w:rPr>
      </w:pPr>
      <w:r>
        <w:rPr>
          <w:rFonts w:hint="eastAsia" w:ascii="宋体" w:hAnsi="宋体"/>
          <w:sz w:val="24"/>
          <w:szCs w:val="24"/>
        </w:rPr>
        <w:t>·需有自查、领班查、项目经理查检查表。</w:t>
      </w:r>
    </w:p>
    <w:p w14:paraId="180A24B3">
      <w:pPr>
        <w:spacing w:line="360" w:lineRule="auto"/>
        <w:ind w:right="-27" w:rightChars="-13"/>
        <w:rPr>
          <w:rFonts w:ascii="宋体" w:hAnsi="宋体"/>
          <w:b/>
          <w:sz w:val="24"/>
          <w:szCs w:val="24"/>
        </w:rPr>
      </w:pPr>
    </w:p>
    <w:p w14:paraId="6151ABFC">
      <w:pPr>
        <w:pStyle w:val="15"/>
        <w:spacing w:line="360" w:lineRule="auto"/>
        <w:ind w:firstLineChars="0"/>
        <w:rPr>
          <w:rFonts w:ascii="宋体" w:hAnsi="宋体"/>
          <w:b/>
          <w:sz w:val="24"/>
          <w:szCs w:val="24"/>
        </w:rPr>
      </w:pPr>
      <w:r>
        <w:rPr>
          <w:rFonts w:hint="eastAsia" w:ascii="宋体" w:hAnsi="宋体"/>
          <w:b/>
          <w:sz w:val="24"/>
          <w:szCs w:val="24"/>
        </w:rPr>
        <w:t>3.2、电梯操作员服务</w:t>
      </w:r>
    </w:p>
    <w:p w14:paraId="3092D278">
      <w:pPr>
        <w:pStyle w:val="14"/>
        <w:tabs>
          <w:tab w:val="left" w:pos="426"/>
        </w:tabs>
        <w:spacing w:before="0" w:beforeAutospacing="0" w:after="0" w:afterAutospacing="0" w:line="360" w:lineRule="auto"/>
        <w:ind w:left="212" w:leftChars="1" w:right="105" w:rightChars="50" w:hanging="210" w:hangingChars="87"/>
        <w:jc w:val="both"/>
        <w:rPr>
          <w:b/>
        </w:rPr>
      </w:pPr>
      <w:r>
        <w:rPr>
          <w:rFonts w:hint="eastAsia"/>
          <w:b/>
        </w:rPr>
        <w:t>电梯操作员服务内容</w:t>
      </w:r>
    </w:p>
    <w:p w14:paraId="5692C56A">
      <w:pPr>
        <w:pStyle w:val="14"/>
        <w:tabs>
          <w:tab w:val="left" w:pos="426"/>
        </w:tabs>
        <w:spacing w:before="0" w:beforeAutospacing="0" w:after="0" w:afterAutospacing="0" w:line="360" w:lineRule="auto"/>
        <w:ind w:left="212" w:leftChars="101" w:right="105" w:rightChars="50" w:firstLine="453" w:firstLineChars="189"/>
        <w:jc w:val="both"/>
      </w:pPr>
      <w:r>
        <w:rPr>
          <w:rFonts w:hint="eastAsia"/>
        </w:rPr>
        <w:t>综合楼电梯9台，医辅楼电梯5台，2号楼电梯2台，4号楼电梯1台，电梯操作员在人员进出电梯需要时协助维持秩序和帮助搬运。</w:t>
      </w:r>
    </w:p>
    <w:p w14:paraId="47E001B2">
      <w:pPr>
        <w:spacing w:line="360" w:lineRule="auto"/>
        <w:rPr>
          <w:rFonts w:ascii="宋体" w:hAnsi="宋体"/>
          <w:b/>
          <w:sz w:val="24"/>
          <w:szCs w:val="24"/>
        </w:rPr>
      </w:pPr>
      <w:r>
        <w:rPr>
          <w:rFonts w:hint="eastAsia" w:ascii="宋体" w:hAnsi="宋体"/>
          <w:b/>
          <w:sz w:val="24"/>
          <w:szCs w:val="24"/>
        </w:rPr>
        <w:t>电梯操作员服务要求</w:t>
      </w:r>
    </w:p>
    <w:p w14:paraId="41DE0F28">
      <w:pPr>
        <w:pStyle w:val="14"/>
        <w:tabs>
          <w:tab w:val="left" w:pos="426"/>
        </w:tabs>
        <w:spacing w:before="0" w:beforeAutospacing="0" w:after="0" w:afterAutospacing="0" w:line="360" w:lineRule="auto"/>
        <w:ind w:left="212" w:leftChars="101" w:right="105" w:rightChars="50" w:firstLine="453" w:firstLineChars="189"/>
        <w:jc w:val="both"/>
      </w:pPr>
      <w:r>
        <w:rPr>
          <w:rFonts w:hint="eastAsia"/>
        </w:rPr>
        <w:t>负责电梯日常运行、开启与关闭，保持电梯轿厢设备设施完好，并做好清洁卫生工作。会说普通话，懂礼仪。基本熟悉电梯发生事故障或事故时的应急处理措施和需符合国家相关法律法规及条例规定的岗位要求。。</w:t>
      </w:r>
    </w:p>
    <w:p w14:paraId="6951C221">
      <w:pPr>
        <w:pStyle w:val="14"/>
        <w:tabs>
          <w:tab w:val="left" w:pos="426"/>
        </w:tabs>
        <w:spacing w:before="0" w:beforeAutospacing="0" w:after="0" w:afterAutospacing="0" w:line="360" w:lineRule="auto"/>
        <w:ind w:left="212" w:leftChars="101" w:right="105" w:rightChars="50" w:firstLine="453" w:firstLineChars="189"/>
        <w:jc w:val="both"/>
      </w:pPr>
    </w:p>
    <w:p w14:paraId="677AAE77">
      <w:pPr>
        <w:pStyle w:val="15"/>
        <w:spacing w:line="360" w:lineRule="auto"/>
        <w:ind w:firstLineChars="0"/>
        <w:rPr>
          <w:rFonts w:ascii="宋体" w:hAnsi="宋体"/>
          <w:b/>
          <w:sz w:val="24"/>
          <w:szCs w:val="24"/>
        </w:rPr>
      </w:pPr>
      <w:r>
        <w:rPr>
          <w:rFonts w:hint="eastAsia" w:ascii="宋体" w:hAnsi="宋体"/>
          <w:b/>
          <w:sz w:val="24"/>
          <w:szCs w:val="24"/>
        </w:rPr>
        <w:t>3.3、运送服务</w:t>
      </w:r>
    </w:p>
    <w:p w14:paraId="05747279">
      <w:pPr>
        <w:spacing w:line="360" w:lineRule="auto"/>
        <w:ind w:firstLine="482" w:firstLineChars="200"/>
        <w:rPr>
          <w:rFonts w:ascii="宋体" w:hAnsi="宋体"/>
          <w:b/>
          <w:sz w:val="24"/>
          <w:szCs w:val="24"/>
        </w:rPr>
      </w:pPr>
      <w:r>
        <w:rPr>
          <w:rFonts w:hint="eastAsia" w:ascii="宋体" w:hAnsi="宋体"/>
          <w:b/>
          <w:sz w:val="24"/>
          <w:szCs w:val="24"/>
        </w:rPr>
        <w:t>运送服务内容</w:t>
      </w:r>
    </w:p>
    <w:p w14:paraId="0423B5E9">
      <w:pPr>
        <w:numPr>
          <w:ilvl w:val="0"/>
          <w:numId w:val="2"/>
        </w:numPr>
        <w:spacing w:line="360" w:lineRule="auto"/>
        <w:ind w:left="426" w:hanging="426"/>
        <w:rPr>
          <w:rFonts w:ascii="宋体" w:hAnsi="宋体" w:cs="宋体"/>
          <w:sz w:val="24"/>
          <w:szCs w:val="24"/>
        </w:rPr>
      </w:pPr>
      <w:r>
        <w:rPr>
          <w:rFonts w:hint="eastAsia" w:ascii="宋体" w:hAnsi="宋体" w:cs="宋体"/>
          <w:sz w:val="24"/>
          <w:szCs w:val="24"/>
        </w:rPr>
        <w:t>把行动不便的病人送到需要做特殊检查的地点，并包括检验标本、单据、药物、医用品、被服等的运送，要求设立调度中心，包括手术室接送病人24小时全天候满足医疗工作需要。</w:t>
      </w:r>
    </w:p>
    <w:p w14:paraId="0015368B">
      <w:pPr>
        <w:numPr>
          <w:ilvl w:val="0"/>
          <w:numId w:val="2"/>
        </w:numPr>
        <w:spacing w:line="360" w:lineRule="auto"/>
        <w:ind w:left="426" w:hanging="426"/>
        <w:rPr>
          <w:rFonts w:ascii="宋体" w:hAnsi="宋体" w:cs="宋体"/>
          <w:sz w:val="24"/>
          <w:szCs w:val="24"/>
        </w:rPr>
      </w:pPr>
      <w:r>
        <w:rPr>
          <w:rFonts w:hint="eastAsia" w:ascii="宋体" w:hAnsi="宋体" w:cs="宋体"/>
          <w:sz w:val="24"/>
          <w:szCs w:val="24"/>
        </w:rPr>
        <w:t>认真做好三查八对，按约定时间准时、安全接送，接送要热情，做到无差错事故。举止规范，文明礼貌。标本运送要及时、准确、全封闭送达医技部门。消毒包按时按要求送取，保证消毒包不受污染。公药领取按时，做到无差错。各类单据的送发应做到无遗失、无遗漏、无错发，并有登记手续，各类检查单严禁擅自涂改。医用氧的调换、运送。</w:t>
      </w:r>
    </w:p>
    <w:p w14:paraId="16702C95">
      <w:pPr>
        <w:numPr>
          <w:ilvl w:val="0"/>
          <w:numId w:val="2"/>
        </w:numPr>
        <w:spacing w:line="360" w:lineRule="auto"/>
        <w:ind w:left="426" w:hanging="426"/>
        <w:rPr>
          <w:rFonts w:ascii="宋体" w:hAnsi="宋体" w:cs="宋体"/>
          <w:sz w:val="24"/>
          <w:szCs w:val="24"/>
        </w:rPr>
      </w:pPr>
      <w:r>
        <w:rPr>
          <w:rFonts w:hint="eastAsia" w:ascii="宋体" w:hAnsi="宋体" w:cs="宋体"/>
          <w:sz w:val="24"/>
          <w:szCs w:val="24"/>
        </w:rPr>
        <w:t>其他因业务开展需要的服务。</w:t>
      </w:r>
    </w:p>
    <w:p w14:paraId="4DA642DD">
      <w:pPr>
        <w:spacing w:line="360" w:lineRule="auto"/>
        <w:rPr>
          <w:rFonts w:ascii="宋体" w:hAnsi="宋体"/>
          <w:b/>
          <w:sz w:val="24"/>
          <w:szCs w:val="24"/>
        </w:rPr>
      </w:pPr>
      <w:r>
        <w:rPr>
          <w:rFonts w:hint="eastAsia" w:ascii="宋体" w:hAnsi="宋体"/>
          <w:b/>
          <w:sz w:val="24"/>
          <w:szCs w:val="24"/>
        </w:rPr>
        <w:t>运送服务要求</w:t>
      </w:r>
    </w:p>
    <w:p w14:paraId="6501C739">
      <w:pPr>
        <w:spacing w:line="360" w:lineRule="auto"/>
        <w:rPr>
          <w:rFonts w:ascii="宋体" w:hAnsi="宋体"/>
          <w:b/>
          <w:sz w:val="24"/>
        </w:rPr>
      </w:pPr>
      <w:r>
        <w:rPr>
          <w:rFonts w:hint="eastAsia" w:ascii="宋体" w:hAnsi="宋体"/>
          <w:b/>
          <w:sz w:val="24"/>
        </w:rPr>
        <w:t>病人运送</w:t>
      </w:r>
    </w:p>
    <w:p w14:paraId="26783752">
      <w:pPr>
        <w:spacing w:line="360" w:lineRule="auto"/>
        <w:rPr>
          <w:rFonts w:ascii="宋体" w:hAnsi="宋体"/>
          <w:sz w:val="24"/>
        </w:rPr>
      </w:pPr>
      <w:r>
        <w:rPr>
          <w:rFonts w:hint="eastAsia" w:ascii="宋体" w:hAnsi="宋体"/>
          <w:sz w:val="24"/>
          <w:szCs w:val="21"/>
        </w:rPr>
        <w:t>1）</w:t>
      </w:r>
      <w:r>
        <w:rPr>
          <w:rFonts w:ascii="宋体" w:hAnsi="宋体"/>
          <w:sz w:val="24"/>
        </w:rPr>
        <w:t>服务认真、热情，不得与患者、家属及工作人员发生争执。</w:t>
      </w:r>
    </w:p>
    <w:p w14:paraId="31EBAB21">
      <w:pPr>
        <w:spacing w:line="360" w:lineRule="auto"/>
        <w:rPr>
          <w:rFonts w:ascii="宋体" w:hAnsi="宋体"/>
          <w:sz w:val="24"/>
        </w:rPr>
      </w:pPr>
      <w:r>
        <w:rPr>
          <w:rFonts w:hint="eastAsia" w:ascii="宋体" w:hAnsi="宋体"/>
          <w:sz w:val="24"/>
          <w:szCs w:val="21"/>
        </w:rPr>
        <w:t>2）</w:t>
      </w:r>
      <w:r>
        <w:rPr>
          <w:rFonts w:ascii="宋体" w:hAnsi="宋体"/>
          <w:sz w:val="24"/>
        </w:rPr>
        <w:t>在运送病人之前必须核对病人的姓名、床位，询问病人病情，选择合适的运送车辆；确保运送途中病人医疗安全。</w:t>
      </w:r>
    </w:p>
    <w:p w14:paraId="16DB72A5">
      <w:pPr>
        <w:spacing w:line="360" w:lineRule="auto"/>
        <w:rPr>
          <w:rFonts w:ascii="宋体" w:hAnsi="宋体"/>
          <w:sz w:val="24"/>
        </w:rPr>
      </w:pPr>
      <w:r>
        <w:rPr>
          <w:rFonts w:hint="eastAsia" w:ascii="宋体" w:hAnsi="宋体"/>
          <w:sz w:val="24"/>
        </w:rPr>
        <w:t>3）</w:t>
      </w:r>
      <w:r>
        <w:rPr>
          <w:rFonts w:ascii="宋体" w:hAnsi="宋体"/>
          <w:sz w:val="24"/>
        </w:rPr>
        <w:t>病人在输液过程中需进行检查运送，员工应询当班护士，确认后方能运送</w:t>
      </w:r>
      <w:r>
        <w:rPr>
          <w:rFonts w:hint="eastAsia" w:ascii="宋体" w:hAnsi="宋体"/>
          <w:sz w:val="24"/>
        </w:rPr>
        <w:t>。</w:t>
      </w:r>
    </w:p>
    <w:p w14:paraId="7F94F735">
      <w:pPr>
        <w:spacing w:line="360" w:lineRule="auto"/>
        <w:rPr>
          <w:rFonts w:ascii="宋体" w:hAnsi="宋体"/>
          <w:sz w:val="24"/>
        </w:rPr>
      </w:pPr>
      <w:r>
        <w:rPr>
          <w:rFonts w:hint="eastAsia" w:ascii="宋体" w:hAnsi="宋体"/>
          <w:sz w:val="24"/>
        </w:rPr>
        <w:t>4）</w:t>
      </w:r>
      <w:r>
        <w:rPr>
          <w:rFonts w:ascii="宋体" w:hAnsi="宋体"/>
          <w:sz w:val="24"/>
        </w:rPr>
        <w:t>对于重症病人、特殊病人应在护士指导下进行运送</w:t>
      </w:r>
      <w:r>
        <w:rPr>
          <w:rFonts w:hint="eastAsia" w:ascii="宋体" w:hAnsi="宋体"/>
          <w:sz w:val="24"/>
        </w:rPr>
        <w:t>。</w:t>
      </w:r>
    </w:p>
    <w:p w14:paraId="3BCD0F81">
      <w:pPr>
        <w:spacing w:line="360" w:lineRule="auto"/>
        <w:rPr>
          <w:rFonts w:ascii="宋体" w:hAnsi="宋体"/>
          <w:sz w:val="24"/>
        </w:rPr>
      </w:pPr>
      <w:r>
        <w:rPr>
          <w:rFonts w:hint="eastAsia" w:ascii="宋体" w:hAnsi="宋体"/>
          <w:sz w:val="24"/>
        </w:rPr>
        <w:t>5）能够及时协调并完成病区紧急运送任务。</w:t>
      </w:r>
    </w:p>
    <w:p w14:paraId="46580E83">
      <w:pPr>
        <w:spacing w:line="360" w:lineRule="auto"/>
        <w:rPr>
          <w:rFonts w:ascii="宋体" w:hAnsi="宋体"/>
          <w:b/>
          <w:sz w:val="24"/>
        </w:rPr>
      </w:pPr>
      <w:r>
        <w:rPr>
          <w:rFonts w:hint="eastAsia" w:ascii="宋体" w:hAnsi="宋体"/>
          <w:b/>
          <w:sz w:val="24"/>
        </w:rPr>
        <w:t>标本运送</w:t>
      </w:r>
    </w:p>
    <w:p w14:paraId="1083D00C">
      <w:pPr>
        <w:spacing w:line="360" w:lineRule="auto"/>
        <w:rPr>
          <w:rFonts w:ascii="宋体" w:hAnsi="宋体"/>
          <w:sz w:val="24"/>
        </w:rPr>
      </w:pPr>
      <w:r>
        <w:rPr>
          <w:rFonts w:hint="eastAsia" w:ascii="宋体" w:hAnsi="宋体"/>
          <w:sz w:val="24"/>
        </w:rPr>
        <w:t>1）</w:t>
      </w:r>
      <w:r>
        <w:rPr>
          <w:rFonts w:ascii="宋体" w:hAnsi="宋体"/>
          <w:sz w:val="24"/>
        </w:rPr>
        <w:t>运送员工至负责病区收集运送标本必须手提标本运送篮、试管架等相关运送工具，对运送的标本加以固定和密封。</w:t>
      </w:r>
    </w:p>
    <w:p w14:paraId="6C5AD128">
      <w:pPr>
        <w:spacing w:line="360" w:lineRule="auto"/>
        <w:rPr>
          <w:rFonts w:ascii="宋体" w:hAnsi="宋体"/>
          <w:sz w:val="24"/>
        </w:rPr>
      </w:pPr>
      <w:r>
        <w:rPr>
          <w:rFonts w:hint="eastAsia" w:ascii="宋体" w:hAnsi="宋体"/>
          <w:sz w:val="24"/>
        </w:rPr>
        <w:t>2）</w:t>
      </w:r>
      <w:r>
        <w:rPr>
          <w:rFonts w:ascii="宋体" w:hAnsi="宋体"/>
          <w:sz w:val="24"/>
        </w:rPr>
        <w:t>至病区后，核对相关标本数量及化验单据的数量，并要求当班护士对所送标本确认后签字。</w:t>
      </w:r>
    </w:p>
    <w:p w14:paraId="37D49C62">
      <w:pPr>
        <w:spacing w:line="360" w:lineRule="auto"/>
        <w:rPr>
          <w:rFonts w:ascii="宋体" w:hAnsi="宋体"/>
          <w:sz w:val="24"/>
        </w:rPr>
      </w:pPr>
      <w:r>
        <w:rPr>
          <w:rFonts w:hint="eastAsia" w:ascii="宋体" w:hAnsi="宋体"/>
          <w:sz w:val="24"/>
        </w:rPr>
        <w:t>3）</w:t>
      </w:r>
      <w:r>
        <w:rPr>
          <w:rFonts w:ascii="宋体" w:hAnsi="宋体"/>
          <w:sz w:val="24"/>
        </w:rPr>
        <w:t>根据标本情况在医院规定的时限内将标本送至不同化验科室，严禁送错。运送期间注意运送安全，严禁与工作无关的人交谈，严禁奔跑，一旦出现意外，第一时间向负责领班进行汇报，严禁毁坏标本。</w:t>
      </w:r>
    </w:p>
    <w:p w14:paraId="6E00D24C">
      <w:pPr>
        <w:spacing w:line="360" w:lineRule="auto"/>
        <w:rPr>
          <w:rFonts w:ascii="宋体" w:hAnsi="宋体"/>
          <w:sz w:val="24"/>
        </w:rPr>
      </w:pPr>
      <w:r>
        <w:rPr>
          <w:rFonts w:hint="eastAsia" w:ascii="宋体" w:hAnsi="宋体"/>
          <w:sz w:val="24"/>
        </w:rPr>
        <w:t>4）</w:t>
      </w:r>
      <w:r>
        <w:rPr>
          <w:rFonts w:ascii="宋体" w:hAnsi="宋体"/>
          <w:sz w:val="24"/>
        </w:rPr>
        <w:t>送至化验室后，化验室相关检验师对收到标本进行签收。签收记录存档保存运送手提篮每日用消毒溶液进行擦拭消毒，以待备用。</w:t>
      </w:r>
    </w:p>
    <w:p w14:paraId="1F41CFAA">
      <w:pPr>
        <w:spacing w:line="360" w:lineRule="auto"/>
        <w:rPr>
          <w:rFonts w:ascii="宋体" w:hAnsi="宋体"/>
          <w:sz w:val="24"/>
        </w:rPr>
      </w:pPr>
      <w:r>
        <w:rPr>
          <w:rFonts w:hint="eastAsia" w:ascii="宋体" w:hAnsi="宋体"/>
          <w:sz w:val="24"/>
        </w:rPr>
        <w:t>5）应急至周边医院或市血站更换、收取血液制品必须至化验室核对取血单。使用专用的取血存放桶。</w:t>
      </w:r>
    </w:p>
    <w:p w14:paraId="2B7CBFAE">
      <w:pPr>
        <w:spacing w:line="360" w:lineRule="auto"/>
        <w:rPr>
          <w:rFonts w:ascii="宋体" w:hAnsi="宋体"/>
          <w:sz w:val="24"/>
        </w:rPr>
      </w:pPr>
      <w:r>
        <w:rPr>
          <w:rFonts w:hint="eastAsia" w:ascii="宋体" w:hAnsi="宋体"/>
          <w:sz w:val="24"/>
        </w:rPr>
        <w:t>6）根据院感要求，及时进行人员培训，按规做好中心实验室标本的运送工作。</w:t>
      </w:r>
    </w:p>
    <w:p w14:paraId="122EB0E8">
      <w:pPr>
        <w:spacing w:line="360" w:lineRule="auto"/>
        <w:rPr>
          <w:rFonts w:ascii="宋体" w:hAnsi="宋体"/>
          <w:sz w:val="24"/>
        </w:rPr>
      </w:pPr>
      <w:r>
        <w:rPr>
          <w:rFonts w:hint="eastAsia" w:ascii="宋体" w:hAnsi="宋体"/>
          <w:sz w:val="24"/>
        </w:rPr>
        <w:t>7）投标单位必须提供标本运送突发事件及流行病防治等应急预案，且运送标本员工</w:t>
      </w:r>
      <w:r>
        <w:rPr>
          <w:rFonts w:hint="eastAsia" w:ascii="宋体" w:hAnsi="宋体"/>
          <w:sz w:val="24"/>
          <w:szCs w:val="24"/>
        </w:rPr>
        <w:t>需100%经过岗前预案培训，熟练掌握应急处置措施。</w:t>
      </w:r>
    </w:p>
    <w:p w14:paraId="50D0DCBF">
      <w:pPr>
        <w:spacing w:line="360" w:lineRule="auto"/>
        <w:ind w:left="1134"/>
        <w:rPr>
          <w:rFonts w:ascii="宋体" w:hAnsi="宋体"/>
          <w:sz w:val="24"/>
        </w:rPr>
      </w:pPr>
    </w:p>
    <w:p w14:paraId="22145721">
      <w:pPr>
        <w:pStyle w:val="15"/>
        <w:spacing w:line="360" w:lineRule="auto"/>
        <w:ind w:firstLine="0" w:firstLineChars="0"/>
        <w:rPr>
          <w:rFonts w:ascii="宋体" w:hAnsi="宋体"/>
          <w:b/>
          <w:vanish/>
          <w:sz w:val="24"/>
          <w:szCs w:val="24"/>
        </w:rPr>
      </w:pPr>
      <w:r>
        <w:rPr>
          <w:rFonts w:hint="eastAsia" w:ascii="宋体" w:hAnsi="宋体"/>
          <w:b/>
          <w:sz w:val="24"/>
          <w:szCs w:val="24"/>
        </w:rPr>
        <w:t>3.4、配餐服务内容及要求</w:t>
      </w:r>
    </w:p>
    <w:p w14:paraId="6ECDF46B">
      <w:pPr>
        <w:numPr>
          <w:ilvl w:val="0"/>
          <w:numId w:val="3"/>
        </w:numPr>
        <w:spacing w:line="360" w:lineRule="auto"/>
        <w:ind w:left="709" w:hanging="709"/>
        <w:rPr>
          <w:rFonts w:ascii="宋体" w:hAnsi="宋体"/>
          <w:sz w:val="24"/>
          <w:szCs w:val="24"/>
        </w:rPr>
      </w:pPr>
    </w:p>
    <w:p w14:paraId="45FAE01F">
      <w:pPr>
        <w:numPr>
          <w:ilvl w:val="0"/>
          <w:numId w:val="4"/>
        </w:numPr>
        <w:spacing w:line="360" w:lineRule="auto"/>
        <w:ind w:left="0" w:firstLine="0"/>
        <w:rPr>
          <w:rFonts w:ascii="宋体" w:hAnsi="宋体"/>
          <w:sz w:val="24"/>
          <w:szCs w:val="24"/>
        </w:rPr>
      </w:pPr>
      <w:r>
        <w:rPr>
          <w:rFonts w:hint="eastAsia" w:ascii="宋体" w:hAnsi="宋体"/>
          <w:sz w:val="24"/>
          <w:szCs w:val="24"/>
        </w:rPr>
        <w:t>为病区病人及家属提供预定餐服务。</w:t>
      </w:r>
    </w:p>
    <w:p w14:paraId="14E9DE12">
      <w:pPr>
        <w:numPr>
          <w:ilvl w:val="0"/>
          <w:numId w:val="4"/>
        </w:numPr>
        <w:spacing w:line="360" w:lineRule="auto"/>
        <w:ind w:left="0" w:firstLine="0"/>
        <w:rPr>
          <w:rFonts w:ascii="宋体" w:hAnsi="宋体"/>
          <w:sz w:val="24"/>
          <w:szCs w:val="24"/>
        </w:rPr>
      </w:pPr>
      <w:r>
        <w:rPr>
          <w:rFonts w:hint="eastAsia" w:ascii="宋体" w:hAnsi="宋体"/>
          <w:sz w:val="24"/>
          <w:szCs w:val="24"/>
        </w:rPr>
        <w:t>每日三餐配餐、送餐服务。</w:t>
      </w:r>
    </w:p>
    <w:p w14:paraId="63BDD47A">
      <w:pPr>
        <w:numPr>
          <w:ilvl w:val="0"/>
          <w:numId w:val="4"/>
        </w:numPr>
        <w:spacing w:line="360" w:lineRule="auto"/>
        <w:ind w:left="0" w:firstLine="0"/>
        <w:rPr>
          <w:rFonts w:ascii="宋体" w:hAnsi="宋体"/>
          <w:sz w:val="24"/>
          <w:szCs w:val="24"/>
        </w:rPr>
      </w:pPr>
      <w:r>
        <w:rPr>
          <w:rFonts w:hint="eastAsia" w:ascii="宋体" w:hAnsi="宋体"/>
          <w:sz w:val="24"/>
          <w:szCs w:val="24"/>
        </w:rPr>
        <w:t>每天为病人提供2次冲开水服务，送至床旁。</w:t>
      </w:r>
    </w:p>
    <w:p w14:paraId="2B020C21">
      <w:pPr>
        <w:numPr>
          <w:ilvl w:val="0"/>
          <w:numId w:val="5"/>
        </w:numPr>
        <w:spacing w:line="360" w:lineRule="auto"/>
        <w:ind w:left="0" w:firstLine="0"/>
        <w:rPr>
          <w:rFonts w:ascii="宋体" w:hAnsi="宋体"/>
          <w:sz w:val="24"/>
          <w:szCs w:val="24"/>
        </w:rPr>
      </w:pPr>
      <w:r>
        <w:rPr>
          <w:rFonts w:hint="eastAsia" w:ascii="宋体" w:hAnsi="宋体"/>
          <w:sz w:val="24"/>
          <w:szCs w:val="24"/>
        </w:rPr>
        <w:t>确保配餐过程中实行消毒隔离措施。</w:t>
      </w:r>
    </w:p>
    <w:p w14:paraId="1A524E79">
      <w:pPr>
        <w:numPr>
          <w:ilvl w:val="0"/>
          <w:numId w:val="5"/>
        </w:numPr>
        <w:spacing w:line="360" w:lineRule="auto"/>
        <w:ind w:left="0" w:firstLine="0"/>
        <w:rPr>
          <w:rFonts w:ascii="宋体" w:hAnsi="宋体"/>
          <w:sz w:val="24"/>
          <w:szCs w:val="24"/>
        </w:rPr>
      </w:pPr>
      <w:r>
        <w:rPr>
          <w:rFonts w:hint="eastAsia" w:ascii="宋体" w:hAnsi="宋体"/>
          <w:sz w:val="24"/>
          <w:szCs w:val="24"/>
        </w:rPr>
        <w:t>确保配餐室环境卫生，定时清洁、消毒。</w:t>
      </w:r>
    </w:p>
    <w:p w14:paraId="6236CEEA">
      <w:pPr>
        <w:numPr>
          <w:ilvl w:val="0"/>
          <w:numId w:val="5"/>
        </w:numPr>
        <w:spacing w:line="360" w:lineRule="auto"/>
        <w:ind w:left="0" w:firstLine="0"/>
        <w:rPr>
          <w:rFonts w:ascii="宋体" w:hAnsi="宋体"/>
          <w:sz w:val="24"/>
          <w:szCs w:val="24"/>
        </w:rPr>
      </w:pPr>
      <w:r>
        <w:rPr>
          <w:rFonts w:hint="eastAsia" w:ascii="宋体" w:hAnsi="宋体"/>
          <w:sz w:val="24"/>
          <w:szCs w:val="24"/>
        </w:rPr>
        <w:t>确保配餐室内微波炉的安全使用管理，定时清洁、消毒。</w:t>
      </w:r>
    </w:p>
    <w:p w14:paraId="5AA700EB">
      <w:pPr>
        <w:numPr>
          <w:ilvl w:val="0"/>
          <w:numId w:val="5"/>
        </w:numPr>
        <w:spacing w:line="360" w:lineRule="auto"/>
        <w:ind w:left="0" w:firstLine="0"/>
        <w:rPr>
          <w:rFonts w:ascii="宋体" w:hAnsi="宋体"/>
          <w:sz w:val="24"/>
          <w:szCs w:val="24"/>
        </w:rPr>
      </w:pPr>
      <w:r>
        <w:rPr>
          <w:rFonts w:hint="eastAsia" w:ascii="宋体" w:hAnsi="宋体"/>
          <w:sz w:val="24"/>
          <w:szCs w:val="24"/>
        </w:rPr>
        <w:t>配餐后做好送饭车、病员餐具的清洗和消毒。</w:t>
      </w:r>
    </w:p>
    <w:p w14:paraId="751EE2BB">
      <w:pPr>
        <w:numPr>
          <w:ilvl w:val="0"/>
          <w:numId w:val="5"/>
        </w:numPr>
        <w:spacing w:line="360" w:lineRule="auto"/>
        <w:ind w:left="0" w:firstLine="0"/>
        <w:rPr>
          <w:rFonts w:ascii="宋体" w:hAnsi="宋体"/>
          <w:b/>
          <w:sz w:val="24"/>
          <w:szCs w:val="24"/>
        </w:rPr>
      </w:pPr>
      <w:r>
        <w:rPr>
          <w:rFonts w:hint="eastAsia" w:ascii="宋体" w:hAnsi="宋体"/>
          <w:sz w:val="24"/>
          <w:szCs w:val="24"/>
        </w:rPr>
        <w:t>持有食品操作从业人员健康证。</w:t>
      </w:r>
    </w:p>
    <w:p w14:paraId="11E8B166">
      <w:pPr>
        <w:pStyle w:val="15"/>
        <w:spacing w:line="360" w:lineRule="auto"/>
        <w:ind w:firstLine="0" w:firstLineChars="0"/>
        <w:rPr>
          <w:rFonts w:ascii="宋体" w:hAnsi="宋体"/>
          <w:b/>
          <w:sz w:val="24"/>
          <w:szCs w:val="24"/>
        </w:rPr>
      </w:pPr>
      <w:r>
        <w:rPr>
          <w:rFonts w:hint="eastAsia" w:ascii="宋体" w:hAnsi="宋体"/>
          <w:b/>
          <w:sz w:val="24"/>
          <w:szCs w:val="24"/>
        </w:rPr>
        <w:t>3.5、支付方式：</w:t>
      </w:r>
      <w:r>
        <w:rPr>
          <w:rFonts w:hint="eastAsia" w:ascii="宋体" w:hAnsi="宋体" w:cs="宋体"/>
          <w:b/>
          <w:sz w:val="24"/>
          <w:szCs w:val="24"/>
        </w:rPr>
        <w:t>经本单位考核合格后，</w:t>
      </w:r>
      <w:r>
        <w:rPr>
          <w:rFonts w:hint="eastAsia" w:ascii="宋体" w:hAnsi="宋体"/>
          <w:b/>
          <w:sz w:val="24"/>
          <w:szCs w:val="24"/>
        </w:rPr>
        <w:t>按月支付。</w:t>
      </w:r>
    </w:p>
    <w:p w14:paraId="37DCE8C5">
      <w:pPr>
        <w:pStyle w:val="15"/>
        <w:spacing w:line="360" w:lineRule="auto"/>
        <w:ind w:firstLine="0" w:firstLineChars="0"/>
        <w:rPr>
          <w:rFonts w:ascii="宋体" w:hAnsi="宋体"/>
          <w:b/>
          <w:sz w:val="24"/>
          <w:szCs w:val="24"/>
        </w:rPr>
      </w:pPr>
      <w:r>
        <w:rPr>
          <w:rFonts w:hint="eastAsia" w:ascii="宋体" w:hAnsi="宋体"/>
          <w:b/>
          <w:sz w:val="24"/>
          <w:szCs w:val="24"/>
        </w:rPr>
        <w:t>3.6、投标单位要求必须具有物业管理的相关经营范围。</w:t>
      </w:r>
    </w:p>
    <w:p w14:paraId="2DC19F01">
      <w:pPr>
        <w:adjustRightInd w:val="0"/>
        <w:snapToGrid w:val="0"/>
        <w:spacing w:line="360" w:lineRule="auto"/>
        <w:rPr>
          <w:rFonts w:ascii="宋体" w:hAnsi="宋体" w:cs="宋体"/>
          <w:b/>
          <w:bCs/>
          <w:sz w:val="24"/>
          <w:szCs w:val="24"/>
        </w:rPr>
      </w:pPr>
      <w:r>
        <w:rPr>
          <w:rFonts w:hint="eastAsia" w:ascii="宋体" w:hAnsi="宋体"/>
          <w:b/>
          <w:sz w:val="24"/>
          <w:szCs w:val="24"/>
        </w:rPr>
        <w:t>3.7、</w:t>
      </w:r>
      <w:r>
        <w:rPr>
          <w:rFonts w:hint="eastAsia" w:ascii="宋体" w:hAnsi="宋体" w:cs="宋体"/>
          <w:b/>
          <w:bCs/>
          <w:sz w:val="24"/>
          <w:szCs w:val="24"/>
        </w:rPr>
        <w:t>服务人员委托管理：</w:t>
      </w:r>
    </w:p>
    <w:p w14:paraId="23A5A225">
      <w:pPr>
        <w:adjustRightInd w:val="0"/>
        <w:snapToGrid w:val="0"/>
        <w:spacing w:line="360" w:lineRule="auto"/>
        <w:ind w:left="420" w:leftChars="200"/>
        <w:rPr>
          <w:rFonts w:ascii="宋体" w:hAnsi="宋体" w:cs="宋体"/>
          <w:sz w:val="24"/>
          <w:szCs w:val="24"/>
        </w:rPr>
      </w:pPr>
      <w:r>
        <w:rPr>
          <w:rFonts w:hint="eastAsia" w:ascii="宋体" w:hAnsi="宋体" w:cs="宋体"/>
          <w:sz w:val="24"/>
          <w:szCs w:val="24"/>
        </w:rPr>
        <w:t>根据甲方要求对托管人员严格管理，如因管理不到位所产生的后果一律由中标公司负责。</w:t>
      </w:r>
    </w:p>
    <w:p w14:paraId="75E91A20">
      <w:pPr>
        <w:adjustRightInd w:val="0"/>
        <w:snapToGrid w:val="0"/>
        <w:spacing w:line="360" w:lineRule="auto"/>
        <w:rPr>
          <w:rFonts w:ascii="宋体" w:hAnsi="宋体" w:cs="宋体"/>
          <w:sz w:val="24"/>
          <w:szCs w:val="24"/>
        </w:rPr>
      </w:pPr>
      <w:r>
        <w:rPr>
          <w:rFonts w:hint="eastAsia" w:ascii="宋体" w:hAnsi="宋体"/>
          <w:b/>
          <w:sz w:val="24"/>
          <w:szCs w:val="24"/>
        </w:rPr>
        <w:t>3.8、</w:t>
      </w:r>
      <w:r>
        <w:rPr>
          <w:rFonts w:hint="eastAsia" w:ascii="宋体" w:hAnsi="宋体" w:cs="宋体"/>
          <w:b/>
          <w:bCs/>
          <w:sz w:val="24"/>
          <w:szCs w:val="24"/>
        </w:rPr>
        <w:t>考核办法：</w:t>
      </w:r>
    </w:p>
    <w:p w14:paraId="012B191A">
      <w:pPr>
        <w:adjustRightInd w:val="0"/>
        <w:snapToGrid w:val="0"/>
        <w:spacing w:line="360" w:lineRule="auto"/>
        <w:rPr>
          <w:rFonts w:ascii="宋体" w:hAnsi="宋体" w:cs="宋体"/>
          <w:sz w:val="24"/>
          <w:szCs w:val="24"/>
        </w:rPr>
      </w:pPr>
      <w:r>
        <w:rPr>
          <w:rFonts w:hint="eastAsia" w:ascii="宋体" w:hAnsi="宋体" w:cs="宋体"/>
          <w:sz w:val="24"/>
          <w:szCs w:val="24"/>
        </w:rPr>
        <w:t>（1）考核形式：由医院考核小组平时每月巡检考核。</w:t>
      </w:r>
    </w:p>
    <w:p w14:paraId="0EA1B212">
      <w:pPr>
        <w:adjustRightInd w:val="0"/>
        <w:snapToGrid w:val="0"/>
        <w:spacing w:line="360" w:lineRule="auto"/>
        <w:rPr>
          <w:rFonts w:ascii="宋体" w:hAnsi="宋体" w:cs="宋体"/>
          <w:sz w:val="24"/>
          <w:szCs w:val="24"/>
        </w:rPr>
      </w:pPr>
      <w:r>
        <w:rPr>
          <w:rFonts w:hint="eastAsia" w:ascii="宋体" w:hAnsi="宋体" w:cs="宋体"/>
          <w:sz w:val="24"/>
          <w:szCs w:val="24"/>
        </w:rPr>
        <w:t>（2）考核标准：依据考核结果，按得分高低分为优、良、中、差四个等级。</w:t>
      </w:r>
    </w:p>
    <w:tbl>
      <w:tblPr>
        <w:tblStyle w:val="9"/>
        <w:tblW w:w="0" w:type="auto"/>
        <w:tblInd w:w="288"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3600"/>
        <w:gridCol w:w="4140"/>
      </w:tblGrid>
      <w:tr w14:paraId="5847522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83" w:hRule="atLeast"/>
        </w:trPr>
        <w:tc>
          <w:tcPr>
            <w:tcW w:w="360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14:paraId="50FBCCF5">
            <w:pPr>
              <w:adjustRightInd w:val="0"/>
              <w:snapToGrid w:val="0"/>
              <w:spacing w:line="360" w:lineRule="auto"/>
              <w:rPr>
                <w:rFonts w:ascii="宋体" w:hAnsi="宋体" w:cs="宋体"/>
                <w:szCs w:val="21"/>
              </w:rPr>
            </w:pPr>
            <w:r>
              <w:rPr>
                <w:rFonts w:hint="eastAsia" w:ascii="宋体" w:hAnsi="宋体" w:cs="宋体"/>
                <w:szCs w:val="21"/>
              </w:rPr>
              <w:t>考 核 分</w:t>
            </w:r>
          </w:p>
        </w:tc>
        <w:tc>
          <w:tcPr>
            <w:tcW w:w="4140" w:type="dxa"/>
            <w:tcBorders>
              <w:top w:val="single" w:color="auto" w:sz="8" w:space="0"/>
              <w:left w:val="nil"/>
              <w:bottom w:val="single" w:color="auto" w:sz="8" w:space="0"/>
              <w:right w:val="single" w:color="auto" w:sz="8" w:space="0"/>
            </w:tcBorders>
            <w:tcMar>
              <w:left w:w="108" w:type="dxa"/>
              <w:right w:w="108" w:type="dxa"/>
            </w:tcMar>
            <w:vAlign w:val="center"/>
          </w:tcPr>
          <w:p w14:paraId="182576E0">
            <w:pPr>
              <w:adjustRightInd w:val="0"/>
              <w:snapToGrid w:val="0"/>
              <w:spacing w:line="360" w:lineRule="auto"/>
              <w:rPr>
                <w:rFonts w:ascii="宋体" w:hAnsi="宋体" w:cs="宋体"/>
                <w:szCs w:val="21"/>
              </w:rPr>
            </w:pPr>
            <w:r>
              <w:rPr>
                <w:rFonts w:hint="eastAsia" w:ascii="宋体" w:hAnsi="宋体" w:cs="宋体"/>
                <w:szCs w:val="21"/>
              </w:rPr>
              <w:t>等 级</w:t>
            </w:r>
          </w:p>
        </w:tc>
      </w:tr>
      <w:tr w14:paraId="7D4F144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193EEF2C">
            <w:pPr>
              <w:adjustRightInd w:val="0"/>
              <w:snapToGrid w:val="0"/>
              <w:spacing w:line="360" w:lineRule="auto"/>
              <w:rPr>
                <w:rFonts w:ascii="宋体" w:hAnsi="宋体" w:cs="宋体"/>
                <w:szCs w:val="21"/>
              </w:rPr>
            </w:pPr>
            <w:r>
              <w:rPr>
                <w:rFonts w:hint="eastAsia" w:ascii="宋体" w:hAnsi="宋体" w:cs="宋体"/>
                <w:szCs w:val="21"/>
              </w:rPr>
              <w:t>90分以上</w:t>
            </w:r>
          </w:p>
        </w:tc>
        <w:tc>
          <w:tcPr>
            <w:tcW w:w="4140" w:type="dxa"/>
            <w:tcBorders>
              <w:top w:val="nil"/>
              <w:left w:val="nil"/>
              <w:bottom w:val="single" w:color="auto" w:sz="8" w:space="0"/>
              <w:right w:val="single" w:color="auto" w:sz="8" w:space="0"/>
            </w:tcBorders>
            <w:tcMar>
              <w:left w:w="108" w:type="dxa"/>
              <w:right w:w="108" w:type="dxa"/>
            </w:tcMar>
            <w:vAlign w:val="center"/>
          </w:tcPr>
          <w:p w14:paraId="0CDB33B5">
            <w:pPr>
              <w:adjustRightInd w:val="0"/>
              <w:snapToGrid w:val="0"/>
              <w:spacing w:line="360" w:lineRule="auto"/>
              <w:rPr>
                <w:rFonts w:ascii="宋体" w:hAnsi="宋体" w:cs="宋体"/>
                <w:szCs w:val="21"/>
              </w:rPr>
            </w:pPr>
            <w:r>
              <w:rPr>
                <w:rFonts w:hint="eastAsia" w:ascii="宋体" w:hAnsi="宋体" w:cs="宋体"/>
                <w:szCs w:val="21"/>
              </w:rPr>
              <w:t>优</w:t>
            </w:r>
          </w:p>
        </w:tc>
      </w:tr>
      <w:tr w14:paraId="762D935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10"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199433AB">
            <w:pPr>
              <w:adjustRightInd w:val="0"/>
              <w:snapToGrid w:val="0"/>
              <w:spacing w:line="360" w:lineRule="auto"/>
              <w:rPr>
                <w:rFonts w:ascii="宋体" w:hAnsi="宋体" w:cs="宋体"/>
                <w:szCs w:val="21"/>
              </w:rPr>
            </w:pPr>
            <w:r>
              <w:rPr>
                <w:rFonts w:hint="eastAsia" w:ascii="宋体" w:hAnsi="宋体" w:cs="宋体"/>
                <w:szCs w:val="21"/>
              </w:rPr>
              <w:t>85分～89分</w:t>
            </w:r>
          </w:p>
        </w:tc>
        <w:tc>
          <w:tcPr>
            <w:tcW w:w="4140" w:type="dxa"/>
            <w:tcBorders>
              <w:top w:val="nil"/>
              <w:left w:val="nil"/>
              <w:bottom w:val="single" w:color="auto" w:sz="8" w:space="0"/>
              <w:right w:val="single" w:color="auto" w:sz="8" w:space="0"/>
            </w:tcBorders>
            <w:tcMar>
              <w:left w:w="108" w:type="dxa"/>
              <w:right w:w="108" w:type="dxa"/>
            </w:tcMar>
            <w:vAlign w:val="center"/>
          </w:tcPr>
          <w:p w14:paraId="21C4775B">
            <w:pPr>
              <w:adjustRightInd w:val="0"/>
              <w:snapToGrid w:val="0"/>
              <w:spacing w:line="360" w:lineRule="auto"/>
              <w:rPr>
                <w:rFonts w:ascii="宋体" w:hAnsi="宋体" w:cs="宋体"/>
                <w:szCs w:val="21"/>
              </w:rPr>
            </w:pPr>
            <w:r>
              <w:rPr>
                <w:rFonts w:hint="eastAsia" w:ascii="宋体" w:hAnsi="宋体" w:cs="宋体"/>
                <w:szCs w:val="21"/>
              </w:rPr>
              <w:t>良</w:t>
            </w:r>
          </w:p>
        </w:tc>
      </w:tr>
      <w:tr w14:paraId="2DA14B9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0"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044728D4">
            <w:pPr>
              <w:adjustRightInd w:val="0"/>
              <w:snapToGrid w:val="0"/>
              <w:spacing w:line="360" w:lineRule="auto"/>
              <w:rPr>
                <w:rFonts w:ascii="宋体" w:hAnsi="宋体" w:cs="宋体"/>
                <w:szCs w:val="21"/>
              </w:rPr>
            </w:pPr>
            <w:r>
              <w:rPr>
                <w:rFonts w:hint="eastAsia" w:ascii="宋体" w:hAnsi="宋体" w:cs="宋体"/>
                <w:szCs w:val="21"/>
              </w:rPr>
              <w:t>80分～84分</w:t>
            </w:r>
          </w:p>
        </w:tc>
        <w:tc>
          <w:tcPr>
            <w:tcW w:w="4140" w:type="dxa"/>
            <w:tcBorders>
              <w:top w:val="nil"/>
              <w:left w:val="nil"/>
              <w:bottom w:val="single" w:color="auto" w:sz="8" w:space="0"/>
              <w:right w:val="single" w:color="auto" w:sz="8" w:space="0"/>
            </w:tcBorders>
            <w:tcMar>
              <w:left w:w="108" w:type="dxa"/>
              <w:right w:w="108" w:type="dxa"/>
            </w:tcMar>
            <w:vAlign w:val="center"/>
          </w:tcPr>
          <w:p w14:paraId="6EDA26E7">
            <w:pPr>
              <w:adjustRightInd w:val="0"/>
              <w:snapToGrid w:val="0"/>
              <w:spacing w:line="360" w:lineRule="auto"/>
              <w:rPr>
                <w:rFonts w:ascii="宋体" w:hAnsi="宋体" w:cs="宋体"/>
                <w:szCs w:val="21"/>
              </w:rPr>
            </w:pPr>
            <w:r>
              <w:rPr>
                <w:rFonts w:hint="eastAsia" w:ascii="宋体" w:hAnsi="宋体" w:cs="宋体"/>
                <w:szCs w:val="21"/>
              </w:rPr>
              <w:t>中</w:t>
            </w:r>
          </w:p>
        </w:tc>
      </w:tr>
      <w:tr w14:paraId="644211F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53" w:hRule="atLeast"/>
        </w:trPr>
        <w:tc>
          <w:tcPr>
            <w:tcW w:w="3600" w:type="dxa"/>
            <w:tcBorders>
              <w:top w:val="nil"/>
              <w:left w:val="single" w:color="auto" w:sz="8" w:space="0"/>
              <w:bottom w:val="single" w:color="auto" w:sz="8" w:space="0"/>
              <w:right w:val="single" w:color="auto" w:sz="8" w:space="0"/>
            </w:tcBorders>
            <w:tcMar>
              <w:left w:w="108" w:type="dxa"/>
              <w:right w:w="108" w:type="dxa"/>
            </w:tcMar>
            <w:vAlign w:val="center"/>
          </w:tcPr>
          <w:p w14:paraId="19AE202C">
            <w:pPr>
              <w:adjustRightInd w:val="0"/>
              <w:snapToGrid w:val="0"/>
              <w:spacing w:line="360" w:lineRule="auto"/>
              <w:rPr>
                <w:rFonts w:ascii="宋体" w:hAnsi="宋体" w:cs="宋体"/>
                <w:szCs w:val="21"/>
              </w:rPr>
            </w:pPr>
            <w:r>
              <w:rPr>
                <w:rFonts w:hint="eastAsia" w:ascii="宋体" w:hAnsi="宋体" w:cs="宋体"/>
                <w:szCs w:val="21"/>
              </w:rPr>
              <w:t>80分以下</w:t>
            </w:r>
          </w:p>
        </w:tc>
        <w:tc>
          <w:tcPr>
            <w:tcW w:w="4140" w:type="dxa"/>
            <w:tcBorders>
              <w:top w:val="nil"/>
              <w:left w:val="nil"/>
              <w:bottom w:val="single" w:color="auto" w:sz="8" w:space="0"/>
              <w:right w:val="single" w:color="auto" w:sz="8" w:space="0"/>
            </w:tcBorders>
            <w:tcMar>
              <w:left w:w="108" w:type="dxa"/>
              <w:right w:w="108" w:type="dxa"/>
            </w:tcMar>
            <w:vAlign w:val="center"/>
          </w:tcPr>
          <w:p w14:paraId="119A07A4">
            <w:pPr>
              <w:adjustRightInd w:val="0"/>
              <w:snapToGrid w:val="0"/>
              <w:spacing w:line="360" w:lineRule="auto"/>
              <w:rPr>
                <w:rFonts w:ascii="宋体" w:hAnsi="宋体" w:cs="宋体"/>
                <w:szCs w:val="21"/>
              </w:rPr>
            </w:pPr>
            <w:r>
              <w:rPr>
                <w:rFonts w:hint="eastAsia" w:ascii="宋体" w:hAnsi="宋体" w:cs="宋体"/>
                <w:szCs w:val="21"/>
              </w:rPr>
              <w:t>差</w:t>
            </w:r>
          </w:p>
        </w:tc>
      </w:tr>
    </w:tbl>
    <w:p w14:paraId="7E2BC4BB">
      <w:pPr>
        <w:adjustRightInd w:val="0"/>
        <w:snapToGrid w:val="0"/>
        <w:spacing w:line="360" w:lineRule="auto"/>
        <w:ind w:left="420" w:leftChars="200"/>
        <w:rPr>
          <w:rFonts w:ascii="宋体" w:hAnsi="宋体" w:cs="宋体"/>
          <w:bCs/>
          <w:sz w:val="24"/>
          <w:szCs w:val="24"/>
        </w:rPr>
      </w:pPr>
      <w:r>
        <w:rPr>
          <w:rFonts w:hint="eastAsia" w:ascii="宋体" w:hAnsi="宋体" w:cs="宋体"/>
          <w:bCs/>
          <w:sz w:val="24"/>
          <w:szCs w:val="24"/>
        </w:rPr>
        <w:t>注：</w:t>
      </w:r>
    </w:p>
    <w:p w14:paraId="0AAD2E67">
      <w:pPr>
        <w:adjustRightInd w:val="0"/>
        <w:snapToGrid w:val="0"/>
        <w:spacing w:line="360" w:lineRule="auto"/>
        <w:ind w:left="420" w:leftChars="200"/>
        <w:rPr>
          <w:rFonts w:ascii="宋体" w:hAnsi="宋体" w:cs="宋体"/>
          <w:bCs/>
          <w:sz w:val="24"/>
          <w:szCs w:val="24"/>
        </w:rPr>
      </w:pPr>
      <w:r>
        <w:rPr>
          <w:rFonts w:hint="eastAsia" w:ascii="宋体" w:hAnsi="宋体" w:cs="宋体"/>
          <w:bCs/>
          <w:sz w:val="24"/>
          <w:szCs w:val="24"/>
        </w:rPr>
        <w:t>1、合同期间，由于保洁服务瑕疵或服务过失造成乙方及乙方以外的人员、财产等一切损失由乙方承担责任。</w:t>
      </w:r>
    </w:p>
    <w:p w14:paraId="4E4073F4">
      <w:pPr>
        <w:adjustRightInd w:val="0"/>
        <w:snapToGrid w:val="0"/>
        <w:spacing w:line="360" w:lineRule="auto"/>
        <w:ind w:left="420" w:leftChars="200"/>
        <w:rPr>
          <w:rFonts w:ascii="宋体" w:hAnsi="宋体" w:cs="宋体"/>
          <w:bCs/>
          <w:sz w:val="24"/>
          <w:szCs w:val="24"/>
        </w:rPr>
      </w:pPr>
      <w:r>
        <w:rPr>
          <w:rFonts w:hint="eastAsia" w:ascii="宋体" w:hAnsi="宋体" w:cs="宋体"/>
          <w:bCs/>
          <w:sz w:val="24"/>
          <w:szCs w:val="24"/>
        </w:rPr>
        <w:t>2、乙方工作人员要爱护甲方的各类设施、设备，如有损坏，按情节轻重作价赔偿。</w:t>
      </w:r>
    </w:p>
    <w:p w14:paraId="410BB0D3">
      <w:pPr>
        <w:adjustRightInd w:val="0"/>
        <w:snapToGrid w:val="0"/>
        <w:spacing w:line="360" w:lineRule="auto"/>
        <w:ind w:left="420" w:leftChars="200"/>
        <w:rPr>
          <w:rFonts w:ascii="宋体" w:hAnsi="宋体" w:cs="宋体"/>
          <w:bCs/>
          <w:sz w:val="24"/>
          <w:szCs w:val="24"/>
        </w:rPr>
      </w:pPr>
      <w:bookmarkStart w:id="1" w:name="_Toc235511978"/>
      <w:bookmarkStart w:id="2" w:name="_Toc250459100"/>
      <w:bookmarkStart w:id="3" w:name="_Toc235512329"/>
      <w:r>
        <w:rPr>
          <w:rFonts w:hint="eastAsia" w:ascii="宋体" w:hAnsi="宋体" w:cs="宋体"/>
          <w:bCs/>
          <w:sz w:val="24"/>
          <w:szCs w:val="24"/>
        </w:rPr>
        <w:t>3、每月度中标方应接受采购方对保洁服务质量的考核（满分100分）。</w:t>
      </w:r>
    </w:p>
    <w:p w14:paraId="6F5845EE">
      <w:pPr>
        <w:spacing w:line="360" w:lineRule="auto"/>
        <w:ind w:firstLine="480" w:firstLineChars="200"/>
        <w:rPr>
          <w:rFonts w:ascii="宋体" w:hAnsi="宋体" w:cs="宋体"/>
          <w:bCs/>
          <w:sz w:val="24"/>
          <w:szCs w:val="24"/>
        </w:rPr>
      </w:pPr>
      <w:r>
        <w:rPr>
          <w:rFonts w:hint="eastAsia" w:ascii="宋体" w:hAnsi="宋体" w:cs="宋体"/>
          <w:bCs/>
          <w:sz w:val="24"/>
          <w:szCs w:val="24"/>
        </w:rPr>
        <w:t>4、考核得分90分以上（含90分）将支付当月全部物业服务承包费；低于90分的每下降1分扣2000元；低于85分的每下降1分扣4000元；低于80分的扣6万元，并责令限期整改。如果连续三个月考核得分在80分以下，医院有权终止与中标公司的合同。</w:t>
      </w:r>
      <w:bookmarkEnd w:id="1"/>
      <w:bookmarkEnd w:id="2"/>
      <w:bookmarkEnd w:id="3"/>
      <w:r>
        <w:rPr>
          <w:rFonts w:hint="eastAsia" w:ascii="宋体" w:hAnsi="宋体" w:cs="宋体"/>
          <w:bCs/>
          <w:sz w:val="24"/>
          <w:szCs w:val="24"/>
        </w:rPr>
        <w:t>由此产生的一切法律后果及所有相关费用由中标公司承担。一年服务期满，经考核合格后方可签订下一年度保洁服务合同。</w:t>
      </w:r>
    </w:p>
    <w:p w14:paraId="40BC8A21">
      <w:pPr>
        <w:adjustRightInd w:val="0"/>
        <w:snapToGrid w:val="0"/>
        <w:spacing w:line="360" w:lineRule="auto"/>
        <w:ind w:left="420" w:leftChars="200"/>
        <w:rPr>
          <w:rFonts w:ascii="宋体" w:hAnsi="宋体" w:cs="宋体"/>
          <w:bCs/>
          <w:sz w:val="24"/>
          <w:szCs w:val="24"/>
        </w:rPr>
      </w:pPr>
      <w:r>
        <w:rPr>
          <w:rFonts w:hint="eastAsia" w:ascii="宋体" w:hAnsi="宋体" w:cs="宋体"/>
          <w:bCs/>
          <w:sz w:val="24"/>
          <w:szCs w:val="24"/>
        </w:rPr>
        <w:t>5、甲方有权对乙方财务进行监管，发现物品用料、人员费用未达到投标书中做出的各项承诺，甲方有权拒付或追回相应费用。</w:t>
      </w:r>
    </w:p>
    <w:p w14:paraId="1F4DC729">
      <w:pPr>
        <w:jc w:val="center"/>
        <w:rPr>
          <w:rFonts w:ascii="宋体" w:hAnsi="宋体"/>
          <w:b/>
          <w:sz w:val="36"/>
          <w:szCs w:val="36"/>
        </w:rPr>
      </w:pPr>
      <w:r>
        <w:rPr>
          <w:rFonts w:hint="eastAsia" w:ascii="宋体" w:hAnsi="宋体"/>
          <w:b/>
          <w:sz w:val="36"/>
          <w:szCs w:val="36"/>
        </w:rPr>
        <w:t>静安区闸北中心医院</w:t>
      </w:r>
    </w:p>
    <w:p w14:paraId="05174553">
      <w:pPr>
        <w:jc w:val="center"/>
        <w:rPr>
          <w:rFonts w:ascii="宋体" w:hAnsi="宋体"/>
          <w:b/>
          <w:sz w:val="30"/>
          <w:szCs w:val="30"/>
        </w:rPr>
      </w:pPr>
      <w:r>
        <w:rPr>
          <w:rFonts w:hint="eastAsia" w:ascii="宋体" w:hAnsi="宋体"/>
          <w:b/>
          <w:sz w:val="30"/>
          <w:szCs w:val="30"/>
          <w:u w:val="single"/>
        </w:rPr>
        <w:t xml:space="preserve">  物业 </w:t>
      </w:r>
      <w:r>
        <w:rPr>
          <w:rFonts w:hint="eastAsia" w:ascii="宋体" w:hAnsi="宋体"/>
          <w:b/>
          <w:sz w:val="30"/>
          <w:szCs w:val="30"/>
        </w:rPr>
        <w:t>管理检查考核评分表</w:t>
      </w:r>
    </w:p>
    <w:p w14:paraId="5EF9C1AF">
      <w:pPr>
        <w:jc w:val="center"/>
        <w:rPr>
          <w:rFonts w:ascii="宋体" w:hAnsi="宋体"/>
          <w:b/>
        </w:rPr>
      </w:pPr>
      <w:r>
        <w:rPr>
          <w:rFonts w:hint="eastAsia" w:ascii="宋体" w:hAnsi="宋体"/>
        </w:rPr>
        <w:t xml:space="preserve">                                                                               </w:t>
      </w:r>
      <w:r>
        <w:rPr>
          <w:rFonts w:hint="eastAsia" w:ascii="宋体" w:hAnsi="宋体"/>
          <w:b/>
        </w:rPr>
        <w:t xml:space="preserve">  年  月</w:t>
      </w:r>
      <w:r>
        <w:rPr>
          <w:rFonts w:hint="eastAsia" w:ascii="宋体" w:hAnsi="宋体"/>
          <w:b/>
          <w:vanish/>
        </w:rPr>
        <w:t>长征</w:t>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r>
        <w:rPr>
          <w:rFonts w:hint="eastAsia" w:ascii="宋体" w:hAnsi="宋体"/>
          <w:b/>
          <w:vanish/>
        </w:rPr>
        <w:pgNum/>
      </w:r>
    </w:p>
    <w:tbl>
      <w:tblPr>
        <w:tblStyle w:val="9"/>
        <w:tblW w:w="9782" w:type="dxa"/>
        <w:tblInd w:w="-411" w:type="dxa"/>
        <w:tblLayout w:type="fixed"/>
        <w:tblCellMar>
          <w:top w:w="0" w:type="dxa"/>
          <w:left w:w="0" w:type="dxa"/>
          <w:bottom w:w="0" w:type="dxa"/>
          <w:right w:w="0" w:type="dxa"/>
        </w:tblCellMar>
      </w:tblPr>
      <w:tblGrid>
        <w:gridCol w:w="852"/>
        <w:gridCol w:w="567"/>
        <w:gridCol w:w="5791"/>
        <w:gridCol w:w="1273"/>
        <w:gridCol w:w="707"/>
        <w:gridCol w:w="592"/>
      </w:tblGrid>
      <w:tr w14:paraId="0E35FCF7">
        <w:tblPrEx>
          <w:tblCellMar>
            <w:top w:w="0" w:type="dxa"/>
            <w:left w:w="0" w:type="dxa"/>
            <w:bottom w:w="0" w:type="dxa"/>
            <w:right w:w="0" w:type="dxa"/>
          </w:tblCellMar>
        </w:tblPrEx>
        <w:trPr>
          <w:trHeight w:val="547" w:hRule="atLeast"/>
        </w:trPr>
        <w:tc>
          <w:tcPr>
            <w:tcW w:w="852" w:type="dxa"/>
            <w:tcBorders>
              <w:top w:val="single" w:color="auto" w:sz="12" w:space="0"/>
              <w:left w:val="single" w:color="auto" w:sz="12" w:space="0"/>
              <w:bottom w:val="single" w:color="auto" w:sz="8" w:space="0"/>
              <w:right w:val="single" w:color="auto" w:sz="8" w:space="0"/>
            </w:tcBorders>
            <w:vAlign w:val="center"/>
          </w:tcPr>
          <w:p w14:paraId="544BDA61">
            <w:pPr>
              <w:autoSpaceDE w:val="0"/>
              <w:autoSpaceDN w:val="0"/>
              <w:jc w:val="center"/>
              <w:rPr>
                <w:rFonts w:ascii="宋体" w:cs="宋体"/>
                <w:b/>
                <w:kern w:val="0"/>
                <w:sz w:val="18"/>
                <w:szCs w:val="18"/>
              </w:rPr>
            </w:pPr>
            <w:r>
              <w:rPr>
                <w:rFonts w:hint="eastAsia" w:ascii="宋体" w:cs="宋体"/>
                <w:b/>
                <w:kern w:val="0"/>
                <w:sz w:val="18"/>
                <w:szCs w:val="18"/>
              </w:rPr>
              <w:t>项</w:t>
            </w:r>
          </w:p>
          <w:p w14:paraId="7A7ED9F5">
            <w:pPr>
              <w:autoSpaceDE w:val="0"/>
              <w:autoSpaceDN w:val="0"/>
              <w:jc w:val="center"/>
              <w:rPr>
                <w:rFonts w:ascii="宋体" w:cs="宋体"/>
                <w:b/>
                <w:kern w:val="0"/>
                <w:sz w:val="18"/>
                <w:szCs w:val="18"/>
              </w:rPr>
            </w:pPr>
            <w:r>
              <w:rPr>
                <w:rFonts w:hint="eastAsia" w:ascii="宋体" w:cs="宋体"/>
                <w:b/>
                <w:kern w:val="0"/>
                <w:sz w:val="18"/>
                <w:szCs w:val="18"/>
              </w:rPr>
              <w:t>目</w:t>
            </w:r>
          </w:p>
        </w:tc>
        <w:tc>
          <w:tcPr>
            <w:tcW w:w="567" w:type="dxa"/>
            <w:tcBorders>
              <w:top w:val="single" w:color="auto" w:sz="12" w:space="0"/>
              <w:left w:val="single" w:color="auto" w:sz="8" w:space="0"/>
              <w:bottom w:val="single" w:color="auto" w:sz="8" w:space="0"/>
              <w:right w:val="single" w:color="auto" w:sz="8" w:space="0"/>
            </w:tcBorders>
            <w:vAlign w:val="center"/>
          </w:tcPr>
          <w:p w14:paraId="4983FE4F">
            <w:pPr>
              <w:autoSpaceDE w:val="0"/>
              <w:autoSpaceDN w:val="0"/>
              <w:jc w:val="center"/>
              <w:rPr>
                <w:rFonts w:ascii="宋体" w:cs="宋体"/>
                <w:b/>
                <w:kern w:val="0"/>
                <w:sz w:val="18"/>
                <w:szCs w:val="18"/>
              </w:rPr>
            </w:pPr>
            <w:r>
              <w:rPr>
                <w:rFonts w:hint="eastAsia" w:ascii="宋体" w:cs="宋体"/>
                <w:b/>
                <w:kern w:val="0"/>
                <w:sz w:val="18"/>
                <w:szCs w:val="18"/>
              </w:rPr>
              <w:t>小</w:t>
            </w:r>
          </w:p>
          <w:p w14:paraId="2FBA9CF9">
            <w:pPr>
              <w:autoSpaceDE w:val="0"/>
              <w:autoSpaceDN w:val="0"/>
              <w:jc w:val="center"/>
              <w:rPr>
                <w:rFonts w:ascii="宋体" w:cs="宋体"/>
                <w:b/>
                <w:kern w:val="0"/>
                <w:sz w:val="18"/>
                <w:szCs w:val="18"/>
              </w:rPr>
            </w:pPr>
            <w:r>
              <w:rPr>
                <w:rFonts w:hint="eastAsia" w:ascii="宋体" w:cs="宋体"/>
                <w:b/>
                <w:kern w:val="0"/>
                <w:sz w:val="18"/>
                <w:szCs w:val="18"/>
              </w:rPr>
              <w:t>计</w:t>
            </w:r>
          </w:p>
        </w:tc>
        <w:tc>
          <w:tcPr>
            <w:tcW w:w="5791" w:type="dxa"/>
            <w:tcBorders>
              <w:top w:val="single" w:color="auto" w:sz="12" w:space="0"/>
              <w:left w:val="single" w:color="auto" w:sz="8" w:space="0"/>
              <w:bottom w:val="single" w:color="auto" w:sz="8" w:space="0"/>
              <w:right w:val="single" w:color="auto" w:sz="8" w:space="0"/>
            </w:tcBorders>
            <w:vAlign w:val="center"/>
          </w:tcPr>
          <w:p w14:paraId="08B02CDF">
            <w:pPr>
              <w:autoSpaceDE w:val="0"/>
              <w:autoSpaceDN w:val="0"/>
              <w:jc w:val="center"/>
              <w:rPr>
                <w:rFonts w:ascii="宋体" w:cs="宋体"/>
                <w:b/>
                <w:kern w:val="0"/>
                <w:sz w:val="18"/>
                <w:szCs w:val="18"/>
              </w:rPr>
            </w:pPr>
            <w:r>
              <w:rPr>
                <w:rFonts w:hint="eastAsia" w:ascii="宋体" w:cs="宋体"/>
                <w:b/>
                <w:kern w:val="0"/>
                <w:sz w:val="18"/>
                <w:szCs w:val="18"/>
              </w:rPr>
              <w:t>考评内容</w:t>
            </w:r>
          </w:p>
        </w:tc>
        <w:tc>
          <w:tcPr>
            <w:tcW w:w="1273" w:type="dxa"/>
            <w:tcBorders>
              <w:top w:val="single" w:color="auto" w:sz="12" w:space="0"/>
              <w:left w:val="single" w:color="auto" w:sz="8" w:space="0"/>
              <w:bottom w:val="single" w:color="auto" w:sz="8" w:space="0"/>
              <w:right w:val="single" w:color="auto" w:sz="8" w:space="0"/>
            </w:tcBorders>
            <w:vAlign w:val="center"/>
          </w:tcPr>
          <w:p w14:paraId="73B9E1D8">
            <w:pPr>
              <w:autoSpaceDE w:val="0"/>
              <w:autoSpaceDN w:val="0"/>
              <w:jc w:val="center"/>
              <w:rPr>
                <w:rFonts w:ascii="宋体" w:cs="宋体"/>
                <w:b/>
                <w:kern w:val="0"/>
                <w:sz w:val="18"/>
                <w:szCs w:val="18"/>
              </w:rPr>
            </w:pPr>
            <w:r>
              <w:rPr>
                <w:rFonts w:hint="eastAsia" w:ascii="宋体" w:cs="宋体"/>
                <w:b/>
                <w:kern w:val="0"/>
                <w:sz w:val="18"/>
                <w:szCs w:val="18"/>
              </w:rPr>
              <w:t>标准</w:t>
            </w:r>
          </w:p>
          <w:p w14:paraId="22659209">
            <w:pPr>
              <w:autoSpaceDE w:val="0"/>
              <w:autoSpaceDN w:val="0"/>
              <w:jc w:val="center"/>
              <w:rPr>
                <w:rFonts w:ascii="宋体" w:cs="宋体"/>
                <w:b/>
                <w:kern w:val="0"/>
                <w:sz w:val="18"/>
                <w:szCs w:val="18"/>
              </w:rPr>
            </w:pPr>
            <w:r>
              <w:rPr>
                <w:rFonts w:hint="eastAsia" w:ascii="宋体" w:cs="宋体"/>
                <w:b/>
                <w:kern w:val="0"/>
                <w:sz w:val="18"/>
                <w:szCs w:val="18"/>
              </w:rPr>
              <w:t>分</w:t>
            </w:r>
          </w:p>
        </w:tc>
        <w:tc>
          <w:tcPr>
            <w:tcW w:w="707" w:type="dxa"/>
            <w:tcBorders>
              <w:top w:val="single" w:color="auto" w:sz="12" w:space="0"/>
              <w:left w:val="single" w:color="auto" w:sz="8" w:space="0"/>
              <w:bottom w:val="single" w:color="auto" w:sz="8" w:space="0"/>
              <w:right w:val="single" w:color="auto" w:sz="8" w:space="0"/>
            </w:tcBorders>
            <w:vAlign w:val="center"/>
          </w:tcPr>
          <w:p w14:paraId="01F08605">
            <w:pPr>
              <w:autoSpaceDE w:val="0"/>
              <w:autoSpaceDN w:val="0"/>
              <w:jc w:val="center"/>
              <w:rPr>
                <w:rFonts w:ascii="宋体" w:cs="宋体"/>
                <w:b/>
                <w:kern w:val="0"/>
                <w:sz w:val="18"/>
                <w:szCs w:val="18"/>
              </w:rPr>
            </w:pPr>
            <w:r>
              <w:rPr>
                <w:rFonts w:hint="eastAsia" w:ascii="宋体" w:cs="宋体"/>
                <w:b/>
                <w:kern w:val="0"/>
                <w:sz w:val="18"/>
                <w:szCs w:val="18"/>
              </w:rPr>
              <w:t>扣分</w:t>
            </w:r>
          </w:p>
        </w:tc>
        <w:tc>
          <w:tcPr>
            <w:tcW w:w="592" w:type="dxa"/>
            <w:tcBorders>
              <w:top w:val="single" w:color="auto" w:sz="12" w:space="0"/>
              <w:left w:val="single" w:color="auto" w:sz="8" w:space="0"/>
              <w:bottom w:val="single" w:color="auto" w:sz="8" w:space="0"/>
              <w:right w:val="single" w:color="auto" w:sz="12" w:space="0"/>
            </w:tcBorders>
            <w:vAlign w:val="center"/>
          </w:tcPr>
          <w:p w14:paraId="24B6A6A1">
            <w:pPr>
              <w:autoSpaceDE w:val="0"/>
              <w:autoSpaceDN w:val="0"/>
              <w:jc w:val="center"/>
              <w:rPr>
                <w:rFonts w:ascii="宋体" w:cs="宋体"/>
                <w:b/>
                <w:kern w:val="0"/>
                <w:sz w:val="18"/>
                <w:szCs w:val="18"/>
              </w:rPr>
            </w:pPr>
            <w:r>
              <w:rPr>
                <w:rFonts w:hint="eastAsia" w:ascii="宋体" w:cs="宋体"/>
                <w:b/>
                <w:kern w:val="0"/>
                <w:sz w:val="18"/>
                <w:szCs w:val="18"/>
              </w:rPr>
              <w:t>总评分</w:t>
            </w:r>
          </w:p>
        </w:tc>
      </w:tr>
      <w:tr w14:paraId="24239F63">
        <w:tblPrEx>
          <w:tblCellMar>
            <w:top w:w="0" w:type="dxa"/>
            <w:left w:w="0" w:type="dxa"/>
            <w:bottom w:w="0" w:type="dxa"/>
            <w:right w:w="0" w:type="dxa"/>
          </w:tblCellMar>
        </w:tblPrEx>
        <w:trPr>
          <w:trHeight w:val="290" w:hRule="atLeast"/>
        </w:trPr>
        <w:tc>
          <w:tcPr>
            <w:tcW w:w="852" w:type="dxa"/>
            <w:vMerge w:val="restart"/>
            <w:tcBorders>
              <w:left w:val="single" w:color="auto" w:sz="12" w:space="0"/>
              <w:right w:val="single" w:color="auto" w:sz="8" w:space="0"/>
            </w:tcBorders>
            <w:vAlign w:val="center"/>
          </w:tcPr>
          <w:p w14:paraId="70F7F9FE">
            <w:pPr>
              <w:autoSpaceDE w:val="0"/>
              <w:autoSpaceDN w:val="0"/>
              <w:jc w:val="center"/>
              <w:rPr>
                <w:rFonts w:ascii="宋体" w:cs="宋体"/>
                <w:kern w:val="0"/>
                <w:sz w:val="18"/>
                <w:szCs w:val="18"/>
              </w:rPr>
            </w:pPr>
            <w:r>
              <w:rPr>
                <w:rFonts w:hint="eastAsia" w:ascii="宋体" w:cs="宋体"/>
                <w:kern w:val="0"/>
                <w:sz w:val="18"/>
                <w:szCs w:val="18"/>
              </w:rPr>
              <w:t>精</w:t>
            </w:r>
          </w:p>
          <w:p w14:paraId="482F75CD">
            <w:pPr>
              <w:autoSpaceDE w:val="0"/>
              <w:autoSpaceDN w:val="0"/>
              <w:jc w:val="center"/>
              <w:rPr>
                <w:rFonts w:ascii="宋体" w:cs="宋体"/>
                <w:kern w:val="0"/>
                <w:sz w:val="18"/>
                <w:szCs w:val="18"/>
              </w:rPr>
            </w:pPr>
            <w:r>
              <w:rPr>
                <w:rFonts w:hint="eastAsia" w:ascii="宋体" w:cs="宋体"/>
                <w:kern w:val="0"/>
                <w:sz w:val="18"/>
                <w:szCs w:val="18"/>
              </w:rPr>
              <w:t>神</w:t>
            </w:r>
          </w:p>
          <w:p w14:paraId="18D752E2">
            <w:pPr>
              <w:autoSpaceDE w:val="0"/>
              <w:autoSpaceDN w:val="0"/>
              <w:jc w:val="center"/>
              <w:rPr>
                <w:rFonts w:ascii="宋体" w:cs="宋体"/>
                <w:kern w:val="0"/>
                <w:sz w:val="18"/>
                <w:szCs w:val="18"/>
              </w:rPr>
            </w:pPr>
            <w:r>
              <w:rPr>
                <w:rFonts w:hint="eastAsia" w:ascii="宋体" w:cs="宋体"/>
                <w:kern w:val="0"/>
                <w:sz w:val="18"/>
                <w:szCs w:val="18"/>
              </w:rPr>
              <w:t>文</w:t>
            </w:r>
          </w:p>
          <w:p w14:paraId="3534C102">
            <w:pPr>
              <w:autoSpaceDE w:val="0"/>
              <w:autoSpaceDN w:val="0"/>
              <w:jc w:val="center"/>
              <w:rPr>
                <w:rFonts w:ascii="宋体" w:cs="宋体"/>
                <w:kern w:val="0"/>
                <w:sz w:val="18"/>
                <w:szCs w:val="18"/>
              </w:rPr>
            </w:pPr>
            <w:r>
              <w:rPr>
                <w:rFonts w:hint="eastAsia" w:ascii="宋体" w:cs="宋体"/>
                <w:kern w:val="0"/>
                <w:sz w:val="18"/>
                <w:szCs w:val="18"/>
              </w:rPr>
              <w:t>明</w:t>
            </w:r>
          </w:p>
        </w:tc>
        <w:tc>
          <w:tcPr>
            <w:tcW w:w="567" w:type="dxa"/>
            <w:vMerge w:val="restart"/>
            <w:tcBorders>
              <w:left w:val="single" w:color="auto" w:sz="8" w:space="0"/>
              <w:right w:val="single" w:color="auto" w:sz="8" w:space="0"/>
            </w:tcBorders>
            <w:vAlign w:val="center"/>
          </w:tcPr>
          <w:p w14:paraId="6BBAE6B0">
            <w:pPr>
              <w:autoSpaceDE w:val="0"/>
              <w:autoSpaceDN w:val="0"/>
              <w:jc w:val="center"/>
              <w:rPr>
                <w:kern w:val="0"/>
                <w:sz w:val="24"/>
              </w:rPr>
            </w:pPr>
            <w:r>
              <w:rPr>
                <w:rFonts w:hint="eastAsia" w:ascii="宋体" w:cs="宋体"/>
                <w:kern w:val="0"/>
                <w:sz w:val="18"/>
                <w:szCs w:val="18"/>
              </w:rPr>
              <w:t>25</w:t>
            </w:r>
          </w:p>
        </w:tc>
        <w:tc>
          <w:tcPr>
            <w:tcW w:w="5791" w:type="dxa"/>
            <w:tcBorders>
              <w:top w:val="single" w:color="auto" w:sz="8" w:space="0"/>
              <w:left w:val="single" w:color="auto" w:sz="8" w:space="0"/>
              <w:bottom w:val="single" w:color="auto" w:sz="8" w:space="0"/>
              <w:right w:val="single" w:color="auto" w:sz="8" w:space="0"/>
            </w:tcBorders>
            <w:vAlign w:val="center"/>
          </w:tcPr>
          <w:p w14:paraId="420C6D73">
            <w:pPr>
              <w:autoSpaceDE w:val="0"/>
              <w:autoSpaceDN w:val="0"/>
              <w:rPr>
                <w:rFonts w:ascii="宋体" w:cs="宋体"/>
                <w:kern w:val="0"/>
                <w:sz w:val="18"/>
                <w:szCs w:val="18"/>
              </w:rPr>
            </w:pPr>
            <w:r>
              <w:rPr>
                <w:rFonts w:hint="eastAsia" w:ascii="宋体" w:cs="宋体"/>
                <w:kern w:val="0"/>
                <w:sz w:val="18"/>
                <w:szCs w:val="18"/>
              </w:rPr>
              <w:t>医疗场所应保持安静、环境整洁、用语规范。</w:t>
            </w:r>
          </w:p>
        </w:tc>
        <w:tc>
          <w:tcPr>
            <w:tcW w:w="1273" w:type="dxa"/>
            <w:tcBorders>
              <w:top w:val="single" w:color="auto" w:sz="8" w:space="0"/>
              <w:left w:val="single" w:color="auto" w:sz="8" w:space="0"/>
              <w:bottom w:val="single" w:color="auto" w:sz="8" w:space="0"/>
              <w:right w:val="single" w:color="auto" w:sz="8" w:space="0"/>
            </w:tcBorders>
            <w:vAlign w:val="center"/>
          </w:tcPr>
          <w:p w14:paraId="2AB5865A">
            <w:pPr>
              <w:autoSpaceDE w:val="0"/>
              <w:autoSpaceDN w:val="0"/>
              <w:jc w:val="center"/>
              <w:rPr>
                <w:rFonts w:ascii="宋体" w:cs="宋体"/>
                <w:kern w:val="0"/>
                <w:sz w:val="18"/>
                <w:szCs w:val="18"/>
              </w:rPr>
            </w:pPr>
            <w:r>
              <w:rPr>
                <w:rFonts w:hint="eastAsia" w:ascii="宋体" w:cs="宋体"/>
                <w:kern w:val="0"/>
                <w:sz w:val="18"/>
                <w:szCs w:val="18"/>
              </w:rPr>
              <w:t>5</w:t>
            </w:r>
          </w:p>
        </w:tc>
        <w:tc>
          <w:tcPr>
            <w:tcW w:w="707" w:type="dxa"/>
            <w:vMerge w:val="restart"/>
            <w:tcBorders>
              <w:left w:val="single" w:color="auto" w:sz="8" w:space="0"/>
              <w:right w:val="single" w:color="auto" w:sz="8" w:space="0"/>
            </w:tcBorders>
            <w:vAlign w:val="center"/>
          </w:tcPr>
          <w:p w14:paraId="5162B661">
            <w:pPr>
              <w:autoSpaceDE w:val="0"/>
              <w:autoSpaceDN w:val="0"/>
              <w:jc w:val="center"/>
              <w:rPr>
                <w:kern w:val="0"/>
                <w:sz w:val="24"/>
              </w:rPr>
            </w:pPr>
          </w:p>
        </w:tc>
        <w:tc>
          <w:tcPr>
            <w:tcW w:w="592" w:type="dxa"/>
            <w:vMerge w:val="restart"/>
            <w:tcBorders>
              <w:top w:val="nil"/>
              <w:left w:val="single" w:color="auto" w:sz="8" w:space="0"/>
              <w:bottom w:val="nil"/>
              <w:right w:val="single" w:color="auto" w:sz="12" w:space="0"/>
            </w:tcBorders>
            <w:vAlign w:val="center"/>
          </w:tcPr>
          <w:p w14:paraId="6DB4CD1B">
            <w:pPr>
              <w:autoSpaceDE w:val="0"/>
              <w:autoSpaceDN w:val="0"/>
              <w:jc w:val="center"/>
              <w:rPr>
                <w:kern w:val="0"/>
                <w:sz w:val="24"/>
              </w:rPr>
            </w:pPr>
          </w:p>
        </w:tc>
      </w:tr>
      <w:tr w14:paraId="7B510BB9">
        <w:tblPrEx>
          <w:tblCellMar>
            <w:top w:w="0" w:type="dxa"/>
            <w:left w:w="0" w:type="dxa"/>
            <w:bottom w:w="0" w:type="dxa"/>
            <w:right w:w="0" w:type="dxa"/>
          </w:tblCellMar>
        </w:tblPrEx>
        <w:trPr>
          <w:trHeight w:val="454" w:hRule="atLeast"/>
        </w:trPr>
        <w:tc>
          <w:tcPr>
            <w:tcW w:w="852" w:type="dxa"/>
            <w:vMerge w:val="continue"/>
            <w:tcBorders>
              <w:left w:val="single" w:color="auto" w:sz="12" w:space="0"/>
              <w:right w:val="single" w:color="auto" w:sz="8" w:space="0"/>
            </w:tcBorders>
            <w:vAlign w:val="center"/>
          </w:tcPr>
          <w:p w14:paraId="372DB8FD">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5708EE0B">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28CB18E1">
            <w:pPr>
              <w:autoSpaceDE w:val="0"/>
              <w:autoSpaceDN w:val="0"/>
              <w:rPr>
                <w:rFonts w:ascii="宋体" w:cs="宋体"/>
                <w:kern w:val="0"/>
                <w:sz w:val="18"/>
                <w:szCs w:val="18"/>
              </w:rPr>
            </w:pPr>
            <w:r>
              <w:rPr>
                <w:rFonts w:hint="eastAsia" w:ascii="宋体" w:cs="宋体"/>
                <w:kern w:val="0"/>
                <w:sz w:val="18"/>
                <w:szCs w:val="18"/>
              </w:rPr>
              <w:t>对伤病员热清、和蔼、耐心、服务热心周到、有问必答、语言文明、仪表端庄。</w:t>
            </w:r>
          </w:p>
        </w:tc>
        <w:tc>
          <w:tcPr>
            <w:tcW w:w="1273" w:type="dxa"/>
            <w:tcBorders>
              <w:top w:val="single" w:color="auto" w:sz="8" w:space="0"/>
              <w:left w:val="single" w:color="auto" w:sz="8" w:space="0"/>
              <w:bottom w:val="single" w:color="auto" w:sz="8" w:space="0"/>
              <w:right w:val="single" w:color="auto" w:sz="8" w:space="0"/>
            </w:tcBorders>
          </w:tcPr>
          <w:p w14:paraId="5F623980">
            <w:pPr>
              <w:jc w:val="center"/>
            </w:pPr>
            <w:r>
              <w:rPr>
                <w:rFonts w:hint="eastAsia" w:ascii="宋体" w:cs="宋体"/>
                <w:kern w:val="0"/>
                <w:sz w:val="18"/>
                <w:szCs w:val="18"/>
              </w:rPr>
              <w:t>5</w:t>
            </w:r>
          </w:p>
        </w:tc>
        <w:tc>
          <w:tcPr>
            <w:tcW w:w="707" w:type="dxa"/>
            <w:vMerge w:val="continue"/>
            <w:tcBorders>
              <w:left w:val="single" w:color="auto" w:sz="8" w:space="0"/>
              <w:right w:val="single" w:color="auto" w:sz="8" w:space="0"/>
            </w:tcBorders>
            <w:vAlign w:val="center"/>
          </w:tcPr>
          <w:p w14:paraId="2919E5A2">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6D5D27B8">
            <w:pPr>
              <w:autoSpaceDE w:val="0"/>
              <w:autoSpaceDN w:val="0"/>
              <w:jc w:val="center"/>
              <w:rPr>
                <w:kern w:val="0"/>
                <w:sz w:val="24"/>
              </w:rPr>
            </w:pPr>
          </w:p>
        </w:tc>
      </w:tr>
      <w:tr w14:paraId="560D8D11">
        <w:tblPrEx>
          <w:tblCellMar>
            <w:top w:w="0" w:type="dxa"/>
            <w:left w:w="0" w:type="dxa"/>
            <w:bottom w:w="0" w:type="dxa"/>
            <w:right w:w="0" w:type="dxa"/>
          </w:tblCellMar>
        </w:tblPrEx>
        <w:trPr>
          <w:trHeight w:val="432" w:hRule="atLeast"/>
        </w:trPr>
        <w:tc>
          <w:tcPr>
            <w:tcW w:w="852" w:type="dxa"/>
            <w:vMerge w:val="continue"/>
            <w:tcBorders>
              <w:left w:val="single" w:color="auto" w:sz="12" w:space="0"/>
              <w:right w:val="single" w:color="auto" w:sz="8" w:space="0"/>
            </w:tcBorders>
            <w:vAlign w:val="center"/>
          </w:tcPr>
          <w:p w14:paraId="63E9D3EA">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5C92C095">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16441CD1">
            <w:pPr>
              <w:autoSpaceDE w:val="0"/>
              <w:autoSpaceDN w:val="0"/>
              <w:rPr>
                <w:rFonts w:ascii="宋体" w:cs="宋体"/>
                <w:kern w:val="0"/>
                <w:sz w:val="18"/>
                <w:szCs w:val="18"/>
              </w:rPr>
            </w:pPr>
            <w:r>
              <w:rPr>
                <w:rFonts w:hint="eastAsia" w:ascii="宋体" w:cs="宋体"/>
                <w:kern w:val="0"/>
                <w:sz w:val="18"/>
                <w:szCs w:val="18"/>
              </w:rPr>
              <w:t>不得收受病人或死亡者家属财物。（不得向死亡家属有偿介绍殡葬一条龙服务）</w:t>
            </w:r>
          </w:p>
        </w:tc>
        <w:tc>
          <w:tcPr>
            <w:tcW w:w="1273" w:type="dxa"/>
            <w:tcBorders>
              <w:top w:val="single" w:color="auto" w:sz="8" w:space="0"/>
              <w:left w:val="single" w:color="auto" w:sz="8" w:space="0"/>
              <w:bottom w:val="single" w:color="auto" w:sz="8" w:space="0"/>
              <w:right w:val="single" w:color="auto" w:sz="8" w:space="0"/>
            </w:tcBorders>
          </w:tcPr>
          <w:p w14:paraId="3A13A95F">
            <w:pPr>
              <w:jc w:val="center"/>
            </w:pPr>
            <w:r>
              <w:rPr>
                <w:rFonts w:hint="eastAsia" w:ascii="宋体" w:cs="宋体"/>
                <w:kern w:val="0"/>
                <w:sz w:val="18"/>
                <w:szCs w:val="18"/>
              </w:rPr>
              <w:t>5</w:t>
            </w:r>
          </w:p>
        </w:tc>
        <w:tc>
          <w:tcPr>
            <w:tcW w:w="707" w:type="dxa"/>
            <w:vMerge w:val="continue"/>
            <w:tcBorders>
              <w:left w:val="single" w:color="auto" w:sz="8" w:space="0"/>
              <w:right w:val="single" w:color="auto" w:sz="8" w:space="0"/>
            </w:tcBorders>
            <w:vAlign w:val="center"/>
          </w:tcPr>
          <w:p w14:paraId="7706198D">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08FC6547">
            <w:pPr>
              <w:autoSpaceDE w:val="0"/>
              <w:autoSpaceDN w:val="0"/>
              <w:jc w:val="center"/>
              <w:rPr>
                <w:kern w:val="0"/>
                <w:sz w:val="24"/>
              </w:rPr>
            </w:pPr>
          </w:p>
        </w:tc>
      </w:tr>
      <w:tr w14:paraId="74B67F5B">
        <w:tblPrEx>
          <w:tblCellMar>
            <w:top w:w="0" w:type="dxa"/>
            <w:left w:w="0" w:type="dxa"/>
            <w:bottom w:w="0" w:type="dxa"/>
            <w:right w:w="0" w:type="dxa"/>
          </w:tblCellMar>
        </w:tblPrEx>
        <w:trPr>
          <w:trHeight w:val="295" w:hRule="atLeast"/>
        </w:trPr>
        <w:tc>
          <w:tcPr>
            <w:tcW w:w="852" w:type="dxa"/>
            <w:vMerge w:val="continue"/>
            <w:tcBorders>
              <w:left w:val="single" w:color="auto" w:sz="12" w:space="0"/>
              <w:right w:val="single" w:color="auto" w:sz="8" w:space="0"/>
            </w:tcBorders>
            <w:vAlign w:val="center"/>
          </w:tcPr>
          <w:p w14:paraId="5178D248">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71EEE31D">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55B7FA40">
            <w:pPr>
              <w:autoSpaceDE w:val="0"/>
              <w:autoSpaceDN w:val="0"/>
              <w:rPr>
                <w:rFonts w:ascii="宋体" w:cs="宋体"/>
                <w:kern w:val="0"/>
                <w:sz w:val="18"/>
                <w:szCs w:val="18"/>
              </w:rPr>
            </w:pPr>
            <w:r>
              <w:rPr>
                <w:rFonts w:hint="eastAsia" w:ascii="宋体" w:cs="宋体"/>
                <w:kern w:val="0"/>
                <w:sz w:val="18"/>
                <w:szCs w:val="18"/>
              </w:rPr>
              <w:t>工作场所不准闲聊和大声喧哗、不准抽烟。</w:t>
            </w:r>
          </w:p>
        </w:tc>
        <w:tc>
          <w:tcPr>
            <w:tcW w:w="1273" w:type="dxa"/>
            <w:tcBorders>
              <w:top w:val="single" w:color="auto" w:sz="8" w:space="0"/>
              <w:left w:val="single" w:color="auto" w:sz="8" w:space="0"/>
              <w:bottom w:val="single" w:color="auto" w:sz="8" w:space="0"/>
              <w:right w:val="single" w:color="auto" w:sz="8" w:space="0"/>
            </w:tcBorders>
          </w:tcPr>
          <w:p w14:paraId="2C60C7F3">
            <w:pPr>
              <w:jc w:val="center"/>
            </w:pPr>
            <w:r>
              <w:rPr>
                <w:rFonts w:hint="eastAsia" w:ascii="宋体" w:cs="宋体"/>
                <w:kern w:val="0"/>
                <w:sz w:val="18"/>
                <w:szCs w:val="18"/>
              </w:rPr>
              <w:t>5</w:t>
            </w:r>
          </w:p>
        </w:tc>
        <w:tc>
          <w:tcPr>
            <w:tcW w:w="707" w:type="dxa"/>
            <w:vMerge w:val="continue"/>
            <w:tcBorders>
              <w:left w:val="single" w:color="auto" w:sz="8" w:space="0"/>
              <w:right w:val="single" w:color="auto" w:sz="8" w:space="0"/>
            </w:tcBorders>
            <w:vAlign w:val="center"/>
          </w:tcPr>
          <w:p w14:paraId="492957DC">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637F42DA">
            <w:pPr>
              <w:autoSpaceDE w:val="0"/>
              <w:autoSpaceDN w:val="0"/>
              <w:jc w:val="center"/>
              <w:rPr>
                <w:kern w:val="0"/>
                <w:sz w:val="24"/>
              </w:rPr>
            </w:pPr>
          </w:p>
        </w:tc>
      </w:tr>
      <w:tr w14:paraId="2BBD059C">
        <w:tblPrEx>
          <w:tblCellMar>
            <w:top w:w="0" w:type="dxa"/>
            <w:left w:w="0" w:type="dxa"/>
            <w:bottom w:w="0" w:type="dxa"/>
            <w:right w:w="0" w:type="dxa"/>
          </w:tblCellMar>
        </w:tblPrEx>
        <w:trPr>
          <w:trHeight w:val="270" w:hRule="atLeast"/>
        </w:trPr>
        <w:tc>
          <w:tcPr>
            <w:tcW w:w="852" w:type="dxa"/>
            <w:vMerge w:val="continue"/>
            <w:tcBorders>
              <w:left w:val="single" w:color="auto" w:sz="12" w:space="0"/>
              <w:bottom w:val="single" w:color="auto" w:sz="8" w:space="0"/>
              <w:right w:val="single" w:color="auto" w:sz="8" w:space="0"/>
            </w:tcBorders>
            <w:vAlign w:val="center"/>
          </w:tcPr>
          <w:p w14:paraId="16EC07F3">
            <w:pPr>
              <w:autoSpaceDE w:val="0"/>
              <w:autoSpaceDN w:val="0"/>
              <w:jc w:val="center"/>
              <w:rPr>
                <w:kern w:val="0"/>
                <w:sz w:val="24"/>
              </w:rPr>
            </w:pPr>
          </w:p>
        </w:tc>
        <w:tc>
          <w:tcPr>
            <w:tcW w:w="567" w:type="dxa"/>
            <w:vMerge w:val="continue"/>
            <w:tcBorders>
              <w:left w:val="single" w:color="auto" w:sz="8" w:space="0"/>
              <w:bottom w:val="single" w:color="auto" w:sz="8" w:space="0"/>
              <w:right w:val="single" w:color="auto" w:sz="8" w:space="0"/>
            </w:tcBorders>
            <w:vAlign w:val="center"/>
          </w:tcPr>
          <w:p w14:paraId="15016439">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138AB60E">
            <w:pPr>
              <w:autoSpaceDE w:val="0"/>
              <w:autoSpaceDN w:val="0"/>
              <w:rPr>
                <w:rFonts w:ascii="宋体" w:cs="宋体"/>
                <w:kern w:val="0"/>
                <w:sz w:val="18"/>
                <w:szCs w:val="18"/>
              </w:rPr>
            </w:pPr>
            <w:r>
              <w:rPr>
                <w:rFonts w:hint="eastAsia" w:ascii="宋体" w:cs="宋体"/>
                <w:kern w:val="0"/>
                <w:sz w:val="18"/>
                <w:szCs w:val="18"/>
              </w:rPr>
              <w:t>做到走路轻，说话轻，操作轻，动作轻。</w:t>
            </w:r>
          </w:p>
        </w:tc>
        <w:tc>
          <w:tcPr>
            <w:tcW w:w="1273" w:type="dxa"/>
            <w:tcBorders>
              <w:top w:val="single" w:color="auto" w:sz="8" w:space="0"/>
              <w:left w:val="single" w:color="auto" w:sz="8" w:space="0"/>
              <w:bottom w:val="single" w:color="auto" w:sz="8" w:space="0"/>
              <w:right w:val="single" w:color="auto" w:sz="8" w:space="0"/>
            </w:tcBorders>
          </w:tcPr>
          <w:p w14:paraId="361B5297">
            <w:pPr>
              <w:jc w:val="center"/>
            </w:pPr>
            <w:r>
              <w:rPr>
                <w:rFonts w:hint="eastAsia" w:ascii="宋体" w:cs="宋体"/>
                <w:kern w:val="0"/>
                <w:sz w:val="18"/>
                <w:szCs w:val="18"/>
              </w:rPr>
              <w:t>5</w:t>
            </w:r>
          </w:p>
        </w:tc>
        <w:tc>
          <w:tcPr>
            <w:tcW w:w="707" w:type="dxa"/>
            <w:vMerge w:val="continue"/>
            <w:tcBorders>
              <w:left w:val="single" w:color="auto" w:sz="8" w:space="0"/>
              <w:bottom w:val="single" w:color="auto" w:sz="8" w:space="0"/>
              <w:right w:val="single" w:color="auto" w:sz="8" w:space="0"/>
            </w:tcBorders>
            <w:vAlign w:val="center"/>
          </w:tcPr>
          <w:p w14:paraId="679F361B">
            <w:pPr>
              <w:autoSpaceDE w:val="0"/>
              <w:autoSpaceDN w:val="0"/>
              <w:jc w:val="center"/>
              <w:rPr>
                <w:kern w:val="0"/>
                <w:sz w:val="24"/>
              </w:rPr>
            </w:pPr>
          </w:p>
        </w:tc>
        <w:tc>
          <w:tcPr>
            <w:tcW w:w="592" w:type="dxa"/>
            <w:vMerge w:val="continue"/>
            <w:tcBorders>
              <w:top w:val="nil"/>
              <w:left w:val="single" w:color="auto" w:sz="8" w:space="0"/>
              <w:bottom w:val="single" w:color="auto" w:sz="8" w:space="0"/>
              <w:right w:val="single" w:color="auto" w:sz="12" w:space="0"/>
            </w:tcBorders>
            <w:vAlign w:val="center"/>
          </w:tcPr>
          <w:p w14:paraId="038FD0F0">
            <w:pPr>
              <w:autoSpaceDE w:val="0"/>
              <w:autoSpaceDN w:val="0"/>
              <w:jc w:val="center"/>
              <w:rPr>
                <w:kern w:val="0"/>
                <w:sz w:val="24"/>
              </w:rPr>
            </w:pPr>
          </w:p>
        </w:tc>
      </w:tr>
      <w:tr w14:paraId="2C7F4203">
        <w:tblPrEx>
          <w:tblCellMar>
            <w:top w:w="0" w:type="dxa"/>
            <w:left w:w="0" w:type="dxa"/>
            <w:bottom w:w="0" w:type="dxa"/>
            <w:right w:w="0" w:type="dxa"/>
          </w:tblCellMar>
        </w:tblPrEx>
        <w:trPr>
          <w:trHeight w:val="451" w:hRule="atLeast"/>
        </w:trPr>
        <w:tc>
          <w:tcPr>
            <w:tcW w:w="852" w:type="dxa"/>
            <w:vMerge w:val="restart"/>
            <w:tcBorders>
              <w:top w:val="single" w:color="auto" w:sz="8" w:space="0"/>
              <w:left w:val="single" w:color="auto" w:sz="12" w:space="0"/>
              <w:right w:val="single" w:color="auto" w:sz="8" w:space="0"/>
            </w:tcBorders>
            <w:vAlign w:val="center"/>
          </w:tcPr>
          <w:p w14:paraId="0000506E">
            <w:pPr>
              <w:autoSpaceDE w:val="0"/>
              <w:autoSpaceDN w:val="0"/>
              <w:jc w:val="center"/>
              <w:rPr>
                <w:rFonts w:ascii="宋体" w:cs="宋体"/>
                <w:kern w:val="0"/>
                <w:sz w:val="18"/>
                <w:szCs w:val="18"/>
              </w:rPr>
            </w:pPr>
            <w:r>
              <w:rPr>
                <w:rFonts w:hint="eastAsia" w:ascii="宋体" w:cs="宋体"/>
                <w:kern w:val="0"/>
                <w:sz w:val="18"/>
                <w:szCs w:val="18"/>
              </w:rPr>
              <w:t>电</w:t>
            </w:r>
          </w:p>
          <w:p w14:paraId="6D15883A">
            <w:pPr>
              <w:autoSpaceDE w:val="0"/>
              <w:autoSpaceDN w:val="0"/>
              <w:jc w:val="center"/>
              <w:rPr>
                <w:kern w:val="0"/>
                <w:sz w:val="24"/>
              </w:rPr>
            </w:pPr>
            <w:r>
              <w:rPr>
                <w:rFonts w:hint="eastAsia" w:ascii="宋体" w:cs="宋体"/>
                <w:kern w:val="0"/>
                <w:sz w:val="18"/>
                <w:szCs w:val="18"/>
              </w:rPr>
              <w:t>梯</w:t>
            </w:r>
          </w:p>
        </w:tc>
        <w:tc>
          <w:tcPr>
            <w:tcW w:w="567" w:type="dxa"/>
            <w:vMerge w:val="restart"/>
            <w:tcBorders>
              <w:top w:val="single" w:color="auto" w:sz="8" w:space="0"/>
              <w:left w:val="single" w:color="auto" w:sz="8" w:space="0"/>
              <w:right w:val="single" w:color="auto" w:sz="8" w:space="0"/>
            </w:tcBorders>
            <w:vAlign w:val="center"/>
          </w:tcPr>
          <w:p w14:paraId="54AAC272">
            <w:pPr>
              <w:autoSpaceDE w:val="0"/>
              <w:autoSpaceDN w:val="0"/>
              <w:jc w:val="center"/>
              <w:rPr>
                <w:rFonts w:ascii="宋体" w:cs="宋体"/>
                <w:kern w:val="0"/>
                <w:sz w:val="18"/>
                <w:szCs w:val="18"/>
              </w:rPr>
            </w:pPr>
            <w:r>
              <w:rPr>
                <w:rFonts w:ascii="宋体" w:cs="宋体"/>
                <w:kern w:val="0"/>
                <w:sz w:val="18"/>
                <w:szCs w:val="18"/>
              </w:rPr>
              <w:t>1</w:t>
            </w:r>
            <w:r>
              <w:rPr>
                <w:rFonts w:hint="eastAsia" w:ascii="宋体" w:cs="宋体"/>
                <w:kern w:val="0"/>
                <w:sz w:val="18"/>
                <w:szCs w:val="18"/>
              </w:rPr>
              <w:t>6</w:t>
            </w:r>
          </w:p>
          <w:p w14:paraId="383AA62C">
            <w:pPr>
              <w:autoSpaceDE w:val="0"/>
              <w:autoSpaceDN w:val="0"/>
              <w:jc w:val="center"/>
              <w:rPr>
                <w:kern w:val="0"/>
                <w:sz w:val="24"/>
              </w:rPr>
            </w:pPr>
            <w:r>
              <w:rPr>
                <w:rFonts w:hint="eastAsia" w:ascii="宋体" w:cs="宋体"/>
                <w:kern w:val="0"/>
                <w:sz w:val="18"/>
                <w:szCs w:val="18"/>
              </w:rPr>
              <w:t>分</w:t>
            </w:r>
          </w:p>
        </w:tc>
        <w:tc>
          <w:tcPr>
            <w:tcW w:w="5791" w:type="dxa"/>
            <w:tcBorders>
              <w:top w:val="single" w:color="auto" w:sz="8" w:space="0"/>
              <w:left w:val="single" w:color="auto" w:sz="8" w:space="0"/>
              <w:bottom w:val="single" w:color="auto" w:sz="8" w:space="0"/>
              <w:right w:val="single" w:color="auto" w:sz="8" w:space="0"/>
            </w:tcBorders>
            <w:vAlign w:val="center"/>
          </w:tcPr>
          <w:p w14:paraId="24EA3379">
            <w:pPr>
              <w:autoSpaceDE w:val="0"/>
              <w:autoSpaceDN w:val="0"/>
              <w:rPr>
                <w:rFonts w:ascii="宋体" w:cs="宋体"/>
                <w:kern w:val="0"/>
                <w:sz w:val="18"/>
                <w:szCs w:val="18"/>
              </w:rPr>
            </w:pPr>
            <w:r>
              <w:rPr>
                <w:rFonts w:hint="eastAsia" w:ascii="宋体" w:cs="宋体"/>
                <w:kern w:val="0"/>
                <w:sz w:val="18"/>
                <w:szCs w:val="18"/>
              </w:rPr>
              <w:t>电梯操作员用语是否规范，着装是否整洁，是否持证上岗，能否维持好出入电梯的人群。</w:t>
            </w:r>
          </w:p>
        </w:tc>
        <w:tc>
          <w:tcPr>
            <w:tcW w:w="1273" w:type="dxa"/>
            <w:tcBorders>
              <w:top w:val="single" w:color="auto" w:sz="8" w:space="0"/>
              <w:left w:val="single" w:color="auto" w:sz="8" w:space="0"/>
              <w:bottom w:val="single" w:color="auto" w:sz="8" w:space="0"/>
              <w:right w:val="single" w:color="auto" w:sz="8" w:space="0"/>
            </w:tcBorders>
          </w:tcPr>
          <w:p w14:paraId="701CD34E">
            <w:pPr>
              <w:jc w:val="center"/>
            </w:pPr>
            <w:r>
              <w:rPr>
                <w:rFonts w:ascii="宋体" w:cs="宋体"/>
                <w:kern w:val="0"/>
                <w:sz w:val="18"/>
                <w:szCs w:val="18"/>
              </w:rPr>
              <w:t>4</w:t>
            </w:r>
          </w:p>
        </w:tc>
        <w:tc>
          <w:tcPr>
            <w:tcW w:w="707" w:type="dxa"/>
            <w:vMerge w:val="restart"/>
            <w:tcBorders>
              <w:top w:val="single" w:color="auto" w:sz="8" w:space="0"/>
              <w:left w:val="single" w:color="auto" w:sz="8" w:space="0"/>
              <w:bottom w:val="nil"/>
              <w:right w:val="single" w:color="auto" w:sz="8" w:space="0"/>
            </w:tcBorders>
            <w:vAlign w:val="center"/>
          </w:tcPr>
          <w:p w14:paraId="54C866FE">
            <w:pPr>
              <w:autoSpaceDE w:val="0"/>
              <w:autoSpaceDN w:val="0"/>
              <w:jc w:val="center"/>
              <w:rPr>
                <w:kern w:val="0"/>
                <w:sz w:val="24"/>
              </w:rPr>
            </w:pPr>
          </w:p>
        </w:tc>
        <w:tc>
          <w:tcPr>
            <w:tcW w:w="592" w:type="dxa"/>
            <w:vMerge w:val="restart"/>
            <w:tcBorders>
              <w:top w:val="single" w:color="auto" w:sz="8" w:space="0"/>
              <w:left w:val="single" w:color="auto" w:sz="8" w:space="0"/>
              <w:bottom w:val="nil"/>
              <w:right w:val="single" w:color="auto" w:sz="12" w:space="0"/>
            </w:tcBorders>
            <w:vAlign w:val="center"/>
          </w:tcPr>
          <w:p w14:paraId="40AB8E88">
            <w:pPr>
              <w:autoSpaceDE w:val="0"/>
              <w:autoSpaceDN w:val="0"/>
              <w:jc w:val="center"/>
              <w:rPr>
                <w:kern w:val="0"/>
                <w:sz w:val="24"/>
              </w:rPr>
            </w:pPr>
          </w:p>
        </w:tc>
      </w:tr>
      <w:tr w14:paraId="075B407C">
        <w:tblPrEx>
          <w:tblCellMar>
            <w:top w:w="0" w:type="dxa"/>
            <w:left w:w="0" w:type="dxa"/>
            <w:bottom w:w="0" w:type="dxa"/>
            <w:right w:w="0" w:type="dxa"/>
          </w:tblCellMar>
        </w:tblPrEx>
        <w:trPr>
          <w:trHeight w:val="283" w:hRule="atLeast"/>
        </w:trPr>
        <w:tc>
          <w:tcPr>
            <w:tcW w:w="852" w:type="dxa"/>
            <w:vMerge w:val="continue"/>
            <w:tcBorders>
              <w:left w:val="single" w:color="auto" w:sz="12" w:space="0"/>
              <w:right w:val="single" w:color="auto" w:sz="8" w:space="0"/>
            </w:tcBorders>
            <w:vAlign w:val="center"/>
          </w:tcPr>
          <w:p w14:paraId="52A993FC">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475A36BF">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04B1C361">
            <w:pPr>
              <w:autoSpaceDE w:val="0"/>
              <w:autoSpaceDN w:val="0"/>
              <w:rPr>
                <w:rFonts w:ascii="宋体" w:cs="宋体"/>
                <w:kern w:val="0"/>
                <w:sz w:val="18"/>
                <w:szCs w:val="18"/>
              </w:rPr>
            </w:pPr>
            <w:r>
              <w:rPr>
                <w:rFonts w:hint="eastAsia" w:ascii="宋体" w:cs="宋体"/>
                <w:kern w:val="0"/>
                <w:sz w:val="18"/>
                <w:szCs w:val="18"/>
              </w:rPr>
              <w:t>是否佩戴工号牌，是否按时进轿厢操作。</w:t>
            </w:r>
          </w:p>
        </w:tc>
        <w:tc>
          <w:tcPr>
            <w:tcW w:w="1273" w:type="dxa"/>
            <w:tcBorders>
              <w:top w:val="single" w:color="auto" w:sz="8" w:space="0"/>
              <w:left w:val="single" w:color="auto" w:sz="8" w:space="0"/>
              <w:bottom w:val="single" w:color="auto" w:sz="8" w:space="0"/>
              <w:right w:val="single" w:color="auto" w:sz="8" w:space="0"/>
            </w:tcBorders>
          </w:tcPr>
          <w:p w14:paraId="1C5D7266">
            <w:pPr>
              <w:jc w:val="center"/>
            </w:pPr>
            <w:r>
              <w:rPr>
                <w:rFonts w:ascii="宋体" w:cs="宋体"/>
                <w:kern w:val="0"/>
                <w:sz w:val="18"/>
                <w:szCs w:val="18"/>
              </w:rPr>
              <w:t>4</w:t>
            </w:r>
          </w:p>
        </w:tc>
        <w:tc>
          <w:tcPr>
            <w:tcW w:w="707" w:type="dxa"/>
            <w:vMerge w:val="continue"/>
            <w:tcBorders>
              <w:top w:val="nil"/>
              <w:left w:val="single" w:color="auto" w:sz="8" w:space="0"/>
              <w:bottom w:val="nil"/>
              <w:right w:val="single" w:color="auto" w:sz="8" w:space="0"/>
            </w:tcBorders>
            <w:vAlign w:val="center"/>
          </w:tcPr>
          <w:p w14:paraId="629C0C2C">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3BE9EA7F">
            <w:pPr>
              <w:autoSpaceDE w:val="0"/>
              <w:autoSpaceDN w:val="0"/>
              <w:jc w:val="center"/>
              <w:rPr>
                <w:kern w:val="0"/>
                <w:sz w:val="24"/>
              </w:rPr>
            </w:pPr>
          </w:p>
        </w:tc>
      </w:tr>
      <w:tr w14:paraId="77422F58">
        <w:tblPrEx>
          <w:tblCellMar>
            <w:top w:w="0" w:type="dxa"/>
            <w:left w:w="0" w:type="dxa"/>
            <w:bottom w:w="0" w:type="dxa"/>
            <w:right w:w="0" w:type="dxa"/>
          </w:tblCellMar>
        </w:tblPrEx>
        <w:trPr>
          <w:trHeight w:val="448" w:hRule="atLeast"/>
        </w:trPr>
        <w:tc>
          <w:tcPr>
            <w:tcW w:w="852" w:type="dxa"/>
            <w:vMerge w:val="continue"/>
            <w:tcBorders>
              <w:left w:val="single" w:color="auto" w:sz="12" w:space="0"/>
              <w:right w:val="single" w:color="auto" w:sz="8" w:space="0"/>
            </w:tcBorders>
            <w:vAlign w:val="center"/>
          </w:tcPr>
          <w:p w14:paraId="11DB5383">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02F264BF">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5DFA068C">
            <w:pPr>
              <w:autoSpaceDE w:val="0"/>
              <w:autoSpaceDN w:val="0"/>
              <w:rPr>
                <w:rFonts w:ascii="宋体" w:cs="宋体"/>
                <w:kern w:val="0"/>
                <w:sz w:val="18"/>
                <w:szCs w:val="18"/>
              </w:rPr>
            </w:pPr>
            <w:r>
              <w:rPr>
                <w:rFonts w:hint="eastAsia" w:ascii="宋体" w:cs="宋体"/>
                <w:kern w:val="0"/>
                <w:sz w:val="18"/>
                <w:szCs w:val="18"/>
              </w:rPr>
              <w:t>电梯轿厢是否保持整洁干净，如遇突发事件电睇操作员是否能及时、合理的处理。</w:t>
            </w:r>
          </w:p>
        </w:tc>
        <w:tc>
          <w:tcPr>
            <w:tcW w:w="1273" w:type="dxa"/>
            <w:tcBorders>
              <w:top w:val="single" w:color="auto" w:sz="8" w:space="0"/>
              <w:left w:val="single" w:color="auto" w:sz="8" w:space="0"/>
              <w:bottom w:val="single" w:color="auto" w:sz="8" w:space="0"/>
              <w:right w:val="single" w:color="auto" w:sz="8" w:space="0"/>
            </w:tcBorders>
          </w:tcPr>
          <w:p w14:paraId="6F11EEC1">
            <w:pPr>
              <w:jc w:val="center"/>
            </w:pPr>
            <w:r>
              <w:rPr>
                <w:rFonts w:ascii="宋体" w:cs="宋体"/>
                <w:kern w:val="0"/>
                <w:sz w:val="18"/>
                <w:szCs w:val="18"/>
              </w:rPr>
              <w:t>4</w:t>
            </w:r>
          </w:p>
        </w:tc>
        <w:tc>
          <w:tcPr>
            <w:tcW w:w="707" w:type="dxa"/>
            <w:vMerge w:val="continue"/>
            <w:tcBorders>
              <w:top w:val="nil"/>
              <w:left w:val="single" w:color="auto" w:sz="8" w:space="0"/>
              <w:bottom w:val="nil"/>
              <w:right w:val="single" w:color="auto" w:sz="8" w:space="0"/>
            </w:tcBorders>
            <w:vAlign w:val="center"/>
          </w:tcPr>
          <w:p w14:paraId="357DEA83">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3BCBA80D">
            <w:pPr>
              <w:autoSpaceDE w:val="0"/>
              <w:autoSpaceDN w:val="0"/>
              <w:jc w:val="center"/>
              <w:rPr>
                <w:kern w:val="0"/>
                <w:sz w:val="24"/>
              </w:rPr>
            </w:pPr>
          </w:p>
        </w:tc>
      </w:tr>
      <w:tr w14:paraId="41AD2D9B">
        <w:tblPrEx>
          <w:tblCellMar>
            <w:top w:w="0" w:type="dxa"/>
            <w:left w:w="0" w:type="dxa"/>
            <w:bottom w:w="0" w:type="dxa"/>
            <w:right w:w="0" w:type="dxa"/>
          </w:tblCellMar>
        </w:tblPrEx>
        <w:trPr>
          <w:trHeight w:val="454" w:hRule="atLeast"/>
        </w:trPr>
        <w:tc>
          <w:tcPr>
            <w:tcW w:w="852" w:type="dxa"/>
            <w:vMerge w:val="continue"/>
            <w:tcBorders>
              <w:left w:val="single" w:color="auto" w:sz="12" w:space="0"/>
              <w:bottom w:val="single" w:color="auto" w:sz="8" w:space="0"/>
              <w:right w:val="single" w:color="auto" w:sz="8" w:space="0"/>
            </w:tcBorders>
            <w:vAlign w:val="center"/>
          </w:tcPr>
          <w:p w14:paraId="37225F82">
            <w:pPr>
              <w:autoSpaceDE w:val="0"/>
              <w:autoSpaceDN w:val="0"/>
              <w:jc w:val="center"/>
              <w:rPr>
                <w:kern w:val="0"/>
                <w:sz w:val="24"/>
              </w:rPr>
            </w:pPr>
          </w:p>
        </w:tc>
        <w:tc>
          <w:tcPr>
            <w:tcW w:w="567" w:type="dxa"/>
            <w:vMerge w:val="continue"/>
            <w:tcBorders>
              <w:left w:val="single" w:color="auto" w:sz="8" w:space="0"/>
              <w:bottom w:val="single" w:color="auto" w:sz="8" w:space="0"/>
              <w:right w:val="single" w:color="auto" w:sz="8" w:space="0"/>
            </w:tcBorders>
            <w:vAlign w:val="center"/>
          </w:tcPr>
          <w:p w14:paraId="12EFA9CD">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593A5161">
            <w:pPr>
              <w:autoSpaceDE w:val="0"/>
              <w:autoSpaceDN w:val="0"/>
              <w:rPr>
                <w:rFonts w:ascii="宋体" w:cs="宋体"/>
                <w:kern w:val="0"/>
                <w:sz w:val="18"/>
                <w:szCs w:val="18"/>
              </w:rPr>
            </w:pPr>
            <w:r>
              <w:rPr>
                <w:rFonts w:hint="eastAsia" w:ascii="宋体" w:cs="宋体"/>
                <w:kern w:val="0"/>
                <w:sz w:val="18"/>
                <w:szCs w:val="18"/>
              </w:rPr>
              <w:t>不擅离岗位</w:t>
            </w:r>
          </w:p>
        </w:tc>
        <w:tc>
          <w:tcPr>
            <w:tcW w:w="1273" w:type="dxa"/>
            <w:tcBorders>
              <w:top w:val="single" w:color="auto" w:sz="8" w:space="0"/>
              <w:left w:val="single" w:color="auto" w:sz="8" w:space="0"/>
              <w:bottom w:val="single" w:color="auto" w:sz="8" w:space="0"/>
              <w:right w:val="single" w:color="auto" w:sz="8" w:space="0"/>
            </w:tcBorders>
          </w:tcPr>
          <w:p w14:paraId="69516009">
            <w:pPr>
              <w:jc w:val="center"/>
            </w:pPr>
            <w:r>
              <w:rPr>
                <w:rFonts w:ascii="宋体" w:cs="宋体"/>
                <w:kern w:val="0"/>
                <w:sz w:val="18"/>
                <w:szCs w:val="18"/>
              </w:rPr>
              <w:t>4</w:t>
            </w:r>
          </w:p>
        </w:tc>
        <w:tc>
          <w:tcPr>
            <w:tcW w:w="707" w:type="dxa"/>
            <w:vMerge w:val="continue"/>
            <w:tcBorders>
              <w:top w:val="nil"/>
              <w:left w:val="single" w:color="auto" w:sz="8" w:space="0"/>
              <w:bottom w:val="single" w:color="auto" w:sz="8" w:space="0"/>
              <w:right w:val="single" w:color="auto" w:sz="8" w:space="0"/>
            </w:tcBorders>
            <w:vAlign w:val="center"/>
          </w:tcPr>
          <w:p w14:paraId="21C995C1">
            <w:pPr>
              <w:autoSpaceDE w:val="0"/>
              <w:autoSpaceDN w:val="0"/>
              <w:jc w:val="center"/>
              <w:rPr>
                <w:kern w:val="0"/>
                <w:sz w:val="24"/>
              </w:rPr>
            </w:pPr>
          </w:p>
        </w:tc>
        <w:tc>
          <w:tcPr>
            <w:tcW w:w="592" w:type="dxa"/>
            <w:vMerge w:val="continue"/>
            <w:tcBorders>
              <w:top w:val="nil"/>
              <w:left w:val="single" w:color="auto" w:sz="8" w:space="0"/>
              <w:bottom w:val="single" w:color="auto" w:sz="8" w:space="0"/>
              <w:right w:val="single" w:color="auto" w:sz="12" w:space="0"/>
            </w:tcBorders>
            <w:vAlign w:val="center"/>
          </w:tcPr>
          <w:p w14:paraId="3F65B743">
            <w:pPr>
              <w:autoSpaceDE w:val="0"/>
              <w:autoSpaceDN w:val="0"/>
              <w:jc w:val="center"/>
              <w:rPr>
                <w:kern w:val="0"/>
                <w:sz w:val="24"/>
              </w:rPr>
            </w:pPr>
          </w:p>
        </w:tc>
      </w:tr>
      <w:tr w14:paraId="7873B178">
        <w:tblPrEx>
          <w:tblCellMar>
            <w:top w:w="0" w:type="dxa"/>
            <w:left w:w="0" w:type="dxa"/>
            <w:bottom w:w="0" w:type="dxa"/>
            <w:right w:w="0" w:type="dxa"/>
          </w:tblCellMar>
        </w:tblPrEx>
        <w:trPr>
          <w:trHeight w:val="432" w:hRule="atLeast"/>
        </w:trPr>
        <w:tc>
          <w:tcPr>
            <w:tcW w:w="852" w:type="dxa"/>
            <w:vMerge w:val="restart"/>
            <w:tcBorders>
              <w:top w:val="single" w:color="auto" w:sz="8" w:space="0"/>
              <w:left w:val="single" w:color="auto" w:sz="12" w:space="0"/>
              <w:right w:val="single" w:color="auto" w:sz="8" w:space="0"/>
            </w:tcBorders>
            <w:vAlign w:val="center"/>
          </w:tcPr>
          <w:p w14:paraId="22968AE3">
            <w:pPr>
              <w:autoSpaceDE w:val="0"/>
              <w:autoSpaceDN w:val="0"/>
              <w:jc w:val="center"/>
              <w:rPr>
                <w:rFonts w:ascii="宋体" w:cs="宋体"/>
                <w:kern w:val="0"/>
                <w:sz w:val="18"/>
                <w:szCs w:val="18"/>
              </w:rPr>
            </w:pPr>
            <w:r>
              <w:rPr>
                <w:rFonts w:hint="eastAsia" w:ascii="宋体" w:cs="宋体"/>
                <w:kern w:val="0"/>
                <w:sz w:val="18"/>
                <w:szCs w:val="18"/>
              </w:rPr>
              <w:t>保</w:t>
            </w:r>
          </w:p>
          <w:p w14:paraId="19105737">
            <w:pPr>
              <w:autoSpaceDE w:val="0"/>
              <w:autoSpaceDN w:val="0"/>
              <w:jc w:val="center"/>
              <w:rPr>
                <w:kern w:val="0"/>
                <w:sz w:val="24"/>
              </w:rPr>
            </w:pPr>
            <w:r>
              <w:rPr>
                <w:rFonts w:hint="eastAsia" w:ascii="宋体" w:cs="宋体"/>
                <w:kern w:val="0"/>
                <w:sz w:val="18"/>
                <w:szCs w:val="18"/>
              </w:rPr>
              <w:t>洁</w:t>
            </w:r>
          </w:p>
        </w:tc>
        <w:tc>
          <w:tcPr>
            <w:tcW w:w="567" w:type="dxa"/>
            <w:vMerge w:val="restart"/>
            <w:tcBorders>
              <w:top w:val="single" w:color="auto" w:sz="8" w:space="0"/>
              <w:left w:val="single" w:color="auto" w:sz="8" w:space="0"/>
              <w:right w:val="single" w:color="auto" w:sz="8" w:space="0"/>
            </w:tcBorders>
            <w:vAlign w:val="center"/>
          </w:tcPr>
          <w:p w14:paraId="7840B3AB">
            <w:pPr>
              <w:autoSpaceDE w:val="0"/>
              <w:autoSpaceDN w:val="0"/>
              <w:jc w:val="center"/>
              <w:rPr>
                <w:rFonts w:ascii="宋体" w:cs="宋体"/>
                <w:kern w:val="0"/>
                <w:sz w:val="18"/>
                <w:szCs w:val="18"/>
              </w:rPr>
            </w:pPr>
            <w:r>
              <w:rPr>
                <w:rFonts w:ascii="宋体" w:cs="宋体"/>
                <w:kern w:val="0"/>
                <w:sz w:val="18"/>
                <w:szCs w:val="18"/>
              </w:rPr>
              <w:t>2</w:t>
            </w:r>
            <w:r>
              <w:rPr>
                <w:rFonts w:hint="eastAsia" w:ascii="宋体" w:cs="宋体"/>
                <w:kern w:val="0"/>
                <w:sz w:val="18"/>
                <w:szCs w:val="18"/>
              </w:rPr>
              <w:t>7</w:t>
            </w:r>
          </w:p>
          <w:p w14:paraId="56C7DBC7">
            <w:pPr>
              <w:autoSpaceDE w:val="0"/>
              <w:autoSpaceDN w:val="0"/>
              <w:jc w:val="center"/>
              <w:rPr>
                <w:kern w:val="0"/>
                <w:sz w:val="24"/>
              </w:rPr>
            </w:pPr>
            <w:r>
              <w:rPr>
                <w:rFonts w:hint="eastAsia" w:ascii="宋体" w:cs="宋体"/>
                <w:kern w:val="0"/>
                <w:sz w:val="18"/>
                <w:szCs w:val="18"/>
              </w:rPr>
              <w:t>分</w:t>
            </w:r>
          </w:p>
        </w:tc>
        <w:tc>
          <w:tcPr>
            <w:tcW w:w="5791" w:type="dxa"/>
            <w:tcBorders>
              <w:top w:val="single" w:color="auto" w:sz="8" w:space="0"/>
              <w:left w:val="single" w:color="auto" w:sz="8" w:space="0"/>
              <w:bottom w:val="single" w:color="auto" w:sz="8" w:space="0"/>
              <w:right w:val="single" w:color="auto" w:sz="8" w:space="0"/>
            </w:tcBorders>
            <w:vAlign w:val="center"/>
          </w:tcPr>
          <w:p w14:paraId="57322212">
            <w:pPr>
              <w:autoSpaceDE w:val="0"/>
              <w:autoSpaceDN w:val="0"/>
              <w:rPr>
                <w:rFonts w:ascii="宋体" w:cs="宋体"/>
                <w:kern w:val="0"/>
                <w:sz w:val="18"/>
                <w:szCs w:val="18"/>
              </w:rPr>
            </w:pPr>
            <w:r>
              <w:rPr>
                <w:rFonts w:hint="eastAsia" w:ascii="宋体" w:cs="宋体"/>
                <w:kern w:val="0"/>
                <w:sz w:val="18"/>
                <w:szCs w:val="18"/>
              </w:rPr>
              <w:t>病房要安静整洁，病床和床头柜、物品柜是否干净，病人出院后是否及时清理、消毒。</w:t>
            </w:r>
          </w:p>
        </w:tc>
        <w:tc>
          <w:tcPr>
            <w:tcW w:w="1273" w:type="dxa"/>
            <w:tcBorders>
              <w:top w:val="single" w:color="auto" w:sz="8" w:space="0"/>
              <w:left w:val="single" w:color="auto" w:sz="8" w:space="0"/>
              <w:bottom w:val="single" w:color="auto" w:sz="8" w:space="0"/>
              <w:right w:val="single" w:color="auto" w:sz="8" w:space="0"/>
            </w:tcBorders>
            <w:vAlign w:val="center"/>
          </w:tcPr>
          <w:p w14:paraId="06A6E086">
            <w:pPr>
              <w:autoSpaceDE w:val="0"/>
              <w:autoSpaceDN w:val="0"/>
              <w:jc w:val="center"/>
              <w:rPr>
                <w:rFonts w:ascii="宋体" w:cs="宋体"/>
                <w:kern w:val="0"/>
                <w:sz w:val="18"/>
                <w:szCs w:val="18"/>
              </w:rPr>
            </w:pPr>
            <w:r>
              <w:rPr>
                <w:rFonts w:ascii="宋体" w:cs="宋体"/>
                <w:kern w:val="0"/>
                <w:sz w:val="18"/>
                <w:szCs w:val="18"/>
              </w:rPr>
              <w:t>4</w:t>
            </w:r>
          </w:p>
        </w:tc>
        <w:tc>
          <w:tcPr>
            <w:tcW w:w="707" w:type="dxa"/>
            <w:vMerge w:val="restart"/>
            <w:tcBorders>
              <w:top w:val="single" w:color="auto" w:sz="8" w:space="0"/>
              <w:left w:val="single" w:color="auto" w:sz="8" w:space="0"/>
              <w:bottom w:val="nil"/>
              <w:right w:val="single" w:color="auto" w:sz="8" w:space="0"/>
            </w:tcBorders>
            <w:vAlign w:val="center"/>
          </w:tcPr>
          <w:p w14:paraId="2BC9671A">
            <w:pPr>
              <w:autoSpaceDE w:val="0"/>
              <w:autoSpaceDN w:val="0"/>
              <w:jc w:val="center"/>
              <w:rPr>
                <w:kern w:val="0"/>
                <w:sz w:val="24"/>
              </w:rPr>
            </w:pPr>
          </w:p>
        </w:tc>
        <w:tc>
          <w:tcPr>
            <w:tcW w:w="592" w:type="dxa"/>
            <w:vMerge w:val="restart"/>
            <w:tcBorders>
              <w:top w:val="single" w:color="auto" w:sz="8" w:space="0"/>
              <w:left w:val="single" w:color="auto" w:sz="8" w:space="0"/>
              <w:bottom w:val="nil"/>
              <w:right w:val="single" w:color="auto" w:sz="12" w:space="0"/>
            </w:tcBorders>
            <w:vAlign w:val="center"/>
          </w:tcPr>
          <w:p w14:paraId="5DF31583">
            <w:pPr>
              <w:autoSpaceDE w:val="0"/>
              <w:autoSpaceDN w:val="0"/>
              <w:jc w:val="center"/>
              <w:rPr>
                <w:kern w:val="0"/>
                <w:sz w:val="24"/>
              </w:rPr>
            </w:pPr>
          </w:p>
        </w:tc>
      </w:tr>
      <w:tr w14:paraId="407597CC">
        <w:tblPrEx>
          <w:tblCellMar>
            <w:top w:w="0" w:type="dxa"/>
            <w:left w:w="0" w:type="dxa"/>
            <w:bottom w:w="0" w:type="dxa"/>
            <w:right w:w="0" w:type="dxa"/>
          </w:tblCellMar>
        </w:tblPrEx>
        <w:trPr>
          <w:trHeight w:val="387" w:hRule="atLeast"/>
        </w:trPr>
        <w:tc>
          <w:tcPr>
            <w:tcW w:w="852" w:type="dxa"/>
            <w:vMerge w:val="continue"/>
            <w:tcBorders>
              <w:left w:val="single" w:color="auto" w:sz="12" w:space="0"/>
              <w:right w:val="single" w:color="auto" w:sz="8" w:space="0"/>
            </w:tcBorders>
            <w:vAlign w:val="center"/>
          </w:tcPr>
          <w:p w14:paraId="064772C6">
            <w:pPr>
              <w:autoSpaceDE w:val="0"/>
              <w:autoSpaceDN w:val="0"/>
              <w:jc w:val="center"/>
              <w:rPr>
                <w:kern w:val="0"/>
                <w:sz w:val="24"/>
              </w:rPr>
            </w:pPr>
          </w:p>
        </w:tc>
        <w:tc>
          <w:tcPr>
            <w:tcW w:w="567" w:type="dxa"/>
            <w:vMerge w:val="continue"/>
            <w:tcBorders>
              <w:left w:val="single" w:color="auto" w:sz="8" w:space="0"/>
              <w:right w:val="single" w:color="auto" w:sz="8" w:space="0"/>
            </w:tcBorders>
            <w:vAlign w:val="center"/>
          </w:tcPr>
          <w:p w14:paraId="37A7E373">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3711BA16">
            <w:pPr>
              <w:autoSpaceDE w:val="0"/>
              <w:autoSpaceDN w:val="0"/>
              <w:rPr>
                <w:rFonts w:ascii="宋体" w:cs="宋体"/>
                <w:kern w:val="0"/>
                <w:sz w:val="18"/>
                <w:szCs w:val="18"/>
              </w:rPr>
            </w:pPr>
            <w:r>
              <w:rPr>
                <w:rFonts w:hint="eastAsia" w:ascii="宋体" w:cs="宋体"/>
                <w:kern w:val="0"/>
                <w:sz w:val="18"/>
                <w:szCs w:val="18"/>
              </w:rPr>
              <w:t>卫生间是否有异味，座便器是否干净，洗手盆内外是否有皂液。</w:t>
            </w:r>
          </w:p>
        </w:tc>
        <w:tc>
          <w:tcPr>
            <w:tcW w:w="1273" w:type="dxa"/>
            <w:tcBorders>
              <w:top w:val="single" w:color="auto" w:sz="8" w:space="0"/>
              <w:left w:val="single" w:color="auto" w:sz="8" w:space="0"/>
              <w:bottom w:val="single" w:color="auto" w:sz="8" w:space="0"/>
              <w:right w:val="single" w:color="auto" w:sz="8" w:space="0"/>
            </w:tcBorders>
            <w:vAlign w:val="center"/>
          </w:tcPr>
          <w:p w14:paraId="51E30FDD">
            <w:pPr>
              <w:autoSpaceDE w:val="0"/>
              <w:autoSpaceDN w:val="0"/>
              <w:jc w:val="center"/>
              <w:rPr>
                <w:rFonts w:ascii="宋体" w:cs="宋体"/>
                <w:kern w:val="0"/>
                <w:sz w:val="18"/>
                <w:szCs w:val="18"/>
              </w:rPr>
            </w:pPr>
            <w:r>
              <w:rPr>
                <w:rFonts w:hint="eastAsia" w:ascii="宋体" w:cs="宋体"/>
                <w:kern w:val="0"/>
                <w:sz w:val="18"/>
                <w:szCs w:val="18"/>
              </w:rPr>
              <w:t>5</w:t>
            </w:r>
          </w:p>
        </w:tc>
        <w:tc>
          <w:tcPr>
            <w:tcW w:w="707" w:type="dxa"/>
            <w:vMerge w:val="continue"/>
            <w:tcBorders>
              <w:top w:val="nil"/>
              <w:left w:val="single" w:color="auto" w:sz="8" w:space="0"/>
              <w:bottom w:val="nil"/>
              <w:right w:val="single" w:color="auto" w:sz="8" w:space="0"/>
            </w:tcBorders>
            <w:vAlign w:val="center"/>
          </w:tcPr>
          <w:p w14:paraId="3F215B4F">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4E48AFAE">
            <w:pPr>
              <w:autoSpaceDE w:val="0"/>
              <w:autoSpaceDN w:val="0"/>
              <w:jc w:val="center"/>
              <w:rPr>
                <w:kern w:val="0"/>
                <w:sz w:val="24"/>
              </w:rPr>
            </w:pPr>
          </w:p>
        </w:tc>
      </w:tr>
      <w:tr w14:paraId="618EC39A">
        <w:tblPrEx>
          <w:tblCellMar>
            <w:top w:w="0" w:type="dxa"/>
            <w:left w:w="0" w:type="dxa"/>
            <w:bottom w:w="0" w:type="dxa"/>
            <w:right w:w="0" w:type="dxa"/>
          </w:tblCellMar>
        </w:tblPrEx>
        <w:trPr>
          <w:trHeight w:val="382" w:hRule="atLeast"/>
        </w:trPr>
        <w:tc>
          <w:tcPr>
            <w:tcW w:w="852" w:type="dxa"/>
            <w:vMerge w:val="continue"/>
            <w:tcBorders>
              <w:left w:val="single" w:color="auto" w:sz="12" w:space="0"/>
              <w:right w:val="single" w:color="auto" w:sz="8" w:space="0"/>
            </w:tcBorders>
            <w:vAlign w:val="center"/>
          </w:tcPr>
          <w:p w14:paraId="7FA0CA40">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0F47B7DF">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4F0386B5">
            <w:pPr>
              <w:autoSpaceDE w:val="0"/>
              <w:autoSpaceDN w:val="0"/>
              <w:rPr>
                <w:rFonts w:ascii="宋体" w:cs="宋体"/>
                <w:kern w:val="0"/>
                <w:sz w:val="18"/>
                <w:szCs w:val="18"/>
              </w:rPr>
            </w:pPr>
            <w:r>
              <w:rPr>
                <w:rFonts w:hint="eastAsia" w:ascii="宋体" w:cs="宋体"/>
                <w:kern w:val="0"/>
                <w:sz w:val="18"/>
                <w:szCs w:val="18"/>
              </w:rPr>
              <w:t>墙面保持洁白、无蛛网，地面无烟蒂，无痰迹，无脏物。</w:t>
            </w:r>
          </w:p>
        </w:tc>
        <w:tc>
          <w:tcPr>
            <w:tcW w:w="1273" w:type="dxa"/>
            <w:tcBorders>
              <w:top w:val="single" w:color="auto" w:sz="8" w:space="0"/>
              <w:left w:val="single" w:color="auto" w:sz="8" w:space="0"/>
              <w:bottom w:val="single" w:color="auto" w:sz="8" w:space="0"/>
              <w:right w:val="single" w:color="auto" w:sz="8" w:space="0"/>
            </w:tcBorders>
            <w:vAlign w:val="center"/>
          </w:tcPr>
          <w:p w14:paraId="43F05608">
            <w:pPr>
              <w:autoSpaceDE w:val="0"/>
              <w:autoSpaceDN w:val="0"/>
              <w:jc w:val="center"/>
              <w:rPr>
                <w:rFonts w:ascii="宋体" w:cs="宋体"/>
                <w:kern w:val="0"/>
                <w:sz w:val="18"/>
                <w:szCs w:val="18"/>
              </w:rPr>
            </w:pPr>
            <w:r>
              <w:rPr>
                <w:rFonts w:ascii="宋体" w:cs="宋体"/>
                <w:kern w:val="0"/>
                <w:sz w:val="18"/>
                <w:szCs w:val="18"/>
              </w:rPr>
              <w:t>6</w:t>
            </w:r>
          </w:p>
        </w:tc>
        <w:tc>
          <w:tcPr>
            <w:tcW w:w="707" w:type="dxa"/>
            <w:vMerge w:val="continue"/>
            <w:tcBorders>
              <w:top w:val="nil"/>
              <w:left w:val="single" w:color="auto" w:sz="8" w:space="0"/>
              <w:bottom w:val="nil"/>
              <w:right w:val="single" w:color="auto" w:sz="8" w:space="0"/>
            </w:tcBorders>
            <w:vAlign w:val="center"/>
          </w:tcPr>
          <w:p w14:paraId="06F44956">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12C47E29">
            <w:pPr>
              <w:autoSpaceDE w:val="0"/>
              <w:autoSpaceDN w:val="0"/>
              <w:jc w:val="center"/>
              <w:rPr>
                <w:kern w:val="0"/>
                <w:sz w:val="24"/>
              </w:rPr>
            </w:pPr>
          </w:p>
        </w:tc>
      </w:tr>
      <w:tr w14:paraId="3FA982A3">
        <w:tblPrEx>
          <w:tblCellMar>
            <w:top w:w="0" w:type="dxa"/>
            <w:left w:w="0" w:type="dxa"/>
            <w:bottom w:w="0" w:type="dxa"/>
            <w:right w:w="0" w:type="dxa"/>
          </w:tblCellMar>
        </w:tblPrEx>
        <w:trPr>
          <w:trHeight w:val="364" w:hRule="atLeast"/>
        </w:trPr>
        <w:tc>
          <w:tcPr>
            <w:tcW w:w="852" w:type="dxa"/>
            <w:vMerge w:val="continue"/>
            <w:tcBorders>
              <w:left w:val="single" w:color="auto" w:sz="12" w:space="0"/>
              <w:right w:val="single" w:color="auto" w:sz="8" w:space="0"/>
            </w:tcBorders>
            <w:vAlign w:val="center"/>
          </w:tcPr>
          <w:p w14:paraId="4C6B1694">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71B8F6DE">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2CFE89D5">
            <w:pPr>
              <w:autoSpaceDE w:val="0"/>
              <w:autoSpaceDN w:val="0"/>
              <w:rPr>
                <w:rFonts w:ascii="宋体" w:cs="宋体"/>
                <w:kern w:val="0"/>
                <w:sz w:val="18"/>
                <w:szCs w:val="18"/>
              </w:rPr>
            </w:pPr>
            <w:r>
              <w:rPr>
                <w:rFonts w:hint="eastAsia" w:ascii="宋体" w:cs="宋体"/>
                <w:kern w:val="0"/>
                <w:sz w:val="18"/>
                <w:szCs w:val="18"/>
              </w:rPr>
              <w:t>医用垃圾分类放置、分类运送及处理。</w:t>
            </w:r>
          </w:p>
        </w:tc>
        <w:tc>
          <w:tcPr>
            <w:tcW w:w="1273" w:type="dxa"/>
            <w:tcBorders>
              <w:top w:val="single" w:color="auto" w:sz="8" w:space="0"/>
              <w:left w:val="single" w:color="auto" w:sz="8" w:space="0"/>
              <w:bottom w:val="single" w:color="auto" w:sz="8" w:space="0"/>
              <w:right w:val="single" w:color="auto" w:sz="8" w:space="0"/>
            </w:tcBorders>
            <w:vAlign w:val="center"/>
          </w:tcPr>
          <w:p w14:paraId="3EA3C10B">
            <w:pPr>
              <w:autoSpaceDE w:val="0"/>
              <w:autoSpaceDN w:val="0"/>
              <w:jc w:val="center"/>
              <w:rPr>
                <w:rFonts w:ascii="宋体" w:cs="宋体"/>
                <w:kern w:val="0"/>
                <w:sz w:val="18"/>
                <w:szCs w:val="18"/>
              </w:rPr>
            </w:pPr>
            <w:r>
              <w:rPr>
                <w:rFonts w:ascii="宋体" w:cs="宋体"/>
                <w:kern w:val="0"/>
                <w:sz w:val="18"/>
                <w:szCs w:val="18"/>
              </w:rPr>
              <w:t>4</w:t>
            </w:r>
          </w:p>
        </w:tc>
        <w:tc>
          <w:tcPr>
            <w:tcW w:w="707" w:type="dxa"/>
            <w:vMerge w:val="continue"/>
            <w:tcBorders>
              <w:top w:val="nil"/>
              <w:left w:val="single" w:color="auto" w:sz="8" w:space="0"/>
              <w:bottom w:val="nil"/>
              <w:right w:val="single" w:color="auto" w:sz="8" w:space="0"/>
            </w:tcBorders>
            <w:vAlign w:val="center"/>
          </w:tcPr>
          <w:p w14:paraId="133FD9D2">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67C2ED75">
            <w:pPr>
              <w:autoSpaceDE w:val="0"/>
              <w:autoSpaceDN w:val="0"/>
              <w:jc w:val="center"/>
              <w:rPr>
                <w:kern w:val="0"/>
                <w:sz w:val="24"/>
              </w:rPr>
            </w:pPr>
          </w:p>
        </w:tc>
      </w:tr>
      <w:tr w14:paraId="682E6570">
        <w:tblPrEx>
          <w:tblCellMar>
            <w:top w:w="0" w:type="dxa"/>
            <w:left w:w="0" w:type="dxa"/>
            <w:bottom w:w="0" w:type="dxa"/>
            <w:right w:w="0" w:type="dxa"/>
          </w:tblCellMar>
        </w:tblPrEx>
        <w:trPr>
          <w:trHeight w:val="275" w:hRule="atLeast"/>
        </w:trPr>
        <w:tc>
          <w:tcPr>
            <w:tcW w:w="852" w:type="dxa"/>
            <w:vMerge w:val="continue"/>
            <w:tcBorders>
              <w:left w:val="single" w:color="auto" w:sz="12" w:space="0"/>
              <w:right w:val="single" w:color="auto" w:sz="8" w:space="0"/>
            </w:tcBorders>
            <w:vAlign w:val="center"/>
          </w:tcPr>
          <w:p w14:paraId="0F902810">
            <w:pPr>
              <w:autoSpaceDE w:val="0"/>
              <w:autoSpaceDN w:val="0"/>
              <w:jc w:val="center"/>
              <w:rPr>
                <w:kern w:val="0"/>
                <w:sz w:val="24"/>
              </w:rPr>
            </w:pPr>
          </w:p>
        </w:tc>
        <w:tc>
          <w:tcPr>
            <w:tcW w:w="567" w:type="dxa"/>
            <w:vMerge w:val="continue"/>
            <w:tcBorders>
              <w:left w:val="single" w:color="auto" w:sz="8" w:space="0"/>
              <w:right w:val="single" w:color="auto" w:sz="8" w:space="0"/>
            </w:tcBorders>
            <w:vAlign w:val="center"/>
          </w:tcPr>
          <w:p w14:paraId="1F5CC50C">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4B509E9E">
            <w:pPr>
              <w:autoSpaceDE w:val="0"/>
              <w:autoSpaceDN w:val="0"/>
              <w:rPr>
                <w:rFonts w:ascii="宋体" w:cs="宋体"/>
                <w:kern w:val="0"/>
                <w:sz w:val="18"/>
                <w:szCs w:val="18"/>
              </w:rPr>
            </w:pPr>
            <w:r>
              <w:rPr>
                <w:rFonts w:hint="eastAsia" w:ascii="宋体" w:cs="宋体"/>
                <w:kern w:val="0"/>
                <w:sz w:val="18"/>
                <w:szCs w:val="18"/>
              </w:rPr>
              <w:t>护栏、盐水架、氧气推车是否定期擦洗，保持清洁。</w:t>
            </w:r>
          </w:p>
        </w:tc>
        <w:tc>
          <w:tcPr>
            <w:tcW w:w="1273" w:type="dxa"/>
            <w:tcBorders>
              <w:top w:val="single" w:color="auto" w:sz="8" w:space="0"/>
              <w:left w:val="single" w:color="auto" w:sz="8" w:space="0"/>
              <w:bottom w:val="single" w:color="auto" w:sz="8" w:space="0"/>
              <w:right w:val="single" w:color="auto" w:sz="8" w:space="0"/>
            </w:tcBorders>
            <w:vAlign w:val="center"/>
          </w:tcPr>
          <w:p w14:paraId="0B4A81FF">
            <w:pPr>
              <w:autoSpaceDE w:val="0"/>
              <w:autoSpaceDN w:val="0"/>
              <w:jc w:val="center"/>
              <w:rPr>
                <w:rFonts w:ascii="宋体" w:cs="宋体"/>
                <w:kern w:val="0"/>
                <w:sz w:val="18"/>
                <w:szCs w:val="18"/>
              </w:rPr>
            </w:pPr>
            <w:r>
              <w:rPr>
                <w:rFonts w:ascii="宋体" w:cs="宋体"/>
                <w:kern w:val="0"/>
                <w:sz w:val="18"/>
                <w:szCs w:val="18"/>
              </w:rPr>
              <w:t>4</w:t>
            </w:r>
          </w:p>
        </w:tc>
        <w:tc>
          <w:tcPr>
            <w:tcW w:w="707" w:type="dxa"/>
            <w:vMerge w:val="continue"/>
            <w:tcBorders>
              <w:top w:val="nil"/>
              <w:left w:val="single" w:color="auto" w:sz="8" w:space="0"/>
              <w:bottom w:val="nil"/>
              <w:right w:val="single" w:color="auto" w:sz="8" w:space="0"/>
            </w:tcBorders>
            <w:vAlign w:val="center"/>
          </w:tcPr>
          <w:p w14:paraId="6F0E519B">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27931BE9">
            <w:pPr>
              <w:autoSpaceDE w:val="0"/>
              <w:autoSpaceDN w:val="0"/>
              <w:jc w:val="center"/>
              <w:rPr>
                <w:kern w:val="0"/>
                <w:sz w:val="24"/>
              </w:rPr>
            </w:pPr>
          </w:p>
        </w:tc>
      </w:tr>
      <w:tr w14:paraId="4F3366CA">
        <w:tblPrEx>
          <w:tblCellMar>
            <w:top w:w="0" w:type="dxa"/>
            <w:left w:w="0" w:type="dxa"/>
            <w:bottom w:w="0" w:type="dxa"/>
            <w:right w:w="0" w:type="dxa"/>
          </w:tblCellMar>
        </w:tblPrEx>
        <w:trPr>
          <w:trHeight w:val="281" w:hRule="atLeast"/>
        </w:trPr>
        <w:tc>
          <w:tcPr>
            <w:tcW w:w="852" w:type="dxa"/>
            <w:vMerge w:val="continue"/>
            <w:tcBorders>
              <w:left w:val="single" w:color="auto" w:sz="12" w:space="0"/>
              <w:bottom w:val="single" w:color="auto" w:sz="8" w:space="0"/>
              <w:right w:val="single" w:color="auto" w:sz="8" w:space="0"/>
            </w:tcBorders>
            <w:vAlign w:val="center"/>
          </w:tcPr>
          <w:p w14:paraId="4A38C690">
            <w:pPr>
              <w:autoSpaceDE w:val="0"/>
              <w:autoSpaceDN w:val="0"/>
              <w:jc w:val="center"/>
              <w:rPr>
                <w:kern w:val="0"/>
                <w:sz w:val="24"/>
              </w:rPr>
            </w:pPr>
          </w:p>
        </w:tc>
        <w:tc>
          <w:tcPr>
            <w:tcW w:w="567" w:type="dxa"/>
            <w:vMerge w:val="continue"/>
            <w:tcBorders>
              <w:left w:val="single" w:color="auto" w:sz="8" w:space="0"/>
              <w:bottom w:val="single" w:color="auto" w:sz="8" w:space="0"/>
              <w:right w:val="single" w:color="auto" w:sz="8" w:space="0"/>
            </w:tcBorders>
            <w:vAlign w:val="center"/>
          </w:tcPr>
          <w:p w14:paraId="470051E3">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32105122">
            <w:pPr>
              <w:autoSpaceDE w:val="0"/>
              <w:autoSpaceDN w:val="0"/>
              <w:rPr>
                <w:rFonts w:ascii="宋体" w:cs="宋体"/>
                <w:kern w:val="0"/>
                <w:sz w:val="18"/>
                <w:szCs w:val="18"/>
              </w:rPr>
            </w:pPr>
            <w:r>
              <w:rPr>
                <w:rFonts w:hint="eastAsia" w:ascii="宋体" w:cs="宋体"/>
                <w:kern w:val="0"/>
                <w:sz w:val="18"/>
                <w:szCs w:val="18"/>
              </w:rPr>
              <w:t>各类垃圾运送中不得散落。</w:t>
            </w:r>
          </w:p>
        </w:tc>
        <w:tc>
          <w:tcPr>
            <w:tcW w:w="1273" w:type="dxa"/>
            <w:tcBorders>
              <w:top w:val="single" w:color="auto" w:sz="8" w:space="0"/>
              <w:left w:val="single" w:color="auto" w:sz="8" w:space="0"/>
              <w:bottom w:val="single" w:color="auto" w:sz="8" w:space="0"/>
              <w:right w:val="single" w:color="auto" w:sz="8" w:space="0"/>
            </w:tcBorders>
            <w:vAlign w:val="center"/>
          </w:tcPr>
          <w:p w14:paraId="59B924E4">
            <w:pPr>
              <w:autoSpaceDE w:val="0"/>
              <w:autoSpaceDN w:val="0"/>
              <w:jc w:val="center"/>
              <w:rPr>
                <w:rFonts w:ascii="宋体" w:cs="宋体"/>
                <w:kern w:val="0"/>
                <w:sz w:val="18"/>
                <w:szCs w:val="18"/>
              </w:rPr>
            </w:pPr>
            <w:r>
              <w:rPr>
                <w:rFonts w:ascii="宋体" w:cs="宋体"/>
                <w:kern w:val="0"/>
                <w:sz w:val="18"/>
                <w:szCs w:val="18"/>
              </w:rPr>
              <w:t>4</w:t>
            </w:r>
          </w:p>
        </w:tc>
        <w:tc>
          <w:tcPr>
            <w:tcW w:w="707" w:type="dxa"/>
            <w:vMerge w:val="continue"/>
            <w:tcBorders>
              <w:top w:val="nil"/>
              <w:left w:val="single" w:color="auto" w:sz="8" w:space="0"/>
              <w:bottom w:val="single" w:color="auto" w:sz="8" w:space="0"/>
              <w:right w:val="single" w:color="auto" w:sz="8" w:space="0"/>
            </w:tcBorders>
            <w:vAlign w:val="center"/>
          </w:tcPr>
          <w:p w14:paraId="793D1199">
            <w:pPr>
              <w:autoSpaceDE w:val="0"/>
              <w:autoSpaceDN w:val="0"/>
              <w:jc w:val="center"/>
              <w:rPr>
                <w:kern w:val="0"/>
                <w:sz w:val="24"/>
              </w:rPr>
            </w:pPr>
          </w:p>
        </w:tc>
        <w:tc>
          <w:tcPr>
            <w:tcW w:w="592" w:type="dxa"/>
            <w:vMerge w:val="continue"/>
            <w:tcBorders>
              <w:top w:val="nil"/>
              <w:left w:val="single" w:color="auto" w:sz="8" w:space="0"/>
              <w:bottom w:val="single" w:color="auto" w:sz="8" w:space="0"/>
              <w:right w:val="single" w:color="auto" w:sz="12" w:space="0"/>
            </w:tcBorders>
            <w:vAlign w:val="center"/>
          </w:tcPr>
          <w:p w14:paraId="076FB54E">
            <w:pPr>
              <w:autoSpaceDE w:val="0"/>
              <w:autoSpaceDN w:val="0"/>
              <w:jc w:val="center"/>
              <w:rPr>
                <w:kern w:val="0"/>
                <w:sz w:val="24"/>
              </w:rPr>
            </w:pPr>
          </w:p>
        </w:tc>
      </w:tr>
      <w:tr w14:paraId="58CD2C8C">
        <w:tblPrEx>
          <w:tblCellMar>
            <w:top w:w="0" w:type="dxa"/>
            <w:left w:w="0" w:type="dxa"/>
            <w:bottom w:w="0" w:type="dxa"/>
            <w:right w:w="0" w:type="dxa"/>
          </w:tblCellMar>
        </w:tblPrEx>
        <w:trPr>
          <w:trHeight w:val="397" w:hRule="atLeast"/>
        </w:trPr>
        <w:tc>
          <w:tcPr>
            <w:tcW w:w="852" w:type="dxa"/>
            <w:vMerge w:val="restart"/>
            <w:tcBorders>
              <w:top w:val="single" w:color="auto" w:sz="8" w:space="0"/>
              <w:left w:val="single" w:color="auto" w:sz="12" w:space="0"/>
              <w:right w:val="single" w:color="auto" w:sz="8" w:space="0"/>
            </w:tcBorders>
            <w:vAlign w:val="center"/>
          </w:tcPr>
          <w:p w14:paraId="2A602876">
            <w:pPr>
              <w:autoSpaceDE w:val="0"/>
              <w:autoSpaceDN w:val="0"/>
              <w:jc w:val="center"/>
              <w:rPr>
                <w:rFonts w:ascii="宋体" w:cs="宋体"/>
                <w:kern w:val="0"/>
                <w:sz w:val="18"/>
                <w:szCs w:val="18"/>
              </w:rPr>
            </w:pPr>
            <w:r>
              <w:rPr>
                <w:rFonts w:hint="eastAsia" w:ascii="宋体" w:cs="宋体"/>
                <w:kern w:val="0"/>
                <w:sz w:val="18"/>
                <w:szCs w:val="18"/>
              </w:rPr>
              <w:t>配</w:t>
            </w:r>
          </w:p>
          <w:p w14:paraId="15505973">
            <w:pPr>
              <w:autoSpaceDE w:val="0"/>
              <w:autoSpaceDN w:val="0"/>
              <w:jc w:val="center"/>
              <w:rPr>
                <w:rFonts w:ascii="宋体" w:cs="宋体"/>
                <w:kern w:val="0"/>
                <w:sz w:val="18"/>
                <w:szCs w:val="18"/>
              </w:rPr>
            </w:pPr>
            <w:r>
              <w:rPr>
                <w:rFonts w:hint="eastAsia" w:ascii="宋体" w:cs="宋体"/>
                <w:kern w:val="0"/>
                <w:sz w:val="18"/>
                <w:szCs w:val="18"/>
              </w:rPr>
              <w:t>餐</w:t>
            </w:r>
          </w:p>
        </w:tc>
        <w:tc>
          <w:tcPr>
            <w:tcW w:w="567" w:type="dxa"/>
            <w:vMerge w:val="restart"/>
            <w:tcBorders>
              <w:top w:val="single" w:color="auto" w:sz="8" w:space="0"/>
              <w:left w:val="single" w:color="auto" w:sz="8" w:space="0"/>
              <w:right w:val="single" w:color="auto" w:sz="8" w:space="0"/>
            </w:tcBorders>
            <w:vAlign w:val="center"/>
          </w:tcPr>
          <w:p w14:paraId="7BE470AB">
            <w:pPr>
              <w:autoSpaceDE w:val="0"/>
              <w:autoSpaceDN w:val="0"/>
              <w:jc w:val="center"/>
              <w:rPr>
                <w:rFonts w:ascii="宋体" w:cs="宋体"/>
                <w:kern w:val="0"/>
                <w:sz w:val="18"/>
                <w:szCs w:val="18"/>
              </w:rPr>
            </w:pPr>
            <w:r>
              <w:rPr>
                <w:rFonts w:ascii="宋体" w:cs="宋体"/>
                <w:kern w:val="0"/>
                <w:sz w:val="18"/>
                <w:szCs w:val="18"/>
              </w:rPr>
              <w:t>11</w:t>
            </w:r>
          </w:p>
          <w:p w14:paraId="44D76097">
            <w:pPr>
              <w:autoSpaceDE w:val="0"/>
              <w:autoSpaceDN w:val="0"/>
              <w:jc w:val="center"/>
              <w:rPr>
                <w:rFonts w:ascii="宋体" w:cs="宋体"/>
                <w:kern w:val="0"/>
                <w:sz w:val="18"/>
                <w:szCs w:val="18"/>
              </w:rPr>
            </w:pPr>
            <w:r>
              <w:rPr>
                <w:rFonts w:hint="eastAsia" w:ascii="宋体" w:cs="宋体"/>
                <w:kern w:val="0"/>
                <w:sz w:val="18"/>
                <w:szCs w:val="18"/>
              </w:rPr>
              <w:t>分</w:t>
            </w:r>
          </w:p>
        </w:tc>
        <w:tc>
          <w:tcPr>
            <w:tcW w:w="5791" w:type="dxa"/>
            <w:tcBorders>
              <w:top w:val="single" w:color="auto" w:sz="8" w:space="0"/>
              <w:left w:val="single" w:color="auto" w:sz="8" w:space="0"/>
              <w:bottom w:val="single" w:color="auto" w:sz="8" w:space="0"/>
              <w:right w:val="single" w:color="auto" w:sz="8" w:space="0"/>
            </w:tcBorders>
            <w:vAlign w:val="center"/>
          </w:tcPr>
          <w:p w14:paraId="27D7859C">
            <w:pPr>
              <w:autoSpaceDE w:val="0"/>
              <w:autoSpaceDN w:val="0"/>
              <w:rPr>
                <w:rFonts w:ascii="宋体" w:cs="宋体"/>
                <w:kern w:val="0"/>
                <w:sz w:val="18"/>
                <w:szCs w:val="18"/>
              </w:rPr>
            </w:pPr>
            <w:r>
              <w:rPr>
                <w:rFonts w:hint="eastAsia" w:ascii="宋体" w:cs="宋体"/>
                <w:kern w:val="0"/>
                <w:sz w:val="18"/>
                <w:szCs w:val="18"/>
              </w:rPr>
              <w:t>配餐室、饭车、餐具清洁情况是否按时消毒，无杂物、无私人物品。</w:t>
            </w:r>
          </w:p>
        </w:tc>
        <w:tc>
          <w:tcPr>
            <w:tcW w:w="1273" w:type="dxa"/>
            <w:tcBorders>
              <w:top w:val="single" w:color="auto" w:sz="8" w:space="0"/>
              <w:left w:val="single" w:color="auto" w:sz="8" w:space="0"/>
              <w:bottom w:val="single" w:color="auto" w:sz="8" w:space="0"/>
              <w:right w:val="single" w:color="auto" w:sz="8" w:space="0"/>
            </w:tcBorders>
            <w:vAlign w:val="center"/>
          </w:tcPr>
          <w:p w14:paraId="76E73207">
            <w:pPr>
              <w:autoSpaceDE w:val="0"/>
              <w:autoSpaceDN w:val="0"/>
              <w:jc w:val="center"/>
              <w:rPr>
                <w:rFonts w:ascii="宋体" w:cs="宋体"/>
                <w:kern w:val="0"/>
                <w:sz w:val="18"/>
                <w:szCs w:val="18"/>
              </w:rPr>
            </w:pPr>
            <w:r>
              <w:rPr>
                <w:rFonts w:ascii="宋体" w:cs="宋体"/>
                <w:kern w:val="0"/>
                <w:sz w:val="18"/>
                <w:szCs w:val="18"/>
              </w:rPr>
              <w:t>5</w:t>
            </w:r>
          </w:p>
        </w:tc>
        <w:tc>
          <w:tcPr>
            <w:tcW w:w="707" w:type="dxa"/>
            <w:vMerge w:val="restart"/>
            <w:tcBorders>
              <w:top w:val="single" w:color="auto" w:sz="8" w:space="0"/>
              <w:left w:val="single" w:color="auto" w:sz="8" w:space="0"/>
              <w:right w:val="single" w:color="auto" w:sz="8" w:space="0"/>
            </w:tcBorders>
            <w:shd w:val="clear" w:color="auto" w:fill="auto"/>
            <w:vAlign w:val="center"/>
          </w:tcPr>
          <w:p w14:paraId="2EC61A05">
            <w:pPr>
              <w:autoSpaceDE w:val="0"/>
              <w:autoSpaceDN w:val="0"/>
              <w:jc w:val="center"/>
              <w:rPr>
                <w:kern w:val="0"/>
                <w:sz w:val="24"/>
              </w:rPr>
            </w:pPr>
          </w:p>
        </w:tc>
        <w:tc>
          <w:tcPr>
            <w:tcW w:w="592" w:type="dxa"/>
            <w:vMerge w:val="restart"/>
            <w:tcBorders>
              <w:top w:val="single" w:color="auto" w:sz="8" w:space="0"/>
              <w:left w:val="single" w:color="auto" w:sz="8" w:space="0"/>
              <w:right w:val="single" w:color="auto" w:sz="12" w:space="0"/>
            </w:tcBorders>
            <w:shd w:val="clear" w:color="auto" w:fill="auto"/>
            <w:vAlign w:val="center"/>
          </w:tcPr>
          <w:p w14:paraId="175D81BA">
            <w:pPr>
              <w:autoSpaceDE w:val="0"/>
              <w:autoSpaceDN w:val="0"/>
              <w:jc w:val="center"/>
              <w:rPr>
                <w:kern w:val="0"/>
                <w:sz w:val="24"/>
              </w:rPr>
            </w:pPr>
          </w:p>
        </w:tc>
      </w:tr>
      <w:tr w14:paraId="2624B8A4">
        <w:tblPrEx>
          <w:tblCellMar>
            <w:top w:w="0" w:type="dxa"/>
            <w:left w:w="0" w:type="dxa"/>
            <w:bottom w:w="0" w:type="dxa"/>
            <w:right w:w="0" w:type="dxa"/>
          </w:tblCellMar>
        </w:tblPrEx>
        <w:trPr>
          <w:trHeight w:val="431" w:hRule="atLeast"/>
        </w:trPr>
        <w:tc>
          <w:tcPr>
            <w:tcW w:w="852" w:type="dxa"/>
            <w:vMerge w:val="continue"/>
            <w:tcBorders>
              <w:left w:val="single" w:color="auto" w:sz="12" w:space="0"/>
              <w:right w:val="single" w:color="auto" w:sz="8" w:space="0"/>
            </w:tcBorders>
            <w:vAlign w:val="center"/>
          </w:tcPr>
          <w:p w14:paraId="522B02B9">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21998121">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2B95863C">
            <w:pPr>
              <w:autoSpaceDE w:val="0"/>
              <w:autoSpaceDN w:val="0"/>
              <w:rPr>
                <w:rFonts w:ascii="宋体" w:cs="宋体"/>
                <w:kern w:val="0"/>
                <w:sz w:val="18"/>
                <w:szCs w:val="18"/>
              </w:rPr>
            </w:pPr>
            <w:r>
              <w:rPr>
                <w:rFonts w:hint="eastAsia" w:ascii="宋体" w:cs="宋体"/>
                <w:kern w:val="0"/>
                <w:sz w:val="18"/>
                <w:szCs w:val="18"/>
              </w:rPr>
              <w:t>配餐登记是否及时准确，早、日、晚餐的配送是否及时准确。</w:t>
            </w:r>
          </w:p>
        </w:tc>
        <w:tc>
          <w:tcPr>
            <w:tcW w:w="1273" w:type="dxa"/>
            <w:tcBorders>
              <w:top w:val="single" w:color="auto" w:sz="8" w:space="0"/>
              <w:left w:val="single" w:color="auto" w:sz="8" w:space="0"/>
              <w:bottom w:val="single" w:color="auto" w:sz="8" w:space="0"/>
              <w:right w:val="single" w:color="auto" w:sz="8" w:space="0"/>
            </w:tcBorders>
            <w:vAlign w:val="center"/>
          </w:tcPr>
          <w:p w14:paraId="7136319F">
            <w:pPr>
              <w:autoSpaceDE w:val="0"/>
              <w:autoSpaceDN w:val="0"/>
              <w:jc w:val="center"/>
              <w:rPr>
                <w:rFonts w:ascii="宋体" w:cs="宋体"/>
                <w:kern w:val="0"/>
                <w:sz w:val="18"/>
                <w:szCs w:val="18"/>
              </w:rPr>
            </w:pPr>
            <w:r>
              <w:rPr>
                <w:rFonts w:ascii="宋体" w:cs="宋体"/>
                <w:kern w:val="0"/>
                <w:sz w:val="18"/>
                <w:szCs w:val="18"/>
              </w:rPr>
              <w:t>3</w:t>
            </w:r>
          </w:p>
        </w:tc>
        <w:tc>
          <w:tcPr>
            <w:tcW w:w="707" w:type="dxa"/>
            <w:vMerge w:val="continue"/>
            <w:tcBorders>
              <w:left w:val="single" w:color="auto" w:sz="8" w:space="0"/>
              <w:right w:val="single" w:color="auto" w:sz="8" w:space="0"/>
            </w:tcBorders>
            <w:shd w:val="clear" w:color="auto" w:fill="auto"/>
            <w:vAlign w:val="center"/>
          </w:tcPr>
          <w:p w14:paraId="384190CC">
            <w:pPr>
              <w:autoSpaceDE w:val="0"/>
              <w:autoSpaceDN w:val="0"/>
              <w:jc w:val="center"/>
              <w:rPr>
                <w:kern w:val="0"/>
                <w:sz w:val="24"/>
              </w:rPr>
            </w:pPr>
          </w:p>
        </w:tc>
        <w:tc>
          <w:tcPr>
            <w:tcW w:w="592" w:type="dxa"/>
            <w:vMerge w:val="continue"/>
            <w:tcBorders>
              <w:left w:val="single" w:color="auto" w:sz="8" w:space="0"/>
              <w:right w:val="single" w:color="auto" w:sz="12" w:space="0"/>
            </w:tcBorders>
            <w:shd w:val="clear" w:color="auto" w:fill="auto"/>
            <w:vAlign w:val="center"/>
          </w:tcPr>
          <w:p w14:paraId="043C6E0E">
            <w:pPr>
              <w:autoSpaceDE w:val="0"/>
              <w:autoSpaceDN w:val="0"/>
              <w:jc w:val="center"/>
              <w:rPr>
                <w:kern w:val="0"/>
                <w:sz w:val="24"/>
              </w:rPr>
            </w:pPr>
          </w:p>
        </w:tc>
      </w:tr>
      <w:tr w14:paraId="7C02EDB0">
        <w:tblPrEx>
          <w:tblCellMar>
            <w:top w:w="0" w:type="dxa"/>
            <w:left w:w="0" w:type="dxa"/>
            <w:bottom w:w="0" w:type="dxa"/>
            <w:right w:w="0" w:type="dxa"/>
          </w:tblCellMar>
        </w:tblPrEx>
        <w:trPr>
          <w:trHeight w:val="339" w:hRule="atLeast"/>
        </w:trPr>
        <w:tc>
          <w:tcPr>
            <w:tcW w:w="852" w:type="dxa"/>
            <w:vMerge w:val="continue"/>
            <w:tcBorders>
              <w:left w:val="single" w:color="auto" w:sz="12" w:space="0"/>
              <w:bottom w:val="single" w:color="auto" w:sz="8" w:space="0"/>
              <w:right w:val="single" w:color="auto" w:sz="8" w:space="0"/>
            </w:tcBorders>
            <w:vAlign w:val="center"/>
          </w:tcPr>
          <w:p w14:paraId="1C0590BF">
            <w:pPr>
              <w:autoSpaceDE w:val="0"/>
              <w:autoSpaceDN w:val="0"/>
              <w:jc w:val="center"/>
              <w:rPr>
                <w:rFonts w:ascii="宋体" w:cs="宋体"/>
                <w:kern w:val="0"/>
                <w:sz w:val="18"/>
                <w:szCs w:val="18"/>
              </w:rPr>
            </w:pPr>
          </w:p>
        </w:tc>
        <w:tc>
          <w:tcPr>
            <w:tcW w:w="567" w:type="dxa"/>
            <w:vMerge w:val="continue"/>
            <w:tcBorders>
              <w:left w:val="single" w:color="auto" w:sz="8" w:space="0"/>
              <w:bottom w:val="single" w:color="auto" w:sz="8" w:space="0"/>
              <w:right w:val="single" w:color="auto" w:sz="8" w:space="0"/>
            </w:tcBorders>
            <w:vAlign w:val="center"/>
          </w:tcPr>
          <w:p w14:paraId="192C89A0">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6834E329">
            <w:pPr>
              <w:autoSpaceDE w:val="0"/>
              <w:autoSpaceDN w:val="0"/>
              <w:rPr>
                <w:rFonts w:ascii="宋体" w:cs="宋体"/>
                <w:kern w:val="0"/>
                <w:sz w:val="18"/>
                <w:szCs w:val="18"/>
              </w:rPr>
            </w:pPr>
            <w:r>
              <w:rPr>
                <w:rFonts w:hint="eastAsia" w:ascii="宋体" w:cs="宋体"/>
                <w:kern w:val="0"/>
                <w:sz w:val="18"/>
                <w:szCs w:val="18"/>
              </w:rPr>
              <w:t>是否送餐到病人床边。送水，配餐室做好安全管理、微波炉不准微波生菜。</w:t>
            </w:r>
          </w:p>
        </w:tc>
        <w:tc>
          <w:tcPr>
            <w:tcW w:w="1273" w:type="dxa"/>
            <w:tcBorders>
              <w:top w:val="single" w:color="auto" w:sz="8" w:space="0"/>
              <w:left w:val="single" w:color="auto" w:sz="8" w:space="0"/>
              <w:bottom w:val="single" w:color="auto" w:sz="8" w:space="0"/>
              <w:right w:val="single" w:color="auto" w:sz="8" w:space="0"/>
            </w:tcBorders>
            <w:vAlign w:val="center"/>
          </w:tcPr>
          <w:p w14:paraId="2371A0B4">
            <w:pPr>
              <w:autoSpaceDE w:val="0"/>
              <w:autoSpaceDN w:val="0"/>
              <w:jc w:val="center"/>
              <w:rPr>
                <w:rFonts w:ascii="宋体" w:cs="宋体"/>
                <w:kern w:val="0"/>
                <w:sz w:val="18"/>
                <w:szCs w:val="18"/>
              </w:rPr>
            </w:pPr>
            <w:r>
              <w:rPr>
                <w:rFonts w:ascii="宋体" w:cs="宋体"/>
                <w:kern w:val="0"/>
                <w:sz w:val="18"/>
                <w:szCs w:val="18"/>
              </w:rPr>
              <w:t>3</w:t>
            </w:r>
          </w:p>
        </w:tc>
        <w:tc>
          <w:tcPr>
            <w:tcW w:w="707" w:type="dxa"/>
            <w:vMerge w:val="continue"/>
            <w:tcBorders>
              <w:left w:val="single" w:color="auto" w:sz="8" w:space="0"/>
              <w:bottom w:val="single" w:color="auto" w:sz="8" w:space="0"/>
              <w:right w:val="single" w:color="auto" w:sz="8" w:space="0"/>
            </w:tcBorders>
            <w:shd w:val="clear" w:color="auto" w:fill="auto"/>
            <w:vAlign w:val="center"/>
          </w:tcPr>
          <w:p w14:paraId="25C70F80">
            <w:pPr>
              <w:autoSpaceDE w:val="0"/>
              <w:autoSpaceDN w:val="0"/>
              <w:jc w:val="center"/>
              <w:rPr>
                <w:kern w:val="0"/>
                <w:sz w:val="24"/>
              </w:rPr>
            </w:pPr>
          </w:p>
        </w:tc>
        <w:tc>
          <w:tcPr>
            <w:tcW w:w="592" w:type="dxa"/>
            <w:vMerge w:val="continue"/>
            <w:tcBorders>
              <w:left w:val="single" w:color="auto" w:sz="8" w:space="0"/>
              <w:bottom w:val="single" w:color="auto" w:sz="8" w:space="0"/>
              <w:right w:val="single" w:color="auto" w:sz="12" w:space="0"/>
            </w:tcBorders>
            <w:shd w:val="clear" w:color="auto" w:fill="auto"/>
            <w:vAlign w:val="center"/>
          </w:tcPr>
          <w:p w14:paraId="34539CF0">
            <w:pPr>
              <w:autoSpaceDE w:val="0"/>
              <w:autoSpaceDN w:val="0"/>
              <w:jc w:val="center"/>
              <w:rPr>
                <w:kern w:val="0"/>
                <w:sz w:val="24"/>
              </w:rPr>
            </w:pPr>
          </w:p>
        </w:tc>
      </w:tr>
      <w:tr w14:paraId="138E936E">
        <w:tblPrEx>
          <w:tblCellMar>
            <w:top w:w="0" w:type="dxa"/>
            <w:left w:w="0" w:type="dxa"/>
            <w:bottom w:w="0" w:type="dxa"/>
            <w:right w:w="0" w:type="dxa"/>
          </w:tblCellMar>
        </w:tblPrEx>
        <w:trPr>
          <w:trHeight w:val="432" w:hRule="atLeast"/>
        </w:trPr>
        <w:tc>
          <w:tcPr>
            <w:tcW w:w="852" w:type="dxa"/>
            <w:vMerge w:val="restart"/>
            <w:tcBorders>
              <w:top w:val="single" w:color="auto" w:sz="8" w:space="0"/>
              <w:left w:val="single" w:color="auto" w:sz="12" w:space="0"/>
              <w:right w:val="single" w:color="auto" w:sz="8" w:space="0"/>
            </w:tcBorders>
            <w:vAlign w:val="center"/>
          </w:tcPr>
          <w:p w14:paraId="54043013">
            <w:pPr>
              <w:autoSpaceDE w:val="0"/>
              <w:autoSpaceDN w:val="0"/>
              <w:jc w:val="center"/>
              <w:rPr>
                <w:rFonts w:ascii="宋体" w:cs="宋体"/>
                <w:kern w:val="0"/>
                <w:sz w:val="18"/>
                <w:szCs w:val="18"/>
              </w:rPr>
            </w:pPr>
            <w:r>
              <w:rPr>
                <w:rFonts w:hint="eastAsia" w:ascii="宋体" w:cs="宋体"/>
                <w:kern w:val="0"/>
                <w:sz w:val="18"/>
                <w:szCs w:val="18"/>
              </w:rPr>
              <w:t>运</w:t>
            </w:r>
          </w:p>
          <w:p w14:paraId="2EEDD938">
            <w:pPr>
              <w:autoSpaceDE w:val="0"/>
              <w:autoSpaceDN w:val="0"/>
              <w:jc w:val="center"/>
              <w:rPr>
                <w:kern w:val="0"/>
                <w:sz w:val="24"/>
              </w:rPr>
            </w:pPr>
            <w:r>
              <w:rPr>
                <w:rFonts w:hint="eastAsia" w:ascii="宋体" w:cs="宋体"/>
                <w:kern w:val="0"/>
                <w:sz w:val="18"/>
                <w:szCs w:val="18"/>
              </w:rPr>
              <w:t>送</w:t>
            </w:r>
          </w:p>
        </w:tc>
        <w:tc>
          <w:tcPr>
            <w:tcW w:w="567" w:type="dxa"/>
            <w:vMerge w:val="restart"/>
            <w:tcBorders>
              <w:top w:val="single" w:color="auto" w:sz="8" w:space="0"/>
              <w:left w:val="single" w:color="auto" w:sz="8" w:space="0"/>
              <w:right w:val="single" w:color="auto" w:sz="8" w:space="0"/>
            </w:tcBorders>
            <w:vAlign w:val="center"/>
          </w:tcPr>
          <w:p w14:paraId="19C8B0EA">
            <w:pPr>
              <w:autoSpaceDE w:val="0"/>
              <w:autoSpaceDN w:val="0"/>
              <w:jc w:val="center"/>
              <w:rPr>
                <w:rFonts w:ascii="宋体" w:cs="宋体"/>
                <w:kern w:val="0"/>
                <w:sz w:val="18"/>
                <w:szCs w:val="18"/>
              </w:rPr>
            </w:pPr>
            <w:r>
              <w:rPr>
                <w:rFonts w:ascii="宋体" w:cs="宋体"/>
                <w:kern w:val="0"/>
                <w:sz w:val="18"/>
                <w:szCs w:val="18"/>
              </w:rPr>
              <w:t>21</w:t>
            </w:r>
          </w:p>
          <w:p w14:paraId="2389F584">
            <w:pPr>
              <w:autoSpaceDE w:val="0"/>
              <w:autoSpaceDN w:val="0"/>
              <w:jc w:val="center"/>
              <w:rPr>
                <w:kern w:val="0"/>
                <w:sz w:val="24"/>
              </w:rPr>
            </w:pPr>
            <w:r>
              <w:rPr>
                <w:rFonts w:hint="eastAsia" w:ascii="宋体" w:cs="宋体"/>
                <w:kern w:val="0"/>
                <w:sz w:val="18"/>
                <w:szCs w:val="18"/>
              </w:rPr>
              <w:t>分</w:t>
            </w:r>
          </w:p>
        </w:tc>
        <w:tc>
          <w:tcPr>
            <w:tcW w:w="5791" w:type="dxa"/>
            <w:tcBorders>
              <w:top w:val="single" w:color="auto" w:sz="8" w:space="0"/>
              <w:left w:val="single" w:color="auto" w:sz="8" w:space="0"/>
              <w:bottom w:val="single" w:color="auto" w:sz="8" w:space="0"/>
              <w:right w:val="single" w:color="auto" w:sz="8" w:space="0"/>
            </w:tcBorders>
            <w:vAlign w:val="center"/>
          </w:tcPr>
          <w:p w14:paraId="288B2B48">
            <w:pPr>
              <w:autoSpaceDE w:val="0"/>
              <w:autoSpaceDN w:val="0"/>
              <w:rPr>
                <w:rFonts w:ascii="宋体" w:cs="宋体"/>
                <w:kern w:val="0"/>
                <w:sz w:val="18"/>
                <w:szCs w:val="18"/>
              </w:rPr>
            </w:pPr>
            <w:r>
              <w:rPr>
                <w:rFonts w:hint="eastAsia" w:ascii="宋体" w:cs="宋体"/>
                <w:kern w:val="0"/>
                <w:sz w:val="18"/>
                <w:szCs w:val="18"/>
              </w:rPr>
              <w:t>紧急运送是否及时到位，标本、单据、药品的运送是否准时、及时。</w:t>
            </w:r>
          </w:p>
        </w:tc>
        <w:tc>
          <w:tcPr>
            <w:tcW w:w="1273" w:type="dxa"/>
            <w:tcBorders>
              <w:top w:val="single" w:color="auto" w:sz="8" w:space="0"/>
              <w:left w:val="single" w:color="auto" w:sz="8" w:space="0"/>
              <w:bottom w:val="single" w:color="auto" w:sz="8" w:space="0"/>
              <w:right w:val="single" w:color="auto" w:sz="8" w:space="0"/>
            </w:tcBorders>
            <w:vAlign w:val="center"/>
          </w:tcPr>
          <w:p w14:paraId="1C414CE0">
            <w:pPr>
              <w:autoSpaceDE w:val="0"/>
              <w:autoSpaceDN w:val="0"/>
              <w:jc w:val="center"/>
              <w:rPr>
                <w:rFonts w:ascii="宋体" w:cs="宋体"/>
                <w:kern w:val="0"/>
                <w:sz w:val="18"/>
                <w:szCs w:val="18"/>
              </w:rPr>
            </w:pPr>
            <w:r>
              <w:rPr>
                <w:rFonts w:ascii="宋体" w:cs="宋体"/>
                <w:kern w:val="0"/>
                <w:sz w:val="18"/>
                <w:szCs w:val="18"/>
              </w:rPr>
              <w:t>6</w:t>
            </w:r>
          </w:p>
        </w:tc>
        <w:tc>
          <w:tcPr>
            <w:tcW w:w="707" w:type="dxa"/>
            <w:vMerge w:val="restart"/>
            <w:tcBorders>
              <w:top w:val="single" w:color="auto" w:sz="8" w:space="0"/>
              <w:left w:val="single" w:color="auto" w:sz="8" w:space="0"/>
              <w:bottom w:val="nil"/>
              <w:right w:val="single" w:color="auto" w:sz="8" w:space="0"/>
            </w:tcBorders>
            <w:vAlign w:val="center"/>
          </w:tcPr>
          <w:p w14:paraId="6CDBEFA1">
            <w:pPr>
              <w:autoSpaceDE w:val="0"/>
              <w:autoSpaceDN w:val="0"/>
              <w:jc w:val="center"/>
              <w:rPr>
                <w:kern w:val="0"/>
                <w:sz w:val="24"/>
              </w:rPr>
            </w:pPr>
          </w:p>
        </w:tc>
        <w:tc>
          <w:tcPr>
            <w:tcW w:w="592" w:type="dxa"/>
            <w:vMerge w:val="restart"/>
            <w:tcBorders>
              <w:top w:val="single" w:color="auto" w:sz="8" w:space="0"/>
              <w:left w:val="single" w:color="auto" w:sz="8" w:space="0"/>
              <w:bottom w:val="nil"/>
              <w:right w:val="single" w:color="auto" w:sz="12" w:space="0"/>
            </w:tcBorders>
            <w:vAlign w:val="center"/>
          </w:tcPr>
          <w:p w14:paraId="30BB869D">
            <w:pPr>
              <w:autoSpaceDE w:val="0"/>
              <w:autoSpaceDN w:val="0"/>
              <w:jc w:val="center"/>
              <w:rPr>
                <w:kern w:val="0"/>
                <w:sz w:val="24"/>
              </w:rPr>
            </w:pPr>
          </w:p>
        </w:tc>
      </w:tr>
      <w:tr w14:paraId="7FB4B2D7">
        <w:tblPrEx>
          <w:tblCellMar>
            <w:top w:w="0" w:type="dxa"/>
            <w:left w:w="0" w:type="dxa"/>
            <w:bottom w:w="0" w:type="dxa"/>
            <w:right w:w="0" w:type="dxa"/>
          </w:tblCellMar>
        </w:tblPrEx>
        <w:trPr>
          <w:trHeight w:val="263" w:hRule="atLeast"/>
        </w:trPr>
        <w:tc>
          <w:tcPr>
            <w:tcW w:w="852" w:type="dxa"/>
            <w:vMerge w:val="continue"/>
            <w:tcBorders>
              <w:left w:val="single" w:color="auto" w:sz="12" w:space="0"/>
              <w:right w:val="single" w:color="auto" w:sz="8" w:space="0"/>
            </w:tcBorders>
            <w:vAlign w:val="center"/>
          </w:tcPr>
          <w:p w14:paraId="2473B61D">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549D2E40">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587570F7">
            <w:pPr>
              <w:autoSpaceDE w:val="0"/>
              <w:autoSpaceDN w:val="0"/>
              <w:rPr>
                <w:rFonts w:ascii="宋体" w:cs="宋体"/>
                <w:kern w:val="0"/>
                <w:sz w:val="18"/>
                <w:szCs w:val="18"/>
              </w:rPr>
            </w:pPr>
            <w:r>
              <w:rPr>
                <w:rFonts w:hint="eastAsia" w:ascii="宋体" w:cs="宋体"/>
                <w:kern w:val="0"/>
                <w:sz w:val="18"/>
                <w:szCs w:val="18"/>
              </w:rPr>
              <w:t>病人的预约检查是否能够准时及时。</w:t>
            </w:r>
          </w:p>
        </w:tc>
        <w:tc>
          <w:tcPr>
            <w:tcW w:w="1273" w:type="dxa"/>
            <w:tcBorders>
              <w:top w:val="single" w:color="auto" w:sz="8" w:space="0"/>
              <w:left w:val="single" w:color="auto" w:sz="8" w:space="0"/>
              <w:bottom w:val="single" w:color="auto" w:sz="8" w:space="0"/>
              <w:right w:val="single" w:color="auto" w:sz="8" w:space="0"/>
            </w:tcBorders>
            <w:vAlign w:val="center"/>
          </w:tcPr>
          <w:p w14:paraId="3AFEF10B">
            <w:pPr>
              <w:autoSpaceDE w:val="0"/>
              <w:autoSpaceDN w:val="0"/>
              <w:jc w:val="center"/>
              <w:rPr>
                <w:rFonts w:ascii="宋体" w:cs="宋体"/>
                <w:kern w:val="0"/>
                <w:sz w:val="18"/>
                <w:szCs w:val="18"/>
              </w:rPr>
            </w:pPr>
            <w:r>
              <w:rPr>
                <w:rFonts w:ascii="宋体" w:cs="宋体"/>
                <w:kern w:val="0"/>
                <w:sz w:val="18"/>
                <w:szCs w:val="18"/>
              </w:rPr>
              <w:t>5</w:t>
            </w:r>
          </w:p>
        </w:tc>
        <w:tc>
          <w:tcPr>
            <w:tcW w:w="707" w:type="dxa"/>
            <w:vMerge w:val="continue"/>
            <w:tcBorders>
              <w:top w:val="nil"/>
              <w:left w:val="single" w:color="auto" w:sz="8" w:space="0"/>
              <w:bottom w:val="nil"/>
              <w:right w:val="single" w:color="auto" w:sz="8" w:space="0"/>
            </w:tcBorders>
            <w:vAlign w:val="center"/>
          </w:tcPr>
          <w:p w14:paraId="71D21F22">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632101CD">
            <w:pPr>
              <w:autoSpaceDE w:val="0"/>
              <w:autoSpaceDN w:val="0"/>
              <w:jc w:val="center"/>
              <w:rPr>
                <w:kern w:val="0"/>
                <w:sz w:val="24"/>
              </w:rPr>
            </w:pPr>
          </w:p>
        </w:tc>
      </w:tr>
      <w:tr w14:paraId="01E6E96A">
        <w:tblPrEx>
          <w:tblCellMar>
            <w:top w:w="0" w:type="dxa"/>
            <w:left w:w="0" w:type="dxa"/>
            <w:bottom w:w="0" w:type="dxa"/>
            <w:right w:w="0" w:type="dxa"/>
          </w:tblCellMar>
        </w:tblPrEx>
        <w:trPr>
          <w:trHeight w:val="446" w:hRule="atLeast"/>
        </w:trPr>
        <w:tc>
          <w:tcPr>
            <w:tcW w:w="852" w:type="dxa"/>
            <w:vMerge w:val="continue"/>
            <w:tcBorders>
              <w:left w:val="single" w:color="auto" w:sz="12" w:space="0"/>
              <w:right w:val="single" w:color="auto" w:sz="8" w:space="0"/>
            </w:tcBorders>
            <w:vAlign w:val="center"/>
          </w:tcPr>
          <w:p w14:paraId="7E3F2249">
            <w:pPr>
              <w:autoSpaceDE w:val="0"/>
              <w:autoSpaceDN w:val="0"/>
              <w:jc w:val="center"/>
              <w:rPr>
                <w:rFonts w:ascii="宋体" w:cs="宋体"/>
                <w:kern w:val="0"/>
                <w:sz w:val="18"/>
                <w:szCs w:val="18"/>
              </w:rPr>
            </w:pPr>
          </w:p>
        </w:tc>
        <w:tc>
          <w:tcPr>
            <w:tcW w:w="567" w:type="dxa"/>
            <w:vMerge w:val="continue"/>
            <w:tcBorders>
              <w:left w:val="single" w:color="auto" w:sz="8" w:space="0"/>
              <w:right w:val="single" w:color="auto" w:sz="8" w:space="0"/>
            </w:tcBorders>
            <w:vAlign w:val="center"/>
          </w:tcPr>
          <w:p w14:paraId="3435CEC0">
            <w:pPr>
              <w:autoSpaceDE w:val="0"/>
              <w:autoSpaceDN w:val="0"/>
              <w:jc w:val="center"/>
              <w:rPr>
                <w:rFonts w:ascii="宋体" w:cs="宋体"/>
                <w:kern w:val="0"/>
                <w:sz w:val="18"/>
                <w:szCs w:val="18"/>
              </w:rPr>
            </w:pPr>
          </w:p>
        </w:tc>
        <w:tc>
          <w:tcPr>
            <w:tcW w:w="5791" w:type="dxa"/>
            <w:tcBorders>
              <w:top w:val="single" w:color="auto" w:sz="8" w:space="0"/>
              <w:left w:val="single" w:color="auto" w:sz="8" w:space="0"/>
              <w:bottom w:val="single" w:color="auto" w:sz="8" w:space="0"/>
              <w:right w:val="single" w:color="auto" w:sz="8" w:space="0"/>
            </w:tcBorders>
            <w:vAlign w:val="center"/>
          </w:tcPr>
          <w:p w14:paraId="6B3B253C">
            <w:pPr>
              <w:autoSpaceDE w:val="0"/>
              <w:autoSpaceDN w:val="0"/>
              <w:rPr>
                <w:rFonts w:ascii="宋体" w:cs="宋体"/>
                <w:kern w:val="0"/>
                <w:sz w:val="18"/>
                <w:szCs w:val="18"/>
              </w:rPr>
            </w:pPr>
            <w:r>
              <w:rPr>
                <w:rFonts w:hint="eastAsia" w:ascii="宋体" w:cs="宋体"/>
                <w:kern w:val="0"/>
                <w:sz w:val="18"/>
                <w:szCs w:val="18"/>
              </w:rPr>
              <w:t>病人外出检查要有扶送，要有记录。</w:t>
            </w:r>
          </w:p>
        </w:tc>
        <w:tc>
          <w:tcPr>
            <w:tcW w:w="1273" w:type="dxa"/>
            <w:tcBorders>
              <w:top w:val="single" w:color="auto" w:sz="8" w:space="0"/>
              <w:left w:val="single" w:color="auto" w:sz="8" w:space="0"/>
              <w:bottom w:val="single" w:color="auto" w:sz="8" w:space="0"/>
              <w:right w:val="single" w:color="auto" w:sz="8" w:space="0"/>
            </w:tcBorders>
            <w:vAlign w:val="center"/>
          </w:tcPr>
          <w:p w14:paraId="35CF75BE">
            <w:pPr>
              <w:autoSpaceDE w:val="0"/>
              <w:autoSpaceDN w:val="0"/>
              <w:jc w:val="center"/>
              <w:rPr>
                <w:rFonts w:ascii="宋体" w:cs="宋体"/>
                <w:kern w:val="0"/>
                <w:sz w:val="18"/>
                <w:szCs w:val="18"/>
              </w:rPr>
            </w:pPr>
            <w:r>
              <w:rPr>
                <w:rFonts w:ascii="宋体" w:cs="宋体"/>
                <w:kern w:val="0"/>
                <w:sz w:val="18"/>
                <w:szCs w:val="18"/>
              </w:rPr>
              <w:t>5</w:t>
            </w:r>
          </w:p>
        </w:tc>
        <w:tc>
          <w:tcPr>
            <w:tcW w:w="707" w:type="dxa"/>
            <w:vMerge w:val="continue"/>
            <w:tcBorders>
              <w:top w:val="nil"/>
              <w:left w:val="single" w:color="auto" w:sz="8" w:space="0"/>
              <w:bottom w:val="nil"/>
              <w:right w:val="single" w:color="auto" w:sz="8" w:space="0"/>
            </w:tcBorders>
            <w:vAlign w:val="center"/>
          </w:tcPr>
          <w:p w14:paraId="2A6CE49C">
            <w:pPr>
              <w:autoSpaceDE w:val="0"/>
              <w:autoSpaceDN w:val="0"/>
              <w:jc w:val="center"/>
              <w:rPr>
                <w:kern w:val="0"/>
                <w:sz w:val="24"/>
              </w:rPr>
            </w:pPr>
          </w:p>
        </w:tc>
        <w:tc>
          <w:tcPr>
            <w:tcW w:w="592" w:type="dxa"/>
            <w:vMerge w:val="continue"/>
            <w:tcBorders>
              <w:top w:val="nil"/>
              <w:left w:val="single" w:color="auto" w:sz="8" w:space="0"/>
              <w:bottom w:val="nil"/>
              <w:right w:val="single" w:color="auto" w:sz="12" w:space="0"/>
            </w:tcBorders>
            <w:vAlign w:val="center"/>
          </w:tcPr>
          <w:p w14:paraId="72FEC646">
            <w:pPr>
              <w:autoSpaceDE w:val="0"/>
              <w:autoSpaceDN w:val="0"/>
              <w:jc w:val="center"/>
              <w:rPr>
                <w:kern w:val="0"/>
                <w:sz w:val="24"/>
              </w:rPr>
            </w:pPr>
          </w:p>
        </w:tc>
      </w:tr>
      <w:tr w14:paraId="20BA7C9D">
        <w:tblPrEx>
          <w:tblCellMar>
            <w:top w:w="0" w:type="dxa"/>
            <w:left w:w="0" w:type="dxa"/>
            <w:bottom w:w="0" w:type="dxa"/>
            <w:right w:w="0" w:type="dxa"/>
          </w:tblCellMar>
        </w:tblPrEx>
        <w:trPr>
          <w:trHeight w:val="400" w:hRule="atLeast"/>
        </w:trPr>
        <w:tc>
          <w:tcPr>
            <w:tcW w:w="852" w:type="dxa"/>
            <w:vMerge w:val="continue"/>
            <w:tcBorders>
              <w:left w:val="single" w:color="auto" w:sz="12" w:space="0"/>
              <w:bottom w:val="single" w:color="auto" w:sz="8" w:space="0"/>
              <w:right w:val="single" w:color="auto" w:sz="8" w:space="0"/>
            </w:tcBorders>
            <w:vAlign w:val="center"/>
          </w:tcPr>
          <w:p w14:paraId="65859DF9">
            <w:pPr>
              <w:autoSpaceDE w:val="0"/>
              <w:autoSpaceDN w:val="0"/>
              <w:jc w:val="center"/>
              <w:rPr>
                <w:kern w:val="0"/>
                <w:sz w:val="24"/>
              </w:rPr>
            </w:pPr>
          </w:p>
        </w:tc>
        <w:tc>
          <w:tcPr>
            <w:tcW w:w="567" w:type="dxa"/>
            <w:vMerge w:val="continue"/>
            <w:tcBorders>
              <w:left w:val="single" w:color="auto" w:sz="8" w:space="0"/>
              <w:bottom w:val="single" w:color="auto" w:sz="8" w:space="0"/>
              <w:right w:val="single" w:color="auto" w:sz="8" w:space="0"/>
            </w:tcBorders>
            <w:vAlign w:val="center"/>
          </w:tcPr>
          <w:p w14:paraId="4C8A6865">
            <w:pPr>
              <w:autoSpaceDE w:val="0"/>
              <w:autoSpaceDN w:val="0"/>
              <w:jc w:val="center"/>
              <w:rPr>
                <w:kern w:val="0"/>
                <w:sz w:val="24"/>
              </w:rPr>
            </w:pPr>
          </w:p>
        </w:tc>
        <w:tc>
          <w:tcPr>
            <w:tcW w:w="5791" w:type="dxa"/>
            <w:tcBorders>
              <w:top w:val="single" w:color="auto" w:sz="8" w:space="0"/>
              <w:left w:val="single" w:color="auto" w:sz="8" w:space="0"/>
              <w:bottom w:val="single" w:color="auto" w:sz="8" w:space="0"/>
              <w:right w:val="single" w:color="auto" w:sz="8" w:space="0"/>
            </w:tcBorders>
            <w:vAlign w:val="center"/>
          </w:tcPr>
          <w:p w14:paraId="1F6BB240">
            <w:pPr>
              <w:autoSpaceDE w:val="0"/>
              <w:autoSpaceDN w:val="0"/>
              <w:rPr>
                <w:rFonts w:ascii="宋体" w:cs="宋体"/>
                <w:kern w:val="0"/>
                <w:sz w:val="18"/>
                <w:szCs w:val="18"/>
              </w:rPr>
            </w:pPr>
            <w:r>
              <w:rPr>
                <w:rFonts w:hint="eastAsia" w:ascii="宋体" w:cs="宋体"/>
                <w:kern w:val="0"/>
                <w:sz w:val="18"/>
                <w:szCs w:val="18"/>
              </w:rPr>
              <w:t>保证病人安全接送，时间小于</w:t>
            </w:r>
            <w:r>
              <w:rPr>
                <w:rFonts w:ascii="宋体" w:cs="宋体"/>
                <w:kern w:val="0"/>
                <w:sz w:val="18"/>
                <w:szCs w:val="18"/>
              </w:rPr>
              <w:t>15</w:t>
            </w:r>
            <w:r>
              <w:rPr>
                <w:rFonts w:hint="eastAsia" w:ascii="宋体" w:cs="宋体"/>
                <w:kern w:val="0"/>
                <w:sz w:val="18"/>
                <w:szCs w:val="18"/>
              </w:rPr>
              <w:t>分钟。</w:t>
            </w:r>
          </w:p>
        </w:tc>
        <w:tc>
          <w:tcPr>
            <w:tcW w:w="1273" w:type="dxa"/>
            <w:tcBorders>
              <w:top w:val="single" w:color="auto" w:sz="8" w:space="0"/>
              <w:left w:val="single" w:color="auto" w:sz="8" w:space="0"/>
              <w:bottom w:val="single" w:color="auto" w:sz="8" w:space="0"/>
              <w:right w:val="single" w:color="auto" w:sz="8" w:space="0"/>
            </w:tcBorders>
            <w:vAlign w:val="center"/>
          </w:tcPr>
          <w:p w14:paraId="7ABABF53">
            <w:pPr>
              <w:autoSpaceDE w:val="0"/>
              <w:autoSpaceDN w:val="0"/>
              <w:jc w:val="center"/>
              <w:rPr>
                <w:rFonts w:ascii="宋体" w:cs="宋体"/>
                <w:kern w:val="0"/>
                <w:sz w:val="18"/>
                <w:szCs w:val="18"/>
              </w:rPr>
            </w:pPr>
            <w:r>
              <w:rPr>
                <w:rFonts w:ascii="宋体" w:cs="宋体"/>
                <w:kern w:val="0"/>
                <w:sz w:val="18"/>
                <w:szCs w:val="18"/>
              </w:rPr>
              <w:t>5</w:t>
            </w:r>
          </w:p>
        </w:tc>
        <w:tc>
          <w:tcPr>
            <w:tcW w:w="707" w:type="dxa"/>
            <w:vMerge w:val="continue"/>
            <w:tcBorders>
              <w:top w:val="nil"/>
              <w:left w:val="single" w:color="auto" w:sz="8" w:space="0"/>
              <w:bottom w:val="single" w:color="auto" w:sz="8" w:space="0"/>
              <w:right w:val="single" w:color="auto" w:sz="8" w:space="0"/>
            </w:tcBorders>
            <w:vAlign w:val="center"/>
          </w:tcPr>
          <w:p w14:paraId="75DB5822">
            <w:pPr>
              <w:autoSpaceDE w:val="0"/>
              <w:autoSpaceDN w:val="0"/>
              <w:jc w:val="center"/>
              <w:rPr>
                <w:kern w:val="0"/>
                <w:sz w:val="24"/>
              </w:rPr>
            </w:pPr>
          </w:p>
        </w:tc>
        <w:tc>
          <w:tcPr>
            <w:tcW w:w="592" w:type="dxa"/>
            <w:vMerge w:val="continue"/>
            <w:tcBorders>
              <w:top w:val="nil"/>
              <w:left w:val="single" w:color="auto" w:sz="8" w:space="0"/>
              <w:bottom w:val="single" w:color="auto" w:sz="8" w:space="0"/>
              <w:right w:val="single" w:color="auto" w:sz="12" w:space="0"/>
            </w:tcBorders>
            <w:vAlign w:val="center"/>
          </w:tcPr>
          <w:p w14:paraId="558478EB">
            <w:pPr>
              <w:autoSpaceDE w:val="0"/>
              <w:autoSpaceDN w:val="0"/>
              <w:jc w:val="center"/>
              <w:rPr>
                <w:kern w:val="0"/>
                <w:sz w:val="24"/>
              </w:rPr>
            </w:pPr>
          </w:p>
        </w:tc>
      </w:tr>
      <w:tr w14:paraId="3EF1E8F7">
        <w:tblPrEx>
          <w:tblCellMar>
            <w:top w:w="0" w:type="dxa"/>
            <w:left w:w="0" w:type="dxa"/>
            <w:bottom w:w="0" w:type="dxa"/>
            <w:right w:w="0" w:type="dxa"/>
          </w:tblCellMar>
        </w:tblPrEx>
        <w:trPr>
          <w:trHeight w:val="344" w:hRule="atLeast"/>
        </w:trPr>
        <w:tc>
          <w:tcPr>
            <w:tcW w:w="1419" w:type="dxa"/>
            <w:gridSpan w:val="2"/>
            <w:tcBorders>
              <w:top w:val="single" w:color="auto" w:sz="8" w:space="0"/>
              <w:left w:val="single" w:color="auto" w:sz="12" w:space="0"/>
              <w:bottom w:val="single" w:color="auto" w:sz="8" w:space="0"/>
              <w:right w:val="single" w:color="auto" w:sz="8" w:space="0"/>
            </w:tcBorders>
            <w:vAlign w:val="center"/>
          </w:tcPr>
          <w:p w14:paraId="43806FE5">
            <w:pPr>
              <w:autoSpaceDE w:val="0"/>
              <w:autoSpaceDN w:val="0"/>
              <w:jc w:val="center"/>
              <w:rPr>
                <w:rFonts w:ascii="宋体" w:cs="宋体"/>
                <w:kern w:val="0"/>
                <w:sz w:val="18"/>
                <w:szCs w:val="18"/>
              </w:rPr>
            </w:pPr>
            <w:r>
              <w:rPr>
                <w:rFonts w:hint="eastAsia" w:ascii="宋体" w:cs="宋体"/>
                <w:kern w:val="0"/>
                <w:sz w:val="18"/>
                <w:szCs w:val="18"/>
              </w:rPr>
              <w:t>总分</w:t>
            </w:r>
          </w:p>
        </w:tc>
        <w:tc>
          <w:tcPr>
            <w:tcW w:w="5791" w:type="dxa"/>
            <w:tcBorders>
              <w:top w:val="single" w:color="auto" w:sz="8" w:space="0"/>
              <w:left w:val="single" w:color="auto" w:sz="8" w:space="0"/>
              <w:bottom w:val="single" w:color="auto" w:sz="8" w:space="0"/>
              <w:right w:val="single" w:color="auto" w:sz="8" w:space="0"/>
            </w:tcBorders>
            <w:vAlign w:val="center"/>
          </w:tcPr>
          <w:p w14:paraId="02FF8875">
            <w:pPr>
              <w:autoSpaceDE w:val="0"/>
              <w:autoSpaceDN w:val="0"/>
              <w:jc w:val="center"/>
              <w:rPr>
                <w:kern w:val="0"/>
                <w:sz w:val="24"/>
              </w:rPr>
            </w:pPr>
          </w:p>
        </w:tc>
        <w:tc>
          <w:tcPr>
            <w:tcW w:w="1273" w:type="dxa"/>
            <w:tcBorders>
              <w:top w:val="single" w:color="auto" w:sz="8" w:space="0"/>
              <w:left w:val="single" w:color="auto" w:sz="8" w:space="0"/>
              <w:bottom w:val="single" w:color="auto" w:sz="8" w:space="0"/>
              <w:right w:val="single" w:color="auto" w:sz="8" w:space="0"/>
            </w:tcBorders>
            <w:vAlign w:val="center"/>
          </w:tcPr>
          <w:p w14:paraId="26B746F6">
            <w:pPr>
              <w:autoSpaceDE w:val="0"/>
              <w:autoSpaceDN w:val="0"/>
              <w:jc w:val="center"/>
              <w:rPr>
                <w:rFonts w:ascii="宋体" w:cs="宋体"/>
                <w:kern w:val="0"/>
                <w:sz w:val="18"/>
                <w:szCs w:val="18"/>
              </w:rPr>
            </w:pPr>
            <w:r>
              <w:rPr>
                <w:rFonts w:ascii="宋体" w:cs="宋体"/>
                <w:kern w:val="0"/>
                <w:sz w:val="18"/>
                <w:szCs w:val="18"/>
              </w:rPr>
              <w:t>100</w:t>
            </w:r>
          </w:p>
        </w:tc>
        <w:tc>
          <w:tcPr>
            <w:tcW w:w="707" w:type="dxa"/>
            <w:tcBorders>
              <w:top w:val="single" w:color="auto" w:sz="8" w:space="0"/>
              <w:left w:val="single" w:color="auto" w:sz="8" w:space="0"/>
              <w:bottom w:val="single" w:color="auto" w:sz="8" w:space="0"/>
              <w:right w:val="single" w:color="auto" w:sz="8" w:space="0"/>
            </w:tcBorders>
            <w:vAlign w:val="center"/>
          </w:tcPr>
          <w:p w14:paraId="713D1105">
            <w:pPr>
              <w:autoSpaceDE w:val="0"/>
              <w:autoSpaceDN w:val="0"/>
              <w:jc w:val="center"/>
              <w:rPr>
                <w:kern w:val="0"/>
                <w:sz w:val="24"/>
              </w:rPr>
            </w:pPr>
          </w:p>
        </w:tc>
        <w:tc>
          <w:tcPr>
            <w:tcW w:w="592" w:type="dxa"/>
            <w:tcBorders>
              <w:top w:val="single" w:color="auto" w:sz="8" w:space="0"/>
              <w:left w:val="single" w:color="auto" w:sz="8" w:space="0"/>
              <w:bottom w:val="single" w:color="auto" w:sz="8" w:space="0"/>
              <w:right w:val="single" w:color="auto" w:sz="12" w:space="0"/>
            </w:tcBorders>
            <w:vAlign w:val="center"/>
          </w:tcPr>
          <w:p w14:paraId="729F1F19">
            <w:pPr>
              <w:autoSpaceDE w:val="0"/>
              <w:autoSpaceDN w:val="0"/>
              <w:jc w:val="center"/>
              <w:rPr>
                <w:kern w:val="0"/>
                <w:sz w:val="24"/>
              </w:rPr>
            </w:pPr>
          </w:p>
        </w:tc>
      </w:tr>
      <w:tr w14:paraId="6AFE3BBD">
        <w:tblPrEx>
          <w:tblCellMar>
            <w:top w:w="0" w:type="dxa"/>
            <w:left w:w="0" w:type="dxa"/>
            <w:bottom w:w="0" w:type="dxa"/>
            <w:right w:w="0" w:type="dxa"/>
          </w:tblCellMar>
        </w:tblPrEx>
        <w:trPr>
          <w:trHeight w:val="1641" w:hRule="atLeast"/>
        </w:trPr>
        <w:tc>
          <w:tcPr>
            <w:tcW w:w="9782" w:type="dxa"/>
            <w:gridSpan w:val="6"/>
            <w:tcBorders>
              <w:top w:val="single" w:color="auto" w:sz="8" w:space="0"/>
              <w:left w:val="single" w:color="auto" w:sz="12" w:space="0"/>
              <w:bottom w:val="single" w:color="auto" w:sz="12" w:space="0"/>
              <w:right w:val="single" w:color="auto" w:sz="12" w:space="0"/>
            </w:tcBorders>
            <w:vAlign w:val="center"/>
          </w:tcPr>
          <w:p w14:paraId="3513B800">
            <w:pPr>
              <w:autoSpaceDE w:val="0"/>
              <w:autoSpaceDN w:val="0"/>
              <w:rPr>
                <w:rFonts w:ascii="宋体" w:cs="宋体"/>
                <w:kern w:val="0"/>
                <w:sz w:val="18"/>
                <w:szCs w:val="18"/>
              </w:rPr>
            </w:pPr>
            <w:r>
              <w:rPr>
                <w:rFonts w:hint="eastAsia" w:ascii="宋体" w:cs="宋体"/>
                <w:kern w:val="0"/>
                <w:sz w:val="18"/>
                <w:szCs w:val="18"/>
              </w:rPr>
              <w:t>注：</w:t>
            </w:r>
            <w:r>
              <w:rPr>
                <w:rFonts w:ascii="宋体" w:cs="宋体"/>
                <w:kern w:val="0"/>
                <w:sz w:val="18"/>
                <w:szCs w:val="18"/>
              </w:rPr>
              <w:t>1</w:t>
            </w:r>
            <w:r>
              <w:rPr>
                <w:rFonts w:hint="eastAsia" w:ascii="宋体" w:cs="宋体"/>
                <w:kern w:val="0"/>
                <w:sz w:val="18"/>
                <w:szCs w:val="18"/>
              </w:rPr>
              <w:t>、如接到投诉电话，本项分值全扣完。</w:t>
            </w:r>
          </w:p>
          <w:p w14:paraId="7D7AFEAA">
            <w:pPr>
              <w:autoSpaceDE w:val="0"/>
              <w:autoSpaceDN w:val="0"/>
              <w:ind w:firstLine="360" w:firstLineChars="200"/>
              <w:rPr>
                <w:rFonts w:ascii="宋体" w:cs="宋体"/>
                <w:kern w:val="0"/>
                <w:sz w:val="18"/>
                <w:szCs w:val="18"/>
              </w:rPr>
            </w:pPr>
            <w:r>
              <w:rPr>
                <w:rFonts w:ascii="宋体" w:cs="宋体"/>
                <w:kern w:val="0"/>
                <w:sz w:val="18"/>
                <w:szCs w:val="18"/>
              </w:rPr>
              <w:t>2</w:t>
            </w:r>
            <w:r>
              <w:rPr>
                <w:rFonts w:hint="eastAsia" w:ascii="宋体" w:cs="宋体"/>
                <w:kern w:val="0"/>
                <w:sz w:val="18"/>
                <w:szCs w:val="18"/>
              </w:rPr>
              <w:t>、总分为</w:t>
            </w:r>
            <w:r>
              <w:rPr>
                <w:rFonts w:ascii="宋体" w:cs="宋体"/>
                <w:kern w:val="0"/>
                <w:sz w:val="18"/>
                <w:szCs w:val="18"/>
              </w:rPr>
              <w:t>100</w:t>
            </w:r>
            <w:r>
              <w:rPr>
                <w:rFonts w:hint="eastAsia" w:ascii="宋体" w:cs="宋体"/>
                <w:kern w:val="0"/>
                <w:sz w:val="18"/>
                <w:szCs w:val="18"/>
              </w:rPr>
              <w:t>分，</w:t>
            </w:r>
            <w:r>
              <w:rPr>
                <w:rFonts w:ascii="宋体" w:cs="宋体"/>
                <w:kern w:val="0"/>
                <w:sz w:val="18"/>
                <w:szCs w:val="18"/>
              </w:rPr>
              <w:t>90</w:t>
            </w:r>
            <w:r>
              <w:rPr>
                <w:rFonts w:hint="eastAsia" w:ascii="宋体" w:cs="宋体"/>
                <w:kern w:val="0"/>
                <w:sz w:val="18"/>
                <w:szCs w:val="18"/>
              </w:rPr>
              <w:t>分以上为优秀、90分以下85分以上为良好、85分以下80分以上为合格、80分以下不合格。</w:t>
            </w:r>
          </w:p>
          <w:p w14:paraId="6FB333B5">
            <w:pPr>
              <w:autoSpaceDE w:val="0"/>
              <w:autoSpaceDN w:val="0"/>
              <w:ind w:firstLine="360" w:firstLineChars="200"/>
              <w:rPr>
                <w:rFonts w:ascii="宋体" w:cs="宋体"/>
                <w:kern w:val="0"/>
                <w:sz w:val="18"/>
                <w:szCs w:val="18"/>
              </w:rPr>
            </w:pPr>
            <w:r>
              <w:rPr>
                <w:rFonts w:ascii="宋体" w:cs="宋体"/>
                <w:kern w:val="0"/>
                <w:sz w:val="18"/>
                <w:szCs w:val="18"/>
              </w:rPr>
              <w:t>3</w:t>
            </w:r>
            <w:r>
              <w:rPr>
                <w:rFonts w:hint="eastAsia" w:ascii="宋体" w:cs="宋体"/>
                <w:kern w:val="0"/>
                <w:sz w:val="18"/>
                <w:szCs w:val="18"/>
              </w:rPr>
              <w:t>、未纳入的条款按院奖惩条例及综合质量考评办法执行。</w:t>
            </w:r>
          </w:p>
          <w:p w14:paraId="1C475790">
            <w:pPr>
              <w:autoSpaceDE w:val="0"/>
              <w:autoSpaceDN w:val="0"/>
              <w:ind w:firstLine="360" w:firstLineChars="200"/>
              <w:rPr>
                <w:rFonts w:ascii="宋体" w:cs="宋体"/>
                <w:kern w:val="0"/>
                <w:sz w:val="18"/>
                <w:szCs w:val="18"/>
              </w:rPr>
            </w:pPr>
            <w:r>
              <w:rPr>
                <w:rFonts w:ascii="宋体" w:cs="宋体"/>
                <w:kern w:val="0"/>
                <w:sz w:val="18"/>
                <w:szCs w:val="18"/>
              </w:rPr>
              <w:t>4</w:t>
            </w:r>
            <w:r>
              <w:rPr>
                <w:rFonts w:hint="eastAsia" w:ascii="宋体" w:cs="宋体"/>
                <w:kern w:val="0"/>
                <w:sz w:val="18"/>
                <w:szCs w:val="18"/>
              </w:rPr>
              <w:t>、检查时如地面发现一个烟蒂扣</w:t>
            </w:r>
            <w:r>
              <w:rPr>
                <w:rFonts w:ascii="宋体" w:cs="宋体"/>
                <w:kern w:val="0"/>
                <w:sz w:val="18"/>
                <w:szCs w:val="18"/>
              </w:rPr>
              <w:t>0.1</w:t>
            </w:r>
            <w:r>
              <w:rPr>
                <w:rFonts w:hint="eastAsia" w:ascii="宋体" w:cs="宋体"/>
                <w:kern w:val="0"/>
                <w:sz w:val="18"/>
                <w:szCs w:val="18"/>
              </w:rPr>
              <w:t>分</w:t>
            </w:r>
          </w:p>
          <w:p w14:paraId="10817736">
            <w:pPr>
              <w:autoSpaceDE w:val="0"/>
              <w:autoSpaceDN w:val="0"/>
              <w:ind w:firstLine="360" w:firstLineChars="200"/>
              <w:rPr>
                <w:rFonts w:ascii="宋体" w:cs="宋体"/>
                <w:kern w:val="0"/>
                <w:sz w:val="18"/>
                <w:szCs w:val="18"/>
              </w:rPr>
            </w:pPr>
            <w:r>
              <w:rPr>
                <w:rFonts w:ascii="宋体" w:cs="宋体"/>
                <w:kern w:val="0"/>
                <w:sz w:val="18"/>
                <w:szCs w:val="18"/>
              </w:rPr>
              <w:t>5</w:t>
            </w:r>
            <w:r>
              <w:rPr>
                <w:rFonts w:hint="eastAsia" w:ascii="宋体" w:cs="宋体"/>
                <w:kern w:val="0"/>
                <w:sz w:val="18"/>
                <w:szCs w:val="18"/>
              </w:rPr>
              <w:t>、有一个科室低于8</w:t>
            </w:r>
            <w:r>
              <w:rPr>
                <w:rFonts w:ascii="宋体" w:cs="宋体"/>
                <w:kern w:val="0"/>
                <w:sz w:val="18"/>
                <w:szCs w:val="18"/>
              </w:rPr>
              <w:t>0%</w:t>
            </w:r>
            <w:r>
              <w:rPr>
                <w:rFonts w:hint="eastAsia" w:ascii="宋体" w:cs="宋体"/>
                <w:kern w:val="0"/>
                <w:sz w:val="18"/>
                <w:szCs w:val="18"/>
              </w:rPr>
              <w:t>扣</w:t>
            </w:r>
            <w:r>
              <w:rPr>
                <w:rFonts w:ascii="宋体" w:cs="宋体"/>
                <w:kern w:val="0"/>
                <w:sz w:val="18"/>
                <w:szCs w:val="18"/>
              </w:rPr>
              <w:t>20</w:t>
            </w:r>
            <w:r>
              <w:rPr>
                <w:rFonts w:hint="eastAsia" w:ascii="宋体" w:cs="宋体"/>
                <w:kern w:val="0"/>
                <w:sz w:val="18"/>
                <w:szCs w:val="18"/>
              </w:rPr>
              <w:t>分。低于</w:t>
            </w:r>
            <w:r>
              <w:rPr>
                <w:rFonts w:ascii="宋体" w:cs="宋体"/>
                <w:kern w:val="0"/>
                <w:sz w:val="18"/>
                <w:szCs w:val="18"/>
              </w:rPr>
              <w:t>8</w:t>
            </w:r>
            <w:r>
              <w:rPr>
                <w:rFonts w:hint="eastAsia" w:ascii="宋体" w:cs="宋体"/>
                <w:kern w:val="0"/>
                <w:sz w:val="18"/>
                <w:szCs w:val="18"/>
              </w:rPr>
              <w:t>5</w:t>
            </w:r>
            <w:r>
              <w:rPr>
                <w:rFonts w:ascii="宋体" w:cs="宋体"/>
                <w:kern w:val="0"/>
                <w:sz w:val="18"/>
                <w:szCs w:val="18"/>
              </w:rPr>
              <w:t>%</w:t>
            </w:r>
            <w:r>
              <w:rPr>
                <w:rFonts w:hint="eastAsia" w:ascii="宋体" w:cs="宋体"/>
                <w:kern w:val="0"/>
                <w:sz w:val="18"/>
                <w:szCs w:val="18"/>
              </w:rPr>
              <w:t>（含</w:t>
            </w:r>
            <w:r>
              <w:rPr>
                <w:rFonts w:ascii="宋体" w:cs="宋体"/>
                <w:kern w:val="0"/>
                <w:sz w:val="18"/>
                <w:szCs w:val="18"/>
              </w:rPr>
              <w:t>8</w:t>
            </w:r>
            <w:r>
              <w:rPr>
                <w:rFonts w:hint="eastAsia" w:ascii="宋体" w:cs="宋体"/>
                <w:kern w:val="0"/>
                <w:sz w:val="18"/>
                <w:szCs w:val="18"/>
              </w:rPr>
              <w:t>5</w:t>
            </w:r>
            <w:r>
              <w:rPr>
                <w:rFonts w:ascii="宋体" w:cs="宋体"/>
                <w:kern w:val="0"/>
                <w:sz w:val="18"/>
                <w:szCs w:val="18"/>
              </w:rPr>
              <w:t>%</w:t>
            </w:r>
            <w:r>
              <w:rPr>
                <w:rFonts w:hint="eastAsia" w:ascii="宋体" w:cs="宋体"/>
                <w:kern w:val="0"/>
                <w:sz w:val="18"/>
                <w:szCs w:val="18"/>
              </w:rPr>
              <w:t>）每科扣</w:t>
            </w:r>
            <w:r>
              <w:rPr>
                <w:rFonts w:ascii="宋体" w:cs="宋体"/>
                <w:kern w:val="0"/>
                <w:sz w:val="18"/>
                <w:szCs w:val="18"/>
              </w:rPr>
              <w:t>2</w:t>
            </w:r>
            <w:r>
              <w:rPr>
                <w:rFonts w:hint="eastAsia" w:ascii="宋体" w:cs="宋体"/>
                <w:kern w:val="0"/>
                <w:sz w:val="18"/>
                <w:szCs w:val="18"/>
              </w:rPr>
              <w:t>分，低于</w:t>
            </w:r>
            <w:r>
              <w:rPr>
                <w:rFonts w:ascii="宋体" w:cs="宋体"/>
                <w:kern w:val="0"/>
                <w:sz w:val="18"/>
                <w:szCs w:val="18"/>
              </w:rPr>
              <w:t>90%(</w:t>
            </w:r>
            <w:r>
              <w:rPr>
                <w:rFonts w:hint="eastAsia" w:ascii="宋体" w:cs="宋体"/>
                <w:kern w:val="0"/>
                <w:sz w:val="18"/>
                <w:szCs w:val="18"/>
              </w:rPr>
              <w:t>含</w:t>
            </w:r>
            <w:r>
              <w:rPr>
                <w:rFonts w:ascii="宋体" w:cs="宋体"/>
                <w:kern w:val="0"/>
                <w:sz w:val="18"/>
                <w:szCs w:val="18"/>
              </w:rPr>
              <w:t>90%)</w:t>
            </w:r>
            <w:r>
              <w:rPr>
                <w:rFonts w:hint="eastAsia" w:ascii="宋体" w:cs="宋体"/>
                <w:kern w:val="0"/>
                <w:sz w:val="18"/>
                <w:szCs w:val="18"/>
              </w:rPr>
              <w:t>每科扣</w:t>
            </w:r>
            <w:r>
              <w:rPr>
                <w:rFonts w:ascii="宋体" w:cs="宋体"/>
                <w:kern w:val="0"/>
                <w:sz w:val="18"/>
                <w:szCs w:val="18"/>
              </w:rPr>
              <w:t>1</w:t>
            </w:r>
            <w:r>
              <w:rPr>
                <w:rFonts w:hint="eastAsia" w:ascii="宋体" w:cs="宋体"/>
                <w:kern w:val="0"/>
                <w:sz w:val="18"/>
                <w:szCs w:val="18"/>
              </w:rPr>
              <w:t>分。低于</w:t>
            </w:r>
            <w:r>
              <w:rPr>
                <w:rFonts w:ascii="宋体" w:cs="宋体"/>
                <w:kern w:val="0"/>
                <w:sz w:val="18"/>
                <w:szCs w:val="18"/>
              </w:rPr>
              <w:t>93%</w:t>
            </w:r>
            <w:r>
              <w:rPr>
                <w:rFonts w:hint="eastAsia" w:ascii="宋体" w:cs="宋体"/>
                <w:kern w:val="0"/>
                <w:sz w:val="18"/>
                <w:szCs w:val="18"/>
              </w:rPr>
              <w:t>每科扣</w:t>
            </w:r>
            <w:r>
              <w:rPr>
                <w:rFonts w:ascii="宋体" w:cs="宋体"/>
                <w:kern w:val="0"/>
                <w:sz w:val="18"/>
                <w:szCs w:val="18"/>
              </w:rPr>
              <w:t>0.5</w:t>
            </w:r>
            <w:r>
              <w:rPr>
                <w:rFonts w:hint="eastAsia" w:ascii="宋体" w:cs="宋体"/>
                <w:kern w:val="0"/>
                <w:sz w:val="18"/>
                <w:szCs w:val="18"/>
              </w:rPr>
              <w:t>分。依此类推，直至扣满</w:t>
            </w:r>
            <w:r>
              <w:rPr>
                <w:rFonts w:ascii="宋体" w:cs="宋体"/>
                <w:kern w:val="0"/>
                <w:sz w:val="18"/>
                <w:szCs w:val="18"/>
              </w:rPr>
              <w:t>20</w:t>
            </w:r>
            <w:r>
              <w:rPr>
                <w:rFonts w:hint="eastAsia" w:ascii="宋体" w:cs="宋体"/>
                <w:kern w:val="0"/>
                <w:sz w:val="18"/>
                <w:szCs w:val="18"/>
              </w:rPr>
              <w:t>分。</w:t>
            </w:r>
          </w:p>
          <w:p w14:paraId="763AE6BE">
            <w:pPr>
              <w:autoSpaceDE w:val="0"/>
              <w:autoSpaceDN w:val="0"/>
              <w:ind w:firstLine="360" w:firstLineChars="200"/>
              <w:rPr>
                <w:rFonts w:ascii="宋体" w:cs="宋体"/>
                <w:kern w:val="0"/>
                <w:sz w:val="18"/>
                <w:szCs w:val="18"/>
              </w:rPr>
            </w:pPr>
            <w:r>
              <w:rPr>
                <w:rFonts w:hint="eastAsia" w:ascii="宋体" w:cs="宋体"/>
                <w:kern w:val="0"/>
                <w:sz w:val="18"/>
                <w:szCs w:val="18"/>
              </w:rPr>
              <w:t>6、达不到良好的外包单位不再续签合同。</w:t>
            </w:r>
          </w:p>
        </w:tc>
      </w:tr>
    </w:tbl>
    <w:p w14:paraId="026D8772">
      <w:pPr>
        <w:adjustRightInd w:val="0"/>
        <w:snapToGrid w:val="0"/>
        <w:spacing w:line="360" w:lineRule="auto"/>
        <w:rPr>
          <w:rFonts w:ascii="宋体" w:hAnsi="宋体" w:cs="宋体"/>
          <w:bCs/>
          <w:sz w:val="24"/>
          <w:szCs w:val="24"/>
        </w:rPr>
      </w:pPr>
      <w:r>
        <w:rPr>
          <w:rFonts w:hint="eastAsia" w:ascii="宋体" w:hAnsi="宋体" w:cs="宋体"/>
          <w:bCs/>
          <w:sz w:val="24"/>
          <w:szCs w:val="24"/>
        </w:rPr>
        <w:t>根据工作需要考核表内容会作相应调整。</w:t>
      </w:r>
    </w:p>
    <w:p w14:paraId="5A84C19E">
      <w:pPr>
        <w:spacing w:line="360" w:lineRule="auto"/>
        <w:rPr>
          <w:rFonts w:ascii="宋体" w:hAnsi="宋体"/>
          <w:b/>
          <w:sz w:val="24"/>
          <w:szCs w:val="24"/>
        </w:rPr>
      </w:pPr>
    </w:p>
    <w:p w14:paraId="0D97D54F">
      <w:pPr>
        <w:numPr>
          <w:ilvl w:val="0"/>
          <w:numId w:val="6"/>
        </w:numPr>
        <w:spacing w:line="360" w:lineRule="auto"/>
        <w:rPr>
          <w:rFonts w:hint="eastAsia" w:ascii="宋体" w:hAnsi="宋体"/>
          <w:b/>
          <w:sz w:val="24"/>
          <w:szCs w:val="24"/>
          <w:lang w:val="en-US" w:eastAsia="zh-CN"/>
        </w:rPr>
      </w:pPr>
      <w:r>
        <w:rPr>
          <w:rFonts w:hint="eastAsia" w:ascii="宋体" w:hAnsi="宋体"/>
          <w:b/>
          <w:sz w:val="24"/>
          <w:szCs w:val="24"/>
          <w:lang w:val="en-US" w:eastAsia="zh-CN"/>
        </w:rPr>
        <w:t>投标商要求：</w:t>
      </w:r>
    </w:p>
    <w:p w14:paraId="4EE82090">
      <w:pPr>
        <w:spacing w:line="460" w:lineRule="exact"/>
        <w:ind w:left="-115" w:leftChars="-55" w:firstLine="480" w:firstLineChars="200"/>
        <w:rPr>
          <w:rFonts w:hint="eastAsia" w:ascii="宋体" w:hAnsi="宋体"/>
          <w:sz w:val="24"/>
          <w:szCs w:val="24"/>
          <w:lang w:val="en-US" w:eastAsia="zh-CN"/>
        </w:rPr>
      </w:pPr>
      <w:r>
        <w:rPr>
          <w:rFonts w:hint="eastAsia" w:ascii="宋体" w:hAnsi="宋体"/>
          <w:sz w:val="24"/>
          <w:szCs w:val="24"/>
          <w:lang w:val="en-US" w:eastAsia="zh-CN"/>
        </w:rPr>
        <w:t>1）</w:t>
      </w:r>
      <w:r>
        <w:rPr>
          <w:rFonts w:hint="eastAsia" w:ascii="宋体" w:hAnsi="宋体"/>
          <w:sz w:val="24"/>
          <w:szCs w:val="24"/>
          <w:lang w:val="zh-CN"/>
        </w:rPr>
        <w:t>本项目仅面向中、小、微型各类供应商采购。</w:t>
      </w:r>
    </w:p>
    <w:p w14:paraId="34542283">
      <w:pPr>
        <w:spacing w:line="460" w:lineRule="exact"/>
        <w:ind w:left="-115" w:leftChars="-55" w:firstLine="480" w:firstLineChars="20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lang w:eastAsia="zh-CN"/>
        </w:rPr>
        <w:t>供应商</w:t>
      </w:r>
      <w:r>
        <w:rPr>
          <w:rFonts w:hint="eastAsia" w:ascii="宋体" w:hAnsi="宋体"/>
          <w:sz w:val="24"/>
          <w:szCs w:val="24"/>
        </w:rPr>
        <w:t>需提供质量管理体系认证、职业健康安全管理认证、环境管理体系认证等管理体系认证证书（在认证有效期内）和荣誉、</w:t>
      </w:r>
      <w:r>
        <w:rPr>
          <w:rFonts w:hint="eastAsia" w:ascii="宋体" w:hAnsi="宋体"/>
          <w:sz w:val="24"/>
          <w:szCs w:val="24"/>
          <w:lang w:eastAsia="zh-CN"/>
        </w:rPr>
        <w:t>获奖等</w:t>
      </w:r>
      <w:r>
        <w:rPr>
          <w:rFonts w:hint="eastAsia" w:ascii="宋体" w:hAnsi="宋体"/>
          <w:sz w:val="24"/>
          <w:szCs w:val="24"/>
        </w:rPr>
        <w:t>各类证书（如有）以及投标单位认为需要提供的其他资质。</w:t>
      </w:r>
    </w:p>
    <w:p w14:paraId="6E3BEBAD">
      <w:pPr>
        <w:spacing w:line="460" w:lineRule="exact"/>
        <w:ind w:left="-115" w:leftChars="-55"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lang w:eastAsia="zh-CN"/>
        </w:rPr>
        <w:t>供应商</w:t>
      </w:r>
      <w:r>
        <w:rPr>
          <w:rFonts w:hint="eastAsia" w:ascii="宋体" w:hAnsi="宋体"/>
          <w:sz w:val="24"/>
          <w:szCs w:val="24"/>
        </w:rPr>
        <w:t>需提供近3年类似业绩（合同原件彩色扫描件）和业主评价为优秀（或满意度）的相关材料。</w:t>
      </w:r>
    </w:p>
    <w:p w14:paraId="56BDB37E">
      <w:pPr>
        <w:spacing w:line="360" w:lineRule="auto"/>
        <w:rPr>
          <w:rFonts w:hint="eastAsia" w:ascii="宋体" w:hAnsi="宋体"/>
          <w:b/>
          <w:sz w:val="24"/>
          <w:szCs w:val="24"/>
        </w:rPr>
      </w:pPr>
    </w:p>
    <w:p w14:paraId="3DF8588E">
      <w:pPr>
        <w:spacing w:line="360" w:lineRule="auto"/>
        <w:rPr>
          <w:rFonts w:ascii="宋体" w:hAnsi="宋体"/>
          <w:b/>
          <w:sz w:val="32"/>
          <w:szCs w:val="32"/>
        </w:rPr>
      </w:pPr>
      <w:r>
        <w:rPr>
          <w:rFonts w:hint="eastAsia" w:ascii="宋体" w:hAnsi="宋体"/>
          <w:b/>
          <w:sz w:val="24"/>
          <w:szCs w:val="24"/>
          <w:lang w:eastAsia="zh-CN"/>
        </w:rPr>
        <w:t>五、</w:t>
      </w:r>
      <w:r>
        <w:rPr>
          <w:rFonts w:hint="eastAsia" w:ascii="宋体" w:hAnsi="宋体"/>
          <w:b/>
          <w:sz w:val="24"/>
          <w:szCs w:val="24"/>
        </w:rPr>
        <w:t>投标供应商报价及其他相关说明</w:t>
      </w:r>
    </w:p>
    <w:p w14:paraId="50B40DEA">
      <w:pPr>
        <w:spacing w:line="460" w:lineRule="exact"/>
        <w:ind w:left="-115" w:leftChars="-55" w:firstLine="480" w:firstLineChars="200"/>
        <w:rPr>
          <w:rFonts w:ascii="宋体" w:hAnsi="宋体"/>
          <w:sz w:val="24"/>
          <w:szCs w:val="24"/>
        </w:rPr>
      </w:pPr>
      <w:r>
        <w:rPr>
          <w:rFonts w:hint="eastAsia" w:ascii="宋体" w:hAnsi="宋体"/>
          <w:sz w:val="24"/>
          <w:szCs w:val="24"/>
        </w:rPr>
        <w:t>1、投标单位在医院所发生的公用水电（包括空调、清洁卫生、生活等各类用水及办公等各类用电）费用由医院承担。</w:t>
      </w:r>
    </w:p>
    <w:p w14:paraId="5B92D854">
      <w:pPr>
        <w:spacing w:line="460" w:lineRule="exact"/>
        <w:ind w:left="-115" w:leftChars="-55" w:firstLine="480" w:firstLineChars="200"/>
        <w:rPr>
          <w:rFonts w:ascii="宋体" w:hAnsi="宋体"/>
          <w:sz w:val="24"/>
          <w:szCs w:val="24"/>
        </w:rPr>
      </w:pPr>
      <w:r>
        <w:rPr>
          <w:rFonts w:hint="eastAsia" w:ascii="宋体" w:hAnsi="宋体"/>
          <w:sz w:val="24"/>
          <w:szCs w:val="24"/>
        </w:rPr>
        <w:t>2、</w:t>
      </w:r>
      <w:r>
        <w:rPr>
          <w:rFonts w:hint="eastAsia" w:ascii="宋体" w:hAnsi="宋体"/>
          <w:sz w:val="24"/>
          <w:szCs w:val="24"/>
        </w:rPr>
        <w:tab/>
      </w:r>
      <w:r>
        <w:rPr>
          <w:rFonts w:hint="eastAsia" w:ascii="宋体" w:hAnsi="宋体"/>
          <w:sz w:val="24"/>
          <w:szCs w:val="24"/>
        </w:rPr>
        <w:t>医院负责提供垃圾桶、医疗垃圾袋、利器盒。</w:t>
      </w:r>
    </w:p>
    <w:p w14:paraId="30A3AD4D">
      <w:pPr>
        <w:spacing w:line="460" w:lineRule="exact"/>
        <w:ind w:left="-115" w:leftChars="-55" w:firstLine="480" w:firstLineChars="200"/>
        <w:rPr>
          <w:rFonts w:ascii="宋体" w:hAnsi="宋体"/>
          <w:sz w:val="24"/>
          <w:szCs w:val="24"/>
        </w:rPr>
      </w:pPr>
      <w:r>
        <w:rPr>
          <w:rFonts w:hint="eastAsia" w:ascii="宋体" w:hAnsi="宋体"/>
          <w:sz w:val="24"/>
          <w:szCs w:val="24"/>
        </w:rPr>
        <w:t>3、</w:t>
      </w:r>
      <w:r>
        <w:rPr>
          <w:rFonts w:hint="eastAsia" w:ascii="宋体" w:hAnsi="宋体"/>
          <w:sz w:val="24"/>
          <w:szCs w:val="24"/>
        </w:rPr>
        <w:tab/>
      </w:r>
      <w:r>
        <w:rPr>
          <w:rFonts w:hint="eastAsia" w:ascii="宋体" w:hAnsi="宋体"/>
          <w:sz w:val="24"/>
          <w:szCs w:val="24"/>
        </w:rPr>
        <w:t>医院负责生活垃圾、餐饮垃圾、医疗废弃物、医疗病理废液、医疗放射废液的外运和处理费用。</w:t>
      </w:r>
    </w:p>
    <w:p w14:paraId="5C375D13">
      <w:pPr>
        <w:spacing w:line="460" w:lineRule="exact"/>
        <w:ind w:left="-115" w:leftChars="-55" w:firstLine="480" w:firstLineChars="200"/>
        <w:rPr>
          <w:rFonts w:ascii="宋体" w:hAnsi="宋体"/>
          <w:sz w:val="24"/>
          <w:szCs w:val="24"/>
        </w:rPr>
      </w:pPr>
      <w:r>
        <w:rPr>
          <w:rFonts w:hint="eastAsia" w:ascii="宋体" w:hAnsi="宋体"/>
          <w:sz w:val="24"/>
          <w:szCs w:val="24"/>
        </w:rPr>
        <w:t>4、投标单位自备电脑、考勤设备和打印机等办公设备和耗材。如专业的洗地机、自动洗地吸水机、抛光机、吸水洗尘机、地坪/地毯吹干机、真空吸尘机、对讲机、垃圾车榨水器、电脑、打卡钟和打印机等设备设施。投标单位自备办公桌椅、员工更衣柜、投标单位配置与项目服务相关管理人员、值班人员的通讯设备，并负责此类设备所产生的通讯费用。</w:t>
      </w:r>
    </w:p>
    <w:p w14:paraId="5E147E32">
      <w:pPr>
        <w:spacing w:line="460" w:lineRule="exact"/>
        <w:ind w:left="-115" w:leftChars="-55" w:firstLine="480" w:firstLineChars="200"/>
        <w:rPr>
          <w:rFonts w:ascii="宋体" w:hAnsi="宋体" w:cs="宋体"/>
          <w:sz w:val="24"/>
          <w:szCs w:val="21"/>
        </w:rPr>
      </w:pPr>
      <w:r>
        <w:rPr>
          <w:rFonts w:hint="eastAsia" w:ascii="宋体" w:hAnsi="宋体"/>
          <w:sz w:val="24"/>
          <w:szCs w:val="24"/>
        </w:rPr>
        <w:t>5、投标单位提供</w:t>
      </w:r>
      <w:r>
        <w:rPr>
          <w:rFonts w:hint="eastAsia" w:ascii="宋体" w:hAnsi="宋体" w:cs="宋体"/>
          <w:sz w:val="24"/>
          <w:szCs w:val="21"/>
        </w:rPr>
        <w:t>所有有关环境保洁所需的清洁、洗涤药剂，地面和物体表面擦拭用的消毒剂，地面养护材料和保洁工具及耗材。</w:t>
      </w:r>
    </w:p>
    <w:p w14:paraId="5A7FDAB4">
      <w:pPr>
        <w:spacing w:line="460" w:lineRule="exact"/>
        <w:ind w:left="-115" w:leftChars="-55" w:firstLine="480" w:firstLineChars="200"/>
        <w:rPr>
          <w:rFonts w:ascii="宋体" w:hAnsi="宋体"/>
          <w:sz w:val="24"/>
          <w:szCs w:val="24"/>
        </w:rPr>
      </w:pPr>
      <w:r>
        <w:rPr>
          <w:rFonts w:hint="eastAsia" w:ascii="宋体" w:hAnsi="宋体"/>
          <w:sz w:val="24"/>
          <w:szCs w:val="24"/>
        </w:rPr>
        <w:t>6、</w:t>
      </w:r>
      <w:r>
        <w:rPr>
          <w:rFonts w:hint="eastAsia" w:ascii="宋体" w:hAnsi="宋体" w:cs="宋体"/>
          <w:sz w:val="24"/>
          <w:szCs w:val="21"/>
        </w:rPr>
        <w:t>投标单位自备办公桌椅、员工更衣柜，且</w:t>
      </w:r>
      <w:r>
        <w:rPr>
          <w:rFonts w:hint="eastAsia" w:ascii="宋体" w:hAnsi="宋体"/>
          <w:sz w:val="24"/>
          <w:szCs w:val="24"/>
        </w:rPr>
        <w:t>采购人不提供投标单位人员住宿区域，如员工有住宿需求由投标单位自行负责解决。</w:t>
      </w:r>
    </w:p>
    <w:p w14:paraId="4AFFC2F3">
      <w:pPr>
        <w:spacing w:line="360" w:lineRule="auto"/>
        <w:ind w:firstLine="240" w:firstLineChars="100"/>
        <w:rPr>
          <w:rFonts w:ascii="宋体" w:hAnsi="宋体" w:cs="宋体"/>
          <w:sz w:val="24"/>
          <w:szCs w:val="21"/>
        </w:rPr>
      </w:pPr>
      <w:r>
        <w:rPr>
          <w:rFonts w:hint="eastAsia" w:ascii="宋体" w:hAnsi="宋体"/>
          <w:sz w:val="24"/>
          <w:szCs w:val="24"/>
        </w:rPr>
        <w:t>7、</w:t>
      </w:r>
      <w:r>
        <w:rPr>
          <w:rFonts w:hint="eastAsia" w:ascii="宋体" w:hAnsi="宋体" w:cs="宋体"/>
          <w:sz w:val="24"/>
          <w:szCs w:val="21"/>
        </w:rPr>
        <w:t>投标单位所配置的保洁设备（专用的洗地机、自动洗地吸水机、抛光机、吸水洗尘机、真空吸尘机、垃圾车、高压水枪、榨水器、不锈钢桶等）的维修、维护费用由投标单位支付。</w:t>
      </w:r>
    </w:p>
    <w:p w14:paraId="3F63A329">
      <w:pPr>
        <w:spacing w:line="460" w:lineRule="exact"/>
        <w:ind w:left="-115" w:leftChars="-55" w:firstLine="480" w:firstLineChars="200"/>
        <w:rPr>
          <w:rFonts w:ascii="宋体" w:hAnsi="宋体"/>
          <w:sz w:val="24"/>
          <w:szCs w:val="24"/>
        </w:rPr>
      </w:pPr>
      <w:r>
        <w:rPr>
          <w:rFonts w:hint="eastAsia" w:ascii="宋体" w:hAnsi="宋体"/>
          <w:sz w:val="24"/>
          <w:szCs w:val="24"/>
        </w:rPr>
        <w:t>8、投标单位有岗前培训、考核制度，所派遣的服务人员需100%经过岗前或在岗培训，考核合格才能独立上岗。涉及有资质要求的专业岗位人员，必须按规定持证上岗。</w:t>
      </w:r>
    </w:p>
    <w:p w14:paraId="195BE006">
      <w:pPr>
        <w:spacing w:line="460" w:lineRule="exact"/>
        <w:ind w:left="-115" w:leftChars="-55" w:firstLine="480" w:firstLineChars="200"/>
        <w:rPr>
          <w:rFonts w:ascii="宋体" w:hAnsi="宋体"/>
          <w:sz w:val="24"/>
          <w:szCs w:val="24"/>
        </w:rPr>
      </w:pPr>
      <w:r>
        <w:rPr>
          <w:rFonts w:hint="eastAsia" w:ascii="宋体" w:hAnsi="宋体"/>
          <w:sz w:val="24"/>
          <w:szCs w:val="24"/>
        </w:rPr>
        <w:t>9、投标单位的各岗位员工要统一服装，并由投标单位负责其员工工服配备和洗涤。</w:t>
      </w:r>
    </w:p>
    <w:p w14:paraId="6E07FEB6">
      <w:pPr>
        <w:spacing w:line="460" w:lineRule="exact"/>
        <w:ind w:left="-115" w:leftChars="-55" w:firstLine="480" w:firstLineChars="200"/>
        <w:rPr>
          <w:rFonts w:ascii="宋体" w:hAnsi="宋体"/>
          <w:sz w:val="24"/>
          <w:szCs w:val="24"/>
        </w:rPr>
      </w:pPr>
      <w:r>
        <w:rPr>
          <w:rFonts w:hint="eastAsia" w:ascii="宋体" w:hAnsi="宋体"/>
          <w:sz w:val="24"/>
          <w:szCs w:val="24"/>
        </w:rPr>
        <w:t>10、投标单位须提供足够的作业工具,自行解决后勤管理服务时所需的日常工具和劳防用品,并能根据医院的行业形象要求及规范,保证文明作业。</w:t>
      </w:r>
    </w:p>
    <w:p w14:paraId="4FBD82FC">
      <w:pPr>
        <w:spacing w:line="460" w:lineRule="exact"/>
        <w:ind w:left="-115" w:leftChars="-55" w:firstLine="480" w:firstLineChars="200"/>
        <w:rPr>
          <w:rFonts w:ascii="宋体" w:hAnsi="宋体"/>
          <w:sz w:val="24"/>
          <w:szCs w:val="24"/>
        </w:rPr>
      </w:pPr>
      <w:r>
        <w:rPr>
          <w:rFonts w:hint="eastAsia" w:ascii="宋体" w:hAnsi="宋体"/>
          <w:sz w:val="24"/>
          <w:szCs w:val="24"/>
        </w:rPr>
        <w:t>11、投标单位自行负责其招聘员工的一切工资、福利、社会保险；如发生工伤、疾病乃至死亡的一切责任及费用由投标单位全部负责；投标单位应严格遵守国家有关的法律、法规及行业标准。</w:t>
      </w:r>
    </w:p>
    <w:p w14:paraId="28A9E94B">
      <w:pPr>
        <w:spacing w:line="460" w:lineRule="exact"/>
        <w:ind w:left="-115" w:leftChars="-55" w:firstLine="480" w:firstLineChars="200"/>
        <w:rPr>
          <w:rFonts w:ascii="宋体" w:hAnsi="宋体"/>
          <w:sz w:val="24"/>
          <w:szCs w:val="24"/>
        </w:rPr>
      </w:pPr>
      <w:r>
        <w:rPr>
          <w:rFonts w:hint="eastAsia" w:ascii="宋体" w:hAnsi="宋体"/>
          <w:sz w:val="24"/>
          <w:szCs w:val="24"/>
        </w:rPr>
        <w:t>12、为提高抗风险能力，使招标单位免受连带责任或损失，投标单位必须合法合规用工，依法为项目符合要求员工缴纳社会综合保险（五险一金）或购买商业保险，保障员工权益，降低用工风险。</w:t>
      </w:r>
      <w:r>
        <w:rPr>
          <w:rFonts w:hint="eastAsia" w:ascii="宋体" w:hAnsi="宋体" w:cs="宋体"/>
          <w:sz w:val="24"/>
          <w:szCs w:val="21"/>
        </w:rPr>
        <w:t>除非合同中另有规定，具有标价的报价表中所报的单价和合价以及报价汇总表中的价格应包括员工费用和管理人员费用、设备、工具、消耗品、运作费用、技术支持费用、管理费用、税金、政策性文件规定及合同明示或暗示的所有风险、责任、义务等各项应有的费用。</w:t>
      </w:r>
    </w:p>
    <w:p w14:paraId="41134ABA">
      <w:pPr>
        <w:spacing w:line="460" w:lineRule="exact"/>
        <w:ind w:left="-115" w:leftChars="-55" w:firstLine="480" w:firstLineChars="200"/>
        <w:rPr>
          <w:rFonts w:ascii="宋体" w:hAnsi="宋体"/>
          <w:sz w:val="24"/>
          <w:szCs w:val="24"/>
        </w:rPr>
      </w:pPr>
      <w:r>
        <w:rPr>
          <w:rFonts w:hint="eastAsia" w:ascii="宋体" w:hAnsi="宋体"/>
          <w:sz w:val="24"/>
          <w:szCs w:val="24"/>
        </w:rPr>
        <w:t xml:space="preserve">13、招标单位不接受投标单位任何因遗漏报价而发生的费用追加，因投标单位违反《劳动法》等法律法规而造成招标单位的连带责任和损失全部由投标单位承担。 </w:t>
      </w:r>
    </w:p>
    <w:p w14:paraId="5AA7F329">
      <w:pPr>
        <w:spacing w:line="460" w:lineRule="exact"/>
        <w:ind w:left="-115" w:leftChars="-55" w:firstLine="480" w:firstLineChars="200"/>
        <w:rPr>
          <w:rFonts w:ascii="宋体" w:hAnsi="宋体"/>
          <w:sz w:val="24"/>
          <w:szCs w:val="24"/>
        </w:rPr>
      </w:pPr>
      <w:r>
        <w:rPr>
          <w:rFonts w:hint="eastAsia" w:ascii="宋体" w:hAnsi="宋体"/>
          <w:sz w:val="24"/>
          <w:szCs w:val="24"/>
        </w:rPr>
        <w:t>14、本次招标服务期内，如遇上海市最低工资及社保系数调整等政策性调整，固定价，费用不进行调整。</w:t>
      </w:r>
    </w:p>
    <w:p w14:paraId="0789E1E9">
      <w:pPr>
        <w:spacing w:line="460" w:lineRule="exact"/>
        <w:ind w:left="-115" w:leftChars="-55" w:firstLine="480" w:firstLineChars="200"/>
        <w:rPr>
          <w:rFonts w:ascii="宋体" w:hAnsi="宋体"/>
          <w:sz w:val="24"/>
          <w:szCs w:val="24"/>
        </w:rPr>
      </w:pPr>
      <w:r>
        <w:rPr>
          <w:rFonts w:hint="eastAsia" w:ascii="宋体" w:hAnsi="宋体"/>
          <w:sz w:val="24"/>
          <w:szCs w:val="24"/>
        </w:rPr>
        <w:t>15、</w:t>
      </w:r>
      <w:r>
        <w:rPr>
          <w:rFonts w:hint="eastAsia" w:ascii="宋体" w:hAnsi="宋体" w:cs="宋体"/>
          <w:sz w:val="24"/>
          <w:szCs w:val="21"/>
        </w:rPr>
        <w:t>未经医院同意，投标单位不得在合同期限内将本项目的管理权转包或发包。</w:t>
      </w:r>
    </w:p>
    <w:p w14:paraId="7C9F9C7B">
      <w:pPr>
        <w:spacing w:line="460" w:lineRule="exact"/>
        <w:ind w:left="-115" w:leftChars="-55" w:firstLine="480" w:firstLineChars="200"/>
        <w:rPr>
          <w:rFonts w:ascii="宋体" w:hAnsi="宋体"/>
          <w:sz w:val="24"/>
          <w:szCs w:val="24"/>
        </w:rPr>
      </w:pPr>
      <w:r>
        <w:rPr>
          <w:rFonts w:hint="eastAsia" w:ascii="宋体" w:hAnsi="宋体"/>
          <w:sz w:val="24"/>
          <w:szCs w:val="24"/>
        </w:rPr>
        <w:t>16、</w:t>
      </w:r>
      <w:r>
        <w:rPr>
          <w:rFonts w:hint="eastAsia" w:ascii="宋体" w:hAnsi="宋体" w:cs="宋体"/>
          <w:sz w:val="24"/>
          <w:szCs w:val="21"/>
        </w:rPr>
        <w:t>投标单位须严格按照标准化的操作程序、完善的培训体系和质量控制体系完成本项目，以保证整个后勤系统安全、高效、有序和有计划地运转，同时有责任配合医院接受上级领导部门的监督、检查，提供必须的资料。</w:t>
      </w:r>
    </w:p>
    <w:p w14:paraId="5868092B">
      <w:pPr>
        <w:spacing w:line="460" w:lineRule="exact"/>
        <w:ind w:left="-115" w:leftChars="-55" w:firstLine="480" w:firstLineChars="200"/>
        <w:rPr>
          <w:rFonts w:ascii="宋体" w:hAnsi="宋体"/>
          <w:sz w:val="24"/>
          <w:szCs w:val="24"/>
        </w:rPr>
      </w:pPr>
      <w:r>
        <w:rPr>
          <w:rFonts w:hint="eastAsia" w:ascii="宋体" w:hAnsi="宋体"/>
          <w:sz w:val="24"/>
          <w:szCs w:val="24"/>
        </w:rPr>
        <w:t>17、</w:t>
      </w:r>
      <w:r>
        <w:rPr>
          <w:rFonts w:hint="eastAsia" w:ascii="宋体" w:hAnsi="宋体" w:cs="宋体"/>
          <w:sz w:val="24"/>
          <w:szCs w:val="21"/>
        </w:rPr>
        <w:t>全体服务人员的工作时间应严格按国家有关法律、法规要求的标准执行，因工作原因产生的加班（含节假日加班）应严格按国家有关法律、法规要求的标准给付员工加班薪资。正常服务时间内的加班费由投标单位负责（由于院方原因加班除外）。</w:t>
      </w:r>
    </w:p>
    <w:p w14:paraId="3B0322F0">
      <w:pPr>
        <w:spacing w:line="460" w:lineRule="exact"/>
        <w:ind w:left="-115" w:leftChars="-55" w:firstLine="480" w:firstLineChars="200"/>
        <w:rPr>
          <w:rFonts w:ascii="宋体" w:hAnsi="宋体"/>
          <w:sz w:val="24"/>
          <w:szCs w:val="24"/>
        </w:rPr>
      </w:pPr>
      <w:r>
        <w:rPr>
          <w:rFonts w:hint="eastAsia" w:ascii="宋体" w:hAnsi="宋体"/>
          <w:sz w:val="24"/>
          <w:szCs w:val="24"/>
        </w:rPr>
        <w:t>18、投标单位需提供的有关资料</w:t>
      </w:r>
    </w:p>
    <w:p w14:paraId="54232BBA">
      <w:pPr>
        <w:spacing w:line="460" w:lineRule="exact"/>
        <w:ind w:left="-115" w:leftChars="-55" w:firstLine="480" w:firstLineChars="200"/>
        <w:rPr>
          <w:rFonts w:ascii="宋体" w:hAnsi="宋体"/>
          <w:sz w:val="24"/>
          <w:szCs w:val="24"/>
        </w:rPr>
      </w:pPr>
      <w:r>
        <w:rPr>
          <w:rFonts w:hint="eastAsia" w:ascii="宋体" w:hAnsi="宋体"/>
          <w:sz w:val="24"/>
          <w:szCs w:val="24"/>
        </w:rPr>
        <w:t>1）投标单位需提供各岗位人员配备方案，明确各工种人员及管理人员的工作范围及职责。</w:t>
      </w:r>
    </w:p>
    <w:p w14:paraId="1B9939CD">
      <w:pPr>
        <w:spacing w:line="460" w:lineRule="exact"/>
        <w:ind w:left="-115" w:leftChars="-55" w:firstLine="480" w:firstLineChars="200"/>
        <w:rPr>
          <w:rFonts w:ascii="宋体" w:hAnsi="宋体"/>
          <w:sz w:val="24"/>
          <w:szCs w:val="24"/>
        </w:rPr>
      </w:pPr>
      <w:r>
        <w:rPr>
          <w:rFonts w:hint="eastAsia" w:ascii="宋体" w:hAnsi="宋体"/>
          <w:sz w:val="24"/>
          <w:szCs w:val="24"/>
        </w:rPr>
        <w:t>2）投标单位需提供在本院服务的人员详细工作班次、各时间段工作内容；工作范围、流程、要求等。</w:t>
      </w:r>
    </w:p>
    <w:p w14:paraId="0A7C5CD2">
      <w:pPr>
        <w:spacing w:line="460" w:lineRule="exact"/>
        <w:ind w:left="-115" w:leftChars="-55" w:firstLine="480" w:firstLineChars="200"/>
        <w:rPr>
          <w:rFonts w:ascii="宋体" w:hAnsi="宋体"/>
          <w:sz w:val="24"/>
          <w:szCs w:val="24"/>
        </w:rPr>
      </w:pPr>
      <w:r>
        <w:rPr>
          <w:rFonts w:hint="eastAsia" w:ascii="宋体" w:hAnsi="宋体"/>
          <w:sz w:val="24"/>
          <w:szCs w:val="24"/>
        </w:rPr>
        <w:t>3）投标单位需提供人员的培训管理制度，提供培训的时间（开始工作前的准备说明）职业素质、礼仪等。</w:t>
      </w:r>
    </w:p>
    <w:p w14:paraId="08EE73C9">
      <w:pPr>
        <w:spacing w:line="460" w:lineRule="exact"/>
        <w:ind w:left="-115" w:leftChars="-55" w:firstLine="480" w:firstLineChars="200"/>
        <w:rPr>
          <w:rFonts w:ascii="宋体" w:hAnsi="宋体"/>
          <w:sz w:val="24"/>
          <w:szCs w:val="24"/>
        </w:rPr>
      </w:pPr>
      <w:r>
        <w:rPr>
          <w:rFonts w:hint="eastAsia" w:ascii="宋体" w:hAnsi="宋体"/>
          <w:sz w:val="24"/>
          <w:szCs w:val="24"/>
        </w:rPr>
        <w:t>4）投标单位需提供各工种之间的配合措施，服务人员不仅要协助部门班组的责任落实，而且对在责任活动区域内属于其他部门责任的事项，负有相互协助协调和监督、相互通报信息和有需要时主动提供协助的责任。</w:t>
      </w:r>
    </w:p>
    <w:p w14:paraId="3A47C77E">
      <w:pPr>
        <w:spacing w:line="460" w:lineRule="exact"/>
        <w:ind w:left="-115" w:leftChars="-55" w:firstLine="480" w:firstLineChars="200"/>
        <w:rPr>
          <w:rFonts w:ascii="宋体" w:hAnsi="宋体"/>
          <w:sz w:val="24"/>
          <w:szCs w:val="24"/>
        </w:rPr>
      </w:pPr>
      <w:r>
        <w:rPr>
          <w:rFonts w:hint="eastAsia" w:ascii="宋体" w:hAnsi="宋体"/>
          <w:sz w:val="24"/>
          <w:szCs w:val="24"/>
        </w:rPr>
        <w:t>5）投标单位需提供绩效考核等制约及激励机制，自报奖惩制度。</w:t>
      </w:r>
    </w:p>
    <w:p w14:paraId="410D7D8F">
      <w:pPr>
        <w:spacing w:line="460" w:lineRule="exact"/>
        <w:ind w:left="-115" w:leftChars="-55" w:firstLine="480" w:firstLineChars="200"/>
        <w:rPr>
          <w:rFonts w:ascii="宋体" w:hAnsi="宋体"/>
          <w:sz w:val="24"/>
          <w:szCs w:val="24"/>
        </w:rPr>
      </w:pPr>
      <w:r>
        <w:rPr>
          <w:rFonts w:hint="eastAsia" w:ascii="宋体" w:hAnsi="宋体"/>
          <w:sz w:val="24"/>
          <w:szCs w:val="24"/>
        </w:rPr>
        <w:t>6）投标单位需提供详细的质量控制措施，包括但不限于主管或领班每日检查、经理每周检查、与医院的联合检查和定期的联席会议。</w:t>
      </w:r>
    </w:p>
    <w:p w14:paraId="3F6A2CF2">
      <w:pPr>
        <w:spacing w:line="460" w:lineRule="exact"/>
        <w:ind w:left="-115" w:leftChars="-55" w:firstLine="480" w:firstLineChars="200"/>
        <w:rPr>
          <w:rFonts w:ascii="宋体" w:hAnsi="宋体"/>
          <w:sz w:val="24"/>
          <w:szCs w:val="24"/>
        </w:rPr>
      </w:pPr>
      <w:r>
        <w:rPr>
          <w:rFonts w:hint="eastAsia" w:ascii="宋体" w:hAnsi="宋体"/>
          <w:sz w:val="24"/>
          <w:szCs w:val="24"/>
        </w:rPr>
        <w:t>7）投标单位需提供各突发事件应急预案。针对医院可能发生的潜在风险、突击保障任务、突发事件的处理措施和应急预案（例如公共事件、院内感染、医院闭环管理、自然灾害、法定节假日、视察评比等）、响应时间及做出针对性的建议</w:t>
      </w:r>
    </w:p>
    <w:p w14:paraId="71CB195A">
      <w:pPr>
        <w:pStyle w:val="3"/>
        <w:keepNext w:val="0"/>
        <w:keepLines w:val="0"/>
        <w:spacing w:before="0" w:after="0" w:line="360" w:lineRule="auto"/>
        <w:ind w:firstLine="361" w:firstLineChars="150"/>
        <w:rPr>
          <w:rFonts w:ascii="宋体" w:hAnsi="宋体" w:cs="宋体"/>
          <w:b w:val="0"/>
          <w:bCs w:val="0"/>
          <w:color w:val="0000FF"/>
          <w:sz w:val="24"/>
          <w:szCs w:val="24"/>
        </w:rPr>
      </w:pPr>
      <w:r>
        <w:rPr>
          <w:rFonts w:hint="eastAsia" w:ascii="宋体" w:hAnsi="宋体"/>
          <w:sz w:val="24"/>
          <w:szCs w:val="24"/>
        </w:rPr>
        <w:t>8）</w:t>
      </w:r>
    </w:p>
    <w:p w14:paraId="3A390D9F">
      <w:pPr>
        <w:spacing w:line="460" w:lineRule="exact"/>
        <w:ind w:left="-115" w:leftChars="-55" w:firstLine="480" w:firstLineChars="200"/>
        <w:rPr>
          <w:rFonts w:ascii="宋体" w:hAnsi="宋体"/>
          <w:sz w:val="24"/>
          <w:szCs w:val="24"/>
        </w:rPr>
      </w:pPr>
    </w:p>
    <w:p w14:paraId="72762258">
      <w:pPr>
        <w:spacing w:line="360" w:lineRule="auto"/>
        <w:rPr>
          <w:rFonts w:ascii="宋体" w:hAnsi="宋体"/>
          <w:b/>
          <w:sz w:val="24"/>
          <w:szCs w:val="24"/>
        </w:rPr>
      </w:pPr>
      <w:r>
        <w:rPr>
          <w:rFonts w:hint="eastAsia" w:ascii="宋体" w:hAnsi="宋体"/>
          <w:b/>
          <w:sz w:val="24"/>
          <w:szCs w:val="24"/>
          <w:lang w:eastAsia="zh-CN"/>
        </w:rPr>
        <w:t>六</w:t>
      </w:r>
      <w:r>
        <w:rPr>
          <w:rFonts w:hint="eastAsia" w:ascii="宋体" w:hAnsi="宋体"/>
          <w:b/>
          <w:sz w:val="24"/>
          <w:szCs w:val="24"/>
        </w:rPr>
        <w:t>、 安全生产</w:t>
      </w:r>
    </w:p>
    <w:p w14:paraId="29702ADB">
      <w:pPr>
        <w:pStyle w:val="2"/>
        <w:spacing w:before="0" w:beforeAutospacing="0" w:after="0" w:afterAutospacing="0" w:line="360" w:lineRule="auto"/>
        <w:rPr>
          <w:rFonts w:hAnsi="宋体"/>
          <w:sz w:val="24"/>
          <w:szCs w:val="24"/>
        </w:rPr>
      </w:pPr>
      <w:r>
        <w:rPr>
          <w:rFonts w:hint="eastAsia" w:hAnsi="宋体"/>
          <w:sz w:val="24"/>
          <w:szCs w:val="24"/>
          <w:lang w:val="en-US" w:eastAsia="zh-CN"/>
        </w:rPr>
        <w:t>6</w:t>
      </w:r>
      <w:r>
        <w:rPr>
          <w:rFonts w:hint="eastAsia" w:hAnsi="宋体"/>
          <w:sz w:val="24"/>
          <w:szCs w:val="24"/>
        </w:rPr>
        <w:t>.1、安全生产管理要求</w:t>
      </w:r>
    </w:p>
    <w:p w14:paraId="363AE61C">
      <w:pPr>
        <w:spacing w:line="360" w:lineRule="auto"/>
        <w:rPr>
          <w:rFonts w:ascii="宋体" w:hAnsi="宋体"/>
          <w:sz w:val="24"/>
          <w:szCs w:val="24"/>
        </w:rPr>
      </w:pPr>
      <w:r>
        <w:rPr>
          <w:rFonts w:hint="eastAsia" w:ascii="宋体" w:hAnsi="宋体"/>
          <w:sz w:val="24"/>
          <w:szCs w:val="24"/>
        </w:rPr>
        <w:t>1）负责制定本部门的安全生产规章制度，落实安全生产责任制，开展安全生产教育和培训。</w:t>
      </w:r>
    </w:p>
    <w:p w14:paraId="496B5DDE">
      <w:pPr>
        <w:spacing w:line="360" w:lineRule="auto"/>
        <w:rPr>
          <w:rFonts w:ascii="宋体" w:hAnsi="宋体"/>
          <w:sz w:val="24"/>
          <w:szCs w:val="24"/>
        </w:rPr>
      </w:pPr>
      <w:r>
        <w:rPr>
          <w:rFonts w:hint="eastAsia" w:ascii="宋体" w:hAnsi="宋体"/>
          <w:sz w:val="24"/>
          <w:szCs w:val="24"/>
        </w:rPr>
        <w:t>2）建立健全安全用工管理制度，安全培训体系，对员工要进行长期的安全教育和培训，对新入职员工进行三级安全教育，考试合格后，方可上岗工作。</w:t>
      </w:r>
    </w:p>
    <w:p w14:paraId="02D02AC2">
      <w:pPr>
        <w:spacing w:line="360" w:lineRule="auto"/>
        <w:ind w:left="5" w:leftChars="-11" w:hanging="28" w:hangingChars="12"/>
        <w:rPr>
          <w:rFonts w:ascii="宋体" w:hAnsi="宋体"/>
          <w:sz w:val="24"/>
          <w:szCs w:val="24"/>
        </w:rPr>
      </w:pPr>
      <w:r>
        <w:rPr>
          <w:rFonts w:hint="eastAsia" w:ascii="宋体" w:hAnsi="宋体"/>
          <w:sz w:val="24"/>
          <w:szCs w:val="24"/>
        </w:rPr>
        <w:t>3）严禁在院内吸烟，严禁在规定区域外进行电瓶车的充电。</w:t>
      </w:r>
    </w:p>
    <w:p w14:paraId="15436F05">
      <w:pPr>
        <w:spacing w:line="360" w:lineRule="auto"/>
        <w:rPr>
          <w:rFonts w:ascii="宋体" w:hAnsi="宋体"/>
          <w:sz w:val="24"/>
          <w:szCs w:val="24"/>
        </w:rPr>
      </w:pPr>
      <w:r>
        <w:rPr>
          <w:rFonts w:hint="eastAsia" w:ascii="宋体" w:hAnsi="宋体"/>
          <w:sz w:val="24"/>
          <w:szCs w:val="24"/>
        </w:rPr>
        <w:t>4）贯彻国家有关规定，对本项目的安全生产工作进行管理、监督、检查和指导。</w:t>
      </w:r>
    </w:p>
    <w:p w14:paraId="62B1D100">
      <w:pPr>
        <w:spacing w:line="360" w:lineRule="auto"/>
        <w:rPr>
          <w:rFonts w:ascii="宋体" w:hAnsi="宋体"/>
          <w:sz w:val="24"/>
          <w:szCs w:val="24"/>
        </w:rPr>
      </w:pPr>
      <w:r>
        <w:rPr>
          <w:rFonts w:hint="eastAsia" w:ascii="宋体" w:hAnsi="宋体"/>
          <w:sz w:val="24"/>
          <w:szCs w:val="24"/>
        </w:rPr>
        <w:t>5）与安全生产部门共同制定本项目安全生产管理制度和各岗位、各工种的安全操作规程并对落实情况进行经常性的监督、检查。</w:t>
      </w:r>
    </w:p>
    <w:p w14:paraId="068CFC7E">
      <w:pPr>
        <w:spacing w:line="360" w:lineRule="auto"/>
        <w:rPr>
          <w:rFonts w:ascii="宋体" w:hAnsi="宋体"/>
          <w:sz w:val="24"/>
          <w:szCs w:val="24"/>
        </w:rPr>
      </w:pPr>
      <w:r>
        <w:rPr>
          <w:rFonts w:hint="eastAsia" w:ascii="宋体" w:hAnsi="宋体"/>
          <w:sz w:val="24"/>
          <w:szCs w:val="24"/>
        </w:rPr>
        <w:t>6）做好员工劳动纪律教育工作,对严重违反劳动纪律、影响安全生产的,提出处理意见。</w:t>
      </w:r>
    </w:p>
    <w:p w14:paraId="2C610238">
      <w:pPr>
        <w:spacing w:line="360" w:lineRule="auto"/>
        <w:rPr>
          <w:rFonts w:ascii="宋体" w:hAnsi="宋体"/>
          <w:sz w:val="24"/>
          <w:szCs w:val="24"/>
        </w:rPr>
      </w:pPr>
      <w:r>
        <w:rPr>
          <w:rFonts w:hint="eastAsia" w:ascii="宋体" w:hAnsi="宋体"/>
          <w:sz w:val="24"/>
          <w:szCs w:val="24"/>
        </w:rPr>
        <w:t>7）对发生事故的部门或个人，按公司相关规定予以处理</w:t>
      </w:r>
    </w:p>
    <w:p w14:paraId="70B78006">
      <w:pPr>
        <w:spacing w:line="360" w:lineRule="auto"/>
        <w:rPr>
          <w:rFonts w:ascii="宋体" w:hAnsi="宋体"/>
          <w:sz w:val="24"/>
          <w:szCs w:val="24"/>
        </w:rPr>
      </w:pPr>
      <w:r>
        <w:rPr>
          <w:rFonts w:hint="eastAsia" w:ascii="宋体" w:hAnsi="宋体"/>
          <w:sz w:val="24"/>
          <w:szCs w:val="24"/>
        </w:rPr>
        <w:t>8）依法参加工伤社会保险和商业保险，为从业人员缴纳保险金。</w:t>
      </w:r>
    </w:p>
    <w:p w14:paraId="3B6538C4">
      <w:pPr>
        <w:spacing w:line="360" w:lineRule="auto"/>
        <w:rPr>
          <w:rFonts w:ascii="宋体" w:hAnsi="宋体"/>
          <w:sz w:val="24"/>
          <w:szCs w:val="24"/>
        </w:rPr>
      </w:pPr>
      <w:r>
        <w:rPr>
          <w:rFonts w:hint="eastAsia" w:ascii="宋体" w:hAnsi="宋体"/>
          <w:sz w:val="24"/>
          <w:szCs w:val="24"/>
        </w:rPr>
        <w:t>9）投标单位在服务期间，应当严格遵守有关安全生产管理制度，并随时接受安全检查人员依法实施的监督检查及采购人的工作检查，采取必要的安全防护措施，消除事故隐患。</w:t>
      </w:r>
    </w:p>
    <w:p w14:paraId="5CD7E162">
      <w:pPr>
        <w:spacing w:line="360" w:lineRule="auto"/>
        <w:rPr>
          <w:rFonts w:ascii="宋体" w:hAnsi="宋体"/>
          <w:sz w:val="24"/>
          <w:szCs w:val="24"/>
        </w:rPr>
      </w:pPr>
      <w:r>
        <w:rPr>
          <w:rFonts w:hint="eastAsia" w:ascii="宋体" w:hAnsi="宋体"/>
          <w:sz w:val="24"/>
          <w:szCs w:val="24"/>
        </w:rPr>
        <w:t>10）中标单位员工不得在院内住宿，工作及休息场所一律不得烹制食品（微波炉加热除外）。</w:t>
      </w:r>
    </w:p>
    <w:p w14:paraId="5C416937">
      <w:pPr>
        <w:spacing w:line="360" w:lineRule="auto"/>
        <w:rPr>
          <w:rFonts w:ascii="宋体" w:hAnsi="宋体"/>
          <w:sz w:val="24"/>
          <w:szCs w:val="24"/>
        </w:rPr>
      </w:pPr>
      <w:r>
        <w:rPr>
          <w:rFonts w:hint="eastAsia" w:ascii="宋体" w:hAnsi="宋体"/>
          <w:sz w:val="24"/>
          <w:szCs w:val="24"/>
        </w:rPr>
        <w:t>11）中标单位每周召开一次安全生产工作会议，相关签到记录、会议图片、会议纪要报院内安全主管部门。</w:t>
      </w:r>
    </w:p>
    <w:p w14:paraId="439DC978">
      <w:pPr>
        <w:pStyle w:val="2"/>
        <w:spacing w:before="0" w:beforeAutospacing="0" w:after="0" w:afterAutospacing="0" w:line="360" w:lineRule="auto"/>
        <w:rPr>
          <w:rFonts w:hAnsi="宋体"/>
          <w:sz w:val="24"/>
          <w:szCs w:val="24"/>
        </w:rPr>
      </w:pPr>
      <w:r>
        <w:rPr>
          <w:rFonts w:hint="eastAsia" w:hAnsi="宋体"/>
          <w:sz w:val="24"/>
          <w:szCs w:val="24"/>
          <w:lang w:val="en-US" w:eastAsia="zh-CN"/>
        </w:rPr>
        <w:t>6</w:t>
      </w:r>
      <w:r>
        <w:rPr>
          <w:rFonts w:hint="eastAsia" w:hAnsi="宋体"/>
          <w:sz w:val="24"/>
          <w:szCs w:val="24"/>
        </w:rPr>
        <w:t>.2、院内管理人员要求</w:t>
      </w:r>
    </w:p>
    <w:p w14:paraId="028AF813">
      <w:pPr>
        <w:spacing w:line="360" w:lineRule="auto"/>
        <w:rPr>
          <w:rFonts w:ascii="宋体" w:hAnsi="宋体"/>
          <w:sz w:val="24"/>
          <w:szCs w:val="24"/>
        </w:rPr>
      </w:pPr>
      <w:r>
        <w:rPr>
          <w:rFonts w:hint="eastAsia" w:ascii="宋体" w:hAnsi="宋体"/>
          <w:sz w:val="24"/>
          <w:szCs w:val="24"/>
        </w:rPr>
        <w:t>1）在安全生产小组领导下，制定安全管理工作的方案和各种防范预案。</w:t>
      </w:r>
    </w:p>
    <w:p w14:paraId="33C6B909">
      <w:pPr>
        <w:spacing w:line="360" w:lineRule="auto"/>
        <w:rPr>
          <w:rFonts w:ascii="宋体" w:hAnsi="宋体"/>
          <w:sz w:val="24"/>
          <w:szCs w:val="24"/>
        </w:rPr>
      </w:pPr>
      <w:r>
        <w:rPr>
          <w:rFonts w:hint="eastAsia" w:ascii="宋体" w:hAnsi="宋体"/>
          <w:sz w:val="24"/>
          <w:szCs w:val="24"/>
        </w:rPr>
        <w:t>2）做好后勤队伍的管理和培训工作。</w:t>
      </w:r>
    </w:p>
    <w:p w14:paraId="484A3827">
      <w:pPr>
        <w:spacing w:line="360" w:lineRule="auto"/>
        <w:rPr>
          <w:rFonts w:ascii="宋体" w:hAnsi="宋体"/>
          <w:sz w:val="24"/>
          <w:szCs w:val="24"/>
        </w:rPr>
      </w:pPr>
      <w:r>
        <w:rPr>
          <w:rFonts w:hint="eastAsia" w:ascii="宋体" w:hAnsi="宋体"/>
          <w:sz w:val="24"/>
          <w:szCs w:val="24"/>
        </w:rPr>
        <w:t>3）做好医院防四害、防自然灾害事故等安全防范工作。</w:t>
      </w:r>
    </w:p>
    <w:p w14:paraId="4025A265">
      <w:pPr>
        <w:spacing w:line="360" w:lineRule="auto"/>
        <w:rPr>
          <w:rFonts w:ascii="宋体" w:hAnsi="宋体"/>
          <w:sz w:val="24"/>
          <w:szCs w:val="24"/>
        </w:rPr>
      </w:pPr>
      <w:r>
        <w:rPr>
          <w:rFonts w:hint="eastAsia" w:ascii="宋体" w:hAnsi="宋体"/>
          <w:sz w:val="24"/>
          <w:szCs w:val="24"/>
        </w:rPr>
        <w:t>4）使用清洁剂时，要做好安全措施，防止误入眼睛或溅到皮肤，存放清洁剂要放在阴凉地方，避免火苗的地方。</w:t>
      </w:r>
    </w:p>
    <w:p w14:paraId="0A5E1FE0">
      <w:pPr>
        <w:spacing w:line="360" w:lineRule="auto"/>
        <w:rPr>
          <w:rFonts w:ascii="宋体" w:hAnsi="宋体"/>
          <w:sz w:val="24"/>
          <w:szCs w:val="24"/>
        </w:rPr>
      </w:pPr>
      <w:r>
        <w:rPr>
          <w:rFonts w:hint="eastAsia" w:ascii="宋体" w:hAnsi="宋体"/>
          <w:sz w:val="24"/>
          <w:szCs w:val="24"/>
        </w:rPr>
        <w:t>5）操作机械时，要检查电线是否漏电，机械部件是否完好无缺，避免操作人员触电，发生意外，操作者未受过培训，不得操作。</w:t>
      </w:r>
    </w:p>
    <w:p w14:paraId="79FDB175">
      <w:pPr>
        <w:spacing w:line="360" w:lineRule="auto"/>
        <w:rPr>
          <w:rFonts w:ascii="宋体" w:hAnsi="宋体"/>
          <w:sz w:val="24"/>
          <w:szCs w:val="24"/>
        </w:rPr>
      </w:pPr>
      <w:r>
        <w:rPr>
          <w:rFonts w:hint="eastAsia" w:ascii="宋体" w:hAnsi="宋体"/>
          <w:sz w:val="24"/>
          <w:szCs w:val="24"/>
        </w:rPr>
        <w:t>6）垃圾要日产日清，避免滋生蚊虫，引发病菌。</w:t>
      </w:r>
    </w:p>
    <w:p w14:paraId="0CA26763">
      <w:pPr>
        <w:spacing w:line="360" w:lineRule="auto"/>
        <w:rPr>
          <w:rFonts w:ascii="宋体" w:hAnsi="宋体"/>
          <w:sz w:val="24"/>
          <w:szCs w:val="24"/>
        </w:rPr>
      </w:pPr>
      <w:r>
        <w:rPr>
          <w:rFonts w:hint="eastAsia" w:ascii="宋体" w:hAnsi="宋体"/>
          <w:sz w:val="24"/>
          <w:szCs w:val="24"/>
        </w:rPr>
        <w:t>7）高空作业要做好安全防护，避免发生事故。</w:t>
      </w:r>
    </w:p>
    <w:p w14:paraId="7B24307E">
      <w:pPr>
        <w:spacing w:line="360" w:lineRule="auto"/>
        <w:rPr>
          <w:rFonts w:ascii="宋体" w:hAnsi="宋体"/>
          <w:sz w:val="24"/>
          <w:szCs w:val="24"/>
        </w:rPr>
      </w:pPr>
      <w:r>
        <w:rPr>
          <w:rFonts w:hint="eastAsia" w:ascii="宋体" w:hAnsi="宋体"/>
          <w:sz w:val="24"/>
          <w:szCs w:val="24"/>
        </w:rPr>
        <w:t>8）保洁时，公共地方要关好门窗，避免可疑人物随便出入或发生不必要的自然灾害。</w:t>
      </w:r>
    </w:p>
    <w:p w14:paraId="6F64FE6B">
      <w:pPr>
        <w:spacing w:line="360" w:lineRule="auto"/>
        <w:rPr>
          <w:rFonts w:ascii="宋体" w:hAnsi="宋体"/>
          <w:sz w:val="24"/>
          <w:szCs w:val="24"/>
        </w:rPr>
      </w:pPr>
    </w:p>
    <w:p w14:paraId="61225E12">
      <w:pPr>
        <w:spacing w:line="360" w:lineRule="auto"/>
        <w:rPr>
          <w:rFonts w:ascii="宋体" w:hAnsi="宋体"/>
          <w:sz w:val="24"/>
          <w:szCs w:val="24"/>
        </w:rPr>
      </w:pPr>
    </w:p>
    <w:p w14:paraId="7DE57328"/>
    <w:sectPr>
      <w:footerReference r:id="rId3" w:type="default"/>
      <w:pgSz w:w="11906" w:h="16838"/>
      <w:pgMar w:top="1440" w:right="170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1DA33">
    <w:pPr>
      <w:pStyle w:val="6"/>
      <w:jc w:val="center"/>
    </w:pPr>
    <w:r>
      <w:fldChar w:fldCharType="begin"/>
    </w:r>
    <w:r>
      <w:instrText xml:space="preserve"> PAGE   \* MERGEFORMAT </w:instrText>
    </w:r>
    <w:r>
      <w:fldChar w:fldCharType="separate"/>
    </w:r>
    <w:r>
      <w:rPr>
        <w:lang w:val="zh-CN"/>
      </w:rPr>
      <w:t>16</w:t>
    </w:r>
    <w:r>
      <w:rPr>
        <w:lang w:val="zh-CN"/>
      </w:rPr>
      <w:fldChar w:fldCharType="end"/>
    </w:r>
  </w:p>
  <w:p w14:paraId="4CD19CB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A6571"/>
    <w:multiLevelType w:val="multilevel"/>
    <w:tmpl w:val="065A6571"/>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2316E3"/>
    <w:multiLevelType w:val="multilevel"/>
    <w:tmpl w:val="0A2316E3"/>
    <w:lvl w:ilvl="0" w:tentative="0">
      <w:start w:val="1"/>
      <w:numFmt w:val="decimal"/>
      <w:lvlText w:val="%1)"/>
      <w:lvlJc w:val="left"/>
      <w:pPr>
        <w:ind w:left="1020" w:hanging="420"/>
      </w:pPr>
      <w:rPr>
        <w:rFonts w:hint="default"/>
        <w:b w:val="0"/>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2">
    <w:nsid w:val="152612D3"/>
    <w:multiLevelType w:val="multilevel"/>
    <w:tmpl w:val="152612D3"/>
    <w:lvl w:ilvl="0" w:tentative="0">
      <w:start w:val="1"/>
      <w:numFmt w:val="decimal"/>
      <w:lvlText w:val="%1)"/>
      <w:lvlJc w:val="left"/>
      <w:pPr>
        <w:ind w:left="1020" w:hanging="420"/>
      </w:pPr>
      <w:rPr>
        <w:rFonts w:hint="default"/>
        <w:b w:val="0"/>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3">
    <w:nsid w:val="4D40462C"/>
    <w:multiLevelType w:val="multilevel"/>
    <w:tmpl w:val="4D40462C"/>
    <w:lvl w:ilvl="0" w:tentative="0">
      <w:start w:val="1"/>
      <w:numFmt w:val="decimal"/>
      <w:lvlText w:val="%1)"/>
      <w:lvlJc w:val="left"/>
      <w:pPr>
        <w:ind w:left="1129" w:hanging="420"/>
      </w:p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4">
    <w:nsid w:val="52AE34F8"/>
    <w:multiLevelType w:val="multilevel"/>
    <w:tmpl w:val="52AE34F8"/>
    <w:lvl w:ilvl="0" w:tentative="0">
      <w:start w:val="5"/>
      <w:numFmt w:val="decimal"/>
      <w:lvlText w:val="%1)"/>
      <w:lvlJc w:val="left"/>
      <w:pPr>
        <w:ind w:left="1020" w:hanging="420"/>
      </w:pPr>
      <w:rPr>
        <w:rFonts w:hint="default"/>
        <w:b w:val="0"/>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5">
    <w:nsid w:val="642EEA21"/>
    <w:multiLevelType w:val="singleLevel"/>
    <w:tmpl w:val="642EEA21"/>
    <w:lvl w:ilvl="0" w:tentative="0">
      <w:start w:val="4"/>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YTQ2YWNiNzgyOWI1ZWExNjQ2NWQ3Y2I3ZWNlOGMifQ=="/>
  </w:docVars>
  <w:rsids>
    <w:rsidRoot w:val="006521F2"/>
    <w:rsid w:val="000214F7"/>
    <w:rsid w:val="00080BFB"/>
    <w:rsid w:val="00083208"/>
    <w:rsid w:val="00083D6F"/>
    <w:rsid w:val="000A248C"/>
    <w:rsid w:val="0011379A"/>
    <w:rsid w:val="001A4935"/>
    <w:rsid w:val="0021513C"/>
    <w:rsid w:val="002701D1"/>
    <w:rsid w:val="00282C37"/>
    <w:rsid w:val="00352C0C"/>
    <w:rsid w:val="00355EF6"/>
    <w:rsid w:val="0042148C"/>
    <w:rsid w:val="00421B61"/>
    <w:rsid w:val="00481269"/>
    <w:rsid w:val="004D4DA8"/>
    <w:rsid w:val="0054624E"/>
    <w:rsid w:val="0055691B"/>
    <w:rsid w:val="00570FAF"/>
    <w:rsid w:val="00577A06"/>
    <w:rsid w:val="00592AA6"/>
    <w:rsid w:val="00642BA7"/>
    <w:rsid w:val="00647F04"/>
    <w:rsid w:val="006521F2"/>
    <w:rsid w:val="0065699D"/>
    <w:rsid w:val="00671BE1"/>
    <w:rsid w:val="00675D7B"/>
    <w:rsid w:val="006947CD"/>
    <w:rsid w:val="006F33D6"/>
    <w:rsid w:val="006F3410"/>
    <w:rsid w:val="007045FC"/>
    <w:rsid w:val="0070562E"/>
    <w:rsid w:val="0071611C"/>
    <w:rsid w:val="0073304C"/>
    <w:rsid w:val="00734C23"/>
    <w:rsid w:val="00827010"/>
    <w:rsid w:val="00897901"/>
    <w:rsid w:val="008C227C"/>
    <w:rsid w:val="008D24D3"/>
    <w:rsid w:val="00944700"/>
    <w:rsid w:val="00A2518F"/>
    <w:rsid w:val="00A75DEE"/>
    <w:rsid w:val="00A85E4C"/>
    <w:rsid w:val="00AA111D"/>
    <w:rsid w:val="00AA725D"/>
    <w:rsid w:val="00B20074"/>
    <w:rsid w:val="00BF6564"/>
    <w:rsid w:val="00C73788"/>
    <w:rsid w:val="00CA298E"/>
    <w:rsid w:val="00D72A86"/>
    <w:rsid w:val="00E31E32"/>
    <w:rsid w:val="00E7266C"/>
    <w:rsid w:val="00E74C49"/>
    <w:rsid w:val="00EE3261"/>
    <w:rsid w:val="00F162FE"/>
    <w:rsid w:val="00F56310"/>
    <w:rsid w:val="00FB3814"/>
    <w:rsid w:val="00FC730B"/>
    <w:rsid w:val="00FD0B5B"/>
    <w:rsid w:val="00FD7DDA"/>
    <w:rsid w:val="00FE21C2"/>
    <w:rsid w:val="1E6A1E6E"/>
    <w:rsid w:val="52B02A9D"/>
    <w:rsid w:val="57CF37C4"/>
    <w:rsid w:val="65D42AD7"/>
    <w:rsid w:val="72C60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link w:val="11"/>
    <w:qFormat/>
    <w:uiPriority w:val="0"/>
    <w:pPr>
      <w:widowControl/>
      <w:spacing w:before="100" w:beforeAutospacing="1" w:after="100" w:afterAutospacing="1"/>
      <w:jc w:val="left"/>
      <w:outlineLvl w:val="0"/>
    </w:pPr>
    <w:rPr>
      <w:rFonts w:ascii="宋体"/>
      <w:b/>
      <w:bCs/>
      <w:kern w:val="36"/>
      <w:sz w:val="48"/>
      <w:szCs w:val="48"/>
    </w:rPr>
  </w:style>
  <w:style w:type="paragraph" w:styleId="3">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6"/>
    <w:qFormat/>
    <w:uiPriority w:val="0"/>
    <w:rPr>
      <w:rFonts w:ascii="宋体" w:hAnsi="Courier New"/>
      <w:szCs w:val="20"/>
    </w:rPr>
  </w:style>
  <w:style w:type="paragraph" w:styleId="5">
    <w:name w:val="Date"/>
    <w:basedOn w:val="1"/>
    <w:next w:val="1"/>
    <w:link w:val="18"/>
    <w:semiHidden/>
    <w:unhideWhenUsed/>
    <w:qFormat/>
    <w:uiPriority w:val="99"/>
    <w:pPr>
      <w:ind w:left="100" w:leftChars="2500"/>
    </w:p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link w:val="13"/>
    <w:qFormat/>
    <w:uiPriority w:val="0"/>
    <w:pPr>
      <w:spacing w:before="240" w:after="60"/>
      <w:jc w:val="center"/>
      <w:outlineLvl w:val="0"/>
    </w:pPr>
    <w:rPr>
      <w:rFonts w:ascii="Arial" w:hAnsi="Arial"/>
      <w:b/>
      <w:kern w:val="0"/>
      <w:sz w:val="32"/>
      <w:szCs w:val="20"/>
    </w:rPr>
  </w:style>
  <w:style w:type="character" w:customStyle="1" w:styleId="11">
    <w:name w:val="标题 1 Char"/>
    <w:basedOn w:val="10"/>
    <w:link w:val="2"/>
    <w:qFormat/>
    <w:uiPriority w:val="0"/>
    <w:rPr>
      <w:rFonts w:ascii="宋体" w:hAnsi="Calibri" w:eastAsia="宋体" w:cs="Times New Roman"/>
      <w:b/>
      <w:bCs/>
      <w:kern w:val="36"/>
      <w:sz w:val="48"/>
      <w:szCs w:val="48"/>
    </w:rPr>
  </w:style>
  <w:style w:type="character" w:customStyle="1" w:styleId="12">
    <w:name w:val="页脚 Char"/>
    <w:basedOn w:val="10"/>
    <w:link w:val="6"/>
    <w:qFormat/>
    <w:uiPriority w:val="99"/>
    <w:rPr>
      <w:rFonts w:ascii="Calibri" w:hAnsi="Calibri" w:eastAsia="宋体" w:cs="Times New Roman"/>
      <w:sz w:val="18"/>
      <w:szCs w:val="18"/>
    </w:rPr>
  </w:style>
  <w:style w:type="character" w:customStyle="1" w:styleId="13">
    <w:name w:val="标题 Char"/>
    <w:basedOn w:val="10"/>
    <w:link w:val="8"/>
    <w:qFormat/>
    <w:uiPriority w:val="0"/>
    <w:rPr>
      <w:rFonts w:ascii="Arial" w:hAnsi="Arial" w:eastAsia="宋体" w:cs="Times New Roman"/>
      <w:b/>
      <w:kern w:val="0"/>
      <w:sz w:val="32"/>
      <w:szCs w:val="20"/>
    </w:rPr>
  </w:style>
  <w:style w:type="paragraph" w:customStyle="1" w:styleId="14">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styleId="15">
    <w:name w:val="List Paragraph"/>
    <w:basedOn w:val="1"/>
    <w:qFormat/>
    <w:uiPriority w:val="34"/>
    <w:pPr>
      <w:ind w:firstLine="420" w:firstLineChars="200"/>
    </w:pPr>
  </w:style>
  <w:style w:type="character" w:customStyle="1" w:styleId="16">
    <w:name w:val="纯文本 Char"/>
    <w:basedOn w:val="10"/>
    <w:link w:val="4"/>
    <w:qFormat/>
    <w:uiPriority w:val="0"/>
    <w:rPr>
      <w:rFonts w:ascii="宋体" w:hAnsi="Courier New" w:eastAsia="宋体" w:cs="Times New Roman"/>
      <w:szCs w:val="20"/>
    </w:rPr>
  </w:style>
  <w:style w:type="character" w:customStyle="1" w:styleId="17">
    <w:name w:val="页眉 Char"/>
    <w:basedOn w:val="10"/>
    <w:link w:val="7"/>
    <w:semiHidden/>
    <w:qFormat/>
    <w:uiPriority w:val="99"/>
    <w:rPr>
      <w:rFonts w:ascii="Calibri" w:hAnsi="Calibri" w:eastAsia="宋体" w:cs="Times New Roman"/>
      <w:sz w:val="18"/>
      <w:szCs w:val="18"/>
    </w:rPr>
  </w:style>
  <w:style w:type="character" w:customStyle="1" w:styleId="18">
    <w:name w:val="日期 Char"/>
    <w:basedOn w:val="10"/>
    <w:link w:val="5"/>
    <w:semiHidden/>
    <w:qFormat/>
    <w:uiPriority w:val="99"/>
    <w:rPr>
      <w:rFonts w:ascii="Calibri" w:hAnsi="Calibri" w:eastAsia="宋体" w:cs="Times New Roman"/>
    </w:rPr>
  </w:style>
  <w:style w:type="character" w:customStyle="1" w:styleId="19">
    <w:name w:val="标题 3 Char"/>
    <w:basedOn w:val="10"/>
    <w:link w:val="3"/>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A2150-5DCE-4556-A61B-878D93E483F7}">
  <ds:schemaRefs/>
</ds:datastoreItem>
</file>

<file path=docProps/app.xml><?xml version="1.0" encoding="utf-8"?>
<Properties xmlns="http://schemas.openxmlformats.org/officeDocument/2006/extended-properties" xmlns:vt="http://schemas.openxmlformats.org/officeDocument/2006/docPropsVTypes">
  <Template>Normal</Template>
  <Pages>16</Pages>
  <Words>9945</Words>
  <Characters>10319</Characters>
  <Lines>78</Lines>
  <Paragraphs>22</Paragraphs>
  <TotalTime>39</TotalTime>
  <ScaleCrop>false</ScaleCrop>
  <LinksUpToDate>false</LinksUpToDate>
  <CharactersWithSpaces>10435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2024-07-25T03:30:00Z</dcterms:created>
  <dc:creator>wl</dc:creator>
  <cp:lastModifiedBy>待到尘埃落定时</cp:lastModifiedBy>
  <cp:lastPrinted>2024-07-25T06:21:00Z</cp:lastPrinted>
  <dcterms:modified xsi:type="dcterms:W3CDTF">2024-08-14T04:59:44Z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07DD17BECD474C8D92F4BC3BE9EE754D_13</vt:lpwstr>
  </property>
</Properties>
</file>