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DF1E24">
      <w:pPr>
        <w:pageBreakBefore w:val="0"/>
        <w:kinsoku/>
        <w:wordWrap/>
        <w:overflowPunct/>
        <w:topLinePunct w:val="0"/>
        <w:autoSpaceDE/>
        <w:autoSpaceDN/>
        <w:bidi w:val="0"/>
        <w:spacing w:line="440" w:lineRule="exact"/>
        <w:ind w:left="0" w:leftChars="0" w:firstLine="0" w:firstLineChars="0"/>
        <w:jc w:val="center"/>
        <w:rPr>
          <w:b/>
          <w:sz w:val="56"/>
        </w:rPr>
      </w:pPr>
      <w:bookmarkStart w:id="0" w:name="_Hlk151974039"/>
    </w:p>
    <w:p w14:paraId="4B089107">
      <w:pPr>
        <w:pageBreakBefore w:val="0"/>
        <w:kinsoku/>
        <w:wordWrap/>
        <w:overflowPunct/>
        <w:topLinePunct w:val="0"/>
        <w:autoSpaceDE/>
        <w:autoSpaceDN/>
        <w:bidi w:val="0"/>
        <w:spacing w:line="440" w:lineRule="exact"/>
        <w:ind w:left="0" w:leftChars="0" w:firstLine="0" w:firstLineChars="0"/>
        <w:jc w:val="center"/>
        <w:rPr>
          <w:b/>
          <w:sz w:val="56"/>
        </w:rPr>
      </w:pPr>
    </w:p>
    <w:p w14:paraId="6B51DF69">
      <w:pPr>
        <w:pageBreakBefore w:val="0"/>
        <w:kinsoku/>
        <w:wordWrap/>
        <w:overflowPunct/>
        <w:topLinePunct w:val="0"/>
        <w:autoSpaceDE/>
        <w:autoSpaceDN/>
        <w:bidi w:val="0"/>
        <w:spacing w:line="440" w:lineRule="exact"/>
        <w:ind w:left="0" w:leftChars="0" w:firstLine="0" w:firstLineChars="0"/>
        <w:jc w:val="center"/>
        <w:rPr>
          <w:b/>
          <w:sz w:val="56"/>
        </w:rPr>
      </w:pPr>
    </w:p>
    <w:p w14:paraId="02A704C6">
      <w:pPr>
        <w:pageBreakBefore w:val="0"/>
        <w:kinsoku/>
        <w:wordWrap/>
        <w:overflowPunct/>
        <w:topLinePunct w:val="0"/>
        <w:autoSpaceDE/>
        <w:autoSpaceDN/>
        <w:bidi w:val="0"/>
        <w:spacing w:line="440" w:lineRule="exact"/>
        <w:ind w:left="0" w:leftChars="0" w:firstLine="0" w:firstLineChars="0"/>
        <w:jc w:val="center"/>
        <w:rPr>
          <w:b/>
          <w:sz w:val="56"/>
        </w:rPr>
      </w:pPr>
    </w:p>
    <w:p w14:paraId="79A49802">
      <w:pPr>
        <w:pageBreakBefore w:val="0"/>
        <w:kinsoku/>
        <w:wordWrap/>
        <w:overflowPunct/>
        <w:topLinePunct w:val="0"/>
        <w:autoSpaceDE/>
        <w:autoSpaceDN/>
        <w:bidi w:val="0"/>
        <w:spacing w:line="240" w:lineRule="auto"/>
        <w:ind w:left="0" w:leftChars="0" w:firstLine="0" w:firstLineChars="0"/>
        <w:jc w:val="center"/>
        <w:rPr>
          <w:b/>
          <w:sz w:val="56"/>
        </w:rPr>
      </w:pPr>
    </w:p>
    <w:p w14:paraId="3A9C07DD">
      <w:pPr>
        <w:pageBreakBefore w:val="0"/>
        <w:kinsoku/>
        <w:wordWrap/>
        <w:overflowPunct/>
        <w:topLinePunct w:val="0"/>
        <w:autoSpaceDE/>
        <w:autoSpaceDN/>
        <w:bidi w:val="0"/>
        <w:spacing w:line="240" w:lineRule="auto"/>
        <w:ind w:left="0" w:leftChars="0" w:firstLine="0" w:firstLineChars="0"/>
        <w:jc w:val="center"/>
        <w:rPr>
          <w:b/>
          <w:sz w:val="56"/>
        </w:rPr>
      </w:pPr>
      <w:r>
        <w:rPr>
          <w:rFonts w:hint="eastAsia"/>
          <w:b/>
          <w:sz w:val="56"/>
        </w:rPr>
        <w:t>静安区重点区域全景数字化治理指挥系统项目</w:t>
      </w:r>
      <w:bookmarkEnd w:id="0"/>
      <w:r>
        <w:rPr>
          <w:rFonts w:hint="eastAsia"/>
          <w:b/>
          <w:sz w:val="56"/>
        </w:rPr>
        <w:t>需求书</w:t>
      </w:r>
    </w:p>
    <w:p w14:paraId="5D0CB663">
      <w:pPr>
        <w:pageBreakBefore w:val="0"/>
        <w:kinsoku/>
        <w:wordWrap/>
        <w:overflowPunct/>
        <w:topLinePunct w:val="0"/>
        <w:autoSpaceDE/>
        <w:autoSpaceDN/>
        <w:bidi w:val="0"/>
        <w:spacing w:line="440" w:lineRule="exact"/>
        <w:ind w:left="0" w:leftChars="0" w:firstLine="560"/>
      </w:pPr>
    </w:p>
    <w:p w14:paraId="016F0AC2">
      <w:pPr>
        <w:pageBreakBefore w:val="0"/>
        <w:kinsoku/>
        <w:wordWrap/>
        <w:overflowPunct/>
        <w:topLinePunct w:val="0"/>
        <w:autoSpaceDE/>
        <w:autoSpaceDN/>
        <w:bidi w:val="0"/>
        <w:spacing w:line="440" w:lineRule="exact"/>
        <w:ind w:left="0" w:leftChars="0" w:firstLine="560"/>
      </w:pPr>
    </w:p>
    <w:p w14:paraId="7A045FEF">
      <w:pPr>
        <w:pageBreakBefore w:val="0"/>
        <w:kinsoku/>
        <w:wordWrap/>
        <w:overflowPunct/>
        <w:topLinePunct w:val="0"/>
        <w:autoSpaceDE/>
        <w:autoSpaceDN/>
        <w:bidi w:val="0"/>
        <w:spacing w:line="440" w:lineRule="exact"/>
        <w:ind w:left="0" w:leftChars="0" w:firstLine="560"/>
      </w:pPr>
    </w:p>
    <w:p w14:paraId="70EEE37E">
      <w:pPr>
        <w:pageBreakBefore w:val="0"/>
        <w:kinsoku/>
        <w:wordWrap/>
        <w:overflowPunct/>
        <w:topLinePunct w:val="0"/>
        <w:autoSpaceDE/>
        <w:autoSpaceDN/>
        <w:bidi w:val="0"/>
        <w:spacing w:line="440" w:lineRule="exact"/>
        <w:ind w:left="0" w:leftChars="0" w:firstLine="560"/>
      </w:pPr>
    </w:p>
    <w:p w14:paraId="7659B2C7">
      <w:pPr>
        <w:pageBreakBefore w:val="0"/>
        <w:kinsoku/>
        <w:wordWrap/>
        <w:overflowPunct/>
        <w:topLinePunct w:val="0"/>
        <w:autoSpaceDE/>
        <w:autoSpaceDN/>
        <w:bidi w:val="0"/>
        <w:spacing w:line="440" w:lineRule="exact"/>
        <w:ind w:left="0" w:leftChars="0" w:firstLine="560"/>
      </w:pPr>
    </w:p>
    <w:p w14:paraId="3DC27BF6">
      <w:pPr>
        <w:pageBreakBefore w:val="0"/>
        <w:kinsoku/>
        <w:wordWrap/>
        <w:overflowPunct/>
        <w:topLinePunct w:val="0"/>
        <w:autoSpaceDE/>
        <w:autoSpaceDN/>
        <w:bidi w:val="0"/>
        <w:spacing w:line="440" w:lineRule="exact"/>
        <w:ind w:left="0" w:leftChars="0" w:firstLine="560"/>
      </w:pPr>
    </w:p>
    <w:p w14:paraId="1D9EAABC">
      <w:pPr>
        <w:pageBreakBefore w:val="0"/>
        <w:kinsoku/>
        <w:wordWrap/>
        <w:overflowPunct/>
        <w:topLinePunct w:val="0"/>
        <w:autoSpaceDE/>
        <w:autoSpaceDN/>
        <w:bidi w:val="0"/>
        <w:spacing w:line="440" w:lineRule="exact"/>
        <w:ind w:left="0" w:leftChars="0" w:firstLine="560"/>
        <w:sectPr>
          <w:headerReference r:id="rId5" w:type="default"/>
          <w:footerReference r:id="rId6" w:type="default"/>
          <w:pgSz w:w="11906" w:h="16838"/>
          <w:pgMar w:top="1440" w:right="1800" w:bottom="1440" w:left="1800" w:header="851" w:footer="992" w:gutter="0"/>
          <w:pgNumType w:fmt="decimal"/>
          <w:cols w:space="425" w:num="1"/>
          <w:docGrid w:type="lines" w:linePitch="312" w:charSpace="0"/>
        </w:sectPr>
      </w:pPr>
    </w:p>
    <w:p w14:paraId="2688EDDD">
      <w:pPr>
        <w:pageBreakBefore w:val="0"/>
        <w:kinsoku/>
        <w:wordWrap/>
        <w:overflowPunct/>
        <w:topLinePunct w:val="0"/>
        <w:autoSpaceDE/>
        <w:autoSpaceDN/>
        <w:bidi w:val="0"/>
        <w:spacing w:line="440" w:lineRule="exact"/>
        <w:ind w:left="0" w:leftChars="0" w:right="0" w:rightChars="0" w:firstLine="0" w:firstLineChars="0"/>
        <w:jc w:val="center"/>
      </w:pPr>
      <w:bookmarkStart w:id="1" w:name="_Toc19119"/>
    </w:p>
    <w:p w14:paraId="0259815E">
      <w:pPr>
        <w:pStyle w:val="3"/>
        <w:pageBreakBefore w:val="0"/>
        <w:kinsoku/>
        <w:wordWrap/>
        <w:overflowPunct/>
        <w:topLinePunct w:val="0"/>
        <w:autoSpaceDE/>
        <w:autoSpaceDN/>
        <w:bidi w:val="0"/>
        <w:spacing w:before="0" w:after="0" w:line="440" w:lineRule="exact"/>
        <w:ind w:left="0" w:leftChars="0"/>
        <w:jc w:val="center"/>
        <w:rPr>
          <w:sz w:val="30"/>
          <w:szCs w:val="30"/>
        </w:rPr>
      </w:pPr>
      <w:r>
        <w:rPr>
          <w:rFonts w:hint="eastAsia"/>
          <w:sz w:val="30"/>
          <w:szCs w:val="30"/>
        </w:rPr>
        <w:t>项目简介</w:t>
      </w:r>
      <w:bookmarkEnd w:id="1"/>
    </w:p>
    <w:p w14:paraId="6DE190CC">
      <w:pPr>
        <w:pStyle w:val="4"/>
        <w:pageBreakBefore w:val="0"/>
        <w:kinsoku/>
        <w:wordWrap/>
        <w:overflowPunct/>
        <w:topLinePunct w:val="0"/>
        <w:autoSpaceDE/>
        <w:autoSpaceDN/>
        <w:bidi w:val="0"/>
        <w:spacing w:before="0" w:after="0" w:line="440" w:lineRule="exact"/>
        <w:ind w:left="0" w:leftChars="0"/>
        <w:rPr>
          <w:rFonts w:hint="eastAsia" w:ascii="仿宋" w:hAnsi="仿宋" w:eastAsia="仿宋" w:cs="仿宋"/>
        </w:rPr>
      </w:pPr>
      <w:bookmarkStart w:id="2" w:name="_Toc176270708"/>
      <w:bookmarkStart w:id="3" w:name="_Toc450817064"/>
      <w:bookmarkStart w:id="4" w:name="_Toc132665644"/>
      <w:bookmarkStart w:id="5" w:name="_Toc27670"/>
      <w:r>
        <w:rPr>
          <w:rFonts w:hint="eastAsia" w:ascii="仿宋" w:hAnsi="仿宋" w:eastAsia="仿宋" w:cs="仿宋"/>
        </w:rPr>
        <w:t>项目名称</w:t>
      </w:r>
      <w:bookmarkEnd w:id="2"/>
      <w:bookmarkEnd w:id="3"/>
      <w:bookmarkEnd w:id="4"/>
      <w:bookmarkEnd w:id="5"/>
    </w:p>
    <w:p w14:paraId="1A6226AF">
      <w:pPr>
        <w:pageBreakBefore w:val="0"/>
        <w:kinsoku/>
        <w:wordWrap/>
        <w:overflowPunct/>
        <w:topLinePunct w:val="0"/>
        <w:autoSpaceDE/>
        <w:autoSpaceDN/>
        <w:bidi w:val="0"/>
        <w:spacing w:line="440" w:lineRule="exact"/>
        <w:ind w:left="0" w:leftChars="0" w:firstLine="560"/>
      </w:pPr>
      <w:r>
        <w:rPr>
          <w:rFonts w:hint="eastAsia"/>
        </w:rPr>
        <w:t>项目名称：静安区重点区域全景数字化治理指挥系统项目</w:t>
      </w:r>
    </w:p>
    <w:p w14:paraId="41B59CDB">
      <w:pPr>
        <w:pStyle w:val="4"/>
        <w:pageBreakBefore w:val="0"/>
        <w:kinsoku/>
        <w:wordWrap/>
        <w:overflowPunct/>
        <w:topLinePunct w:val="0"/>
        <w:autoSpaceDE/>
        <w:autoSpaceDN/>
        <w:bidi w:val="0"/>
        <w:spacing w:before="0" w:after="0" w:line="440" w:lineRule="exact"/>
        <w:ind w:left="0" w:leftChars="0"/>
        <w:rPr>
          <w:rFonts w:hint="eastAsia" w:ascii="仿宋" w:hAnsi="仿宋" w:eastAsia="仿宋" w:cs="仿宋"/>
        </w:rPr>
      </w:pPr>
      <w:bookmarkStart w:id="6" w:name="_Toc132665645"/>
      <w:bookmarkStart w:id="7" w:name="_Toc176270709"/>
      <w:bookmarkStart w:id="8" w:name="_Toc450817065"/>
      <w:bookmarkStart w:id="9" w:name="_Toc31596"/>
      <w:r>
        <w:rPr>
          <w:rFonts w:hint="eastAsia" w:ascii="仿宋" w:hAnsi="仿宋" w:eastAsia="仿宋" w:cs="仿宋"/>
        </w:rPr>
        <w:t>项目建设单位</w:t>
      </w:r>
      <w:bookmarkEnd w:id="6"/>
      <w:bookmarkEnd w:id="7"/>
      <w:bookmarkEnd w:id="8"/>
      <w:bookmarkEnd w:id="9"/>
    </w:p>
    <w:p w14:paraId="17DDCE88">
      <w:pPr>
        <w:pageBreakBefore w:val="0"/>
        <w:kinsoku/>
        <w:wordWrap/>
        <w:overflowPunct/>
        <w:topLinePunct w:val="0"/>
        <w:autoSpaceDE/>
        <w:autoSpaceDN/>
        <w:bidi w:val="0"/>
        <w:spacing w:line="440" w:lineRule="exact"/>
        <w:ind w:left="0" w:leftChars="0" w:firstLine="560"/>
      </w:pPr>
      <w:r>
        <w:rPr>
          <w:rFonts w:hint="eastAsia"/>
        </w:rPr>
        <w:t>上海市静安区城市运行管理中心</w:t>
      </w:r>
    </w:p>
    <w:p w14:paraId="06A533BD">
      <w:pPr>
        <w:pStyle w:val="4"/>
        <w:pageBreakBefore w:val="0"/>
        <w:kinsoku/>
        <w:wordWrap/>
        <w:overflowPunct/>
        <w:topLinePunct w:val="0"/>
        <w:autoSpaceDE/>
        <w:autoSpaceDN/>
        <w:bidi w:val="0"/>
        <w:spacing w:before="0" w:after="0" w:line="440" w:lineRule="exact"/>
        <w:ind w:left="0" w:leftChars="0"/>
        <w:rPr>
          <w:rFonts w:hint="eastAsia" w:ascii="仿宋" w:hAnsi="仿宋" w:eastAsia="仿宋" w:cs="仿宋"/>
        </w:rPr>
      </w:pPr>
      <w:bookmarkStart w:id="10" w:name="_Toc2229"/>
      <w:bookmarkStart w:id="11" w:name="_Toc450817066"/>
      <w:bookmarkStart w:id="12" w:name="_Toc132665646"/>
      <w:bookmarkStart w:id="13" w:name="_Toc176270711"/>
      <w:r>
        <w:rPr>
          <w:rFonts w:hint="eastAsia" w:ascii="仿宋" w:hAnsi="仿宋" w:eastAsia="仿宋" w:cs="仿宋"/>
        </w:rPr>
        <w:t>项目预算</w:t>
      </w:r>
      <w:bookmarkEnd w:id="10"/>
    </w:p>
    <w:p w14:paraId="07454334">
      <w:pPr>
        <w:pageBreakBefore w:val="0"/>
        <w:kinsoku/>
        <w:wordWrap/>
        <w:overflowPunct/>
        <w:topLinePunct w:val="0"/>
        <w:autoSpaceDE/>
        <w:autoSpaceDN/>
        <w:bidi w:val="0"/>
        <w:spacing w:line="440" w:lineRule="exact"/>
        <w:ind w:left="0" w:leftChars="0"/>
        <w:rPr>
          <w:rFonts w:hint="eastAsia"/>
          <w:lang w:val="en-US" w:eastAsia="zh-CN"/>
        </w:rPr>
      </w:pPr>
      <w:r>
        <w:rPr>
          <w:rFonts w:hint="eastAsia"/>
          <w:lang w:val="en-US" w:eastAsia="zh-CN"/>
        </w:rPr>
        <w:t>本项目预算金额为</w:t>
      </w:r>
      <w:r>
        <w:rPr>
          <w:rFonts w:hint="eastAsia"/>
        </w:rPr>
        <w:t>208.53</w:t>
      </w:r>
      <w:r>
        <w:rPr>
          <w:rFonts w:hint="eastAsia"/>
          <w:lang w:val="en-US" w:eastAsia="zh-CN"/>
        </w:rPr>
        <w:t>万元</w:t>
      </w:r>
    </w:p>
    <w:p w14:paraId="7AEF7419">
      <w:pPr>
        <w:pStyle w:val="4"/>
        <w:pageBreakBefore w:val="0"/>
        <w:kinsoku/>
        <w:wordWrap/>
        <w:overflowPunct/>
        <w:topLinePunct w:val="0"/>
        <w:autoSpaceDE/>
        <w:autoSpaceDN/>
        <w:bidi w:val="0"/>
        <w:spacing w:before="0" w:after="0" w:line="440" w:lineRule="exact"/>
        <w:ind w:left="0" w:leftChars="0"/>
        <w:rPr>
          <w:rFonts w:hint="eastAsia" w:ascii="仿宋" w:hAnsi="仿宋" w:eastAsia="仿宋" w:cs="仿宋"/>
        </w:rPr>
      </w:pPr>
      <w:bookmarkStart w:id="14" w:name="_Toc11566"/>
      <w:r>
        <w:rPr>
          <w:rFonts w:hint="eastAsia" w:ascii="仿宋" w:hAnsi="仿宋" w:eastAsia="仿宋" w:cs="仿宋"/>
        </w:rPr>
        <w:t>项目建设的背景</w:t>
      </w:r>
      <w:bookmarkEnd w:id="11"/>
      <w:bookmarkEnd w:id="12"/>
      <w:bookmarkEnd w:id="13"/>
      <w:bookmarkEnd w:id="14"/>
      <w:bookmarkStart w:id="15" w:name="_Toc167105608"/>
      <w:bookmarkStart w:id="16" w:name="_Toc167107575"/>
      <w:bookmarkStart w:id="17" w:name="_Toc176270712"/>
      <w:bookmarkStart w:id="18" w:name="_Toc132665647"/>
    </w:p>
    <w:bookmarkEnd w:id="15"/>
    <w:bookmarkEnd w:id="16"/>
    <w:bookmarkEnd w:id="17"/>
    <w:bookmarkEnd w:id="18"/>
    <w:p w14:paraId="36519268">
      <w:pPr>
        <w:pageBreakBefore w:val="0"/>
        <w:kinsoku/>
        <w:wordWrap/>
        <w:overflowPunct/>
        <w:topLinePunct w:val="0"/>
        <w:autoSpaceDE/>
        <w:autoSpaceDN/>
        <w:bidi w:val="0"/>
        <w:spacing w:line="440" w:lineRule="exact"/>
        <w:ind w:left="0" w:leftChars="0" w:firstLine="560"/>
        <w:rPr>
          <w:rFonts w:cs="宋体"/>
        </w:rPr>
      </w:pPr>
      <w:r>
        <w:rPr>
          <w:rFonts w:hint="eastAsia" w:cs="宋体"/>
        </w:rPr>
        <w:t>伴随着城市数字化转型的大趋势而兴起的。在数字中国战略的推动下，上海作为超大型城市，不断提升城市精细化治理水平，致力于运用现代信息科技提高城市治理的科学化、精细化、智能化水平。为深入践行人民城市理念，加快城区数字化转型，不断提升治理现代化水平，构建城区治理共同体，全面赋能经济社会高质量发展。</w:t>
      </w:r>
    </w:p>
    <w:p w14:paraId="094D3120">
      <w:pPr>
        <w:pageBreakBefore w:val="0"/>
        <w:kinsoku/>
        <w:wordWrap/>
        <w:overflowPunct/>
        <w:topLinePunct w:val="0"/>
        <w:autoSpaceDE/>
        <w:autoSpaceDN/>
        <w:bidi w:val="0"/>
        <w:spacing w:line="440" w:lineRule="exact"/>
        <w:ind w:left="0" w:leftChars="0" w:firstLine="560"/>
        <w:rPr>
          <w:rFonts w:cs="宋体"/>
        </w:rPr>
      </w:pPr>
      <w:r>
        <w:rPr>
          <w:rFonts w:hint="eastAsia" w:cs="宋体"/>
        </w:rPr>
        <w:t>根据本市部署要求</w:t>
      </w:r>
      <w:r>
        <w:rPr>
          <w:rFonts w:hint="eastAsia" w:cs="宋体"/>
          <w:lang w:eastAsia="zh-CN"/>
        </w:rPr>
        <w:t>，</w:t>
      </w:r>
      <w:r>
        <w:rPr>
          <w:rFonts w:hint="eastAsia" w:cs="宋体"/>
        </w:rPr>
        <w:t>结合静安区实际，本项目旨在打造城运侧视觉中枢平台，充分利用现有视频资源并在此基础上进一步开发利用，实现视频资源的统一纳管和共享赋能，加快构建资源集成、科学调度、开放共享的视频底座，为各委办局和街镇提供赋能，以提升基层数字化应用能力和对城运基本治理单元的实战应用支撑。</w:t>
      </w:r>
    </w:p>
    <w:p w14:paraId="6B811E1C">
      <w:pPr>
        <w:pStyle w:val="4"/>
        <w:pageBreakBefore w:val="0"/>
        <w:kinsoku/>
        <w:wordWrap/>
        <w:overflowPunct/>
        <w:topLinePunct w:val="0"/>
        <w:autoSpaceDE/>
        <w:autoSpaceDN/>
        <w:bidi w:val="0"/>
        <w:spacing w:before="0" w:after="0" w:line="440" w:lineRule="exact"/>
        <w:ind w:left="0" w:leftChars="0"/>
        <w:rPr>
          <w:rFonts w:hint="eastAsia" w:ascii="仿宋" w:hAnsi="仿宋" w:eastAsia="仿宋" w:cs="仿宋"/>
        </w:rPr>
      </w:pPr>
      <w:bookmarkStart w:id="19" w:name="_Toc167107578"/>
      <w:bookmarkStart w:id="20" w:name="_Toc132665650"/>
      <w:bookmarkStart w:id="21" w:name="_Toc176270715"/>
      <w:bookmarkStart w:id="22" w:name="_Toc167105611"/>
      <w:bookmarkStart w:id="23" w:name="_Toc8250"/>
      <w:r>
        <w:rPr>
          <w:rFonts w:hint="eastAsia" w:ascii="仿宋" w:hAnsi="仿宋" w:eastAsia="仿宋" w:cs="仿宋"/>
        </w:rPr>
        <w:t>项目建设目标</w:t>
      </w:r>
      <w:bookmarkEnd w:id="19"/>
      <w:bookmarkEnd w:id="20"/>
      <w:bookmarkEnd w:id="21"/>
      <w:bookmarkEnd w:id="22"/>
      <w:r>
        <w:rPr>
          <w:rFonts w:hint="eastAsia" w:ascii="仿宋" w:hAnsi="仿宋" w:eastAsia="仿宋" w:cs="仿宋"/>
        </w:rPr>
        <w:t>、规模与内容</w:t>
      </w:r>
      <w:bookmarkEnd w:id="23"/>
    </w:p>
    <w:p w14:paraId="34171199">
      <w:pPr>
        <w:pStyle w:val="5"/>
        <w:pageBreakBefore w:val="0"/>
        <w:kinsoku/>
        <w:wordWrap/>
        <w:overflowPunct/>
        <w:topLinePunct w:val="0"/>
        <w:autoSpaceDE/>
        <w:autoSpaceDN/>
        <w:bidi w:val="0"/>
        <w:spacing w:line="440" w:lineRule="exact"/>
        <w:ind w:left="0" w:leftChars="0" w:firstLineChars="0"/>
        <w:rPr>
          <w:b/>
          <w:bCs/>
        </w:rPr>
      </w:pPr>
      <w:bookmarkStart w:id="24" w:name="_Toc5470"/>
      <w:r>
        <w:rPr>
          <w:rFonts w:hint="eastAsia"/>
          <w:b/>
          <w:bCs/>
        </w:rPr>
        <w:t>项目建设目标</w:t>
      </w:r>
      <w:bookmarkEnd w:id="24"/>
    </w:p>
    <w:p w14:paraId="27695AED">
      <w:pPr>
        <w:pageBreakBefore w:val="0"/>
        <w:kinsoku/>
        <w:wordWrap/>
        <w:overflowPunct/>
        <w:topLinePunct w:val="0"/>
        <w:autoSpaceDE/>
        <w:autoSpaceDN/>
        <w:bidi w:val="0"/>
        <w:spacing w:line="440" w:lineRule="exact"/>
        <w:ind w:left="0" w:leftChars="0" w:firstLine="560"/>
      </w:pPr>
      <w:r>
        <w:rPr>
          <w:rFonts w:hint="eastAsia"/>
        </w:rPr>
        <w:t>为加强城市运行“一网统管”体系建设，强化技术支撑、场景应用和共享赋能，持续提升“一网统管”服务效能和数字化治理能力，本项目根据《2024年上海市静安区一网统管工作要点》旨在打造城运侧视觉中枢平台，加快构建资源集成、科学调度、开放共享的视频底座。整合全区约2.6万路街面、居民区以及各行业视频资源，提升视频调阅便捷度和观感度。对视频资源标签化管理、建立场景预案，方便指挥调度。选取南京西路沿线、上海火车站站区、苏河湾区等重点区域，打造虚实结合的视频应用。对有视频需求的街镇，逐步开放使用权限，赋能基层一线。</w:t>
      </w:r>
    </w:p>
    <w:p w14:paraId="63DB62BE">
      <w:pPr>
        <w:pStyle w:val="5"/>
        <w:pageBreakBefore w:val="0"/>
        <w:kinsoku/>
        <w:wordWrap/>
        <w:overflowPunct/>
        <w:topLinePunct w:val="0"/>
        <w:autoSpaceDE/>
        <w:autoSpaceDN/>
        <w:bidi w:val="0"/>
        <w:spacing w:line="440" w:lineRule="exact"/>
        <w:ind w:left="0" w:leftChars="0" w:firstLineChars="0"/>
        <w:rPr>
          <w:b/>
          <w:bCs/>
        </w:rPr>
      </w:pPr>
      <w:bookmarkStart w:id="25" w:name="_Toc132665651"/>
      <w:bookmarkStart w:id="26" w:name="_Toc167105612"/>
      <w:bookmarkStart w:id="27" w:name="_Toc15370"/>
      <w:bookmarkStart w:id="28" w:name="_Toc167107579"/>
      <w:bookmarkStart w:id="29" w:name="_Toc176270716"/>
      <w:r>
        <w:rPr>
          <w:rFonts w:hint="eastAsia"/>
          <w:b/>
          <w:bCs/>
        </w:rPr>
        <w:t>项目建设规模与内容</w:t>
      </w:r>
      <w:bookmarkEnd w:id="25"/>
      <w:bookmarkEnd w:id="26"/>
      <w:bookmarkEnd w:id="27"/>
      <w:bookmarkEnd w:id="28"/>
      <w:bookmarkEnd w:id="29"/>
    </w:p>
    <w:p w14:paraId="6A719978">
      <w:pPr>
        <w:pageBreakBefore w:val="0"/>
        <w:kinsoku/>
        <w:wordWrap/>
        <w:overflowPunct/>
        <w:topLinePunct w:val="0"/>
        <w:autoSpaceDE/>
        <w:autoSpaceDN/>
        <w:bidi w:val="0"/>
        <w:spacing w:line="440" w:lineRule="exact"/>
        <w:ind w:left="0" w:leftChars="0" w:firstLine="602"/>
        <w:rPr>
          <w:rFonts w:hint="eastAsia" w:ascii="仿宋" w:hAnsi="仿宋" w:eastAsia="仿宋" w:cs="仿宋"/>
          <w:b/>
          <w:bCs/>
          <w:kern w:val="44"/>
          <w:sz w:val="28"/>
          <w:szCs w:val="28"/>
          <w:lang w:val="en-US" w:eastAsia="zh-CN"/>
        </w:rPr>
      </w:pPr>
      <w:r>
        <w:rPr>
          <w:rFonts w:hint="eastAsia" w:ascii="仿宋" w:hAnsi="仿宋" w:eastAsia="仿宋" w:cs="仿宋"/>
          <w:b w:val="0"/>
          <w:bCs w:val="0"/>
          <w:kern w:val="44"/>
          <w:sz w:val="28"/>
          <w:szCs w:val="28"/>
        </w:rPr>
        <w:t>一是打造城运侧视觉中枢平台，整合全区2.6万路视频资源，实现区级监控视频的汇聚分发。二是开发全景数字化治理及可视化指挥系统，满足各部门视频调阅共享需求，构建高效视频底座。三是开发视频设备台账管理系统，理清视频图像底数，提升视频管理能力。四是利用制高点相机和枪球联动技术，实现</w:t>
      </w:r>
      <w:r>
        <w:rPr>
          <w:rFonts w:hint="eastAsia" w:ascii="仿宋" w:hAnsi="仿宋" w:eastAsia="仿宋" w:cs="仿宋"/>
          <w:b w:val="0"/>
          <w:bCs w:val="0"/>
          <w:kern w:val="44"/>
          <w:sz w:val="28"/>
          <w:szCs w:val="28"/>
          <w:lang w:val="en-US" w:eastAsia="zh-CN"/>
        </w:rPr>
        <w:t>南京西路商圈、火车站周边、苏河湾、大宁商业区等</w:t>
      </w:r>
      <w:r>
        <w:rPr>
          <w:rFonts w:hint="eastAsia" w:ascii="仿宋" w:hAnsi="仿宋" w:eastAsia="仿宋" w:cs="仿宋"/>
          <w:b w:val="0"/>
          <w:bCs w:val="0"/>
          <w:kern w:val="44"/>
          <w:sz w:val="28"/>
          <w:szCs w:val="28"/>
        </w:rPr>
        <w:t>四处重点场景的视频融合应用。</w:t>
      </w:r>
      <w:r>
        <w:rPr>
          <w:rFonts w:hint="eastAsia" w:ascii="仿宋" w:hAnsi="仿宋" w:eastAsia="仿宋" w:cs="仿宋"/>
          <w:b w:val="0"/>
          <w:bCs w:val="0"/>
          <w:kern w:val="44"/>
          <w:sz w:val="28"/>
          <w:szCs w:val="28"/>
          <w:lang w:val="en-US" w:eastAsia="zh-CN"/>
        </w:rPr>
        <w:t>具体如下：</w:t>
      </w:r>
    </w:p>
    <w:tbl>
      <w:tblPr>
        <w:tblStyle w:val="22"/>
        <w:tblpPr w:leftFromText="180" w:rightFromText="180" w:vertAnchor="text" w:horzAnchor="page" w:tblpX="1846" w:tblpY="639"/>
        <w:tblOverlap w:val="never"/>
        <w:tblW w:w="5007" w:type="pct"/>
        <w:tblInd w:w="0" w:type="dxa"/>
        <w:tblLayout w:type="autofit"/>
        <w:tblCellMar>
          <w:top w:w="0" w:type="dxa"/>
          <w:left w:w="108" w:type="dxa"/>
          <w:bottom w:w="0" w:type="dxa"/>
          <w:right w:w="108" w:type="dxa"/>
        </w:tblCellMar>
      </w:tblPr>
      <w:tblGrid>
        <w:gridCol w:w="930"/>
        <w:gridCol w:w="4721"/>
        <w:gridCol w:w="1573"/>
        <w:gridCol w:w="1310"/>
      </w:tblGrid>
      <w:tr w14:paraId="6143CF74">
        <w:tblPrEx>
          <w:tblCellMar>
            <w:top w:w="0" w:type="dxa"/>
            <w:left w:w="108" w:type="dxa"/>
            <w:bottom w:w="0" w:type="dxa"/>
            <w:right w:w="108" w:type="dxa"/>
          </w:tblCellMar>
        </w:tblPrEx>
        <w:trPr>
          <w:trHeight w:val="567" w:hRule="atLeast"/>
          <w:tblHeader/>
        </w:trPr>
        <w:tc>
          <w:tcPr>
            <w:tcW w:w="545" w:type="pct"/>
            <w:tcBorders>
              <w:top w:val="single" w:color="auto" w:sz="4" w:space="0"/>
              <w:left w:val="single" w:color="auto" w:sz="4" w:space="0"/>
              <w:bottom w:val="single" w:color="auto" w:sz="4" w:space="0"/>
              <w:right w:val="single" w:color="auto" w:sz="4" w:space="0"/>
            </w:tcBorders>
            <w:shd w:val="clear" w:color="auto" w:fill="auto"/>
            <w:vAlign w:val="center"/>
          </w:tcPr>
          <w:p w14:paraId="61D09959">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序号</w:t>
            </w:r>
          </w:p>
        </w:tc>
        <w:tc>
          <w:tcPr>
            <w:tcW w:w="2765" w:type="pct"/>
            <w:tcBorders>
              <w:top w:val="single" w:color="auto" w:sz="4" w:space="0"/>
              <w:left w:val="nil"/>
              <w:bottom w:val="single" w:color="auto" w:sz="4" w:space="0"/>
              <w:right w:val="single" w:color="auto" w:sz="4" w:space="0"/>
            </w:tcBorders>
            <w:shd w:val="clear" w:color="auto" w:fill="auto"/>
            <w:vAlign w:val="center"/>
          </w:tcPr>
          <w:p w14:paraId="50D45F32">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建设内容</w:t>
            </w:r>
          </w:p>
        </w:tc>
        <w:tc>
          <w:tcPr>
            <w:tcW w:w="921" w:type="pct"/>
            <w:tcBorders>
              <w:top w:val="single" w:color="auto" w:sz="4" w:space="0"/>
              <w:left w:val="nil"/>
              <w:bottom w:val="single" w:color="auto" w:sz="4" w:space="0"/>
              <w:right w:val="single" w:color="auto" w:sz="4" w:space="0"/>
            </w:tcBorders>
            <w:shd w:val="clear" w:color="auto" w:fill="auto"/>
            <w:vAlign w:val="center"/>
          </w:tcPr>
          <w:p w14:paraId="1CD06D96">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建设类型</w:t>
            </w:r>
          </w:p>
        </w:tc>
        <w:tc>
          <w:tcPr>
            <w:tcW w:w="767" w:type="pct"/>
            <w:tcBorders>
              <w:top w:val="single" w:color="auto" w:sz="4" w:space="0"/>
              <w:left w:val="nil"/>
              <w:bottom w:val="single" w:color="auto" w:sz="4" w:space="0"/>
              <w:right w:val="single" w:color="auto" w:sz="4" w:space="0"/>
            </w:tcBorders>
            <w:shd w:val="clear" w:color="auto" w:fill="auto"/>
            <w:vAlign w:val="center"/>
          </w:tcPr>
          <w:p w14:paraId="0183D74E">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是否上云</w:t>
            </w:r>
          </w:p>
        </w:tc>
      </w:tr>
      <w:tr w14:paraId="0B907499">
        <w:tblPrEx>
          <w:tblCellMar>
            <w:top w:w="0" w:type="dxa"/>
            <w:left w:w="108" w:type="dxa"/>
            <w:bottom w:w="0" w:type="dxa"/>
            <w:right w:w="108" w:type="dxa"/>
          </w:tblCellMar>
        </w:tblPrEx>
        <w:trPr>
          <w:trHeight w:val="567" w:hRule="atLeast"/>
        </w:trPr>
        <w:tc>
          <w:tcPr>
            <w:tcW w:w="545" w:type="pct"/>
            <w:tcBorders>
              <w:top w:val="nil"/>
              <w:left w:val="single" w:color="auto" w:sz="4" w:space="0"/>
              <w:bottom w:val="single" w:color="auto" w:sz="4" w:space="0"/>
              <w:right w:val="single" w:color="auto" w:sz="4" w:space="0"/>
            </w:tcBorders>
            <w:shd w:val="clear" w:color="auto" w:fill="auto"/>
            <w:vAlign w:val="center"/>
          </w:tcPr>
          <w:p w14:paraId="42DF6C6E">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w:t>
            </w:r>
          </w:p>
        </w:tc>
        <w:tc>
          <w:tcPr>
            <w:tcW w:w="2765" w:type="pct"/>
            <w:tcBorders>
              <w:top w:val="nil"/>
              <w:left w:val="nil"/>
              <w:bottom w:val="single" w:color="auto" w:sz="4" w:space="0"/>
              <w:right w:val="single" w:color="auto" w:sz="4" w:space="0"/>
            </w:tcBorders>
            <w:shd w:val="clear" w:color="auto" w:fill="auto"/>
            <w:vAlign w:val="center"/>
          </w:tcPr>
          <w:p w14:paraId="6AF81883">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视频中枢资源调度系统</w:t>
            </w:r>
          </w:p>
        </w:tc>
        <w:tc>
          <w:tcPr>
            <w:tcW w:w="921" w:type="pct"/>
            <w:tcBorders>
              <w:top w:val="nil"/>
              <w:left w:val="nil"/>
              <w:bottom w:val="single" w:color="auto" w:sz="4" w:space="0"/>
              <w:right w:val="single" w:color="auto" w:sz="4" w:space="0"/>
            </w:tcBorders>
            <w:shd w:val="clear" w:color="auto" w:fill="auto"/>
            <w:vAlign w:val="center"/>
          </w:tcPr>
          <w:p w14:paraId="04A7861C">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定制开发</w:t>
            </w:r>
          </w:p>
        </w:tc>
        <w:tc>
          <w:tcPr>
            <w:tcW w:w="767" w:type="pct"/>
            <w:tcBorders>
              <w:top w:val="nil"/>
              <w:left w:val="nil"/>
              <w:bottom w:val="single" w:color="auto" w:sz="4" w:space="0"/>
              <w:right w:val="single" w:color="auto" w:sz="4" w:space="0"/>
            </w:tcBorders>
            <w:shd w:val="clear" w:color="auto" w:fill="auto"/>
            <w:vAlign w:val="center"/>
          </w:tcPr>
          <w:p w14:paraId="07953A2E">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是</w:t>
            </w:r>
          </w:p>
        </w:tc>
      </w:tr>
      <w:tr w14:paraId="2FDADC1C">
        <w:tblPrEx>
          <w:tblCellMar>
            <w:top w:w="0" w:type="dxa"/>
            <w:left w:w="108" w:type="dxa"/>
            <w:bottom w:w="0" w:type="dxa"/>
            <w:right w:w="108" w:type="dxa"/>
          </w:tblCellMar>
        </w:tblPrEx>
        <w:trPr>
          <w:trHeight w:val="567" w:hRule="atLeast"/>
        </w:trPr>
        <w:tc>
          <w:tcPr>
            <w:tcW w:w="545" w:type="pct"/>
            <w:tcBorders>
              <w:top w:val="nil"/>
              <w:left w:val="single" w:color="auto" w:sz="4" w:space="0"/>
              <w:bottom w:val="single" w:color="auto" w:sz="4" w:space="0"/>
              <w:right w:val="single" w:color="auto" w:sz="4" w:space="0"/>
            </w:tcBorders>
            <w:shd w:val="clear" w:color="auto" w:fill="auto"/>
            <w:vAlign w:val="center"/>
          </w:tcPr>
          <w:p w14:paraId="2C52524A">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w:t>
            </w:r>
          </w:p>
        </w:tc>
        <w:tc>
          <w:tcPr>
            <w:tcW w:w="2765" w:type="pct"/>
            <w:tcBorders>
              <w:top w:val="nil"/>
              <w:left w:val="nil"/>
              <w:bottom w:val="single" w:color="auto" w:sz="4" w:space="0"/>
              <w:right w:val="single" w:color="auto" w:sz="4" w:space="0"/>
            </w:tcBorders>
            <w:shd w:val="clear" w:color="auto" w:fill="auto"/>
            <w:vAlign w:val="center"/>
          </w:tcPr>
          <w:p w14:paraId="67BC998A">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视频台账数字化治理系统</w:t>
            </w:r>
          </w:p>
        </w:tc>
        <w:tc>
          <w:tcPr>
            <w:tcW w:w="921" w:type="pct"/>
            <w:tcBorders>
              <w:top w:val="nil"/>
              <w:left w:val="nil"/>
              <w:bottom w:val="single" w:color="auto" w:sz="4" w:space="0"/>
              <w:right w:val="single" w:color="auto" w:sz="4" w:space="0"/>
            </w:tcBorders>
            <w:shd w:val="clear" w:color="auto" w:fill="auto"/>
            <w:vAlign w:val="center"/>
          </w:tcPr>
          <w:p w14:paraId="55001A39">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定制开发</w:t>
            </w:r>
          </w:p>
        </w:tc>
        <w:tc>
          <w:tcPr>
            <w:tcW w:w="767" w:type="pct"/>
            <w:tcBorders>
              <w:top w:val="nil"/>
              <w:left w:val="nil"/>
              <w:bottom w:val="single" w:color="auto" w:sz="4" w:space="0"/>
              <w:right w:val="single" w:color="auto" w:sz="4" w:space="0"/>
            </w:tcBorders>
            <w:shd w:val="clear" w:color="auto" w:fill="auto"/>
            <w:vAlign w:val="center"/>
          </w:tcPr>
          <w:p w14:paraId="0CB15957">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是</w:t>
            </w:r>
          </w:p>
        </w:tc>
      </w:tr>
      <w:tr w14:paraId="60CC0AEA">
        <w:tblPrEx>
          <w:tblCellMar>
            <w:top w:w="0" w:type="dxa"/>
            <w:left w:w="108" w:type="dxa"/>
            <w:bottom w:w="0" w:type="dxa"/>
            <w:right w:w="108" w:type="dxa"/>
          </w:tblCellMar>
        </w:tblPrEx>
        <w:trPr>
          <w:trHeight w:val="567" w:hRule="atLeast"/>
        </w:trPr>
        <w:tc>
          <w:tcPr>
            <w:tcW w:w="545" w:type="pct"/>
            <w:tcBorders>
              <w:top w:val="nil"/>
              <w:left w:val="single" w:color="auto" w:sz="4" w:space="0"/>
              <w:bottom w:val="single" w:color="auto" w:sz="4" w:space="0"/>
              <w:right w:val="single" w:color="auto" w:sz="4" w:space="0"/>
            </w:tcBorders>
            <w:shd w:val="clear" w:color="auto" w:fill="auto"/>
            <w:vAlign w:val="center"/>
          </w:tcPr>
          <w:p w14:paraId="5DBCA78E">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w:t>
            </w:r>
          </w:p>
        </w:tc>
        <w:tc>
          <w:tcPr>
            <w:tcW w:w="2765" w:type="pct"/>
            <w:tcBorders>
              <w:top w:val="nil"/>
              <w:left w:val="nil"/>
              <w:bottom w:val="single" w:color="auto" w:sz="4" w:space="0"/>
              <w:right w:val="single" w:color="auto" w:sz="4" w:space="0"/>
            </w:tcBorders>
            <w:shd w:val="clear" w:color="auto" w:fill="auto"/>
            <w:vAlign w:val="center"/>
          </w:tcPr>
          <w:p w14:paraId="0C44F42B">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全景数字化指挥处置系统</w:t>
            </w:r>
          </w:p>
        </w:tc>
        <w:tc>
          <w:tcPr>
            <w:tcW w:w="921" w:type="pct"/>
            <w:tcBorders>
              <w:top w:val="nil"/>
              <w:left w:val="nil"/>
              <w:bottom w:val="single" w:color="auto" w:sz="4" w:space="0"/>
              <w:right w:val="single" w:color="auto" w:sz="4" w:space="0"/>
            </w:tcBorders>
            <w:shd w:val="clear" w:color="auto" w:fill="auto"/>
            <w:vAlign w:val="center"/>
          </w:tcPr>
          <w:p w14:paraId="053D5682">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定制开发</w:t>
            </w:r>
          </w:p>
        </w:tc>
        <w:tc>
          <w:tcPr>
            <w:tcW w:w="767" w:type="pct"/>
            <w:tcBorders>
              <w:top w:val="nil"/>
              <w:left w:val="nil"/>
              <w:bottom w:val="single" w:color="auto" w:sz="4" w:space="0"/>
              <w:right w:val="single" w:color="auto" w:sz="4" w:space="0"/>
            </w:tcBorders>
            <w:shd w:val="clear" w:color="auto" w:fill="auto"/>
            <w:vAlign w:val="center"/>
          </w:tcPr>
          <w:p w14:paraId="303E5332">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是</w:t>
            </w:r>
          </w:p>
        </w:tc>
      </w:tr>
      <w:tr w14:paraId="7225235C">
        <w:tblPrEx>
          <w:tblCellMar>
            <w:top w:w="0" w:type="dxa"/>
            <w:left w:w="108" w:type="dxa"/>
            <w:bottom w:w="0" w:type="dxa"/>
            <w:right w:w="108" w:type="dxa"/>
          </w:tblCellMar>
        </w:tblPrEx>
        <w:trPr>
          <w:trHeight w:val="567" w:hRule="atLeast"/>
        </w:trPr>
        <w:tc>
          <w:tcPr>
            <w:tcW w:w="545" w:type="pct"/>
            <w:tcBorders>
              <w:top w:val="nil"/>
              <w:left w:val="single" w:color="auto" w:sz="4" w:space="0"/>
              <w:bottom w:val="single" w:color="auto" w:sz="4" w:space="0"/>
              <w:right w:val="single" w:color="auto" w:sz="4" w:space="0"/>
            </w:tcBorders>
            <w:shd w:val="clear" w:color="auto" w:fill="auto"/>
            <w:vAlign w:val="center"/>
          </w:tcPr>
          <w:p w14:paraId="0A52C055">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4</w:t>
            </w:r>
          </w:p>
        </w:tc>
        <w:tc>
          <w:tcPr>
            <w:tcW w:w="2765" w:type="pct"/>
            <w:tcBorders>
              <w:top w:val="nil"/>
              <w:left w:val="nil"/>
              <w:bottom w:val="single" w:color="auto" w:sz="4" w:space="0"/>
              <w:right w:val="single" w:color="auto" w:sz="4" w:space="0"/>
            </w:tcBorders>
            <w:shd w:val="clear" w:color="auto" w:fill="auto"/>
            <w:vAlign w:val="center"/>
          </w:tcPr>
          <w:p w14:paraId="34F6CB91">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全景数字化治理指挥系统底座</w:t>
            </w:r>
          </w:p>
        </w:tc>
        <w:tc>
          <w:tcPr>
            <w:tcW w:w="921" w:type="pct"/>
            <w:tcBorders>
              <w:top w:val="nil"/>
              <w:left w:val="nil"/>
              <w:bottom w:val="single" w:color="auto" w:sz="4" w:space="0"/>
              <w:right w:val="single" w:color="auto" w:sz="4" w:space="0"/>
            </w:tcBorders>
            <w:shd w:val="clear" w:color="auto" w:fill="auto"/>
            <w:vAlign w:val="center"/>
          </w:tcPr>
          <w:p w14:paraId="4A04D68D">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产品购置</w:t>
            </w:r>
          </w:p>
        </w:tc>
        <w:tc>
          <w:tcPr>
            <w:tcW w:w="767" w:type="pct"/>
            <w:tcBorders>
              <w:top w:val="nil"/>
              <w:left w:val="nil"/>
              <w:bottom w:val="single" w:color="auto" w:sz="4" w:space="0"/>
              <w:right w:val="single" w:color="auto" w:sz="4" w:space="0"/>
            </w:tcBorders>
            <w:shd w:val="clear" w:color="auto" w:fill="auto"/>
            <w:vAlign w:val="center"/>
          </w:tcPr>
          <w:p w14:paraId="10CE3685">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是</w:t>
            </w:r>
          </w:p>
        </w:tc>
      </w:tr>
      <w:tr w14:paraId="067163CC">
        <w:tblPrEx>
          <w:tblCellMar>
            <w:top w:w="0" w:type="dxa"/>
            <w:left w:w="108" w:type="dxa"/>
            <w:bottom w:w="0" w:type="dxa"/>
            <w:right w:w="108" w:type="dxa"/>
          </w:tblCellMar>
        </w:tblPrEx>
        <w:trPr>
          <w:trHeight w:val="567" w:hRule="atLeast"/>
        </w:trPr>
        <w:tc>
          <w:tcPr>
            <w:tcW w:w="545" w:type="pct"/>
            <w:tcBorders>
              <w:top w:val="nil"/>
              <w:left w:val="single" w:color="auto" w:sz="4" w:space="0"/>
              <w:bottom w:val="single" w:color="auto" w:sz="4" w:space="0"/>
              <w:right w:val="single" w:color="auto" w:sz="4" w:space="0"/>
            </w:tcBorders>
            <w:shd w:val="clear" w:color="auto" w:fill="auto"/>
            <w:vAlign w:val="center"/>
          </w:tcPr>
          <w:p w14:paraId="3B1A555F">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5</w:t>
            </w:r>
          </w:p>
        </w:tc>
        <w:tc>
          <w:tcPr>
            <w:tcW w:w="2765" w:type="pct"/>
            <w:tcBorders>
              <w:top w:val="nil"/>
              <w:left w:val="nil"/>
              <w:bottom w:val="single" w:color="auto" w:sz="4" w:space="0"/>
              <w:right w:val="single" w:color="auto" w:sz="4" w:space="0"/>
            </w:tcBorders>
            <w:shd w:val="clear" w:color="auto" w:fill="auto"/>
            <w:vAlign w:val="center"/>
          </w:tcPr>
          <w:p w14:paraId="7A7B8356">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数据转发模块（配合数据网关使用）</w:t>
            </w:r>
          </w:p>
        </w:tc>
        <w:tc>
          <w:tcPr>
            <w:tcW w:w="921" w:type="pct"/>
            <w:tcBorders>
              <w:top w:val="nil"/>
              <w:left w:val="nil"/>
              <w:bottom w:val="single" w:color="auto" w:sz="4" w:space="0"/>
              <w:right w:val="single" w:color="auto" w:sz="4" w:space="0"/>
            </w:tcBorders>
            <w:shd w:val="clear" w:color="auto" w:fill="auto"/>
            <w:vAlign w:val="center"/>
          </w:tcPr>
          <w:p w14:paraId="5BA1CA96">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产品购置</w:t>
            </w:r>
          </w:p>
        </w:tc>
        <w:tc>
          <w:tcPr>
            <w:tcW w:w="767" w:type="pct"/>
            <w:tcBorders>
              <w:top w:val="nil"/>
              <w:left w:val="nil"/>
              <w:bottom w:val="single" w:color="auto" w:sz="4" w:space="0"/>
              <w:right w:val="single" w:color="auto" w:sz="4" w:space="0"/>
            </w:tcBorders>
            <w:shd w:val="clear" w:color="auto" w:fill="auto"/>
            <w:vAlign w:val="center"/>
          </w:tcPr>
          <w:p w14:paraId="68982C23">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是</w:t>
            </w:r>
          </w:p>
        </w:tc>
      </w:tr>
      <w:tr w14:paraId="7FEBC34C">
        <w:tblPrEx>
          <w:tblCellMar>
            <w:top w:w="0" w:type="dxa"/>
            <w:left w:w="108" w:type="dxa"/>
            <w:bottom w:w="0" w:type="dxa"/>
            <w:right w:w="108" w:type="dxa"/>
          </w:tblCellMar>
        </w:tblPrEx>
        <w:trPr>
          <w:trHeight w:val="567" w:hRule="atLeast"/>
        </w:trPr>
        <w:tc>
          <w:tcPr>
            <w:tcW w:w="545" w:type="pct"/>
            <w:tcBorders>
              <w:top w:val="nil"/>
              <w:left w:val="single" w:color="auto" w:sz="4" w:space="0"/>
              <w:bottom w:val="single" w:color="auto" w:sz="4" w:space="0"/>
              <w:right w:val="single" w:color="auto" w:sz="4" w:space="0"/>
            </w:tcBorders>
            <w:shd w:val="clear" w:color="auto" w:fill="auto"/>
            <w:vAlign w:val="center"/>
          </w:tcPr>
          <w:p w14:paraId="79251C57">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6</w:t>
            </w:r>
          </w:p>
        </w:tc>
        <w:tc>
          <w:tcPr>
            <w:tcW w:w="2765" w:type="pct"/>
            <w:tcBorders>
              <w:top w:val="nil"/>
              <w:left w:val="nil"/>
              <w:bottom w:val="single" w:color="auto" w:sz="4" w:space="0"/>
              <w:right w:val="single" w:color="auto" w:sz="4" w:space="0"/>
            </w:tcBorders>
            <w:shd w:val="clear" w:color="auto" w:fill="auto"/>
            <w:vAlign w:val="center"/>
          </w:tcPr>
          <w:p w14:paraId="6EC986E4">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全景视频融合系统底座</w:t>
            </w:r>
          </w:p>
        </w:tc>
        <w:tc>
          <w:tcPr>
            <w:tcW w:w="921" w:type="pct"/>
            <w:tcBorders>
              <w:top w:val="nil"/>
              <w:left w:val="nil"/>
              <w:bottom w:val="single" w:color="auto" w:sz="4" w:space="0"/>
              <w:right w:val="single" w:color="auto" w:sz="4" w:space="0"/>
            </w:tcBorders>
            <w:shd w:val="clear" w:color="auto" w:fill="auto"/>
            <w:vAlign w:val="center"/>
          </w:tcPr>
          <w:p w14:paraId="382BFC24">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产品购置</w:t>
            </w:r>
          </w:p>
        </w:tc>
        <w:tc>
          <w:tcPr>
            <w:tcW w:w="767" w:type="pct"/>
            <w:tcBorders>
              <w:top w:val="nil"/>
              <w:left w:val="nil"/>
              <w:bottom w:val="single" w:color="auto" w:sz="4" w:space="0"/>
              <w:right w:val="single" w:color="auto" w:sz="4" w:space="0"/>
            </w:tcBorders>
            <w:shd w:val="clear" w:color="auto" w:fill="auto"/>
            <w:vAlign w:val="center"/>
          </w:tcPr>
          <w:p w14:paraId="0E1397B6">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是</w:t>
            </w:r>
          </w:p>
        </w:tc>
      </w:tr>
      <w:tr w14:paraId="63D20C57">
        <w:tblPrEx>
          <w:tblCellMar>
            <w:top w:w="0" w:type="dxa"/>
            <w:left w:w="108" w:type="dxa"/>
            <w:bottom w:w="0" w:type="dxa"/>
            <w:right w:w="108" w:type="dxa"/>
          </w:tblCellMar>
        </w:tblPrEx>
        <w:trPr>
          <w:trHeight w:val="567" w:hRule="atLeast"/>
        </w:trPr>
        <w:tc>
          <w:tcPr>
            <w:tcW w:w="545" w:type="pct"/>
            <w:tcBorders>
              <w:top w:val="nil"/>
              <w:left w:val="single" w:color="auto" w:sz="4" w:space="0"/>
              <w:bottom w:val="single" w:color="auto" w:sz="4" w:space="0"/>
              <w:right w:val="single" w:color="auto" w:sz="4" w:space="0"/>
            </w:tcBorders>
            <w:shd w:val="clear" w:color="auto" w:fill="auto"/>
            <w:vAlign w:val="center"/>
          </w:tcPr>
          <w:p w14:paraId="06FFE054">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7</w:t>
            </w:r>
          </w:p>
        </w:tc>
        <w:tc>
          <w:tcPr>
            <w:tcW w:w="2765" w:type="pct"/>
            <w:tcBorders>
              <w:top w:val="nil"/>
              <w:left w:val="nil"/>
              <w:bottom w:val="single" w:color="auto" w:sz="4" w:space="0"/>
              <w:right w:val="single" w:color="auto" w:sz="4" w:space="0"/>
            </w:tcBorders>
            <w:shd w:val="clear" w:color="auto" w:fill="auto"/>
            <w:vAlign w:val="center"/>
          </w:tcPr>
          <w:p w14:paraId="461E0409">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系统对接</w:t>
            </w:r>
          </w:p>
        </w:tc>
        <w:tc>
          <w:tcPr>
            <w:tcW w:w="921" w:type="pct"/>
            <w:tcBorders>
              <w:top w:val="nil"/>
              <w:left w:val="nil"/>
              <w:bottom w:val="single" w:color="auto" w:sz="4" w:space="0"/>
              <w:right w:val="single" w:color="auto" w:sz="4" w:space="0"/>
            </w:tcBorders>
            <w:shd w:val="clear" w:color="auto" w:fill="auto"/>
            <w:vAlign w:val="center"/>
          </w:tcPr>
          <w:p w14:paraId="04831863">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对接</w:t>
            </w:r>
          </w:p>
        </w:tc>
        <w:tc>
          <w:tcPr>
            <w:tcW w:w="767" w:type="pct"/>
            <w:tcBorders>
              <w:top w:val="nil"/>
              <w:left w:val="nil"/>
              <w:bottom w:val="single" w:color="auto" w:sz="4" w:space="0"/>
              <w:right w:val="single" w:color="auto" w:sz="4" w:space="0"/>
            </w:tcBorders>
            <w:shd w:val="clear" w:color="auto" w:fill="auto"/>
            <w:vAlign w:val="center"/>
          </w:tcPr>
          <w:p w14:paraId="64F6F1F3">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是</w:t>
            </w:r>
          </w:p>
        </w:tc>
      </w:tr>
      <w:tr w14:paraId="360C92C7">
        <w:tblPrEx>
          <w:tblCellMar>
            <w:top w:w="0" w:type="dxa"/>
            <w:left w:w="108" w:type="dxa"/>
            <w:bottom w:w="0" w:type="dxa"/>
            <w:right w:w="108" w:type="dxa"/>
          </w:tblCellMar>
        </w:tblPrEx>
        <w:trPr>
          <w:trHeight w:val="567" w:hRule="atLeast"/>
        </w:trPr>
        <w:tc>
          <w:tcPr>
            <w:tcW w:w="545" w:type="pct"/>
            <w:tcBorders>
              <w:top w:val="nil"/>
              <w:left w:val="single" w:color="auto" w:sz="4" w:space="0"/>
              <w:bottom w:val="single" w:color="auto" w:sz="4" w:space="0"/>
              <w:right w:val="single" w:color="auto" w:sz="4" w:space="0"/>
            </w:tcBorders>
            <w:shd w:val="clear" w:color="auto" w:fill="auto"/>
            <w:vAlign w:val="center"/>
          </w:tcPr>
          <w:p w14:paraId="217ABD9C">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8</w:t>
            </w:r>
          </w:p>
        </w:tc>
        <w:tc>
          <w:tcPr>
            <w:tcW w:w="2765" w:type="pct"/>
            <w:tcBorders>
              <w:top w:val="nil"/>
              <w:left w:val="nil"/>
              <w:bottom w:val="single" w:color="auto" w:sz="4" w:space="0"/>
              <w:right w:val="single" w:color="auto" w:sz="4" w:space="0"/>
            </w:tcBorders>
            <w:shd w:val="clear" w:color="auto" w:fill="auto"/>
            <w:vAlign w:val="center"/>
          </w:tcPr>
          <w:p w14:paraId="7A9D6544">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密码应用开发</w:t>
            </w:r>
          </w:p>
        </w:tc>
        <w:tc>
          <w:tcPr>
            <w:tcW w:w="921" w:type="pct"/>
            <w:tcBorders>
              <w:top w:val="nil"/>
              <w:left w:val="nil"/>
              <w:bottom w:val="single" w:color="auto" w:sz="4" w:space="0"/>
              <w:right w:val="single" w:color="auto" w:sz="4" w:space="0"/>
            </w:tcBorders>
            <w:shd w:val="clear" w:color="auto" w:fill="auto"/>
            <w:vAlign w:val="center"/>
          </w:tcPr>
          <w:p w14:paraId="1E879F92">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定制开发</w:t>
            </w:r>
          </w:p>
        </w:tc>
        <w:tc>
          <w:tcPr>
            <w:tcW w:w="767" w:type="pct"/>
            <w:tcBorders>
              <w:top w:val="nil"/>
              <w:left w:val="nil"/>
              <w:bottom w:val="single" w:color="auto" w:sz="4" w:space="0"/>
              <w:right w:val="single" w:color="auto" w:sz="4" w:space="0"/>
            </w:tcBorders>
            <w:shd w:val="clear" w:color="auto" w:fill="auto"/>
            <w:vAlign w:val="center"/>
          </w:tcPr>
          <w:p w14:paraId="558FB9E6">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是</w:t>
            </w:r>
          </w:p>
        </w:tc>
      </w:tr>
      <w:tr w14:paraId="4B4DCC46">
        <w:tblPrEx>
          <w:tblCellMar>
            <w:top w:w="0" w:type="dxa"/>
            <w:left w:w="108" w:type="dxa"/>
            <w:bottom w:w="0" w:type="dxa"/>
            <w:right w:w="108" w:type="dxa"/>
          </w:tblCellMar>
        </w:tblPrEx>
        <w:trPr>
          <w:trHeight w:val="567" w:hRule="atLeast"/>
        </w:trPr>
        <w:tc>
          <w:tcPr>
            <w:tcW w:w="545" w:type="pct"/>
            <w:tcBorders>
              <w:top w:val="nil"/>
              <w:left w:val="single" w:color="auto" w:sz="4" w:space="0"/>
              <w:bottom w:val="single" w:color="auto" w:sz="4" w:space="0"/>
              <w:right w:val="single" w:color="auto" w:sz="4" w:space="0"/>
            </w:tcBorders>
            <w:shd w:val="clear" w:color="auto" w:fill="auto"/>
            <w:vAlign w:val="center"/>
          </w:tcPr>
          <w:p w14:paraId="71752D0E">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9</w:t>
            </w:r>
          </w:p>
        </w:tc>
        <w:tc>
          <w:tcPr>
            <w:tcW w:w="2765" w:type="pct"/>
            <w:tcBorders>
              <w:top w:val="nil"/>
              <w:left w:val="nil"/>
              <w:bottom w:val="single" w:color="auto" w:sz="4" w:space="0"/>
              <w:right w:val="single" w:color="auto" w:sz="4" w:space="0"/>
            </w:tcBorders>
            <w:shd w:val="clear" w:color="auto" w:fill="auto"/>
            <w:vAlign w:val="center"/>
          </w:tcPr>
          <w:p w14:paraId="41E1B955">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硬件购置</w:t>
            </w:r>
          </w:p>
        </w:tc>
        <w:tc>
          <w:tcPr>
            <w:tcW w:w="921" w:type="pct"/>
            <w:tcBorders>
              <w:top w:val="nil"/>
              <w:left w:val="nil"/>
              <w:bottom w:val="single" w:color="auto" w:sz="4" w:space="0"/>
              <w:right w:val="single" w:color="auto" w:sz="4" w:space="0"/>
            </w:tcBorders>
            <w:shd w:val="clear" w:color="auto" w:fill="auto"/>
            <w:vAlign w:val="center"/>
          </w:tcPr>
          <w:p w14:paraId="16BD7967">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产品购置</w:t>
            </w:r>
          </w:p>
        </w:tc>
        <w:tc>
          <w:tcPr>
            <w:tcW w:w="767" w:type="pct"/>
            <w:tcBorders>
              <w:top w:val="nil"/>
              <w:left w:val="nil"/>
              <w:bottom w:val="single" w:color="auto" w:sz="4" w:space="0"/>
              <w:right w:val="single" w:color="auto" w:sz="4" w:space="0"/>
            </w:tcBorders>
            <w:shd w:val="clear" w:color="auto" w:fill="auto"/>
            <w:vAlign w:val="center"/>
          </w:tcPr>
          <w:p w14:paraId="13654E1E">
            <w:pPr>
              <w:pageBreakBefore w:val="0"/>
              <w:widowControl/>
              <w:kinsoku/>
              <w:wordWrap/>
              <w:overflowPunct/>
              <w:topLinePunct w:val="0"/>
              <w:autoSpaceDE/>
              <w:autoSpaceDN/>
              <w:bidi w:val="0"/>
              <w:spacing w:line="440" w:lineRule="exact"/>
              <w:ind w:left="0" w:leftChars="0" w:firstLine="0" w:firstLineChars="0"/>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w:t>
            </w:r>
          </w:p>
        </w:tc>
      </w:tr>
    </w:tbl>
    <w:p w14:paraId="1768D5A7">
      <w:pPr>
        <w:pageBreakBefore w:val="0"/>
        <w:kinsoku/>
        <w:wordWrap/>
        <w:overflowPunct/>
        <w:topLinePunct w:val="0"/>
        <w:autoSpaceDE/>
        <w:autoSpaceDN/>
        <w:bidi w:val="0"/>
        <w:spacing w:line="440" w:lineRule="exact"/>
        <w:ind w:left="0" w:leftChars="0" w:firstLine="602"/>
        <w:rPr>
          <w:rFonts w:cs="Times New Roman"/>
          <w:b/>
          <w:bCs/>
          <w:kern w:val="44"/>
          <w:sz w:val="30"/>
          <w:szCs w:val="44"/>
        </w:rPr>
      </w:pPr>
      <w:r>
        <w:rPr>
          <w:rFonts w:cs="Times New Roman"/>
          <w:b/>
          <w:bCs/>
          <w:kern w:val="44"/>
          <w:sz w:val="30"/>
          <w:szCs w:val="44"/>
        </w:rPr>
        <w:br w:type="page"/>
      </w:r>
    </w:p>
    <w:p w14:paraId="2A29E45E">
      <w:pPr>
        <w:pStyle w:val="3"/>
        <w:pageBreakBefore w:val="0"/>
        <w:kinsoku/>
        <w:wordWrap/>
        <w:overflowPunct/>
        <w:topLinePunct w:val="0"/>
        <w:autoSpaceDE/>
        <w:autoSpaceDN/>
        <w:bidi w:val="0"/>
        <w:spacing w:before="0" w:after="0" w:line="440" w:lineRule="exact"/>
        <w:ind w:left="0" w:leftChars="0"/>
        <w:jc w:val="center"/>
        <w:rPr>
          <w:sz w:val="30"/>
          <w:szCs w:val="30"/>
        </w:rPr>
      </w:pPr>
      <w:bookmarkStart w:id="30" w:name="_Toc8939"/>
      <w:r>
        <w:rPr>
          <w:rFonts w:hint="eastAsia"/>
          <w:sz w:val="30"/>
          <w:szCs w:val="30"/>
        </w:rPr>
        <w:t>技术要求</w:t>
      </w:r>
      <w:bookmarkEnd w:id="30"/>
    </w:p>
    <w:p w14:paraId="79F091C5">
      <w:pPr>
        <w:pStyle w:val="4"/>
        <w:pageBreakBefore w:val="0"/>
        <w:kinsoku/>
        <w:wordWrap/>
        <w:overflowPunct/>
        <w:topLinePunct w:val="0"/>
        <w:autoSpaceDE/>
        <w:autoSpaceDN/>
        <w:bidi w:val="0"/>
        <w:spacing w:before="0" w:after="0" w:line="440" w:lineRule="exact"/>
        <w:ind w:left="0" w:leftChars="0"/>
        <w:rPr>
          <w:rFonts w:hint="eastAsia" w:ascii="仿宋" w:hAnsi="仿宋"/>
          <w:szCs w:val="28"/>
        </w:rPr>
      </w:pPr>
      <w:bookmarkStart w:id="31" w:name="_Toc22029"/>
      <w:r>
        <w:rPr>
          <w:rFonts w:hint="eastAsia" w:ascii="仿宋" w:hAnsi="仿宋" w:eastAsia="仿宋" w:cs="仿宋"/>
        </w:rPr>
        <w:t>总体需求</w:t>
      </w:r>
      <w:bookmarkEnd w:id="31"/>
    </w:p>
    <w:p w14:paraId="067A338E">
      <w:pPr>
        <w:pageBreakBefore w:val="0"/>
        <w:kinsoku/>
        <w:wordWrap/>
        <w:overflowPunct/>
        <w:topLinePunct w:val="0"/>
        <w:autoSpaceDE/>
        <w:autoSpaceDN/>
        <w:bidi w:val="0"/>
        <w:spacing w:line="440" w:lineRule="exact"/>
        <w:ind w:left="0" w:leftChars="0" w:firstLine="560"/>
        <w:rPr>
          <w:rFonts w:hint="eastAsia" w:ascii="仿宋" w:hAnsi="仿宋"/>
          <w:szCs w:val="28"/>
        </w:rPr>
      </w:pPr>
      <w:r>
        <w:rPr>
          <w:rFonts w:hint="eastAsia" w:ascii="仿宋" w:hAnsi="仿宋"/>
          <w:szCs w:val="28"/>
        </w:rPr>
        <w:t>本项目致力于构建城运侧视觉中枢平台，整合公安雪亮共享平台的17000路视频资源、街道小区的7000路视频、单兵设备以及各委办局的视频资源，实现资源的统一汇聚和高效应用。同时，将研发视频设备台账管理系统，对区级范围内所有视频类项目的信息进行集中管理，包括设备信息、服务器信息及视频元数据等，最终通过应用平台实现数据的统一管控和便捷使用。</w:t>
      </w:r>
    </w:p>
    <w:p w14:paraId="19A8AE5C">
      <w:pPr>
        <w:pStyle w:val="2"/>
        <w:pageBreakBefore w:val="0"/>
        <w:kinsoku/>
        <w:wordWrap/>
        <w:overflowPunct/>
        <w:topLinePunct w:val="0"/>
        <w:autoSpaceDE/>
        <w:autoSpaceDN/>
        <w:bidi w:val="0"/>
        <w:rPr>
          <w:rFonts w:hint="eastAsia"/>
          <w:b/>
          <w:bCs/>
        </w:rPr>
      </w:pPr>
      <w:r>
        <w:rPr>
          <w:rFonts w:hint="eastAsia"/>
          <w:b/>
          <w:bCs/>
        </w:rPr>
        <w:t>投标方需针对本项目提交需求分析</w:t>
      </w:r>
      <w:r>
        <w:rPr>
          <w:rFonts w:hint="eastAsia"/>
          <w:b/>
          <w:bCs/>
          <w:lang w:val="en-US" w:eastAsia="zh-CN"/>
        </w:rPr>
        <w:t>方案</w:t>
      </w:r>
      <w:r>
        <w:rPr>
          <w:rFonts w:hint="eastAsia"/>
          <w:b/>
          <w:bCs/>
        </w:rPr>
        <w:t>及理解阐述，并提出合理化建议与风险防控措施。同时，需设计一套数据汇集与平台信息交互对接方案，该方案应清晰明了、结构合理、安全可靠，且需充分符合本区及本市信息化建设的实际状况和数据对接的技术规范。</w:t>
      </w:r>
    </w:p>
    <w:p w14:paraId="57CEB9B7">
      <w:pPr>
        <w:pStyle w:val="4"/>
        <w:pageBreakBefore w:val="0"/>
        <w:kinsoku/>
        <w:wordWrap/>
        <w:overflowPunct/>
        <w:topLinePunct w:val="0"/>
        <w:autoSpaceDE/>
        <w:autoSpaceDN/>
        <w:bidi w:val="0"/>
        <w:spacing w:before="0" w:after="0" w:line="440" w:lineRule="exact"/>
        <w:ind w:left="0" w:leftChars="0"/>
        <w:rPr>
          <w:rFonts w:hint="eastAsia" w:ascii="仿宋" w:hAnsi="仿宋" w:eastAsia="仿宋" w:cs="仿宋"/>
        </w:rPr>
      </w:pPr>
      <w:bookmarkStart w:id="32" w:name="_Toc23559"/>
      <w:r>
        <w:rPr>
          <w:rFonts w:hint="eastAsia" w:ascii="仿宋" w:hAnsi="仿宋" w:eastAsia="仿宋" w:cs="仿宋"/>
        </w:rPr>
        <w:t>功能需求</w:t>
      </w:r>
      <w:bookmarkEnd w:id="32"/>
    </w:p>
    <w:p w14:paraId="35B8FE61">
      <w:pPr>
        <w:pStyle w:val="5"/>
        <w:pageBreakBefore w:val="0"/>
        <w:kinsoku/>
        <w:wordWrap/>
        <w:overflowPunct/>
        <w:topLinePunct w:val="0"/>
        <w:autoSpaceDE/>
        <w:autoSpaceDN/>
        <w:bidi w:val="0"/>
        <w:spacing w:line="440" w:lineRule="exact"/>
        <w:ind w:left="0" w:leftChars="0" w:firstLineChars="0"/>
        <w:rPr>
          <w:b/>
          <w:bCs/>
        </w:rPr>
      </w:pPr>
      <w:bookmarkStart w:id="33" w:name="_Toc10222"/>
      <w:r>
        <w:rPr>
          <w:rFonts w:hint="eastAsia"/>
          <w:b/>
          <w:bCs/>
        </w:rPr>
        <w:t>视频中枢资源调度系统</w:t>
      </w:r>
      <w:bookmarkEnd w:id="33"/>
    </w:p>
    <w:p w14:paraId="2CB8D48A">
      <w:pPr>
        <w:pStyle w:val="6"/>
        <w:pageBreakBefore w:val="0"/>
        <w:numPr>
          <w:ilvl w:val="0"/>
          <w:numId w:val="0"/>
        </w:numPr>
        <w:kinsoku/>
        <w:wordWrap/>
        <w:overflowPunct/>
        <w:topLinePunct w:val="0"/>
        <w:autoSpaceDE/>
        <w:autoSpaceDN/>
        <w:bidi w:val="0"/>
        <w:spacing w:line="440" w:lineRule="exact"/>
        <w:ind w:left="0" w:leftChars="0" w:firstLine="420"/>
        <w:rPr>
          <w:rFonts w:hint="default" w:eastAsia="仿宋"/>
          <w:lang w:val="en-US" w:eastAsia="zh-CN"/>
        </w:rPr>
      </w:pPr>
      <w:r>
        <w:rPr>
          <w:rFonts w:hint="eastAsia"/>
          <w:lang w:val="en-US" w:eastAsia="zh-CN"/>
        </w:rPr>
        <w:t>该系统</w:t>
      </w:r>
      <w:r>
        <w:rPr>
          <w:rFonts w:hint="eastAsia"/>
        </w:rPr>
        <w:t>实现视频监控资源的统一管理、高效调度和规范共享。通过集成多种功能模块，系统能够提升视频监控资源的利用率，确保视频数据的安全性和可追溯性，同时满足不同用户角色的个性化需求。</w:t>
      </w:r>
      <w:r>
        <w:rPr>
          <w:rFonts w:hint="eastAsia"/>
          <w:lang w:val="en-US" w:eastAsia="zh-CN"/>
        </w:rPr>
        <w:t>详细功能见2.4软件功能清单。</w:t>
      </w:r>
    </w:p>
    <w:p w14:paraId="1A0D4A4B">
      <w:pPr>
        <w:pStyle w:val="5"/>
        <w:pageBreakBefore w:val="0"/>
        <w:kinsoku/>
        <w:wordWrap/>
        <w:overflowPunct/>
        <w:topLinePunct w:val="0"/>
        <w:autoSpaceDE/>
        <w:autoSpaceDN/>
        <w:bidi w:val="0"/>
        <w:spacing w:line="440" w:lineRule="exact"/>
        <w:ind w:left="0" w:leftChars="0" w:firstLineChars="0"/>
        <w:rPr>
          <w:b/>
          <w:bCs/>
        </w:rPr>
      </w:pPr>
      <w:bookmarkStart w:id="34" w:name="_Toc14056"/>
      <w:r>
        <w:rPr>
          <w:rFonts w:hint="eastAsia"/>
          <w:b/>
          <w:bCs/>
        </w:rPr>
        <w:t>视频设备一机一档台账管理系统</w:t>
      </w:r>
      <w:bookmarkEnd w:id="34"/>
    </w:p>
    <w:p w14:paraId="37C1F796">
      <w:pPr>
        <w:pStyle w:val="6"/>
        <w:pageBreakBefore w:val="0"/>
        <w:numPr>
          <w:ilvl w:val="0"/>
          <w:numId w:val="0"/>
        </w:numPr>
        <w:kinsoku/>
        <w:wordWrap/>
        <w:overflowPunct/>
        <w:topLinePunct w:val="0"/>
        <w:autoSpaceDE/>
        <w:autoSpaceDN/>
        <w:bidi w:val="0"/>
        <w:spacing w:line="440" w:lineRule="exact"/>
        <w:ind w:left="0" w:leftChars="0" w:firstLine="420"/>
        <w:rPr>
          <w:rFonts w:hint="eastAsia" w:eastAsia="仿宋"/>
          <w:lang w:eastAsia="zh-CN"/>
        </w:rPr>
      </w:pPr>
      <w:r>
        <w:rPr>
          <w:rFonts w:hint="eastAsia"/>
        </w:rPr>
        <w:t>实现对视频类设备和感知设备的档案进行集中、统一的管理，通过系统化的方式大幅提升管理效率和准确性。通过数据录入、清洗、共享等全方位功能，确保数据的准确性、全面性和及时性，保持数据的完整性。同时，积极推动数据格式的标准化，确保数据集内部的一致性，为后续的数据分析和处理奠定坚实基础。此外，系统还具备及时识别和处理数据异常值的能力，有效提高数据质量，确保数据的可靠性和可用性。</w:t>
      </w:r>
      <w:r>
        <w:rPr>
          <w:rFonts w:hint="eastAsia"/>
          <w:lang w:val="en-US" w:eastAsia="zh-CN"/>
        </w:rPr>
        <w:t>详细功能见2.4软件功能清单。</w:t>
      </w:r>
    </w:p>
    <w:p w14:paraId="4209231F">
      <w:pPr>
        <w:pStyle w:val="5"/>
        <w:pageBreakBefore w:val="0"/>
        <w:kinsoku/>
        <w:wordWrap/>
        <w:overflowPunct/>
        <w:topLinePunct w:val="0"/>
        <w:autoSpaceDE/>
        <w:autoSpaceDN/>
        <w:bidi w:val="0"/>
        <w:spacing w:line="440" w:lineRule="exact"/>
        <w:ind w:left="0" w:leftChars="0" w:firstLineChars="0"/>
        <w:rPr>
          <w:b/>
          <w:bCs/>
        </w:rPr>
      </w:pPr>
      <w:bookmarkStart w:id="35" w:name="_Toc19801"/>
      <w:r>
        <w:rPr>
          <w:rFonts w:hint="eastAsia"/>
          <w:b/>
          <w:bCs/>
        </w:rPr>
        <w:t>全景数字化指挥处置系统</w:t>
      </w:r>
      <w:bookmarkEnd w:id="35"/>
    </w:p>
    <w:p w14:paraId="772F260E">
      <w:pPr>
        <w:pStyle w:val="6"/>
        <w:pageBreakBefore w:val="0"/>
        <w:numPr>
          <w:ilvl w:val="0"/>
          <w:numId w:val="0"/>
        </w:numPr>
        <w:kinsoku/>
        <w:wordWrap/>
        <w:overflowPunct/>
        <w:topLinePunct w:val="0"/>
        <w:autoSpaceDE/>
        <w:autoSpaceDN/>
        <w:bidi w:val="0"/>
        <w:spacing w:line="440" w:lineRule="exact"/>
        <w:ind w:left="0" w:leftChars="0" w:firstLine="420"/>
        <w:rPr>
          <w:rFonts w:hint="eastAsia"/>
        </w:rPr>
      </w:pPr>
      <w:r>
        <w:rPr>
          <w:rFonts w:hint="eastAsia"/>
        </w:rPr>
        <w:t>利用先进的信息技术和智能算法，构建一个高效、智能、全面的城市事件管理和处置平台，以实现对城市治理的精细化、智能化管理。</w:t>
      </w:r>
      <w:r>
        <w:rPr>
          <w:rFonts w:hint="eastAsia"/>
          <w:lang w:val="en-US" w:eastAsia="zh-CN"/>
        </w:rPr>
        <w:t>本系统</w:t>
      </w:r>
      <w:r>
        <w:rPr>
          <w:rFonts w:hint="eastAsia"/>
        </w:rPr>
        <w:t>通过集成场景事件处置、智能流程、智能插件、场景事件智能分析、监督及评价管理等功能模块，提升城市治理的响应速度、决策效率和执行力度，从而推动城市管理的现代化进程。</w:t>
      </w:r>
      <w:r>
        <w:rPr>
          <w:rFonts w:hint="eastAsia"/>
          <w:lang w:val="en-US" w:eastAsia="zh-CN"/>
        </w:rPr>
        <w:t>详细功能见2.4软件功能清单。</w:t>
      </w:r>
    </w:p>
    <w:p w14:paraId="0C3C0CCB">
      <w:pPr>
        <w:pStyle w:val="5"/>
        <w:pageBreakBefore w:val="0"/>
        <w:kinsoku/>
        <w:wordWrap/>
        <w:overflowPunct/>
        <w:topLinePunct w:val="0"/>
        <w:autoSpaceDE/>
        <w:autoSpaceDN/>
        <w:bidi w:val="0"/>
        <w:spacing w:line="440" w:lineRule="exact"/>
        <w:ind w:left="0" w:leftChars="0" w:firstLineChars="0"/>
        <w:rPr>
          <w:rFonts w:hint="eastAsia" w:ascii="Times New Roman" w:hAnsi="Times New Roman" w:eastAsia="仿宋" w:cstheme="minorBidi"/>
          <w:b/>
          <w:bCs/>
          <w:kern w:val="2"/>
          <w:sz w:val="28"/>
          <w:szCs w:val="22"/>
          <w:lang w:val="en-US" w:eastAsia="zh-CN" w:bidi="ar-SA"/>
        </w:rPr>
      </w:pPr>
      <w:bookmarkStart w:id="36" w:name="_Toc11670"/>
      <w:r>
        <w:rPr>
          <w:rFonts w:hint="eastAsia" w:cstheme="minorBidi"/>
          <w:b/>
          <w:bCs/>
          <w:kern w:val="2"/>
          <w:sz w:val="28"/>
          <w:szCs w:val="22"/>
          <w:lang w:val="en-US" w:eastAsia="zh-CN" w:bidi="ar-SA"/>
        </w:rPr>
        <w:t>全景视频融合系统底座</w:t>
      </w:r>
      <w:bookmarkEnd w:id="36"/>
    </w:p>
    <w:p w14:paraId="225D54DC">
      <w:pPr>
        <w:pStyle w:val="6"/>
        <w:pageBreakBefore w:val="0"/>
        <w:numPr>
          <w:ilvl w:val="0"/>
          <w:numId w:val="0"/>
        </w:numPr>
        <w:kinsoku/>
        <w:wordWrap/>
        <w:overflowPunct/>
        <w:topLinePunct w:val="0"/>
        <w:autoSpaceDE/>
        <w:autoSpaceDN/>
        <w:bidi w:val="0"/>
        <w:spacing w:line="440" w:lineRule="exact"/>
        <w:ind w:left="0" w:leftChars="0" w:firstLine="420" w:firstLineChars="0"/>
        <w:rPr>
          <w:rFonts w:hint="eastAsia"/>
          <w:lang w:val="en-US" w:eastAsia="zh-CN"/>
        </w:rPr>
      </w:pPr>
      <w:r>
        <w:rPr>
          <w:rFonts w:hint="eastAsia"/>
          <w:lang w:val="en-US" w:eastAsia="zh-CN"/>
        </w:rPr>
        <w:t>在大宁商圈、苏河湾、南京西路商圈及火车站等重点区域构建实时动态视频实景地图。系统采用高点统领、低点协同的立体监控模式，通过增强现实技术叠加道路、建筑、监控设备等多维度数据标签，形成可搜索定位的"活地图"，实现视频即数据、场景即应用的全新业务模式。详细功能见2.3产品功能清单。</w:t>
      </w:r>
    </w:p>
    <w:p w14:paraId="1E912BA3">
      <w:pPr>
        <w:pStyle w:val="5"/>
        <w:pageBreakBefore w:val="0"/>
        <w:kinsoku/>
        <w:wordWrap/>
        <w:overflowPunct/>
        <w:topLinePunct w:val="0"/>
        <w:autoSpaceDE/>
        <w:autoSpaceDN/>
        <w:bidi w:val="0"/>
        <w:spacing w:line="440" w:lineRule="exact"/>
        <w:ind w:left="0" w:leftChars="0" w:firstLineChars="0"/>
        <w:rPr>
          <w:rFonts w:hint="eastAsia" w:ascii="Times New Roman" w:hAnsi="Times New Roman" w:eastAsia="仿宋" w:cstheme="minorBidi"/>
          <w:b/>
          <w:bCs/>
          <w:kern w:val="2"/>
          <w:sz w:val="28"/>
          <w:szCs w:val="22"/>
          <w:lang w:val="en-US" w:eastAsia="zh-CN" w:bidi="ar-SA"/>
        </w:rPr>
      </w:pPr>
      <w:bookmarkStart w:id="37" w:name="_Toc6429"/>
      <w:r>
        <w:rPr>
          <w:rFonts w:hint="eastAsia" w:cstheme="minorBidi"/>
          <w:b/>
          <w:bCs/>
          <w:kern w:val="2"/>
          <w:sz w:val="28"/>
          <w:szCs w:val="22"/>
          <w:lang w:val="en-US" w:eastAsia="zh-CN" w:bidi="ar-SA"/>
        </w:rPr>
        <w:t>全景数字化治理指挥系统底座</w:t>
      </w:r>
      <w:bookmarkEnd w:id="37"/>
    </w:p>
    <w:p w14:paraId="787C4F9D">
      <w:pPr>
        <w:pStyle w:val="6"/>
        <w:pageBreakBefore w:val="0"/>
        <w:numPr>
          <w:ilvl w:val="0"/>
          <w:numId w:val="0"/>
        </w:numPr>
        <w:kinsoku/>
        <w:wordWrap/>
        <w:overflowPunct/>
        <w:topLinePunct w:val="0"/>
        <w:autoSpaceDE/>
        <w:autoSpaceDN/>
        <w:bidi w:val="0"/>
        <w:spacing w:line="440" w:lineRule="exact"/>
        <w:ind w:left="0" w:leftChars="0" w:firstLine="420" w:firstLineChars="0"/>
        <w:rPr>
          <w:rFonts w:hint="eastAsia"/>
          <w:lang w:val="en-US" w:eastAsia="zh-CN"/>
        </w:rPr>
      </w:pPr>
      <w:r>
        <w:rPr>
          <w:rFonts w:hint="eastAsia"/>
          <w:lang w:val="en-US" w:eastAsia="zh-CN"/>
        </w:rPr>
        <w:t>本系统底座通过统一资源管理、智能检索、开放接口及安全管控，构建了“一网统管”的技术支撑体系，旨在实现城市视频资源的高效利用、跨部门协同与快速响应，推动城市治理向数字化、智能化转型。其核心价值在于整合碎片化资源、提升管理效能，并为城市安全、应急指挥等场景提供可靠的技术保障。详细功能见2.3产品功能清单</w:t>
      </w:r>
    </w:p>
    <w:p w14:paraId="455FE785">
      <w:pPr>
        <w:pStyle w:val="5"/>
        <w:pageBreakBefore w:val="0"/>
        <w:kinsoku/>
        <w:wordWrap/>
        <w:overflowPunct/>
        <w:topLinePunct w:val="0"/>
        <w:autoSpaceDE/>
        <w:autoSpaceDN/>
        <w:bidi w:val="0"/>
        <w:spacing w:line="440" w:lineRule="exact"/>
        <w:ind w:left="0" w:leftChars="0" w:firstLineChars="0"/>
        <w:rPr>
          <w:rFonts w:hint="eastAsia" w:ascii="Times New Roman" w:hAnsi="Times New Roman" w:eastAsia="仿宋" w:cstheme="minorBidi"/>
          <w:b/>
          <w:bCs/>
          <w:kern w:val="2"/>
          <w:sz w:val="28"/>
          <w:szCs w:val="22"/>
          <w:lang w:val="en-US" w:eastAsia="zh-CN" w:bidi="ar-SA"/>
        </w:rPr>
      </w:pPr>
      <w:bookmarkStart w:id="38" w:name="_Toc3331"/>
      <w:r>
        <w:rPr>
          <w:rFonts w:hint="eastAsia" w:cstheme="minorBidi"/>
          <w:b/>
          <w:bCs/>
          <w:kern w:val="2"/>
          <w:sz w:val="28"/>
          <w:szCs w:val="22"/>
          <w:lang w:val="en-US" w:eastAsia="zh-CN" w:bidi="ar-SA"/>
        </w:rPr>
        <w:t>接口对接</w:t>
      </w:r>
      <w:bookmarkEnd w:id="38"/>
    </w:p>
    <w:p w14:paraId="06FAB77C">
      <w:pPr>
        <w:pStyle w:val="6"/>
        <w:pageBreakBefore w:val="0"/>
        <w:numPr>
          <w:ilvl w:val="0"/>
          <w:numId w:val="0"/>
        </w:numPr>
        <w:kinsoku/>
        <w:wordWrap/>
        <w:overflowPunct/>
        <w:topLinePunct w:val="0"/>
        <w:autoSpaceDE/>
        <w:autoSpaceDN/>
        <w:bidi w:val="0"/>
        <w:spacing w:line="440" w:lineRule="exact"/>
        <w:ind w:left="0" w:leftChars="0"/>
        <w:rPr>
          <w:rFonts w:hint="eastAsia"/>
          <w:lang w:val="en-US" w:eastAsia="zh-CN"/>
        </w:rPr>
      </w:pPr>
      <w:r>
        <w:rPr>
          <w:rFonts w:hint="eastAsia"/>
          <w:lang w:val="en-US" w:eastAsia="zh-CN"/>
        </w:rPr>
        <w:t>本次项目不涉及终端建设，涉及到的接口包括：</w:t>
      </w:r>
    </w:p>
    <w:p w14:paraId="26DEB562">
      <w:pPr>
        <w:pStyle w:val="6"/>
        <w:pageBreakBefore w:val="0"/>
        <w:numPr>
          <w:ilvl w:val="0"/>
          <w:numId w:val="0"/>
        </w:numPr>
        <w:kinsoku/>
        <w:wordWrap/>
        <w:overflowPunct/>
        <w:topLinePunct w:val="0"/>
        <w:autoSpaceDE/>
        <w:autoSpaceDN/>
        <w:bidi w:val="0"/>
        <w:spacing w:line="440" w:lineRule="exact"/>
        <w:ind w:left="0" w:leftChars="0"/>
        <w:rPr>
          <w:rFonts w:hint="eastAsia"/>
          <w:lang w:val="en-US" w:eastAsia="zh-CN"/>
        </w:rPr>
      </w:pPr>
      <w:r>
        <w:rPr>
          <w:rFonts w:hint="eastAsia"/>
          <w:lang w:val="en-US" w:eastAsia="zh-CN"/>
        </w:rPr>
        <w:t>1.与城运2.0系统对接 ；</w:t>
      </w:r>
    </w:p>
    <w:p w14:paraId="7CBF3A97">
      <w:pPr>
        <w:pStyle w:val="6"/>
        <w:pageBreakBefore w:val="0"/>
        <w:numPr>
          <w:ilvl w:val="0"/>
          <w:numId w:val="0"/>
        </w:numPr>
        <w:kinsoku/>
        <w:wordWrap/>
        <w:overflowPunct/>
        <w:topLinePunct w:val="0"/>
        <w:autoSpaceDE/>
        <w:autoSpaceDN/>
        <w:bidi w:val="0"/>
        <w:spacing w:line="440" w:lineRule="exact"/>
        <w:ind w:left="0" w:leftChars="0"/>
        <w:rPr>
          <w:rFonts w:hint="eastAsia"/>
          <w:lang w:val="en-US" w:eastAsia="zh-CN"/>
        </w:rPr>
      </w:pPr>
      <w:r>
        <w:rPr>
          <w:rFonts w:hint="eastAsia"/>
          <w:lang w:val="en-US" w:eastAsia="zh-CN"/>
        </w:rPr>
        <w:t>2.与市、区GIS系统对接；</w:t>
      </w:r>
    </w:p>
    <w:p w14:paraId="21A856B9">
      <w:pPr>
        <w:pStyle w:val="6"/>
        <w:pageBreakBefore w:val="0"/>
        <w:numPr>
          <w:ilvl w:val="0"/>
          <w:numId w:val="0"/>
        </w:numPr>
        <w:kinsoku/>
        <w:wordWrap/>
        <w:overflowPunct/>
        <w:topLinePunct w:val="0"/>
        <w:autoSpaceDE/>
        <w:autoSpaceDN/>
        <w:bidi w:val="0"/>
        <w:spacing w:line="440" w:lineRule="exact"/>
        <w:ind w:left="0" w:leftChars="0"/>
        <w:rPr>
          <w:rFonts w:hint="eastAsia"/>
          <w:lang w:val="en-US" w:eastAsia="zh-CN"/>
        </w:rPr>
      </w:pPr>
      <w:r>
        <w:rPr>
          <w:rFonts w:hint="eastAsia"/>
          <w:lang w:val="en-US" w:eastAsia="zh-CN"/>
        </w:rPr>
        <w:t>3.与公安视频系统对接；</w:t>
      </w:r>
    </w:p>
    <w:p w14:paraId="23BD7380">
      <w:pPr>
        <w:pStyle w:val="6"/>
        <w:pageBreakBefore w:val="0"/>
        <w:numPr>
          <w:ilvl w:val="0"/>
          <w:numId w:val="0"/>
        </w:numPr>
        <w:kinsoku/>
        <w:wordWrap/>
        <w:overflowPunct/>
        <w:topLinePunct w:val="0"/>
        <w:autoSpaceDE/>
        <w:autoSpaceDN/>
        <w:bidi w:val="0"/>
        <w:spacing w:line="440" w:lineRule="exact"/>
        <w:ind w:left="0" w:leftChars="0"/>
        <w:rPr>
          <w:rFonts w:hint="eastAsia"/>
          <w:lang w:val="en-US" w:eastAsia="zh-CN"/>
        </w:rPr>
      </w:pPr>
      <w:r>
        <w:rPr>
          <w:rFonts w:hint="eastAsia"/>
          <w:lang w:val="en-US" w:eastAsia="zh-CN"/>
        </w:rPr>
        <w:t>4.与全球眼系统对接；</w:t>
      </w:r>
    </w:p>
    <w:p w14:paraId="02CA54FF">
      <w:pPr>
        <w:pStyle w:val="6"/>
        <w:pageBreakBefore w:val="0"/>
        <w:numPr>
          <w:ilvl w:val="0"/>
          <w:numId w:val="0"/>
        </w:numPr>
        <w:kinsoku/>
        <w:wordWrap/>
        <w:overflowPunct/>
        <w:topLinePunct w:val="0"/>
        <w:autoSpaceDE/>
        <w:autoSpaceDN/>
        <w:bidi w:val="0"/>
        <w:spacing w:line="440" w:lineRule="exact"/>
        <w:ind w:left="0" w:leftChars="0"/>
        <w:rPr>
          <w:rFonts w:hint="eastAsia"/>
          <w:lang w:val="en-US" w:eastAsia="zh-CN"/>
        </w:rPr>
      </w:pPr>
      <w:r>
        <w:rPr>
          <w:rFonts w:hint="eastAsia"/>
          <w:lang w:val="en-US" w:eastAsia="zh-CN"/>
        </w:rPr>
        <w:t>5.与“明厨亮灶”视频对接</w:t>
      </w:r>
    </w:p>
    <w:p w14:paraId="6DFA1808">
      <w:pPr>
        <w:pStyle w:val="6"/>
        <w:pageBreakBefore w:val="0"/>
        <w:numPr>
          <w:ilvl w:val="0"/>
          <w:numId w:val="0"/>
        </w:numPr>
        <w:kinsoku/>
        <w:wordWrap/>
        <w:overflowPunct/>
        <w:topLinePunct w:val="0"/>
        <w:autoSpaceDE/>
        <w:autoSpaceDN/>
        <w:bidi w:val="0"/>
        <w:spacing w:line="440" w:lineRule="exact"/>
        <w:ind w:left="0" w:leftChars="0"/>
        <w:rPr>
          <w:rFonts w:hint="eastAsia"/>
          <w:lang w:val="en-US" w:eastAsia="zh-CN"/>
        </w:rPr>
      </w:pPr>
      <w:r>
        <w:rPr>
          <w:rFonts w:hint="eastAsia"/>
          <w:lang w:val="en-US" w:eastAsia="zh-CN"/>
        </w:rPr>
        <w:t>6.与单兵设备对接</w:t>
      </w:r>
    </w:p>
    <w:p w14:paraId="01D8A3C6">
      <w:pPr>
        <w:pStyle w:val="6"/>
        <w:pageBreakBefore w:val="0"/>
        <w:numPr>
          <w:ilvl w:val="0"/>
          <w:numId w:val="0"/>
        </w:numPr>
        <w:kinsoku/>
        <w:wordWrap/>
        <w:overflowPunct/>
        <w:topLinePunct w:val="0"/>
        <w:autoSpaceDE/>
        <w:autoSpaceDN/>
        <w:bidi w:val="0"/>
        <w:spacing w:line="440" w:lineRule="exact"/>
        <w:ind w:left="0" w:leftChars="0"/>
        <w:rPr>
          <w:rFonts w:hint="eastAsia"/>
          <w:lang w:val="en-US" w:eastAsia="zh-CN"/>
        </w:rPr>
      </w:pPr>
      <w:r>
        <w:rPr>
          <w:rFonts w:hint="eastAsia"/>
          <w:lang w:val="en-US" w:eastAsia="zh-CN"/>
        </w:rPr>
        <w:t>7.开发通用视频资源共享接口为委办局提供服务。</w:t>
      </w:r>
    </w:p>
    <w:p w14:paraId="3823912D">
      <w:pPr>
        <w:pStyle w:val="4"/>
        <w:pageBreakBefore w:val="0"/>
        <w:kinsoku/>
        <w:wordWrap/>
        <w:overflowPunct/>
        <w:topLinePunct w:val="0"/>
        <w:autoSpaceDE/>
        <w:autoSpaceDN/>
        <w:bidi w:val="0"/>
        <w:spacing w:before="0" w:after="0" w:line="440" w:lineRule="exact"/>
        <w:ind w:left="0" w:leftChars="0"/>
        <w:rPr>
          <w:rFonts w:hint="eastAsia" w:ascii="仿宋" w:hAnsi="仿宋" w:eastAsia="仿宋" w:cs="仿宋"/>
        </w:rPr>
      </w:pPr>
      <w:bookmarkStart w:id="39" w:name="_Toc15445"/>
      <w:r>
        <w:rPr>
          <w:rFonts w:hint="eastAsia" w:ascii="仿宋" w:hAnsi="仿宋" w:eastAsia="仿宋" w:cs="仿宋"/>
        </w:rPr>
        <w:t>产品</w:t>
      </w:r>
      <w:r>
        <w:rPr>
          <w:rFonts w:hint="eastAsia" w:ascii="仿宋" w:hAnsi="仿宋" w:eastAsia="仿宋" w:cs="仿宋"/>
          <w:lang w:val="en-US" w:eastAsia="zh-CN"/>
        </w:rPr>
        <w:t>功能</w:t>
      </w:r>
      <w:r>
        <w:rPr>
          <w:rFonts w:hint="eastAsia" w:ascii="仿宋" w:hAnsi="仿宋" w:eastAsia="仿宋" w:cs="仿宋"/>
        </w:rPr>
        <w:t>清单</w:t>
      </w:r>
      <w:r>
        <w:rPr>
          <w:rFonts w:hint="eastAsia" w:ascii="仿宋" w:hAnsi="仿宋" w:eastAsia="仿宋" w:cs="仿宋"/>
          <w:lang w:eastAsia="zh-CN"/>
        </w:rPr>
        <w:t>（</w:t>
      </w:r>
      <w:r>
        <w:rPr>
          <w:rFonts w:hint="eastAsia" w:ascii="仿宋" w:hAnsi="仿宋" w:eastAsia="仿宋" w:cs="仿宋"/>
          <w:lang w:val="en-US" w:eastAsia="zh-CN"/>
        </w:rPr>
        <w:t>成品软件</w:t>
      </w:r>
      <w:r>
        <w:rPr>
          <w:rFonts w:hint="eastAsia" w:ascii="仿宋" w:hAnsi="仿宋" w:eastAsia="仿宋" w:cs="仿宋"/>
          <w:lang w:eastAsia="zh-CN"/>
        </w:rPr>
        <w:t>）</w:t>
      </w:r>
      <w:bookmarkEnd w:id="39"/>
    </w:p>
    <w:tbl>
      <w:tblPr>
        <w:tblStyle w:val="22"/>
        <w:tblW w:w="5783" w:type="pct"/>
        <w:tblInd w:w="-639" w:type="dxa"/>
        <w:tblLayout w:type="fixed"/>
        <w:tblCellMar>
          <w:top w:w="0" w:type="dxa"/>
          <w:left w:w="108" w:type="dxa"/>
          <w:bottom w:w="0" w:type="dxa"/>
          <w:right w:w="108" w:type="dxa"/>
        </w:tblCellMar>
      </w:tblPr>
      <w:tblGrid>
        <w:gridCol w:w="539"/>
        <w:gridCol w:w="786"/>
        <w:gridCol w:w="1194"/>
        <w:gridCol w:w="7338"/>
      </w:tblGrid>
      <w:tr w14:paraId="6255DB62">
        <w:tblPrEx>
          <w:tblCellMar>
            <w:top w:w="0" w:type="dxa"/>
            <w:left w:w="108" w:type="dxa"/>
            <w:bottom w:w="0" w:type="dxa"/>
            <w:right w:w="108" w:type="dxa"/>
          </w:tblCellMar>
        </w:tblPrEx>
        <w:trPr>
          <w:trHeight w:val="300" w:hRule="atLeast"/>
        </w:trPr>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154BD">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b/>
                <w:bCs/>
                <w:color w:val="000000"/>
                <w:kern w:val="0"/>
                <w:sz w:val="24"/>
                <w:szCs w:val="24"/>
                <w:lang w:bidi="ar"/>
              </w:rPr>
            </w:pPr>
            <w:r>
              <w:rPr>
                <w:rFonts w:hint="eastAsia" w:ascii="仿宋" w:hAnsi="仿宋" w:cs="仿宋"/>
                <w:b/>
                <w:bCs/>
                <w:color w:val="000000"/>
                <w:kern w:val="0"/>
                <w:sz w:val="24"/>
                <w:szCs w:val="24"/>
                <w:lang w:bidi="ar"/>
              </w:rPr>
              <w:t>序号</w:t>
            </w:r>
          </w:p>
        </w:tc>
        <w:tc>
          <w:tcPr>
            <w:tcW w:w="3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A4488">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b/>
                <w:bCs/>
                <w:color w:val="000000"/>
                <w:kern w:val="0"/>
                <w:sz w:val="24"/>
                <w:szCs w:val="24"/>
                <w:lang w:bidi="ar"/>
              </w:rPr>
            </w:pPr>
            <w:r>
              <w:rPr>
                <w:rFonts w:hint="eastAsia" w:ascii="仿宋" w:hAnsi="仿宋" w:cs="仿宋"/>
                <w:b/>
                <w:bCs/>
                <w:color w:val="000000"/>
                <w:kern w:val="0"/>
                <w:sz w:val="24"/>
                <w:szCs w:val="24"/>
                <w:lang w:bidi="ar"/>
              </w:rPr>
              <w:t>分类</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A108B">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b/>
                <w:bCs/>
                <w:color w:val="000000"/>
                <w:kern w:val="0"/>
                <w:sz w:val="24"/>
                <w:szCs w:val="24"/>
                <w:lang w:bidi="ar"/>
              </w:rPr>
            </w:pPr>
            <w:r>
              <w:rPr>
                <w:rFonts w:hint="eastAsia" w:ascii="仿宋" w:hAnsi="仿宋" w:cs="仿宋"/>
                <w:b/>
                <w:bCs/>
                <w:color w:val="000000"/>
                <w:kern w:val="0"/>
                <w:sz w:val="24"/>
                <w:szCs w:val="24"/>
                <w:lang w:bidi="ar"/>
              </w:rPr>
              <w:t>产品名称</w:t>
            </w:r>
          </w:p>
        </w:tc>
        <w:tc>
          <w:tcPr>
            <w:tcW w:w="3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A257F">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b/>
                <w:bCs/>
                <w:color w:val="000000"/>
                <w:kern w:val="0"/>
                <w:sz w:val="24"/>
                <w:szCs w:val="24"/>
                <w:lang w:bidi="ar"/>
              </w:rPr>
            </w:pPr>
            <w:r>
              <w:rPr>
                <w:rFonts w:hint="eastAsia" w:ascii="仿宋" w:hAnsi="仿宋" w:cs="仿宋"/>
                <w:b/>
                <w:bCs/>
                <w:color w:val="000000"/>
                <w:kern w:val="0"/>
                <w:sz w:val="24"/>
                <w:szCs w:val="24"/>
                <w:lang w:bidi="ar"/>
              </w:rPr>
              <w:t>性能参数</w:t>
            </w:r>
          </w:p>
        </w:tc>
      </w:tr>
      <w:tr w14:paraId="5EE5489A">
        <w:tblPrEx>
          <w:tblCellMar>
            <w:top w:w="0" w:type="dxa"/>
            <w:left w:w="108" w:type="dxa"/>
            <w:bottom w:w="0" w:type="dxa"/>
            <w:right w:w="108" w:type="dxa"/>
          </w:tblCellMar>
        </w:tblPrEx>
        <w:trPr>
          <w:trHeight w:val="1688" w:hRule="atLeast"/>
        </w:trPr>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22E5A">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w:t>
            </w:r>
          </w:p>
        </w:tc>
        <w:tc>
          <w:tcPr>
            <w:tcW w:w="39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38B77">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全景数字化治理指挥底座</w:t>
            </w:r>
          </w:p>
        </w:tc>
        <w:tc>
          <w:tcPr>
            <w:tcW w:w="6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44136">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基础服务</w:t>
            </w:r>
          </w:p>
        </w:tc>
        <w:tc>
          <w:tcPr>
            <w:tcW w:w="3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93BCB">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eastAsia="仿宋" w:cs="仿宋"/>
                <w:i w:val="0"/>
                <w:iCs w:val="0"/>
                <w:caps w:val="0"/>
                <w:color w:val="06071F"/>
                <w:spacing w:val="0"/>
                <w:sz w:val="24"/>
                <w:szCs w:val="24"/>
                <w:shd w:val="clear" w:fill="FDFDFE"/>
              </w:rPr>
              <w:t>提供统一认证鉴权管理，支持多认证方式及账户安全设置；具备门户、应用、用户、组织、资源、首页等管理能力，以及服务配置、系统运行监控、备份还原功能；支持BS/移动客户端视频预览、录像回放、电视墙</w:t>
            </w:r>
            <w:r>
              <w:rPr>
                <w:rFonts w:hint="eastAsia" w:ascii="仿宋" w:hAnsi="仿宋" w:cs="仿宋"/>
                <w:i w:val="0"/>
                <w:iCs w:val="0"/>
                <w:caps w:val="0"/>
                <w:color w:val="06071F"/>
                <w:spacing w:val="0"/>
                <w:sz w:val="24"/>
                <w:szCs w:val="24"/>
                <w:shd w:val="clear" w:fill="FDFDFE"/>
                <w:lang w:eastAsia="zh-CN"/>
              </w:rPr>
              <w:t>；</w:t>
            </w:r>
            <w:r>
              <w:rPr>
                <w:rFonts w:hint="eastAsia" w:ascii="仿宋" w:hAnsi="仿宋" w:cs="仿宋"/>
                <w:i w:val="0"/>
                <w:iCs w:val="0"/>
                <w:caps w:val="0"/>
                <w:color w:val="06071F"/>
                <w:spacing w:val="0"/>
                <w:sz w:val="24"/>
                <w:szCs w:val="24"/>
                <w:shd w:val="clear" w:fill="FDFDFE"/>
                <w:lang w:val="en-US" w:eastAsia="zh-CN"/>
              </w:rPr>
              <w:t>支持</w:t>
            </w:r>
            <w:r>
              <w:rPr>
                <w:rFonts w:hint="eastAsia" w:ascii="仿宋" w:hAnsi="仿宋" w:eastAsia="仿宋" w:cs="仿宋"/>
                <w:i w:val="0"/>
                <w:iCs w:val="0"/>
                <w:caps w:val="0"/>
                <w:color w:val="06071F"/>
                <w:spacing w:val="0"/>
                <w:sz w:val="24"/>
                <w:szCs w:val="24"/>
                <w:shd w:val="clear" w:fill="FDFDFE"/>
              </w:rPr>
              <w:t>GB/T 28181</w:t>
            </w:r>
            <w:r>
              <w:rPr>
                <w:rFonts w:hint="eastAsia" w:ascii="仿宋" w:hAnsi="仿宋" w:cs="仿宋"/>
                <w:i w:val="0"/>
                <w:iCs w:val="0"/>
                <w:caps w:val="0"/>
                <w:color w:val="06071F"/>
                <w:spacing w:val="0"/>
                <w:sz w:val="24"/>
                <w:szCs w:val="24"/>
                <w:shd w:val="clear" w:fill="FDFDFE"/>
                <w:lang w:eastAsia="zh-CN"/>
              </w:rPr>
              <w:t>、</w:t>
            </w:r>
            <w:r>
              <w:rPr>
                <w:rFonts w:hint="eastAsia" w:ascii="仿宋" w:hAnsi="仿宋" w:cs="仿宋"/>
                <w:i w:val="0"/>
                <w:iCs w:val="0"/>
                <w:caps w:val="0"/>
                <w:color w:val="06071F"/>
                <w:spacing w:val="0"/>
                <w:sz w:val="24"/>
                <w:szCs w:val="24"/>
                <w:shd w:val="clear" w:fill="FDFDFE"/>
                <w:lang w:val="en-US" w:eastAsia="zh-CN"/>
              </w:rPr>
              <w:t>ONVIF以及主流厂家SDK（如海康、大华）等协议</w:t>
            </w:r>
            <w:r>
              <w:rPr>
                <w:rFonts w:hint="eastAsia" w:ascii="仿宋" w:hAnsi="仿宋" w:eastAsia="仿宋" w:cs="仿宋"/>
                <w:i w:val="0"/>
                <w:iCs w:val="0"/>
                <w:caps w:val="0"/>
                <w:color w:val="06071F"/>
                <w:spacing w:val="0"/>
                <w:sz w:val="24"/>
                <w:szCs w:val="24"/>
                <w:shd w:val="clear" w:fill="FDFDFE"/>
              </w:rPr>
              <w:t>；</w:t>
            </w:r>
            <w:r>
              <w:rPr>
                <w:rFonts w:hint="eastAsia" w:ascii="仿宋" w:hAnsi="仿宋" w:cs="仿宋"/>
                <w:i w:val="0"/>
                <w:iCs w:val="0"/>
                <w:caps w:val="0"/>
                <w:color w:val="06071F"/>
                <w:spacing w:val="0"/>
                <w:sz w:val="24"/>
                <w:szCs w:val="24"/>
                <w:shd w:val="clear" w:fill="FDFDFE"/>
                <w:lang w:val="en-US" w:eastAsia="zh-CN"/>
              </w:rPr>
              <w:t>支持视频共享统一接口能力</w:t>
            </w:r>
            <w:r>
              <w:rPr>
                <w:rFonts w:hint="eastAsia" w:ascii="仿宋" w:hAnsi="仿宋" w:eastAsia="仿宋" w:cs="仿宋"/>
                <w:i w:val="0"/>
                <w:iCs w:val="0"/>
                <w:caps w:val="0"/>
                <w:color w:val="06071F"/>
                <w:spacing w:val="0"/>
                <w:sz w:val="24"/>
                <w:szCs w:val="24"/>
                <w:shd w:val="clear" w:fill="FDFDFE"/>
              </w:rPr>
              <w:t>；提供标准地图服务，支持电子地图视频应用；记录用户操作日志。</w:t>
            </w:r>
            <w:r>
              <w:rPr>
                <w:rFonts w:hint="eastAsia" w:ascii="仿宋" w:hAnsi="仿宋" w:eastAsia="仿宋" w:cs="仿宋"/>
                <w:i w:val="0"/>
                <w:iCs w:val="0"/>
                <w:caps w:val="0"/>
                <w:color w:val="06071F"/>
                <w:spacing w:val="0"/>
                <w:sz w:val="24"/>
                <w:szCs w:val="24"/>
                <w:shd w:val="clear" w:fill="FDFDFE"/>
              </w:rPr>
              <w:br w:type="textWrapping"/>
            </w:r>
            <w:r>
              <w:rPr>
                <w:rFonts w:hint="eastAsia" w:ascii="仿宋" w:hAnsi="仿宋" w:cs="仿宋"/>
                <w:color w:val="000000"/>
                <w:kern w:val="0"/>
                <w:sz w:val="24"/>
                <w:szCs w:val="24"/>
                <w:lang w:bidi="ar"/>
              </w:rPr>
              <w:t>支持与第三方应用平台的对接，支持对外赋能。</w:t>
            </w:r>
          </w:p>
        </w:tc>
      </w:tr>
      <w:tr w14:paraId="4CA7D104">
        <w:tblPrEx>
          <w:tblCellMar>
            <w:top w:w="0" w:type="dxa"/>
            <w:left w:w="108" w:type="dxa"/>
            <w:bottom w:w="0" w:type="dxa"/>
            <w:right w:w="108" w:type="dxa"/>
          </w:tblCellMar>
        </w:tblPrEx>
        <w:trPr>
          <w:trHeight w:val="1425" w:hRule="atLeast"/>
        </w:trPr>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65ACC">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w:t>
            </w: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9624F">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6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EC5C4">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标签手动标注</w:t>
            </w:r>
          </w:p>
        </w:tc>
        <w:tc>
          <w:tcPr>
            <w:tcW w:w="3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1A503">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支持用户手动为基础设施和物联设备添加场所标签、场所空间及自定义标签，同时支持为视频点位标注场所标签和自定义标签。</w:t>
            </w:r>
          </w:p>
        </w:tc>
      </w:tr>
      <w:tr w14:paraId="7746A9B0">
        <w:tblPrEx>
          <w:tblCellMar>
            <w:top w:w="0" w:type="dxa"/>
            <w:left w:w="108" w:type="dxa"/>
            <w:bottom w:w="0" w:type="dxa"/>
            <w:right w:w="108" w:type="dxa"/>
          </w:tblCellMar>
        </w:tblPrEx>
        <w:trPr>
          <w:trHeight w:val="1995" w:hRule="atLeast"/>
        </w:trPr>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9E5D7">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w:t>
            </w: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1EF2A">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6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828FB">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标签管理</w:t>
            </w:r>
          </w:p>
        </w:tc>
        <w:tc>
          <w:tcPr>
            <w:tcW w:w="3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8191F">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提供全面的标签管理能力，包括自定义标签和场所标签。在场所标签方面，平台默认预置了19类数据，如企业单位、机关团体、金融机构、教育机构等，满足多种场所管理需求。同时，支持用户根据业务应用场景灵活自定义多种标签，如防洪、安全保障、涵洞等，以便准确标注对应的视频点位，提升管理效率和精准度。</w:t>
            </w:r>
          </w:p>
        </w:tc>
      </w:tr>
      <w:tr w14:paraId="0C297326">
        <w:tblPrEx>
          <w:tblCellMar>
            <w:top w:w="0" w:type="dxa"/>
            <w:left w:w="108" w:type="dxa"/>
            <w:bottom w:w="0" w:type="dxa"/>
            <w:right w:w="108" w:type="dxa"/>
          </w:tblCellMar>
        </w:tblPrEx>
        <w:trPr>
          <w:trHeight w:val="450" w:hRule="atLeast"/>
        </w:trPr>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4C040">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4</w:t>
            </w: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B4338">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6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9F521">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视频轻量化播放</w:t>
            </w:r>
          </w:p>
        </w:tc>
        <w:tc>
          <w:tcPr>
            <w:tcW w:w="3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CB3AD">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eastAsia="仿宋" w:cs="仿宋"/>
                <w:color w:val="000000"/>
                <w:kern w:val="0"/>
                <w:sz w:val="24"/>
                <w:szCs w:val="24"/>
                <w:lang w:val="en-US" w:eastAsia="zh-CN" w:bidi="ar"/>
              </w:rPr>
            </w:pPr>
            <w:r>
              <w:rPr>
                <w:rFonts w:hint="eastAsia" w:ascii="仿宋" w:hAnsi="仿宋" w:cs="仿宋"/>
                <w:color w:val="000000"/>
                <w:kern w:val="0"/>
                <w:sz w:val="24"/>
                <w:szCs w:val="24"/>
                <w:lang w:bidi="ar"/>
              </w:rPr>
              <w:t>支持无插件播放功能，用户无需下载或安装任何额外插件，</w:t>
            </w:r>
            <w:r>
              <w:rPr>
                <w:rFonts w:hint="eastAsia" w:ascii="仿宋" w:hAnsi="仿宋" w:cs="仿宋"/>
                <w:color w:val="000000"/>
                <w:kern w:val="0"/>
                <w:sz w:val="24"/>
                <w:szCs w:val="24"/>
                <w:lang w:val="en-US" w:eastAsia="zh-CN" w:bidi="ar"/>
              </w:rPr>
              <w:t>支持</w:t>
            </w:r>
            <w:r>
              <w:rPr>
                <w:rFonts w:hint="eastAsia" w:ascii="仿宋" w:hAnsi="仿宋" w:cs="仿宋"/>
                <w:color w:val="000000"/>
                <w:kern w:val="0"/>
                <w:sz w:val="24"/>
                <w:szCs w:val="24"/>
                <w:lang w:bidi="ar"/>
              </w:rPr>
              <w:t>H5进行视频</w:t>
            </w:r>
            <w:r>
              <w:rPr>
                <w:rFonts w:hint="eastAsia" w:ascii="仿宋" w:hAnsi="仿宋" w:cs="仿宋"/>
                <w:color w:val="000000"/>
                <w:kern w:val="0"/>
                <w:sz w:val="24"/>
                <w:szCs w:val="24"/>
                <w:lang w:val="en-US" w:eastAsia="zh-CN" w:bidi="ar"/>
              </w:rPr>
              <w:t>预览</w:t>
            </w:r>
          </w:p>
        </w:tc>
      </w:tr>
      <w:tr w14:paraId="48107BCF">
        <w:tblPrEx>
          <w:tblCellMar>
            <w:top w:w="0" w:type="dxa"/>
            <w:left w:w="108" w:type="dxa"/>
            <w:bottom w:w="0" w:type="dxa"/>
            <w:right w:w="108" w:type="dxa"/>
          </w:tblCellMar>
        </w:tblPrEx>
        <w:trPr>
          <w:trHeight w:val="4696" w:hRule="atLeast"/>
        </w:trPr>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BA893">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5</w:t>
            </w: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87D37">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6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9CB11">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视频调阅</w:t>
            </w:r>
          </w:p>
        </w:tc>
        <w:tc>
          <w:tcPr>
            <w:tcW w:w="3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21CE4">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提供强大的视频资源共享能力，支持用户在线预览点位资源、回放录像。为了满足不同角色的查看需求，平台提供地图模式、浏览模式、推荐模式三种查看方式。在地图模式下，可按用户角色展示有权限的目录树，并清晰展示每个区域的点位数量。浏览模式则以卡片形式展示搜索出的点位和区域，支持添加预案、抓拍缩略图、申请视频点位资源等操作。此外，平台还提供视频预案功能，允许用户将点位批量添加到公有或私有预案中，方便后期快速调阅。同时，平台还具备视频收藏夹功能，支持点位收藏与分享。最后，平台提供视频接力能力，支持在地图上按排序撒点，并以1分屏或4分屏形式播放视频</w:t>
            </w:r>
          </w:p>
        </w:tc>
      </w:tr>
      <w:tr w14:paraId="0728ECF0">
        <w:tblPrEx>
          <w:tblCellMar>
            <w:top w:w="0" w:type="dxa"/>
            <w:left w:w="108" w:type="dxa"/>
            <w:bottom w:w="0" w:type="dxa"/>
            <w:right w:w="108" w:type="dxa"/>
          </w:tblCellMar>
        </w:tblPrEx>
        <w:trPr>
          <w:trHeight w:val="5181" w:hRule="atLeast"/>
        </w:trPr>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AAAA3">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6</w:t>
            </w: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BD381">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6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ECF42">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点位搜索</w:t>
            </w:r>
          </w:p>
        </w:tc>
        <w:tc>
          <w:tcPr>
            <w:tcW w:w="3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B8FCF">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提供强大的搜点能力，支持通过关键字、资源目录、场所标签或组合条件进行点位搜索，并可保存常用搜索条件。支持发起点位资源申请和实时视图分析。地图展示方面，可按条件查询后将点位基于经纬度铺在地图上。标签查询支持智能标签、管理单位、点位类型及自定义标签，同时支持多种查询条件交叉复合查询。点位详情展示包括基础信息、位置信息、管理信息等4个维度，并显示点位最近10条事件，可跳转至事件详情页面。点位操作方面，支持单个点位查看详情、预览、回放、抓拍图查看、添加到收藏夹及查询周边点位；同时支持批量操作，如批量预览、回放、添加至收藏夹、复制信息、导出信息及携带信息进行资源申请或实时视图分析。</w:t>
            </w:r>
          </w:p>
        </w:tc>
      </w:tr>
      <w:tr w14:paraId="03400EAB">
        <w:tblPrEx>
          <w:tblCellMar>
            <w:top w:w="0" w:type="dxa"/>
            <w:left w:w="108" w:type="dxa"/>
            <w:bottom w:w="0" w:type="dxa"/>
            <w:right w:w="108" w:type="dxa"/>
          </w:tblCellMar>
        </w:tblPrEx>
        <w:trPr>
          <w:trHeight w:val="2145" w:hRule="atLeast"/>
        </w:trPr>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7C5D1">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7</w:t>
            </w: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66325">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6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20FF2">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联网网关配置</w:t>
            </w:r>
          </w:p>
        </w:tc>
        <w:tc>
          <w:tcPr>
            <w:tcW w:w="3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80826">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支持GB/T 28181-2022和GB 35114-2017标准，满足常规联网需求以及对敏感视频联网接入的安全管理要求。支持至少1</w:t>
            </w:r>
            <w:r>
              <w:rPr>
                <w:rFonts w:hint="eastAsia" w:ascii="仿宋" w:hAnsi="仿宋" w:cs="仿宋"/>
                <w:color w:val="000000"/>
                <w:kern w:val="0"/>
                <w:sz w:val="24"/>
                <w:szCs w:val="24"/>
                <w:lang w:val="en-US" w:eastAsia="zh-CN" w:bidi="ar"/>
              </w:rPr>
              <w:t>0</w:t>
            </w:r>
            <w:r>
              <w:rPr>
                <w:rFonts w:hint="eastAsia" w:ascii="仿宋" w:hAnsi="仿宋" w:cs="仿宋"/>
                <w:color w:val="000000"/>
                <w:kern w:val="0"/>
                <w:sz w:val="24"/>
                <w:szCs w:val="24"/>
                <w:lang w:bidi="ar"/>
              </w:rPr>
              <w:t>万路视频监控资源管理能力，支持至少</w:t>
            </w:r>
            <w:r>
              <w:rPr>
                <w:rFonts w:hint="eastAsia" w:ascii="仿宋" w:hAnsi="仿宋" w:cs="仿宋"/>
                <w:color w:val="000000"/>
                <w:kern w:val="0"/>
                <w:sz w:val="24"/>
                <w:szCs w:val="24"/>
                <w:lang w:val="en-US" w:eastAsia="zh-CN" w:bidi="ar"/>
              </w:rPr>
              <w:t>3</w:t>
            </w:r>
            <w:r>
              <w:rPr>
                <w:rFonts w:hint="eastAsia" w:ascii="仿宋" w:hAnsi="仿宋" w:cs="仿宋"/>
                <w:color w:val="000000"/>
                <w:kern w:val="0"/>
                <w:sz w:val="24"/>
                <w:szCs w:val="24"/>
                <w:lang w:bidi="ar"/>
              </w:rPr>
              <w:t>万路符合GB/T 28181标准的设备或通道注册能力；</w:t>
            </w:r>
          </w:p>
          <w:p w14:paraId="258600A3">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支持实时视频调阅、历史视频调阅、历史视频下载、云台控制等功能；</w:t>
            </w:r>
          </w:p>
          <w:p w14:paraId="15D381CC">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支持与第三方应用平台的对接，支持对外赋能。</w:t>
            </w:r>
          </w:p>
          <w:p w14:paraId="507B902D">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支持对用户进行资源和功能权限的授权。可对所辖范围内的所有用户进行统一的权限分配，支持根据摄像机和用户进行精细化授权</w:t>
            </w:r>
          </w:p>
        </w:tc>
      </w:tr>
      <w:tr w14:paraId="1912B0C7">
        <w:tblPrEx>
          <w:tblCellMar>
            <w:top w:w="0" w:type="dxa"/>
            <w:left w:w="108" w:type="dxa"/>
            <w:bottom w:w="0" w:type="dxa"/>
            <w:right w:w="108" w:type="dxa"/>
          </w:tblCellMar>
        </w:tblPrEx>
        <w:trPr>
          <w:trHeight w:val="90" w:hRule="atLeast"/>
        </w:trPr>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9A38A">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8</w:t>
            </w: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0DCE0">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6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1F82F">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媒体网关配置</w:t>
            </w:r>
          </w:p>
        </w:tc>
        <w:tc>
          <w:tcPr>
            <w:tcW w:w="3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7F486">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val="en-US" w:eastAsia="zh-CN" w:bidi="ar"/>
              </w:rPr>
              <w:t>支</w:t>
            </w:r>
            <w:r>
              <w:rPr>
                <w:rFonts w:hint="eastAsia" w:ascii="仿宋" w:hAnsi="仿宋" w:cs="仿宋"/>
                <w:color w:val="000000"/>
                <w:kern w:val="0"/>
                <w:sz w:val="24"/>
                <w:szCs w:val="24"/>
                <w:lang w:bidi="ar"/>
              </w:rPr>
              <w:t>持上层应用系统和下级接入之间的视频码流接入/复用/分发等。</w:t>
            </w:r>
          </w:p>
          <w:p w14:paraId="2560C143">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val="en-US" w:eastAsia="zh-CN" w:bidi="ar"/>
              </w:rPr>
            </w:pPr>
            <w:r>
              <w:rPr>
                <w:rFonts w:hint="eastAsia" w:ascii="仿宋" w:hAnsi="仿宋" w:cs="仿宋"/>
                <w:color w:val="000000"/>
                <w:kern w:val="0"/>
                <w:sz w:val="24"/>
                <w:szCs w:val="24"/>
                <w:lang w:bidi="ar"/>
              </w:rPr>
              <w:t>支持通过多种协议</w:t>
            </w:r>
            <w:r>
              <w:rPr>
                <w:rFonts w:hint="eastAsia" w:ascii="仿宋" w:hAnsi="仿宋" w:cs="仿宋"/>
                <w:color w:val="000000"/>
                <w:kern w:val="0"/>
                <w:sz w:val="24"/>
                <w:szCs w:val="24"/>
                <w:lang w:val="en-US" w:eastAsia="zh-CN" w:bidi="ar"/>
              </w:rPr>
              <w:t>GB\T 28181、</w:t>
            </w:r>
            <w:r>
              <w:rPr>
                <w:rFonts w:hint="eastAsia" w:ascii="仿宋" w:hAnsi="仿宋" w:cs="仿宋"/>
                <w:color w:val="000000"/>
                <w:kern w:val="0"/>
                <w:sz w:val="24"/>
                <w:szCs w:val="24"/>
                <w:lang w:bidi="ar"/>
              </w:rPr>
              <w:t>RTSP、RTSPS、RTMP、WebSocket</w:t>
            </w:r>
            <w:r>
              <w:rPr>
                <w:rFonts w:hint="eastAsia" w:ascii="仿宋" w:hAnsi="仿宋" w:cs="仿宋"/>
                <w:color w:val="000000"/>
                <w:kern w:val="0"/>
                <w:sz w:val="24"/>
                <w:szCs w:val="24"/>
                <w:lang w:eastAsia="zh-CN" w:bidi="ar"/>
              </w:rPr>
              <w:t>、</w:t>
            </w:r>
            <w:r>
              <w:rPr>
                <w:rFonts w:hint="eastAsia" w:ascii="仿宋" w:hAnsi="仿宋" w:cs="仿宋"/>
                <w:color w:val="000000"/>
                <w:kern w:val="0"/>
                <w:sz w:val="24"/>
                <w:szCs w:val="24"/>
                <w:lang w:bidi="ar"/>
              </w:rPr>
              <w:t>WebSockets</w:t>
            </w:r>
            <w:r>
              <w:rPr>
                <w:rFonts w:hint="eastAsia" w:ascii="仿宋" w:hAnsi="仿宋" w:cs="仿宋"/>
                <w:color w:val="000000"/>
                <w:kern w:val="0"/>
                <w:sz w:val="24"/>
                <w:szCs w:val="24"/>
                <w:lang w:val="en-US" w:eastAsia="zh-CN" w:bidi="ar"/>
              </w:rPr>
              <w:t>调取实时预览、录像预览、云台控制、录像下载等功能。</w:t>
            </w:r>
          </w:p>
          <w:p w14:paraId="07936872">
            <w:pPr>
              <w:pageBreakBefore w:val="0"/>
              <w:widowControl/>
              <w:kinsoku/>
              <w:wordWrap/>
              <w:overflowPunct/>
              <w:topLinePunct w:val="0"/>
              <w:autoSpaceDE/>
              <w:autoSpaceDN/>
              <w:bidi w:val="0"/>
              <w:spacing w:line="440" w:lineRule="exact"/>
              <w:ind w:left="0" w:leftChars="0" w:firstLine="0" w:firstLineChars="0"/>
              <w:jc w:val="left"/>
              <w:textAlignment w:val="center"/>
              <w:rPr>
                <w:rFonts w:hint="default" w:ascii="仿宋" w:hAnsi="仿宋" w:eastAsia="仿宋" w:cs="仿宋"/>
                <w:color w:val="000000"/>
                <w:kern w:val="0"/>
                <w:sz w:val="24"/>
                <w:szCs w:val="24"/>
                <w:lang w:val="en-US" w:eastAsia="zh-CN" w:bidi="ar"/>
              </w:rPr>
            </w:pPr>
            <w:r>
              <w:rPr>
                <w:rFonts w:hint="eastAsia" w:ascii="仿宋" w:hAnsi="仿宋" w:cs="仿宋"/>
                <w:color w:val="000000"/>
                <w:kern w:val="0"/>
                <w:sz w:val="24"/>
                <w:szCs w:val="24"/>
                <w:lang w:val="en-US" w:eastAsia="zh-CN" w:bidi="ar"/>
              </w:rPr>
              <w:t>支持至少300路1080P码流的并发能力</w:t>
            </w:r>
          </w:p>
        </w:tc>
      </w:tr>
      <w:tr w14:paraId="0E13A6B0">
        <w:tblPrEx>
          <w:tblCellMar>
            <w:top w:w="0" w:type="dxa"/>
            <w:left w:w="108" w:type="dxa"/>
            <w:bottom w:w="0" w:type="dxa"/>
            <w:right w:w="108" w:type="dxa"/>
          </w:tblCellMar>
        </w:tblPrEx>
        <w:trPr>
          <w:trHeight w:val="2804" w:hRule="atLeast"/>
        </w:trPr>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6C18D">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9</w:t>
            </w:r>
          </w:p>
        </w:tc>
        <w:tc>
          <w:tcPr>
            <w:tcW w:w="39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7DB7C">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全景视频融合系统底座</w:t>
            </w:r>
          </w:p>
        </w:tc>
        <w:tc>
          <w:tcPr>
            <w:tcW w:w="6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65A3A">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实景要素上图</w:t>
            </w:r>
          </w:p>
        </w:tc>
        <w:tc>
          <w:tcPr>
            <w:tcW w:w="3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D7A39">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本系统提供实时视频画面治理要素标注能力，通过独有坐标转换算法实现地理空间信息与实景画面位置的精准对应，自动以标签形式呈现。支持展示系统预置的多种地图POI点位数据，且可通过开关灵活控制。同时，系统支持关联标签周边范围内的治理要素，如监控设备、房屋、单位等，搜索范围可自定义配置，如500米、1000米等。</w:t>
            </w:r>
          </w:p>
        </w:tc>
      </w:tr>
      <w:tr w14:paraId="1F824A30">
        <w:tblPrEx>
          <w:tblCellMar>
            <w:top w:w="0" w:type="dxa"/>
            <w:left w:w="108" w:type="dxa"/>
            <w:bottom w:w="0" w:type="dxa"/>
            <w:right w:w="108" w:type="dxa"/>
          </w:tblCellMar>
        </w:tblPrEx>
        <w:trPr>
          <w:trHeight w:val="2327" w:hRule="atLeast"/>
        </w:trPr>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43BBB">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10</w:t>
            </w: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B5C93">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6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29970">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全要素搜索</w:t>
            </w:r>
          </w:p>
        </w:tc>
        <w:tc>
          <w:tcPr>
            <w:tcW w:w="3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1978B">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本系统支持按标签类型快速筛选定位标签，实现上图资源全局搜索，快速找到视频中的目标点位。若目标点不在当前设备可视范围，实景地图自动跳转至可见监控视频。系统预置特定POI点位数据，用户可通过搜索查询。支持已上图设备标签搜索，并可切换至最近设备。同时，支持全局预警事件查询。</w:t>
            </w:r>
          </w:p>
        </w:tc>
      </w:tr>
      <w:tr w14:paraId="7573A25F">
        <w:tblPrEx>
          <w:tblCellMar>
            <w:top w:w="0" w:type="dxa"/>
            <w:left w:w="108" w:type="dxa"/>
            <w:bottom w:w="0" w:type="dxa"/>
            <w:right w:w="108" w:type="dxa"/>
          </w:tblCellMar>
        </w:tblPrEx>
        <w:trPr>
          <w:trHeight w:val="1380" w:hRule="atLeast"/>
        </w:trPr>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CA65D">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11</w:t>
            </w: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6D223">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6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9949F">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要素分类控制</w:t>
            </w:r>
          </w:p>
        </w:tc>
        <w:tc>
          <w:tcPr>
            <w:tcW w:w="3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A619E">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支持多级城市要素分类，可对每级进行权限控制，实现指定角色、人员只能查看指定类型的城市要素数据</w:t>
            </w:r>
          </w:p>
        </w:tc>
      </w:tr>
      <w:tr w14:paraId="32348C09">
        <w:tblPrEx>
          <w:tblCellMar>
            <w:top w:w="0" w:type="dxa"/>
            <w:left w:w="108" w:type="dxa"/>
            <w:bottom w:w="0" w:type="dxa"/>
            <w:right w:w="108" w:type="dxa"/>
          </w:tblCellMar>
        </w:tblPrEx>
        <w:trPr>
          <w:trHeight w:val="3289" w:hRule="atLeast"/>
        </w:trPr>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06C75">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12</w:t>
            </w: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EA815">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6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C53E5">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视频多级联动</w:t>
            </w:r>
          </w:p>
        </w:tc>
        <w:tc>
          <w:tcPr>
            <w:tcW w:w="3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42C5A">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本系统支持对接视频平台，接入各类摄像机视频，包括云台摄像机，实现多方位操作控制。通过接入鹰眼、瞭望、球机、枪机等监控摄像机，构建大场景AR实景地图，形成全局视图。在球机中右键点击标签，客户端自动转动云台，将标签置于视频画面中央。在鹰眼全景画面上右键点击标签，球机通道自动将标签转动至视频中央。同时，支持查看监控列表，按用户权限展示所属设备，并可进行视频切换。</w:t>
            </w:r>
          </w:p>
        </w:tc>
      </w:tr>
      <w:tr w14:paraId="4EF47D8D">
        <w:tblPrEx>
          <w:tblCellMar>
            <w:top w:w="0" w:type="dxa"/>
            <w:left w:w="108" w:type="dxa"/>
            <w:bottom w:w="0" w:type="dxa"/>
            <w:right w:w="108" w:type="dxa"/>
          </w:tblCellMar>
        </w:tblPrEx>
        <w:trPr>
          <w:trHeight w:val="2415" w:hRule="atLeast"/>
        </w:trPr>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8DEC9">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13</w:t>
            </w: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8ABC8">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6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82884">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事件治理</w:t>
            </w:r>
          </w:p>
        </w:tc>
        <w:tc>
          <w:tcPr>
            <w:tcW w:w="3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2F23A">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本系统对接城运预警事件平台，实现事件联动。实时事件数据接收后，在客户端中以标签形式上图显示于视频画面，并伴随声音预警。点击标签即可查看事件详情。预警事件会在预警信息列表中展示，目前支持的预警事件类型包括火警、防汛、快聚快散、溺水等。</w:t>
            </w:r>
          </w:p>
        </w:tc>
      </w:tr>
      <w:tr w14:paraId="1EEB8BDE">
        <w:tblPrEx>
          <w:tblCellMar>
            <w:top w:w="0" w:type="dxa"/>
            <w:left w:w="108" w:type="dxa"/>
            <w:bottom w:w="0" w:type="dxa"/>
            <w:right w:w="108" w:type="dxa"/>
          </w:tblCellMar>
        </w:tblPrEx>
        <w:trPr>
          <w:trHeight w:val="1035" w:hRule="atLeast"/>
        </w:trPr>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598E2">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14</w:t>
            </w: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56878">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6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B9D94">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视频融合巡查</w:t>
            </w:r>
          </w:p>
        </w:tc>
        <w:tc>
          <w:tcPr>
            <w:tcW w:w="3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E1EAA">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周边资源中的监控设备支持视频预览，并可一键将多个视频设备临时组成9宫格、6宫格、4宫格等布局进行视频巡查播放。</w:t>
            </w:r>
          </w:p>
        </w:tc>
      </w:tr>
      <w:tr w14:paraId="371D30A3">
        <w:tblPrEx>
          <w:tblCellMar>
            <w:top w:w="0" w:type="dxa"/>
            <w:left w:w="108" w:type="dxa"/>
            <w:bottom w:w="0" w:type="dxa"/>
            <w:right w:w="108" w:type="dxa"/>
          </w:tblCellMar>
        </w:tblPrEx>
        <w:trPr>
          <w:trHeight w:val="2722" w:hRule="atLeast"/>
        </w:trPr>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ADD19">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15</w:t>
            </w: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C3B9A">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6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BB4FD">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资源上图引擎</w:t>
            </w:r>
          </w:p>
        </w:tc>
        <w:tc>
          <w:tcPr>
            <w:tcW w:w="3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B8B0A">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本系统通过坐标系转换算法，将不同GIS厂商的坐标系数据统一转换为标准形式，支持AR实景相机画面、BIM/三维建模、二维GIS三类上图类型。为资源上图做准备，将GIS系统的地理经纬度坐标数据转换为专业坐标数据。在AR实景画面上，标定治理要素、POI、监控设备、物联网IOT、事件等数据为标签，直观呈现并展示标签属性、内容信息。</w:t>
            </w:r>
          </w:p>
        </w:tc>
      </w:tr>
      <w:tr w14:paraId="752417C4">
        <w:tblPrEx>
          <w:tblCellMar>
            <w:top w:w="0" w:type="dxa"/>
            <w:left w:w="108" w:type="dxa"/>
            <w:bottom w:w="0" w:type="dxa"/>
            <w:right w:w="108" w:type="dxa"/>
          </w:tblCellMar>
        </w:tblPrEx>
        <w:trPr>
          <w:trHeight w:val="1429" w:hRule="atLeast"/>
        </w:trPr>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2B5DC">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16</w:t>
            </w: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42D8F">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6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4403D">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全局搜索引擎</w:t>
            </w:r>
          </w:p>
        </w:tc>
        <w:tc>
          <w:tcPr>
            <w:tcW w:w="3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41BEF">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具备快速搜索能力，支持搜索并自动定位目标城市要素。同时，提供按城市要素分类的精细化搜索功能，以及以标签点为圆心的范围搜索功能。</w:t>
            </w:r>
          </w:p>
        </w:tc>
      </w:tr>
      <w:tr w14:paraId="346468D4">
        <w:tblPrEx>
          <w:tblCellMar>
            <w:top w:w="0" w:type="dxa"/>
            <w:left w:w="108" w:type="dxa"/>
            <w:bottom w:w="0" w:type="dxa"/>
            <w:right w:w="108" w:type="dxa"/>
          </w:tblCellMar>
        </w:tblPrEx>
        <w:trPr>
          <w:trHeight w:val="690" w:hRule="atLeast"/>
        </w:trPr>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FF425">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17</w:t>
            </w: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81694">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6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A211E">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矢量标绘</w:t>
            </w:r>
          </w:p>
        </w:tc>
        <w:tc>
          <w:tcPr>
            <w:tcW w:w="3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53A1A">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可根据业务实际需求，于全景画面内自定义线条和多边形，并进行标注</w:t>
            </w:r>
          </w:p>
        </w:tc>
      </w:tr>
      <w:tr w14:paraId="20AAF703">
        <w:tblPrEx>
          <w:tblCellMar>
            <w:top w:w="0" w:type="dxa"/>
            <w:left w:w="108" w:type="dxa"/>
            <w:bottom w:w="0" w:type="dxa"/>
            <w:right w:w="108" w:type="dxa"/>
          </w:tblCellMar>
        </w:tblPrEx>
        <w:trPr>
          <w:trHeight w:val="690" w:hRule="atLeast"/>
        </w:trPr>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8EB57">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18</w:t>
            </w: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176D9">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6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2F983">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简易沙盘</w:t>
            </w:r>
          </w:p>
        </w:tc>
        <w:tc>
          <w:tcPr>
            <w:tcW w:w="3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169B2">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提供城市要素的图标，便于沙盘演练。包含摄像机、单兵、汽车等图标。</w:t>
            </w:r>
          </w:p>
        </w:tc>
      </w:tr>
    </w:tbl>
    <w:p w14:paraId="5CE4476B">
      <w:pPr>
        <w:pageBreakBefore w:val="0"/>
        <w:kinsoku/>
        <w:wordWrap/>
        <w:overflowPunct/>
        <w:topLinePunct w:val="0"/>
        <w:autoSpaceDE/>
        <w:autoSpaceDN/>
        <w:bidi w:val="0"/>
        <w:spacing w:line="440" w:lineRule="exact"/>
        <w:ind w:left="0" w:leftChars="0" w:firstLine="0" w:firstLineChars="0"/>
      </w:pPr>
    </w:p>
    <w:p w14:paraId="7B8BEC28">
      <w:pPr>
        <w:pStyle w:val="4"/>
        <w:pageBreakBefore w:val="0"/>
        <w:kinsoku/>
        <w:wordWrap/>
        <w:overflowPunct/>
        <w:topLinePunct w:val="0"/>
        <w:autoSpaceDE/>
        <w:autoSpaceDN/>
        <w:bidi w:val="0"/>
        <w:spacing w:before="0" w:after="0" w:line="440" w:lineRule="exact"/>
        <w:ind w:left="0" w:leftChars="0"/>
        <w:rPr>
          <w:rFonts w:hint="eastAsia" w:ascii="仿宋" w:hAnsi="仿宋" w:eastAsia="仿宋" w:cs="仿宋"/>
        </w:rPr>
      </w:pPr>
      <w:bookmarkStart w:id="40" w:name="_Toc16893"/>
      <w:r>
        <w:rPr>
          <w:rFonts w:hint="eastAsia" w:ascii="仿宋" w:hAnsi="仿宋" w:eastAsia="仿宋" w:cs="仿宋"/>
        </w:rPr>
        <w:t>软件功能清单</w:t>
      </w:r>
      <w:r>
        <w:rPr>
          <w:rFonts w:hint="eastAsia" w:ascii="仿宋" w:hAnsi="仿宋" w:eastAsia="仿宋" w:cs="仿宋"/>
          <w:lang w:eastAsia="zh-CN"/>
        </w:rPr>
        <w:t>（</w:t>
      </w:r>
      <w:r>
        <w:rPr>
          <w:rFonts w:hint="eastAsia" w:ascii="仿宋" w:hAnsi="仿宋" w:eastAsia="仿宋" w:cs="仿宋"/>
          <w:lang w:val="en-US" w:eastAsia="zh-CN"/>
        </w:rPr>
        <w:t>定制开发</w:t>
      </w:r>
      <w:r>
        <w:rPr>
          <w:rFonts w:hint="eastAsia" w:ascii="仿宋" w:hAnsi="仿宋" w:eastAsia="仿宋" w:cs="仿宋"/>
          <w:lang w:eastAsia="zh-CN"/>
        </w:rPr>
        <w:t>）</w:t>
      </w:r>
      <w:bookmarkEnd w:id="40"/>
    </w:p>
    <w:tbl>
      <w:tblPr>
        <w:tblStyle w:val="22"/>
        <w:tblW w:w="6032" w:type="pct"/>
        <w:tblInd w:w="-872" w:type="dxa"/>
        <w:tblLayout w:type="fixed"/>
        <w:tblCellMar>
          <w:top w:w="0" w:type="dxa"/>
          <w:left w:w="108" w:type="dxa"/>
          <w:bottom w:w="0" w:type="dxa"/>
          <w:right w:w="108" w:type="dxa"/>
        </w:tblCellMar>
      </w:tblPr>
      <w:tblGrid>
        <w:gridCol w:w="510"/>
        <w:gridCol w:w="786"/>
        <w:gridCol w:w="1952"/>
        <w:gridCol w:w="7033"/>
      </w:tblGrid>
      <w:tr w14:paraId="37074F8E">
        <w:tblPrEx>
          <w:tblCellMar>
            <w:top w:w="0" w:type="dxa"/>
            <w:left w:w="108" w:type="dxa"/>
            <w:bottom w:w="0" w:type="dxa"/>
            <w:right w:w="108" w:type="dxa"/>
          </w:tblCellMar>
        </w:tblPrEx>
        <w:trPr>
          <w:trHeight w:val="285"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54C50">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b/>
                <w:bCs/>
                <w:color w:val="000000"/>
                <w:kern w:val="0"/>
                <w:sz w:val="24"/>
                <w:szCs w:val="24"/>
                <w:lang w:bidi="ar"/>
              </w:rPr>
            </w:pPr>
            <w:r>
              <w:rPr>
                <w:rFonts w:hint="eastAsia" w:ascii="仿宋" w:hAnsi="仿宋" w:cs="仿宋"/>
                <w:b/>
                <w:bCs/>
                <w:color w:val="000000"/>
                <w:kern w:val="0"/>
                <w:sz w:val="24"/>
                <w:szCs w:val="24"/>
                <w:lang w:bidi="ar"/>
              </w:rPr>
              <w:t>序号</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2E185">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b/>
                <w:bCs/>
                <w:color w:val="000000"/>
                <w:kern w:val="0"/>
                <w:sz w:val="24"/>
                <w:szCs w:val="24"/>
                <w:lang w:bidi="ar"/>
              </w:rPr>
            </w:pPr>
            <w:r>
              <w:rPr>
                <w:rFonts w:hint="eastAsia" w:ascii="仿宋" w:hAnsi="仿宋" w:cs="仿宋"/>
                <w:b/>
                <w:bCs/>
                <w:color w:val="000000"/>
                <w:kern w:val="0"/>
                <w:sz w:val="24"/>
                <w:szCs w:val="24"/>
                <w:lang w:bidi="ar"/>
              </w:rPr>
              <w:t>系统名称</w:t>
            </w:r>
          </w:p>
        </w:tc>
        <w:tc>
          <w:tcPr>
            <w:tcW w:w="9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E0264">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b/>
                <w:bCs/>
                <w:color w:val="000000"/>
                <w:kern w:val="0"/>
                <w:sz w:val="24"/>
                <w:szCs w:val="24"/>
                <w:lang w:bidi="ar"/>
              </w:rPr>
            </w:pPr>
            <w:r>
              <w:rPr>
                <w:rFonts w:hint="eastAsia" w:ascii="仿宋" w:hAnsi="仿宋" w:cs="仿宋"/>
                <w:b/>
                <w:bCs/>
                <w:color w:val="000000"/>
                <w:kern w:val="0"/>
                <w:sz w:val="24"/>
                <w:szCs w:val="24"/>
                <w:lang w:bidi="ar"/>
              </w:rPr>
              <w:t>模块名称</w:t>
            </w:r>
          </w:p>
        </w:tc>
        <w:tc>
          <w:tcPr>
            <w:tcW w:w="3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EE0C9">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b/>
                <w:bCs/>
                <w:color w:val="000000"/>
                <w:kern w:val="0"/>
                <w:sz w:val="24"/>
                <w:szCs w:val="24"/>
                <w:lang w:bidi="ar"/>
              </w:rPr>
            </w:pPr>
            <w:r>
              <w:rPr>
                <w:rFonts w:hint="eastAsia" w:ascii="仿宋" w:hAnsi="仿宋" w:cs="仿宋"/>
                <w:b/>
                <w:bCs/>
                <w:color w:val="000000"/>
                <w:kern w:val="0"/>
                <w:sz w:val="24"/>
                <w:szCs w:val="24"/>
                <w:lang w:bidi="ar"/>
              </w:rPr>
              <w:t>功能描述</w:t>
            </w:r>
          </w:p>
        </w:tc>
      </w:tr>
      <w:tr w14:paraId="29119C38">
        <w:tblPrEx>
          <w:tblCellMar>
            <w:top w:w="0" w:type="dxa"/>
            <w:left w:w="108" w:type="dxa"/>
            <w:bottom w:w="0" w:type="dxa"/>
            <w:right w:w="108" w:type="dxa"/>
          </w:tblCellMar>
        </w:tblPrEx>
        <w:trPr>
          <w:trHeight w:val="1647"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FF7CB">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w:t>
            </w:r>
          </w:p>
        </w:tc>
        <w:tc>
          <w:tcPr>
            <w:tcW w:w="38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730D1">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视频中枢资源调度系统</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FA237">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视频资源调度中心-调度引擎</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4CD32">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val="en-US" w:eastAsia="zh-CN" w:bidi="ar"/>
              </w:rPr>
              <w:t>支持</w:t>
            </w:r>
            <w:r>
              <w:rPr>
                <w:rFonts w:hint="eastAsia" w:ascii="仿宋" w:hAnsi="仿宋" w:cs="仿宋"/>
                <w:color w:val="000000"/>
                <w:kern w:val="0"/>
                <w:sz w:val="24"/>
                <w:szCs w:val="24"/>
                <w:lang w:bidi="ar"/>
              </w:rPr>
              <w:t>地图上选定视频设备资源并发起调度请求。管理员一键审核或系统自动审核后，分发视频资源至用户端。系统全程记录调度详情，生成调用记录，确保可追溯性与可管理性，规范视频调度。</w:t>
            </w:r>
          </w:p>
        </w:tc>
      </w:tr>
      <w:tr w14:paraId="40BFA381">
        <w:tblPrEx>
          <w:tblCellMar>
            <w:top w:w="0" w:type="dxa"/>
            <w:left w:w="108" w:type="dxa"/>
            <w:bottom w:w="0" w:type="dxa"/>
            <w:right w:w="108" w:type="dxa"/>
          </w:tblCellMar>
        </w:tblPrEx>
        <w:trPr>
          <w:trHeight w:val="855"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0ACB8">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BB015">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A9EF3">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视频资源调度中心--视频资源设备地图撒点</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7D5F5">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提供地图撒点功能，通过直观、交互式的地图展示，使用户能够快速而准确地了解设备的地理分布情况。</w:t>
            </w:r>
          </w:p>
        </w:tc>
      </w:tr>
      <w:tr w14:paraId="31868B41">
        <w:tblPrEx>
          <w:tblCellMar>
            <w:top w:w="0" w:type="dxa"/>
            <w:left w:w="108" w:type="dxa"/>
            <w:bottom w:w="0" w:type="dxa"/>
            <w:right w:w="108" w:type="dxa"/>
          </w:tblCellMar>
        </w:tblPrEx>
        <w:trPr>
          <w:trHeight w:val="1140"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398DA">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D5EBE">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16C53">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视频资源调度中心--视频资源地图框选</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1DC42">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提供地图框选功能，用户可以在地图上自由绘制框选区域，实现对该区域内设备资源的批量操作。</w:t>
            </w:r>
          </w:p>
        </w:tc>
      </w:tr>
      <w:tr w14:paraId="148B1200">
        <w:tblPrEx>
          <w:tblCellMar>
            <w:top w:w="0" w:type="dxa"/>
            <w:left w:w="108" w:type="dxa"/>
            <w:bottom w:w="0" w:type="dxa"/>
            <w:right w:w="108" w:type="dxa"/>
          </w:tblCellMar>
        </w:tblPrEx>
        <w:trPr>
          <w:trHeight w:val="1425"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69F98">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4</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266E5">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32DBB">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视频资源调度中心--视频台账地图分级落图</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7B829">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支持在用户使用地图服务时，能够根据用户不同的合法设备查看权限进行地图设备的分级展示。支持将当前用户在系统中的设备查看权限同步到地图服务中，根据权限进行动态展示。</w:t>
            </w:r>
          </w:p>
        </w:tc>
      </w:tr>
      <w:tr w14:paraId="32D5A64A">
        <w:tblPrEx>
          <w:tblCellMar>
            <w:top w:w="0" w:type="dxa"/>
            <w:left w:w="108" w:type="dxa"/>
            <w:bottom w:w="0" w:type="dxa"/>
            <w:right w:w="108" w:type="dxa"/>
          </w:tblCellMar>
        </w:tblPrEx>
        <w:trPr>
          <w:trHeight w:val="2218"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B0D83">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5</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7FB65">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C739B">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视频调度安全中心-水印管理</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27ECA">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val="en-US" w:eastAsia="zh-CN" w:bidi="ar"/>
              </w:rPr>
              <w:t>支持</w:t>
            </w:r>
            <w:r>
              <w:rPr>
                <w:rFonts w:hint="eastAsia" w:ascii="仿宋" w:hAnsi="仿宋" w:cs="仿宋"/>
                <w:color w:val="000000"/>
                <w:kern w:val="0"/>
                <w:sz w:val="24"/>
                <w:szCs w:val="24"/>
                <w:lang w:bidi="ar"/>
              </w:rPr>
              <w:t>集成水印管理功能，为视频添加水印。水印包含监控点位、设备名称、分辨率、码流、用户名称、登录IP及MAC地址，防止视频泄露引发隐私安全问题。设备相关字段可客户端自主配置，也可中心端统一配置。用户名称、登录IP和MAC地址由管理员统一配置。</w:t>
            </w:r>
          </w:p>
        </w:tc>
      </w:tr>
      <w:tr w14:paraId="3A230BF7">
        <w:tblPrEx>
          <w:tblCellMar>
            <w:top w:w="0" w:type="dxa"/>
            <w:left w:w="108" w:type="dxa"/>
            <w:bottom w:w="0" w:type="dxa"/>
            <w:right w:w="108" w:type="dxa"/>
          </w:tblCellMar>
        </w:tblPrEx>
        <w:trPr>
          <w:trHeight w:val="855"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D186E">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6</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D38E9">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57096">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视频调度安全中心-调阅安全管理</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050F6">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系统对于在业务过程中调阅视频资源的情况加以规范，系统将程序化管理和记录调阅人信息、视频信息和审批留痕</w:t>
            </w:r>
          </w:p>
        </w:tc>
      </w:tr>
      <w:tr w14:paraId="30E63C40">
        <w:tblPrEx>
          <w:tblCellMar>
            <w:top w:w="0" w:type="dxa"/>
            <w:left w:w="108" w:type="dxa"/>
            <w:bottom w:w="0" w:type="dxa"/>
            <w:right w:w="108" w:type="dxa"/>
          </w:tblCellMar>
        </w:tblPrEx>
        <w:trPr>
          <w:trHeight w:val="1459"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C5F02">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7</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4EDD7">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E0CFA">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视频资源共享中心-编目共享</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A606E">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提供视频编目，为视频管理和共享打下基础。包括资源填报、目录管理、申请审批、采集规范等。支持区级用户自由移动资源目录，满足个性化挂载需求，支持分散+集约化管理。</w:t>
            </w:r>
          </w:p>
        </w:tc>
      </w:tr>
      <w:tr w14:paraId="780B3162">
        <w:tblPrEx>
          <w:tblCellMar>
            <w:top w:w="0" w:type="dxa"/>
            <w:left w:w="108" w:type="dxa"/>
            <w:bottom w:w="0" w:type="dxa"/>
            <w:right w:w="108" w:type="dxa"/>
          </w:tblCellMar>
        </w:tblPrEx>
        <w:trPr>
          <w:trHeight w:val="1781"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D4F19">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8</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37BD0">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6C473">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视频资源共享中心-共享管理</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3F90F">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系统可根据事件类型、特殊时间段、调取设备灵活转码和共享视频。具备管理、统计、分析区级视频中心共享对象、时段、数量、状态及权限的功能。支持为应用系统、移动单兵、大屏监控、PC端等终端共享视频资源。</w:t>
            </w:r>
          </w:p>
        </w:tc>
      </w:tr>
      <w:tr w14:paraId="02FE2226">
        <w:tblPrEx>
          <w:tblCellMar>
            <w:top w:w="0" w:type="dxa"/>
            <w:left w:w="108" w:type="dxa"/>
            <w:bottom w:w="0" w:type="dxa"/>
            <w:right w:w="108" w:type="dxa"/>
          </w:tblCellMar>
        </w:tblPrEx>
        <w:trPr>
          <w:trHeight w:val="1607"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2266F">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9</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5453B">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4E24A">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视频资源共享中心--街镇专属工作台</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0C582">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提供街镇客户端，PC端可与现有系统集成，个性化展示街镇用户的待办、审批、视频资源、运管工单、消息等，并支持一屏展示视频使用状态及开通时间，智能提醒重大保障任务倒计时。</w:t>
            </w:r>
          </w:p>
        </w:tc>
      </w:tr>
      <w:tr w14:paraId="78B657FF">
        <w:tblPrEx>
          <w:tblCellMar>
            <w:top w:w="0" w:type="dxa"/>
            <w:left w:w="108" w:type="dxa"/>
            <w:bottom w:w="0" w:type="dxa"/>
            <w:right w:w="108" w:type="dxa"/>
          </w:tblCellMar>
        </w:tblPrEx>
        <w:trPr>
          <w:trHeight w:val="570"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8A515">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10</w:t>
            </w:r>
          </w:p>
        </w:tc>
        <w:tc>
          <w:tcPr>
            <w:tcW w:w="38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0A5D6">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视频设备一机一档台账管理系统</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AF7D0">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一机一档台账-数据批量录入</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F8166">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支持在线新增或批量导入的方式录入台账数据。支持列表查看台账数据。</w:t>
            </w:r>
          </w:p>
        </w:tc>
      </w:tr>
      <w:tr w14:paraId="6980A14B">
        <w:tblPrEx>
          <w:tblCellMar>
            <w:top w:w="0" w:type="dxa"/>
            <w:left w:w="108" w:type="dxa"/>
            <w:bottom w:w="0" w:type="dxa"/>
            <w:right w:w="108" w:type="dxa"/>
          </w:tblCellMar>
        </w:tblPrEx>
        <w:trPr>
          <w:trHeight w:val="570"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15E94">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11</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3D0B3">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0D4C7">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一机一档台账-设备台账模版</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1C105">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提供各类型设备的台账模板，并支持下载。</w:t>
            </w:r>
          </w:p>
        </w:tc>
      </w:tr>
      <w:tr w14:paraId="2CE07236">
        <w:tblPrEx>
          <w:tblCellMar>
            <w:top w:w="0" w:type="dxa"/>
            <w:left w:w="108" w:type="dxa"/>
            <w:bottom w:w="0" w:type="dxa"/>
            <w:right w:w="108" w:type="dxa"/>
          </w:tblCellMar>
        </w:tblPrEx>
        <w:trPr>
          <w:trHeight w:val="285"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5B280">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12</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D3414">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6E7D5">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一机一档台账-自定义账目编目</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4D809">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支持自定义各设备类型的字段模板。</w:t>
            </w:r>
          </w:p>
        </w:tc>
      </w:tr>
      <w:tr w14:paraId="6782BABE">
        <w:tblPrEx>
          <w:tblCellMar>
            <w:top w:w="0" w:type="dxa"/>
            <w:left w:w="108" w:type="dxa"/>
            <w:bottom w:w="0" w:type="dxa"/>
            <w:right w:w="108" w:type="dxa"/>
          </w:tblCellMar>
        </w:tblPrEx>
        <w:trPr>
          <w:trHeight w:val="285"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767CC">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13</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55AD7">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BCFB1">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一机一档台账-台账数据共享</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2C05B">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支持台账数据对外共享。</w:t>
            </w:r>
          </w:p>
        </w:tc>
      </w:tr>
      <w:tr w14:paraId="54662C2D">
        <w:tblPrEx>
          <w:tblCellMar>
            <w:top w:w="0" w:type="dxa"/>
            <w:left w:w="108" w:type="dxa"/>
            <w:bottom w:w="0" w:type="dxa"/>
            <w:right w:w="108" w:type="dxa"/>
          </w:tblCellMar>
        </w:tblPrEx>
        <w:trPr>
          <w:trHeight w:val="855"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ADAFB">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14</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B31BA">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35FB6">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一机一档数据治理-一机一档台账缺失值补全</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C12E6">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在数据处理中，系统检测并处理缺失值，采用填充默认值、插值、或删除包含缺失值的数据记录等方法。</w:t>
            </w:r>
          </w:p>
        </w:tc>
      </w:tr>
      <w:tr w14:paraId="64398BE7">
        <w:tblPrEx>
          <w:tblCellMar>
            <w:top w:w="0" w:type="dxa"/>
            <w:left w:w="108" w:type="dxa"/>
            <w:bottom w:w="0" w:type="dxa"/>
            <w:right w:w="108" w:type="dxa"/>
          </w:tblCellMar>
        </w:tblPrEx>
        <w:trPr>
          <w:trHeight w:val="1140"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588E9">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15</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8F79E">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F553D">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一机一档数据治理-异常值检测和处理</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17124">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支持异常值被识别，系统会提供异常值提示，根据数据字典，在设备详情内标注并显示异常详情，以便用户及时了解异常情况。</w:t>
            </w:r>
          </w:p>
        </w:tc>
      </w:tr>
      <w:tr w14:paraId="5A954044">
        <w:tblPrEx>
          <w:tblCellMar>
            <w:top w:w="0" w:type="dxa"/>
            <w:left w:w="108" w:type="dxa"/>
            <w:bottom w:w="0" w:type="dxa"/>
            <w:right w:w="108" w:type="dxa"/>
          </w:tblCellMar>
        </w:tblPrEx>
        <w:trPr>
          <w:trHeight w:val="855"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E06BF">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16</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1C800">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D1D66">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一机一档数据治理-数据格式标准化</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B51E5">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将数据格式进行规范化，以确保数据在整个数据集中保持一致的格式标准，包括但不限于日期格式、单位转换等。</w:t>
            </w:r>
          </w:p>
        </w:tc>
      </w:tr>
      <w:tr w14:paraId="48BC2ECD">
        <w:tblPrEx>
          <w:tblCellMar>
            <w:top w:w="0" w:type="dxa"/>
            <w:left w:w="108" w:type="dxa"/>
            <w:bottom w:w="0" w:type="dxa"/>
            <w:right w:w="108" w:type="dxa"/>
          </w:tblCellMar>
        </w:tblPrEx>
        <w:trPr>
          <w:trHeight w:val="855"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6D3B0">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17</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30CD0">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79FB4">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一机一档数据治理-数据类型转换</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2CB25">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根据系统需要，对数据进行类型转换，例如将文本类型转换为数值类型、日期类型转换为时间戳等。</w:t>
            </w:r>
          </w:p>
        </w:tc>
      </w:tr>
      <w:tr w14:paraId="7174608A">
        <w:tblPrEx>
          <w:tblCellMar>
            <w:top w:w="0" w:type="dxa"/>
            <w:left w:w="108" w:type="dxa"/>
            <w:bottom w:w="0" w:type="dxa"/>
            <w:right w:w="108" w:type="dxa"/>
          </w:tblCellMar>
        </w:tblPrEx>
        <w:trPr>
          <w:trHeight w:val="855"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29B0C">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18</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BFCBA">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628CE">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一机一档数据治理-数据一致性处理</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28974">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实现实时同步全局数据的唯一性，检测和解决数据中的不一致性，例如同一实体在不同地方使用不同的命名。</w:t>
            </w:r>
          </w:p>
        </w:tc>
      </w:tr>
      <w:tr w14:paraId="420BB544">
        <w:tblPrEx>
          <w:tblCellMar>
            <w:top w:w="0" w:type="dxa"/>
            <w:left w:w="108" w:type="dxa"/>
            <w:bottom w:w="0" w:type="dxa"/>
            <w:right w:w="108" w:type="dxa"/>
          </w:tblCellMar>
        </w:tblPrEx>
        <w:trPr>
          <w:trHeight w:val="855"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54112">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19</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F16DD">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A5E24">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一机一档数据治理-数据近义词</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D5D1C">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支持对统一字段的不同描述进行归类，构建近义词库，以实现展示信息的一致性。</w:t>
            </w:r>
          </w:p>
        </w:tc>
      </w:tr>
      <w:tr w14:paraId="3F5B00BC">
        <w:tblPrEx>
          <w:tblCellMar>
            <w:top w:w="0" w:type="dxa"/>
            <w:left w:w="108" w:type="dxa"/>
            <w:bottom w:w="0" w:type="dxa"/>
            <w:right w:w="108" w:type="dxa"/>
          </w:tblCellMar>
        </w:tblPrEx>
        <w:trPr>
          <w:trHeight w:val="855"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8792E">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20</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7641E">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9CC75">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一机一档数据治理-数据标准化字典</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EEB69">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支持统一字段的不同描述进行归类，构建近义词库，以实现展示信息的一致性。</w:t>
            </w:r>
          </w:p>
        </w:tc>
      </w:tr>
      <w:tr w14:paraId="71150EF8">
        <w:tblPrEx>
          <w:tblCellMar>
            <w:top w:w="0" w:type="dxa"/>
            <w:left w:w="108" w:type="dxa"/>
            <w:bottom w:w="0" w:type="dxa"/>
            <w:right w:w="108" w:type="dxa"/>
          </w:tblCellMar>
        </w:tblPrEx>
        <w:trPr>
          <w:trHeight w:val="1140"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FA8C7">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21</w:t>
            </w:r>
          </w:p>
        </w:tc>
        <w:tc>
          <w:tcPr>
            <w:tcW w:w="38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CFC78">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全景数字化指挥处置系统</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0A4B5">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场景事件处置-场景化事件接入管理</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30D76">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实现对应用场景事件的接入，功能包括场景事件归集、场景事件分类管理、场景事件标签管理、场景事件流程管理等。</w:t>
            </w:r>
          </w:p>
        </w:tc>
      </w:tr>
      <w:tr w14:paraId="2BA50099">
        <w:tblPrEx>
          <w:tblCellMar>
            <w:top w:w="0" w:type="dxa"/>
            <w:left w:w="108" w:type="dxa"/>
            <w:bottom w:w="0" w:type="dxa"/>
            <w:right w:w="108" w:type="dxa"/>
          </w:tblCellMar>
        </w:tblPrEx>
        <w:trPr>
          <w:trHeight w:val="855"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29555">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22</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3391D">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FDDEC">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场景事件处置-移动端处置</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66117">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实现对应用场景事件的移动端处置适配，功能包括应用场景事件类别管理、应用场景移动端处置配置。</w:t>
            </w:r>
          </w:p>
        </w:tc>
      </w:tr>
      <w:tr w14:paraId="3736370D">
        <w:tblPrEx>
          <w:tblCellMar>
            <w:top w:w="0" w:type="dxa"/>
            <w:left w:w="108" w:type="dxa"/>
            <w:bottom w:w="0" w:type="dxa"/>
            <w:right w:w="108" w:type="dxa"/>
          </w:tblCellMar>
        </w:tblPrEx>
        <w:trPr>
          <w:trHeight w:val="1140"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FC7C0">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23</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1B6E6">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61E15">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场景事件处置-事件管理后台</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2EF4D">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实现对应用场景事件的后台管理，功能包括应用场景事件列表、应用场景事件筛选查询、应用场景事件处置、应用场景事件详情等。</w:t>
            </w:r>
          </w:p>
        </w:tc>
      </w:tr>
      <w:tr w14:paraId="510A82D3">
        <w:tblPrEx>
          <w:tblCellMar>
            <w:top w:w="0" w:type="dxa"/>
            <w:left w:w="108" w:type="dxa"/>
            <w:bottom w:w="0" w:type="dxa"/>
            <w:right w:w="108" w:type="dxa"/>
          </w:tblCellMar>
        </w:tblPrEx>
        <w:trPr>
          <w:trHeight w:val="855"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7A48D">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24</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0A1C5">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2BD7D">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场景事件处置-案件综合查询</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59F7B">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实现对应用场景事件的综合查询，支持文本查询、时间筛选、类别筛选、处置人查询等。</w:t>
            </w:r>
          </w:p>
        </w:tc>
      </w:tr>
      <w:tr w14:paraId="6E19DC39">
        <w:tblPrEx>
          <w:tblCellMar>
            <w:top w:w="0" w:type="dxa"/>
            <w:left w:w="108" w:type="dxa"/>
            <w:bottom w:w="0" w:type="dxa"/>
            <w:right w:w="108" w:type="dxa"/>
          </w:tblCellMar>
        </w:tblPrEx>
        <w:trPr>
          <w:trHeight w:val="1425"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94F5B">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25</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3009F">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BD373">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场景事件处置-案件统计</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37E80">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实现对应用场景事件的汇总统计，内容包括应用场景事件综合统计、应用场景事件分类统计、应用场景事件处置状态统计，同时支持按日、月、年进行统计。</w:t>
            </w:r>
          </w:p>
        </w:tc>
      </w:tr>
      <w:tr w14:paraId="022BE22F">
        <w:tblPrEx>
          <w:tblCellMar>
            <w:top w:w="0" w:type="dxa"/>
            <w:left w:w="108" w:type="dxa"/>
            <w:bottom w:w="0" w:type="dxa"/>
            <w:right w:w="108" w:type="dxa"/>
          </w:tblCellMar>
        </w:tblPrEx>
        <w:trPr>
          <w:trHeight w:val="1140"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63E44">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26</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6C834">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C5E22">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智能流程-流程管理</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D4FF4">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流程管理实现对案件智能流转环节的配置与管理，流程管理的内容包括流程创建、流程编辑、流程删除、流程查询以及流程配置。</w:t>
            </w:r>
          </w:p>
        </w:tc>
      </w:tr>
      <w:tr w14:paraId="19222BDA">
        <w:tblPrEx>
          <w:tblCellMar>
            <w:top w:w="0" w:type="dxa"/>
            <w:left w:w="108" w:type="dxa"/>
            <w:bottom w:w="0" w:type="dxa"/>
            <w:right w:w="108" w:type="dxa"/>
          </w:tblCellMar>
        </w:tblPrEx>
        <w:trPr>
          <w:trHeight w:val="1140"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D897D">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27</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4FE12">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C99CD">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智能流程-节点管理</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12E17">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节点管理实现对案件智能流转节点的配置与管理，节点管理的内容包括节点创建、节点编辑、节点删除、节点查询以及节点配置。</w:t>
            </w:r>
          </w:p>
        </w:tc>
      </w:tr>
      <w:tr w14:paraId="1CD9DE56">
        <w:tblPrEx>
          <w:tblCellMar>
            <w:top w:w="0" w:type="dxa"/>
            <w:left w:w="108" w:type="dxa"/>
            <w:bottom w:w="0" w:type="dxa"/>
            <w:right w:w="108" w:type="dxa"/>
          </w:tblCellMar>
        </w:tblPrEx>
        <w:trPr>
          <w:trHeight w:val="1140"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87974">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28</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AADCA">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E1418">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智能流程-执行管理</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B8976">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执行管理实现对案件智能流转执行的配置与管理，执行管理的内容包括执行人员配置、流转配置、流转条件配置、执行内容配置等。</w:t>
            </w:r>
          </w:p>
        </w:tc>
      </w:tr>
      <w:tr w14:paraId="0AC52CB6">
        <w:tblPrEx>
          <w:tblCellMar>
            <w:top w:w="0" w:type="dxa"/>
            <w:left w:w="108" w:type="dxa"/>
            <w:bottom w:w="0" w:type="dxa"/>
            <w:right w:w="108" w:type="dxa"/>
          </w:tblCellMar>
        </w:tblPrEx>
        <w:trPr>
          <w:trHeight w:val="1425"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E9EC8">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29</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C4866">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8F72B">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智能流程-环形分支管理</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A401A">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环形分支管理实现对案件智能流转环形分支的配置与管理，环形分支管理的内容包括环形分支创建、环形分支编辑、环形分支删除、环形分支查询以及环形分支配置。</w:t>
            </w:r>
          </w:p>
        </w:tc>
      </w:tr>
      <w:tr w14:paraId="1D9A0144">
        <w:tblPrEx>
          <w:tblCellMar>
            <w:top w:w="0" w:type="dxa"/>
            <w:left w:w="108" w:type="dxa"/>
            <w:bottom w:w="0" w:type="dxa"/>
            <w:right w:w="108" w:type="dxa"/>
          </w:tblCellMar>
        </w:tblPrEx>
        <w:trPr>
          <w:trHeight w:val="855"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888AD">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30</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D6FA4">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48453">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智能流程-流程事件管理器</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A72B1">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包括流程事件查询、流程事件统计、流程事件监控、流程事件调节、流程事件日志。</w:t>
            </w:r>
          </w:p>
        </w:tc>
      </w:tr>
      <w:tr w14:paraId="2E61B17F">
        <w:tblPrEx>
          <w:tblCellMar>
            <w:top w:w="0" w:type="dxa"/>
            <w:left w:w="108" w:type="dxa"/>
            <w:bottom w:w="0" w:type="dxa"/>
            <w:right w:w="108" w:type="dxa"/>
          </w:tblCellMar>
        </w:tblPrEx>
        <w:trPr>
          <w:trHeight w:val="855"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FB58A">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31</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4B3DF">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E76A9">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智能流程-规则管理</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104FD">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包括规则引擎模块、规则模型模块、受理规则模块、派遣规则模块以及规则监控模块。</w:t>
            </w:r>
          </w:p>
        </w:tc>
      </w:tr>
      <w:tr w14:paraId="17479D86">
        <w:tblPrEx>
          <w:tblCellMar>
            <w:top w:w="0" w:type="dxa"/>
            <w:left w:w="108" w:type="dxa"/>
            <w:bottom w:w="0" w:type="dxa"/>
            <w:right w:w="108" w:type="dxa"/>
          </w:tblCellMar>
        </w:tblPrEx>
        <w:trPr>
          <w:trHeight w:val="570"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993AE">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32</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36778">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06E16">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智能流程-任务管理器</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7352A">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包括任务查询、任务统计、任务监控、任务调节、任务日志。</w:t>
            </w:r>
          </w:p>
        </w:tc>
      </w:tr>
      <w:tr w14:paraId="16EAB4B3">
        <w:tblPrEx>
          <w:tblCellMar>
            <w:top w:w="0" w:type="dxa"/>
            <w:left w:w="108" w:type="dxa"/>
            <w:bottom w:w="0" w:type="dxa"/>
            <w:right w:w="108" w:type="dxa"/>
          </w:tblCellMar>
        </w:tblPrEx>
        <w:trPr>
          <w:trHeight w:val="855"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BBFEC">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33</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6A475">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8DD13">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智能流程-案件分类自动推荐</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FF802">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案件分类自动推荐模块的功能包括案件分类识别、案件分类归类、案件分类推荐。</w:t>
            </w:r>
          </w:p>
        </w:tc>
      </w:tr>
      <w:tr w14:paraId="6DF0EE5C">
        <w:tblPrEx>
          <w:tblCellMar>
            <w:top w:w="0" w:type="dxa"/>
            <w:left w:w="108" w:type="dxa"/>
            <w:bottom w:w="0" w:type="dxa"/>
            <w:right w:w="108" w:type="dxa"/>
          </w:tblCellMar>
        </w:tblPrEx>
        <w:trPr>
          <w:trHeight w:val="855"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F3AA0">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34</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9F8C8">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A40D3">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智能流程-案件流程智能推荐</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A3313">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案件流程智能推荐模块的功能包括案件流程识别、案件流程分析、案件流程推荐。</w:t>
            </w:r>
          </w:p>
        </w:tc>
      </w:tr>
      <w:tr w14:paraId="1ACF441F">
        <w:tblPrEx>
          <w:tblCellMar>
            <w:top w:w="0" w:type="dxa"/>
            <w:left w:w="108" w:type="dxa"/>
            <w:bottom w:w="0" w:type="dxa"/>
            <w:right w:w="108" w:type="dxa"/>
          </w:tblCellMar>
        </w:tblPrEx>
        <w:trPr>
          <w:trHeight w:val="1140"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71F19">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35</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11FB9">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9ECEE">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智能流程-角色、部门、人员匹配管理</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8ED62">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实现对流程中涉及到的角色、部门、人员的统一管理、配置，配置完成后可以在流程模板、流程事项、分支流程中对角色、部门、人员进行匹配选择。</w:t>
            </w:r>
          </w:p>
        </w:tc>
      </w:tr>
      <w:tr w14:paraId="15C655C3">
        <w:tblPrEx>
          <w:tblCellMar>
            <w:top w:w="0" w:type="dxa"/>
            <w:left w:w="108" w:type="dxa"/>
            <w:bottom w:w="0" w:type="dxa"/>
            <w:right w:w="108" w:type="dxa"/>
          </w:tblCellMar>
        </w:tblPrEx>
        <w:trPr>
          <w:trHeight w:val="2565"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8D24C">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36</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C207E">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71E58">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智能流程-智能插件</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34805">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包括信息补缺插件、备注结案插件、智能派转插件、相似案件插件、管控区域设置插件、限制时段设置插件、最优派遣插件、强制派遣插件、跨区派遣插件、定时派遣插件、考核诉求插件、远程协商插件、联动协商插件、关键信息加密插件、管理员数据看板插件、短信插件、专项检查插件、综合考评插件、公告管理插件、移动考勤插件等插件</w:t>
            </w:r>
          </w:p>
        </w:tc>
      </w:tr>
      <w:tr w14:paraId="109A2A50">
        <w:tblPrEx>
          <w:tblCellMar>
            <w:top w:w="0" w:type="dxa"/>
            <w:left w:w="108" w:type="dxa"/>
            <w:bottom w:w="0" w:type="dxa"/>
            <w:right w:w="108" w:type="dxa"/>
          </w:tblCellMar>
        </w:tblPrEx>
        <w:trPr>
          <w:trHeight w:val="1140"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ABC35">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37</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C0E51">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81F74">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场景事件智能分析</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E2543">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包括案件管理、案件流程分析、案件趋势分析、案件区域分析、热点案件分析、时空关联分析、智能分析插件、接入案件管理等功能</w:t>
            </w:r>
          </w:p>
        </w:tc>
      </w:tr>
      <w:tr w14:paraId="5569C496">
        <w:tblPrEx>
          <w:tblCellMar>
            <w:top w:w="0" w:type="dxa"/>
            <w:left w:w="108" w:type="dxa"/>
            <w:bottom w:w="0" w:type="dxa"/>
            <w:right w:w="108" w:type="dxa"/>
          </w:tblCellMar>
        </w:tblPrEx>
        <w:trPr>
          <w:trHeight w:val="855"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CC032">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38</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54FD6">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9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88C43">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监督及评价管理功能</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76B53">
            <w:pPr>
              <w:pageBreakBefore w:val="0"/>
              <w:widowControl/>
              <w:kinsoku/>
              <w:wordWrap/>
              <w:overflowPunct/>
              <w:topLinePunct w:val="0"/>
              <w:autoSpaceDE/>
              <w:autoSpaceDN/>
              <w:bidi w:val="0"/>
              <w:spacing w:line="440" w:lineRule="exact"/>
              <w:ind w:left="0" w:leftChars="0" w:firstLine="0" w:firstLineChars="0"/>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包括评价内容管理、发现立案实效智能评价、指挥协调实效智能评价、案件抽查等功能</w:t>
            </w:r>
          </w:p>
        </w:tc>
      </w:tr>
      <w:tr w14:paraId="72D08EEB">
        <w:tblPrEx>
          <w:tblCellMar>
            <w:top w:w="0" w:type="dxa"/>
            <w:left w:w="108" w:type="dxa"/>
            <w:bottom w:w="0" w:type="dxa"/>
            <w:right w:w="108" w:type="dxa"/>
          </w:tblCellMar>
        </w:tblPrEx>
        <w:trPr>
          <w:trHeight w:val="285"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47C7C">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39</w:t>
            </w:r>
          </w:p>
        </w:tc>
        <w:tc>
          <w:tcPr>
            <w:tcW w:w="38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46483">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系统对接</w:t>
            </w:r>
          </w:p>
        </w:tc>
        <w:tc>
          <w:tcPr>
            <w:tcW w:w="43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03778F">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与城运2.0系统对接</w:t>
            </w:r>
          </w:p>
        </w:tc>
      </w:tr>
      <w:tr w14:paraId="01BA0A04">
        <w:tblPrEx>
          <w:tblCellMar>
            <w:top w:w="0" w:type="dxa"/>
            <w:left w:w="108" w:type="dxa"/>
            <w:bottom w:w="0" w:type="dxa"/>
            <w:right w:w="108" w:type="dxa"/>
          </w:tblCellMar>
        </w:tblPrEx>
        <w:trPr>
          <w:trHeight w:val="285"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D0E2B">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40</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8DE59">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43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75016C">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与</w:t>
            </w:r>
            <w:r>
              <w:rPr>
                <w:rFonts w:hint="eastAsia" w:ascii="仿宋" w:hAnsi="仿宋" w:cs="仿宋"/>
                <w:color w:val="000000"/>
                <w:kern w:val="0"/>
                <w:sz w:val="24"/>
                <w:szCs w:val="24"/>
                <w:lang w:val="en-US" w:eastAsia="zh-CN" w:bidi="ar"/>
              </w:rPr>
              <w:t>市、区GIS</w:t>
            </w:r>
            <w:r>
              <w:rPr>
                <w:rFonts w:hint="eastAsia" w:ascii="仿宋" w:hAnsi="仿宋" w:cs="仿宋"/>
                <w:color w:val="000000"/>
                <w:kern w:val="0"/>
                <w:sz w:val="24"/>
                <w:szCs w:val="24"/>
                <w:lang w:bidi="ar"/>
              </w:rPr>
              <w:t>系统对接</w:t>
            </w:r>
          </w:p>
        </w:tc>
      </w:tr>
      <w:tr w14:paraId="7B118AC5">
        <w:tblPrEx>
          <w:tblCellMar>
            <w:top w:w="0" w:type="dxa"/>
            <w:left w:w="108" w:type="dxa"/>
            <w:bottom w:w="0" w:type="dxa"/>
            <w:right w:w="108" w:type="dxa"/>
          </w:tblCellMar>
        </w:tblPrEx>
        <w:trPr>
          <w:trHeight w:val="285"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47B17">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41</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09F27">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43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B66FAB">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与</w:t>
            </w:r>
            <w:r>
              <w:rPr>
                <w:rFonts w:hint="eastAsia" w:ascii="仿宋" w:hAnsi="仿宋" w:cs="仿宋"/>
                <w:color w:val="000000"/>
                <w:kern w:val="0"/>
                <w:sz w:val="24"/>
                <w:szCs w:val="24"/>
                <w:lang w:val="en-US" w:eastAsia="zh-CN" w:bidi="ar"/>
              </w:rPr>
              <w:t>单兵设备</w:t>
            </w:r>
            <w:r>
              <w:rPr>
                <w:rFonts w:hint="eastAsia" w:ascii="仿宋" w:hAnsi="仿宋" w:cs="仿宋"/>
                <w:color w:val="000000"/>
                <w:kern w:val="0"/>
                <w:sz w:val="24"/>
                <w:szCs w:val="24"/>
                <w:lang w:bidi="ar"/>
              </w:rPr>
              <w:t>对接</w:t>
            </w:r>
          </w:p>
        </w:tc>
      </w:tr>
      <w:tr w14:paraId="6ADBBDF0">
        <w:tblPrEx>
          <w:tblCellMar>
            <w:top w:w="0" w:type="dxa"/>
            <w:left w:w="108" w:type="dxa"/>
            <w:bottom w:w="0" w:type="dxa"/>
            <w:right w:w="108" w:type="dxa"/>
          </w:tblCellMar>
        </w:tblPrEx>
        <w:trPr>
          <w:trHeight w:val="285"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423AD">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42</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5CCF2">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p>
        </w:tc>
        <w:tc>
          <w:tcPr>
            <w:tcW w:w="43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6533EA">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与</w:t>
            </w:r>
            <w:r>
              <w:rPr>
                <w:rFonts w:hint="eastAsia" w:ascii="仿宋" w:hAnsi="仿宋" w:cs="仿宋"/>
                <w:color w:val="000000"/>
                <w:kern w:val="0"/>
                <w:sz w:val="24"/>
                <w:szCs w:val="24"/>
                <w:lang w:val="en-US" w:eastAsia="zh-CN" w:bidi="ar"/>
              </w:rPr>
              <w:t>全球眼系统</w:t>
            </w:r>
            <w:r>
              <w:rPr>
                <w:rFonts w:hint="eastAsia" w:ascii="仿宋" w:hAnsi="仿宋" w:cs="仿宋"/>
                <w:color w:val="000000"/>
                <w:kern w:val="0"/>
                <w:sz w:val="24"/>
                <w:szCs w:val="24"/>
                <w:lang w:bidi="ar"/>
              </w:rPr>
              <w:t>对接</w:t>
            </w:r>
          </w:p>
        </w:tc>
      </w:tr>
      <w:tr w14:paraId="7C0A8F5D">
        <w:tblPrEx>
          <w:tblCellMar>
            <w:top w:w="0" w:type="dxa"/>
            <w:left w:w="108" w:type="dxa"/>
            <w:bottom w:w="0" w:type="dxa"/>
            <w:right w:w="108" w:type="dxa"/>
          </w:tblCellMar>
        </w:tblPrEx>
        <w:trPr>
          <w:trHeight w:val="285" w:hRule="atLeast"/>
        </w:trPr>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660D9">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43</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D0E96">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密码应用开发</w:t>
            </w:r>
          </w:p>
        </w:tc>
        <w:tc>
          <w:tcPr>
            <w:tcW w:w="436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E51BB">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密码应用开发</w:t>
            </w:r>
          </w:p>
        </w:tc>
      </w:tr>
    </w:tbl>
    <w:p w14:paraId="6F6796EB">
      <w:pPr>
        <w:pageBreakBefore w:val="0"/>
        <w:kinsoku/>
        <w:wordWrap/>
        <w:overflowPunct/>
        <w:topLinePunct w:val="0"/>
        <w:autoSpaceDE/>
        <w:autoSpaceDN/>
        <w:bidi w:val="0"/>
        <w:spacing w:line="440" w:lineRule="exact"/>
        <w:ind w:left="0" w:leftChars="0" w:firstLine="0" w:firstLineChars="0"/>
        <w:jc w:val="left"/>
      </w:pPr>
    </w:p>
    <w:p w14:paraId="60B3C059">
      <w:pPr>
        <w:pStyle w:val="4"/>
        <w:pageBreakBefore w:val="0"/>
        <w:kinsoku/>
        <w:wordWrap/>
        <w:overflowPunct/>
        <w:topLinePunct w:val="0"/>
        <w:autoSpaceDE/>
        <w:autoSpaceDN/>
        <w:bidi w:val="0"/>
        <w:spacing w:before="0" w:after="0" w:line="440" w:lineRule="exact"/>
        <w:ind w:left="0" w:leftChars="0"/>
        <w:rPr>
          <w:rFonts w:hint="eastAsia" w:ascii="仿宋" w:hAnsi="仿宋" w:eastAsia="仿宋" w:cs="仿宋"/>
          <w:b/>
          <w:kern w:val="2"/>
          <w:sz w:val="28"/>
          <w:szCs w:val="22"/>
          <w:lang w:val="en-US" w:eastAsia="zh-CN" w:bidi="ar-SA"/>
        </w:rPr>
      </w:pPr>
      <w:bookmarkStart w:id="41" w:name="_Toc6166"/>
      <w:r>
        <w:rPr>
          <w:rFonts w:hint="eastAsia" w:ascii="仿宋" w:hAnsi="仿宋" w:eastAsia="仿宋" w:cs="仿宋"/>
          <w:b/>
          <w:kern w:val="2"/>
          <w:sz w:val="28"/>
          <w:szCs w:val="22"/>
          <w:lang w:val="en-US" w:eastAsia="zh-CN" w:bidi="ar-SA"/>
        </w:rPr>
        <w:t>系统软硬件要求</w:t>
      </w:r>
    </w:p>
    <w:p w14:paraId="1514C68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lang w:val="en-US" w:eastAsia="zh-CN"/>
        </w:rPr>
      </w:pPr>
      <w:r>
        <w:rPr>
          <w:rFonts w:hint="eastAsia"/>
          <w:lang w:val="en-US" w:eastAsia="zh-CN"/>
        </w:rPr>
        <w:t>投标方提供的软硬件产品全面使用自主可控的国产化产品，依托政务云平台构建技术底座，严格遵循区政务云安全规范部署实施。所有软件模块应具备功能分担、分布式结构，保证系统的安全可靠。主要模块和接口应保证高可用和冗余性、安全性、易维护性等要求。</w:t>
      </w:r>
    </w:p>
    <w:p w14:paraId="33DE43B3">
      <w:pPr>
        <w:pStyle w:val="2"/>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b/>
          <w:bCs/>
          <w:lang w:val="en-US" w:eastAsia="zh-CN"/>
        </w:rPr>
      </w:pPr>
      <w:r>
        <w:rPr>
          <w:rFonts w:hint="default"/>
          <w:b/>
          <w:bCs/>
          <w:lang w:val="en-US" w:eastAsia="zh-CN"/>
        </w:rPr>
        <w:t>投标方应根据投标软件情况，提出系统部署所需的软硬件方案</w:t>
      </w:r>
      <w:r>
        <w:rPr>
          <w:rFonts w:hint="eastAsia"/>
          <w:b/>
          <w:bCs/>
          <w:lang w:val="en-US" w:eastAsia="zh-CN"/>
        </w:rPr>
        <w:t>以及网络部署方案。</w:t>
      </w:r>
      <w:r>
        <w:rPr>
          <w:rFonts w:hint="default"/>
          <w:b/>
          <w:bCs/>
          <w:lang w:val="en-US" w:eastAsia="zh-CN"/>
        </w:rPr>
        <w:t>投标方使用的资源需在招标方提供的范围内，超出部分由投标方承担（包括硬件设备和机架租赁费用）。</w:t>
      </w:r>
    </w:p>
    <w:p w14:paraId="73796E48">
      <w:pPr>
        <w:pStyle w:val="5"/>
        <w:pageBreakBefore w:val="0"/>
        <w:numPr>
          <w:ilvl w:val="2"/>
          <w:numId w:val="0"/>
        </w:numPr>
        <w:kinsoku/>
        <w:wordWrap/>
        <w:overflowPunct/>
        <w:topLinePunct w:val="0"/>
        <w:autoSpaceDE/>
        <w:autoSpaceDN/>
        <w:bidi w:val="0"/>
        <w:spacing w:line="440" w:lineRule="exact"/>
        <w:rPr>
          <w:rFonts w:hint="eastAsia"/>
        </w:rPr>
      </w:pPr>
      <w:r>
        <w:rPr>
          <w:rFonts w:hint="eastAsia" w:ascii="仿宋" w:hAnsi="仿宋" w:cs="仿宋"/>
          <w:b/>
          <w:bCs/>
          <w:lang w:val="en-US" w:eastAsia="zh-CN"/>
        </w:rPr>
        <w:t>2.5.1</w:t>
      </w:r>
      <w:r>
        <w:rPr>
          <w:rFonts w:hint="eastAsia" w:ascii="仿宋" w:hAnsi="仿宋" w:eastAsia="仿宋" w:cs="仿宋"/>
          <w:b/>
          <w:bCs/>
        </w:rPr>
        <w:t>配套硬件设备需求</w:t>
      </w:r>
      <w:bookmarkEnd w:id="41"/>
    </w:p>
    <w:tbl>
      <w:tblPr>
        <w:tblStyle w:val="22"/>
        <w:tblpPr w:leftFromText="180" w:rightFromText="180" w:vertAnchor="text" w:horzAnchor="page" w:tblpX="1890" w:tblpY="580"/>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
        <w:gridCol w:w="1045"/>
        <w:gridCol w:w="1291"/>
        <w:gridCol w:w="5125"/>
        <w:gridCol w:w="590"/>
      </w:tblGrid>
      <w:tr w14:paraId="3D3BA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blHeader/>
        </w:trPr>
        <w:tc>
          <w:tcPr>
            <w:tcW w:w="275" w:type="pct"/>
            <w:shd w:val="clear" w:color="auto" w:fill="auto"/>
            <w:vAlign w:val="center"/>
          </w:tcPr>
          <w:p w14:paraId="716C1507">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b/>
                <w:bCs/>
                <w:kern w:val="0"/>
                <w:sz w:val="24"/>
                <w:szCs w:val="24"/>
              </w:rPr>
            </w:pPr>
            <w:r>
              <w:rPr>
                <w:rFonts w:hint="eastAsia" w:ascii="仿宋" w:hAnsi="仿宋" w:cs="仿宋"/>
                <w:b/>
                <w:bCs/>
                <w:kern w:val="0"/>
                <w:sz w:val="24"/>
                <w:szCs w:val="24"/>
              </w:rPr>
              <w:t>序号</w:t>
            </w:r>
          </w:p>
        </w:tc>
        <w:tc>
          <w:tcPr>
            <w:tcW w:w="613" w:type="pct"/>
            <w:shd w:val="clear" w:color="auto" w:fill="auto"/>
            <w:vAlign w:val="center"/>
          </w:tcPr>
          <w:p w14:paraId="17383B48">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b/>
                <w:bCs/>
                <w:kern w:val="0"/>
                <w:sz w:val="24"/>
                <w:szCs w:val="24"/>
              </w:rPr>
            </w:pPr>
            <w:r>
              <w:rPr>
                <w:rFonts w:hint="eastAsia" w:ascii="仿宋" w:hAnsi="仿宋" w:cs="仿宋"/>
                <w:b/>
                <w:bCs/>
                <w:kern w:val="0"/>
                <w:sz w:val="24"/>
                <w:szCs w:val="24"/>
              </w:rPr>
              <w:t>分类</w:t>
            </w:r>
          </w:p>
        </w:tc>
        <w:tc>
          <w:tcPr>
            <w:tcW w:w="757" w:type="pct"/>
            <w:shd w:val="clear" w:color="auto" w:fill="auto"/>
            <w:vAlign w:val="center"/>
          </w:tcPr>
          <w:p w14:paraId="77A2347B">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b/>
                <w:bCs/>
                <w:kern w:val="0"/>
                <w:sz w:val="24"/>
                <w:szCs w:val="24"/>
              </w:rPr>
            </w:pPr>
            <w:r>
              <w:rPr>
                <w:rFonts w:hint="eastAsia" w:ascii="仿宋" w:hAnsi="仿宋" w:cs="仿宋"/>
                <w:b/>
                <w:bCs/>
                <w:kern w:val="0"/>
                <w:sz w:val="24"/>
                <w:szCs w:val="24"/>
              </w:rPr>
              <w:t>产品名称</w:t>
            </w:r>
          </w:p>
        </w:tc>
        <w:tc>
          <w:tcPr>
            <w:tcW w:w="3006" w:type="pct"/>
            <w:shd w:val="clear" w:color="auto" w:fill="auto"/>
            <w:vAlign w:val="center"/>
          </w:tcPr>
          <w:p w14:paraId="05688193">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b/>
                <w:bCs/>
                <w:kern w:val="0"/>
                <w:sz w:val="24"/>
                <w:szCs w:val="24"/>
              </w:rPr>
            </w:pPr>
            <w:r>
              <w:rPr>
                <w:rFonts w:hint="eastAsia" w:ascii="仿宋" w:hAnsi="仿宋" w:cs="仿宋"/>
                <w:b/>
                <w:bCs/>
                <w:kern w:val="0"/>
                <w:sz w:val="24"/>
                <w:szCs w:val="24"/>
              </w:rPr>
              <w:t>性能参数</w:t>
            </w:r>
          </w:p>
        </w:tc>
        <w:tc>
          <w:tcPr>
            <w:tcW w:w="346" w:type="pct"/>
            <w:shd w:val="clear" w:color="auto" w:fill="auto"/>
            <w:vAlign w:val="center"/>
          </w:tcPr>
          <w:p w14:paraId="2BFECCBE">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b/>
                <w:bCs/>
                <w:kern w:val="0"/>
                <w:sz w:val="24"/>
                <w:szCs w:val="24"/>
              </w:rPr>
            </w:pPr>
            <w:r>
              <w:rPr>
                <w:rFonts w:hint="eastAsia" w:ascii="仿宋" w:hAnsi="仿宋" w:cs="仿宋"/>
                <w:b/>
                <w:bCs/>
                <w:kern w:val="0"/>
                <w:sz w:val="24"/>
                <w:szCs w:val="24"/>
              </w:rPr>
              <w:t>数量</w:t>
            </w:r>
          </w:p>
        </w:tc>
      </w:tr>
      <w:tr w14:paraId="36FC0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75" w:type="pct"/>
            <w:shd w:val="clear" w:color="auto" w:fill="auto"/>
            <w:vAlign w:val="center"/>
          </w:tcPr>
          <w:p w14:paraId="34EFB2FA">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kern w:val="0"/>
                <w:sz w:val="24"/>
                <w:szCs w:val="24"/>
              </w:rPr>
            </w:pPr>
            <w:r>
              <w:rPr>
                <w:rFonts w:hint="eastAsia" w:ascii="仿宋" w:hAnsi="仿宋" w:cs="仿宋"/>
                <w:kern w:val="0"/>
                <w:sz w:val="24"/>
                <w:szCs w:val="24"/>
              </w:rPr>
              <w:t>1</w:t>
            </w:r>
          </w:p>
        </w:tc>
        <w:tc>
          <w:tcPr>
            <w:tcW w:w="613" w:type="pct"/>
            <w:vMerge w:val="restart"/>
            <w:shd w:val="clear" w:color="auto" w:fill="auto"/>
            <w:vAlign w:val="center"/>
          </w:tcPr>
          <w:p w14:paraId="55A8113E">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kern w:val="0"/>
                <w:sz w:val="24"/>
                <w:szCs w:val="24"/>
              </w:rPr>
            </w:pPr>
            <w:r>
              <w:rPr>
                <w:rFonts w:hint="eastAsia" w:ascii="仿宋" w:hAnsi="仿宋" w:cs="仿宋"/>
                <w:kern w:val="0"/>
                <w:sz w:val="24"/>
                <w:szCs w:val="24"/>
              </w:rPr>
              <w:t>视频相关设备购置</w:t>
            </w:r>
          </w:p>
        </w:tc>
        <w:tc>
          <w:tcPr>
            <w:tcW w:w="757" w:type="pct"/>
            <w:vMerge w:val="restart"/>
            <w:shd w:val="clear" w:color="auto" w:fill="auto"/>
            <w:vAlign w:val="center"/>
          </w:tcPr>
          <w:p w14:paraId="02879026">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kern w:val="0"/>
                <w:sz w:val="24"/>
                <w:szCs w:val="24"/>
              </w:rPr>
            </w:pPr>
            <w:r>
              <w:rPr>
                <w:rFonts w:hint="eastAsia" w:ascii="仿宋" w:hAnsi="仿宋" w:cs="仿宋"/>
                <w:kern w:val="0"/>
                <w:sz w:val="24"/>
                <w:szCs w:val="24"/>
              </w:rPr>
              <w:t>政务外网区视频网关一体机(含视频转发高性能节点)</w:t>
            </w:r>
          </w:p>
        </w:tc>
        <w:tc>
          <w:tcPr>
            <w:tcW w:w="3006" w:type="pct"/>
            <w:shd w:val="clear" w:color="auto" w:fill="auto"/>
            <w:vAlign w:val="center"/>
          </w:tcPr>
          <w:p w14:paraId="272BD2F1">
            <w:pPr>
              <w:pageBreakBefore w:val="0"/>
              <w:kinsoku/>
              <w:wordWrap/>
              <w:overflowPunct/>
              <w:topLinePunct w:val="0"/>
              <w:autoSpaceDE/>
              <w:autoSpaceDN/>
              <w:bidi w:val="0"/>
              <w:adjustRightInd w:val="0"/>
              <w:snapToGrid w:val="0"/>
              <w:spacing w:line="440" w:lineRule="exact"/>
              <w:ind w:left="0" w:leftChars="0" w:firstLine="0" w:firstLineChars="0"/>
              <w:jc w:val="left"/>
              <w:rPr>
                <w:rFonts w:hint="eastAsia" w:ascii="仿宋" w:hAnsi="仿宋" w:cs="仿宋"/>
                <w:kern w:val="0"/>
                <w:sz w:val="24"/>
                <w:szCs w:val="24"/>
              </w:rPr>
            </w:pPr>
            <w:r>
              <w:rPr>
                <w:rFonts w:hint="eastAsia" w:ascii="仿宋" w:hAnsi="仿宋" w:cs="仿宋"/>
                <w:kern w:val="0"/>
                <w:sz w:val="24"/>
                <w:szCs w:val="24"/>
              </w:rPr>
              <w:t>视频网关：处理器：两颗高性能处理器（内核数</w:t>
            </w:r>
            <w:r>
              <w:rPr>
                <w:rFonts w:hint="eastAsia" w:ascii="仿宋" w:hAnsi="仿宋" w:cs="仿宋"/>
                <w:kern w:val="0"/>
                <w:sz w:val="24"/>
                <w:szCs w:val="24"/>
                <w:lang w:val="en-US" w:eastAsia="zh-CN"/>
              </w:rPr>
              <w:t>不低于</w:t>
            </w:r>
            <w:r>
              <w:rPr>
                <w:rFonts w:hint="eastAsia" w:ascii="仿宋" w:hAnsi="仿宋" w:cs="仿宋"/>
                <w:kern w:val="0"/>
                <w:sz w:val="24"/>
                <w:szCs w:val="24"/>
              </w:rPr>
              <w:t>8， 线程数</w:t>
            </w:r>
            <w:r>
              <w:rPr>
                <w:rFonts w:hint="eastAsia" w:ascii="仿宋" w:hAnsi="仿宋" w:cs="仿宋"/>
                <w:kern w:val="0"/>
                <w:sz w:val="24"/>
                <w:szCs w:val="24"/>
                <w:lang w:val="en-US" w:eastAsia="zh-CN"/>
              </w:rPr>
              <w:t>不低于</w:t>
            </w:r>
            <w:r>
              <w:rPr>
                <w:rFonts w:hint="eastAsia" w:ascii="仿宋" w:hAnsi="仿宋" w:cs="仿宋"/>
                <w:kern w:val="0"/>
                <w:sz w:val="24"/>
                <w:szCs w:val="24"/>
              </w:rPr>
              <w:t>16， 主频率</w:t>
            </w:r>
            <w:r>
              <w:rPr>
                <w:rFonts w:hint="eastAsia" w:ascii="仿宋" w:hAnsi="仿宋" w:cs="仿宋"/>
                <w:kern w:val="0"/>
                <w:sz w:val="24"/>
                <w:szCs w:val="24"/>
                <w:lang w:val="en-US" w:eastAsia="zh-CN"/>
              </w:rPr>
              <w:t>不低于</w:t>
            </w:r>
            <w:r>
              <w:rPr>
                <w:rFonts w:hint="eastAsia" w:ascii="仿宋" w:hAnsi="仿宋" w:cs="仿宋"/>
                <w:kern w:val="0"/>
                <w:sz w:val="24"/>
                <w:szCs w:val="24"/>
              </w:rPr>
              <w:t>2.10 GHz）</w:t>
            </w:r>
            <w:r>
              <w:rPr>
                <w:rFonts w:hint="eastAsia" w:ascii="仿宋" w:hAnsi="仿宋" w:cs="仿宋"/>
                <w:kern w:val="0"/>
                <w:sz w:val="24"/>
                <w:szCs w:val="24"/>
              </w:rPr>
              <w:br w:type="textWrapping"/>
            </w:r>
            <w:r>
              <w:rPr>
                <w:rFonts w:hint="eastAsia" w:ascii="仿宋" w:hAnsi="仿宋" w:cs="仿宋"/>
                <w:kern w:val="0"/>
                <w:sz w:val="24"/>
                <w:szCs w:val="24"/>
              </w:rPr>
              <w:t>内存</w:t>
            </w:r>
            <w:r>
              <w:rPr>
                <w:rFonts w:hint="eastAsia" w:ascii="仿宋" w:hAnsi="仿宋" w:cs="仿宋"/>
                <w:kern w:val="0"/>
                <w:sz w:val="24"/>
                <w:szCs w:val="24"/>
                <w:lang w:eastAsia="zh-CN"/>
              </w:rPr>
              <w:t>：</w:t>
            </w:r>
            <w:r>
              <w:rPr>
                <w:rFonts w:hint="eastAsia" w:ascii="仿宋" w:hAnsi="仿宋" w:cs="仿宋"/>
                <w:kern w:val="0"/>
                <w:sz w:val="24"/>
                <w:szCs w:val="24"/>
                <w:lang w:val="en-US" w:eastAsia="zh-CN"/>
              </w:rPr>
              <w:t>不低于</w:t>
            </w:r>
            <w:r>
              <w:rPr>
                <w:rFonts w:hint="eastAsia" w:ascii="仿宋" w:hAnsi="仿宋" w:cs="仿宋"/>
                <w:kern w:val="0"/>
                <w:sz w:val="24"/>
                <w:szCs w:val="24"/>
              </w:rPr>
              <w:t>DDR4</w:t>
            </w:r>
            <w:r>
              <w:rPr>
                <w:rFonts w:hint="eastAsia" w:ascii="仿宋" w:hAnsi="仿宋" w:cs="仿宋"/>
                <w:kern w:val="0"/>
                <w:sz w:val="24"/>
                <w:szCs w:val="24"/>
                <w:lang w:val="en-US" w:eastAsia="zh-CN"/>
              </w:rPr>
              <w:t xml:space="preserve"> </w:t>
            </w:r>
            <w:r>
              <w:rPr>
                <w:rFonts w:hint="eastAsia" w:ascii="仿宋" w:hAnsi="仿宋" w:cs="仿宋"/>
                <w:kern w:val="0"/>
                <w:sz w:val="24"/>
                <w:szCs w:val="24"/>
              </w:rPr>
              <w:t>16G*4；</w:t>
            </w:r>
            <w:r>
              <w:rPr>
                <w:rFonts w:hint="eastAsia" w:ascii="仿宋" w:hAnsi="仿宋" w:cs="仿宋"/>
                <w:kern w:val="0"/>
                <w:sz w:val="24"/>
                <w:szCs w:val="24"/>
              </w:rPr>
              <w:br w:type="textWrapping"/>
            </w:r>
            <w:r>
              <w:rPr>
                <w:rFonts w:hint="eastAsia" w:ascii="仿宋" w:hAnsi="仿宋" w:cs="仿宋"/>
                <w:kern w:val="0"/>
                <w:sz w:val="24"/>
                <w:szCs w:val="24"/>
              </w:rPr>
              <w:t>硬盘</w:t>
            </w:r>
            <w:r>
              <w:rPr>
                <w:rFonts w:hint="eastAsia" w:ascii="仿宋" w:hAnsi="仿宋" w:cs="仿宋"/>
                <w:kern w:val="0"/>
                <w:sz w:val="24"/>
                <w:szCs w:val="24"/>
                <w:lang w:eastAsia="zh-CN"/>
              </w:rPr>
              <w:t>：</w:t>
            </w:r>
            <w:r>
              <w:rPr>
                <w:rFonts w:hint="eastAsia" w:ascii="仿宋" w:hAnsi="仿宋" w:cs="仿宋"/>
                <w:kern w:val="0"/>
                <w:sz w:val="24"/>
                <w:szCs w:val="24"/>
                <w:lang w:val="en-US" w:eastAsia="zh-CN"/>
              </w:rPr>
              <w:t>不低于</w:t>
            </w:r>
            <w:r>
              <w:rPr>
                <w:rFonts w:hint="eastAsia" w:ascii="仿宋" w:hAnsi="仿宋" w:cs="仿宋"/>
                <w:kern w:val="0"/>
                <w:sz w:val="24"/>
                <w:szCs w:val="24"/>
              </w:rPr>
              <w:t>SSD 480G*2 ；</w:t>
            </w:r>
            <w:r>
              <w:rPr>
                <w:rFonts w:hint="eastAsia" w:ascii="仿宋" w:hAnsi="仿宋" w:cs="仿宋"/>
                <w:kern w:val="0"/>
                <w:sz w:val="24"/>
                <w:szCs w:val="24"/>
              </w:rPr>
              <w:br w:type="textWrapping"/>
            </w:r>
            <w:r>
              <w:rPr>
                <w:rFonts w:hint="eastAsia" w:ascii="仿宋" w:hAnsi="仿宋" w:cs="仿宋"/>
                <w:kern w:val="0"/>
                <w:sz w:val="24"/>
                <w:szCs w:val="24"/>
              </w:rPr>
              <w:t>网络I/O：集成2个10/100/1000M自适应以太网口；</w:t>
            </w:r>
            <w:r>
              <w:rPr>
                <w:rFonts w:hint="eastAsia" w:ascii="仿宋" w:hAnsi="仿宋" w:cs="仿宋"/>
                <w:kern w:val="0"/>
                <w:sz w:val="24"/>
                <w:szCs w:val="24"/>
              </w:rPr>
              <w:br w:type="textWrapping"/>
            </w:r>
            <w:r>
              <w:rPr>
                <w:rFonts w:hint="eastAsia" w:ascii="仿宋" w:hAnsi="仿宋" w:cs="仿宋"/>
                <w:kern w:val="0"/>
                <w:sz w:val="24"/>
                <w:szCs w:val="24"/>
              </w:rPr>
              <w:t xml:space="preserve">电源：1+1冗余 标配输出功率550W </w:t>
            </w:r>
            <w:r>
              <w:rPr>
                <w:rFonts w:hint="eastAsia" w:ascii="仿宋" w:hAnsi="仿宋" w:cs="仿宋"/>
                <w:kern w:val="0"/>
                <w:sz w:val="24"/>
                <w:szCs w:val="24"/>
              </w:rPr>
              <w:br w:type="textWrapping"/>
            </w:r>
            <w:r>
              <w:rPr>
                <w:rFonts w:hint="eastAsia" w:ascii="仿宋" w:hAnsi="仿宋" w:cs="仿宋"/>
                <w:kern w:val="0"/>
                <w:sz w:val="24"/>
                <w:szCs w:val="24"/>
              </w:rPr>
              <w:t>导轨：2U标准导轨。</w:t>
            </w:r>
          </w:p>
        </w:tc>
        <w:tc>
          <w:tcPr>
            <w:tcW w:w="346" w:type="pct"/>
            <w:shd w:val="clear" w:color="auto" w:fill="auto"/>
            <w:vAlign w:val="center"/>
          </w:tcPr>
          <w:p w14:paraId="4EB03F6E">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kern w:val="0"/>
                <w:sz w:val="24"/>
                <w:szCs w:val="24"/>
              </w:rPr>
            </w:pPr>
            <w:r>
              <w:rPr>
                <w:rFonts w:hint="eastAsia" w:ascii="仿宋" w:hAnsi="仿宋" w:cs="仿宋"/>
                <w:kern w:val="0"/>
                <w:sz w:val="24"/>
                <w:szCs w:val="24"/>
              </w:rPr>
              <w:t>1</w:t>
            </w:r>
          </w:p>
        </w:tc>
      </w:tr>
      <w:tr w14:paraId="16EEE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275" w:type="pct"/>
            <w:shd w:val="clear" w:color="auto" w:fill="auto"/>
            <w:vAlign w:val="center"/>
          </w:tcPr>
          <w:p w14:paraId="45F8EDEB">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kern w:val="0"/>
                <w:sz w:val="24"/>
                <w:szCs w:val="24"/>
              </w:rPr>
            </w:pPr>
            <w:r>
              <w:rPr>
                <w:rFonts w:hint="eastAsia" w:ascii="仿宋" w:hAnsi="仿宋" w:cs="仿宋"/>
                <w:kern w:val="0"/>
                <w:sz w:val="24"/>
                <w:szCs w:val="24"/>
              </w:rPr>
              <w:t>2</w:t>
            </w:r>
          </w:p>
        </w:tc>
        <w:tc>
          <w:tcPr>
            <w:tcW w:w="613" w:type="pct"/>
            <w:vMerge w:val="continue"/>
            <w:vAlign w:val="center"/>
          </w:tcPr>
          <w:p w14:paraId="24666B30">
            <w:pPr>
              <w:pageBreakBefore w:val="0"/>
              <w:kinsoku/>
              <w:wordWrap/>
              <w:overflowPunct/>
              <w:topLinePunct w:val="0"/>
              <w:autoSpaceDE/>
              <w:autoSpaceDN/>
              <w:bidi w:val="0"/>
              <w:adjustRightInd w:val="0"/>
              <w:snapToGrid w:val="0"/>
              <w:spacing w:line="440" w:lineRule="exact"/>
              <w:ind w:left="0" w:leftChars="0" w:firstLine="0" w:firstLineChars="0"/>
              <w:jc w:val="left"/>
              <w:rPr>
                <w:rFonts w:hint="eastAsia" w:ascii="仿宋" w:hAnsi="仿宋" w:cs="仿宋"/>
                <w:kern w:val="0"/>
                <w:sz w:val="24"/>
                <w:szCs w:val="24"/>
              </w:rPr>
            </w:pPr>
          </w:p>
        </w:tc>
        <w:tc>
          <w:tcPr>
            <w:tcW w:w="757" w:type="pct"/>
            <w:vMerge w:val="continue"/>
            <w:vAlign w:val="center"/>
          </w:tcPr>
          <w:p w14:paraId="55874046">
            <w:pPr>
              <w:pageBreakBefore w:val="0"/>
              <w:kinsoku/>
              <w:wordWrap/>
              <w:overflowPunct/>
              <w:topLinePunct w:val="0"/>
              <w:autoSpaceDE/>
              <w:autoSpaceDN/>
              <w:bidi w:val="0"/>
              <w:adjustRightInd w:val="0"/>
              <w:snapToGrid w:val="0"/>
              <w:spacing w:line="440" w:lineRule="exact"/>
              <w:ind w:left="0" w:leftChars="0" w:firstLine="0" w:firstLineChars="0"/>
              <w:jc w:val="left"/>
              <w:rPr>
                <w:rFonts w:hint="eastAsia" w:ascii="仿宋" w:hAnsi="仿宋" w:cs="仿宋"/>
                <w:kern w:val="0"/>
                <w:sz w:val="24"/>
                <w:szCs w:val="24"/>
              </w:rPr>
            </w:pPr>
          </w:p>
        </w:tc>
        <w:tc>
          <w:tcPr>
            <w:tcW w:w="3006" w:type="pct"/>
            <w:shd w:val="clear" w:color="auto" w:fill="auto"/>
            <w:vAlign w:val="center"/>
          </w:tcPr>
          <w:p w14:paraId="0FAB6DAE">
            <w:pPr>
              <w:pageBreakBefore w:val="0"/>
              <w:kinsoku/>
              <w:wordWrap/>
              <w:overflowPunct/>
              <w:topLinePunct w:val="0"/>
              <w:autoSpaceDE/>
              <w:autoSpaceDN/>
              <w:bidi w:val="0"/>
              <w:adjustRightInd w:val="0"/>
              <w:snapToGrid w:val="0"/>
              <w:spacing w:line="440" w:lineRule="exact"/>
              <w:ind w:left="0" w:leftChars="0" w:firstLine="0" w:firstLineChars="0"/>
              <w:jc w:val="left"/>
              <w:rPr>
                <w:rFonts w:hint="eastAsia" w:ascii="仿宋" w:hAnsi="仿宋" w:cs="仿宋"/>
                <w:kern w:val="0"/>
                <w:sz w:val="24"/>
                <w:szCs w:val="24"/>
              </w:rPr>
            </w:pPr>
            <w:r>
              <w:rPr>
                <w:rFonts w:hint="eastAsia" w:ascii="仿宋" w:hAnsi="仿宋" w:cs="仿宋"/>
                <w:kern w:val="0"/>
                <w:sz w:val="24"/>
                <w:szCs w:val="24"/>
              </w:rPr>
              <w:t>转发节点：处理器：两颗高性能处理器（内核数</w:t>
            </w:r>
            <w:r>
              <w:rPr>
                <w:rFonts w:hint="eastAsia" w:ascii="仿宋" w:hAnsi="仿宋" w:cs="仿宋"/>
                <w:kern w:val="0"/>
                <w:sz w:val="24"/>
                <w:szCs w:val="24"/>
                <w:lang w:val="en-US" w:eastAsia="zh-CN"/>
              </w:rPr>
              <w:t>不低于</w:t>
            </w:r>
            <w:r>
              <w:rPr>
                <w:rFonts w:hint="eastAsia" w:ascii="仿宋" w:hAnsi="仿宋" w:cs="仿宋"/>
                <w:kern w:val="0"/>
                <w:sz w:val="24"/>
                <w:szCs w:val="24"/>
              </w:rPr>
              <w:t>16 ，线程数</w:t>
            </w:r>
            <w:r>
              <w:rPr>
                <w:rFonts w:hint="eastAsia" w:ascii="仿宋" w:hAnsi="仿宋" w:cs="仿宋"/>
                <w:kern w:val="0"/>
                <w:sz w:val="24"/>
                <w:szCs w:val="24"/>
                <w:lang w:val="en-US" w:eastAsia="zh-CN"/>
              </w:rPr>
              <w:t>不低于</w:t>
            </w:r>
            <w:r>
              <w:rPr>
                <w:rFonts w:hint="eastAsia" w:ascii="仿宋" w:hAnsi="仿宋" w:cs="仿宋"/>
                <w:kern w:val="0"/>
                <w:sz w:val="24"/>
                <w:szCs w:val="24"/>
              </w:rPr>
              <w:t>32 ，主频率</w:t>
            </w:r>
            <w:r>
              <w:rPr>
                <w:rFonts w:hint="eastAsia" w:ascii="仿宋" w:hAnsi="仿宋" w:cs="仿宋"/>
                <w:kern w:val="0"/>
                <w:sz w:val="24"/>
                <w:szCs w:val="24"/>
                <w:lang w:val="en-US" w:eastAsia="zh-CN"/>
              </w:rPr>
              <w:t>不低于</w:t>
            </w:r>
            <w:r>
              <w:rPr>
                <w:rFonts w:hint="eastAsia" w:ascii="仿宋" w:hAnsi="仿宋" w:cs="仿宋"/>
                <w:kern w:val="0"/>
                <w:sz w:val="24"/>
                <w:szCs w:val="24"/>
              </w:rPr>
              <w:t>2.30 GHz）</w:t>
            </w:r>
            <w:r>
              <w:rPr>
                <w:rFonts w:hint="eastAsia" w:ascii="仿宋" w:hAnsi="仿宋" w:cs="仿宋"/>
                <w:kern w:val="0"/>
                <w:sz w:val="24"/>
                <w:szCs w:val="24"/>
              </w:rPr>
              <w:br w:type="textWrapping"/>
            </w:r>
            <w:r>
              <w:rPr>
                <w:rFonts w:hint="eastAsia" w:ascii="仿宋" w:hAnsi="仿宋" w:cs="仿宋"/>
                <w:kern w:val="0"/>
                <w:sz w:val="24"/>
                <w:szCs w:val="24"/>
              </w:rPr>
              <w:t>内存：</w:t>
            </w:r>
            <w:r>
              <w:rPr>
                <w:rFonts w:hint="eastAsia" w:ascii="仿宋" w:hAnsi="仿宋" w:cs="仿宋"/>
                <w:kern w:val="0"/>
                <w:sz w:val="24"/>
                <w:szCs w:val="24"/>
                <w:lang w:val="en-US" w:eastAsia="zh-CN"/>
              </w:rPr>
              <w:t>不低于</w:t>
            </w:r>
            <w:r>
              <w:rPr>
                <w:rFonts w:hint="eastAsia" w:ascii="仿宋" w:hAnsi="仿宋" w:cs="仿宋"/>
                <w:kern w:val="0"/>
                <w:sz w:val="24"/>
                <w:szCs w:val="24"/>
              </w:rPr>
              <w:t>DDR4 32G*4；</w:t>
            </w:r>
            <w:r>
              <w:rPr>
                <w:rFonts w:hint="eastAsia" w:ascii="仿宋" w:hAnsi="仿宋" w:cs="仿宋"/>
                <w:kern w:val="0"/>
                <w:sz w:val="24"/>
                <w:szCs w:val="24"/>
              </w:rPr>
              <w:br w:type="textWrapping"/>
            </w:r>
            <w:r>
              <w:rPr>
                <w:rFonts w:hint="eastAsia" w:ascii="仿宋" w:hAnsi="仿宋" w:cs="仿宋"/>
                <w:kern w:val="0"/>
                <w:sz w:val="24"/>
                <w:szCs w:val="24"/>
              </w:rPr>
              <w:t>硬盘：</w:t>
            </w:r>
            <w:r>
              <w:rPr>
                <w:rFonts w:hint="eastAsia" w:ascii="仿宋" w:hAnsi="仿宋" w:cs="仿宋"/>
                <w:kern w:val="0"/>
                <w:sz w:val="24"/>
                <w:szCs w:val="24"/>
                <w:lang w:val="en-US" w:eastAsia="zh-CN"/>
              </w:rPr>
              <w:t>不低于</w:t>
            </w:r>
            <w:r>
              <w:rPr>
                <w:rFonts w:hint="eastAsia" w:ascii="仿宋" w:hAnsi="仿宋" w:cs="仿宋"/>
                <w:kern w:val="0"/>
                <w:sz w:val="24"/>
                <w:szCs w:val="24"/>
              </w:rPr>
              <w:t>SSD 1.92T*2；</w:t>
            </w:r>
            <w:r>
              <w:rPr>
                <w:rFonts w:hint="eastAsia" w:ascii="仿宋" w:hAnsi="仿宋" w:cs="仿宋"/>
                <w:kern w:val="0"/>
                <w:sz w:val="24"/>
                <w:szCs w:val="24"/>
              </w:rPr>
              <w:br w:type="textWrapping"/>
            </w:r>
            <w:r>
              <w:rPr>
                <w:rFonts w:hint="eastAsia" w:ascii="仿宋" w:hAnsi="仿宋" w:cs="仿宋"/>
                <w:kern w:val="0"/>
                <w:sz w:val="24"/>
                <w:szCs w:val="24"/>
              </w:rPr>
              <w:t>网络I/O：集成2个10/100/1000M自适应以太网口+2个10Gb光口；</w:t>
            </w:r>
            <w:r>
              <w:rPr>
                <w:rFonts w:hint="eastAsia" w:ascii="仿宋" w:hAnsi="仿宋" w:cs="仿宋"/>
                <w:kern w:val="0"/>
                <w:sz w:val="24"/>
                <w:szCs w:val="24"/>
              </w:rPr>
              <w:br w:type="textWrapping"/>
            </w:r>
            <w:r>
              <w:rPr>
                <w:rFonts w:hint="eastAsia" w:ascii="仿宋" w:hAnsi="仿宋" w:cs="仿宋"/>
                <w:kern w:val="0"/>
                <w:sz w:val="24"/>
                <w:szCs w:val="24"/>
              </w:rPr>
              <w:t>电源：1+1冗余 标配输出功率550W ；</w:t>
            </w:r>
            <w:r>
              <w:rPr>
                <w:rFonts w:hint="eastAsia" w:ascii="仿宋" w:hAnsi="仿宋" w:cs="仿宋"/>
                <w:kern w:val="0"/>
                <w:sz w:val="24"/>
                <w:szCs w:val="24"/>
              </w:rPr>
              <w:br w:type="textWrapping"/>
            </w:r>
            <w:r>
              <w:rPr>
                <w:rFonts w:hint="eastAsia" w:ascii="仿宋" w:hAnsi="仿宋" w:cs="仿宋"/>
                <w:kern w:val="0"/>
                <w:sz w:val="24"/>
                <w:szCs w:val="24"/>
              </w:rPr>
              <w:t>导轨：2U标准导轨。</w:t>
            </w:r>
          </w:p>
        </w:tc>
        <w:tc>
          <w:tcPr>
            <w:tcW w:w="346" w:type="pct"/>
            <w:shd w:val="clear" w:color="auto" w:fill="auto"/>
            <w:vAlign w:val="center"/>
          </w:tcPr>
          <w:p w14:paraId="5873B35F">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kern w:val="0"/>
                <w:sz w:val="24"/>
                <w:szCs w:val="24"/>
              </w:rPr>
            </w:pPr>
            <w:r>
              <w:rPr>
                <w:rFonts w:hint="eastAsia" w:ascii="仿宋" w:hAnsi="仿宋" w:cs="仿宋"/>
                <w:kern w:val="0"/>
                <w:sz w:val="24"/>
                <w:szCs w:val="24"/>
              </w:rPr>
              <w:t>1</w:t>
            </w:r>
          </w:p>
        </w:tc>
      </w:tr>
      <w:tr w14:paraId="611DA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275" w:type="pct"/>
            <w:shd w:val="clear" w:color="auto" w:fill="auto"/>
            <w:vAlign w:val="center"/>
          </w:tcPr>
          <w:p w14:paraId="1CB23614">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kern w:val="0"/>
                <w:sz w:val="24"/>
                <w:szCs w:val="24"/>
              </w:rPr>
            </w:pPr>
            <w:r>
              <w:rPr>
                <w:rFonts w:hint="eastAsia" w:ascii="仿宋" w:hAnsi="仿宋" w:cs="仿宋"/>
                <w:kern w:val="0"/>
                <w:sz w:val="24"/>
                <w:szCs w:val="24"/>
              </w:rPr>
              <w:t>3</w:t>
            </w:r>
          </w:p>
        </w:tc>
        <w:tc>
          <w:tcPr>
            <w:tcW w:w="613" w:type="pct"/>
            <w:vMerge w:val="continue"/>
            <w:vAlign w:val="center"/>
          </w:tcPr>
          <w:p w14:paraId="35F57727">
            <w:pPr>
              <w:pageBreakBefore w:val="0"/>
              <w:kinsoku/>
              <w:wordWrap/>
              <w:overflowPunct/>
              <w:topLinePunct w:val="0"/>
              <w:autoSpaceDE/>
              <w:autoSpaceDN/>
              <w:bidi w:val="0"/>
              <w:adjustRightInd w:val="0"/>
              <w:snapToGrid w:val="0"/>
              <w:spacing w:line="440" w:lineRule="exact"/>
              <w:ind w:left="0" w:leftChars="0" w:firstLine="0" w:firstLineChars="0"/>
              <w:jc w:val="left"/>
              <w:rPr>
                <w:rFonts w:hint="eastAsia" w:ascii="仿宋" w:hAnsi="仿宋" w:cs="仿宋"/>
                <w:kern w:val="0"/>
                <w:sz w:val="24"/>
                <w:szCs w:val="24"/>
              </w:rPr>
            </w:pPr>
          </w:p>
        </w:tc>
        <w:tc>
          <w:tcPr>
            <w:tcW w:w="757" w:type="pct"/>
            <w:shd w:val="clear" w:color="auto" w:fill="auto"/>
            <w:vAlign w:val="center"/>
          </w:tcPr>
          <w:p w14:paraId="1529361C">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kern w:val="0"/>
                <w:sz w:val="24"/>
                <w:szCs w:val="24"/>
              </w:rPr>
            </w:pPr>
            <w:r>
              <w:rPr>
                <w:rFonts w:hint="eastAsia" w:ascii="仿宋" w:hAnsi="仿宋" w:cs="仿宋"/>
                <w:kern w:val="0"/>
                <w:sz w:val="24"/>
                <w:szCs w:val="24"/>
              </w:rPr>
              <w:t>互联网区视频网关一体机</w:t>
            </w:r>
          </w:p>
        </w:tc>
        <w:tc>
          <w:tcPr>
            <w:tcW w:w="3006" w:type="pct"/>
            <w:shd w:val="clear" w:color="auto" w:fill="auto"/>
            <w:vAlign w:val="center"/>
          </w:tcPr>
          <w:p w14:paraId="1C3518C4">
            <w:pPr>
              <w:pageBreakBefore w:val="0"/>
              <w:kinsoku/>
              <w:wordWrap/>
              <w:overflowPunct/>
              <w:topLinePunct w:val="0"/>
              <w:autoSpaceDE/>
              <w:autoSpaceDN/>
              <w:bidi w:val="0"/>
              <w:adjustRightInd w:val="0"/>
              <w:snapToGrid w:val="0"/>
              <w:spacing w:line="440" w:lineRule="exact"/>
              <w:ind w:left="0" w:leftChars="0" w:firstLine="0" w:firstLineChars="0"/>
              <w:jc w:val="left"/>
              <w:rPr>
                <w:rFonts w:hint="eastAsia" w:ascii="仿宋" w:hAnsi="仿宋" w:cs="仿宋"/>
                <w:kern w:val="0"/>
                <w:sz w:val="24"/>
                <w:szCs w:val="24"/>
              </w:rPr>
            </w:pPr>
            <w:r>
              <w:rPr>
                <w:rFonts w:hint="eastAsia" w:ascii="仿宋" w:hAnsi="仿宋" w:cs="仿宋"/>
                <w:kern w:val="0"/>
                <w:sz w:val="24"/>
                <w:szCs w:val="24"/>
              </w:rPr>
              <w:t>处理器：两颗高性能处理器（内核数</w:t>
            </w:r>
            <w:r>
              <w:rPr>
                <w:rFonts w:hint="eastAsia" w:ascii="仿宋" w:hAnsi="仿宋" w:cs="仿宋"/>
                <w:kern w:val="0"/>
                <w:sz w:val="24"/>
                <w:szCs w:val="24"/>
                <w:lang w:val="en-US" w:eastAsia="zh-CN"/>
              </w:rPr>
              <w:t>不低于</w:t>
            </w:r>
            <w:r>
              <w:rPr>
                <w:rFonts w:hint="eastAsia" w:ascii="仿宋" w:hAnsi="仿宋" w:cs="仿宋"/>
                <w:kern w:val="0"/>
                <w:sz w:val="24"/>
                <w:szCs w:val="24"/>
              </w:rPr>
              <w:t>8， 线程数</w:t>
            </w:r>
            <w:r>
              <w:rPr>
                <w:rFonts w:hint="eastAsia" w:ascii="仿宋" w:hAnsi="仿宋" w:cs="仿宋"/>
                <w:kern w:val="0"/>
                <w:sz w:val="24"/>
                <w:szCs w:val="24"/>
                <w:lang w:val="en-US" w:eastAsia="zh-CN"/>
              </w:rPr>
              <w:t>不低于</w:t>
            </w:r>
            <w:r>
              <w:rPr>
                <w:rFonts w:hint="eastAsia" w:ascii="仿宋" w:hAnsi="仿宋" w:cs="仿宋"/>
                <w:kern w:val="0"/>
                <w:sz w:val="24"/>
                <w:szCs w:val="24"/>
              </w:rPr>
              <w:t>16， 主频率</w:t>
            </w:r>
            <w:r>
              <w:rPr>
                <w:rFonts w:hint="eastAsia" w:ascii="仿宋" w:hAnsi="仿宋" w:cs="仿宋"/>
                <w:kern w:val="0"/>
                <w:sz w:val="24"/>
                <w:szCs w:val="24"/>
                <w:lang w:val="en-US" w:eastAsia="zh-CN"/>
              </w:rPr>
              <w:t>不低于</w:t>
            </w:r>
            <w:r>
              <w:rPr>
                <w:rFonts w:hint="eastAsia" w:ascii="仿宋" w:hAnsi="仿宋" w:cs="仿宋"/>
                <w:kern w:val="0"/>
                <w:sz w:val="24"/>
                <w:szCs w:val="24"/>
              </w:rPr>
              <w:t>2.10 GHz）</w:t>
            </w:r>
            <w:r>
              <w:rPr>
                <w:rFonts w:hint="eastAsia" w:ascii="仿宋" w:hAnsi="仿宋" w:cs="仿宋"/>
                <w:kern w:val="0"/>
                <w:sz w:val="24"/>
                <w:szCs w:val="24"/>
              </w:rPr>
              <w:br w:type="textWrapping"/>
            </w:r>
            <w:r>
              <w:rPr>
                <w:rFonts w:hint="eastAsia" w:ascii="仿宋" w:hAnsi="仿宋" w:cs="仿宋"/>
                <w:kern w:val="0"/>
                <w:sz w:val="24"/>
                <w:szCs w:val="24"/>
              </w:rPr>
              <w:t>内存：</w:t>
            </w:r>
            <w:r>
              <w:rPr>
                <w:rFonts w:hint="eastAsia" w:ascii="仿宋" w:hAnsi="仿宋" w:cs="仿宋"/>
                <w:kern w:val="0"/>
                <w:sz w:val="24"/>
                <w:szCs w:val="24"/>
                <w:lang w:val="en-US" w:eastAsia="zh-CN"/>
              </w:rPr>
              <w:t>不低于</w:t>
            </w:r>
            <w:r>
              <w:rPr>
                <w:rFonts w:hint="eastAsia" w:ascii="仿宋" w:hAnsi="仿宋" w:cs="仿宋"/>
                <w:kern w:val="0"/>
                <w:sz w:val="24"/>
                <w:szCs w:val="24"/>
              </w:rPr>
              <w:t>DDR416G*4；</w:t>
            </w:r>
            <w:r>
              <w:rPr>
                <w:rFonts w:hint="eastAsia" w:ascii="仿宋" w:hAnsi="仿宋" w:cs="仿宋"/>
                <w:kern w:val="0"/>
                <w:sz w:val="24"/>
                <w:szCs w:val="24"/>
              </w:rPr>
              <w:br w:type="textWrapping"/>
            </w:r>
            <w:r>
              <w:rPr>
                <w:rFonts w:hint="eastAsia" w:ascii="仿宋" w:hAnsi="仿宋" w:cs="仿宋"/>
                <w:kern w:val="0"/>
                <w:sz w:val="24"/>
                <w:szCs w:val="24"/>
              </w:rPr>
              <w:t>硬盘：</w:t>
            </w:r>
            <w:r>
              <w:rPr>
                <w:rFonts w:hint="eastAsia" w:ascii="仿宋" w:hAnsi="仿宋" w:cs="仿宋"/>
                <w:kern w:val="0"/>
                <w:sz w:val="24"/>
                <w:szCs w:val="24"/>
                <w:lang w:val="en-US" w:eastAsia="zh-CN"/>
              </w:rPr>
              <w:t>不低于</w:t>
            </w:r>
            <w:r>
              <w:rPr>
                <w:rFonts w:hint="eastAsia" w:ascii="仿宋" w:hAnsi="仿宋" w:cs="仿宋"/>
                <w:kern w:val="0"/>
                <w:sz w:val="24"/>
                <w:szCs w:val="24"/>
              </w:rPr>
              <w:t>SSD 480G*2 ；</w:t>
            </w:r>
            <w:r>
              <w:rPr>
                <w:rFonts w:hint="eastAsia" w:ascii="仿宋" w:hAnsi="仿宋" w:cs="仿宋"/>
                <w:kern w:val="0"/>
                <w:sz w:val="24"/>
                <w:szCs w:val="24"/>
              </w:rPr>
              <w:br w:type="textWrapping"/>
            </w:r>
            <w:r>
              <w:rPr>
                <w:rFonts w:hint="eastAsia" w:ascii="仿宋" w:hAnsi="仿宋" w:cs="仿宋"/>
                <w:kern w:val="0"/>
                <w:sz w:val="24"/>
                <w:szCs w:val="24"/>
              </w:rPr>
              <w:t>网络I/O：集成2个10/100/1000M自适应以太网口；</w:t>
            </w:r>
            <w:r>
              <w:rPr>
                <w:rFonts w:hint="eastAsia" w:ascii="仿宋" w:hAnsi="仿宋" w:cs="仿宋"/>
                <w:kern w:val="0"/>
                <w:sz w:val="24"/>
                <w:szCs w:val="24"/>
              </w:rPr>
              <w:br w:type="textWrapping"/>
            </w:r>
            <w:r>
              <w:rPr>
                <w:rFonts w:hint="eastAsia" w:ascii="仿宋" w:hAnsi="仿宋" w:cs="仿宋"/>
                <w:kern w:val="0"/>
                <w:sz w:val="24"/>
                <w:szCs w:val="24"/>
              </w:rPr>
              <w:t xml:space="preserve">电源：1+1冗余 标配输出功率550W </w:t>
            </w:r>
            <w:r>
              <w:rPr>
                <w:rFonts w:hint="eastAsia" w:ascii="仿宋" w:hAnsi="仿宋" w:cs="仿宋"/>
                <w:kern w:val="0"/>
                <w:sz w:val="24"/>
                <w:szCs w:val="24"/>
              </w:rPr>
              <w:br w:type="textWrapping"/>
            </w:r>
            <w:r>
              <w:rPr>
                <w:rFonts w:hint="eastAsia" w:ascii="仿宋" w:hAnsi="仿宋" w:cs="仿宋"/>
                <w:kern w:val="0"/>
                <w:sz w:val="24"/>
                <w:szCs w:val="24"/>
              </w:rPr>
              <w:t>导轨：2U标准导轨。</w:t>
            </w:r>
          </w:p>
        </w:tc>
        <w:tc>
          <w:tcPr>
            <w:tcW w:w="346" w:type="pct"/>
            <w:shd w:val="clear" w:color="auto" w:fill="auto"/>
            <w:vAlign w:val="center"/>
          </w:tcPr>
          <w:p w14:paraId="4E5C2A52">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kern w:val="0"/>
                <w:sz w:val="24"/>
                <w:szCs w:val="24"/>
              </w:rPr>
            </w:pPr>
            <w:r>
              <w:rPr>
                <w:rFonts w:hint="eastAsia" w:ascii="仿宋" w:hAnsi="仿宋" w:cs="仿宋"/>
                <w:kern w:val="0"/>
                <w:sz w:val="24"/>
                <w:szCs w:val="24"/>
              </w:rPr>
              <w:t>1</w:t>
            </w:r>
          </w:p>
        </w:tc>
      </w:tr>
      <w:tr w14:paraId="0417F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0" w:hRule="atLeast"/>
        </w:trPr>
        <w:tc>
          <w:tcPr>
            <w:tcW w:w="275" w:type="pct"/>
            <w:shd w:val="clear" w:color="auto" w:fill="auto"/>
            <w:vAlign w:val="center"/>
          </w:tcPr>
          <w:p w14:paraId="33552EC5">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eastAsia="仿宋" w:cs="仿宋"/>
                <w:kern w:val="0"/>
                <w:sz w:val="24"/>
                <w:szCs w:val="24"/>
                <w:lang w:eastAsia="zh-CN"/>
              </w:rPr>
            </w:pPr>
            <w:r>
              <w:rPr>
                <w:rFonts w:hint="eastAsia" w:ascii="仿宋" w:hAnsi="仿宋" w:cs="仿宋"/>
                <w:kern w:val="0"/>
                <w:sz w:val="24"/>
                <w:szCs w:val="24"/>
                <w:lang w:val="en-US" w:eastAsia="zh-CN"/>
              </w:rPr>
              <w:t>4</w:t>
            </w:r>
          </w:p>
        </w:tc>
        <w:tc>
          <w:tcPr>
            <w:tcW w:w="613" w:type="pct"/>
            <w:vMerge w:val="continue"/>
            <w:vAlign w:val="center"/>
          </w:tcPr>
          <w:p w14:paraId="41705288">
            <w:pPr>
              <w:pageBreakBefore w:val="0"/>
              <w:kinsoku/>
              <w:wordWrap/>
              <w:overflowPunct/>
              <w:topLinePunct w:val="0"/>
              <w:autoSpaceDE/>
              <w:autoSpaceDN/>
              <w:bidi w:val="0"/>
              <w:adjustRightInd w:val="0"/>
              <w:snapToGrid w:val="0"/>
              <w:spacing w:line="440" w:lineRule="exact"/>
              <w:ind w:left="0" w:leftChars="0" w:firstLine="0" w:firstLineChars="0"/>
              <w:jc w:val="left"/>
              <w:rPr>
                <w:rFonts w:hint="eastAsia" w:ascii="仿宋" w:hAnsi="仿宋" w:cs="仿宋"/>
                <w:kern w:val="0"/>
                <w:sz w:val="24"/>
                <w:szCs w:val="24"/>
              </w:rPr>
            </w:pPr>
          </w:p>
        </w:tc>
        <w:tc>
          <w:tcPr>
            <w:tcW w:w="757" w:type="pct"/>
            <w:shd w:val="clear" w:color="auto" w:fill="auto"/>
            <w:vAlign w:val="center"/>
          </w:tcPr>
          <w:p w14:paraId="1E31AD00">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kern w:val="0"/>
                <w:sz w:val="24"/>
                <w:szCs w:val="24"/>
              </w:rPr>
            </w:pPr>
            <w:r>
              <w:rPr>
                <w:rFonts w:hint="eastAsia" w:ascii="仿宋" w:hAnsi="仿宋" w:cs="仿宋"/>
                <w:kern w:val="0"/>
                <w:sz w:val="24"/>
                <w:szCs w:val="24"/>
              </w:rPr>
              <w:t>安全管控网关一体机</w:t>
            </w:r>
          </w:p>
        </w:tc>
        <w:tc>
          <w:tcPr>
            <w:tcW w:w="3006" w:type="pct"/>
            <w:shd w:val="clear" w:color="auto" w:fill="auto"/>
            <w:vAlign w:val="center"/>
          </w:tcPr>
          <w:p w14:paraId="58E80C2C">
            <w:pPr>
              <w:pageBreakBefore w:val="0"/>
              <w:kinsoku/>
              <w:wordWrap/>
              <w:overflowPunct/>
              <w:topLinePunct w:val="0"/>
              <w:autoSpaceDE/>
              <w:autoSpaceDN/>
              <w:bidi w:val="0"/>
              <w:adjustRightInd w:val="0"/>
              <w:snapToGrid w:val="0"/>
              <w:spacing w:line="440" w:lineRule="exact"/>
              <w:ind w:left="0" w:leftChars="0" w:firstLine="0" w:firstLineChars="0"/>
              <w:jc w:val="left"/>
              <w:rPr>
                <w:rFonts w:hint="eastAsia" w:ascii="仿宋" w:hAnsi="仿宋" w:cs="仿宋"/>
                <w:kern w:val="0"/>
                <w:sz w:val="24"/>
                <w:szCs w:val="24"/>
              </w:rPr>
            </w:pPr>
            <w:r>
              <w:rPr>
                <w:rFonts w:hint="eastAsia" w:ascii="仿宋" w:hAnsi="仿宋" w:cs="仿宋"/>
                <w:kern w:val="0"/>
                <w:sz w:val="24"/>
                <w:szCs w:val="24"/>
              </w:rPr>
              <w:t>处理器：</w:t>
            </w:r>
            <w:r>
              <w:rPr>
                <w:rFonts w:hint="eastAsia" w:ascii="仿宋" w:hAnsi="仿宋" w:cs="仿宋"/>
                <w:kern w:val="0"/>
                <w:sz w:val="24"/>
                <w:szCs w:val="24"/>
                <w:lang w:val="en-US" w:eastAsia="zh-CN"/>
              </w:rPr>
              <w:t>不低于</w:t>
            </w:r>
            <w:r>
              <w:rPr>
                <w:rFonts w:hint="eastAsia" w:ascii="仿宋" w:hAnsi="仿宋" w:cs="仿宋"/>
                <w:kern w:val="0"/>
                <w:sz w:val="24"/>
                <w:szCs w:val="24"/>
              </w:rPr>
              <w:t>2.8 GHz 8核</w:t>
            </w:r>
            <w:r>
              <w:rPr>
                <w:rFonts w:hint="eastAsia" w:ascii="仿宋" w:hAnsi="仿宋" w:cs="仿宋"/>
                <w:kern w:val="0"/>
                <w:sz w:val="24"/>
                <w:szCs w:val="24"/>
              </w:rPr>
              <w:br w:type="textWrapping"/>
            </w:r>
            <w:r>
              <w:rPr>
                <w:rFonts w:hint="eastAsia" w:ascii="仿宋" w:hAnsi="仿宋" w:cs="仿宋"/>
                <w:kern w:val="0"/>
                <w:sz w:val="24"/>
                <w:szCs w:val="24"/>
              </w:rPr>
              <w:t>内存：</w:t>
            </w:r>
            <w:r>
              <w:rPr>
                <w:rFonts w:hint="eastAsia" w:ascii="仿宋" w:hAnsi="仿宋" w:cs="仿宋"/>
                <w:kern w:val="0"/>
                <w:sz w:val="24"/>
                <w:szCs w:val="24"/>
                <w:lang w:val="en-US" w:eastAsia="zh-CN"/>
              </w:rPr>
              <w:t>不低于</w:t>
            </w:r>
            <w:r>
              <w:rPr>
                <w:rFonts w:hint="eastAsia" w:ascii="仿宋" w:hAnsi="仿宋" w:cs="仿宋"/>
                <w:kern w:val="0"/>
                <w:sz w:val="24"/>
                <w:szCs w:val="24"/>
              </w:rPr>
              <w:t>32GB DDR4</w:t>
            </w:r>
            <w:r>
              <w:rPr>
                <w:rFonts w:hint="eastAsia" w:ascii="仿宋" w:hAnsi="仿宋" w:cs="仿宋"/>
                <w:kern w:val="0"/>
                <w:sz w:val="24"/>
                <w:szCs w:val="24"/>
              </w:rPr>
              <w:br w:type="textWrapping"/>
            </w:r>
            <w:r>
              <w:rPr>
                <w:rFonts w:hint="eastAsia" w:ascii="仿宋" w:hAnsi="仿宋" w:cs="仿宋"/>
                <w:kern w:val="0"/>
                <w:sz w:val="24"/>
                <w:szCs w:val="24"/>
              </w:rPr>
              <w:t>硬盘：</w:t>
            </w:r>
            <w:r>
              <w:rPr>
                <w:rFonts w:hint="eastAsia" w:ascii="仿宋" w:hAnsi="仿宋" w:cs="仿宋"/>
                <w:kern w:val="0"/>
                <w:sz w:val="24"/>
                <w:szCs w:val="24"/>
                <w:lang w:val="en-US" w:eastAsia="zh-CN"/>
              </w:rPr>
              <w:t>不低于</w:t>
            </w:r>
            <w:r>
              <w:rPr>
                <w:rFonts w:hint="eastAsia" w:ascii="仿宋" w:hAnsi="仿宋" w:cs="仿宋"/>
                <w:kern w:val="0"/>
                <w:sz w:val="24"/>
                <w:szCs w:val="24"/>
              </w:rPr>
              <w:t>256GB SSD</w:t>
            </w:r>
            <w:r>
              <w:rPr>
                <w:rFonts w:hint="eastAsia" w:ascii="仿宋" w:hAnsi="仿宋" w:cs="仿宋"/>
                <w:kern w:val="0"/>
                <w:sz w:val="24"/>
                <w:szCs w:val="24"/>
              </w:rPr>
              <w:br w:type="textWrapping"/>
            </w:r>
            <w:r>
              <w:rPr>
                <w:rFonts w:hint="eastAsia" w:ascii="仿宋" w:hAnsi="仿宋" w:cs="仿宋"/>
                <w:kern w:val="0"/>
                <w:sz w:val="24"/>
                <w:szCs w:val="24"/>
              </w:rPr>
              <w:t>网络接口：7个10/100/1000M自适应电口，2个10/100/1000M自适应光口</w:t>
            </w:r>
            <w:r>
              <w:rPr>
                <w:rFonts w:hint="eastAsia" w:ascii="仿宋" w:hAnsi="仿宋" w:cs="仿宋"/>
                <w:kern w:val="0"/>
                <w:sz w:val="24"/>
                <w:szCs w:val="24"/>
              </w:rPr>
              <w:br w:type="textWrapping"/>
            </w:r>
            <w:r>
              <w:rPr>
                <w:rFonts w:hint="eastAsia" w:ascii="仿宋" w:hAnsi="仿宋" w:cs="仿宋"/>
                <w:kern w:val="0"/>
                <w:sz w:val="24"/>
                <w:szCs w:val="24"/>
              </w:rPr>
              <w:t>输出接口：1×HDMI，1×VGA</w:t>
            </w:r>
            <w:r>
              <w:rPr>
                <w:rFonts w:hint="eastAsia" w:ascii="仿宋" w:hAnsi="仿宋" w:cs="仿宋"/>
                <w:kern w:val="0"/>
                <w:sz w:val="24"/>
                <w:szCs w:val="24"/>
              </w:rPr>
              <w:br w:type="textWrapping"/>
            </w:r>
            <w:r>
              <w:rPr>
                <w:rFonts w:hint="eastAsia" w:ascii="仿宋" w:hAnsi="仿宋" w:cs="仿宋"/>
                <w:kern w:val="0"/>
                <w:sz w:val="24"/>
                <w:szCs w:val="24"/>
              </w:rPr>
              <w:t>USB接口： 2×USB 3.0</w:t>
            </w:r>
            <w:r>
              <w:rPr>
                <w:rFonts w:hint="eastAsia" w:ascii="仿宋" w:hAnsi="仿宋" w:cs="仿宋"/>
                <w:kern w:val="0"/>
                <w:sz w:val="24"/>
                <w:szCs w:val="24"/>
              </w:rPr>
              <w:br w:type="textWrapping"/>
            </w:r>
            <w:r>
              <w:rPr>
                <w:rFonts w:hint="eastAsia" w:ascii="仿宋" w:hAnsi="仿宋" w:cs="仿宋"/>
                <w:kern w:val="0"/>
                <w:sz w:val="24"/>
                <w:szCs w:val="24"/>
              </w:rPr>
              <w:t>转码模块：8颗</w:t>
            </w:r>
            <w:r>
              <w:rPr>
                <w:rFonts w:hint="eastAsia" w:ascii="仿宋" w:hAnsi="仿宋" w:cs="仿宋"/>
                <w:kern w:val="0"/>
                <w:sz w:val="24"/>
                <w:szCs w:val="24"/>
              </w:rPr>
              <w:br w:type="textWrapping"/>
            </w:r>
            <w:r>
              <w:rPr>
                <w:rFonts w:hint="eastAsia" w:ascii="仿宋" w:hAnsi="仿宋" w:cs="仿宋"/>
                <w:kern w:val="0"/>
                <w:sz w:val="24"/>
                <w:szCs w:val="24"/>
              </w:rPr>
              <w:t>机箱尺寸：440mm（宽）×709.7mm（深）×65.7mm（高）</w:t>
            </w:r>
          </w:p>
        </w:tc>
        <w:tc>
          <w:tcPr>
            <w:tcW w:w="346" w:type="pct"/>
            <w:shd w:val="clear" w:color="auto" w:fill="auto"/>
            <w:vAlign w:val="center"/>
          </w:tcPr>
          <w:p w14:paraId="39368A1F">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kern w:val="0"/>
                <w:sz w:val="24"/>
                <w:szCs w:val="24"/>
              </w:rPr>
            </w:pPr>
            <w:r>
              <w:rPr>
                <w:rFonts w:hint="eastAsia" w:ascii="仿宋" w:hAnsi="仿宋" w:cs="仿宋"/>
                <w:kern w:val="0"/>
                <w:sz w:val="24"/>
                <w:szCs w:val="24"/>
              </w:rPr>
              <w:t>1</w:t>
            </w:r>
          </w:p>
        </w:tc>
      </w:tr>
      <w:tr w14:paraId="1DE69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275" w:type="pct"/>
            <w:shd w:val="clear" w:color="auto" w:fill="auto"/>
            <w:vAlign w:val="center"/>
          </w:tcPr>
          <w:p w14:paraId="5580E87F">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eastAsia="仿宋" w:cs="仿宋"/>
                <w:kern w:val="0"/>
                <w:sz w:val="24"/>
                <w:szCs w:val="24"/>
                <w:lang w:eastAsia="zh-CN"/>
              </w:rPr>
            </w:pPr>
            <w:r>
              <w:rPr>
                <w:rFonts w:hint="eastAsia" w:ascii="仿宋" w:hAnsi="仿宋" w:cs="仿宋"/>
                <w:kern w:val="0"/>
                <w:sz w:val="24"/>
                <w:szCs w:val="24"/>
                <w:lang w:val="en-US" w:eastAsia="zh-CN"/>
              </w:rPr>
              <w:t>5</w:t>
            </w:r>
          </w:p>
        </w:tc>
        <w:tc>
          <w:tcPr>
            <w:tcW w:w="613" w:type="pct"/>
            <w:vMerge w:val="restart"/>
            <w:shd w:val="clear" w:color="auto" w:fill="auto"/>
            <w:vAlign w:val="center"/>
          </w:tcPr>
          <w:p w14:paraId="0734C1E9">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kern w:val="0"/>
                <w:sz w:val="24"/>
                <w:szCs w:val="24"/>
              </w:rPr>
            </w:pPr>
            <w:r>
              <w:rPr>
                <w:rFonts w:hint="eastAsia" w:ascii="仿宋" w:hAnsi="仿宋" w:cs="仿宋"/>
                <w:kern w:val="0"/>
                <w:sz w:val="24"/>
                <w:szCs w:val="24"/>
              </w:rPr>
              <w:t>网络及安全设备购置</w:t>
            </w:r>
          </w:p>
        </w:tc>
        <w:tc>
          <w:tcPr>
            <w:tcW w:w="757" w:type="pct"/>
            <w:shd w:val="clear" w:color="auto" w:fill="auto"/>
            <w:vAlign w:val="center"/>
          </w:tcPr>
          <w:p w14:paraId="405B542C">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kern w:val="0"/>
                <w:sz w:val="24"/>
                <w:szCs w:val="24"/>
              </w:rPr>
            </w:pPr>
            <w:r>
              <w:rPr>
                <w:rFonts w:hint="eastAsia" w:ascii="仿宋" w:hAnsi="仿宋" w:cs="仿宋"/>
                <w:kern w:val="0"/>
                <w:sz w:val="24"/>
                <w:szCs w:val="24"/>
              </w:rPr>
              <w:t>网闸</w:t>
            </w:r>
          </w:p>
        </w:tc>
        <w:tc>
          <w:tcPr>
            <w:tcW w:w="3006" w:type="pct"/>
            <w:shd w:val="clear" w:color="auto" w:fill="auto"/>
            <w:vAlign w:val="center"/>
          </w:tcPr>
          <w:p w14:paraId="29A79E86">
            <w:pPr>
              <w:pageBreakBefore w:val="0"/>
              <w:kinsoku/>
              <w:wordWrap/>
              <w:overflowPunct/>
              <w:topLinePunct w:val="0"/>
              <w:autoSpaceDE/>
              <w:autoSpaceDN/>
              <w:bidi w:val="0"/>
              <w:adjustRightInd w:val="0"/>
              <w:snapToGrid w:val="0"/>
              <w:spacing w:line="440" w:lineRule="exact"/>
              <w:ind w:left="0" w:leftChars="0" w:firstLine="0" w:firstLineChars="0"/>
              <w:jc w:val="left"/>
              <w:rPr>
                <w:rFonts w:hint="eastAsia" w:ascii="仿宋" w:hAnsi="仿宋" w:cs="仿宋"/>
                <w:kern w:val="0"/>
                <w:sz w:val="24"/>
                <w:szCs w:val="24"/>
              </w:rPr>
            </w:pPr>
            <w:r>
              <w:rPr>
                <w:rFonts w:hint="eastAsia" w:ascii="仿宋" w:hAnsi="仿宋" w:cs="仿宋"/>
                <w:kern w:val="0"/>
                <w:sz w:val="24"/>
                <w:szCs w:val="24"/>
              </w:rPr>
              <w:t>标准2U设备，国产操作系统，国产高性能芯片；内外端机</w:t>
            </w:r>
            <w:r>
              <w:rPr>
                <w:rFonts w:hint="eastAsia" w:ascii="仿宋" w:hAnsi="仿宋" w:cs="仿宋"/>
                <w:kern w:val="0"/>
                <w:sz w:val="24"/>
                <w:szCs w:val="24"/>
                <w:lang w:val="en-US" w:eastAsia="zh-CN"/>
              </w:rPr>
              <w:t>不低于</w:t>
            </w:r>
            <w:r>
              <w:rPr>
                <w:rFonts w:hint="eastAsia" w:ascii="仿宋" w:hAnsi="仿宋" w:cs="仿宋"/>
                <w:kern w:val="0"/>
                <w:sz w:val="24"/>
                <w:szCs w:val="24"/>
              </w:rPr>
              <w:t>6个千兆电口</w:t>
            </w:r>
            <w:r>
              <w:rPr>
                <w:rFonts w:hint="eastAsia" w:ascii="仿宋" w:hAnsi="仿宋" w:cs="仿宋"/>
                <w:kern w:val="0"/>
                <w:sz w:val="24"/>
                <w:szCs w:val="24"/>
                <w:lang w:eastAsia="zh-CN"/>
              </w:rPr>
              <w:t>、</w:t>
            </w:r>
            <w:r>
              <w:rPr>
                <w:rFonts w:hint="eastAsia" w:ascii="仿宋" w:hAnsi="仿宋" w:cs="仿宋"/>
                <w:kern w:val="0"/>
                <w:sz w:val="24"/>
                <w:szCs w:val="24"/>
              </w:rPr>
              <w:t xml:space="preserve">2个10GE SFP+插槽；冗余电源； </w:t>
            </w:r>
            <w:r>
              <w:rPr>
                <w:rFonts w:hint="eastAsia" w:ascii="仿宋" w:hAnsi="仿宋" w:cs="仿宋"/>
                <w:kern w:val="0"/>
                <w:sz w:val="24"/>
                <w:szCs w:val="24"/>
              </w:rPr>
              <w:br w:type="textWrapping"/>
            </w:r>
            <w:r>
              <w:rPr>
                <w:rFonts w:hint="eastAsia" w:ascii="仿宋" w:hAnsi="仿宋" w:cs="仿宋"/>
                <w:kern w:val="0"/>
                <w:sz w:val="24"/>
                <w:szCs w:val="24"/>
              </w:rPr>
              <w:t>吞吐量≥4Gbps；</w:t>
            </w:r>
            <w:r>
              <w:rPr>
                <w:rFonts w:hint="eastAsia" w:ascii="仿宋" w:hAnsi="仿宋" w:cs="仿宋"/>
                <w:kern w:val="0"/>
                <w:sz w:val="24"/>
                <w:szCs w:val="24"/>
              </w:rPr>
              <w:br w:type="textWrapping"/>
            </w:r>
            <w:r>
              <w:rPr>
                <w:rFonts w:hint="eastAsia" w:ascii="仿宋" w:hAnsi="仿宋" w:cs="仿宋"/>
                <w:kern w:val="0"/>
                <w:sz w:val="24"/>
                <w:szCs w:val="24"/>
              </w:rPr>
              <w:t>数据库同步速率≥2500条/秒；</w:t>
            </w:r>
            <w:r>
              <w:rPr>
                <w:rFonts w:hint="eastAsia" w:ascii="仿宋" w:hAnsi="仿宋" w:cs="仿宋"/>
                <w:kern w:val="0"/>
                <w:sz w:val="24"/>
                <w:szCs w:val="24"/>
              </w:rPr>
              <w:br w:type="textWrapping"/>
            </w:r>
            <w:r>
              <w:rPr>
                <w:rFonts w:hint="eastAsia" w:ascii="仿宋" w:hAnsi="仿宋" w:cs="仿宋"/>
                <w:kern w:val="0"/>
                <w:sz w:val="24"/>
                <w:szCs w:val="24"/>
              </w:rPr>
              <w:t>文件同步速率≥1000个/秒；</w:t>
            </w:r>
          </w:p>
        </w:tc>
        <w:tc>
          <w:tcPr>
            <w:tcW w:w="346" w:type="pct"/>
            <w:shd w:val="clear" w:color="auto" w:fill="auto"/>
            <w:vAlign w:val="center"/>
          </w:tcPr>
          <w:p w14:paraId="5C87CF4F">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kern w:val="0"/>
                <w:sz w:val="24"/>
                <w:szCs w:val="24"/>
              </w:rPr>
            </w:pPr>
            <w:r>
              <w:rPr>
                <w:rFonts w:hint="eastAsia" w:ascii="仿宋" w:hAnsi="仿宋" w:cs="仿宋"/>
                <w:kern w:val="0"/>
                <w:sz w:val="24"/>
                <w:szCs w:val="24"/>
              </w:rPr>
              <w:t>1</w:t>
            </w:r>
          </w:p>
        </w:tc>
      </w:tr>
      <w:tr w14:paraId="54247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275" w:type="pct"/>
            <w:shd w:val="clear" w:color="auto" w:fill="auto"/>
            <w:vAlign w:val="center"/>
          </w:tcPr>
          <w:p w14:paraId="6A6DD7DF">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eastAsia="仿宋" w:cs="仿宋"/>
                <w:kern w:val="0"/>
                <w:sz w:val="24"/>
                <w:szCs w:val="24"/>
                <w:lang w:eastAsia="zh-CN"/>
              </w:rPr>
            </w:pPr>
            <w:r>
              <w:rPr>
                <w:rFonts w:hint="eastAsia" w:ascii="仿宋" w:hAnsi="仿宋" w:cs="仿宋"/>
                <w:kern w:val="0"/>
                <w:sz w:val="24"/>
                <w:szCs w:val="24"/>
                <w:lang w:val="en-US" w:eastAsia="zh-CN"/>
              </w:rPr>
              <w:t>6</w:t>
            </w:r>
          </w:p>
        </w:tc>
        <w:tc>
          <w:tcPr>
            <w:tcW w:w="613" w:type="pct"/>
            <w:vMerge w:val="continue"/>
            <w:vAlign w:val="center"/>
          </w:tcPr>
          <w:p w14:paraId="620F2C20">
            <w:pPr>
              <w:pageBreakBefore w:val="0"/>
              <w:kinsoku/>
              <w:wordWrap/>
              <w:overflowPunct/>
              <w:topLinePunct w:val="0"/>
              <w:autoSpaceDE/>
              <w:autoSpaceDN/>
              <w:bidi w:val="0"/>
              <w:adjustRightInd w:val="0"/>
              <w:snapToGrid w:val="0"/>
              <w:spacing w:line="440" w:lineRule="exact"/>
              <w:ind w:left="0" w:leftChars="0" w:firstLine="0" w:firstLineChars="0"/>
              <w:jc w:val="left"/>
              <w:rPr>
                <w:rFonts w:hint="eastAsia" w:ascii="仿宋" w:hAnsi="仿宋" w:cs="仿宋"/>
                <w:kern w:val="0"/>
                <w:sz w:val="24"/>
                <w:szCs w:val="24"/>
              </w:rPr>
            </w:pPr>
          </w:p>
        </w:tc>
        <w:tc>
          <w:tcPr>
            <w:tcW w:w="757" w:type="pct"/>
            <w:shd w:val="clear" w:color="auto" w:fill="auto"/>
            <w:vAlign w:val="center"/>
          </w:tcPr>
          <w:p w14:paraId="107EF40F">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kern w:val="0"/>
                <w:sz w:val="24"/>
                <w:szCs w:val="24"/>
              </w:rPr>
            </w:pPr>
            <w:r>
              <w:rPr>
                <w:rFonts w:hint="eastAsia" w:ascii="仿宋" w:hAnsi="仿宋" w:cs="仿宋"/>
                <w:kern w:val="0"/>
                <w:sz w:val="24"/>
                <w:szCs w:val="24"/>
              </w:rPr>
              <w:t>汇聚交换机</w:t>
            </w:r>
          </w:p>
        </w:tc>
        <w:tc>
          <w:tcPr>
            <w:tcW w:w="3006" w:type="pct"/>
            <w:shd w:val="clear" w:color="auto" w:fill="auto"/>
            <w:vAlign w:val="center"/>
          </w:tcPr>
          <w:p w14:paraId="5E49409B">
            <w:pPr>
              <w:pageBreakBefore w:val="0"/>
              <w:kinsoku/>
              <w:wordWrap/>
              <w:overflowPunct/>
              <w:topLinePunct w:val="0"/>
              <w:autoSpaceDE/>
              <w:autoSpaceDN/>
              <w:bidi w:val="0"/>
              <w:adjustRightInd w:val="0"/>
              <w:snapToGrid w:val="0"/>
              <w:spacing w:line="440" w:lineRule="exact"/>
              <w:ind w:left="0" w:leftChars="0" w:firstLine="0" w:firstLineChars="0"/>
              <w:jc w:val="left"/>
              <w:rPr>
                <w:rFonts w:hint="eastAsia" w:ascii="仿宋" w:hAnsi="仿宋" w:cs="仿宋"/>
                <w:kern w:val="0"/>
                <w:sz w:val="24"/>
                <w:szCs w:val="24"/>
              </w:rPr>
            </w:pPr>
            <w:r>
              <w:rPr>
                <w:rFonts w:hint="eastAsia" w:ascii="仿宋" w:hAnsi="仿宋" w:cs="仿宋"/>
                <w:kern w:val="0"/>
                <w:sz w:val="24"/>
                <w:szCs w:val="24"/>
                <w:lang w:val="en-US" w:eastAsia="zh-CN"/>
              </w:rPr>
              <w:t>不低于</w:t>
            </w:r>
            <w:r>
              <w:rPr>
                <w:rFonts w:hint="eastAsia" w:ascii="仿宋" w:hAnsi="仿宋" w:cs="仿宋"/>
                <w:kern w:val="0"/>
                <w:sz w:val="24"/>
                <w:szCs w:val="24"/>
              </w:rPr>
              <w:t>24 个 1/10GE SFP+端口，2 个 40GE QSFP+端口（每个 QSFP+端口可拆分为 4 个 10GE 端口），2 个 slot扩展插槽，两个电源插槽，两个风扇插槽</w:t>
            </w:r>
          </w:p>
        </w:tc>
        <w:tc>
          <w:tcPr>
            <w:tcW w:w="346" w:type="pct"/>
            <w:shd w:val="clear" w:color="auto" w:fill="auto"/>
            <w:vAlign w:val="center"/>
          </w:tcPr>
          <w:p w14:paraId="3E2CA580">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kern w:val="0"/>
                <w:sz w:val="24"/>
                <w:szCs w:val="24"/>
              </w:rPr>
            </w:pPr>
            <w:r>
              <w:rPr>
                <w:rFonts w:hint="eastAsia" w:ascii="仿宋" w:hAnsi="仿宋" w:cs="仿宋"/>
                <w:kern w:val="0"/>
                <w:sz w:val="24"/>
                <w:szCs w:val="24"/>
              </w:rPr>
              <w:t>1</w:t>
            </w:r>
          </w:p>
        </w:tc>
      </w:tr>
      <w:tr w14:paraId="48F26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275" w:type="pct"/>
            <w:shd w:val="clear" w:color="auto" w:fill="auto"/>
            <w:vAlign w:val="center"/>
          </w:tcPr>
          <w:p w14:paraId="70FD2036">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eastAsia="仿宋" w:cs="仿宋"/>
                <w:kern w:val="0"/>
                <w:sz w:val="24"/>
                <w:szCs w:val="24"/>
                <w:lang w:eastAsia="zh-CN"/>
              </w:rPr>
            </w:pPr>
            <w:r>
              <w:rPr>
                <w:rFonts w:hint="eastAsia" w:ascii="仿宋" w:hAnsi="仿宋" w:cs="仿宋"/>
                <w:kern w:val="0"/>
                <w:sz w:val="24"/>
                <w:szCs w:val="24"/>
                <w:lang w:val="en-US" w:eastAsia="zh-CN"/>
              </w:rPr>
              <w:t>7</w:t>
            </w:r>
          </w:p>
        </w:tc>
        <w:tc>
          <w:tcPr>
            <w:tcW w:w="613" w:type="pct"/>
            <w:vMerge w:val="continue"/>
            <w:vAlign w:val="center"/>
          </w:tcPr>
          <w:p w14:paraId="1BE59CCC">
            <w:pPr>
              <w:pageBreakBefore w:val="0"/>
              <w:kinsoku/>
              <w:wordWrap/>
              <w:overflowPunct/>
              <w:topLinePunct w:val="0"/>
              <w:autoSpaceDE/>
              <w:autoSpaceDN/>
              <w:bidi w:val="0"/>
              <w:adjustRightInd w:val="0"/>
              <w:snapToGrid w:val="0"/>
              <w:spacing w:line="440" w:lineRule="exact"/>
              <w:ind w:left="0" w:leftChars="0" w:firstLine="0" w:firstLineChars="0"/>
              <w:jc w:val="left"/>
              <w:rPr>
                <w:rFonts w:hint="eastAsia" w:ascii="仿宋" w:hAnsi="仿宋" w:cs="仿宋"/>
                <w:kern w:val="0"/>
                <w:sz w:val="24"/>
                <w:szCs w:val="24"/>
              </w:rPr>
            </w:pPr>
          </w:p>
        </w:tc>
        <w:tc>
          <w:tcPr>
            <w:tcW w:w="757" w:type="pct"/>
            <w:shd w:val="clear" w:color="auto" w:fill="auto"/>
            <w:vAlign w:val="center"/>
          </w:tcPr>
          <w:p w14:paraId="527DDC38">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kern w:val="0"/>
                <w:sz w:val="24"/>
                <w:szCs w:val="24"/>
              </w:rPr>
            </w:pPr>
            <w:r>
              <w:rPr>
                <w:rFonts w:hint="eastAsia" w:ascii="仿宋" w:hAnsi="仿宋" w:cs="仿宋"/>
                <w:kern w:val="0"/>
                <w:sz w:val="24"/>
                <w:szCs w:val="24"/>
              </w:rPr>
              <w:t>接入交换机</w:t>
            </w:r>
          </w:p>
        </w:tc>
        <w:tc>
          <w:tcPr>
            <w:tcW w:w="3006" w:type="pct"/>
            <w:shd w:val="clear" w:color="auto" w:fill="auto"/>
            <w:vAlign w:val="center"/>
          </w:tcPr>
          <w:p w14:paraId="2E9E0E49">
            <w:pPr>
              <w:pageBreakBefore w:val="0"/>
              <w:kinsoku/>
              <w:wordWrap/>
              <w:overflowPunct/>
              <w:topLinePunct w:val="0"/>
              <w:autoSpaceDE/>
              <w:autoSpaceDN/>
              <w:bidi w:val="0"/>
              <w:adjustRightInd w:val="0"/>
              <w:snapToGrid w:val="0"/>
              <w:spacing w:line="440" w:lineRule="exact"/>
              <w:ind w:left="0" w:leftChars="0" w:firstLine="0" w:firstLineChars="0"/>
              <w:jc w:val="left"/>
              <w:rPr>
                <w:rFonts w:hint="eastAsia" w:ascii="仿宋" w:hAnsi="仿宋" w:cs="仿宋"/>
                <w:kern w:val="0"/>
                <w:sz w:val="24"/>
                <w:szCs w:val="24"/>
              </w:rPr>
            </w:pPr>
            <w:r>
              <w:rPr>
                <w:rFonts w:hint="eastAsia" w:ascii="仿宋" w:hAnsi="仿宋" w:cs="仿宋"/>
                <w:kern w:val="0"/>
                <w:sz w:val="24"/>
                <w:szCs w:val="24"/>
                <w:lang w:val="en-US" w:eastAsia="zh-CN"/>
              </w:rPr>
              <w:t>不低于</w:t>
            </w:r>
            <w:r>
              <w:rPr>
                <w:rFonts w:hint="eastAsia" w:ascii="仿宋" w:hAnsi="仿宋" w:cs="仿宋"/>
                <w:kern w:val="0"/>
                <w:sz w:val="24"/>
                <w:szCs w:val="24"/>
              </w:rPr>
              <w:t>24 个 10/100/1000BASE-T 端口（其中 8 个 100/1000 BASE-X combo SFP 口），4 个 1/10GE SFP+端口，1个端口扩展槽位，2 个风扇模块槽位，2 个电源模块槽位；</w:t>
            </w:r>
          </w:p>
        </w:tc>
        <w:tc>
          <w:tcPr>
            <w:tcW w:w="346" w:type="pct"/>
            <w:shd w:val="clear" w:color="auto" w:fill="auto"/>
            <w:vAlign w:val="center"/>
          </w:tcPr>
          <w:p w14:paraId="5B4446DF">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kern w:val="0"/>
                <w:sz w:val="24"/>
                <w:szCs w:val="24"/>
              </w:rPr>
            </w:pPr>
            <w:r>
              <w:rPr>
                <w:rFonts w:hint="eastAsia" w:ascii="仿宋" w:hAnsi="仿宋" w:cs="仿宋"/>
                <w:kern w:val="0"/>
                <w:sz w:val="24"/>
                <w:szCs w:val="24"/>
              </w:rPr>
              <w:t>1</w:t>
            </w:r>
          </w:p>
        </w:tc>
      </w:tr>
      <w:tr w14:paraId="7C5DB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75" w:type="pct"/>
            <w:shd w:val="clear" w:color="auto" w:fill="auto"/>
            <w:vAlign w:val="center"/>
          </w:tcPr>
          <w:p w14:paraId="1F64CD01">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eastAsia="仿宋" w:cs="仿宋"/>
                <w:kern w:val="0"/>
                <w:sz w:val="24"/>
                <w:szCs w:val="24"/>
                <w:lang w:eastAsia="zh-CN"/>
              </w:rPr>
            </w:pPr>
            <w:r>
              <w:rPr>
                <w:rFonts w:hint="eastAsia" w:ascii="仿宋" w:hAnsi="仿宋" w:cs="仿宋"/>
                <w:kern w:val="0"/>
                <w:sz w:val="24"/>
                <w:szCs w:val="24"/>
                <w:lang w:val="en-US" w:eastAsia="zh-CN"/>
              </w:rPr>
              <w:t>8</w:t>
            </w:r>
          </w:p>
        </w:tc>
        <w:tc>
          <w:tcPr>
            <w:tcW w:w="613" w:type="pct"/>
            <w:vMerge w:val="continue"/>
            <w:vAlign w:val="center"/>
          </w:tcPr>
          <w:p w14:paraId="2FC63A55">
            <w:pPr>
              <w:pageBreakBefore w:val="0"/>
              <w:kinsoku/>
              <w:wordWrap/>
              <w:overflowPunct/>
              <w:topLinePunct w:val="0"/>
              <w:autoSpaceDE/>
              <w:autoSpaceDN/>
              <w:bidi w:val="0"/>
              <w:adjustRightInd w:val="0"/>
              <w:snapToGrid w:val="0"/>
              <w:spacing w:line="440" w:lineRule="exact"/>
              <w:ind w:left="0" w:leftChars="0" w:firstLine="0" w:firstLineChars="0"/>
              <w:jc w:val="left"/>
              <w:rPr>
                <w:rFonts w:hint="eastAsia" w:ascii="仿宋" w:hAnsi="仿宋" w:cs="仿宋"/>
                <w:kern w:val="0"/>
                <w:sz w:val="24"/>
                <w:szCs w:val="24"/>
              </w:rPr>
            </w:pPr>
          </w:p>
        </w:tc>
        <w:tc>
          <w:tcPr>
            <w:tcW w:w="757" w:type="pct"/>
            <w:shd w:val="clear" w:color="auto" w:fill="auto"/>
            <w:vAlign w:val="center"/>
          </w:tcPr>
          <w:p w14:paraId="23667C71">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kern w:val="0"/>
                <w:sz w:val="24"/>
                <w:szCs w:val="24"/>
              </w:rPr>
            </w:pPr>
            <w:r>
              <w:rPr>
                <w:rFonts w:hint="eastAsia" w:ascii="仿宋" w:hAnsi="仿宋" w:cs="仿宋"/>
                <w:kern w:val="0"/>
                <w:sz w:val="24"/>
                <w:szCs w:val="24"/>
              </w:rPr>
              <w:t>光模块</w:t>
            </w:r>
          </w:p>
        </w:tc>
        <w:tc>
          <w:tcPr>
            <w:tcW w:w="3006" w:type="pct"/>
            <w:shd w:val="clear" w:color="auto" w:fill="auto"/>
            <w:vAlign w:val="center"/>
          </w:tcPr>
          <w:p w14:paraId="2C5C6FD6">
            <w:pPr>
              <w:pageBreakBefore w:val="0"/>
              <w:kinsoku/>
              <w:wordWrap/>
              <w:overflowPunct/>
              <w:topLinePunct w:val="0"/>
              <w:autoSpaceDE/>
              <w:autoSpaceDN/>
              <w:bidi w:val="0"/>
              <w:adjustRightInd w:val="0"/>
              <w:snapToGrid w:val="0"/>
              <w:spacing w:line="440" w:lineRule="exact"/>
              <w:ind w:left="0" w:leftChars="0" w:firstLine="0" w:firstLineChars="0"/>
              <w:jc w:val="left"/>
              <w:rPr>
                <w:rFonts w:hint="eastAsia" w:ascii="仿宋" w:hAnsi="仿宋" w:cs="仿宋"/>
                <w:kern w:val="0"/>
                <w:sz w:val="24"/>
                <w:szCs w:val="24"/>
              </w:rPr>
            </w:pPr>
            <w:r>
              <w:rPr>
                <w:rFonts w:hint="eastAsia" w:ascii="仿宋" w:hAnsi="仿宋" w:cs="仿宋"/>
                <w:kern w:val="0"/>
                <w:sz w:val="24"/>
                <w:szCs w:val="24"/>
              </w:rPr>
              <w:t>SFP+万兆模块（1310nm，10km，LC）</w:t>
            </w:r>
          </w:p>
        </w:tc>
        <w:tc>
          <w:tcPr>
            <w:tcW w:w="346" w:type="pct"/>
            <w:shd w:val="clear" w:color="auto" w:fill="auto"/>
            <w:vAlign w:val="center"/>
          </w:tcPr>
          <w:p w14:paraId="48278613">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kern w:val="0"/>
                <w:sz w:val="24"/>
                <w:szCs w:val="24"/>
              </w:rPr>
            </w:pPr>
            <w:r>
              <w:rPr>
                <w:rFonts w:hint="eastAsia" w:ascii="仿宋" w:hAnsi="仿宋" w:cs="仿宋"/>
                <w:kern w:val="0"/>
                <w:sz w:val="24"/>
                <w:szCs w:val="24"/>
              </w:rPr>
              <w:t>4</w:t>
            </w:r>
          </w:p>
        </w:tc>
      </w:tr>
      <w:tr w14:paraId="0FB01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75" w:type="pct"/>
            <w:shd w:val="clear" w:color="auto" w:fill="auto"/>
            <w:vAlign w:val="center"/>
          </w:tcPr>
          <w:p w14:paraId="1F37FA79">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eastAsia="仿宋" w:cs="仿宋"/>
                <w:kern w:val="0"/>
                <w:sz w:val="24"/>
                <w:szCs w:val="24"/>
                <w:lang w:eastAsia="zh-CN"/>
              </w:rPr>
            </w:pPr>
            <w:r>
              <w:rPr>
                <w:rFonts w:hint="eastAsia" w:ascii="仿宋" w:hAnsi="仿宋" w:cs="仿宋"/>
                <w:kern w:val="0"/>
                <w:sz w:val="24"/>
                <w:szCs w:val="24"/>
                <w:lang w:val="en-US" w:eastAsia="zh-CN"/>
              </w:rPr>
              <w:t>9</w:t>
            </w:r>
          </w:p>
        </w:tc>
        <w:tc>
          <w:tcPr>
            <w:tcW w:w="613" w:type="pct"/>
            <w:vMerge w:val="continue"/>
            <w:vAlign w:val="center"/>
          </w:tcPr>
          <w:p w14:paraId="46751CF0">
            <w:pPr>
              <w:pageBreakBefore w:val="0"/>
              <w:kinsoku/>
              <w:wordWrap/>
              <w:overflowPunct/>
              <w:topLinePunct w:val="0"/>
              <w:autoSpaceDE/>
              <w:autoSpaceDN/>
              <w:bidi w:val="0"/>
              <w:adjustRightInd w:val="0"/>
              <w:snapToGrid w:val="0"/>
              <w:spacing w:line="440" w:lineRule="exact"/>
              <w:ind w:left="0" w:leftChars="0" w:firstLine="0" w:firstLineChars="0"/>
              <w:jc w:val="left"/>
              <w:rPr>
                <w:rFonts w:hint="eastAsia" w:ascii="仿宋" w:hAnsi="仿宋" w:cs="仿宋"/>
                <w:kern w:val="0"/>
                <w:sz w:val="24"/>
                <w:szCs w:val="24"/>
              </w:rPr>
            </w:pPr>
          </w:p>
        </w:tc>
        <w:tc>
          <w:tcPr>
            <w:tcW w:w="757" w:type="pct"/>
            <w:shd w:val="clear" w:color="auto" w:fill="auto"/>
            <w:vAlign w:val="center"/>
          </w:tcPr>
          <w:p w14:paraId="08C7D821">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kern w:val="0"/>
                <w:sz w:val="24"/>
                <w:szCs w:val="24"/>
              </w:rPr>
            </w:pPr>
            <w:r>
              <w:rPr>
                <w:rFonts w:hint="eastAsia" w:ascii="仿宋" w:hAnsi="仿宋" w:cs="仿宋"/>
                <w:kern w:val="0"/>
                <w:sz w:val="24"/>
                <w:szCs w:val="24"/>
              </w:rPr>
              <w:t>光模块</w:t>
            </w:r>
          </w:p>
        </w:tc>
        <w:tc>
          <w:tcPr>
            <w:tcW w:w="3006" w:type="pct"/>
            <w:shd w:val="clear" w:color="auto" w:fill="auto"/>
            <w:vAlign w:val="center"/>
          </w:tcPr>
          <w:p w14:paraId="34CC81FF">
            <w:pPr>
              <w:pageBreakBefore w:val="0"/>
              <w:kinsoku/>
              <w:wordWrap/>
              <w:overflowPunct/>
              <w:topLinePunct w:val="0"/>
              <w:autoSpaceDE/>
              <w:autoSpaceDN/>
              <w:bidi w:val="0"/>
              <w:adjustRightInd w:val="0"/>
              <w:snapToGrid w:val="0"/>
              <w:spacing w:line="440" w:lineRule="exact"/>
              <w:ind w:left="0" w:leftChars="0" w:firstLine="0" w:firstLineChars="0"/>
              <w:jc w:val="left"/>
              <w:rPr>
                <w:rFonts w:hint="eastAsia" w:ascii="仿宋" w:hAnsi="仿宋" w:cs="仿宋"/>
                <w:kern w:val="0"/>
                <w:sz w:val="24"/>
                <w:szCs w:val="24"/>
              </w:rPr>
            </w:pPr>
            <w:r>
              <w:rPr>
                <w:rFonts w:hint="eastAsia" w:ascii="仿宋" w:hAnsi="仿宋" w:cs="仿宋"/>
                <w:kern w:val="0"/>
                <w:sz w:val="24"/>
                <w:szCs w:val="24"/>
              </w:rPr>
              <w:t>SFP+万兆模块（850nm，300m，LC）</w:t>
            </w:r>
          </w:p>
        </w:tc>
        <w:tc>
          <w:tcPr>
            <w:tcW w:w="346" w:type="pct"/>
            <w:shd w:val="clear" w:color="auto" w:fill="auto"/>
            <w:vAlign w:val="center"/>
          </w:tcPr>
          <w:p w14:paraId="20E3BC47">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kern w:val="0"/>
                <w:sz w:val="24"/>
                <w:szCs w:val="24"/>
              </w:rPr>
            </w:pPr>
            <w:r>
              <w:rPr>
                <w:rFonts w:hint="eastAsia" w:ascii="仿宋" w:hAnsi="仿宋" w:cs="仿宋"/>
                <w:kern w:val="0"/>
                <w:sz w:val="24"/>
                <w:szCs w:val="24"/>
              </w:rPr>
              <w:t>6</w:t>
            </w:r>
          </w:p>
        </w:tc>
      </w:tr>
      <w:tr w14:paraId="79A12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75" w:type="pct"/>
            <w:shd w:val="clear" w:color="auto" w:fill="auto"/>
            <w:vAlign w:val="center"/>
          </w:tcPr>
          <w:p w14:paraId="63D3B589">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eastAsia="仿宋" w:cs="仿宋"/>
                <w:kern w:val="0"/>
                <w:sz w:val="24"/>
                <w:szCs w:val="24"/>
                <w:lang w:eastAsia="zh-CN"/>
              </w:rPr>
            </w:pPr>
            <w:r>
              <w:rPr>
                <w:rFonts w:hint="eastAsia" w:ascii="仿宋" w:hAnsi="仿宋" w:cs="仿宋"/>
                <w:kern w:val="0"/>
                <w:sz w:val="24"/>
                <w:szCs w:val="24"/>
              </w:rPr>
              <w:t>1</w:t>
            </w:r>
            <w:r>
              <w:rPr>
                <w:rFonts w:hint="eastAsia" w:ascii="仿宋" w:hAnsi="仿宋" w:cs="仿宋"/>
                <w:kern w:val="0"/>
                <w:sz w:val="24"/>
                <w:szCs w:val="24"/>
                <w:lang w:val="en-US" w:eastAsia="zh-CN"/>
              </w:rPr>
              <w:t>0</w:t>
            </w:r>
          </w:p>
        </w:tc>
        <w:tc>
          <w:tcPr>
            <w:tcW w:w="613" w:type="pct"/>
            <w:vMerge w:val="continue"/>
            <w:vAlign w:val="center"/>
          </w:tcPr>
          <w:p w14:paraId="30A47566">
            <w:pPr>
              <w:pageBreakBefore w:val="0"/>
              <w:kinsoku/>
              <w:wordWrap/>
              <w:overflowPunct/>
              <w:topLinePunct w:val="0"/>
              <w:autoSpaceDE/>
              <w:autoSpaceDN/>
              <w:bidi w:val="0"/>
              <w:adjustRightInd w:val="0"/>
              <w:snapToGrid w:val="0"/>
              <w:spacing w:line="440" w:lineRule="exact"/>
              <w:ind w:left="0" w:leftChars="0" w:firstLine="0" w:firstLineChars="0"/>
              <w:jc w:val="left"/>
              <w:rPr>
                <w:rFonts w:hint="eastAsia" w:ascii="仿宋" w:hAnsi="仿宋" w:cs="仿宋"/>
                <w:kern w:val="0"/>
                <w:sz w:val="24"/>
                <w:szCs w:val="24"/>
              </w:rPr>
            </w:pPr>
          </w:p>
        </w:tc>
        <w:tc>
          <w:tcPr>
            <w:tcW w:w="757" w:type="pct"/>
            <w:shd w:val="clear" w:color="auto" w:fill="auto"/>
            <w:vAlign w:val="center"/>
          </w:tcPr>
          <w:p w14:paraId="55B484D3">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kern w:val="0"/>
                <w:sz w:val="24"/>
                <w:szCs w:val="24"/>
              </w:rPr>
            </w:pPr>
            <w:r>
              <w:rPr>
                <w:rFonts w:hint="eastAsia" w:ascii="仿宋" w:hAnsi="仿宋" w:cs="仿宋"/>
                <w:kern w:val="0"/>
                <w:sz w:val="24"/>
                <w:szCs w:val="24"/>
              </w:rPr>
              <w:t>机柜</w:t>
            </w:r>
          </w:p>
        </w:tc>
        <w:tc>
          <w:tcPr>
            <w:tcW w:w="3006" w:type="pct"/>
            <w:shd w:val="clear" w:color="auto" w:fill="auto"/>
            <w:vAlign w:val="center"/>
          </w:tcPr>
          <w:p w14:paraId="045EE5A0">
            <w:pPr>
              <w:pageBreakBefore w:val="0"/>
              <w:kinsoku/>
              <w:wordWrap/>
              <w:overflowPunct/>
              <w:topLinePunct w:val="0"/>
              <w:autoSpaceDE/>
              <w:autoSpaceDN/>
              <w:bidi w:val="0"/>
              <w:adjustRightInd w:val="0"/>
              <w:snapToGrid w:val="0"/>
              <w:spacing w:line="440" w:lineRule="exact"/>
              <w:ind w:left="0" w:leftChars="0" w:firstLine="0" w:firstLineChars="0"/>
              <w:jc w:val="left"/>
              <w:rPr>
                <w:rFonts w:hint="eastAsia" w:ascii="仿宋" w:hAnsi="仿宋" w:cs="仿宋"/>
                <w:kern w:val="0"/>
                <w:sz w:val="24"/>
                <w:szCs w:val="24"/>
              </w:rPr>
            </w:pPr>
            <w:r>
              <w:rPr>
                <w:rFonts w:hint="eastAsia" w:ascii="仿宋" w:hAnsi="仿宋" w:cs="仿宋"/>
                <w:kern w:val="0"/>
                <w:sz w:val="24"/>
                <w:szCs w:val="24"/>
              </w:rPr>
              <w:t>标准机柜，尺寸：600*1200*2000，含2个10A,8口的专用PDU，功率2500W；含光纤、网线等辅材。</w:t>
            </w:r>
          </w:p>
        </w:tc>
        <w:tc>
          <w:tcPr>
            <w:tcW w:w="346" w:type="pct"/>
            <w:shd w:val="clear" w:color="auto" w:fill="auto"/>
            <w:vAlign w:val="center"/>
          </w:tcPr>
          <w:p w14:paraId="6EC30CA7">
            <w:pPr>
              <w:pageBreakBefore w:val="0"/>
              <w:kinsoku/>
              <w:wordWrap/>
              <w:overflowPunct/>
              <w:topLinePunct w:val="0"/>
              <w:autoSpaceDE/>
              <w:autoSpaceDN/>
              <w:bidi w:val="0"/>
              <w:adjustRightInd w:val="0"/>
              <w:snapToGrid w:val="0"/>
              <w:spacing w:line="440" w:lineRule="exact"/>
              <w:ind w:left="0" w:leftChars="0" w:firstLine="0" w:firstLineChars="0"/>
              <w:jc w:val="center"/>
              <w:rPr>
                <w:rFonts w:hint="eastAsia" w:ascii="仿宋" w:hAnsi="仿宋" w:cs="仿宋"/>
                <w:kern w:val="0"/>
                <w:sz w:val="24"/>
                <w:szCs w:val="24"/>
              </w:rPr>
            </w:pPr>
            <w:r>
              <w:rPr>
                <w:rFonts w:hint="eastAsia" w:ascii="仿宋" w:hAnsi="仿宋" w:cs="仿宋"/>
                <w:kern w:val="0"/>
                <w:sz w:val="24"/>
                <w:szCs w:val="24"/>
              </w:rPr>
              <w:t>1</w:t>
            </w:r>
          </w:p>
        </w:tc>
      </w:tr>
    </w:tbl>
    <w:p w14:paraId="4A2CA3C6">
      <w:pPr>
        <w:pageBreakBefore w:val="0"/>
        <w:kinsoku/>
        <w:wordWrap/>
        <w:overflowPunct/>
        <w:topLinePunct w:val="0"/>
        <w:autoSpaceDE/>
        <w:autoSpaceDN/>
        <w:bidi w:val="0"/>
        <w:spacing w:line="440" w:lineRule="exact"/>
        <w:ind w:left="0" w:leftChars="0" w:firstLine="0" w:firstLineChars="0"/>
        <w:rPr>
          <w:b/>
          <w:bCs/>
        </w:rPr>
      </w:pPr>
    </w:p>
    <w:p w14:paraId="74066405">
      <w:pPr>
        <w:pStyle w:val="5"/>
        <w:keepNext/>
        <w:keepLines/>
        <w:pageBreakBefore w:val="0"/>
        <w:widowControl w:val="0"/>
        <w:numPr>
          <w:ilvl w:val="2"/>
          <w:numId w:val="0"/>
        </w:numPr>
        <w:kinsoku/>
        <w:wordWrap/>
        <w:overflowPunct/>
        <w:topLinePunct w:val="0"/>
        <w:autoSpaceDE/>
        <w:autoSpaceDN/>
        <w:bidi w:val="0"/>
        <w:adjustRightInd/>
        <w:snapToGrid/>
        <w:spacing w:line="440" w:lineRule="exact"/>
        <w:textAlignment w:val="auto"/>
        <w:rPr>
          <w:b/>
          <w:bCs/>
        </w:rPr>
      </w:pPr>
      <w:bookmarkStart w:id="42" w:name="_Toc15050"/>
      <w:r>
        <w:rPr>
          <w:rFonts w:hint="eastAsia" w:ascii="仿宋" w:hAnsi="仿宋" w:cs="仿宋"/>
          <w:b/>
          <w:bCs/>
          <w:lang w:val="en-US" w:eastAsia="zh-CN"/>
        </w:rPr>
        <w:t>2.5.2</w:t>
      </w:r>
      <w:r>
        <w:rPr>
          <w:rFonts w:hint="eastAsia" w:ascii="仿宋" w:hAnsi="仿宋" w:eastAsia="仿宋" w:cs="仿宋"/>
          <w:b/>
          <w:bCs/>
        </w:rPr>
        <w:t>云资源</w:t>
      </w:r>
      <w:bookmarkEnd w:id="42"/>
      <w:r>
        <w:rPr>
          <w:rFonts w:hint="eastAsia" w:ascii="仿宋" w:hAnsi="仿宋" w:eastAsia="仿宋" w:cs="仿宋"/>
          <w:b/>
          <w:bCs/>
          <w:lang w:val="en-US" w:eastAsia="zh-CN"/>
        </w:rPr>
        <w:t>需求</w:t>
      </w:r>
    </w:p>
    <w:p w14:paraId="76B419CD">
      <w:pPr>
        <w:pStyle w:val="7"/>
        <w:keepNext/>
        <w:keepLines/>
        <w:pageBreakBefore w:val="0"/>
        <w:widowControl w:val="0"/>
        <w:numPr>
          <w:ilvl w:val="3"/>
          <w:numId w:val="0"/>
        </w:numPr>
        <w:kinsoku/>
        <w:wordWrap/>
        <w:overflowPunct/>
        <w:topLinePunct w:val="0"/>
        <w:autoSpaceDE/>
        <w:autoSpaceDN/>
        <w:bidi w:val="0"/>
        <w:adjustRightInd/>
        <w:snapToGrid/>
        <w:spacing w:before="0" w:after="0"/>
        <w:jc w:val="left"/>
        <w:textAlignment w:val="auto"/>
        <w:rPr>
          <w:rFonts w:hint="eastAsia" w:ascii="仿宋" w:hAnsi="仿宋" w:eastAsia="仿宋" w:cs="仿宋"/>
          <w:lang w:val="en-US" w:eastAsia="zh-CN"/>
        </w:rPr>
      </w:pPr>
      <w:bookmarkStart w:id="43" w:name="_Toc5413"/>
      <w:r>
        <w:rPr>
          <w:rFonts w:hint="eastAsia" w:ascii="仿宋" w:hAnsi="仿宋" w:eastAsia="仿宋" w:cs="仿宋"/>
          <w:lang w:val="en-US" w:eastAsia="zh-CN"/>
        </w:rPr>
        <w:t>2.5.2.1</w:t>
      </w:r>
      <w:r>
        <w:rPr>
          <w:rFonts w:hint="eastAsia" w:ascii="仿宋" w:hAnsi="仿宋" w:eastAsia="仿宋" w:cs="仿宋"/>
          <w:sz w:val="24"/>
          <w:szCs w:val="24"/>
          <w:lang w:val="en-US" w:eastAsia="zh-CN"/>
        </w:rPr>
        <w:t>已有虚拟服务器配置：</w:t>
      </w:r>
    </w:p>
    <w:tbl>
      <w:tblPr>
        <w:tblStyle w:val="22"/>
        <w:tblW w:w="4998" w:type="pct"/>
        <w:tblInd w:w="0" w:type="dxa"/>
        <w:tblLayout w:type="autofit"/>
        <w:tblCellMar>
          <w:top w:w="0" w:type="dxa"/>
          <w:left w:w="108" w:type="dxa"/>
          <w:bottom w:w="0" w:type="dxa"/>
          <w:right w:w="108" w:type="dxa"/>
        </w:tblCellMar>
      </w:tblPr>
      <w:tblGrid>
        <w:gridCol w:w="547"/>
        <w:gridCol w:w="1331"/>
        <w:gridCol w:w="1735"/>
        <w:gridCol w:w="752"/>
        <w:gridCol w:w="3672"/>
        <w:gridCol w:w="482"/>
      </w:tblGrid>
      <w:tr w14:paraId="4B7DBA03">
        <w:tblPrEx>
          <w:tblCellMar>
            <w:top w:w="0" w:type="dxa"/>
            <w:left w:w="108" w:type="dxa"/>
            <w:bottom w:w="0" w:type="dxa"/>
            <w:right w:w="108" w:type="dxa"/>
          </w:tblCellMar>
        </w:tblPrEx>
        <w:trPr>
          <w:trHeight w:val="285" w:hRule="atLeast"/>
        </w:trPr>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CBD2D">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b/>
                <w:bCs/>
                <w:color w:val="000000"/>
                <w:sz w:val="24"/>
                <w:szCs w:val="24"/>
              </w:rPr>
            </w:pPr>
            <w:r>
              <w:rPr>
                <w:rFonts w:hint="eastAsia" w:ascii="仿宋" w:hAnsi="仿宋" w:cs="仿宋"/>
                <w:b/>
                <w:bCs/>
                <w:color w:val="000000"/>
                <w:kern w:val="0"/>
                <w:sz w:val="24"/>
                <w:szCs w:val="24"/>
                <w:lang w:bidi="ar"/>
              </w:rPr>
              <w:t>序号</w:t>
            </w:r>
          </w:p>
        </w:tc>
        <w:tc>
          <w:tcPr>
            <w:tcW w:w="17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20051B">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b/>
                <w:bCs/>
                <w:color w:val="000000"/>
                <w:sz w:val="24"/>
                <w:szCs w:val="24"/>
              </w:rPr>
            </w:pPr>
            <w:r>
              <w:rPr>
                <w:rFonts w:hint="eastAsia" w:ascii="仿宋" w:hAnsi="仿宋" w:cs="仿宋"/>
                <w:b/>
                <w:bCs/>
                <w:color w:val="000000"/>
                <w:kern w:val="0"/>
                <w:sz w:val="24"/>
                <w:szCs w:val="24"/>
                <w:lang w:bidi="ar"/>
              </w:rPr>
              <w:t>云资源名称</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41500">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b/>
                <w:bCs/>
                <w:color w:val="000000"/>
                <w:sz w:val="24"/>
                <w:szCs w:val="24"/>
              </w:rPr>
            </w:pPr>
            <w:r>
              <w:rPr>
                <w:rFonts w:hint="eastAsia" w:ascii="仿宋" w:hAnsi="仿宋" w:cs="仿宋"/>
                <w:b/>
                <w:bCs/>
                <w:color w:val="000000"/>
                <w:kern w:val="0"/>
                <w:sz w:val="24"/>
                <w:szCs w:val="24"/>
                <w:lang w:bidi="ar"/>
              </w:rPr>
              <w:t>单位</w:t>
            </w:r>
          </w:p>
        </w:tc>
        <w:tc>
          <w:tcPr>
            <w:tcW w:w="2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3283E">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b/>
                <w:bCs/>
                <w:color w:val="000000"/>
                <w:sz w:val="24"/>
                <w:szCs w:val="24"/>
              </w:rPr>
            </w:pPr>
            <w:r>
              <w:rPr>
                <w:rFonts w:hint="eastAsia" w:ascii="仿宋" w:hAnsi="仿宋" w:cs="仿宋"/>
                <w:b/>
                <w:bCs/>
                <w:color w:val="000000"/>
                <w:kern w:val="0"/>
                <w:sz w:val="24"/>
                <w:szCs w:val="24"/>
                <w:lang w:bidi="ar"/>
              </w:rPr>
              <w:t>配置需求</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11307">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b/>
                <w:bCs/>
                <w:color w:val="000000"/>
                <w:sz w:val="24"/>
                <w:szCs w:val="24"/>
              </w:rPr>
            </w:pPr>
            <w:r>
              <w:rPr>
                <w:rFonts w:hint="eastAsia" w:ascii="仿宋" w:hAnsi="仿宋" w:cs="仿宋"/>
                <w:b/>
                <w:bCs/>
                <w:color w:val="000000"/>
                <w:kern w:val="0"/>
                <w:sz w:val="24"/>
                <w:szCs w:val="24"/>
                <w:lang w:bidi="ar"/>
              </w:rPr>
              <w:t>数量</w:t>
            </w:r>
          </w:p>
        </w:tc>
      </w:tr>
      <w:tr w14:paraId="44EACC43">
        <w:tblPrEx>
          <w:tblCellMar>
            <w:top w:w="0" w:type="dxa"/>
            <w:left w:w="108" w:type="dxa"/>
            <w:bottom w:w="0" w:type="dxa"/>
            <w:right w:w="108" w:type="dxa"/>
          </w:tblCellMar>
        </w:tblPrEx>
        <w:trPr>
          <w:trHeight w:val="285" w:hRule="atLeast"/>
        </w:trPr>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DA6E1">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0BB58">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政务外网</w:t>
            </w:r>
          </w:p>
        </w:tc>
        <w:tc>
          <w:tcPr>
            <w:tcW w:w="1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0AB0F">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数据库服务器</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04BC5">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台</w:t>
            </w:r>
          </w:p>
        </w:tc>
        <w:tc>
          <w:tcPr>
            <w:tcW w:w="2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8FD96">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16vCPU，32G内存，1T存储</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8B37C">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w:t>
            </w:r>
          </w:p>
        </w:tc>
      </w:tr>
      <w:tr w14:paraId="4AAFED3E">
        <w:tblPrEx>
          <w:tblCellMar>
            <w:top w:w="0" w:type="dxa"/>
            <w:left w:w="108" w:type="dxa"/>
            <w:bottom w:w="0" w:type="dxa"/>
            <w:right w:w="108" w:type="dxa"/>
          </w:tblCellMar>
        </w:tblPrEx>
        <w:trPr>
          <w:trHeight w:val="285" w:hRule="atLeast"/>
        </w:trPr>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CA8FE">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E67D7">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政务外网</w:t>
            </w:r>
          </w:p>
        </w:tc>
        <w:tc>
          <w:tcPr>
            <w:tcW w:w="1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74B16">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应用服务器</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9EBB9">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台</w:t>
            </w:r>
          </w:p>
        </w:tc>
        <w:tc>
          <w:tcPr>
            <w:tcW w:w="2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8FB73">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16vCPU，32G内存，0.5T存储</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5F9EC">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w:t>
            </w:r>
          </w:p>
        </w:tc>
      </w:tr>
      <w:tr w14:paraId="2E7A4C03">
        <w:tblPrEx>
          <w:tblCellMar>
            <w:top w:w="0" w:type="dxa"/>
            <w:left w:w="108" w:type="dxa"/>
            <w:bottom w:w="0" w:type="dxa"/>
            <w:right w:w="108" w:type="dxa"/>
          </w:tblCellMar>
        </w:tblPrEx>
        <w:trPr>
          <w:trHeight w:val="285" w:hRule="atLeast"/>
        </w:trPr>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0A8DF">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51772">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政务外网</w:t>
            </w:r>
          </w:p>
        </w:tc>
        <w:tc>
          <w:tcPr>
            <w:tcW w:w="1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27496">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数据库服务器</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E7F7B">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台</w:t>
            </w:r>
          </w:p>
        </w:tc>
        <w:tc>
          <w:tcPr>
            <w:tcW w:w="2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42179">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16vCPU，32G内存，0.5T存储</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57D75">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w:t>
            </w:r>
          </w:p>
        </w:tc>
      </w:tr>
      <w:tr w14:paraId="3E9238A0">
        <w:tblPrEx>
          <w:tblCellMar>
            <w:top w:w="0" w:type="dxa"/>
            <w:left w:w="108" w:type="dxa"/>
            <w:bottom w:w="0" w:type="dxa"/>
            <w:right w:w="108" w:type="dxa"/>
          </w:tblCellMar>
        </w:tblPrEx>
        <w:trPr>
          <w:trHeight w:val="285" w:hRule="atLeast"/>
        </w:trPr>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D5008">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8</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1BE3E">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政务外网</w:t>
            </w:r>
          </w:p>
        </w:tc>
        <w:tc>
          <w:tcPr>
            <w:tcW w:w="1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A830E">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应用服务器</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12550">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台</w:t>
            </w:r>
          </w:p>
        </w:tc>
        <w:tc>
          <w:tcPr>
            <w:tcW w:w="21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888E5">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16vCPU，32G内存，0.5T存储</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4E692">
            <w:pPr>
              <w:pageBreakBefore w:val="0"/>
              <w:widowControl/>
              <w:kinsoku/>
              <w:wordWrap/>
              <w:overflowPunct/>
              <w:topLinePunct w:val="0"/>
              <w:autoSpaceDE/>
              <w:autoSpaceDN/>
              <w:bidi w:val="0"/>
              <w:spacing w:line="440" w:lineRule="exact"/>
              <w:ind w:left="0" w:leftChars="0" w:firstLine="0" w:firstLineChars="0"/>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w:t>
            </w:r>
          </w:p>
        </w:tc>
      </w:tr>
    </w:tbl>
    <w:p w14:paraId="7D1E55D5">
      <w:pPr>
        <w:pStyle w:val="7"/>
        <w:pageBreakBefore w:val="0"/>
        <w:numPr>
          <w:ilvl w:val="3"/>
          <w:numId w:val="0"/>
        </w:numPr>
        <w:kinsoku/>
        <w:wordWrap/>
        <w:overflowPunct/>
        <w:topLinePunct w:val="0"/>
        <w:autoSpaceDE/>
        <w:autoSpaceDN/>
        <w:bidi w:val="0"/>
        <w:spacing w:before="0" w:after="0"/>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2.5.2.2 已有系统软件配置：</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3"/>
        <w:gridCol w:w="931"/>
        <w:gridCol w:w="5688"/>
      </w:tblGrid>
      <w:tr w14:paraId="68DC5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3" w:type="dxa"/>
            <w:vAlign w:val="center"/>
          </w:tcPr>
          <w:p w14:paraId="083601E3">
            <w:pPr>
              <w:keepNext w:val="0"/>
              <w:keepLines w:val="0"/>
              <w:pageBreakBefore w:val="0"/>
              <w:kinsoku/>
              <w:wordWrap/>
              <w:overflowPunct/>
              <w:topLinePunct w:val="0"/>
              <w:autoSpaceDE/>
              <w:autoSpaceDN/>
              <w:bidi w:val="0"/>
              <w:adjustRightInd/>
              <w:snapToGrid w:val="0"/>
              <w:spacing w:before="50" w:beforeLines="50" w:after="50" w:afterLines="50" w:line="440" w:lineRule="exact"/>
              <w:ind w:firstLine="0" w:firstLineChars="0"/>
              <w:jc w:val="center"/>
              <w:textAlignment w:val="auto"/>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设备类型</w:t>
            </w:r>
          </w:p>
        </w:tc>
        <w:tc>
          <w:tcPr>
            <w:tcW w:w="931" w:type="dxa"/>
            <w:vAlign w:val="center"/>
          </w:tcPr>
          <w:p w14:paraId="66521FBC">
            <w:pPr>
              <w:keepNext w:val="0"/>
              <w:keepLines w:val="0"/>
              <w:pageBreakBefore w:val="0"/>
              <w:kinsoku/>
              <w:wordWrap/>
              <w:overflowPunct/>
              <w:topLinePunct w:val="0"/>
              <w:autoSpaceDE/>
              <w:autoSpaceDN/>
              <w:bidi w:val="0"/>
              <w:adjustRightInd/>
              <w:snapToGrid w:val="0"/>
              <w:spacing w:before="50" w:beforeLines="50" w:after="50" w:afterLines="50" w:line="440" w:lineRule="exact"/>
              <w:ind w:firstLine="0" w:firstLineChars="0"/>
              <w:jc w:val="center"/>
              <w:textAlignment w:val="auto"/>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数量</w:t>
            </w:r>
          </w:p>
        </w:tc>
        <w:tc>
          <w:tcPr>
            <w:tcW w:w="5688" w:type="dxa"/>
            <w:vAlign w:val="center"/>
          </w:tcPr>
          <w:p w14:paraId="43CECBFD">
            <w:pPr>
              <w:keepNext w:val="0"/>
              <w:keepLines w:val="0"/>
              <w:pageBreakBefore w:val="0"/>
              <w:kinsoku/>
              <w:wordWrap/>
              <w:overflowPunct/>
              <w:topLinePunct w:val="0"/>
              <w:autoSpaceDE/>
              <w:autoSpaceDN/>
              <w:bidi w:val="0"/>
              <w:adjustRightInd/>
              <w:snapToGrid w:val="0"/>
              <w:spacing w:before="50" w:beforeLines="50" w:after="50" w:afterLines="50" w:line="440" w:lineRule="exact"/>
              <w:ind w:firstLine="0" w:firstLineChars="0"/>
              <w:jc w:val="center"/>
              <w:textAlignment w:val="auto"/>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备注</w:t>
            </w:r>
          </w:p>
        </w:tc>
      </w:tr>
      <w:tr w14:paraId="10483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3" w:type="dxa"/>
            <w:vAlign w:val="center"/>
          </w:tcPr>
          <w:p w14:paraId="5E96470F">
            <w:pPr>
              <w:keepNext w:val="0"/>
              <w:keepLines w:val="0"/>
              <w:pageBreakBefore w:val="0"/>
              <w:widowControl/>
              <w:kinsoku/>
              <w:wordWrap/>
              <w:overflowPunct/>
              <w:topLinePunct w:val="0"/>
              <w:autoSpaceDE/>
              <w:autoSpaceDN/>
              <w:bidi w:val="0"/>
              <w:adjustRightInd/>
              <w:snapToGrid w:val="0"/>
              <w:spacing w:before="50" w:beforeLines="50" w:after="50" w:afterLines="50" w:line="440" w:lineRule="exact"/>
              <w:ind w:firstLine="0" w:firstLineChars="0"/>
              <w:jc w:val="center"/>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操作系统</w:t>
            </w:r>
          </w:p>
        </w:tc>
        <w:tc>
          <w:tcPr>
            <w:tcW w:w="931" w:type="dxa"/>
            <w:vAlign w:val="center"/>
          </w:tcPr>
          <w:p w14:paraId="5E10F49E">
            <w:pPr>
              <w:keepNext w:val="0"/>
              <w:keepLines w:val="0"/>
              <w:pageBreakBefore w:val="0"/>
              <w:widowControl/>
              <w:kinsoku/>
              <w:wordWrap/>
              <w:overflowPunct/>
              <w:topLinePunct w:val="0"/>
              <w:autoSpaceDE/>
              <w:autoSpaceDN/>
              <w:bidi w:val="0"/>
              <w:adjustRightInd/>
              <w:snapToGrid w:val="0"/>
              <w:spacing w:before="50" w:beforeLines="50" w:after="50" w:afterLines="50" w:line="440" w:lineRule="exact"/>
              <w:ind w:firstLine="0" w:firstLineChars="0"/>
              <w:jc w:val="center"/>
              <w:textAlignment w:val="auto"/>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4</w:t>
            </w:r>
          </w:p>
        </w:tc>
        <w:tc>
          <w:tcPr>
            <w:tcW w:w="5688" w:type="dxa"/>
            <w:vAlign w:val="center"/>
          </w:tcPr>
          <w:p w14:paraId="274E2F52">
            <w:pPr>
              <w:keepNext w:val="0"/>
              <w:keepLines w:val="0"/>
              <w:pageBreakBefore w:val="0"/>
              <w:widowControl/>
              <w:kinsoku/>
              <w:wordWrap/>
              <w:overflowPunct/>
              <w:topLinePunct w:val="0"/>
              <w:autoSpaceDE/>
              <w:autoSpaceDN/>
              <w:bidi w:val="0"/>
              <w:adjustRightInd/>
              <w:snapToGrid w:val="0"/>
              <w:spacing w:before="50" w:beforeLines="50" w:after="50" w:afterLines="50" w:line="440" w:lineRule="exact"/>
              <w:ind w:firstLine="0" w:firstLineChars="0"/>
              <w:jc w:val="left"/>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lang w:eastAsia="zh-CN"/>
                <w14:textFill>
                  <w14:solidFill>
                    <w14:schemeClr w14:val="tx1"/>
                  </w14:solidFill>
                </w14:textFill>
              </w:rPr>
              <w:t>区政务云现有品牌：</w:t>
            </w:r>
            <w:r>
              <w:rPr>
                <w:rFonts w:hint="eastAsia" w:ascii="仿宋_GB2312" w:hAnsi="仿宋_GB2312" w:eastAsia="仿宋_GB2312" w:cs="仿宋_GB2312"/>
                <w:color w:val="000000" w:themeColor="text1"/>
                <w:kern w:val="0"/>
                <w:sz w:val="28"/>
                <w:szCs w:val="28"/>
                <w14:textFill>
                  <w14:solidFill>
                    <w14:schemeClr w14:val="tx1"/>
                  </w14:solidFill>
                </w14:textFill>
              </w:rPr>
              <w:t>银河麒麟。</w:t>
            </w:r>
          </w:p>
        </w:tc>
      </w:tr>
      <w:tr w14:paraId="2D8AF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3" w:type="dxa"/>
            <w:vAlign w:val="center"/>
          </w:tcPr>
          <w:p w14:paraId="643B6EBE">
            <w:pPr>
              <w:keepNext w:val="0"/>
              <w:keepLines w:val="0"/>
              <w:pageBreakBefore w:val="0"/>
              <w:widowControl/>
              <w:kinsoku/>
              <w:wordWrap/>
              <w:overflowPunct/>
              <w:topLinePunct w:val="0"/>
              <w:autoSpaceDE/>
              <w:autoSpaceDN/>
              <w:bidi w:val="0"/>
              <w:adjustRightInd/>
              <w:snapToGrid w:val="0"/>
              <w:spacing w:before="50" w:beforeLines="50" w:after="50" w:afterLines="50" w:line="440" w:lineRule="exact"/>
              <w:ind w:firstLine="0" w:firstLineChars="0"/>
              <w:jc w:val="center"/>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数据库软件</w:t>
            </w:r>
          </w:p>
        </w:tc>
        <w:tc>
          <w:tcPr>
            <w:tcW w:w="931" w:type="dxa"/>
            <w:vAlign w:val="center"/>
          </w:tcPr>
          <w:p w14:paraId="7BC5533F">
            <w:pPr>
              <w:keepNext w:val="0"/>
              <w:keepLines w:val="0"/>
              <w:pageBreakBefore w:val="0"/>
              <w:widowControl/>
              <w:kinsoku/>
              <w:wordWrap/>
              <w:overflowPunct/>
              <w:topLinePunct w:val="0"/>
              <w:autoSpaceDE/>
              <w:autoSpaceDN/>
              <w:bidi w:val="0"/>
              <w:adjustRightInd/>
              <w:snapToGrid w:val="0"/>
              <w:spacing w:before="50" w:beforeLines="50" w:after="50" w:afterLines="50" w:line="440" w:lineRule="exact"/>
              <w:ind w:firstLine="0" w:firstLineChars="0"/>
              <w:jc w:val="center"/>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2</w:t>
            </w:r>
          </w:p>
        </w:tc>
        <w:tc>
          <w:tcPr>
            <w:tcW w:w="5688" w:type="dxa"/>
            <w:vAlign w:val="center"/>
          </w:tcPr>
          <w:p w14:paraId="5F6887B3">
            <w:pPr>
              <w:keepNext w:val="0"/>
              <w:keepLines w:val="0"/>
              <w:pageBreakBefore w:val="0"/>
              <w:widowControl/>
              <w:kinsoku/>
              <w:wordWrap/>
              <w:overflowPunct/>
              <w:topLinePunct w:val="0"/>
              <w:autoSpaceDE/>
              <w:autoSpaceDN/>
              <w:bidi w:val="0"/>
              <w:adjustRightInd/>
              <w:snapToGrid w:val="0"/>
              <w:spacing w:before="50" w:beforeLines="50" w:after="50" w:afterLines="50" w:line="440" w:lineRule="exact"/>
              <w:ind w:firstLine="0" w:firstLineChars="0"/>
              <w:jc w:val="left"/>
              <w:textAlignment w:val="auto"/>
              <w:rPr>
                <w:rFonts w:hint="default" w:ascii="仿宋_GB2312" w:hAnsi="仿宋_GB2312" w:eastAsia="仿宋_GB2312" w:cs="仿宋_GB2312"/>
                <w:color w:val="000000" w:themeColor="text1"/>
                <w:kern w:val="0"/>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kern w:val="0"/>
                <w:sz w:val="28"/>
                <w:szCs w:val="28"/>
                <w:lang w:eastAsia="zh-CN"/>
                <w14:textFill>
                  <w14:solidFill>
                    <w14:schemeClr w14:val="tx1"/>
                  </w14:solidFill>
                </w14:textFill>
              </w:rPr>
              <w:t>区政务云现有品牌：</w:t>
            </w:r>
            <w:r>
              <w:rPr>
                <w:rFonts w:hint="eastAsia" w:ascii="仿宋_GB2312" w:hAnsi="仿宋_GB2312" w:eastAsia="仿宋_GB2312" w:cs="仿宋_GB2312"/>
                <w:color w:val="000000" w:themeColor="text1"/>
                <w:kern w:val="0"/>
                <w:sz w:val="28"/>
                <w:szCs w:val="28"/>
                <w14:textFill>
                  <w14:solidFill>
                    <w14:schemeClr w14:val="tx1"/>
                  </w14:solidFill>
                </w14:textFill>
              </w:rPr>
              <w:t>达梦</w:t>
            </w:r>
            <w:r>
              <w:rPr>
                <w:rFonts w:hint="eastAsia" w:ascii="仿宋_GB2312" w:hAnsi="仿宋_GB2312" w:eastAsia="仿宋_GB2312" w:cs="仿宋_GB2312"/>
                <w:color w:val="000000" w:themeColor="text1"/>
                <w:kern w:val="0"/>
                <w:sz w:val="28"/>
                <w:szCs w:val="28"/>
                <w:lang w:eastAsia="zh-CN"/>
                <w14:textFill>
                  <w14:solidFill>
                    <w14:schemeClr w14:val="tx1"/>
                  </w14:solidFill>
                </w14:textFill>
              </w:rPr>
              <w:t>、</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人大金仓</w:t>
            </w:r>
          </w:p>
        </w:tc>
      </w:tr>
      <w:tr w14:paraId="2BE1C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3" w:type="dxa"/>
            <w:vAlign w:val="center"/>
          </w:tcPr>
          <w:p w14:paraId="7DBBDFC5">
            <w:pPr>
              <w:keepNext w:val="0"/>
              <w:keepLines w:val="0"/>
              <w:pageBreakBefore w:val="0"/>
              <w:widowControl/>
              <w:kinsoku/>
              <w:wordWrap/>
              <w:overflowPunct/>
              <w:topLinePunct w:val="0"/>
              <w:autoSpaceDE/>
              <w:autoSpaceDN/>
              <w:bidi w:val="0"/>
              <w:adjustRightInd/>
              <w:snapToGrid w:val="0"/>
              <w:spacing w:before="50" w:beforeLines="50" w:after="50" w:afterLines="50" w:line="440" w:lineRule="exact"/>
              <w:ind w:firstLine="0" w:firstLineChars="0"/>
              <w:jc w:val="center"/>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应用中间件</w:t>
            </w:r>
          </w:p>
        </w:tc>
        <w:tc>
          <w:tcPr>
            <w:tcW w:w="931" w:type="dxa"/>
            <w:vAlign w:val="center"/>
          </w:tcPr>
          <w:p w14:paraId="70B8FABA">
            <w:pPr>
              <w:keepNext w:val="0"/>
              <w:keepLines w:val="0"/>
              <w:pageBreakBefore w:val="0"/>
              <w:widowControl/>
              <w:kinsoku/>
              <w:wordWrap/>
              <w:overflowPunct/>
              <w:topLinePunct w:val="0"/>
              <w:autoSpaceDE/>
              <w:autoSpaceDN/>
              <w:bidi w:val="0"/>
              <w:adjustRightInd/>
              <w:snapToGrid w:val="0"/>
              <w:spacing w:before="50" w:beforeLines="50" w:after="50" w:afterLines="50" w:line="440" w:lineRule="exact"/>
              <w:ind w:firstLine="0" w:firstLineChars="0"/>
              <w:jc w:val="center"/>
              <w:textAlignment w:val="auto"/>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2</w:t>
            </w:r>
          </w:p>
        </w:tc>
        <w:tc>
          <w:tcPr>
            <w:tcW w:w="5688" w:type="dxa"/>
            <w:vAlign w:val="center"/>
          </w:tcPr>
          <w:p w14:paraId="08DCBF6D">
            <w:pPr>
              <w:keepNext w:val="0"/>
              <w:keepLines w:val="0"/>
              <w:pageBreakBefore w:val="0"/>
              <w:widowControl/>
              <w:kinsoku/>
              <w:wordWrap/>
              <w:overflowPunct/>
              <w:topLinePunct w:val="0"/>
              <w:autoSpaceDE/>
              <w:autoSpaceDN/>
              <w:bidi w:val="0"/>
              <w:adjustRightInd/>
              <w:snapToGrid w:val="0"/>
              <w:spacing w:before="50" w:beforeLines="50" w:after="50" w:afterLines="50" w:line="440" w:lineRule="exact"/>
              <w:ind w:firstLine="0" w:firstLineChars="0"/>
              <w:jc w:val="left"/>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lang w:eastAsia="zh-CN"/>
                <w14:textFill>
                  <w14:solidFill>
                    <w14:schemeClr w14:val="tx1"/>
                  </w14:solidFill>
                </w14:textFill>
              </w:rPr>
              <w:t>区政务云现有品牌：</w:t>
            </w:r>
            <w:r>
              <w:rPr>
                <w:rFonts w:hint="eastAsia" w:ascii="仿宋_GB2312" w:hAnsi="仿宋_GB2312" w:eastAsia="仿宋_GB2312" w:cs="仿宋_GB2312"/>
                <w:color w:val="000000" w:themeColor="text1"/>
                <w:kern w:val="0"/>
                <w:sz w:val="28"/>
                <w:szCs w:val="28"/>
                <w14:textFill>
                  <w14:solidFill>
                    <w14:schemeClr w14:val="tx1"/>
                  </w14:solidFill>
                </w14:textFill>
              </w:rPr>
              <w:t>东方通</w:t>
            </w:r>
          </w:p>
        </w:tc>
      </w:tr>
    </w:tbl>
    <w:p w14:paraId="60427AAD">
      <w:pPr>
        <w:pStyle w:val="6"/>
        <w:pageBreakBefore w:val="0"/>
        <w:numPr>
          <w:ilvl w:val="0"/>
          <w:numId w:val="0"/>
        </w:numPr>
        <w:kinsoku/>
        <w:wordWrap/>
        <w:overflowPunct/>
        <w:topLinePunct w:val="0"/>
        <w:autoSpaceDE/>
        <w:autoSpaceDN/>
        <w:bidi w:val="0"/>
        <w:rPr>
          <w:rFonts w:hint="default"/>
          <w:lang w:val="en-US" w:eastAsia="zh-CN"/>
        </w:rPr>
      </w:pPr>
    </w:p>
    <w:bookmarkEnd w:id="43"/>
    <w:p w14:paraId="4F44E867">
      <w:pPr>
        <w:pStyle w:val="3"/>
        <w:pageBreakBefore w:val="0"/>
        <w:kinsoku/>
        <w:wordWrap/>
        <w:overflowPunct/>
        <w:topLinePunct w:val="0"/>
        <w:autoSpaceDE/>
        <w:autoSpaceDN/>
        <w:bidi w:val="0"/>
        <w:spacing w:before="0" w:after="0" w:line="440" w:lineRule="exact"/>
        <w:ind w:left="0" w:leftChars="0"/>
        <w:jc w:val="center"/>
        <w:rPr>
          <w:sz w:val="30"/>
          <w:szCs w:val="30"/>
        </w:rPr>
      </w:pPr>
      <w:bookmarkStart w:id="44" w:name="_Toc31428"/>
      <w:r>
        <w:rPr>
          <w:rFonts w:hint="eastAsia"/>
          <w:sz w:val="30"/>
          <w:szCs w:val="30"/>
        </w:rPr>
        <w:t>项目实施要求</w:t>
      </w:r>
      <w:bookmarkEnd w:id="44"/>
    </w:p>
    <w:p w14:paraId="7AAB4B39">
      <w:pPr>
        <w:pStyle w:val="4"/>
        <w:pageBreakBefore w:val="0"/>
        <w:kinsoku/>
        <w:wordWrap/>
        <w:overflowPunct/>
        <w:topLinePunct w:val="0"/>
        <w:autoSpaceDE/>
        <w:autoSpaceDN/>
        <w:bidi w:val="0"/>
        <w:spacing w:before="0" w:after="0" w:line="440" w:lineRule="exact"/>
        <w:ind w:left="0" w:leftChars="0"/>
        <w:rPr>
          <w:rFonts w:hint="eastAsia" w:ascii="仿宋" w:hAnsi="仿宋" w:eastAsia="仿宋" w:cs="仿宋"/>
        </w:rPr>
      </w:pPr>
      <w:bookmarkStart w:id="45" w:name="_Toc8848"/>
      <w:r>
        <w:rPr>
          <w:rFonts w:hint="eastAsia" w:ascii="仿宋" w:hAnsi="仿宋" w:eastAsia="仿宋" w:cs="仿宋"/>
        </w:rPr>
        <w:t>项目进度安排</w:t>
      </w:r>
      <w:bookmarkEnd w:id="45"/>
    </w:p>
    <w:p w14:paraId="51E80B81">
      <w:pPr>
        <w:pageBreakBefore w:val="0"/>
        <w:widowControl/>
        <w:numPr>
          <w:ilvl w:val="0"/>
          <w:numId w:val="3"/>
        </w:numPr>
        <w:kinsoku/>
        <w:wordWrap/>
        <w:overflowPunct/>
        <w:topLinePunct w:val="0"/>
        <w:autoSpaceDE/>
        <w:autoSpaceDN/>
        <w:bidi w:val="0"/>
        <w:spacing w:line="440" w:lineRule="exact"/>
        <w:ind w:left="0" w:leftChars="0" w:firstLineChars="0"/>
      </w:pPr>
      <w:r>
        <w:rPr>
          <w:rFonts w:hint="eastAsia"/>
          <w:b/>
          <w:bCs/>
        </w:rPr>
        <w:t>项目整体建设周期：</w:t>
      </w:r>
      <w:r>
        <w:rPr>
          <w:rFonts w:hint="eastAsia"/>
          <w:lang w:val="en-US" w:eastAsia="zh-CN"/>
        </w:rPr>
        <w:t>6</w:t>
      </w:r>
      <w:r>
        <w:rPr>
          <w:rFonts w:hint="eastAsia"/>
        </w:rPr>
        <w:t>个月，</w:t>
      </w:r>
      <w:r>
        <w:rPr>
          <w:rFonts w:hint="eastAsia"/>
          <w:lang w:val="en-US" w:eastAsia="zh-CN"/>
        </w:rPr>
        <w:t>含</w:t>
      </w:r>
      <w:r>
        <w:rPr>
          <w:rFonts w:hint="eastAsia"/>
          <w:b/>
          <w:bCs/>
        </w:rPr>
        <w:t>试运行</w:t>
      </w:r>
      <w:r>
        <w:rPr>
          <w:rFonts w:hint="eastAsia"/>
          <w:b/>
          <w:bCs/>
          <w:lang w:eastAsia="zh-CN"/>
        </w:rPr>
        <w:t>：</w:t>
      </w:r>
      <w:r>
        <w:rPr>
          <w:rFonts w:hint="eastAsia"/>
        </w:rPr>
        <w:t xml:space="preserve"> 1 个月。</w:t>
      </w:r>
    </w:p>
    <w:p w14:paraId="4681BC66">
      <w:pPr>
        <w:pStyle w:val="4"/>
        <w:pageBreakBefore w:val="0"/>
        <w:kinsoku/>
        <w:wordWrap/>
        <w:overflowPunct/>
        <w:topLinePunct w:val="0"/>
        <w:autoSpaceDE/>
        <w:autoSpaceDN/>
        <w:bidi w:val="0"/>
        <w:spacing w:before="0" w:after="0" w:line="440" w:lineRule="exact"/>
        <w:ind w:left="0" w:leftChars="0"/>
        <w:rPr>
          <w:rFonts w:hint="eastAsia" w:cstheme="minorBidi"/>
          <w:b/>
          <w:bCs/>
          <w:kern w:val="2"/>
          <w:sz w:val="28"/>
          <w:szCs w:val="22"/>
          <w:lang w:val="en-US" w:eastAsia="zh-CN" w:bidi="ar-SA"/>
        </w:rPr>
      </w:pPr>
      <w:bookmarkStart w:id="46" w:name="_Toc17569"/>
      <w:r>
        <w:rPr>
          <w:rFonts w:hint="eastAsia" w:ascii="仿宋" w:hAnsi="仿宋" w:eastAsia="仿宋" w:cs="仿宋"/>
          <w:lang w:val="en-US" w:eastAsia="zh-CN"/>
        </w:rPr>
        <w:t>项目团队资质要求</w:t>
      </w:r>
      <w:bookmarkEnd w:id="46"/>
    </w:p>
    <w:p w14:paraId="3FC6ACD7">
      <w:pPr>
        <w:pStyle w:val="6"/>
        <w:pageBreakBefore w:val="0"/>
        <w:numPr>
          <w:ilvl w:val="0"/>
          <w:numId w:val="0"/>
        </w:numPr>
        <w:kinsoku/>
        <w:wordWrap/>
        <w:overflowPunct/>
        <w:topLinePunct w:val="0"/>
        <w:autoSpaceDE/>
        <w:autoSpaceDN/>
        <w:bidi w:val="0"/>
        <w:spacing w:line="440" w:lineRule="exact"/>
        <w:ind w:left="0" w:leftChars="0" w:firstLine="420" w:firstLineChars="0"/>
        <w:rPr>
          <w:rFonts w:hint="eastAsia" w:cstheme="minorBidi"/>
          <w:kern w:val="2"/>
          <w:sz w:val="28"/>
          <w:szCs w:val="22"/>
          <w:lang w:val="en-US" w:eastAsia="zh-CN" w:bidi="ar-SA"/>
        </w:rPr>
      </w:pPr>
      <w:r>
        <w:rPr>
          <w:rFonts w:hint="eastAsia" w:cstheme="minorBidi"/>
          <w:b/>
          <w:bCs/>
          <w:kern w:val="2"/>
          <w:sz w:val="28"/>
          <w:szCs w:val="22"/>
          <w:lang w:val="en-US" w:eastAsia="zh-CN" w:bidi="ar-SA"/>
        </w:rPr>
        <w:t>项目经理资质要求</w:t>
      </w:r>
    </w:p>
    <w:p w14:paraId="64574CA0">
      <w:pPr>
        <w:pStyle w:val="6"/>
        <w:pageBreakBefore w:val="0"/>
        <w:numPr>
          <w:ilvl w:val="0"/>
          <w:numId w:val="0"/>
        </w:numPr>
        <w:kinsoku/>
        <w:wordWrap/>
        <w:overflowPunct/>
        <w:topLinePunct w:val="0"/>
        <w:autoSpaceDE/>
        <w:autoSpaceDN/>
        <w:bidi w:val="0"/>
        <w:spacing w:line="440" w:lineRule="exact"/>
        <w:ind w:left="0" w:leftChars="0" w:firstLine="420" w:firstLineChars="0"/>
        <w:rPr>
          <w:rFonts w:hint="eastAsia" w:cstheme="minorBidi"/>
          <w:kern w:val="2"/>
          <w:sz w:val="28"/>
          <w:szCs w:val="22"/>
          <w:lang w:val="en-US" w:eastAsia="zh-CN" w:bidi="ar-SA"/>
        </w:rPr>
      </w:pPr>
      <w:r>
        <w:rPr>
          <w:rFonts w:hint="eastAsia" w:cstheme="minorBidi"/>
          <w:kern w:val="2"/>
          <w:sz w:val="28"/>
          <w:szCs w:val="22"/>
          <w:lang w:val="en-US" w:eastAsia="zh-CN" w:bidi="ar-SA"/>
        </w:rPr>
        <w:t>项目经理应具有以下证书：</w:t>
      </w:r>
    </w:p>
    <w:p w14:paraId="38547DD0">
      <w:pPr>
        <w:pStyle w:val="6"/>
        <w:pageBreakBefore w:val="0"/>
        <w:numPr>
          <w:ilvl w:val="0"/>
          <w:numId w:val="0"/>
        </w:numPr>
        <w:kinsoku/>
        <w:wordWrap/>
        <w:overflowPunct/>
        <w:topLinePunct w:val="0"/>
        <w:autoSpaceDE/>
        <w:autoSpaceDN/>
        <w:bidi w:val="0"/>
        <w:spacing w:line="440" w:lineRule="exact"/>
        <w:ind w:left="0" w:leftChars="0" w:firstLine="420" w:firstLineChars="0"/>
        <w:rPr>
          <w:rFonts w:hint="eastAsia" w:cstheme="minorBidi"/>
          <w:kern w:val="2"/>
          <w:sz w:val="28"/>
          <w:szCs w:val="22"/>
          <w:lang w:val="en-US" w:eastAsia="zh-CN" w:bidi="ar-SA"/>
        </w:rPr>
      </w:pPr>
      <w:r>
        <w:rPr>
          <w:rFonts w:hint="eastAsia" w:cstheme="minorBidi"/>
          <w:kern w:val="2"/>
          <w:sz w:val="28"/>
          <w:szCs w:val="22"/>
          <w:lang w:val="en-US" w:eastAsia="zh-CN" w:bidi="ar-SA"/>
        </w:rPr>
        <w:t>1、信息系统管理工程师资质证书（高级）</w:t>
      </w:r>
    </w:p>
    <w:p w14:paraId="27C2F750">
      <w:pPr>
        <w:pStyle w:val="6"/>
        <w:pageBreakBefore w:val="0"/>
        <w:numPr>
          <w:ilvl w:val="0"/>
          <w:numId w:val="0"/>
        </w:numPr>
        <w:kinsoku/>
        <w:wordWrap/>
        <w:overflowPunct/>
        <w:topLinePunct w:val="0"/>
        <w:autoSpaceDE/>
        <w:autoSpaceDN/>
        <w:bidi w:val="0"/>
        <w:spacing w:line="440" w:lineRule="exact"/>
        <w:ind w:left="0" w:leftChars="0" w:firstLine="420" w:firstLineChars="0"/>
        <w:rPr>
          <w:rFonts w:hint="eastAsia" w:cstheme="minorBidi"/>
          <w:kern w:val="2"/>
          <w:sz w:val="28"/>
          <w:szCs w:val="22"/>
          <w:lang w:val="en-US" w:eastAsia="zh-CN" w:bidi="ar-SA"/>
        </w:rPr>
      </w:pPr>
      <w:r>
        <w:rPr>
          <w:rFonts w:hint="eastAsia" w:cstheme="minorBidi"/>
          <w:kern w:val="2"/>
          <w:sz w:val="28"/>
          <w:szCs w:val="22"/>
          <w:lang w:val="en-US" w:eastAsia="zh-CN" w:bidi="ar-SA"/>
        </w:rPr>
        <w:t>2、CISP（注册信息安全专业人员）（中级）</w:t>
      </w:r>
    </w:p>
    <w:p w14:paraId="33CCD3A2">
      <w:pPr>
        <w:pStyle w:val="6"/>
        <w:pageBreakBefore w:val="0"/>
        <w:numPr>
          <w:ilvl w:val="0"/>
          <w:numId w:val="0"/>
        </w:numPr>
        <w:kinsoku/>
        <w:wordWrap/>
        <w:overflowPunct/>
        <w:topLinePunct w:val="0"/>
        <w:autoSpaceDE/>
        <w:autoSpaceDN/>
        <w:bidi w:val="0"/>
        <w:spacing w:line="440" w:lineRule="exact"/>
        <w:ind w:left="0" w:leftChars="0" w:firstLine="420" w:firstLineChars="0"/>
        <w:rPr>
          <w:rFonts w:hint="eastAsia" w:cstheme="minorBidi"/>
          <w:b/>
          <w:bCs/>
          <w:kern w:val="2"/>
          <w:sz w:val="28"/>
          <w:szCs w:val="22"/>
          <w:lang w:val="en-US" w:eastAsia="zh-CN" w:bidi="ar-SA"/>
        </w:rPr>
      </w:pPr>
      <w:r>
        <w:rPr>
          <w:rFonts w:hint="eastAsia" w:cstheme="minorBidi"/>
          <w:b/>
          <w:bCs/>
          <w:kern w:val="2"/>
          <w:sz w:val="28"/>
          <w:szCs w:val="22"/>
          <w:lang w:val="en-US" w:eastAsia="zh-CN" w:bidi="ar-SA"/>
        </w:rPr>
        <w:t>项目技术团队组建要求：</w:t>
      </w:r>
    </w:p>
    <w:p w14:paraId="3F7A5ECA">
      <w:pPr>
        <w:pStyle w:val="6"/>
        <w:pageBreakBefore w:val="0"/>
        <w:numPr>
          <w:ilvl w:val="0"/>
          <w:numId w:val="4"/>
        </w:numPr>
        <w:tabs>
          <w:tab w:val="left" w:pos="312"/>
          <w:tab w:val="clear" w:pos="732"/>
        </w:tabs>
        <w:kinsoku/>
        <w:wordWrap/>
        <w:overflowPunct/>
        <w:topLinePunct w:val="0"/>
        <w:autoSpaceDE/>
        <w:autoSpaceDN/>
        <w:bidi w:val="0"/>
        <w:spacing w:line="440" w:lineRule="exact"/>
        <w:ind w:left="420" w:leftChars="0"/>
        <w:rPr>
          <w:rFonts w:hint="eastAsia" w:cstheme="minorBidi"/>
          <w:kern w:val="2"/>
          <w:sz w:val="28"/>
          <w:szCs w:val="22"/>
          <w:lang w:val="en-US" w:eastAsia="zh-CN" w:bidi="ar-SA"/>
        </w:rPr>
      </w:pPr>
      <w:r>
        <w:rPr>
          <w:rFonts w:hint="eastAsia" w:cstheme="minorBidi"/>
          <w:kern w:val="2"/>
          <w:sz w:val="28"/>
          <w:szCs w:val="22"/>
          <w:lang w:val="en-US" w:eastAsia="zh-CN" w:bidi="ar-SA"/>
        </w:rPr>
        <w:t>项目团队不少于6人。</w:t>
      </w:r>
    </w:p>
    <w:p w14:paraId="4DEB4E29">
      <w:pPr>
        <w:pStyle w:val="6"/>
        <w:pageBreakBefore w:val="0"/>
        <w:numPr>
          <w:ilvl w:val="0"/>
          <w:numId w:val="4"/>
        </w:numPr>
        <w:tabs>
          <w:tab w:val="left" w:pos="312"/>
          <w:tab w:val="clear" w:pos="732"/>
        </w:tabs>
        <w:kinsoku/>
        <w:wordWrap/>
        <w:overflowPunct/>
        <w:topLinePunct w:val="0"/>
        <w:autoSpaceDE/>
        <w:autoSpaceDN/>
        <w:bidi w:val="0"/>
        <w:spacing w:line="440" w:lineRule="exact"/>
        <w:ind w:left="420" w:leftChars="0"/>
        <w:rPr>
          <w:rFonts w:hint="eastAsia" w:cstheme="minorBidi"/>
          <w:kern w:val="2"/>
          <w:sz w:val="28"/>
          <w:szCs w:val="22"/>
          <w:lang w:val="en-US" w:eastAsia="zh-CN" w:bidi="ar-SA"/>
        </w:rPr>
      </w:pPr>
      <w:r>
        <w:rPr>
          <w:rFonts w:hint="eastAsia" w:cstheme="minorBidi"/>
          <w:kern w:val="2"/>
          <w:sz w:val="28"/>
          <w:szCs w:val="22"/>
          <w:lang w:val="en-US" w:eastAsia="zh-CN" w:bidi="ar-SA"/>
        </w:rPr>
        <w:t>高级技术人员：提供高级类资格证书不少于3人</w:t>
      </w:r>
      <w:r>
        <w:rPr>
          <w:rFonts w:hint="default" w:cstheme="minorBidi"/>
          <w:kern w:val="2"/>
          <w:sz w:val="28"/>
          <w:szCs w:val="22"/>
          <w:lang w:val="en-US" w:eastAsia="zh-CN" w:bidi="ar-SA"/>
        </w:rPr>
        <w:t>（包含3人）</w:t>
      </w:r>
      <w:r>
        <w:rPr>
          <w:rFonts w:hint="eastAsia" w:cstheme="minorBidi"/>
          <w:kern w:val="2"/>
          <w:sz w:val="28"/>
          <w:szCs w:val="22"/>
          <w:lang w:val="en-US" w:eastAsia="zh-CN" w:bidi="ar-SA"/>
        </w:rPr>
        <w:t>证明材料。高级技术人员需配备相关领域专业证书，如</w:t>
      </w:r>
      <w:r>
        <w:rPr>
          <w:rFonts w:hint="eastAsia"/>
          <w:lang w:val="en-US" w:eastAsia="zh-CN"/>
        </w:rPr>
        <w:t>系统架构设计师、高级软件工程师、信息安全师</w:t>
      </w:r>
      <w:r>
        <w:rPr>
          <w:rFonts w:hint="eastAsia" w:cstheme="minorBidi"/>
          <w:kern w:val="2"/>
          <w:sz w:val="28"/>
          <w:szCs w:val="22"/>
          <w:lang w:val="en-US" w:eastAsia="zh-CN" w:bidi="ar-SA"/>
        </w:rPr>
        <w:t>等</w:t>
      </w:r>
    </w:p>
    <w:p w14:paraId="7CD3C3A5">
      <w:pPr>
        <w:pStyle w:val="6"/>
        <w:pageBreakBefore w:val="0"/>
        <w:numPr>
          <w:ilvl w:val="0"/>
          <w:numId w:val="4"/>
        </w:numPr>
        <w:tabs>
          <w:tab w:val="left" w:pos="312"/>
          <w:tab w:val="clear" w:pos="732"/>
        </w:tabs>
        <w:kinsoku/>
        <w:wordWrap/>
        <w:overflowPunct/>
        <w:topLinePunct w:val="0"/>
        <w:autoSpaceDE/>
        <w:autoSpaceDN/>
        <w:bidi w:val="0"/>
        <w:spacing w:line="440" w:lineRule="exact"/>
        <w:ind w:left="420" w:leftChars="0"/>
        <w:rPr>
          <w:rFonts w:hint="default" w:cstheme="minorBidi"/>
          <w:kern w:val="2"/>
          <w:sz w:val="28"/>
          <w:szCs w:val="22"/>
          <w:lang w:val="en-US" w:eastAsia="zh-CN" w:bidi="ar-SA"/>
        </w:rPr>
      </w:pPr>
      <w:r>
        <w:rPr>
          <w:rFonts w:hint="default" w:cstheme="minorBidi"/>
          <w:kern w:val="2"/>
          <w:sz w:val="28"/>
          <w:szCs w:val="22"/>
          <w:lang w:val="en-US" w:eastAsia="zh-CN" w:bidi="ar-SA"/>
        </w:rPr>
        <w:t>中级技术人员：提供中级类资格证书不少于3人（包含3人）证明材料。中级技术人员需</w:t>
      </w:r>
      <w:r>
        <w:rPr>
          <w:rFonts w:hint="eastAsia" w:cstheme="minorBidi"/>
          <w:kern w:val="2"/>
          <w:sz w:val="28"/>
          <w:szCs w:val="22"/>
          <w:lang w:val="en-US" w:eastAsia="zh-CN" w:bidi="ar-SA"/>
        </w:rPr>
        <w:t>配备</w:t>
      </w:r>
      <w:r>
        <w:rPr>
          <w:rFonts w:hint="default" w:cstheme="minorBidi"/>
          <w:kern w:val="2"/>
          <w:sz w:val="28"/>
          <w:szCs w:val="22"/>
          <w:lang w:val="en-US" w:eastAsia="zh-CN" w:bidi="ar-SA"/>
        </w:rPr>
        <w:t>相关领域专业证书，</w:t>
      </w:r>
      <w:r>
        <w:rPr>
          <w:rFonts w:hint="eastAsia" w:cstheme="minorBidi"/>
          <w:kern w:val="2"/>
          <w:sz w:val="28"/>
          <w:szCs w:val="22"/>
          <w:lang w:val="en-US" w:eastAsia="zh-CN" w:bidi="ar-SA"/>
        </w:rPr>
        <w:t>如系</w:t>
      </w:r>
      <w:r>
        <w:rPr>
          <w:rFonts w:hint="default" w:cstheme="minorBidi"/>
          <w:kern w:val="2"/>
          <w:sz w:val="28"/>
          <w:szCs w:val="22"/>
          <w:lang w:val="en-US" w:eastAsia="zh-CN" w:bidi="ar-SA"/>
        </w:rPr>
        <w:t>统集成项目管理工程师、CISP（注册信息安全专业人员）、软件设计师等</w:t>
      </w:r>
      <w:r>
        <w:rPr>
          <w:rFonts w:hint="eastAsia" w:cstheme="minorBidi"/>
          <w:kern w:val="2"/>
          <w:sz w:val="28"/>
          <w:szCs w:val="22"/>
          <w:lang w:val="en-US" w:eastAsia="zh-CN" w:bidi="ar-SA"/>
        </w:rPr>
        <w:t>。</w:t>
      </w:r>
    </w:p>
    <w:p w14:paraId="21012DD0">
      <w:pPr>
        <w:pStyle w:val="6"/>
        <w:pageBreakBefore w:val="0"/>
        <w:numPr>
          <w:ilvl w:val="0"/>
          <w:numId w:val="0"/>
        </w:numPr>
        <w:kinsoku/>
        <w:wordWrap/>
        <w:overflowPunct/>
        <w:topLinePunct w:val="0"/>
        <w:autoSpaceDE/>
        <w:autoSpaceDN/>
        <w:bidi w:val="0"/>
        <w:spacing w:line="440" w:lineRule="exact"/>
        <w:ind w:left="0" w:leftChars="0" w:firstLine="420" w:firstLineChars="0"/>
        <w:rPr>
          <w:rFonts w:hint="default" w:cstheme="minorBidi"/>
          <w:b/>
          <w:bCs/>
          <w:kern w:val="2"/>
          <w:sz w:val="28"/>
          <w:szCs w:val="22"/>
          <w:lang w:val="en-US" w:eastAsia="zh-CN" w:bidi="ar-SA"/>
        </w:rPr>
      </w:pPr>
      <w:r>
        <w:rPr>
          <w:rFonts w:hint="default" w:cstheme="minorBidi"/>
          <w:b/>
          <w:bCs/>
          <w:kern w:val="2"/>
          <w:sz w:val="28"/>
          <w:szCs w:val="22"/>
          <w:lang w:val="en-US" w:eastAsia="zh-CN" w:bidi="ar-SA"/>
        </w:rPr>
        <w:t>团队稳定性要求：</w:t>
      </w:r>
    </w:p>
    <w:p w14:paraId="6F5CD50E">
      <w:pPr>
        <w:pStyle w:val="6"/>
        <w:pageBreakBefore w:val="0"/>
        <w:numPr>
          <w:ilvl w:val="0"/>
          <w:numId w:val="0"/>
        </w:numPr>
        <w:kinsoku/>
        <w:wordWrap/>
        <w:overflowPunct/>
        <w:topLinePunct w:val="0"/>
        <w:autoSpaceDE/>
        <w:autoSpaceDN/>
        <w:bidi w:val="0"/>
        <w:spacing w:line="440" w:lineRule="exact"/>
        <w:ind w:left="0" w:leftChars="0" w:firstLine="420" w:firstLineChars="0"/>
        <w:rPr>
          <w:rFonts w:hint="default" w:cstheme="minorBidi"/>
          <w:kern w:val="2"/>
          <w:sz w:val="28"/>
          <w:szCs w:val="22"/>
          <w:lang w:val="en-US" w:eastAsia="zh-CN" w:bidi="ar-SA"/>
        </w:rPr>
      </w:pPr>
      <w:r>
        <w:rPr>
          <w:rFonts w:hint="default" w:cstheme="minorBidi"/>
          <w:kern w:val="2"/>
          <w:sz w:val="28"/>
          <w:szCs w:val="22"/>
          <w:lang w:val="en-US" w:eastAsia="zh-CN" w:bidi="ar-SA"/>
        </w:rPr>
        <w:t>人员流动率：团队人员流动率不得高于20%。</w:t>
      </w:r>
    </w:p>
    <w:p w14:paraId="253B24AD">
      <w:pPr>
        <w:pStyle w:val="6"/>
        <w:pageBreakBefore w:val="0"/>
        <w:numPr>
          <w:ilvl w:val="0"/>
          <w:numId w:val="0"/>
        </w:numPr>
        <w:kinsoku/>
        <w:wordWrap/>
        <w:overflowPunct/>
        <w:topLinePunct w:val="0"/>
        <w:autoSpaceDE/>
        <w:autoSpaceDN/>
        <w:bidi w:val="0"/>
        <w:spacing w:line="440" w:lineRule="exact"/>
        <w:ind w:left="0" w:leftChars="0"/>
        <w:rPr>
          <w:rFonts w:hint="eastAsia" w:cstheme="minorBidi"/>
          <w:kern w:val="2"/>
          <w:sz w:val="28"/>
          <w:szCs w:val="22"/>
          <w:lang w:val="en-US" w:eastAsia="zh-CN" w:bidi="ar-SA"/>
        </w:rPr>
      </w:pPr>
      <w:r>
        <w:rPr>
          <w:rFonts w:hint="default" w:cstheme="minorBidi"/>
          <w:kern w:val="2"/>
          <w:sz w:val="28"/>
          <w:szCs w:val="22"/>
          <w:lang w:val="en-US" w:eastAsia="zh-CN" w:bidi="ar-SA"/>
        </w:rPr>
        <w:t>人员变动管理：项目经理与技术团队人员不能随意变</w:t>
      </w:r>
      <w:r>
        <w:rPr>
          <w:rFonts w:hint="eastAsia" w:cstheme="minorBidi"/>
          <w:kern w:val="2"/>
          <w:sz w:val="28"/>
          <w:szCs w:val="22"/>
          <w:lang w:val="en-US" w:eastAsia="zh-CN" w:bidi="ar-SA"/>
        </w:rPr>
        <w:t>更</w:t>
      </w:r>
      <w:r>
        <w:rPr>
          <w:rFonts w:hint="default" w:cstheme="minorBidi"/>
          <w:kern w:val="2"/>
          <w:sz w:val="28"/>
          <w:szCs w:val="22"/>
          <w:lang w:val="en-US" w:eastAsia="zh-CN" w:bidi="ar-SA"/>
        </w:rPr>
        <w:t>，如需变动需经甲方同意</w:t>
      </w:r>
      <w:r>
        <w:rPr>
          <w:rFonts w:hint="eastAsia" w:cstheme="minorBidi"/>
          <w:kern w:val="2"/>
          <w:sz w:val="28"/>
          <w:szCs w:val="22"/>
          <w:lang w:val="en-US" w:eastAsia="zh-CN" w:bidi="ar-SA"/>
        </w:rPr>
        <w:t>。</w:t>
      </w:r>
    </w:p>
    <w:p w14:paraId="7DEF0125">
      <w:pPr>
        <w:pStyle w:val="6"/>
        <w:pageBreakBefore w:val="0"/>
        <w:numPr>
          <w:ilvl w:val="0"/>
          <w:numId w:val="0"/>
        </w:numPr>
        <w:kinsoku/>
        <w:wordWrap/>
        <w:overflowPunct/>
        <w:topLinePunct w:val="0"/>
        <w:autoSpaceDE/>
        <w:autoSpaceDN/>
        <w:bidi w:val="0"/>
        <w:spacing w:line="440" w:lineRule="exact"/>
        <w:ind w:left="0" w:leftChars="0" w:firstLine="420" w:firstLineChars="0"/>
        <w:rPr>
          <w:rFonts w:hint="eastAsia" w:cstheme="minorBidi"/>
          <w:b/>
          <w:bCs/>
          <w:kern w:val="2"/>
          <w:sz w:val="28"/>
          <w:szCs w:val="22"/>
          <w:lang w:val="en-US" w:eastAsia="zh-CN" w:bidi="ar-SA"/>
        </w:rPr>
      </w:pPr>
      <w:r>
        <w:rPr>
          <w:rFonts w:hint="eastAsia" w:cstheme="minorBidi"/>
          <w:b/>
          <w:bCs/>
          <w:kern w:val="2"/>
          <w:sz w:val="28"/>
          <w:szCs w:val="22"/>
          <w:lang w:val="en-US" w:eastAsia="zh-CN" w:bidi="ar-SA"/>
        </w:rPr>
        <w:t>投标方需提供负责人的学历背景、职称资质、专业能力以及以往参与相关项目的情况说明。同时，需提供针对本项目的安装、调试及验收详细方案。此外，投标方还需提供一份全面的实施方案，该方案应充分展现对本项目的深入理解和对项目系统内容的具体分析，明确注明与原有系统的关联及集成内容，并详细阐述实施路径。</w:t>
      </w:r>
    </w:p>
    <w:p w14:paraId="441F042D">
      <w:pPr>
        <w:rPr>
          <w:rFonts w:hint="default" w:cstheme="minorBidi"/>
          <w:b/>
          <w:bCs/>
          <w:kern w:val="2"/>
          <w:sz w:val="28"/>
          <w:szCs w:val="22"/>
          <w:lang w:val="en-US" w:eastAsia="zh-CN" w:bidi="ar-SA"/>
        </w:rPr>
      </w:pPr>
      <w:r>
        <w:rPr>
          <w:rFonts w:hint="default" w:cstheme="minorBidi"/>
          <w:b/>
          <w:bCs/>
          <w:kern w:val="2"/>
          <w:sz w:val="28"/>
          <w:szCs w:val="22"/>
          <w:lang w:val="en-US" w:eastAsia="zh-CN" w:bidi="ar-SA"/>
        </w:rPr>
        <w:br w:type="page"/>
      </w:r>
    </w:p>
    <w:p w14:paraId="1E263396">
      <w:pPr>
        <w:pStyle w:val="3"/>
        <w:pageBreakBefore w:val="0"/>
        <w:kinsoku/>
        <w:wordWrap/>
        <w:overflowPunct/>
        <w:topLinePunct w:val="0"/>
        <w:autoSpaceDE/>
        <w:autoSpaceDN/>
        <w:bidi w:val="0"/>
        <w:spacing w:before="0" w:after="0" w:line="440" w:lineRule="exact"/>
        <w:ind w:left="0" w:leftChars="0"/>
        <w:jc w:val="center"/>
        <w:rPr>
          <w:sz w:val="30"/>
          <w:szCs w:val="30"/>
        </w:rPr>
      </w:pPr>
      <w:bookmarkStart w:id="47" w:name="_Toc25792"/>
      <w:r>
        <w:rPr>
          <w:rFonts w:hint="eastAsia"/>
          <w:sz w:val="30"/>
          <w:szCs w:val="30"/>
        </w:rPr>
        <w:t>安全保密要求</w:t>
      </w:r>
      <w:bookmarkEnd w:id="47"/>
    </w:p>
    <w:p w14:paraId="699B1105">
      <w:pPr>
        <w:pageBreakBefore w:val="0"/>
        <w:kinsoku/>
        <w:wordWrap/>
        <w:overflowPunct/>
        <w:topLinePunct w:val="0"/>
        <w:autoSpaceDE/>
        <w:autoSpaceDN/>
        <w:bidi w:val="0"/>
        <w:spacing w:line="440" w:lineRule="exact"/>
        <w:ind w:left="0" w:leftChars="0" w:firstLine="560"/>
        <w:rPr>
          <w:rFonts w:hint="eastAsia"/>
          <w:lang w:val="en-US" w:eastAsia="zh-CN"/>
        </w:rPr>
      </w:pPr>
      <w:r>
        <w:rPr>
          <w:rFonts w:hint="eastAsia"/>
        </w:rPr>
        <w:t>应用系统应部署于区政务云环境，整体应满足信息安全</w:t>
      </w:r>
      <w:r>
        <w:rPr>
          <w:rFonts w:hint="eastAsia"/>
          <w:lang w:val="en-US" w:eastAsia="zh-CN"/>
        </w:rPr>
        <w:t>三级等保</w:t>
      </w:r>
      <w:r>
        <w:rPr>
          <w:rFonts w:hint="eastAsia"/>
        </w:rPr>
        <w:t>的技术要求，</w:t>
      </w:r>
      <w:r>
        <w:rPr>
          <w:rFonts w:hint="eastAsia"/>
          <w:lang w:val="en-US" w:eastAsia="zh-CN"/>
        </w:rPr>
        <w:t>中标单位需积极配合采购方进行等保三级的认证工作，并签署安全保密协议，且施工过程中，中标单位应严格遵守区城运中心的信息化安全管理规定。</w:t>
      </w:r>
    </w:p>
    <w:p w14:paraId="336D82C5">
      <w:pPr>
        <w:pStyle w:val="3"/>
        <w:pageBreakBefore w:val="0"/>
        <w:kinsoku/>
        <w:wordWrap/>
        <w:overflowPunct/>
        <w:topLinePunct w:val="0"/>
        <w:autoSpaceDE/>
        <w:autoSpaceDN/>
        <w:bidi w:val="0"/>
        <w:spacing w:before="0" w:after="0" w:line="440" w:lineRule="exact"/>
        <w:ind w:left="0" w:leftChars="0"/>
        <w:jc w:val="center"/>
        <w:rPr>
          <w:sz w:val="30"/>
          <w:szCs w:val="30"/>
        </w:rPr>
      </w:pPr>
      <w:bookmarkStart w:id="48" w:name="_Toc1217"/>
      <w:r>
        <w:rPr>
          <w:rFonts w:hint="eastAsia"/>
          <w:sz w:val="30"/>
          <w:szCs w:val="30"/>
        </w:rPr>
        <w:t>培训及售后服务要求</w:t>
      </w:r>
      <w:bookmarkEnd w:id="48"/>
    </w:p>
    <w:p w14:paraId="35982254">
      <w:pPr>
        <w:pStyle w:val="4"/>
        <w:pageBreakBefore w:val="0"/>
        <w:kinsoku/>
        <w:wordWrap/>
        <w:overflowPunct/>
        <w:topLinePunct w:val="0"/>
        <w:autoSpaceDE/>
        <w:autoSpaceDN/>
        <w:bidi w:val="0"/>
        <w:spacing w:before="0" w:after="0" w:line="440" w:lineRule="exact"/>
        <w:ind w:left="0" w:leftChars="0"/>
        <w:rPr>
          <w:rFonts w:hint="eastAsia" w:ascii="仿宋" w:hAnsi="仿宋" w:eastAsia="仿宋" w:cs="仿宋"/>
        </w:rPr>
      </w:pPr>
      <w:bookmarkStart w:id="49" w:name="_Toc20055"/>
      <w:r>
        <w:rPr>
          <w:rFonts w:hint="eastAsia" w:ascii="仿宋" w:hAnsi="仿宋" w:eastAsia="仿宋" w:cs="仿宋"/>
        </w:rPr>
        <w:t>培训要求</w:t>
      </w:r>
      <w:bookmarkEnd w:id="49"/>
    </w:p>
    <w:p w14:paraId="7E4E0C40">
      <w:pPr>
        <w:pageBreakBefore w:val="0"/>
        <w:kinsoku/>
        <w:wordWrap/>
        <w:overflowPunct/>
        <w:topLinePunct w:val="0"/>
        <w:autoSpaceDE/>
        <w:autoSpaceDN/>
        <w:bidi w:val="0"/>
        <w:spacing w:line="440" w:lineRule="exact"/>
        <w:ind w:left="0" w:leftChars="0" w:firstLine="560"/>
        <w:rPr>
          <w:rFonts w:hint="eastAsia"/>
        </w:rPr>
      </w:pPr>
      <w:r>
        <w:rPr>
          <w:rFonts w:hint="eastAsia"/>
        </w:rPr>
        <w:t>项目建成后，需提供系统操作使用说明并对甲方使用及维护人员开展免费培训，帮助其了解操作和维护方式。</w:t>
      </w:r>
    </w:p>
    <w:p w14:paraId="4B594815">
      <w:pPr>
        <w:pStyle w:val="2"/>
        <w:rPr>
          <w:rFonts w:hint="eastAsia" w:eastAsia="仿宋"/>
          <w:b/>
          <w:bCs/>
          <w:lang w:eastAsia="zh-CN"/>
        </w:rPr>
      </w:pPr>
      <w:r>
        <w:rPr>
          <w:rFonts w:hint="eastAsia"/>
          <w:b/>
          <w:bCs/>
          <w:lang w:val="en-US" w:eastAsia="zh-CN"/>
        </w:rPr>
        <w:t>投标方需提</w:t>
      </w:r>
      <w:r>
        <w:rPr>
          <w:rFonts w:hint="eastAsia"/>
          <w:b/>
          <w:bCs/>
        </w:rPr>
        <w:t>供针对满足本项目的培训方案</w:t>
      </w:r>
      <w:r>
        <w:rPr>
          <w:rFonts w:hint="eastAsia"/>
          <w:b/>
          <w:bCs/>
          <w:lang w:eastAsia="zh-CN"/>
        </w:rPr>
        <w:t>。</w:t>
      </w:r>
    </w:p>
    <w:p w14:paraId="76DDA2E7">
      <w:pPr>
        <w:pStyle w:val="4"/>
        <w:pageBreakBefore w:val="0"/>
        <w:kinsoku/>
        <w:wordWrap/>
        <w:overflowPunct/>
        <w:topLinePunct w:val="0"/>
        <w:autoSpaceDE/>
        <w:autoSpaceDN/>
        <w:bidi w:val="0"/>
        <w:spacing w:before="0" w:after="0" w:line="440" w:lineRule="exact"/>
        <w:ind w:left="0" w:leftChars="0"/>
        <w:rPr>
          <w:rFonts w:hint="eastAsia" w:ascii="仿宋" w:hAnsi="仿宋" w:eastAsia="仿宋" w:cs="仿宋"/>
        </w:rPr>
      </w:pPr>
      <w:bookmarkStart w:id="50" w:name="_Toc6151"/>
      <w:r>
        <w:rPr>
          <w:rFonts w:hint="eastAsia" w:ascii="仿宋" w:hAnsi="仿宋" w:eastAsia="仿宋" w:cs="仿宋"/>
        </w:rPr>
        <w:t>免费保修期要求</w:t>
      </w:r>
      <w:bookmarkEnd w:id="50"/>
    </w:p>
    <w:p w14:paraId="673A34D4">
      <w:pPr>
        <w:pStyle w:val="14"/>
        <w:pageBreakBefore w:val="0"/>
        <w:kinsoku/>
        <w:wordWrap/>
        <w:overflowPunct/>
        <w:topLinePunct w:val="0"/>
        <w:autoSpaceDE/>
        <w:autoSpaceDN/>
        <w:bidi w:val="0"/>
        <w:spacing w:line="440" w:lineRule="exact"/>
        <w:ind w:left="0" w:leftChars="0"/>
      </w:pPr>
      <w:r>
        <w:rPr>
          <w:rFonts w:hint="eastAsia"/>
        </w:rPr>
        <w:t>本项目验收合格后，中标供应商需提供为期1年的软件技术维护服务，并提供3年的原厂硬件质量保证服务。</w:t>
      </w:r>
    </w:p>
    <w:p w14:paraId="149584C6">
      <w:pPr>
        <w:pageBreakBefore w:val="0"/>
        <w:kinsoku/>
        <w:wordWrap/>
        <w:overflowPunct/>
        <w:topLinePunct w:val="0"/>
        <w:autoSpaceDE/>
        <w:autoSpaceDN/>
        <w:bidi w:val="0"/>
        <w:spacing w:line="440" w:lineRule="exact"/>
        <w:ind w:left="0" w:leftChars="0" w:firstLine="560"/>
      </w:pPr>
      <w:r>
        <w:rPr>
          <w:rFonts w:hint="eastAsia"/>
        </w:rPr>
        <w:t>本项目实行7*24小时服务响应机制、投标人</w:t>
      </w:r>
      <w:r>
        <w:rPr>
          <w:rFonts w:hint="eastAsia"/>
          <w:lang w:val="en-US" w:eastAsia="zh-CN"/>
        </w:rPr>
        <w:t>应</w:t>
      </w:r>
      <w:r>
        <w:rPr>
          <w:rFonts w:hint="eastAsia"/>
        </w:rPr>
        <w:t>根据故障等级，建立快速响应机制：</w:t>
      </w:r>
      <w:r>
        <w:rPr>
          <w:rFonts w:hint="eastAsia"/>
          <w:lang w:val="en-US" w:eastAsia="zh-CN"/>
        </w:rPr>
        <w:t>紧急</w:t>
      </w:r>
      <w:r>
        <w:rPr>
          <w:rFonts w:hint="eastAsia"/>
        </w:rPr>
        <w:t>故障：</w:t>
      </w:r>
      <w:r>
        <w:rPr>
          <w:rFonts w:hint="eastAsia"/>
          <w:lang w:val="en-US" w:eastAsia="zh-CN"/>
        </w:rPr>
        <w:t>1</w:t>
      </w:r>
      <w:r>
        <w:rPr>
          <w:rFonts w:hint="eastAsia"/>
        </w:rPr>
        <w:t>小时内响应，</w:t>
      </w:r>
      <w:r>
        <w:rPr>
          <w:rFonts w:hint="eastAsia"/>
          <w:lang w:val="en-US" w:eastAsia="zh-CN"/>
        </w:rPr>
        <w:t>2</w:t>
      </w:r>
      <w:r>
        <w:rPr>
          <w:rFonts w:hint="eastAsia"/>
        </w:rPr>
        <w:t>小时处理完成；</w:t>
      </w:r>
      <w:r>
        <w:rPr>
          <w:rFonts w:hint="eastAsia"/>
          <w:lang w:val="en-US" w:eastAsia="zh-CN"/>
        </w:rPr>
        <w:t>一般故障2小时响应，24小时处理完成</w:t>
      </w:r>
      <w:r>
        <w:rPr>
          <w:rFonts w:hint="eastAsia"/>
        </w:rPr>
        <w:t>。</w:t>
      </w:r>
    </w:p>
    <w:p w14:paraId="2497EEDB">
      <w:pPr>
        <w:pStyle w:val="4"/>
        <w:pageBreakBefore w:val="0"/>
        <w:kinsoku/>
        <w:wordWrap/>
        <w:overflowPunct/>
        <w:topLinePunct w:val="0"/>
        <w:autoSpaceDE/>
        <w:autoSpaceDN/>
        <w:bidi w:val="0"/>
        <w:spacing w:before="0" w:after="0" w:line="440" w:lineRule="exact"/>
        <w:ind w:left="0" w:leftChars="0"/>
        <w:rPr>
          <w:rFonts w:hint="eastAsia" w:ascii="仿宋" w:hAnsi="仿宋" w:eastAsia="仿宋" w:cs="仿宋"/>
          <w:b/>
          <w:kern w:val="2"/>
          <w:sz w:val="28"/>
          <w:szCs w:val="22"/>
          <w:lang w:val="en-US" w:eastAsia="zh-CN" w:bidi="ar-SA"/>
        </w:rPr>
      </w:pPr>
      <w:bookmarkStart w:id="51" w:name="_Toc2700"/>
      <w:r>
        <w:rPr>
          <w:rFonts w:hint="eastAsia" w:ascii="仿宋" w:hAnsi="仿宋" w:eastAsia="仿宋" w:cs="仿宋"/>
          <w:b/>
          <w:kern w:val="2"/>
          <w:sz w:val="28"/>
          <w:szCs w:val="22"/>
          <w:lang w:val="en-US" w:eastAsia="zh-CN" w:bidi="ar-SA"/>
        </w:rPr>
        <w:t>保修期后的服务要求</w:t>
      </w:r>
    </w:p>
    <w:p w14:paraId="6CD8C9B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cs="仿宋"/>
          <w:b w:val="0"/>
          <w:bCs/>
          <w:kern w:val="2"/>
          <w:sz w:val="28"/>
          <w:szCs w:val="22"/>
          <w:lang w:val="en-US" w:eastAsia="zh-CN" w:bidi="ar-SA"/>
        </w:rPr>
      </w:pPr>
      <w:r>
        <w:rPr>
          <w:rFonts w:hint="eastAsia" w:ascii="仿宋" w:hAnsi="仿宋" w:cs="仿宋"/>
          <w:b w:val="0"/>
          <w:bCs/>
          <w:kern w:val="2"/>
          <w:sz w:val="28"/>
          <w:szCs w:val="22"/>
          <w:lang w:val="en-US" w:eastAsia="zh-CN" w:bidi="ar-SA"/>
        </w:rPr>
        <w:t>在采购方购买超过保修期的维保服务后，投标方需能够继续提供同样等级的服务响应。</w:t>
      </w:r>
    </w:p>
    <w:p w14:paraId="33A936FD">
      <w:pPr>
        <w:pStyle w:val="2"/>
        <w:rPr>
          <w:rFonts w:hint="default"/>
          <w:b/>
          <w:bCs/>
          <w:lang w:val="en-US" w:eastAsia="zh-CN"/>
        </w:rPr>
      </w:pPr>
      <w:r>
        <w:rPr>
          <w:rFonts w:hint="eastAsia"/>
          <w:b/>
          <w:bCs/>
          <w:lang w:val="en-US" w:eastAsia="zh-CN"/>
        </w:rPr>
        <w:t>投标方需提供针对项目质保期的详细服务方案，并明确质保期满后的服务措施，确保所提措施合理且可行。</w:t>
      </w:r>
    </w:p>
    <w:p w14:paraId="292C1CB2">
      <w:pPr>
        <w:pStyle w:val="2"/>
        <w:rPr>
          <w:rFonts w:hint="default"/>
          <w:b/>
          <w:bCs/>
          <w:lang w:val="en-US" w:eastAsia="zh-CN"/>
        </w:rPr>
      </w:pPr>
    </w:p>
    <w:p w14:paraId="26749A4F">
      <w:pPr>
        <w:pStyle w:val="2"/>
        <w:rPr>
          <w:rFonts w:hint="default"/>
          <w:b/>
          <w:bCs/>
          <w:lang w:val="en-US" w:eastAsia="zh-CN"/>
        </w:rPr>
      </w:pPr>
    </w:p>
    <w:p w14:paraId="7062C317">
      <w:pPr>
        <w:pStyle w:val="3"/>
        <w:pageBreakBefore w:val="0"/>
        <w:kinsoku/>
        <w:wordWrap/>
        <w:overflowPunct/>
        <w:topLinePunct w:val="0"/>
        <w:autoSpaceDE/>
        <w:autoSpaceDN/>
        <w:bidi w:val="0"/>
        <w:spacing w:before="0" w:after="0" w:line="440" w:lineRule="exact"/>
        <w:ind w:left="0" w:leftChars="0"/>
        <w:jc w:val="center"/>
        <w:rPr>
          <w:sz w:val="30"/>
          <w:szCs w:val="30"/>
          <w:highlight w:val="none"/>
        </w:rPr>
      </w:pPr>
      <w:r>
        <w:rPr>
          <w:rFonts w:hint="eastAsia"/>
          <w:sz w:val="30"/>
          <w:szCs w:val="30"/>
          <w:highlight w:val="none"/>
        </w:rPr>
        <w:t>项目付款方式</w:t>
      </w:r>
      <w:bookmarkEnd w:id="51"/>
    </w:p>
    <w:p w14:paraId="52049803">
      <w:pPr>
        <w:pageBreakBefore w:val="0"/>
        <w:kinsoku/>
        <w:wordWrap/>
        <w:overflowPunct/>
        <w:topLinePunct w:val="0"/>
        <w:autoSpaceDE/>
        <w:autoSpaceDN/>
        <w:bidi w:val="0"/>
        <w:spacing w:line="440" w:lineRule="exact"/>
        <w:ind w:left="0" w:leftChars="0" w:firstLine="562"/>
        <w:rPr>
          <w:rFonts w:hint="eastAsia"/>
          <w:highlight w:val="none"/>
          <w:lang w:eastAsia="zh-CN"/>
        </w:rPr>
      </w:pPr>
      <w:r>
        <w:rPr>
          <w:rFonts w:hint="eastAsia"/>
          <w:b/>
          <w:bCs/>
          <w:highlight w:val="none"/>
          <w:lang w:val="en-US" w:eastAsia="zh-CN"/>
        </w:rPr>
        <w:t>第一笔：</w:t>
      </w:r>
      <w:r>
        <w:rPr>
          <w:rFonts w:hint="eastAsia"/>
          <w:b w:val="0"/>
          <w:bCs w:val="0"/>
          <w:highlight w:val="none"/>
          <w:lang w:val="en-US" w:eastAsia="zh-CN"/>
        </w:rPr>
        <w:t>正式</w:t>
      </w:r>
      <w:r>
        <w:rPr>
          <w:rFonts w:hint="eastAsia"/>
          <w:highlight w:val="none"/>
        </w:rPr>
        <w:t>合同签订</w:t>
      </w:r>
      <w:r>
        <w:rPr>
          <w:rFonts w:hint="eastAsia"/>
          <w:highlight w:val="none"/>
          <w:lang w:val="en-US" w:eastAsia="zh-CN"/>
        </w:rPr>
        <w:t>生效后，甲方收到发票</w:t>
      </w:r>
      <w:r>
        <w:rPr>
          <w:rFonts w:hint="eastAsia"/>
          <w:highlight w:val="none"/>
        </w:rPr>
        <w:t>后</w:t>
      </w:r>
      <w:r>
        <w:rPr>
          <w:rFonts w:hint="eastAsia"/>
          <w:highlight w:val="none"/>
          <w:lang w:val="en-US" w:eastAsia="zh-CN"/>
        </w:rPr>
        <w:t>15天内</w:t>
      </w:r>
      <w:r>
        <w:rPr>
          <w:rFonts w:hint="eastAsia"/>
          <w:highlight w:val="none"/>
        </w:rPr>
        <w:t>，支付</w:t>
      </w:r>
      <w:r>
        <w:rPr>
          <w:rFonts w:hint="eastAsia"/>
          <w:highlight w:val="none"/>
          <w:lang w:val="en-US" w:eastAsia="zh-CN"/>
        </w:rPr>
        <w:t>30</w:t>
      </w:r>
      <w:r>
        <w:rPr>
          <w:rFonts w:hint="eastAsia"/>
          <w:highlight w:val="none"/>
        </w:rPr>
        <w:t>%的合同款作为预付款</w:t>
      </w:r>
      <w:r>
        <w:rPr>
          <w:rFonts w:hint="eastAsia"/>
          <w:highlight w:val="none"/>
          <w:lang w:eastAsia="zh-CN"/>
        </w:rPr>
        <w:t>；</w:t>
      </w:r>
    </w:p>
    <w:p w14:paraId="1728928F">
      <w:pPr>
        <w:pageBreakBefore w:val="0"/>
        <w:kinsoku/>
        <w:wordWrap/>
        <w:overflowPunct/>
        <w:topLinePunct w:val="0"/>
        <w:autoSpaceDE/>
        <w:autoSpaceDN/>
        <w:bidi w:val="0"/>
        <w:spacing w:line="440" w:lineRule="exact"/>
        <w:ind w:left="0" w:leftChars="0" w:firstLine="562"/>
        <w:rPr>
          <w:rFonts w:hint="eastAsia"/>
          <w:highlight w:val="none"/>
          <w:lang w:val="en-US" w:eastAsia="zh-CN"/>
        </w:rPr>
      </w:pPr>
      <w:r>
        <w:rPr>
          <w:rFonts w:hint="eastAsia"/>
          <w:b/>
          <w:bCs/>
          <w:highlight w:val="none"/>
          <w:lang w:val="en-US" w:eastAsia="zh-CN"/>
        </w:rPr>
        <w:t>第二笔：</w:t>
      </w:r>
      <w:r>
        <w:rPr>
          <w:rFonts w:hint="eastAsia"/>
          <w:highlight w:val="none"/>
          <w:lang w:val="en-US" w:eastAsia="zh-CN"/>
        </w:rPr>
        <w:t>项目建设工作完成一半时，甲方支付30%的合同款；</w:t>
      </w:r>
    </w:p>
    <w:p w14:paraId="4C473094">
      <w:pPr>
        <w:pageBreakBefore w:val="0"/>
        <w:kinsoku/>
        <w:wordWrap/>
        <w:overflowPunct/>
        <w:topLinePunct w:val="0"/>
        <w:autoSpaceDE/>
        <w:autoSpaceDN/>
        <w:bidi w:val="0"/>
        <w:spacing w:line="440" w:lineRule="exact"/>
        <w:ind w:left="0" w:leftChars="0" w:firstLine="562"/>
        <w:rPr>
          <w:rFonts w:hint="eastAsia"/>
          <w:highlight w:val="none"/>
        </w:rPr>
      </w:pPr>
      <w:r>
        <w:rPr>
          <w:rFonts w:hint="eastAsia"/>
          <w:b/>
          <w:bCs/>
          <w:highlight w:val="none"/>
          <w:lang w:val="en-US" w:eastAsia="zh-CN"/>
        </w:rPr>
        <w:t>第三笔：</w:t>
      </w:r>
      <w:r>
        <w:rPr>
          <w:rFonts w:hint="eastAsia"/>
          <w:highlight w:val="none"/>
          <w:lang w:val="en-US" w:eastAsia="zh-CN"/>
        </w:rPr>
        <w:t>本项目全部完工，通过相关验收并结算审价完成，甲方向乙方支付至结算审价金额的100%</w:t>
      </w:r>
      <w:r>
        <w:rPr>
          <w:rFonts w:hint="eastAsia"/>
          <w:highlight w:val="none"/>
        </w:rPr>
        <w:t>。</w:t>
      </w:r>
    </w:p>
    <w:p w14:paraId="449C2023">
      <w:pPr>
        <w:rPr>
          <w:rFonts w:hint="eastAsia"/>
          <w:highlight w:val="none"/>
        </w:rPr>
      </w:pPr>
      <w:r>
        <w:rPr>
          <w:rFonts w:hint="eastAsia"/>
          <w:highlight w:val="none"/>
        </w:rPr>
        <w:br w:type="page"/>
      </w:r>
    </w:p>
    <w:p w14:paraId="49955536">
      <w:pPr>
        <w:pStyle w:val="2"/>
        <w:rPr>
          <w:rFonts w:hint="eastAsia"/>
        </w:rPr>
      </w:pPr>
    </w:p>
    <w:p w14:paraId="35AFD364">
      <w:pPr>
        <w:pStyle w:val="3"/>
        <w:pageBreakBefore w:val="0"/>
        <w:kinsoku/>
        <w:wordWrap/>
        <w:overflowPunct/>
        <w:topLinePunct w:val="0"/>
        <w:autoSpaceDE/>
        <w:autoSpaceDN/>
        <w:bidi w:val="0"/>
        <w:spacing w:before="0" w:after="0" w:line="440" w:lineRule="exact"/>
        <w:ind w:left="0" w:leftChars="0"/>
        <w:jc w:val="center"/>
        <w:rPr>
          <w:sz w:val="30"/>
          <w:szCs w:val="30"/>
        </w:rPr>
      </w:pPr>
      <w:bookmarkStart w:id="52" w:name="_Toc15218"/>
      <w:r>
        <w:rPr>
          <w:rFonts w:hint="eastAsia"/>
          <w:sz w:val="30"/>
          <w:szCs w:val="30"/>
          <w:lang w:val="en-US" w:eastAsia="zh-CN"/>
        </w:rPr>
        <w:t>投标方</w:t>
      </w:r>
      <w:r>
        <w:rPr>
          <w:rFonts w:hint="eastAsia"/>
          <w:sz w:val="30"/>
          <w:szCs w:val="30"/>
        </w:rPr>
        <w:t>要求</w:t>
      </w:r>
      <w:bookmarkEnd w:id="52"/>
    </w:p>
    <w:p w14:paraId="2937C360">
      <w:pPr>
        <w:pageBreakBefore w:val="0"/>
        <w:kinsoku/>
        <w:wordWrap/>
        <w:overflowPunct/>
        <w:topLinePunct w:val="0"/>
        <w:autoSpaceDE/>
        <w:autoSpaceDN/>
        <w:bidi w:val="0"/>
        <w:spacing w:line="440" w:lineRule="exact"/>
        <w:ind w:left="0" w:leftChars="0" w:firstLine="560"/>
      </w:pPr>
      <w:r>
        <w:rPr>
          <w:rFonts w:hint="eastAsia"/>
          <w:b/>
          <w:bCs/>
        </w:rPr>
        <w:t>基本资格要求</w:t>
      </w:r>
      <w:r>
        <w:rPr>
          <w:b/>
          <w:bCs/>
        </w:rPr>
        <w:t>：</w:t>
      </w:r>
      <w:r>
        <w:t>满足《中华人民共和国政府采购法》第二十二条规定；本项目不接受联合体投标；</w:t>
      </w:r>
      <w:bookmarkStart w:id="54" w:name="_GoBack"/>
      <w:r>
        <w:rPr>
          <w:color w:val="000000" w:themeColor="text1"/>
          <w14:textFill>
            <w14:solidFill>
              <w14:schemeClr w14:val="tx1"/>
            </w14:solidFill>
          </w14:textFill>
        </w:rPr>
        <w:t>本项目面向大、中</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小微型企业采购；</w:t>
      </w:r>
      <w:bookmarkEnd w:id="54"/>
      <w:r>
        <w:t>本项目合同不得转让、不得分包。</w:t>
      </w:r>
    </w:p>
    <w:p w14:paraId="0B8F765A">
      <w:pPr>
        <w:pageBreakBefore w:val="0"/>
        <w:kinsoku/>
        <w:wordWrap/>
        <w:overflowPunct/>
        <w:topLinePunct w:val="0"/>
        <w:autoSpaceDE/>
        <w:autoSpaceDN/>
        <w:bidi w:val="0"/>
        <w:spacing w:line="440" w:lineRule="exact"/>
        <w:ind w:left="0" w:leftChars="0" w:firstLine="562"/>
        <w:rPr>
          <w:rFonts w:hint="eastAsia"/>
          <w:b w:val="0"/>
          <w:bCs w:val="0"/>
          <w:lang w:val="en-US" w:eastAsia="zh-CN"/>
        </w:rPr>
      </w:pPr>
      <w:r>
        <w:rPr>
          <w:rFonts w:hint="eastAsia"/>
          <w:b/>
          <w:bCs/>
          <w:lang w:val="en-US" w:eastAsia="zh-CN"/>
        </w:rPr>
        <w:t>资质要求：</w:t>
      </w:r>
      <w:r>
        <w:rPr>
          <w:rFonts w:hint="eastAsia"/>
          <w:b w:val="0"/>
          <w:bCs w:val="0"/>
          <w:lang w:val="en-US" w:eastAsia="zh-CN"/>
        </w:rPr>
        <w:t>投标方需具备</w:t>
      </w:r>
      <w:r>
        <w:rPr>
          <w:rFonts w:hint="eastAsia"/>
          <w:b w:val="0"/>
          <w:bCs w:val="0"/>
          <w:lang w:eastAsia="zh-CN"/>
        </w:rPr>
        <w:t>《</w:t>
      </w:r>
      <w:r>
        <w:rPr>
          <w:rFonts w:hint="eastAsia"/>
          <w:b w:val="0"/>
          <w:bCs w:val="0"/>
        </w:rPr>
        <w:t>质量管理体系认证证书</w:t>
      </w:r>
      <w:r>
        <w:rPr>
          <w:rFonts w:hint="eastAsia"/>
          <w:b w:val="0"/>
          <w:bCs w:val="0"/>
          <w:lang w:eastAsia="zh-CN"/>
        </w:rPr>
        <w:t>》、《</w:t>
      </w:r>
      <w:r>
        <w:rPr>
          <w:rFonts w:hint="eastAsia"/>
          <w:b w:val="0"/>
          <w:bCs w:val="0"/>
        </w:rPr>
        <w:t>信息安全管理体系认证证书</w:t>
      </w:r>
      <w:r>
        <w:rPr>
          <w:rFonts w:hint="eastAsia"/>
          <w:b w:val="0"/>
          <w:bCs w:val="0"/>
          <w:lang w:eastAsia="zh-CN"/>
        </w:rPr>
        <w:t>》</w:t>
      </w:r>
      <w:r>
        <w:rPr>
          <w:rFonts w:hint="eastAsia"/>
          <w:b w:val="0"/>
          <w:bCs w:val="0"/>
          <w:lang w:val="en-US" w:eastAsia="zh-CN"/>
        </w:rPr>
        <w:t>以及《</w:t>
      </w:r>
      <w:r>
        <w:rPr>
          <w:rFonts w:hint="eastAsia"/>
          <w:b w:val="0"/>
          <w:bCs w:val="0"/>
        </w:rPr>
        <w:t>信息技术服务管理体系认证证书</w:t>
      </w:r>
      <w:r>
        <w:rPr>
          <w:rFonts w:hint="eastAsia"/>
          <w:b w:val="0"/>
          <w:bCs w:val="0"/>
          <w:lang w:val="en-US" w:eastAsia="zh-CN"/>
        </w:rPr>
        <w:t>》。</w:t>
      </w:r>
    </w:p>
    <w:p w14:paraId="43EEC101">
      <w:pPr>
        <w:pStyle w:val="2"/>
        <w:rPr>
          <w:rFonts w:hint="eastAsia"/>
          <w:b/>
          <w:bCs/>
          <w:lang w:val="en-US" w:eastAsia="zh-CN"/>
        </w:rPr>
      </w:pPr>
      <w:r>
        <w:rPr>
          <w:rFonts w:hint="eastAsia"/>
          <w:b/>
          <w:bCs/>
          <w:lang w:val="en-US" w:eastAsia="zh-CN"/>
        </w:rPr>
        <w:t>投标方需提供企业综合实力证明，包括获奖情况、履约能力、信誉度、相关资质证书等。</w:t>
      </w:r>
    </w:p>
    <w:p w14:paraId="5272246E">
      <w:pPr>
        <w:pStyle w:val="3"/>
        <w:pageBreakBefore w:val="0"/>
        <w:kinsoku/>
        <w:wordWrap/>
        <w:overflowPunct/>
        <w:topLinePunct w:val="0"/>
        <w:autoSpaceDE/>
        <w:autoSpaceDN/>
        <w:bidi w:val="0"/>
        <w:spacing w:before="0" w:after="0" w:line="440" w:lineRule="exact"/>
        <w:ind w:left="0" w:leftChars="0" w:firstLine="562"/>
        <w:jc w:val="center"/>
        <w:rPr>
          <w:rFonts w:hint="eastAsia"/>
          <w:b/>
          <w:bCs/>
          <w:sz w:val="30"/>
          <w:szCs w:val="30"/>
          <w:lang w:val="en-US" w:eastAsia="zh-CN"/>
        </w:rPr>
      </w:pPr>
      <w:bookmarkStart w:id="53" w:name="_Toc27091"/>
      <w:r>
        <w:rPr>
          <w:rFonts w:hint="eastAsia"/>
          <w:b/>
          <w:bCs/>
          <w:sz w:val="30"/>
          <w:szCs w:val="30"/>
          <w:lang w:val="en-US" w:eastAsia="zh-CN"/>
        </w:rPr>
        <w:t>其他要求</w:t>
      </w:r>
      <w:bookmarkEnd w:id="53"/>
    </w:p>
    <w:p w14:paraId="2E7C01FE">
      <w:pPr>
        <w:pageBreakBefore w:val="0"/>
        <w:kinsoku/>
        <w:wordWrap/>
        <w:overflowPunct/>
        <w:topLinePunct w:val="0"/>
        <w:autoSpaceDE/>
        <w:autoSpaceDN/>
        <w:bidi w:val="0"/>
        <w:spacing w:line="440" w:lineRule="exact"/>
        <w:ind w:left="0" w:leftChars="0"/>
        <w:rPr>
          <w:rFonts w:hint="eastAsia"/>
          <w:b w:val="0"/>
          <w:bCs w:val="0"/>
          <w:sz w:val="28"/>
          <w:szCs w:val="28"/>
          <w:lang w:val="en-US" w:eastAsia="zh-CN"/>
        </w:rPr>
      </w:pPr>
      <w:r>
        <w:rPr>
          <w:rFonts w:hint="eastAsia"/>
          <w:b w:val="0"/>
          <w:bCs w:val="0"/>
          <w:sz w:val="28"/>
          <w:szCs w:val="28"/>
          <w:lang w:val="en-US" w:eastAsia="zh-CN"/>
        </w:rPr>
        <w:t>针对本项目实施与维护，要求投标人在开发与维护期间配备专业的人员与车辆并在本市设置固定场所。开发人员不得少于五人，维护人员不得少于一人；开发及维护人员需提供近六个月社保证明，车辆需提供产权或租赁证明，场所需提供产权或租赁证明。投标人应当按照设备配置表的要求配置设备。对于没有要求的，投标人应当按照技术需求自行配置设备报价。</w:t>
      </w:r>
    </w:p>
    <w:p w14:paraId="024033E7">
      <w:pPr>
        <w:pageBreakBefore w:val="0"/>
        <w:kinsoku/>
        <w:wordWrap/>
        <w:overflowPunct/>
        <w:topLinePunct w:val="0"/>
        <w:autoSpaceDE/>
        <w:autoSpaceDN/>
        <w:bidi w:val="0"/>
        <w:spacing w:line="440" w:lineRule="exact"/>
        <w:ind w:left="0" w:leftChars="0"/>
        <w:rPr>
          <w:rFonts w:hint="eastAsia"/>
          <w:b w:val="0"/>
          <w:bCs w:val="0"/>
          <w:sz w:val="28"/>
          <w:szCs w:val="28"/>
          <w:lang w:val="en-US" w:eastAsia="zh-CN"/>
        </w:rPr>
      </w:pPr>
      <w:r>
        <w:rPr>
          <w:rFonts w:hint="eastAsia"/>
          <w:b w:val="0"/>
          <w:bCs w:val="0"/>
          <w:sz w:val="28"/>
          <w:szCs w:val="28"/>
          <w:lang w:val="en-US" w:eastAsia="zh-CN"/>
        </w:rPr>
        <w:t>有其他未明确问题以甲方需求为主，双方协商解决。</w:t>
      </w:r>
    </w:p>
    <w:p w14:paraId="3D896195">
      <w:pPr>
        <w:pageBreakBefore w:val="0"/>
        <w:kinsoku/>
        <w:wordWrap/>
        <w:overflowPunct/>
        <w:topLinePunct w:val="0"/>
        <w:autoSpaceDE/>
        <w:autoSpaceDN/>
        <w:bidi w:val="0"/>
        <w:spacing w:line="440" w:lineRule="exact"/>
        <w:ind w:left="0" w:leftChars="0"/>
        <w:rPr>
          <w:rFonts w:hint="eastAsia"/>
          <w:b w:val="0"/>
          <w:bCs w:val="0"/>
          <w:sz w:val="28"/>
          <w:szCs w:val="28"/>
          <w:lang w:val="en-US" w:eastAsia="zh-CN"/>
        </w:rPr>
      </w:pPr>
      <w:r>
        <w:rPr>
          <w:rFonts w:hint="eastAsia"/>
          <w:b w:val="0"/>
          <w:bCs w:val="0"/>
          <w:sz w:val="28"/>
          <w:szCs w:val="28"/>
          <w:lang w:val="en-US" w:eastAsia="zh-CN"/>
        </w:rPr>
        <w:t>项目进行中问题一般由中标单位自行解决，如确需甲方协调解决，经双方协商，由甲方配合解决。</w:t>
      </w:r>
    </w:p>
    <w:p w14:paraId="2E56041B">
      <w:pPr>
        <w:pageBreakBefore w:val="0"/>
        <w:kinsoku/>
        <w:wordWrap/>
        <w:overflowPunct/>
        <w:topLinePunct w:val="0"/>
        <w:autoSpaceDE/>
        <w:autoSpaceDN/>
        <w:bidi w:val="0"/>
        <w:spacing w:line="440" w:lineRule="exact"/>
        <w:ind w:left="0" w:leftChars="0"/>
        <w:rPr>
          <w:rFonts w:hint="eastAsia"/>
          <w:b w:val="0"/>
          <w:bCs w:val="0"/>
          <w:sz w:val="28"/>
          <w:szCs w:val="28"/>
          <w:lang w:val="en-US" w:eastAsia="zh-CN"/>
        </w:rPr>
      </w:pPr>
      <w:r>
        <w:rPr>
          <w:rFonts w:hint="eastAsia"/>
          <w:b w:val="0"/>
          <w:bCs w:val="0"/>
          <w:sz w:val="28"/>
          <w:szCs w:val="28"/>
          <w:lang w:val="en-US" w:eastAsia="zh-CN"/>
        </w:rPr>
        <w:t>投标人在制作标书时可能会涉及到政府内部的技术资料，均应当按采购方要求与采购方签订安全保密协议。</w:t>
      </w:r>
    </w:p>
    <w:p w14:paraId="32BBD4FC">
      <w:pPr>
        <w:pageBreakBefore w:val="0"/>
        <w:kinsoku/>
        <w:wordWrap/>
        <w:overflowPunct/>
        <w:topLinePunct w:val="0"/>
        <w:autoSpaceDE/>
        <w:autoSpaceDN/>
        <w:bidi w:val="0"/>
        <w:spacing w:line="440" w:lineRule="exact"/>
        <w:ind w:left="0" w:leftChars="0"/>
        <w:rPr>
          <w:rFonts w:hint="default"/>
          <w:sz w:val="28"/>
          <w:szCs w:val="28"/>
          <w:lang w:val="en-US" w:eastAsia="zh-CN"/>
        </w:rPr>
      </w:pPr>
      <w:r>
        <w:rPr>
          <w:rFonts w:hint="eastAsia"/>
          <w:b w:val="0"/>
          <w:bCs w:val="0"/>
          <w:sz w:val="28"/>
          <w:szCs w:val="28"/>
          <w:lang w:val="en-US" w:eastAsia="zh-CN"/>
        </w:rPr>
        <w:t>根据采购方提供的项目招标清单投标人应充分考虑到本项目实施范围复杂的软硬件环境对本项目施工带来的影响及不确定因素，对现场进行详细勘察，并根据招标清单（不限于此清单）和投标人所具备的项目经验，提交为完成本项目所需的所有项目工作量的清单。在此特别提醒各投标人，投标人应以本项目招标工作量为基础，并结合自身所具备的项目经验提交完整的工作量清单和报价，工作量清单和报价应包含本项目所需的所有工作量的采购、安装、编制、调试、验收以及必要的配合、赔付等费用。</w:t>
      </w:r>
    </w:p>
    <w:sectPr>
      <w:footerReference r:id="rId7"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6A2F6">
    <w:pPr>
      <w:pStyle w:val="17"/>
      <w:ind w:firstLine="0" w:firstLineChars="0"/>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1A3AE">
    <w:pPr>
      <w:ind w:firstLine="0" w:firstLineChars="0"/>
      <w:jc w:val="cente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CE52">
                          <w:pPr>
                            <w:pStyle w:val="17"/>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CE52">
                    <w:pPr>
                      <w:pStyle w:val="17"/>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56EA9">
    <w:pPr>
      <w:pBdr>
        <w:bottom w:val="single" w:color="auto" w:sz="4" w:space="1"/>
      </w:pBdr>
      <w:spacing w:line="240" w:lineRule="auto"/>
      <w:ind w:firstLine="400"/>
      <w:jc w:val="right"/>
    </w:pPr>
    <w:r>
      <w:rPr>
        <w:rFonts w:hint="eastAsia"/>
        <w:sz w:val="20"/>
        <w:szCs w:val="16"/>
      </w:rPr>
      <w:t>静安区重点区域全景数字化治理指挥系统项目需求书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C78FBA"/>
    <w:multiLevelType w:val="singleLevel"/>
    <w:tmpl w:val="8DC78FBA"/>
    <w:lvl w:ilvl="0" w:tentative="0">
      <w:start w:val="1"/>
      <w:numFmt w:val="decimal"/>
      <w:pStyle w:val="6"/>
      <w:suff w:val="nothing"/>
      <w:lvlText w:val="%1、"/>
      <w:lvlJc w:val="left"/>
      <w:pPr>
        <w:ind w:left="840"/>
      </w:pPr>
    </w:lvl>
  </w:abstractNum>
  <w:abstractNum w:abstractNumId="1">
    <w:nsid w:val="AD9C1FCC"/>
    <w:multiLevelType w:val="multilevel"/>
    <w:tmpl w:val="AD9C1FCC"/>
    <w:lvl w:ilvl="0" w:tentative="0">
      <w:start w:val="1"/>
      <w:numFmt w:val="chineseCounting"/>
      <w:pStyle w:val="3"/>
      <w:suff w:val="nothing"/>
      <w:lvlText w:val="第%1章 "/>
      <w:lvlJc w:val="left"/>
      <w:pPr>
        <w:ind w:left="432" w:hanging="432"/>
      </w:pPr>
      <w:rPr>
        <w:rFonts w:hint="eastAsia"/>
      </w:rPr>
    </w:lvl>
    <w:lvl w:ilvl="1" w:tentative="0">
      <w:start w:val="1"/>
      <w:numFmt w:val="decimal"/>
      <w:pStyle w:val="4"/>
      <w:isLgl/>
      <w:lvlText w:val="%1.%2."/>
      <w:lvlJc w:val="left"/>
      <w:pPr>
        <w:ind w:left="575" w:hanging="575"/>
      </w:pPr>
      <w:rPr>
        <w:rFonts w:hint="eastAsia"/>
      </w:rPr>
    </w:lvl>
    <w:lvl w:ilvl="2" w:tentative="0">
      <w:start w:val="1"/>
      <w:numFmt w:val="decimal"/>
      <w:pStyle w:val="5"/>
      <w:isLgl/>
      <w:lvlText w:val="%1.%2.%3."/>
      <w:lvlJc w:val="left"/>
      <w:pPr>
        <w:ind w:left="720" w:hanging="720"/>
      </w:pPr>
      <w:rPr>
        <w:rFonts w:hint="default" w:ascii="仿宋" w:hAnsi="仿宋" w:eastAsia="仿宋" w:cs="仿宋"/>
      </w:rPr>
    </w:lvl>
    <w:lvl w:ilvl="3" w:tentative="0">
      <w:start w:val="1"/>
      <w:numFmt w:val="decimal"/>
      <w:pStyle w:val="7"/>
      <w:isLgl/>
      <w:lvlText w:val="%1.%2.%3.%4."/>
      <w:lvlJc w:val="left"/>
      <w:pPr>
        <w:ind w:left="864" w:hanging="864"/>
      </w:pPr>
      <w:rPr>
        <w:rFonts w:hint="eastAsia"/>
      </w:rPr>
    </w:lvl>
    <w:lvl w:ilvl="4" w:tentative="0">
      <w:start w:val="1"/>
      <w:numFmt w:val="decimal"/>
      <w:pStyle w:val="8"/>
      <w:isLgl/>
      <w:lvlText w:val="%1.%2.%3.%4.%5."/>
      <w:lvlJc w:val="left"/>
      <w:pPr>
        <w:ind w:left="1568" w:hanging="1008"/>
      </w:pPr>
      <w:rPr>
        <w:rFonts w:hint="eastAsia"/>
      </w:rPr>
    </w:lvl>
    <w:lvl w:ilvl="5" w:tentative="0">
      <w:start w:val="1"/>
      <w:numFmt w:val="decimal"/>
      <w:pStyle w:val="9"/>
      <w:isLgl/>
      <w:lvlText w:val="%1.%2.%3.%4.%5.%6."/>
      <w:lvlJc w:val="left"/>
      <w:pPr>
        <w:ind w:left="1151" w:hanging="1151"/>
      </w:pPr>
      <w:rPr>
        <w:rFonts w:hint="eastAsia"/>
      </w:rPr>
    </w:lvl>
    <w:lvl w:ilvl="6" w:tentative="0">
      <w:start w:val="1"/>
      <w:numFmt w:val="decimal"/>
      <w:pStyle w:val="10"/>
      <w:isLgl/>
      <w:lvlText w:val="%1.%2.%3.%4.%5.%6.%7."/>
      <w:lvlJc w:val="left"/>
      <w:pPr>
        <w:ind w:left="1296" w:hanging="1296"/>
      </w:pPr>
      <w:rPr>
        <w:rFonts w:hint="eastAsia"/>
      </w:rPr>
    </w:lvl>
    <w:lvl w:ilvl="7" w:tentative="0">
      <w:start w:val="1"/>
      <w:numFmt w:val="decimal"/>
      <w:pStyle w:val="11"/>
      <w:isLgl/>
      <w:lvlText w:val="%1.%2.%3.%4.%5.%6.%7.%8."/>
      <w:lvlJc w:val="left"/>
      <w:pPr>
        <w:ind w:left="1440" w:hanging="1440"/>
      </w:pPr>
      <w:rPr>
        <w:rFonts w:hint="eastAsia"/>
      </w:rPr>
    </w:lvl>
    <w:lvl w:ilvl="8" w:tentative="0">
      <w:start w:val="1"/>
      <w:numFmt w:val="decimal"/>
      <w:pStyle w:val="12"/>
      <w:isLgl/>
      <w:lvlText w:val="%1.%2.%3.%4.%5.%6.%7.%8.%9."/>
      <w:lvlJc w:val="left"/>
      <w:pPr>
        <w:ind w:left="1583" w:hanging="1583"/>
      </w:pPr>
      <w:rPr>
        <w:rFonts w:hint="eastAsia"/>
      </w:rPr>
    </w:lvl>
  </w:abstractNum>
  <w:abstractNum w:abstractNumId="2">
    <w:nsid w:val="D892D5CD"/>
    <w:multiLevelType w:val="singleLevel"/>
    <w:tmpl w:val="D892D5CD"/>
    <w:lvl w:ilvl="0" w:tentative="0">
      <w:start w:val="1"/>
      <w:numFmt w:val="bullet"/>
      <w:lvlText w:val=""/>
      <w:lvlJc w:val="left"/>
      <w:pPr>
        <w:ind w:left="980" w:hanging="420"/>
      </w:pPr>
      <w:rPr>
        <w:rFonts w:hint="default" w:ascii="Wingdings" w:hAnsi="Wingdings"/>
      </w:rPr>
    </w:lvl>
  </w:abstractNum>
  <w:abstractNum w:abstractNumId="3">
    <w:nsid w:val="33D52378"/>
    <w:multiLevelType w:val="singleLevel"/>
    <w:tmpl w:val="33D52378"/>
    <w:lvl w:ilvl="0" w:tentative="0">
      <w:start w:val="1"/>
      <w:numFmt w:val="decimal"/>
      <w:lvlText w:val="%1."/>
      <w:lvlJc w:val="left"/>
      <w:pPr>
        <w:tabs>
          <w:tab w:val="left" w:pos="732"/>
        </w:tabs>
        <w:ind w:left="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E5910AD"/>
    <w:rsid w:val="006E7148"/>
    <w:rsid w:val="00905561"/>
    <w:rsid w:val="0095182D"/>
    <w:rsid w:val="00C60A82"/>
    <w:rsid w:val="01446B20"/>
    <w:rsid w:val="039A4113"/>
    <w:rsid w:val="08120DAA"/>
    <w:rsid w:val="09E638BB"/>
    <w:rsid w:val="0A9F7234"/>
    <w:rsid w:val="0B4A39A5"/>
    <w:rsid w:val="0CC46135"/>
    <w:rsid w:val="0D0C188A"/>
    <w:rsid w:val="0F865924"/>
    <w:rsid w:val="0FAC4C5F"/>
    <w:rsid w:val="108D1D91"/>
    <w:rsid w:val="112F5B47"/>
    <w:rsid w:val="12C7754E"/>
    <w:rsid w:val="14257AC5"/>
    <w:rsid w:val="1534372C"/>
    <w:rsid w:val="17161AEC"/>
    <w:rsid w:val="194D300E"/>
    <w:rsid w:val="1AE93EB4"/>
    <w:rsid w:val="1C07504F"/>
    <w:rsid w:val="1D8A2A83"/>
    <w:rsid w:val="1E164317"/>
    <w:rsid w:val="1FA616CA"/>
    <w:rsid w:val="1FE3088A"/>
    <w:rsid w:val="202820DF"/>
    <w:rsid w:val="208131E0"/>
    <w:rsid w:val="21C35AF0"/>
    <w:rsid w:val="21E06673"/>
    <w:rsid w:val="22222E58"/>
    <w:rsid w:val="25164BFC"/>
    <w:rsid w:val="268976B8"/>
    <w:rsid w:val="26962499"/>
    <w:rsid w:val="27061E94"/>
    <w:rsid w:val="27E02345"/>
    <w:rsid w:val="287A6A9E"/>
    <w:rsid w:val="289F315B"/>
    <w:rsid w:val="29982A88"/>
    <w:rsid w:val="2B30453E"/>
    <w:rsid w:val="2B512E32"/>
    <w:rsid w:val="2BF67A6A"/>
    <w:rsid w:val="2C161986"/>
    <w:rsid w:val="2D012636"/>
    <w:rsid w:val="2ECA459D"/>
    <w:rsid w:val="2F0A5330"/>
    <w:rsid w:val="336F5678"/>
    <w:rsid w:val="3559AD76"/>
    <w:rsid w:val="3BDE75F9"/>
    <w:rsid w:val="3E343C9D"/>
    <w:rsid w:val="3E880395"/>
    <w:rsid w:val="3F1D12F4"/>
    <w:rsid w:val="3F2A77CA"/>
    <w:rsid w:val="3F456434"/>
    <w:rsid w:val="3F8A0269"/>
    <w:rsid w:val="3FCA55FE"/>
    <w:rsid w:val="41686388"/>
    <w:rsid w:val="421B164C"/>
    <w:rsid w:val="43982048"/>
    <w:rsid w:val="452B6409"/>
    <w:rsid w:val="454315E6"/>
    <w:rsid w:val="45590F66"/>
    <w:rsid w:val="455D137C"/>
    <w:rsid w:val="45DD5596"/>
    <w:rsid w:val="478163F5"/>
    <w:rsid w:val="4B427C4A"/>
    <w:rsid w:val="4B570D16"/>
    <w:rsid w:val="4C343048"/>
    <w:rsid w:val="4CAF57B3"/>
    <w:rsid w:val="4E1640EA"/>
    <w:rsid w:val="4E52367D"/>
    <w:rsid w:val="4EF356BE"/>
    <w:rsid w:val="4F595E4F"/>
    <w:rsid w:val="502D1D3A"/>
    <w:rsid w:val="50C67994"/>
    <w:rsid w:val="510E07AC"/>
    <w:rsid w:val="52FD70ED"/>
    <w:rsid w:val="53BE51FC"/>
    <w:rsid w:val="53EC2E48"/>
    <w:rsid w:val="5447287D"/>
    <w:rsid w:val="55F10BEA"/>
    <w:rsid w:val="577333A1"/>
    <w:rsid w:val="584C2108"/>
    <w:rsid w:val="595B6AA6"/>
    <w:rsid w:val="59F433AE"/>
    <w:rsid w:val="5B8147BE"/>
    <w:rsid w:val="5BB66216"/>
    <w:rsid w:val="5BD02BD3"/>
    <w:rsid w:val="5C9522CF"/>
    <w:rsid w:val="5CD526CC"/>
    <w:rsid w:val="5E5910AD"/>
    <w:rsid w:val="61EF10FF"/>
    <w:rsid w:val="63510510"/>
    <w:rsid w:val="63E81A9E"/>
    <w:rsid w:val="63EE6769"/>
    <w:rsid w:val="6526237F"/>
    <w:rsid w:val="666D1BC7"/>
    <w:rsid w:val="6703077D"/>
    <w:rsid w:val="683171EB"/>
    <w:rsid w:val="68C33D20"/>
    <w:rsid w:val="690D4E1A"/>
    <w:rsid w:val="6DDB0C2C"/>
    <w:rsid w:val="70353834"/>
    <w:rsid w:val="71F17EBB"/>
    <w:rsid w:val="72F44057"/>
    <w:rsid w:val="74543E56"/>
    <w:rsid w:val="767F4916"/>
    <w:rsid w:val="77902867"/>
    <w:rsid w:val="77F7C688"/>
    <w:rsid w:val="78663A6E"/>
    <w:rsid w:val="78C22246"/>
    <w:rsid w:val="7B002F78"/>
    <w:rsid w:val="7B0556E1"/>
    <w:rsid w:val="7C5154E5"/>
    <w:rsid w:val="7C7E0232"/>
    <w:rsid w:val="7D495EEB"/>
    <w:rsid w:val="7DC44AEB"/>
    <w:rsid w:val="7E1059BB"/>
    <w:rsid w:val="7E643E29"/>
    <w:rsid w:val="7E771931"/>
    <w:rsid w:val="7EED20C1"/>
    <w:rsid w:val="7EFD697B"/>
    <w:rsid w:val="7F4F4108"/>
    <w:rsid w:val="7FD840FD"/>
    <w:rsid w:val="7FFBCE0C"/>
    <w:rsid w:val="AE7782A7"/>
    <w:rsid w:val="B76F8904"/>
    <w:rsid w:val="DD2D154E"/>
    <w:rsid w:val="EE6DEB2C"/>
    <w:rsid w:val="EFA92D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仿宋" w:cstheme="minorBidi"/>
      <w:kern w:val="2"/>
      <w:sz w:val="28"/>
      <w:szCs w:val="22"/>
      <w:lang w:val="en-US" w:eastAsia="zh-CN" w:bidi="ar-SA"/>
    </w:rPr>
  </w:style>
  <w:style w:type="paragraph" w:styleId="3">
    <w:name w:val="heading 1"/>
    <w:basedOn w:val="1"/>
    <w:next w:val="1"/>
    <w:qFormat/>
    <w:uiPriority w:val="0"/>
    <w:pPr>
      <w:keepNext/>
      <w:keepLines/>
      <w:numPr>
        <w:ilvl w:val="0"/>
        <w:numId w:val="1"/>
      </w:numPr>
      <w:spacing w:before="340" w:after="330" w:line="576" w:lineRule="auto"/>
      <w:ind w:firstLineChars="0"/>
      <w:outlineLvl w:val="0"/>
    </w:pPr>
    <w:rPr>
      <w:b/>
      <w:kern w:val="44"/>
      <w:sz w:val="44"/>
    </w:rPr>
  </w:style>
  <w:style w:type="paragraph" w:styleId="4">
    <w:name w:val="heading 2"/>
    <w:basedOn w:val="1"/>
    <w:next w:val="1"/>
    <w:unhideWhenUsed/>
    <w:qFormat/>
    <w:uiPriority w:val="0"/>
    <w:pPr>
      <w:keepNext/>
      <w:keepLines/>
      <w:numPr>
        <w:ilvl w:val="1"/>
        <w:numId w:val="1"/>
      </w:numPr>
      <w:spacing w:before="20" w:after="20"/>
      <w:ind w:firstLineChars="0"/>
      <w:jc w:val="left"/>
      <w:outlineLvl w:val="1"/>
    </w:pPr>
    <w:rPr>
      <w:rFonts w:ascii="Arial" w:hAnsi="Arial" w:eastAsia="宋体"/>
      <w:b/>
    </w:rPr>
  </w:style>
  <w:style w:type="paragraph" w:styleId="5">
    <w:name w:val="heading 3"/>
    <w:basedOn w:val="1"/>
    <w:next w:val="6"/>
    <w:unhideWhenUsed/>
    <w:qFormat/>
    <w:uiPriority w:val="0"/>
    <w:pPr>
      <w:keepNext/>
      <w:keepLines/>
      <w:numPr>
        <w:ilvl w:val="2"/>
        <w:numId w:val="1"/>
      </w:numPr>
      <w:spacing w:line="240" w:lineRule="auto"/>
      <w:outlineLvl w:val="2"/>
    </w:pPr>
  </w:style>
  <w:style w:type="paragraph" w:styleId="7">
    <w:name w:val="heading 4"/>
    <w:basedOn w:val="5"/>
    <w:next w:val="6"/>
    <w:unhideWhenUsed/>
    <w:qFormat/>
    <w:uiPriority w:val="0"/>
    <w:pPr>
      <w:numPr>
        <w:ilvl w:val="3"/>
      </w:numPr>
      <w:spacing w:before="280" w:after="290" w:line="372" w:lineRule="auto"/>
      <w:ind w:firstLineChars="0"/>
      <w:outlineLvl w:val="3"/>
    </w:pPr>
    <w:rPr>
      <w:rFonts w:ascii="Arial" w:hAnsi="Arial" w:eastAsia="黑体"/>
      <w:b/>
    </w:rPr>
  </w:style>
  <w:style w:type="paragraph" w:styleId="8">
    <w:name w:val="heading 5"/>
    <w:basedOn w:val="7"/>
    <w:next w:val="6"/>
    <w:unhideWhenUsed/>
    <w:qFormat/>
    <w:uiPriority w:val="0"/>
    <w:pPr>
      <w:numPr>
        <w:ilvl w:val="4"/>
      </w:numPr>
      <w:ind w:left="1008"/>
      <w:outlineLvl w:val="4"/>
    </w:pPr>
  </w:style>
  <w:style w:type="paragraph" w:styleId="9">
    <w:name w:val="heading 6"/>
    <w:basedOn w:val="1"/>
    <w:next w:val="1"/>
    <w:semiHidden/>
    <w:unhideWhenUsed/>
    <w:qFormat/>
    <w:uiPriority w:val="0"/>
    <w:pPr>
      <w:keepNext/>
      <w:keepLines/>
      <w:numPr>
        <w:ilvl w:val="5"/>
        <w:numId w:val="1"/>
      </w:numPr>
      <w:spacing w:before="240" w:after="64" w:line="317" w:lineRule="auto"/>
      <w:ind w:firstLineChars="0"/>
      <w:outlineLvl w:val="5"/>
    </w:pPr>
    <w:rPr>
      <w:rFonts w:ascii="Arial" w:hAnsi="Arial" w:eastAsia="黑体"/>
      <w:b/>
      <w:sz w:val="24"/>
    </w:rPr>
  </w:style>
  <w:style w:type="paragraph" w:styleId="10">
    <w:name w:val="heading 7"/>
    <w:basedOn w:val="1"/>
    <w:next w:val="1"/>
    <w:semiHidden/>
    <w:unhideWhenUsed/>
    <w:qFormat/>
    <w:uiPriority w:val="0"/>
    <w:pPr>
      <w:keepNext/>
      <w:keepLines/>
      <w:numPr>
        <w:ilvl w:val="6"/>
        <w:numId w:val="1"/>
      </w:numPr>
      <w:spacing w:before="240" w:after="64" w:line="317" w:lineRule="auto"/>
      <w:ind w:firstLineChars="0"/>
      <w:outlineLvl w:val="6"/>
    </w:pPr>
    <w:rPr>
      <w:b/>
      <w:sz w:val="24"/>
    </w:rPr>
  </w:style>
  <w:style w:type="paragraph" w:styleId="11">
    <w:name w:val="heading 8"/>
    <w:basedOn w:val="1"/>
    <w:next w:val="1"/>
    <w:semiHidden/>
    <w:unhideWhenUsed/>
    <w:qFormat/>
    <w:uiPriority w:val="0"/>
    <w:pPr>
      <w:keepNext/>
      <w:keepLines/>
      <w:numPr>
        <w:ilvl w:val="7"/>
        <w:numId w:val="1"/>
      </w:numPr>
      <w:spacing w:before="240" w:after="64" w:line="317" w:lineRule="auto"/>
      <w:ind w:firstLineChars="0"/>
      <w:outlineLvl w:val="7"/>
    </w:pPr>
    <w:rPr>
      <w:rFonts w:ascii="Arial" w:hAnsi="Arial" w:eastAsia="黑体"/>
      <w:sz w:val="24"/>
    </w:rPr>
  </w:style>
  <w:style w:type="paragraph" w:styleId="12">
    <w:name w:val="heading 9"/>
    <w:basedOn w:val="1"/>
    <w:next w:val="1"/>
    <w:semiHidden/>
    <w:unhideWhenUsed/>
    <w:qFormat/>
    <w:uiPriority w:val="0"/>
    <w:pPr>
      <w:keepNext/>
      <w:keepLines/>
      <w:numPr>
        <w:ilvl w:val="8"/>
        <w:numId w:val="1"/>
      </w:numPr>
      <w:spacing w:before="240" w:after="64" w:line="317" w:lineRule="auto"/>
      <w:ind w:firstLineChars="0"/>
      <w:outlineLvl w:val="8"/>
    </w:pPr>
    <w:rPr>
      <w:rFonts w:ascii="Arial" w:hAnsi="Arial" w:eastAsia="黑体"/>
      <w:sz w:val="21"/>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6">
    <w:name w:val="Normal Indent"/>
    <w:basedOn w:val="1"/>
    <w:qFormat/>
    <w:uiPriority w:val="0"/>
    <w:pPr>
      <w:numPr>
        <w:ilvl w:val="0"/>
        <w:numId w:val="2"/>
      </w:numPr>
      <w:ind w:firstLine="0" w:firstLineChars="0"/>
    </w:pPr>
    <w:rPr>
      <w:rFonts w:ascii="仿宋" w:hAnsi="仿宋" w:cs="仿宋"/>
      <w:szCs w:val="24"/>
    </w:rPr>
  </w:style>
  <w:style w:type="paragraph" w:styleId="13">
    <w:name w:val="caption"/>
    <w:basedOn w:val="1"/>
    <w:next w:val="1"/>
    <w:unhideWhenUsed/>
    <w:qFormat/>
    <w:uiPriority w:val="0"/>
    <w:rPr>
      <w:rFonts w:eastAsia="黑体" w:asciiTheme="majorHAnsi" w:hAnsiTheme="majorHAnsi" w:cstheme="majorBidi"/>
      <w:sz w:val="20"/>
      <w:szCs w:val="20"/>
    </w:rPr>
  </w:style>
  <w:style w:type="paragraph" w:styleId="14">
    <w:name w:val="annotation text"/>
    <w:basedOn w:val="1"/>
    <w:qFormat/>
    <w:uiPriority w:val="0"/>
    <w:pPr>
      <w:jc w:val="left"/>
    </w:pPr>
  </w:style>
  <w:style w:type="paragraph" w:styleId="15">
    <w:name w:val="Body Text"/>
    <w:basedOn w:val="1"/>
    <w:unhideWhenUsed/>
    <w:qFormat/>
    <w:uiPriority w:val="99"/>
    <w:pPr>
      <w:spacing w:after="120"/>
    </w:pPr>
    <w:rPr>
      <w:szCs w:val="24"/>
    </w:rPr>
  </w:style>
  <w:style w:type="paragraph" w:styleId="16">
    <w:name w:val="toc 3"/>
    <w:basedOn w:val="1"/>
    <w:next w:val="1"/>
    <w:qFormat/>
    <w:uiPriority w:val="0"/>
    <w:pPr>
      <w:ind w:left="840" w:leftChars="400"/>
    </w:pPr>
  </w:style>
  <w:style w:type="paragraph" w:styleId="17">
    <w:name w:val="footer"/>
    <w:basedOn w:val="1"/>
    <w:unhideWhenUsed/>
    <w:qFormat/>
    <w:uiPriority w:val="0"/>
    <w:pPr>
      <w:tabs>
        <w:tab w:val="center" w:pos="4153"/>
        <w:tab w:val="right" w:pos="8306"/>
      </w:tabs>
      <w:snapToGrid w:val="0"/>
      <w:spacing w:line="240" w:lineRule="auto"/>
      <w:jc w:val="left"/>
    </w:pPr>
    <w:rPr>
      <w:sz w:val="18"/>
      <w:szCs w:val="18"/>
    </w:rPr>
  </w:style>
  <w:style w:type="paragraph" w:styleId="18">
    <w:name w:val="header"/>
    <w:basedOn w:val="1"/>
    <w:unhideWhenUsed/>
    <w:qFormat/>
    <w:uiPriority w:val="99"/>
    <w:pPr>
      <w:tabs>
        <w:tab w:val="center" w:pos="4153"/>
        <w:tab w:val="right" w:pos="8306"/>
      </w:tabs>
      <w:snapToGrid w:val="0"/>
      <w:spacing w:line="240" w:lineRule="auto"/>
      <w:jc w:val="center"/>
    </w:pPr>
    <w:rPr>
      <w:sz w:val="18"/>
      <w:szCs w:val="18"/>
    </w:rPr>
  </w:style>
  <w:style w:type="paragraph" w:styleId="19">
    <w:name w:val="toc 1"/>
    <w:basedOn w:val="1"/>
    <w:next w:val="1"/>
    <w:qFormat/>
    <w:uiPriority w:val="0"/>
  </w:style>
  <w:style w:type="paragraph" w:styleId="20">
    <w:name w:val="toc 2"/>
    <w:basedOn w:val="1"/>
    <w:next w:val="1"/>
    <w:qFormat/>
    <w:uiPriority w:val="0"/>
    <w:pPr>
      <w:ind w:left="420" w:leftChars="200"/>
    </w:pPr>
  </w:style>
  <w:style w:type="paragraph" w:styleId="21">
    <w:name w:val="Normal (Web)"/>
    <w:basedOn w:val="1"/>
    <w:unhideWhenUsed/>
    <w:qFormat/>
    <w:uiPriority w:val="99"/>
    <w:pPr>
      <w:spacing w:line="560" w:lineRule="exact"/>
      <w:ind w:firstLine="0" w:firstLineChars="0"/>
      <w:jc w:val="center"/>
    </w:pPr>
    <w:rPr>
      <w:rFonts w:ascii="Calibri" w:hAnsi="Calibri" w:cs="Times New Roman"/>
    </w:rPr>
  </w:style>
  <w:style w:type="table" w:styleId="23">
    <w:name w:val="Table Grid"/>
    <w:basedOn w:val="22"/>
    <w:qFormat/>
    <w:uiPriority w:val="0"/>
    <w:pPr>
      <w:adjustRightInd w:val="0"/>
      <w:snapToGrid w:val="0"/>
      <w:spacing w:before="50" w:beforeLines="50" w:after="50" w:afterLines="50"/>
      <w:jc w:val="both"/>
    </w:pPr>
    <w:rPr>
      <w:color w:val="000000" w:themeColor="text1"/>
      <w:sz w:val="21"/>
      <w14:textFill>
        <w14:solidFill>
          <w14:schemeClr w14:val="tx1"/>
        </w14:solidFill>
      </w14:textFil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vAlign w:val="center"/>
    </w:tcPr>
    <w:tblStylePr w:type="firstRow">
      <w:pPr>
        <w:wordWrap/>
        <w:adjustRightInd w:val="0"/>
        <w:snapToGrid w:val="0"/>
        <w:spacing w:before="50" w:beforeLines="50" w:beforeAutospacing="0" w:after="50" w:afterLines="50" w:afterAutospacing="0" w:line="240" w:lineRule="auto"/>
        <w:ind w:firstLine="0" w:firstLineChars="0"/>
        <w:contextualSpacing w:val="0"/>
        <w:jc w:val="center"/>
      </w:pPr>
      <w:rPr>
        <w:rFonts w:eastAsia="宋体"/>
        <w:b/>
        <w:sz w:val="21"/>
      </w:rPr>
    </w:tblStylePr>
    <w:tblStylePr w:type="firstCol">
      <w:pPr>
        <w:wordWrap/>
        <w:adjustRightInd w:val="0"/>
        <w:snapToGrid w:val="0"/>
        <w:spacing w:before="50" w:beforeLines="50" w:beforeAutospacing="0" w:after="50" w:afterLines="50" w:afterAutospacing="0" w:line="240" w:lineRule="auto"/>
        <w:contextualSpacing w:val="0"/>
        <w:jc w:val="center"/>
      </w:pPr>
      <w:rPr>
        <w:rFonts w:eastAsia="宋体"/>
        <w:sz w:val="21"/>
      </w:rPr>
    </w:tblStylePr>
  </w:style>
  <w:style w:type="character" w:styleId="25">
    <w:name w:val="Strong"/>
    <w:basedOn w:val="24"/>
    <w:qFormat/>
    <w:uiPriority w:val="0"/>
    <w:rPr>
      <w:b/>
    </w:rPr>
  </w:style>
  <w:style w:type="character" w:styleId="26">
    <w:name w:val="Hyperlink"/>
    <w:basedOn w:val="24"/>
    <w:qFormat/>
    <w:uiPriority w:val="0"/>
    <w:rPr>
      <w:color w:val="0000FF"/>
      <w:u w:val="single"/>
    </w:rPr>
  </w:style>
  <w:style w:type="paragraph" w:styleId="27">
    <w:name w:val="List Paragraph"/>
    <w:basedOn w:val="1"/>
    <w:qFormat/>
    <w:uiPriority w:val="34"/>
    <w:pPr>
      <w:ind w:firstLine="420"/>
    </w:pPr>
  </w:style>
  <w:style w:type="paragraph" w:customStyle="1" w:styleId="28">
    <w:name w:val="*正文"/>
    <w:basedOn w:val="1"/>
    <w:qFormat/>
    <w:uiPriority w:val="0"/>
    <w:pPr>
      <w:widowControl/>
      <w:spacing w:line="240" w:lineRule="auto"/>
    </w:pPr>
    <w:rPr>
      <w:rFonts w:ascii="仿宋_GB2312" w:eastAsia="仿宋_GB2312" w:cs="Times New Roman"/>
      <w:sz w:val="24"/>
      <w:szCs w:val="28"/>
    </w:rPr>
  </w:style>
  <w:style w:type="paragraph" w:customStyle="1" w:styleId="29">
    <w:name w:val="**正文"/>
    <w:basedOn w:val="1"/>
    <w:qFormat/>
    <w:uiPriority w:val="0"/>
    <w:pPr>
      <w:spacing w:line="240" w:lineRule="auto"/>
      <w:ind w:firstLine="482" w:firstLineChars="0"/>
    </w:pPr>
    <w:rPr>
      <w:rFonts w:ascii="宋体" w:hAnsi="宋体" w:eastAsia="微软雅黑" w:cs="Times New Roman"/>
      <w:sz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上海市分公司</Company>
  <Pages>18</Pages>
  <Words>987</Words>
  <Characters>999</Characters>
  <Lines>165</Lines>
  <Paragraphs>46</Paragraphs>
  <TotalTime>77</TotalTime>
  <ScaleCrop>false</ScaleCrop>
  <LinksUpToDate>false</LinksUpToDate>
  <CharactersWithSpaces>999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2025-02-20T05:25:00Z</dcterms:created>
  <dc:creator>zhaohy716</dc:creator>
  <cp:lastModifiedBy>待到尘埃落定时</cp:lastModifiedBy>
  <dcterms:modified xsi:type="dcterms:W3CDTF">2025-03-24T07:24:42Z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E5336634FC77475F8D93710F5A9EFD97_13</vt:lpwstr>
  </property>
  <property fmtid="{D5CDD505-2E9C-101B-9397-08002B2CF9AE}" pid="4" name="KSOTemplateDocerSaveRecord">
    <vt:lpwstr>eyJoZGlkIjoiNDNjYTQ2YWNiNzgyOWI1ZWExNjQ2NWQ3Y2I3ZWNlOGMiLCJ1c2VySWQiOiI1NDYxNjc0MDMifQ==</vt:lpwstr>
  </property>
</Properties>
</file>